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691718" w14:textId="77777777" w:rsidR="00AB4544" w:rsidRPr="00525895" w:rsidRDefault="00056AC8" w:rsidP="004C39A4">
      <w:pPr>
        <w:pStyle w:val="Header"/>
        <w:jc w:val="center"/>
        <w:rPr>
          <w:rFonts w:cs="Times New Roman"/>
          <w:bCs/>
        </w:rPr>
      </w:pPr>
      <w:r w:rsidRPr="00525895">
        <w:rPr>
          <w:rFonts w:cs="Times New Roman"/>
          <w:bCs/>
        </w:rPr>
        <w:t xml:space="preserve">Essays on the Economics of Conservation Policy: </w:t>
      </w:r>
    </w:p>
    <w:p w14:paraId="0EC56123" w14:textId="0E1B9D2A" w:rsidR="00526151" w:rsidRPr="00525895" w:rsidRDefault="00056AC8" w:rsidP="004C39A4">
      <w:pPr>
        <w:pStyle w:val="Header"/>
        <w:jc w:val="center"/>
        <w:rPr>
          <w:rFonts w:cs="Times New Roman"/>
          <w:bCs/>
        </w:rPr>
      </w:pPr>
      <w:r w:rsidRPr="00525895">
        <w:rPr>
          <w:rFonts w:cs="Times New Roman"/>
          <w:bCs/>
        </w:rPr>
        <w:t>Impacts of Protected Areas, Wildfire Dynamics, and Species Delisting</w:t>
      </w:r>
    </w:p>
    <w:p w14:paraId="0EC56124" w14:textId="67750805" w:rsidR="003D07F7" w:rsidRPr="00525895" w:rsidRDefault="003D07F7" w:rsidP="004C39A4">
      <w:pPr>
        <w:pStyle w:val="Header"/>
        <w:jc w:val="center"/>
        <w:rPr>
          <w:rFonts w:cs="Times New Roman"/>
          <w:bCs/>
        </w:rPr>
      </w:pPr>
    </w:p>
    <w:p w14:paraId="0EC56125" w14:textId="77777777" w:rsidR="00236E6D" w:rsidRPr="00525895" w:rsidRDefault="00236E6D" w:rsidP="004C39A4">
      <w:pPr>
        <w:pStyle w:val="Header"/>
        <w:jc w:val="center"/>
        <w:rPr>
          <w:rFonts w:cs="Times New Roman"/>
          <w:bCs/>
        </w:rPr>
      </w:pPr>
    </w:p>
    <w:p w14:paraId="0EC56126" w14:textId="77777777" w:rsidR="00236E6D" w:rsidRPr="00525895" w:rsidRDefault="00236E6D" w:rsidP="004C39A4">
      <w:pPr>
        <w:pStyle w:val="Header"/>
        <w:jc w:val="center"/>
        <w:rPr>
          <w:rFonts w:cs="Times New Roman"/>
          <w:bCs/>
        </w:rPr>
      </w:pPr>
    </w:p>
    <w:p w14:paraId="0EC56127" w14:textId="77777777" w:rsidR="00236E6D" w:rsidRPr="00525895" w:rsidRDefault="00236E6D" w:rsidP="004C39A4">
      <w:pPr>
        <w:pStyle w:val="Header"/>
        <w:jc w:val="center"/>
        <w:rPr>
          <w:rFonts w:cs="Times New Roman"/>
          <w:bCs/>
        </w:rPr>
      </w:pPr>
    </w:p>
    <w:p w14:paraId="0EC56128" w14:textId="77777777" w:rsidR="00236E6D" w:rsidRPr="00525895" w:rsidRDefault="00236E6D" w:rsidP="004C39A4">
      <w:pPr>
        <w:pStyle w:val="Header"/>
        <w:jc w:val="center"/>
        <w:rPr>
          <w:rFonts w:cs="Times New Roman"/>
          <w:bCs/>
        </w:rPr>
      </w:pPr>
    </w:p>
    <w:p w14:paraId="0EC56131" w14:textId="77777777" w:rsidR="00236E6D" w:rsidRPr="00525895" w:rsidRDefault="00236E6D" w:rsidP="004C39A4">
      <w:pPr>
        <w:pStyle w:val="Header"/>
        <w:jc w:val="center"/>
        <w:rPr>
          <w:rFonts w:cs="Times New Roman"/>
          <w:bCs/>
        </w:rPr>
      </w:pPr>
    </w:p>
    <w:p w14:paraId="0EC56132" w14:textId="2FC58343" w:rsidR="00236E6D" w:rsidRPr="00525895" w:rsidRDefault="009C755C" w:rsidP="004C39A4">
      <w:pPr>
        <w:pStyle w:val="Header"/>
        <w:jc w:val="center"/>
        <w:rPr>
          <w:rFonts w:cs="Times New Roman"/>
          <w:bCs/>
        </w:rPr>
      </w:pPr>
      <w:r w:rsidRPr="00525895">
        <w:rPr>
          <w:rFonts w:cs="Times New Roman"/>
          <w:bCs/>
        </w:rPr>
        <w:t xml:space="preserve">A </w:t>
      </w:r>
      <w:r w:rsidR="000741FF" w:rsidRPr="00525895">
        <w:rPr>
          <w:rFonts w:cs="Times New Roman"/>
          <w:bCs/>
        </w:rPr>
        <w:t>Dissertation</w:t>
      </w:r>
      <w:r w:rsidRPr="00525895">
        <w:rPr>
          <w:rFonts w:cs="Times New Roman"/>
          <w:bCs/>
        </w:rPr>
        <w:t xml:space="preserve"> Presented for</w:t>
      </w:r>
      <w:r w:rsidR="008865B6" w:rsidRPr="00525895">
        <w:rPr>
          <w:rFonts w:cs="Times New Roman"/>
          <w:bCs/>
        </w:rPr>
        <w:t xml:space="preserve"> the</w:t>
      </w:r>
    </w:p>
    <w:p w14:paraId="0EC56133" w14:textId="5B84F5F6" w:rsidR="009C755C" w:rsidRPr="00525895" w:rsidRDefault="00056AC8" w:rsidP="004C39A4">
      <w:pPr>
        <w:pStyle w:val="Header"/>
        <w:jc w:val="center"/>
        <w:rPr>
          <w:rFonts w:cs="Times New Roman"/>
          <w:bCs/>
        </w:rPr>
      </w:pPr>
      <w:r w:rsidRPr="00525895">
        <w:rPr>
          <w:rFonts w:cs="Times New Roman"/>
          <w:bCs/>
        </w:rPr>
        <w:t>Doctor of Philosophy</w:t>
      </w:r>
    </w:p>
    <w:p w14:paraId="16DCC0E7" w14:textId="2DE10BED" w:rsidR="00056AC8" w:rsidRPr="00525895" w:rsidRDefault="00056AC8" w:rsidP="004C39A4">
      <w:pPr>
        <w:pStyle w:val="Header"/>
        <w:jc w:val="center"/>
        <w:rPr>
          <w:rFonts w:cs="Times New Roman"/>
          <w:bCs/>
        </w:rPr>
      </w:pPr>
      <w:r w:rsidRPr="00525895">
        <w:rPr>
          <w:rFonts w:cs="Times New Roman"/>
          <w:bCs/>
        </w:rPr>
        <w:t>Degree</w:t>
      </w:r>
    </w:p>
    <w:p w14:paraId="0EC56135" w14:textId="77777777" w:rsidR="009C755C" w:rsidRPr="00525895" w:rsidRDefault="009C755C" w:rsidP="004C39A4">
      <w:pPr>
        <w:pStyle w:val="Header"/>
        <w:jc w:val="center"/>
        <w:rPr>
          <w:rFonts w:cs="Times New Roman"/>
          <w:bCs/>
        </w:rPr>
      </w:pPr>
      <w:r w:rsidRPr="00525895">
        <w:rPr>
          <w:rFonts w:cs="Times New Roman"/>
          <w:bCs/>
        </w:rPr>
        <w:t>The University of Tennessee, Knoxville</w:t>
      </w:r>
    </w:p>
    <w:p w14:paraId="0EC56136" w14:textId="77777777" w:rsidR="00387656" w:rsidRPr="00525895" w:rsidRDefault="00387656" w:rsidP="004C39A4">
      <w:pPr>
        <w:pStyle w:val="Header"/>
        <w:jc w:val="center"/>
        <w:rPr>
          <w:rFonts w:cs="Times New Roman"/>
          <w:bCs/>
        </w:rPr>
      </w:pPr>
    </w:p>
    <w:p w14:paraId="0EC56137" w14:textId="77777777" w:rsidR="00387656" w:rsidRPr="00525895" w:rsidRDefault="00387656" w:rsidP="004C39A4">
      <w:pPr>
        <w:pStyle w:val="Header"/>
        <w:jc w:val="center"/>
        <w:rPr>
          <w:rFonts w:cs="Times New Roman"/>
          <w:bCs/>
        </w:rPr>
      </w:pPr>
    </w:p>
    <w:p w14:paraId="0EC56138" w14:textId="77777777" w:rsidR="00387656" w:rsidRPr="00525895" w:rsidRDefault="00387656" w:rsidP="004C39A4">
      <w:pPr>
        <w:pStyle w:val="Header"/>
        <w:jc w:val="center"/>
        <w:rPr>
          <w:rFonts w:cs="Times New Roman"/>
          <w:bCs/>
        </w:rPr>
      </w:pPr>
    </w:p>
    <w:p w14:paraId="0EC56139" w14:textId="77777777" w:rsidR="00236E6D" w:rsidRPr="00525895" w:rsidRDefault="00236E6D" w:rsidP="004C39A4">
      <w:pPr>
        <w:pStyle w:val="Header"/>
        <w:jc w:val="center"/>
        <w:rPr>
          <w:rFonts w:cs="Times New Roman"/>
          <w:bCs/>
        </w:rPr>
      </w:pPr>
    </w:p>
    <w:p w14:paraId="0EC5613A" w14:textId="77777777" w:rsidR="00236E6D" w:rsidRPr="00525895" w:rsidRDefault="00236E6D" w:rsidP="004C39A4">
      <w:pPr>
        <w:pStyle w:val="Header"/>
        <w:jc w:val="center"/>
        <w:rPr>
          <w:rFonts w:cs="Times New Roman"/>
          <w:bCs/>
        </w:rPr>
      </w:pPr>
    </w:p>
    <w:p w14:paraId="0EC5613B" w14:textId="77777777" w:rsidR="00236E6D" w:rsidRPr="00525895" w:rsidRDefault="00236E6D" w:rsidP="004C39A4">
      <w:pPr>
        <w:pStyle w:val="Header"/>
        <w:jc w:val="center"/>
        <w:rPr>
          <w:rFonts w:cs="Times New Roman"/>
          <w:bCs/>
        </w:rPr>
      </w:pPr>
    </w:p>
    <w:p w14:paraId="0EC56142" w14:textId="77777777" w:rsidR="00236E6D" w:rsidRPr="00525895" w:rsidRDefault="00236E6D" w:rsidP="004C39A4">
      <w:pPr>
        <w:pStyle w:val="Header"/>
        <w:jc w:val="center"/>
        <w:rPr>
          <w:rFonts w:cs="Times New Roman"/>
          <w:bCs/>
        </w:rPr>
      </w:pPr>
    </w:p>
    <w:p w14:paraId="0EC56143" w14:textId="1F8E9643" w:rsidR="00236E6D" w:rsidRPr="00525895" w:rsidRDefault="00056AC8" w:rsidP="004C39A4">
      <w:pPr>
        <w:pStyle w:val="Header"/>
        <w:jc w:val="center"/>
        <w:rPr>
          <w:rFonts w:cs="Times New Roman"/>
          <w:bCs/>
        </w:rPr>
      </w:pPr>
      <w:r w:rsidRPr="00525895">
        <w:rPr>
          <w:rFonts w:cs="Times New Roman"/>
          <w:bCs/>
        </w:rPr>
        <w:t>Prubesh</w:t>
      </w:r>
      <w:r w:rsidR="003D07F7" w:rsidRPr="00525895">
        <w:rPr>
          <w:rFonts w:cs="Times New Roman"/>
          <w:bCs/>
        </w:rPr>
        <w:t xml:space="preserve"> </w:t>
      </w:r>
      <w:proofErr w:type="spellStart"/>
      <w:r w:rsidRPr="00525895">
        <w:rPr>
          <w:rFonts w:cs="Times New Roman"/>
          <w:bCs/>
        </w:rPr>
        <w:t>L</w:t>
      </w:r>
      <w:r w:rsidR="000741FF" w:rsidRPr="00525895">
        <w:rPr>
          <w:rFonts w:cs="Times New Roman"/>
          <w:bCs/>
        </w:rPr>
        <w:t>utchmunsing</w:t>
      </w:r>
      <w:proofErr w:type="spellEnd"/>
      <w:r w:rsidR="000741FF" w:rsidRPr="00525895">
        <w:rPr>
          <w:rFonts w:cs="Times New Roman"/>
          <w:bCs/>
        </w:rPr>
        <w:t xml:space="preserve"> </w:t>
      </w:r>
      <w:r w:rsidRPr="00525895">
        <w:rPr>
          <w:rFonts w:cs="Times New Roman"/>
          <w:bCs/>
        </w:rPr>
        <w:t>Balgobin</w:t>
      </w:r>
    </w:p>
    <w:p w14:paraId="0EC56144" w14:textId="6389F256" w:rsidR="009C755C" w:rsidRPr="00525895" w:rsidRDefault="00056AC8" w:rsidP="004C39A4">
      <w:pPr>
        <w:pStyle w:val="Header"/>
        <w:jc w:val="center"/>
        <w:rPr>
          <w:rFonts w:cs="Times New Roman"/>
          <w:bCs/>
        </w:rPr>
      </w:pPr>
      <w:r w:rsidRPr="00525895">
        <w:rPr>
          <w:rFonts w:cs="Times New Roman"/>
          <w:bCs/>
        </w:rPr>
        <w:t>May</w:t>
      </w:r>
      <w:r w:rsidR="009C755C" w:rsidRPr="00525895">
        <w:rPr>
          <w:rFonts w:cs="Times New Roman"/>
          <w:bCs/>
        </w:rPr>
        <w:t xml:space="preserve"> </w:t>
      </w:r>
      <w:r w:rsidR="003D07F7" w:rsidRPr="00525895">
        <w:rPr>
          <w:rFonts w:cs="Times New Roman"/>
          <w:bCs/>
        </w:rPr>
        <w:t>2</w:t>
      </w:r>
      <w:r w:rsidR="00DF7C87" w:rsidRPr="00525895">
        <w:rPr>
          <w:rFonts w:cs="Times New Roman"/>
          <w:bCs/>
        </w:rPr>
        <w:t>02</w:t>
      </w:r>
      <w:r w:rsidRPr="00525895">
        <w:rPr>
          <w:rFonts w:cs="Times New Roman"/>
          <w:bCs/>
        </w:rPr>
        <w:t>5</w:t>
      </w:r>
    </w:p>
    <w:p w14:paraId="1ADFB134" w14:textId="77777777" w:rsidR="0057442E" w:rsidRDefault="0057442E" w:rsidP="004C39A4">
      <w:pPr>
        <w:rPr>
          <w:rFonts w:cs="Times New Roman"/>
        </w:rPr>
        <w:sectPr w:rsidR="0057442E" w:rsidSect="0074181E">
          <w:footerReference w:type="default" r:id="rId11"/>
          <w:pgSz w:w="12240" w:h="15840" w:code="1"/>
          <w:pgMar w:top="1440" w:right="720" w:bottom="1440" w:left="720" w:header="720" w:footer="1440" w:gutter="0"/>
          <w:pgNumType w:fmt="lowerRoman" w:start="1"/>
          <w:cols w:space="720"/>
          <w:noEndnote/>
          <w:titlePg/>
          <w:docGrid w:linePitch="360"/>
        </w:sectPr>
      </w:pPr>
    </w:p>
    <w:p w14:paraId="0EC56149" w14:textId="6BF7C223" w:rsidR="00236E6D" w:rsidRPr="00525895" w:rsidRDefault="00DF7C87" w:rsidP="004C39A4">
      <w:pPr>
        <w:rPr>
          <w:rFonts w:cs="Times New Roman"/>
        </w:rPr>
      </w:pPr>
      <w:r w:rsidRPr="00525895">
        <w:rPr>
          <w:rFonts w:cs="Times New Roman"/>
        </w:rPr>
        <w:lastRenderedPageBreak/>
        <w:t>Copyright © 202</w:t>
      </w:r>
      <w:r w:rsidR="00056AC8" w:rsidRPr="00525895">
        <w:rPr>
          <w:rFonts w:cs="Times New Roman"/>
        </w:rPr>
        <w:t>5</w:t>
      </w:r>
      <w:r w:rsidR="00236E6D" w:rsidRPr="00525895">
        <w:rPr>
          <w:rFonts w:cs="Times New Roman"/>
        </w:rPr>
        <w:t xml:space="preserve"> by </w:t>
      </w:r>
      <w:r w:rsidR="00056AC8" w:rsidRPr="00525895">
        <w:rPr>
          <w:rFonts w:cs="Times New Roman"/>
        </w:rPr>
        <w:t>Prubesh</w:t>
      </w:r>
      <w:r w:rsidR="008865B6" w:rsidRPr="00525895">
        <w:rPr>
          <w:rFonts w:cs="Times New Roman"/>
        </w:rPr>
        <w:t xml:space="preserve"> </w:t>
      </w:r>
      <w:proofErr w:type="spellStart"/>
      <w:r w:rsidR="006C13E7" w:rsidRPr="00525895">
        <w:rPr>
          <w:rFonts w:cs="Times New Roman"/>
        </w:rPr>
        <w:t>Lutchmunsing</w:t>
      </w:r>
      <w:proofErr w:type="spellEnd"/>
      <w:r w:rsidR="008865B6" w:rsidRPr="00525895">
        <w:rPr>
          <w:rFonts w:cs="Times New Roman"/>
        </w:rPr>
        <w:t xml:space="preserve"> </w:t>
      </w:r>
      <w:r w:rsidR="00056AC8" w:rsidRPr="00525895">
        <w:rPr>
          <w:rFonts w:cs="Times New Roman"/>
        </w:rPr>
        <w:t>Balgobin</w:t>
      </w:r>
    </w:p>
    <w:p w14:paraId="0EC5614A" w14:textId="77777777" w:rsidR="00236E6D" w:rsidRPr="00525895" w:rsidRDefault="00236E6D" w:rsidP="004C39A4">
      <w:pPr>
        <w:rPr>
          <w:rFonts w:cs="Times New Roman"/>
        </w:rPr>
      </w:pPr>
      <w:r w:rsidRPr="00525895">
        <w:rPr>
          <w:rFonts w:cs="Times New Roman"/>
        </w:rPr>
        <w:t>All rights reserved.</w:t>
      </w:r>
    </w:p>
    <w:p w14:paraId="0EC5614B" w14:textId="77777777" w:rsidR="00236E6D" w:rsidRPr="00525895" w:rsidRDefault="00236E6D" w:rsidP="004C39A4">
      <w:pPr>
        <w:rPr>
          <w:rFonts w:cs="Times New Roman"/>
        </w:rPr>
      </w:pPr>
    </w:p>
    <w:p w14:paraId="0EC5614C" w14:textId="77777777" w:rsidR="00236E6D" w:rsidRPr="00525895" w:rsidRDefault="00236E6D" w:rsidP="004C39A4">
      <w:pPr>
        <w:rPr>
          <w:rFonts w:cs="Times New Roman"/>
        </w:rPr>
      </w:pPr>
    </w:p>
    <w:p w14:paraId="0EC5614D" w14:textId="77777777" w:rsidR="00236E6D" w:rsidRPr="00525895" w:rsidRDefault="00236E6D" w:rsidP="004C39A4">
      <w:pPr>
        <w:rPr>
          <w:rFonts w:cs="Times New Roman"/>
        </w:rPr>
      </w:pPr>
    </w:p>
    <w:p w14:paraId="0EC5614E" w14:textId="77777777" w:rsidR="00236E6D" w:rsidRPr="00525895" w:rsidRDefault="00236E6D" w:rsidP="004C39A4">
      <w:pPr>
        <w:rPr>
          <w:rFonts w:cs="Times New Roman"/>
        </w:rPr>
      </w:pPr>
    </w:p>
    <w:p w14:paraId="0EC5614F" w14:textId="77777777" w:rsidR="00236E6D" w:rsidRPr="00525895" w:rsidRDefault="00236E6D" w:rsidP="004C39A4">
      <w:pPr>
        <w:rPr>
          <w:rFonts w:cs="Times New Roman"/>
        </w:rPr>
      </w:pPr>
    </w:p>
    <w:p w14:paraId="0EC56150" w14:textId="77777777" w:rsidR="00236E6D" w:rsidRPr="00525895" w:rsidRDefault="00236E6D" w:rsidP="004C39A4">
      <w:pPr>
        <w:rPr>
          <w:rFonts w:cs="Times New Roman"/>
        </w:rPr>
      </w:pPr>
    </w:p>
    <w:p w14:paraId="0EC56151" w14:textId="77777777" w:rsidR="00236E6D" w:rsidRPr="00525895" w:rsidRDefault="00236E6D" w:rsidP="004C39A4">
      <w:pPr>
        <w:rPr>
          <w:rFonts w:cs="Times New Roman"/>
        </w:rPr>
      </w:pPr>
    </w:p>
    <w:p w14:paraId="0EC56152" w14:textId="77777777" w:rsidR="00236E6D" w:rsidRPr="00525895" w:rsidRDefault="00236E6D" w:rsidP="004C39A4">
      <w:pPr>
        <w:rPr>
          <w:rFonts w:cs="Times New Roman"/>
        </w:rPr>
      </w:pPr>
    </w:p>
    <w:p w14:paraId="0EC56153" w14:textId="77777777" w:rsidR="00236E6D" w:rsidRPr="00525895" w:rsidRDefault="00236E6D" w:rsidP="004C39A4">
      <w:pPr>
        <w:rPr>
          <w:rFonts w:cs="Times New Roman"/>
        </w:rPr>
      </w:pPr>
    </w:p>
    <w:p w14:paraId="0EC56154" w14:textId="77777777" w:rsidR="00236E6D" w:rsidRPr="00525895" w:rsidRDefault="00236E6D" w:rsidP="004C39A4">
      <w:pPr>
        <w:rPr>
          <w:rFonts w:cs="Times New Roman"/>
        </w:rPr>
      </w:pPr>
    </w:p>
    <w:p w14:paraId="0EC56155" w14:textId="77777777" w:rsidR="00236E6D" w:rsidRPr="00525895" w:rsidRDefault="00236E6D" w:rsidP="004C39A4">
      <w:pPr>
        <w:rPr>
          <w:rFonts w:cs="Times New Roman"/>
        </w:rPr>
      </w:pPr>
    </w:p>
    <w:p w14:paraId="0EC56156" w14:textId="77777777" w:rsidR="00236E6D" w:rsidRPr="00525895" w:rsidRDefault="00236E6D" w:rsidP="004C39A4">
      <w:pPr>
        <w:rPr>
          <w:rFonts w:cs="Times New Roman"/>
        </w:rPr>
      </w:pPr>
    </w:p>
    <w:p w14:paraId="0EC56157" w14:textId="77777777" w:rsidR="00236E6D" w:rsidRPr="00525895" w:rsidRDefault="00236E6D" w:rsidP="004C39A4">
      <w:pPr>
        <w:rPr>
          <w:rFonts w:cs="Times New Roman"/>
        </w:rPr>
      </w:pPr>
    </w:p>
    <w:p w14:paraId="0EC56158" w14:textId="77777777" w:rsidR="00236E6D" w:rsidRPr="00525895" w:rsidRDefault="00236E6D" w:rsidP="004C39A4">
      <w:pPr>
        <w:rPr>
          <w:rFonts w:cs="Times New Roman"/>
        </w:rPr>
      </w:pPr>
    </w:p>
    <w:p w14:paraId="0EC56159" w14:textId="77777777" w:rsidR="006F5AA4" w:rsidRPr="00FA66EA" w:rsidRDefault="00236E6D" w:rsidP="004C39A4">
      <w:pPr>
        <w:pStyle w:val="Header"/>
        <w:jc w:val="center"/>
        <w:rPr>
          <w:rFonts w:cs="Times New Roman"/>
          <w:b/>
          <w:bCs/>
        </w:rPr>
      </w:pPr>
      <w:r w:rsidRPr="00525895">
        <w:rPr>
          <w:rFonts w:cs="Times New Roman"/>
        </w:rPr>
        <w:br w:type="page"/>
      </w:r>
      <w:r w:rsidR="006F5AA4" w:rsidRPr="00FA66EA">
        <w:rPr>
          <w:rFonts w:cs="Times New Roman"/>
          <w:b/>
          <w:bCs/>
        </w:rPr>
        <w:lastRenderedPageBreak/>
        <w:t>DEDICATION</w:t>
      </w:r>
    </w:p>
    <w:p w14:paraId="3175E6AC" w14:textId="77777777" w:rsidR="00273B5A" w:rsidRPr="00273B5A" w:rsidRDefault="00273B5A" w:rsidP="00273B5A">
      <w:pPr>
        <w:rPr>
          <w:rFonts w:cs="Times New Roman"/>
          <w:lang/>
        </w:rPr>
      </w:pPr>
      <w:r w:rsidRPr="00273B5A">
        <w:rPr>
          <w:rFonts w:cs="Times New Roman"/>
          <w:lang/>
        </w:rPr>
        <w:t>To my Grandfather, Grandmother, Mother, Uncles, Aunties, my Sister, and my Fur Angels—your boundless love and unwavering support have been the sanctuary of my soul. You have been my steadfast pillars, my guiding light, and the stars illuminating my path through the tempestuous seas of life.</w:t>
      </w:r>
    </w:p>
    <w:p w14:paraId="131F2436" w14:textId="77777777" w:rsidR="00273B5A" w:rsidRPr="00273B5A" w:rsidRDefault="00273B5A" w:rsidP="00273B5A">
      <w:pPr>
        <w:rPr>
          <w:rFonts w:cs="Times New Roman"/>
          <w:lang/>
        </w:rPr>
      </w:pPr>
      <w:r w:rsidRPr="00273B5A">
        <w:rPr>
          <w:rFonts w:cs="Times New Roman"/>
          <w:lang/>
        </w:rPr>
        <w:t xml:space="preserve">As the Vedas proclaim, </w:t>
      </w:r>
      <w:r w:rsidRPr="00273B5A">
        <w:rPr>
          <w:rFonts w:cs="Times New Roman"/>
          <w:i/>
          <w:iCs/>
          <w:lang/>
        </w:rPr>
        <w:t>"Matru Devo Bhava, Pitru Devo Bhava, Acharya Devo Bhava, Atithi Devo Bhava"</w:t>
      </w:r>
      <w:r w:rsidRPr="00273B5A">
        <w:rPr>
          <w:rFonts w:cs="Times New Roman"/>
          <w:lang/>
        </w:rPr>
        <w:t>—revere the Mother, the Father, the Teacher, and all who grace our lives. To you, I offer my deepest reverence, for it is through your sacrifices and your wisdom that I have walked this journey.</w:t>
      </w:r>
    </w:p>
    <w:p w14:paraId="2CBCE949" w14:textId="77777777" w:rsidR="00273B5A" w:rsidRPr="00273B5A" w:rsidRDefault="00273B5A" w:rsidP="00273B5A">
      <w:pPr>
        <w:rPr>
          <w:rFonts w:cs="Times New Roman"/>
          <w:lang/>
        </w:rPr>
      </w:pPr>
      <w:r w:rsidRPr="00273B5A">
        <w:rPr>
          <w:rFonts w:cs="Times New Roman"/>
          <w:lang/>
        </w:rPr>
        <w:t xml:space="preserve">This work is a tribute to you, whose love echoes the eternal truth spoken by Sri Sathya Sai Baba: </w:t>
      </w:r>
      <w:r w:rsidRPr="00273B5A">
        <w:rPr>
          <w:rFonts w:cs="Times New Roman"/>
          <w:i/>
          <w:iCs/>
          <w:lang/>
        </w:rPr>
        <w:t>"Love lives by giving and forgiving; self lives by getting and forgetting."</w:t>
      </w:r>
    </w:p>
    <w:p w14:paraId="0EC5615E" w14:textId="77777777" w:rsidR="00904969" w:rsidRPr="00525895" w:rsidRDefault="00904969" w:rsidP="004C39A4">
      <w:pPr>
        <w:jc w:val="center"/>
        <w:rPr>
          <w:rFonts w:cs="Times New Roman"/>
        </w:rPr>
      </w:pPr>
    </w:p>
    <w:p w14:paraId="0EC5615F" w14:textId="77777777" w:rsidR="00904969" w:rsidRPr="00525895" w:rsidRDefault="00904969" w:rsidP="004C39A4">
      <w:pPr>
        <w:jc w:val="center"/>
        <w:rPr>
          <w:rFonts w:cs="Times New Roman"/>
        </w:rPr>
      </w:pPr>
    </w:p>
    <w:p w14:paraId="0EC56160" w14:textId="77777777" w:rsidR="00904969" w:rsidRPr="00525895" w:rsidRDefault="00904969" w:rsidP="004C39A4">
      <w:pPr>
        <w:jc w:val="center"/>
        <w:rPr>
          <w:rFonts w:cs="Times New Roman"/>
        </w:rPr>
      </w:pPr>
    </w:p>
    <w:p w14:paraId="0EC56161" w14:textId="77777777" w:rsidR="00CD73A9" w:rsidRPr="00FA66EA" w:rsidRDefault="006F5AA4" w:rsidP="001953BB">
      <w:pPr>
        <w:pStyle w:val="Header"/>
        <w:jc w:val="center"/>
        <w:rPr>
          <w:rFonts w:cs="Times New Roman"/>
          <w:b/>
          <w:bCs/>
        </w:rPr>
      </w:pPr>
      <w:r w:rsidRPr="00525895">
        <w:rPr>
          <w:rFonts w:cs="Times New Roman"/>
        </w:rPr>
        <w:br w:type="page"/>
      </w:r>
      <w:r w:rsidR="00CD73A9" w:rsidRPr="00FA66EA">
        <w:rPr>
          <w:rFonts w:cs="Times New Roman"/>
          <w:b/>
          <w:bCs/>
        </w:rPr>
        <w:lastRenderedPageBreak/>
        <w:t>ACKNOWLEDGEMENTS</w:t>
      </w:r>
    </w:p>
    <w:p w14:paraId="73BE5273" w14:textId="77777777" w:rsidR="00DB1842" w:rsidRPr="00DB1842" w:rsidRDefault="00DB1842" w:rsidP="00DB1842">
      <w:pPr>
        <w:jc w:val="both"/>
        <w:rPr>
          <w:rFonts w:cs="Times New Roman"/>
          <w:lang/>
        </w:rPr>
      </w:pPr>
      <w:r w:rsidRPr="00DB1842">
        <w:rPr>
          <w:rFonts w:cs="Times New Roman"/>
          <w:lang/>
        </w:rPr>
        <w:t xml:space="preserve">With profound humility and gratitude, I bow before the sanctity of life and the grace of those who have walked beside me on this journey. To my Family, who have gifted me the invaluable wisdom of learning, resilience, and the art of letting go, I echo the words of the Vedas: </w:t>
      </w:r>
      <w:r w:rsidRPr="00DB1842">
        <w:rPr>
          <w:rFonts w:cs="Times New Roman"/>
          <w:i/>
          <w:iCs/>
          <w:lang/>
        </w:rPr>
        <w:t>"The wise see all beings in themselves, and themselves in all beings, and thus attain peace."</w:t>
      </w:r>
      <w:r w:rsidRPr="00DB1842">
        <w:rPr>
          <w:rFonts w:cs="Times New Roman"/>
          <w:lang/>
        </w:rPr>
        <w:t xml:space="preserve"> Your lessons have been the compass guiding me through the labyrinth of existence.</w:t>
      </w:r>
    </w:p>
    <w:p w14:paraId="676E077A" w14:textId="77777777" w:rsidR="00DB1842" w:rsidRPr="00DB1842" w:rsidRDefault="00DB1842" w:rsidP="00DB1842">
      <w:pPr>
        <w:jc w:val="both"/>
        <w:rPr>
          <w:rFonts w:cs="Times New Roman"/>
          <w:lang/>
        </w:rPr>
      </w:pPr>
      <w:r w:rsidRPr="00DB1842">
        <w:rPr>
          <w:rFonts w:cs="Times New Roman"/>
          <w:lang/>
        </w:rPr>
        <w:t xml:space="preserve">To Professor Charles Sims, a beacon of unwavering light who steadied me in moments of despair and doubt, I offer my eternal gratitude. Your belief in me, even when my own faith wavered, has been a testimony to the divine truth: </w:t>
      </w:r>
      <w:r w:rsidRPr="00DB1842">
        <w:rPr>
          <w:rFonts w:cs="Times New Roman"/>
          <w:i/>
          <w:iCs/>
          <w:lang/>
        </w:rPr>
        <w:t>"There is no greater wealth than self-confidence, and no greater force than love."</w:t>
      </w:r>
    </w:p>
    <w:p w14:paraId="0321BD59" w14:textId="77777777" w:rsidR="00DB1842" w:rsidRPr="00DB1842" w:rsidRDefault="00DB1842" w:rsidP="00DB1842">
      <w:pPr>
        <w:jc w:val="both"/>
        <w:rPr>
          <w:rFonts w:cs="Times New Roman"/>
          <w:lang/>
        </w:rPr>
      </w:pPr>
      <w:r w:rsidRPr="00DB1842">
        <w:rPr>
          <w:rFonts w:cs="Times New Roman"/>
          <w:lang/>
        </w:rPr>
        <w:t>To Professors Ketki Sheth, Mohammed Mohsin, and Paul Armsworth, your counsel has been akin to the nurturing rain upon a parched earth. Your support and guidance have been instrumental in transforming this dream into a reality, and I am forever indebted to your wisdom.</w:t>
      </w:r>
    </w:p>
    <w:p w14:paraId="4069B3A2" w14:textId="77777777" w:rsidR="00DB1842" w:rsidRPr="00DB1842" w:rsidRDefault="00DB1842" w:rsidP="00DB1842">
      <w:pPr>
        <w:jc w:val="both"/>
        <w:rPr>
          <w:rFonts w:cs="Times New Roman"/>
          <w:lang/>
        </w:rPr>
      </w:pPr>
      <w:r w:rsidRPr="00DB1842">
        <w:rPr>
          <w:rFonts w:cs="Times New Roman"/>
          <w:lang/>
        </w:rPr>
        <w:t xml:space="preserve">My heart turns to Nature herself—Mother Earth, Father Sky, Grandfather Sun, and Grandmother Moon. To the rivers, mountains, forests, and all beings—Earthly and Celestial—you have been the silent witnesses and gentle teachers throughout this journey. </w:t>
      </w:r>
      <w:r w:rsidRPr="00DB1842">
        <w:rPr>
          <w:rFonts w:cs="Times New Roman"/>
          <w:i/>
          <w:iCs/>
          <w:lang/>
        </w:rPr>
        <w:t>"The Earth is our mother; we are her children,"</w:t>
      </w:r>
      <w:r w:rsidRPr="00DB1842">
        <w:rPr>
          <w:rFonts w:cs="Times New Roman"/>
          <w:lang/>
        </w:rPr>
        <w:t xml:space="preserve"> says the Veda, and so, I offer my gratitude to the great family of life.</w:t>
      </w:r>
    </w:p>
    <w:p w14:paraId="321D1F74" w14:textId="77777777" w:rsidR="00DB1842" w:rsidRPr="00DB1842" w:rsidRDefault="00DB1842" w:rsidP="00DB1842">
      <w:pPr>
        <w:jc w:val="both"/>
        <w:rPr>
          <w:rFonts w:cs="Times New Roman"/>
          <w:lang/>
        </w:rPr>
      </w:pPr>
      <w:r w:rsidRPr="00DB1842">
        <w:rPr>
          <w:rFonts w:cs="Times New Roman"/>
          <w:lang/>
        </w:rPr>
        <w:t xml:space="preserve">Finally, I bow before the Primordial Sound, the eternal vibration that resonates as </w:t>
      </w:r>
      <w:r w:rsidRPr="00DB1842">
        <w:rPr>
          <w:rFonts w:cs="Times New Roman"/>
          <w:b/>
          <w:bCs/>
          <w:lang/>
        </w:rPr>
        <w:t>Aum, Amen, Ameen</w:t>
      </w:r>
      <w:r w:rsidRPr="00DB1842">
        <w:rPr>
          <w:rFonts w:cs="Times New Roman"/>
          <w:lang/>
        </w:rPr>
        <w:t>—the source from which all creation flows. May this work honor that sacred vibration, which unites all beings in the infinite rhythm of existence.</w:t>
      </w:r>
    </w:p>
    <w:p w14:paraId="50441DE0" w14:textId="71C37DCF" w:rsidR="0017154A" w:rsidRDefault="0017154A" w:rsidP="004C39A4">
      <w:pPr>
        <w:jc w:val="both"/>
        <w:rPr>
          <w:rFonts w:cs="Times New Roman"/>
        </w:rPr>
      </w:pPr>
    </w:p>
    <w:p w14:paraId="6AAD520A" w14:textId="3E2F8E22" w:rsidR="0017154A" w:rsidRPr="001953BB" w:rsidRDefault="0017154A" w:rsidP="001953BB">
      <w:pPr>
        <w:pStyle w:val="Heading1"/>
        <w:rPr>
          <w:lang w:val="en-US"/>
        </w:rPr>
      </w:pPr>
      <w:r>
        <w:rPr>
          <w:rFonts w:cs="Times New Roman"/>
        </w:rPr>
        <w:br w:type="page"/>
      </w:r>
      <w:bookmarkStart w:id="0" w:name="_Toc188366787"/>
      <w:bookmarkStart w:id="1" w:name="_Toc188367145"/>
      <w:bookmarkStart w:id="2" w:name="_Toc188377389"/>
      <w:bookmarkStart w:id="3" w:name="_Toc188377631"/>
      <w:bookmarkStart w:id="4" w:name="_Toc188378965"/>
      <w:r w:rsidRPr="0017154A">
        <w:lastRenderedPageBreak/>
        <w:t>D</w:t>
      </w:r>
      <w:bookmarkEnd w:id="0"/>
      <w:bookmarkEnd w:id="1"/>
      <w:bookmarkEnd w:id="2"/>
      <w:bookmarkEnd w:id="3"/>
      <w:bookmarkEnd w:id="4"/>
      <w:r w:rsidR="001953BB">
        <w:rPr>
          <w:lang w:val="en-US"/>
        </w:rPr>
        <w:t>ISCLOSURE STATEMENT</w:t>
      </w:r>
    </w:p>
    <w:p w14:paraId="163134C8" w14:textId="577EC738" w:rsidR="0017154A" w:rsidRPr="0017154A" w:rsidRDefault="0017154A" w:rsidP="001953BB">
      <w:pPr>
        <w:rPr>
          <w:rFonts w:cs="Times New Roman"/>
        </w:rPr>
      </w:pPr>
      <w:r w:rsidRPr="0017154A">
        <w:rPr>
          <w:rFonts w:cs="Times New Roman"/>
        </w:rPr>
        <w:t>This dissertation</w:t>
      </w:r>
      <w:r w:rsidR="007E0246">
        <w:rPr>
          <w:rFonts w:cs="Times New Roman"/>
        </w:rPr>
        <w:t xml:space="preserve">, authored by Prubesh </w:t>
      </w:r>
      <w:proofErr w:type="spellStart"/>
      <w:r w:rsidR="007E0246">
        <w:rPr>
          <w:rFonts w:cs="Times New Roman"/>
        </w:rPr>
        <w:t>Lutchmunsing</w:t>
      </w:r>
      <w:proofErr w:type="spellEnd"/>
      <w:r w:rsidR="007E0246">
        <w:rPr>
          <w:rFonts w:cs="Times New Roman"/>
        </w:rPr>
        <w:t xml:space="preserve"> Balgobin,</w:t>
      </w:r>
      <w:r w:rsidRPr="0017154A">
        <w:rPr>
          <w:rFonts w:cs="Times New Roman"/>
        </w:rPr>
        <w:t xml:space="preserve"> incorporates the use of artificial intelligence (AI) to enhance the research and writing process. Specifically, the AI model ChatGPT (developed by OpenAI, GPT-4) was employed in the following capacities:</w:t>
      </w:r>
    </w:p>
    <w:p w14:paraId="5F6A489F" w14:textId="77777777" w:rsidR="0017154A" w:rsidRPr="0017154A" w:rsidRDefault="0017154A" w:rsidP="001953BB">
      <w:pPr>
        <w:pStyle w:val="ListParagraph"/>
        <w:numPr>
          <w:ilvl w:val="0"/>
          <w:numId w:val="49"/>
        </w:numPr>
        <w:spacing w:before="0" w:beforeAutospacing="0" w:after="0" w:line="480" w:lineRule="auto"/>
        <w:rPr>
          <w:rFonts w:ascii="Times New Roman" w:hAnsi="Times New Roman"/>
          <w:sz w:val="24"/>
          <w:szCs w:val="24"/>
        </w:rPr>
      </w:pPr>
      <w:r w:rsidRPr="0017154A">
        <w:rPr>
          <w:rFonts w:ascii="Times New Roman" w:hAnsi="Times New Roman"/>
          <w:b/>
          <w:bCs/>
          <w:sz w:val="24"/>
          <w:szCs w:val="24"/>
        </w:rPr>
        <w:t>Idea Generation and Refinement:</w:t>
      </w:r>
      <w:r w:rsidRPr="0017154A">
        <w:rPr>
          <w:rFonts w:ascii="Times New Roman" w:hAnsi="Times New Roman"/>
          <w:sz w:val="24"/>
          <w:szCs w:val="24"/>
        </w:rPr>
        <w:t xml:space="preserve"> Assistance in brainstorming and structuring sections of the dissertation.</w:t>
      </w:r>
    </w:p>
    <w:p w14:paraId="0B70D3CE" w14:textId="77777777" w:rsidR="0017154A" w:rsidRPr="0017154A" w:rsidRDefault="0017154A" w:rsidP="001953BB">
      <w:pPr>
        <w:pStyle w:val="ListParagraph"/>
        <w:numPr>
          <w:ilvl w:val="0"/>
          <w:numId w:val="49"/>
        </w:numPr>
        <w:spacing w:before="0" w:beforeAutospacing="0" w:after="0" w:line="480" w:lineRule="auto"/>
        <w:rPr>
          <w:rFonts w:ascii="Times New Roman" w:hAnsi="Times New Roman"/>
          <w:sz w:val="24"/>
          <w:szCs w:val="24"/>
        </w:rPr>
      </w:pPr>
      <w:r w:rsidRPr="0017154A">
        <w:rPr>
          <w:rFonts w:ascii="Times New Roman" w:hAnsi="Times New Roman"/>
          <w:b/>
          <w:bCs/>
          <w:sz w:val="24"/>
          <w:szCs w:val="24"/>
        </w:rPr>
        <w:t>Technical Writing Support:</w:t>
      </w:r>
      <w:r w:rsidRPr="0017154A">
        <w:rPr>
          <w:rFonts w:ascii="Times New Roman" w:hAnsi="Times New Roman"/>
          <w:sz w:val="24"/>
          <w:szCs w:val="24"/>
        </w:rPr>
        <w:t xml:space="preserve"> Clarification of complex concepts and assistance in drafting clear and concise descriptions of methodologies and findings.</w:t>
      </w:r>
    </w:p>
    <w:p w14:paraId="027A49BA" w14:textId="77777777" w:rsidR="0017154A" w:rsidRPr="0017154A" w:rsidRDefault="0017154A" w:rsidP="001953BB">
      <w:pPr>
        <w:pStyle w:val="ListParagraph"/>
        <w:numPr>
          <w:ilvl w:val="0"/>
          <w:numId w:val="49"/>
        </w:numPr>
        <w:spacing w:before="0" w:beforeAutospacing="0" w:after="0" w:line="480" w:lineRule="auto"/>
        <w:rPr>
          <w:rFonts w:ascii="Times New Roman" w:hAnsi="Times New Roman"/>
          <w:sz w:val="24"/>
          <w:szCs w:val="24"/>
        </w:rPr>
      </w:pPr>
      <w:r w:rsidRPr="0017154A">
        <w:rPr>
          <w:rFonts w:ascii="Times New Roman" w:hAnsi="Times New Roman"/>
          <w:b/>
          <w:bCs/>
          <w:sz w:val="24"/>
          <w:szCs w:val="24"/>
        </w:rPr>
        <w:t>Editing and Proofreading:</w:t>
      </w:r>
      <w:r w:rsidRPr="0017154A">
        <w:rPr>
          <w:rFonts w:ascii="Times New Roman" w:hAnsi="Times New Roman"/>
          <w:sz w:val="24"/>
          <w:szCs w:val="24"/>
        </w:rPr>
        <w:t xml:space="preserve"> Suggestions for improving grammar, style, and coherence throughout the text.</w:t>
      </w:r>
    </w:p>
    <w:p w14:paraId="2D1A5421" w14:textId="286B076A" w:rsidR="00FA66EA" w:rsidRPr="0017154A" w:rsidRDefault="0017154A" w:rsidP="001953BB">
      <w:pPr>
        <w:rPr>
          <w:rFonts w:cs="Times New Roman"/>
        </w:rPr>
      </w:pPr>
      <w:r w:rsidRPr="0017154A">
        <w:rPr>
          <w:rFonts w:cs="Times New Roman"/>
        </w:rPr>
        <w:t>The AI was used as a supplementary tool to support the author’s independent research and writing efforts. All analytical content, original research, and conclusions presented in this document remain the sole responsibility of the author. The use of AI complies with the academic integrity guidelines established by the University of Tennessee, Knoxville.</w:t>
      </w:r>
    </w:p>
    <w:p w14:paraId="0EC56164" w14:textId="603B0359" w:rsidR="0085757D" w:rsidRPr="00525895" w:rsidRDefault="00FA66EA" w:rsidP="001953BB">
      <w:pPr>
        <w:rPr>
          <w:rFonts w:cs="Times New Roman"/>
        </w:rPr>
      </w:pPr>
      <w:r w:rsidRPr="00FA66EA">
        <w:rPr>
          <w:rFonts w:cs="Times New Roman"/>
        </w:rPr>
        <w:t> </w:t>
      </w:r>
    </w:p>
    <w:p w14:paraId="0EC56165" w14:textId="77777777" w:rsidR="00904969" w:rsidRPr="00525895" w:rsidRDefault="00904969" w:rsidP="001953BB">
      <w:pPr>
        <w:rPr>
          <w:rFonts w:cs="Times New Roman"/>
        </w:rPr>
      </w:pPr>
    </w:p>
    <w:p w14:paraId="0EC56166" w14:textId="77777777" w:rsidR="00904969" w:rsidRPr="00525895" w:rsidRDefault="00904969" w:rsidP="004C39A4">
      <w:pPr>
        <w:rPr>
          <w:rFonts w:cs="Times New Roman"/>
        </w:rPr>
      </w:pPr>
    </w:p>
    <w:p w14:paraId="0EC56167" w14:textId="77777777" w:rsidR="00904969" w:rsidRPr="00525895" w:rsidRDefault="00904969" w:rsidP="004C39A4">
      <w:pPr>
        <w:rPr>
          <w:rFonts w:cs="Times New Roman"/>
        </w:rPr>
      </w:pPr>
    </w:p>
    <w:p w14:paraId="0EC56168" w14:textId="0B923367" w:rsidR="00236E6D" w:rsidRDefault="0085757D" w:rsidP="00DB1842">
      <w:pPr>
        <w:pStyle w:val="Heading1"/>
      </w:pPr>
      <w:r w:rsidRPr="00525895">
        <w:br w:type="page"/>
      </w:r>
      <w:bookmarkStart w:id="5" w:name="_Toc188366788"/>
      <w:bookmarkStart w:id="6" w:name="_Toc188367146"/>
      <w:bookmarkStart w:id="7" w:name="_Toc188377390"/>
      <w:bookmarkStart w:id="8" w:name="_Toc188377632"/>
      <w:bookmarkStart w:id="9" w:name="_Toc188378966"/>
      <w:r w:rsidR="00236E6D" w:rsidRPr="00525895">
        <w:lastRenderedPageBreak/>
        <w:t>ABSTRACT</w:t>
      </w:r>
      <w:bookmarkEnd w:id="5"/>
      <w:bookmarkEnd w:id="6"/>
      <w:bookmarkEnd w:id="7"/>
      <w:bookmarkEnd w:id="8"/>
      <w:bookmarkEnd w:id="9"/>
    </w:p>
    <w:p w14:paraId="58618349" w14:textId="77777777" w:rsidR="00FA66EA" w:rsidRPr="00FA66EA" w:rsidRDefault="00FA66EA" w:rsidP="00961D1F">
      <w:pPr>
        <w:pStyle w:val="Header"/>
        <w:rPr>
          <w:rFonts w:cs="Times New Roman"/>
        </w:rPr>
      </w:pPr>
      <w:r w:rsidRPr="00FA66EA">
        <w:rPr>
          <w:rFonts w:cs="Times New Roman"/>
        </w:rPr>
        <w:t>This dissertation examines the multifaceted interactions between environmental conservation policies and economic dynamics through three distinct but interrelated studies spanning the contiguous United States from 1998 to 2018.</w:t>
      </w:r>
    </w:p>
    <w:p w14:paraId="1BB9A44F" w14:textId="77777777" w:rsidR="00FA66EA" w:rsidRPr="00FA66EA" w:rsidRDefault="00FA66EA" w:rsidP="00961D1F">
      <w:pPr>
        <w:pStyle w:val="Header"/>
        <w:rPr>
          <w:rFonts w:cs="Times New Roman"/>
        </w:rPr>
      </w:pPr>
      <w:r w:rsidRPr="00FA66EA">
        <w:rPr>
          <w:rFonts w:cs="Times New Roman"/>
        </w:rPr>
        <w:t>The first chapter focuses on the economic impacts of Protected Area Designations (PADs) on land-intensive sectors (LIS), such as agriculture, forestry, and construction. Using a Poisson Pseudo-Maximum Likelihood model with High-Dimensional Fixed Effects (PPMLHDFE), this study uncovers non-linear relationships between PAD coverage and business dynamics, including establishment births, exits, and relocations at both intra- and inter-state levels. Results emphasize the critical role of conservation stringency in shaping regional economies.</w:t>
      </w:r>
    </w:p>
    <w:p w14:paraId="497CF16C" w14:textId="06ACE180" w:rsidR="00FA66EA" w:rsidRPr="00FA66EA" w:rsidRDefault="00C96120" w:rsidP="00961D1F">
      <w:pPr>
        <w:pStyle w:val="Header"/>
        <w:rPr>
          <w:rFonts w:cs="Times New Roman"/>
        </w:rPr>
      </w:pPr>
      <w:r>
        <w:rPr>
          <w:rFonts w:cs="Times New Roman"/>
        </w:rPr>
        <w:t>T</w:t>
      </w:r>
      <w:r w:rsidR="00FA66EA" w:rsidRPr="00FA66EA">
        <w:rPr>
          <w:rFonts w:cs="Times New Roman"/>
        </w:rPr>
        <w:t>he second chapter evaluates the economic consequences of wildfires in California, analyzing the frequency and intensity of wildfires and their differential effects on LIS and non-land-intensive sectors (non-LIS). Findings reveal that wildfire frequency destabilizes LIS through increased establishment deaths and outward relocations, while wildfire intensity generates opportunities for recovery-oriented sectors like construction. This study provides actionable insights into disaster resilience and sectoral adaptation.</w:t>
      </w:r>
    </w:p>
    <w:p w14:paraId="0199A3DE" w14:textId="77777777" w:rsidR="00FA66EA" w:rsidRPr="00FA66EA" w:rsidRDefault="00FA66EA" w:rsidP="00961D1F">
      <w:pPr>
        <w:pStyle w:val="Header"/>
        <w:rPr>
          <w:rFonts w:cs="Times New Roman"/>
        </w:rPr>
      </w:pPr>
      <w:r w:rsidRPr="00FA66EA">
        <w:rPr>
          <w:rFonts w:cs="Times New Roman"/>
        </w:rPr>
        <w:t>The third chapter examines the post-recovery economic impacts of delisting the Louisiana Black Bear under the Endangered Species Act. Using proprietary establishment-level data, it highlights the temporal and spatial dimensions of delisting effects on LIS and non-LIS, revealing trade-offs between economic growth and conservation recovery. Findings underscore the importance of monitoring post-delisting dynamics to align economic and environmental goals.</w:t>
      </w:r>
    </w:p>
    <w:p w14:paraId="6E01C123" w14:textId="178FE731" w:rsidR="00FA66EA" w:rsidRPr="00525895" w:rsidRDefault="00FA66EA" w:rsidP="00961D1F">
      <w:pPr>
        <w:pStyle w:val="Header"/>
        <w:rPr>
          <w:rFonts w:cs="Times New Roman"/>
        </w:rPr>
      </w:pPr>
      <w:r w:rsidRPr="00FA66EA">
        <w:rPr>
          <w:rFonts w:cs="Times New Roman"/>
        </w:rPr>
        <w:t xml:space="preserve">Together, these studies contribute to the fields of conservation economics, disaster economics, and land-use policy by offering a nuanced understanding of how conservation interventions </w:t>
      </w:r>
      <w:r w:rsidRPr="00FA66EA">
        <w:rPr>
          <w:rFonts w:cs="Times New Roman"/>
        </w:rPr>
        <w:lastRenderedPageBreak/>
        <w:t>influence economic landscapes. Policymakers can leverage these insights to design adaptive, spatially targeted strategies that balance ecological preservation with economic development.</w:t>
      </w:r>
    </w:p>
    <w:p w14:paraId="0F813C2C" w14:textId="02B93A5B" w:rsidR="00FF6F49" w:rsidRPr="00FF6F49" w:rsidRDefault="00236E6D" w:rsidP="00FF6F49">
      <w:pPr>
        <w:pStyle w:val="Header"/>
        <w:rPr>
          <w:rFonts w:cs="Times New Roman"/>
        </w:rPr>
      </w:pPr>
      <w:r w:rsidRPr="00525895">
        <w:rPr>
          <w:rFonts w:cs="Times New Roman"/>
        </w:rPr>
        <w:br w:type="page"/>
      </w:r>
      <w:bookmarkStart w:id="10" w:name="_Toc188366789"/>
      <w:bookmarkStart w:id="11" w:name="_Toc188367147"/>
    </w:p>
    <w:sdt>
      <w:sdtPr>
        <w:id w:val="-1414084786"/>
        <w:docPartObj>
          <w:docPartGallery w:val="Table of Contents"/>
          <w:docPartUnique/>
        </w:docPartObj>
      </w:sdtPr>
      <w:sdtEndPr>
        <w:rPr>
          <w:b/>
          <w:bCs/>
          <w:noProof/>
        </w:rPr>
      </w:sdtEndPr>
      <w:sdtContent>
        <w:p w14:paraId="198701DB" w14:textId="0E11AFAC" w:rsidR="0074181E" w:rsidRDefault="00FF6F49" w:rsidP="001953BB">
          <w:pPr>
            <w:jc w:val="center"/>
          </w:pPr>
          <w:r w:rsidRPr="00FF6F49">
            <w:rPr>
              <w:b/>
              <w:bCs/>
            </w:rPr>
            <w:t>T</w:t>
          </w:r>
          <w:r w:rsidR="001329F7">
            <w:rPr>
              <w:b/>
              <w:bCs/>
            </w:rPr>
            <w:t>ABLE OF CONTENTS</w:t>
          </w:r>
        </w:p>
        <w:p w14:paraId="681FF92A" w14:textId="03B5883A" w:rsidR="003D770C" w:rsidRPr="001329F7" w:rsidRDefault="003D770C" w:rsidP="001953BB">
          <w:pPr>
            <w:pStyle w:val="TOC1"/>
            <w:spacing w:before="0" w:after="0"/>
            <w:rPr>
              <w:rFonts w:eastAsiaTheme="minorEastAsia"/>
              <w:lang/>
            </w:rPr>
          </w:pPr>
          <w:r>
            <w:rPr>
              <w:rFonts w:asciiTheme="majorHAnsi" w:hAnsiTheme="majorHAnsi" w:cstheme="minorHAnsi"/>
              <w:sz w:val="20"/>
              <w:szCs w:val="20"/>
            </w:rPr>
            <w:fldChar w:fldCharType="begin"/>
          </w:r>
          <w:r>
            <w:rPr>
              <w:rFonts w:asciiTheme="majorHAnsi" w:hAnsiTheme="majorHAnsi" w:cstheme="minorHAnsi"/>
              <w:sz w:val="20"/>
              <w:szCs w:val="20"/>
            </w:rPr>
            <w:instrText xml:space="preserve"> TOC \o "1-3" \h \z \u </w:instrText>
          </w:r>
          <w:r>
            <w:rPr>
              <w:rFonts w:asciiTheme="majorHAnsi" w:hAnsiTheme="majorHAnsi" w:cstheme="minorHAnsi"/>
              <w:sz w:val="20"/>
              <w:szCs w:val="20"/>
            </w:rPr>
            <w:fldChar w:fldCharType="separate"/>
          </w:r>
          <w:hyperlink w:anchor="_Toc188378969" w:history="1">
            <w:r w:rsidRPr="001329F7">
              <w:rPr>
                <w:rStyle w:val="Hyperlink"/>
              </w:rPr>
              <w:t>INTRODUCTION</w:t>
            </w:r>
            <w:r w:rsidRPr="001329F7">
              <w:rPr>
                <w:webHidden/>
              </w:rPr>
              <w:tab/>
            </w:r>
            <w:r w:rsidRPr="001329F7">
              <w:rPr>
                <w:webHidden/>
              </w:rPr>
              <w:fldChar w:fldCharType="begin"/>
            </w:r>
            <w:r w:rsidRPr="001329F7">
              <w:rPr>
                <w:webHidden/>
              </w:rPr>
              <w:instrText xml:space="preserve"> PAGEREF _Toc188378969 \h </w:instrText>
            </w:r>
            <w:r w:rsidRPr="001329F7">
              <w:rPr>
                <w:webHidden/>
              </w:rPr>
            </w:r>
            <w:r w:rsidRPr="001329F7">
              <w:rPr>
                <w:webHidden/>
              </w:rPr>
              <w:fldChar w:fldCharType="separate"/>
            </w:r>
            <w:r w:rsidR="00EB6467">
              <w:rPr>
                <w:webHidden/>
              </w:rPr>
              <w:t>1</w:t>
            </w:r>
            <w:r w:rsidRPr="001329F7">
              <w:rPr>
                <w:webHidden/>
              </w:rPr>
              <w:fldChar w:fldCharType="end"/>
            </w:r>
          </w:hyperlink>
        </w:p>
        <w:p w14:paraId="2DA6B5AC" w14:textId="0832CB91" w:rsidR="003D770C" w:rsidRPr="001329F7" w:rsidRDefault="003D770C" w:rsidP="001953BB">
          <w:pPr>
            <w:pStyle w:val="TOC1"/>
            <w:spacing w:before="0" w:after="0"/>
            <w:rPr>
              <w:rFonts w:eastAsiaTheme="minorEastAsia"/>
              <w:lang/>
            </w:rPr>
          </w:pPr>
          <w:hyperlink w:anchor="_Toc188378970" w:history="1">
            <w:r w:rsidRPr="001329F7">
              <w:rPr>
                <w:rStyle w:val="Hyperlink"/>
              </w:rPr>
              <w:t>CHAPTER I: PRESERVATION AND PRODUCTION</w:t>
            </w:r>
            <w:r w:rsidRPr="001329F7">
              <w:rPr>
                <w:webHidden/>
              </w:rPr>
              <w:tab/>
            </w:r>
            <w:r w:rsidRPr="001329F7">
              <w:rPr>
                <w:webHidden/>
              </w:rPr>
              <w:fldChar w:fldCharType="begin"/>
            </w:r>
            <w:r w:rsidRPr="001329F7">
              <w:rPr>
                <w:webHidden/>
              </w:rPr>
              <w:instrText xml:space="preserve"> PAGEREF _Toc188378970 \h </w:instrText>
            </w:r>
            <w:r w:rsidRPr="001329F7">
              <w:rPr>
                <w:webHidden/>
              </w:rPr>
            </w:r>
            <w:r w:rsidRPr="001329F7">
              <w:rPr>
                <w:webHidden/>
              </w:rPr>
              <w:fldChar w:fldCharType="separate"/>
            </w:r>
            <w:r w:rsidR="00EB6467">
              <w:rPr>
                <w:webHidden/>
              </w:rPr>
              <w:t>3</w:t>
            </w:r>
            <w:r w:rsidRPr="001329F7">
              <w:rPr>
                <w:webHidden/>
              </w:rPr>
              <w:fldChar w:fldCharType="end"/>
            </w:r>
          </w:hyperlink>
        </w:p>
        <w:p w14:paraId="6F945329" w14:textId="773BC7C0" w:rsidR="003D770C" w:rsidRPr="0041020C" w:rsidRDefault="003D770C" w:rsidP="001953BB">
          <w:pPr>
            <w:pStyle w:val="TOC2"/>
            <w:tabs>
              <w:tab w:val="right" w:leader="dot" w:pos="9350"/>
            </w:tabs>
            <w:spacing w:before="0"/>
            <w:rPr>
              <w:rFonts w:ascii="Times New Roman" w:eastAsiaTheme="minorEastAsia" w:hAnsi="Times New Roman" w:cs="Times New Roman"/>
              <w:i w:val="0"/>
              <w:iCs w:val="0"/>
              <w:noProof/>
              <w:sz w:val="24"/>
              <w:szCs w:val="24"/>
              <w:lang/>
            </w:rPr>
          </w:pPr>
          <w:hyperlink w:anchor="_Toc188378971" w:history="1">
            <w:r w:rsidRPr="0041020C">
              <w:rPr>
                <w:rStyle w:val="Hyperlink"/>
                <w:rFonts w:ascii="Times New Roman" w:hAnsi="Times New Roman" w:cs="Times New Roman"/>
                <w:i w:val="0"/>
                <w:iCs w:val="0"/>
                <w:noProof/>
                <w:sz w:val="24"/>
                <w:szCs w:val="24"/>
              </w:rPr>
              <w:t>Abstract</w:t>
            </w:r>
            <w:r w:rsidRPr="0041020C">
              <w:rPr>
                <w:rFonts w:ascii="Times New Roman" w:hAnsi="Times New Roman" w:cs="Times New Roman"/>
                <w:i w:val="0"/>
                <w:iCs w:val="0"/>
                <w:noProof/>
                <w:webHidden/>
                <w:sz w:val="24"/>
                <w:szCs w:val="24"/>
              </w:rPr>
              <w:tab/>
            </w:r>
            <w:r w:rsidRPr="0041020C">
              <w:rPr>
                <w:rFonts w:ascii="Times New Roman" w:hAnsi="Times New Roman" w:cs="Times New Roman"/>
                <w:i w:val="0"/>
                <w:iCs w:val="0"/>
                <w:noProof/>
                <w:webHidden/>
                <w:sz w:val="24"/>
                <w:szCs w:val="24"/>
              </w:rPr>
              <w:fldChar w:fldCharType="begin"/>
            </w:r>
            <w:r w:rsidRPr="0041020C">
              <w:rPr>
                <w:rFonts w:ascii="Times New Roman" w:hAnsi="Times New Roman" w:cs="Times New Roman"/>
                <w:i w:val="0"/>
                <w:iCs w:val="0"/>
                <w:noProof/>
                <w:webHidden/>
                <w:sz w:val="24"/>
                <w:szCs w:val="24"/>
              </w:rPr>
              <w:instrText xml:space="preserve"> PAGEREF _Toc188378971 \h </w:instrText>
            </w:r>
            <w:r w:rsidRPr="0041020C">
              <w:rPr>
                <w:rFonts w:ascii="Times New Roman" w:hAnsi="Times New Roman" w:cs="Times New Roman"/>
                <w:i w:val="0"/>
                <w:iCs w:val="0"/>
                <w:noProof/>
                <w:webHidden/>
                <w:sz w:val="24"/>
                <w:szCs w:val="24"/>
              </w:rPr>
            </w:r>
            <w:r w:rsidRPr="0041020C">
              <w:rPr>
                <w:rFonts w:ascii="Times New Roman" w:hAnsi="Times New Roman" w:cs="Times New Roman"/>
                <w:i w:val="0"/>
                <w:iCs w:val="0"/>
                <w:noProof/>
                <w:webHidden/>
                <w:sz w:val="24"/>
                <w:szCs w:val="24"/>
              </w:rPr>
              <w:fldChar w:fldCharType="separate"/>
            </w:r>
            <w:r w:rsidR="00EB6467">
              <w:rPr>
                <w:rFonts w:ascii="Times New Roman" w:hAnsi="Times New Roman" w:cs="Times New Roman"/>
                <w:i w:val="0"/>
                <w:iCs w:val="0"/>
                <w:noProof/>
                <w:webHidden/>
                <w:sz w:val="24"/>
                <w:szCs w:val="24"/>
              </w:rPr>
              <w:t>4</w:t>
            </w:r>
            <w:r w:rsidRPr="0041020C">
              <w:rPr>
                <w:rFonts w:ascii="Times New Roman" w:hAnsi="Times New Roman" w:cs="Times New Roman"/>
                <w:i w:val="0"/>
                <w:iCs w:val="0"/>
                <w:noProof/>
                <w:webHidden/>
                <w:sz w:val="24"/>
                <w:szCs w:val="24"/>
              </w:rPr>
              <w:fldChar w:fldCharType="end"/>
            </w:r>
          </w:hyperlink>
        </w:p>
        <w:p w14:paraId="28473745" w14:textId="65DDADBB" w:rsidR="003D770C" w:rsidRPr="0041020C" w:rsidRDefault="003D770C" w:rsidP="001953BB">
          <w:pPr>
            <w:pStyle w:val="TOC2"/>
            <w:tabs>
              <w:tab w:val="right" w:leader="dot" w:pos="9350"/>
            </w:tabs>
            <w:spacing w:before="0"/>
            <w:rPr>
              <w:rFonts w:ascii="Times New Roman" w:eastAsiaTheme="minorEastAsia" w:hAnsi="Times New Roman" w:cs="Times New Roman"/>
              <w:i w:val="0"/>
              <w:iCs w:val="0"/>
              <w:noProof/>
              <w:sz w:val="24"/>
              <w:szCs w:val="24"/>
              <w:lang/>
            </w:rPr>
          </w:pPr>
          <w:hyperlink w:anchor="_Toc188378972" w:history="1">
            <w:r w:rsidRPr="0041020C">
              <w:rPr>
                <w:rStyle w:val="Hyperlink"/>
                <w:rFonts w:ascii="Times New Roman" w:hAnsi="Times New Roman" w:cs="Times New Roman"/>
                <w:i w:val="0"/>
                <w:iCs w:val="0"/>
                <w:noProof/>
                <w:sz w:val="24"/>
                <w:szCs w:val="24"/>
              </w:rPr>
              <w:t>1.1 Introduction</w:t>
            </w:r>
            <w:r w:rsidRPr="0041020C">
              <w:rPr>
                <w:rFonts w:ascii="Times New Roman" w:hAnsi="Times New Roman" w:cs="Times New Roman"/>
                <w:i w:val="0"/>
                <w:iCs w:val="0"/>
                <w:noProof/>
                <w:webHidden/>
                <w:sz w:val="24"/>
                <w:szCs w:val="24"/>
              </w:rPr>
              <w:tab/>
            </w:r>
            <w:r w:rsidRPr="0041020C">
              <w:rPr>
                <w:rFonts w:ascii="Times New Roman" w:hAnsi="Times New Roman" w:cs="Times New Roman"/>
                <w:i w:val="0"/>
                <w:iCs w:val="0"/>
                <w:noProof/>
                <w:webHidden/>
                <w:sz w:val="24"/>
                <w:szCs w:val="24"/>
              </w:rPr>
              <w:fldChar w:fldCharType="begin"/>
            </w:r>
            <w:r w:rsidRPr="0041020C">
              <w:rPr>
                <w:rFonts w:ascii="Times New Roman" w:hAnsi="Times New Roman" w:cs="Times New Roman"/>
                <w:i w:val="0"/>
                <w:iCs w:val="0"/>
                <w:noProof/>
                <w:webHidden/>
                <w:sz w:val="24"/>
                <w:szCs w:val="24"/>
              </w:rPr>
              <w:instrText xml:space="preserve"> PAGEREF _Toc188378972 \h </w:instrText>
            </w:r>
            <w:r w:rsidRPr="0041020C">
              <w:rPr>
                <w:rFonts w:ascii="Times New Roman" w:hAnsi="Times New Roman" w:cs="Times New Roman"/>
                <w:i w:val="0"/>
                <w:iCs w:val="0"/>
                <w:noProof/>
                <w:webHidden/>
                <w:sz w:val="24"/>
                <w:szCs w:val="24"/>
              </w:rPr>
            </w:r>
            <w:r w:rsidRPr="0041020C">
              <w:rPr>
                <w:rFonts w:ascii="Times New Roman" w:hAnsi="Times New Roman" w:cs="Times New Roman"/>
                <w:i w:val="0"/>
                <w:iCs w:val="0"/>
                <w:noProof/>
                <w:webHidden/>
                <w:sz w:val="24"/>
                <w:szCs w:val="24"/>
              </w:rPr>
              <w:fldChar w:fldCharType="separate"/>
            </w:r>
            <w:r w:rsidR="00EB6467">
              <w:rPr>
                <w:rFonts w:ascii="Times New Roman" w:hAnsi="Times New Roman" w:cs="Times New Roman"/>
                <w:i w:val="0"/>
                <w:iCs w:val="0"/>
                <w:noProof/>
                <w:webHidden/>
                <w:sz w:val="24"/>
                <w:szCs w:val="24"/>
              </w:rPr>
              <w:t>5</w:t>
            </w:r>
            <w:r w:rsidRPr="0041020C">
              <w:rPr>
                <w:rFonts w:ascii="Times New Roman" w:hAnsi="Times New Roman" w:cs="Times New Roman"/>
                <w:i w:val="0"/>
                <w:iCs w:val="0"/>
                <w:noProof/>
                <w:webHidden/>
                <w:sz w:val="24"/>
                <w:szCs w:val="24"/>
              </w:rPr>
              <w:fldChar w:fldCharType="end"/>
            </w:r>
          </w:hyperlink>
        </w:p>
        <w:p w14:paraId="4F2010C8" w14:textId="42A0E18E" w:rsidR="003D770C" w:rsidRPr="0041020C" w:rsidRDefault="003D770C" w:rsidP="001953BB">
          <w:pPr>
            <w:pStyle w:val="TOC3"/>
            <w:tabs>
              <w:tab w:val="right" w:leader="dot" w:pos="9350"/>
            </w:tabs>
            <w:rPr>
              <w:rFonts w:ascii="Times New Roman" w:eastAsiaTheme="minorEastAsia" w:hAnsi="Times New Roman" w:cs="Times New Roman"/>
              <w:noProof/>
              <w:sz w:val="24"/>
              <w:szCs w:val="24"/>
              <w:lang/>
            </w:rPr>
          </w:pPr>
          <w:hyperlink w:anchor="_Toc188378973" w:history="1">
            <w:r w:rsidRPr="0041020C">
              <w:rPr>
                <w:rStyle w:val="Hyperlink"/>
                <w:rFonts w:ascii="Times New Roman" w:hAnsi="Times New Roman" w:cs="Times New Roman"/>
                <w:noProof/>
                <w:sz w:val="24"/>
                <w:szCs w:val="24"/>
              </w:rPr>
              <w:t>1.1.1 Research Objectives, Questions and Hypotheses</w:t>
            </w:r>
            <w:r w:rsidRPr="0041020C">
              <w:rPr>
                <w:rFonts w:ascii="Times New Roman" w:hAnsi="Times New Roman" w:cs="Times New Roman"/>
                <w:noProof/>
                <w:webHidden/>
                <w:sz w:val="24"/>
                <w:szCs w:val="24"/>
              </w:rPr>
              <w:tab/>
            </w:r>
            <w:r w:rsidRPr="0041020C">
              <w:rPr>
                <w:rFonts w:ascii="Times New Roman" w:hAnsi="Times New Roman" w:cs="Times New Roman"/>
                <w:noProof/>
                <w:webHidden/>
                <w:sz w:val="24"/>
                <w:szCs w:val="24"/>
              </w:rPr>
              <w:fldChar w:fldCharType="begin"/>
            </w:r>
            <w:r w:rsidRPr="0041020C">
              <w:rPr>
                <w:rFonts w:ascii="Times New Roman" w:hAnsi="Times New Roman" w:cs="Times New Roman"/>
                <w:noProof/>
                <w:webHidden/>
                <w:sz w:val="24"/>
                <w:szCs w:val="24"/>
              </w:rPr>
              <w:instrText xml:space="preserve"> PAGEREF _Toc188378973 \h </w:instrText>
            </w:r>
            <w:r w:rsidRPr="0041020C">
              <w:rPr>
                <w:rFonts w:ascii="Times New Roman" w:hAnsi="Times New Roman" w:cs="Times New Roman"/>
                <w:noProof/>
                <w:webHidden/>
                <w:sz w:val="24"/>
                <w:szCs w:val="24"/>
              </w:rPr>
            </w:r>
            <w:r w:rsidRPr="0041020C">
              <w:rPr>
                <w:rFonts w:ascii="Times New Roman" w:hAnsi="Times New Roman" w:cs="Times New Roman"/>
                <w:noProof/>
                <w:webHidden/>
                <w:sz w:val="24"/>
                <w:szCs w:val="24"/>
              </w:rPr>
              <w:fldChar w:fldCharType="separate"/>
            </w:r>
            <w:r w:rsidR="00EB6467">
              <w:rPr>
                <w:rFonts w:ascii="Times New Roman" w:hAnsi="Times New Roman" w:cs="Times New Roman"/>
                <w:noProof/>
                <w:webHidden/>
                <w:sz w:val="24"/>
                <w:szCs w:val="24"/>
              </w:rPr>
              <w:t>7</w:t>
            </w:r>
            <w:r w:rsidRPr="0041020C">
              <w:rPr>
                <w:rFonts w:ascii="Times New Roman" w:hAnsi="Times New Roman" w:cs="Times New Roman"/>
                <w:noProof/>
                <w:webHidden/>
                <w:sz w:val="24"/>
                <w:szCs w:val="24"/>
              </w:rPr>
              <w:fldChar w:fldCharType="end"/>
            </w:r>
          </w:hyperlink>
        </w:p>
        <w:p w14:paraId="1C30A3C6" w14:textId="7EC816E5" w:rsidR="003D770C" w:rsidRPr="0041020C" w:rsidRDefault="003D770C" w:rsidP="001953BB">
          <w:pPr>
            <w:pStyle w:val="TOC3"/>
            <w:tabs>
              <w:tab w:val="right" w:leader="dot" w:pos="9350"/>
            </w:tabs>
            <w:rPr>
              <w:rFonts w:ascii="Times New Roman" w:eastAsiaTheme="minorEastAsia" w:hAnsi="Times New Roman" w:cs="Times New Roman"/>
              <w:noProof/>
              <w:sz w:val="24"/>
              <w:szCs w:val="24"/>
              <w:lang/>
            </w:rPr>
          </w:pPr>
          <w:hyperlink w:anchor="_Toc188378974" w:history="1">
            <w:r w:rsidRPr="0041020C">
              <w:rPr>
                <w:rStyle w:val="Hyperlink"/>
                <w:rFonts w:ascii="Times New Roman" w:hAnsi="Times New Roman" w:cs="Times New Roman"/>
                <w:noProof/>
                <w:sz w:val="24"/>
                <w:szCs w:val="24"/>
              </w:rPr>
              <w:t>1.1.2 Dissertation Structure</w:t>
            </w:r>
            <w:r w:rsidRPr="0041020C">
              <w:rPr>
                <w:rFonts w:ascii="Times New Roman" w:hAnsi="Times New Roman" w:cs="Times New Roman"/>
                <w:noProof/>
                <w:webHidden/>
                <w:sz w:val="24"/>
                <w:szCs w:val="24"/>
              </w:rPr>
              <w:tab/>
            </w:r>
            <w:r w:rsidRPr="0041020C">
              <w:rPr>
                <w:rFonts w:ascii="Times New Roman" w:hAnsi="Times New Roman" w:cs="Times New Roman"/>
                <w:noProof/>
                <w:webHidden/>
                <w:sz w:val="24"/>
                <w:szCs w:val="24"/>
              </w:rPr>
              <w:fldChar w:fldCharType="begin"/>
            </w:r>
            <w:r w:rsidRPr="0041020C">
              <w:rPr>
                <w:rFonts w:ascii="Times New Roman" w:hAnsi="Times New Roman" w:cs="Times New Roman"/>
                <w:noProof/>
                <w:webHidden/>
                <w:sz w:val="24"/>
                <w:szCs w:val="24"/>
              </w:rPr>
              <w:instrText xml:space="preserve"> PAGEREF _Toc188378974 \h </w:instrText>
            </w:r>
            <w:r w:rsidRPr="0041020C">
              <w:rPr>
                <w:rFonts w:ascii="Times New Roman" w:hAnsi="Times New Roman" w:cs="Times New Roman"/>
                <w:noProof/>
                <w:webHidden/>
                <w:sz w:val="24"/>
                <w:szCs w:val="24"/>
              </w:rPr>
            </w:r>
            <w:r w:rsidRPr="0041020C">
              <w:rPr>
                <w:rFonts w:ascii="Times New Roman" w:hAnsi="Times New Roman" w:cs="Times New Roman"/>
                <w:noProof/>
                <w:webHidden/>
                <w:sz w:val="24"/>
                <w:szCs w:val="24"/>
              </w:rPr>
              <w:fldChar w:fldCharType="separate"/>
            </w:r>
            <w:r w:rsidR="00EB6467">
              <w:rPr>
                <w:rFonts w:ascii="Times New Roman" w:hAnsi="Times New Roman" w:cs="Times New Roman"/>
                <w:noProof/>
                <w:webHidden/>
                <w:sz w:val="24"/>
                <w:szCs w:val="24"/>
              </w:rPr>
              <w:t>9</w:t>
            </w:r>
            <w:r w:rsidRPr="0041020C">
              <w:rPr>
                <w:rFonts w:ascii="Times New Roman" w:hAnsi="Times New Roman" w:cs="Times New Roman"/>
                <w:noProof/>
                <w:webHidden/>
                <w:sz w:val="24"/>
                <w:szCs w:val="24"/>
              </w:rPr>
              <w:fldChar w:fldCharType="end"/>
            </w:r>
          </w:hyperlink>
        </w:p>
        <w:p w14:paraId="1107919D" w14:textId="2B3CEEF6" w:rsidR="003D770C" w:rsidRPr="0041020C" w:rsidRDefault="003D770C" w:rsidP="001953BB">
          <w:pPr>
            <w:pStyle w:val="TOC2"/>
            <w:tabs>
              <w:tab w:val="right" w:leader="dot" w:pos="9350"/>
            </w:tabs>
            <w:spacing w:before="0"/>
            <w:rPr>
              <w:rFonts w:ascii="Times New Roman" w:eastAsiaTheme="minorEastAsia" w:hAnsi="Times New Roman" w:cs="Times New Roman"/>
              <w:i w:val="0"/>
              <w:iCs w:val="0"/>
              <w:noProof/>
              <w:sz w:val="24"/>
              <w:szCs w:val="24"/>
              <w:lang/>
            </w:rPr>
          </w:pPr>
          <w:hyperlink w:anchor="_Toc188378975" w:history="1">
            <w:r w:rsidRPr="0041020C">
              <w:rPr>
                <w:rStyle w:val="Hyperlink"/>
                <w:rFonts w:ascii="Times New Roman" w:hAnsi="Times New Roman" w:cs="Times New Roman"/>
                <w:i w:val="0"/>
                <w:iCs w:val="0"/>
                <w:noProof/>
                <w:sz w:val="24"/>
                <w:szCs w:val="24"/>
              </w:rPr>
              <w:t>1.2 Literature Review</w:t>
            </w:r>
            <w:r w:rsidRPr="0041020C">
              <w:rPr>
                <w:rFonts w:ascii="Times New Roman" w:hAnsi="Times New Roman" w:cs="Times New Roman"/>
                <w:i w:val="0"/>
                <w:iCs w:val="0"/>
                <w:noProof/>
                <w:webHidden/>
                <w:sz w:val="24"/>
                <w:szCs w:val="24"/>
              </w:rPr>
              <w:tab/>
            </w:r>
            <w:r w:rsidRPr="0041020C">
              <w:rPr>
                <w:rFonts w:ascii="Times New Roman" w:hAnsi="Times New Roman" w:cs="Times New Roman"/>
                <w:i w:val="0"/>
                <w:iCs w:val="0"/>
                <w:noProof/>
                <w:webHidden/>
                <w:sz w:val="24"/>
                <w:szCs w:val="24"/>
              </w:rPr>
              <w:fldChar w:fldCharType="begin"/>
            </w:r>
            <w:r w:rsidRPr="0041020C">
              <w:rPr>
                <w:rFonts w:ascii="Times New Roman" w:hAnsi="Times New Roman" w:cs="Times New Roman"/>
                <w:i w:val="0"/>
                <w:iCs w:val="0"/>
                <w:noProof/>
                <w:webHidden/>
                <w:sz w:val="24"/>
                <w:szCs w:val="24"/>
              </w:rPr>
              <w:instrText xml:space="preserve"> PAGEREF _Toc188378975 \h </w:instrText>
            </w:r>
            <w:r w:rsidRPr="0041020C">
              <w:rPr>
                <w:rFonts w:ascii="Times New Roman" w:hAnsi="Times New Roman" w:cs="Times New Roman"/>
                <w:i w:val="0"/>
                <w:iCs w:val="0"/>
                <w:noProof/>
                <w:webHidden/>
                <w:sz w:val="24"/>
                <w:szCs w:val="24"/>
              </w:rPr>
            </w:r>
            <w:r w:rsidRPr="0041020C">
              <w:rPr>
                <w:rFonts w:ascii="Times New Roman" w:hAnsi="Times New Roman" w:cs="Times New Roman"/>
                <w:i w:val="0"/>
                <w:iCs w:val="0"/>
                <w:noProof/>
                <w:webHidden/>
                <w:sz w:val="24"/>
                <w:szCs w:val="24"/>
              </w:rPr>
              <w:fldChar w:fldCharType="separate"/>
            </w:r>
            <w:r w:rsidR="00EB6467">
              <w:rPr>
                <w:rFonts w:ascii="Times New Roman" w:hAnsi="Times New Roman" w:cs="Times New Roman"/>
                <w:i w:val="0"/>
                <w:iCs w:val="0"/>
                <w:noProof/>
                <w:webHidden/>
                <w:sz w:val="24"/>
                <w:szCs w:val="24"/>
              </w:rPr>
              <w:t>9</w:t>
            </w:r>
            <w:r w:rsidRPr="0041020C">
              <w:rPr>
                <w:rFonts w:ascii="Times New Roman" w:hAnsi="Times New Roman" w:cs="Times New Roman"/>
                <w:i w:val="0"/>
                <w:iCs w:val="0"/>
                <w:noProof/>
                <w:webHidden/>
                <w:sz w:val="24"/>
                <w:szCs w:val="24"/>
              </w:rPr>
              <w:fldChar w:fldCharType="end"/>
            </w:r>
          </w:hyperlink>
        </w:p>
        <w:p w14:paraId="6A69EDBA" w14:textId="58C4F682" w:rsidR="003D770C" w:rsidRPr="0041020C" w:rsidRDefault="003D770C" w:rsidP="001953BB">
          <w:pPr>
            <w:pStyle w:val="TOC3"/>
            <w:tabs>
              <w:tab w:val="right" w:leader="dot" w:pos="9350"/>
            </w:tabs>
            <w:rPr>
              <w:rFonts w:ascii="Times New Roman" w:eastAsiaTheme="minorEastAsia" w:hAnsi="Times New Roman" w:cs="Times New Roman"/>
              <w:noProof/>
              <w:sz w:val="24"/>
              <w:szCs w:val="24"/>
              <w:lang/>
            </w:rPr>
          </w:pPr>
          <w:hyperlink w:anchor="_Toc188378976" w:history="1">
            <w:r w:rsidRPr="0041020C">
              <w:rPr>
                <w:rStyle w:val="Hyperlink"/>
                <w:rFonts w:ascii="Times New Roman" w:hAnsi="Times New Roman" w:cs="Times New Roman"/>
                <w:noProof/>
                <w:sz w:val="24"/>
                <w:szCs w:val="24"/>
              </w:rPr>
              <w:t>1.2.1 Environmental Federalism and the Race to the Bottom</w:t>
            </w:r>
            <w:r w:rsidRPr="0041020C">
              <w:rPr>
                <w:rFonts w:ascii="Times New Roman" w:hAnsi="Times New Roman" w:cs="Times New Roman"/>
                <w:noProof/>
                <w:webHidden/>
                <w:sz w:val="24"/>
                <w:szCs w:val="24"/>
              </w:rPr>
              <w:tab/>
            </w:r>
            <w:r w:rsidRPr="0041020C">
              <w:rPr>
                <w:rFonts w:ascii="Times New Roman" w:hAnsi="Times New Roman" w:cs="Times New Roman"/>
                <w:noProof/>
                <w:webHidden/>
                <w:sz w:val="24"/>
                <w:szCs w:val="24"/>
              </w:rPr>
              <w:fldChar w:fldCharType="begin"/>
            </w:r>
            <w:r w:rsidRPr="0041020C">
              <w:rPr>
                <w:rFonts w:ascii="Times New Roman" w:hAnsi="Times New Roman" w:cs="Times New Roman"/>
                <w:noProof/>
                <w:webHidden/>
                <w:sz w:val="24"/>
                <w:szCs w:val="24"/>
              </w:rPr>
              <w:instrText xml:space="preserve"> PAGEREF _Toc188378976 \h </w:instrText>
            </w:r>
            <w:r w:rsidRPr="0041020C">
              <w:rPr>
                <w:rFonts w:ascii="Times New Roman" w:hAnsi="Times New Roman" w:cs="Times New Roman"/>
                <w:noProof/>
                <w:webHidden/>
                <w:sz w:val="24"/>
                <w:szCs w:val="24"/>
              </w:rPr>
            </w:r>
            <w:r w:rsidRPr="0041020C">
              <w:rPr>
                <w:rFonts w:ascii="Times New Roman" w:hAnsi="Times New Roman" w:cs="Times New Roman"/>
                <w:noProof/>
                <w:webHidden/>
                <w:sz w:val="24"/>
                <w:szCs w:val="24"/>
              </w:rPr>
              <w:fldChar w:fldCharType="separate"/>
            </w:r>
            <w:r w:rsidR="00EB6467">
              <w:rPr>
                <w:rFonts w:ascii="Times New Roman" w:hAnsi="Times New Roman" w:cs="Times New Roman"/>
                <w:noProof/>
                <w:webHidden/>
                <w:sz w:val="24"/>
                <w:szCs w:val="24"/>
              </w:rPr>
              <w:t>9</w:t>
            </w:r>
            <w:r w:rsidRPr="0041020C">
              <w:rPr>
                <w:rFonts w:ascii="Times New Roman" w:hAnsi="Times New Roman" w:cs="Times New Roman"/>
                <w:noProof/>
                <w:webHidden/>
                <w:sz w:val="24"/>
                <w:szCs w:val="24"/>
              </w:rPr>
              <w:fldChar w:fldCharType="end"/>
            </w:r>
          </w:hyperlink>
        </w:p>
        <w:p w14:paraId="7CD1F386" w14:textId="6C6C99C8" w:rsidR="003D770C" w:rsidRPr="0041020C" w:rsidRDefault="003D770C" w:rsidP="001953BB">
          <w:pPr>
            <w:pStyle w:val="TOC3"/>
            <w:tabs>
              <w:tab w:val="right" w:leader="dot" w:pos="9350"/>
            </w:tabs>
            <w:rPr>
              <w:rFonts w:ascii="Times New Roman" w:eastAsiaTheme="minorEastAsia" w:hAnsi="Times New Roman" w:cs="Times New Roman"/>
              <w:noProof/>
              <w:sz w:val="24"/>
              <w:szCs w:val="24"/>
              <w:lang/>
            </w:rPr>
          </w:pPr>
          <w:hyperlink w:anchor="_Toc188378977" w:history="1">
            <w:r w:rsidRPr="0041020C">
              <w:rPr>
                <w:rStyle w:val="Hyperlink"/>
                <w:rFonts w:ascii="Times New Roman" w:hAnsi="Times New Roman" w:cs="Times New Roman"/>
                <w:noProof/>
                <w:sz w:val="24"/>
                <w:szCs w:val="24"/>
              </w:rPr>
              <w:t>1.2.2 Capital Mobility and Economic Responses to Regulatory Changes</w:t>
            </w:r>
            <w:r w:rsidRPr="0041020C">
              <w:rPr>
                <w:rFonts w:ascii="Times New Roman" w:hAnsi="Times New Roman" w:cs="Times New Roman"/>
                <w:noProof/>
                <w:webHidden/>
                <w:sz w:val="24"/>
                <w:szCs w:val="24"/>
              </w:rPr>
              <w:tab/>
            </w:r>
            <w:r w:rsidRPr="0041020C">
              <w:rPr>
                <w:rFonts w:ascii="Times New Roman" w:hAnsi="Times New Roman" w:cs="Times New Roman"/>
                <w:noProof/>
                <w:webHidden/>
                <w:sz w:val="24"/>
                <w:szCs w:val="24"/>
              </w:rPr>
              <w:fldChar w:fldCharType="begin"/>
            </w:r>
            <w:r w:rsidRPr="0041020C">
              <w:rPr>
                <w:rFonts w:ascii="Times New Roman" w:hAnsi="Times New Roman" w:cs="Times New Roman"/>
                <w:noProof/>
                <w:webHidden/>
                <w:sz w:val="24"/>
                <w:szCs w:val="24"/>
              </w:rPr>
              <w:instrText xml:space="preserve"> PAGEREF _Toc188378977 \h </w:instrText>
            </w:r>
            <w:r w:rsidRPr="0041020C">
              <w:rPr>
                <w:rFonts w:ascii="Times New Roman" w:hAnsi="Times New Roman" w:cs="Times New Roman"/>
                <w:noProof/>
                <w:webHidden/>
                <w:sz w:val="24"/>
                <w:szCs w:val="24"/>
              </w:rPr>
            </w:r>
            <w:r w:rsidRPr="0041020C">
              <w:rPr>
                <w:rFonts w:ascii="Times New Roman" w:hAnsi="Times New Roman" w:cs="Times New Roman"/>
                <w:noProof/>
                <w:webHidden/>
                <w:sz w:val="24"/>
                <w:szCs w:val="24"/>
              </w:rPr>
              <w:fldChar w:fldCharType="separate"/>
            </w:r>
            <w:r w:rsidR="00EB6467">
              <w:rPr>
                <w:rFonts w:ascii="Times New Roman" w:hAnsi="Times New Roman" w:cs="Times New Roman"/>
                <w:noProof/>
                <w:webHidden/>
                <w:sz w:val="24"/>
                <w:szCs w:val="24"/>
              </w:rPr>
              <w:t>10</w:t>
            </w:r>
            <w:r w:rsidRPr="0041020C">
              <w:rPr>
                <w:rFonts w:ascii="Times New Roman" w:hAnsi="Times New Roman" w:cs="Times New Roman"/>
                <w:noProof/>
                <w:webHidden/>
                <w:sz w:val="24"/>
                <w:szCs w:val="24"/>
              </w:rPr>
              <w:fldChar w:fldCharType="end"/>
            </w:r>
          </w:hyperlink>
        </w:p>
        <w:p w14:paraId="1D785EA8" w14:textId="4B52569A" w:rsidR="003D770C" w:rsidRPr="0041020C" w:rsidRDefault="003D770C" w:rsidP="001953BB">
          <w:pPr>
            <w:pStyle w:val="TOC3"/>
            <w:tabs>
              <w:tab w:val="right" w:leader="dot" w:pos="9350"/>
            </w:tabs>
            <w:rPr>
              <w:rFonts w:ascii="Times New Roman" w:eastAsiaTheme="minorEastAsia" w:hAnsi="Times New Roman" w:cs="Times New Roman"/>
              <w:noProof/>
              <w:sz w:val="24"/>
              <w:szCs w:val="24"/>
              <w:lang/>
            </w:rPr>
          </w:pPr>
          <w:hyperlink w:anchor="_Toc188378978" w:history="1">
            <w:r w:rsidRPr="0041020C">
              <w:rPr>
                <w:rStyle w:val="Hyperlink"/>
                <w:rFonts w:ascii="Times New Roman" w:hAnsi="Times New Roman" w:cs="Times New Roman"/>
                <w:noProof/>
                <w:sz w:val="24"/>
                <w:szCs w:val="24"/>
              </w:rPr>
              <w:t>1.2.3 Impacts of Environmental Regulations on Establishment Dynamics</w:t>
            </w:r>
            <w:r w:rsidRPr="0041020C">
              <w:rPr>
                <w:rFonts w:ascii="Times New Roman" w:hAnsi="Times New Roman" w:cs="Times New Roman"/>
                <w:noProof/>
                <w:webHidden/>
                <w:sz w:val="24"/>
                <w:szCs w:val="24"/>
              </w:rPr>
              <w:tab/>
            </w:r>
            <w:r w:rsidRPr="0041020C">
              <w:rPr>
                <w:rFonts w:ascii="Times New Roman" w:hAnsi="Times New Roman" w:cs="Times New Roman"/>
                <w:noProof/>
                <w:webHidden/>
                <w:sz w:val="24"/>
                <w:szCs w:val="24"/>
              </w:rPr>
              <w:fldChar w:fldCharType="begin"/>
            </w:r>
            <w:r w:rsidRPr="0041020C">
              <w:rPr>
                <w:rFonts w:ascii="Times New Roman" w:hAnsi="Times New Roman" w:cs="Times New Roman"/>
                <w:noProof/>
                <w:webHidden/>
                <w:sz w:val="24"/>
                <w:szCs w:val="24"/>
              </w:rPr>
              <w:instrText xml:space="preserve"> PAGEREF _Toc188378978 \h </w:instrText>
            </w:r>
            <w:r w:rsidRPr="0041020C">
              <w:rPr>
                <w:rFonts w:ascii="Times New Roman" w:hAnsi="Times New Roman" w:cs="Times New Roman"/>
                <w:noProof/>
                <w:webHidden/>
                <w:sz w:val="24"/>
                <w:szCs w:val="24"/>
              </w:rPr>
            </w:r>
            <w:r w:rsidRPr="0041020C">
              <w:rPr>
                <w:rFonts w:ascii="Times New Roman" w:hAnsi="Times New Roman" w:cs="Times New Roman"/>
                <w:noProof/>
                <w:webHidden/>
                <w:sz w:val="24"/>
                <w:szCs w:val="24"/>
              </w:rPr>
              <w:fldChar w:fldCharType="separate"/>
            </w:r>
            <w:r w:rsidR="00EB6467">
              <w:rPr>
                <w:rFonts w:ascii="Times New Roman" w:hAnsi="Times New Roman" w:cs="Times New Roman"/>
                <w:noProof/>
                <w:webHidden/>
                <w:sz w:val="24"/>
                <w:szCs w:val="24"/>
              </w:rPr>
              <w:t>10</w:t>
            </w:r>
            <w:r w:rsidRPr="0041020C">
              <w:rPr>
                <w:rFonts w:ascii="Times New Roman" w:hAnsi="Times New Roman" w:cs="Times New Roman"/>
                <w:noProof/>
                <w:webHidden/>
                <w:sz w:val="24"/>
                <w:szCs w:val="24"/>
              </w:rPr>
              <w:fldChar w:fldCharType="end"/>
            </w:r>
          </w:hyperlink>
        </w:p>
        <w:p w14:paraId="2DD419FD" w14:textId="65FF135E" w:rsidR="003D770C" w:rsidRPr="0041020C" w:rsidRDefault="003D770C" w:rsidP="001953BB">
          <w:pPr>
            <w:pStyle w:val="TOC3"/>
            <w:tabs>
              <w:tab w:val="right" w:leader="dot" w:pos="9350"/>
            </w:tabs>
            <w:rPr>
              <w:rFonts w:ascii="Times New Roman" w:eastAsiaTheme="minorEastAsia" w:hAnsi="Times New Roman" w:cs="Times New Roman"/>
              <w:noProof/>
              <w:sz w:val="24"/>
              <w:szCs w:val="24"/>
              <w:lang/>
            </w:rPr>
          </w:pPr>
          <w:hyperlink w:anchor="_Toc188378979" w:history="1">
            <w:r w:rsidRPr="0041020C">
              <w:rPr>
                <w:rStyle w:val="Hyperlink"/>
                <w:rFonts w:ascii="Times New Roman" w:hAnsi="Times New Roman" w:cs="Times New Roman"/>
                <w:noProof/>
                <w:sz w:val="24"/>
                <w:szCs w:val="24"/>
              </w:rPr>
              <w:t>1.2.4 Related Fields in the Literature</w:t>
            </w:r>
            <w:r w:rsidRPr="0041020C">
              <w:rPr>
                <w:rFonts w:ascii="Times New Roman" w:hAnsi="Times New Roman" w:cs="Times New Roman"/>
                <w:noProof/>
                <w:webHidden/>
                <w:sz w:val="24"/>
                <w:szCs w:val="24"/>
              </w:rPr>
              <w:tab/>
            </w:r>
            <w:r w:rsidRPr="0041020C">
              <w:rPr>
                <w:rFonts w:ascii="Times New Roman" w:hAnsi="Times New Roman" w:cs="Times New Roman"/>
                <w:noProof/>
                <w:webHidden/>
                <w:sz w:val="24"/>
                <w:szCs w:val="24"/>
              </w:rPr>
              <w:fldChar w:fldCharType="begin"/>
            </w:r>
            <w:r w:rsidRPr="0041020C">
              <w:rPr>
                <w:rFonts w:ascii="Times New Roman" w:hAnsi="Times New Roman" w:cs="Times New Roman"/>
                <w:noProof/>
                <w:webHidden/>
                <w:sz w:val="24"/>
                <w:szCs w:val="24"/>
              </w:rPr>
              <w:instrText xml:space="preserve"> PAGEREF _Toc188378979 \h </w:instrText>
            </w:r>
            <w:r w:rsidRPr="0041020C">
              <w:rPr>
                <w:rFonts w:ascii="Times New Roman" w:hAnsi="Times New Roman" w:cs="Times New Roman"/>
                <w:noProof/>
                <w:webHidden/>
                <w:sz w:val="24"/>
                <w:szCs w:val="24"/>
              </w:rPr>
            </w:r>
            <w:r w:rsidRPr="0041020C">
              <w:rPr>
                <w:rFonts w:ascii="Times New Roman" w:hAnsi="Times New Roman" w:cs="Times New Roman"/>
                <w:noProof/>
                <w:webHidden/>
                <w:sz w:val="24"/>
                <w:szCs w:val="24"/>
              </w:rPr>
              <w:fldChar w:fldCharType="separate"/>
            </w:r>
            <w:r w:rsidR="00EB6467">
              <w:rPr>
                <w:rFonts w:ascii="Times New Roman" w:hAnsi="Times New Roman" w:cs="Times New Roman"/>
                <w:noProof/>
                <w:webHidden/>
                <w:sz w:val="24"/>
                <w:szCs w:val="24"/>
              </w:rPr>
              <w:t>11</w:t>
            </w:r>
            <w:r w:rsidRPr="0041020C">
              <w:rPr>
                <w:rFonts w:ascii="Times New Roman" w:hAnsi="Times New Roman" w:cs="Times New Roman"/>
                <w:noProof/>
                <w:webHidden/>
                <w:sz w:val="24"/>
                <w:szCs w:val="24"/>
              </w:rPr>
              <w:fldChar w:fldCharType="end"/>
            </w:r>
          </w:hyperlink>
        </w:p>
        <w:p w14:paraId="3CF5D946" w14:textId="096BBAEF" w:rsidR="003D770C" w:rsidRPr="0041020C" w:rsidRDefault="003D770C" w:rsidP="001953BB">
          <w:pPr>
            <w:pStyle w:val="TOC2"/>
            <w:tabs>
              <w:tab w:val="right" w:leader="dot" w:pos="9350"/>
            </w:tabs>
            <w:spacing w:before="0"/>
            <w:rPr>
              <w:rFonts w:ascii="Times New Roman" w:eastAsiaTheme="minorEastAsia" w:hAnsi="Times New Roman" w:cs="Times New Roman"/>
              <w:i w:val="0"/>
              <w:iCs w:val="0"/>
              <w:noProof/>
              <w:sz w:val="24"/>
              <w:szCs w:val="24"/>
              <w:lang/>
            </w:rPr>
          </w:pPr>
          <w:hyperlink w:anchor="_Toc188378980" w:history="1">
            <w:r w:rsidRPr="0041020C">
              <w:rPr>
                <w:rStyle w:val="Hyperlink"/>
                <w:rFonts w:ascii="Times New Roman" w:hAnsi="Times New Roman" w:cs="Times New Roman"/>
                <w:i w:val="0"/>
                <w:iCs w:val="0"/>
                <w:noProof/>
                <w:sz w:val="24"/>
                <w:szCs w:val="24"/>
              </w:rPr>
              <w:t>1.</w:t>
            </w:r>
            <w:r w:rsidRPr="0041020C">
              <w:rPr>
                <w:rStyle w:val="Hyperlink"/>
                <w:rFonts w:ascii="Times New Roman" w:hAnsi="Times New Roman" w:cs="Times New Roman"/>
                <w:i w:val="0"/>
                <w:iCs w:val="0"/>
                <w:noProof/>
                <w:sz w:val="24"/>
                <w:szCs w:val="24"/>
                <w:lang w:val="zh-CN"/>
              </w:rPr>
              <w:t>3 Data</w:t>
            </w:r>
            <w:r w:rsidRPr="0041020C">
              <w:rPr>
                <w:rFonts w:ascii="Times New Roman" w:hAnsi="Times New Roman" w:cs="Times New Roman"/>
                <w:i w:val="0"/>
                <w:iCs w:val="0"/>
                <w:noProof/>
                <w:webHidden/>
                <w:sz w:val="24"/>
                <w:szCs w:val="24"/>
              </w:rPr>
              <w:tab/>
            </w:r>
            <w:r w:rsidRPr="0041020C">
              <w:rPr>
                <w:rFonts w:ascii="Times New Roman" w:hAnsi="Times New Roman" w:cs="Times New Roman"/>
                <w:i w:val="0"/>
                <w:iCs w:val="0"/>
                <w:noProof/>
                <w:webHidden/>
                <w:sz w:val="24"/>
                <w:szCs w:val="24"/>
              </w:rPr>
              <w:fldChar w:fldCharType="begin"/>
            </w:r>
            <w:r w:rsidRPr="0041020C">
              <w:rPr>
                <w:rFonts w:ascii="Times New Roman" w:hAnsi="Times New Roman" w:cs="Times New Roman"/>
                <w:i w:val="0"/>
                <w:iCs w:val="0"/>
                <w:noProof/>
                <w:webHidden/>
                <w:sz w:val="24"/>
                <w:szCs w:val="24"/>
              </w:rPr>
              <w:instrText xml:space="preserve"> PAGEREF _Toc188378980 \h </w:instrText>
            </w:r>
            <w:r w:rsidRPr="0041020C">
              <w:rPr>
                <w:rFonts w:ascii="Times New Roman" w:hAnsi="Times New Roman" w:cs="Times New Roman"/>
                <w:i w:val="0"/>
                <w:iCs w:val="0"/>
                <w:noProof/>
                <w:webHidden/>
                <w:sz w:val="24"/>
                <w:szCs w:val="24"/>
              </w:rPr>
            </w:r>
            <w:r w:rsidRPr="0041020C">
              <w:rPr>
                <w:rFonts w:ascii="Times New Roman" w:hAnsi="Times New Roman" w:cs="Times New Roman"/>
                <w:i w:val="0"/>
                <w:iCs w:val="0"/>
                <w:noProof/>
                <w:webHidden/>
                <w:sz w:val="24"/>
                <w:szCs w:val="24"/>
              </w:rPr>
              <w:fldChar w:fldCharType="separate"/>
            </w:r>
            <w:r w:rsidR="00EB6467">
              <w:rPr>
                <w:rFonts w:ascii="Times New Roman" w:hAnsi="Times New Roman" w:cs="Times New Roman"/>
                <w:i w:val="0"/>
                <w:iCs w:val="0"/>
                <w:noProof/>
                <w:webHidden/>
                <w:sz w:val="24"/>
                <w:szCs w:val="24"/>
              </w:rPr>
              <w:t>12</w:t>
            </w:r>
            <w:r w:rsidRPr="0041020C">
              <w:rPr>
                <w:rFonts w:ascii="Times New Roman" w:hAnsi="Times New Roman" w:cs="Times New Roman"/>
                <w:i w:val="0"/>
                <w:iCs w:val="0"/>
                <w:noProof/>
                <w:webHidden/>
                <w:sz w:val="24"/>
                <w:szCs w:val="24"/>
              </w:rPr>
              <w:fldChar w:fldCharType="end"/>
            </w:r>
          </w:hyperlink>
        </w:p>
        <w:p w14:paraId="3E9D2E84" w14:textId="66425698" w:rsidR="003D770C" w:rsidRPr="0041020C" w:rsidRDefault="003D770C" w:rsidP="001953BB">
          <w:pPr>
            <w:pStyle w:val="TOC3"/>
            <w:tabs>
              <w:tab w:val="right" w:leader="dot" w:pos="9350"/>
            </w:tabs>
            <w:rPr>
              <w:rFonts w:ascii="Times New Roman" w:eastAsiaTheme="minorEastAsia" w:hAnsi="Times New Roman" w:cs="Times New Roman"/>
              <w:noProof/>
              <w:sz w:val="24"/>
              <w:szCs w:val="24"/>
              <w:lang/>
            </w:rPr>
          </w:pPr>
          <w:hyperlink w:anchor="_Toc188378981" w:history="1">
            <w:r w:rsidRPr="0041020C">
              <w:rPr>
                <w:rStyle w:val="Hyperlink"/>
                <w:rFonts w:ascii="Times New Roman" w:hAnsi="Times New Roman" w:cs="Times New Roman"/>
                <w:noProof/>
                <w:sz w:val="24"/>
                <w:szCs w:val="24"/>
              </w:rPr>
              <w:t>1.3.1 Outcome Variables</w:t>
            </w:r>
            <w:r w:rsidRPr="0041020C">
              <w:rPr>
                <w:rFonts w:ascii="Times New Roman" w:hAnsi="Times New Roman" w:cs="Times New Roman"/>
                <w:noProof/>
                <w:webHidden/>
                <w:sz w:val="24"/>
                <w:szCs w:val="24"/>
              </w:rPr>
              <w:tab/>
            </w:r>
            <w:r w:rsidRPr="0041020C">
              <w:rPr>
                <w:rFonts w:ascii="Times New Roman" w:hAnsi="Times New Roman" w:cs="Times New Roman"/>
                <w:noProof/>
                <w:webHidden/>
                <w:sz w:val="24"/>
                <w:szCs w:val="24"/>
              </w:rPr>
              <w:fldChar w:fldCharType="begin"/>
            </w:r>
            <w:r w:rsidRPr="0041020C">
              <w:rPr>
                <w:rFonts w:ascii="Times New Roman" w:hAnsi="Times New Roman" w:cs="Times New Roman"/>
                <w:noProof/>
                <w:webHidden/>
                <w:sz w:val="24"/>
                <w:szCs w:val="24"/>
              </w:rPr>
              <w:instrText xml:space="preserve"> PAGEREF _Toc188378981 \h </w:instrText>
            </w:r>
            <w:r w:rsidRPr="0041020C">
              <w:rPr>
                <w:rFonts w:ascii="Times New Roman" w:hAnsi="Times New Roman" w:cs="Times New Roman"/>
                <w:noProof/>
                <w:webHidden/>
                <w:sz w:val="24"/>
                <w:szCs w:val="24"/>
              </w:rPr>
            </w:r>
            <w:r w:rsidRPr="0041020C">
              <w:rPr>
                <w:rFonts w:ascii="Times New Roman" w:hAnsi="Times New Roman" w:cs="Times New Roman"/>
                <w:noProof/>
                <w:webHidden/>
                <w:sz w:val="24"/>
                <w:szCs w:val="24"/>
              </w:rPr>
              <w:fldChar w:fldCharType="separate"/>
            </w:r>
            <w:r w:rsidR="00EB6467">
              <w:rPr>
                <w:rFonts w:ascii="Times New Roman" w:hAnsi="Times New Roman" w:cs="Times New Roman"/>
                <w:noProof/>
                <w:webHidden/>
                <w:sz w:val="24"/>
                <w:szCs w:val="24"/>
              </w:rPr>
              <w:t>13</w:t>
            </w:r>
            <w:r w:rsidRPr="0041020C">
              <w:rPr>
                <w:rFonts w:ascii="Times New Roman" w:hAnsi="Times New Roman" w:cs="Times New Roman"/>
                <w:noProof/>
                <w:webHidden/>
                <w:sz w:val="24"/>
                <w:szCs w:val="24"/>
              </w:rPr>
              <w:fldChar w:fldCharType="end"/>
            </w:r>
          </w:hyperlink>
        </w:p>
        <w:p w14:paraId="2F0E60DC" w14:textId="3384BA0E" w:rsidR="003D770C" w:rsidRPr="0041020C" w:rsidRDefault="003D770C" w:rsidP="001953BB">
          <w:pPr>
            <w:pStyle w:val="TOC3"/>
            <w:tabs>
              <w:tab w:val="right" w:leader="dot" w:pos="9350"/>
            </w:tabs>
            <w:rPr>
              <w:rFonts w:ascii="Times New Roman" w:eastAsiaTheme="minorEastAsia" w:hAnsi="Times New Roman" w:cs="Times New Roman"/>
              <w:noProof/>
              <w:sz w:val="24"/>
              <w:szCs w:val="24"/>
              <w:lang/>
            </w:rPr>
          </w:pPr>
          <w:hyperlink w:anchor="_Toc188378982" w:history="1">
            <w:r w:rsidRPr="0041020C">
              <w:rPr>
                <w:rStyle w:val="Hyperlink"/>
                <w:rFonts w:ascii="Times New Roman" w:hAnsi="Times New Roman" w:cs="Times New Roman"/>
                <w:noProof/>
                <w:sz w:val="24"/>
                <w:szCs w:val="24"/>
              </w:rPr>
              <w:t>1.3.2 Aggregate LIS location dynamics and PAD coverage levels</w:t>
            </w:r>
            <w:r w:rsidRPr="0041020C">
              <w:rPr>
                <w:rFonts w:ascii="Times New Roman" w:hAnsi="Times New Roman" w:cs="Times New Roman"/>
                <w:noProof/>
                <w:webHidden/>
                <w:sz w:val="24"/>
                <w:szCs w:val="24"/>
              </w:rPr>
              <w:tab/>
            </w:r>
            <w:r w:rsidRPr="0041020C">
              <w:rPr>
                <w:rFonts w:ascii="Times New Roman" w:hAnsi="Times New Roman" w:cs="Times New Roman"/>
                <w:noProof/>
                <w:webHidden/>
                <w:sz w:val="24"/>
                <w:szCs w:val="24"/>
              </w:rPr>
              <w:fldChar w:fldCharType="begin"/>
            </w:r>
            <w:r w:rsidRPr="0041020C">
              <w:rPr>
                <w:rFonts w:ascii="Times New Roman" w:hAnsi="Times New Roman" w:cs="Times New Roman"/>
                <w:noProof/>
                <w:webHidden/>
                <w:sz w:val="24"/>
                <w:szCs w:val="24"/>
              </w:rPr>
              <w:instrText xml:space="preserve"> PAGEREF _Toc188378982 \h </w:instrText>
            </w:r>
            <w:r w:rsidRPr="0041020C">
              <w:rPr>
                <w:rFonts w:ascii="Times New Roman" w:hAnsi="Times New Roman" w:cs="Times New Roman"/>
                <w:noProof/>
                <w:webHidden/>
                <w:sz w:val="24"/>
                <w:szCs w:val="24"/>
              </w:rPr>
            </w:r>
            <w:r w:rsidRPr="0041020C">
              <w:rPr>
                <w:rFonts w:ascii="Times New Roman" w:hAnsi="Times New Roman" w:cs="Times New Roman"/>
                <w:noProof/>
                <w:webHidden/>
                <w:sz w:val="24"/>
                <w:szCs w:val="24"/>
              </w:rPr>
              <w:fldChar w:fldCharType="separate"/>
            </w:r>
            <w:r w:rsidR="00EB6467">
              <w:rPr>
                <w:rFonts w:ascii="Times New Roman" w:hAnsi="Times New Roman" w:cs="Times New Roman"/>
                <w:noProof/>
                <w:webHidden/>
                <w:sz w:val="24"/>
                <w:szCs w:val="24"/>
              </w:rPr>
              <w:t>17</w:t>
            </w:r>
            <w:r w:rsidRPr="0041020C">
              <w:rPr>
                <w:rFonts w:ascii="Times New Roman" w:hAnsi="Times New Roman" w:cs="Times New Roman"/>
                <w:noProof/>
                <w:webHidden/>
                <w:sz w:val="24"/>
                <w:szCs w:val="24"/>
              </w:rPr>
              <w:fldChar w:fldCharType="end"/>
            </w:r>
          </w:hyperlink>
        </w:p>
        <w:p w14:paraId="55A6A8C5" w14:textId="5CAAF9EF" w:rsidR="003D770C" w:rsidRPr="0041020C" w:rsidRDefault="003D770C" w:rsidP="001953BB">
          <w:pPr>
            <w:pStyle w:val="TOC3"/>
            <w:tabs>
              <w:tab w:val="right" w:leader="dot" w:pos="9350"/>
            </w:tabs>
            <w:rPr>
              <w:rFonts w:ascii="Times New Roman" w:eastAsiaTheme="minorEastAsia" w:hAnsi="Times New Roman" w:cs="Times New Roman"/>
              <w:noProof/>
              <w:sz w:val="24"/>
              <w:szCs w:val="24"/>
              <w:lang/>
            </w:rPr>
          </w:pPr>
          <w:hyperlink w:anchor="_Toc188378983" w:history="1">
            <w:r w:rsidRPr="0041020C">
              <w:rPr>
                <w:rStyle w:val="Hyperlink"/>
                <w:rFonts w:ascii="Times New Roman" w:hAnsi="Times New Roman" w:cs="Times New Roman"/>
                <w:noProof/>
                <w:sz w:val="24"/>
                <w:szCs w:val="24"/>
              </w:rPr>
              <w:t>1.3.3 Explanatory Variables and Summary Statistics</w:t>
            </w:r>
            <w:r w:rsidRPr="0041020C">
              <w:rPr>
                <w:rFonts w:ascii="Times New Roman" w:hAnsi="Times New Roman" w:cs="Times New Roman"/>
                <w:noProof/>
                <w:webHidden/>
                <w:sz w:val="24"/>
                <w:szCs w:val="24"/>
              </w:rPr>
              <w:tab/>
            </w:r>
            <w:r w:rsidRPr="0041020C">
              <w:rPr>
                <w:rFonts w:ascii="Times New Roman" w:hAnsi="Times New Roman" w:cs="Times New Roman"/>
                <w:noProof/>
                <w:webHidden/>
                <w:sz w:val="24"/>
                <w:szCs w:val="24"/>
              </w:rPr>
              <w:fldChar w:fldCharType="begin"/>
            </w:r>
            <w:r w:rsidRPr="0041020C">
              <w:rPr>
                <w:rFonts w:ascii="Times New Roman" w:hAnsi="Times New Roman" w:cs="Times New Roman"/>
                <w:noProof/>
                <w:webHidden/>
                <w:sz w:val="24"/>
                <w:szCs w:val="24"/>
              </w:rPr>
              <w:instrText xml:space="preserve"> PAGEREF _Toc188378983 \h </w:instrText>
            </w:r>
            <w:r w:rsidRPr="0041020C">
              <w:rPr>
                <w:rFonts w:ascii="Times New Roman" w:hAnsi="Times New Roman" w:cs="Times New Roman"/>
                <w:noProof/>
                <w:webHidden/>
                <w:sz w:val="24"/>
                <w:szCs w:val="24"/>
              </w:rPr>
            </w:r>
            <w:r w:rsidRPr="0041020C">
              <w:rPr>
                <w:rFonts w:ascii="Times New Roman" w:hAnsi="Times New Roman" w:cs="Times New Roman"/>
                <w:noProof/>
                <w:webHidden/>
                <w:sz w:val="24"/>
                <w:szCs w:val="24"/>
              </w:rPr>
              <w:fldChar w:fldCharType="separate"/>
            </w:r>
            <w:r w:rsidR="00EB6467">
              <w:rPr>
                <w:rFonts w:ascii="Times New Roman" w:hAnsi="Times New Roman" w:cs="Times New Roman"/>
                <w:noProof/>
                <w:webHidden/>
                <w:sz w:val="24"/>
                <w:szCs w:val="24"/>
              </w:rPr>
              <w:t>19</w:t>
            </w:r>
            <w:r w:rsidRPr="0041020C">
              <w:rPr>
                <w:rFonts w:ascii="Times New Roman" w:hAnsi="Times New Roman" w:cs="Times New Roman"/>
                <w:noProof/>
                <w:webHidden/>
                <w:sz w:val="24"/>
                <w:szCs w:val="24"/>
              </w:rPr>
              <w:fldChar w:fldCharType="end"/>
            </w:r>
          </w:hyperlink>
        </w:p>
        <w:p w14:paraId="75A56707" w14:textId="7A86D2E1" w:rsidR="003D770C" w:rsidRPr="0041020C" w:rsidRDefault="003D770C" w:rsidP="001953BB">
          <w:pPr>
            <w:pStyle w:val="TOC3"/>
            <w:tabs>
              <w:tab w:val="right" w:leader="dot" w:pos="9350"/>
            </w:tabs>
            <w:rPr>
              <w:rFonts w:ascii="Times New Roman" w:eastAsiaTheme="minorEastAsia" w:hAnsi="Times New Roman" w:cs="Times New Roman"/>
              <w:noProof/>
              <w:sz w:val="24"/>
              <w:szCs w:val="24"/>
              <w:lang/>
            </w:rPr>
          </w:pPr>
          <w:hyperlink w:anchor="_Toc188378984" w:history="1">
            <w:r w:rsidRPr="0041020C">
              <w:rPr>
                <w:rStyle w:val="Hyperlink"/>
                <w:rFonts w:ascii="Times New Roman" w:hAnsi="Times New Roman" w:cs="Times New Roman"/>
                <w:noProof/>
                <w:sz w:val="24"/>
                <w:szCs w:val="24"/>
              </w:rPr>
              <w:t>1.3.4 Conclusion</w:t>
            </w:r>
            <w:r w:rsidRPr="0041020C">
              <w:rPr>
                <w:rFonts w:ascii="Times New Roman" w:hAnsi="Times New Roman" w:cs="Times New Roman"/>
                <w:noProof/>
                <w:webHidden/>
                <w:sz w:val="24"/>
                <w:szCs w:val="24"/>
              </w:rPr>
              <w:tab/>
            </w:r>
            <w:r w:rsidRPr="0041020C">
              <w:rPr>
                <w:rFonts w:ascii="Times New Roman" w:hAnsi="Times New Roman" w:cs="Times New Roman"/>
                <w:noProof/>
                <w:webHidden/>
                <w:sz w:val="24"/>
                <w:szCs w:val="24"/>
              </w:rPr>
              <w:fldChar w:fldCharType="begin"/>
            </w:r>
            <w:r w:rsidRPr="0041020C">
              <w:rPr>
                <w:rFonts w:ascii="Times New Roman" w:hAnsi="Times New Roman" w:cs="Times New Roman"/>
                <w:noProof/>
                <w:webHidden/>
                <w:sz w:val="24"/>
                <w:szCs w:val="24"/>
              </w:rPr>
              <w:instrText xml:space="preserve"> PAGEREF _Toc188378984 \h </w:instrText>
            </w:r>
            <w:r w:rsidRPr="0041020C">
              <w:rPr>
                <w:rFonts w:ascii="Times New Roman" w:hAnsi="Times New Roman" w:cs="Times New Roman"/>
                <w:noProof/>
                <w:webHidden/>
                <w:sz w:val="24"/>
                <w:szCs w:val="24"/>
              </w:rPr>
            </w:r>
            <w:r w:rsidRPr="0041020C">
              <w:rPr>
                <w:rFonts w:ascii="Times New Roman" w:hAnsi="Times New Roman" w:cs="Times New Roman"/>
                <w:noProof/>
                <w:webHidden/>
                <w:sz w:val="24"/>
                <w:szCs w:val="24"/>
              </w:rPr>
              <w:fldChar w:fldCharType="separate"/>
            </w:r>
            <w:r w:rsidR="00EB6467">
              <w:rPr>
                <w:rFonts w:ascii="Times New Roman" w:hAnsi="Times New Roman" w:cs="Times New Roman"/>
                <w:noProof/>
                <w:webHidden/>
                <w:sz w:val="24"/>
                <w:szCs w:val="24"/>
              </w:rPr>
              <w:t>25</w:t>
            </w:r>
            <w:r w:rsidRPr="0041020C">
              <w:rPr>
                <w:rFonts w:ascii="Times New Roman" w:hAnsi="Times New Roman" w:cs="Times New Roman"/>
                <w:noProof/>
                <w:webHidden/>
                <w:sz w:val="24"/>
                <w:szCs w:val="24"/>
              </w:rPr>
              <w:fldChar w:fldCharType="end"/>
            </w:r>
          </w:hyperlink>
        </w:p>
        <w:p w14:paraId="656E7319" w14:textId="55D66542" w:rsidR="003D770C" w:rsidRPr="0041020C" w:rsidRDefault="003D770C" w:rsidP="001953BB">
          <w:pPr>
            <w:pStyle w:val="TOC2"/>
            <w:tabs>
              <w:tab w:val="right" w:leader="dot" w:pos="9350"/>
            </w:tabs>
            <w:spacing w:before="0"/>
            <w:rPr>
              <w:rFonts w:ascii="Times New Roman" w:eastAsiaTheme="minorEastAsia" w:hAnsi="Times New Roman" w:cs="Times New Roman"/>
              <w:i w:val="0"/>
              <w:iCs w:val="0"/>
              <w:noProof/>
              <w:sz w:val="24"/>
              <w:szCs w:val="24"/>
              <w:lang/>
            </w:rPr>
          </w:pPr>
          <w:hyperlink w:anchor="_Toc188378985" w:history="1">
            <w:r w:rsidRPr="0041020C">
              <w:rPr>
                <w:rStyle w:val="Hyperlink"/>
                <w:rFonts w:ascii="Times New Roman" w:hAnsi="Times New Roman" w:cs="Times New Roman"/>
                <w:i w:val="0"/>
                <w:iCs w:val="0"/>
                <w:noProof/>
                <w:sz w:val="24"/>
                <w:szCs w:val="24"/>
              </w:rPr>
              <w:t xml:space="preserve">1.4 </w:t>
            </w:r>
            <w:r w:rsidRPr="0041020C">
              <w:rPr>
                <w:rStyle w:val="Hyperlink"/>
                <w:rFonts w:ascii="Times New Roman" w:hAnsi="Times New Roman" w:cs="Times New Roman"/>
                <w:i w:val="0"/>
                <w:iCs w:val="0"/>
                <w:noProof/>
                <w:sz w:val="24"/>
                <w:szCs w:val="24"/>
                <w:lang w:val="zh-CN"/>
              </w:rPr>
              <w:t>Methodological Framework</w:t>
            </w:r>
            <w:r w:rsidRPr="0041020C">
              <w:rPr>
                <w:rFonts w:ascii="Times New Roman" w:hAnsi="Times New Roman" w:cs="Times New Roman"/>
                <w:i w:val="0"/>
                <w:iCs w:val="0"/>
                <w:noProof/>
                <w:webHidden/>
                <w:sz w:val="24"/>
                <w:szCs w:val="24"/>
              </w:rPr>
              <w:tab/>
            </w:r>
            <w:r w:rsidRPr="0041020C">
              <w:rPr>
                <w:rFonts w:ascii="Times New Roman" w:hAnsi="Times New Roman" w:cs="Times New Roman"/>
                <w:i w:val="0"/>
                <w:iCs w:val="0"/>
                <w:noProof/>
                <w:webHidden/>
                <w:sz w:val="24"/>
                <w:szCs w:val="24"/>
              </w:rPr>
              <w:fldChar w:fldCharType="begin"/>
            </w:r>
            <w:r w:rsidRPr="0041020C">
              <w:rPr>
                <w:rFonts w:ascii="Times New Roman" w:hAnsi="Times New Roman" w:cs="Times New Roman"/>
                <w:i w:val="0"/>
                <w:iCs w:val="0"/>
                <w:noProof/>
                <w:webHidden/>
                <w:sz w:val="24"/>
                <w:szCs w:val="24"/>
              </w:rPr>
              <w:instrText xml:space="preserve"> PAGEREF _Toc188378985 \h </w:instrText>
            </w:r>
            <w:r w:rsidRPr="0041020C">
              <w:rPr>
                <w:rFonts w:ascii="Times New Roman" w:hAnsi="Times New Roman" w:cs="Times New Roman"/>
                <w:i w:val="0"/>
                <w:iCs w:val="0"/>
                <w:noProof/>
                <w:webHidden/>
                <w:sz w:val="24"/>
                <w:szCs w:val="24"/>
              </w:rPr>
            </w:r>
            <w:r w:rsidRPr="0041020C">
              <w:rPr>
                <w:rFonts w:ascii="Times New Roman" w:hAnsi="Times New Roman" w:cs="Times New Roman"/>
                <w:i w:val="0"/>
                <w:iCs w:val="0"/>
                <w:noProof/>
                <w:webHidden/>
                <w:sz w:val="24"/>
                <w:szCs w:val="24"/>
              </w:rPr>
              <w:fldChar w:fldCharType="separate"/>
            </w:r>
            <w:r w:rsidR="00EB6467">
              <w:rPr>
                <w:rFonts w:ascii="Times New Roman" w:hAnsi="Times New Roman" w:cs="Times New Roman"/>
                <w:i w:val="0"/>
                <w:iCs w:val="0"/>
                <w:noProof/>
                <w:webHidden/>
                <w:sz w:val="24"/>
                <w:szCs w:val="24"/>
              </w:rPr>
              <w:t>26</w:t>
            </w:r>
            <w:r w:rsidRPr="0041020C">
              <w:rPr>
                <w:rFonts w:ascii="Times New Roman" w:hAnsi="Times New Roman" w:cs="Times New Roman"/>
                <w:i w:val="0"/>
                <w:iCs w:val="0"/>
                <w:noProof/>
                <w:webHidden/>
                <w:sz w:val="24"/>
                <w:szCs w:val="24"/>
              </w:rPr>
              <w:fldChar w:fldCharType="end"/>
            </w:r>
          </w:hyperlink>
        </w:p>
        <w:p w14:paraId="59427427" w14:textId="5DEF9C3D" w:rsidR="003D770C" w:rsidRPr="0041020C" w:rsidRDefault="003D770C" w:rsidP="001953BB">
          <w:pPr>
            <w:pStyle w:val="TOC3"/>
            <w:tabs>
              <w:tab w:val="right" w:leader="dot" w:pos="9350"/>
            </w:tabs>
            <w:rPr>
              <w:rFonts w:ascii="Times New Roman" w:eastAsiaTheme="minorEastAsia" w:hAnsi="Times New Roman" w:cs="Times New Roman"/>
              <w:noProof/>
              <w:sz w:val="24"/>
              <w:szCs w:val="24"/>
              <w:lang/>
            </w:rPr>
          </w:pPr>
          <w:hyperlink w:anchor="_Toc188378986" w:history="1">
            <w:r w:rsidRPr="0041020C">
              <w:rPr>
                <w:rStyle w:val="Hyperlink"/>
                <w:rFonts w:ascii="Times New Roman" w:hAnsi="Times New Roman" w:cs="Times New Roman"/>
                <w:noProof/>
                <w:sz w:val="24"/>
                <w:szCs w:val="24"/>
              </w:rPr>
              <w:t>1.4.1 Econometric Model</w:t>
            </w:r>
            <w:r w:rsidRPr="0041020C">
              <w:rPr>
                <w:rFonts w:ascii="Times New Roman" w:hAnsi="Times New Roman" w:cs="Times New Roman"/>
                <w:noProof/>
                <w:webHidden/>
                <w:sz w:val="24"/>
                <w:szCs w:val="24"/>
              </w:rPr>
              <w:tab/>
            </w:r>
            <w:r w:rsidRPr="0041020C">
              <w:rPr>
                <w:rFonts w:ascii="Times New Roman" w:hAnsi="Times New Roman" w:cs="Times New Roman"/>
                <w:noProof/>
                <w:webHidden/>
                <w:sz w:val="24"/>
                <w:szCs w:val="24"/>
              </w:rPr>
              <w:fldChar w:fldCharType="begin"/>
            </w:r>
            <w:r w:rsidRPr="0041020C">
              <w:rPr>
                <w:rFonts w:ascii="Times New Roman" w:hAnsi="Times New Roman" w:cs="Times New Roman"/>
                <w:noProof/>
                <w:webHidden/>
                <w:sz w:val="24"/>
                <w:szCs w:val="24"/>
              </w:rPr>
              <w:instrText xml:space="preserve"> PAGEREF _Toc188378986 \h </w:instrText>
            </w:r>
            <w:r w:rsidRPr="0041020C">
              <w:rPr>
                <w:rFonts w:ascii="Times New Roman" w:hAnsi="Times New Roman" w:cs="Times New Roman"/>
                <w:noProof/>
                <w:webHidden/>
                <w:sz w:val="24"/>
                <w:szCs w:val="24"/>
              </w:rPr>
            </w:r>
            <w:r w:rsidRPr="0041020C">
              <w:rPr>
                <w:rFonts w:ascii="Times New Roman" w:hAnsi="Times New Roman" w:cs="Times New Roman"/>
                <w:noProof/>
                <w:webHidden/>
                <w:sz w:val="24"/>
                <w:szCs w:val="24"/>
              </w:rPr>
              <w:fldChar w:fldCharType="separate"/>
            </w:r>
            <w:r w:rsidR="00EB6467">
              <w:rPr>
                <w:rFonts w:ascii="Times New Roman" w:hAnsi="Times New Roman" w:cs="Times New Roman"/>
                <w:noProof/>
                <w:webHidden/>
                <w:sz w:val="24"/>
                <w:szCs w:val="24"/>
              </w:rPr>
              <w:t>26</w:t>
            </w:r>
            <w:r w:rsidRPr="0041020C">
              <w:rPr>
                <w:rFonts w:ascii="Times New Roman" w:hAnsi="Times New Roman" w:cs="Times New Roman"/>
                <w:noProof/>
                <w:webHidden/>
                <w:sz w:val="24"/>
                <w:szCs w:val="24"/>
              </w:rPr>
              <w:fldChar w:fldCharType="end"/>
            </w:r>
          </w:hyperlink>
        </w:p>
        <w:p w14:paraId="656ECF7C" w14:textId="4483CBB6" w:rsidR="003D770C" w:rsidRPr="0041020C" w:rsidRDefault="003D770C" w:rsidP="001953BB">
          <w:pPr>
            <w:pStyle w:val="TOC3"/>
            <w:tabs>
              <w:tab w:val="right" w:leader="dot" w:pos="9350"/>
            </w:tabs>
            <w:rPr>
              <w:rFonts w:ascii="Times New Roman" w:eastAsiaTheme="minorEastAsia" w:hAnsi="Times New Roman" w:cs="Times New Roman"/>
              <w:noProof/>
              <w:sz w:val="24"/>
              <w:szCs w:val="24"/>
              <w:lang/>
            </w:rPr>
          </w:pPr>
          <w:hyperlink w:anchor="_Toc188378987" w:history="1">
            <w:r w:rsidRPr="0041020C">
              <w:rPr>
                <w:rStyle w:val="Hyperlink"/>
                <w:rFonts w:ascii="Times New Roman" w:hAnsi="Times New Roman" w:cs="Times New Roman"/>
                <w:noProof/>
                <w:sz w:val="24"/>
                <w:szCs w:val="24"/>
              </w:rPr>
              <w:t>1.4.2 Decoding Non-linear Dynamics of PADs</w:t>
            </w:r>
            <w:r w:rsidRPr="0041020C">
              <w:rPr>
                <w:rFonts w:ascii="Times New Roman" w:hAnsi="Times New Roman" w:cs="Times New Roman"/>
                <w:noProof/>
                <w:webHidden/>
                <w:sz w:val="24"/>
                <w:szCs w:val="24"/>
              </w:rPr>
              <w:tab/>
            </w:r>
            <w:r w:rsidRPr="0041020C">
              <w:rPr>
                <w:rFonts w:ascii="Times New Roman" w:hAnsi="Times New Roman" w:cs="Times New Roman"/>
                <w:noProof/>
                <w:webHidden/>
                <w:sz w:val="24"/>
                <w:szCs w:val="24"/>
              </w:rPr>
              <w:fldChar w:fldCharType="begin"/>
            </w:r>
            <w:r w:rsidRPr="0041020C">
              <w:rPr>
                <w:rFonts w:ascii="Times New Roman" w:hAnsi="Times New Roman" w:cs="Times New Roman"/>
                <w:noProof/>
                <w:webHidden/>
                <w:sz w:val="24"/>
                <w:szCs w:val="24"/>
              </w:rPr>
              <w:instrText xml:space="preserve"> PAGEREF _Toc188378987 \h </w:instrText>
            </w:r>
            <w:r w:rsidRPr="0041020C">
              <w:rPr>
                <w:rFonts w:ascii="Times New Roman" w:hAnsi="Times New Roman" w:cs="Times New Roman"/>
                <w:noProof/>
                <w:webHidden/>
                <w:sz w:val="24"/>
                <w:szCs w:val="24"/>
              </w:rPr>
            </w:r>
            <w:r w:rsidRPr="0041020C">
              <w:rPr>
                <w:rFonts w:ascii="Times New Roman" w:hAnsi="Times New Roman" w:cs="Times New Roman"/>
                <w:noProof/>
                <w:webHidden/>
                <w:sz w:val="24"/>
                <w:szCs w:val="24"/>
              </w:rPr>
              <w:fldChar w:fldCharType="separate"/>
            </w:r>
            <w:r w:rsidR="00EB6467">
              <w:rPr>
                <w:rFonts w:ascii="Times New Roman" w:hAnsi="Times New Roman" w:cs="Times New Roman"/>
                <w:noProof/>
                <w:webHidden/>
                <w:sz w:val="24"/>
                <w:szCs w:val="24"/>
              </w:rPr>
              <w:t>28</w:t>
            </w:r>
            <w:r w:rsidRPr="0041020C">
              <w:rPr>
                <w:rFonts w:ascii="Times New Roman" w:hAnsi="Times New Roman" w:cs="Times New Roman"/>
                <w:noProof/>
                <w:webHidden/>
                <w:sz w:val="24"/>
                <w:szCs w:val="24"/>
              </w:rPr>
              <w:fldChar w:fldCharType="end"/>
            </w:r>
          </w:hyperlink>
        </w:p>
        <w:p w14:paraId="671AC7A6" w14:textId="798A5C40" w:rsidR="003D770C" w:rsidRPr="0041020C" w:rsidRDefault="003D770C" w:rsidP="001953BB">
          <w:pPr>
            <w:pStyle w:val="TOC3"/>
            <w:tabs>
              <w:tab w:val="right" w:leader="dot" w:pos="9350"/>
            </w:tabs>
            <w:rPr>
              <w:rFonts w:ascii="Times New Roman" w:eastAsiaTheme="minorEastAsia" w:hAnsi="Times New Roman" w:cs="Times New Roman"/>
              <w:noProof/>
              <w:sz w:val="24"/>
              <w:szCs w:val="24"/>
              <w:lang/>
            </w:rPr>
          </w:pPr>
          <w:hyperlink w:anchor="_Toc188378988" w:history="1">
            <w:r w:rsidRPr="0041020C">
              <w:rPr>
                <w:rStyle w:val="Hyperlink"/>
                <w:rFonts w:ascii="Times New Roman" w:hAnsi="Times New Roman" w:cs="Times New Roman"/>
                <w:noProof/>
                <w:sz w:val="24"/>
                <w:szCs w:val="24"/>
              </w:rPr>
              <w:t>1.4.3 Addressing Biases and Validating Robustness</w:t>
            </w:r>
            <w:r w:rsidRPr="0041020C">
              <w:rPr>
                <w:rFonts w:ascii="Times New Roman" w:hAnsi="Times New Roman" w:cs="Times New Roman"/>
                <w:noProof/>
                <w:webHidden/>
                <w:sz w:val="24"/>
                <w:szCs w:val="24"/>
              </w:rPr>
              <w:tab/>
            </w:r>
            <w:r w:rsidRPr="0041020C">
              <w:rPr>
                <w:rFonts w:ascii="Times New Roman" w:hAnsi="Times New Roman" w:cs="Times New Roman"/>
                <w:noProof/>
                <w:webHidden/>
                <w:sz w:val="24"/>
                <w:szCs w:val="24"/>
              </w:rPr>
              <w:fldChar w:fldCharType="begin"/>
            </w:r>
            <w:r w:rsidRPr="0041020C">
              <w:rPr>
                <w:rFonts w:ascii="Times New Roman" w:hAnsi="Times New Roman" w:cs="Times New Roman"/>
                <w:noProof/>
                <w:webHidden/>
                <w:sz w:val="24"/>
                <w:szCs w:val="24"/>
              </w:rPr>
              <w:instrText xml:space="preserve"> PAGEREF _Toc188378988 \h </w:instrText>
            </w:r>
            <w:r w:rsidRPr="0041020C">
              <w:rPr>
                <w:rFonts w:ascii="Times New Roman" w:hAnsi="Times New Roman" w:cs="Times New Roman"/>
                <w:noProof/>
                <w:webHidden/>
                <w:sz w:val="24"/>
                <w:szCs w:val="24"/>
              </w:rPr>
            </w:r>
            <w:r w:rsidRPr="0041020C">
              <w:rPr>
                <w:rFonts w:ascii="Times New Roman" w:hAnsi="Times New Roman" w:cs="Times New Roman"/>
                <w:noProof/>
                <w:webHidden/>
                <w:sz w:val="24"/>
                <w:szCs w:val="24"/>
              </w:rPr>
              <w:fldChar w:fldCharType="separate"/>
            </w:r>
            <w:r w:rsidR="00EB6467">
              <w:rPr>
                <w:rFonts w:ascii="Times New Roman" w:hAnsi="Times New Roman" w:cs="Times New Roman"/>
                <w:noProof/>
                <w:webHidden/>
                <w:sz w:val="24"/>
                <w:szCs w:val="24"/>
              </w:rPr>
              <w:t>34</w:t>
            </w:r>
            <w:r w:rsidRPr="0041020C">
              <w:rPr>
                <w:rFonts w:ascii="Times New Roman" w:hAnsi="Times New Roman" w:cs="Times New Roman"/>
                <w:noProof/>
                <w:webHidden/>
                <w:sz w:val="24"/>
                <w:szCs w:val="24"/>
              </w:rPr>
              <w:fldChar w:fldCharType="end"/>
            </w:r>
          </w:hyperlink>
        </w:p>
        <w:p w14:paraId="096A11F6" w14:textId="05D51919" w:rsidR="003D770C" w:rsidRPr="0041020C" w:rsidRDefault="003D770C" w:rsidP="001953BB">
          <w:pPr>
            <w:pStyle w:val="TOC2"/>
            <w:tabs>
              <w:tab w:val="right" w:leader="dot" w:pos="9350"/>
            </w:tabs>
            <w:spacing w:before="0"/>
            <w:rPr>
              <w:rFonts w:ascii="Times New Roman" w:eastAsiaTheme="minorEastAsia" w:hAnsi="Times New Roman" w:cs="Times New Roman"/>
              <w:i w:val="0"/>
              <w:iCs w:val="0"/>
              <w:noProof/>
              <w:sz w:val="24"/>
              <w:szCs w:val="24"/>
              <w:lang/>
            </w:rPr>
          </w:pPr>
          <w:hyperlink w:anchor="_Toc188378989" w:history="1">
            <w:r w:rsidRPr="0041020C">
              <w:rPr>
                <w:rStyle w:val="Hyperlink"/>
                <w:rFonts w:ascii="Times New Roman" w:hAnsi="Times New Roman" w:cs="Times New Roman"/>
                <w:i w:val="0"/>
                <w:iCs w:val="0"/>
                <w:noProof/>
                <w:sz w:val="24"/>
                <w:szCs w:val="24"/>
              </w:rPr>
              <w:t xml:space="preserve">1.5 </w:t>
            </w:r>
            <w:r w:rsidRPr="0041020C">
              <w:rPr>
                <w:rStyle w:val="Hyperlink"/>
                <w:rFonts w:ascii="Times New Roman" w:hAnsi="Times New Roman" w:cs="Times New Roman"/>
                <w:i w:val="0"/>
                <w:iCs w:val="0"/>
                <w:noProof/>
                <w:sz w:val="24"/>
                <w:szCs w:val="24"/>
                <w:lang w:val="zh-CN"/>
              </w:rPr>
              <w:t>Results, Interpretation, and Discussion</w:t>
            </w:r>
            <w:r w:rsidRPr="0041020C">
              <w:rPr>
                <w:rFonts w:ascii="Times New Roman" w:hAnsi="Times New Roman" w:cs="Times New Roman"/>
                <w:i w:val="0"/>
                <w:iCs w:val="0"/>
                <w:noProof/>
                <w:webHidden/>
                <w:sz w:val="24"/>
                <w:szCs w:val="24"/>
              </w:rPr>
              <w:tab/>
            </w:r>
            <w:r w:rsidRPr="0041020C">
              <w:rPr>
                <w:rFonts w:ascii="Times New Roman" w:hAnsi="Times New Roman" w:cs="Times New Roman"/>
                <w:i w:val="0"/>
                <w:iCs w:val="0"/>
                <w:noProof/>
                <w:webHidden/>
                <w:sz w:val="24"/>
                <w:szCs w:val="24"/>
              </w:rPr>
              <w:fldChar w:fldCharType="begin"/>
            </w:r>
            <w:r w:rsidRPr="0041020C">
              <w:rPr>
                <w:rFonts w:ascii="Times New Roman" w:hAnsi="Times New Roman" w:cs="Times New Roman"/>
                <w:i w:val="0"/>
                <w:iCs w:val="0"/>
                <w:noProof/>
                <w:webHidden/>
                <w:sz w:val="24"/>
                <w:szCs w:val="24"/>
              </w:rPr>
              <w:instrText xml:space="preserve"> PAGEREF _Toc188378989 \h </w:instrText>
            </w:r>
            <w:r w:rsidRPr="0041020C">
              <w:rPr>
                <w:rFonts w:ascii="Times New Roman" w:hAnsi="Times New Roman" w:cs="Times New Roman"/>
                <w:i w:val="0"/>
                <w:iCs w:val="0"/>
                <w:noProof/>
                <w:webHidden/>
                <w:sz w:val="24"/>
                <w:szCs w:val="24"/>
              </w:rPr>
            </w:r>
            <w:r w:rsidRPr="0041020C">
              <w:rPr>
                <w:rFonts w:ascii="Times New Roman" w:hAnsi="Times New Roman" w:cs="Times New Roman"/>
                <w:i w:val="0"/>
                <w:iCs w:val="0"/>
                <w:noProof/>
                <w:webHidden/>
                <w:sz w:val="24"/>
                <w:szCs w:val="24"/>
              </w:rPr>
              <w:fldChar w:fldCharType="separate"/>
            </w:r>
            <w:r w:rsidR="00EB6467">
              <w:rPr>
                <w:rFonts w:ascii="Times New Roman" w:hAnsi="Times New Roman" w:cs="Times New Roman"/>
                <w:i w:val="0"/>
                <w:iCs w:val="0"/>
                <w:noProof/>
                <w:webHidden/>
                <w:sz w:val="24"/>
                <w:szCs w:val="24"/>
              </w:rPr>
              <w:t>36</w:t>
            </w:r>
            <w:r w:rsidRPr="0041020C">
              <w:rPr>
                <w:rFonts w:ascii="Times New Roman" w:hAnsi="Times New Roman" w:cs="Times New Roman"/>
                <w:i w:val="0"/>
                <w:iCs w:val="0"/>
                <w:noProof/>
                <w:webHidden/>
                <w:sz w:val="24"/>
                <w:szCs w:val="24"/>
              </w:rPr>
              <w:fldChar w:fldCharType="end"/>
            </w:r>
          </w:hyperlink>
        </w:p>
        <w:p w14:paraId="453FB800" w14:textId="715CD8A4" w:rsidR="003D770C" w:rsidRPr="0041020C" w:rsidRDefault="003D770C" w:rsidP="001953BB">
          <w:pPr>
            <w:pStyle w:val="TOC3"/>
            <w:tabs>
              <w:tab w:val="right" w:leader="dot" w:pos="9350"/>
            </w:tabs>
            <w:rPr>
              <w:rFonts w:ascii="Times New Roman" w:eastAsiaTheme="minorEastAsia" w:hAnsi="Times New Roman" w:cs="Times New Roman"/>
              <w:noProof/>
              <w:sz w:val="24"/>
              <w:szCs w:val="24"/>
              <w:lang/>
            </w:rPr>
          </w:pPr>
          <w:hyperlink w:anchor="_Toc188378990" w:history="1">
            <w:r w:rsidRPr="0041020C">
              <w:rPr>
                <w:rStyle w:val="Hyperlink"/>
                <w:rFonts w:ascii="Times New Roman" w:hAnsi="Times New Roman" w:cs="Times New Roman"/>
                <w:noProof/>
                <w:sz w:val="24"/>
                <w:szCs w:val="24"/>
              </w:rPr>
              <w:t>1.5.1 Effects of PADs on the Aggregate LIS</w:t>
            </w:r>
            <w:r w:rsidRPr="0041020C">
              <w:rPr>
                <w:rFonts w:ascii="Times New Roman" w:hAnsi="Times New Roman" w:cs="Times New Roman"/>
                <w:noProof/>
                <w:webHidden/>
                <w:sz w:val="24"/>
                <w:szCs w:val="24"/>
              </w:rPr>
              <w:tab/>
            </w:r>
            <w:r w:rsidRPr="0041020C">
              <w:rPr>
                <w:rFonts w:ascii="Times New Roman" w:hAnsi="Times New Roman" w:cs="Times New Roman"/>
                <w:noProof/>
                <w:webHidden/>
                <w:sz w:val="24"/>
                <w:szCs w:val="24"/>
              </w:rPr>
              <w:fldChar w:fldCharType="begin"/>
            </w:r>
            <w:r w:rsidRPr="0041020C">
              <w:rPr>
                <w:rFonts w:ascii="Times New Roman" w:hAnsi="Times New Roman" w:cs="Times New Roman"/>
                <w:noProof/>
                <w:webHidden/>
                <w:sz w:val="24"/>
                <w:szCs w:val="24"/>
              </w:rPr>
              <w:instrText xml:space="preserve"> PAGEREF _Toc188378990 \h </w:instrText>
            </w:r>
            <w:r w:rsidRPr="0041020C">
              <w:rPr>
                <w:rFonts w:ascii="Times New Roman" w:hAnsi="Times New Roman" w:cs="Times New Roman"/>
                <w:noProof/>
                <w:webHidden/>
                <w:sz w:val="24"/>
                <w:szCs w:val="24"/>
              </w:rPr>
            </w:r>
            <w:r w:rsidRPr="0041020C">
              <w:rPr>
                <w:rFonts w:ascii="Times New Roman" w:hAnsi="Times New Roman" w:cs="Times New Roman"/>
                <w:noProof/>
                <w:webHidden/>
                <w:sz w:val="24"/>
                <w:szCs w:val="24"/>
              </w:rPr>
              <w:fldChar w:fldCharType="separate"/>
            </w:r>
            <w:r w:rsidR="00EB6467">
              <w:rPr>
                <w:rFonts w:ascii="Times New Roman" w:hAnsi="Times New Roman" w:cs="Times New Roman"/>
                <w:noProof/>
                <w:webHidden/>
                <w:sz w:val="24"/>
                <w:szCs w:val="24"/>
              </w:rPr>
              <w:t>37</w:t>
            </w:r>
            <w:r w:rsidRPr="0041020C">
              <w:rPr>
                <w:rFonts w:ascii="Times New Roman" w:hAnsi="Times New Roman" w:cs="Times New Roman"/>
                <w:noProof/>
                <w:webHidden/>
                <w:sz w:val="24"/>
                <w:szCs w:val="24"/>
              </w:rPr>
              <w:fldChar w:fldCharType="end"/>
            </w:r>
          </w:hyperlink>
        </w:p>
        <w:p w14:paraId="3882A33B" w14:textId="41542594" w:rsidR="003D770C" w:rsidRPr="0041020C" w:rsidRDefault="003D770C" w:rsidP="001953BB">
          <w:pPr>
            <w:pStyle w:val="TOC3"/>
            <w:tabs>
              <w:tab w:val="right" w:leader="dot" w:pos="9350"/>
            </w:tabs>
            <w:rPr>
              <w:rFonts w:ascii="Times New Roman" w:eastAsiaTheme="minorEastAsia" w:hAnsi="Times New Roman" w:cs="Times New Roman"/>
              <w:noProof/>
              <w:sz w:val="24"/>
              <w:szCs w:val="24"/>
              <w:lang/>
            </w:rPr>
          </w:pPr>
          <w:hyperlink w:anchor="_Toc188378991" w:history="1">
            <w:r w:rsidRPr="0041020C">
              <w:rPr>
                <w:rStyle w:val="Hyperlink"/>
                <w:rFonts w:ascii="Times New Roman" w:hAnsi="Times New Roman" w:cs="Times New Roman"/>
                <w:noProof/>
                <w:sz w:val="24"/>
                <w:szCs w:val="24"/>
              </w:rPr>
              <w:t>1.5.2 Summary of Sectoral Heterogeneity: Drivers of LIS Results</w:t>
            </w:r>
            <w:r w:rsidRPr="0041020C">
              <w:rPr>
                <w:rFonts w:ascii="Times New Roman" w:hAnsi="Times New Roman" w:cs="Times New Roman"/>
                <w:noProof/>
                <w:webHidden/>
                <w:sz w:val="24"/>
                <w:szCs w:val="24"/>
              </w:rPr>
              <w:tab/>
            </w:r>
            <w:r w:rsidRPr="0041020C">
              <w:rPr>
                <w:rFonts w:ascii="Times New Roman" w:hAnsi="Times New Roman" w:cs="Times New Roman"/>
                <w:noProof/>
                <w:webHidden/>
                <w:sz w:val="24"/>
                <w:szCs w:val="24"/>
              </w:rPr>
              <w:fldChar w:fldCharType="begin"/>
            </w:r>
            <w:r w:rsidRPr="0041020C">
              <w:rPr>
                <w:rFonts w:ascii="Times New Roman" w:hAnsi="Times New Roman" w:cs="Times New Roman"/>
                <w:noProof/>
                <w:webHidden/>
                <w:sz w:val="24"/>
                <w:szCs w:val="24"/>
              </w:rPr>
              <w:instrText xml:space="preserve"> PAGEREF _Toc188378991 \h </w:instrText>
            </w:r>
            <w:r w:rsidRPr="0041020C">
              <w:rPr>
                <w:rFonts w:ascii="Times New Roman" w:hAnsi="Times New Roman" w:cs="Times New Roman"/>
                <w:noProof/>
                <w:webHidden/>
                <w:sz w:val="24"/>
                <w:szCs w:val="24"/>
              </w:rPr>
            </w:r>
            <w:r w:rsidRPr="0041020C">
              <w:rPr>
                <w:rFonts w:ascii="Times New Roman" w:hAnsi="Times New Roman" w:cs="Times New Roman"/>
                <w:noProof/>
                <w:webHidden/>
                <w:sz w:val="24"/>
                <w:szCs w:val="24"/>
              </w:rPr>
              <w:fldChar w:fldCharType="separate"/>
            </w:r>
            <w:r w:rsidR="00EB6467">
              <w:rPr>
                <w:rFonts w:ascii="Times New Roman" w:hAnsi="Times New Roman" w:cs="Times New Roman"/>
                <w:noProof/>
                <w:webHidden/>
                <w:sz w:val="24"/>
                <w:szCs w:val="24"/>
              </w:rPr>
              <w:t>40</w:t>
            </w:r>
            <w:r w:rsidRPr="0041020C">
              <w:rPr>
                <w:rFonts w:ascii="Times New Roman" w:hAnsi="Times New Roman" w:cs="Times New Roman"/>
                <w:noProof/>
                <w:webHidden/>
                <w:sz w:val="24"/>
                <w:szCs w:val="24"/>
              </w:rPr>
              <w:fldChar w:fldCharType="end"/>
            </w:r>
          </w:hyperlink>
        </w:p>
        <w:p w14:paraId="06BCD000" w14:textId="2E8ECC63" w:rsidR="003D770C" w:rsidRPr="0041020C" w:rsidRDefault="003D770C" w:rsidP="001953BB">
          <w:pPr>
            <w:pStyle w:val="TOC3"/>
            <w:tabs>
              <w:tab w:val="right" w:leader="dot" w:pos="9350"/>
            </w:tabs>
            <w:rPr>
              <w:rFonts w:ascii="Times New Roman" w:eastAsiaTheme="minorEastAsia" w:hAnsi="Times New Roman" w:cs="Times New Roman"/>
              <w:noProof/>
              <w:sz w:val="24"/>
              <w:szCs w:val="24"/>
              <w:lang/>
            </w:rPr>
          </w:pPr>
          <w:hyperlink w:anchor="_Toc188378992" w:history="1">
            <w:r w:rsidRPr="0041020C">
              <w:rPr>
                <w:rStyle w:val="Hyperlink"/>
                <w:rFonts w:ascii="Times New Roman" w:hAnsi="Times New Roman" w:cs="Times New Roman"/>
                <w:noProof/>
                <w:sz w:val="24"/>
                <w:szCs w:val="24"/>
              </w:rPr>
              <w:t>1.5.3 Unveiling Sectoral Drivers of LIS Outcomes</w:t>
            </w:r>
            <w:r w:rsidRPr="0041020C">
              <w:rPr>
                <w:rFonts w:ascii="Times New Roman" w:hAnsi="Times New Roman" w:cs="Times New Roman"/>
                <w:noProof/>
                <w:webHidden/>
                <w:sz w:val="24"/>
                <w:szCs w:val="24"/>
              </w:rPr>
              <w:tab/>
            </w:r>
            <w:r w:rsidRPr="0041020C">
              <w:rPr>
                <w:rFonts w:ascii="Times New Roman" w:hAnsi="Times New Roman" w:cs="Times New Roman"/>
                <w:noProof/>
                <w:webHidden/>
                <w:sz w:val="24"/>
                <w:szCs w:val="24"/>
              </w:rPr>
              <w:fldChar w:fldCharType="begin"/>
            </w:r>
            <w:r w:rsidRPr="0041020C">
              <w:rPr>
                <w:rFonts w:ascii="Times New Roman" w:hAnsi="Times New Roman" w:cs="Times New Roman"/>
                <w:noProof/>
                <w:webHidden/>
                <w:sz w:val="24"/>
                <w:szCs w:val="24"/>
              </w:rPr>
              <w:instrText xml:space="preserve"> PAGEREF _Toc188378992 \h </w:instrText>
            </w:r>
            <w:r w:rsidRPr="0041020C">
              <w:rPr>
                <w:rFonts w:ascii="Times New Roman" w:hAnsi="Times New Roman" w:cs="Times New Roman"/>
                <w:noProof/>
                <w:webHidden/>
                <w:sz w:val="24"/>
                <w:szCs w:val="24"/>
              </w:rPr>
            </w:r>
            <w:r w:rsidRPr="0041020C">
              <w:rPr>
                <w:rFonts w:ascii="Times New Roman" w:hAnsi="Times New Roman" w:cs="Times New Roman"/>
                <w:noProof/>
                <w:webHidden/>
                <w:sz w:val="24"/>
                <w:szCs w:val="24"/>
              </w:rPr>
              <w:fldChar w:fldCharType="separate"/>
            </w:r>
            <w:r w:rsidR="00EB6467">
              <w:rPr>
                <w:rFonts w:ascii="Times New Roman" w:hAnsi="Times New Roman" w:cs="Times New Roman"/>
                <w:noProof/>
                <w:webHidden/>
                <w:sz w:val="24"/>
                <w:szCs w:val="24"/>
              </w:rPr>
              <w:t>45</w:t>
            </w:r>
            <w:r w:rsidRPr="0041020C">
              <w:rPr>
                <w:rFonts w:ascii="Times New Roman" w:hAnsi="Times New Roman" w:cs="Times New Roman"/>
                <w:noProof/>
                <w:webHidden/>
                <w:sz w:val="24"/>
                <w:szCs w:val="24"/>
              </w:rPr>
              <w:fldChar w:fldCharType="end"/>
            </w:r>
          </w:hyperlink>
        </w:p>
        <w:p w14:paraId="14844102" w14:textId="3EC35173" w:rsidR="003D770C" w:rsidRPr="0041020C" w:rsidRDefault="003D770C" w:rsidP="001953BB">
          <w:pPr>
            <w:pStyle w:val="TOC3"/>
            <w:tabs>
              <w:tab w:val="right" w:leader="dot" w:pos="9350"/>
            </w:tabs>
            <w:rPr>
              <w:rFonts w:ascii="Times New Roman" w:eastAsiaTheme="minorEastAsia" w:hAnsi="Times New Roman" w:cs="Times New Roman"/>
              <w:noProof/>
              <w:sz w:val="24"/>
              <w:szCs w:val="24"/>
              <w:lang/>
            </w:rPr>
          </w:pPr>
          <w:hyperlink w:anchor="_Toc188378993" w:history="1">
            <w:r w:rsidRPr="0041020C">
              <w:rPr>
                <w:rStyle w:val="Hyperlink"/>
                <w:rFonts w:ascii="Times New Roman" w:hAnsi="Times New Roman" w:cs="Times New Roman"/>
                <w:noProof/>
                <w:sz w:val="24"/>
                <w:szCs w:val="24"/>
              </w:rPr>
              <w:t>1.5.4 Non-LIS Results: Insights from Manufacturing</w:t>
            </w:r>
            <w:r w:rsidRPr="0041020C">
              <w:rPr>
                <w:rFonts w:ascii="Times New Roman" w:hAnsi="Times New Roman" w:cs="Times New Roman"/>
                <w:noProof/>
                <w:webHidden/>
                <w:sz w:val="24"/>
                <w:szCs w:val="24"/>
              </w:rPr>
              <w:tab/>
            </w:r>
            <w:r w:rsidRPr="0041020C">
              <w:rPr>
                <w:rFonts w:ascii="Times New Roman" w:hAnsi="Times New Roman" w:cs="Times New Roman"/>
                <w:noProof/>
                <w:webHidden/>
                <w:sz w:val="24"/>
                <w:szCs w:val="24"/>
              </w:rPr>
              <w:fldChar w:fldCharType="begin"/>
            </w:r>
            <w:r w:rsidRPr="0041020C">
              <w:rPr>
                <w:rFonts w:ascii="Times New Roman" w:hAnsi="Times New Roman" w:cs="Times New Roman"/>
                <w:noProof/>
                <w:webHidden/>
                <w:sz w:val="24"/>
                <w:szCs w:val="24"/>
              </w:rPr>
              <w:instrText xml:space="preserve"> PAGEREF _Toc188378993 \h </w:instrText>
            </w:r>
            <w:r w:rsidRPr="0041020C">
              <w:rPr>
                <w:rFonts w:ascii="Times New Roman" w:hAnsi="Times New Roman" w:cs="Times New Roman"/>
                <w:noProof/>
                <w:webHidden/>
                <w:sz w:val="24"/>
                <w:szCs w:val="24"/>
              </w:rPr>
            </w:r>
            <w:r w:rsidRPr="0041020C">
              <w:rPr>
                <w:rFonts w:ascii="Times New Roman" w:hAnsi="Times New Roman" w:cs="Times New Roman"/>
                <w:noProof/>
                <w:webHidden/>
                <w:sz w:val="24"/>
                <w:szCs w:val="24"/>
              </w:rPr>
              <w:fldChar w:fldCharType="separate"/>
            </w:r>
            <w:r w:rsidR="00EB6467">
              <w:rPr>
                <w:rFonts w:ascii="Times New Roman" w:hAnsi="Times New Roman" w:cs="Times New Roman"/>
                <w:noProof/>
                <w:webHidden/>
                <w:sz w:val="24"/>
                <w:szCs w:val="24"/>
              </w:rPr>
              <w:t>46</w:t>
            </w:r>
            <w:r w:rsidRPr="0041020C">
              <w:rPr>
                <w:rFonts w:ascii="Times New Roman" w:hAnsi="Times New Roman" w:cs="Times New Roman"/>
                <w:noProof/>
                <w:webHidden/>
                <w:sz w:val="24"/>
                <w:szCs w:val="24"/>
              </w:rPr>
              <w:fldChar w:fldCharType="end"/>
            </w:r>
          </w:hyperlink>
        </w:p>
        <w:p w14:paraId="30BE9543" w14:textId="530A7395" w:rsidR="003D770C" w:rsidRPr="0041020C" w:rsidRDefault="003D770C" w:rsidP="001953BB">
          <w:pPr>
            <w:pStyle w:val="TOC3"/>
            <w:tabs>
              <w:tab w:val="right" w:leader="dot" w:pos="9350"/>
            </w:tabs>
            <w:rPr>
              <w:rFonts w:ascii="Times New Roman" w:eastAsiaTheme="minorEastAsia" w:hAnsi="Times New Roman" w:cs="Times New Roman"/>
              <w:noProof/>
              <w:sz w:val="24"/>
              <w:szCs w:val="24"/>
              <w:lang/>
            </w:rPr>
          </w:pPr>
          <w:hyperlink w:anchor="_Toc188378994" w:history="1">
            <w:r w:rsidRPr="0041020C">
              <w:rPr>
                <w:rStyle w:val="Hyperlink"/>
                <w:rFonts w:ascii="Times New Roman" w:hAnsi="Times New Roman" w:cs="Times New Roman"/>
                <w:noProof/>
                <w:sz w:val="24"/>
                <w:szCs w:val="24"/>
              </w:rPr>
              <w:t>1.5.5 Key Insights from Manufacturing</w:t>
            </w:r>
            <w:r w:rsidRPr="0041020C">
              <w:rPr>
                <w:rFonts w:ascii="Times New Roman" w:hAnsi="Times New Roman" w:cs="Times New Roman"/>
                <w:noProof/>
                <w:webHidden/>
                <w:sz w:val="24"/>
                <w:szCs w:val="24"/>
              </w:rPr>
              <w:tab/>
            </w:r>
            <w:r w:rsidRPr="0041020C">
              <w:rPr>
                <w:rFonts w:ascii="Times New Roman" w:hAnsi="Times New Roman" w:cs="Times New Roman"/>
                <w:noProof/>
                <w:webHidden/>
                <w:sz w:val="24"/>
                <w:szCs w:val="24"/>
              </w:rPr>
              <w:fldChar w:fldCharType="begin"/>
            </w:r>
            <w:r w:rsidRPr="0041020C">
              <w:rPr>
                <w:rFonts w:ascii="Times New Roman" w:hAnsi="Times New Roman" w:cs="Times New Roman"/>
                <w:noProof/>
                <w:webHidden/>
                <w:sz w:val="24"/>
                <w:szCs w:val="24"/>
              </w:rPr>
              <w:instrText xml:space="preserve"> PAGEREF _Toc188378994 \h </w:instrText>
            </w:r>
            <w:r w:rsidRPr="0041020C">
              <w:rPr>
                <w:rFonts w:ascii="Times New Roman" w:hAnsi="Times New Roman" w:cs="Times New Roman"/>
                <w:noProof/>
                <w:webHidden/>
                <w:sz w:val="24"/>
                <w:szCs w:val="24"/>
              </w:rPr>
            </w:r>
            <w:r w:rsidRPr="0041020C">
              <w:rPr>
                <w:rFonts w:ascii="Times New Roman" w:hAnsi="Times New Roman" w:cs="Times New Roman"/>
                <w:noProof/>
                <w:webHidden/>
                <w:sz w:val="24"/>
                <w:szCs w:val="24"/>
              </w:rPr>
              <w:fldChar w:fldCharType="separate"/>
            </w:r>
            <w:r w:rsidR="00EB6467">
              <w:rPr>
                <w:rFonts w:ascii="Times New Roman" w:hAnsi="Times New Roman" w:cs="Times New Roman"/>
                <w:noProof/>
                <w:webHidden/>
                <w:sz w:val="24"/>
                <w:szCs w:val="24"/>
              </w:rPr>
              <w:t>47</w:t>
            </w:r>
            <w:r w:rsidRPr="0041020C">
              <w:rPr>
                <w:rFonts w:ascii="Times New Roman" w:hAnsi="Times New Roman" w:cs="Times New Roman"/>
                <w:noProof/>
                <w:webHidden/>
                <w:sz w:val="24"/>
                <w:szCs w:val="24"/>
              </w:rPr>
              <w:fldChar w:fldCharType="end"/>
            </w:r>
          </w:hyperlink>
        </w:p>
        <w:p w14:paraId="1A70F346" w14:textId="66D0FF1E" w:rsidR="003D770C" w:rsidRPr="0041020C" w:rsidRDefault="003D770C" w:rsidP="001953BB">
          <w:pPr>
            <w:pStyle w:val="TOC3"/>
            <w:tabs>
              <w:tab w:val="right" w:leader="dot" w:pos="9350"/>
            </w:tabs>
            <w:rPr>
              <w:rFonts w:ascii="Times New Roman" w:eastAsiaTheme="minorEastAsia" w:hAnsi="Times New Roman" w:cs="Times New Roman"/>
              <w:noProof/>
              <w:sz w:val="24"/>
              <w:szCs w:val="24"/>
              <w:lang/>
            </w:rPr>
          </w:pPr>
          <w:hyperlink w:anchor="_Toc188378995" w:history="1">
            <w:r w:rsidRPr="0041020C">
              <w:rPr>
                <w:rStyle w:val="Hyperlink"/>
                <w:rFonts w:ascii="Times New Roman" w:hAnsi="Times New Roman" w:cs="Times New Roman"/>
                <w:noProof/>
                <w:sz w:val="24"/>
                <w:szCs w:val="24"/>
              </w:rPr>
              <w:t>1.5.6 Validation of Key Findings</w:t>
            </w:r>
            <w:r w:rsidRPr="0041020C">
              <w:rPr>
                <w:rFonts w:ascii="Times New Roman" w:hAnsi="Times New Roman" w:cs="Times New Roman"/>
                <w:noProof/>
                <w:webHidden/>
                <w:sz w:val="24"/>
                <w:szCs w:val="24"/>
              </w:rPr>
              <w:tab/>
            </w:r>
            <w:r w:rsidRPr="0041020C">
              <w:rPr>
                <w:rFonts w:ascii="Times New Roman" w:hAnsi="Times New Roman" w:cs="Times New Roman"/>
                <w:noProof/>
                <w:webHidden/>
                <w:sz w:val="24"/>
                <w:szCs w:val="24"/>
              </w:rPr>
              <w:fldChar w:fldCharType="begin"/>
            </w:r>
            <w:r w:rsidRPr="0041020C">
              <w:rPr>
                <w:rFonts w:ascii="Times New Roman" w:hAnsi="Times New Roman" w:cs="Times New Roman"/>
                <w:noProof/>
                <w:webHidden/>
                <w:sz w:val="24"/>
                <w:szCs w:val="24"/>
              </w:rPr>
              <w:instrText xml:space="preserve"> PAGEREF _Toc188378995 \h </w:instrText>
            </w:r>
            <w:r w:rsidRPr="0041020C">
              <w:rPr>
                <w:rFonts w:ascii="Times New Roman" w:hAnsi="Times New Roman" w:cs="Times New Roman"/>
                <w:noProof/>
                <w:webHidden/>
                <w:sz w:val="24"/>
                <w:szCs w:val="24"/>
              </w:rPr>
            </w:r>
            <w:r w:rsidRPr="0041020C">
              <w:rPr>
                <w:rFonts w:ascii="Times New Roman" w:hAnsi="Times New Roman" w:cs="Times New Roman"/>
                <w:noProof/>
                <w:webHidden/>
                <w:sz w:val="24"/>
                <w:szCs w:val="24"/>
              </w:rPr>
              <w:fldChar w:fldCharType="separate"/>
            </w:r>
            <w:r w:rsidR="00EB6467">
              <w:rPr>
                <w:rFonts w:ascii="Times New Roman" w:hAnsi="Times New Roman" w:cs="Times New Roman"/>
                <w:noProof/>
                <w:webHidden/>
                <w:sz w:val="24"/>
                <w:szCs w:val="24"/>
              </w:rPr>
              <w:t>48</w:t>
            </w:r>
            <w:r w:rsidRPr="0041020C">
              <w:rPr>
                <w:rFonts w:ascii="Times New Roman" w:hAnsi="Times New Roman" w:cs="Times New Roman"/>
                <w:noProof/>
                <w:webHidden/>
                <w:sz w:val="24"/>
                <w:szCs w:val="24"/>
              </w:rPr>
              <w:fldChar w:fldCharType="end"/>
            </w:r>
          </w:hyperlink>
        </w:p>
        <w:p w14:paraId="7A31864A" w14:textId="4D795575" w:rsidR="003D770C" w:rsidRPr="0041020C" w:rsidRDefault="003D770C" w:rsidP="001953BB">
          <w:pPr>
            <w:pStyle w:val="TOC2"/>
            <w:tabs>
              <w:tab w:val="right" w:leader="dot" w:pos="9350"/>
            </w:tabs>
            <w:spacing w:before="0"/>
            <w:rPr>
              <w:rFonts w:ascii="Times New Roman" w:eastAsiaTheme="minorEastAsia" w:hAnsi="Times New Roman" w:cs="Times New Roman"/>
              <w:i w:val="0"/>
              <w:iCs w:val="0"/>
              <w:noProof/>
              <w:sz w:val="24"/>
              <w:szCs w:val="24"/>
              <w:lang/>
            </w:rPr>
          </w:pPr>
          <w:hyperlink w:anchor="_Toc188378996" w:history="1">
            <w:r w:rsidRPr="0041020C">
              <w:rPr>
                <w:rStyle w:val="Hyperlink"/>
                <w:rFonts w:ascii="Times New Roman" w:hAnsi="Times New Roman" w:cs="Times New Roman"/>
                <w:i w:val="0"/>
                <w:iCs w:val="0"/>
                <w:noProof/>
                <w:sz w:val="24"/>
                <w:szCs w:val="24"/>
              </w:rPr>
              <w:t>1.</w:t>
            </w:r>
            <w:r w:rsidRPr="0041020C">
              <w:rPr>
                <w:rStyle w:val="Hyperlink"/>
                <w:rFonts w:ascii="Times New Roman" w:hAnsi="Times New Roman" w:cs="Times New Roman"/>
                <w:i w:val="0"/>
                <w:iCs w:val="0"/>
                <w:noProof/>
                <w:sz w:val="24"/>
                <w:szCs w:val="24"/>
                <w:lang/>
              </w:rPr>
              <w:t>6 Discussion</w:t>
            </w:r>
            <w:r w:rsidRPr="0041020C">
              <w:rPr>
                <w:rFonts w:ascii="Times New Roman" w:hAnsi="Times New Roman" w:cs="Times New Roman"/>
                <w:i w:val="0"/>
                <w:iCs w:val="0"/>
                <w:noProof/>
                <w:webHidden/>
                <w:sz w:val="24"/>
                <w:szCs w:val="24"/>
              </w:rPr>
              <w:tab/>
            </w:r>
            <w:r w:rsidRPr="0041020C">
              <w:rPr>
                <w:rFonts w:ascii="Times New Roman" w:hAnsi="Times New Roman" w:cs="Times New Roman"/>
                <w:i w:val="0"/>
                <w:iCs w:val="0"/>
                <w:noProof/>
                <w:webHidden/>
                <w:sz w:val="24"/>
                <w:szCs w:val="24"/>
              </w:rPr>
              <w:fldChar w:fldCharType="begin"/>
            </w:r>
            <w:r w:rsidRPr="0041020C">
              <w:rPr>
                <w:rFonts w:ascii="Times New Roman" w:hAnsi="Times New Roman" w:cs="Times New Roman"/>
                <w:i w:val="0"/>
                <w:iCs w:val="0"/>
                <w:noProof/>
                <w:webHidden/>
                <w:sz w:val="24"/>
                <w:szCs w:val="24"/>
              </w:rPr>
              <w:instrText xml:space="preserve"> PAGEREF _Toc188378996 \h </w:instrText>
            </w:r>
            <w:r w:rsidRPr="0041020C">
              <w:rPr>
                <w:rFonts w:ascii="Times New Roman" w:hAnsi="Times New Roman" w:cs="Times New Roman"/>
                <w:i w:val="0"/>
                <w:iCs w:val="0"/>
                <w:noProof/>
                <w:webHidden/>
                <w:sz w:val="24"/>
                <w:szCs w:val="24"/>
              </w:rPr>
            </w:r>
            <w:r w:rsidRPr="0041020C">
              <w:rPr>
                <w:rFonts w:ascii="Times New Roman" w:hAnsi="Times New Roman" w:cs="Times New Roman"/>
                <w:i w:val="0"/>
                <w:iCs w:val="0"/>
                <w:noProof/>
                <w:webHidden/>
                <w:sz w:val="24"/>
                <w:szCs w:val="24"/>
              </w:rPr>
              <w:fldChar w:fldCharType="separate"/>
            </w:r>
            <w:r w:rsidR="00EB6467">
              <w:rPr>
                <w:rFonts w:ascii="Times New Roman" w:hAnsi="Times New Roman" w:cs="Times New Roman"/>
                <w:i w:val="0"/>
                <w:iCs w:val="0"/>
                <w:noProof/>
                <w:webHidden/>
                <w:sz w:val="24"/>
                <w:szCs w:val="24"/>
              </w:rPr>
              <w:t>50</w:t>
            </w:r>
            <w:r w:rsidRPr="0041020C">
              <w:rPr>
                <w:rFonts w:ascii="Times New Roman" w:hAnsi="Times New Roman" w:cs="Times New Roman"/>
                <w:i w:val="0"/>
                <w:iCs w:val="0"/>
                <w:noProof/>
                <w:webHidden/>
                <w:sz w:val="24"/>
                <w:szCs w:val="24"/>
              </w:rPr>
              <w:fldChar w:fldCharType="end"/>
            </w:r>
          </w:hyperlink>
        </w:p>
        <w:p w14:paraId="58F9B81F" w14:textId="4BB70D00" w:rsidR="003D770C" w:rsidRPr="0041020C" w:rsidRDefault="003D770C" w:rsidP="001953BB">
          <w:pPr>
            <w:pStyle w:val="TOC3"/>
            <w:tabs>
              <w:tab w:val="right" w:leader="dot" w:pos="9350"/>
            </w:tabs>
            <w:rPr>
              <w:rFonts w:ascii="Times New Roman" w:eastAsiaTheme="minorEastAsia" w:hAnsi="Times New Roman" w:cs="Times New Roman"/>
              <w:noProof/>
              <w:sz w:val="24"/>
              <w:szCs w:val="24"/>
              <w:lang/>
            </w:rPr>
          </w:pPr>
          <w:hyperlink w:anchor="_Toc188378997" w:history="1">
            <w:r w:rsidRPr="0041020C">
              <w:rPr>
                <w:rStyle w:val="Hyperlink"/>
                <w:rFonts w:ascii="Times New Roman" w:hAnsi="Times New Roman" w:cs="Times New Roman"/>
                <w:noProof/>
                <w:sz w:val="24"/>
                <w:szCs w:val="24"/>
              </w:rPr>
              <w:t>1.6.1 Primary Findings and Hypotheses Validation</w:t>
            </w:r>
            <w:r w:rsidRPr="0041020C">
              <w:rPr>
                <w:rFonts w:ascii="Times New Roman" w:hAnsi="Times New Roman" w:cs="Times New Roman"/>
                <w:noProof/>
                <w:webHidden/>
                <w:sz w:val="24"/>
                <w:szCs w:val="24"/>
              </w:rPr>
              <w:tab/>
            </w:r>
            <w:r w:rsidRPr="0041020C">
              <w:rPr>
                <w:rFonts w:ascii="Times New Roman" w:hAnsi="Times New Roman" w:cs="Times New Roman"/>
                <w:noProof/>
                <w:webHidden/>
                <w:sz w:val="24"/>
                <w:szCs w:val="24"/>
              </w:rPr>
              <w:fldChar w:fldCharType="begin"/>
            </w:r>
            <w:r w:rsidRPr="0041020C">
              <w:rPr>
                <w:rFonts w:ascii="Times New Roman" w:hAnsi="Times New Roman" w:cs="Times New Roman"/>
                <w:noProof/>
                <w:webHidden/>
                <w:sz w:val="24"/>
                <w:szCs w:val="24"/>
              </w:rPr>
              <w:instrText xml:space="preserve"> PAGEREF _Toc188378997 \h </w:instrText>
            </w:r>
            <w:r w:rsidRPr="0041020C">
              <w:rPr>
                <w:rFonts w:ascii="Times New Roman" w:hAnsi="Times New Roman" w:cs="Times New Roman"/>
                <w:noProof/>
                <w:webHidden/>
                <w:sz w:val="24"/>
                <w:szCs w:val="24"/>
              </w:rPr>
            </w:r>
            <w:r w:rsidRPr="0041020C">
              <w:rPr>
                <w:rFonts w:ascii="Times New Roman" w:hAnsi="Times New Roman" w:cs="Times New Roman"/>
                <w:noProof/>
                <w:webHidden/>
                <w:sz w:val="24"/>
                <w:szCs w:val="24"/>
              </w:rPr>
              <w:fldChar w:fldCharType="separate"/>
            </w:r>
            <w:r w:rsidR="00EB6467">
              <w:rPr>
                <w:rFonts w:ascii="Times New Roman" w:hAnsi="Times New Roman" w:cs="Times New Roman"/>
                <w:noProof/>
                <w:webHidden/>
                <w:sz w:val="24"/>
                <w:szCs w:val="24"/>
              </w:rPr>
              <w:t>50</w:t>
            </w:r>
            <w:r w:rsidRPr="0041020C">
              <w:rPr>
                <w:rFonts w:ascii="Times New Roman" w:hAnsi="Times New Roman" w:cs="Times New Roman"/>
                <w:noProof/>
                <w:webHidden/>
                <w:sz w:val="24"/>
                <w:szCs w:val="24"/>
              </w:rPr>
              <w:fldChar w:fldCharType="end"/>
            </w:r>
          </w:hyperlink>
        </w:p>
        <w:p w14:paraId="7F19652F" w14:textId="23377E92" w:rsidR="003D770C" w:rsidRPr="0041020C" w:rsidRDefault="003D770C" w:rsidP="001953BB">
          <w:pPr>
            <w:pStyle w:val="TOC3"/>
            <w:tabs>
              <w:tab w:val="right" w:leader="dot" w:pos="9350"/>
            </w:tabs>
            <w:rPr>
              <w:rFonts w:ascii="Times New Roman" w:eastAsiaTheme="minorEastAsia" w:hAnsi="Times New Roman" w:cs="Times New Roman"/>
              <w:noProof/>
              <w:sz w:val="24"/>
              <w:szCs w:val="24"/>
              <w:lang/>
            </w:rPr>
          </w:pPr>
          <w:hyperlink w:anchor="_Toc188378998" w:history="1">
            <w:r w:rsidRPr="0041020C">
              <w:rPr>
                <w:rStyle w:val="Hyperlink"/>
                <w:rFonts w:ascii="Times New Roman" w:hAnsi="Times New Roman" w:cs="Times New Roman"/>
                <w:noProof/>
                <w:sz w:val="24"/>
                <w:szCs w:val="24"/>
              </w:rPr>
              <w:t>1.6.2 Sectoral Insights</w:t>
            </w:r>
            <w:r w:rsidRPr="0041020C">
              <w:rPr>
                <w:rFonts w:ascii="Times New Roman" w:hAnsi="Times New Roman" w:cs="Times New Roman"/>
                <w:noProof/>
                <w:webHidden/>
                <w:sz w:val="24"/>
                <w:szCs w:val="24"/>
              </w:rPr>
              <w:tab/>
            </w:r>
            <w:r w:rsidRPr="0041020C">
              <w:rPr>
                <w:rFonts w:ascii="Times New Roman" w:hAnsi="Times New Roman" w:cs="Times New Roman"/>
                <w:noProof/>
                <w:webHidden/>
                <w:sz w:val="24"/>
                <w:szCs w:val="24"/>
              </w:rPr>
              <w:fldChar w:fldCharType="begin"/>
            </w:r>
            <w:r w:rsidRPr="0041020C">
              <w:rPr>
                <w:rFonts w:ascii="Times New Roman" w:hAnsi="Times New Roman" w:cs="Times New Roman"/>
                <w:noProof/>
                <w:webHidden/>
                <w:sz w:val="24"/>
                <w:szCs w:val="24"/>
              </w:rPr>
              <w:instrText xml:space="preserve"> PAGEREF _Toc188378998 \h </w:instrText>
            </w:r>
            <w:r w:rsidRPr="0041020C">
              <w:rPr>
                <w:rFonts w:ascii="Times New Roman" w:hAnsi="Times New Roman" w:cs="Times New Roman"/>
                <w:noProof/>
                <w:webHidden/>
                <w:sz w:val="24"/>
                <w:szCs w:val="24"/>
              </w:rPr>
            </w:r>
            <w:r w:rsidRPr="0041020C">
              <w:rPr>
                <w:rFonts w:ascii="Times New Roman" w:hAnsi="Times New Roman" w:cs="Times New Roman"/>
                <w:noProof/>
                <w:webHidden/>
                <w:sz w:val="24"/>
                <w:szCs w:val="24"/>
              </w:rPr>
              <w:fldChar w:fldCharType="separate"/>
            </w:r>
            <w:r w:rsidR="00EB6467">
              <w:rPr>
                <w:rFonts w:ascii="Times New Roman" w:hAnsi="Times New Roman" w:cs="Times New Roman"/>
                <w:noProof/>
                <w:webHidden/>
                <w:sz w:val="24"/>
                <w:szCs w:val="24"/>
              </w:rPr>
              <w:t>51</w:t>
            </w:r>
            <w:r w:rsidRPr="0041020C">
              <w:rPr>
                <w:rFonts w:ascii="Times New Roman" w:hAnsi="Times New Roman" w:cs="Times New Roman"/>
                <w:noProof/>
                <w:webHidden/>
                <w:sz w:val="24"/>
                <w:szCs w:val="24"/>
              </w:rPr>
              <w:fldChar w:fldCharType="end"/>
            </w:r>
          </w:hyperlink>
        </w:p>
        <w:p w14:paraId="0C4BB9CF" w14:textId="3B62730E" w:rsidR="003D770C" w:rsidRPr="0041020C" w:rsidRDefault="003D770C" w:rsidP="001953BB">
          <w:pPr>
            <w:pStyle w:val="TOC3"/>
            <w:tabs>
              <w:tab w:val="right" w:leader="dot" w:pos="9350"/>
            </w:tabs>
            <w:rPr>
              <w:rFonts w:ascii="Times New Roman" w:eastAsiaTheme="minorEastAsia" w:hAnsi="Times New Roman" w:cs="Times New Roman"/>
              <w:noProof/>
              <w:sz w:val="24"/>
              <w:szCs w:val="24"/>
              <w:lang/>
            </w:rPr>
          </w:pPr>
          <w:hyperlink w:anchor="_Toc188378999" w:history="1">
            <w:r w:rsidRPr="0041020C">
              <w:rPr>
                <w:rStyle w:val="Hyperlink"/>
                <w:rFonts w:ascii="Times New Roman" w:hAnsi="Times New Roman" w:cs="Times New Roman"/>
                <w:noProof/>
                <w:sz w:val="24"/>
                <w:szCs w:val="24"/>
              </w:rPr>
              <w:t>1.6.3 Theoretical Contributions</w:t>
            </w:r>
            <w:r w:rsidRPr="0041020C">
              <w:rPr>
                <w:rFonts w:ascii="Times New Roman" w:hAnsi="Times New Roman" w:cs="Times New Roman"/>
                <w:noProof/>
                <w:webHidden/>
                <w:sz w:val="24"/>
                <w:szCs w:val="24"/>
              </w:rPr>
              <w:tab/>
            </w:r>
            <w:r w:rsidRPr="0041020C">
              <w:rPr>
                <w:rFonts w:ascii="Times New Roman" w:hAnsi="Times New Roman" w:cs="Times New Roman"/>
                <w:noProof/>
                <w:webHidden/>
                <w:sz w:val="24"/>
                <w:szCs w:val="24"/>
              </w:rPr>
              <w:fldChar w:fldCharType="begin"/>
            </w:r>
            <w:r w:rsidRPr="0041020C">
              <w:rPr>
                <w:rFonts w:ascii="Times New Roman" w:hAnsi="Times New Roman" w:cs="Times New Roman"/>
                <w:noProof/>
                <w:webHidden/>
                <w:sz w:val="24"/>
                <w:szCs w:val="24"/>
              </w:rPr>
              <w:instrText xml:space="preserve"> PAGEREF _Toc188378999 \h </w:instrText>
            </w:r>
            <w:r w:rsidRPr="0041020C">
              <w:rPr>
                <w:rFonts w:ascii="Times New Roman" w:hAnsi="Times New Roman" w:cs="Times New Roman"/>
                <w:noProof/>
                <w:webHidden/>
                <w:sz w:val="24"/>
                <w:szCs w:val="24"/>
              </w:rPr>
            </w:r>
            <w:r w:rsidRPr="0041020C">
              <w:rPr>
                <w:rFonts w:ascii="Times New Roman" w:hAnsi="Times New Roman" w:cs="Times New Roman"/>
                <w:noProof/>
                <w:webHidden/>
                <w:sz w:val="24"/>
                <w:szCs w:val="24"/>
              </w:rPr>
              <w:fldChar w:fldCharType="separate"/>
            </w:r>
            <w:r w:rsidR="00EB6467">
              <w:rPr>
                <w:rFonts w:ascii="Times New Roman" w:hAnsi="Times New Roman" w:cs="Times New Roman"/>
                <w:noProof/>
                <w:webHidden/>
                <w:sz w:val="24"/>
                <w:szCs w:val="24"/>
              </w:rPr>
              <w:t>52</w:t>
            </w:r>
            <w:r w:rsidRPr="0041020C">
              <w:rPr>
                <w:rFonts w:ascii="Times New Roman" w:hAnsi="Times New Roman" w:cs="Times New Roman"/>
                <w:noProof/>
                <w:webHidden/>
                <w:sz w:val="24"/>
                <w:szCs w:val="24"/>
              </w:rPr>
              <w:fldChar w:fldCharType="end"/>
            </w:r>
          </w:hyperlink>
        </w:p>
        <w:p w14:paraId="5023E5E2" w14:textId="4150A6B4" w:rsidR="003D770C" w:rsidRPr="0041020C" w:rsidRDefault="003D770C" w:rsidP="001953BB">
          <w:pPr>
            <w:pStyle w:val="TOC3"/>
            <w:tabs>
              <w:tab w:val="right" w:leader="dot" w:pos="9350"/>
            </w:tabs>
            <w:rPr>
              <w:rFonts w:ascii="Times New Roman" w:eastAsiaTheme="minorEastAsia" w:hAnsi="Times New Roman" w:cs="Times New Roman"/>
              <w:noProof/>
              <w:sz w:val="24"/>
              <w:szCs w:val="24"/>
              <w:lang/>
            </w:rPr>
          </w:pPr>
          <w:hyperlink w:anchor="_Toc188379000" w:history="1">
            <w:r w:rsidRPr="0041020C">
              <w:rPr>
                <w:rStyle w:val="Hyperlink"/>
                <w:rFonts w:ascii="Times New Roman" w:hAnsi="Times New Roman" w:cs="Times New Roman"/>
                <w:noProof/>
                <w:sz w:val="24"/>
                <w:szCs w:val="24"/>
              </w:rPr>
              <w:t>1.6.4 Policy Implications</w:t>
            </w:r>
            <w:r w:rsidRPr="0041020C">
              <w:rPr>
                <w:rFonts w:ascii="Times New Roman" w:hAnsi="Times New Roman" w:cs="Times New Roman"/>
                <w:noProof/>
                <w:webHidden/>
                <w:sz w:val="24"/>
                <w:szCs w:val="24"/>
              </w:rPr>
              <w:tab/>
            </w:r>
            <w:r w:rsidRPr="0041020C">
              <w:rPr>
                <w:rFonts w:ascii="Times New Roman" w:hAnsi="Times New Roman" w:cs="Times New Roman"/>
                <w:noProof/>
                <w:webHidden/>
                <w:sz w:val="24"/>
                <w:szCs w:val="24"/>
              </w:rPr>
              <w:fldChar w:fldCharType="begin"/>
            </w:r>
            <w:r w:rsidRPr="0041020C">
              <w:rPr>
                <w:rFonts w:ascii="Times New Roman" w:hAnsi="Times New Roman" w:cs="Times New Roman"/>
                <w:noProof/>
                <w:webHidden/>
                <w:sz w:val="24"/>
                <w:szCs w:val="24"/>
              </w:rPr>
              <w:instrText xml:space="preserve"> PAGEREF _Toc188379000 \h </w:instrText>
            </w:r>
            <w:r w:rsidRPr="0041020C">
              <w:rPr>
                <w:rFonts w:ascii="Times New Roman" w:hAnsi="Times New Roman" w:cs="Times New Roman"/>
                <w:noProof/>
                <w:webHidden/>
                <w:sz w:val="24"/>
                <w:szCs w:val="24"/>
              </w:rPr>
            </w:r>
            <w:r w:rsidRPr="0041020C">
              <w:rPr>
                <w:rFonts w:ascii="Times New Roman" w:hAnsi="Times New Roman" w:cs="Times New Roman"/>
                <w:noProof/>
                <w:webHidden/>
                <w:sz w:val="24"/>
                <w:szCs w:val="24"/>
              </w:rPr>
              <w:fldChar w:fldCharType="separate"/>
            </w:r>
            <w:r w:rsidR="00EB6467">
              <w:rPr>
                <w:rFonts w:ascii="Times New Roman" w:hAnsi="Times New Roman" w:cs="Times New Roman"/>
                <w:noProof/>
                <w:webHidden/>
                <w:sz w:val="24"/>
                <w:szCs w:val="24"/>
              </w:rPr>
              <w:t>52</w:t>
            </w:r>
            <w:r w:rsidRPr="0041020C">
              <w:rPr>
                <w:rFonts w:ascii="Times New Roman" w:hAnsi="Times New Roman" w:cs="Times New Roman"/>
                <w:noProof/>
                <w:webHidden/>
                <w:sz w:val="24"/>
                <w:szCs w:val="24"/>
              </w:rPr>
              <w:fldChar w:fldCharType="end"/>
            </w:r>
          </w:hyperlink>
        </w:p>
        <w:p w14:paraId="0C36E4F9" w14:textId="0FD9596F" w:rsidR="003D770C" w:rsidRPr="0041020C" w:rsidRDefault="003D770C" w:rsidP="001953BB">
          <w:pPr>
            <w:pStyle w:val="TOC3"/>
            <w:tabs>
              <w:tab w:val="right" w:leader="dot" w:pos="9350"/>
            </w:tabs>
            <w:rPr>
              <w:rFonts w:ascii="Times New Roman" w:eastAsiaTheme="minorEastAsia" w:hAnsi="Times New Roman" w:cs="Times New Roman"/>
              <w:noProof/>
              <w:sz w:val="24"/>
              <w:szCs w:val="24"/>
              <w:lang/>
            </w:rPr>
          </w:pPr>
          <w:hyperlink w:anchor="_Toc188379001" w:history="1">
            <w:r w:rsidRPr="0041020C">
              <w:rPr>
                <w:rStyle w:val="Hyperlink"/>
                <w:rFonts w:ascii="Times New Roman" w:hAnsi="Times New Roman" w:cs="Times New Roman"/>
                <w:noProof/>
                <w:sz w:val="24"/>
                <w:szCs w:val="24"/>
              </w:rPr>
              <w:t>1.6.5 Summary</w:t>
            </w:r>
            <w:r w:rsidRPr="0041020C">
              <w:rPr>
                <w:rFonts w:ascii="Times New Roman" w:hAnsi="Times New Roman" w:cs="Times New Roman"/>
                <w:noProof/>
                <w:webHidden/>
                <w:sz w:val="24"/>
                <w:szCs w:val="24"/>
              </w:rPr>
              <w:tab/>
            </w:r>
            <w:r w:rsidRPr="0041020C">
              <w:rPr>
                <w:rFonts w:ascii="Times New Roman" w:hAnsi="Times New Roman" w:cs="Times New Roman"/>
                <w:noProof/>
                <w:webHidden/>
                <w:sz w:val="24"/>
                <w:szCs w:val="24"/>
              </w:rPr>
              <w:fldChar w:fldCharType="begin"/>
            </w:r>
            <w:r w:rsidRPr="0041020C">
              <w:rPr>
                <w:rFonts w:ascii="Times New Roman" w:hAnsi="Times New Roman" w:cs="Times New Roman"/>
                <w:noProof/>
                <w:webHidden/>
                <w:sz w:val="24"/>
                <w:szCs w:val="24"/>
              </w:rPr>
              <w:instrText xml:space="preserve"> PAGEREF _Toc188379001 \h </w:instrText>
            </w:r>
            <w:r w:rsidRPr="0041020C">
              <w:rPr>
                <w:rFonts w:ascii="Times New Roman" w:hAnsi="Times New Roman" w:cs="Times New Roman"/>
                <w:noProof/>
                <w:webHidden/>
                <w:sz w:val="24"/>
                <w:szCs w:val="24"/>
              </w:rPr>
            </w:r>
            <w:r w:rsidRPr="0041020C">
              <w:rPr>
                <w:rFonts w:ascii="Times New Roman" w:hAnsi="Times New Roman" w:cs="Times New Roman"/>
                <w:noProof/>
                <w:webHidden/>
                <w:sz w:val="24"/>
                <w:szCs w:val="24"/>
              </w:rPr>
              <w:fldChar w:fldCharType="separate"/>
            </w:r>
            <w:r w:rsidR="00EB6467">
              <w:rPr>
                <w:rFonts w:ascii="Times New Roman" w:hAnsi="Times New Roman" w:cs="Times New Roman"/>
                <w:noProof/>
                <w:webHidden/>
                <w:sz w:val="24"/>
                <w:szCs w:val="24"/>
              </w:rPr>
              <w:t>53</w:t>
            </w:r>
            <w:r w:rsidRPr="0041020C">
              <w:rPr>
                <w:rFonts w:ascii="Times New Roman" w:hAnsi="Times New Roman" w:cs="Times New Roman"/>
                <w:noProof/>
                <w:webHidden/>
                <w:sz w:val="24"/>
                <w:szCs w:val="24"/>
              </w:rPr>
              <w:fldChar w:fldCharType="end"/>
            </w:r>
          </w:hyperlink>
        </w:p>
        <w:p w14:paraId="30FADE14" w14:textId="2173ADA0" w:rsidR="003D770C" w:rsidRPr="0041020C" w:rsidRDefault="003D770C" w:rsidP="001953BB">
          <w:pPr>
            <w:pStyle w:val="TOC2"/>
            <w:tabs>
              <w:tab w:val="right" w:leader="dot" w:pos="9350"/>
            </w:tabs>
            <w:spacing w:before="0"/>
            <w:rPr>
              <w:rFonts w:ascii="Times New Roman" w:eastAsiaTheme="minorEastAsia" w:hAnsi="Times New Roman" w:cs="Times New Roman"/>
              <w:i w:val="0"/>
              <w:iCs w:val="0"/>
              <w:noProof/>
              <w:sz w:val="24"/>
              <w:szCs w:val="24"/>
              <w:lang/>
            </w:rPr>
          </w:pPr>
          <w:hyperlink w:anchor="_Toc188379002" w:history="1">
            <w:r w:rsidRPr="0041020C">
              <w:rPr>
                <w:rStyle w:val="Hyperlink"/>
                <w:rFonts w:ascii="Times New Roman" w:hAnsi="Times New Roman" w:cs="Times New Roman"/>
                <w:i w:val="0"/>
                <w:iCs w:val="0"/>
                <w:noProof/>
                <w:sz w:val="24"/>
                <w:szCs w:val="24"/>
              </w:rPr>
              <w:t>1.</w:t>
            </w:r>
            <w:r w:rsidRPr="0041020C">
              <w:rPr>
                <w:rStyle w:val="Hyperlink"/>
                <w:rFonts w:ascii="Times New Roman" w:hAnsi="Times New Roman" w:cs="Times New Roman"/>
                <w:i w:val="0"/>
                <w:iCs w:val="0"/>
                <w:noProof/>
                <w:sz w:val="24"/>
                <w:szCs w:val="24"/>
                <w:lang w:val="zh-CN"/>
              </w:rPr>
              <w:t>7</w:t>
            </w:r>
            <w:r w:rsidRPr="0041020C">
              <w:rPr>
                <w:rStyle w:val="Hyperlink"/>
                <w:rFonts w:ascii="Times New Roman" w:hAnsi="Times New Roman" w:cs="Times New Roman"/>
                <w:i w:val="0"/>
                <w:iCs w:val="0"/>
                <w:noProof/>
                <w:sz w:val="24"/>
                <w:szCs w:val="24"/>
              </w:rPr>
              <w:t xml:space="preserve"> </w:t>
            </w:r>
            <w:r w:rsidRPr="0041020C">
              <w:rPr>
                <w:rStyle w:val="Hyperlink"/>
                <w:rFonts w:ascii="Times New Roman" w:hAnsi="Times New Roman" w:cs="Times New Roman"/>
                <w:i w:val="0"/>
                <w:iCs w:val="0"/>
                <w:noProof/>
                <w:sz w:val="24"/>
                <w:szCs w:val="24"/>
                <w:lang w:val="zh-CN"/>
              </w:rPr>
              <w:t>Conclusion</w:t>
            </w:r>
            <w:r w:rsidRPr="0041020C">
              <w:rPr>
                <w:rFonts w:ascii="Times New Roman" w:hAnsi="Times New Roman" w:cs="Times New Roman"/>
                <w:i w:val="0"/>
                <w:iCs w:val="0"/>
                <w:noProof/>
                <w:webHidden/>
                <w:sz w:val="24"/>
                <w:szCs w:val="24"/>
              </w:rPr>
              <w:tab/>
            </w:r>
            <w:r w:rsidRPr="0041020C">
              <w:rPr>
                <w:rFonts w:ascii="Times New Roman" w:hAnsi="Times New Roman" w:cs="Times New Roman"/>
                <w:i w:val="0"/>
                <w:iCs w:val="0"/>
                <w:noProof/>
                <w:webHidden/>
                <w:sz w:val="24"/>
                <w:szCs w:val="24"/>
              </w:rPr>
              <w:fldChar w:fldCharType="begin"/>
            </w:r>
            <w:r w:rsidRPr="0041020C">
              <w:rPr>
                <w:rFonts w:ascii="Times New Roman" w:hAnsi="Times New Roman" w:cs="Times New Roman"/>
                <w:i w:val="0"/>
                <w:iCs w:val="0"/>
                <w:noProof/>
                <w:webHidden/>
                <w:sz w:val="24"/>
                <w:szCs w:val="24"/>
              </w:rPr>
              <w:instrText xml:space="preserve"> PAGEREF _Toc188379002 \h </w:instrText>
            </w:r>
            <w:r w:rsidRPr="0041020C">
              <w:rPr>
                <w:rFonts w:ascii="Times New Roman" w:hAnsi="Times New Roman" w:cs="Times New Roman"/>
                <w:i w:val="0"/>
                <w:iCs w:val="0"/>
                <w:noProof/>
                <w:webHidden/>
                <w:sz w:val="24"/>
                <w:szCs w:val="24"/>
              </w:rPr>
            </w:r>
            <w:r w:rsidRPr="0041020C">
              <w:rPr>
                <w:rFonts w:ascii="Times New Roman" w:hAnsi="Times New Roman" w:cs="Times New Roman"/>
                <w:i w:val="0"/>
                <w:iCs w:val="0"/>
                <w:noProof/>
                <w:webHidden/>
                <w:sz w:val="24"/>
                <w:szCs w:val="24"/>
              </w:rPr>
              <w:fldChar w:fldCharType="separate"/>
            </w:r>
            <w:r w:rsidR="00EB6467">
              <w:rPr>
                <w:rFonts w:ascii="Times New Roman" w:hAnsi="Times New Roman" w:cs="Times New Roman"/>
                <w:i w:val="0"/>
                <w:iCs w:val="0"/>
                <w:noProof/>
                <w:webHidden/>
                <w:sz w:val="24"/>
                <w:szCs w:val="24"/>
              </w:rPr>
              <w:t>53</w:t>
            </w:r>
            <w:r w:rsidRPr="0041020C">
              <w:rPr>
                <w:rFonts w:ascii="Times New Roman" w:hAnsi="Times New Roman" w:cs="Times New Roman"/>
                <w:i w:val="0"/>
                <w:iCs w:val="0"/>
                <w:noProof/>
                <w:webHidden/>
                <w:sz w:val="24"/>
                <w:szCs w:val="24"/>
              </w:rPr>
              <w:fldChar w:fldCharType="end"/>
            </w:r>
          </w:hyperlink>
        </w:p>
        <w:p w14:paraId="232672E5" w14:textId="2A59A975" w:rsidR="003D770C" w:rsidRPr="0041020C" w:rsidRDefault="003D770C" w:rsidP="001953BB">
          <w:pPr>
            <w:pStyle w:val="TOC2"/>
            <w:tabs>
              <w:tab w:val="right" w:leader="dot" w:pos="9350"/>
            </w:tabs>
            <w:spacing w:before="0"/>
            <w:rPr>
              <w:rFonts w:ascii="Times New Roman" w:eastAsiaTheme="minorEastAsia" w:hAnsi="Times New Roman" w:cs="Times New Roman"/>
              <w:i w:val="0"/>
              <w:iCs w:val="0"/>
              <w:noProof/>
              <w:sz w:val="24"/>
              <w:szCs w:val="24"/>
              <w:lang/>
            </w:rPr>
          </w:pPr>
          <w:hyperlink w:anchor="_Toc188379003" w:history="1">
            <w:r w:rsidRPr="0041020C">
              <w:rPr>
                <w:rStyle w:val="Hyperlink"/>
                <w:rFonts w:ascii="Times New Roman" w:hAnsi="Times New Roman" w:cs="Times New Roman"/>
                <w:i w:val="0"/>
                <w:iCs w:val="0"/>
                <w:noProof/>
                <w:sz w:val="24"/>
                <w:szCs w:val="24"/>
                <w:lang w:val="zh-CN"/>
              </w:rPr>
              <w:t>References</w:t>
            </w:r>
            <w:r w:rsidRPr="0041020C">
              <w:rPr>
                <w:rFonts w:ascii="Times New Roman" w:hAnsi="Times New Roman" w:cs="Times New Roman"/>
                <w:i w:val="0"/>
                <w:iCs w:val="0"/>
                <w:noProof/>
                <w:webHidden/>
                <w:sz w:val="24"/>
                <w:szCs w:val="24"/>
              </w:rPr>
              <w:tab/>
            </w:r>
            <w:r w:rsidRPr="0041020C">
              <w:rPr>
                <w:rFonts w:ascii="Times New Roman" w:hAnsi="Times New Roman" w:cs="Times New Roman"/>
                <w:i w:val="0"/>
                <w:iCs w:val="0"/>
                <w:noProof/>
                <w:webHidden/>
                <w:sz w:val="24"/>
                <w:szCs w:val="24"/>
              </w:rPr>
              <w:fldChar w:fldCharType="begin"/>
            </w:r>
            <w:r w:rsidRPr="0041020C">
              <w:rPr>
                <w:rFonts w:ascii="Times New Roman" w:hAnsi="Times New Roman" w:cs="Times New Roman"/>
                <w:i w:val="0"/>
                <w:iCs w:val="0"/>
                <w:noProof/>
                <w:webHidden/>
                <w:sz w:val="24"/>
                <w:szCs w:val="24"/>
              </w:rPr>
              <w:instrText xml:space="preserve"> PAGEREF _Toc188379003 \h </w:instrText>
            </w:r>
            <w:r w:rsidRPr="0041020C">
              <w:rPr>
                <w:rFonts w:ascii="Times New Roman" w:hAnsi="Times New Roman" w:cs="Times New Roman"/>
                <w:i w:val="0"/>
                <w:iCs w:val="0"/>
                <w:noProof/>
                <w:webHidden/>
                <w:sz w:val="24"/>
                <w:szCs w:val="24"/>
              </w:rPr>
            </w:r>
            <w:r w:rsidRPr="0041020C">
              <w:rPr>
                <w:rFonts w:ascii="Times New Roman" w:hAnsi="Times New Roman" w:cs="Times New Roman"/>
                <w:i w:val="0"/>
                <w:iCs w:val="0"/>
                <w:noProof/>
                <w:webHidden/>
                <w:sz w:val="24"/>
                <w:szCs w:val="24"/>
              </w:rPr>
              <w:fldChar w:fldCharType="separate"/>
            </w:r>
            <w:r w:rsidR="00EB6467">
              <w:rPr>
                <w:rFonts w:ascii="Times New Roman" w:hAnsi="Times New Roman" w:cs="Times New Roman"/>
                <w:i w:val="0"/>
                <w:iCs w:val="0"/>
                <w:noProof/>
                <w:webHidden/>
                <w:sz w:val="24"/>
                <w:szCs w:val="24"/>
              </w:rPr>
              <w:t>57</w:t>
            </w:r>
            <w:r w:rsidRPr="0041020C">
              <w:rPr>
                <w:rFonts w:ascii="Times New Roman" w:hAnsi="Times New Roman" w:cs="Times New Roman"/>
                <w:i w:val="0"/>
                <w:iCs w:val="0"/>
                <w:noProof/>
                <w:webHidden/>
                <w:sz w:val="24"/>
                <w:szCs w:val="24"/>
              </w:rPr>
              <w:fldChar w:fldCharType="end"/>
            </w:r>
          </w:hyperlink>
        </w:p>
        <w:p w14:paraId="15127590" w14:textId="00AC4EB7" w:rsidR="003D770C" w:rsidRPr="0041020C" w:rsidRDefault="003D770C" w:rsidP="001953BB">
          <w:pPr>
            <w:pStyle w:val="TOC2"/>
            <w:tabs>
              <w:tab w:val="right" w:leader="dot" w:pos="9350"/>
            </w:tabs>
            <w:spacing w:before="0"/>
            <w:rPr>
              <w:rFonts w:ascii="Times New Roman" w:eastAsiaTheme="minorEastAsia" w:hAnsi="Times New Roman" w:cs="Times New Roman"/>
              <w:i w:val="0"/>
              <w:iCs w:val="0"/>
              <w:noProof/>
              <w:sz w:val="24"/>
              <w:szCs w:val="24"/>
              <w:lang/>
            </w:rPr>
          </w:pPr>
          <w:hyperlink w:anchor="_Toc188379004" w:history="1">
            <w:r w:rsidRPr="0041020C">
              <w:rPr>
                <w:rStyle w:val="Hyperlink"/>
                <w:rFonts w:ascii="Times New Roman" w:hAnsi="Times New Roman" w:cs="Times New Roman"/>
                <w:i w:val="0"/>
                <w:iCs w:val="0"/>
                <w:noProof/>
                <w:sz w:val="24"/>
                <w:szCs w:val="24"/>
              </w:rPr>
              <w:t>Appendix</w:t>
            </w:r>
            <w:r w:rsidRPr="0041020C">
              <w:rPr>
                <w:rFonts w:ascii="Times New Roman" w:hAnsi="Times New Roman" w:cs="Times New Roman"/>
                <w:i w:val="0"/>
                <w:iCs w:val="0"/>
                <w:noProof/>
                <w:webHidden/>
                <w:sz w:val="24"/>
                <w:szCs w:val="24"/>
              </w:rPr>
              <w:tab/>
            </w:r>
            <w:r w:rsidRPr="0041020C">
              <w:rPr>
                <w:rFonts w:ascii="Times New Roman" w:hAnsi="Times New Roman" w:cs="Times New Roman"/>
                <w:i w:val="0"/>
                <w:iCs w:val="0"/>
                <w:noProof/>
                <w:webHidden/>
                <w:sz w:val="24"/>
                <w:szCs w:val="24"/>
              </w:rPr>
              <w:fldChar w:fldCharType="begin"/>
            </w:r>
            <w:r w:rsidRPr="0041020C">
              <w:rPr>
                <w:rFonts w:ascii="Times New Roman" w:hAnsi="Times New Roman" w:cs="Times New Roman"/>
                <w:i w:val="0"/>
                <w:iCs w:val="0"/>
                <w:noProof/>
                <w:webHidden/>
                <w:sz w:val="24"/>
                <w:szCs w:val="24"/>
              </w:rPr>
              <w:instrText xml:space="preserve"> PAGEREF _Toc188379004 \h </w:instrText>
            </w:r>
            <w:r w:rsidRPr="0041020C">
              <w:rPr>
                <w:rFonts w:ascii="Times New Roman" w:hAnsi="Times New Roman" w:cs="Times New Roman"/>
                <w:i w:val="0"/>
                <w:iCs w:val="0"/>
                <w:noProof/>
                <w:webHidden/>
                <w:sz w:val="24"/>
                <w:szCs w:val="24"/>
              </w:rPr>
            </w:r>
            <w:r w:rsidRPr="0041020C">
              <w:rPr>
                <w:rFonts w:ascii="Times New Roman" w:hAnsi="Times New Roman" w:cs="Times New Roman"/>
                <w:i w:val="0"/>
                <w:iCs w:val="0"/>
                <w:noProof/>
                <w:webHidden/>
                <w:sz w:val="24"/>
                <w:szCs w:val="24"/>
              </w:rPr>
              <w:fldChar w:fldCharType="separate"/>
            </w:r>
            <w:r w:rsidR="00EB6467">
              <w:rPr>
                <w:rFonts w:ascii="Times New Roman" w:hAnsi="Times New Roman" w:cs="Times New Roman"/>
                <w:i w:val="0"/>
                <w:iCs w:val="0"/>
                <w:noProof/>
                <w:webHidden/>
                <w:sz w:val="24"/>
                <w:szCs w:val="24"/>
              </w:rPr>
              <w:t>71</w:t>
            </w:r>
            <w:r w:rsidRPr="0041020C">
              <w:rPr>
                <w:rFonts w:ascii="Times New Roman" w:hAnsi="Times New Roman" w:cs="Times New Roman"/>
                <w:i w:val="0"/>
                <w:iCs w:val="0"/>
                <w:noProof/>
                <w:webHidden/>
                <w:sz w:val="24"/>
                <w:szCs w:val="24"/>
              </w:rPr>
              <w:fldChar w:fldCharType="end"/>
            </w:r>
          </w:hyperlink>
        </w:p>
        <w:p w14:paraId="0034DBE6" w14:textId="5A8EDD13" w:rsidR="003D770C" w:rsidRPr="001329F7" w:rsidRDefault="003D770C" w:rsidP="001953BB">
          <w:pPr>
            <w:pStyle w:val="TOC1"/>
            <w:spacing w:before="0" w:after="0"/>
            <w:rPr>
              <w:rFonts w:eastAsiaTheme="minorEastAsia"/>
              <w:lang/>
            </w:rPr>
          </w:pPr>
          <w:hyperlink w:anchor="_Toc188379005" w:history="1">
            <w:r w:rsidRPr="001329F7">
              <w:rPr>
                <w:rStyle w:val="Hyperlink"/>
              </w:rPr>
              <w:t>CHAPTER 2: NAVIGATING THE INFERNO</w:t>
            </w:r>
            <w:r w:rsidRPr="001329F7">
              <w:rPr>
                <w:webHidden/>
              </w:rPr>
              <w:tab/>
            </w:r>
            <w:r w:rsidRPr="001329F7">
              <w:rPr>
                <w:webHidden/>
              </w:rPr>
              <w:fldChar w:fldCharType="begin"/>
            </w:r>
            <w:r w:rsidRPr="001329F7">
              <w:rPr>
                <w:webHidden/>
              </w:rPr>
              <w:instrText xml:space="preserve"> PAGEREF _Toc188379005 \h </w:instrText>
            </w:r>
            <w:r w:rsidRPr="001329F7">
              <w:rPr>
                <w:webHidden/>
              </w:rPr>
            </w:r>
            <w:r w:rsidRPr="001329F7">
              <w:rPr>
                <w:webHidden/>
              </w:rPr>
              <w:fldChar w:fldCharType="separate"/>
            </w:r>
            <w:r w:rsidR="00EB6467">
              <w:rPr>
                <w:webHidden/>
              </w:rPr>
              <w:t>136</w:t>
            </w:r>
            <w:r w:rsidRPr="001329F7">
              <w:rPr>
                <w:webHidden/>
              </w:rPr>
              <w:fldChar w:fldCharType="end"/>
            </w:r>
          </w:hyperlink>
        </w:p>
        <w:p w14:paraId="06E4BE15" w14:textId="3CED9F0E" w:rsidR="003D770C" w:rsidRPr="0041020C" w:rsidRDefault="003D770C" w:rsidP="001953BB">
          <w:pPr>
            <w:pStyle w:val="TOC2"/>
            <w:tabs>
              <w:tab w:val="right" w:leader="dot" w:pos="9350"/>
            </w:tabs>
            <w:spacing w:before="0"/>
            <w:rPr>
              <w:rFonts w:ascii="Times New Roman" w:eastAsiaTheme="minorEastAsia" w:hAnsi="Times New Roman" w:cs="Times New Roman"/>
              <w:i w:val="0"/>
              <w:iCs w:val="0"/>
              <w:noProof/>
              <w:sz w:val="24"/>
              <w:szCs w:val="24"/>
              <w:lang/>
            </w:rPr>
          </w:pPr>
          <w:hyperlink w:anchor="_Toc188379006" w:history="1">
            <w:r w:rsidRPr="0041020C">
              <w:rPr>
                <w:rStyle w:val="Hyperlink"/>
                <w:rFonts w:ascii="Times New Roman" w:hAnsi="Times New Roman" w:cs="Times New Roman"/>
                <w:i w:val="0"/>
                <w:iCs w:val="0"/>
                <w:noProof/>
                <w:sz w:val="24"/>
                <w:szCs w:val="24"/>
              </w:rPr>
              <w:t>Abstract</w:t>
            </w:r>
            <w:r w:rsidRPr="0041020C">
              <w:rPr>
                <w:rFonts w:ascii="Times New Roman" w:hAnsi="Times New Roman" w:cs="Times New Roman"/>
                <w:i w:val="0"/>
                <w:iCs w:val="0"/>
                <w:noProof/>
                <w:webHidden/>
                <w:sz w:val="24"/>
                <w:szCs w:val="24"/>
              </w:rPr>
              <w:tab/>
            </w:r>
            <w:r w:rsidRPr="0041020C">
              <w:rPr>
                <w:rFonts w:ascii="Times New Roman" w:hAnsi="Times New Roman" w:cs="Times New Roman"/>
                <w:i w:val="0"/>
                <w:iCs w:val="0"/>
                <w:noProof/>
                <w:webHidden/>
                <w:sz w:val="24"/>
                <w:szCs w:val="24"/>
              </w:rPr>
              <w:fldChar w:fldCharType="begin"/>
            </w:r>
            <w:r w:rsidRPr="0041020C">
              <w:rPr>
                <w:rFonts w:ascii="Times New Roman" w:hAnsi="Times New Roman" w:cs="Times New Roman"/>
                <w:i w:val="0"/>
                <w:iCs w:val="0"/>
                <w:noProof/>
                <w:webHidden/>
                <w:sz w:val="24"/>
                <w:szCs w:val="24"/>
              </w:rPr>
              <w:instrText xml:space="preserve"> PAGEREF _Toc188379006 \h </w:instrText>
            </w:r>
            <w:r w:rsidRPr="0041020C">
              <w:rPr>
                <w:rFonts w:ascii="Times New Roman" w:hAnsi="Times New Roman" w:cs="Times New Roman"/>
                <w:i w:val="0"/>
                <w:iCs w:val="0"/>
                <w:noProof/>
                <w:webHidden/>
                <w:sz w:val="24"/>
                <w:szCs w:val="24"/>
              </w:rPr>
            </w:r>
            <w:r w:rsidRPr="0041020C">
              <w:rPr>
                <w:rFonts w:ascii="Times New Roman" w:hAnsi="Times New Roman" w:cs="Times New Roman"/>
                <w:i w:val="0"/>
                <w:iCs w:val="0"/>
                <w:noProof/>
                <w:webHidden/>
                <w:sz w:val="24"/>
                <w:szCs w:val="24"/>
              </w:rPr>
              <w:fldChar w:fldCharType="separate"/>
            </w:r>
            <w:r w:rsidR="00EB6467">
              <w:rPr>
                <w:rFonts w:ascii="Times New Roman" w:hAnsi="Times New Roman" w:cs="Times New Roman"/>
                <w:i w:val="0"/>
                <w:iCs w:val="0"/>
                <w:noProof/>
                <w:webHidden/>
                <w:sz w:val="24"/>
                <w:szCs w:val="24"/>
              </w:rPr>
              <w:t>137</w:t>
            </w:r>
            <w:r w:rsidRPr="0041020C">
              <w:rPr>
                <w:rFonts w:ascii="Times New Roman" w:hAnsi="Times New Roman" w:cs="Times New Roman"/>
                <w:i w:val="0"/>
                <w:iCs w:val="0"/>
                <w:noProof/>
                <w:webHidden/>
                <w:sz w:val="24"/>
                <w:szCs w:val="24"/>
              </w:rPr>
              <w:fldChar w:fldCharType="end"/>
            </w:r>
          </w:hyperlink>
        </w:p>
        <w:p w14:paraId="105CCF99" w14:textId="0CB02016" w:rsidR="003D770C" w:rsidRPr="0041020C" w:rsidRDefault="003D770C" w:rsidP="001953BB">
          <w:pPr>
            <w:pStyle w:val="TOC2"/>
            <w:tabs>
              <w:tab w:val="right" w:leader="dot" w:pos="9350"/>
            </w:tabs>
            <w:spacing w:before="0"/>
            <w:rPr>
              <w:rFonts w:ascii="Times New Roman" w:eastAsiaTheme="minorEastAsia" w:hAnsi="Times New Roman" w:cs="Times New Roman"/>
              <w:i w:val="0"/>
              <w:iCs w:val="0"/>
              <w:noProof/>
              <w:sz w:val="24"/>
              <w:szCs w:val="24"/>
              <w:lang/>
            </w:rPr>
          </w:pPr>
          <w:hyperlink w:anchor="_Toc188379007" w:history="1">
            <w:r w:rsidRPr="0041020C">
              <w:rPr>
                <w:rStyle w:val="Hyperlink"/>
                <w:rFonts w:ascii="Times New Roman" w:hAnsi="Times New Roman" w:cs="Times New Roman"/>
                <w:i w:val="0"/>
                <w:iCs w:val="0"/>
                <w:noProof/>
                <w:sz w:val="24"/>
                <w:szCs w:val="24"/>
              </w:rPr>
              <w:t>2.1 Introduction</w:t>
            </w:r>
            <w:r w:rsidRPr="0041020C">
              <w:rPr>
                <w:rFonts w:ascii="Times New Roman" w:hAnsi="Times New Roman" w:cs="Times New Roman"/>
                <w:i w:val="0"/>
                <w:iCs w:val="0"/>
                <w:noProof/>
                <w:webHidden/>
                <w:sz w:val="24"/>
                <w:szCs w:val="24"/>
              </w:rPr>
              <w:tab/>
            </w:r>
            <w:r w:rsidRPr="0041020C">
              <w:rPr>
                <w:rFonts w:ascii="Times New Roman" w:hAnsi="Times New Roman" w:cs="Times New Roman"/>
                <w:i w:val="0"/>
                <w:iCs w:val="0"/>
                <w:noProof/>
                <w:webHidden/>
                <w:sz w:val="24"/>
                <w:szCs w:val="24"/>
              </w:rPr>
              <w:fldChar w:fldCharType="begin"/>
            </w:r>
            <w:r w:rsidRPr="0041020C">
              <w:rPr>
                <w:rFonts w:ascii="Times New Roman" w:hAnsi="Times New Roman" w:cs="Times New Roman"/>
                <w:i w:val="0"/>
                <w:iCs w:val="0"/>
                <w:noProof/>
                <w:webHidden/>
                <w:sz w:val="24"/>
                <w:szCs w:val="24"/>
              </w:rPr>
              <w:instrText xml:space="preserve"> PAGEREF _Toc188379007 \h </w:instrText>
            </w:r>
            <w:r w:rsidRPr="0041020C">
              <w:rPr>
                <w:rFonts w:ascii="Times New Roman" w:hAnsi="Times New Roman" w:cs="Times New Roman"/>
                <w:i w:val="0"/>
                <w:iCs w:val="0"/>
                <w:noProof/>
                <w:webHidden/>
                <w:sz w:val="24"/>
                <w:szCs w:val="24"/>
              </w:rPr>
            </w:r>
            <w:r w:rsidRPr="0041020C">
              <w:rPr>
                <w:rFonts w:ascii="Times New Roman" w:hAnsi="Times New Roman" w:cs="Times New Roman"/>
                <w:i w:val="0"/>
                <w:iCs w:val="0"/>
                <w:noProof/>
                <w:webHidden/>
                <w:sz w:val="24"/>
                <w:szCs w:val="24"/>
              </w:rPr>
              <w:fldChar w:fldCharType="separate"/>
            </w:r>
            <w:r w:rsidR="00EB6467">
              <w:rPr>
                <w:rFonts w:ascii="Times New Roman" w:hAnsi="Times New Roman" w:cs="Times New Roman"/>
                <w:i w:val="0"/>
                <w:iCs w:val="0"/>
                <w:noProof/>
                <w:webHidden/>
                <w:sz w:val="24"/>
                <w:szCs w:val="24"/>
              </w:rPr>
              <w:t>138</w:t>
            </w:r>
            <w:r w:rsidRPr="0041020C">
              <w:rPr>
                <w:rFonts w:ascii="Times New Roman" w:hAnsi="Times New Roman" w:cs="Times New Roman"/>
                <w:i w:val="0"/>
                <w:iCs w:val="0"/>
                <w:noProof/>
                <w:webHidden/>
                <w:sz w:val="24"/>
                <w:szCs w:val="24"/>
              </w:rPr>
              <w:fldChar w:fldCharType="end"/>
            </w:r>
          </w:hyperlink>
        </w:p>
        <w:p w14:paraId="5394E9A0" w14:textId="2C1979A0" w:rsidR="003D770C" w:rsidRPr="0041020C" w:rsidRDefault="003D770C" w:rsidP="001953BB">
          <w:pPr>
            <w:pStyle w:val="TOC3"/>
            <w:tabs>
              <w:tab w:val="right" w:leader="dot" w:pos="9350"/>
            </w:tabs>
            <w:rPr>
              <w:rFonts w:ascii="Times New Roman" w:eastAsiaTheme="minorEastAsia" w:hAnsi="Times New Roman" w:cs="Times New Roman"/>
              <w:noProof/>
              <w:sz w:val="24"/>
              <w:szCs w:val="24"/>
              <w:lang/>
            </w:rPr>
          </w:pPr>
          <w:hyperlink w:anchor="_Toc188379008" w:history="1">
            <w:r w:rsidRPr="0041020C">
              <w:rPr>
                <w:rStyle w:val="Hyperlink"/>
                <w:rFonts w:ascii="Times New Roman" w:hAnsi="Times New Roman" w:cs="Times New Roman"/>
                <w:noProof/>
                <w:sz w:val="24"/>
                <w:szCs w:val="24"/>
              </w:rPr>
              <w:t>2.1.1 Research Objectives, Research Questions, and Hypotheses</w:t>
            </w:r>
            <w:r w:rsidRPr="0041020C">
              <w:rPr>
                <w:rFonts w:ascii="Times New Roman" w:hAnsi="Times New Roman" w:cs="Times New Roman"/>
                <w:noProof/>
                <w:webHidden/>
                <w:sz w:val="24"/>
                <w:szCs w:val="24"/>
              </w:rPr>
              <w:tab/>
            </w:r>
            <w:r w:rsidRPr="0041020C">
              <w:rPr>
                <w:rFonts w:ascii="Times New Roman" w:hAnsi="Times New Roman" w:cs="Times New Roman"/>
                <w:noProof/>
                <w:webHidden/>
                <w:sz w:val="24"/>
                <w:szCs w:val="24"/>
              </w:rPr>
              <w:fldChar w:fldCharType="begin"/>
            </w:r>
            <w:r w:rsidRPr="0041020C">
              <w:rPr>
                <w:rFonts w:ascii="Times New Roman" w:hAnsi="Times New Roman" w:cs="Times New Roman"/>
                <w:noProof/>
                <w:webHidden/>
                <w:sz w:val="24"/>
                <w:szCs w:val="24"/>
              </w:rPr>
              <w:instrText xml:space="preserve"> PAGEREF _Toc188379008 \h </w:instrText>
            </w:r>
            <w:r w:rsidRPr="0041020C">
              <w:rPr>
                <w:rFonts w:ascii="Times New Roman" w:hAnsi="Times New Roman" w:cs="Times New Roman"/>
                <w:noProof/>
                <w:webHidden/>
                <w:sz w:val="24"/>
                <w:szCs w:val="24"/>
              </w:rPr>
            </w:r>
            <w:r w:rsidRPr="0041020C">
              <w:rPr>
                <w:rFonts w:ascii="Times New Roman" w:hAnsi="Times New Roman" w:cs="Times New Roman"/>
                <w:noProof/>
                <w:webHidden/>
                <w:sz w:val="24"/>
                <w:szCs w:val="24"/>
              </w:rPr>
              <w:fldChar w:fldCharType="separate"/>
            </w:r>
            <w:r w:rsidR="00EB6467">
              <w:rPr>
                <w:rFonts w:ascii="Times New Roman" w:hAnsi="Times New Roman" w:cs="Times New Roman"/>
                <w:noProof/>
                <w:webHidden/>
                <w:sz w:val="24"/>
                <w:szCs w:val="24"/>
              </w:rPr>
              <w:t>141</w:t>
            </w:r>
            <w:r w:rsidRPr="0041020C">
              <w:rPr>
                <w:rFonts w:ascii="Times New Roman" w:hAnsi="Times New Roman" w:cs="Times New Roman"/>
                <w:noProof/>
                <w:webHidden/>
                <w:sz w:val="24"/>
                <w:szCs w:val="24"/>
              </w:rPr>
              <w:fldChar w:fldCharType="end"/>
            </w:r>
          </w:hyperlink>
        </w:p>
        <w:p w14:paraId="12D393E7" w14:textId="21F7B766" w:rsidR="003D770C" w:rsidRPr="0041020C" w:rsidRDefault="003D770C" w:rsidP="001953BB">
          <w:pPr>
            <w:pStyle w:val="TOC2"/>
            <w:tabs>
              <w:tab w:val="right" w:leader="dot" w:pos="9350"/>
            </w:tabs>
            <w:spacing w:before="0"/>
            <w:rPr>
              <w:rFonts w:ascii="Times New Roman" w:eastAsiaTheme="minorEastAsia" w:hAnsi="Times New Roman" w:cs="Times New Roman"/>
              <w:i w:val="0"/>
              <w:iCs w:val="0"/>
              <w:noProof/>
              <w:sz w:val="24"/>
              <w:szCs w:val="24"/>
              <w:lang/>
            </w:rPr>
          </w:pPr>
          <w:hyperlink w:anchor="_Toc188379009" w:history="1">
            <w:r w:rsidRPr="0041020C">
              <w:rPr>
                <w:rStyle w:val="Hyperlink"/>
                <w:rFonts w:ascii="Times New Roman" w:hAnsi="Times New Roman" w:cs="Times New Roman"/>
                <w:i w:val="0"/>
                <w:iCs w:val="0"/>
                <w:noProof/>
                <w:sz w:val="24"/>
                <w:szCs w:val="24"/>
              </w:rPr>
              <w:t>2.2 Literature Review</w:t>
            </w:r>
            <w:r w:rsidRPr="0041020C">
              <w:rPr>
                <w:rFonts w:ascii="Times New Roman" w:hAnsi="Times New Roman" w:cs="Times New Roman"/>
                <w:i w:val="0"/>
                <w:iCs w:val="0"/>
                <w:noProof/>
                <w:webHidden/>
                <w:sz w:val="24"/>
                <w:szCs w:val="24"/>
              </w:rPr>
              <w:tab/>
            </w:r>
            <w:r w:rsidRPr="0041020C">
              <w:rPr>
                <w:rFonts w:ascii="Times New Roman" w:hAnsi="Times New Roman" w:cs="Times New Roman"/>
                <w:i w:val="0"/>
                <w:iCs w:val="0"/>
                <w:noProof/>
                <w:webHidden/>
                <w:sz w:val="24"/>
                <w:szCs w:val="24"/>
              </w:rPr>
              <w:fldChar w:fldCharType="begin"/>
            </w:r>
            <w:r w:rsidRPr="0041020C">
              <w:rPr>
                <w:rFonts w:ascii="Times New Roman" w:hAnsi="Times New Roman" w:cs="Times New Roman"/>
                <w:i w:val="0"/>
                <w:iCs w:val="0"/>
                <w:noProof/>
                <w:webHidden/>
                <w:sz w:val="24"/>
                <w:szCs w:val="24"/>
              </w:rPr>
              <w:instrText xml:space="preserve"> PAGEREF _Toc188379009 \h </w:instrText>
            </w:r>
            <w:r w:rsidRPr="0041020C">
              <w:rPr>
                <w:rFonts w:ascii="Times New Roman" w:hAnsi="Times New Roman" w:cs="Times New Roman"/>
                <w:i w:val="0"/>
                <w:iCs w:val="0"/>
                <w:noProof/>
                <w:webHidden/>
                <w:sz w:val="24"/>
                <w:szCs w:val="24"/>
              </w:rPr>
            </w:r>
            <w:r w:rsidRPr="0041020C">
              <w:rPr>
                <w:rFonts w:ascii="Times New Roman" w:hAnsi="Times New Roman" w:cs="Times New Roman"/>
                <w:i w:val="0"/>
                <w:iCs w:val="0"/>
                <w:noProof/>
                <w:webHidden/>
                <w:sz w:val="24"/>
                <w:szCs w:val="24"/>
              </w:rPr>
              <w:fldChar w:fldCharType="separate"/>
            </w:r>
            <w:r w:rsidR="00EB6467">
              <w:rPr>
                <w:rFonts w:ascii="Times New Roman" w:hAnsi="Times New Roman" w:cs="Times New Roman"/>
                <w:i w:val="0"/>
                <w:iCs w:val="0"/>
                <w:noProof/>
                <w:webHidden/>
                <w:sz w:val="24"/>
                <w:szCs w:val="24"/>
              </w:rPr>
              <w:t>145</w:t>
            </w:r>
            <w:r w:rsidRPr="0041020C">
              <w:rPr>
                <w:rFonts w:ascii="Times New Roman" w:hAnsi="Times New Roman" w:cs="Times New Roman"/>
                <w:i w:val="0"/>
                <w:iCs w:val="0"/>
                <w:noProof/>
                <w:webHidden/>
                <w:sz w:val="24"/>
                <w:szCs w:val="24"/>
              </w:rPr>
              <w:fldChar w:fldCharType="end"/>
            </w:r>
          </w:hyperlink>
        </w:p>
        <w:p w14:paraId="59DDCEF2" w14:textId="35A327AB" w:rsidR="003D770C" w:rsidRPr="0041020C" w:rsidRDefault="003D770C" w:rsidP="001953BB">
          <w:pPr>
            <w:pStyle w:val="TOC2"/>
            <w:tabs>
              <w:tab w:val="right" w:leader="dot" w:pos="9350"/>
            </w:tabs>
            <w:spacing w:before="0"/>
            <w:rPr>
              <w:rFonts w:ascii="Times New Roman" w:eastAsiaTheme="minorEastAsia" w:hAnsi="Times New Roman" w:cs="Times New Roman"/>
              <w:i w:val="0"/>
              <w:iCs w:val="0"/>
              <w:noProof/>
              <w:sz w:val="24"/>
              <w:szCs w:val="24"/>
              <w:lang/>
            </w:rPr>
          </w:pPr>
          <w:hyperlink w:anchor="_Toc188379010" w:history="1">
            <w:r w:rsidRPr="0041020C">
              <w:rPr>
                <w:rStyle w:val="Hyperlink"/>
                <w:rFonts w:ascii="Times New Roman" w:hAnsi="Times New Roman" w:cs="Times New Roman"/>
                <w:i w:val="0"/>
                <w:iCs w:val="0"/>
                <w:noProof/>
                <w:sz w:val="24"/>
                <w:szCs w:val="24"/>
              </w:rPr>
              <w:t>2.3 Data and descriptive statistics</w:t>
            </w:r>
            <w:r w:rsidRPr="0041020C">
              <w:rPr>
                <w:rFonts w:ascii="Times New Roman" w:hAnsi="Times New Roman" w:cs="Times New Roman"/>
                <w:i w:val="0"/>
                <w:iCs w:val="0"/>
                <w:noProof/>
                <w:webHidden/>
                <w:sz w:val="24"/>
                <w:szCs w:val="24"/>
              </w:rPr>
              <w:tab/>
            </w:r>
            <w:r w:rsidRPr="0041020C">
              <w:rPr>
                <w:rFonts w:ascii="Times New Roman" w:hAnsi="Times New Roman" w:cs="Times New Roman"/>
                <w:i w:val="0"/>
                <w:iCs w:val="0"/>
                <w:noProof/>
                <w:webHidden/>
                <w:sz w:val="24"/>
                <w:szCs w:val="24"/>
              </w:rPr>
              <w:fldChar w:fldCharType="begin"/>
            </w:r>
            <w:r w:rsidRPr="0041020C">
              <w:rPr>
                <w:rFonts w:ascii="Times New Roman" w:hAnsi="Times New Roman" w:cs="Times New Roman"/>
                <w:i w:val="0"/>
                <w:iCs w:val="0"/>
                <w:noProof/>
                <w:webHidden/>
                <w:sz w:val="24"/>
                <w:szCs w:val="24"/>
              </w:rPr>
              <w:instrText xml:space="preserve"> PAGEREF _Toc188379010 \h </w:instrText>
            </w:r>
            <w:r w:rsidRPr="0041020C">
              <w:rPr>
                <w:rFonts w:ascii="Times New Roman" w:hAnsi="Times New Roman" w:cs="Times New Roman"/>
                <w:i w:val="0"/>
                <w:iCs w:val="0"/>
                <w:noProof/>
                <w:webHidden/>
                <w:sz w:val="24"/>
                <w:szCs w:val="24"/>
              </w:rPr>
            </w:r>
            <w:r w:rsidRPr="0041020C">
              <w:rPr>
                <w:rFonts w:ascii="Times New Roman" w:hAnsi="Times New Roman" w:cs="Times New Roman"/>
                <w:i w:val="0"/>
                <w:iCs w:val="0"/>
                <w:noProof/>
                <w:webHidden/>
                <w:sz w:val="24"/>
                <w:szCs w:val="24"/>
              </w:rPr>
              <w:fldChar w:fldCharType="separate"/>
            </w:r>
            <w:r w:rsidR="00EB6467">
              <w:rPr>
                <w:rFonts w:ascii="Times New Roman" w:hAnsi="Times New Roman" w:cs="Times New Roman"/>
                <w:i w:val="0"/>
                <w:iCs w:val="0"/>
                <w:noProof/>
                <w:webHidden/>
                <w:sz w:val="24"/>
                <w:szCs w:val="24"/>
              </w:rPr>
              <w:t>148</w:t>
            </w:r>
            <w:r w:rsidRPr="0041020C">
              <w:rPr>
                <w:rFonts w:ascii="Times New Roman" w:hAnsi="Times New Roman" w:cs="Times New Roman"/>
                <w:i w:val="0"/>
                <w:iCs w:val="0"/>
                <w:noProof/>
                <w:webHidden/>
                <w:sz w:val="24"/>
                <w:szCs w:val="24"/>
              </w:rPr>
              <w:fldChar w:fldCharType="end"/>
            </w:r>
          </w:hyperlink>
        </w:p>
        <w:p w14:paraId="2D590570" w14:textId="5881DD7A" w:rsidR="003D770C" w:rsidRPr="0041020C" w:rsidRDefault="003D770C" w:rsidP="001953BB">
          <w:pPr>
            <w:pStyle w:val="TOC3"/>
            <w:tabs>
              <w:tab w:val="right" w:leader="dot" w:pos="9350"/>
            </w:tabs>
            <w:rPr>
              <w:rFonts w:ascii="Times New Roman" w:eastAsiaTheme="minorEastAsia" w:hAnsi="Times New Roman" w:cs="Times New Roman"/>
              <w:noProof/>
              <w:sz w:val="24"/>
              <w:szCs w:val="24"/>
              <w:lang/>
            </w:rPr>
          </w:pPr>
          <w:hyperlink w:anchor="_Toc188379011" w:history="1">
            <w:r w:rsidRPr="0041020C">
              <w:rPr>
                <w:rStyle w:val="Hyperlink"/>
                <w:rFonts w:ascii="Times New Roman" w:hAnsi="Times New Roman" w:cs="Times New Roman"/>
                <w:noProof/>
                <w:sz w:val="24"/>
                <w:szCs w:val="24"/>
              </w:rPr>
              <w:t>2.3.1 Dependent variable: Establishment Data</w:t>
            </w:r>
            <w:r w:rsidRPr="0041020C">
              <w:rPr>
                <w:rFonts w:ascii="Times New Roman" w:hAnsi="Times New Roman" w:cs="Times New Roman"/>
                <w:noProof/>
                <w:webHidden/>
                <w:sz w:val="24"/>
                <w:szCs w:val="24"/>
              </w:rPr>
              <w:tab/>
            </w:r>
            <w:r w:rsidRPr="0041020C">
              <w:rPr>
                <w:rFonts w:ascii="Times New Roman" w:hAnsi="Times New Roman" w:cs="Times New Roman"/>
                <w:noProof/>
                <w:webHidden/>
                <w:sz w:val="24"/>
                <w:szCs w:val="24"/>
              </w:rPr>
              <w:fldChar w:fldCharType="begin"/>
            </w:r>
            <w:r w:rsidRPr="0041020C">
              <w:rPr>
                <w:rFonts w:ascii="Times New Roman" w:hAnsi="Times New Roman" w:cs="Times New Roman"/>
                <w:noProof/>
                <w:webHidden/>
                <w:sz w:val="24"/>
                <w:szCs w:val="24"/>
              </w:rPr>
              <w:instrText xml:space="preserve"> PAGEREF _Toc188379011 \h </w:instrText>
            </w:r>
            <w:r w:rsidRPr="0041020C">
              <w:rPr>
                <w:rFonts w:ascii="Times New Roman" w:hAnsi="Times New Roman" w:cs="Times New Roman"/>
                <w:noProof/>
                <w:webHidden/>
                <w:sz w:val="24"/>
                <w:szCs w:val="24"/>
              </w:rPr>
            </w:r>
            <w:r w:rsidRPr="0041020C">
              <w:rPr>
                <w:rFonts w:ascii="Times New Roman" w:hAnsi="Times New Roman" w:cs="Times New Roman"/>
                <w:noProof/>
                <w:webHidden/>
                <w:sz w:val="24"/>
                <w:szCs w:val="24"/>
              </w:rPr>
              <w:fldChar w:fldCharType="separate"/>
            </w:r>
            <w:r w:rsidR="00EB6467">
              <w:rPr>
                <w:rFonts w:ascii="Times New Roman" w:hAnsi="Times New Roman" w:cs="Times New Roman"/>
                <w:noProof/>
                <w:webHidden/>
                <w:sz w:val="24"/>
                <w:szCs w:val="24"/>
              </w:rPr>
              <w:t>148</w:t>
            </w:r>
            <w:r w:rsidRPr="0041020C">
              <w:rPr>
                <w:rFonts w:ascii="Times New Roman" w:hAnsi="Times New Roman" w:cs="Times New Roman"/>
                <w:noProof/>
                <w:webHidden/>
                <w:sz w:val="24"/>
                <w:szCs w:val="24"/>
              </w:rPr>
              <w:fldChar w:fldCharType="end"/>
            </w:r>
          </w:hyperlink>
        </w:p>
        <w:p w14:paraId="4B326644" w14:textId="57AD1D1F" w:rsidR="003D770C" w:rsidRPr="0041020C" w:rsidRDefault="003D770C" w:rsidP="001953BB">
          <w:pPr>
            <w:pStyle w:val="TOC3"/>
            <w:tabs>
              <w:tab w:val="right" w:leader="dot" w:pos="9350"/>
            </w:tabs>
            <w:rPr>
              <w:rFonts w:ascii="Times New Roman" w:eastAsiaTheme="minorEastAsia" w:hAnsi="Times New Roman" w:cs="Times New Roman"/>
              <w:noProof/>
              <w:sz w:val="24"/>
              <w:szCs w:val="24"/>
              <w:lang/>
            </w:rPr>
          </w:pPr>
          <w:hyperlink w:anchor="_Toc188379012" w:history="1">
            <w:r w:rsidRPr="0041020C">
              <w:rPr>
                <w:rStyle w:val="Hyperlink"/>
                <w:rFonts w:ascii="Times New Roman" w:hAnsi="Times New Roman" w:cs="Times New Roman"/>
                <w:noProof/>
                <w:sz w:val="24"/>
                <w:szCs w:val="24"/>
              </w:rPr>
              <w:t>2.3.2 Control Variables</w:t>
            </w:r>
            <w:r w:rsidRPr="0041020C">
              <w:rPr>
                <w:rFonts w:ascii="Times New Roman" w:hAnsi="Times New Roman" w:cs="Times New Roman"/>
                <w:noProof/>
                <w:webHidden/>
                <w:sz w:val="24"/>
                <w:szCs w:val="24"/>
              </w:rPr>
              <w:tab/>
            </w:r>
            <w:r w:rsidRPr="0041020C">
              <w:rPr>
                <w:rFonts w:ascii="Times New Roman" w:hAnsi="Times New Roman" w:cs="Times New Roman"/>
                <w:noProof/>
                <w:webHidden/>
                <w:sz w:val="24"/>
                <w:szCs w:val="24"/>
              </w:rPr>
              <w:fldChar w:fldCharType="begin"/>
            </w:r>
            <w:r w:rsidRPr="0041020C">
              <w:rPr>
                <w:rFonts w:ascii="Times New Roman" w:hAnsi="Times New Roman" w:cs="Times New Roman"/>
                <w:noProof/>
                <w:webHidden/>
                <w:sz w:val="24"/>
                <w:szCs w:val="24"/>
              </w:rPr>
              <w:instrText xml:space="preserve"> PAGEREF _Toc188379012 \h </w:instrText>
            </w:r>
            <w:r w:rsidRPr="0041020C">
              <w:rPr>
                <w:rFonts w:ascii="Times New Roman" w:hAnsi="Times New Roman" w:cs="Times New Roman"/>
                <w:noProof/>
                <w:webHidden/>
                <w:sz w:val="24"/>
                <w:szCs w:val="24"/>
              </w:rPr>
            </w:r>
            <w:r w:rsidRPr="0041020C">
              <w:rPr>
                <w:rFonts w:ascii="Times New Roman" w:hAnsi="Times New Roman" w:cs="Times New Roman"/>
                <w:noProof/>
                <w:webHidden/>
                <w:sz w:val="24"/>
                <w:szCs w:val="24"/>
              </w:rPr>
              <w:fldChar w:fldCharType="separate"/>
            </w:r>
            <w:r w:rsidR="00EB6467">
              <w:rPr>
                <w:rFonts w:ascii="Times New Roman" w:hAnsi="Times New Roman" w:cs="Times New Roman"/>
                <w:noProof/>
                <w:webHidden/>
                <w:sz w:val="24"/>
                <w:szCs w:val="24"/>
              </w:rPr>
              <w:t>152</w:t>
            </w:r>
            <w:r w:rsidRPr="0041020C">
              <w:rPr>
                <w:rFonts w:ascii="Times New Roman" w:hAnsi="Times New Roman" w:cs="Times New Roman"/>
                <w:noProof/>
                <w:webHidden/>
                <w:sz w:val="24"/>
                <w:szCs w:val="24"/>
              </w:rPr>
              <w:fldChar w:fldCharType="end"/>
            </w:r>
          </w:hyperlink>
        </w:p>
        <w:p w14:paraId="678A0A9A" w14:textId="558B91B9" w:rsidR="003D770C" w:rsidRPr="0041020C" w:rsidRDefault="003D770C" w:rsidP="001953BB">
          <w:pPr>
            <w:pStyle w:val="TOC3"/>
            <w:tabs>
              <w:tab w:val="right" w:leader="dot" w:pos="9350"/>
            </w:tabs>
            <w:rPr>
              <w:rFonts w:ascii="Times New Roman" w:eastAsiaTheme="minorEastAsia" w:hAnsi="Times New Roman" w:cs="Times New Roman"/>
              <w:noProof/>
              <w:sz w:val="24"/>
              <w:szCs w:val="24"/>
              <w:lang/>
            </w:rPr>
          </w:pPr>
          <w:hyperlink w:anchor="_Toc188379013" w:history="1">
            <w:r w:rsidRPr="0041020C">
              <w:rPr>
                <w:rStyle w:val="Hyperlink"/>
                <w:rFonts w:ascii="Times New Roman" w:hAnsi="Times New Roman" w:cs="Times New Roman"/>
                <w:noProof/>
                <w:sz w:val="24"/>
                <w:szCs w:val="24"/>
              </w:rPr>
              <w:t>2.3.3 Conclusion of the Data and Descriptive Section</w:t>
            </w:r>
            <w:r w:rsidRPr="0041020C">
              <w:rPr>
                <w:rFonts w:ascii="Times New Roman" w:hAnsi="Times New Roman" w:cs="Times New Roman"/>
                <w:noProof/>
                <w:webHidden/>
                <w:sz w:val="24"/>
                <w:szCs w:val="24"/>
              </w:rPr>
              <w:tab/>
            </w:r>
            <w:r w:rsidRPr="0041020C">
              <w:rPr>
                <w:rFonts w:ascii="Times New Roman" w:hAnsi="Times New Roman" w:cs="Times New Roman"/>
                <w:noProof/>
                <w:webHidden/>
                <w:sz w:val="24"/>
                <w:szCs w:val="24"/>
              </w:rPr>
              <w:fldChar w:fldCharType="begin"/>
            </w:r>
            <w:r w:rsidRPr="0041020C">
              <w:rPr>
                <w:rFonts w:ascii="Times New Roman" w:hAnsi="Times New Roman" w:cs="Times New Roman"/>
                <w:noProof/>
                <w:webHidden/>
                <w:sz w:val="24"/>
                <w:szCs w:val="24"/>
              </w:rPr>
              <w:instrText xml:space="preserve"> PAGEREF _Toc188379013 \h </w:instrText>
            </w:r>
            <w:r w:rsidRPr="0041020C">
              <w:rPr>
                <w:rFonts w:ascii="Times New Roman" w:hAnsi="Times New Roman" w:cs="Times New Roman"/>
                <w:noProof/>
                <w:webHidden/>
                <w:sz w:val="24"/>
                <w:szCs w:val="24"/>
              </w:rPr>
            </w:r>
            <w:r w:rsidRPr="0041020C">
              <w:rPr>
                <w:rFonts w:ascii="Times New Roman" w:hAnsi="Times New Roman" w:cs="Times New Roman"/>
                <w:noProof/>
                <w:webHidden/>
                <w:sz w:val="24"/>
                <w:szCs w:val="24"/>
              </w:rPr>
              <w:fldChar w:fldCharType="separate"/>
            </w:r>
            <w:r w:rsidR="00EB6467">
              <w:rPr>
                <w:rFonts w:ascii="Times New Roman" w:hAnsi="Times New Roman" w:cs="Times New Roman"/>
                <w:noProof/>
                <w:webHidden/>
                <w:sz w:val="24"/>
                <w:szCs w:val="24"/>
              </w:rPr>
              <w:t>162</w:t>
            </w:r>
            <w:r w:rsidRPr="0041020C">
              <w:rPr>
                <w:rFonts w:ascii="Times New Roman" w:hAnsi="Times New Roman" w:cs="Times New Roman"/>
                <w:noProof/>
                <w:webHidden/>
                <w:sz w:val="24"/>
                <w:szCs w:val="24"/>
              </w:rPr>
              <w:fldChar w:fldCharType="end"/>
            </w:r>
          </w:hyperlink>
        </w:p>
        <w:p w14:paraId="35C5B639" w14:textId="63E0AB47" w:rsidR="003D770C" w:rsidRPr="0041020C" w:rsidRDefault="003D770C" w:rsidP="001953BB">
          <w:pPr>
            <w:pStyle w:val="TOC2"/>
            <w:tabs>
              <w:tab w:val="right" w:leader="dot" w:pos="9350"/>
            </w:tabs>
            <w:spacing w:before="0"/>
            <w:rPr>
              <w:rFonts w:ascii="Times New Roman" w:eastAsiaTheme="minorEastAsia" w:hAnsi="Times New Roman" w:cs="Times New Roman"/>
              <w:i w:val="0"/>
              <w:iCs w:val="0"/>
              <w:noProof/>
              <w:sz w:val="24"/>
              <w:szCs w:val="24"/>
              <w:lang/>
            </w:rPr>
          </w:pPr>
          <w:hyperlink w:anchor="_Toc188379014" w:history="1">
            <w:r w:rsidRPr="0041020C">
              <w:rPr>
                <w:rStyle w:val="Hyperlink"/>
                <w:rFonts w:ascii="Times New Roman" w:hAnsi="Times New Roman" w:cs="Times New Roman"/>
                <w:i w:val="0"/>
                <w:iCs w:val="0"/>
                <w:noProof/>
                <w:sz w:val="24"/>
                <w:szCs w:val="24"/>
              </w:rPr>
              <w:t>2.4 Methodology</w:t>
            </w:r>
            <w:r w:rsidRPr="0041020C">
              <w:rPr>
                <w:rFonts w:ascii="Times New Roman" w:hAnsi="Times New Roman" w:cs="Times New Roman"/>
                <w:i w:val="0"/>
                <w:iCs w:val="0"/>
                <w:noProof/>
                <w:webHidden/>
                <w:sz w:val="24"/>
                <w:szCs w:val="24"/>
              </w:rPr>
              <w:tab/>
            </w:r>
            <w:r w:rsidRPr="0041020C">
              <w:rPr>
                <w:rFonts w:ascii="Times New Roman" w:hAnsi="Times New Roman" w:cs="Times New Roman"/>
                <w:i w:val="0"/>
                <w:iCs w:val="0"/>
                <w:noProof/>
                <w:webHidden/>
                <w:sz w:val="24"/>
                <w:szCs w:val="24"/>
              </w:rPr>
              <w:fldChar w:fldCharType="begin"/>
            </w:r>
            <w:r w:rsidRPr="0041020C">
              <w:rPr>
                <w:rFonts w:ascii="Times New Roman" w:hAnsi="Times New Roman" w:cs="Times New Roman"/>
                <w:i w:val="0"/>
                <w:iCs w:val="0"/>
                <w:noProof/>
                <w:webHidden/>
                <w:sz w:val="24"/>
                <w:szCs w:val="24"/>
              </w:rPr>
              <w:instrText xml:space="preserve"> PAGEREF _Toc188379014 \h </w:instrText>
            </w:r>
            <w:r w:rsidRPr="0041020C">
              <w:rPr>
                <w:rFonts w:ascii="Times New Roman" w:hAnsi="Times New Roman" w:cs="Times New Roman"/>
                <w:i w:val="0"/>
                <w:iCs w:val="0"/>
                <w:noProof/>
                <w:webHidden/>
                <w:sz w:val="24"/>
                <w:szCs w:val="24"/>
              </w:rPr>
            </w:r>
            <w:r w:rsidRPr="0041020C">
              <w:rPr>
                <w:rFonts w:ascii="Times New Roman" w:hAnsi="Times New Roman" w:cs="Times New Roman"/>
                <w:i w:val="0"/>
                <w:iCs w:val="0"/>
                <w:noProof/>
                <w:webHidden/>
                <w:sz w:val="24"/>
                <w:szCs w:val="24"/>
              </w:rPr>
              <w:fldChar w:fldCharType="separate"/>
            </w:r>
            <w:r w:rsidR="00EB6467">
              <w:rPr>
                <w:rFonts w:ascii="Times New Roman" w:hAnsi="Times New Roman" w:cs="Times New Roman"/>
                <w:i w:val="0"/>
                <w:iCs w:val="0"/>
                <w:noProof/>
                <w:webHidden/>
                <w:sz w:val="24"/>
                <w:szCs w:val="24"/>
              </w:rPr>
              <w:t>162</w:t>
            </w:r>
            <w:r w:rsidRPr="0041020C">
              <w:rPr>
                <w:rFonts w:ascii="Times New Roman" w:hAnsi="Times New Roman" w:cs="Times New Roman"/>
                <w:i w:val="0"/>
                <w:iCs w:val="0"/>
                <w:noProof/>
                <w:webHidden/>
                <w:sz w:val="24"/>
                <w:szCs w:val="24"/>
              </w:rPr>
              <w:fldChar w:fldCharType="end"/>
            </w:r>
          </w:hyperlink>
        </w:p>
        <w:p w14:paraId="7CEC8158" w14:textId="503F493C" w:rsidR="003D770C" w:rsidRPr="0041020C" w:rsidRDefault="003D770C" w:rsidP="001953BB">
          <w:pPr>
            <w:pStyle w:val="TOC3"/>
            <w:tabs>
              <w:tab w:val="right" w:leader="dot" w:pos="9350"/>
            </w:tabs>
            <w:rPr>
              <w:rFonts w:ascii="Times New Roman" w:eastAsiaTheme="minorEastAsia" w:hAnsi="Times New Roman" w:cs="Times New Roman"/>
              <w:noProof/>
              <w:sz w:val="24"/>
              <w:szCs w:val="24"/>
              <w:lang/>
            </w:rPr>
          </w:pPr>
          <w:hyperlink w:anchor="_Toc188379015" w:history="1">
            <w:r w:rsidRPr="0041020C">
              <w:rPr>
                <w:rStyle w:val="Hyperlink"/>
                <w:rFonts w:ascii="Times New Roman" w:hAnsi="Times New Roman" w:cs="Times New Roman"/>
                <w:noProof/>
                <w:sz w:val="24"/>
                <w:szCs w:val="24"/>
              </w:rPr>
              <w:t>2.4.1 Conceptual Model</w:t>
            </w:r>
            <w:r w:rsidRPr="0041020C">
              <w:rPr>
                <w:rFonts w:ascii="Times New Roman" w:hAnsi="Times New Roman" w:cs="Times New Roman"/>
                <w:noProof/>
                <w:webHidden/>
                <w:sz w:val="24"/>
                <w:szCs w:val="24"/>
              </w:rPr>
              <w:tab/>
            </w:r>
            <w:r w:rsidRPr="0041020C">
              <w:rPr>
                <w:rFonts w:ascii="Times New Roman" w:hAnsi="Times New Roman" w:cs="Times New Roman"/>
                <w:noProof/>
                <w:webHidden/>
                <w:sz w:val="24"/>
                <w:szCs w:val="24"/>
              </w:rPr>
              <w:fldChar w:fldCharType="begin"/>
            </w:r>
            <w:r w:rsidRPr="0041020C">
              <w:rPr>
                <w:rFonts w:ascii="Times New Roman" w:hAnsi="Times New Roman" w:cs="Times New Roman"/>
                <w:noProof/>
                <w:webHidden/>
                <w:sz w:val="24"/>
                <w:szCs w:val="24"/>
              </w:rPr>
              <w:instrText xml:space="preserve"> PAGEREF _Toc188379015 \h </w:instrText>
            </w:r>
            <w:r w:rsidRPr="0041020C">
              <w:rPr>
                <w:rFonts w:ascii="Times New Roman" w:hAnsi="Times New Roman" w:cs="Times New Roman"/>
                <w:noProof/>
                <w:webHidden/>
                <w:sz w:val="24"/>
                <w:szCs w:val="24"/>
              </w:rPr>
            </w:r>
            <w:r w:rsidRPr="0041020C">
              <w:rPr>
                <w:rFonts w:ascii="Times New Roman" w:hAnsi="Times New Roman" w:cs="Times New Roman"/>
                <w:noProof/>
                <w:webHidden/>
                <w:sz w:val="24"/>
                <w:szCs w:val="24"/>
              </w:rPr>
              <w:fldChar w:fldCharType="separate"/>
            </w:r>
            <w:r w:rsidR="00EB6467">
              <w:rPr>
                <w:rFonts w:ascii="Times New Roman" w:hAnsi="Times New Roman" w:cs="Times New Roman"/>
                <w:noProof/>
                <w:webHidden/>
                <w:sz w:val="24"/>
                <w:szCs w:val="24"/>
              </w:rPr>
              <w:t>162</w:t>
            </w:r>
            <w:r w:rsidRPr="0041020C">
              <w:rPr>
                <w:rFonts w:ascii="Times New Roman" w:hAnsi="Times New Roman" w:cs="Times New Roman"/>
                <w:noProof/>
                <w:webHidden/>
                <w:sz w:val="24"/>
                <w:szCs w:val="24"/>
              </w:rPr>
              <w:fldChar w:fldCharType="end"/>
            </w:r>
          </w:hyperlink>
        </w:p>
        <w:p w14:paraId="182B089A" w14:textId="636DF58C" w:rsidR="003D770C" w:rsidRPr="0041020C" w:rsidRDefault="003D770C" w:rsidP="001953BB">
          <w:pPr>
            <w:pStyle w:val="TOC3"/>
            <w:tabs>
              <w:tab w:val="right" w:leader="dot" w:pos="9350"/>
            </w:tabs>
            <w:rPr>
              <w:rFonts w:ascii="Times New Roman" w:eastAsiaTheme="minorEastAsia" w:hAnsi="Times New Roman" w:cs="Times New Roman"/>
              <w:noProof/>
              <w:sz w:val="24"/>
              <w:szCs w:val="24"/>
              <w:lang/>
            </w:rPr>
          </w:pPr>
          <w:hyperlink w:anchor="_Toc188379016" w:history="1">
            <w:r w:rsidRPr="0041020C">
              <w:rPr>
                <w:rStyle w:val="Hyperlink"/>
                <w:rFonts w:ascii="Times New Roman" w:hAnsi="Times New Roman" w:cs="Times New Roman"/>
                <w:noProof/>
                <w:sz w:val="24"/>
                <w:szCs w:val="24"/>
              </w:rPr>
              <w:t>2.4.2 Model Specification</w:t>
            </w:r>
            <w:r w:rsidRPr="0041020C">
              <w:rPr>
                <w:rFonts w:ascii="Times New Roman" w:hAnsi="Times New Roman" w:cs="Times New Roman"/>
                <w:noProof/>
                <w:webHidden/>
                <w:sz w:val="24"/>
                <w:szCs w:val="24"/>
              </w:rPr>
              <w:tab/>
            </w:r>
            <w:r w:rsidRPr="0041020C">
              <w:rPr>
                <w:rFonts w:ascii="Times New Roman" w:hAnsi="Times New Roman" w:cs="Times New Roman"/>
                <w:noProof/>
                <w:webHidden/>
                <w:sz w:val="24"/>
                <w:szCs w:val="24"/>
              </w:rPr>
              <w:fldChar w:fldCharType="begin"/>
            </w:r>
            <w:r w:rsidRPr="0041020C">
              <w:rPr>
                <w:rFonts w:ascii="Times New Roman" w:hAnsi="Times New Roman" w:cs="Times New Roman"/>
                <w:noProof/>
                <w:webHidden/>
                <w:sz w:val="24"/>
                <w:szCs w:val="24"/>
              </w:rPr>
              <w:instrText xml:space="preserve"> PAGEREF _Toc188379016 \h </w:instrText>
            </w:r>
            <w:r w:rsidRPr="0041020C">
              <w:rPr>
                <w:rFonts w:ascii="Times New Roman" w:hAnsi="Times New Roman" w:cs="Times New Roman"/>
                <w:noProof/>
                <w:webHidden/>
                <w:sz w:val="24"/>
                <w:szCs w:val="24"/>
              </w:rPr>
            </w:r>
            <w:r w:rsidRPr="0041020C">
              <w:rPr>
                <w:rFonts w:ascii="Times New Roman" w:hAnsi="Times New Roman" w:cs="Times New Roman"/>
                <w:noProof/>
                <w:webHidden/>
                <w:sz w:val="24"/>
                <w:szCs w:val="24"/>
              </w:rPr>
              <w:fldChar w:fldCharType="separate"/>
            </w:r>
            <w:r w:rsidR="00EB6467">
              <w:rPr>
                <w:rFonts w:ascii="Times New Roman" w:hAnsi="Times New Roman" w:cs="Times New Roman"/>
                <w:noProof/>
                <w:webHidden/>
                <w:sz w:val="24"/>
                <w:szCs w:val="24"/>
              </w:rPr>
              <w:t>164</w:t>
            </w:r>
            <w:r w:rsidRPr="0041020C">
              <w:rPr>
                <w:rFonts w:ascii="Times New Roman" w:hAnsi="Times New Roman" w:cs="Times New Roman"/>
                <w:noProof/>
                <w:webHidden/>
                <w:sz w:val="24"/>
                <w:szCs w:val="24"/>
              </w:rPr>
              <w:fldChar w:fldCharType="end"/>
            </w:r>
          </w:hyperlink>
        </w:p>
        <w:p w14:paraId="45F5CAB2" w14:textId="07A4143E" w:rsidR="003D770C" w:rsidRPr="0041020C" w:rsidRDefault="003D770C" w:rsidP="001953BB">
          <w:pPr>
            <w:pStyle w:val="TOC3"/>
            <w:tabs>
              <w:tab w:val="right" w:leader="dot" w:pos="9350"/>
            </w:tabs>
            <w:rPr>
              <w:rFonts w:ascii="Times New Roman" w:eastAsiaTheme="minorEastAsia" w:hAnsi="Times New Roman" w:cs="Times New Roman"/>
              <w:noProof/>
              <w:sz w:val="24"/>
              <w:szCs w:val="24"/>
              <w:lang/>
            </w:rPr>
          </w:pPr>
          <w:hyperlink w:anchor="_Toc188379017" w:history="1">
            <w:r w:rsidRPr="0041020C">
              <w:rPr>
                <w:rStyle w:val="Hyperlink"/>
                <w:rFonts w:ascii="Times New Roman" w:hAnsi="Times New Roman" w:cs="Times New Roman"/>
                <w:noProof/>
                <w:sz w:val="24"/>
                <w:szCs w:val="24"/>
              </w:rPr>
              <w:t>2.4.3 Variable Selection and Multicollinearity</w:t>
            </w:r>
            <w:r w:rsidRPr="0041020C">
              <w:rPr>
                <w:rFonts w:ascii="Times New Roman" w:hAnsi="Times New Roman" w:cs="Times New Roman"/>
                <w:noProof/>
                <w:webHidden/>
                <w:sz w:val="24"/>
                <w:szCs w:val="24"/>
              </w:rPr>
              <w:tab/>
            </w:r>
            <w:r w:rsidRPr="0041020C">
              <w:rPr>
                <w:rFonts w:ascii="Times New Roman" w:hAnsi="Times New Roman" w:cs="Times New Roman"/>
                <w:noProof/>
                <w:webHidden/>
                <w:sz w:val="24"/>
                <w:szCs w:val="24"/>
              </w:rPr>
              <w:fldChar w:fldCharType="begin"/>
            </w:r>
            <w:r w:rsidRPr="0041020C">
              <w:rPr>
                <w:rFonts w:ascii="Times New Roman" w:hAnsi="Times New Roman" w:cs="Times New Roman"/>
                <w:noProof/>
                <w:webHidden/>
                <w:sz w:val="24"/>
                <w:szCs w:val="24"/>
              </w:rPr>
              <w:instrText xml:space="preserve"> PAGEREF _Toc188379017 \h </w:instrText>
            </w:r>
            <w:r w:rsidRPr="0041020C">
              <w:rPr>
                <w:rFonts w:ascii="Times New Roman" w:hAnsi="Times New Roman" w:cs="Times New Roman"/>
                <w:noProof/>
                <w:webHidden/>
                <w:sz w:val="24"/>
                <w:szCs w:val="24"/>
              </w:rPr>
            </w:r>
            <w:r w:rsidRPr="0041020C">
              <w:rPr>
                <w:rFonts w:ascii="Times New Roman" w:hAnsi="Times New Roman" w:cs="Times New Roman"/>
                <w:noProof/>
                <w:webHidden/>
                <w:sz w:val="24"/>
                <w:szCs w:val="24"/>
              </w:rPr>
              <w:fldChar w:fldCharType="separate"/>
            </w:r>
            <w:r w:rsidR="00EB6467">
              <w:rPr>
                <w:rFonts w:ascii="Times New Roman" w:hAnsi="Times New Roman" w:cs="Times New Roman"/>
                <w:noProof/>
                <w:webHidden/>
                <w:sz w:val="24"/>
                <w:szCs w:val="24"/>
              </w:rPr>
              <w:t>166</w:t>
            </w:r>
            <w:r w:rsidRPr="0041020C">
              <w:rPr>
                <w:rFonts w:ascii="Times New Roman" w:hAnsi="Times New Roman" w:cs="Times New Roman"/>
                <w:noProof/>
                <w:webHidden/>
                <w:sz w:val="24"/>
                <w:szCs w:val="24"/>
              </w:rPr>
              <w:fldChar w:fldCharType="end"/>
            </w:r>
          </w:hyperlink>
        </w:p>
        <w:p w14:paraId="016DE4D6" w14:textId="47218B78" w:rsidR="003D770C" w:rsidRPr="0041020C" w:rsidRDefault="003D770C" w:rsidP="001953BB">
          <w:pPr>
            <w:pStyle w:val="TOC2"/>
            <w:tabs>
              <w:tab w:val="right" w:leader="dot" w:pos="9350"/>
            </w:tabs>
            <w:spacing w:before="0"/>
            <w:rPr>
              <w:rFonts w:ascii="Times New Roman" w:eastAsiaTheme="minorEastAsia" w:hAnsi="Times New Roman" w:cs="Times New Roman"/>
              <w:i w:val="0"/>
              <w:iCs w:val="0"/>
              <w:noProof/>
              <w:sz w:val="24"/>
              <w:szCs w:val="24"/>
              <w:lang/>
            </w:rPr>
          </w:pPr>
          <w:hyperlink w:anchor="_Toc188379018" w:history="1">
            <w:r w:rsidRPr="0041020C">
              <w:rPr>
                <w:rStyle w:val="Hyperlink"/>
                <w:rFonts w:ascii="Times New Roman" w:hAnsi="Times New Roman" w:cs="Times New Roman"/>
                <w:i w:val="0"/>
                <w:iCs w:val="0"/>
                <w:noProof/>
                <w:sz w:val="24"/>
                <w:szCs w:val="24"/>
              </w:rPr>
              <w:t>2.</w:t>
            </w:r>
            <w:r w:rsidRPr="0041020C">
              <w:rPr>
                <w:rStyle w:val="Hyperlink"/>
                <w:rFonts w:ascii="Times New Roman" w:hAnsi="Times New Roman" w:cs="Times New Roman"/>
                <w:i w:val="0"/>
                <w:iCs w:val="0"/>
                <w:noProof/>
                <w:sz w:val="24"/>
                <w:szCs w:val="24"/>
                <w:lang/>
              </w:rPr>
              <w:t>5 Results and Interpretation</w:t>
            </w:r>
            <w:r w:rsidRPr="0041020C">
              <w:rPr>
                <w:rFonts w:ascii="Times New Roman" w:hAnsi="Times New Roman" w:cs="Times New Roman"/>
                <w:i w:val="0"/>
                <w:iCs w:val="0"/>
                <w:noProof/>
                <w:webHidden/>
                <w:sz w:val="24"/>
                <w:szCs w:val="24"/>
              </w:rPr>
              <w:tab/>
            </w:r>
            <w:r w:rsidRPr="0041020C">
              <w:rPr>
                <w:rFonts w:ascii="Times New Roman" w:hAnsi="Times New Roman" w:cs="Times New Roman"/>
                <w:i w:val="0"/>
                <w:iCs w:val="0"/>
                <w:noProof/>
                <w:webHidden/>
                <w:sz w:val="24"/>
                <w:szCs w:val="24"/>
              </w:rPr>
              <w:fldChar w:fldCharType="begin"/>
            </w:r>
            <w:r w:rsidRPr="0041020C">
              <w:rPr>
                <w:rFonts w:ascii="Times New Roman" w:hAnsi="Times New Roman" w:cs="Times New Roman"/>
                <w:i w:val="0"/>
                <w:iCs w:val="0"/>
                <w:noProof/>
                <w:webHidden/>
                <w:sz w:val="24"/>
                <w:szCs w:val="24"/>
              </w:rPr>
              <w:instrText xml:space="preserve"> PAGEREF _Toc188379018 \h </w:instrText>
            </w:r>
            <w:r w:rsidRPr="0041020C">
              <w:rPr>
                <w:rFonts w:ascii="Times New Roman" w:hAnsi="Times New Roman" w:cs="Times New Roman"/>
                <w:i w:val="0"/>
                <w:iCs w:val="0"/>
                <w:noProof/>
                <w:webHidden/>
                <w:sz w:val="24"/>
                <w:szCs w:val="24"/>
              </w:rPr>
            </w:r>
            <w:r w:rsidRPr="0041020C">
              <w:rPr>
                <w:rFonts w:ascii="Times New Roman" w:hAnsi="Times New Roman" w:cs="Times New Roman"/>
                <w:i w:val="0"/>
                <w:iCs w:val="0"/>
                <w:noProof/>
                <w:webHidden/>
                <w:sz w:val="24"/>
                <w:szCs w:val="24"/>
              </w:rPr>
              <w:fldChar w:fldCharType="separate"/>
            </w:r>
            <w:r w:rsidR="00EB6467">
              <w:rPr>
                <w:rFonts w:ascii="Times New Roman" w:hAnsi="Times New Roman" w:cs="Times New Roman"/>
                <w:i w:val="0"/>
                <w:iCs w:val="0"/>
                <w:noProof/>
                <w:webHidden/>
                <w:sz w:val="24"/>
                <w:szCs w:val="24"/>
              </w:rPr>
              <w:t>168</w:t>
            </w:r>
            <w:r w:rsidRPr="0041020C">
              <w:rPr>
                <w:rFonts w:ascii="Times New Roman" w:hAnsi="Times New Roman" w:cs="Times New Roman"/>
                <w:i w:val="0"/>
                <w:iCs w:val="0"/>
                <w:noProof/>
                <w:webHidden/>
                <w:sz w:val="24"/>
                <w:szCs w:val="24"/>
              </w:rPr>
              <w:fldChar w:fldCharType="end"/>
            </w:r>
          </w:hyperlink>
        </w:p>
        <w:p w14:paraId="6FF094DF" w14:textId="5C458816" w:rsidR="003D770C" w:rsidRPr="0041020C" w:rsidRDefault="003D770C" w:rsidP="001953BB">
          <w:pPr>
            <w:pStyle w:val="TOC3"/>
            <w:tabs>
              <w:tab w:val="right" w:leader="dot" w:pos="9350"/>
            </w:tabs>
            <w:rPr>
              <w:rFonts w:ascii="Times New Roman" w:eastAsiaTheme="minorEastAsia" w:hAnsi="Times New Roman" w:cs="Times New Roman"/>
              <w:noProof/>
              <w:sz w:val="24"/>
              <w:szCs w:val="24"/>
              <w:lang/>
            </w:rPr>
          </w:pPr>
          <w:hyperlink w:anchor="_Toc188379019" w:history="1">
            <w:r w:rsidRPr="0041020C">
              <w:rPr>
                <w:rStyle w:val="Hyperlink"/>
                <w:rFonts w:ascii="Times New Roman" w:hAnsi="Times New Roman" w:cs="Times New Roman"/>
                <w:noProof/>
                <w:sz w:val="24"/>
                <w:szCs w:val="24"/>
              </w:rPr>
              <w:t>2.5.1 Land-Intensive Sector</w:t>
            </w:r>
            <w:r w:rsidRPr="0041020C">
              <w:rPr>
                <w:rFonts w:ascii="Times New Roman" w:hAnsi="Times New Roman" w:cs="Times New Roman"/>
                <w:noProof/>
                <w:webHidden/>
                <w:sz w:val="24"/>
                <w:szCs w:val="24"/>
              </w:rPr>
              <w:tab/>
            </w:r>
            <w:r w:rsidRPr="0041020C">
              <w:rPr>
                <w:rFonts w:ascii="Times New Roman" w:hAnsi="Times New Roman" w:cs="Times New Roman"/>
                <w:noProof/>
                <w:webHidden/>
                <w:sz w:val="24"/>
                <w:szCs w:val="24"/>
              </w:rPr>
              <w:fldChar w:fldCharType="begin"/>
            </w:r>
            <w:r w:rsidRPr="0041020C">
              <w:rPr>
                <w:rFonts w:ascii="Times New Roman" w:hAnsi="Times New Roman" w:cs="Times New Roman"/>
                <w:noProof/>
                <w:webHidden/>
                <w:sz w:val="24"/>
                <w:szCs w:val="24"/>
              </w:rPr>
              <w:instrText xml:space="preserve"> PAGEREF _Toc188379019 \h </w:instrText>
            </w:r>
            <w:r w:rsidRPr="0041020C">
              <w:rPr>
                <w:rFonts w:ascii="Times New Roman" w:hAnsi="Times New Roman" w:cs="Times New Roman"/>
                <w:noProof/>
                <w:webHidden/>
                <w:sz w:val="24"/>
                <w:szCs w:val="24"/>
              </w:rPr>
            </w:r>
            <w:r w:rsidRPr="0041020C">
              <w:rPr>
                <w:rFonts w:ascii="Times New Roman" w:hAnsi="Times New Roman" w:cs="Times New Roman"/>
                <w:noProof/>
                <w:webHidden/>
                <w:sz w:val="24"/>
                <w:szCs w:val="24"/>
              </w:rPr>
              <w:fldChar w:fldCharType="separate"/>
            </w:r>
            <w:r w:rsidR="00EB6467">
              <w:rPr>
                <w:rFonts w:ascii="Times New Roman" w:hAnsi="Times New Roman" w:cs="Times New Roman"/>
                <w:noProof/>
                <w:webHidden/>
                <w:sz w:val="24"/>
                <w:szCs w:val="24"/>
              </w:rPr>
              <w:t>170</w:t>
            </w:r>
            <w:r w:rsidRPr="0041020C">
              <w:rPr>
                <w:rFonts w:ascii="Times New Roman" w:hAnsi="Times New Roman" w:cs="Times New Roman"/>
                <w:noProof/>
                <w:webHidden/>
                <w:sz w:val="24"/>
                <w:szCs w:val="24"/>
              </w:rPr>
              <w:fldChar w:fldCharType="end"/>
            </w:r>
          </w:hyperlink>
        </w:p>
        <w:p w14:paraId="7B8C1284" w14:textId="1A000295" w:rsidR="003D770C" w:rsidRPr="0041020C" w:rsidRDefault="003D770C" w:rsidP="001953BB">
          <w:pPr>
            <w:pStyle w:val="TOC3"/>
            <w:tabs>
              <w:tab w:val="right" w:leader="dot" w:pos="9350"/>
            </w:tabs>
            <w:rPr>
              <w:rFonts w:ascii="Times New Roman" w:eastAsiaTheme="minorEastAsia" w:hAnsi="Times New Roman" w:cs="Times New Roman"/>
              <w:noProof/>
              <w:sz w:val="24"/>
              <w:szCs w:val="24"/>
              <w:lang/>
            </w:rPr>
          </w:pPr>
          <w:hyperlink w:anchor="_Toc188379020" w:history="1">
            <w:r w:rsidRPr="0041020C">
              <w:rPr>
                <w:rStyle w:val="Hyperlink"/>
                <w:rFonts w:ascii="Times New Roman" w:hAnsi="Times New Roman" w:cs="Times New Roman"/>
                <w:noProof/>
                <w:sz w:val="24"/>
                <w:szCs w:val="24"/>
              </w:rPr>
              <w:t>2.5.2 Sector-Specific Impacts Across LIS</w:t>
            </w:r>
            <w:r w:rsidRPr="0041020C">
              <w:rPr>
                <w:rFonts w:ascii="Times New Roman" w:hAnsi="Times New Roman" w:cs="Times New Roman"/>
                <w:noProof/>
                <w:webHidden/>
                <w:sz w:val="24"/>
                <w:szCs w:val="24"/>
              </w:rPr>
              <w:tab/>
            </w:r>
            <w:r w:rsidRPr="0041020C">
              <w:rPr>
                <w:rFonts w:ascii="Times New Roman" w:hAnsi="Times New Roman" w:cs="Times New Roman"/>
                <w:noProof/>
                <w:webHidden/>
                <w:sz w:val="24"/>
                <w:szCs w:val="24"/>
              </w:rPr>
              <w:fldChar w:fldCharType="begin"/>
            </w:r>
            <w:r w:rsidRPr="0041020C">
              <w:rPr>
                <w:rFonts w:ascii="Times New Roman" w:hAnsi="Times New Roman" w:cs="Times New Roman"/>
                <w:noProof/>
                <w:webHidden/>
                <w:sz w:val="24"/>
                <w:szCs w:val="24"/>
              </w:rPr>
              <w:instrText xml:space="preserve"> PAGEREF _Toc188379020 \h </w:instrText>
            </w:r>
            <w:r w:rsidRPr="0041020C">
              <w:rPr>
                <w:rFonts w:ascii="Times New Roman" w:hAnsi="Times New Roman" w:cs="Times New Roman"/>
                <w:noProof/>
                <w:webHidden/>
                <w:sz w:val="24"/>
                <w:szCs w:val="24"/>
              </w:rPr>
            </w:r>
            <w:r w:rsidRPr="0041020C">
              <w:rPr>
                <w:rFonts w:ascii="Times New Roman" w:hAnsi="Times New Roman" w:cs="Times New Roman"/>
                <w:noProof/>
                <w:webHidden/>
                <w:sz w:val="24"/>
                <w:szCs w:val="24"/>
              </w:rPr>
              <w:fldChar w:fldCharType="separate"/>
            </w:r>
            <w:r w:rsidR="00EB6467">
              <w:rPr>
                <w:rFonts w:ascii="Times New Roman" w:hAnsi="Times New Roman" w:cs="Times New Roman"/>
                <w:noProof/>
                <w:webHidden/>
                <w:sz w:val="24"/>
                <w:szCs w:val="24"/>
              </w:rPr>
              <w:t>173</w:t>
            </w:r>
            <w:r w:rsidRPr="0041020C">
              <w:rPr>
                <w:rFonts w:ascii="Times New Roman" w:hAnsi="Times New Roman" w:cs="Times New Roman"/>
                <w:noProof/>
                <w:webHidden/>
                <w:sz w:val="24"/>
                <w:szCs w:val="24"/>
              </w:rPr>
              <w:fldChar w:fldCharType="end"/>
            </w:r>
          </w:hyperlink>
        </w:p>
        <w:p w14:paraId="47AF3FB9" w14:textId="14BC1977" w:rsidR="003D770C" w:rsidRPr="0041020C" w:rsidRDefault="003D770C" w:rsidP="001953BB">
          <w:pPr>
            <w:pStyle w:val="TOC3"/>
            <w:tabs>
              <w:tab w:val="right" w:leader="dot" w:pos="9350"/>
            </w:tabs>
            <w:rPr>
              <w:rFonts w:ascii="Times New Roman" w:eastAsiaTheme="minorEastAsia" w:hAnsi="Times New Roman" w:cs="Times New Roman"/>
              <w:noProof/>
              <w:sz w:val="24"/>
              <w:szCs w:val="24"/>
              <w:lang/>
            </w:rPr>
          </w:pPr>
          <w:hyperlink w:anchor="_Toc188379021" w:history="1">
            <w:r w:rsidRPr="0041020C">
              <w:rPr>
                <w:rStyle w:val="Hyperlink"/>
                <w:rFonts w:ascii="Times New Roman" w:hAnsi="Times New Roman" w:cs="Times New Roman"/>
                <w:noProof/>
                <w:sz w:val="24"/>
                <w:szCs w:val="24"/>
              </w:rPr>
              <w:t>2.5.3 Manufacturing as the Representative Non-LIS</w:t>
            </w:r>
            <w:r w:rsidRPr="0041020C">
              <w:rPr>
                <w:rFonts w:ascii="Times New Roman" w:hAnsi="Times New Roman" w:cs="Times New Roman"/>
                <w:noProof/>
                <w:webHidden/>
                <w:sz w:val="24"/>
                <w:szCs w:val="24"/>
              </w:rPr>
              <w:tab/>
            </w:r>
            <w:r w:rsidRPr="0041020C">
              <w:rPr>
                <w:rFonts w:ascii="Times New Roman" w:hAnsi="Times New Roman" w:cs="Times New Roman"/>
                <w:noProof/>
                <w:webHidden/>
                <w:sz w:val="24"/>
                <w:szCs w:val="24"/>
              </w:rPr>
              <w:fldChar w:fldCharType="begin"/>
            </w:r>
            <w:r w:rsidRPr="0041020C">
              <w:rPr>
                <w:rFonts w:ascii="Times New Roman" w:hAnsi="Times New Roman" w:cs="Times New Roman"/>
                <w:noProof/>
                <w:webHidden/>
                <w:sz w:val="24"/>
                <w:szCs w:val="24"/>
              </w:rPr>
              <w:instrText xml:space="preserve"> PAGEREF _Toc188379021 \h </w:instrText>
            </w:r>
            <w:r w:rsidRPr="0041020C">
              <w:rPr>
                <w:rFonts w:ascii="Times New Roman" w:hAnsi="Times New Roman" w:cs="Times New Roman"/>
                <w:noProof/>
                <w:webHidden/>
                <w:sz w:val="24"/>
                <w:szCs w:val="24"/>
              </w:rPr>
            </w:r>
            <w:r w:rsidRPr="0041020C">
              <w:rPr>
                <w:rFonts w:ascii="Times New Roman" w:hAnsi="Times New Roman" w:cs="Times New Roman"/>
                <w:noProof/>
                <w:webHidden/>
                <w:sz w:val="24"/>
                <w:szCs w:val="24"/>
              </w:rPr>
              <w:fldChar w:fldCharType="separate"/>
            </w:r>
            <w:r w:rsidR="00EB6467">
              <w:rPr>
                <w:rFonts w:ascii="Times New Roman" w:hAnsi="Times New Roman" w:cs="Times New Roman"/>
                <w:noProof/>
                <w:webHidden/>
                <w:sz w:val="24"/>
                <w:szCs w:val="24"/>
              </w:rPr>
              <w:t>175</w:t>
            </w:r>
            <w:r w:rsidRPr="0041020C">
              <w:rPr>
                <w:rFonts w:ascii="Times New Roman" w:hAnsi="Times New Roman" w:cs="Times New Roman"/>
                <w:noProof/>
                <w:webHidden/>
                <w:sz w:val="24"/>
                <w:szCs w:val="24"/>
              </w:rPr>
              <w:fldChar w:fldCharType="end"/>
            </w:r>
          </w:hyperlink>
        </w:p>
        <w:p w14:paraId="292C7A18" w14:textId="4B23B3F6" w:rsidR="003D770C" w:rsidRPr="0041020C" w:rsidRDefault="003D770C" w:rsidP="001953BB">
          <w:pPr>
            <w:pStyle w:val="TOC3"/>
            <w:tabs>
              <w:tab w:val="right" w:leader="dot" w:pos="9350"/>
            </w:tabs>
            <w:rPr>
              <w:rFonts w:ascii="Times New Roman" w:eastAsiaTheme="minorEastAsia" w:hAnsi="Times New Roman" w:cs="Times New Roman"/>
              <w:noProof/>
              <w:sz w:val="24"/>
              <w:szCs w:val="24"/>
              <w:lang/>
            </w:rPr>
          </w:pPr>
          <w:hyperlink w:anchor="_Toc188379022" w:history="1">
            <w:r w:rsidRPr="0041020C">
              <w:rPr>
                <w:rStyle w:val="Hyperlink"/>
                <w:rFonts w:ascii="Times New Roman" w:hAnsi="Times New Roman" w:cs="Times New Roman"/>
                <w:noProof/>
                <w:sz w:val="24"/>
                <w:szCs w:val="24"/>
              </w:rPr>
              <w:t>2.5.4 Addressing Research Questions and Hypotheses</w:t>
            </w:r>
            <w:r w:rsidRPr="0041020C">
              <w:rPr>
                <w:rFonts w:ascii="Times New Roman" w:hAnsi="Times New Roman" w:cs="Times New Roman"/>
                <w:noProof/>
                <w:webHidden/>
                <w:sz w:val="24"/>
                <w:szCs w:val="24"/>
              </w:rPr>
              <w:tab/>
            </w:r>
            <w:r w:rsidRPr="0041020C">
              <w:rPr>
                <w:rFonts w:ascii="Times New Roman" w:hAnsi="Times New Roman" w:cs="Times New Roman"/>
                <w:noProof/>
                <w:webHidden/>
                <w:sz w:val="24"/>
                <w:szCs w:val="24"/>
              </w:rPr>
              <w:fldChar w:fldCharType="begin"/>
            </w:r>
            <w:r w:rsidRPr="0041020C">
              <w:rPr>
                <w:rFonts w:ascii="Times New Roman" w:hAnsi="Times New Roman" w:cs="Times New Roman"/>
                <w:noProof/>
                <w:webHidden/>
                <w:sz w:val="24"/>
                <w:szCs w:val="24"/>
              </w:rPr>
              <w:instrText xml:space="preserve"> PAGEREF _Toc188379022 \h </w:instrText>
            </w:r>
            <w:r w:rsidRPr="0041020C">
              <w:rPr>
                <w:rFonts w:ascii="Times New Roman" w:hAnsi="Times New Roman" w:cs="Times New Roman"/>
                <w:noProof/>
                <w:webHidden/>
                <w:sz w:val="24"/>
                <w:szCs w:val="24"/>
              </w:rPr>
            </w:r>
            <w:r w:rsidRPr="0041020C">
              <w:rPr>
                <w:rFonts w:ascii="Times New Roman" w:hAnsi="Times New Roman" w:cs="Times New Roman"/>
                <w:noProof/>
                <w:webHidden/>
                <w:sz w:val="24"/>
                <w:szCs w:val="24"/>
              </w:rPr>
              <w:fldChar w:fldCharType="separate"/>
            </w:r>
            <w:r w:rsidR="00EB6467">
              <w:rPr>
                <w:rFonts w:ascii="Times New Roman" w:hAnsi="Times New Roman" w:cs="Times New Roman"/>
                <w:noProof/>
                <w:webHidden/>
                <w:sz w:val="24"/>
                <w:szCs w:val="24"/>
              </w:rPr>
              <w:t>177</w:t>
            </w:r>
            <w:r w:rsidRPr="0041020C">
              <w:rPr>
                <w:rFonts w:ascii="Times New Roman" w:hAnsi="Times New Roman" w:cs="Times New Roman"/>
                <w:noProof/>
                <w:webHidden/>
                <w:sz w:val="24"/>
                <w:szCs w:val="24"/>
              </w:rPr>
              <w:fldChar w:fldCharType="end"/>
            </w:r>
          </w:hyperlink>
        </w:p>
        <w:p w14:paraId="2A54B50D" w14:textId="42496246" w:rsidR="003D770C" w:rsidRPr="0041020C" w:rsidRDefault="003D770C" w:rsidP="001953BB">
          <w:pPr>
            <w:pStyle w:val="TOC3"/>
            <w:tabs>
              <w:tab w:val="right" w:leader="dot" w:pos="9350"/>
            </w:tabs>
            <w:rPr>
              <w:rFonts w:ascii="Times New Roman" w:eastAsiaTheme="minorEastAsia" w:hAnsi="Times New Roman" w:cs="Times New Roman"/>
              <w:noProof/>
              <w:sz w:val="24"/>
              <w:szCs w:val="24"/>
              <w:lang/>
            </w:rPr>
          </w:pPr>
          <w:hyperlink w:anchor="_Toc188379023" w:history="1">
            <w:r w:rsidRPr="0041020C">
              <w:rPr>
                <w:rStyle w:val="Hyperlink"/>
                <w:rFonts w:ascii="Times New Roman" w:hAnsi="Times New Roman" w:cs="Times New Roman"/>
                <w:noProof/>
                <w:sz w:val="24"/>
                <w:szCs w:val="24"/>
              </w:rPr>
              <w:t>2.5.5 Conclusion</w:t>
            </w:r>
            <w:r w:rsidRPr="0041020C">
              <w:rPr>
                <w:rFonts w:ascii="Times New Roman" w:hAnsi="Times New Roman" w:cs="Times New Roman"/>
                <w:noProof/>
                <w:webHidden/>
                <w:sz w:val="24"/>
                <w:szCs w:val="24"/>
              </w:rPr>
              <w:tab/>
            </w:r>
            <w:r w:rsidRPr="0041020C">
              <w:rPr>
                <w:rFonts w:ascii="Times New Roman" w:hAnsi="Times New Roman" w:cs="Times New Roman"/>
                <w:noProof/>
                <w:webHidden/>
                <w:sz w:val="24"/>
                <w:szCs w:val="24"/>
              </w:rPr>
              <w:fldChar w:fldCharType="begin"/>
            </w:r>
            <w:r w:rsidRPr="0041020C">
              <w:rPr>
                <w:rFonts w:ascii="Times New Roman" w:hAnsi="Times New Roman" w:cs="Times New Roman"/>
                <w:noProof/>
                <w:webHidden/>
                <w:sz w:val="24"/>
                <w:szCs w:val="24"/>
              </w:rPr>
              <w:instrText xml:space="preserve"> PAGEREF _Toc188379023 \h </w:instrText>
            </w:r>
            <w:r w:rsidRPr="0041020C">
              <w:rPr>
                <w:rFonts w:ascii="Times New Roman" w:hAnsi="Times New Roman" w:cs="Times New Roman"/>
                <w:noProof/>
                <w:webHidden/>
                <w:sz w:val="24"/>
                <w:szCs w:val="24"/>
              </w:rPr>
            </w:r>
            <w:r w:rsidRPr="0041020C">
              <w:rPr>
                <w:rFonts w:ascii="Times New Roman" w:hAnsi="Times New Roman" w:cs="Times New Roman"/>
                <w:noProof/>
                <w:webHidden/>
                <w:sz w:val="24"/>
                <w:szCs w:val="24"/>
              </w:rPr>
              <w:fldChar w:fldCharType="separate"/>
            </w:r>
            <w:r w:rsidR="00EB6467">
              <w:rPr>
                <w:rFonts w:ascii="Times New Roman" w:hAnsi="Times New Roman" w:cs="Times New Roman"/>
                <w:noProof/>
                <w:webHidden/>
                <w:sz w:val="24"/>
                <w:szCs w:val="24"/>
              </w:rPr>
              <w:t>179</w:t>
            </w:r>
            <w:r w:rsidRPr="0041020C">
              <w:rPr>
                <w:rFonts w:ascii="Times New Roman" w:hAnsi="Times New Roman" w:cs="Times New Roman"/>
                <w:noProof/>
                <w:webHidden/>
                <w:sz w:val="24"/>
                <w:szCs w:val="24"/>
              </w:rPr>
              <w:fldChar w:fldCharType="end"/>
            </w:r>
          </w:hyperlink>
        </w:p>
        <w:p w14:paraId="0EB26E65" w14:textId="40B2F2E5" w:rsidR="003D770C" w:rsidRPr="0041020C" w:rsidRDefault="003D770C" w:rsidP="001953BB">
          <w:pPr>
            <w:pStyle w:val="TOC2"/>
            <w:tabs>
              <w:tab w:val="right" w:leader="dot" w:pos="9350"/>
            </w:tabs>
            <w:spacing w:before="0"/>
            <w:rPr>
              <w:rFonts w:ascii="Times New Roman" w:eastAsiaTheme="minorEastAsia" w:hAnsi="Times New Roman" w:cs="Times New Roman"/>
              <w:i w:val="0"/>
              <w:iCs w:val="0"/>
              <w:noProof/>
              <w:sz w:val="24"/>
              <w:szCs w:val="24"/>
              <w:lang/>
            </w:rPr>
          </w:pPr>
          <w:hyperlink w:anchor="_Toc188379024" w:history="1">
            <w:r w:rsidRPr="0041020C">
              <w:rPr>
                <w:rStyle w:val="Hyperlink"/>
                <w:rFonts w:ascii="Times New Roman" w:hAnsi="Times New Roman" w:cs="Times New Roman"/>
                <w:i w:val="0"/>
                <w:iCs w:val="0"/>
                <w:noProof/>
                <w:sz w:val="24"/>
                <w:szCs w:val="24"/>
              </w:rPr>
              <w:t>2.6 Robustness Checks</w:t>
            </w:r>
            <w:r w:rsidRPr="0041020C">
              <w:rPr>
                <w:rFonts w:ascii="Times New Roman" w:hAnsi="Times New Roman" w:cs="Times New Roman"/>
                <w:i w:val="0"/>
                <w:iCs w:val="0"/>
                <w:noProof/>
                <w:webHidden/>
                <w:sz w:val="24"/>
                <w:szCs w:val="24"/>
              </w:rPr>
              <w:tab/>
            </w:r>
            <w:r w:rsidRPr="0041020C">
              <w:rPr>
                <w:rFonts w:ascii="Times New Roman" w:hAnsi="Times New Roman" w:cs="Times New Roman"/>
                <w:i w:val="0"/>
                <w:iCs w:val="0"/>
                <w:noProof/>
                <w:webHidden/>
                <w:sz w:val="24"/>
                <w:szCs w:val="24"/>
              </w:rPr>
              <w:fldChar w:fldCharType="begin"/>
            </w:r>
            <w:r w:rsidRPr="0041020C">
              <w:rPr>
                <w:rFonts w:ascii="Times New Roman" w:hAnsi="Times New Roman" w:cs="Times New Roman"/>
                <w:i w:val="0"/>
                <w:iCs w:val="0"/>
                <w:noProof/>
                <w:webHidden/>
                <w:sz w:val="24"/>
                <w:szCs w:val="24"/>
              </w:rPr>
              <w:instrText xml:space="preserve"> PAGEREF _Toc188379024 \h </w:instrText>
            </w:r>
            <w:r w:rsidRPr="0041020C">
              <w:rPr>
                <w:rFonts w:ascii="Times New Roman" w:hAnsi="Times New Roman" w:cs="Times New Roman"/>
                <w:i w:val="0"/>
                <w:iCs w:val="0"/>
                <w:noProof/>
                <w:webHidden/>
                <w:sz w:val="24"/>
                <w:szCs w:val="24"/>
              </w:rPr>
            </w:r>
            <w:r w:rsidRPr="0041020C">
              <w:rPr>
                <w:rFonts w:ascii="Times New Roman" w:hAnsi="Times New Roman" w:cs="Times New Roman"/>
                <w:i w:val="0"/>
                <w:iCs w:val="0"/>
                <w:noProof/>
                <w:webHidden/>
                <w:sz w:val="24"/>
                <w:szCs w:val="24"/>
              </w:rPr>
              <w:fldChar w:fldCharType="separate"/>
            </w:r>
            <w:r w:rsidR="00EB6467">
              <w:rPr>
                <w:rFonts w:ascii="Times New Roman" w:hAnsi="Times New Roman" w:cs="Times New Roman"/>
                <w:i w:val="0"/>
                <w:iCs w:val="0"/>
                <w:noProof/>
                <w:webHidden/>
                <w:sz w:val="24"/>
                <w:szCs w:val="24"/>
              </w:rPr>
              <w:t>180</w:t>
            </w:r>
            <w:r w:rsidRPr="0041020C">
              <w:rPr>
                <w:rFonts w:ascii="Times New Roman" w:hAnsi="Times New Roman" w:cs="Times New Roman"/>
                <w:i w:val="0"/>
                <w:iCs w:val="0"/>
                <w:noProof/>
                <w:webHidden/>
                <w:sz w:val="24"/>
                <w:szCs w:val="24"/>
              </w:rPr>
              <w:fldChar w:fldCharType="end"/>
            </w:r>
          </w:hyperlink>
        </w:p>
        <w:p w14:paraId="6E41D4C8" w14:textId="7094BE68" w:rsidR="003D770C" w:rsidRPr="0041020C" w:rsidRDefault="003D770C" w:rsidP="001953BB">
          <w:pPr>
            <w:pStyle w:val="TOC2"/>
            <w:tabs>
              <w:tab w:val="right" w:leader="dot" w:pos="9350"/>
            </w:tabs>
            <w:spacing w:before="0"/>
            <w:rPr>
              <w:rFonts w:ascii="Times New Roman" w:eastAsiaTheme="minorEastAsia" w:hAnsi="Times New Roman" w:cs="Times New Roman"/>
              <w:i w:val="0"/>
              <w:iCs w:val="0"/>
              <w:noProof/>
              <w:sz w:val="24"/>
              <w:szCs w:val="24"/>
              <w:lang/>
            </w:rPr>
          </w:pPr>
          <w:hyperlink w:anchor="_Toc188379025" w:history="1">
            <w:r w:rsidRPr="0041020C">
              <w:rPr>
                <w:rStyle w:val="Hyperlink"/>
                <w:rFonts w:ascii="Times New Roman" w:hAnsi="Times New Roman" w:cs="Times New Roman"/>
                <w:i w:val="0"/>
                <w:iCs w:val="0"/>
                <w:noProof/>
                <w:sz w:val="24"/>
                <w:szCs w:val="24"/>
              </w:rPr>
              <w:t>2.7</w:t>
            </w:r>
            <w:r w:rsidRPr="0041020C">
              <w:rPr>
                <w:rStyle w:val="Hyperlink"/>
                <w:rFonts w:ascii="Times New Roman" w:hAnsi="Times New Roman" w:cs="Times New Roman"/>
                <w:i w:val="0"/>
                <w:iCs w:val="0"/>
                <w:noProof/>
                <w:sz w:val="24"/>
                <w:szCs w:val="24"/>
                <w:lang/>
              </w:rPr>
              <w:t xml:space="preserve"> Discussion and Policy Implications</w:t>
            </w:r>
            <w:r w:rsidRPr="0041020C">
              <w:rPr>
                <w:rFonts w:ascii="Times New Roman" w:hAnsi="Times New Roman" w:cs="Times New Roman"/>
                <w:i w:val="0"/>
                <w:iCs w:val="0"/>
                <w:noProof/>
                <w:webHidden/>
                <w:sz w:val="24"/>
                <w:szCs w:val="24"/>
              </w:rPr>
              <w:tab/>
            </w:r>
            <w:r w:rsidRPr="0041020C">
              <w:rPr>
                <w:rFonts w:ascii="Times New Roman" w:hAnsi="Times New Roman" w:cs="Times New Roman"/>
                <w:i w:val="0"/>
                <w:iCs w:val="0"/>
                <w:noProof/>
                <w:webHidden/>
                <w:sz w:val="24"/>
                <w:szCs w:val="24"/>
              </w:rPr>
              <w:fldChar w:fldCharType="begin"/>
            </w:r>
            <w:r w:rsidRPr="0041020C">
              <w:rPr>
                <w:rFonts w:ascii="Times New Roman" w:hAnsi="Times New Roman" w:cs="Times New Roman"/>
                <w:i w:val="0"/>
                <w:iCs w:val="0"/>
                <w:noProof/>
                <w:webHidden/>
                <w:sz w:val="24"/>
                <w:szCs w:val="24"/>
              </w:rPr>
              <w:instrText xml:space="preserve"> PAGEREF _Toc188379025 \h </w:instrText>
            </w:r>
            <w:r w:rsidRPr="0041020C">
              <w:rPr>
                <w:rFonts w:ascii="Times New Roman" w:hAnsi="Times New Roman" w:cs="Times New Roman"/>
                <w:i w:val="0"/>
                <w:iCs w:val="0"/>
                <w:noProof/>
                <w:webHidden/>
                <w:sz w:val="24"/>
                <w:szCs w:val="24"/>
              </w:rPr>
            </w:r>
            <w:r w:rsidRPr="0041020C">
              <w:rPr>
                <w:rFonts w:ascii="Times New Roman" w:hAnsi="Times New Roman" w:cs="Times New Roman"/>
                <w:i w:val="0"/>
                <w:iCs w:val="0"/>
                <w:noProof/>
                <w:webHidden/>
                <w:sz w:val="24"/>
                <w:szCs w:val="24"/>
              </w:rPr>
              <w:fldChar w:fldCharType="separate"/>
            </w:r>
            <w:r w:rsidR="00EB6467">
              <w:rPr>
                <w:rFonts w:ascii="Times New Roman" w:hAnsi="Times New Roman" w:cs="Times New Roman"/>
                <w:i w:val="0"/>
                <w:iCs w:val="0"/>
                <w:noProof/>
                <w:webHidden/>
                <w:sz w:val="24"/>
                <w:szCs w:val="24"/>
              </w:rPr>
              <w:t>181</w:t>
            </w:r>
            <w:r w:rsidRPr="0041020C">
              <w:rPr>
                <w:rFonts w:ascii="Times New Roman" w:hAnsi="Times New Roman" w:cs="Times New Roman"/>
                <w:i w:val="0"/>
                <w:iCs w:val="0"/>
                <w:noProof/>
                <w:webHidden/>
                <w:sz w:val="24"/>
                <w:szCs w:val="24"/>
              </w:rPr>
              <w:fldChar w:fldCharType="end"/>
            </w:r>
          </w:hyperlink>
        </w:p>
        <w:p w14:paraId="6E8CF06B" w14:textId="2788BDE7" w:rsidR="003D770C" w:rsidRPr="0041020C" w:rsidRDefault="003D770C" w:rsidP="001953BB">
          <w:pPr>
            <w:pStyle w:val="TOC3"/>
            <w:tabs>
              <w:tab w:val="right" w:leader="dot" w:pos="9350"/>
            </w:tabs>
            <w:rPr>
              <w:rFonts w:ascii="Times New Roman" w:eastAsiaTheme="minorEastAsia" w:hAnsi="Times New Roman" w:cs="Times New Roman"/>
              <w:noProof/>
              <w:sz w:val="24"/>
              <w:szCs w:val="24"/>
              <w:lang/>
            </w:rPr>
          </w:pPr>
          <w:hyperlink w:anchor="_Toc188379026" w:history="1">
            <w:r w:rsidRPr="0041020C">
              <w:rPr>
                <w:rStyle w:val="Hyperlink"/>
                <w:rFonts w:ascii="Times New Roman" w:hAnsi="Times New Roman" w:cs="Times New Roman"/>
                <w:noProof/>
                <w:sz w:val="24"/>
                <w:szCs w:val="24"/>
              </w:rPr>
              <w:t>2.7.1 Summary of Findings and Contributions</w:t>
            </w:r>
            <w:r w:rsidRPr="0041020C">
              <w:rPr>
                <w:rFonts w:ascii="Times New Roman" w:hAnsi="Times New Roman" w:cs="Times New Roman"/>
                <w:noProof/>
                <w:webHidden/>
                <w:sz w:val="24"/>
                <w:szCs w:val="24"/>
              </w:rPr>
              <w:tab/>
            </w:r>
            <w:r w:rsidRPr="0041020C">
              <w:rPr>
                <w:rFonts w:ascii="Times New Roman" w:hAnsi="Times New Roman" w:cs="Times New Roman"/>
                <w:noProof/>
                <w:webHidden/>
                <w:sz w:val="24"/>
                <w:szCs w:val="24"/>
              </w:rPr>
              <w:fldChar w:fldCharType="begin"/>
            </w:r>
            <w:r w:rsidRPr="0041020C">
              <w:rPr>
                <w:rFonts w:ascii="Times New Roman" w:hAnsi="Times New Roman" w:cs="Times New Roman"/>
                <w:noProof/>
                <w:webHidden/>
                <w:sz w:val="24"/>
                <w:szCs w:val="24"/>
              </w:rPr>
              <w:instrText xml:space="preserve"> PAGEREF _Toc188379026 \h </w:instrText>
            </w:r>
            <w:r w:rsidRPr="0041020C">
              <w:rPr>
                <w:rFonts w:ascii="Times New Roman" w:hAnsi="Times New Roman" w:cs="Times New Roman"/>
                <w:noProof/>
                <w:webHidden/>
                <w:sz w:val="24"/>
                <w:szCs w:val="24"/>
              </w:rPr>
            </w:r>
            <w:r w:rsidRPr="0041020C">
              <w:rPr>
                <w:rFonts w:ascii="Times New Roman" w:hAnsi="Times New Roman" w:cs="Times New Roman"/>
                <w:noProof/>
                <w:webHidden/>
                <w:sz w:val="24"/>
                <w:szCs w:val="24"/>
              </w:rPr>
              <w:fldChar w:fldCharType="separate"/>
            </w:r>
            <w:r w:rsidR="00EB6467">
              <w:rPr>
                <w:rFonts w:ascii="Times New Roman" w:hAnsi="Times New Roman" w:cs="Times New Roman"/>
                <w:noProof/>
                <w:webHidden/>
                <w:sz w:val="24"/>
                <w:szCs w:val="24"/>
              </w:rPr>
              <w:t>181</w:t>
            </w:r>
            <w:r w:rsidRPr="0041020C">
              <w:rPr>
                <w:rFonts w:ascii="Times New Roman" w:hAnsi="Times New Roman" w:cs="Times New Roman"/>
                <w:noProof/>
                <w:webHidden/>
                <w:sz w:val="24"/>
                <w:szCs w:val="24"/>
              </w:rPr>
              <w:fldChar w:fldCharType="end"/>
            </w:r>
          </w:hyperlink>
        </w:p>
        <w:p w14:paraId="2FF02B23" w14:textId="04BE8945" w:rsidR="003D770C" w:rsidRPr="0041020C" w:rsidRDefault="003D770C" w:rsidP="001953BB">
          <w:pPr>
            <w:pStyle w:val="TOC3"/>
            <w:tabs>
              <w:tab w:val="right" w:leader="dot" w:pos="9350"/>
            </w:tabs>
            <w:rPr>
              <w:rFonts w:ascii="Times New Roman" w:eastAsiaTheme="minorEastAsia" w:hAnsi="Times New Roman" w:cs="Times New Roman"/>
              <w:noProof/>
              <w:sz w:val="24"/>
              <w:szCs w:val="24"/>
              <w:lang/>
            </w:rPr>
          </w:pPr>
          <w:hyperlink w:anchor="_Toc188379027" w:history="1">
            <w:r w:rsidRPr="0041020C">
              <w:rPr>
                <w:rStyle w:val="Hyperlink"/>
                <w:rFonts w:ascii="Times New Roman" w:hAnsi="Times New Roman" w:cs="Times New Roman"/>
                <w:noProof/>
                <w:sz w:val="24"/>
                <w:szCs w:val="24"/>
              </w:rPr>
              <w:t>2.7.2 Addressing Research Questions and Hypotheses</w:t>
            </w:r>
            <w:r w:rsidRPr="0041020C">
              <w:rPr>
                <w:rFonts w:ascii="Times New Roman" w:hAnsi="Times New Roman" w:cs="Times New Roman"/>
                <w:noProof/>
                <w:webHidden/>
                <w:sz w:val="24"/>
                <w:szCs w:val="24"/>
              </w:rPr>
              <w:tab/>
            </w:r>
            <w:r w:rsidRPr="0041020C">
              <w:rPr>
                <w:rFonts w:ascii="Times New Roman" w:hAnsi="Times New Roman" w:cs="Times New Roman"/>
                <w:noProof/>
                <w:webHidden/>
                <w:sz w:val="24"/>
                <w:szCs w:val="24"/>
              </w:rPr>
              <w:fldChar w:fldCharType="begin"/>
            </w:r>
            <w:r w:rsidRPr="0041020C">
              <w:rPr>
                <w:rFonts w:ascii="Times New Roman" w:hAnsi="Times New Roman" w:cs="Times New Roman"/>
                <w:noProof/>
                <w:webHidden/>
                <w:sz w:val="24"/>
                <w:szCs w:val="24"/>
              </w:rPr>
              <w:instrText xml:space="preserve"> PAGEREF _Toc188379027 \h </w:instrText>
            </w:r>
            <w:r w:rsidRPr="0041020C">
              <w:rPr>
                <w:rFonts w:ascii="Times New Roman" w:hAnsi="Times New Roman" w:cs="Times New Roman"/>
                <w:noProof/>
                <w:webHidden/>
                <w:sz w:val="24"/>
                <w:szCs w:val="24"/>
              </w:rPr>
            </w:r>
            <w:r w:rsidRPr="0041020C">
              <w:rPr>
                <w:rFonts w:ascii="Times New Roman" w:hAnsi="Times New Roman" w:cs="Times New Roman"/>
                <w:noProof/>
                <w:webHidden/>
                <w:sz w:val="24"/>
                <w:szCs w:val="24"/>
              </w:rPr>
              <w:fldChar w:fldCharType="separate"/>
            </w:r>
            <w:r w:rsidR="00EB6467">
              <w:rPr>
                <w:rFonts w:ascii="Times New Roman" w:hAnsi="Times New Roman" w:cs="Times New Roman"/>
                <w:noProof/>
                <w:webHidden/>
                <w:sz w:val="24"/>
                <w:szCs w:val="24"/>
              </w:rPr>
              <w:t>183</w:t>
            </w:r>
            <w:r w:rsidRPr="0041020C">
              <w:rPr>
                <w:rFonts w:ascii="Times New Roman" w:hAnsi="Times New Roman" w:cs="Times New Roman"/>
                <w:noProof/>
                <w:webHidden/>
                <w:sz w:val="24"/>
                <w:szCs w:val="24"/>
              </w:rPr>
              <w:fldChar w:fldCharType="end"/>
            </w:r>
          </w:hyperlink>
        </w:p>
        <w:p w14:paraId="2BB3B7B5" w14:textId="78AF8531" w:rsidR="003D770C" w:rsidRPr="0041020C" w:rsidRDefault="003D770C" w:rsidP="001953BB">
          <w:pPr>
            <w:pStyle w:val="TOC3"/>
            <w:tabs>
              <w:tab w:val="right" w:leader="dot" w:pos="9350"/>
            </w:tabs>
            <w:rPr>
              <w:rFonts w:ascii="Times New Roman" w:eastAsiaTheme="minorEastAsia" w:hAnsi="Times New Roman" w:cs="Times New Roman"/>
              <w:noProof/>
              <w:sz w:val="24"/>
              <w:szCs w:val="24"/>
              <w:lang/>
            </w:rPr>
          </w:pPr>
          <w:hyperlink w:anchor="_Toc188379028" w:history="1">
            <w:r w:rsidRPr="0041020C">
              <w:rPr>
                <w:rStyle w:val="Hyperlink"/>
                <w:rFonts w:ascii="Times New Roman" w:hAnsi="Times New Roman" w:cs="Times New Roman"/>
                <w:noProof/>
                <w:sz w:val="24"/>
                <w:szCs w:val="24"/>
              </w:rPr>
              <w:t>2.7.3 Theoretical Implications</w:t>
            </w:r>
            <w:r w:rsidRPr="0041020C">
              <w:rPr>
                <w:rFonts w:ascii="Times New Roman" w:hAnsi="Times New Roman" w:cs="Times New Roman"/>
                <w:noProof/>
                <w:webHidden/>
                <w:sz w:val="24"/>
                <w:szCs w:val="24"/>
              </w:rPr>
              <w:tab/>
            </w:r>
            <w:r w:rsidRPr="0041020C">
              <w:rPr>
                <w:rFonts w:ascii="Times New Roman" w:hAnsi="Times New Roman" w:cs="Times New Roman"/>
                <w:noProof/>
                <w:webHidden/>
                <w:sz w:val="24"/>
                <w:szCs w:val="24"/>
              </w:rPr>
              <w:fldChar w:fldCharType="begin"/>
            </w:r>
            <w:r w:rsidRPr="0041020C">
              <w:rPr>
                <w:rFonts w:ascii="Times New Roman" w:hAnsi="Times New Roman" w:cs="Times New Roman"/>
                <w:noProof/>
                <w:webHidden/>
                <w:sz w:val="24"/>
                <w:szCs w:val="24"/>
              </w:rPr>
              <w:instrText xml:space="preserve"> PAGEREF _Toc188379028 \h </w:instrText>
            </w:r>
            <w:r w:rsidRPr="0041020C">
              <w:rPr>
                <w:rFonts w:ascii="Times New Roman" w:hAnsi="Times New Roman" w:cs="Times New Roman"/>
                <w:noProof/>
                <w:webHidden/>
                <w:sz w:val="24"/>
                <w:szCs w:val="24"/>
              </w:rPr>
            </w:r>
            <w:r w:rsidRPr="0041020C">
              <w:rPr>
                <w:rFonts w:ascii="Times New Roman" w:hAnsi="Times New Roman" w:cs="Times New Roman"/>
                <w:noProof/>
                <w:webHidden/>
                <w:sz w:val="24"/>
                <w:szCs w:val="24"/>
              </w:rPr>
              <w:fldChar w:fldCharType="separate"/>
            </w:r>
            <w:r w:rsidR="00EB6467">
              <w:rPr>
                <w:rFonts w:ascii="Times New Roman" w:hAnsi="Times New Roman" w:cs="Times New Roman"/>
                <w:noProof/>
                <w:webHidden/>
                <w:sz w:val="24"/>
                <w:szCs w:val="24"/>
              </w:rPr>
              <w:t>184</w:t>
            </w:r>
            <w:r w:rsidRPr="0041020C">
              <w:rPr>
                <w:rFonts w:ascii="Times New Roman" w:hAnsi="Times New Roman" w:cs="Times New Roman"/>
                <w:noProof/>
                <w:webHidden/>
                <w:sz w:val="24"/>
                <w:szCs w:val="24"/>
              </w:rPr>
              <w:fldChar w:fldCharType="end"/>
            </w:r>
          </w:hyperlink>
        </w:p>
        <w:p w14:paraId="289B5400" w14:textId="0861BE76" w:rsidR="003D770C" w:rsidRPr="0041020C" w:rsidRDefault="003D770C" w:rsidP="001953BB">
          <w:pPr>
            <w:pStyle w:val="TOC3"/>
            <w:tabs>
              <w:tab w:val="right" w:leader="dot" w:pos="9350"/>
            </w:tabs>
            <w:rPr>
              <w:rFonts w:ascii="Times New Roman" w:eastAsiaTheme="minorEastAsia" w:hAnsi="Times New Roman" w:cs="Times New Roman"/>
              <w:noProof/>
              <w:sz w:val="24"/>
              <w:szCs w:val="24"/>
              <w:lang/>
            </w:rPr>
          </w:pPr>
          <w:hyperlink w:anchor="_Toc188379029" w:history="1">
            <w:r w:rsidRPr="0041020C">
              <w:rPr>
                <w:rStyle w:val="Hyperlink"/>
                <w:rFonts w:ascii="Times New Roman" w:hAnsi="Times New Roman" w:cs="Times New Roman"/>
                <w:noProof/>
                <w:sz w:val="24"/>
                <w:szCs w:val="24"/>
              </w:rPr>
              <w:t>2.7.4 Policy Implications</w:t>
            </w:r>
            <w:r w:rsidRPr="0041020C">
              <w:rPr>
                <w:rFonts w:ascii="Times New Roman" w:hAnsi="Times New Roman" w:cs="Times New Roman"/>
                <w:noProof/>
                <w:webHidden/>
                <w:sz w:val="24"/>
                <w:szCs w:val="24"/>
              </w:rPr>
              <w:tab/>
            </w:r>
            <w:r w:rsidRPr="0041020C">
              <w:rPr>
                <w:rFonts w:ascii="Times New Roman" w:hAnsi="Times New Roman" w:cs="Times New Roman"/>
                <w:noProof/>
                <w:webHidden/>
                <w:sz w:val="24"/>
                <w:szCs w:val="24"/>
              </w:rPr>
              <w:fldChar w:fldCharType="begin"/>
            </w:r>
            <w:r w:rsidRPr="0041020C">
              <w:rPr>
                <w:rFonts w:ascii="Times New Roman" w:hAnsi="Times New Roman" w:cs="Times New Roman"/>
                <w:noProof/>
                <w:webHidden/>
                <w:sz w:val="24"/>
                <w:szCs w:val="24"/>
              </w:rPr>
              <w:instrText xml:space="preserve"> PAGEREF _Toc188379029 \h </w:instrText>
            </w:r>
            <w:r w:rsidRPr="0041020C">
              <w:rPr>
                <w:rFonts w:ascii="Times New Roman" w:hAnsi="Times New Roman" w:cs="Times New Roman"/>
                <w:noProof/>
                <w:webHidden/>
                <w:sz w:val="24"/>
                <w:szCs w:val="24"/>
              </w:rPr>
            </w:r>
            <w:r w:rsidRPr="0041020C">
              <w:rPr>
                <w:rFonts w:ascii="Times New Roman" w:hAnsi="Times New Roman" w:cs="Times New Roman"/>
                <w:noProof/>
                <w:webHidden/>
                <w:sz w:val="24"/>
                <w:szCs w:val="24"/>
              </w:rPr>
              <w:fldChar w:fldCharType="separate"/>
            </w:r>
            <w:r w:rsidR="00EB6467">
              <w:rPr>
                <w:rFonts w:ascii="Times New Roman" w:hAnsi="Times New Roman" w:cs="Times New Roman"/>
                <w:noProof/>
                <w:webHidden/>
                <w:sz w:val="24"/>
                <w:szCs w:val="24"/>
              </w:rPr>
              <w:t>184</w:t>
            </w:r>
            <w:r w:rsidRPr="0041020C">
              <w:rPr>
                <w:rFonts w:ascii="Times New Roman" w:hAnsi="Times New Roman" w:cs="Times New Roman"/>
                <w:noProof/>
                <w:webHidden/>
                <w:sz w:val="24"/>
                <w:szCs w:val="24"/>
              </w:rPr>
              <w:fldChar w:fldCharType="end"/>
            </w:r>
          </w:hyperlink>
        </w:p>
        <w:p w14:paraId="69F25525" w14:textId="78ADE9E3" w:rsidR="003D770C" w:rsidRPr="0041020C" w:rsidRDefault="003D770C" w:rsidP="001953BB">
          <w:pPr>
            <w:pStyle w:val="TOC3"/>
            <w:tabs>
              <w:tab w:val="right" w:leader="dot" w:pos="9350"/>
            </w:tabs>
            <w:rPr>
              <w:rFonts w:ascii="Times New Roman" w:eastAsiaTheme="minorEastAsia" w:hAnsi="Times New Roman" w:cs="Times New Roman"/>
              <w:noProof/>
              <w:sz w:val="24"/>
              <w:szCs w:val="24"/>
              <w:lang/>
            </w:rPr>
          </w:pPr>
          <w:hyperlink w:anchor="_Toc188379030" w:history="1">
            <w:r w:rsidRPr="0041020C">
              <w:rPr>
                <w:rStyle w:val="Hyperlink"/>
                <w:rFonts w:ascii="Times New Roman" w:hAnsi="Times New Roman" w:cs="Times New Roman"/>
                <w:noProof/>
                <w:sz w:val="24"/>
                <w:szCs w:val="24"/>
              </w:rPr>
              <w:t>2.7.5 Limitations</w:t>
            </w:r>
            <w:r w:rsidRPr="0041020C">
              <w:rPr>
                <w:rFonts w:ascii="Times New Roman" w:hAnsi="Times New Roman" w:cs="Times New Roman"/>
                <w:noProof/>
                <w:webHidden/>
                <w:sz w:val="24"/>
                <w:szCs w:val="24"/>
              </w:rPr>
              <w:tab/>
            </w:r>
            <w:r w:rsidRPr="0041020C">
              <w:rPr>
                <w:rFonts w:ascii="Times New Roman" w:hAnsi="Times New Roman" w:cs="Times New Roman"/>
                <w:noProof/>
                <w:webHidden/>
                <w:sz w:val="24"/>
                <w:szCs w:val="24"/>
              </w:rPr>
              <w:fldChar w:fldCharType="begin"/>
            </w:r>
            <w:r w:rsidRPr="0041020C">
              <w:rPr>
                <w:rFonts w:ascii="Times New Roman" w:hAnsi="Times New Roman" w:cs="Times New Roman"/>
                <w:noProof/>
                <w:webHidden/>
                <w:sz w:val="24"/>
                <w:szCs w:val="24"/>
              </w:rPr>
              <w:instrText xml:space="preserve"> PAGEREF _Toc188379030 \h </w:instrText>
            </w:r>
            <w:r w:rsidRPr="0041020C">
              <w:rPr>
                <w:rFonts w:ascii="Times New Roman" w:hAnsi="Times New Roman" w:cs="Times New Roman"/>
                <w:noProof/>
                <w:webHidden/>
                <w:sz w:val="24"/>
                <w:szCs w:val="24"/>
              </w:rPr>
            </w:r>
            <w:r w:rsidRPr="0041020C">
              <w:rPr>
                <w:rFonts w:ascii="Times New Roman" w:hAnsi="Times New Roman" w:cs="Times New Roman"/>
                <w:noProof/>
                <w:webHidden/>
                <w:sz w:val="24"/>
                <w:szCs w:val="24"/>
              </w:rPr>
              <w:fldChar w:fldCharType="separate"/>
            </w:r>
            <w:r w:rsidR="00EB6467">
              <w:rPr>
                <w:rFonts w:ascii="Times New Roman" w:hAnsi="Times New Roman" w:cs="Times New Roman"/>
                <w:noProof/>
                <w:webHidden/>
                <w:sz w:val="24"/>
                <w:szCs w:val="24"/>
              </w:rPr>
              <w:t>188</w:t>
            </w:r>
            <w:r w:rsidRPr="0041020C">
              <w:rPr>
                <w:rFonts w:ascii="Times New Roman" w:hAnsi="Times New Roman" w:cs="Times New Roman"/>
                <w:noProof/>
                <w:webHidden/>
                <w:sz w:val="24"/>
                <w:szCs w:val="24"/>
              </w:rPr>
              <w:fldChar w:fldCharType="end"/>
            </w:r>
          </w:hyperlink>
        </w:p>
        <w:p w14:paraId="10B961C8" w14:textId="7287C536" w:rsidR="003D770C" w:rsidRPr="0041020C" w:rsidRDefault="003D770C" w:rsidP="001953BB">
          <w:pPr>
            <w:pStyle w:val="TOC3"/>
            <w:tabs>
              <w:tab w:val="right" w:leader="dot" w:pos="9350"/>
            </w:tabs>
            <w:rPr>
              <w:rFonts w:ascii="Times New Roman" w:eastAsiaTheme="minorEastAsia" w:hAnsi="Times New Roman" w:cs="Times New Roman"/>
              <w:noProof/>
              <w:sz w:val="24"/>
              <w:szCs w:val="24"/>
              <w:lang/>
            </w:rPr>
          </w:pPr>
          <w:hyperlink w:anchor="_Toc188379031" w:history="1">
            <w:r w:rsidRPr="0041020C">
              <w:rPr>
                <w:rStyle w:val="Hyperlink"/>
                <w:rFonts w:ascii="Times New Roman" w:hAnsi="Times New Roman" w:cs="Times New Roman"/>
                <w:noProof/>
                <w:sz w:val="24"/>
                <w:szCs w:val="24"/>
              </w:rPr>
              <w:t>2.7.6 Conclusion</w:t>
            </w:r>
            <w:r w:rsidRPr="0041020C">
              <w:rPr>
                <w:rFonts w:ascii="Times New Roman" w:hAnsi="Times New Roman" w:cs="Times New Roman"/>
                <w:noProof/>
                <w:webHidden/>
                <w:sz w:val="24"/>
                <w:szCs w:val="24"/>
              </w:rPr>
              <w:tab/>
            </w:r>
            <w:r w:rsidRPr="0041020C">
              <w:rPr>
                <w:rFonts w:ascii="Times New Roman" w:hAnsi="Times New Roman" w:cs="Times New Roman"/>
                <w:noProof/>
                <w:webHidden/>
                <w:sz w:val="24"/>
                <w:szCs w:val="24"/>
              </w:rPr>
              <w:fldChar w:fldCharType="begin"/>
            </w:r>
            <w:r w:rsidRPr="0041020C">
              <w:rPr>
                <w:rFonts w:ascii="Times New Roman" w:hAnsi="Times New Roman" w:cs="Times New Roman"/>
                <w:noProof/>
                <w:webHidden/>
                <w:sz w:val="24"/>
                <w:szCs w:val="24"/>
              </w:rPr>
              <w:instrText xml:space="preserve"> PAGEREF _Toc188379031 \h </w:instrText>
            </w:r>
            <w:r w:rsidRPr="0041020C">
              <w:rPr>
                <w:rFonts w:ascii="Times New Roman" w:hAnsi="Times New Roman" w:cs="Times New Roman"/>
                <w:noProof/>
                <w:webHidden/>
                <w:sz w:val="24"/>
                <w:szCs w:val="24"/>
              </w:rPr>
            </w:r>
            <w:r w:rsidRPr="0041020C">
              <w:rPr>
                <w:rFonts w:ascii="Times New Roman" w:hAnsi="Times New Roman" w:cs="Times New Roman"/>
                <w:noProof/>
                <w:webHidden/>
                <w:sz w:val="24"/>
                <w:szCs w:val="24"/>
              </w:rPr>
              <w:fldChar w:fldCharType="separate"/>
            </w:r>
            <w:r w:rsidR="00EB6467">
              <w:rPr>
                <w:rFonts w:ascii="Times New Roman" w:hAnsi="Times New Roman" w:cs="Times New Roman"/>
                <w:noProof/>
                <w:webHidden/>
                <w:sz w:val="24"/>
                <w:szCs w:val="24"/>
              </w:rPr>
              <w:t>189</w:t>
            </w:r>
            <w:r w:rsidRPr="0041020C">
              <w:rPr>
                <w:rFonts w:ascii="Times New Roman" w:hAnsi="Times New Roman" w:cs="Times New Roman"/>
                <w:noProof/>
                <w:webHidden/>
                <w:sz w:val="24"/>
                <w:szCs w:val="24"/>
              </w:rPr>
              <w:fldChar w:fldCharType="end"/>
            </w:r>
          </w:hyperlink>
        </w:p>
        <w:p w14:paraId="32E8FA5E" w14:textId="35C6436C" w:rsidR="003D770C" w:rsidRPr="0041020C" w:rsidRDefault="003D770C" w:rsidP="001953BB">
          <w:pPr>
            <w:pStyle w:val="TOC2"/>
            <w:tabs>
              <w:tab w:val="right" w:leader="dot" w:pos="9350"/>
            </w:tabs>
            <w:spacing w:before="0"/>
            <w:rPr>
              <w:rFonts w:ascii="Times New Roman" w:eastAsiaTheme="minorEastAsia" w:hAnsi="Times New Roman" w:cs="Times New Roman"/>
              <w:i w:val="0"/>
              <w:iCs w:val="0"/>
              <w:noProof/>
              <w:sz w:val="24"/>
              <w:szCs w:val="24"/>
              <w:lang/>
            </w:rPr>
          </w:pPr>
          <w:hyperlink w:anchor="_Toc188379032" w:history="1">
            <w:r w:rsidRPr="0041020C">
              <w:rPr>
                <w:rStyle w:val="Hyperlink"/>
                <w:rFonts w:ascii="Times New Roman" w:hAnsi="Times New Roman" w:cs="Times New Roman"/>
                <w:i w:val="0"/>
                <w:iCs w:val="0"/>
                <w:noProof/>
                <w:sz w:val="24"/>
                <w:szCs w:val="24"/>
              </w:rPr>
              <w:t>2.8</w:t>
            </w:r>
            <w:r w:rsidRPr="0041020C">
              <w:rPr>
                <w:rStyle w:val="Hyperlink"/>
                <w:rFonts w:ascii="Times New Roman" w:hAnsi="Times New Roman" w:cs="Times New Roman"/>
                <w:i w:val="0"/>
                <w:iCs w:val="0"/>
                <w:noProof/>
                <w:sz w:val="24"/>
                <w:szCs w:val="24"/>
                <w:lang/>
              </w:rPr>
              <w:t xml:space="preserve"> Conclusion</w:t>
            </w:r>
            <w:r w:rsidRPr="0041020C">
              <w:rPr>
                <w:rFonts w:ascii="Times New Roman" w:hAnsi="Times New Roman" w:cs="Times New Roman"/>
                <w:i w:val="0"/>
                <w:iCs w:val="0"/>
                <w:noProof/>
                <w:webHidden/>
                <w:sz w:val="24"/>
                <w:szCs w:val="24"/>
              </w:rPr>
              <w:tab/>
            </w:r>
            <w:r w:rsidRPr="0041020C">
              <w:rPr>
                <w:rFonts w:ascii="Times New Roman" w:hAnsi="Times New Roman" w:cs="Times New Roman"/>
                <w:i w:val="0"/>
                <w:iCs w:val="0"/>
                <w:noProof/>
                <w:webHidden/>
                <w:sz w:val="24"/>
                <w:szCs w:val="24"/>
              </w:rPr>
              <w:fldChar w:fldCharType="begin"/>
            </w:r>
            <w:r w:rsidRPr="0041020C">
              <w:rPr>
                <w:rFonts w:ascii="Times New Roman" w:hAnsi="Times New Roman" w:cs="Times New Roman"/>
                <w:i w:val="0"/>
                <w:iCs w:val="0"/>
                <w:noProof/>
                <w:webHidden/>
                <w:sz w:val="24"/>
                <w:szCs w:val="24"/>
              </w:rPr>
              <w:instrText xml:space="preserve"> PAGEREF _Toc188379032 \h </w:instrText>
            </w:r>
            <w:r w:rsidRPr="0041020C">
              <w:rPr>
                <w:rFonts w:ascii="Times New Roman" w:hAnsi="Times New Roman" w:cs="Times New Roman"/>
                <w:i w:val="0"/>
                <w:iCs w:val="0"/>
                <w:noProof/>
                <w:webHidden/>
                <w:sz w:val="24"/>
                <w:szCs w:val="24"/>
              </w:rPr>
            </w:r>
            <w:r w:rsidRPr="0041020C">
              <w:rPr>
                <w:rFonts w:ascii="Times New Roman" w:hAnsi="Times New Roman" w:cs="Times New Roman"/>
                <w:i w:val="0"/>
                <w:iCs w:val="0"/>
                <w:noProof/>
                <w:webHidden/>
                <w:sz w:val="24"/>
                <w:szCs w:val="24"/>
              </w:rPr>
              <w:fldChar w:fldCharType="separate"/>
            </w:r>
            <w:r w:rsidR="00EB6467">
              <w:rPr>
                <w:rFonts w:ascii="Times New Roman" w:hAnsi="Times New Roman" w:cs="Times New Roman"/>
                <w:i w:val="0"/>
                <w:iCs w:val="0"/>
                <w:noProof/>
                <w:webHidden/>
                <w:sz w:val="24"/>
                <w:szCs w:val="24"/>
              </w:rPr>
              <w:t>190</w:t>
            </w:r>
            <w:r w:rsidRPr="0041020C">
              <w:rPr>
                <w:rFonts w:ascii="Times New Roman" w:hAnsi="Times New Roman" w:cs="Times New Roman"/>
                <w:i w:val="0"/>
                <w:iCs w:val="0"/>
                <w:noProof/>
                <w:webHidden/>
                <w:sz w:val="24"/>
                <w:szCs w:val="24"/>
              </w:rPr>
              <w:fldChar w:fldCharType="end"/>
            </w:r>
          </w:hyperlink>
        </w:p>
        <w:p w14:paraId="2ED9B148" w14:textId="56254C54" w:rsidR="003D770C" w:rsidRPr="0041020C" w:rsidRDefault="003D770C" w:rsidP="001953BB">
          <w:pPr>
            <w:pStyle w:val="TOC2"/>
            <w:tabs>
              <w:tab w:val="right" w:leader="dot" w:pos="9350"/>
            </w:tabs>
            <w:spacing w:before="0"/>
            <w:rPr>
              <w:rFonts w:ascii="Times New Roman" w:eastAsiaTheme="minorEastAsia" w:hAnsi="Times New Roman" w:cs="Times New Roman"/>
              <w:i w:val="0"/>
              <w:iCs w:val="0"/>
              <w:noProof/>
              <w:sz w:val="24"/>
              <w:szCs w:val="24"/>
              <w:lang/>
            </w:rPr>
          </w:pPr>
          <w:hyperlink w:anchor="_Toc188379033" w:history="1">
            <w:r w:rsidRPr="0041020C">
              <w:rPr>
                <w:rStyle w:val="Hyperlink"/>
                <w:rFonts w:ascii="Times New Roman" w:hAnsi="Times New Roman" w:cs="Times New Roman"/>
                <w:i w:val="0"/>
                <w:iCs w:val="0"/>
                <w:noProof/>
                <w:sz w:val="24"/>
                <w:szCs w:val="24"/>
              </w:rPr>
              <w:t>References</w:t>
            </w:r>
            <w:r w:rsidRPr="0041020C">
              <w:rPr>
                <w:rFonts w:ascii="Times New Roman" w:hAnsi="Times New Roman" w:cs="Times New Roman"/>
                <w:i w:val="0"/>
                <w:iCs w:val="0"/>
                <w:noProof/>
                <w:webHidden/>
                <w:sz w:val="24"/>
                <w:szCs w:val="24"/>
              </w:rPr>
              <w:tab/>
            </w:r>
            <w:r w:rsidRPr="0041020C">
              <w:rPr>
                <w:rFonts w:ascii="Times New Roman" w:hAnsi="Times New Roman" w:cs="Times New Roman"/>
                <w:i w:val="0"/>
                <w:iCs w:val="0"/>
                <w:noProof/>
                <w:webHidden/>
                <w:sz w:val="24"/>
                <w:szCs w:val="24"/>
              </w:rPr>
              <w:fldChar w:fldCharType="begin"/>
            </w:r>
            <w:r w:rsidRPr="0041020C">
              <w:rPr>
                <w:rFonts w:ascii="Times New Roman" w:hAnsi="Times New Roman" w:cs="Times New Roman"/>
                <w:i w:val="0"/>
                <w:iCs w:val="0"/>
                <w:noProof/>
                <w:webHidden/>
                <w:sz w:val="24"/>
                <w:szCs w:val="24"/>
              </w:rPr>
              <w:instrText xml:space="preserve"> PAGEREF _Toc188379033 \h </w:instrText>
            </w:r>
            <w:r w:rsidRPr="0041020C">
              <w:rPr>
                <w:rFonts w:ascii="Times New Roman" w:hAnsi="Times New Roman" w:cs="Times New Roman"/>
                <w:i w:val="0"/>
                <w:iCs w:val="0"/>
                <w:noProof/>
                <w:webHidden/>
                <w:sz w:val="24"/>
                <w:szCs w:val="24"/>
              </w:rPr>
            </w:r>
            <w:r w:rsidRPr="0041020C">
              <w:rPr>
                <w:rFonts w:ascii="Times New Roman" w:hAnsi="Times New Roman" w:cs="Times New Roman"/>
                <w:i w:val="0"/>
                <w:iCs w:val="0"/>
                <w:noProof/>
                <w:webHidden/>
                <w:sz w:val="24"/>
                <w:szCs w:val="24"/>
              </w:rPr>
              <w:fldChar w:fldCharType="separate"/>
            </w:r>
            <w:r w:rsidR="00EB6467">
              <w:rPr>
                <w:rFonts w:ascii="Times New Roman" w:hAnsi="Times New Roman" w:cs="Times New Roman"/>
                <w:i w:val="0"/>
                <w:iCs w:val="0"/>
                <w:noProof/>
                <w:webHidden/>
                <w:sz w:val="24"/>
                <w:szCs w:val="24"/>
              </w:rPr>
              <w:t>193</w:t>
            </w:r>
            <w:r w:rsidRPr="0041020C">
              <w:rPr>
                <w:rFonts w:ascii="Times New Roman" w:hAnsi="Times New Roman" w:cs="Times New Roman"/>
                <w:i w:val="0"/>
                <w:iCs w:val="0"/>
                <w:noProof/>
                <w:webHidden/>
                <w:sz w:val="24"/>
                <w:szCs w:val="24"/>
              </w:rPr>
              <w:fldChar w:fldCharType="end"/>
            </w:r>
          </w:hyperlink>
        </w:p>
        <w:p w14:paraId="7072D56B" w14:textId="1A822F0D" w:rsidR="003D770C" w:rsidRPr="0041020C" w:rsidRDefault="003D770C" w:rsidP="001953BB">
          <w:pPr>
            <w:pStyle w:val="TOC2"/>
            <w:tabs>
              <w:tab w:val="right" w:leader="dot" w:pos="9350"/>
            </w:tabs>
            <w:spacing w:before="0"/>
            <w:rPr>
              <w:rFonts w:ascii="Times New Roman" w:eastAsiaTheme="minorEastAsia" w:hAnsi="Times New Roman" w:cs="Times New Roman"/>
              <w:i w:val="0"/>
              <w:iCs w:val="0"/>
              <w:noProof/>
              <w:sz w:val="24"/>
              <w:szCs w:val="24"/>
              <w:lang/>
            </w:rPr>
          </w:pPr>
          <w:hyperlink w:anchor="_Toc188379034" w:history="1">
            <w:r w:rsidRPr="0041020C">
              <w:rPr>
                <w:rStyle w:val="Hyperlink"/>
                <w:rFonts w:ascii="Times New Roman" w:hAnsi="Times New Roman" w:cs="Times New Roman"/>
                <w:i w:val="0"/>
                <w:iCs w:val="0"/>
                <w:noProof/>
                <w:sz w:val="24"/>
                <w:szCs w:val="24"/>
              </w:rPr>
              <w:t>Appendix</w:t>
            </w:r>
            <w:r w:rsidRPr="0041020C">
              <w:rPr>
                <w:rFonts w:ascii="Times New Roman" w:hAnsi="Times New Roman" w:cs="Times New Roman"/>
                <w:i w:val="0"/>
                <w:iCs w:val="0"/>
                <w:noProof/>
                <w:webHidden/>
                <w:sz w:val="24"/>
                <w:szCs w:val="24"/>
              </w:rPr>
              <w:tab/>
            </w:r>
            <w:r w:rsidRPr="0041020C">
              <w:rPr>
                <w:rFonts w:ascii="Times New Roman" w:hAnsi="Times New Roman" w:cs="Times New Roman"/>
                <w:i w:val="0"/>
                <w:iCs w:val="0"/>
                <w:noProof/>
                <w:webHidden/>
                <w:sz w:val="24"/>
                <w:szCs w:val="24"/>
              </w:rPr>
              <w:fldChar w:fldCharType="begin"/>
            </w:r>
            <w:r w:rsidRPr="0041020C">
              <w:rPr>
                <w:rFonts w:ascii="Times New Roman" w:hAnsi="Times New Roman" w:cs="Times New Roman"/>
                <w:i w:val="0"/>
                <w:iCs w:val="0"/>
                <w:noProof/>
                <w:webHidden/>
                <w:sz w:val="24"/>
                <w:szCs w:val="24"/>
              </w:rPr>
              <w:instrText xml:space="preserve"> PAGEREF _Toc188379034 \h </w:instrText>
            </w:r>
            <w:r w:rsidRPr="0041020C">
              <w:rPr>
                <w:rFonts w:ascii="Times New Roman" w:hAnsi="Times New Roman" w:cs="Times New Roman"/>
                <w:i w:val="0"/>
                <w:iCs w:val="0"/>
                <w:noProof/>
                <w:webHidden/>
                <w:sz w:val="24"/>
                <w:szCs w:val="24"/>
              </w:rPr>
            </w:r>
            <w:r w:rsidRPr="0041020C">
              <w:rPr>
                <w:rFonts w:ascii="Times New Roman" w:hAnsi="Times New Roman" w:cs="Times New Roman"/>
                <w:i w:val="0"/>
                <w:iCs w:val="0"/>
                <w:noProof/>
                <w:webHidden/>
                <w:sz w:val="24"/>
                <w:szCs w:val="24"/>
              </w:rPr>
              <w:fldChar w:fldCharType="separate"/>
            </w:r>
            <w:r w:rsidR="00EB6467">
              <w:rPr>
                <w:rFonts w:ascii="Times New Roman" w:hAnsi="Times New Roman" w:cs="Times New Roman"/>
                <w:i w:val="0"/>
                <w:iCs w:val="0"/>
                <w:noProof/>
                <w:webHidden/>
                <w:sz w:val="24"/>
                <w:szCs w:val="24"/>
              </w:rPr>
              <w:t>205</w:t>
            </w:r>
            <w:r w:rsidRPr="0041020C">
              <w:rPr>
                <w:rFonts w:ascii="Times New Roman" w:hAnsi="Times New Roman" w:cs="Times New Roman"/>
                <w:i w:val="0"/>
                <w:iCs w:val="0"/>
                <w:noProof/>
                <w:webHidden/>
                <w:sz w:val="24"/>
                <w:szCs w:val="24"/>
              </w:rPr>
              <w:fldChar w:fldCharType="end"/>
            </w:r>
          </w:hyperlink>
        </w:p>
        <w:p w14:paraId="007267E8" w14:textId="1D5E83E3" w:rsidR="003D770C" w:rsidRPr="0041020C" w:rsidRDefault="003D770C" w:rsidP="001953BB">
          <w:pPr>
            <w:pStyle w:val="TOC1"/>
            <w:spacing w:before="0" w:after="0"/>
            <w:rPr>
              <w:rFonts w:eastAsiaTheme="minorEastAsia"/>
              <w:b/>
              <w:bCs/>
              <w:lang/>
            </w:rPr>
          </w:pPr>
          <w:hyperlink w:anchor="_Toc188379035" w:history="1">
            <w:r w:rsidRPr="0041020C">
              <w:rPr>
                <w:rStyle w:val="Hyperlink"/>
              </w:rPr>
              <w:t>CHAPTER III: FROM ENDANGERED TO RECOVERED</w:t>
            </w:r>
            <w:r w:rsidRPr="0041020C">
              <w:rPr>
                <w:webHidden/>
              </w:rPr>
              <w:tab/>
            </w:r>
            <w:r w:rsidRPr="0041020C">
              <w:rPr>
                <w:webHidden/>
              </w:rPr>
              <w:fldChar w:fldCharType="begin"/>
            </w:r>
            <w:r w:rsidRPr="0041020C">
              <w:rPr>
                <w:webHidden/>
              </w:rPr>
              <w:instrText xml:space="preserve"> PAGEREF _Toc188379035 \h </w:instrText>
            </w:r>
            <w:r w:rsidRPr="0041020C">
              <w:rPr>
                <w:webHidden/>
              </w:rPr>
            </w:r>
            <w:r w:rsidRPr="0041020C">
              <w:rPr>
                <w:webHidden/>
              </w:rPr>
              <w:fldChar w:fldCharType="separate"/>
            </w:r>
            <w:r w:rsidR="00EB6467">
              <w:rPr>
                <w:webHidden/>
              </w:rPr>
              <w:t>240</w:t>
            </w:r>
            <w:r w:rsidRPr="0041020C">
              <w:rPr>
                <w:webHidden/>
              </w:rPr>
              <w:fldChar w:fldCharType="end"/>
            </w:r>
          </w:hyperlink>
        </w:p>
        <w:p w14:paraId="4008D07A" w14:textId="7F27EF3C" w:rsidR="003D770C" w:rsidRPr="0041020C" w:rsidRDefault="003D770C" w:rsidP="001953BB">
          <w:pPr>
            <w:pStyle w:val="TOC2"/>
            <w:tabs>
              <w:tab w:val="right" w:leader="dot" w:pos="9350"/>
            </w:tabs>
            <w:spacing w:before="0"/>
            <w:rPr>
              <w:rFonts w:ascii="Times New Roman" w:eastAsiaTheme="minorEastAsia" w:hAnsi="Times New Roman" w:cs="Times New Roman"/>
              <w:i w:val="0"/>
              <w:iCs w:val="0"/>
              <w:noProof/>
              <w:sz w:val="24"/>
              <w:szCs w:val="24"/>
              <w:lang/>
            </w:rPr>
          </w:pPr>
          <w:hyperlink w:anchor="_Toc188379036" w:history="1">
            <w:r w:rsidRPr="0041020C">
              <w:rPr>
                <w:rStyle w:val="Hyperlink"/>
                <w:rFonts w:ascii="Times New Roman" w:hAnsi="Times New Roman" w:cs="Times New Roman"/>
                <w:i w:val="0"/>
                <w:iCs w:val="0"/>
                <w:noProof/>
                <w:sz w:val="24"/>
                <w:szCs w:val="24"/>
              </w:rPr>
              <w:t>Abstract</w:t>
            </w:r>
            <w:r w:rsidRPr="0041020C">
              <w:rPr>
                <w:rFonts w:ascii="Times New Roman" w:hAnsi="Times New Roman" w:cs="Times New Roman"/>
                <w:i w:val="0"/>
                <w:iCs w:val="0"/>
                <w:noProof/>
                <w:webHidden/>
                <w:sz w:val="24"/>
                <w:szCs w:val="24"/>
              </w:rPr>
              <w:tab/>
            </w:r>
            <w:r w:rsidRPr="0041020C">
              <w:rPr>
                <w:rFonts w:ascii="Times New Roman" w:hAnsi="Times New Roman" w:cs="Times New Roman"/>
                <w:i w:val="0"/>
                <w:iCs w:val="0"/>
                <w:noProof/>
                <w:webHidden/>
                <w:sz w:val="24"/>
                <w:szCs w:val="24"/>
              </w:rPr>
              <w:fldChar w:fldCharType="begin"/>
            </w:r>
            <w:r w:rsidRPr="0041020C">
              <w:rPr>
                <w:rFonts w:ascii="Times New Roman" w:hAnsi="Times New Roman" w:cs="Times New Roman"/>
                <w:i w:val="0"/>
                <w:iCs w:val="0"/>
                <w:noProof/>
                <w:webHidden/>
                <w:sz w:val="24"/>
                <w:szCs w:val="24"/>
              </w:rPr>
              <w:instrText xml:space="preserve"> PAGEREF _Toc188379036 \h </w:instrText>
            </w:r>
            <w:r w:rsidRPr="0041020C">
              <w:rPr>
                <w:rFonts w:ascii="Times New Roman" w:hAnsi="Times New Roman" w:cs="Times New Roman"/>
                <w:i w:val="0"/>
                <w:iCs w:val="0"/>
                <w:noProof/>
                <w:webHidden/>
                <w:sz w:val="24"/>
                <w:szCs w:val="24"/>
              </w:rPr>
            </w:r>
            <w:r w:rsidRPr="0041020C">
              <w:rPr>
                <w:rFonts w:ascii="Times New Roman" w:hAnsi="Times New Roman" w:cs="Times New Roman"/>
                <w:i w:val="0"/>
                <w:iCs w:val="0"/>
                <w:noProof/>
                <w:webHidden/>
                <w:sz w:val="24"/>
                <w:szCs w:val="24"/>
              </w:rPr>
              <w:fldChar w:fldCharType="separate"/>
            </w:r>
            <w:r w:rsidR="00EB6467">
              <w:rPr>
                <w:rFonts w:ascii="Times New Roman" w:hAnsi="Times New Roman" w:cs="Times New Roman"/>
                <w:i w:val="0"/>
                <w:iCs w:val="0"/>
                <w:noProof/>
                <w:webHidden/>
                <w:sz w:val="24"/>
                <w:szCs w:val="24"/>
              </w:rPr>
              <w:t>241</w:t>
            </w:r>
            <w:r w:rsidRPr="0041020C">
              <w:rPr>
                <w:rFonts w:ascii="Times New Roman" w:hAnsi="Times New Roman" w:cs="Times New Roman"/>
                <w:i w:val="0"/>
                <w:iCs w:val="0"/>
                <w:noProof/>
                <w:webHidden/>
                <w:sz w:val="24"/>
                <w:szCs w:val="24"/>
              </w:rPr>
              <w:fldChar w:fldCharType="end"/>
            </w:r>
          </w:hyperlink>
        </w:p>
        <w:p w14:paraId="2D329DB5" w14:textId="56F950DA" w:rsidR="003D770C" w:rsidRPr="0041020C" w:rsidRDefault="003D770C" w:rsidP="001953BB">
          <w:pPr>
            <w:pStyle w:val="TOC2"/>
            <w:tabs>
              <w:tab w:val="right" w:leader="dot" w:pos="9350"/>
            </w:tabs>
            <w:spacing w:before="0"/>
            <w:rPr>
              <w:rFonts w:ascii="Times New Roman" w:eastAsiaTheme="minorEastAsia" w:hAnsi="Times New Roman" w:cs="Times New Roman"/>
              <w:i w:val="0"/>
              <w:iCs w:val="0"/>
              <w:noProof/>
              <w:sz w:val="24"/>
              <w:szCs w:val="24"/>
              <w:lang/>
            </w:rPr>
          </w:pPr>
          <w:hyperlink w:anchor="_Toc188379037" w:history="1">
            <w:r w:rsidRPr="0041020C">
              <w:rPr>
                <w:rStyle w:val="Hyperlink"/>
                <w:rFonts w:ascii="Times New Roman" w:hAnsi="Times New Roman" w:cs="Times New Roman"/>
                <w:i w:val="0"/>
                <w:iCs w:val="0"/>
                <w:noProof/>
                <w:sz w:val="24"/>
                <w:szCs w:val="24"/>
              </w:rPr>
              <w:t>3.1 Introduction</w:t>
            </w:r>
            <w:r w:rsidRPr="0041020C">
              <w:rPr>
                <w:rFonts w:ascii="Times New Roman" w:hAnsi="Times New Roman" w:cs="Times New Roman"/>
                <w:i w:val="0"/>
                <w:iCs w:val="0"/>
                <w:noProof/>
                <w:webHidden/>
                <w:sz w:val="24"/>
                <w:szCs w:val="24"/>
              </w:rPr>
              <w:tab/>
            </w:r>
            <w:r w:rsidRPr="0041020C">
              <w:rPr>
                <w:rFonts w:ascii="Times New Roman" w:hAnsi="Times New Roman" w:cs="Times New Roman"/>
                <w:i w:val="0"/>
                <w:iCs w:val="0"/>
                <w:noProof/>
                <w:webHidden/>
                <w:sz w:val="24"/>
                <w:szCs w:val="24"/>
              </w:rPr>
              <w:fldChar w:fldCharType="begin"/>
            </w:r>
            <w:r w:rsidRPr="0041020C">
              <w:rPr>
                <w:rFonts w:ascii="Times New Roman" w:hAnsi="Times New Roman" w:cs="Times New Roman"/>
                <w:i w:val="0"/>
                <w:iCs w:val="0"/>
                <w:noProof/>
                <w:webHidden/>
                <w:sz w:val="24"/>
                <w:szCs w:val="24"/>
              </w:rPr>
              <w:instrText xml:space="preserve"> PAGEREF _Toc188379037 \h </w:instrText>
            </w:r>
            <w:r w:rsidRPr="0041020C">
              <w:rPr>
                <w:rFonts w:ascii="Times New Roman" w:hAnsi="Times New Roman" w:cs="Times New Roman"/>
                <w:i w:val="0"/>
                <w:iCs w:val="0"/>
                <w:noProof/>
                <w:webHidden/>
                <w:sz w:val="24"/>
                <w:szCs w:val="24"/>
              </w:rPr>
            </w:r>
            <w:r w:rsidRPr="0041020C">
              <w:rPr>
                <w:rFonts w:ascii="Times New Roman" w:hAnsi="Times New Roman" w:cs="Times New Roman"/>
                <w:i w:val="0"/>
                <w:iCs w:val="0"/>
                <w:noProof/>
                <w:webHidden/>
                <w:sz w:val="24"/>
                <w:szCs w:val="24"/>
              </w:rPr>
              <w:fldChar w:fldCharType="separate"/>
            </w:r>
            <w:r w:rsidR="00EB6467">
              <w:rPr>
                <w:rFonts w:ascii="Times New Roman" w:hAnsi="Times New Roman" w:cs="Times New Roman"/>
                <w:i w:val="0"/>
                <w:iCs w:val="0"/>
                <w:noProof/>
                <w:webHidden/>
                <w:sz w:val="24"/>
                <w:szCs w:val="24"/>
              </w:rPr>
              <w:t>242</w:t>
            </w:r>
            <w:r w:rsidRPr="0041020C">
              <w:rPr>
                <w:rFonts w:ascii="Times New Roman" w:hAnsi="Times New Roman" w:cs="Times New Roman"/>
                <w:i w:val="0"/>
                <w:iCs w:val="0"/>
                <w:noProof/>
                <w:webHidden/>
                <w:sz w:val="24"/>
                <w:szCs w:val="24"/>
              </w:rPr>
              <w:fldChar w:fldCharType="end"/>
            </w:r>
          </w:hyperlink>
        </w:p>
        <w:p w14:paraId="09D8EF57" w14:textId="4758DE1A" w:rsidR="003D770C" w:rsidRPr="0041020C" w:rsidRDefault="003D770C" w:rsidP="001953BB">
          <w:pPr>
            <w:pStyle w:val="TOC2"/>
            <w:tabs>
              <w:tab w:val="right" w:leader="dot" w:pos="9350"/>
            </w:tabs>
            <w:spacing w:before="0"/>
            <w:rPr>
              <w:rFonts w:ascii="Times New Roman" w:eastAsiaTheme="minorEastAsia" w:hAnsi="Times New Roman" w:cs="Times New Roman"/>
              <w:i w:val="0"/>
              <w:iCs w:val="0"/>
              <w:noProof/>
              <w:sz w:val="24"/>
              <w:szCs w:val="24"/>
              <w:lang/>
            </w:rPr>
          </w:pPr>
          <w:hyperlink w:anchor="_Toc188379038" w:history="1">
            <w:r w:rsidRPr="0041020C">
              <w:rPr>
                <w:rStyle w:val="Hyperlink"/>
                <w:rFonts w:ascii="Times New Roman" w:hAnsi="Times New Roman" w:cs="Times New Roman"/>
                <w:i w:val="0"/>
                <w:iCs w:val="0"/>
                <w:noProof/>
                <w:sz w:val="24"/>
                <w:szCs w:val="24"/>
              </w:rPr>
              <w:t>3.2 The Endangered Species Act (ESA), and the Louisiana Black Bear</w:t>
            </w:r>
            <w:r w:rsidRPr="0041020C">
              <w:rPr>
                <w:rFonts w:ascii="Times New Roman" w:hAnsi="Times New Roman" w:cs="Times New Roman"/>
                <w:i w:val="0"/>
                <w:iCs w:val="0"/>
                <w:noProof/>
                <w:webHidden/>
                <w:sz w:val="24"/>
                <w:szCs w:val="24"/>
              </w:rPr>
              <w:tab/>
            </w:r>
            <w:r w:rsidRPr="0041020C">
              <w:rPr>
                <w:rFonts w:ascii="Times New Roman" w:hAnsi="Times New Roman" w:cs="Times New Roman"/>
                <w:i w:val="0"/>
                <w:iCs w:val="0"/>
                <w:noProof/>
                <w:webHidden/>
                <w:sz w:val="24"/>
                <w:szCs w:val="24"/>
              </w:rPr>
              <w:fldChar w:fldCharType="begin"/>
            </w:r>
            <w:r w:rsidRPr="0041020C">
              <w:rPr>
                <w:rFonts w:ascii="Times New Roman" w:hAnsi="Times New Roman" w:cs="Times New Roman"/>
                <w:i w:val="0"/>
                <w:iCs w:val="0"/>
                <w:noProof/>
                <w:webHidden/>
                <w:sz w:val="24"/>
                <w:szCs w:val="24"/>
              </w:rPr>
              <w:instrText xml:space="preserve"> PAGEREF _Toc188379038 \h </w:instrText>
            </w:r>
            <w:r w:rsidRPr="0041020C">
              <w:rPr>
                <w:rFonts w:ascii="Times New Roman" w:hAnsi="Times New Roman" w:cs="Times New Roman"/>
                <w:i w:val="0"/>
                <w:iCs w:val="0"/>
                <w:noProof/>
                <w:webHidden/>
                <w:sz w:val="24"/>
                <w:szCs w:val="24"/>
              </w:rPr>
            </w:r>
            <w:r w:rsidRPr="0041020C">
              <w:rPr>
                <w:rFonts w:ascii="Times New Roman" w:hAnsi="Times New Roman" w:cs="Times New Roman"/>
                <w:i w:val="0"/>
                <w:iCs w:val="0"/>
                <w:noProof/>
                <w:webHidden/>
                <w:sz w:val="24"/>
                <w:szCs w:val="24"/>
              </w:rPr>
              <w:fldChar w:fldCharType="separate"/>
            </w:r>
            <w:r w:rsidR="00EB6467">
              <w:rPr>
                <w:rFonts w:ascii="Times New Roman" w:hAnsi="Times New Roman" w:cs="Times New Roman"/>
                <w:i w:val="0"/>
                <w:iCs w:val="0"/>
                <w:noProof/>
                <w:webHidden/>
                <w:sz w:val="24"/>
                <w:szCs w:val="24"/>
              </w:rPr>
              <w:t>244</w:t>
            </w:r>
            <w:r w:rsidRPr="0041020C">
              <w:rPr>
                <w:rFonts w:ascii="Times New Roman" w:hAnsi="Times New Roman" w:cs="Times New Roman"/>
                <w:i w:val="0"/>
                <w:iCs w:val="0"/>
                <w:noProof/>
                <w:webHidden/>
                <w:sz w:val="24"/>
                <w:szCs w:val="24"/>
              </w:rPr>
              <w:fldChar w:fldCharType="end"/>
            </w:r>
          </w:hyperlink>
        </w:p>
        <w:p w14:paraId="62629420" w14:textId="320AB279" w:rsidR="003D770C" w:rsidRPr="0041020C" w:rsidRDefault="003D770C" w:rsidP="001953BB">
          <w:pPr>
            <w:pStyle w:val="TOC3"/>
            <w:tabs>
              <w:tab w:val="right" w:leader="dot" w:pos="9350"/>
            </w:tabs>
            <w:rPr>
              <w:rFonts w:ascii="Times New Roman" w:eastAsiaTheme="minorEastAsia" w:hAnsi="Times New Roman" w:cs="Times New Roman"/>
              <w:noProof/>
              <w:sz w:val="24"/>
              <w:szCs w:val="24"/>
              <w:lang/>
            </w:rPr>
          </w:pPr>
          <w:hyperlink w:anchor="_Toc188379039" w:history="1">
            <w:r w:rsidRPr="0041020C">
              <w:rPr>
                <w:rStyle w:val="Hyperlink"/>
                <w:rFonts w:ascii="Times New Roman" w:hAnsi="Times New Roman" w:cs="Times New Roman"/>
                <w:noProof/>
                <w:sz w:val="24"/>
                <w:szCs w:val="24"/>
              </w:rPr>
              <w:t>3.2.1 The Endangered Species Act (ESA)</w:t>
            </w:r>
            <w:r w:rsidRPr="0041020C">
              <w:rPr>
                <w:rFonts w:ascii="Times New Roman" w:hAnsi="Times New Roman" w:cs="Times New Roman"/>
                <w:noProof/>
                <w:webHidden/>
                <w:sz w:val="24"/>
                <w:szCs w:val="24"/>
              </w:rPr>
              <w:tab/>
            </w:r>
            <w:r w:rsidRPr="0041020C">
              <w:rPr>
                <w:rFonts w:ascii="Times New Roman" w:hAnsi="Times New Roman" w:cs="Times New Roman"/>
                <w:noProof/>
                <w:webHidden/>
                <w:sz w:val="24"/>
                <w:szCs w:val="24"/>
              </w:rPr>
              <w:fldChar w:fldCharType="begin"/>
            </w:r>
            <w:r w:rsidRPr="0041020C">
              <w:rPr>
                <w:rFonts w:ascii="Times New Roman" w:hAnsi="Times New Roman" w:cs="Times New Roman"/>
                <w:noProof/>
                <w:webHidden/>
                <w:sz w:val="24"/>
                <w:szCs w:val="24"/>
              </w:rPr>
              <w:instrText xml:space="preserve"> PAGEREF _Toc188379039 \h </w:instrText>
            </w:r>
            <w:r w:rsidRPr="0041020C">
              <w:rPr>
                <w:rFonts w:ascii="Times New Roman" w:hAnsi="Times New Roman" w:cs="Times New Roman"/>
                <w:noProof/>
                <w:webHidden/>
                <w:sz w:val="24"/>
                <w:szCs w:val="24"/>
              </w:rPr>
            </w:r>
            <w:r w:rsidRPr="0041020C">
              <w:rPr>
                <w:rFonts w:ascii="Times New Roman" w:hAnsi="Times New Roman" w:cs="Times New Roman"/>
                <w:noProof/>
                <w:webHidden/>
                <w:sz w:val="24"/>
                <w:szCs w:val="24"/>
              </w:rPr>
              <w:fldChar w:fldCharType="separate"/>
            </w:r>
            <w:r w:rsidR="00EB6467">
              <w:rPr>
                <w:rFonts w:ascii="Times New Roman" w:hAnsi="Times New Roman" w:cs="Times New Roman"/>
                <w:noProof/>
                <w:webHidden/>
                <w:sz w:val="24"/>
                <w:szCs w:val="24"/>
              </w:rPr>
              <w:t>244</w:t>
            </w:r>
            <w:r w:rsidRPr="0041020C">
              <w:rPr>
                <w:rFonts w:ascii="Times New Roman" w:hAnsi="Times New Roman" w:cs="Times New Roman"/>
                <w:noProof/>
                <w:webHidden/>
                <w:sz w:val="24"/>
                <w:szCs w:val="24"/>
              </w:rPr>
              <w:fldChar w:fldCharType="end"/>
            </w:r>
          </w:hyperlink>
        </w:p>
        <w:p w14:paraId="7AD98050" w14:textId="0B678154" w:rsidR="003D770C" w:rsidRPr="0041020C" w:rsidRDefault="003D770C" w:rsidP="001953BB">
          <w:pPr>
            <w:pStyle w:val="TOC3"/>
            <w:tabs>
              <w:tab w:val="right" w:leader="dot" w:pos="9350"/>
            </w:tabs>
            <w:rPr>
              <w:rFonts w:ascii="Times New Roman" w:eastAsiaTheme="minorEastAsia" w:hAnsi="Times New Roman" w:cs="Times New Roman"/>
              <w:noProof/>
              <w:sz w:val="24"/>
              <w:szCs w:val="24"/>
              <w:lang/>
            </w:rPr>
          </w:pPr>
          <w:hyperlink w:anchor="_Toc188379040" w:history="1">
            <w:r w:rsidRPr="0041020C">
              <w:rPr>
                <w:rStyle w:val="Hyperlink"/>
                <w:rFonts w:ascii="Times New Roman" w:hAnsi="Times New Roman" w:cs="Times New Roman"/>
                <w:noProof/>
                <w:sz w:val="24"/>
                <w:szCs w:val="24"/>
              </w:rPr>
              <w:t>3.2.2 The Louisiana Black Bear: Listing and Delisting</w:t>
            </w:r>
            <w:r w:rsidRPr="0041020C">
              <w:rPr>
                <w:rFonts w:ascii="Times New Roman" w:hAnsi="Times New Roman" w:cs="Times New Roman"/>
                <w:noProof/>
                <w:webHidden/>
                <w:sz w:val="24"/>
                <w:szCs w:val="24"/>
              </w:rPr>
              <w:tab/>
            </w:r>
            <w:r w:rsidRPr="0041020C">
              <w:rPr>
                <w:rFonts w:ascii="Times New Roman" w:hAnsi="Times New Roman" w:cs="Times New Roman"/>
                <w:noProof/>
                <w:webHidden/>
                <w:sz w:val="24"/>
                <w:szCs w:val="24"/>
              </w:rPr>
              <w:fldChar w:fldCharType="begin"/>
            </w:r>
            <w:r w:rsidRPr="0041020C">
              <w:rPr>
                <w:rFonts w:ascii="Times New Roman" w:hAnsi="Times New Roman" w:cs="Times New Roman"/>
                <w:noProof/>
                <w:webHidden/>
                <w:sz w:val="24"/>
                <w:szCs w:val="24"/>
              </w:rPr>
              <w:instrText xml:space="preserve"> PAGEREF _Toc188379040 \h </w:instrText>
            </w:r>
            <w:r w:rsidRPr="0041020C">
              <w:rPr>
                <w:rFonts w:ascii="Times New Roman" w:hAnsi="Times New Roman" w:cs="Times New Roman"/>
                <w:noProof/>
                <w:webHidden/>
                <w:sz w:val="24"/>
                <w:szCs w:val="24"/>
              </w:rPr>
            </w:r>
            <w:r w:rsidRPr="0041020C">
              <w:rPr>
                <w:rFonts w:ascii="Times New Roman" w:hAnsi="Times New Roman" w:cs="Times New Roman"/>
                <w:noProof/>
                <w:webHidden/>
                <w:sz w:val="24"/>
                <w:szCs w:val="24"/>
              </w:rPr>
              <w:fldChar w:fldCharType="separate"/>
            </w:r>
            <w:r w:rsidR="00EB6467">
              <w:rPr>
                <w:rFonts w:ascii="Times New Roman" w:hAnsi="Times New Roman" w:cs="Times New Roman"/>
                <w:noProof/>
                <w:webHidden/>
                <w:sz w:val="24"/>
                <w:szCs w:val="24"/>
              </w:rPr>
              <w:t>244</w:t>
            </w:r>
            <w:r w:rsidRPr="0041020C">
              <w:rPr>
                <w:rFonts w:ascii="Times New Roman" w:hAnsi="Times New Roman" w:cs="Times New Roman"/>
                <w:noProof/>
                <w:webHidden/>
                <w:sz w:val="24"/>
                <w:szCs w:val="24"/>
              </w:rPr>
              <w:fldChar w:fldCharType="end"/>
            </w:r>
          </w:hyperlink>
        </w:p>
        <w:p w14:paraId="051C8476" w14:textId="541274EA" w:rsidR="003D770C" w:rsidRPr="0041020C" w:rsidRDefault="003D770C" w:rsidP="001953BB">
          <w:pPr>
            <w:pStyle w:val="TOC3"/>
            <w:tabs>
              <w:tab w:val="right" w:leader="dot" w:pos="9350"/>
            </w:tabs>
            <w:rPr>
              <w:rFonts w:ascii="Times New Roman" w:eastAsiaTheme="minorEastAsia" w:hAnsi="Times New Roman" w:cs="Times New Roman"/>
              <w:noProof/>
              <w:sz w:val="24"/>
              <w:szCs w:val="24"/>
              <w:lang/>
            </w:rPr>
          </w:pPr>
          <w:hyperlink w:anchor="_Toc188379041" w:history="1">
            <w:r w:rsidRPr="0041020C">
              <w:rPr>
                <w:rStyle w:val="Hyperlink"/>
                <w:rFonts w:ascii="Times New Roman" w:hAnsi="Times New Roman" w:cs="Times New Roman"/>
                <w:noProof/>
                <w:sz w:val="24"/>
                <w:szCs w:val="24"/>
              </w:rPr>
              <w:t>3.2.3 Range as the Primary Measure</w:t>
            </w:r>
            <w:r w:rsidRPr="0041020C">
              <w:rPr>
                <w:rFonts w:ascii="Times New Roman" w:hAnsi="Times New Roman" w:cs="Times New Roman"/>
                <w:noProof/>
                <w:webHidden/>
                <w:sz w:val="24"/>
                <w:szCs w:val="24"/>
              </w:rPr>
              <w:tab/>
            </w:r>
            <w:r w:rsidRPr="0041020C">
              <w:rPr>
                <w:rFonts w:ascii="Times New Roman" w:hAnsi="Times New Roman" w:cs="Times New Roman"/>
                <w:noProof/>
                <w:webHidden/>
                <w:sz w:val="24"/>
                <w:szCs w:val="24"/>
              </w:rPr>
              <w:fldChar w:fldCharType="begin"/>
            </w:r>
            <w:r w:rsidRPr="0041020C">
              <w:rPr>
                <w:rFonts w:ascii="Times New Roman" w:hAnsi="Times New Roman" w:cs="Times New Roman"/>
                <w:noProof/>
                <w:webHidden/>
                <w:sz w:val="24"/>
                <w:szCs w:val="24"/>
              </w:rPr>
              <w:instrText xml:space="preserve"> PAGEREF _Toc188379041 \h </w:instrText>
            </w:r>
            <w:r w:rsidRPr="0041020C">
              <w:rPr>
                <w:rFonts w:ascii="Times New Roman" w:hAnsi="Times New Roman" w:cs="Times New Roman"/>
                <w:noProof/>
                <w:webHidden/>
                <w:sz w:val="24"/>
                <w:szCs w:val="24"/>
              </w:rPr>
            </w:r>
            <w:r w:rsidRPr="0041020C">
              <w:rPr>
                <w:rFonts w:ascii="Times New Roman" w:hAnsi="Times New Roman" w:cs="Times New Roman"/>
                <w:noProof/>
                <w:webHidden/>
                <w:sz w:val="24"/>
                <w:szCs w:val="24"/>
              </w:rPr>
              <w:fldChar w:fldCharType="separate"/>
            </w:r>
            <w:r w:rsidR="00EB6467">
              <w:rPr>
                <w:rFonts w:ascii="Times New Roman" w:hAnsi="Times New Roman" w:cs="Times New Roman"/>
                <w:noProof/>
                <w:webHidden/>
                <w:sz w:val="24"/>
                <w:szCs w:val="24"/>
              </w:rPr>
              <w:t>245</w:t>
            </w:r>
            <w:r w:rsidRPr="0041020C">
              <w:rPr>
                <w:rFonts w:ascii="Times New Roman" w:hAnsi="Times New Roman" w:cs="Times New Roman"/>
                <w:noProof/>
                <w:webHidden/>
                <w:sz w:val="24"/>
                <w:szCs w:val="24"/>
              </w:rPr>
              <w:fldChar w:fldCharType="end"/>
            </w:r>
          </w:hyperlink>
        </w:p>
        <w:p w14:paraId="32125F09" w14:textId="4988E8F0" w:rsidR="003D770C" w:rsidRPr="0041020C" w:rsidRDefault="003D770C" w:rsidP="001953BB">
          <w:pPr>
            <w:pStyle w:val="TOC2"/>
            <w:tabs>
              <w:tab w:val="right" w:leader="dot" w:pos="9350"/>
            </w:tabs>
            <w:spacing w:before="0"/>
            <w:rPr>
              <w:rFonts w:ascii="Times New Roman" w:eastAsiaTheme="minorEastAsia" w:hAnsi="Times New Roman" w:cs="Times New Roman"/>
              <w:i w:val="0"/>
              <w:iCs w:val="0"/>
              <w:noProof/>
              <w:sz w:val="24"/>
              <w:szCs w:val="24"/>
              <w:lang/>
            </w:rPr>
          </w:pPr>
          <w:hyperlink w:anchor="_Toc188379042" w:history="1">
            <w:r w:rsidRPr="0041020C">
              <w:rPr>
                <w:rStyle w:val="Hyperlink"/>
                <w:rFonts w:ascii="Times New Roman" w:hAnsi="Times New Roman" w:cs="Times New Roman"/>
                <w:i w:val="0"/>
                <w:iCs w:val="0"/>
                <w:noProof/>
                <w:sz w:val="24"/>
                <w:szCs w:val="24"/>
              </w:rPr>
              <w:t>3.3 Research Objectives, Questions, and Hypotheses</w:t>
            </w:r>
            <w:r w:rsidRPr="0041020C">
              <w:rPr>
                <w:rFonts w:ascii="Times New Roman" w:hAnsi="Times New Roman" w:cs="Times New Roman"/>
                <w:i w:val="0"/>
                <w:iCs w:val="0"/>
                <w:noProof/>
                <w:webHidden/>
                <w:sz w:val="24"/>
                <w:szCs w:val="24"/>
              </w:rPr>
              <w:tab/>
            </w:r>
            <w:r w:rsidRPr="0041020C">
              <w:rPr>
                <w:rFonts w:ascii="Times New Roman" w:hAnsi="Times New Roman" w:cs="Times New Roman"/>
                <w:i w:val="0"/>
                <w:iCs w:val="0"/>
                <w:noProof/>
                <w:webHidden/>
                <w:sz w:val="24"/>
                <w:szCs w:val="24"/>
              </w:rPr>
              <w:fldChar w:fldCharType="begin"/>
            </w:r>
            <w:r w:rsidRPr="0041020C">
              <w:rPr>
                <w:rFonts w:ascii="Times New Roman" w:hAnsi="Times New Roman" w:cs="Times New Roman"/>
                <w:i w:val="0"/>
                <w:iCs w:val="0"/>
                <w:noProof/>
                <w:webHidden/>
                <w:sz w:val="24"/>
                <w:szCs w:val="24"/>
              </w:rPr>
              <w:instrText xml:space="preserve"> PAGEREF _Toc188379042 \h </w:instrText>
            </w:r>
            <w:r w:rsidRPr="0041020C">
              <w:rPr>
                <w:rFonts w:ascii="Times New Roman" w:hAnsi="Times New Roman" w:cs="Times New Roman"/>
                <w:i w:val="0"/>
                <w:iCs w:val="0"/>
                <w:noProof/>
                <w:webHidden/>
                <w:sz w:val="24"/>
                <w:szCs w:val="24"/>
              </w:rPr>
            </w:r>
            <w:r w:rsidRPr="0041020C">
              <w:rPr>
                <w:rFonts w:ascii="Times New Roman" w:hAnsi="Times New Roman" w:cs="Times New Roman"/>
                <w:i w:val="0"/>
                <w:iCs w:val="0"/>
                <w:noProof/>
                <w:webHidden/>
                <w:sz w:val="24"/>
                <w:szCs w:val="24"/>
              </w:rPr>
              <w:fldChar w:fldCharType="separate"/>
            </w:r>
            <w:r w:rsidR="00EB6467">
              <w:rPr>
                <w:rFonts w:ascii="Times New Roman" w:hAnsi="Times New Roman" w:cs="Times New Roman"/>
                <w:i w:val="0"/>
                <w:iCs w:val="0"/>
                <w:noProof/>
                <w:webHidden/>
                <w:sz w:val="24"/>
                <w:szCs w:val="24"/>
              </w:rPr>
              <w:t>246</w:t>
            </w:r>
            <w:r w:rsidRPr="0041020C">
              <w:rPr>
                <w:rFonts w:ascii="Times New Roman" w:hAnsi="Times New Roman" w:cs="Times New Roman"/>
                <w:i w:val="0"/>
                <w:iCs w:val="0"/>
                <w:noProof/>
                <w:webHidden/>
                <w:sz w:val="24"/>
                <w:szCs w:val="24"/>
              </w:rPr>
              <w:fldChar w:fldCharType="end"/>
            </w:r>
          </w:hyperlink>
        </w:p>
        <w:p w14:paraId="05D4B0A5" w14:textId="2528359A" w:rsidR="003D770C" w:rsidRPr="0041020C" w:rsidRDefault="003D770C" w:rsidP="001953BB">
          <w:pPr>
            <w:pStyle w:val="TOC3"/>
            <w:tabs>
              <w:tab w:val="right" w:leader="dot" w:pos="9350"/>
            </w:tabs>
            <w:rPr>
              <w:rFonts w:ascii="Times New Roman" w:eastAsiaTheme="minorEastAsia" w:hAnsi="Times New Roman" w:cs="Times New Roman"/>
              <w:noProof/>
              <w:sz w:val="24"/>
              <w:szCs w:val="24"/>
              <w:lang/>
            </w:rPr>
          </w:pPr>
          <w:hyperlink w:anchor="_Toc188379043" w:history="1">
            <w:r w:rsidRPr="0041020C">
              <w:rPr>
                <w:rStyle w:val="Hyperlink"/>
                <w:rFonts w:ascii="Times New Roman" w:hAnsi="Times New Roman" w:cs="Times New Roman"/>
                <w:noProof/>
                <w:sz w:val="24"/>
                <w:szCs w:val="24"/>
              </w:rPr>
              <w:t>3.3.1 Research Objectives</w:t>
            </w:r>
            <w:r w:rsidRPr="0041020C">
              <w:rPr>
                <w:rFonts w:ascii="Times New Roman" w:hAnsi="Times New Roman" w:cs="Times New Roman"/>
                <w:noProof/>
                <w:webHidden/>
                <w:sz w:val="24"/>
                <w:szCs w:val="24"/>
              </w:rPr>
              <w:tab/>
            </w:r>
            <w:r w:rsidRPr="0041020C">
              <w:rPr>
                <w:rFonts w:ascii="Times New Roman" w:hAnsi="Times New Roman" w:cs="Times New Roman"/>
                <w:noProof/>
                <w:webHidden/>
                <w:sz w:val="24"/>
                <w:szCs w:val="24"/>
              </w:rPr>
              <w:fldChar w:fldCharType="begin"/>
            </w:r>
            <w:r w:rsidRPr="0041020C">
              <w:rPr>
                <w:rFonts w:ascii="Times New Roman" w:hAnsi="Times New Roman" w:cs="Times New Roman"/>
                <w:noProof/>
                <w:webHidden/>
                <w:sz w:val="24"/>
                <w:szCs w:val="24"/>
              </w:rPr>
              <w:instrText xml:space="preserve"> PAGEREF _Toc188379043 \h </w:instrText>
            </w:r>
            <w:r w:rsidRPr="0041020C">
              <w:rPr>
                <w:rFonts w:ascii="Times New Roman" w:hAnsi="Times New Roman" w:cs="Times New Roman"/>
                <w:noProof/>
                <w:webHidden/>
                <w:sz w:val="24"/>
                <w:szCs w:val="24"/>
              </w:rPr>
            </w:r>
            <w:r w:rsidRPr="0041020C">
              <w:rPr>
                <w:rFonts w:ascii="Times New Roman" w:hAnsi="Times New Roman" w:cs="Times New Roman"/>
                <w:noProof/>
                <w:webHidden/>
                <w:sz w:val="24"/>
                <w:szCs w:val="24"/>
              </w:rPr>
              <w:fldChar w:fldCharType="separate"/>
            </w:r>
            <w:r w:rsidR="00EB6467">
              <w:rPr>
                <w:rFonts w:ascii="Times New Roman" w:hAnsi="Times New Roman" w:cs="Times New Roman"/>
                <w:noProof/>
                <w:webHidden/>
                <w:sz w:val="24"/>
                <w:szCs w:val="24"/>
              </w:rPr>
              <w:t>246</w:t>
            </w:r>
            <w:r w:rsidRPr="0041020C">
              <w:rPr>
                <w:rFonts w:ascii="Times New Roman" w:hAnsi="Times New Roman" w:cs="Times New Roman"/>
                <w:noProof/>
                <w:webHidden/>
                <w:sz w:val="24"/>
                <w:szCs w:val="24"/>
              </w:rPr>
              <w:fldChar w:fldCharType="end"/>
            </w:r>
          </w:hyperlink>
        </w:p>
        <w:p w14:paraId="4B894B49" w14:textId="2F94EF2C" w:rsidR="003D770C" w:rsidRPr="0041020C" w:rsidRDefault="003D770C" w:rsidP="001953BB">
          <w:pPr>
            <w:pStyle w:val="TOC3"/>
            <w:tabs>
              <w:tab w:val="right" w:leader="dot" w:pos="9350"/>
            </w:tabs>
            <w:rPr>
              <w:rFonts w:ascii="Times New Roman" w:eastAsiaTheme="minorEastAsia" w:hAnsi="Times New Roman" w:cs="Times New Roman"/>
              <w:noProof/>
              <w:sz w:val="24"/>
              <w:szCs w:val="24"/>
              <w:lang/>
            </w:rPr>
          </w:pPr>
          <w:hyperlink w:anchor="_Toc188379044" w:history="1">
            <w:r w:rsidRPr="0041020C">
              <w:rPr>
                <w:rStyle w:val="Hyperlink"/>
                <w:rFonts w:ascii="Times New Roman" w:hAnsi="Times New Roman" w:cs="Times New Roman"/>
                <w:noProof/>
                <w:sz w:val="24"/>
                <w:szCs w:val="24"/>
              </w:rPr>
              <w:t>3.3.2 Research Questions and Hypotheses</w:t>
            </w:r>
            <w:r w:rsidRPr="0041020C">
              <w:rPr>
                <w:rFonts w:ascii="Times New Roman" w:hAnsi="Times New Roman" w:cs="Times New Roman"/>
                <w:noProof/>
                <w:webHidden/>
                <w:sz w:val="24"/>
                <w:szCs w:val="24"/>
              </w:rPr>
              <w:tab/>
            </w:r>
            <w:r w:rsidRPr="0041020C">
              <w:rPr>
                <w:rFonts w:ascii="Times New Roman" w:hAnsi="Times New Roman" w:cs="Times New Roman"/>
                <w:noProof/>
                <w:webHidden/>
                <w:sz w:val="24"/>
                <w:szCs w:val="24"/>
              </w:rPr>
              <w:fldChar w:fldCharType="begin"/>
            </w:r>
            <w:r w:rsidRPr="0041020C">
              <w:rPr>
                <w:rFonts w:ascii="Times New Roman" w:hAnsi="Times New Roman" w:cs="Times New Roman"/>
                <w:noProof/>
                <w:webHidden/>
                <w:sz w:val="24"/>
                <w:szCs w:val="24"/>
              </w:rPr>
              <w:instrText xml:space="preserve"> PAGEREF _Toc188379044 \h </w:instrText>
            </w:r>
            <w:r w:rsidRPr="0041020C">
              <w:rPr>
                <w:rFonts w:ascii="Times New Roman" w:hAnsi="Times New Roman" w:cs="Times New Roman"/>
                <w:noProof/>
                <w:webHidden/>
                <w:sz w:val="24"/>
                <w:szCs w:val="24"/>
              </w:rPr>
            </w:r>
            <w:r w:rsidRPr="0041020C">
              <w:rPr>
                <w:rFonts w:ascii="Times New Roman" w:hAnsi="Times New Roman" w:cs="Times New Roman"/>
                <w:noProof/>
                <w:webHidden/>
                <w:sz w:val="24"/>
                <w:szCs w:val="24"/>
              </w:rPr>
              <w:fldChar w:fldCharType="separate"/>
            </w:r>
            <w:r w:rsidR="00EB6467">
              <w:rPr>
                <w:rFonts w:ascii="Times New Roman" w:hAnsi="Times New Roman" w:cs="Times New Roman"/>
                <w:noProof/>
                <w:webHidden/>
                <w:sz w:val="24"/>
                <w:szCs w:val="24"/>
              </w:rPr>
              <w:t>247</w:t>
            </w:r>
            <w:r w:rsidRPr="0041020C">
              <w:rPr>
                <w:rFonts w:ascii="Times New Roman" w:hAnsi="Times New Roman" w:cs="Times New Roman"/>
                <w:noProof/>
                <w:webHidden/>
                <w:sz w:val="24"/>
                <w:szCs w:val="24"/>
              </w:rPr>
              <w:fldChar w:fldCharType="end"/>
            </w:r>
          </w:hyperlink>
        </w:p>
        <w:p w14:paraId="6D1A02D6" w14:textId="73291E0F" w:rsidR="003D770C" w:rsidRPr="0041020C" w:rsidRDefault="003D770C" w:rsidP="001953BB">
          <w:pPr>
            <w:pStyle w:val="TOC3"/>
            <w:tabs>
              <w:tab w:val="right" w:leader="dot" w:pos="9350"/>
            </w:tabs>
            <w:rPr>
              <w:rFonts w:ascii="Times New Roman" w:eastAsiaTheme="minorEastAsia" w:hAnsi="Times New Roman" w:cs="Times New Roman"/>
              <w:noProof/>
              <w:sz w:val="24"/>
              <w:szCs w:val="24"/>
              <w:lang/>
            </w:rPr>
          </w:pPr>
          <w:hyperlink w:anchor="_Toc188379045" w:history="1">
            <w:r w:rsidRPr="0041020C">
              <w:rPr>
                <w:rStyle w:val="Hyperlink"/>
                <w:rFonts w:ascii="Times New Roman" w:hAnsi="Times New Roman" w:cs="Times New Roman"/>
                <w:noProof/>
                <w:sz w:val="24"/>
                <w:szCs w:val="24"/>
              </w:rPr>
              <w:t>3.3.3 Model Linkage and Applications</w:t>
            </w:r>
            <w:r w:rsidRPr="0041020C">
              <w:rPr>
                <w:rFonts w:ascii="Times New Roman" w:hAnsi="Times New Roman" w:cs="Times New Roman"/>
                <w:noProof/>
                <w:webHidden/>
                <w:sz w:val="24"/>
                <w:szCs w:val="24"/>
              </w:rPr>
              <w:tab/>
            </w:r>
            <w:r w:rsidRPr="0041020C">
              <w:rPr>
                <w:rFonts w:ascii="Times New Roman" w:hAnsi="Times New Roman" w:cs="Times New Roman"/>
                <w:noProof/>
                <w:webHidden/>
                <w:sz w:val="24"/>
                <w:szCs w:val="24"/>
              </w:rPr>
              <w:fldChar w:fldCharType="begin"/>
            </w:r>
            <w:r w:rsidRPr="0041020C">
              <w:rPr>
                <w:rFonts w:ascii="Times New Roman" w:hAnsi="Times New Roman" w:cs="Times New Roman"/>
                <w:noProof/>
                <w:webHidden/>
                <w:sz w:val="24"/>
                <w:szCs w:val="24"/>
              </w:rPr>
              <w:instrText xml:space="preserve"> PAGEREF _Toc188379045 \h </w:instrText>
            </w:r>
            <w:r w:rsidRPr="0041020C">
              <w:rPr>
                <w:rFonts w:ascii="Times New Roman" w:hAnsi="Times New Roman" w:cs="Times New Roman"/>
                <w:noProof/>
                <w:webHidden/>
                <w:sz w:val="24"/>
                <w:szCs w:val="24"/>
              </w:rPr>
            </w:r>
            <w:r w:rsidRPr="0041020C">
              <w:rPr>
                <w:rFonts w:ascii="Times New Roman" w:hAnsi="Times New Roman" w:cs="Times New Roman"/>
                <w:noProof/>
                <w:webHidden/>
                <w:sz w:val="24"/>
                <w:szCs w:val="24"/>
              </w:rPr>
              <w:fldChar w:fldCharType="separate"/>
            </w:r>
            <w:r w:rsidR="00EB6467">
              <w:rPr>
                <w:rFonts w:ascii="Times New Roman" w:hAnsi="Times New Roman" w:cs="Times New Roman"/>
                <w:noProof/>
                <w:webHidden/>
                <w:sz w:val="24"/>
                <w:szCs w:val="24"/>
              </w:rPr>
              <w:t>248</w:t>
            </w:r>
            <w:r w:rsidRPr="0041020C">
              <w:rPr>
                <w:rFonts w:ascii="Times New Roman" w:hAnsi="Times New Roman" w:cs="Times New Roman"/>
                <w:noProof/>
                <w:webHidden/>
                <w:sz w:val="24"/>
                <w:szCs w:val="24"/>
              </w:rPr>
              <w:fldChar w:fldCharType="end"/>
            </w:r>
          </w:hyperlink>
        </w:p>
        <w:p w14:paraId="19EBCB59" w14:textId="57D4F351" w:rsidR="003D770C" w:rsidRPr="0041020C" w:rsidRDefault="003D770C" w:rsidP="001953BB">
          <w:pPr>
            <w:pStyle w:val="TOC3"/>
            <w:tabs>
              <w:tab w:val="right" w:leader="dot" w:pos="9350"/>
            </w:tabs>
            <w:rPr>
              <w:rFonts w:ascii="Times New Roman" w:eastAsiaTheme="minorEastAsia" w:hAnsi="Times New Roman" w:cs="Times New Roman"/>
              <w:noProof/>
              <w:sz w:val="24"/>
              <w:szCs w:val="24"/>
              <w:lang/>
            </w:rPr>
          </w:pPr>
          <w:hyperlink w:anchor="_Toc188379046" w:history="1">
            <w:r w:rsidRPr="0041020C">
              <w:rPr>
                <w:rStyle w:val="Hyperlink"/>
                <w:rFonts w:ascii="Times New Roman" w:hAnsi="Times New Roman" w:cs="Times New Roman"/>
                <w:noProof/>
                <w:sz w:val="24"/>
                <w:szCs w:val="24"/>
              </w:rPr>
              <w:t>3.3.4 Summary</w:t>
            </w:r>
            <w:r w:rsidRPr="0041020C">
              <w:rPr>
                <w:rFonts w:ascii="Times New Roman" w:hAnsi="Times New Roman" w:cs="Times New Roman"/>
                <w:noProof/>
                <w:webHidden/>
                <w:sz w:val="24"/>
                <w:szCs w:val="24"/>
              </w:rPr>
              <w:tab/>
            </w:r>
            <w:r w:rsidRPr="0041020C">
              <w:rPr>
                <w:rFonts w:ascii="Times New Roman" w:hAnsi="Times New Roman" w:cs="Times New Roman"/>
                <w:noProof/>
                <w:webHidden/>
                <w:sz w:val="24"/>
                <w:szCs w:val="24"/>
              </w:rPr>
              <w:fldChar w:fldCharType="begin"/>
            </w:r>
            <w:r w:rsidRPr="0041020C">
              <w:rPr>
                <w:rFonts w:ascii="Times New Roman" w:hAnsi="Times New Roman" w:cs="Times New Roman"/>
                <w:noProof/>
                <w:webHidden/>
                <w:sz w:val="24"/>
                <w:szCs w:val="24"/>
              </w:rPr>
              <w:instrText xml:space="preserve"> PAGEREF _Toc188379046 \h </w:instrText>
            </w:r>
            <w:r w:rsidRPr="0041020C">
              <w:rPr>
                <w:rFonts w:ascii="Times New Roman" w:hAnsi="Times New Roman" w:cs="Times New Roman"/>
                <w:noProof/>
                <w:webHidden/>
                <w:sz w:val="24"/>
                <w:szCs w:val="24"/>
              </w:rPr>
            </w:r>
            <w:r w:rsidRPr="0041020C">
              <w:rPr>
                <w:rFonts w:ascii="Times New Roman" w:hAnsi="Times New Roman" w:cs="Times New Roman"/>
                <w:noProof/>
                <w:webHidden/>
                <w:sz w:val="24"/>
                <w:szCs w:val="24"/>
              </w:rPr>
              <w:fldChar w:fldCharType="separate"/>
            </w:r>
            <w:r w:rsidR="00EB6467">
              <w:rPr>
                <w:rFonts w:ascii="Times New Roman" w:hAnsi="Times New Roman" w:cs="Times New Roman"/>
                <w:noProof/>
                <w:webHidden/>
                <w:sz w:val="24"/>
                <w:szCs w:val="24"/>
              </w:rPr>
              <w:t>249</w:t>
            </w:r>
            <w:r w:rsidRPr="0041020C">
              <w:rPr>
                <w:rFonts w:ascii="Times New Roman" w:hAnsi="Times New Roman" w:cs="Times New Roman"/>
                <w:noProof/>
                <w:webHidden/>
                <w:sz w:val="24"/>
                <w:szCs w:val="24"/>
              </w:rPr>
              <w:fldChar w:fldCharType="end"/>
            </w:r>
          </w:hyperlink>
        </w:p>
        <w:p w14:paraId="05E4D5B3" w14:textId="232D580F" w:rsidR="003D770C" w:rsidRPr="0041020C" w:rsidRDefault="003D770C" w:rsidP="001953BB">
          <w:pPr>
            <w:pStyle w:val="TOC2"/>
            <w:tabs>
              <w:tab w:val="right" w:leader="dot" w:pos="9350"/>
            </w:tabs>
            <w:spacing w:before="0"/>
            <w:rPr>
              <w:rFonts w:ascii="Times New Roman" w:eastAsiaTheme="minorEastAsia" w:hAnsi="Times New Roman" w:cs="Times New Roman"/>
              <w:i w:val="0"/>
              <w:iCs w:val="0"/>
              <w:noProof/>
              <w:sz w:val="24"/>
              <w:szCs w:val="24"/>
              <w:lang/>
            </w:rPr>
          </w:pPr>
          <w:hyperlink w:anchor="_Toc188379047" w:history="1">
            <w:r w:rsidRPr="0041020C">
              <w:rPr>
                <w:rStyle w:val="Hyperlink"/>
                <w:rFonts w:ascii="Times New Roman" w:hAnsi="Times New Roman" w:cs="Times New Roman"/>
                <w:i w:val="0"/>
                <w:iCs w:val="0"/>
                <w:noProof/>
                <w:sz w:val="24"/>
                <w:szCs w:val="24"/>
              </w:rPr>
              <w:t>3.4 Literature Review</w:t>
            </w:r>
            <w:r w:rsidRPr="0041020C">
              <w:rPr>
                <w:rFonts w:ascii="Times New Roman" w:hAnsi="Times New Roman" w:cs="Times New Roman"/>
                <w:i w:val="0"/>
                <w:iCs w:val="0"/>
                <w:noProof/>
                <w:webHidden/>
                <w:sz w:val="24"/>
                <w:szCs w:val="24"/>
              </w:rPr>
              <w:tab/>
            </w:r>
            <w:r w:rsidRPr="0041020C">
              <w:rPr>
                <w:rFonts w:ascii="Times New Roman" w:hAnsi="Times New Roman" w:cs="Times New Roman"/>
                <w:i w:val="0"/>
                <w:iCs w:val="0"/>
                <w:noProof/>
                <w:webHidden/>
                <w:sz w:val="24"/>
                <w:szCs w:val="24"/>
              </w:rPr>
              <w:fldChar w:fldCharType="begin"/>
            </w:r>
            <w:r w:rsidRPr="0041020C">
              <w:rPr>
                <w:rFonts w:ascii="Times New Roman" w:hAnsi="Times New Roman" w:cs="Times New Roman"/>
                <w:i w:val="0"/>
                <w:iCs w:val="0"/>
                <w:noProof/>
                <w:webHidden/>
                <w:sz w:val="24"/>
                <w:szCs w:val="24"/>
              </w:rPr>
              <w:instrText xml:space="preserve"> PAGEREF _Toc188379047 \h </w:instrText>
            </w:r>
            <w:r w:rsidRPr="0041020C">
              <w:rPr>
                <w:rFonts w:ascii="Times New Roman" w:hAnsi="Times New Roman" w:cs="Times New Roman"/>
                <w:i w:val="0"/>
                <w:iCs w:val="0"/>
                <w:noProof/>
                <w:webHidden/>
                <w:sz w:val="24"/>
                <w:szCs w:val="24"/>
              </w:rPr>
            </w:r>
            <w:r w:rsidRPr="0041020C">
              <w:rPr>
                <w:rFonts w:ascii="Times New Roman" w:hAnsi="Times New Roman" w:cs="Times New Roman"/>
                <w:i w:val="0"/>
                <w:iCs w:val="0"/>
                <w:noProof/>
                <w:webHidden/>
                <w:sz w:val="24"/>
                <w:szCs w:val="24"/>
              </w:rPr>
              <w:fldChar w:fldCharType="separate"/>
            </w:r>
            <w:r w:rsidR="00EB6467">
              <w:rPr>
                <w:rFonts w:ascii="Times New Roman" w:hAnsi="Times New Roman" w:cs="Times New Roman"/>
                <w:i w:val="0"/>
                <w:iCs w:val="0"/>
                <w:noProof/>
                <w:webHidden/>
                <w:sz w:val="24"/>
                <w:szCs w:val="24"/>
              </w:rPr>
              <w:t>249</w:t>
            </w:r>
            <w:r w:rsidRPr="0041020C">
              <w:rPr>
                <w:rFonts w:ascii="Times New Roman" w:hAnsi="Times New Roman" w:cs="Times New Roman"/>
                <w:i w:val="0"/>
                <w:iCs w:val="0"/>
                <w:noProof/>
                <w:webHidden/>
                <w:sz w:val="24"/>
                <w:szCs w:val="24"/>
              </w:rPr>
              <w:fldChar w:fldCharType="end"/>
            </w:r>
          </w:hyperlink>
        </w:p>
        <w:p w14:paraId="36E6E8A1" w14:textId="6A529E4A" w:rsidR="003D770C" w:rsidRPr="0041020C" w:rsidRDefault="003D770C" w:rsidP="001953BB">
          <w:pPr>
            <w:pStyle w:val="TOC3"/>
            <w:tabs>
              <w:tab w:val="right" w:leader="dot" w:pos="9350"/>
            </w:tabs>
            <w:rPr>
              <w:rFonts w:ascii="Times New Roman" w:eastAsiaTheme="minorEastAsia" w:hAnsi="Times New Roman" w:cs="Times New Roman"/>
              <w:noProof/>
              <w:sz w:val="24"/>
              <w:szCs w:val="24"/>
              <w:lang/>
            </w:rPr>
          </w:pPr>
          <w:hyperlink w:anchor="_Toc188379048" w:history="1">
            <w:r w:rsidRPr="0041020C">
              <w:rPr>
                <w:rStyle w:val="Hyperlink"/>
                <w:rFonts w:ascii="Times New Roman" w:hAnsi="Times New Roman" w:cs="Times New Roman"/>
                <w:noProof/>
                <w:sz w:val="24"/>
                <w:szCs w:val="24"/>
              </w:rPr>
              <w:t>3.4.1 Introduction</w:t>
            </w:r>
            <w:r w:rsidRPr="0041020C">
              <w:rPr>
                <w:rFonts w:ascii="Times New Roman" w:hAnsi="Times New Roman" w:cs="Times New Roman"/>
                <w:noProof/>
                <w:webHidden/>
                <w:sz w:val="24"/>
                <w:szCs w:val="24"/>
              </w:rPr>
              <w:tab/>
            </w:r>
            <w:r w:rsidRPr="0041020C">
              <w:rPr>
                <w:rFonts w:ascii="Times New Roman" w:hAnsi="Times New Roman" w:cs="Times New Roman"/>
                <w:noProof/>
                <w:webHidden/>
                <w:sz w:val="24"/>
                <w:szCs w:val="24"/>
              </w:rPr>
              <w:fldChar w:fldCharType="begin"/>
            </w:r>
            <w:r w:rsidRPr="0041020C">
              <w:rPr>
                <w:rFonts w:ascii="Times New Roman" w:hAnsi="Times New Roman" w:cs="Times New Roman"/>
                <w:noProof/>
                <w:webHidden/>
                <w:sz w:val="24"/>
                <w:szCs w:val="24"/>
              </w:rPr>
              <w:instrText xml:space="preserve"> PAGEREF _Toc188379048 \h </w:instrText>
            </w:r>
            <w:r w:rsidRPr="0041020C">
              <w:rPr>
                <w:rFonts w:ascii="Times New Roman" w:hAnsi="Times New Roman" w:cs="Times New Roman"/>
                <w:noProof/>
                <w:webHidden/>
                <w:sz w:val="24"/>
                <w:szCs w:val="24"/>
              </w:rPr>
            </w:r>
            <w:r w:rsidRPr="0041020C">
              <w:rPr>
                <w:rFonts w:ascii="Times New Roman" w:hAnsi="Times New Roman" w:cs="Times New Roman"/>
                <w:noProof/>
                <w:webHidden/>
                <w:sz w:val="24"/>
                <w:szCs w:val="24"/>
              </w:rPr>
              <w:fldChar w:fldCharType="separate"/>
            </w:r>
            <w:r w:rsidR="00EB6467">
              <w:rPr>
                <w:rFonts w:ascii="Times New Roman" w:hAnsi="Times New Roman" w:cs="Times New Roman"/>
                <w:noProof/>
                <w:webHidden/>
                <w:sz w:val="24"/>
                <w:szCs w:val="24"/>
              </w:rPr>
              <w:t>249</w:t>
            </w:r>
            <w:r w:rsidRPr="0041020C">
              <w:rPr>
                <w:rFonts w:ascii="Times New Roman" w:hAnsi="Times New Roman" w:cs="Times New Roman"/>
                <w:noProof/>
                <w:webHidden/>
                <w:sz w:val="24"/>
                <w:szCs w:val="24"/>
              </w:rPr>
              <w:fldChar w:fldCharType="end"/>
            </w:r>
          </w:hyperlink>
        </w:p>
        <w:p w14:paraId="53772F98" w14:textId="60BEB22C" w:rsidR="003D770C" w:rsidRPr="0041020C" w:rsidRDefault="003D770C" w:rsidP="001953BB">
          <w:pPr>
            <w:pStyle w:val="TOC3"/>
            <w:tabs>
              <w:tab w:val="right" w:leader="dot" w:pos="9350"/>
            </w:tabs>
            <w:rPr>
              <w:rFonts w:ascii="Times New Roman" w:eastAsiaTheme="minorEastAsia" w:hAnsi="Times New Roman" w:cs="Times New Roman"/>
              <w:noProof/>
              <w:sz w:val="24"/>
              <w:szCs w:val="24"/>
              <w:lang/>
            </w:rPr>
          </w:pPr>
          <w:hyperlink w:anchor="_Toc188379049" w:history="1">
            <w:r w:rsidRPr="0041020C">
              <w:rPr>
                <w:rStyle w:val="Hyperlink"/>
                <w:rFonts w:ascii="Times New Roman" w:hAnsi="Times New Roman" w:cs="Times New Roman"/>
                <w:noProof/>
                <w:sz w:val="24"/>
                <w:szCs w:val="24"/>
              </w:rPr>
              <w:t>3.4.2 Economic Impacts of ESA Regulations</w:t>
            </w:r>
            <w:r w:rsidRPr="0041020C">
              <w:rPr>
                <w:rFonts w:ascii="Times New Roman" w:hAnsi="Times New Roman" w:cs="Times New Roman"/>
                <w:noProof/>
                <w:webHidden/>
                <w:sz w:val="24"/>
                <w:szCs w:val="24"/>
              </w:rPr>
              <w:tab/>
            </w:r>
            <w:r w:rsidRPr="0041020C">
              <w:rPr>
                <w:rFonts w:ascii="Times New Roman" w:hAnsi="Times New Roman" w:cs="Times New Roman"/>
                <w:noProof/>
                <w:webHidden/>
                <w:sz w:val="24"/>
                <w:szCs w:val="24"/>
              </w:rPr>
              <w:fldChar w:fldCharType="begin"/>
            </w:r>
            <w:r w:rsidRPr="0041020C">
              <w:rPr>
                <w:rFonts w:ascii="Times New Roman" w:hAnsi="Times New Roman" w:cs="Times New Roman"/>
                <w:noProof/>
                <w:webHidden/>
                <w:sz w:val="24"/>
                <w:szCs w:val="24"/>
              </w:rPr>
              <w:instrText xml:space="preserve"> PAGEREF _Toc188379049 \h </w:instrText>
            </w:r>
            <w:r w:rsidRPr="0041020C">
              <w:rPr>
                <w:rFonts w:ascii="Times New Roman" w:hAnsi="Times New Roman" w:cs="Times New Roman"/>
                <w:noProof/>
                <w:webHidden/>
                <w:sz w:val="24"/>
                <w:szCs w:val="24"/>
              </w:rPr>
            </w:r>
            <w:r w:rsidRPr="0041020C">
              <w:rPr>
                <w:rFonts w:ascii="Times New Roman" w:hAnsi="Times New Roman" w:cs="Times New Roman"/>
                <w:noProof/>
                <w:webHidden/>
                <w:sz w:val="24"/>
                <w:szCs w:val="24"/>
              </w:rPr>
              <w:fldChar w:fldCharType="separate"/>
            </w:r>
            <w:r w:rsidR="00EB6467">
              <w:rPr>
                <w:rFonts w:ascii="Times New Roman" w:hAnsi="Times New Roman" w:cs="Times New Roman"/>
                <w:noProof/>
                <w:webHidden/>
                <w:sz w:val="24"/>
                <w:szCs w:val="24"/>
              </w:rPr>
              <w:t>249</w:t>
            </w:r>
            <w:r w:rsidRPr="0041020C">
              <w:rPr>
                <w:rFonts w:ascii="Times New Roman" w:hAnsi="Times New Roman" w:cs="Times New Roman"/>
                <w:noProof/>
                <w:webHidden/>
                <w:sz w:val="24"/>
                <w:szCs w:val="24"/>
              </w:rPr>
              <w:fldChar w:fldCharType="end"/>
            </w:r>
          </w:hyperlink>
        </w:p>
        <w:p w14:paraId="1E69C285" w14:textId="6450DADA" w:rsidR="003D770C" w:rsidRPr="0041020C" w:rsidRDefault="003D770C" w:rsidP="001953BB">
          <w:pPr>
            <w:pStyle w:val="TOC3"/>
            <w:tabs>
              <w:tab w:val="right" w:leader="dot" w:pos="9350"/>
            </w:tabs>
            <w:rPr>
              <w:rFonts w:ascii="Times New Roman" w:eastAsiaTheme="minorEastAsia" w:hAnsi="Times New Roman" w:cs="Times New Roman"/>
              <w:noProof/>
              <w:sz w:val="24"/>
              <w:szCs w:val="24"/>
              <w:lang/>
            </w:rPr>
          </w:pPr>
          <w:hyperlink w:anchor="_Toc188379050" w:history="1">
            <w:r w:rsidRPr="0041020C">
              <w:rPr>
                <w:rStyle w:val="Hyperlink"/>
                <w:rFonts w:ascii="Times New Roman" w:hAnsi="Times New Roman" w:cs="Times New Roman"/>
                <w:noProof/>
                <w:sz w:val="24"/>
                <w:szCs w:val="24"/>
              </w:rPr>
              <w:t>3.4.3 Critical Habitat Designation and Development</w:t>
            </w:r>
            <w:r w:rsidRPr="0041020C">
              <w:rPr>
                <w:rFonts w:ascii="Times New Roman" w:hAnsi="Times New Roman" w:cs="Times New Roman"/>
                <w:noProof/>
                <w:webHidden/>
                <w:sz w:val="24"/>
                <w:szCs w:val="24"/>
              </w:rPr>
              <w:tab/>
            </w:r>
            <w:r w:rsidRPr="0041020C">
              <w:rPr>
                <w:rFonts w:ascii="Times New Roman" w:hAnsi="Times New Roman" w:cs="Times New Roman"/>
                <w:noProof/>
                <w:webHidden/>
                <w:sz w:val="24"/>
                <w:szCs w:val="24"/>
              </w:rPr>
              <w:fldChar w:fldCharType="begin"/>
            </w:r>
            <w:r w:rsidRPr="0041020C">
              <w:rPr>
                <w:rFonts w:ascii="Times New Roman" w:hAnsi="Times New Roman" w:cs="Times New Roman"/>
                <w:noProof/>
                <w:webHidden/>
                <w:sz w:val="24"/>
                <w:szCs w:val="24"/>
              </w:rPr>
              <w:instrText xml:space="preserve"> PAGEREF _Toc188379050 \h </w:instrText>
            </w:r>
            <w:r w:rsidRPr="0041020C">
              <w:rPr>
                <w:rFonts w:ascii="Times New Roman" w:hAnsi="Times New Roman" w:cs="Times New Roman"/>
                <w:noProof/>
                <w:webHidden/>
                <w:sz w:val="24"/>
                <w:szCs w:val="24"/>
              </w:rPr>
            </w:r>
            <w:r w:rsidRPr="0041020C">
              <w:rPr>
                <w:rFonts w:ascii="Times New Roman" w:hAnsi="Times New Roman" w:cs="Times New Roman"/>
                <w:noProof/>
                <w:webHidden/>
                <w:sz w:val="24"/>
                <w:szCs w:val="24"/>
              </w:rPr>
              <w:fldChar w:fldCharType="separate"/>
            </w:r>
            <w:r w:rsidR="00EB6467">
              <w:rPr>
                <w:rFonts w:ascii="Times New Roman" w:hAnsi="Times New Roman" w:cs="Times New Roman"/>
                <w:noProof/>
                <w:webHidden/>
                <w:sz w:val="24"/>
                <w:szCs w:val="24"/>
              </w:rPr>
              <w:t>250</w:t>
            </w:r>
            <w:r w:rsidRPr="0041020C">
              <w:rPr>
                <w:rFonts w:ascii="Times New Roman" w:hAnsi="Times New Roman" w:cs="Times New Roman"/>
                <w:noProof/>
                <w:webHidden/>
                <w:sz w:val="24"/>
                <w:szCs w:val="24"/>
              </w:rPr>
              <w:fldChar w:fldCharType="end"/>
            </w:r>
          </w:hyperlink>
        </w:p>
        <w:p w14:paraId="5A583C29" w14:textId="5AC1F7E6" w:rsidR="003D770C" w:rsidRPr="0041020C" w:rsidRDefault="003D770C" w:rsidP="001953BB">
          <w:pPr>
            <w:pStyle w:val="TOC3"/>
            <w:tabs>
              <w:tab w:val="right" w:leader="dot" w:pos="9350"/>
            </w:tabs>
            <w:rPr>
              <w:rFonts w:ascii="Times New Roman" w:eastAsiaTheme="minorEastAsia" w:hAnsi="Times New Roman" w:cs="Times New Roman"/>
              <w:noProof/>
              <w:sz w:val="24"/>
              <w:szCs w:val="24"/>
              <w:lang/>
            </w:rPr>
          </w:pPr>
          <w:hyperlink w:anchor="_Toc188379051" w:history="1">
            <w:r w:rsidRPr="0041020C">
              <w:rPr>
                <w:rStyle w:val="Hyperlink"/>
                <w:rFonts w:ascii="Times New Roman" w:hAnsi="Times New Roman" w:cs="Times New Roman"/>
                <w:noProof/>
                <w:sz w:val="24"/>
                <w:szCs w:val="24"/>
              </w:rPr>
              <w:t>3.4.4 Behavioral Responses to ESA Policies</w:t>
            </w:r>
            <w:r w:rsidRPr="0041020C">
              <w:rPr>
                <w:rFonts w:ascii="Times New Roman" w:hAnsi="Times New Roman" w:cs="Times New Roman"/>
                <w:noProof/>
                <w:webHidden/>
                <w:sz w:val="24"/>
                <w:szCs w:val="24"/>
              </w:rPr>
              <w:tab/>
            </w:r>
            <w:r w:rsidRPr="0041020C">
              <w:rPr>
                <w:rFonts w:ascii="Times New Roman" w:hAnsi="Times New Roman" w:cs="Times New Roman"/>
                <w:noProof/>
                <w:webHidden/>
                <w:sz w:val="24"/>
                <w:szCs w:val="24"/>
              </w:rPr>
              <w:fldChar w:fldCharType="begin"/>
            </w:r>
            <w:r w:rsidRPr="0041020C">
              <w:rPr>
                <w:rFonts w:ascii="Times New Roman" w:hAnsi="Times New Roman" w:cs="Times New Roman"/>
                <w:noProof/>
                <w:webHidden/>
                <w:sz w:val="24"/>
                <w:szCs w:val="24"/>
              </w:rPr>
              <w:instrText xml:space="preserve"> PAGEREF _Toc188379051 \h </w:instrText>
            </w:r>
            <w:r w:rsidRPr="0041020C">
              <w:rPr>
                <w:rFonts w:ascii="Times New Roman" w:hAnsi="Times New Roman" w:cs="Times New Roman"/>
                <w:noProof/>
                <w:webHidden/>
                <w:sz w:val="24"/>
                <w:szCs w:val="24"/>
              </w:rPr>
            </w:r>
            <w:r w:rsidRPr="0041020C">
              <w:rPr>
                <w:rFonts w:ascii="Times New Roman" w:hAnsi="Times New Roman" w:cs="Times New Roman"/>
                <w:noProof/>
                <w:webHidden/>
                <w:sz w:val="24"/>
                <w:szCs w:val="24"/>
              </w:rPr>
              <w:fldChar w:fldCharType="separate"/>
            </w:r>
            <w:r w:rsidR="00EB6467">
              <w:rPr>
                <w:rFonts w:ascii="Times New Roman" w:hAnsi="Times New Roman" w:cs="Times New Roman"/>
                <w:noProof/>
                <w:webHidden/>
                <w:sz w:val="24"/>
                <w:szCs w:val="24"/>
              </w:rPr>
              <w:t>250</w:t>
            </w:r>
            <w:r w:rsidRPr="0041020C">
              <w:rPr>
                <w:rFonts w:ascii="Times New Roman" w:hAnsi="Times New Roman" w:cs="Times New Roman"/>
                <w:noProof/>
                <w:webHidden/>
                <w:sz w:val="24"/>
                <w:szCs w:val="24"/>
              </w:rPr>
              <w:fldChar w:fldCharType="end"/>
            </w:r>
          </w:hyperlink>
        </w:p>
        <w:p w14:paraId="0608D48E" w14:textId="44425EF6" w:rsidR="003D770C" w:rsidRPr="0041020C" w:rsidRDefault="003D770C" w:rsidP="001953BB">
          <w:pPr>
            <w:pStyle w:val="TOC3"/>
            <w:tabs>
              <w:tab w:val="right" w:leader="dot" w:pos="9350"/>
            </w:tabs>
            <w:rPr>
              <w:rFonts w:ascii="Times New Roman" w:eastAsiaTheme="minorEastAsia" w:hAnsi="Times New Roman" w:cs="Times New Roman"/>
              <w:noProof/>
              <w:sz w:val="24"/>
              <w:szCs w:val="24"/>
              <w:lang/>
            </w:rPr>
          </w:pPr>
          <w:hyperlink w:anchor="_Toc188379052" w:history="1">
            <w:r w:rsidRPr="0041020C">
              <w:rPr>
                <w:rStyle w:val="Hyperlink"/>
                <w:rFonts w:ascii="Times New Roman" w:hAnsi="Times New Roman" w:cs="Times New Roman"/>
                <w:noProof/>
                <w:sz w:val="24"/>
                <w:szCs w:val="24"/>
              </w:rPr>
              <w:t>3.4.5 Broader Regional and Sectoral Impacts</w:t>
            </w:r>
            <w:r w:rsidRPr="0041020C">
              <w:rPr>
                <w:rFonts w:ascii="Times New Roman" w:hAnsi="Times New Roman" w:cs="Times New Roman"/>
                <w:noProof/>
                <w:webHidden/>
                <w:sz w:val="24"/>
                <w:szCs w:val="24"/>
              </w:rPr>
              <w:tab/>
            </w:r>
            <w:r w:rsidRPr="0041020C">
              <w:rPr>
                <w:rFonts w:ascii="Times New Roman" w:hAnsi="Times New Roman" w:cs="Times New Roman"/>
                <w:noProof/>
                <w:webHidden/>
                <w:sz w:val="24"/>
                <w:szCs w:val="24"/>
              </w:rPr>
              <w:fldChar w:fldCharType="begin"/>
            </w:r>
            <w:r w:rsidRPr="0041020C">
              <w:rPr>
                <w:rFonts w:ascii="Times New Roman" w:hAnsi="Times New Roman" w:cs="Times New Roman"/>
                <w:noProof/>
                <w:webHidden/>
                <w:sz w:val="24"/>
                <w:szCs w:val="24"/>
              </w:rPr>
              <w:instrText xml:space="preserve"> PAGEREF _Toc188379052 \h </w:instrText>
            </w:r>
            <w:r w:rsidRPr="0041020C">
              <w:rPr>
                <w:rFonts w:ascii="Times New Roman" w:hAnsi="Times New Roman" w:cs="Times New Roman"/>
                <w:noProof/>
                <w:webHidden/>
                <w:sz w:val="24"/>
                <w:szCs w:val="24"/>
              </w:rPr>
            </w:r>
            <w:r w:rsidRPr="0041020C">
              <w:rPr>
                <w:rFonts w:ascii="Times New Roman" w:hAnsi="Times New Roman" w:cs="Times New Roman"/>
                <w:noProof/>
                <w:webHidden/>
                <w:sz w:val="24"/>
                <w:szCs w:val="24"/>
              </w:rPr>
              <w:fldChar w:fldCharType="separate"/>
            </w:r>
            <w:r w:rsidR="00EB6467">
              <w:rPr>
                <w:rFonts w:ascii="Times New Roman" w:hAnsi="Times New Roman" w:cs="Times New Roman"/>
                <w:noProof/>
                <w:webHidden/>
                <w:sz w:val="24"/>
                <w:szCs w:val="24"/>
              </w:rPr>
              <w:t>251</w:t>
            </w:r>
            <w:r w:rsidRPr="0041020C">
              <w:rPr>
                <w:rFonts w:ascii="Times New Roman" w:hAnsi="Times New Roman" w:cs="Times New Roman"/>
                <w:noProof/>
                <w:webHidden/>
                <w:sz w:val="24"/>
                <w:szCs w:val="24"/>
              </w:rPr>
              <w:fldChar w:fldCharType="end"/>
            </w:r>
          </w:hyperlink>
        </w:p>
        <w:p w14:paraId="1BCEEF08" w14:textId="168B0F08" w:rsidR="003D770C" w:rsidRPr="0041020C" w:rsidRDefault="003D770C" w:rsidP="001953BB">
          <w:pPr>
            <w:pStyle w:val="TOC3"/>
            <w:tabs>
              <w:tab w:val="right" w:leader="dot" w:pos="9350"/>
            </w:tabs>
            <w:rPr>
              <w:rFonts w:ascii="Times New Roman" w:eastAsiaTheme="minorEastAsia" w:hAnsi="Times New Roman" w:cs="Times New Roman"/>
              <w:noProof/>
              <w:sz w:val="24"/>
              <w:szCs w:val="24"/>
              <w:lang/>
            </w:rPr>
          </w:pPr>
          <w:hyperlink w:anchor="_Toc188379053" w:history="1">
            <w:r w:rsidRPr="0041020C">
              <w:rPr>
                <w:rStyle w:val="Hyperlink"/>
                <w:rFonts w:ascii="Times New Roman" w:hAnsi="Times New Roman" w:cs="Times New Roman"/>
                <w:noProof/>
                <w:sz w:val="24"/>
                <w:szCs w:val="24"/>
              </w:rPr>
              <w:t>3.4.6 Contribution of This Research</w:t>
            </w:r>
            <w:r w:rsidRPr="0041020C">
              <w:rPr>
                <w:rFonts w:ascii="Times New Roman" w:hAnsi="Times New Roman" w:cs="Times New Roman"/>
                <w:noProof/>
                <w:webHidden/>
                <w:sz w:val="24"/>
                <w:szCs w:val="24"/>
              </w:rPr>
              <w:tab/>
            </w:r>
            <w:r w:rsidRPr="0041020C">
              <w:rPr>
                <w:rFonts w:ascii="Times New Roman" w:hAnsi="Times New Roman" w:cs="Times New Roman"/>
                <w:noProof/>
                <w:webHidden/>
                <w:sz w:val="24"/>
                <w:szCs w:val="24"/>
              </w:rPr>
              <w:fldChar w:fldCharType="begin"/>
            </w:r>
            <w:r w:rsidRPr="0041020C">
              <w:rPr>
                <w:rFonts w:ascii="Times New Roman" w:hAnsi="Times New Roman" w:cs="Times New Roman"/>
                <w:noProof/>
                <w:webHidden/>
                <w:sz w:val="24"/>
                <w:szCs w:val="24"/>
              </w:rPr>
              <w:instrText xml:space="preserve"> PAGEREF _Toc188379053 \h </w:instrText>
            </w:r>
            <w:r w:rsidRPr="0041020C">
              <w:rPr>
                <w:rFonts w:ascii="Times New Roman" w:hAnsi="Times New Roman" w:cs="Times New Roman"/>
                <w:noProof/>
                <w:webHidden/>
                <w:sz w:val="24"/>
                <w:szCs w:val="24"/>
              </w:rPr>
            </w:r>
            <w:r w:rsidRPr="0041020C">
              <w:rPr>
                <w:rFonts w:ascii="Times New Roman" w:hAnsi="Times New Roman" w:cs="Times New Roman"/>
                <w:noProof/>
                <w:webHidden/>
                <w:sz w:val="24"/>
                <w:szCs w:val="24"/>
              </w:rPr>
              <w:fldChar w:fldCharType="separate"/>
            </w:r>
            <w:r w:rsidR="00EB6467">
              <w:rPr>
                <w:rFonts w:ascii="Times New Roman" w:hAnsi="Times New Roman" w:cs="Times New Roman"/>
                <w:noProof/>
                <w:webHidden/>
                <w:sz w:val="24"/>
                <w:szCs w:val="24"/>
              </w:rPr>
              <w:t>251</w:t>
            </w:r>
            <w:r w:rsidRPr="0041020C">
              <w:rPr>
                <w:rFonts w:ascii="Times New Roman" w:hAnsi="Times New Roman" w:cs="Times New Roman"/>
                <w:noProof/>
                <w:webHidden/>
                <w:sz w:val="24"/>
                <w:szCs w:val="24"/>
              </w:rPr>
              <w:fldChar w:fldCharType="end"/>
            </w:r>
          </w:hyperlink>
        </w:p>
        <w:p w14:paraId="6CB4B628" w14:textId="10CF70C6" w:rsidR="003D770C" w:rsidRPr="0041020C" w:rsidRDefault="003D770C" w:rsidP="001953BB">
          <w:pPr>
            <w:pStyle w:val="TOC2"/>
            <w:tabs>
              <w:tab w:val="right" w:leader="dot" w:pos="9350"/>
            </w:tabs>
            <w:spacing w:before="0"/>
            <w:rPr>
              <w:rFonts w:ascii="Times New Roman" w:eastAsiaTheme="minorEastAsia" w:hAnsi="Times New Roman" w:cs="Times New Roman"/>
              <w:i w:val="0"/>
              <w:iCs w:val="0"/>
              <w:noProof/>
              <w:sz w:val="24"/>
              <w:szCs w:val="24"/>
              <w:lang/>
            </w:rPr>
          </w:pPr>
          <w:hyperlink w:anchor="_Toc188379054" w:history="1">
            <w:r w:rsidRPr="0041020C">
              <w:rPr>
                <w:rStyle w:val="Hyperlink"/>
                <w:rFonts w:ascii="Times New Roman" w:hAnsi="Times New Roman" w:cs="Times New Roman"/>
                <w:i w:val="0"/>
                <w:iCs w:val="0"/>
                <w:noProof/>
                <w:sz w:val="24"/>
                <w:szCs w:val="24"/>
              </w:rPr>
              <w:t>3.5 Data, and Data Source</w:t>
            </w:r>
            <w:r w:rsidRPr="0041020C">
              <w:rPr>
                <w:rFonts w:ascii="Times New Roman" w:hAnsi="Times New Roman" w:cs="Times New Roman"/>
                <w:i w:val="0"/>
                <w:iCs w:val="0"/>
                <w:noProof/>
                <w:webHidden/>
                <w:sz w:val="24"/>
                <w:szCs w:val="24"/>
              </w:rPr>
              <w:tab/>
            </w:r>
            <w:r w:rsidRPr="0041020C">
              <w:rPr>
                <w:rFonts w:ascii="Times New Roman" w:hAnsi="Times New Roman" w:cs="Times New Roman"/>
                <w:i w:val="0"/>
                <w:iCs w:val="0"/>
                <w:noProof/>
                <w:webHidden/>
                <w:sz w:val="24"/>
                <w:szCs w:val="24"/>
              </w:rPr>
              <w:fldChar w:fldCharType="begin"/>
            </w:r>
            <w:r w:rsidRPr="0041020C">
              <w:rPr>
                <w:rFonts w:ascii="Times New Roman" w:hAnsi="Times New Roman" w:cs="Times New Roman"/>
                <w:i w:val="0"/>
                <w:iCs w:val="0"/>
                <w:noProof/>
                <w:webHidden/>
                <w:sz w:val="24"/>
                <w:szCs w:val="24"/>
              </w:rPr>
              <w:instrText xml:space="preserve"> PAGEREF _Toc188379054 \h </w:instrText>
            </w:r>
            <w:r w:rsidRPr="0041020C">
              <w:rPr>
                <w:rFonts w:ascii="Times New Roman" w:hAnsi="Times New Roman" w:cs="Times New Roman"/>
                <w:i w:val="0"/>
                <w:iCs w:val="0"/>
                <w:noProof/>
                <w:webHidden/>
                <w:sz w:val="24"/>
                <w:szCs w:val="24"/>
              </w:rPr>
            </w:r>
            <w:r w:rsidRPr="0041020C">
              <w:rPr>
                <w:rFonts w:ascii="Times New Roman" w:hAnsi="Times New Roman" w:cs="Times New Roman"/>
                <w:i w:val="0"/>
                <w:iCs w:val="0"/>
                <w:noProof/>
                <w:webHidden/>
                <w:sz w:val="24"/>
                <w:szCs w:val="24"/>
              </w:rPr>
              <w:fldChar w:fldCharType="separate"/>
            </w:r>
            <w:r w:rsidR="00EB6467">
              <w:rPr>
                <w:rFonts w:ascii="Times New Roman" w:hAnsi="Times New Roman" w:cs="Times New Roman"/>
                <w:i w:val="0"/>
                <w:iCs w:val="0"/>
                <w:noProof/>
                <w:webHidden/>
                <w:sz w:val="24"/>
                <w:szCs w:val="24"/>
              </w:rPr>
              <w:t>252</w:t>
            </w:r>
            <w:r w:rsidRPr="0041020C">
              <w:rPr>
                <w:rFonts w:ascii="Times New Roman" w:hAnsi="Times New Roman" w:cs="Times New Roman"/>
                <w:i w:val="0"/>
                <w:iCs w:val="0"/>
                <w:noProof/>
                <w:webHidden/>
                <w:sz w:val="24"/>
                <w:szCs w:val="24"/>
              </w:rPr>
              <w:fldChar w:fldCharType="end"/>
            </w:r>
          </w:hyperlink>
        </w:p>
        <w:p w14:paraId="6BBD1BD5" w14:textId="2B386551" w:rsidR="003D770C" w:rsidRPr="0041020C" w:rsidRDefault="003D770C" w:rsidP="001953BB">
          <w:pPr>
            <w:pStyle w:val="TOC3"/>
            <w:tabs>
              <w:tab w:val="right" w:leader="dot" w:pos="9350"/>
            </w:tabs>
            <w:rPr>
              <w:rFonts w:ascii="Times New Roman" w:eastAsiaTheme="minorEastAsia" w:hAnsi="Times New Roman" w:cs="Times New Roman"/>
              <w:noProof/>
              <w:sz w:val="24"/>
              <w:szCs w:val="24"/>
              <w:lang/>
            </w:rPr>
          </w:pPr>
          <w:hyperlink w:anchor="_Toc188379055" w:history="1">
            <w:r w:rsidRPr="0041020C">
              <w:rPr>
                <w:rStyle w:val="Hyperlink"/>
                <w:rFonts w:ascii="Times New Roman" w:hAnsi="Times New Roman" w:cs="Times New Roman"/>
                <w:noProof/>
                <w:sz w:val="24"/>
                <w:szCs w:val="24"/>
              </w:rPr>
              <w:t>3.5.1 Introduction</w:t>
            </w:r>
            <w:r w:rsidRPr="0041020C">
              <w:rPr>
                <w:rFonts w:ascii="Times New Roman" w:hAnsi="Times New Roman" w:cs="Times New Roman"/>
                <w:noProof/>
                <w:webHidden/>
                <w:sz w:val="24"/>
                <w:szCs w:val="24"/>
              </w:rPr>
              <w:tab/>
            </w:r>
            <w:r w:rsidRPr="0041020C">
              <w:rPr>
                <w:rFonts w:ascii="Times New Roman" w:hAnsi="Times New Roman" w:cs="Times New Roman"/>
                <w:noProof/>
                <w:webHidden/>
                <w:sz w:val="24"/>
                <w:szCs w:val="24"/>
              </w:rPr>
              <w:fldChar w:fldCharType="begin"/>
            </w:r>
            <w:r w:rsidRPr="0041020C">
              <w:rPr>
                <w:rFonts w:ascii="Times New Roman" w:hAnsi="Times New Roman" w:cs="Times New Roman"/>
                <w:noProof/>
                <w:webHidden/>
                <w:sz w:val="24"/>
                <w:szCs w:val="24"/>
              </w:rPr>
              <w:instrText xml:space="preserve"> PAGEREF _Toc188379055 \h </w:instrText>
            </w:r>
            <w:r w:rsidRPr="0041020C">
              <w:rPr>
                <w:rFonts w:ascii="Times New Roman" w:hAnsi="Times New Roman" w:cs="Times New Roman"/>
                <w:noProof/>
                <w:webHidden/>
                <w:sz w:val="24"/>
                <w:szCs w:val="24"/>
              </w:rPr>
            </w:r>
            <w:r w:rsidRPr="0041020C">
              <w:rPr>
                <w:rFonts w:ascii="Times New Roman" w:hAnsi="Times New Roman" w:cs="Times New Roman"/>
                <w:noProof/>
                <w:webHidden/>
                <w:sz w:val="24"/>
                <w:szCs w:val="24"/>
              </w:rPr>
              <w:fldChar w:fldCharType="separate"/>
            </w:r>
            <w:r w:rsidR="00EB6467">
              <w:rPr>
                <w:rFonts w:ascii="Times New Roman" w:hAnsi="Times New Roman" w:cs="Times New Roman"/>
                <w:noProof/>
                <w:webHidden/>
                <w:sz w:val="24"/>
                <w:szCs w:val="24"/>
              </w:rPr>
              <w:t>252</w:t>
            </w:r>
            <w:r w:rsidRPr="0041020C">
              <w:rPr>
                <w:rFonts w:ascii="Times New Roman" w:hAnsi="Times New Roman" w:cs="Times New Roman"/>
                <w:noProof/>
                <w:webHidden/>
                <w:sz w:val="24"/>
                <w:szCs w:val="24"/>
              </w:rPr>
              <w:fldChar w:fldCharType="end"/>
            </w:r>
          </w:hyperlink>
        </w:p>
        <w:p w14:paraId="50E1AB98" w14:textId="15A2831A" w:rsidR="003D770C" w:rsidRPr="0041020C" w:rsidRDefault="003D770C" w:rsidP="001953BB">
          <w:pPr>
            <w:pStyle w:val="TOC3"/>
            <w:tabs>
              <w:tab w:val="right" w:leader="dot" w:pos="9350"/>
            </w:tabs>
            <w:rPr>
              <w:rFonts w:ascii="Times New Roman" w:eastAsiaTheme="minorEastAsia" w:hAnsi="Times New Roman" w:cs="Times New Roman"/>
              <w:noProof/>
              <w:sz w:val="24"/>
              <w:szCs w:val="24"/>
              <w:lang/>
            </w:rPr>
          </w:pPr>
          <w:hyperlink w:anchor="_Toc188379056" w:history="1">
            <w:r w:rsidRPr="0041020C">
              <w:rPr>
                <w:rStyle w:val="Hyperlink"/>
                <w:rFonts w:ascii="Times New Roman" w:hAnsi="Times New Roman" w:cs="Times New Roman"/>
                <w:noProof/>
                <w:sz w:val="24"/>
                <w:szCs w:val="24"/>
              </w:rPr>
              <w:t>3.5.2 Outcome Variables</w:t>
            </w:r>
            <w:r w:rsidRPr="0041020C">
              <w:rPr>
                <w:rFonts w:ascii="Times New Roman" w:hAnsi="Times New Roman" w:cs="Times New Roman"/>
                <w:noProof/>
                <w:webHidden/>
                <w:sz w:val="24"/>
                <w:szCs w:val="24"/>
              </w:rPr>
              <w:tab/>
            </w:r>
            <w:r w:rsidRPr="0041020C">
              <w:rPr>
                <w:rFonts w:ascii="Times New Roman" w:hAnsi="Times New Roman" w:cs="Times New Roman"/>
                <w:noProof/>
                <w:webHidden/>
                <w:sz w:val="24"/>
                <w:szCs w:val="24"/>
              </w:rPr>
              <w:fldChar w:fldCharType="begin"/>
            </w:r>
            <w:r w:rsidRPr="0041020C">
              <w:rPr>
                <w:rFonts w:ascii="Times New Roman" w:hAnsi="Times New Roman" w:cs="Times New Roman"/>
                <w:noProof/>
                <w:webHidden/>
                <w:sz w:val="24"/>
                <w:szCs w:val="24"/>
              </w:rPr>
              <w:instrText xml:space="preserve"> PAGEREF _Toc188379056 \h </w:instrText>
            </w:r>
            <w:r w:rsidRPr="0041020C">
              <w:rPr>
                <w:rFonts w:ascii="Times New Roman" w:hAnsi="Times New Roman" w:cs="Times New Roman"/>
                <w:noProof/>
                <w:webHidden/>
                <w:sz w:val="24"/>
                <w:szCs w:val="24"/>
              </w:rPr>
            </w:r>
            <w:r w:rsidRPr="0041020C">
              <w:rPr>
                <w:rFonts w:ascii="Times New Roman" w:hAnsi="Times New Roman" w:cs="Times New Roman"/>
                <w:noProof/>
                <w:webHidden/>
                <w:sz w:val="24"/>
                <w:szCs w:val="24"/>
              </w:rPr>
              <w:fldChar w:fldCharType="separate"/>
            </w:r>
            <w:r w:rsidR="00EB6467">
              <w:rPr>
                <w:rFonts w:ascii="Times New Roman" w:hAnsi="Times New Roman" w:cs="Times New Roman"/>
                <w:noProof/>
                <w:webHidden/>
                <w:sz w:val="24"/>
                <w:szCs w:val="24"/>
              </w:rPr>
              <w:t>253</w:t>
            </w:r>
            <w:r w:rsidRPr="0041020C">
              <w:rPr>
                <w:rFonts w:ascii="Times New Roman" w:hAnsi="Times New Roman" w:cs="Times New Roman"/>
                <w:noProof/>
                <w:webHidden/>
                <w:sz w:val="24"/>
                <w:szCs w:val="24"/>
              </w:rPr>
              <w:fldChar w:fldCharType="end"/>
            </w:r>
          </w:hyperlink>
        </w:p>
        <w:p w14:paraId="7C80D1BD" w14:textId="1F43225D" w:rsidR="003D770C" w:rsidRPr="0041020C" w:rsidRDefault="003D770C" w:rsidP="001953BB">
          <w:pPr>
            <w:pStyle w:val="TOC3"/>
            <w:tabs>
              <w:tab w:val="right" w:leader="dot" w:pos="9350"/>
            </w:tabs>
            <w:rPr>
              <w:rFonts w:ascii="Times New Roman" w:eastAsiaTheme="minorEastAsia" w:hAnsi="Times New Roman" w:cs="Times New Roman"/>
              <w:noProof/>
              <w:sz w:val="24"/>
              <w:szCs w:val="24"/>
              <w:lang/>
            </w:rPr>
          </w:pPr>
          <w:hyperlink w:anchor="_Toc188379057" w:history="1">
            <w:r w:rsidRPr="0041020C">
              <w:rPr>
                <w:rStyle w:val="Hyperlink"/>
                <w:rFonts w:ascii="Times New Roman" w:hAnsi="Times New Roman" w:cs="Times New Roman"/>
                <w:noProof/>
                <w:sz w:val="24"/>
                <w:szCs w:val="24"/>
              </w:rPr>
              <w:t>3.5.3 Key Explanatory Variables</w:t>
            </w:r>
            <w:r w:rsidRPr="0041020C">
              <w:rPr>
                <w:rFonts w:ascii="Times New Roman" w:hAnsi="Times New Roman" w:cs="Times New Roman"/>
                <w:noProof/>
                <w:webHidden/>
                <w:sz w:val="24"/>
                <w:szCs w:val="24"/>
              </w:rPr>
              <w:tab/>
            </w:r>
            <w:r w:rsidRPr="0041020C">
              <w:rPr>
                <w:rFonts w:ascii="Times New Roman" w:hAnsi="Times New Roman" w:cs="Times New Roman"/>
                <w:noProof/>
                <w:webHidden/>
                <w:sz w:val="24"/>
                <w:szCs w:val="24"/>
              </w:rPr>
              <w:fldChar w:fldCharType="begin"/>
            </w:r>
            <w:r w:rsidRPr="0041020C">
              <w:rPr>
                <w:rFonts w:ascii="Times New Roman" w:hAnsi="Times New Roman" w:cs="Times New Roman"/>
                <w:noProof/>
                <w:webHidden/>
                <w:sz w:val="24"/>
                <w:szCs w:val="24"/>
              </w:rPr>
              <w:instrText xml:space="preserve"> PAGEREF _Toc188379057 \h </w:instrText>
            </w:r>
            <w:r w:rsidRPr="0041020C">
              <w:rPr>
                <w:rFonts w:ascii="Times New Roman" w:hAnsi="Times New Roman" w:cs="Times New Roman"/>
                <w:noProof/>
                <w:webHidden/>
                <w:sz w:val="24"/>
                <w:szCs w:val="24"/>
              </w:rPr>
            </w:r>
            <w:r w:rsidRPr="0041020C">
              <w:rPr>
                <w:rFonts w:ascii="Times New Roman" w:hAnsi="Times New Roman" w:cs="Times New Roman"/>
                <w:noProof/>
                <w:webHidden/>
                <w:sz w:val="24"/>
                <w:szCs w:val="24"/>
              </w:rPr>
              <w:fldChar w:fldCharType="separate"/>
            </w:r>
            <w:r w:rsidR="00EB6467">
              <w:rPr>
                <w:rFonts w:ascii="Times New Roman" w:hAnsi="Times New Roman" w:cs="Times New Roman"/>
                <w:noProof/>
                <w:webHidden/>
                <w:sz w:val="24"/>
                <w:szCs w:val="24"/>
              </w:rPr>
              <w:t>254</w:t>
            </w:r>
            <w:r w:rsidRPr="0041020C">
              <w:rPr>
                <w:rFonts w:ascii="Times New Roman" w:hAnsi="Times New Roman" w:cs="Times New Roman"/>
                <w:noProof/>
                <w:webHidden/>
                <w:sz w:val="24"/>
                <w:szCs w:val="24"/>
              </w:rPr>
              <w:fldChar w:fldCharType="end"/>
            </w:r>
          </w:hyperlink>
        </w:p>
        <w:p w14:paraId="74FB3299" w14:textId="651CEE89" w:rsidR="003D770C" w:rsidRPr="0041020C" w:rsidRDefault="003D770C" w:rsidP="001953BB">
          <w:pPr>
            <w:pStyle w:val="TOC3"/>
            <w:tabs>
              <w:tab w:val="right" w:leader="dot" w:pos="9350"/>
            </w:tabs>
            <w:rPr>
              <w:rFonts w:ascii="Times New Roman" w:eastAsiaTheme="minorEastAsia" w:hAnsi="Times New Roman" w:cs="Times New Roman"/>
              <w:noProof/>
              <w:sz w:val="24"/>
              <w:szCs w:val="24"/>
              <w:lang/>
            </w:rPr>
          </w:pPr>
          <w:hyperlink w:anchor="_Toc188379058" w:history="1">
            <w:r w:rsidRPr="0041020C">
              <w:rPr>
                <w:rStyle w:val="Hyperlink"/>
                <w:rFonts w:ascii="Times New Roman" w:hAnsi="Times New Roman" w:cs="Times New Roman"/>
                <w:noProof/>
                <w:sz w:val="24"/>
                <w:szCs w:val="24"/>
              </w:rPr>
              <w:t>3.5.4 Control Variables</w:t>
            </w:r>
            <w:r w:rsidRPr="0041020C">
              <w:rPr>
                <w:rFonts w:ascii="Times New Roman" w:hAnsi="Times New Roman" w:cs="Times New Roman"/>
                <w:noProof/>
                <w:webHidden/>
                <w:sz w:val="24"/>
                <w:szCs w:val="24"/>
              </w:rPr>
              <w:tab/>
            </w:r>
            <w:r w:rsidRPr="0041020C">
              <w:rPr>
                <w:rFonts w:ascii="Times New Roman" w:hAnsi="Times New Roman" w:cs="Times New Roman"/>
                <w:noProof/>
                <w:webHidden/>
                <w:sz w:val="24"/>
                <w:szCs w:val="24"/>
              </w:rPr>
              <w:fldChar w:fldCharType="begin"/>
            </w:r>
            <w:r w:rsidRPr="0041020C">
              <w:rPr>
                <w:rFonts w:ascii="Times New Roman" w:hAnsi="Times New Roman" w:cs="Times New Roman"/>
                <w:noProof/>
                <w:webHidden/>
                <w:sz w:val="24"/>
                <w:szCs w:val="24"/>
              </w:rPr>
              <w:instrText xml:space="preserve"> PAGEREF _Toc188379058 \h </w:instrText>
            </w:r>
            <w:r w:rsidRPr="0041020C">
              <w:rPr>
                <w:rFonts w:ascii="Times New Roman" w:hAnsi="Times New Roman" w:cs="Times New Roman"/>
                <w:noProof/>
                <w:webHidden/>
                <w:sz w:val="24"/>
                <w:szCs w:val="24"/>
              </w:rPr>
            </w:r>
            <w:r w:rsidRPr="0041020C">
              <w:rPr>
                <w:rFonts w:ascii="Times New Roman" w:hAnsi="Times New Roman" w:cs="Times New Roman"/>
                <w:noProof/>
                <w:webHidden/>
                <w:sz w:val="24"/>
                <w:szCs w:val="24"/>
              </w:rPr>
              <w:fldChar w:fldCharType="separate"/>
            </w:r>
            <w:r w:rsidR="00EB6467">
              <w:rPr>
                <w:rFonts w:ascii="Times New Roman" w:hAnsi="Times New Roman" w:cs="Times New Roman"/>
                <w:noProof/>
                <w:webHidden/>
                <w:sz w:val="24"/>
                <w:szCs w:val="24"/>
              </w:rPr>
              <w:t>256</w:t>
            </w:r>
            <w:r w:rsidRPr="0041020C">
              <w:rPr>
                <w:rFonts w:ascii="Times New Roman" w:hAnsi="Times New Roman" w:cs="Times New Roman"/>
                <w:noProof/>
                <w:webHidden/>
                <w:sz w:val="24"/>
                <w:szCs w:val="24"/>
              </w:rPr>
              <w:fldChar w:fldCharType="end"/>
            </w:r>
          </w:hyperlink>
        </w:p>
        <w:p w14:paraId="63D109FF" w14:textId="3F252A2B" w:rsidR="003D770C" w:rsidRPr="0041020C" w:rsidRDefault="003D770C" w:rsidP="001953BB">
          <w:pPr>
            <w:pStyle w:val="TOC3"/>
            <w:tabs>
              <w:tab w:val="right" w:leader="dot" w:pos="9350"/>
            </w:tabs>
            <w:rPr>
              <w:rFonts w:ascii="Times New Roman" w:eastAsiaTheme="minorEastAsia" w:hAnsi="Times New Roman" w:cs="Times New Roman"/>
              <w:noProof/>
              <w:sz w:val="24"/>
              <w:szCs w:val="24"/>
              <w:lang/>
            </w:rPr>
          </w:pPr>
          <w:hyperlink w:anchor="_Toc188379059" w:history="1">
            <w:r w:rsidRPr="0041020C">
              <w:rPr>
                <w:rStyle w:val="Hyperlink"/>
                <w:rFonts w:ascii="Times New Roman" w:hAnsi="Times New Roman" w:cs="Times New Roman"/>
                <w:noProof/>
                <w:sz w:val="24"/>
                <w:szCs w:val="24"/>
              </w:rPr>
              <w:t>3.5.5 Data Sources</w:t>
            </w:r>
            <w:r w:rsidRPr="0041020C">
              <w:rPr>
                <w:rFonts w:ascii="Times New Roman" w:hAnsi="Times New Roman" w:cs="Times New Roman"/>
                <w:noProof/>
                <w:webHidden/>
                <w:sz w:val="24"/>
                <w:szCs w:val="24"/>
              </w:rPr>
              <w:tab/>
            </w:r>
            <w:r w:rsidRPr="0041020C">
              <w:rPr>
                <w:rFonts w:ascii="Times New Roman" w:hAnsi="Times New Roman" w:cs="Times New Roman"/>
                <w:noProof/>
                <w:webHidden/>
                <w:sz w:val="24"/>
                <w:szCs w:val="24"/>
              </w:rPr>
              <w:fldChar w:fldCharType="begin"/>
            </w:r>
            <w:r w:rsidRPr="0041020C">
              <w:rPr>
                <w:rFonts w:ascii="Times New Roman" w:hAnsi="Times New Roman" w:cs="Times New Roman"/>
                <w:noProof/>
                <w:webHidden/>
                <w:sz w:val="24"/>
                <w:szCs w:val="24"/>
              </w:rPr>
              <w:instrText xml:space="preserve"> PAGEREF _Toc188379059 \h </w:instrText>
            </w:r>
            <w:r w:rsidRPr="0041020C">
              <w:rPr>
                <w:rFonts w:ascii="Times New Roman" w:hAnsi="Times New Roman" w:cs="Times New Roman"/>
                <w:noProof/>
                <w:webHidden/>
                <w:sz w:val="24"/>
                <w:szCs w:val="24"/>
              </w:rPr>
            </w:r>
            <w:r w:rsidRPr="0041020C">
              <w:rPr>
                <w:rFonts w:ascii="Times New Roman" w:hAnsi="Times New Roman" w:cs="Times New Roman"/>
                <w:noProof/>
                <w:webHidden/>
                <w:sz w:val="24"/>
                <w:szCs w:val="24"/>
              </w:rPr>
              <w:fldChar w:fldCharType="separate"/>
            </w:r>
            <w:r w:rsidR="00EB6467">
              <w:rPr>
                <w:rFonts w:ascii="Times New Roman" w:hAnsi="Times New Roman" w:cs="Times New Roman"/>
                <w:noProof/>
                <w:webHidden/>
                <w:sz w:val="24"/>
                <w:szCs w:val="24"/>
              </w:rPr>
              <w:t>257</w:t>
            </w:r>
            <w:r w:rsidRPr="0041020C">
              <w:rPr>
                <w:rFonts w:ascii="Times New Roman" w:hAnsi="Times New Roman" w:cs="Times New Roman"/>
                <w:noProof/>
                <w:webHidden/>
                <w:sz w:val="24"/>
                <w:szCs w:val="24"/>
              </w:rPr>
              <w:fldChar w:fldCharType="end"/>
            </w:r>
          </w:hyperlink>
        </w:p>
        <w:p w14:paraId="6579638F" w14:textId="271F88CD" w:rsidR="003D770C" w:rsidRPr="0041020C" w:rsidRDefault="003D770C" w:rsidP="001953BB">
          <w:pPr>
            <w:pStyle w:val="TOC3"/>
            <w:tabs>
              <w:tab w:val="right" w:leader="dot" w:pos="9350"/>
            </w:tabs>
            <w:rPr>
              <w:rFonts w:ascii="Times New Roman" w:eastAsiaTheme="minorEastAsia" w:hAnsi="Times New Roman" w:cs="Times New Roman"/>
              <w:noProof/>
              <w:sz w:val="24"/>
              <w:szCs w:val="24"/>
              <w:lang/>
            </w:rPr>
          </w:pPr>
          <w:hyperlink w:anchor="_Toc188379060" w:history="1">
            <w:r w:rsidRPr="0041020C">
              <w:rPr>
                <w:rStyle w:val="Hyperlink"/>
                <w:rFonts w:ascii="Times New Roman" w:hAnsi="Times New Roman" w:cs="Times New Roman"/>
                <w:noProof/>
                <w:sz w:val="24"/>
                <w:szCs w:val="24"/>
              </w:rPr>
              <w:t>3.5.6 Summary Statistics</w:t>
            </w:r>
            <w:r w:rsidRPr="0041020C">
              <w:rPr>
                <w:rFonts w:ascii="Times New Roman" w:hAnsi="Times New Roman" w:cs="Times New Roman"/>
                <w:noProof/>
                <w:webHidden/>
                <w:sz w:val="24"/>
                <w:szCs w:val="24"/>
              </w:rPr>
              <w:tab/>
            </w:r>
            <w:r w:rsidRPr="0041020C">
              <w:rPr>
                <w:rFonts w:ascii="Times New Roman" w:hAnsi="Times New Roman" w:cs="Times New Roman"/>
                <w:noProof/>
                <w:webHidden/>
                <w:sz w:val="24"/>
                <w:szCs w:val="24"/>
              </w:rPr>
              <w:fldChar w:fldCharType="begin"/>
            </w:r>
            <w:r w:rsidRPr="0041020C">
              <w:rPr>
                <w:rFonts w:ascii="Times New Roman" w:hAnsi="Times New Roman" w:cs="Times New Roman"/>
                <w:noProof/>
                <w:webHidden/>
                <w:sz w:val="24"/>
                <w:szCs w:val="24"/>
              </w:rPr>
              <w:instrText xml:space="preserve"> PAGEREF _Toc188379060 \h </w:instrText>
            </w:r>
            <w:r w:rsidRPr="0041020C">
              <w:rPr>
                <w:rFonts w:ascii="Times New Roman" w:hAnsi="Times New Roman" w:cs="Times New Roman"/>
                <w:noProof/>
                <w:webHidden/>
                <w:sz w:val="24"/>
                <w:szCs w:val="24"/>
              </w:rPr>
            </w:r>
            <w:r w:rsidRPr="0041020C">
              <w:rPr>
                <w:rFonts w:ascii="Times New Roman" w:hAnsi="Times New Roman" w:cs="Times New Roman"/>
                <w:noProof/>
                <w:webHidden/>
                <w:sz w:val="24"/>
                <w:szCs w:val="24"/>
              </w:rPr>
              <w:fldChar w:fldCharType="separate"/>
            </w:r>
            <w:r w:rsidR="00EB6467">
              <w:rPr>
                <w:rFonts w:ascii="Times New Roman" w:hAnsi="Times New Roman" w:cs="Times New Roman"/>
                <w:noProof/>
                <w:webHidden/>
                <w:sz w:val="24"/>
                <w:szCs w:val="24"/>
              </w:rPr>
              <w:t>259</w:t>
            </w:r>
            <w:r w:rsidRPr="0041020C">
              <w:rPr>
                <w:rFonts w:ascii="Times New Roman" w:hAnsi="Times New Roman" w:cs="Times New Roman"/>
                <w:noProof/>
                <w:webHidden/>
                <w:sz w:val="24"/>
                <w:szCs w:val="24"/>
              </w:rPr>
              <w:fldChar w:fldCharType="end"/>
            </w:r>
          </w:hyperlink>
        </w:p>
        <w:p w14:paraId="7CED62AD" w14:textId="66D436FA" w:rsidR="003D770C" w:rsidRPr="0041020C" w:rsidRDefault="003D770C" w:rsidP="001953BB">
          <w:pPr>
            <w:pStyle w:val="TOC2"/>
            <w:tabs>
              <w:tab w:val="right" w:leader="dot" w:pos="9350"/>
            </w:tabs>
            <w:spacing w:before="0"/>
            <w:rPr>
              <w:rFonts w:ascii="Times New Roman" w:eastAsiaTheme="minorEastAsia" w:hAnsi="Times New Roman" w:cs="Times New Roman"/>
              <w:i w:val="0"/>
              <w:iCs w:val="0"/>
              <w:noProof/>
              <w:sz w:val="24"/>
              <w:szCs w:val="24"/>
              <w:lang/>
            </w:rPr>
          </w:pPr>
          <w:hyperlink w:anchor="_Toc188379061" w:history="1">
            <w:r w:rsidRPr="0041020C">
              <w:rPr>
                <w:rStyle w:val="Hyperlink"/>
                <w:rFonts w:ascii="Times New Roman" w:hAnsi="Times New Roman" w:cs="Times New Roman"/>
                <w:i w:val="0"/>
                <w:iCs w:val="0"/>
                <w:noProof/>
                <w:sz w:val="24"/>
                <w:szCs w:val="24"/>
              </w:rPr>
              <w:t>3.6 Methodology</w:t>
            </w:r>
            <w:r w:rsidRPr="0041020C">
              <w:rPr>
                <w:rFonts w:ascii="Times New Roman" w:hAnsi="Times New Roman" w:cs="Times New Roman"/>
                <w:i w:val="0"/>
                <w:iCs w:val="0"/>
                <w:noProof/>
                <w:webHidden/>
                <w:sz w:val="24"/>
                <w:szCs w:val="24"/>
              </w:rPr>
              <w:tab/>
            </w:r>
            <w:r w:rsidRPr="0041020C">
              <w:rPr>
                <w:rFonts w:ascii="Times New Roman" w:hAnsi="Times New Roman" w:cs="Times New Roman"/>
                <w:i w:val="0"/>
                <w:iCs w:val="0"/>
                <w:noProof/>
                <w:webHidden/>
                <w:sz w:val="24"/>
                <w:szCs w:val="24"/>
              </w:rPr>
              <w:fldChar w:fldCharType="begin"/>
            </w:r>
            <w:r w:rsidRPr="0041020C">
              <w:rPr>
                <w:rFonts w:ascii="Times New Roman" w:hAnsi="Times New Roman" w:cs="Times New Roman"/>
                <w:i w:val="0"/>
                <w:iCs w:val="0"/>
                <w:noProof/>
                <w:webHidden/>
                <w:sz w:val="24"/>
                <w:szCs w:val="24"/>
              </w:rPr>
              <w:instrText xml:space="preserve"> PAGEREF _Toc188379061 \h </w:instrText>
            </w:r>
            <w:r w:rsidRPr="0041020C">
              <w:rPr>
                <w:rFonts w:ascii="Times New Roman" w:hAnsi="Times New Roman" w:cs="Times New Roman"/>
                <w:i w:val="0"/>
                <w:iCs w:val="0"/>
                <w:noProof/>
                <w:webHidden/>
                <w:sz w:val="24"/>
                <w:szCs w:val="24"/>
              </w:rPr>
            </w:r>
            <w:r w:rsidRPr="0041020C">
              <w:rPr>
                <w:rFonts w:ascii="Times New Roman" w:hAnsi="Times New Roman" w:cs="Times New Roman"/>
                <w:i w:val="0"/>
                <w:iCs w:val="0"/>
                <w:noProof/>
                <w:webHidden/>
                <w:sz w:val="24"/>
                <w:szCs w:val="24"/>
              </w:rPr>
              <w:fldChar w:fldCharType="separate"/>
            </w:r>
            <w:r w:rsidR="00EB6467">
              <w:rPr>
                <w:rFonts w:ascii="Times New Roman" w:hAnsi="Times New Roman" w:cs="Times New Roman"/>
                <w:i w:val="0"/>
                <w:iCs w:val="0"/>
                <w:noProof/>
                <w:webHidden/>
                <w:sz w:val="24"/>
                <w:szCs w:val="24"/>
              </w:rPr>
              <w:t>262</w:t>
            </w:r>
            <w:r w:rsidRPr="0041020C">
              <w:rPr>
                <w:rFonts w:ascii="Times New Roman" w:hAnsi="Times New Roman" w:cs="Times New Roman"/>
                <w:i w:val="0"/>
                <w:iCs w:val="0"/>
                <w:noProof/>
                <w:webHidden/>
                <w:sz w:val="24"/>
                <w:szCs w:val="24"/>
              </w:rPr>
              <w:fldChar w:fldCharType="end"/>
            </w:r>
          </w:hyperlink>
        </w:p>
        <w:p w14:paraId="39EF7F1C" w14:textId="297B7C08" w:rsidR="003D770C" w:rsidRPr="0041020C" w:rsidRDefault="003D770C" w:rsidP="001953BB">
          <w:pPr>
            <w:pStyle w:val="TOC3"/>
            <w:tabs>
              <w:tab w:val="right" w:leader="dot" w:pos="9350"/>
            </w:tabs>
            <w:rPr>
              <w:rFonts w:ascii="Times New Roman" w:eastAsiaTheme="minorEastAsia" w:hAnsi="Times New Roman" w:cs="Times New Roman"/>
              <w:noProof/>
              <w:sz w:val="24"/>
              <w:szCs w:val="24"/>
              <w:lang/>
            </w:rPr>
          </w:pPr>
          <w:hyperlink w:anchor="_Toc188379062" w:history="1">
            <w:r w:rsidRPr="0041020C">
              <w:rPr>
                <w:rStyle w:val="Hyperlink"/>
                <w:rFonts w:ascii="Times New Roman" w:hAnsi="Times New Roman" w:cs="Times New Roman"/>
                <w:noProof/>
                <w:sz w:val="24"/>
                <w:szCs w:val="24"/>
              </w:rPr>
              <w:t>3.6.1 Model Specification</w:t>
            </w:r>
            <w:r w:rsidRPr="0041020C">
              <w:rPr>
                <w:rFonts w:ascii="Times New Roman" w:hAnsi="Times New Roman" w:cs="Times New Roman"/>
                <w:noProof/>
                <w:webHidden/>
                <w:sz w:val="24"/>
                <w:szCs w:val="24"/>
              </w:rPr>
              <w:tab/>
            </w:r>
            <w:r w:rsidRPr="0041020C">
              <w:rPr>
                <w:rFonts w:ascii="Times New Roman" w:hAnsi="Times New Roman" w:cs="Times New Roman"/>
                <w:noProof/>
                <w:webHidden/>
                <w:sz w:val="24"/>
                <w:szCs w:val="24"/>
              </w:rPr>
              <w:fldChar w:fldCharType="begin"/>
            </w:r>
            <w:r w:rsidRPr="0041020C">
              <w:rPr>
                <w:rFonts w:ascii="Times New Roman" w:hAnsi="Times New Roman" w:cs="Times New Roman"/>
                <w:noProof/>
                <w:webHidden/>
                <w:sz w:val="24"/>
                <w:szCs w:val="24"/>
              </w:rPr>
              <w:instrText xml:space="preserve"> PAGEREF _Toc188379062 \h </w:instrText>
            </w:r>
            <w:r w:rsidRPr="0041020C">
              <w:rPr>
                <w:rFonts w:ascii="Times New Roman" w:hAnsi="Times New Roman" w:cs="Times New Roman"/>
                <w:noProof/>
                <w:webHidden/>
                <w:sz w:val="24"/>
                <w:szCs w:val="24"/>
              </w:rPr>
            </w:r>
            <w:r w:rsidRPr="0041020C">
              <w:rPr>
                <w:rFonts w:ascii="Times New Roman" w:hAnsi="Times New Roman" w:cs="Times New Roman"/>
                <w:noProof/>
                <w:webHidden/>
                <w:sz w:val="24"/>
                <w:szCs w:val="24"/>
              </w:rPr>
              <w:fldChar w:fldCharType="separate"/>
            </w:r>
            <w:r w:rsidR="00EB6467">
              <w:rPr>
                <w:rFonts w:ascii="Times New Roman" w:hAnsi="Times New Roman" w:cs="Times New Roman"/>
                <w:noProof/>
                <w:webHidden/>
                <w:sz w:val="24"/>
                <w:szCs w:val="24"/>
              </w:rPr>
              <w:t>263</w:t>
            </w:r>
            <w:r w:rsidRPr="0041020C">
              <w:rPr>
                <w:rFonts w:ascii="Times New Roman" w:hAnsi="Times New Roman" w:cs="Times New Roman"/>
                <w:noProof/>
                <w:webHidden/>
                <w:sz w:val="24"/>
                <w:szCs w:val="24"/>
              </w:rPr>
              <w:fldChar w:fldCharType="end"/>
            </w:r>
          </w:hyperlink>
        </w:p>
        <w:p w14:paraId="33EC1D2E" w14:textId="4102DD4E" w:rsidR="003D770C" w:rsidRPr="0041020C" w:rsidRDefault="003D770C" w:rsidP="001953BB">
          <w:pPr>
            <w:pStyle w:val="TOC3"/>
            <w:tabs>
              <w:tab w:val="right" w:leader="dot" w:pos="9350"/>
            </w:tabs>
            <w:rPr>
              <w:rFonts w:ascii="Times New Roman" w:eastAsiaTheme="minorEastAsia" w:hAnsi="Times New Roman" w:cs="Times New Roman"/>
              <w:noProof/>
              <w:sz w:val="24"/>
              <w:szCs w:val="24"/>
              <w:lang/>
            </w:rPr>
          </w:pPr>
          <w:hyperlink w:anchor="_Toc188379063" w:history="1">
            <w:r w:rsidRPr="0041020C">
              <w:rPr>
                <w:rStyle w:val="Hyperlink"/>
                <w:rFonts w:ascii="Times New Roman" w:hAnsi="Times New Roman" w:cs="Times New Roman"/>
                <w:noProof/>
                <w:sz w:val="24"/>
                <w:szCs w:val="24"/>
              </w:rPr>
              <w:t>3.6.2 Justification for Excluding Standalone TSD</w:t>
            </w:r>
            <w:r w:rsidRPr="0041020C">
              <w:rPr>
                <w:rFonts w:ascii="Times New Roman" w:hAnsi="Times New Roman" w:cs="Times New Roman"/>
                <w:noProof/>
                <w:webHidden/>
                <w:sz w:val="24"/>
                <w:szCs w:val="24"/>
              </w:rPr>
              <w:tab/>
            </w:r>
            <w:r w:rsidRPr="0041020C">
              <w:rPr>
                <w:rFonts w:ascii="Times New Roman" w:hAnsi="Times New Roman" w:cs="Times New Roman"/>
                <w:noProof/>
                <w:webHidden/>
                <w:sz w:val="24"/>
                <w:szCs w:val="24"/>
              </w:rPr>
              <w:fldChar w:fldCharType="begin"/>
            </w:r>
            <w:r w:rsidRPr="0041020C">
              <w:rPr>
                <w:rFonts w:ascii="Times New Roman" w:hAnsi="Times New Roman" w:cs="Times New Roman"/>
                <w:noProof/>
                <w:webHidden/>
                <w:sz w:val="24"/>
                <w:szCs w:val="24"/>
              </w:rPr>
              <w:instrText xml:space="preserve"> PAGEREF _Toc188379063 \h </w:instrText>
            </w:r>
            <w:r w:rsidRPr="0041020C">
              <w:rPr>
                <w:rFonts w:ascii="Times New Roman" w:hAnsi="Times New Roman" w:cs="Times New Roman"/>
                <w:noProof/>
                <w:webHidden/>
                <w:sz w:val="24"/>
                <w:szCs w:val="24"/>
              </w:rPr>
            </w:r>
            <w:r w:rsidRPr="0041020C">
              <w:rPr>
                <w:rFonts w:ascii="Times New Roman" w:hAnsi="Times New Roman" w:cs="Times New Roman"/>
                <w:noProof/>
                <w:webHidden/>
                <w:sz w:val="24"/>
                <w:szCs w:val="24"/>
              </w:rPr>
              <w:fldChar w:fldCharType="separate"/>
            </w:r>
            <w:r w:rsidR="00EB6467">
              <w:rPr>
                <w:rFonts w:ascii="Times New Roman" w:hAnsi="Times New Roman" w:cs="Times New Roman"/>
                <w:noProof/>
                <w:webHidden/>
                <w:sz w:val="24"/>
                <w:szCs w:val="24"/>
              </w:rPr>
              <w:t>264</w:t>
            </w:r>
            <w:r w:rsidRPr="0041020C">
              <w:rPr>
                <w:rFonts w:ascii="Times New Roman" w:hAnsi="Times New Roman" w:cs="Times New Roman"/>
                <w:noProof/>
                <w:webHidden/>
                <w:sz w:val="24"/>
                <w:szCs w:val="24"/>
              </w:rPr>
              <w:fldChar w:fldCharType="end"/>
            </w:r>
          </w:hyperlink>
        </w:p>
        <w:p w14:paraId="0428368C" w14:textId="251B68E1" w:rsidR="003D770C" w:rsidRPr="0041020C" w:rsidRDefault="003D770C" w:rsidP="001953BB">
          <w:pPr>
            <w:pStyle w:val="TOC3"/>
            <w:tabs>
              <w:tab w:val="right" w:leader="dot" w:pos="9350"/>
            </w:tabs>
            <w:rPr>
              <w:rFonts w:ascii="Times New Roman" w:eastAsiaTheme="minorEastAsia" w:hAnsi="Times New Roman" w:cs="Times New Roman"/>
              <w:noProof/>
              <w:sz w:val="24"/>
              <w:szCs w:val="24"/>
              <w:lang/>
            </w:rPr>
          </w:pPr>
          <w:hyperlink w:anchor="_Toc188379064" w:history="1">
            <w:r w:rsidRPr="0041020C">
              <w:rPr>
                <w:rStyle w:val="Hyperlink"/>
                <w:rFonts w:ascii="Times New Roman" w:hAnsi="Times New Roman" w:cs="Times New Roman"/>
                <w:noProof/>
                <w:sz w:val="24"/>
                <w:szCs w:val="24"/>
              </w:rPr>
              <w:t>3.6.3 Key Variables</w:t>
            </w:r>
            <w:r w:rsidRPr="0041020C">
              <w:rPr>
                <w:rFonts w:ascii="Times New Roman" w:hAnsi="Times New Roman" w:cs="Times New Roman"/>
                <w:noProof/>
                <w:webHidden/>
                <w:sz w:val="24"/>
                <w:szCs w:val="24"/>
              </w:rPr>
              <w:tab/>
            </w:r>
            <w:r w:rsidRPr="0041020C">
              <w:rPr>
                <w:rFonts w:ascii="Times New Roman" w:hAnsi="Times New Roman" w:cs="Times New Roman"/>
                <w:noProof/>
                <w:webHidden/>
                <w:sz w:val="24"/>
                <w:szCs w:val="24"/>
              </w:rPr>
              <w:fldChar w:fldCharType="begin"/>
            </w:r>
            <w:r w:rsidRPr="0041020C">
              <w:rPr>
                <w:rFonts w:ascii="Times New Roman" w:hAnsi="Times New Roman" w:cs="Times New Roman"/>
                <w:noProof/>
                <w:webHidden/>
                <w:sz w:val="24"/>
                <w:szCs w:val="24"/>
              </w:rPr>
              <w:instrText xml:space="preserve"> PAGEREF _Toc188379064 \h </w:instrText>
            </w:r>
            <w:r w:rsidRPr="0041020C">
              <w:rPr>
                <w:rFonts w:ascii="Times New Roman" w:hAnsi="Times New Roman" w:cs="Times New Roman"/>
                <w:noProof/>
                <w:webHidden/>
                <w:sz w:val="24"/>
                <w:szCs w:val="24"/>
              </w:rPr>
            </w:r>
            <w:r w:rsidRPr="0041020C">
              <w:rPr>
                <w:rFonts w:ascii="Times New Roman" w:hAnsi="Times New Roman" w:cs="Times New Roman"/>
                <w:noProof/>
                <w:webHidden/>
                <w:sz w:val="24"/>
                <w:szCs w:val="24"/>
              </w:rPr>
              <w:fldChar w:fldCharType="separate"/>
            </w:r>
            <w:r w:rsidR="00EB6467">
              <w:rPr>
                <w:rFonts w:ascii="Times New Roman" w:hAnsi="Times New Roman" w:cs="Times New Roman"/>
                <w:noProof/>
                <w:webHidden/>
                <w:sz w:val="24"/>
                <w:szCs w:val="24"/>
              </w:rPr>
              <w:t>264</w:t>
            </w:r>
            <w:r w:rsidRPr="0041020C">
              <w:rPr>
                <w:rFonts w:ascii="Times New Roman" w:hAnsi="Times New Roman" w:cs="Times New Roman"/>
                <w:noProof/>
                <w:webHidden/>
                <w:sz w:val="24"/>
                <w:szCs w:val="24"/>
              </w:rPr>
              <w:fldChar w:fldCharType="end"/>
            </w:r>
          </w:hyperlink>
        </w:p>
        <w:p w14:paraId="15C13B41" w14:textId="580ED4E6" w:rsidR="003D770C" w:rsidRPr="0041020C" w:rsidRDefault="003D770C" w:rsidP="001953BB">
          <w:pPr>
            <w:pStyle w:val="TOC3"/>
            <w:tabs>
              <w:tab w:val="right" w:leader="dot" w:pos="9350"/>
            </w:tabs>
            <w:rPr>
              <w:rFonts w:ascii="Times New Roman" w:eastAsiaTheme="minorEastAsia" w:hAnsi="Times New Roman" w:cs="Times New Roman"/>
              <w:noProof/>
              <w:sz w:val="24"/>
              <w:szCs w:val="24"/>
              <w:lang/>
            </w:rPr>
          </w:pPr>
          <w:hyperlink w:anchor="_Toc188379065" w:history="1">
            <w:r w:rsidRPr="0041020C">
              <w:rPr>
                <w:rStyle w:val="Hyperlink"/>
                <w:rFonts w:ascii="Times New Roman" w:hAnsi="Times New Roman" w:cs="Times New Roman"/>
                <w:noProof/>
                <w:sz w:val="24"/>
                <w:szCs w:val="24"/>
              </w:rPr>
              <w:t>3.6.4 Joint-Significance Tests</w:t>
            </w:r>
            <w:r w:rsidRPr="0041020C">
              <w:rPr>
                <w:rFonts w:ascii="Times New Roman" w:hAnsi="Times New Roman" w:cs="Times New Roman"/>
                <w:noProof/>
                <w:webHidden/>
                <w:sz w:val="24"/>
                <w:szCs w:val="24"/>
              </w:rPr>
              <w:tab/>
            </w:r>
            <w:r w:rsidRPr="0041020C">
              <w:rPr>
                <w:rFonts w:ascii="Times New Roman" w:hAnsi="Times New Roman" w:cs="Times New Roman"/>
                <w:noProof/>
                <w:webHidden/>
                <w:sz w:val="24"/>
                <w:szCs w:val="24"/>
              </w:rPr>
              <w:fldChar w:fldCharType="begin"/>
            </w:r>
            <w:r w:rsidRPr="0041020C">
              <w:rPr>
                <w:rFonts w:ascii="Times New Roman" w:hAnsi="Times New Roman" w:cs="Times New Roman"/>
                <w:noProof/>
                <w:webHidden/>
                <w:sz w:val="24"/>
                <w:szCs w:val="24"/>
              </w:rPr>
              <w:instrText xml:space="preserve"> PAGEREF _Toc188379065 \h </w:instrText>
            </w:r>
            <w:r w:rsidRPr="0041020C">
              <w:rPr>
                <w:rFonts w:ascii="Times New Roman" w:hAnsi="Times New Roman" w:cs="Times New Roman"/>
                <w:noProof/>
                <w:webHidden/>
                <w:sz w:val="24"/>
                <w:szCs w:val="24"/>
              </w:rPr>
            </w:r>
            <w:r w:rsidRPr="0041020C">
              <w:rPr>
                <w:rFonts w:ascii="Times New Roman" w:hAnsi="Times New Roman" w:cs="Times New Roman"/>
                <w:noProof/>
                <w:webHidden/>
                <w:sz w:val="24"/>
                <w:szCs w:val="24"/>
              </w:rPr>
              <w:fldChar w:fldCharType="separate"/>
            </w:r>
            <w:r w:rsidR="00EB6467">
              <w:rPr>
                <w:rFonts w:ascii="Times New Roman" w:hAnsi="Times New Roman" w:cs="Times New Roman"/>
                <w:noProof/>
                <w:webHidden/>
                <w:sz w:val="24"/>
                <w:szCs w:val="24"/>
              </w:rPr>
              <w:t>265</w:t>
            </w:r>
            <w:r w:rsidRPr="0041020C">
              <w:rPr>
                <w:rFonts w:ascii="Times New Roman" w:hAnsi="Times New Roman" w:cs="Times New Roman"/>
                <w:noProof/>
                <w:webHidden/>
                <w:sz w:val="24"/>
                <w:szCs w:val="24"/>
              </w:rPr>
              <w:fldChar w:fldCharType="end"/>
            </w:r>
          </w:hyperlink>
        </w:p>
        <w:p w14:paraId="310AEE67" w14:textId="4332F899" w:rsidR="003D770C" w:rsidRPr="0041020C" w:rsidRDefault="003D770C" w:rsidP="001953BB">
          <w:pPr>
            <w:pStyle w:val="TOC3"/>
            <w:tabs>
              <w:tab w:val="right" w:leader="dot" w:pos="9350"/>
            </w:tabs>
            <w:rPr>
              <w:rFonts w:ascii="Times New Roman" w:eastAsiaTheme="minorEastAsia" w:hAnsi="Times New Roman" w:cs="Times New Roman"/>
              <w:noProof/>
              <w:sz w:val="24"/>
              <w:szCs w:val="24"/>
              <w:lang/>
            </w:rPr>
          </w:pPr>
          <w:hyperlink w:anchor="_Toc188379066" w:history="1">
            <w:r w:rsidRPr="0041020C">
              <w:rPr>
                <w:rStyle w:val="Hyperlink"/>
                <w:rFonts w:ascii="Times New Roman" w:hAnsi="Times New Roman" w:cs="Times New Roman"/>
                <w:noProof/>
                <w:sz w:val="24"/>
                <w:szCs w:val="24"/>
              </w:rPr>
              <w:t>3.6.5 Marginal Effects and Their Interpretation</w:t>
            </w:r>
            <w:r w:rsidRPr="0041020C">
              <w:rPr>
                <w:rFonts w:ascii="Times New Roman" w:hAnsi="Times New Roman" w:cs="Times New Roman"/>
                <w:noProof/>
                <w:webHidden/>
                <w:sz w:val="24"/>
                <w:szCs w:val="24"/>
              </w:rPr>
              <w:tab/>
            </w:r>
            <w:r w:rsidRPr="0041020C">
              <w:rPr>
                <w:rFonts w:ascii="Times New Roman" w:hAnsi="Times New Roman" w:cs="Times New Roman"/>
                <w:noProof/>
                <w:webHidden/>
                <w:sz w:val="24"/>
                <w:szCs w:val="24"/>
              </w:rPr>
              <w:fldChar w:fldCharType="begin"/>
            </w:r>
            <w:r w:rsidRPr="0041020C">
              <w:rPr>
                <w:rFonts w:ascii="Times New Roman" w:hAnsi="Times New Roman" w:cs="Times New Roman"/>
                <w:noProof/>
                <w:webHidden/>
                <w:sz w:val="24"/>
                <w:szCs w:val="24"/>
              </w:rPr>
              <w:instrText xml:space="preserve"> PAGEREF _Toc188379066 \h </w:instrText>
            </w:r>
            <w:r w:rsidRPr="0041020C">
              <w:rPr>
                <w:rFonts w:ascii="Times New Roman" w:hAnsi="Times New Roman" w:cs="Times New Roman"/>
                <w:noProof/>
                <w:webHidden/>
                <w:sz w:val="24"/>
                <w:szCs w:val="24"/>
              </w:rPr>
            </w:r>
            <w:r w:rsidRPr="0041020C">
              <w:rPr>
                <w:rFonts w:ascii="Times New Roman" w:hAnsi="Times New Roman" w:cs="Times New Roman"/>
                <w:noProof/>
                <w:webHidden/>
                <w:sz w:val="24"/>
                <w:szCs w:val="24"/>
              </w:rPr>
              <w:fldChar w:fldCharType="separate"/>
            </w:r>
            <w:r w:rsidR="00EB6467">
              <w:rPr>
                <w:rFonts w:ascii="Times New Roman" w:hAnsi="Times New Roman" w:cs="Times New Roman"/>
                <w:noProof/>
                <w:webHidden/>
                <w:sz w:val="24"/>
                <w:szCs w:val="24"/>
              </w:rPr>
              <w:t>267</w:t>
            </w:r>
            <w:r w:rsidRPr="0041020C">
              <w:rPr>
                <w:rFonts w:ascii="Times New Roman" w:hAnsi="Times New Roman" w:cs="Times New Roman"/>
                <w:noProof/>
                <w:webHidden/>
                <w:sz w:val="24"/>
                <w:szCs w:val="24"/>
              </w:rPr>
              <w:fldChar w:fldCharType="end"/>
            </w:r>
          </w:hyperlink>
        </w:p>
        <w:p w14:paraId="0B68AB54" w14:textId="30E2F981" w:rsidR="003D770C" w:rsidRPr="0041020C" w:rsidRDefault="003D770C" w:rsidP="001953BB">
          <w:pPr>
            <w:pStyle w:val="TOC3"/>
            <w:tabs>
              <w:tab w:val="right" w:leader="dot" w:pos="9350"/>
            </w:tabs>
            <w:rPr>
              <w:rFonts w:ascii="Times New Roman" w:eastAsiaTheme="minorEastAsia" w:hAnsi="Times New Roman" w:cs="Times New Roman"/>
              <w:noProof/>
              <w:sz w:val="24"/>
              <w:szCs w:val="24"/>
              <w:lang/>
            </w:rPr>
          </w:pPr>
          <w:hyperlink w:anchor="_Toc188379067" w:history="1">
            <w:r w:rsidRPr="0041020C">
              <w:rPr>
                <w:rStyle w:val="Hyperlink"/>
                <w:rFonts w:ascii="Times New Roman" w:hAnsi="Times New Roman" w:cs="Times New Roman"/>
                <w:noProof/>
                <w:sz w:val="24"/>
                <w:szCs w:val="24"/>
              </w:rPr>
              <w:t>3.6.6 Robustness Checks and Model Validation</w:t>
            </w:r>
            <w:r w:rsidRPr="0041020C">
              <w:rPr>
                <w:rFonts w:ascii="Times New Roman" w:hAnsi="Times New Roman" w:cs="Times New Roman"/>
                <w:noProof/>
                <w:webHidden/>
                <w:sz w:val="24"/>
                <w:szCs w:val="24"/>
              </w:rPr>
              <w:tab/>
            </w:r>
            <w:r w:rsidRPr="0041020C">
              <w:rPr>
                <w:rFonts w:ascii="Times New Roman" w:hAnsi="Times New Roman" w:cs="Times New Roman"/>
                <w:noProof/>
                <w:webHidden/>
                <w:sz w:val="24"/>
                <w:szCs w:val="24"/>
              </w:rPr>
              <w:fldChar w:fldCharType="begin"/>
            </w:r>
            <w:r w:rsidRPr="0041020C">
              <w:rPr>
                <w:rFonts w:ascii="Times New Roman" w:hAnsi="Times New Roman" w:cs="Times New Roman"/>
                <w:noProof/>
                <w:webHidden/>
                <w:sz w:val="24"/>
                <w:szCs w:val="24"/>
              </w:rPr>
              <w:instrText xml:space="preserve"> PAGEREF _Toc188379067 \h </w:instrText>
            </w:r>
            <w:r w:rsidRPr="0041020C">
              <w:rPr>
                <w:rFonts w:ascii="Times New Roman" w:hAnsi="Times New Roman" w:cs="Times New Roman"/>
                <w:noProof/>
                <w:webHidden/>
                <w:sz w:val="24"/>
                <w:szCs w:val="24"/>
              </w:rPr>
            </w:r>
            <w:r w:rsidRPr="0041020C">
              <w:rPr>
                <w:rFonts w:ascii="Times New Roman" w:hAnsi="Times New Roman" w:cs="Times New Roman"/>
                <w:noProof/>
                <w:webHidden/>
                <w:sz w:val="24"/>
                <w:szCs w:val="24"/>
              </w:rPr>
              <w:fldChar w:fldCharType="separate"/>
            </w:r>
            <w:r w:rsidR="00EB6467">
              <w:rPr>
                <w:rFonts w:ascii="Times New Roman" w:hAnsi="Times New Roman" w:cs="Times New Roman"/>
                <w:noProof/>
                <w:webHidden/>
                <w:sz w:val="24"/>
                <w:szCs w:val="24"/>
              </w:rPr>
              <w:t>270</w:t>
            </w:r>
            <w:r w:rsidRPr="0041020C">
              <w:rPr>
                <w:rFonts w:ascii="Times New Roman" w:hAnsi="Times New Roman" w:cs="Times New Roman"/>
                <w:noProof/>
                <w:webHidden/>
                <w:sz w:val="24"/>
                <w:szCs w:val="24"/>
              </w:rPr>
              <w:fldChar w:fldCharType="end"/>
            </w:r>
          </w:hyperlink>
        </w:p>
        <w:p w14:paraId="49817B0C" w14:textId="774CA6D8" w:rsidR="003D770C" w:rsidRPr="0041020C" w:rsidRDefault="003D770C" w:rsidP="001953BB">
          <w:pPr>
            <w:pStyle w:val="TOC3"/>
            <w:tabs>
              <w:tab w:val="right" w:leader="dot" w:pos="9350"/>
            </w:tabs>
            <w:rPr>
              <w:rFonts w:ascii="Times New Roman" w:eastAsiaTheme="minorEastAsia" w:hAnsi="Times New Roman" w:cs="Times New Roman"/>
              <w:noProof/>
              <w:sz w:val="24"/>
              <w:szCs w:val="24"/>
              <w:lang/>
            </w:rPr>
          </w:pPr>
          <w:hyperlink w:anchor="_Toc188379068" w:history="1">
            <w:r w:rsidRPr="0041020C">
              <w:rPr>
                <w:rStyle w:val="Hyperlink"/>
                <w:rFonts w:ascii="Times New Roman" w:hAnsi="Times New Roman" w:cs="Times New Roman"/>
                <w:noProof/>
                <w:sz w:val="24"/>
                <w:szCs w:val="24"/>
              </w:rPr>
              <w:t>3.6.7 Limitations and Scope</w:t>
            </w:r>
            <w:r w:rsidRPr="0041020C">
              <w:rPr>
                <w:rFonts w:ascii="Times New Roman" w:hAnsi="Times New Roman" w:cs="Times New Roman"/>
                <w:noProof/>
                <w:webHidden/>
                <w:sz w:val="24"/>
                <w:szCs w:val="24"/>
              </w:rPr>
              <w:tab/>
            </w:r>
            <w:r w:rsidRPr="0041020C">
              <w:rPr>
                <w:rFonts w:ascii="Times New Roman" w:hAnsi="Times New Roman" w:cs="Times New Roman"/>
                <w:noProof/>
                <w:webHidden/>
                <w:sz w:val="24"/>
                <w:szCs w:val="24"/>
              </w:rPr>
              <w:fldChar w:fldCharType="begin"/>
            </w:r>
            <w:r w:rsidRPr="0041020C">
              <w:rPr>
                <w:rFonts w:ascii="Times New Roman" w:hAnsi="Times New Roman" w:cs="Times New Roman"/>
                <w:noProof/>
                <w:webHidden/>
                <w:sz w:val="24"/>
                <w:szCs w:val="24"/>
              </w:rPr>
              <w:instrText xml:space="preserve"> PAGEREF _Toc188379068 \h </w:instrText>
            </w:r>
            <w:r w:rsidRPr="0041020C">
              <w:rPr>
                <w:rFonts w:ascii="Times New Roman" w:hAnsi="Times New Roman" w:cs="Times New Roman"/>
                <w:noProof/>
                <w:webHidden/>
                <w:sz w:val="24"/>
                <w:szCs w:val="24"/>
              </w:rPr>
            </w:r>
            <w:r w:rsidRPr="0041020C">
              <w:rPr>
                <w:rFonts w:ascii="Times New Roman" w:hAnsi="Times New Roman" w:cs="Times New Roman"/>
                <w:noProof/>
                <w:webHidden/>
                <w:sz w:val="24"/>
                <w:szCs w:val="24"/>
              </w:rPr>
              <w:fldChar w:fldCharType="separate"/>
            </w:r>
            <w:r w:rsidR="00EB6467">
              <w:rPr>
                <w:rFonts w:ascii="Times New Roman" w:hAnsi="Times New Roman" w:cs="Times New Roman"/>
                <w:noProof/>
                <w:webHidden/>
                <w:sz w:val="24"/>
                <w:szCs w:val="24"/>
              </w:rPr>
              <w:t>272</w:t>
            </w:r>
            <w:r w:rsidRPr="0041020C">
              <w:rPr>
                <w:rFonts w:ascii="Times New Roman" w:hAnsi="Times New Roman" w:cs="Times New Roman"/>
                <w:noProof/>
                <w:webHidden/>
                <w:sz w:val="24"/>
                <w:szCs w:val="24"/>
              </w:rPr>
              <w:fldChar w:fldCharType="end"/>
            </w:r>
          </w:hyperlink>
        </w:p>
        <w:p w14:paraId="075A6AC8" w14:textId="521B769D" w:rsidR="003D770C" w:rsidRPr="0041020C" w:rsidRDefault="003D770C" w:rsidP="001953BB">
          <w:pPr>
            <w:pStyle w:val="TOC3"/>
            <w:tabs>
              <w:tab w:val="right" w:leader="dot" w:pos="9350"/>
            </w:tabs>
            <w:rPr>
              <w:rFonts w:ascii="Times New Roman" w:eastAsiaTheme="minorEastAsia" w:hAnsi="Times New Roman" w:cs="Times New Roman"/>
              <w:noProof/>
              <w:sz w:val="24"/>
              <w:szCs w:val="24"/>
              <w:lang/>
            </w:rPr>
          </w:pPr>
          <w:hyperlink w:anchor="_Toc188379069" w:history="1">
            <w:r w:rsidRPr="0041020C">
              <w:rPr>
                <w:rStyle w:val="Hyperlink"/>
                <w:rFonts w:ascii="Times New Roman" w:hAnsi="Times New Roman" w:cs="Times New Roman"/>
                <w:noProof/>
                <w:sz w:val="24"/>
                <w:szCs w:val="24"/>
              </w:rPr>
              <w:t>3.6.8 Conclusion</w:t>
            </w:r>
            <w:r w:rsidRPr="0041020C">
              <w:rPr>
                <w:rFonts w:ascii="Times New Roman" w:hAnsi="Times New Roman" w:cs="Times New Roman"/>
                <w:noProof/>
                <w:webHidden/>
                <w:sz w:val="24"/>
                <w:szCs w:val="24"/>
              </w:rPr>
              <w:tab/>
            </w:r>
            <w:r w:rsidRPr="0041020C">
              <w:rPr>
                <w:rFonts w:ascii="Times New Roman" w:hAnsi="Times New Roman" w:cs="Times New Roman"/>
                <w:noProof/>
                <w:webHidden/>
                <w:sz w:val="24"/>
                <w:szCs w:val="24"/>
              </w:rPr>
              <w:fldChar w:fldCharType="begin"/>
            </w:r>
            <w:r w:rsidRPr="0041020C">
              <w:rPr>
                <w:rFonts w:ascii="Times New Roman" w:hAnsi="Times New Roman" w:cs="Times New Roman"/>
                <w:noProof/>
                <w:webHidden/>
                <w:sz w:val="24"/>
                <w:szCs w:val="24"/>
              </w:rPr>
              <w:instrText xml:space="preserve"> PAGEREF _Toc188379069 \h </w:instrText>
            </w:r>
            <w:r w:rsidRPr="0041020C">
              <w:rPr>
                <w:rFonts w:ascii="Times New Roman" w:hAnsi="Times New Roman" w:cs="Times New Roman"/>
                <w:noProof/>
                <w:webHidden/>
                <w:sz w:val="24"/>
                <w:szCs w:val="24"/>
              </w:rPr>
            </w:r>
            <w:r w:rsidRPr="0041020C">
              <w:rPr>
                <w:rFonts w:ascii="Times New Roman" w:hAnsi="Times New Roman" w:cs="Times New Roman"/>
                <w:noProof/>
                <w:webHidden/>
                <w:sz w:val="24"/>
                <w:szCs w:val="24"/>
              </w:rPr>
              <w:fldChar w:fldCharType="separate"/>
            </w:r>
            <w:r w:rsidR="00EB6467">
              <w:rPr>
                <w:rFonts w:ascii="Times New Roman" w:hAnsi="Times New Roman" w:cs="Times New Roman"/>
                <w:noProof/>
                <w:webHidden/>
                <w:sz w:val="24"/>
                <w:szCs w:val="24"/>
              </w:rPr>
              <w:t>272</w:t>
            </w:r>
            <w:r w:rsidRPr="0041020C">
              <w:rPr>
                <w:rFonts w:ascii="Times New Roman" w:hAnsi="Times New Roman" w:cs="Times New Roman"/>
                <w:noProof/>
                <w:webHidden/>
                <w:sz w:val="24"/>
                <w:szCs w:val="24"/>
              </w:rPr>
              <w:fldChar w:fldCharType="end"/>
            </w:r>
          </w:hyperlink>
        </w:p>
        <w:p w14:paraId="32BF31F4" w14:textId="257E071C" w:rsidR="003D770C" w:rsidRPr="0041020C" w:rsidRDefault="003D770C" w:rsidP="001953BB">
          <w:pPr>
            <w:pStyle w:val="TOC2"/>
            <w:tabs>
              <w:tab w:val="right" w:leader="dot" w:pos="9350"/>
            </w:tabs>
            <w:spacing w:before="0"/>
            <w:rPr>
              <w:rFonts w:ascii="Times New Roman" w:eastAsiaTheme="minorEastAsia" w:hAnsi="Times New Roman" w:cs="Times New Roman"/>
              <w:i w:val="0"/>
              <w:iCs w:val="0"/>
              <w:noProof/>
              <w:sz w:val="24"/>
              <w:szCs w:val="24"/>
              <w:lang/>
            </w:rPr>
          </w:pPr>
          <w:hyperlink w:anchor="_Toc188379070" w:history="1">
            <w:r w:rsidRPr="0041020C">
              <w:rPr>
                <w:rStyle w:val="Hyperlink"/>
                <w:rFonts w:ascii="Times New Roman" w:hAnsi="Times New Roman" w:cs="Times New Roman"/>
                <w:i w:val="0"/>
                <w:iCs w:val="0"/>
                <w:noProof/>
                <w:sz w:val="24"/>
                <w:szCs w:val="24"/>
              </w:rPr>
              <w:t>3.7 Results and Interpretation</w:t>
            </w:r>
            <w:r w:rsidRPr="0041020C">
              <w:rPr>
                <w:rFonts w:ascii="Times New Roman" w:hAnsi="Times New Roman" w:cs="Times New Roman"/>
                <w:i w:val="0"/>
                <w:iCs w:val="0"/>
                <w:noProof/>
                <w:webHidden/>
                <w:sz w:val="24"/>
                <w:szCs w:val="24"/>
              </w:rPr>
              <w:tab/>
            </w:r>
            <w:r w:rsidRPr="0041020C">
              <w:rPr>
                <w:rFonts w:ascii="Times New Roman" w:hAnsi="Times New Roman" w:cs="Times New Roman"/>
                <w:i w:val="0"/>
                <w:iCs w:val="0"/>
                <w:noProof/>
                <w:webHidden/>
                <w:sz w:val="24"/>
                <w:szCs w:val="24"/>
              </w:rPr>
              <w:fldChar w:fldCharType="begin"/>
            </w:r>
            <w:r w:rsidRPr="0041020C">
              <w:rPr>
                <w:rFonts w:ascii="Times New Roman" w:hAnsi="Times New Roman" w:cs="Times New Roman"/>
                <w:i w:val="0"/>
                <w:iCs w:val="0"/>
                <w:noProof/>
                <w:webHidden/>
                <w:sz w:val="24"/>
                <w:szCs w:val="24"/>
              </w:rPr>
              <w:instrText xml:space="preserve"> PAGEREF _Toc188379070 \h </w:instrText>
            </w:r>
            <w:r w:rsidRPr="0041020C">
              <w:rPr>
                <w:rFonts w:ascii="Times New Roman" w:hAnsi="Times New Roman" w:cs="Times New Roman"/>
                <w:i w:val="0"/>
                <w:iCs w:val="0"/>
                <w:noProof/>
                <w:webHidden/>
                <w:sz w:val="24"/>
                <w:szCs w:val="24"/>
              </w:rPr>
            </w:r>
            <w:r w:rsidRPr="0041020C">
              <w:rPr>
                <w:rFonts w:ascii="Times New Roman" w:hAnsi="Times New Roman" w:cs="Times New Roman"/>
                <w:i w:val="0"/>
                <w:iCs w:val="0"/>
                <w:noProof/>
                <w:webHidden/>
                <w:sz w:val="24"/>
                <w:szCs w:val="24"/>
              </w:rPr>
              <w:fldChar w:fldCharType="separate"/>
            </w:r>
            <w:r w:rsidR="00EB6467">
              <w:rPr>
                <w:rFonts w:ascii="Times New Roman" w:hAnsi="Times New Roman" w:cs="Times New Roman"/>
                <w:i w:val="0"/>
                <w:iCs w:val="0"/>
                <w:noProof/>
                <w:webHidden/>
                <w:sz w:val="24"/>
                <w:szCs w:val="24"/>
              </w:rPr>
              <w:t>273</w:t>
            </w:r>
            <w:r w:rsidRPr="0041020C">
              <w:rPr>
                <w:rFonts w:ascii="Times New Roman" w:hAnsi="Times New Roman" w:cs="Times New Roman"/>
                <w:i w:val="0"/>
                <w:iCs w:val="0"/>
                <w:noProof/>
                <w:webHidden/>
                <w:sz w:val="24"/>
                <w:szCs w:val="24"/>
              </w:rPr>
              <w:fldChar w:fldCharType="end"/>
            </w:r>
          </w:hyperlink>
        </w:p>
        <w:p w14:paraId="6BEC396D" w14:textId="28904005" w:rsidR="003D770C" w:rsidRPr="0041020C" w:rsidRDefault="003D770C" w:rsidP="001953BB">
          <w:pPr>
            <w:pStyle w:val="TOC3"/>
            <w:tabs>
              <w:tab w:val="right" w:leader="dot" w:pos="9350"/>
            </w:tabs>
            <w:rPr>
              <w:rFonts w:ascii="Times New Roman" w:eastAsiaTheme="minorEastAsia" w:hAnsi="Times New Roman" w:cs="Times New Roman"/>
              <w:noProof/>
              <w:sz w:val="24"/>
              <w:szCs w:val="24"/>
              <w:lang/>
            </w:rPr>
          </w:pPr>
          <w:hyperlink w:anchor="_Toc188379071" w:history="1">
            <w:r w:rsidRPr="0041020C">
              <w:rPr>
                <w:rStyle w:val="Hyperlink"/>
                <w:rFonts w:ascii="Times New Roman" w:hAnsi="Times New Roman" w:cs="Times New Roman"/>
                <w:noProof/>
                <w:sz w:val="24"/>
                <w:szCs w:val="24"/>
              </w:rPr>
              <w:t>3.7.1 Introduction</w:t>
            </w:r>
            <w:r w:rsidRPr="0041020C">
              <w:rPr>
                <w:rFonts w:ascii="Times New Roman" w:hAnsi="Times New Roman" w:cs="Times New Roman"/>
                <w:noProof/>
                <w:webHidden/>
                <w:sz w:val="24"/>
                <w:szCs w:val="24"/>
              </w:rPr>
              <w:tab/>
            </w:r>
            <w:r w:rsidRPr="0041020C">
              <w:rPr>
                <w:rFonts w:ascii="Times New Roman" w:hAnsi="Times New Roman" w:cs="Times New Roman"/>
                <w:noProof/>
                <w:webHidden/>
                <w:sz w:val="24"/>
                <w:szCs w:val="24"/>
              </w:rPr>
              <w:fldChar w:fldCharType="begin"/>
            </w:r>
            <w:r w:rsidRPr="0041020C">
              <w:rPr>
                <w:rFonts w:ascii="Times New Roman" w:hAnsi="Times New Roman" w:cs="Times New Roman"/>
                <w:noProof/>
                <w:webHidden/>
                <w:sz w:val="24"/>
                <w:szCs w:val="24"/>
              </w:rPr>
              <w:instrText xml:space="preserve"> PAGEREF _Toc188379071 \h </w:instrText>
            </w:r>
            <w:r w:rsidRPr="0041020C">
              <w:rPr>
                <w:rFonts w:ascii="Times New Roman" w:hAnsi="Times New Roman" w:cs="Times New Roman"/>
                <w:noProof/>
                <w:webHidden/>
                <w:sz w:val="24"/>
                <w:szCs w:val="24"/>
              </w:rPr>
            </w:r>
            <w:r w:rsidRPr="0041020C">
              <w:rPr>
                <w:rFonts w:ascii="Times New Roman" w:hAnsi="Times New Roman" w:cs="Times New Roman"/>
                <w:noProof/>
                <w:webHidden/>
                <w:sz w:val="24"/>
                <w:szCs w:val="24"/>
              </w:rPr>
              <w:fldChar w:fldCharType="separate"/>
            </w:r>
            <w:r w:rsidR="00EB6467">
              <w:rPr>
                <w:rFonts w:ascii="Times New Roman" w:hAnsi="Times New Roman" w:cs="Times New Roman"/>
                <w:noProof/>
                <w:webHidden/>
                <w:sz w:val="24"/>
                <w:szCs w:val="24"/>
              </w:rPr>
              <w:t>273</w:t>
            </w:r>
            <w:r w:rsidRPr="0041020C">
              <w:rPr>
                <w:rFonts w:ascii="Times New Roman" w:hAnsi="Times New Roman" w:cs="Times New Roman"/>
                <w:noProof/>
                <w:webHidden/>
                <w:sz w:val="24"/>
                <w:szCs w:val="24"/>
              </w:rPr>
              <w:fldChar w:fldCharType="end"/>
            </w:r>
          </w:hyperlink>
        </w:p>
        <w:p w14:paraId="6063F7FE" w14:textId="0C715228" w:rsidR="003D770C" w:rsidRPr="0041020C" w:rsidRDefault="003D770C" w:rsidP="001953BB">
          <w:pPr>
            <w:pStyle w:val="TOC3"/>
            <w:tabs>
              <w:tab w:val="right" w:leader="dot" w:pos="9350"/>
            </w:tabs>
            <w:rPr>
              <w:rFonts w:ascii="Times New Roman" w:eastAsiaTheme="minorEastAsia" w:hAnsi="Times New Roman" w:cs="Times New Roman"/>
              <w:noProof/>
              <w:sz w:val="24"/>
              <w:szCs w:val="24"/>
              <w:lang/>
            </w:rPr>
          </w:pPr>
          <w:hyperlink w:anchor="_Toc188379072" w:history="1">
            <w:r w:rsidRPr="0041020C">
              <w:rPr>
                <w:rStyle w:val="Hyperlink"/>
                <w:rFonts w:ascii="Times New Roman" w:hAnsi="Times New Roman" w:cs="Times New Roman"/>
                <w:noProof/>
                <w:sz w:val="24"/>
                <w:szCs w:val="24"/>
              </w:rPr>
              <w:t>3.7.2 Land Intensive Sectors</w:t>
            </w:r>
            <w:r w:rsidRPr="0041020C">
              <w:rPr>
                <w:rFonts w:ascii="Times New Roman" w:hAnsi="Times New Roman" w:cs="Times New Roman"/>
                <w:noProof/>
                <w:webHidden/>
                <w:sz w:val="24"/>
                <w:szCs w:val="24"/>
              </w:rPr>
              <w:tab/>
            </w:r>
            <w:r w:rsidRPr="0041020C">
              <w:rPr>
                <w:rFonts w:ascii="Times New Roman" w:hAnsi="Times New Roman" w:cs="Times New Roman"/>
                <w:noProof/>
                <w:webHidden/>
                <w:sz w:val="24"/>
                <w:szCs w:val="24"/>
              </w:rPr>
              <w:fldChar w:fldCharType="begin"/>
            </w:r>
            <w:r w:rsidRPr="0041020C">
              <w:rPr>
                <w:rFonts w:ascii="Times New Roman" w:hAnsi="Times New Roman" w:cs="Times New Roman"/>
                <w:noProof/>
                <w:webHidden/>
                <w:sz w:val="24"/>
                <w:szCs w:val="24"/>
              </w:rPr>
              <w:instrText xml:space="preserve"> PAGEREF _Toc188379072 \h </w:instrText>
            </w:r>
            <w:r w:rsidRPr="0041020C">
              <w:rPr>
                <w:rFonts w:ascii="Times New Roman" w:hAnsi="Times New Roman" w:cs="Times New Roman"/>
                <w:noProof/>
                <w:webHidden/>
                <w:sz w:val="24"/>
                <w:szCs w:val="24"/>
              </w:rPr>
            </w:r>
            <w:r w:rsidRPr="0041020C">
              <w:rPr>
                <w:rFonts w:ascii="Times New Roman" w:hAnsi="Times New Roman" w:cs="Times New Roman"/>
                <w:noProof/>
                <w:webHidden/>
                <w:sz w:val="24"/>
                <w:szCs w:val="24"/>
              </w:rPr>
              <w:fldChar w:fldCharType="separate"/>
            </w:r>
            <w:r w:rsidR="00EB6467">
              <w:rPr>
                <w:rFonts w:ascii="Times New Roman" w:hAnsi="Times New Roman" w:cs="Times New Roman"/>
                <w:noProof/>
                <w:webHidden/>
                <w:sz w:val="24"/>
                <w:szCs w:val="24"/>
              </w:rPr>
              <w:t>275</w:t>
            </w:r>
            <w:r w:rsidRPr="0041020C">
              <w:rPr>
                <w:rFonts w:ascii="Times New Roman" w:hAnsi="Times New Roman" w:cs="Times New Roman"/>
                <w:noProof/>
                <w:webHidden/>
                <w:sz w:val="24"/>
                <w:szCs w:val="24"/>
              </w:rPr>
              <w:fldChar w:fldCharType="end"/>
            </w:r>
          </w:hyperlink>
        </w:p>
        <w:p w14:paraId="762DAC9A" w14:textId="520C7E50" w:rsidR="003D770C" w:rsidRPr="0041020C" w:rsidRDefault="003D770C" w:rsidP="001953BB">
          <w:pPr>
            <w:pStyle w:val="TOC3"/>
            <w:tabs>
              <w:tab w:val="right" w:leader="dot" w:pos="9350"/>
            </w:tabs>
            <w:rPr>
              <w:rFonts w:ascii="Times New Roman" w:eastAsiaTheme="minorEastAsia" w:hAnsi="Times New Roman" w:cs="Times New Roman"/>
              <w:noProof/>
              <w:sz w:val="24"/>
              <w:szCs w:val="24"/>
              <w:lang/>
            </w:rPr>
          </w:pPr>
          <w:hyperlink w:anchor="_Toc188379073" w:history="1">
            <w:r w:rsidRPr="0041020C">
              <w:rPr>
                <w:rStyle w:val="Hyperlink"/>
                <w:rFonts w:ascii="Times New Roman" w:hAnsi="Times New Roman" w:cs="Times New Roman"/>
                <w:noProof/>
                <w:sz w:val="24"/>
                <w:szCs w:val="24"/>
              </w:rPr>
              <w:t>3.7.3 Non-LIS</w:t>
            </w:r>
            <w:r w:rsidRPr="0041020C">
              <w:rPr>
                <w:rFonts w:ascii="Times New Roman" w:hAnsi="Times New Roman" w:cs="Times New Roman"/>
                <w:noProof/>
                <w:webHidden/>
                <w:sz w:val="24"/>
                <w:szCs w:val="24"/>
              </w:rPr>
              <w:tab/>
            </w:r>
            <w:r w:rsidRPr="0041020C">
              <w:rPr>
                <w:rFonts w:ascii="Times New Roman" w:hAnsi="Times New Roman" w:cs="Times New Roman"/>
                <w:noProof/>
                <w:webHidden/>
                <w:sz w:val="24"/>
                <w:szCs w:val="24"/>
              </w:rPr>
              <w:fldChar w:fldCharType="begin"/>
            </w:r>
            <w:r w:rsidRPr="0041020C">
              <w:rPr>
                <w:rFonts w:ascii="Times New Roman" w:hAnsi="Times New Roman" w:cs="Times New Roman"/>
                <w:noProof/>
                <w:webHidden/>
                <w:sz w:val="24"/>
                <w:szCs w:val="24"/>
              </w:rPr>
              <w:instrText xml:space="preserve"> PAGEREF _Toc188379073 \h </w:instrText>
            </w:r>
            <w:r w:rsidRPr="0041020C">
              <w:rPr>
                <w:rFonts w:ascii="Times New Roman" w:hAnsi="Times New Roman" w:cs="Times New Roman"/>
                <w:noProof/>
                <w:webHidden/>
                <w:sz w:val="24"/>
                <w:szCs w:val="24"/>
              </w:rPr>
            </w:r>
            <w:r w:rsidRPr="0041020C">
              <w:rPr>
                <w:rFonts w:ascii="Times New Roman" w:hAnsi="Times New Roman" w:cs="Times New Roman"/>
                <w:noProof/>
                <w:webHidden/>
                <w:sz w:val="24"/>
                <w:szCs w:val="24"/>
              </w:rPr>
              <w:fldChar w:fldCharType="separate"/>
            </w:r>
            <w:r w:rsidR="00EB6467">
              <w:rPr>
                <w:rFonts w:ascii="Times New Roman" w:hAnsi="Times New Roman" w:cs="Times New Roman"/>
                <w:noProof/>
                <w:webHidden/>
                <w:sz w:val="24"/>
                <w:szCs w:val="24"/>
              </w:rPr>
              <w:t>281</w:t>
            </w:r>
            <w:r w:rsidRPr="0041020C">
              <w:rPr>
                <w:rFonts w:ascii="Times New Roman" w:hAnsi="Times New Roman" w:cs="Times New Roman"/>
                <w:noProof/>
                <w:webHidden/>
                <w:sz w:val="24"/>
                <w:szCs w:val="24"/>
              </w:rPr>
              <w:fldChar w:fldCharType="end"/>
            </w:r>
          </w:hyperlink>
        </w:p>
        <w:p w14:paraId="51438E46" w14:textId="4CDBF86A" w:rsidR="003D770C" w:rsidRPr="0041020C" w:rsidRDefault="003D770C" w:rsidP="001953BB">
          <w:pPr>
            <w:pStyle w:val="TOC3"/>
            <w:tabs>
              <w:tab w:val="right" w:leader="dot" w:pos="9350"/>
            </w:tabs>
            <w:rPr>
              <w:rFonts w:ascii="Times New Roman" w:eastAsiaTheme="minorEastAsia" w:hAnsi="Times New Roman" w:cs="Times New Roman"/>
              <w:noProof/>
              <w:sz w:val="24"/>
              <w:szCs w:val="24"/>
              <w:lang/>
            </w:rPr>
          </w:pPr>
          <w:hyperlink w:anchor="_Toc188379074" w:history="1">
            <w:r w:rsidRPr="0041020C">
              <w:rPr>
                <w:rStyle w:val="Hyperlink"/>
                <w:rFonts w:ascii="Times New Roman" w:hAnsi="Times New Roman" w:cs="Times New Roman"/>
                <w:noProof/>
                <w:sz w:val="24"/>
                <w:szCs w:val="24"/>
              </w:rPr>
              <w:t>3.7.4 Overall Conclusions: Integrating Findings</w:t>
            </w:r>
            <w:r w:rsidRPr="0041020C">
              <w:rPr>
                <w:rFonts w:ascii="Times New Roman" w:hAnsi="Times New Roman" w:cs="Times New Roman"/>
                <w:noProof/>
                <w:webHidden/>
                <w:sz w:val="24"/>
                <w:szCs w:val="24"/>
              </w:rPr>
              <w:tab/>
            </w:r>
            <w:r w:rsidRPr="0041020C">
              <w:rPr>
                <w:rFonts w:ascii="Times New Roman" w:hAnsi="Times New Roman" w:cs="Times New Roman"/>
                <w:noProof/>
                <w:webHidden/>
                <w:sz w:val="24"/>
                <w:szCs w:val="24"/>
              </w:rPr>
              <w:fldChar w:fldCharType="begin"/>
            </w:r>
            <w:r w:rsidRPr="0041020C">
              <w:rPr>
                <w:rFonts w:ascii="Times New Roman" w:hAnsi="Times New Roman" w:cs="Times New Roman"/>
                <w:noProof/>
                <w:webHidden/>
                <w:sz w:val="24"/>
                <w:szCs w:val="24"/>
              </w:rPr>
              <w:instrText xml:space="preserve"> PAGEREF _Toc188379074 \h </w:instrText>
            </w:r>
            <w:r w:rsidRPr="0041020C">
              <w:rPr>
                <w:rFonts w:ascii="Times New Roman" w:hAnsi="Times New Roman" w:cs="Times New Roman"/>
                <w:noProof/>
                <w:webHidden/>
                <w:sz w:val="24"/>
                <w:szCs w:val="24"/>
              </w:rPr>
            </w:r>
            <w:r w:rsidRPr="0041020C">
              <w:rPr>
                <w:rFonts w:ascii="Times New Roman" w:hAnsi="Times New Roman" w:cs="Times New Roman"/>
                <w:noProof/>
                <w:webHidden/>
                <w:sz w:val="24"/>
                <w:szCs w:val="24"/>
              </w:rPr>
              <w:fldChar w:fldCharType="separate"/>
            </w:r>
            <w:r w:rsidR="00EB6467">
              <w:rPr>
                <w:rFonts w:ascii="Times New Roman" w:hAnsi="Times New Roman" w:cs="Times New Roman"/>
                <w:noProof/>
                <w:webHidden/>
                <w:sz w:val="24"/>
                <w:szCs w:val="24"/>
              </w:rPr>
              <w:t>287</w:t>
            </w:r>
            <w:r w:rsidRPr="0041020C">
              <w:rPr>
                <w:rFonts w:ascii="Times New Roman" w:hAnsi="Times New Roman" w:cs="Times New Roman"/>
                <w:noProof/>
                <w:webHidden/>
                <w:sz w:val="24"/>
                <w:szCs w:val="24"/>
              </w:rPr>
              <w:fldChar w:fldCharType="end"/>
            </w:r>
          </w:hyperlink>
        </w:p>
        <w:p w14:paraId="27B5F6DD" w14:textId="7DECFB43" w:rsidR="003D770C" w:rsidRPr="0041020C" w:rsidRDefault="003D770C" w:rsidP="001953BB">
          <w:pPr>
            <w:pStyle w:val="TOC3"/>
            <w:tabs>
              <w:tab w:val="right" w:leader="dot" w:pos="9350"/>
            </w:tabs>
            <w:rPr>
              <w:rFonts w:ascii="Times New Roman" w:eastAsiaTheme="minorEastAsia" w:hAnsi="Times New Roman" w:cs="Times New Roman"/>
              <w:noProof/>
              <w:sz w:val="24"/>
              <w:szCs w:val="24"/>
              <w:lang/>
            </w:rPr>
          </w:pPr>
          <w:hyperlink w:anchor="_Toc188379075" w:history="1">
            <w:r w:rsidRPr="0041020C">
              <w:rPr>
                <w:rStyle w:val="Hyperlink"/>
                <w:rFonts w:ascii="Times New Roman" w:hAnsi="Times New Roman" w:cs="Times New Roman"/>
                <w:noProof/>
                <w:sz w:val="24"/>
                <w:szCs w:val="24"/>
              </w:rPr>
              <w:t>3.7.5 Conclusion</w:t>
            </w:r>
            <w:r w:rsidRPr="0041020C">
              <w:rPr>
                <w:rFonts w:ascii="Times New Roman" w:hAnsi="Times New Roman" w:cs="Times New Roman"/>
                <w:noProof/>
                <w:webHidden/>
                <w:sz w:val="24"/>
                <w:szCs w:val="24"/>
              </w:rPr>
              <w:tab/>
            </w:r>
            <w:r w:rsidRPr="0041020C">
              <w:rPr>
                <w:rFonts w:ascii="Times New Roman" w:hAnsi="Times New Roman" w:cs="Times New Roman"/>
                <w:noProof/>
                <w:webHidden/>
                <w:sz w:val="24"/>
                <w:szCs w:val="24"/>
              </w:rPr>
              <w:fldChar w:fldCharType="begin"/>
            </w:r>
            <w:r w:rsidRPr="0041020C">
              <w:rPr>
                <w:rFonts w:ascii="Times New Roman" w:hAnsi="Times New Roman" w:cs="Times New Roman"/>
                <w:noProof/>
                <w:webHidden/>
                <w:sz w:val="24"/>
                <w:szCs w:val="24"/>
              </w:rPr>
              <w:instrText xml:space="preserve"> PAGEREF _Toc188379075 \h </w:instrText>
            </w:r>
            <w:r w:rsidRPr="0041020C">
              <w:rPr>
                <w:rFonts w:ascii="Times New Roman" w:hAnsi="Times New Roman" w:cs="Times New Roman"/>
                <w:noProof/>
                <w:webHidden/>
                <w:sz w:val="24"/>
                <w:szCs w:val="24"/>
              </w:rPr>
            </w:r>
            <w:r w:rsidRPr="0041020C">
              <w:rPr>
                <w:rFonts w:ascii="Times New Roman" w:hAnsi="Times New Roman" w:cs="Times New Roman"/>
                <w:noProof/>
                <w:webHidden/>
                <w:sz w:val="24"/>
                <w:szCs w:val="24"/>
              </w:rPr>
              <w:fldChar w:fldCharType="separate"/>
            </w:r>
            <w:r w:rsidR="00EB6467">
              <w:rPr>
                <w:rFonts w:ascii="Times New Roman" w:hAnsi="Times New Roman" w:cs="Times New Roman"/>
                <w:noProof/>
                <w:webHidden/>
                <w:sz w:val="24"/>
                <w:szCs w:val="24"/>
              </w:rPr>
              <w:t>294</w:t>
            </w:r>
            <w:r w:rsidRPr="0041020C">
              <w:rPr>
                <w:rFonts w:ascii="Times New Roman" w:hAnsi="Times New Roman" w:cs="Times New Roman"/>
                <w:noProof/>
                <w:webHidden/>
                <w:sz w:val="24"/>
                <w:szCs w:val="24"/>
              </w:rPr>
              <w:fldChar w:fldCharType="end"/>
            </w:r>
          </w:hyperlink>
        </w:p>
        <w:p w14:paraId="0ACC3130" w14:textId="756DF17C" w:rsidR="003D770C" w:rsidRPr="0041020C" w:rsidRDefault="003D770C" w:rsidP="001953BB">
          <w:pPr>
            <w:pStyle w:val="TOC2"/>
            <w:tabs>
              <w:tab w:val="right" w:leader="dot" w:pos="9350"/>
            </w:tabs>
            <w:spacing w:before="0"/>
            <w:rPr>
              <w:rFonts w:ascii="Times New Roman" w:eastAsiaTheme="minorEastAsia" w:hAnsi="Times New Roman" w:cs="Times New Roman"/>
              <w:i w:val="0"/>
              <w:iCs w:val="0"/>
              <w:noProof/>
              <w:sz w:val="24"/>
              <w:szCs w:val="24"/>
              <w:lang/>
            </w:rPr>
          </w:pPr>
          <w:hyperlink w:anchor="_Toc188379076" w:history="1">
            <w:r w:rsidRPr="0041020C">
              <w:rPr>
                <w:rStyle w:val="Hyperlink"/>
                <w:rFonts w:ascii="Times New Roman" w:hAnsi="Times New Roman" w:cs="Times New Roman"/>
                <w:i w:val="0"/>
                <w:iCs w:val="0"/>
                <w:noProof/>
                <w:sz w:val="24"/>
                <w:szCs w:val="24"/>
              </w:rPr>
              <w:t>3.8 Discussion and Policy Implications</w:t>
            </w:r>
            <w:r w:rsidRPr="0041020C">
              <w:rPr>
                <w:rFonts w:ascii="Times New Roman" w:hAnsi="Times New Roman" w:cs="Times New Roman"/>
                <w:i w:val="0"/>
                <w:iCs w:val="0"/>
                <w:noProof/>
                <w:webHidden/>
                <w:sz w:val="24"/>
                <w:szCs w:val="24"/>
              </w:rPr>
              <w:tab/>
            </w:r>
            <w:r w:rsidRPr="0041020C">
              <w:rPr>
                <w:rFonts w:ascii="Times New Roman" w:hAnsi="Times New Roman" w:cs="Times New Roman"/>
                <w:i w:val="0"/>
                <w:iCs w:val="0"/>
                <w:noProof/>
                <w:webHidden/>
                <w:sz w:val="24"/>
                <w:szCs w:val="24"/>
              </w:rPr>
              <w:fldChar w:fldCharType="begin"/>
            </w:r>
            <w:r w:rsidRPr="0041020C">
              <w:rPr>
                <w:rFonts w:ascii="Times New Roman" w:hAnsi="Times New Roman" w:cs="Times New Roman"/>
                <w:i w:val="0"/>
                <w:iCs w:val="0"/>
                <w:noProof/>
                <w:webHidden/>
                <w:sz w:val="24"/>
                <w:szCs w:val="24"/>
              </w:rPr>
              <w:instrText xml:space="preserve"> PAGEREF _Toc188379076 \h </w:instrText>
            </w:r>
            <w:r w:rsidRPr="0041020C">
              <w:rPr>
                <w:rFonts w:ascii="Times New Roman" w:hAnsi="Times New Roman" w:cs="Times New Roman"/>
                <w:i w:val="0"/>
                <w:iCs w:val="0"/>
                <w:noProof/>
                <w:webHidden/>
                <w:sz w:val="24"/>
                <w:szCs w:val="24"/>
              </w:rPr>
            </w:r>
            <w:r w:rsidRPr="0041020C">
              <w:rPr>
                <w:rFonts w:ascii="Times New Roman" w:hAnsi="Times New Roman" w:cs="Times New Roman"/>
                <w:i w:val="0"/>
                <w:iCs w:val="0"/>
                <w:noProof/>
                <w:webHidden/>
                <w:sz w:val="24"/>
                <w:szCs w:val="24"/>
              </w:rPr>
              <w:fldChar w:fldCharType="separate"/>
            </w:r>
            <w:r w:rsidR="00EB6467">
              <w:rPr>
                <w:rFonts w:ascii="Times New Roman" w:hAnsi="Times New Roman" w:cs="Times New Roman"/>
                <w:i w:val="0"/>
                <w:iCs w:val="0"/>
                <w:noProof/>
                <w:webHidden/>
                <w:sz w:val="24"/>
                <w:szCs w:val="24"/>
              </w:rPr>
              <w:t>296</w:t>
            </w:r>
            <w:r w:rsidRPr="0041020C">
              <w:rPr>
                <w:rFonts w:ascii="Times New Roman" w:hAnsi="Times New Roman" w:cs="Times New Roman"/>
                <w:i w:val="0"/>
                <w:iCs w:val="0"/>
                <w:noProof/>
                <w:webHidden/>
                <w:sz w:val="24"/>
                <w:szCs w:val="24"/>
              </w:rPr>
              <w:fldChar w:fldCharType="end"/>
            </w:r>
          </w:hyperlink>
        </w:p>
        <w:p w14:paraId="5687BB0E" w14:textId="50E47A7B" w:rsidR="003D770C" w:rsidRPr="0041020C" w:rsidRDefault="003D770C" w:rsidP="001953BB">
          <w:pPr>
            <w:pStyle w:val="TOC3"/>
            <w:tabs>
              <w:tab w:val="right" w:leader="dot" w:pos="9350"/>
            </w:tabs>
            <w:rPr>
              <w:rFonts w:ascii="Times New Roman" w:eastAsiaTheme="minorEastAsia" w:hAnsi="Times New Roman" w:cs="Times New Roman"/>
              <w:noProof/>
              <w:sz w:val="24"/>
              <w:szCs w:val="24"/>
              <w:lang/>
            </w:rPr>
          </w:pPr>
          <w:hyperlink w:anchor="_Toc188379077" w:history="1">
            <w:r w:rsidRPr="0041020C">
              <w:rPr>
                <w:rStyle w:val="Hyperlink"/>
                <w:rFonts w:ascii="Times New Roman" w:hAnsi="Times New Roman" w:cs="Times New Roman"/>
                <w:noProof/>
                <w:sz w:val="24"/>
                <w:szCs w:val="24"/>
              </w:rPr>
              <w:t>3.8.1 Introduction</w:t>
            </w:r>
            <w:r w:rsidRPr="0041020C">
              <w:rPr>
                <w:rFonts w:ascii="Times New Roman" w:hAnsi="Times New Roman" w:cs="Times New Roman"/>
                <w:noProof/>
                <w:webHidden/>
                <w:sz w:val="24"/>
                <w:szCs w:val="24"/>
              </w:rPr>
              <w:tab/>
            </w:r>
            <w:r w:rsidRPr="0041020C">
              <w:rPr>
                <w:rFonts w:ascii="Times New Roman" w:hAnsi="Times New Roman" w:cs="Times New Roman"/>
                <w:noProof/>
                <w:webHidden/>
                <w:sz w:val="24"/>
                <w:szCs w:val="24"/>
              </w:rPr>
              <w:fldChar w:fldCharType="begin"/>
            </w:r>
            <w:r w:rsidRPr="0041020C">
              <w:rPr>
                <w:rFonts w:ascii="Times New Roman" w:hAnsi="Times New Roman" w:cs="Times New Roman"/>
                <w:noProof/>
                <w:webHidden/>
                <w:sz w:val="24"/>
                <w:szCs w:val="24"/>
              </w:rPr>
              <w:instrText xml:space="preserve"> PAGEREF _Toc188379077 \h </w:instrText>
            </w:r>
            <w:r w:rsidRPr="0041020C">
              <w:rPr>
                <w:rFonts w:ascii="Times New Roman" w:hAnsi="Times New Roman" w:cs="Times New Roman"/>
                <w:noProof/>
                <w:webHidden/>
                <w:sz w:val="24"/>
                <w:szCs w:val="24"/>
              </w:rPr>
            </w:r>
            <w:r w:rsidRPr="0041020C">
              <w:rPr>
                <w:rFonts w:ascii="Times New Roman" w:hAnsi="Times New Roman" w:cs="Times New Roman"/>
                <w:noProof/>
                <w:webHidden/>
                <w:sz w:val="24"/>
                <w:szCs w:val="24"/>
              </w:rPr>
              <w:fldChar w:fldCharType="separate"/>
            </w:r>
            <w:r w:rsidR="00EB6467">
              <w:rPr>
                <w:rFonts w:ascii="Times New Roman" w:hAnsi="Times New Roman" w:cs="Times New Roman"/>
                <w:noProof/>
                <w:webHidden/>
                <w:sz w:val="24"/>
                <w:szCs w:val="24"/>
              </w:rPr>
              <w:t>296</w:t>
            </w:r>
            <w:r w:rsidRPr="0041020C">
              <w:rPr>
                <w:rFonts w:ascii="Times New Roman" w:hAnsi="Times New Roman" w:cs="Times New Roman"/>
                <w:noProof/>
                <w:webHidden/>
                <w:sz w:val="24"/>
                <w:szCs w:val="24"/>
              </w:rPr>
              <w:fldChar w:fldCharType="end"/>
            </w:r>
          </w:hyperlink>
        </w:p>
        <w:p w14:paraId="301FDFE7" w14:textId="507605EE" w:rsidR="003D770C" w:rsidRPr="0041020C" w:rsidRDefault="003D770C" w:rsidP="001953BB">
          <w:pPr>
            <w:pStyle w:val="TOC3"/>
            <w:tabs>
              <w:tab w:val="right" w:leader="dot" w:pos="9350"/>
            </w:tabs>
            <w:rPr>
              <w:rFonts w:ascii="Times New Roman" w:eastAsiaTheme="minorEastAsia" w:hAnsi="Times New Roman" w:cs="Times New Roman"/>
              <w:noProof/>
              <w:sz w:val="24"/>
              <w:szCs w:val="24"/>
              <w:lang/>
            </w:rPr>
          </w:pPr>
          <w:hyperlink w:anchor="_Toc188379078" w:history="1">
            <w:r w:rsidRPr="0041020C">
              <w:rPr>
                <w:rStyle w:val="Hyperlink"/>
                <w:rFonts w:ascii="Times New Roman" w:hAnsi="Times New Roman" w:cs="Times New Roman"/>
                <w:noProof/>
                <w:sz w:val="24"/>
                <w:szCs w:val="24"/>
              </w:rPr>
              <w:t>3.8.2 Reconciling Economic Recovery with Conservation Objectives</w:t>
            </w:r>
            <w:r w:rsidRPr="0041020C">
              <w:rPr>
                <w:rFonts w:ascii="Times New Roman" w:hAnsi="Times New Roman" w:cs="Times New Roman"/>
                <w:noProof/>
                <w:webHidden/>
                <w:sz w:val="24"/>
                <w:szCs w:val="24"/>
              </w:rPr>
              <w:tab/>
            </w:r>
            <w:r w:rsidRPr="0041020C">
              <w:rPr>
                <w:rFonts w:ascii="Times New Roman" w:hAnsi="Times New Roman" w:cs="Times New Roman"/>
                <w:noProof/>
                <w:webHidden/>
                <w:sz w:val="24"/>
                <w:szCs w:val="24"/>
              </w:rPr>
              <w:fldChar w:fldCharType="begin"/>
            </w:r>
            <w:r w:rsidRPr="0041020C">
              <w:rPr>
                <w:rFonts w:ascii="Times New Roman" w:hAnsi="Times New Roman" w:cs="Times New Roman"/>
                <w:noProof/>
                <w:webHidden/>
                <w:sz w:val="24"/>
                <w:szCs w:val="24"/>
              </w:rPr>
              <w:instrText xml:space="preserve"> PAGEREF _Toc188379078 \h </w:instrText>
            </w:r>
            <w:r w:rsidRPr="0041020C">
              <w:rPr>
                <w:rFonts w:ascii="Times New Roman" w:hAnsi="Times New Roman" w:cs="Times New Roman"/>
                <w:noProof/>
                <w:webHidden/>
                <w:sz w:val="24"/>
                <w:szCs w:val="24"/>
              </w:rPr>
            </w:r>
            <w:r w:rsidRPr="0041020C">
              <w:rPr>
                <w:rFonts w:ascii="Times New Roman" w:hAnsi="Times New Roman" w:cs="Times New Roman"/>
                <w:noProof/>
                <w:webHidden/>
                <w:sz w:val="24"/>
                <w:szCs w:val="24"/>
              </w:rPr>
              <w:fldChar w:fldCharType="separate"/>
            </w:r>
            <w:r w:rsidR="00EB6467">
              <w:rPr>
                <w:rFonts w:ascii="Times New Roman" w:hAnsi="Times New Roman" w:cs="Times New Roman"/>
                <w:noProof/>
                <w:webHidden/>
                <w:sz w:val="24"/>
                <w:szCs w:val="24"/>
              </w:rPr>
              <w:t>296</w:t>
            </w:r>
            <w:r w:rsidRPr="0041020C">
              <w:rPr>
                <w:rFonts w:ascii="Times New Roman" w:hAnsi="Times New Roman" w:cs="Times New Roman"/>
                <w:noProof/>
                <w:webHidden/>
                <w:sz w:val="24"/>
                <w:szCs w:val="24"/>
              </w:rPr>
              <w:fldChar w:fldCharType="end"/>
            </w:r>
          </w:hyperlink>
        </w:p>
        <w:p w14:paraId="51DD7643" w14:textId="3A350AED" w:rsidR="003D770C" w:rsidRPr="0041020C" w:rsidRDefault="003D770C" w:rsidP="001953BB">
          <w:pPr>
            <w:pStyle w:val="TOC3"/>
            <w:tabs>
              <w:tab w:val="right" w:leader="dot" w:pos="9350"/>
            </w:tabs>
            <w:rPr>
              <w:rFonts w:ascii="Times New Roman" w:eastAsiaTheme="minorEastAsia" w:hAnsi="Times New Roman" w:cs="Times New Roman"/>
              <w:noProof/>
              <w:sz w:val="24"/>
              <w:szCs w:val="24"/>
              <w:lang/>
            </w:rPr>
          </w:pPr>
          <w:hyperlink w:anchor="_Toc188379079" w:history="1">
            <w:r w:rsidRPr="0041020C">
              <w:rPr>
                <w:rStyle w:val="Hyperlink"/>
                <w:rFonts w:ascii="Times New Roman" w:hAnsi="Times New Roman" w:cs="Times New Roman"/>
                <w:noProof/>
                <w:sz w:val="24"/>
                <w:szCs w:val="24"/>
              </w:rPr>
              <w:t>3.8.3 Policy Recommendations</w:t>
            </w:r>
            <w:r w:rsidRPr="0041020C">
              <w:rPr>
                <w:rFonts w:ascii="Times New Roman" w:hAnsi="Times New Roman" w:cs="Times New Roman"/>
                <w:noProof/>
                <w:webHidden/>
                <w:sz w:val="24"/>
                <w:szCs w:val="24"/>
              </w:rPr>
              <w:tab/>
            </w:r>
            <w:r w:rsidRPr="0041020C">
              <w:rPr>
                <w:rFonts w:ascii="Times New Roman" w:hAnsi="Times New Roman" w:cs="Times New Roman"/>
                <w:noProof/>
                <w:webHidden/>
                <w:sz w:val="24"/>
                <w:szCs w:val="24"/>
              </w:rPr>
              <w:fldChar w:fldCharType="begin"/>
            </w:r>
            <w:r w:rsidRPr="0041020C">
              <w:rPr>
                <w:rFonts w:ascii="Times New Roman" w:hAnsi="Times New Roman" w:cs="Times New Roman"/>
                <w:noProof/>
                <w:webHidden/>
                <w:sz w:val="24"/>
                <w:szCs w:val="24"/>
              </w:rPr>
              <w:instrText xml:space="preserve"> PAGEREF _Toc188379079 \h </w:instrText>
            </w:r>
            <w:r w:rsidRPr="0041020C">
              <w:rPr>
                <w:rFonts w:ascii="Times New Roman" w:hAnsi="Times New Roman" w:cs="Times New Roman"/>
                <w:noProof/>
                <w:webHidden/>
                <w:sz w:val="24"/>
                <w:szCs w:val="24"/>
              </w:rPr>
            </w:r>
            <w:r w:rsidRPr="0041020C">
              <w:rPr>
                <w:rFonts w:ascii="Times New Roman" w:hAnsi="Times New Roman" w:cs="Times New Roman"/>
                <w:noProof/>
                <w:webHidden/>
                <w:sz w:val="24"/>
                <w:szCs w:val="24"/>
              </w:rPr>
              <w:fldChar w:fldCharType="separate"/>
            </w:r>
            <w:r w:rsidR="00EB6467">
              <w:rPr>
                <w:rFonts w:ascii="Times New Roman" w:hAnsi="Times New Roman" w:cs="Times New Roman"/>
                <w:noProof/>
                <w:webHidden/>
                <w:sz w:val="24"/>
                <w:szCs w:val="24"/>
              </w:rPr>
              <w:t>297</w:t>
            </w:r>
            <w:r w:rsidRPr="0041020C">
              <w:rPr>
                <w:rFonts w:ascii="Times New Roman" w:hAnsi="Times New Roman" w:cs="Times New Roman"/>
                <w:noProof/>
                <w:webHidden/>
                <w:sz w:val="24"/>
                <w:szCs w:val="24"/>
              </w:rPr>
              <w:fldChar w:fldCharType="end"/>
            </w:r>
          </w:hyperlink>
        </w:p>
        <w:p w14:paraId="380EBDE9" w14:textId="7D26F9E1" w:rsidR="003D770C" w:rsidRPr="0041020C" w:rsidRDefault="003D770C" w:rsidP="001953BB">
          <w:pPr>
            <w:pStyle w:val="TOC3"/>
            <w:tabs>
              <w:tab w:val="right" w:leader="dot" w:pos="9350"/>
            </w:tabs>
            <w:rPr>
              <w:rFonts w:ascii="Times New Roman" w:eastAsiaTheme="minorEastAsia" w:hAnsi="Times New Roman" w:cs="Times New Roman"/>
              <w:noProof/>
              <w:sz w:val="24"/>
              <w:szCs w:val="24"/>
              <w:lang/>
            </w:rPr>
          </w:pPr>
          <w:hyperlink w:anchor="_Toc188379080" w:history="1">
            <w:r w:rsidRPr="0041020C">
              <w:rPr>
                <w:rStyle w:val="Hyperlink"/>
                <w:rFonts w:ascii="Times New Roman" w:hAnsi="Times New Roman" w:cs="Times New Roman"/>
                <w:noProof/>
                <w:sz w:val="24"/>
                <w:szCs w:val="24"/>
              </w:rPr>
              <w:t>3.8.4 Contributions to the Literature and Policy Discourse</w:t>
            </w:r>
            <w:r w:rsidRPr="0041020C">
              <w:rPr>
                <w:rFonts w:ascii="Times New Roman" w:hAnsi="Times New Roman" w:cs="Times New Roman"/>
                <w:noProof/>
                <w:webHidden/>
                <w:sz w:val="24"/>
                <w:szCs w:val="24"/>
              </w:rPr>
              <w:tab/>
            </w:r>
            <w:r w:rsidRPr="0041020C">
              <w:rPr>
                <w:rFonts w:ascii="Times New Roman" w:hAnsi="Times New Roman" w:cs="Times New Roman"/>
                <w:noProof/>
                <w:webHidden/>
                <w:sz w:val="24"/>
                <w:szCs w:val="24"/>
              </w:rPr>
              <w:fldChar w:fldCharType="begin"/>
            </w:r>
            <w:r w:rsidRPr="0041020C">
              <w:rPr>
                <w:rFonts w:ascii="Times New Roman" w:hAnsi="Times New Roman" w:cs="Times New Roman"/>
                <w:noProof/>
                <w:webHidden/>
                <w:sz w:val="24"/>
                <w:szCs w:val="24"/>
              </w:rPr>
              <w:instrText xml:space="preserve"> PAGEREF _Toc188379080 \h </w:instrText>
            </w:r>
            <w:r w:rsidRPr="0041020C">
              <w:rPr>
                <w:rFonts w:ascii="Times New Roman" w:hAnsi="Times New Roman" w:cs="Times New Roman"/>
                <w:noProof/>
                <w:webHidden/>
                <w:sz w:val="24"/>
                <w:szCs w:val="24"/>
              </w:rPr>
            </w:r>
            <w:r w:rsidRPr="0041020C">
              <w:rPr>
                <w:rFonts w:ascii="Times New Roman" w:hAnsi="Times New Roman" w:cs="Times New Roman"/>
                <w:noProof/>
                <w:webHidden/>
                <w:sz w:val="24"/>
                <w:szCs w:val="24"/>
              </w:rPr>
              <w:fldChar w:fldCharType="separate"/>
            </w:r>
            <w:r w:rsidR="00EB6467">
              <w:rPr>
                <w:rFonts w:ascii="Times New Roman" w:hAnsi="Times New Roman" w:cs="Times New Roman"/>
                <w:noProof/>
                <w:webHidden/>
                <w:sz w:val="24"/>
                <w:szCs w:val="24"/>
              </w:rPr>
              <w:t>297</w:t>
            </w:r>
            <w:r w:rsidRPr="0041020C">
              <w:rPr>
                <w:rFonts w:ascii="Times New Roman" w:hAnsi="Times New Roman" w:cs="Times New Roman"/>
                <w:noProof/>
                <w:webHidden/>
                <w:sz w:val="24"/>
                <w:szCs w:val="24"/>
              </w:rPr>
              <w:fldChar w:fldCharType="end"/>
            </w:r>
          </w:hyperlink>
        </w:p>
        <w:p w14:paraId="289857C2" w14:textId="3B154779" w:rsidR="003D770C" w:rsidRPr="0041020C" w:rsidRDefault="003D770C" w:rsidP="001953BB">
          <w:pPr>
            <w:pStyle w:val="TOC2"/>
            <w:tabs>
              <w:tab w:val="right" w:leader="dot" w:pos="9350"/>
            </w:tabs>
            <w:spacing w:before="0"/>
            <w:rPr>
              <w:rFonts w:ascii="Times New Roman" w:eastAsiaTheme="minorEastAsia" w:hAnsi="Times New Roman" w:cs="Times New Roman"/>
              <w:i w:val="0"/>
              <w:iCs w:val="0"/>
              <w:noProof/>
              <w:sz w:val="24"/>
              <w:szCs w:val="24"/>
              <w:lang/>
            </w:rPr>
          </w:pPr>
          <w:hyperlink w:anchor="_Toc188379081" w:history="1">
            <w:r w:rsidRPr="0041020C">
              <w:rPr>
                <w:rStyle w:val="Hyperlink"/>
                <w:rFonts w:ascii="Times New Roman" w:hAnsi="Times New Roman" w:cs="Times New Roman"/>
                <w:i w:val="0"/>
                <w:iCs w:val="0"/>
                <w:noProof/>
                <w:sz w:val="24"/>
                <w:szCs w:val="24"/>
              </w:rPr>
              <w:t>3.9 Conclusion</w:t>
            </w:r>
            <w:r w:rsidRPr="0041020C">
              <w:rPr>
                <w:rFonts w:ascii="Times New Roman" w:hAnsi="Times New Roman" w:cs="Times New Roman"/>
                <w:i w:val="0"/>
                <w:iCs w:val="0"/>
                <w:noProof/>
                <w:webHidden/>
                <w:sz w:val="24"/>
                <w:szCs w:val="24"/>
              </w:rPr>
              <w:tab/>
            </w:r>
            <w:r w:rsidRPr="0041020C">
              <w:rPr>
                <w:rFonts w:ascii="Times New Roman" w:hAnsi="Times New Roman" w:cs="Times New Roman"/>
                <w:i w:val="0"/>
                <w:iCs w:val="0"/>
                <w:noProof/>
                <w:webHidden/>
                <w:sz w:val="24"/>
                <w:szCs w:val="24"/>
              </w:rPr>
              <w:fldChar w:fldCharType="begin"/>
            </w:r>
            <w:r w:rsidRPr="0041020C">
              <w:rPr>
                <w:rFonts w:ascii="Times New Roman" w:hAnsi="Times New Roman" w:cs="Times New Roman"/>
                <w:i w:val="0"/>
                <w:iCs w:val="0"/>
                <w:noProof/>
                <w:webHidden/>
                <w:sz w:val="24"/>
                <w:szCs w:val="24"/>
              </w:rPr>
              <w:instrText xml:space="preserve"> PAGEREF _Toc188379081 \h </w:instrText>
            </w:r>
            <w:r w:rsidRPr="0041020C">
              <w:rPr>
                <w:rFonts w:ascii="Times New Roman" w:hAnsi="Times New Roman" w:cs="Times New Roman"/>
                <w:i w:val="0"/>
                <w:iCs w:val="0"/>
                <w:noProof/>
                <w:webHidden/>
                <w:sz w:val="24"/>
                <w:szCs w:val="24"/>
              </w:rPr>
            </w:r>
            <w:r w:rsidRPr="0041020C">
              <w:rPr>
                <w:rFonts w:ascii="Times New Roman" w:hAnsi="Times New Roman" w:cs="Times New Roman"/>
                <w:i w:val="0"/>
                <w:iCs w:val="0"/>
                <w:noProof/>
                <w:webHidden/>
                <w:sz w:val="24"/>
                <w:szCs w:val="24"/>
              </w:rPr>
              <w:fldChar w:fldCharType="separate"/>
            </w:r>
            <w:r w:rsidR="00EB6467">
              <w:rPr>
                <w:rFonts w:ascii="Times New Roman" w:hAnsi="Times New Roman" w:cs="Times New Roman"/>
                <w:i w:val="0"/>
                <w:iCs w:val="0"/>
                <w:noProof/>
                <w:webHidden/>
                <w:sz w:val="24"/>
                <w:szCs w:val="24"/>
              </w:rPr>
              <w:t>298</w:t>
            </w:r>
            <w:r w:rsidRPr="0041020C">
              <w:rPr>
                <w:rFonts w:ascii="Times New Roman" w:hAnsi="Times New Roman" w:cs="Times New Roman"/>
                <w:i w:val="0"/>
                <w:iCs w:val="0"/>
                <w:noProof/>
                <w:webHidden/>
                <w:sz w:val="24"/>
                <w:szCs w:val="24"/>
              </w:rPr>
              <w:fldChar w:fldCharType="end"/>
            </w:r>
          </w:hyperlink>
        </w:p>
        <w:p w14:paraId="776B6538" w14:textId="20137A31" w:rsidR="003D770C" w:rsidRPr="0041020C" w:rsidRDefault="003D770C" w:rsidP="001953BB">
          <w:pPr>
            <w:pStyle w:val="TOC2"/>
            <w:tabs>
              <w:tab w:val="right" w:leader="dot" w:pos="9350"/>
            </w:tabs>
            <w:spacing w:before="0"/>
            <w:rPr>
              <w:rFonts w:ascii="Times New Roman" w:eastAsiaTheme="minorEastAsia" w:hAnsi="Times New Roman" w:cs="Times New Roman"/>
              <w:i w:val="0"/>
              <w:iCs w:val="0"/>
              <w:noProof/>
              <w:sz w:val="24"/>
              <w:szCs w:val="24"/>
              <w:lang/>
            </w:rPr>
          </w:pPr>
          <w:hyperlink w:anchor="_Toc188379082" w:history="1">
            <w:r w:rsidRPr="0041020C">
              <w:rPr>
                <w:rStyle w:val="Hyperlink"/>
                <w:rFonts w:ascii="Times New Roman" w:hAnsi="Times New Roman" w:cs="Times New Roman"/>
                <w:i w:val="0"/>
                <w:iCs w:val="0"/>
                <w:noProof/>
                <w:sz w:val="24"/>
                <w:szCs w:val="24"/>
              </w:rPr>
              <w:t>Reference</w:t>
            </w:r>
            <w:r w:rsidRPr="0041020C">
              <w:rPr>
                <w:rFonts w:ascii="Times New Roman" w:hAnsi="Times New Roman" w:cs="Times New Roman"/>
                <w:i w:val="0"/>
                <w:iCs w:val="0"/>
                <w:noProof/>
                <w:webHidden/>
                <w:sz w:val="24"/>
                <w:szCs w:val="24"/>
              </w:rPr>
              <w:tab/>
            </w:r>
            <w:r w:rsidRPr="0041020C">
              <w:rPr>
                <w:rFonts w:ascii="Times New Roman" w:hAnsi="Times New Roman" w:cs="Times New Roman"/>
                <w:i w:val="0"/>
                <w:iCs w:val="0"/>
                <w:noProof/>
                <w:webHidden/>
                <w:sz w:val="24"/>
                <w:szCs w:val="24"/>
              </w:rPr>
              <w:fldChar w:fldCharType="begin"/>
            </w:r>
            <w:r w:rsidRPr="0041020C">
              <w:rPr>
                <w:rFonts w:ascii="Times New Roman" w:hAnsi="Times New Roman" w:cs="Times New Roman"/>
                <w:i w:val="0"/>
                <w:iCs w:val="0"/>
                <w:noProof/>
                <w:webHidden/>
                <w:sz w:val="24"/>
                <w:szCs w:val="24"/>
              </w:rPr>
              <w:instrText xml:space="preserve"> PAGEREF _Toc188379082 \h </w:instrText>
            </w:r>
            <w:r w:rsidRPr="0041020C">
              <w:rPr>
                <w:rFonts w:ascii="Times New Roman" w:hAnsi="Times New Roman" w:cs="Times New Roman"/>
                <w:i w:val="0"/>
                <w:iCs w:val="0"/>
                <w:noProof/>
                <w:webHidden/>
                <w:sz w:val="24"/>
                <w:szCs w:val="24"/>
              </w:rPr>
            </w:r>
            <w:r w:rsidRPr="0041020C">
              <w:rPr>
                <w:rFonts w:ascii="Times New Roman" w:hAnsi="Times New Roman" w:cs="Times New Roman"/>
                <w:i w:val="0"/>
                <w:iCs w:val="0"/>
                <w:noProof/>
                <w:webHidden/>
                <w:sz w:val="24"/>
                <w:szCs w:val="24"/>
              </w:rPr>
              <w:fldChar w:fldCharType="separate"/>
            </w:r>
            <w:r w:rsidR="00EB6467">
              <w:rPr>
                <w:rFonts w:ascii="Times New Roman" w:hAnsi="Times New Roman" w:cs="Times New Roman"/>
                <w:i w:val="0"/>
                <w:iCs w:val="0"/>
                <w:noProof/>
                <w:webHidden/>
                <w:sz w:val="24"/>
                <w:szCs w:val="24"/>
              </w:rPr>
              <w:t>301</w:t>
            </w:r>
            <w:r w:rsidRPr="0041020C">
              <w:rPr>
                <w:rFonts w:ascii="Times New Roman" w:hAnsi="Times New Roman" w:cs="Times New Roman"/>
                <w:i w:val="0"/>
                <w:iCs w:val="0"/>
                <w:noProof/>
                <w:webHidden/>
                <w:sz w:val="24"/>
                <w:szCs w:val="24"/>
              </w:rPr>
              <w:fldChar w:fldCharType="end"/>
            </w:r>
          </w:hyperlink>
        </w:p>
        <w:p w14:paraId="6E171AF0" w14:textId="01332069" w:rsidR="003D770C" w:rsidRPr="0041020C" w:rsidRDefault="003D770C" w:rsidP="001953BB">
          <w:pPr>
            <w:pStyle w:val="TOC2"/>
            <w:tabs>
              <w:tab w:val="right" w:leader="dot" w:pos="9350"/>
            </w:tabs>
            <w:spacing w:before="0"/>
            <w:rPr>
              <w:rFonts w:ascii="Times New Roman" w:eastAsiaTheme="minorEastAsia" w:hAnsi="Times New Roman" w:cs="Times New Roman"/>
              <w:i w:val="0"/>
              <w:iCs w:val="0"/>
              <w:noProof/>
              <w:sz w:val="24"/>
              <w:szCs w:val="24"/>
              <w:lang/>
            </w:rPr>
          </w:pPr>
          <w:hyperlink w:anchor="_Toc188379083" w:history="1">
            <w:r w:rsidRPr="0041020C">
              <w:rPr>
                <w:rStyle w:val="Hyperlink"/>
                <w:rFonts w:ascii="Times New Roman" w:hAnsi="Times New Roman" w:cs="Times New Roman"/>
                <w:i w:val="0"/>
                <w:iCs w:val="0"/>
                <w:noProof/>
                <w:sz w:val="24"/>
                <w:szCs w:val="24"/>
              </w:rPr>
              <w:t>Appendix</w:t>
            </w:r>
            <w:r w:rsidRPr="0041020C">
              <w:rPr>
                <w:rFonts w:ascii="Times New Roman" w:hAnsi="Times New Roman" w:cs="Times New Roman"/>
                <w:i w:val="0"/>
                <w:iCs w:val="0"/>
                <w:noProof/>
                <w:webHidden/>
                <w:sz w:val="24"/>
                <w:szCs w:val="24"/>
              </w:rPr>
              <w:tab/>
            </w:r>
            <w:r w:rsidRPr="0041020C">
              <w:rPr>
                <w:rFonts w:ascii="Times New Roman" w:hAnsi="Times New Roman" w:cs="Times New Roman"/>
                <w:i w:val="0"/>
                <w:iCs w:val="0"/>
                <w:noProof/>
                <w:webHidden/>
                <w:sz w:val="24"/>
                <w:szCs w:val="24"/>
              </w:rPr>
              <w:fldChar w:fldCharType="begin"/>
            </w:r>
            <w:r w:rsidRPr="0041020C">
              <w:rPr>
                <w:rFonts w:ascii="Times New Roman" w:hAnsi="Times New Roman" w:cs="Times New Roman"/>
                <w:i w:val="0"/>
                <w:iCs w:val="0"/>
                <w:noProof/>
                <w:webHidden/>
                <w:sz w:val="24"/>
                <w:szCs w:val="24"/>
              </w:rPr>
              <w:instrText xml:space="preserve"> PAGEREF _Toc188379083 \h </w:instrText>
            </w:r>
            <w:r w:rsidRPr="0041020C">
              <w:rPr>
                <w:rFonts w:ascii="Times New Roman" w:hAnsi="Times New Roman" w:cs="Times New Roman"/>
                <w:i w:val="0"/>
                <w:iCs w:val="0"/>
                <w:noProof/>
                <w:webHidden/>
                <w:sz w:val="24"/>
                <w:szCs w:val="24"/>
              </w:rPr>
            </w:r>
            <w:r w:rsidRPr="0041020C">
              <w:rPr>
                <w:rFonts w:ascii="Times New Roman" w:hAnsi="Times New Roman" w:cs="Times New Roman"/>
                <w:i w:val="0"/>
                <w:iCs w:val="0"/>
                <w:noProof/>
                <w:webHidden/>
                <w:sz w:val="24"/>
                <w:szCs w:val="24"/>
              </w:rPr>
              <w:fldChar w:fldCharType="separate"/>
            </w:r>
            <w:r w:rsidR="00EB6467">
              <w:rPr>
                <w:rFonts w:ascii="Times New Roman" w:hAnsi="Times New Roman" w:cs="Times New Roman"/>
                <w:i w:val="0"/>
                <w:iCs w:val="0"/>
                <w:noProof/>
                <w:webHidden/>
                <w:sz w:val="24"/>
                <w:szCs w:val="24"/>
              </w:rPr>
              <w:t>304</w:t>
            </w:r>
            <w:r w:rsidRPr="0041020C">
              <w:rPr>
                <w:rFonts w:ascii="Times New Roman" w:hAnsi="Times New Roman" w:cs="Times New Roman"/>
                <w:i w:val="0"/>
                <w:iCs w:val="0"/>
                <w:noProof/>
                <w:webHidden/>
                <w:sz w:val="24"/>
                <w:szCs w:val="24"/>
              </w:rPr>
              <w:fldChar w:fldCharType="end"/>
            </w:r>
          </w:hyperlink>
        </w:p>
        <w:p w14:paraId="0771644C" w14:textId="3A69D2F2" w:rsidR="003D770C" w:rsidRPr="0041020C" w:rsidRDefault="003D770C" w:rsidP="001953BB">
          <w:pPr>
            <w:pStyle w:val="TOC1"/>
            <w:spacing w:before="0" w:after="0"/>
            <w:rPr>
              <w:rFonts w:eastAsiaTheme="minorEastAsia"/>
              <w:b/>
              <w:bCs/>
              <w:lang/>
            </w:rPr>
          </w:pPr>
          <w:hyperlink w:anchor="_Toc188379084" w:history="1">
            <w:r w:rsidRPr="0041020C">
              <w:rPr>
                <w:rStyle w:val="Hyperlink"/>
              </w:rPr>
              <w:t>CONCLUSION</w:t>
            </w:r>
            <w:r w:rsidRPr="0041020C">
              <w:rPr>
                <w:webHidden/>
              </w:rPr>
              <w:tab/>
            </w:r>
            <w:r w:rsidRPr="0041020C">
              <w:rPr>
                <w:webHidden/>
              </w:rPr>
              <w:fldChar w:fldCharType="begin"/>
            </w:r>
            <w:r w:rsidRPr="0041020C">
              <w:rPr>
                <w:webHidden/>
              </w:rPr>
              <w:instrText xml:space="preserve"> PAGEREF _Toc188379084 \h </w:instrText>
            </w:r>
            <w:r w:rsidRPr="0041020C">
              <w:rPr>
                <w:webHidden/>
              </w:rPr>
            </w:r>
            <w:r w:rsidRPr="0041020C">
              <w:rPr>
                <w:webHidden/>
              </w:rPr>
              <w:fldChar w:fldCharType="separate"/>
            </w:r>
            <w:r w:rsidR="00EB6467">
              <w:rPr>
                <w:webHidden/>
              </w:rPr>
              <w:t>319</w:t>
            </w:r>
            <w:r w:rsidRPr="0041020C">
              <w:rPr>
                <w:webHidden/>
              </w:rPr>
              <w:fldChar w:fldCharType="end"/>
            </w:r>
          </w:hyperlink>
        </w:p>
        <w:p w14:paraId="24217BDF" w14:textId="7336C43F" w:rsidR="003D770C" w:rsidRDefault="003D770C" w:rsidP="001953BB">
          <w:pPr>
            <w:pStyle w:val="TOC1"/>
            <w:spacing w:before="0" w:after="0"/>
            <w:rPr>
              <w:rFonts w:eastAsiaTheme="minorEastAsia" w:cstheme="minorBidi"/>
              <w:b/>
              <w:bCs/>
              <w:sz w:val="22"/>
              <w:szCs w:val="22"/>
              <w:lang/>
            </w:rPr>
          </w:pPr>
          <w:hyperlink w:anchor="_Toc188379085" w:history="1">
            <w:r w:rsidRPr="0041020C">
              <w:rPr>
                <w:rStyle w:val="Hyperlink"/>
              </w:rPr>
              <w:t>VITA</w:t>
            </w:r>
            <w:r w:rsidRPr="0041020C">
              <w:rPr>
                <w:webHidden/>
              </w:rPr>
              <w:tab/>
            </w:r>
            <w:r w:rsidRPr="0041020C">
              <w:rPr>
                <w:webHidden/>
              </w:rPr>
              <w:fldChar w:fldCharType="begin"/>
            </w:r>
            <w:r w:rsidRPr="0041020C">
              <w:rPr>
                <w:webHidden/>
              </w:rPr>
              <w:instrText xml:space="preserve"> PAGEREF _Toc188379085 \h </w:instrText>
            </w:r>
            <w:r w:rsidRPr="0041020C">
              <w:rPr>
                <w:webHidden/>
              </w:rPr>
            </w:r>
            <w:r w:rsidRPr="0041020C">
              <w:rPr>
                <w:webHidden/>
              </w:rPr>
              <w:fldChar w:fldCharType="separate"/>
            </w:r>
            <w:r w:rsidR="00EB6467">
              <w:rPr>
                <w:webHidden/>
              </w:rPr>
              <w:t>321</w:t>
            </w:r>
            <w:r w:rsidRPr="0041020C">
              <w:rPr>
                <w:webHidden/>
              </w:rPr>
              <w:fldChar w:fldCharType="end"/>
            </w:r>
          </w:hyperlink>
        </w:p>
        <w:p w14:paraId="6B5EF1D8" w14:textId="3399DFB2" w:rsidR="0074181E" w:rsidRDefault="003D770C" w:rsidP="001953BB">
          <w:r>
            <w:rPr>
              <w:rFonts w:asciiTheme="majorHAnsi" w:hAnsiTheme="majorHAnsi" w:cstheme="minorHAnsi"/>
              <w:b/>
              <w:bCs/>
              <w:sz w:val="20"/>
              <w:szCs w:val="20"/>
            </w:rPr>
            <w:fldChar w:fldCharType="end"/>
          </w:r>
        </w:p>
      </w:sdtContent>
    </w:sdt>
    <w:p w14:paraId="78835685" w14:textId="77777777" w:rsidR="001953BB" w:rsidRDefault="001953BB" w:rsidP="00DB1842">
      <w:pPr>
        <w:pStyle w:val="Heading1"/>
        <w:rPr>
          <w:lang w:val="en-US"/>
        </w:rPr>
      </w:pPr>
      <w:bookmarkStart w:id="12" w:name="_Toc188377391"/>
      <w:bookmarkStart w:id="13" w:name="_Toc188377633"/>
      <w:bookmarkStart w:id="14" w:name="_Toc188378967"/>
    </w:p>
    <w:p w14:paraId="1AAB692F" w14:textId="77777777" w:rsidR="001953BB" w:rsidRDefault="001953BB" w:rsidP="001953BB"/>
    <w:p w14:paraId="366829B1" w14:textId="77777777" w:rsidR="001953BB" w:rsidRDefault="001953BB" w:rsidP="00DB1842">
      <w:pPr>
        <w:pStyle w:val="Heading1"/>
        <w:rPr>
          <w:lang w:val="en-US"/>
        </w:rPr>
      </w:pPr>
    </w:p>
    <w:p w14:paraId="070ED7D9" w14:textId="77777777" w:rsidR="001953BB" w:rsidRDefault="001953BB" w:rsidP="00DB1842">
      <w:pPr>
        <w:pStyle w:val="Heading1"/>
        <w:rPr>
          <w:lang w:val="en-US"/>
        </w:rPr>
      </w:pPr>
    </w:p>
    <w:p w14:paraId="17ED3E3F" w14:textId="77777777" w:rsidR="001953BB" w:rsidRDefault="001953BB" w:rsidP="00DB1842">
      <w:pPr>
        <w:pStyle w:val="Heading1"/>
        <w:rPr>
          <w:lang w:val="en-US"/>
        </w:rPr>
      </w:pPr>
    </w:p>
    <w:p w14:paraId="6F808CD3" w14:textId="77777777" w:rsidR="001953BB" w:rsidRDefault="001953BB" w:rsidP="00DB1842">
      <w:pPr>
        <w:pStyle w:val="Heading1"/>
        <w:rPr>
          <w:lang w:val="en-US"/>
        </w:rPr>
      </w:pPr>
    </w:p>
    <w:p w14:paraId="7C780AE6" w14:textId="77777777" w:rsidR="001953BB" w:rsidRDefault="001953BB" w:rsidP="00DB1842">
      <w:pPr>
        <w:pStyle w:val="Heading1"/>
        <w:rPr>
          <w:lang w:val="en-US"/>
        </w:rPr>
      </w:pPr>
    </w:p>
    <w:p w14:paraId="5438B5E1" w14:textId="77777777" w:rsidR="001953BB" w:rsidRDefault="001953BB" w:rsidP="00DB1842">
      <w:pPr>
        <w:pStyle w:val="Heading1"/>
        <w:rPr>
          <w:lang w:val="en-US"/>
        </w:rPr>
      </w:pPr>
    </w:p>
    <w:p w14:paraId="6E41E35B" w14:textId="77777777" w:rsidR="001953BB" w:rsidRDefault="001953BB" w:rsidP="00DB1842">
      <w:pPr>
        <w:pStyle w:val="Heading1"/>
        <w:rPr>
          <w:lang w:val="en-US"/>
        </w:rPr>
      </w:pPr>
    </w:p>
    <w:p w14:paraId="7AEF3204" w14:textId="77777777" w:rsidR="001953BB" w:rsidRDefault="001953BB" w:rsidP="00DB1842">
      <w:pPr>
        <w:pStyle w:val="Heading1"/>
        <w:rPr>
          <w:lang w:val="en-US"/>
        </w:rPr>
      </w:pPr>
    </w:p>
    <w:p w14:paraId="615C4091" w14:textId="77777777" w:rsidR="001953BB" w:rsidRDefault="001953BB" w:rsidP="00DB1842">
      <w:pPr>
        <w:pStyle w:val="Heading1"/>
        <w:rPr>
          <w:lang w:val="en-US"/>
        </w:rPr>
      </w:pPr>
    </w:p>
    <w:p w14:paraId="68841906" w14:textId="77777777" w:rsidR="001953BB" w:rsidRDefault="001953BB" w:rsidP="00DB1842">
      <w:pPr>
        <w:pStyle w:val="Heading1"/>
        <w:rPr>
          <w:lang w:val="en-US"/>
        </w:rPr>
      </w:pPr>
    </w:p>
    <w:p w14:paraId="3A1A2B90" w14:textId="77777777" w:rsidR="001953BB" w:rsidRDefault="001953BB" w:rsidP="00DB1842">
      <w:pPr>
        <w:pStyle w:val="Heading1"/>
        <w:rPr>
          <w:lang w:val="en-US"/>
        </w:rPr>
      </w:pPr>
    </w:p>
    <w:p w14:paraId="163699BC" w14:textId="77777777" w:rsidR="001953BB" w:rsidRDefault="001953BB" w:rsidP="00DB1842">
      <w:pPr>
        <w:pStyle w:val="Heading1"/>
        <w:rPr>
          <w:lang w:val="en-US"/>
        </w:rPr>
      </w:pPr>
    </w:p>
    <w:p w14:paraId="70F38178" w14:textId="77777777" w:rsidR="001953BB" w:rsidRDefault="001953BB" w:rsidP="00DB1842">
      <w:pPr>
        <w:pStyle w:val="Heading1"/>
        <w:rPr>
          <w:lang w:val="en-US"/>
        </w:rPr>
      </w:pPr>
    </w:p>
    <w:p w14:paraId="426C83D2" w14:textId="77777777" w:rsidR="001953BB" w:rsidRDefault="001953BB" w:rsidP="00DB1842">
      <w:pPr>
        <w:pStyle w:val="Heading1"/>
        <w:rPr>
          <w:lang w:val="en-US"/>
        </w:rPr>
      </w:pPr>
    </w:p>
    <w:p w14:paraId="0EB48F00" w14:textId="77777777" w:rsidR="001953BB" w:rsidRDefault="001953BB" w:rsidP="00DB1842">
      <w:pPr>
        <w:pStyle w:val="Heading1"/>
        <w:rPr>
          <w:lang w:val="en-US"/>
        </w:rPr>
      </w:pPr>
    </w:p>
    <w:p w14:paraId="5D18374F" w14:textId="77777777" w:rsidR="001953BB" w:rsidRDefault="001953BB" w:rsidP="00DB1842">
      <w:pPr>
        <w:pStyle w:val="Heading1"/>
        <w:rPr>
          <w:lang w:val="en-US"/>
        </w:rPr>
      </w:pPr>
    </w:p>
    <w:p w14:paraId="1F983624" w14:textId="77777777" w:rsidR="001953BB" w:rsidRDefault="001953BB" w:rsidP="00DB1842">
      <w:pPr>
        <w:pStyle w:val="Heading1"/>
        <w:rPr>
          <w:lang w:val="en-US"/>
        </w:rPr>
      </w:pPr>
    </w:p>
    <w:p w14:paraId="2D8EB2A5" w14:textId="050EB090" w:rsidR="00FF1E19" w:rsidRDefault="00FF1E19" w:rsidP="001953BB">
      <w:pPr>
        <w:pStyle w:val="Heading1"/>
        <w:rPr>
          <w:noProof/>
        </w:rPr>
      </w:pPr>
      <w:r>
        <w:lastRenderedPageBreak/>
        <w:t>LIST OF TABLES</w:t>
      </w:r>
      <w:bookmarkEnd w:id="10"/>
      <w:bookmarkEnd w:id="11"/>
      <w:bookmarkEnd w:id="12"/>
      <w:bookmarkEnd w:id="13"/>
      <w:bookmarkEnd w:id="14"/>
      <w:r w:rsidR="00F83040">
        <w:fldChar w:fldCharType="begin"/>
      </w:r>
      <w:r w:rsidR="00F83040">
        <w:instrText xml:space="preserve"> TOC \h \z \t "Title" \c </w:instrText>
      </w:r>
      <w:r w:rsidR="00F83040">
        <w:fldChar w:fldCharType="separate"/>
      </w:r>
    </w:p>
    <w:p w14:paraId="259E8FAF" w14:textId="6EB9B4E6" w:rsidR="00DB1842" w:rsidRPr="001953BB" w:rsidRDefault="00F83040" w:rsidP="001953BB">
      <w:pPr>
        <w:rPr>
          <w:noProof/>
        </w:rPr>
      </w:pPr>
      <w:r>
        <w:fldChar w:fldCharType="end"/>
      </w:r>
      <w:r w:rsidR="00DB1842">
        <w:fldChar w:fldCharType="begin"/>
      </w:r>
      <w:r w:rsidR="00DB1842">
        <w:instrText xml:space="preserve"> TOC \h \z \t "Title" \c </w:instrText>
      </w:r>
      <w:r w:rsidR="00DB1842">
        <w:fldChar w:fldCharType="separate"/>
      </w:r>
      <w:hyperlink w:anchor="_Toc188366974" w:history="1">
        <w:r w:rsidR="00DB1842" w:rsidRPr="00EB60BA">
          <w:rPr>
            <w:rStyle w:val="Hyperlink"/>
            <w:noProof/>
          </w:rPr>
          <w:t>Table A1: Summary Statistics of Aggregate LIS location variables – Entries and Exits</w:t>
        </w:r>
        <w:r w:rsidR="00DB1842">
          <w:rPr>
            <w:noProof/>
            <w:webHidden/>
          </w:rPr>
          <w:tab/>
        </w:r>
        <w:r w:rsidR="00DB1842">
          <w:rPr>
            <w:noProof/>
            <w:webHidden/>
          </w:rPr>
          <w:fldChar w:fldCharType="begin"/>
        </w:r>
        <w:r w:rsidR="00DB1842">
          <w:rPr>
            <w:noProof/>
            <w:webHidden/>
          </w:rPr>
          <w:instrText xml:space="preserve"> PAGEREF _Toc188366974 \h </w:instrText>
        </w:r>
        <w:r w:rsidR="00DB1842">
          <w:rPr>
            <w:noProof/>
            <w:webHidden/>
          </w:rPr>
        </w:r>
        <w:r w:rsidR="00DB1842">
          <w:rPr>
            <w:noProof/>
            <w:webHidden/>
          </w:rPr>
          <w:fldChar w:fldCharType="separate"/>
        </w:r>
        <w:r w:rsidR="0083513D">
          <w:rPr>
            <w:noProof/>
            <w:webHidden/>
          </w:rPr>
          <w:t>71</w:t>
        </w:r>
        <w:r w:rsidR="00DB1842">
          <w:rPr>
            <w:noProof/>
            <w:webHidden/>
          </w:rPr>
          <w:fldChar w:fldCharType="end"/>
        </w:r>
      </w:hyperlink>
    </w:p>
    <w:p w14:paraId="4EFAE54B" w14:textId="1DE2DF77" w:rsidR="00DB1842" w:rsidRDefault="00DB1842" w:rsidP="001953BB">
      <w:pPr>
        <w:pStyle w:val="TableofFigures"/>
        <w:tabs>
          <w:tab w:val="right" w:leader="dot" w:pos="9350"/>
        </w:tabs>
        <w:rPr>
          <w:rFonts w:asciiTheme="minorHAnsi" w:eastAsiaTheme="minorEastAsia" w:hAnsiTheme="minorHAnsi" w:cstheme="minorBidi"/>
          <w:noProof/>
          <w:sz w:val="22"/>
          <w:szCs w:val="22"/>
          <w:lang/>
        </w:rPr>
      </w:pPr>
      <w:hyperlink w:anchor="_Toc188366975" w:history="1">
        <w:r w:rsidRPr="00EB60BA">
          <w:rPr>
            <w:rStyle w:val="Hyperlink"/>
            <w:noProof/>
          </w:rPr>
          <w:t>Table A2: GAP Definitions</w:t>
        </w:r>
        <w:r>
          <w:rPr>
            <w:noProof/>
            <w:webHidden/>
          </w:rPr>
          <w:tab/>
        </w:r>
        <w:r>
          <w:rPr>
            <w:noProof/>
            <w:webHidden/>
          </w:rPr>
          <w:fldChar w:fldCharType="begin"/>
        </w:r>
        <w:r>
          <w:rPr>
            <w:noProof/>
            <w:webHidden/>
          </w:rPr>
          <w:instrText xml:space="preserve"> PAGEREF _Toc188366975 \h </w:instrText>
        </w:r>
        <w:r>
          <w:rPr>
            <w:noProof/>
            <w:webHidden/>
          </w:rPr>
        </w:r>
        <w:r>
          <w:rPr>
            <w:noProof/>
            <w:webHidden/>
          </w:rPr>
          <w:fldChar w:fldCharType="separate"/>
        </w:r>
        <w:r w:rsidR="0083513D">
          <w:rPr>
            <w:noProof/>
            <w:webHidden/>
          </w:rPr>
          <w:t>75</w:t>
        </w:r>
        <w:r>
          <w:rPr>
            <w:noProof/>
            <w:webHidden/>
          </w:rPr>
          <w:fldChar w:fldCharType="end"/>
        </w:r>
      </w:hyperlink>
    </w:p>
    <w:p w14:paraId="0A3B5B58" w14:textId="581323CF" w:rsidR="00DB1842" w:rsidRDefault="00DB1842" w:rsidP="001953BB">
      <w:pPr>
        <w:pStyle w:val="TableofFigures"/>
        <w:tabs>
          <w:tab w:val="right" w:leader="dot" w:pos="9350"/>
        </w:tabs>
        <w:rPr>
          <w:rFonts w:asciiTheme="minorHAnsi" w:eastAsiaTheme="minorEastAsia" w:hAnsiTheme="minorHAnsi" w:cstheme="minorBidi"/>
          <w:noProof/>
          <w:sz w:val="22"/>
          <w:szCs w:val="22"/>
          <w:lang/>
        </w:rPr>
      </w:pPr>
      <w:hyperlink w:anchor="_Toc188366976" w:history="1">
        <w:r w:rsidRPr="00EB60BA">
          <w:rPr>
            <w:rStyle w:val="Hyperlink"/>
            <w:noProof/>
          </w:rPr>
          <w:t>Table A3: Summary Statistics of Explanatory Variables</w:t>
        </w:r>
        <w:r>
          <w:rPr>
            <w:noProof/>
            <w:webHidden/>
          </w:rPr>
          <w:tab/>
        </w:r>
        <w:r>
          <w:rPr>
            <w:noProof/>
            <w:webHidden/>
          </w:rPr>
          <w:fldChar w:fldCharType="begin"/>
        </w:r>
        <w:r>
          <w:rPr>
            <w:noProof/>
            <w:webHidden/>
          </w:rPr>
          <w:instrText xml:space="preserve"> PAGEREF _Toc188366976 \h </w:instrText>
        </w:r>
        <w:r>
          <w:rPr>
            <w:noProof/>
            <w:webHidden/>
          </w:rPr>
        </w:r>
        <w:r>
          <w:rPr>
            <w:noProof/>
            <w:webHidden/>
          </w:rPr>
          <w:fldChar w:fldCharType="separate"/>
        </w:r>
        <w:r w:rsidR="0083513D">
          <w:rPr>
            <w:noProof/>
            <w:webHidden/>
          </w:rPr>
          <w:t>84</w:t>
        </w:r>
        <w:r>
          <w:rPr>
            <w:noProof/>
            <w:webHidden/>
          </w:rPr>
          <w:fldChar w:fldCharType="end"/>
        </w:r>
      </w:hyperlink>
    </w:p>
    <w:p w14:paraId="222C046E" w14:textId="618B7417" w:rsidR="00DB1842" w:rsidRDefault="00DB1842" w:rsidP="001953BB">
      <w:pPr>
        <w:pStyle w:val="TableofFigures"/>
        <w:tabs>
          <w:tab w:val="right" w:leader="dot" w:pos="9350"/>
        </w:tabs>
        <w:rPr>
          <w:rFonts w:asciiTheme="minorHAnsi" w:eastAsiaTheme="minorEastAsia" w:hAnsiTheme="minorHAnsi" w:cstheme="minorBidi"/>
          <w:noProof/>
          <w:sz w:val="22"/>
          <w:szCs w:val="22"/>
          <w:lang/>
        </w:rPr>
      </w:pPr>
      <w:hyperlink w:anchor="_Toc188366977" w:history="1">
        <w:r w:rsidRPr="00EB60BA">
          <w:rPr>
            <w:rStyle w:val="Hyperlink"/>
            <w:noProof/>
          </w:rPr>
          <w:t>Table A4: Regression Results of Broad PADs on Aggregate LIS Entries</w:t>
        </w:r>
        <w:r>
          <w:rPr>
            <w:noProof/>
            <w:webHidden/>
          </w:rPr>
          <w:tab/>
        </w:r>
        <w:r>
          <w:rPr>
            <w:noProof/>
            <w:webHidden/>
          </w:rPr>
          <w:fldChar w:fldCharType="begin"/>
        </w:r>
        <w:r>
          <w:rPr>
            <w:noProof/>
            <w:webHidden/>
          </w:rPr>
          <w:instrText xml:space="preserve"> PAGEREF _Toc188366977 \h </w:instrText>
        </w:r>
        <w:r>
          <w:rPr>
            <w:noProof/>
            <w:webHidden/>
          </w:rPr>
        </w:r>
        <w:r>
          <w:rPr>
            <w:noProof/>
            <w:webHidden/>
          </w:rPr>
          <w:fldChar w:fldCharType="separate"/>
        </w:r>
        <w:r w:rsidR="0083513D">
          <w:rPr>
            <w:noProof/>
            <w:webHidden/>
          </w:rPr>
          <w:t>85</w:t>
        </w:r>
        <w:r>
          <w:rPr>
            <w:noProof/>
            <w:webHidden/>
          </w:rPr>
          <w:fldChar w:fldCharType="end"/>
        </w:r>
      </w:hyperlink>
    </w:p>
    <w:p w14:paraId="0DB2B20D" w14:textId="72364229" w:rsidR="00DB1842" w:rsidRDefault="00DB1842" w:rsidP="001953BB">
      <w:pPr>
        <w:pStyle w:val="TableofFigures"/>
        <w:tabs>
          <w:tab w:val="right" w:leader="dot" w:pos="9350"/>
        </w:tabs>
        <w:rPr>
          <w:rFonts w:asciiTheme="minorHAnsi" w:eastAsiaTheme="minorEastAsia" w:hAnsiTheme="minorHAnsi" w:cstheme="minorBidi"/>
          <w:noProof/>
          <w:sz w:val="22"/>
          <w:szCs w:val="22"/>
          <w:lang/>
        </w:rPr>
      </w:pPr>
      <w:hyperlink w:anchor="_Toc188366978" w:history="1">
        <w:r w:rsidRPr="00EB60BA">
          <w:rPr>
            <w:rStyle w:val="Hyperlink"/>
            <w:noProof/>
          </w:rPr>
          <w:t>Table A5: Regression Results of Strict PADs on Aggregate LIS Entries</w:t>
        </w:r>
        <w:r>
          <w:rPr>
            <w:noProof/>
            <w:webHidden/>
          </w:rPr>
          <w:tab/>
        </w:r>
        <w:r>
          <w:rPr>
            <w:noProof/>
            <w:webHidden/>
          </w:rPr>
          <w:fldChar w:fldCharType="begin"/>
        </w:r>
        <w:r>
          <w:rPr>
            <w:noProof/>
            <w:webHidden/>
          </w:rPr>
          <w:instrText xml:space="preserve"> PAGEREF _Toc188366978 \h </w:instrText>
        </w:r>
        <w:r>
          <w:rPr>
            <w:noProof/>
            <w:webHidden/>
          </w:rPr>
        </w:r>
        <w:r>
          <w:rPr>
            <w:noProof/>
            <w:webHidden/>
          </w:rPr>
          <w:fldChar w:fldCharType="separate"/>
        </w:r>
        <w:r w:rsidR="0083513D">
          <w:rPr>
            <w:noProof/>
            <w:webHidden/>
          </w:rPr>
          <w:t>87</w:t>
        </w:r>
        <w:r>
          <w:rPr>
            <w:noProof/>
            <w:webHidden/>
          </w:rPr>
          <w:fldChar w:fldCharType="end"/>
        </w:r>
      </w:hyperlink>
    </w:p>
    <w:p w14:paraId="1B655825" w14:textId="4163D901" w:rsidR="00DB1842" w:rsidRDefault="00DB1842" w:rsidP="001953BB">
      <w:pPr>
        <w:pStyle w:val="TableofFigures"/>
        <w:tabs>
          <w:tab w:val="right" w:leader="dot" w:pos="9350"/>
        </w:tabs>
        <w:rPr>
          <w:rFonts w:asciiTheme="minorHAnsi" w:eastAsiaTheme="minorEastAsia" w:hAnsiTheme="minorHAnsi" w:cstheme="minorBidi"/>
          <w:noProof/>
          <w:sz w:val="22"/>
          <w:szCs w:val="22"/>
          <w:lang/>
        </w:rPr>
      </w:pPr>
      <w:hyperlink w:anchor="_Toc188366979" w:history="1">
        <w:r w:rsidRPr="00EB60BA">
          <w:rPr>
            <w:rStyle w:val="Hyperlink"/>
            <w:noProof/>
          </w:rPr>
          <w:t>Table A6: Regression Results of Broad PADs on Aggregate LIS Exits</w:t>
        </w:r>
        <w:r>
          <w:rPr>
            <w:noProof/>
            <w:webHidden/>
          </w:rPr>
          <w:tab/>
        </w:r>
        <w:r>
          <w:rPr>
            <w:noProof/>
            <w:webHidden/>
          </w:rPr>
          <w:fldChar w:fldCharType="begin"/>
        </w:r>
        <w:r>
          <w:rPr>
            <w:noProof/>
            <w:webHidden/>
          </w:rPr>
          <w:instrText xml:space="preserve"> PAGEREF _Toc188366979 \h </w:instrText>
        </w:r>
        <w:r>
          <w:rPr>
            <w:noProof/>
            <w:webHidden/>
          </w:rPr>
        </w:r>
        <w:r>
          <w:rPr>
            <w:noProof/>
            <w:webHidden/>
          </w:rPr>
          <w:fldChar w:fldCharType="separate"/>
        </w:r>
        <w:r w:rsidR="0083513D">
          <w:rPr>
            <w:noProof/>
            <w:webHidden/>
          </w:rPr>
          <w:t>89</w:t>
        </w:r>
        <w:r>
          <w:rPr>
            <w:noProof/>
            <w:webHidden/>
          </w:rPr>
          <w:fldChar w:fldCharType="end"/>
        </w:r>
      </w:hyperlink>
    </w:p>
    <w:p w14:paraId="19F3387E" w14:textId="4F5740DE" w:rsidR="00DB1842" w:rsidRDefault="00DB1842" w:rsidP="001953BB">
      <w:pPr>
        <w:pStyle w:val="TableofFigures"/>
        <w:tabs>
          <w:tab w:val="right" w:leader="dot" w:pos="9350"/>
        </w:tabs>
        <w:rPr>
          <w:rFonts w:asciiTheme="minorHAnsi" w:eastAsiaTheme="minorEastAsia" w:hAnsiTheme="minorHAnsi" w:cstheme="minorBidi"/>
          <w:noProof/>
          <w:sz w:val="22"/>
          <w:szCs w:val="22"/>
          <w:lang/>
        </w:rPr>
      </w:pPr>
      <w:hyperlink w:anchor="_Toc188366980" w:history="1">
        <w:r w:rsidRPr="00EB60BA">
          <w:rPr>
            <w:rStyle w:val="Hyperlink"/>
            <w:noProof/>
          </w:rPr>
          <w:t>Table A7: Regression Results of Strict PADs on Aggregate LIS Exits</w:t>
        </w:r>
        <w:r>
          <w:rPr>
            <w:noProof/>
            <w:webHidden/>
          </w:rPr>
          <w:tab/>
        </w:r>
        <w:r>
          <w:rPr>
            <w:noProof/>
            <w:webHidden/>
          </w:rPr>
          <w:fldChar w:fldCharType="begin"/>
        </w:r>
        <w:r>
          <w:rPr>
            <w:noProof/>
            <w:webHidden/>
          </w:rPr>
          <w:instrText xml:space="preserve"> PAGEREF _Toc188366980 \h </w:instrText>
        </w:r>
        <w:r>
          <w:rPr>
            <w:noProof/>
            <w:webHidden/>
          </w:rPr>
        </w:r>
        <w:r>
          <w:rPr>
            <w:noProof/>
            <w:webHidden/>
          </w:rPr>
          <w:fldChar w:fldCharType="separate"/>
        </w:r>
        <w:r w:rsidR="0083513D">
          <w:rPr>
            <w:noProof/>
            <w:webHidden/>
          </w:rPr>
          <w:t>91</w:t>
        </w:r>
        <w:r>
          <w:rPr>
            <w:noProof/>
            <w:webHidden/>
          </w:rPr>
          <w:fldChar w:fldCharType="end"/>
        </w:r>
      </w:hyperlink>
    </w:p>
    <w:p w14:paraId="22CB0454" w14:textId="4AE47E43" w:rsidR="00DB1842" w:rsidRDefault="00DB1842" w:rsidP="001953BB">
      <w:pPr>
        <w:pStyle w:val="TableofFigures"/>
        <w:tabs>
          <w:tab w:val="right" w:leader="dot" w:pos="9350"/>
        </w:tabs>
        <w:rPr>
          <w:rFonts w:asciiTheme="minorHAnsi" w:eastAsiaTheme="minorEastAsia" w:hAnsiTheme="minorHAnsi" w:cstheme="minorBidi"/>
          <w:noProof/>
          <w:sz w:val="22"/>
          <w:szCs w:val="22"/>
          <w:lang/>
        </w:rPr>
      </w:pPr>
      <w:hyperlink w:anchor="_Toc188366981" w:history="1">
        <w:r w:rsidRPr="00EB60BA">
          <w:rPr>
            <w:rStyle w:val="Hyperlink"/>
            <w:noProof/>
          </w:rPr>
          <w:t>Table A8: Regression Results of Broad PADs on Entries by Sector</w:t>
        </w:r>
        <w:r>
          <w:rPr>
            <w:noProof/>
            <w:webHidden/>
          </w:rPr>
          <w:tab/>
        </w:r>
        <w:r>
          <w:rPr>
            <w:noProof/>
            <w:webHidden/>
          </w:rPr>
          <w:fldChar w:fldCharType="begin"/>
        </w:r>
        <w:r>
          <w:rPr>
            <w:noProof/>
            <w:webHidden/>
          </w:rPr>
          <w:instrText xml:space="preserve"> PAGEREF _Toc188366981 \h </w:instrText>
        </w:r>
        <w:r>
          <w:rPr>
            <w:noProof/>
            <w:webHidden/>
          </w:rPr>
        </w:r>
        <w:r>
          <w:rPr>
            <w:noProof/>
            <w:webHidden/>
          </w:rPr>
          <w:fldChar w:fldCharType="separate"/>
        </w:r>
        <w:r w:rsidR="0083513D">
          <w:rPr>
            <w:noProof/>
            <w:webHidden/>
          </w:rPr>
          <w:t>93</w:t>
        </w:r>
        <w:r>
          <w:rPr>
            <w:noProof/>
            <w:webHidden/>
          </w:rPr>
          <w:fldChar w:fldCharType="end"/>
        </w:r>
      </w:hyperlink>
    </w:p>
    <w:p w14:paraId="6171DA16" w14:textId="56E62CB0" w:rsidR="00DB1842" w:rsidRDefault="00DB1842" w:rsidP="001953BB">
      <w:pPr>
        <w:pStyle w:val="TableofFigures"/>
        <w:tabs>
          <w:tab w:val="right" w:leader="dot" w:pos="9350"/>
        </w:tabs>
        <w:rPr>
          <w:rFonts w:asciiTheme="minorHAnsi" w:eastAsiaTheme="minorEastAsia" w:hAnsiTheme="minorHAnsi" w:cstheme="minorBidi"/>
          <w:noProof/>
          <w:sz w:val="22"/>
          <w:szCs w:val="22"/>
          <w:lang/>
        </w:rPr>
      </w:pPr>
      <w:hyperlink w:anchor="_Toc188366982" w:history="1">
        <w:r w:rsidRPr="00EB60BA">
          <w:rPr>
            <w:rStyle w:val="Hyperlink"/>
            <w:noProof/>
          </w:rPr>
          <w:t>Table A9: Regression Results of Broad PADs on Entries by Sector</w:t>
        </w:r>
        <w:r>
          <w:rPr>
            <w:noProof/>
            <w:webHidden/>
          </w:rPr>
          <w:tab/>
        </w:r>
        <w:r>
          <w:rPr>
            <w:noProof/>
            <w:webHidden/>
          </w:rPr>
          <w:fldChar w:fldCharType="begin"/>
        </w:r>
        <w:r>
          <w:rPr>
            <w:noProof/>
            <w:webHidden/>
          </w:rPr>
          <w:instrText xml:space="preserve"> PAGEREF _Toc188366982 \h </w:instrText>
        </w:r>
        <w:r>
          <w:rPr>
            <w:noProof/>
            <w:webHidden/>
          </w:rPr>
        </w:r>
        <w:r>
          <w:rPr>
            <w:noProof/>
            <w:webHidden/>
          </w:rPr>
          <w:fldChar w:fldCharType="separate"/>
        </w:r>
        <w:r w:rsidR="0083513D">
          <w:rPr>
            <w:noProof/>
            <w:webHidden/>
          </w:rPr>
          <w:t>95</w:t>
        </w:r>
        <w:r>
          <w:rPr>
            <w:noProof/>
            <w:webHidden/>
          </w:rPr>
          <w:fldChar w:fldCharType="end"/>
        </w:r>
      </w:hyperlink>
    </w:p>
    <w:p w14:paraId="67C87A72" w14:textId="473D4EAA" w:rsidR="00DB1842" w:rsidRDefault="00DB1842" w:rsidP="001953BB">
      <w:pPr>
        <w:pStyle w:val="TableofFigures"/>
        <w:tabs>
          <w:tab w:val="right" w:leader="dot" w:pos="9350"/>
        </w:tabs>
        <w:rPr>
          <w:rFonts w:asciiTheme="minorHAnsi" w:eastAsiaTheme="minorEastAsia" w:hAnsiTheme="minorHAnsi" w:cstheme="minorBidi"/>
          <w:noProof/>
          <w:sz w:val="22"/>
          <w:szCs w:val="22"/>
          <w:lang/>
        </w:rPr>
      </w:pPr>
      <w:hyperlink w:anchor="_Toc188366983" w:history="1">
        <w:r w:rsidRPr="00EB60BA">
          <w:rPr>
            <w:rStyle w:val="Hyperlink"/>
            <w:noProof/>
          </w:rPr>
          <w:t>Table A10: Regression Results of Broad PADs on Exits by Sector</w:t>
        </w:r>
        <w:r>
          <w:rPr>
            <w:noProof/>
            <w:webHidden/>
          </w:rPr>
          <w:tab/>
        </w:r>
        <w:r>
          <w:rPr>
            <w:noProof/>
            <w:webHidden/>
          </w:rPr>
          <w:fldChar w:fldCharType="begin"/>
        </w:r>
        <w:r>
          <w:rPr>
            <w:noProof/>
            <w:webHidden/>
          </w:rPr>
          <w:instrText xml:space="preserve"> PAGEREF _Toc188366983 \h </w:instrText>
        </w:r>
        <w:r>
          <w:rPr>
            <w:noProof/>
            <w:webHidden/>
          </w:rPr>
        </w:r>
        <w:r>
          <w:rPr>
            <w:noProof/>
            <w:webHidden/>
          </w:rPr>
          <w:fldChar w:fldCharType="separate"/>
        </w:r>
        <w:r w:rsidR="0083513D">
          <w:rPr>
            <w:noProof/>
            <w:webHidden/>
          </w:rPr>
          <w:t>97</w:t>
        </w:r>
        <w:r>
          <w:rPr>
            <w:noProof/>
            <w:webHidden/>
          </w:rPr>
          <w:fldChar w:fldCharType="end"/>
        </w:r>
      </w:hyperlink>
    </w:p>
    <w:p w14:paraId="110E5C4E" w14:textId="0C5C4148" w:rsidR="00DB1842" w:rsidRDefault="00DB1842" w:rsidP="001953BB">
      <w:pPr>
        <w:pStyle w:val="TableofFigures"/>
        <w:tabs>
          <w:tab w:val="right" w:leader="dot" w:pos="9350"/>
        </w:tabs>
        <w:rPr>
          <w:rFonts w:asciiTheme="minorHAnsi" w:eastAsiaTheme="minorEastAsia" w:hAnsiTheme="minorHAnsi" w:cstheme="minorBidi"/>
          <w:noProof/>
          <w:sz w:val="22"/>
          <w:szCs w:val="22"/>
          <w:lang/>
        </w:rPr>
      </w:pPr>
      <w:hyperlink w:anchor="_Toc188366984" w:history="1">
        <w:r w:rsidRPr="00EB60BA">
          <w:rPr>
            <w:rStyle w:val="Hyperlink"/>
            <w:noProof/>
          </w:rPr>
          <w:t>Table A11: Regression Results of Broad PADs on Exits by Sector</w:t>
        </w:r>
        <w:r>
          <w:rPr>
            <w:noProof/>
            <w:webHidden/>
          </w:rPr>
          <w:tab/>
        </w:r>
        <w:r>
          <w:rPr>
            <w:noProof/>
            <w:webHidden/>
          </w:rPr>
          <w:fldChar w:fldCharType="begin"/>
        </w:r>
        <w:r>
          <w:rPr>
            <w:noProof/>
            <w:webHidden/>
          </w:rPr>
          <w:instrText xml:space="preserve"> PAGEREF _Toc188366984 \h </w:instrText>
        </w:r>
        <w:r>
          <w:rPr>
            <w:noProof/>
            <w:webHidden/>
          </w:rPr>
        </w:r>
        <w:r>
          <w:rPr>
            <w:noProof/>
            <w:webHidden/>
          </w:rPr>
          <w:fldChar w:fldCharType="separate"/>
        </w:r>
        <w:r w:rsidR="0083513D">
          <w:rPr>
            <w:noProof/>
            <w:webHidden/>
          </w:rPr>
          <w:t>99</w:t>
        </w:r>
        <w:r>
          <w:rPr>
            <w:noProof/>
            <w:webHidden/>
          </w:rPr>
          <w:fldChar w:fldCharType="end"/>
        </w:r>
      </w:hyperlink>
    </w:p>
    <w:p w14:paraId="6EF7DD99" w14:textId="41A14841" w:rsidR="00DB1842" w:rsidRDefault="00DB1842" w:rsidP="001953BB">
      <w:pPr>
        <w:pStyle w:val="TableofFigures"/>
        <w:tabs>
          <w:tab w:val="right" w:leader="dot" w:pos="9350"/>
        </w:tabs>
        <w:rPr>
          <w:rFonts w:asciiTheme="minorHAnsi" w:eastAsiaTheme="minorEastAsia" w:hAnsiTheme="minorHAnsi" w:cstheme="minorBidi"/>
          <w:noProof/>
          <w:sz w:val="22"/>
          <w:szCs w:val="22"/>
          <w:lang/>
        </w:rPr>
      </w:pPr>
      <w:hyperlink w:anchor="_Toc188366985" w:history="1">
        <w:r w:rsidRPr="00EB60BA">
          <w:rPr>
            <w:rStyle w:val="Hyperlink"/>
            <w:noProof/>
          </w:rPr>
          <w:t xml:space="preserve">Table A12: Regression Results of Broad </w:t>
        </w:r>
        <w:r w:rsidRPr="00EB60BA">
          <w:rPr>
            <w:rStyle w:val="Hyperlink"/>
            <w:rFonts w:ascii="SimSun" w:hAnsi="SimSun" w:cs="SimSun"/>
            <w:noProof/>
          </w:rPr>
          <w:t xml:space="preserve">PADs on </w:t>
        </w:r>
        <w:r w:rsidRPr="00EB60BA">
          <w:rPr>
            <w:rStyle w:val="Hyperlink"/>
            <w:noProof/>
          </w:rPr>
          <w:t>Total Entries</w:t>
        </w:r>
        <w:r>
          <w:rPr>
            <w:noProof/>
            <w:webHidden/>
          </w:rPr>
          <w:tab/>
        </w:r>
        <w:r>
          <w:rPr>
            <w:noProof/>
            <w:webHidden/>
          </w:rPr>
          <w:fldChar w:fldCharType="begin"/>
        </w:r>
        <w:r>
          <w:rPr>
            <w:noProof/>
            <w:webHidden/>
          </w:rPr>
          <w:instrText xml:space="preserve"> PAGEREF _Toc188366985 \h </w:instrText>
        </w:r>
        <w:r>
          <w:rPr>
            <w:noProof/>
            <w:webHidden/>
          </w:rPr>
        </w:r>
        <w:r>
          <w:rPr>
            <w:noProof/>
            <w:webHidden/>
          </w:rPr>
          <w:fldChar w:fldCharType="separate"/>
        </w:r>
        <w:r w:rsidR="0083513D">
          <w:rPr>
            <w:noProof/>
            <w:webHidden/>
          </w:rPr>
          <w:t>101</w:t>
        </w:r>
        <w:r>
          <w:rPr>
            <w:noProof/>
            <w:webHidden/>
          </w:rPr>
          <w:fldChar w:fldCharType="end"/>
        </w:r>
      </w:hyperlink>
    </w:p>
    <w:p w14:paraId="35FD1870" w14:textId="1BC65680" w:rsidR="00DB1842" w:rsidRDefault="00DB1842" w:rsidP="001953BB">
      <w:pPr>
        <w:pStyle w:val="TableofFigures"/>
        <w:tabs>
          <w:tab w:val="right" w:leader="dot" w:pos="9350"/>
        </w:tabs>
        <w:rPr>
          <w:rFonts w:asciiTheme="minorHAnsi" w:eastAsiaTheme="minorEastAsia" w:hAnsiTheme="minorHAnsi" w:cstheme="minorBidi"/>
          <w:noProof/>
          <w:sz w:val="22"/>
          <w:szCs w:val="22"/>
          <w:lang/>
        </w:rPr>
      </w:pPr>
      <w:hyperlink w:anchor="_Toc188366986" w:history="1">
        <w:r w:rsidRPr="00EB60BA">
          <w:rPr>
            <w:rStyle w:val="Hyperlink"/>
            <w:noProof/>
          </w:rPr>
          <w:t>Table A13: Regression Results of Broad PADs on Establishment Deaths</w:t>
        </w:r>
        <w:r>
          <w:rPr>
            <w:noProof/>
            <w:webHidden/>
          </w:rPr>
          <w:tab/>
        </w:r>
        <w:r>
          <w:rPr>
            <w:noProof/>
            <w:webHidden/>
          </w:rPr>
          <w:fldChar w:fldCharType="begin"/>
        </w:r>
        <w:r>
          <w:rPr>
            <w:noProof/>
            <w:webHidden/>
          </w:rPr>
          <w:instrText xml:space="preserve"> PAGEREF _Toc188366986 \h </w:instrText>
        </w:r>
        <w:r>
          <w:rPr>
            <w:noProof/>
            <w:webHidden/>
          </w:rPr>
        </w:r>
        <w:r>
          <w:rPr>
            <w:noProof/>
            <w:webHidden/>
          </w:rPr>
          <w:fldChar w:fldCharType="separate"/>
        </w:r>
        <w:r w:rsidR="0083513D">
          <w:rPr>
            <w:noProof/>
            <w:webHidden/>
          </w:rPr>
          <w:t>103</w:t>
        </w:r>
        <w:r>
          <w:rPr>
            <w:noProof/>
            <w:webHidden/>
          </w:rPr>
          <w:fldChar w:fldCharType="end"/>
        </w:r>
      </w:hyperlink>
    </w:p>
    <w:p w14:paraId="499F6338" w14:textId="1927D731" w:rsidR="00DB1842" w:rsidRDefault="00DB1842" w:rsidP="001953BB">
      <w:pPr>
        <w:pStyle w:val="TableofFigures"/>
        <w:tabs>
          <w:tab w:val="right" w:leader="dot" w:pos="9350"/>
        </w:tabs>
        <w:rPr>
          <w:rFonts w:asciiTheme="minorHAnsi" w:eastAsiaTheme="minorEastAsia" w:hAnsiTheme="minorHAnsi" w:cstheme="minorBidi"/>
          <w:noProof/>
          <w:sz w:val="22"/>
          <w:szCs w:val="22"/>
          <w:lang/>
        </w:rPr>
      </w:pPr>
      <w:hyperlink w:anchor="_Toc188366987" w:history="1">
        <w:r w:rsidRPr="00EB60BA">
          <w:rPr>
            <w:rStyle w:val="Hyperlink"/>
            <w:noProof/>
          </w:rPr>
          <w:t>Table A14: Regression Results of Broad PADs on Outward Relocations</w:t>
        </w:r>
        <w:r>
          <w:rPr>
            <w:noProof/>
            <w:webHidden/>
          </w:rPr>
          <w:tab/>
        </w:r>
        <w:r>
          <w:rPr>
            <w:noProof/>
            <w:webHidden/>
          </w:rPr>
          <w:fldChar w:fldCharType="begin"/>
        </w:r>
        <w:r>
          <w:rPr>
            <w:noProof/>
            <w:webHidden/>
          </w:rPr>
          <w:instrText xml:space="preserve"> PAGEREF _Toc188366987 \h </w:instrText>
        </w:r>
        <w:r>
          <w:rPr>
            <w:noProof/>
            <w:webHidden/>
          </w:rPr>
        </w:r>
        <w:r>
          <w:rPr>
            <w:noProof/>
            <w:webHidden/>
          </w:rPr>
          <w:fldChar w:fldCharType="separate"/>
        </w:r>
        <w:r w:rsidR="0083513D">
          <w:rPr>
            <w:noProof/>
            <w:webHidden/>
          </w:rPr>
          <w:t>105</w:t>
        </w:r>
        <w:r>
          <w:rPr>
            <w:noProof/>
            <w:webHidden/>
          </w:rPr>
          <w:fldChar w:fldCharType="end"/>
        </w:r>
      </w:hyperlink>
    </w:p>
    <w:p w14:paraId="02AE2FB8" w14:textId="7EB95B50" w:rsidR="00DB1842" w:rsidRDefault="00DB1842" w:rsidP="001953BB">
      <w:pPr>
        <w:pStyle w:val="TableofFigures"/>
        <w:tabs>
          <w:tab w:val="right" w:leader="dot" w:pos="9350"/>
        </w:tabs>
        <w:rPr>
          <w:rFonts w:asciiTheme="minorHAnsi" w:eastAsiaTheme="minorEastAsia" w:hAnsiTheme="minorHAnsi" w:cstheme="minorBidi"/>
          <w:noProof/>
          <w:sz w:val="22"/>
          <w:szCs w:val="22"/>
          <w:lang/>
        </w:rPr>
      </w:pPr>
      <w:hyperlink w:anchor="_Toc188366988" w:history="1">
        <w:r w:rsidRPr="00EB60BA">
          <w:rPr>
            <w:rStyle w:val="Hyperlink"/>
            <w:noProof/>
          </w:rPr>
          <w:t>Table A15: Regression Results of Broad PADs on Intra-State Outward Relocations</w:t>
        </w:r>
        <w:r>
          <w:rPr>
            <w:noProof/>
            <w:webHidden/>
          </w:rPr>
          <w:tab/>
        </w:r>
        <w:r>
          <w:rPr>
            <w:noProof/>
            <w:webHidden/>
          </w:rPr>
          <w:fldChar w:fldCharType="begin"/>
        </w:r>
        <w:r>
          <w:rPr>
            <w:noProof/>
            <w:webHidden/>
          </w:rPr>
          <w:instrText xml:space="preserve"> PAGEREF _Toc188366988 \h </w:instrText>
        </w:r>
        <w:r>
          <w:rPr>
            <w:noProof/>
            <w:webHidden/>
          </w:rPr>
        </w:r>
        <w:r>
          <w:rPr>
            <w:noProof/>
            <w:webHidden/>
          </w:rPr>
          <w:fldChar w:fldCharType="separate"/>
        </w:r>
        <w:r w:rsidR="0083513D">
          <w:rPr>
            <w:noProof/>
            <w:webHidden/>
          </w:rPr>
          <w:t>107</w:t>
        </w:r>
        <w:r>
          <w:rPr>
            <w:noProof/>
            <w:webHidden/>
          </w:rPr>
          <w:fldChar w:fldCharType="end"/>
        </w:r>
      </w:hyperlink>
    </w:p>
    <w:p w14:paraId="6F69472F" w14:textId="66B52FC2" w:rsidR="00DB1842" w:rsidRDefault="00DB1842" w:rsidP="001953BB">
      <w:pPr>
        <w:pStyle w:val="TableofFigures"/>
        <w:tabs>
          <w:tab w:val="right" w:leader="dot" w:pos="9350"/>
        </w:tabs>
        <w:rPr>
          <w:rFonts w:asciiTheme="minorHAnsi" w:eastAsiaTheme="minorEastAsia" w:hAnsiTheme="minorHAnsi" w:cstheme="minorBidi"/>
          <w:noProof/>
          <w:sz w:val="22"/>
          <w:szCs w:val="22"/>
          <w:lang/>
        </w:rPr>
      </w:pPr>
      <w:hyperlink w:anchor="_Toc188366989" w:history="1">
        <w:r w:rsidRPr="00EB60BA">
          <w:rPr>
            <w:rStyle w:val="Hyperlink"/>
            <w:noProof/>
          </w:rPr>
          <w:t>Table A16: Regression Results of Broad PADs on Inter-State Outward Relocations</w:t>
        </w:r>
        <w:r>
          <w:rPr>
            <w:noProof/>
            <w:webHidden/>
          </w:rPr>
          <w:tab/>
        </w:r>
        <w:r>
          <w:rPr>
            <w:noProof/>
            <w:webHidden/>
          </w:rPr>
          <w:fldChar w:fldCharType="begin"/>
        </w:r>
        <w:r>
          <w:rPr>
            <w:noProof/>
            <w:webHidden/>
          </w:rPr>
          <w:instrText xml:space="preserve"> PAGEREF _Toc188366989 \h </w:instrText>
        </w:r>
        <w:r>
          <w:rPr>
            <w:noProof/>
            <w:webHidden/>
          </w:rPr>
        </w:r>
        <w:r>
          <w:rPr>
            <w:noProof/>
            <w:webHidden/>
          </w:rPr>
          <w:fldChar w:fldCharType="separate"/>
        </w:r>
        <w:r w:rsidR="0083513D">
          <w:rPr>
            <w:noProof/>
            <w:webHidden/>
          </w:rPr>
          <w:t>109</w:t>
        </w:r>
        <w:r>
          <w:rPr>
            <w:noProof/>
            <w:webHidden/>
          </w:rPr>
          <w:fldChar w:fldCharType="end"/>
        </w:r>
      </w:hyperlink>
    </w:p>
    <w:p w14:paraId="34DCCFC3" w14:textId="3032FFD8" w:rsidR="00DB1842" w:rsidRDefault="00DB1842" w:rsidP="001953BB">
      <w:pPr>
        <w:pStyle w:val="TableofFigures"/>
        <w:tabs>
          <w:tab w:val="right" w:leader="dot" w:pos="9350"/>
        </w:tabs>
        <w:rPr>
          <w:rFonts w:asciiTheme="minorHAnsi" w:eastAsiaTheme="minorEastAsia" w:hAnsiTheme="minorHAnsi" w:cstheme="minorBidi"/>
          <w:noProof/>
          <w:sz w:val="22"/>
          <w:szCs w:val="22"/>
          <w:lang/>
        </w:rPr>
      </w:pPr>
      <w:hyperlink w:anchor="_Toc188366990" w:history="1">
        <w:r w:rsidRPr="00EB60BA">
          <w:rPr>
            <w:rStyle w:val="Hyperlink"/>
            <w:noProof/>
          </w:rPr>
          <w:t>Table A17: Regression Results of Broad PADs on Establishment Exits</w:t>
        </w:r>
        <w:r>
          <w:rPr>
            <w:noProof/>
            <w:webHidden/>
          </w:rPr>
          <w:tab/>
        </w:r>
        <w:r>
          <w:rPr>
            <w:noProof/>
            <w:webHidden/>
          </w:rPr>
          <w:fldChar w:fldCharType="begin"/>
        </w:r>
        <w:r>
          <w:rPr>
            <w:noProof/>
            <w:webHidden/>
          </w:rPr>
          <w:instrText xml:space="preserve"> PAGEREF _Toc188366990 \h </w:instrText>
        </w:r>
        <w:r>
          <w:rPr>
            <w:noProof/>
            <w:webHidden/>
          </w:rPr>
        </w:r>
        <w:r>
          <w:rPr>
            <w:noProof/>
            <w:webHidden/>
          </w:rPr>
          <w:fldChar w:fldCharType="separate"/>
        </w:r>
        <w:r w:rsidR="0083513D">
          <w:rPr>
            <w:noProof/>
            <w:webHidden/>
          </w:rPr>
          <w:t>111</w:t>
        </w:r>
        <w:r>
          <w:rPr>
            <w:noProof/>
            <w:webHidden/>
          </w:rPr>
          <w:fldChar w:fldCharType="end"/>
        </w:r>
      </w:hyperlink>
    </w:p>
    <w:p w14:paraId="161B35CC" w14:textId="6BE1C862" w:rsidR="00DB1842" w:rsidRDefault="00DB1842" w:rsidP="001953BB">
      <w:pPr>
        <w:pStyle w:val="TableofFigures"/>
        <w:tabs>
          <w:tab w:val="right" w:leader="dot" w:pos="9350"/>
        </w:tabs>
        <w:rPr>
          <w:rFonts w:asciiTheme="minorHAnsi" w:eastAsiaTheme="minorEastAsia" w:hAnsiTheme="minorHAnsi" w:cstheme="minorBidi"/>
          <w:noProof/>
          <w:sz w:val="22"/>
          <w:szCs w:val="22"/>
          <w:lang/>
        </w:rPr>
      </w:pPr>
      <w:hyperlink w:anchor="_Toc188366991" w:history="1">
        <w:r w:rsidRPr="00EB60BA">
          <w:rPr>
            <w:rStyle w:val="Hyperlink"/>
            <w:noProof/>
          </w:rPr>
          <w:t>Table A18: Regression Results of Strict PADs on Births</w:t>
        </w:r>
        <w:r>
          <w:rPr>
            <w:noProof/>
            <w:webHidden/>
          </w:rPr>
          <w:tab/>
        </w:r>
        <w:r>
          <w:rPr>
            <w:noProof/>
            <w:webHidden/>
          </w:rPr>
          <w:fldChar w:fldCharType="begin"/>
        </w:r>
        <w:r>
          <w:rPr>
            <w:noProof/>
            <w:webHidden/>
          </w:rPr>
          <w:instrText xml:space="preserve"> PAGEREF _Toc188366991 \h </w:instrText>
        </w:r>
        <w:r>
          <w:rPr>
            <w:noProof/>
            <w:webHidden/>
          </w:rPr>
        </w:r>
        <w:r>
          <w:rPr>
            <w:noProof/>
            <w:webHidden/>
          </w:rPr>
          <w:fldChar w:fldCharType="separate"/>
        </w:r>
        <w:r w:rsidR="0083513D">
          <w:rPr>
            <w:noProof/>
            <w:webHidden/>
          </w:rPr>
          <w:t>113</w:t>
        </w:r>
        <w:r>
          <w:rPr>
            <w:noProof/>
            <w:webHidden/>
          </w:rPr>
          <w:fldChar w:fldCharType="end"/>
        </w:r>
      </w:hyperlink>
    </w:p>
    <w:p w14:paraId="2CEB914D" w14:textId="2B6A7F72" w:rsidR="00DB1842" w:rsidRDefault="00DB1842" w:rsidP="001953BB">
      <w:pPr>
        <w:pStyle w:val="TableofFigures"/>
        <w:tabs>
          <w:tab w:val="right" w:leader="dot" w:pos="9350"/>
        </w:tabs>
        <w:rPr>
          <w:rFonts w:asciiTheme="minorHAnsi" w:eastAsiaTheme="minorEastAsia" w:hAnsiTheme="minorHAnsi" w:cstheme="minorBidi"/>
          <w:noProof/>
          <w:sz w:val="22"/>
          <w:szCs w:val="22"/>
          <w:lang/>
        </w:rPr>
      </w:pPr>
      <w:hyperlink w:anchor="_Toc188366992" w:history="1">
        <w:r w:rsidRPr="00EB60BA">
          <w:rPr>
            <w:rStyle w:val="Hyperlink"/>
            <w:noProof/>
          </w:rPr>
          <w:t>Table A19: Regression Results of Strict PADs on Inward Relocations</w:t>
        </w:r>
        <w:r>
          <w:rPr>
            <w:noProof/>
            <w:webHidden/>
          </w:rPr>
          <w:tab/>
        </w:r>
        <w:r>
          <w:rPr>
            <w:noProof/>
            <w:webHidden/>
          </w:rPr>
          <w:fldChar w:fldCharType="begin"/>
        </w:r>
        <w:r>
          <w:rPr>
            <w:noProof/>
            <w:webHidden/>
          </w:rPr>
          <w:instrText xml:space="preserve"> PAGEREF _Toc188366992 \h </w:instrText>
        </w:r>
        <w:r>
          <w:rPr>
            <w:noProof/>
            <w:webHidden/>
          </w:rPr>
        </w:r>
        <w:r>
          <w:rPr>
            <w:noProof/>
            <w:webHidden/>
          </w:rPr>
          <w:fldChar w:fldCharType="separate"/>
        </w:r>
        <w:r w:rsidR="0083513D">
          <w:rPr>
            <w:noProof/>
            <w:webHidden/>
          </w:rPr>
          <w:t>115</w:t>
        </w:r>
        <w:r>
          <w:rPr>
            <w:noProof/>
            <w:webHidden/>
          </w:rPr>
          <w:fldChar w:fldCharType="end"/>
        </w:r>
      </w:hyperlink>
    </w:p>
    <w:p w14:paraId="643207AB" w14:textId="5C97C761" w:rsidR="00DB1842" w:rsidRDefault="00DB1842" w:rsidP="001953BB">
      <w:pPr>
        <w:pStyle w:val="TableofFigures"/>
        <w:tabs>
          <w:tab w:val="right" w:leader="dot" w:pos="9350"/>
        </w:tabs>
        <w:rPr>
          <w:rFonts w:asciiTheme="minorHAnsi" w:eastAsiaTheme="minorEastAsia" w:hAnsiTheme="minorHAnsi" w:cstheme="minorBidi"/>
          <w:noProof/>
          <w:sz w:val="22"/>
          <w:szCs w:val="22"/>
          <w:lang/>
        </w:rPr>
      </w:pPr>
      <w:hyperlink w:anchor="_Toc188366993" w:history="1">
        <w:r w:rsidRPr="00EB60BA">
          <w:rPr>
            <w:rStyle w:val="Hyperlink"/>
            <w:noProof/>
          </w:rPr>
          <w:t>Table A20: Regression Results of Strict PADs on Intra-State Inward Relocations</w:t>
        </w:r>
        <w:r>
          <w:rPr>
            <w:noProof/>
            <w:webHidden/>
          </w:rPr>
          <w:tab/>
        </w:r>
        <w:r>
          <w:rPr>
            <w:noProof/>
            <w:webHidden/>
          </w:rPr>
          <w:fldChar w:fldCharType="begin"/>
        </w:r>
        <w:r>
          <w:rPr>
            <w:noProof/>
            <w:webHidden/>
          </w:rPr>
          <w:instrText xml:space="preserve"> PAGEREF _Toc188366993 \h </w:instrText>
        </w:r>
        <w:r>
          <w:rPr>
            <w:noProof/>
            <w:webHidden/>
          </w:rPr>
        </w:r>
        <w:r>
          <w:rPr>
            <w:noProof/>
            <w:webHidden/>
          </w:rPr>
          <w:fldChar w:fldCharType="separate"/>
        </w:r>
        <w:r w:rsidR="0083513D">
          <w:rPr>
            <w:noProof/>
            <w:webHidden/>
          </w:rPr>
          <w:t>117</w:t>
        </w:r>
        <w:r>
          <w:rPr>
            <w:noProof/>
            <w:webHidden/>
          </w:rPr>
          <w:fldChar w:fldCharType="end"/>
        </w:r>
      </w:hyperlink>
    </w:p>
    <w:p w14:paraId="6E5D1D02" w14:textId="42CD38C5" w:rsidR="00DB1842" w:rsidRDefault="00DB1842" w:rsidP="001953BB">
      <w:pPr>
        <w:pStyle w:val="TableofFigures"/>
        <w:tabs>
          <w:tab w:val="right" w:leader="dot" w:pos="9350"/>
        </w:tabs>
        <w:rPr>
          <w:rFonts w:asciiTheme="minorHAnsi" w:eastAsiaTheme="minorEastAsia" w:hAnsiTheme="minorHAnsi" w:cstheme="minorBidi"/>
          <w:noProof/>
          <w:sz w:val="22"/>
          <w:szCs w:val="22"/>
          <w:lang/>
        </w:rPr>
      </w:pPr>
      <w:hyperlink w:anchor="_Toc188366994" w:history="1">
        <w:r w:rsidRPr="00EB60BA">
          <w:rPr>
            <w:rStyle w:val="Hyperlink"/>
            <w:noProof/>
          </w:rPr>
          <w:t>Table A21: Regression Results of Strict PADs on Inter-State Inward Relocations</w:t>
        </w:r>
        <w:r>
          <w:rPr>
            <w:noProof/>
            <w:webHidden/>
          </w:rPr>
          <w:tab/>
        </w:r>
        <w:r>
          <w:rPr>
            <w:noProof/>
            <w:webHidden/>
          </w:rPr>
          <w:fldChar w:fldCharType="begin"/>
        </w:r>
        <w:r>
          <w:rPr>
            <w:noProof/>
            <w:webHidden/>
          </w:rPr>
          <w:instrText xml:space="preserve"> PAGEREF _Toc188366994 \h </w:instrText>
        </w:r>
        <w:r>
          <w:rPr>
            <w:noProof/>
            <w:webHidden/>
          </w:rPr>
        </w:r>
        <w:r>
          <w:rPr>
            <w:noProof/>
            <w:webHidden/>
          </w:rPr>
          <w:fldChar w:fldCharType="separate"/>
        </w:r>
        <w:r w:rsidR="0083513D">
          <w:rPr>
            <w:noProof/>
            <w:webHidden/>
          </w:rPr>
          <w:t>119</w:t>
        </w:r>
        <w:r>
          <w:rPr>
            <w:noProof/>
            <w:webHidden/>
          </w:rPr>
          <w:fldChar w:fldCharType="end"/>
        </w:r>
      </w:hyperlink>
    </w:p>
    <w:p w14:paraId="052ED988" w14:textId="7F001A60" w:rsidR="00DB1842" w:rsidRDefault="00DB1842" w:rsidP="001953BB">
      <w:pPr>
        <w:pStyle w:val="TableofFigures"/>
        <w:tabs>
          <w:tab w:val="right" w:leader="dot" w:pos="9350"/>
        </w:tabs>
        <w:rPr>
          <w:rFonts w:asciiTheme="minorHAnsi" w:eastAsiaTheme="minorEastAsia" w:hAnsiTheme="minorHAnsi" w:cstheme="minorBidi"/>
          <w:noProof/>
          <w:sz w:val="22"/>
          <w:szCs w:val="22"/>
          <w:lang/>
        </w:rPr>
      </w:pPr>
      <w:hyperlink w:anchor="_Toc188366995" w:history="1">
        <w:r w:rsidRPr="00EB60BA">
          <w:rPr>
            <w:rStyle w:val="Hyperlink"/>
            <w:noProof/>
          </w:rPr>
          <w:t>Table A22: Regression Results of Strict PADs on Total Entries</w:t>
        </w:r>
        <w:r>
          <w:rPr>
            <w:noProof/>
            <w:webHidden/>
          </w:rPr>
          <w:tab/>
        </w:r>
        <w:r>
          <w:rPr>
            <w:noProof/>
            <w:webHidden/>
          </w:rPr>
          <w:fldChar w:fldCharType="begin"/>
        </w:r>
        <w:r>
          <w:rPr>
            <w:noProof/>
            <w:webHidden/>
          </w:rPr>
          <w:instrText xml:space="preserve"> PAGEREF _Toc188366995 \h </w:instrText>
        </w:r>
        <w:r>
          <w:rPr>
            <w:noProof/>
            <w:webHidden/>
          </w:rPr>
        </w:r>
        <w:r>
          <w:rPr>
            <w:noProof/>
            <w:webHidden/>
          </w:rPr>
          <w:fldChar w:fldCharType="separate"/>
        </w:r>
        <w:r w:rsidR="0083513D">
          <w:rPr>
            <w:noProof/>
            <w:webHidden/>
          </w:rPr>
          <w:t>121</w:t>
        </w:r>
        <w:r>
          <w:rPr>
            <w:noProof/>
            <w:webHidden/>
          </w:rPr>
          <w:fldChar w:fldCharType="end"/>
        </w:r>
      </w:hyperlink>
    </w:p>
    <w:p w14:paraId="715BD6FF" w14:textId="342F1B1F" w:rsidR="00DB1842" w:rsidRDefault="00DB1842" w:rsidP="001953BB">
      <w:pPr>
        <w:pStyle w:val="TableofFigures"/>
        <w:tabs>
          <w:tab w:val="right" w:leader="dot" w:pos="9350"/>
        </w:tabs>
        <w:rPr>
          <w:rFonts w:asciiTheme="minorHAnsi" w:eastAsiaTheme="minorEastAsia" w:hAnsiTheme="minorHAnsi" w:cstheme="minorBidi"/>
          <w:noProof/>
          <w:sz w:val="22"/>
          <w:szCs w:val="22"/>
          <w:lang/>
        </w:rPr>
      </w:pPr>
      <w:hyperlink w:anchor="_Toc188366996" w:history="1">
        <w:r w:rsidRPr="00EB60BA">
          <w:rPr>
            <w:rStyle w:val="Hyperlink"/>
            <w:noProof/>
          </w:rPr>
          <w:t>Table A23: Regression Results of Strict PADs on Deaths</w:t>
        </w:r>
        <w:r>
          <w:rPr>
            <w:noProof/>
            <w:webHidden/>
          </w:rPr>
          <w:tab/>
        </w:r>
        <w:r>
          <w:rPr>
            <w:noProof/>
            <w:webHidden/>
          </w:rPr>
          <w:fldChar w:fldCharType="begin"/>
        </w:r>
        <w:r>
          <w:rPr>
            <w:noProof/>
            <w:webHidden/>
          </w:rPr>
          <w:instrText xml:space="preserve"> PAGEREF _Toc188366996 \h </w:instrText>
        </w:r>
        <w:r>
          <w:rPr>
            <w:noProof/>
            <w:webHidden/>
          </w:rPr>
        </w:r>
        <w:r>
          <w:rPr>
            <w:noProof/>
            <w:webHidden/>
          </w:rPr>
          <w:fldChar w:fldCharType="separate"/>
        </w:r>
        <w:r w:rsidR="0083513D">
          <w:rPr>
            <w:noProof/>
            <w:webHidden/>
          </w:rPr>
          <w:t>123</w:t>
        </w:r>
        <w:r>
          <w:rPr>
            <w:noProof/>
            <w:webHidden/>
          </w:rPr>
          <w:fldChar w:fldCharType="end"/>
        </w:r>
      </w:hyperlink>
    </w:p>
    <w:p w14:paraId="6B53F55C" w14:textId="6BFAC698" w:rsidR="00DB1842" w:rsidRDefault="00DB1842" w:rsidP="001953BB">
      <w:pPr>
        <w:pStyle w:val="TableofFigures"/>
        <w:tabs>
          <w:tab w:val="right" w:leader="dot" w:pos="9350"/>
        </w:tabs>
        <w:rPr>
          <w:rFonts w:asciiTheme="minorHAnsi" w:eastAsiaTheme="minorEastAsia" w:hAnsiTheme="minorHAnsi" w:cstheme="minorBidi"/>
          <w:noProof/>
          <w:sz w:val="22"/>
          <w:szCs w:val="22"/>
          <w:lang/>
        </w:rPr>
      </w:pPr>
      <w:hyperlink w:anchor="_Toc188366997" w:history="1">
        <w:r w:rsidRPr="00EB60BA">
          <w:rPr>
            <w:rStyle w:val="Hyperlink"/>
            <w:noProof/>
          </w:rPr>
          <w:t>Table A24: Regression Results of Strict PADs on Outward Relocations</w:t>
        </w:r>
        <w:r>
          <w:rPr>
            <w:noProof/>
            <w:webHidden/>
          </w:rPr>
          <w:tab/>
        </w:r>
        <w:r>
          <w:rPr>
            <w:noProof/>
            <w:webHidden/>
          </w:rPr>
          <w:fldChar w:fldCharType="begin"/>
        </w:r>
        <w:r>
          <w:rPr>
            <w:noProof/>
            <w:webHidden/>
          </w:rPr>
          <w:instrText xml:space="preserve"> PAGEREF _Toc188366997 \h </w:instrText>
        </w:r>
        <w:r>
          <w:rPr>
            <w:noProof/>
            <w:webHidden/>
          </w:rPr>
        </w:r>
        <w:r>
          <w:rPr>
            <w:noProof/>
            <w:webHidden/>
          </w:rPr>
          <w:fldChar w:fldCharType="separate"/>
        </w:r>
        <w:r w:rsidR="0083513D">
          <w:rPr>
            <w:noProof/>
            <w:webHidden/>
          </w:rPr>
          <w:t>125</w:t>
        </w:r>
        <w:r>
          <w:rPr>
            <w:noProof/>
            <w:webHidden/>
          </w:rPr>
          <w:fldChar w:fldCharType="end"/>
        </w:r>
      </w:hyperlink>
    </w:p>
    <w:p w14:paraId="0EF8CD06" w14:textId="67D75A29" w:rsidR="00DB1842" w:rsidRDefault="00DB1842" w:rsidP="001953BB">
      <w:pPr>
        <w:pStyle w:val="TableofFigures"/>
        <w:tabs>
          <w:tab w:val="right" w:leader="dot" w:pos="9350"/>
        </w:tabs>
        <w:rPr>
          <w:rFonts w:asciiTheme="minorHAnsi" w:eastAsiaTheme="minorEastAsia" w:hAnsiTheme="minorHAnsi" w:cstheme="minorBidi"/>
          <w:noProof/>
          <w:sz w:val="22"/>
          <w:szCs w:val="22"/>
          <w:lang/>
        </w:rPr>
      </w:pPr>
      <w:hyperlink w:anchor="_Toc188366998" w:history="1">
        <w:r w:rsidRPr="00EB60BA">
          <w:rPr>
            <w:rStyle w:val="Hyperlink"/>
            <w:noProof/>
          </w:rPr>
          <w:t>Table A25: Regression Results of Strict PADs on Intra-State Outward Relocations</w:t>
        </w:r>
        <w:r>
          <w:rPr>
            <w:noProof/>
            <w:webHidden/>
          </w:rPr>
          <w:tab/>
        </w:r>
        <w:r>
          <w:rPr>
            <w:noProof/>
            <w:webHidden/>
          </w:rPr>
          <w:fldChar w:fldCharType="begin"/>
        </w:r>
        <w:r>
          <w:rPr>
            <w:noProof/>
            <w:webHidden/>
          </w:rPr>
          <w:instrText xml:space="preserve"> PAGEREF _Toc188366998 \h </w:instrText>
        </w:r>
        <w:r>
          <w:rPr>
            <w:noProof/>
            <w:webHidden/>
          </w:rPr>
        </w:r>
        <w:r>
          <w:rPr>
            <w:noProof/>
            <w:webHidden/>
          </w:rPr>
          <w:fldChar w:fldCharType="separate"/>
        </w:r>
        <w:r w:rsidR="0083513D">
          <w:rPr>
            <w:noProof/>
            <w:webHidden/>
          </w:rPr>
          <w:t>127</w:t>
        </w:r>
        <w:r>
          <w:rPr>
            <w:noProof/>
            <w:webHidden/>
          </w:rPr>
          <w:fldChar w:fldCharType="end"/>
        </w:r>
      </w:hyperlink>
    </w:p>
    <w:p w14:paraId="79DE29BB" w14:textId="7269DE81" w:rsidR="00DB1842" w:rsidRDefault="00DB1842" w:rsidP="001953BB">
      <w:pPr>
        <w:pStyle w:val="TableofFigures"/>
        <w:tabs>
          <w:tab w:val="right" w:leader="dot" w:pos="9350"/>
        </w:tabs>
        <w:rPr>
          <w:rFonts w:asciiTheme="minorHAnsi" w:eastAsiaTheme="minorEastAsia" w:hAnsiTheme="minorHAnsi" w:cstheme="minorBidi"/>
          <w:noProof/>
          <w:sz w:val="22"/>
          <w:szCs w:val="22"/>
          <w:lang/>
        </w:rPr>
      </w:pPr>
      <w:hyperlink w:anchor="_Toc188366999" w:history="1">
        <w:r w:rsidRPr="00EB60BA">
          <w:rPr>
            <w:rStyle w:val="Hyperlink"/>
            <w:noProof/>
          </w:rPr>
          <w:t>Table A26: Regression Results of Strict PADs on Inter-State Outward Relocations</w:t>
        </w:r>
        <w:r>
          <w:rPr>
            <w:noProof/>
            <w:webHidden/>
          </w:rPr>
          <w:tab/>
        </w:r>
        <w:r>
          <w:rPr>
            <w:noProof/>
            <w:webHidden/>
          </w:rPr>
          <w:fldChar w:fldCharType="begin"/>
        </w:r>
        <w:r>
          <w:rPr>
            <w:noProof/>
            <w:webHidden/>
          </w:rPr>
          <w:instrText xml:space="preserve"> PAGEREF _Toc188366999 \h </w:instrText>
        </w:r>
        <w:r>
          <w:rPr>
            <w:noProof/>
            <w:webHidden/>
          </w:rPr>
        </w:r>
        <w:r>
          <w:rPr>
            <w:noProof/>
            <w:webHidden/>
          </w:rPr>
          <w:fldChar w:fldCharType="separate"/>
        </w:r>
        <w:r w:rsidR="0083513D">
          <w:rPr>
            <w:noProof/>
            <w:webHidden/>
          </w:rPr>
          <w:t>129</w:t>
        </w:r>
        <w:r>
          <w:rPr>
            <w:noProof/>
            <w:webHidden/>
          </w:rPr>
          <w:fldChar w:fldCharType="end"/>
        </w:r>
      </w:hyperlink>
    </w:p>
    <w:p w14:paraId="5AF3E0DF" w14:textId="5FF089B0" w:rsidR="00DB1842" w:rsidRDefault="00DB1842" w:rsidP="001953BB">
      <w:pPr>
        <w:pStyle w:val="TableofFigures"/>
        <w:tabs>
          <w:tab w:val="right" w:leader="dot" w:pos="9350"/>
        </w:tabs>
        <w:rPr>
          <w:rFonts w:asciiTheme="minorHAnsi" w:eastAsiaTheme="minorEastAsia" w:hAnsiTheme="minorHAnsi" w:cstheme="minorBidi"/>
          <w:noProof/>
          <w:sz w:val="22"/>
          <w:szCs w:val="22"/>
          <w:lang/>
        </w:rPr>
      </w:pPr>
      <w:hyperlink w:anchor="_Toc188367000" w:history="1">
        <w:r w:rsidRPr="00EB60BA">
          <w:rPr>
            <w:rStyle w:val="Hyperlink"/>
            <w:noProof/>
          </w:rPr>
          <w:t>Table A27: Regression Results of Strict PADs on Total Exits</w:t>
        </w:r>
        <w:r>
          <w:rPr>
            <w:noProof/>
            <w:webHidden/>
          </w:rPr>
          <w:tab/>
        </w:r>
        <w:r>
          <w:rPr>
            <w:noProof/>
            <w:webHidden/>
          </w:rPr>
          <w:fldChar w:fldCharType="begin"/>
        </w:r>
        <w:r>
          <w:rPr>
            <w:noProof/>
            <w:webHidden/>
          </w:rPr>
          <w:instrText xml:space="preserve"> PAGEREF _Toc188367000 \h </w:instrText>
        </w:r>
        <w:r>
          <w:rPr>
            <w:noProof/>
            <w:webHidden/>
          </w:rPr>
        </w:r>
        <w:r>
          <w:rPr>
            <w:noProof/>
            <w:webHidden/>
          </w:rPr>
          <w:fldChar w:fldCharType="separate"/>
        </w:r>
        <w:r w:rsidR="0083513D">
          <w:rPr>
            <w:noProof/>
            <w:webHidden/>
          </w:rPr>
          <w:t>131</w:t>
        </w:r>
        <w:r>
          <w:rPr>
            <w:noProof/>
            <w:webHidden/>
          </w:rPr>
          <w:fldChar w:fldCharType="end"/>
        </w:r>
      </w:hyperlink>
    </w:p>
    <w:p w14:paraId="5906A141" w14:textId="6A8D8DB7" w:rsidR="00DB1842" w:rsidRDefault="00DB1842" w:rsidP="001953BB">
      <w:pPr>
        <w:pStyle w:val="TableofFigures"/>
        <w:tabs>
          <w:tab w:val="right" w:leader="dot" w:pos="9350"/>
        </w:tabs>
        <w:rPr>
          <w:rFonts w:asciiTheme="minorHAnsi" w:eastAsiaTheme="minorEastAsia" w:hAnsiTheme="minorHAnsi" w:cstheme="minorBidi"/>
          <w:noProof/>
          <w:sz w:val="22"/>
          <w:szCs w:val="22"/>
          <w:lang/>
        </w:rPr>
      </w:pPr>
      <w:hyperlink w:anchor="_Toc188367001" w:history="1">
        <w:r w:rsidRPr="00EB60BA">
          <w:rPr>
            <w:rStyle w:val="Hyperlink"/>
            <w:noProof/>
          </w:rPr>
          <w:t>Table A28: Summary Statistics of Additional Sectoral Explanatory Variables</w:t>
        </w:r>
        <w:r>
          <w:rPr>
            <w:noProof/>
            <w:webHidden/>
          </w:rPr>
          <w:tab/>
        </w:r>
        <w:r>
          <w:rPr>
            <w:noProof/>
            <w:webHidden/>
          </w:rPr>
          <w:fldChar w:fldCharType="begin"/>
        </w:r>
        <w:r>
          <w:rPr>
            <w:noProof/>
            <w:webHidden/>
          </w:rPr>
          <w:instrText xml:space="preserve"> PAGEREF _Toc188367001 \h </w:instrText>
        </w:r>
        <w:r>
          <w:rPr>
            <w:noProof/>
            <w:webHidden/>
          </w:rPr>
        </w:r>
        <w:r>
          <w:rPr>
            <w:noProof/>
            <w:webHidden/>
          </w:rPr>
          <w:fldChar w:fldCharType="separate"/>
        </w:r>
        <w:r w:rsidR="0083513D">
          <w:rPr>
            <w:noProof/>
            <w:webHidden/>
          </w:rPr>
          <w:t>133</w:t>
        </w:r>
        <w:r>
          <w:rPr>
            <w:noProof/>
            <w:webHidden/>
          </w:rPr>
          <w:fldChar w:fldCharType="end"/>
        </w:r>
      </w:hyperlink>
    </w:p>
    <w:p w14:paraId="6E651713" w14:textId="50F3979B" w:rsidR="00DB1842" w:rsidRDefault="00DB1842" w:rsidP="001953BB">
      <w:pPr>
        <w:pStyle w:val="TableofFigures"/>
        <w:tabs>
          <w:tab w:val="right" w:leader="dot" w:pos="9350"/>
        </w:tabs>
        <w:rPr>
          <w:rFonts w:asciiTheme="minorHAnsi" w:eastAsiaTheme="minorEastAsia" w:hAnsiTheme="minorHAnsi" w:cstheme="minorBidi"/>
          <w:noProof/>
          <w:sz w:val="22"/>
          <w:szCs w:val="22"/>
          <w:lang/>
        </w:rPr>
      </w:pPr>
      <w:hyperlink w:anchor="_Toc188367002" w:history="1">
        <w:r w:rsidRPr="00EB60BA">
          <w:rPr>
            <w:rStyle w:val="Hyperlink"/>
            <w:noProof/>
          </w:rPr>
          <w:t>Table A29: Summary Statistics of Sector Outcome Variables</w:t>
        </w:r>
        <w:r>
          <w:rPr>
            <w:noProof/>
            <w:webHidden/>
          </w:rPr>
          <w:tab/>
        </w:r>
        <w:r>
          <w:rPr>
            <w:noProof/>
            <w:webHidden/>
          </w:rPr>
          <w:fldChar w:fldCharType="begin"/>
        </w:r>
        <w:r>
          <w:rPr>
            <w:noProof/>
            <w:webHidden/>
          </w:rPr>
          <w:instrText xml:space="preserve"> PAGEREF _Toc188367002 \h </w:instrText>
        </w:r>
        <w:r>
          <w:rPr>
            <w:noProof/>
            <w:webHidden/>
          </w:rPr>
        </w:r>
        <w:r>
          <w:rPr>
            <w:noProof/>
            <w:webHidden/>
          </w:rPr>
          <w:fldChar w:fldCharType="separate"/>
        </w:r>
        <w:r w:rsidR="0083513D">
          <w:rPr>
            <w:noProof/>
            <w:webHidden/>
          </w:rPr>
          <w:t>134</w:t>
        </w:r>
        <w:r>
          <w:rPr>
            <w:noProof/>
            <w:webHidden/>
          </w:rPr>
          <w:fldChar w:fldCharType="end"/>
        </w:r>
      </w:hyperlink>
    </w:p>
    <w:p w14:paraId="37331349" w14:textId="629462F2" w:rsidR="00DB1842" w:rsidRDefault="00DB1842" w:rsidP="001953BB">
      <w:pPr>
        <w:pStyle w:val="TableofFigures"/>
        <w:tabs>
          <w:tab w:val="right" w:leader="dot" w:pos="9350"/>
        </w:tabs>
        <w:rPr>
          <w:rFonts w:asciiTheme="minorHAnsi" w:eastAsiaTheme="minorEastAsia" w:hAnsiTheme="minorHAnsi" w:cstheme="minorBidi"/>
          <w:noProof/>
          <w:sz w:val="22"/>
          <w:szCs w:val="22"/>
          <w:lang/>
        </w:rPr>
      </w:pPr>
      <w:hyperlink w:anchor="_Toc188367003" w:history="1">
        <w:r w:rsidRPr="00EB60BA">
          <w:rPr>
            <w:rStyle w:val="Hyperlink"/>
            <w:noProof/>
          </w:rPr>
          <w:t>Table A30: Summary Statistics of Dependent Variables by Sector</w:t>
        </w:r>
        <w:r>
          <w:rPr>
            <w:noProof/>
            <w:webHidden/>
          </w:rPr>
          <w:tab/>
        </w:r>
        <w:r>
          <w:rPr>
            <w:noProof/>
            <w:webHidden/>
          </w:rPr>
          <w:fldChar w:fldCharType="begin"/>
        </w:r>
        <w:r>
          <w:rPr>
            <w:noProof/>
            <w:webHidden/>
          </w:rPr>
          <w:instrText xml:space="preserve"> PAGEREF _Toc188367003 \h </w:instrText>
        </w:r>
        <w:r>
          <w:rPr>
            <w:noProof/>
            <w:webHidden/>
          </w:rPr>
        </w:r>
        <w:r>
          <w:rPr>
            <w:noProof/>
            <w:webHidden/>
          </w:rPr>
          <w:fldChar w:fldCharType="separate"/>
        </w:r>
        <w:r w:rsidR="0083513D">
          <w:rPr>
            <w:noProof/>
            <w:webHidden/>
          </w:rPr>
          <w:t>205</w:t>
        </w:r>
        <w:r>
          <w:rPr>
            <w:noProof/>
            <w:webHidden/>
          </w:rPr>
          <w:fldChar w:fldCharType="end"/>
        </w:r>
      </w:hyperlink>
    </w:p>
    <w:p w14:paraId="3D77BA33" w14:textId="5B93E5F5" w:rsidR="00DB1842" w:rsidRDefault="00DB1842" w:rsidP="001953BB">
      <w:pPr>
        <w:pStyle w:val="TableofFigures"/>
        <w:tabs>
          <w:tab w:val="right" w:leader="dot" w:pos="9350"/>
        </w:tabs>
        <w:rPr>
          <w:rFonts w:asciiTheme="minorHAnsi" w:eastAsiaTheme="minorEastAsia" w:hAnsiTheme="minorHAnsi" w:cstheme="minorBidi"/>
          <w:noProof/>
          <w:sz w:val="22"/>
          <w:szCs w:val="22"/>
          <w:lang/>
        </w:rPr>
      </w:pPr>
      <w:hyperlink w:anchor="_Toc188367004" w:history="1">
        <w:r w:rsidRPr="00EB60BA">
          <w:rPr>
            <w:rStyle w:val="Hyperlink"/>
            <w:noProof/>
          </w:rPr>
          <w:t>Table A31: Summary Statistics for Explanatory Variables (1998-2018)</w:t>
        </w:r>
        <w:r>
          <w:rPr>
            <w:noProof/>
            <w:webHidden/>
          </w:rPr>
          <w:tab/>
        </w:r>
        <w:r>
          <w:rPr>
            <w:noProof/>
            <w:webHidden/>
          </w:rPr>
          <w:fldChar w:fldCharType="begin"/>
        </w:r>
        <w:r>
          <w:rPr>
            <w:noProof/>
            <w:webHidden/>
          </w:rPr>
          <w:instrText xml:space="preserve"> PAGEREF _Toc188367004 \h </w:instrText>
        </w:r>
        <w:r>
          <w:rPr>
            <w:noProof/>
            <w:webHidden/>
          </w:rPr>
        </w:r>
        <w:r>
          <w:rPr>
            <w:noProof/>
            <w:webHidden/>
          </w:rPr>
          <w:fldChar w:fldCharType="separate"/>
        </w:r>
        <w:r w:rsidR="0083513D">
          <w:rPr>
            <w:noProof/>
            <w:webHidden/>
          </w:rPr>
          <w:t>208</w:t>
        </w:r>
        <w:r>
          <w:rPr>
            <w:noProof/>
            <w:webHidden/>
          </w:rPr>
          <w:fldChar w:fldCharType="end"/>
        </w:r>
      </w:hyperlink>
    </w:p>
    <w:p w14:paraId="352F18D6" w14:textId="4E3099ED" w:rsidR="00DB1842" w:rsidRDefault="00DB1842" w:rsidP="001953BB">
      <w:pPr>
        <w:pStyle w:val="TableofFigures"/>
        <w:tabs>
          <w:tab w:val="right" w:leader="dot" w:pos="9350"/>
        </w:tabs>
        <w:rPr>
          <w:rFonts w:asciiTheme="minorHAnsi" w:eastAsiaTheme="minorEastAsia" w:hAnsiTheme="minorHAnsi" w:cstheme="minorBidi"/>
          <w:noProof/>
          <w:sz w:val="22"/>
          <w:szCs w:val="22"/>
          <w:lang/>
        </w:rPr>
      </w:pPr>
      <w:hyperlink w:anchor="_Toc188367005" w:history="1">
        <w:r w:rsidRPr="00EB60BA">
          <w:rPr>
            <w:rStyle w:val="Hyperlink"/>
            <w:noProof/>
          </w:rPr>
          <w:t>Table A32: Summary of LIS Regression Results: Wildfire Frequency and Intensity</w:t>
        </w:r>
        <w:r>
          <w:rPr>
            <w:noProof/>
            <w:webHidden/>
          </w:rPr>
          <w:tab/>
        </w:r>
        <w:r>
          <w:rPr>
            <w:noProof/>
            <w:webHidden/>
          </w:rPr>
          <w:fldChar w:fldCharType="begin"/>
        </w:r>
        <w:r>
          <w:rPr>
            <w:noProof/>
            <w:webHidden/>
          </w:rPr>
          <w:instrText xml:space="preserve"> PAGEREF _Toc188367005 \h </w:instrText>
        </w:r>
        <w:r>
          <w:rPr>
            <w:noProof/>
            <w:webHidden/>
          </w:rPr>
        </w:r>
        <w:r>
          <w:rPr>
            <w:noProof/>
            <w:webHidden/>
          </w:rPr>
          <w:fldChar w:fldCharType="separate"/>
        </w:r>
        <w:r w:rsidR="0083513D">
          <w:rPr>
            <w:noProof/>
            <w:webHidden/>
          </w:rPr>
          <w:t>211</w:t>
        </w:r>
        <w:r>
          <w:rPr>
            <w:noProof/>
            <w:webHidden/>
          </w:rPr>
          <w:fldChar w:fldCharType="end"/>
        </w:r>
      </w:hyperlink>
    </w:p>
    <w:p w14:paraId="6AD88934" w14:textId="1842D51E" w:rsidR="00DB1842" w:rsidRDefault="00DB1842" w:rsidP="001953BB">
      <w:pPr>
        <w:pStyle w:val="TableofFigures"/>
        <w:tabs>
          <w:tab w:val="right" w:leader="dot" w:pos="9350"/>
        </w:tabs>
        <w:rPr>
          <w:rFonts w:asciiTheme="minorHAnsi" w:eastAsiaTheme="minorEastAsia" w:hAnsiTheme="minorHAnsi" w:cstheme="minorBidi"/>
          <w:noProof/>
          <w:sz w:val="22"/>
          <w:szCs w:val="22"/>
          <w:lang/>
        </w:rPr>
      </w:pPr>
      <w:hyperlink w:anchor="_Toc188367006" w:history="1">
        <w:r w:rsidRPr="00EB60BA">
          <w:rPr>
            <w:rStyle w:val="Hyperlink"/>
            <w:noProof/>
          </w:rPr>
          <w:t>Table A33: Sector-Specific Regression Results: Wildfire Frequency</w:t>
        </w:r>
        <w:r>
          <w:rPr>
            <w:noProof/>
            <w:webHidden/>
          </w:rPr>
          <w:tab/>
        </w:r>
        <w:r>
          <w:rPr>
            <w:noProof/>
            <w:webHidden/>
          </w:rPr>
          <w:fldChar w:fldCharType="begin"/>
        </w:r>
        <w:r>
          <w:rPr>
            <w:noProof/>
            <w:webHidden/>
          </w:rPr>
          <w:instrText xml:space="preserve"> PAGEREF _Toc188367006 \h </w:instrText>
        </w:r>
        <w:r>
          <w:rPr>
            <w:noProof/>
            <w:webHidden/>
          </w:rPr>
        </w:r>
        <w:r>
          <w:rPr>
            <w:noProof/>
            <w:webHidden/>
          </w:rPr>
          <w:fldChar w:fldCharType="separate"/>
        </w:r>
        <w:r w:rsidR="0083513D">
          <w:rPr>
            <w:noProof/>
            <w:webHidden/>
          </w:rPr>
          <w:t>212</w:t>
        </w:r>
        <w:r>
          <w:rPr>
            <w:noProof/>
            <w:webHidden/>
          </w:rPr>
          <w:fldChar w:fldCharType="end"/>
        </w:r>
      </w:hyperlink>
    </w:p>
    <w:p w14:paraId="10148A54" w14:textId="4E1E88EC" w:rsidR="00DB1842" w:rsidRDefault="00DB1842" w:rsidP="001953BB">
      <w:pPr>
        <w:pStyle w:val="TableofFigures"/>
        <w:tabs>
          <w:tab w:val="right" w:leader="dot" w:pos="9350"/>
        </w:tabs>
        <w:rPr>
          <w:rFonts w:asciiTheme="minorHAnsi" w:eastAsiaTheme="minorEastAsia" w:hAnsiTheme="minorHAnsi" w:cstheme="minorBidi"/>
          <w:noProof/>
          <w:sz w:val="22"/>
          <w:szCs w:val="22"/>
          <w:lang/>
        </w:rPr>
      </w:pPr>
      <w:hyperlink w:anchor="_Toc188367007" w:history="1">
        <w:r w:rsidRPr="00EB60BA">
          <w:rPr>
            <w:rStyle w:val="Hyperlink"/>
            <w:noProof/>
          </w:rPr>
          <w:t>Table A34: Sector-Specific Regression Results: Wildfire Intensity</w:t>
        </w:r>
        <w:r>
          <w:rPr>
            <w:noProof/>
            <w:webHidden/>
          </w:rPr>
          <w:tab/>
        </w:r>
        <w:r>
          <w:rPr>
            <w:noProof/>
            <w:webHidden/>
          </w:rPr>
          <w:fldChar w:fldCharType="begin"/>
        </w:r>
        <w:r>
          <w:rPr>
            <w:noProof/>
            <w:webHidden/>
          </w:rPr>
          <w:instrText xml:space="preserve"> PAGEREF _Toc188367007 \h </w:instrText>
        </w:r>
        <w:r>
          <w:rPr>
            <w:noProof/>
            <w:webHidden/>
          </w:rPr>
        </w:r>
        <w:r>
          <w:rPr>
            <w:noProof/>
            <w:webHidden/>
          </w:rPr>
          <w:fldChar w:fldCharType="separate"/>
        </w:r>
        <w:r w:rsidR="0083513D">
          <w:rPr>
            <w:noProof/>
            <w:webHidden/>
          </w:rPr>
          <w:t>213</w:t>
        </w:r>
        <w:r>
          <w:rPr>
            <w:noProof/>
            <w:webHidden/>
          </w:rPr>
          <w:fldChar w:fldCharType="end"/>
        </w:r>
      </w:hyperlink>
    </w:p>
    <w:p w14:paraId="7F0B647F" w14:textId="7F2E39AC" w:rsidR="00DB1842" w:rsidRDefault="00DB1842" w:rsidP="001953BB">
      <w:pPr>
        <w:pStyle w:val="TableofFigures"/>
        <w:tabs>
          <w:tab w:val="right" w:leader="dot" w:pos="9350"/>
        </w:tabs>
        <w:rPr>
          <w:rFonts w:asciiTheme="minorHAnsi" w:eastAsiaTheme="minorEastAsia" w:hAnsiTheme="minorHAnsi" w:cstheme="minorBidi"/>
          <w:noProof/>
          <w:sz w:val="22"/>
          <w:szCs w:val="22"/>
          <w:lang/>
        </w:rPr>
      </w:pPr>
      <w:hyperlink w:anchor="_Toc188367008" w:history="1">
        <w:r w:rsidRPr="00EB60BA">
          <w:rPr>
            <w:rStyle w:val="Hyperlink"/>
            <w:noProof/>
          </w:rPr>
          <w:t>Table A35: Regression Results for the Aggregate LIS</w:t>
        </w:r>
        <w:r>
          <w:rPr>
            <w:noProof/>
            <w:webHidden/>
          </w:rPr>
          <w:tab/>
        </w:r>
        <w:r>
          <w:rPr>
            <w:noProof/>
            <w:webHidden/>
          </w:rPr>
          <w:fldChar w:fldCharType="begin"/>
        </w:r>
        <w:r>
          <w:rPr>
            <w:noProof/>
            <w:webHidden/>
          </w:rPr>
          <w:instrText xml:space="preserve"> PAGEREF _Toc188367008 \h </w:instrText>
        </w:r>
        <w:r>
          <w:rPr>
            <w:noProof/>
            <w:webHidden/>
          </w:rPr>
        </w:r>
        <w:r>
          <w:rPr>
            <w:noProof/>
            <w:webHidden/>
          </w:rPr>
          <w:fldChar w:fldCharType="separate"/>
        </w:r>
        <w:r w:rsidR="0083513D">
          <w:rPr>
            <w:noProof/>
            <w:webHidden/>
          </w:rPr>
          <w:t>214</w:t>
        </w:r>
        <w:r>
          <w:rPr>
            <w:noProof/>
            <w:webHidden/>
          </w:rPr>
          <w:fldChar w:fldCharType="end"/>
        </w:r>
      </w:hyperlink>
    </w:p>
    <w:p w14:paraId="731B4DE0" w14:textId="38A2877C" w:rsidR="00DB1842" w:rsidRDefault="00DB1842" w:rsidP="001953BB">
      <w:pPr>
        <w:pStyle w:val="TableofFigures"/>
        <w:tabs>
          <w:tab w:val="right" w:leader="dot" w:pos="9350"/>
        </w:tabs>
        <w:rPr>
          <w:rFonts w:asciiTheme="minorHAnsi" w:eastAsiaTheme="minorEastAsia" w:hAnsiTheme="minorHAnsi" w:cstheme="minorBidi"/>
          <w:noProof/>
          <w:sz w:val="22"/>
          <w:szCs w:val="22"/>
          <w:lang/>
        </w:rPr>
      </w:pPr>
      <w:hyperlink w:anchor="_Toc188367009" w:history="1">
        <w:r w:rsidRPr="00EB60BA">
          <w:rPr>
            <w:rStyle w:val="Hyperlink"/>
            <w:noProof/>
          </w:rPr>
          <w:t>Table A36: Regression Results for Agriculture (NAICS 11)</w:t>
        </w:r>
        <w:r>
          <w:rPr>
            <w:noProof/>
            <w:webHidden/>
          </w:rPr>
          <w:tab/>
        </w:r>
        <w:r>
          <w:rPr>
            <w:noProof/>
            <w:webHidden/>
          </w:rPr>
          <w:fldChar w:fldCharType="begin"/>
        </w:r>
        <w:r>
          <w:rPr>
            <w:noProof/>
            <w:webHidden/>
          </w:rPr>
          <w:instrText xml:space="preserve"> PAGEREF _Toc188367009 \h </w:instrText>
        </w:r>
        <w:r>
          <w:rPr>
            <w:noProof/>
            <w:webHidden/>
          </w:rPr>
        </w:r>
        <w:r>
          <w:rPr>
            <w:noProof/>
            <w:webHidden/>
          </w:rPr>
          <w:fldChar w:fldCharType="separate"/>
        </w:r>
        <w:r w:rsidR="0083513D">
          <w:rPr>
            <w:noProof/>
            <w:webHidden/>
          </w:rPr>
          <w:t>218</w:t>
        </w:r>
        <w:r>
          <w:rPr>
            <w:noProof/>
            <w:webHidden/>
          </w:rPr>
          <w:fldChar w:fldCharType="end"/>
        </w:r>
      </w:hyperlink>
    </w:p>
    <w:p w14:paraId="79878062" w14:textId="4ABC9319" w:rsidR="00DB1842" w:rsidRDefault="00DB1842" w:rsidP="001953BB">
      <w:pPr>
        <w:pStyle w:val="TableofFigures"/>
        <w:tabs>
          <w:tab w:val="right" w:leader="dot" w:pos="9350"/>
        </w:tabs>
        <w:rPr>
          <w:rFonts w:asciiTheme="minorHAnsi" w:eastAsiaTheme="minorEastAsia" w:hAnsiTheme="minorHAnsi" w:cstheme="minorBidi"/>
          <w:noProof/>
          <w:sz w:val="22"/>
          <w:szCs w:val="22"/>
          <w:lang/>
        </w:rPr>
      </w:pPr>
      <w:hyperlink w:anchor="_Toc188367010" w:history="1">
        <w:r w:rsidRPr="00EB60BA">
          <w:rPr>
            <w:rStyle w:val="Hyperlink"/>
            <w:noProof/>
          </w:rPr>
          <w:t>Table A37: Regression Results for Mining (NAICS 21)</w:t>
        </w:r>
        <w:r>
          <w:rPr>
            <w:noProof/>
            <w:webHidden/>
          </w:rPr>
          <w:tab/>
        </w:r>
        <w:r>
          <w:rPr>
            <w:noProof/>
            <w:webHidden/>
          </w:rPr>
          <w:fldChar w:fldCharType="begin"/>
        </w:r>
        <w:r>
          <w:rPr>
            <w:noProof/>
            <w:webHidden/>
          </w:rPr>
          <w:instrText xml:space="preserve"> PAGEREF _Toc188367010 \h </w:instrText>
        </w:r>
        <w:r>
          <w:rPr>
            <w:noProof/>
            <w:webHidden/>
          </w:rPr>
        </w:r>
        <w:r>
          <w:rPr>
            <w:noProof/>
            <w:webHidden/>
          </w:rPr>
          <w:fldChar w:fldCharType="separate"/>
        </w:r>
        <w:r w:rsidR="0083513D">
          <w:rPr>
            <w:noProof/>
            <w:webHidden/>
          </w:rPr>
          <w:t>221</w:t>
        </w:r>
        <w:r>
          <w:rPr>
            <w:noProof/>
            <w:webHidden/>
          </w:rPr>
          <w:fldChar w:fldCharType="end"/>
        </w:r>
      </w:hyperlink>
    </w:p>
    <w:p w14:paraId="5E553319" w14:textId="7B692660" w:rsidR="00DB1842" w:rsidRDefault="00DB1842" w:rsidP="001953BB">
      <w:pPr>
        <w:pStyle w:val="TableofFigures"/>
        <w:tabs>
          <w:tab w:val="right" w:leader="dot" w:pos="9350"/>
        </w:tabs>
        <w:rPr>
          <w:rFonts w:asciiTheme="minorHAnsi" w:eastAsiaTheme="minorEastAsia" w:hAnsiTheme="minorHAnsi" w:cstheme="minorBidi"/>
          <w:noProof/>
          <w:sz w:val="22"/>
          <w:szCs w:val="22"/>
          <w:lang/>
        </w:rPr>
      </w:pPr>
      <w:hyperlink w:anchor="_Toc188367011" w:history="1">
        <w:r w:rsidRPr="00EB60BA">
          <w:rPr>
            <w:rStyle w:val="Hyperlink"/>
            <w:noProof/>
          </w:rPr>
          <w:t>Table A38: Regression Results for Utilities (NAICS 22)</w:t>
        </w:r>
        <w:r>
          <w:rPr>
            <w:noProof/>
            <w:webHidden/>
          </w:rPr>
          <w:tab/>
        </w:r>
        <w:r>
          <w:rPr>
            <w:noProof/>
            <w:webHidden/>
          </w:rPr>
          <w:fldChar w:fldCharType="begin"/>
        </w:r>
        <w:r>
          <w:rPr>
            <w:noProof/>
            <w:webHidden/>
          </w:rPr>
          <w:instrText xml:space="preserve"> PAGEREF _Toc188367011 \h </w:instrText>
        </w:r>
        <w:r>
          <w:rPr>
            <w:noProof/>
            <w:webHidden/>
          </w:rPr>
        </w:r>
        <w:r>
          <w:rPr>
            <w:noProof/>
            <w:webHidden/>
          </w:rPr>
          <w:fldChar w:fldCharType="separate"/>
        </w:r>
        <w:r w:rsidR="0083513D">
          <w:rPr>
            <w:noProof/>
            <w:webHidden/>
          </w:rPr>
          <w:t>225</w:t>
        </w:r>
        <w:r>
          <w:rPr>
            <w:noProof/>
            <w:webHidden/>
          </w:rPr>
          <w:fldChar w:fldCharType="end"/>
        </w:r>
      </w:hyperlink>
    </w:p>
    <w:p w14:paraId="05963DE5" w14:textId="654EBE37" w:rsidR="00DB1842" w:rsidRDefault="00DB1842" w:rsidP="001953BB">
      <w:pPr>
        <w:pStyle w:val="TableofFigures"/>
        <w:tabs>
          <w:tab w:val="right" w:leader="dot" w:pos="9350"/>
        </w:tabs>
        <w:rPr>
          <w:rFonts w:asciiTheme="minorHAnsi" w:eastAsiaTheme="minorEastAsia" w:hAnsiTheme="minorHAnsi" w:cstheme="minorBidi"/>
          <w:noProof/>
          <w:sz w:val="22"/>
          <w:szCs w:val="22"/>
          <w:lang/>
        </w:rPr>
      </w:pPr>
      <w:hyperlink w:anchor="_Toc188367012" w:history="1">
        <w:r w:rsidRPr="00EB60BA">
          <w:rPr>
            <w:rStyle w:val="Hyperlink"/>
            <w:noProof/>
          </w:rPr>
          <w:t>Table A39: Regression Results for Construction (NAICS 23)</w:t>
        </w:r>
        <w:r>
          <w:rPr>
            <w:noProof/>
            <w:webHidden/>
          </w:rPr>
          <w:tab/>
        </w:r>
        <w:r>
          <w:rPr>
            <w:noProof/>
            <w:webHidden/>
          </w:rPr>
          <w:fldChar w:fldCharType="begin"/>
        </w:r>
        <w:r>
          <w:rPr>
            <w:noProof/>
            <w:webHidden/>
          </w:rPr>
          <w:instrText xml:space="preserve"> PAGEREF _Toc188367012 \h </w:instrText>
        </w:r>
        <w:r>
          <w:rPr>
            <w:noProof/>
            <w:webHidden/>
          </w:rPr>
        </w:r>
        <w:r>
          <w:rPr>
            <w:noProof/>
            <w:webHidden/>
          </w:rPr>
          <w:fldChar w:fldCharType="separate"/>
        </w:r>
        <w:r w:rsidR="0083513D">
          <w:rPr>
            <w:noProof/>
            <w:webHidden/>
          </w:rPr>
          <w:t>229</w:t>
        </w:r>
        <w:r>
          <w:rPr>
            <w:noProof/>
            <w:webHidden/>
          </w:rPr>
          <w:fldChar w:fldCharType="end"/>
        </w:r>
      </w:hyperlink>
    </w:p>
    <w:p w14:paraId="6FD13EAC" w14:textId="04FC5493" w:rsidR="00DB1842" w:rsidRDefault="00DB1842" w:rsidP="001953BB">
      <w:pPr>
        <w:pStyle w:val="TableofFigures"/>
        <w:tabs>
          <w:tab w:val="right" w:leader="dot" w:pos="9350"/>
        </w:tabs>
        <w:rPr>
          <w:rFonts w:asciiTheme="minorHAnsi" w:eastAsiaTheme="minorEastAsia" w:hAnsiTheme="minorHAnsi" w:cstheme="minorBidi"/>
          <w:noProof/>
          <w:sz w:val="22"/>
          <w:szCs w:val="22"/>
          <w:lang/>
        </w:rPr>
      </w:pPr>
      <w:hyperlink w:anchor="_Toc188367013" w:history="1">
        <w:r w:rsidRPr="00EB60BA">
          <w:rPr>
            <w:rStyle w:val="Hyperlink"/>
            <w:noProof/>
          </w:rPr>
          <w:t>Table A40: Regression Results for Manufacturing (NAICS 31–33)</w:t>
        </w:r>
        <w:r>
          <w:rPr>
            <w:noProof/>
            <w:webHidden/>
          </w:rPr>
          <w:tab/>
        </w:r>
        <w:r>
          <w:rPr>
            <w:noProof/>
            <w:webHidden/>
          </w:rPr>
          <w:fldChar w:fldCharType="begin"/>
        </w:r>
        <w:r>
          <w:rPr>
            <w:noProof/>
            <w:webHidden/>
          </w:rPr>
          <w:instrText xml:space="preserve"> PAGEREF _Toc188367013 \h </w:instrText>
        </w:r>
        <w:r>
          <w:rPr>
            <w:noProof/>
            <w:webHidden/>
          </w:rPr>
        </w:r>
        <w:r>
          <w:rPr>
            <w:noProof/>
            <w:webHidden/>
          </w:rPr>
          <w:fldChar w:fldCharType="separate"/>
        </w:r>
        <w:r w:rsidR="0083513D">
          <w:rPr>
            <w:noProof/>
            <w:webHidden/>
          </w:rPr>
          <w:t>233</w:t>
        </w:r>
        <w:r>
          <w:rPr>
            <w:noProof/>
            <w:webHidden/>
          </w:rPr>
          <w:fldChar w:fldCharType="end"/>
        </w:r>
      </w:hyperlink>
    </w:p>
    <w:p w14:paraId="495E4D70" w14:textId="7D118059" w:rsidR="00DB1842" w:rsidRDefault="00DB1842" w:rsidP="001953BB">
      <w:pPr>
        <w:pStyle w:val="TableofFigures"/>
        <w:tabs>
          <w:tab w:val="right" w:leader="dot" w:pos="9350"/>
        </w:tabs>
        <w:rPr>
          <w:rFonts w:asciiTheme="minorHAnsi" w:eastAsiaTheme="minorEastAsia" w:hAnsiTheme="minorHAnsi" w:cstheme="minorBidi"/>
          <w:noProof/>
          <w:sz w:val="22"/>
          <w:szCs w:val="22"/>
          <w:lang/>
        </w:rPr>
      </w:pPr>
      <w:hyperlink w:anchor="_Toc188367014" w:history="1">
        <w:r w:rsidRPr="00EB60BA">
          <w:rPr>
            <w:rStyle w:val="Hyperlink"/>
            <w:noProof/>
          </w:rPr>
          <w:t>Table A41: Summary Statistics for County-Level Explanatory Variables</w:t>
        </w:r>
        <w:r>
          <w:rPr>
            <w:noProof/>
            <w:webHidden/>
          </w:rPr>
          <w:tab/>
        </w:r>
        <w:r>
          <w:rPr>
            <w:noProof/>
            <w:webHidden/>
          </w:rPr>
          <w:fldChar w:fldCharType="begin"/>
        </w:r>
        <w:r>
          <w:rPr>
            <w:noProof/>
            <w:webHidden/>
          </w:rPr>
          <w:instrText xml:space="preserve"> PAGEREF _Toc188367014 \h </w:instrText>
        </w:r>
        <w:r>
          <w:rPr>
            <w:noProof/>
            <w:webHidden/>
          </w:rPr>
        </w:r>
        <w:r>
          <w:rPr>
            <w:noProof/>
            <w:webHidden/>
          </w:rPr>
          <w:fldChar w:fldCharType="separate"/>
        </w:r>
        <w:r w:rsidR="0083513D">
          <w:rPr>
            <w:noProof/>
            <w:webHidden/>
          </w:rPr>
          <w:t>305</w:t>
        </w:r>
        <w:r>
          <w:rPr>
            <w:noProof/>
            <w:webHidden/>
          </w:rPr>
          <w:fldChar w:fldCharType="end"/>
        </w:r>
      </w:hyperlink>
    </w:p>
    <w:p w14:paraId="41CD8C64" w14:textId="7B0D3394" w:rsidR="00DB1842" w:rsidRDefault="00DB1842" w:rsidP="001953BB">
      <w:pPr>
        <w:pStyle w:val="TableofFigures"/>
        <w:tabs>
          <w:tab w:val="right" w:leader="dot" w:pos="9350"/>
        </w:tabs>
        <w:rPr>
          <w:rFonts w:asciiTheme="minorHAnsi" w:eastAsiaTheme="minorEastAsia" w:hAnsiTheme="minorHAnsi" w:cstheme="minorBidi"/>
          <w:noProof/>
          <w:sz w:val="22"/>
          <w:szCs w:val="22"/>
          <w:lang/>
        </w:rPr>
      </w:pPr>
      <w:hyperlink w:anchor="_Toc188367015" w:history="1">
        <w:r w:rsidRPr="00EB60BA">
          <w:rPr>
            <w:rStyle w:val="Hyperlink"/>
            <w:noProof/>
          </w:rPr>
          <w:t>Table A42: Summary Statistics for Bear Range</w:t>
        </w:r>
        <w:r>
          <w:rPr>
            <w:noProof/>
            <w:webHidden/>
          </w:rPr>
          <w:tab/>
        </w:r>
        <w:r>
          <w:rPr>
            <w:noProof/>
            <w:webHidden/>
          </w:rPr>
          <w:fldChar w:fldCharType="begin"/>
        </w:r>
        <w:r>
          <w:rPr>
            <w:noProof/>
            <w:webHidden/>
          </w:rPr>
          <w:instrText xml:space="preserve"> PAGEREF _Toc188367015 \h </w:instrText>
        </w:r>
        <w:r>
          <w:rPr>
            <w:noProof/>
            <w:webHidden/>
          </w:rPr>
        </w:r>
        <w:r>
          <w:rPr>
            <w:noProof/>
            <w:webHidden/>
          </w:rPr>
          <w:fldChar w:fldCharType="separate"/>
        </w:r>
        <w:r w:rsidR="0083513D">
          <w:rPr>
            <w:noProof/>
            <w:webHidden/>
          </w:rPr>
          <w:t>306</w:t>
        </w:r>
        <w:r>
          <w:rPr>
            <w:noProof/>
            <w:webHidden/>
          </w:rPr>
          <w:fldChar w:fldCharType="end"/>
        </w:r>
      </w:hyperlink>
    </w:p>
    <w:p w14:paraId="058FB5D8" w14:textId="18CAFE7F" w:rsidR="00DB1842" w:rsidRDefault="00DB1842" w:rsidP="001953BB">
      <w:pPr>
        <w:pStyle w:val="TableofFigures"/>
        <w:tabs>
          <w:tab w:val="right" w:leader="dot" w:pos="9350"/>
        </w:tabs>
        <w:rPr>
          <w:rFonts w:asciiTheme="minorHAnsi" w:eastAsiaTheme="minorEastAsia" w:hAnsiTheme="minorHAnsi" w:cstheme="minorBidi"/>
          <w:noProof/>
          <w:sz w:val="22"/>
          <w:szCs w:val="22"/>
          <w:lang/>
        </w:rPr>
      </w:pPr>
      <w:hyperlink w:anchor="_Toc188367016" w:history="1">
        <w:r w:rsidRPr="00EB60BA">
          <w:rPr>
            <w:rStyle w:val="Hyperlink"/>
            <w:noProof/>
          </w:rPr>
          <w:t>Table A43: Summary Statistics of Outcome Variables</w:t>
        </w:r>
        <w:r>
          <w:rPr>
            <w:noProof/>
            <w:webHidden/>
          </w:rPr>
          <w:tab/>
        </w:r>
        <w:r>
          <w:rPr>
            <w:noProof/>
            <w:webHidden/>
          </w:rPr>
          <w:fldChar w:fldCharType="begin"/>
        </w:r>
        <w:r>
          <w:rPr>
            <w:noProof/>
            <w:webHidden/>
          </w:rPr>
          <w:instrText xml:space="preserve"> PAGEREF _Toc188367016 \h </w:instrText>
        </w:r>
        <w:r>
          <w:rPr>
            <w:noProof/>
            <w:webHidden/>
          </w:rPr>
        </w:r>
        <w:r>
          <w:rPr>
            <w:noProof/>
            <w:webHidden/>
          </w:rPr>
          <w:fldChar w:fldCharType="separate"/>
        </w:r>
        <w:r w:rsidR="0083513D">
          <w:rPr>
            <w:noProof/>
            <w:webHidden/>
          </w:rPr>
          <w:t>307</w:t>
        </w:r>
        <w:r>
          <w:rPr>
            <w:noProof/>
            <w:webHidden/>
          </w:rPr>
          <w:fldChar w:fldCharType="end"/>
        </w:r>
      </w:hyperlink>
    </w:p>
    <w:p w14:paraId="753FC6F4" w14:textId="034ECA76" w:rsidR="00DB1842" w:rsidRDefault="00DB1842" w:rsidP="001953BB">
      <w:pPr>
        <w:pStyle w:val="TableofFigures"/>
        <w:tabs>
          <w:tab w:val="right" w:leader="dot" w:pos="9350"/>
        </w:tabs>
        <w:rPr>
          <w:rFonts w:asciiTheme="minorHAnsi" w:eastAsiaTheme="minorEastAsia" w:hAnsiTheme="minorHAnsi" w:cstheme="minorBidi"/>
          <w:noProof/>
          <w:sz w:val="22"/>
          <w:szCs w:val="22"/>
          <w:lang/>
        </w:rPr>
      </w:pPr>
      <w:hyperlink w:anchor="_Toc188367017" w:history="1">
        <w:r w:rsidRPr="00EB60BA">
          <w:rPr>
            <w:rStyle w:val="Hyperlink"/>
            <w:noProof/>
          </w:rPr>
          <w:t>Table A44: Summary of NAICS 11 Regression Results – Binary Range Indicator</w:t>
        </w:r>
        <w:r>
          <w:rPr>
            <w:noProof/>
            <w:webHidden/>
          </w:rPr>
          <w:tab/>
        </w:r>
        <w:r>
          <w:rPr>
            <w:noProof/>
            <w:webHidden/>
          </w:rPr>
          <w:fldChar w:fldCharType="begin"/>
        </w:r>
        <w:r>
          <w:rPr>
            <w:noProof/>
            <w:webHidden/>
          </w:rPr>
          <w:instrText xml:space="preserve"> PAGEREF _Toc188367017 \h </w:instrText>
        </w:r>
        <w:r>
          <w:rPr>
            <w:noProof/>
            <w:webHidden/>
          </w:rPr>
        </w:r>
        <w:r>
          <w:rPr>
            <w:noProof/>
            <w:webHidden/>
          </w:rPr>
          <w:fldChar w:fldCharType="separate"/>
        </w:r>
        <w:r w:rsidR="0083513D">
          <w:rPr>
            <w:noProof/>
            <w:webHidden/>
          </w:rPr>
          <w:t>307</w:t>
        </w:r>
        <w:r>
          <w:rPr>
            <w:noProof/>
            <w:webHidden/>
          </w:rPr>
          <w:fldChar w:fldCharType="end"/>
        </w:r>
      </w:hyperlink>
    </w:p>
    <w:p w14:paraId="2AC07448" w14:textId="6FA02D4F" w:rsidR="00DB1842" w:rsidRDefault="00DB1842" w:rsidP="001953BB">
      <w:pPr>
        <w:pStyle w:val="TableofFigures"/>
        <w:tabs>
          <w:tab w:val="right" w:leader="dot" w:pos="9350"/>
        </w:tabs>
        <w:rPr>
          <w:rFonts w:asciiTheme="minorHAnsi" w:eastAsiaTheme="minorEastAsia" w:hAnsiTheme="minorHAnsi" w:cstheme="minorBidi"/>
          <w:noProof/>
          <w:sz w:val="22"/>
          <w:szCs w:val="22"/>
          <w:lang/>
        </w:rPr>
      </w:pPr>
      <w:hyperlink w:anchor="_Toc188367018" w:history="1">
        <w:r w:rsidRPr="00EB60BA">
          <w:rPr>
            <w:rStyle w:val="Hyperlink"/>
            <w:noProof/>
          </w:rPr>
          <w:t>Table A45: Summary of NAICS 11 Regression Results – Continuous Range Indicator</w:t>
        </w:r>
        <w:r>
          <w:rPr>
            <w:noProof/>
            <w:webHidden/>
          </w:rPr>
          <w:tab/>
        </w:r>
        <w:r>
          <w:rPr>
            <w:noProof/>
            <w:webHidden/>
          </w:rPr>
          <w:fldChar w:fldCharType="begin"/>
        </w:r>
        <w:r>
          <w:rPr>
            <w:noProof/>
            <w:webHidden/>
          </w:rPr>
          <w:instrText xml:space="preserve"> PAGEREF _Toc188367018 \h </w:instrText>
        </w:r>
        <w:r>
          <w:rPr>
            <w:noProof/>
            <w:webHidden/>
          </w:rPr>
        </w:r>
        <w:r>
          <w:rPr>
            <w:noProof/>
            <w:webHidden/>
          </w:rPr>
          <w:fldChar w:fldCharType="separate"/>
        </w:r>
        <w:r w:rsidR="0083513D">
          <w:rPr>
            <w:noProof/>
            <w:webHidden/>
          </w:rPr>
          <w:t>308</w:t>
        </w:r>
        <w:r>
          <w:rPr>
            <w:noProof/>
            <w:webHidden/>
          </w:rPr>
          <w:fldChar w:fldCharType="end"/>
        </w:r>
      </w:hyperlink>
    </w:p>
    <w:p w14:paraId="3439A887" w14:textId="179FBB0B" w:rsidR="00DB1842" w:rsidRDefault="00DB1842" w:rsidP="001953BB">
      <w:pPr>
        <w:pStyle w:val="TableofFigures"/>
        <w:tabs>
          <w:tab w:val="right" w:leader="dot" w:pos="9350"/>
        </w:tabs>
        <w:rPr>
          <w:rFonts w:asciiTheme="minorHAnsi" w:eastAsiaTheme="minorEastAsia" w:hAnsiTheme="minorHAnsi" w:cstheme="minorBidi"/>
          <w:noProof/>
          <w:sz w:val="22"/>
          <w:szCs w:val="22"/>
          <w:lang/>
        </w:rPr>
      </w:pPr>
      <w:hyperlink w:anchor="_Toc188367019" w:history="1">
        <w:r w:rsidRPr="00EB60BA">
          <w:rPr>
            <w:rStyle w:val="Hyperlink"/>
            <w:noProof/>
          </w:rPr>
          <w:t>Table A46: Summary of NAICS 21 Regression Results – Binary Range Indicator</w:t>
        </w:r>
        <w:r>
          <w:rPr>
            <w:noProof/>
            <w:webHidden/>
          </w:rPr>
          <w:tab/>
        </w:r>
        <w:r>
          <w:rPr>
            <w:noProof/>
            <w:webHidden/>
          </w:rPr>
          <w:fldChar w:fldCharType="begin"/>
        </w:r>
        <w:r>
          <w:rPr>
            <w:noProof/>
            <w:webHidden/>
          </w:rPr>
          <w:instrText xml:space="preserve"> PAGEREF _Toc188367019 \h </w:instrText>
        </w:r>
        <w:r>
          <w:rPr>
            <w:noProof/>
            <w:webHidden/>
          </w:rPr>
        </w:r>
        <w:r>
          <w:rPr>
            <w:noProof/>
            <w:webHidden/>
          </w:rPr>
          <w:fldChar w:fldCharType="separate"/>
        </w:r>
        <w:r w:rsidR="0083513D">
          <w:rPr>
            <w:noProof/>
            <w:webHidden/>
          </w:rPr>
          <w:t>308</w:t>
        </w:r>
        <w:r>
          <w:rPr>
            <w:noProof/>
            <w:webHidden/>
          </w:rPr>
          <w:fldChar w:fldCharType="end"/>
        </w:r>
      </w:hyperlink>
    </w:p>
    <w:p w14:paraId="230309A1" w14:textId="0FCD5294" w:rsidR="00DB1842" w:rsidRDefault="00DB1842" w:rsidP="001953BB">
      <w:pPr>
        <w:pStyle w:val="TableofFigures"/>
        <w:tabs>
          <w:tab w:val="right" w:leader="dot" w:pos="9350"/>
        </w:tabs>
        <w:rPr>
          <w:rFonts w:asciiTheme="minorHAnsi" w:eastAsiaTheme="minorEastAsia" w:hAnsiTheme="minorHAnsi" w:cstheme="minorBidi"/>
          <w:noProof/>
          <w:sz w:val="22"/>
          <w:szCs w:val="22"/>
          <w:lang/>
        </w:rPr>
      </w:pPr>
      <w:hyperlink w:anchor="_Toc188367020" w:history="1">
        <w:r w:rsidRPr="00EB60BA">
          <w:rPr>
            <w:rStyle w:val="Hyperlink"/>
            <w:noProof/>
          </w:rPr>
          <w:t>Table A47: Summary of NAICS 21 Regression Results – Continuous Range Indicator</w:t>
        </w:r>
        <w:r>
          <w:rPr>
            <w:noProof/>
            <w:webHidden/>
          </w:rPr>
          <w:tab/>
        </w:r>
        <w:r>
          <w:rPr>
            <w:noProof/>
            <w:webHidden/>
          </w:rPr>
          <w:fldChar w:fldCharType="begin"/>
        </w:r>
        <w:r>
          <w:rPr>
            <w:noProof/>
            <w:webHidden/>
          </w:rPr>
          <w:instrText xml:space="preserve"> PAGEREF _Toc188367020 \h </w:instrText>
        </w:r>
        <w:r>
          <w:rPr>
            <w:noProof/>
            <w:webHidden/>
          </w:rPr>
        </w:r>
        <w:r>
          <w:rPr>
            <w:noProof/>
            <w:webHidden/>
          </w:rPr>
          <w:fldChar w:fldCharType="separate"/>
        </w:r>
        <w:r w:rsidR="0083513D">
          <w:rPr>
            <w:noProof/>
            <w:webHidden/>
          </w:rPr>
          <w:t>308</w:t>
        </w:r>
        <w:r>
          <w:rPr>
            <w:noProof/>
            <w:webHidden/>
          </w:rPr>
          <w:fldChar w:fldCharType="end"/>
        </w:r>
      </w:hyperlink>
    </w:p>
    <w:p w14:paraId="46951D03" w14:textId="52991C28" w:rsidR="00DB1842" w:rsidRDefault="00DB1842" w:rsidP="001953BB">
      <w:pPr>
        <w:pStyle w:val="TableofFigures"/>
        <w:tabs>
          <w:tab w:val="right" w:leader="dot" w:pos="9350"/>
        </w:tabs>
        <w:rPr>
          <w:rFonts w:asciiTheme="minorHAnsi" w:eastAsiaTheme="minorEastAsia" w:hAnsiTheme="minorHAnsi" w:cstheme="minorBidi"/>
          <w:noProof/>
          <w:sz w:val="22"/>
          <w:szCs w:val="22"/>
          <w:lang/>
        </w:rPr>
      </w:pPr>
      <w:hyperlink w:anchor="_Toc188367021" w:history="1">
        <w:r w:rsidRPr="00EB60BA">
          <w:rPr>
            <w:rStyle w:val="Hyperlink"/>
            <w:noProof/>
          </w:rPr>
          <w:t>Table A49: Summary of NAICS 22 Regression Results – Continuous Range Indicator</w:t>
        </w:r>
        <w:r>
          <w:rPr>
            <w:noProof/>
            <w:webHidden/>
          </w:rPr>
          <w:tab/>
        </w:r>
        <w:r>
          <w:rPr>
            <w:noProof/>
            <w:webHidden/>
          </w:rPr>
          <w:fldChar w:fldCharType="begin"/>
        </w:r>
        <w:r>
          <w:rPr>
            <w:noProof/>
            <w:webHidden/>
          </w:rPr>
          <w:instrText xml:space="preserve"> PAGEREF _Toc188367021 \h </w:instrText>
        </w:r>
        <w:r>
          <w:rPr>
            <w:noProof/>
            <w:webHidden/>
          </w:rPr>
        </w:r>
        <w:r>
          <w:rPr>
            <w:noProof/>
            <w:webHidden/>
          </w:rPr>
          <w:fldChar w:fldCharType="separate"/>
        </w:r>
        <w:r w:rsidR="0083513D">
          <w:rPr>
            <w:noProof/>
            <w:webHidden/>
          </w:rPr>
          <w:t>309</w:t>
        </w:r>
        <w:r>
          <w:rPr>
            <w:noProof/>
            <w:webHidden/>
          </w:rPr>
          <w:fldChar w:fldCharType="end"/>
        </w:r>
      </w:hyperlink>
    </w:p>
    <w:p w14:paraId="6186C66B" w14:textId="0617347B" w:rsidR="00DB1842" w:rsidRDefault="00DB1842" w:rsidP="001953BB">
      <w:pPr>
        <w:pStyle w:val="TableofFigures"/>
        <w:tabs>
          <w:tab w:val="right" w:leader="dot" w:pos="9350"/>
        </w:tabs>
        <w:rPr>
          <w:rFonts w:asciiTheme="minorHAnsi" w:eastAsiaTheme="minorEastAsia" w:hAnsiTheme="minorHAnsi" w:cstheme="minorBidi"/>
          <w:noProof/>
          <w:sz w:val="22"/>
          <w:szCs w:val="22"/>
          <w:lang/>
        </w:rPr>
      </w:pPr>
      <w:hyperlink w:anchor="_Toc188367022" w:history="1">
        <w:r w:rsidRPr="00EB60BA">
          <w:rPr>
            <w:rStyle w:val="Hyperlink"/>
            <w:noProof/>
          </w:rPr>
          <w:t>Table A50: Summary of NAICS 23 Regression Results – Binary Range Indicator</w:t>
        </w:r>
        <w:r>
          <w:rPr>
            <w:noProof/>
            <w:webHidden/>
          </w:rPr>
          <w:tab/>
        </w:r>
        <w:r>
          <w:rPr>
            <w:noProof/>
            <w:webHidden/>
          </w:rPr>
          <w:fldChar w:fldCharType="begin"/>
        </w:r>
        <w:r>
          <w:rPr>
            <w:noProof/>
            <w:webHidden/>
          </w:rPr>
          <w:instrText xml:space="preserve"> PAGEREF _Toc188367022 \h </w:instrText>
        </w:r>
        <w:r>
          <w:rPr>
            <w:noProof/>
            <w:webHidden/>
          </w:rPr>
        </w:r>
        <w:r>
          <w:rPr>
            <w:noProof/>
            <w:webHidden/>
          </w:rPr>
          <w:fldChar w:fldCharType="separate"/>
        </w:r>
        <w:r w:rsidR="0083513D">
          <w:rPr>
            <w:noProof/>
            <w:webHidden/>
          </w:rPr>
          <w:t>309</w:t>
        </w:r>
        <w:r>
          <w:rPr>
            <w:noProof/>
            <w:webHidden/>
          </w:rPr>
          <w:fldChar w:fldCharType="end"/>
        </w:r>
      </w:hyperlink>
    </w:p>
    <w:p w14:paraId="0A76D7E8" w14:textId="47BFBEF3" w:rsidR="00DB1842" w:rsidRDefault="00DB1842" w:rsidP="001953BB">
      <w:pPr>
        <w:pStyle w:val="TableofFigures"/>
        <w:tabs>
          <w:tab w:val="right" w:leader="dot" w:pos="9350"/>
        </w:tabs>
        <w:rPr>
          <w:rFonts w:asciiTheme="minorHAnsi" w:eastAsiaTheme="minorEastAsia" w:hAnsiTheme="minorHAnsi" w:cstheme="minorBidi"/>
          <w:noProof/>
          <w:sz w:val="22"/>
          <w:szCs w:val="22"/>
          <w:lang/>
        </w:rPr>
      </w:pPr>
      <w:hyperlink w:anchor="_Toc188367023" w:history="1">
        <w:r w:rsidRPr="00EB60BA">
          <w:rPr>
            <w:rStyle w:val="Hyperlink"/>
            <w:noProof/>
          </w:rPr>
          <w:t>Table A51: Summary of NAICS 23 Regression Results – Continuous Range Indicator</w:t>
        </w:r>
        <w:r>
          <w:rPr>
            <w:noProof/>
            <w:webHidden/>
          </w:rPr>
          <w:tab/>
        </w:r>
        <w:r>
          <w:rPr>
            <w:noProof/>
            <w:webHidden/>
          </w:rPr>
          <w:fldChar w:fldCharType="begin"/>
        </w:r>
        <w:r>
          <w:rPr>
            <w:noProof/>
            <w:webHidden/>
          </w:rPr>
          <w:instrText xml:space="preserve"> PAGEREF _Toc188367023 \h </w:instrText>
        </w:r>
        <w:r>
          <w:rPr>
            <w:noProof/>
            <w:webHidden/>
          </w:rPr>
        </w:r>
        <w:r>
          <w:rPr>
            <w:noProof/>
            <w:webHidden/>
          </w:rPr>
          <w:fldChar w:fldCharType="separate"/>
        </w:r>
        <w:r w:rsidR="0083513D">
          <w:rPr>
            <w:noProof/>
            <w:webHidden/>
          </w:rPr>
          <w:t>310</w:t>
        </w:r>
        <w:r>
          <w:rPr>
            <w:noProof/>
            <w:webHidden/>
          </w:rPr>
          <w:fldChar w:fldCharType="end"/>
        </w:r>
      </w:hyperlink>
    </w:p>
    <w:p w14:paraId="0C459B61" w14:textId="72517909" w:rsidR="00DB1842" w:rsidRDefault="00DB1842" w:rsidP="001953BB">
      <w:pPr>
        <w:pStyle w:val="TableofFigures"/>
        <w:tabs>
          <w:tab w:val="right" w:leader="dot" w:pos="9350"/>
        </w:tabs>
        <w:rPr>
          <w:rFonts w:asciiTheme="minorHAnsi" w:eastAsiaTheme="minorEastAsia" w:hAnsiTheme="minorHAnsi" w:cstheme="minorBidi"/>
          <w:noProof/>
          <w:sz w:val="22"/>
          <w:szCs w:val="22"/>
          <w:lang/>
        </w:rPr>
      </w:pPr>
      <w:hyperlink w:anchor="_Toc188367024" w:history="1">
        <w:r w:rsidRPr="00EB60BA">
          <w:rPr>
            <w:rStyle w:val="Hyperlink"/>
            <w:noProof/>
          </w:rPr>
          <w:t>Table A52: Summary of NAICS 31-33 Regression Results – Binary Range Indicator</w:t>
        </w:r>
        <w:r>
          <w:rPr>
            <w:noProof/>
            <w:webHidden/>
          </w:rPr>
          <w:tab/>
        </w:r>
        <w:r>
          <w:rPr>
            <w:noProof/>
            <w:webHidden/>
          </w:rPr>
          <w:fldChar w:fldCharType="begin"/>
        </w:r>
        <w:r>
          <w:rPr>
            <w:noProof/>
            <w:webHidden/>
          </w:rPr>
          <w:instrText xml:space="preserve"> PAGEREF _Toc188367024 \h </w:instrText>
        </w:r>
        <w:r>
          <w:rPr>
            <w:noProof/>
            <w:webHidden/>
          </w:rPr>
        </w:r>
        <w:r>
          <w:rPr>
            <w:noProof/>
            <w:webHidden/>
          </w:rPr>
          <w:fldChar w:fldCharType="separate"/>
        </w:r>
        <w:r w:rsidR="0083513D">
          <w:rPr>
            <w:noProof/>
            <w:webHidden/>
          </w:rPr>
          <w:t>310</w:t>
        </w:r>
        <w:r>
          <w:rPr>
            <w:noProof/>
            <w:webHidden/>
          </w:rPr>
          <w:fldChar w:fldCharType="end"/>
        </w:r>
      </w:hyperlink>
    </w:p>
    <w:p w14:paraId="65667F46" w14:textId="3C297420" w:rsidR="00DB1842" w:rsidRDefault="00DB1842" w:rsidP="001953BB">
      <w:pPr>
        <w:pStyle w:val="TableofFigures"/>
        <w:tabs>
          <w:tab w:val="right" w:leader="dot" w:pos="9350"/>
        </w:tabs>
        <w:rPr>
          <w:rFonts w:asciiTheme="minorHAnsi" w:eastAsiaTheme="minorEastAsia" w:hAnsiTheme="minorHAnsi" w:cstheme="minorBidi"/>
          <w:noProof/>
          <w:sz w:val="22"/>
          <w:szCs w:val="22"/>
          <w:lang/>
        </w:rPr>
      </w:pPr>
      <w:hyperlink w:anchor="_Toc188367025" w:history="1">
        <w:r w:rsidRPr="00EB60BA">
          <w:rPr>
            <w:rStyle w:val="Hyperlink"/>
            <w:noProof/>
          </w:rPr>
          <w:t>Table A53: Summary of NAICS 31-33 Regression Results – Continuous Range Indicator</w:t>
        </w:r>
        <w:r>
          <w:rPr>
            <w:noProof/>
            <w:webHidden/>
          </w:rPr>
          <w:tab/>
        </w:r>
        <w:r>
          <w:rPr>
            <w:noProof/>
            <w:webHidden/>
          </w:rPr>
          <w:fldChar w:fldCharType="begin"/>
        </w:r>
        <w:r>
          <w:rPr>
            <w:noProof/>
            <w:webHidden/>
          </w:rPr>
          <w:instrText xml:space="preserve"> PAGEREF _Toc188367025 \h </w:instrText>
        </w:r>
        <w:r>
          <w:rPr>
            <w:noProof/>
            <w:webHidden/>
          </w:rPr>
        </w:r>
        <w:r>
          <w:rPr>
            <w:noProof/>
            <w:webHidden/>
          </w:rPr>
          <w:fldChar w:fldCharType="separate"/>
        </w:r>
        <w:r w:rsidR="0083513D">
          <w:rPr>
            <w:noProof/>
            <w:webHidden/>
          </w:rPr>
          <w:t>310</w:t>
        </w:r>
        <w:r>
          <w:rPr>
            <w:noProof/>
            <w:webHidden/>
          </w:rPr>
          <w:fldChar w:fldCharType="end"/>
        </w:r>
      </w:hyperlink>
    </w:p>
    <w:p w14:paraId="282D929F" w14:textId="6EC8F358" w:rsidR="00DB1842" w:rsidRDefault="00DB1842" w:rsidP="001953BB">
      <w:pPr>
        <w:pStyle w:val="TableofFigures"/>
        <w:tabs>
          <w:tab w:val="right" w:leader="dot" w:pos="9350"/>
        </w:tabs>
        <w:rPr>
          <w:rFonts w:asciiTheme="minorHAnsi" w:eastAsiaTheme="minorEastAsia" w:hAnsiTheme="minorHAnsi" w:cstheme="minorBidi"/>
          <w:noProof/>
          <w:sz w:val="22"/>
          <w:szCs w:val="22"/>
          <w:lang/>
        </w:rPr>
      </w:pPr>
      <w:hyperlink w:anchor="_Toc188367026" w:history="1">
        <w:r w:rsidRPr="00EB60BA">
          <w:rPr>
            <w:rStyle w:val="Hyperlink"/>
            <w:noProof/>
          </w:rPr>
          <w:t>Table A54: Summary of NAICS 53 Regression Results – Binary Range Indicator</w:t>
        </w:r>
        <w:r>
          <w:rPr>
            <w:noProof/>
            <w:webHidden/>
          </w:rPr>
          <w:tab/>
        </w:r>
        <w:r>
          <w:rPr>
            <w:noProof/>
            <w:webHidden/>
          </w:rPr>
          <w:fldChar w:fldCharType="begin"/>
        </w:r>
        <w:r>
          <w:rPr>
            <w:noProof/>
            <w:webHidden/>
          </w:rPr>
          <w:instrText xml:space="preserve"> PAGEREF _Toc188367026 \h </w:instrText>
        </w:r>
        <w:r>
          <w:rPr>
            <w:noProof/>
            <w:webHidden/>
          </w:rPr>
        </w:r>
        <w:r>
          <w:rPr>
            <w:noProof/>
            <w:webHidden/>
          </w:rPr>
          <w:fldChar w:fldCharType="separate"/>
        </w:r>
        <w:r w:rsidR="0083513D">
          <w:rPr>
            <w:noProof/>
            <w:webHidden/>
          </w:rPr>
          <w:t>311</w:t>
        </w:r>
        <w:r>
          <w:rPr>
            <w:noProof/>
            <w:webHidden/>
          </w:rPr>
          <w:fldChar w:fldCharType="end"/>
        </w:r>
      </w:hyperlink>
    </w:p>
    <w:p w14:paraId="775EB0B4" w14:textId="79779514" w:rsidR="00DB1842" w:rsidRDefault="00DB1842" w:rsidP="001953BB">
      <w:pPr>
        <w:pStyle w:val="TableofFigures"/>
        <w:tabs>
          <w:tab w:val="right" w:leader="dot" w:pos="9350"/>
        </w:tabs>
        <w:rPr>
          <w:rFonts w:asciiTheme="minorHAnsi" w:eastAsiaTheme="minorEastAsia" w:hAnsiTheme="minorHAnsi" w:cstheme="minorBidi"/>
          <w:noProof/>
          <w:sz w:val="22"/>
          <w:szCs w:val="22"/>
          <w:lang/>
        </w:rPr>
      </w:pPr>
      <w:hyperlink w:anchor="_Toc188367027" w:history="1">
        <w:r w:rsidRPr="00EB60BA">
          <w:rPr>
            <w:rStyle w:val="Hyperlink"/>
            <w:noProof/>
          </w:rPr>
          <w:t>Table A55: Summary of NAICS 53 Regression Results – Continuous Range Indicator</w:t>
        </w:r>
        <w:r>
          <w:rPr>
            <w:noProof/>
            <w:webHidden/>
          </w:rPr>
          <w:tab/>
        </w:r>
        <w:r>
          <w:rPr>
            <w:noProof/>
            <w:webHidden/>
          </w:rPr>
          <w:fldChar w:fldCharType="begin"/>
        </w:r>
        <w:r>
          <w:rPr>
            <w:noProof/>
            <w:webHidden/>
          </w:rPr>
          <w:instrText xml:space="preserve"> PAGEREF _Toc188367027 \h </w:instrText>
        </w:r>
        <w:r>
          <w:rPr>
            <w:noProof/>
            <w:webHidden/>
          </w:rPr>
        </w:r>
        <w:r>
          <w:rPr>
            <w:noProof/>
            <w:webHidden/>
          </w:rPr>
          <w:fldChar w:fldCharType="separate"/>
        </w:r>
        <w:r w:rsidR="0083513D">
          <w:rPr>
            <w:noProof/>
            <w:webHidden/>
          </w:rPr>
          <w:t>311</w:t>
        </w:r>
        <w:r>
          <w:rPr>
            <w:noProof/>
            <w:webHidden/>
          </w:rPr>
          <w:fldChar w:fldCharType="end"/>
        </w:r>
      </w:hyperlink>
    </w:p>
    <w:p w14:paraId="06ADEC85" w14:textId="208E25DC" w:rsidR="00DB1842" w:rsidRDefault="00DB1842" w:rsidP="001953BB">
      <w:pPr>
        <w:pStyle w:val="TableofFigures"/>
        <w:tabs>
          <w:tab w:val="right" w:leader="dot" w:pos="9350"/>
        </w:tabs>
        <w:rPr>
          <w:rFonts w:asciiTheme="minorHAnsi" w:eastAsiaTheme="minorEastAsia" w:hAnsiTheme="minorHAnsi" w:cstheme="minorBidi"/>
          <w:noProof/>
          <w:sz w:val="22"/>
          <w:szCs w:val="22"/>
          <w:lang/>
        </w:rPr>
      </w:pPr>
      <w:hyperlink w:anchor="_Toc188367028" w:history="1">
        <w:r w:rsidRPr="00EB60BA">
          <w:rPr>
            <w:rStyle w:val="Hyperlink"/>
            <w:noProof/>
          </w:rPr>
          <w:t>Table A56: Summary of NAICS 71 Regression Results – Binary Range Indicator</w:t>
        </w:r>
        <w:r>
          <w:rPr>
            <w:noProof/>
            <w:webHidden/>
          </w:rPr>
          <w:tab/>
        </w:r>
        <w:r>
          <w:rPr>
            <w:noProof/>
            <w:webHidden/>
          </w:rPr>
          <w:fldChar w:fldCharType="begin"/>
        </w:r>
        <w:r>
          <w:rPr>
            <w:noProof/>
            <w:webHidden/>
          </w:rPr>
          <w:instrText xml:space="preserve"> PAGEREF _Toc188367028 \h </w:instrText>
        </w:r>
        <w:r>
          <w:rPr>
            <w:noProof/>
            <w:webHidden/>
          </w:rPr>
        </w:r>
        <w:r>
          <w:rPr>
            <w:noProof/>
            <w:webHidden/>
          </w:rPr>
          <w:fldChar w:fldCharType="separate"/>
        </w:r>
        <w:r w:rsidR="0083513D">
          <w:rPr>
            <w:noProof/>
            <w:webHidden/>
          </w:rPr>
          <w:t>311</w:t>
        </w:r>
        <w:r>
          <w:rPr>
            <w:noProof/>
            <w:webHidden/>
          </w:rPr>
          <w:fldChar w:fldCharType="end"/>
        </w:r>
      </w:hyperlink>
    </w:p>
    <w:p w14:paraId="595758FF" w14:textId="61C71B45" w:rsidR="00DB1842" w:rsidRDefault="00DB1842" w:rsidP="001953BB">
      <w:pPr>
        <w:pStyle w:val="TableofFigures"/>
        <w:tabs>
          <w:tab w:val="right" w:leader="dot" w:pos="9350"/>
        </w:tabs>
        <w:rPr>
          <w:rFonts w:asciiTheme="minorHAnsi" w:eastAsiaTheme="minorEastAsia" w:hAnsiTheme="minorHAnsi" w:cstheme="minorBidi"/>
          <w:noProof/>
          <w:sz w:val="22"/>
          <w:szCs w:val="22"/>
          <w:lang/>
        </w:rPr>
      </w:pPr>
      <w:hyperlink w:anchor="_Toc188367029" w:history="1">
        <w:r w:rsidRPr="00EB60BA">
          <w:rPr>
            <w:rStyle w:val="Hyperlink"/>
            <w:noProof/>
          </w:rPr>
          <w:t>Table A57: Summary of NAICS 71 Regression Results – Continuous Range Indicator</w:t>
        </w:r>
        <w:r>
          <w:rPr>
            <w:noProof/>
            <w:webHidden/>
          </w:rPr>
          <w:tab/>
        </w:r>
        <w:r>
          <w:rPr>
            <w:noProof/>
            <w:webHidden/>
          </w:rPr>
          <w:fldChar w:fldCharType="begin"/>
        </w:r>
        <w:r>
          <w:rPr>
            <w:noProof/>
            <w:webHidden/>
          </w:rPr>
          <w:instrText xml:space="preserve"> PAGEREF _Toc188367029 \h </w:instrText>
        </w:r>
        <w:r>
          <w:rPr>
            <w:noProof/>
            <w:webHidden/>
          </w:rPr>
        </w:r>
        <w:r>
          <w:rPr>
            <w:noProof/>
            <w:webHidden/>
          </w:rPr>
          <w:fldChar w:fldCharType="separate"/>
        </w:r>
        <w:r w:rsidR="0083513D">
          <w:rPr>
            <w:noProof/>
            <w:webHidden/>
          </w:rPr>
          <w:t>312</w:t>
        </w:r>
        <w:r>
          <w:rPr>
            <w:noProof/>
            <w:webHidden/>
          </w:rPr>
          <w:fldChar w:fldCharType="end"/>
        </w:r>
      </w:hyperlink>
    </w:p>
    <w:p w14:paraId="06FE0EB3" w14:textId="5223BDB9" w:rsidR="00DB1842" w:rsidRDefault="00DB1842" w:rsidP="001953BB">
      <w:pPr>
        <w:pStyle w:val="TableofFigures"/>
        <w:tabs>
          <w:tab w:val="right" w:leader="dot" w:pos="9350"/>
        </w:tabs>
        <w:rPr>
          <w:rFonts w:asciiTheme="minorHAnsi" w:eastAsiaTheme="minorEastAsia" w:hAnsiTheme="minorHAnsi" w:cstheme="minorBidi"/>
          <w:noProof/>
          <w:sz w:val="22"/>
          <w:szCs w:val="22"/>
          <w:lang/>
        </w:rPr>
      </w:pPr>
      <w:hyperlink w:anchor="_Toc188367030" w:history="1">
        <w:r w:rsidRPr="00EB60BA">
          <w:rPr>
            <w:rStyle w:val="Hyperlink"/>
            <w:noProof/>
          </w:rPr>
          <w:t>Table A58: Regression Results on Establishment Count – Binary Range Indicator</w:t>
        </w:r>
        <w:r>
          <w:rPr>
            <w:noProof/>
            <w:webHidden/>
          </w:rPr>
          <w:tab/>
        </w:r>
        <w:r>
          <w:rPr>
            <w:noProof/>
            <w:webHidden/>
          </w:rPr>
          <w:fldChar w:fldCharType="begin"/>
        </w:r>
        <w:r>
          <w:rPr>
            <w:noProof/>
            <w:webHidden/>
          </w:rPr>
          <w:instrText xml:space="preserve"> PAGEREF _Toc188367030 \h </w:instrText>
        </w:r>
        <w:r>
          <w:rPr>
            <w:noProof/>
            <w:webHidden/>
          </w:rPr>
        </w:r>
        <w:r>
          <w:rPr>
            <w:noProof/>
            <w:webHidden/>
          </w:rPr>
          <w:fldChar w:fldCharType="separate"/>
        </w:r>
        <w:r w:rsidR="0083513D">
          <w:rPr>
            <w:noProof/>
            <w:webHidden/>
          </w:rPr>
          <w:t>313</w:t>
        </w:r>
        <w:r>
          <w:rPr>
            <w:noProof/>
            <w:webHidden/>
          </w:rPr>
          <w:fldChar w:fldCharType="end"/>
        </w:r>
      </w:hyperlink>
    </w:p>
    <w:p w14:paraId="5B869742" w14:textId="60FFF7FF" w:rsidR="00DB1842" w:rsidRDefault="00DB1842" w:rsidP="001953BB">
      <w:pPr>
        <w:pStyle w:val="TableofFigures"/>
        <w:tabs>
          <w:tab w:val="right" w:leader="dot" w:pos="9350"/>
        </w:tabs>
        <w:rPr>
          <w:rFonts w:asciiTheme="minorHAnsi" w:eastAsiaTheme="minorEastAsia" w:hAnsiTheme="minorHAnsi" w:cstheme="minorBidi"/>
          <w:noProof/>
          <w:sz w:val="22"/>
          <w:szCs w:val="22"/>
          <w:lang/>
        </w:rPr>
      </w:pPr>
      <w:hyperlink w:anchor="_Toc188367031" w:history="1">
        <w:r w:rsidRPr="00EB60BA">
          <w:rPr>
            <w:rStyle w:val="Hyperlink"/>
            <w:noProof/>
          </w:rPr>
          <w:t>Table A59: Regression Results on Jobs Count – Binary Range Indicator</w:t>
        </w:r>
        <w:r>
          <w:rPr>
            <w:noProof/>
            <w:webHidden/>
          </w:rPr>
          <w:tab/>
        </w:r>
        <w:r>
          <w:rPr>
            <w:noProof/>
            <w:webHidden/>
          </w:rPr>
          <w:fldChar w:fldCharType="begin"/>
        </w:r>
        <w:r>
          <w:rPr>
            <w:noProof/>
            <w:webHidden/>
          </w:rPr>
          <w:instrText xml:space="preserve"> PAGEREF _Toc188367031 \h </w:instrText>
        </w:r>
        <w:r>
          <w:rPr>
            <w:noProof/>
            <w:webHidden/>
          </w:rPr>
        </w:r>
        <w:r>
          <w:rPr>
            <w:noProof/>
            <w:webHidden/>
          </w:rPr>
          <w:fldChar w:fldCharType="separate"/>
        </w:r>
        <w:r w:rsidR="0083513D">
          <w:rPr>
            <w:noProof/>
            <w:webHidden/>
          </w:rPr>
          <w:t>314</w:t>
        </w:r>
        <w:r>
          <w:rPr>
            <w:noProof/>
            <w:webHidden/>
          </w:rPr>
          <w:fldChar w:fldCharType="end"/>
        </w:r>
      </w:hyperlink>
    </w:p>
    <w:p w14:paraId="55659B96" w14:textId="7FC3F1EF" w:rsidR="00DB1842" w:rsidRDefault="00DB1842" w:rsidP="001953BB">
      <w:pPr>
        <w:pStyle w:val="TableofFigures"/>
        <w:tabs>
          <w:tab w:val="right" w:leader="dot" w:pos="9350"/>
        </w:tabs>
        <w:rPr>
          <w:rFonts w:asciiTheme="minorHAnsi" w:eastAsiaTheme="minorEastAsia" w:hAnsiTheme="minorHAnsi" w:cstheme="minorBidi"/>
          <w:noProof/>
          <w:sz w:val="22"/>
          <w:szCs w:val="22"/>
          <w:lang/>
        </w:rPr>
      </w:pPr>
      <w:hyperlink w:anchor="_Toc188367032" w:history="1">
        <w:r w:rsidRPr="00EB60BA">
          <w:rPr>
            <w:rStyle w:val="Hyperlink"/>
            <w:noProof/>
          </w:rPr>
          <w:t>Table A60: Regression Results on Sales Volume – Binary Range Indicator</w:t>
        </w:r>
        <w:r>
          <w:rPr>
            <w:noProof/>
            <w:webHidden/>
          </w:rPr>
          <w:tab/>
        </w:r>
        <w:r>
          <w:rPr>
            <w:noProof/>
            <w:webHidden/>
          </w:rPr>
          <w:fldChar w:fldCharType="begin"/>
        </w:r>
        <w:r>
          <w:rPr>
            <w:noProof/>
            <w:webHidden/>
          </w:rPr>
          <w:instrText xml:space="preserve"> PAGEREF _Toc188367032 \h </w:instrText>
        </w:r>
        <w:r>
          <w:rPr>
            <w:noProof/>
            <w:webHidden/>
          </w:rPr>
        </w:r>
        <w:r>
          <w:rPr>
            <w:noProof/>
            <w:webHidden/>
          </w:rPr>
          <w:fldChar w:fldCharType="separate"/>
        </w:r>
        <w:r w:rsidR="0083513D">
          <w:rPr>
            <w:noProof/>
            <w:webHidden/>
          </w:rPr>
          <w:t>315</w:t>
        </w:r>
        <w:r>
          <w:rPr>
            <w:noProof/>
            <w:webHidden/>
          </w:rPr>
          <w:fldChar w:fldCharType="end"/>
        </w:r>
      </w:hyperlink>
    </w:p>
    <w:p w14:paraId="360EB6D0" w14:textId="00FA224C" w:rsidR="00DB1842" w:rsidRDefault="00DB1842" w:rsidP="001953BB">
      <w:pPr>
        <w:pStyle w:val="TableofFigures"/>
        <w:tabs>
          <w:tab w:val="right" w:leader="dot" w:pos="9350"/>
        </w:tabs>
        <w:rPr>
          <w:rFonts w:asciiTheme="minorHAnsi" w:eastAsiaTheme="minorEastAsia" w:hAnsiTheme="minorHAnsi" w:cstheme="minorBidi"/>
          <w:noProof/>
          <w:sz w:val="22"/>
          <w:szCs w:val="22"/>
          <w:lang/>
        </w:rPr>
      </w:pPr>
      <w:hyperlink w:anchor="_Toc188367033" w:history="1">
        <w:r w:rsidRPr="00EB60BA">
          <w:rPr>
            <w:rStyle w:val="Hyperlink"/>
            <w:noProof/>
          </w:rPr>
          <w:t>Table A61: Regression Results on Establishment Count – Continuous Range Indicator</w:t>
        </w:r>
        <w:r>
          <w:rPr>
            <w:noProof/>
            <w:webHidden/>
          </w:rPr>
          <w:tab/>
        </w:r>
        <w:r>
          <w:rPr>
            <w:noProof/>
            <w:webHidden/>
          </w:rPr>
          <w:fldChar w:fldCharType="begin"/>
        </w:r>
        <w:r>
          <w:rPr>
            <w:noProof/>
            <w:webHidden/>
          </w:rPr>
          <w:instrText xml:space="preserve"> PAGEREF _Toc188367033 \h </w:instrText>
        </w:r>
        <w:r>
          <w:rPr>
            <w:noProof/>
            <w:webHidden/>
          </w:rPr>
        </w:r>
        <w:r>
          <w:rPr>
            <w:noProof/>
            <w:webHidden/>
          </w:rPr>
          <w:fldChar w:fldCharType="separate"/>
        </w:r>
        <w:r w:rsidR="0083513D">
          <w:rPr>
            <w:noProof/>
            <w:webHidden/>
          </w:rPr>
          <w:t>316</w:t>
        </w:r>
        <w:r>
          <w:rPr>
            <w:noProof/>
            <w:webHidden/>
          </w:rPr>
          <w:fldChar w:fldCharType="end"/>
        </w:r>
      </w:hyperlink>
    </w:p>
    <w:p w14:paraId="6D8823EC" w14:textId="54404496" w:rsidR="00DB1842" w:rsidRDefault="00DB1842" w:rsidP="001953BB">
      <w:pPr>
        <w:pStyle w:val="TableofFigures"/>
        <w:tabs>
          <w:tab w:val="right" w:leader="dot" w:pos="9350"/>
        </w:tabs>
        <w:rPr>
          <w:rFonts w:asciiTheme="minorHAnsi" w:eastAsiaTheme="minorEastAsia" w:hAnsiTheme="minorHAnsi" w:cstheme="minorBidi"/>
          <w:noProof/>
          <w:sz w:val="22"/>
          <w:szCs w:val="22"/>
          <w:lang/>
        </w:rPr>
      </w:pPr>
      <w:hyperlink w:anchor="_Toc188367034" w:history="1">
        <w:r w:rsidRPr="00EB60BA">
          <w:rPr>
            <w:rStyle w:val="Hyperlink"/>
            <w:noProof/>
          </w:rPr>
          <w:t>Table A62: Regression Results on Jobs Count – Continuous Range Indicator</w:t>
        </w:r>
        <w:r>
          <w:rPr>
            <w:noProof/>
            <w:webHidden/>
          </w:rPr>
          <w:tab/>
        </w:r>
        <w:r>
          <w:rPr>
            <w:noProof/>
            <w:webHidden/>
          </w:rPr>
          <w:fldChar w:fldCharType="begin"/>
        </w:r>
        <w:r>
          <w:rPr>
            <w:noProof/>
            <w:webHidden/>
          </w:rPr>
          <w:instrText xml:space="preserve"> PAGEREF _Toc188367034 \h </w:instrText>
        </w:r>
        <w:r>
          <w:rPr>
            <w:noProof/>
            <w:webHidden/>
          </w:rPr>
        </w:r>
        <w:r>
          <w:rPr>
            <w:noProof/>
            <w:webHidden/>
          </w:rPr>
          <w:fldChar w:fldCharType="separate"/>
        </w:r>
        <w:r w:rsidR="0083513D">
          <w:rPr>
            <w:noProof/>
            <w:webHidden/>
          </w:rPr>
          <w:t>317</w:t>
        </w:r>
        <w:r>
          <w:rPr>
            <w:noProof/>
            <w:webHidden/>
          </w:rPr>
          <w:fldChar w:fldCharType="end"/>
        </w:r>
      </w:hyperlink>
    </w:p>
    <w:p w14:paraId="1AD71730" w14:textId="0B7096AD" w:rsidR="00DB1842" w:rsidRDefault="00DB1842" w:rsidP="001953BB">
      <w:pPr>
        <w:pStyle w:val="TableofFigures"/>
        <w:tabs>
          <w:tab w:val="right" w:leader="dot" w:pos="9350"/>
        </w:tabs>
      </w:pPr>
      <w:hyperlink w:anchor="_Toc188367035" w:history="1">
        <w:r w:rsidRPr="00EB60BA">
          <w:rPr>
            <w:rStyle w:val="Hyperlink"/>
            <w:noProof/>
          </w:rPr>
          <w:t>Table A63: Regression Results on Sales Volume – Continuous Range Indicator</w:t>
        </w:r>
        <w:r>
          <w:rPr>
            <w:noProof/>
            <w:webHidden/>
          </w:rPr>
          <w:tab/>
        </w:r>
        <w:r>
          <w:rPr>
            <w:noProof/>
            <w:webHidden/>
          </w:rPr>
          <w:fldChar w:fldCharType="begin"/>
        </w:r>
        <w:r>
          <w:rPr>
            <w:noProof/>
            <w:webHidden/>
          </w:rPr>
          <w:instrText xml:space="preserve"> PAGEREF _Toc188367035 \h </w:instrText>
        </w:r>
        <w:r>
          <w:rPr>
            <w:noProof/>
            <w:webHidden/>
          </w:rPr>
        </w:r>
        <w:r>
          <w:rPr>
            <w:noProof/>
            <w:webHidden/>
          </w:rPr>
          <w:fldChar w:fldCharType="separate"/>
        </w:r>
        <w:r w:rsidR="0083513D">
          <w:rPr>
            <w:noProof/>
            <w:webHidden/>
          </w:rPr>
          <w:t>318</w:t>
        </w:r>
        <w:r>
          <w:rPr>
            <w:noProof/>
            <w:webHidden/>
          </w:rPr>
          <w:fldChar w:fldCharType="end"/>
        </w:r>
      </w:hyperlink>
    </w:p>
    <w:p w14:paraId="26924CCD" w14:textId="77777777" w:rsidR="001953BB" w:rsidRDefault="001953BB" w:rsidP="001953BB"/>
    <w:p w14:paraId="6CAD119C" w14:textId="77777777" w:rsidR="001953BB" w:rsidRDefault="001953BB" w:rsidP="001953BB"/>
    <w:p w14:paraId="21D8ECF4" w14:textId="77777777" w:rsidR="001953BB" w:rsidRDefault="001953BB" w:rsidP="001953BB"/>
    <w:p w14:paraId="1E7EB851" w14:textId="77777777" w:rsidR="001953BB" w:rsidRDefault="001953BB" w:rsidP="001953BB"/>
    <w:p w14:paraId="6BCDF463" w14:textId="77777777" w:rsidR="001953BB" w:rsidRDefault="001953BB" w:rsidP="001953BB"/>
    <w:p w14:paraId="5217A906" w14:textId="77777777" w:rsidR="001953BB" w:rsidRPr="001953BB" w:rsidRDefault="001953BB" w:rsidP="001953BB"/>
    <w:p w14:paraId="58848858" w14:textId="42219566" w:rsidR="00DB1842" w:rsidRDefault="00DB1842" w:rsidP="001953BB">
      <w:pPr>
        <w:pStyle w:val="Heading1"/>
      </w:pPr>
      <w:r>
        <w:lastRenderedPageBreak/>
        <w:fldChar w:fldCharType="end"/>
      </w:r>
      <w:bookmarkStart w:id="15" w:name="_Toc188366790"/>
      <w:bookmarkStart w:id="16" w:name="_Toc188367148"/>
      <w:bookmarkStart w:id="17" w:name="_Toc188377392"/>
      <w:bookmarkStart w:id="18" w:name="_Toc188377634"/>
      <w:bookmarkStart w:id="19" w:name="_Toc188378968"/>
      <w:r w:rsidR="00FF1E19">
        <w:t>LIST OF FIGURES</w:t>
      </w:r>
      <w:bookmarkStart w:id="20" w:name="_Toc289175819"/>
      <w:bookmarkStart w:id="21" w:name="_Toc175638303"/>
      <w:bookmarkEnd w:id="15"/>
      <w:bookmarkEnd w:id="16"/>
      <w:bookmarkEnd w:id="17"/>
      <w:bookmarkEnd w:id="18"/>
      <w:bookmarkEnd w:id="19"/>
    </w:p>
    <w:p w14:paraId="5C4D67B3" w14:textId="3683F928" w:rsidR="00DB1842" w:rsidRDefault="00DB1842">
      <w:pPr>
        <w:pStyle w:val="TableofFigures"/>
        <w:tabs>
          <w:tab w:val="right" w:leader="dot" w:pos="9350"/>
        </w:tabs>
        <w:rPr>
          <w:rFonts w:asciiTheme="minorHAnsi" w:eastAsiaTheme="minorEastAsia" w:hAnsiTheme="minorHAnsi" w:cstheme="minorBidi"/>
          <w:noProof/>
          <w:sz w:val="22"/>
          <w:szCs w:val="22"/>
          <w:lang/>
        </w:rPr>
      </w:pPr>
      <w:r>
        <w:fldChar w:fldCharType="begin"/>
      </w:r>
      <w:r>
        <w:instrText xml:space="preserve"> TOC \h \z \t "Caption" \c </w:instrText>
      </w:r>
      <w:r>
        <w:fldChar w:fldCharType="separate"/>
      </w:r>
      <w:hyperlink w:anchor="_Toc188367084" w:history="1">
        <w:r w:rsidRPr="0098197E">
          <w:rPr>
            <w:rStyle w:val="Hyperlink"/>
            <w:noProof/>
          </w:rPr>
          <w:t>Figure A1: Location Decision Tree</w:t>
        </w:r>
        <w:r>
          <w:rPr>
            <w:noProof/>
            <w:webHidden/>
          </w:rPr>
          <w:tab/>
        </w:r>
        <w:r>
          <w:rPr>
            <w:noProof/>
            <w:webHidden/>
          </w:rPr>
          <w:fldChar w:fldCharType="begin"/>
        </w:r>
        <w:r>
          <w:rPr>
            <w:noProof/>
            <w:webHidden/>
          </w:rPr>
          <w:instrText xml:space="preserve"> PAGEREF _Toc188367084 \h </w:instrText>
        </w:r>
        <w:r>
          <w:rPr>
            <w:noProof/>
            <w:webHidden/>
          </w:rPr>
        </w:r>
        <w:r>
          <w:rPr>
            <w:noProof/>
            <w:webHidden/>
          </w:rPr>
          <w:fldChar w:fldCharType="separate"/>
        </w:r>
        <w:r w:rsidR="0083513D">
          <w:rPr>
            <w:noProof/>
            <w:webHidden/>
          </w:rPr>
          <w:t>71</w:t>
        </w:r>
        <w:r>
          <w:rPr>
            <w:noProof/>
            <w:webHidden/>
          </w:rPr>
          <w:fldChar w:fldCharType="end"/>
        </w:r>
      </w:hyperlink>
    </w:p>
    <w:p w14:paraId="20901A91" w14:textId="3CEAB00D" w:rsidR="00DB1842" w:rsidRDefault="00DB1842">
      <w:pPr>
        <w:pStyle w:val="TableofFigures"/>
        <w:tabs>
          <w:tab w:val="right" w:leader="dot" w:pos="9350"/>
        </w:tabs>
        <w:rPr>
          <w:rFonts w:asciiTheme="minorHAnsi" w:eastAsiaTheme="minorEastAsia" w:hAnsiTheme="minorHAnsi" w:cstheme="minorBidi"/>
          <w:noProof/>
          <w:sz w:val="22"/>
          <w:szCs w:val="22"/>
          <w:lang/>
        </w:rPr>
      </w:pPr>
      <w:hyperlink w:anchor="_Toc188367085" w:history="1">
        <w:r w:rsidRPr="0098197E">
          <w:rPr>
            <w:rStyle w:val="Hyperlink"/>
            <w:noProof/>
          </w:rPr>
          <w:t>Figure A2: Trends in Aggregate LIS Entries and Exits Over Time</w:t>
        </w:r>
        <w:r>
          <w:rPr>
            <w:noProof/>
            <w:webHidden/>
          </w:rPr>
          <w:tab/>
        </w:r>
        <w:r>
          <w:rPr>
            <w:noProof/>
            <w:webHidden/>
          </w:rPr>
          <w:fldChar w:fldCharType="begin"/>
        </w:r>
        <w:r>
          <w:rPr>
            <w:noProof/>
            <w:webHidden/>
          </w:rPr>
          <w:instrText xml:space="preserve"> PAGEREF _Toc188367085 \h </w:instrText>
        </w:r>
        <w:r>
          <w:rPr>
            <w:noProof/>
            <w:webHidden/>
          </w:rPr>
        </w:r>
        <w:r>
          <w:rPr>
            <w:noProof/>
            <w:webHidden/>
          </w:rPr>
          <w:fldChar w:fldCharType="separate"/>
        </w:r>
        <w:r w:rsidR="0083513D">
          <w:rPr>
            <w:noProof/>
            <w:webHidden/>
          </w:rPr>
          <w:t>72</w:t>
        </w:r>
        <w:r>
          <w:rPr>
            <w:noProof/>
            <w:webHidden/>
          </w:rPr>
          <w:fldChar w:fldCharType="end"/>
        </w:r>
      </w:hyperlink>
    </w:p>
    <w:p w14:paraId="5357ECAA" w14:textId="09A2B620" w:rsidR="00DB1842" w:rsidRDefault="00DB1842">
      <w:pPr>
        <w:pStyle w:val="TableofFigures"/>
        <w:tabs>
          <w:tab w:val="right" w:leader="dot" w:pos="9350"/>
        </w:tabs>
        <w:rPr>
          <w:rFonts w:asciiTheme="minorHAnsi" w:eastAsiaTheme="minorEastAsia" w:hAnsiTheme="minorHAnsi" w:cstheme="minorBidi"/>
          <w:noProof/>
          <w:sz w:val="22"/>
          <w:szCs w:val="22"/>
          <w:lang/>
        </w:rPr>
      </w:pPr>
      <w:hyperlink w:anchor="_Toc188367086" w:history="1">
        <w:r w:rsidRPr="0098197E">
          <w:rPr>
            <w:rStyle w:val="Hyperlink"/>
            <w:noProof/>
          </w:rPr>
          <w:t>Figure A3: Trends in Aggregate LIS Entries Over Time</w:t>
        </w:r>
        <w:r>
          <w:rPr>
            <w:noProof/>
            <w:webHidden/>
          </w:rPr>
          <w:tab/>
        </w:r>
        <w:r>
          <w:rPr>
            <w:noProof/>
            <w:webHidden/>
          </w:rPr>
          <w:fldChar w:fldCharType="begin"/>
        </w:r>
        <w:r>
          <w:rPr>
            <w:noProof/>
            <w:webHidden/>
          </w:rPr>
          <w:instrText xml:space="preserve"> PAGEREF _Toc188367086 \h </w:instrText>
        </w:r>
        <w:r>
          <w:rPr>
            <w:noProof/>
            <w:webHidden/>
          </w:rPr>
        </w:r>
        <w:r>
          <w:rPr>
            <w:noProof/>
            <w:webHidden/>
          </w:rPr>
          <w:fldChar w:fldCharType="separate"/>
        </w:r>
        <w:r w:rsidR="0083513D">
          <w:rPr>
            <w:noProof/>
            <w:webHidden/>
          </w:rPr>
          <w:t>73</w:t>
        </w:r>
        <w:r>
          <w:rPr>
            <w:noProof/>
            <w:webHidden/>
          </w:rPr>
          <w:fldChar w:fldCharType="end"/>
        </w:r>
      </w:hyperlink>
    </w:p>
    <w:p w14:paraId="6F1F143D" w14:textId="06D763EE" w:rsidR="00DB1842" w:rsidRDefault="00DB1842">
      <w:pPr>
        <w:pStyle w:val="TableofFigures"/>
        <w:tabs>
          <w:tab w:val="right" w:leader="dot" w:pos="9350"/>
        </w:tabs>
        <w:rPr>
          <w:rFonts w:asciiTheme="minorHAnsi" w:eastAsiaTheme="minorEastAsia" w:hAnsiTheme="minorHAnsi" w:cstheme="minorBidi"/>
          <w:noProof/>
          <w:sz w:val="22"/>
          <w:szCs w:val="22"/>
          <w:lang/>
        </w:rPr>
      </w:pPr>
      <w:hyperlink w:anchor="_Toc188367087" w:history="1">
        <w:r w:rsidRPr="0098197E">
          <w:rPr>
            <w:rStyle w:val="Hyperlink"/>
            <w:noProof/>
          </w:rPr>
          <w:t>Figure A4: Trends in Aggregate LIS Exits Over Time</w:t>
        </w:r>
        <w:r>
          <w:rPr>
            <w:noProof/>
            <w:webHidden/>
          </w:rPr>
          <w:tab/>
        </w:r>
        <w:r>
          <w:rPr>
            <w:noProof/>
            <w:webHidden/>
          </w:rPr>
          <w:fldChar w:fldCharType="begin"/>
        </w:r>
        <w:r>
          <w:rPr>
            <w:noProof/>
            <w:webHidden/>
          </w:rPr>
          <w:instrText xml:space="preserve"> PAGEREF _Toc188367087 \h </w:instrText>
        </w:r>
        <w:r>
          <w:rPr>
            <w:noProof/>
            <w:webHidden/>
          </w:rPr>
        </w:r>
        <w:r>
          <w:rPr>
            <w:noProof/>
            <w:webHidden/>
          </w:rPr>
          <w:fldChar w:fldCharType="separate"/>
        </w:r>
        <w:r w:rsidR="0083513D">
          <w:rPr>
            <w:noProof/>
            <w:webHidden/>
          </w:rPr>
          <w:t>74</w:t>
        </w:r>
        <w:r>
          <w:rPr>
            <w:noProof/>
            <w:webHidden/>
          </w:rPr>
          <w:fldChar w:fldCharType="end"/>
        </w:r>
      </w:hyperlink>
    </w:p>
    <w:p w14:paraId="16586A3D" w14:textId="674BE94F" w:rsidR="00DB1842" w:rsidRDefault="00DB1842">
      <w:pPr>
        <w:pStyle w:val="TableofFigures"/>
        <w:tabs>
          <w:tab w:val="right" w:leader="dot" w:pos="9350"/>
        </w:tabs>
        <w:rPr>
          <w:rFonts w:asciiTheme="minorHAnsi" w:eastAsiaTheme="minorEastAsia" w:hAnsiTheme="minorHAnsi" w:cstheme="minorBidi"/>
          <w:noProof/>
          <w:sz w:val="22"/>
          <w:szCs w:val="22"/>
          <w:lang/>
        </w:rPr>
      </w:pPr>
      <w:hyperlink w:anchor="_Toc188367088" w:history="1">
        <w:r w:rsidRPr="0098197E">
          <w:rPr>
            <w:rStyle w:val="Hyperlink"/>
            <w:noProof/>
          </w:rPr>
          <w:t>Figure A5: Aggregate LIS Entries vs. Broad PADs (GAP 1-4)</w:t>
        </w:r>
        <w:r>
          <w:rPr>
            <w:noProof/>
            <w:webHidden/>
          </w:rPr>
          <w:tab/>
        </w:r>
        <w:r>
          <w:rPr>
            <w:noProof/>
            <w:webHidden/>
          </w:rPr>
          <w:fldChar w:fldCharType="begin"/>
        </w:r>
        <w:r>
          <w:rPr>
            <w:noProof/>
            <w:webHidden/>
          </w:rPr>
          <w:instrText xml:space="preserve"> PAGEREF _Toc188367088 \h </w:instrText>
        </w:r>
        <w:r>
          <w:rPr>
            <w:noProof/>
            <w:webHidden/>
          </w:rPr>
        </w:r>
        <w:r>
          <w:rPr>
            <w:noProof/>
            <w:webHidden/>
          </w:rPr>
          <w:fldChar w:fldCharType="separate"/>
        </w:r>
        <w:r w:rsidR="0083513D">
          <w:rPr>
            <w:noProof/>
            <w:webHidden/>
          </w:rPr>
          <w:t>76</w:t>
        </w:r>
        <w:r>
          <w:rPr>
            <w:noProof/>
            <w:webHidden/>
          </w:rPr>
          <w:fldChar w:fldCharType="end"/>
        </w:r>
      </w:hyperlink>
    </w:p>
    <w:p w14:paraId="58F06639" w14:textId="1D6A77AE" w:rsidR="00DB1842" w:rsidRDefault="00DB1842">
      <w:pPr>
        <w:pStyle w:val="TableofFigures"/>
        <w:tabs>
          <w:tab w:val="right" w:leader="dot" w:pos="9350"/>
        </w:tabs>
        <w:rPr>
          <w:rFonts w:asciiTheme="minorHAnsi" w:eastAsiaTheme="minorEastAsia" w:hAnsiTheme="minorHAnsi" w:cstheme="minorBidi"/>
          <w:noProof/>
          <w:sz w:val="22"/>
          <w:szCs w:val="22"/>
          <w:lang/>
        </w:rPr>
      </w:pPr>
      <w:hyperlink w:anchor="_Toc188367089" w:history="1">
        <w:r w:rsidRPr="0098197E">
          <w:rPr>
            <w:rStyle w:val="Hyperlink"/>
            <w:noProof/>
          </w:rPr>
          <w:t>Figure A6: Aggregate LIS Entries vs. Strict PADs (GAP 1-2)</w:t>
        </w:r>
        <w:r>
          <w:rPr>
            <w:noProof/>
            <w:webHidden/>
          </w:rPr>
          <w:tab/>
        </w:r>
        <w:r>
          <w:rPr>
            <w:noProof/>
            <w:webHidden/>
          </w:rPr>
          <w:fldChar w:fldCharType="begin"/>
        </w:r>
        <w:r>
          <w:rPr>
            <w:noProof/>
            <w:webHidden/>
          </w:rPr>
          <w:instrText xml:space="preserve"> PAGEREF _Toc188367089 \h </w:instrText>
        </w:r>
        <w:r>
          <w:rPr>
            <w:noProof/>
            <w:webHidden/>
          </w:rPr>
        </w:r>
        <w:r>
          <w:rPr>
            <w:noProof/>
            <w:webHidden/>
          </w:rPr>
          <w:fldChar w:fldCharType="separate"/>
        </w:r>
        <w:r w:rsidR="0083513D">
          <w:rPr>
            <w:noProof/>
            <w:webHidden/>
          </w:rPr>
          <w:t>77</w:t>
        </w:r>
        <w:r>
          <w:rPr>
            <w:noProof/>
            <w:webHidden/>
          </w:rPr>
          <w:fldChar w:fldCharType="end"/>
        </w:r>
      </w:hyperlink>
    </w:p>
    <w:p w14:paraId="198E7E2A" w14:textId="39D657C7" w:rsidR="00DB1842" w:rsidRDefault="00DB1842">
      <w:pPr>
        <w:pStyle w:val="TableofFigures"/>
        <w:tabs>
          <w:tab w:val="right" w:leader="dot" w:pos="9350"/>
        </w:tabs>
        <w:rPr>
          <w:rFonts w:asciiTheme="minorHAnsi" w:eastAsiaTheme="minorEastAsia" w:hAnsiTheme="minorHAnsi" w:cstheme="minorBidi"/>
          <w:noProof/>
          <w:sz w:val="22"/>
          <w:szCs w:val="22"/>
          <w:lang/>
        </w:rPr>
      </w:pPr>
      <w:hyperlink w:anchor="_Toc188367090" w:history="1">
        <w:r w:rsidRPr="0098197E">
          <w:rPr>
            <w:rStyle w:val="Hyperlink"/>
            <w:noProof/>
          </w:rPr>
          <w:t>Figure A7: Aggregate LIS Exits vs. Broad PADs (GAP 1-4)</w:t>
        </w:r>
        <w:r>
          <w:rPr>
            <w:noProof/>
            <w:webHidden/>
          </w:rPr>
          <w:tab/>
        </w:r>
        <w:r>
          <w:rPr>
            <w:noProof/>
            <w:webHidden/>
          </w:rPr>
          <w:fldChar w:fldCharType="begin"/>
        </w:r>
        <w:r>
          <w:rPr>
            <w:noProof/>
            <w:webHidden/>
          </w:rPr>
          <w:instrText xml:space="preserve"> PAGEREF _Toc188367090 \h </w:instrText>
        </w:r>
        <w:r>
          <w:rPr>
            <w:noProof/>
            <w:webHidden/>
          </w:rPr>
        </w:r>
        <w:r>
          <w:rPr>
            <w:noProof/>
            <w:webHidden/>
          </w:rPr>
          <w:fldChar w:fldCharType="separate"/>
        </w:r>
        <w:r w:rsidR="0083513D">
          <w:rPr>
            <w:noProof/>
            <w:webHidden/>
          </w:rPr>
          <w:t>78</w:t>
        </w:r>
        <w:r>
          <w:rPr>
            <w:noProof/>
            <w:webHidden/>
          </w:rPr>
          <w:fldChar w:fldCharType="end"/>
        </w:r>
      </w:hyperlink>
    </w:p>
    <w:p w14:paraId="0A8AC27D" w14:textId="5C699A02" w:rsidR="00DB1842" w:rsidRDefault="00DB1842">
      <w:pPr>
        <w:pStyle w:val="TableofFigures"/>
        <w:tabs>
          <w:tab w:val="right" w:leader="dot" w:pos="9350"/>
        </w:tabs>
        <w:rPr>
          <w:rFonts w:asciiTheme="minorHAnsi" w:eastAsiaTheme="minorEastAsia" w:hAnsiTheme="minorHAnsi" w:cstheme="minorBidi"/>
          <w:noProof/>
          <w:sz w:val="22"/>
          <w:szCs w:val="22"/>
          <w:lang/>
        </w:rPr>
      </w:pPr>
      <w:hyperlink w:anchor="_Toc188367091" w:history="1">
        <w:r w:rsidRPr="0098197E">
          <w:rPr>
            <w:rStyle w:val="Hyperlink"/>
            <w:noProof/>
          </w:rPr>
          <w:t>Figure A8: Aggregate LIS Exits vs. Strict PADs (GAP 1-2)</w:t>
        </w:r>
        <w:r>
          <w:rPr>
            <w:noProof/>
            <w:webHidden/>
          </w:rPr>
          <w:tab/>
        </w:r>
        <w:r>
          <w:rPr>
            <w:noProof/>
            <w:webHidden/>
          </w:rPr>
          <w:fldChar w:fldCharType="begin"/>
        </w:r>
        <w:r>
          <w:rPr>
            <w:noProof/>
            <w:webHidden/>
          </w:rPr>
          <w:instrText xml:space="preserve"> PAGEREF _Toc188367091 \h </w:instrText>
        </w:r>
        <w:r>
          <w:rPr>
            <w:noProof/>
            <w:webHidden/>
          </w:rPr>
        </w:r>
        <w:r>
          <w:rPr>
            <w:noProof/>
            <w:webHidden/>
          </w:rPr>
          <w:fldChar w:fldCharType="separate"/>
        </w:r>
        <w:r w:rsidR="0083513D">
          <w:rPr>
            <w:noProof/>
            <w:webHidden/>
          </w:rPr>
          <w:t>79</w:t>
        </w:r>
        <w:r>
          <w:rPr>
            <w:noProof/>
            <w:webHidden/>
          </w:rPr>
          <w:fldChar w:fldCharType="end"/>
        </w:r>
      </w:hyperlink>
    </w:p>
    <w:p w14:paraId="0853F5DA" w14:textId="523F9546" w:rsidR="00DB1842" w:rsidRDefault="00DB1842">
      <w:pPr>
        <w:pStyle w:val="TableofFigures"/>
        <w:tabs>
          <w:tab w:val="right" w:leader="dot" w:pos="9350"/>
        </w:tabs>
        <w:rPr>
          <w:rFonts w:asciiTheme="minorHAnsi" w:eastAsiaTheme="minorEastAsia" w:hAnsiTheme="minorHAnsi" w:cstheme="minorBidi"/>
          <w:noProof/>
          <w:sz w:val="22"/>
          <w:szCs w:val="22"/>
          <w:lang/>
        </w:rPr>
      </w:pPr>
      <w:hyperlink w:anchor="_Toc188367092" w:history="1">
        <w:r w:rsidRPr="0098197E">
          <w:rPr>
            <w:rStyle w:val="Hyperlink"/>
            <w:noProof/>
            <w:lang/>
          </w:rPr>
          <w:t>Figure A9: Aggregate LIS Inward Relocations vs. Broad PADs (GAP 1-4)</w:t>
        </w:r>
        <w:r>
          <w:rPr>
            <w:noProof/>
            <w:webHidden/>
          </w:rPr>
          <w:tab/>
        </w:r>
        <w:r>
          <w:rPr>
            <w:noProof/>
            <w:webHidden/>
          </w:rPr>
          <w:fldChar w:fldCharType="begin"/>
        </w:r>
        <w:r>
          <w:rPr>
            <w:noProof/>
            <w:webHidden/>
          </w:rPr>
          <w:instrText xml:space="preserve"> PAGEREF _Toc188367092 \h </w:instrText>
        </w:r>
        <w:r>
          <w:rPr>
            <w:noProof/>
            <w:webHidden/>
          </w:rPr>
        </w:r>
        <w:r>
          <w:rPr>
            <w:noProof/>
            <w:webHidden/>
          </w:rPr>
          <w:fldChar w:fldCharType="separate"/>
        </w:r>
        <w:r w:rsidR="0083513D">
          <w:rPr>
            <w:noProof/>
            <w:webHidden/>
          </w:rPr>
          <w:t>80</w:t>
        </w:r>
        <w:r>
          <w:rPr>
            <w:noProof/>
            <w:webHidden/>
          </w:rPr>
          <w:fldChar w:fldCharType="end"/>
        </w:r>
      </w:hyperlink>
    </w:p>
    <w:p w14:paraId="180B67C4" w14:textId="18C2083E" w:rsidR="00DB1842" w:rsidRDefault="00DB1842">
      <w:pPr>
        <w:pStyle w:val="TableofFigures"/>
        <w:tabs>
          <w:tab w:val="right" w:leader="dot" w:pos="9350"/>
        </w:tabs>
        <w:rPr>
          <w:rFonts w:asciiTheme="minorHAnsi" w:eastAsiaTheme="minorEastAsia" w:hAnsiTheme="minorHAnsi" w:cstheme="minorBidi"/>
          <w:noProof/>
          <w:sz w:val="22"/>
          <w:szCs w:val="22"/>
          <w:lang/>
        </w:rPr>
      </w:pPr>
      <w:hyperlink w:anchor="_Toc188367093" w:history="1">
        <w:r w:rsidRPr="0098197E">
          <w:rPr>
            <w:rStyle w:val="Hyperlink"/>
            <w:noProof/>
          </w:rPr>
          <w:t>Figure A10: Aggregate LIS</w:t>
        </w:r>
        <w:r w:rsidRPr="0098197E">
          <w:rPr>
            <w:rStyle w:val="Hyperlink"/>
            <w:i/>
            <w:iCs/>
            <w:noProof/>
          </w:rPr>
          <w:t xml:space="preserve"> </w:t>
        </w:r>
        <w:r w:rsidRPr="0098197E">
          <w:rPr>
            <w:rStyle w:val="Hyperlink"/>
            <w:noProof/>
          </w:rPr>
          <w:t>Inward Relocations vs. Strict PADs (GAP 1-2)</w:t>
        </w:r>
        <w:r>
          <w:rPr>
            <w:noProof/>
            <w:webHidden/>
          </w:rPr>
          <w:tab/>
        </w:r>
        <w:r>
          <w:rPr>
            <w:noProof/>
            <w:webHidden/>
          </w:rPr>
          <w:fldChar w:fldCharType="begin"/>
        </w:r>
        <w:r>
          <w:rPr>
            <w:noProof/>
            <w:webHidden/>
          </w:rPr>
          <w:instrText xml:space="preserve"> PAGEREF _Toc188367093 \h </w:instrText>
        </w:r>
        <w:r>
          <w:rPr>
            <w:noProof/>
            <w:webHidden/>
          </w:rPr>
        </w:r>
        <w:r>
          <w:rPr>
            <w:noProof/>
            <w:webHidden/>
          </w:rPr>
          <w:fldChar w:fldCharType="separate"/>
        </w:r>
        <w:r w:rsidR="0083513D">
          <w:rPr>
            <w:noProof/>
            <w:webHidden/>
          </w:rPr>
          <w:t>81</w:t>
        </w:r>
        <w:r>
          <w:rPr>
            <w:noProof/>
            <w:webHidden/>
          </w:rPr>
          <w:fldChar w:fldCharType="end"/>
        </w:r>
      </w:hyperlink>
    </w:p>
    <w:p w14:paraId="08988D31" w14:textId="5F405130" w:rsidR="00DB1842" w:rsidRDefault="00DB1842">
      <w:pPr>
        <w:pStyle w:val="TableofFigures"/>
        <w:tabs>
          <w:tab w:val="right" w:leader="dot" w:pos="9350"/>
        </w:tabs>
        <w:rPr>
          <w:rFonts w:asciiTheme="minorHAnsi" w:eastAsiaTheme="minorEastAsia" w:hAnsiTheme="minorHAnsi" w:cstheme="minorBidi"/>
          <w:noProof/>
          <w:sz w:val="22"/>
          <w:szCs w:val="22"/>
          <w:lang/>
        </w:rPr>
      </w:pPr>
      <w:hyperlink w:anchor="_Toc188367094" w:history="1">
        <w:r w:rsidRPr="0098197E">
          <w:rPr>
            <w:rStyle w:val="Hyperlink"/>
            <w:noProof/>
          </w:rPr>
          <w:t>Figure A11: Aggregate LIS Outward Relocations vs. broad PADs (GAP 1-4)</w:t>
        </w:r>
        <w:r>
          <w:rPr>
            <w:noProof/>
            <w:webHidden/>
          </w:rPr>
          <w:tab/>
        </w:r>
        <w:r>
          <w:rPr>
            <w:noProof/>
            <w:webHidden/>
          </w:rPr>
          <w:fldChar w:fldCharType="begin"/>
        </w:r>
        <w:r>
          <w:rPr>
            <w:noProof/>
            <w:webHidden/>
          </w:rPr>
          <w:instrText xml:space="preserve"> PAGEREF _Toc188367094 \h </w:instrText>
        </w:r>
        <w:r>
          <w:rPr>
            <w:noProof/>
            <w:webHidden/>
          </w:rPr>
        </w:r>
        <w:r>
          <w:rPr>
            <w:noProof/>
            <w:webHidden/>
          </w:rPr>
          <w:fldChar w:fldCharType="separate"/>
        </w:r>
        <w:r w:rsidR="0083513D">
          <w:rPr>
            <w:noProof/>
            <w:webHidden/>
          </w:rPr>
          <w:t>82</w:t>
        </w:r>
        <w:r>
          <w:rPr>
            <w:noProof/>
            <w:webHidden/>
          </w:rPr>
          <w:fldChar w:fldCharType="end"/>
        </w:r>
      </w:hyperlink>
    </w:p>
    <w:p w14:paraId="5F6D531C" w14:textId="1F0ED050" w:rsidR="00DB1842" w:rsidRDefault="00DB1842">
      <w:pPr>
        <w:pStyle w:val="TableofFigures"/>
        <w:tabs>
          <w:tab w:val="right" w:leader="dot" w:pos="9350"/>
        </w:tabs>
        <w:rPr>
          <w:rFonts w:asciiTheme="minorHAnsi" w:eastAsiaTheme="minorEastAsia" w:hAnsiTheme="minorHAnsi" w:cstheme="minorBidi"/>
          <w:noProof/>
          <w:sz w:val="22"/>
          <w:szCs w:val="22"/>
          <w:lang/>
        </w:rPr>
      </w:pPr>
      <w:hyperlink w:anchor="_Toc188367095" w:history="1">
        <w:r w:rsidRPr="0098197E">
          <w:rPr>
            <w:rStyle w:val="Hyperlink"/>
            <w:noProof/>
          </w:rPr>
          <w:t>Figure A12: Aggregate LIS Outward Relocations vs. Strict PADs (GAP 1-2)</w:t>
        </w:r>
        <w:r>
          <w:rPr>
            <w:noProof/>
            <w:webHidden/>
          </w:rPr>
          <w:tab/>
        </w:r>
        <w:r>
          <w:rPr>
            <w:noProof/>
            <w:webHidden/>
          </w:rPr>
          <w:fldChar w:fldCharType="begin"/>
        </w:r>
        <w:r>
          <w:rPr>
            <w:noProof/>
            <w:webHidden/>
          </w:rPr>
          <w:instrText xml:space="preserve"> PAGEREF _Toc188367095 \h </w:instrText>
        </w:r>
        <w:r>
          <w:rPr>
            <w:noProof/>
            <w:webHidden/>
          </w:rPr>
        </w:r>
        <w:r>
          <w:rPr>
            <w:noProof/>
            <w:webHidden/>
          </w:rPr>
          <w:fldChar w:fldCharType="separate"/>
        </w:r>
        <w:r w:rsidR="0083513D">
          <w:rPr>
            <w:noProof/>
            <w:webHidden/>
          </w:rPr>
          <w:t>83</w:t>
        </w:r>
        <w:r>
          <w:rPr>
            <w:noProof/>
            <w:webHidden/>
          </w:rPr>
          <w:fldChar w:fldCharType="end"/>
        </w:r>
      </w:hyperlink>
    </w:p>
    <w:p w14:paraId="001A4FDD" w14:textId="21702887" w:rsidR="00DB1842" w:rsidRDefault="00DB1842">
      <w:pPr>
        <w:pStyle w:val="TableofFigures"/>
        <w:tabs>
          <w:tab w:val="right" w:leader="dot" w:pos="9350"/>
        </w:tabs>
        <w:rPr>
          <w:rFonts w:asciiTheme="minorHAnsi" w:eastAsiaTheme="minorEastAsia" w:hAnsiTheme="minorHAnsi" w:cstheme="minorBidi"/>
          <w:noProof/>
          <w:sz w:val="22"/>
          <w:szCs w:val="22"/>
          <w:lang/>
        </w:rPr>
      </w:pPr>
      <w:hyperlink w:anchor="_Toc188367096" w:history="1">
        <w:r w:rsidRPr="0098197E">
          <w:rPr>
            <w:rStyle w:val="Hyperlink"/>
            <w:noProof/>
          </w:rPr>
          <w:t>Figure A13: Spatial-Temporal Distribution of Establishments and Wildfires</w:t>
        </w:r>
        <w:r>
          <w:rPr>
            <w:noProof/>
            <w:webHidden/>
          </w:rPr>
          <w:tab/>
        </w:r>
        <w:r>
          <w:rPr>
            <w:noProof/>
            <w:webHidden/>
          </w:rPr>
          <w:fldChar w:fldCharType="begin"/>
        </w:r>
        <w:r>
          <w:rPr>
            <w:noProof/>
            <w:webHidden/>
          </w:rPr>
          <w:instrText xml:space="preserve"> PAGEREF _Toc188367096 \h </w:instrText>
        </w:r>
        <w:r>
          <w:rPr>
            <w:noProof/>
            <w:webHidden/>
          </w:rPr>
        </w:r>
        <w:r>
          <w:rPr>
            <w:noProof/>
            <w:webHidden/>
          </w:rPr>
          <w:fldChar w:fldCharType="separate"/>
        </w:r>
        <w:r w:rsidR="0083513D">
          <w:rPr>
            <w:noProof/>
            <w:webHidden/>
          </w:rPr>
          <w:t>206</w:t>
        </w:r>
        <w:r>
          <w:rPr>
            <w:noProof/>
            <w:webHidden/>
          </w:rPr>
          <w:fldChar w:fldCharType="end"/>
        </w:r>
      </w:hyperlink>
    </w:p>
    <w:p w14:paraId="0C7679FA" w14:textId="43C2B2CB" w:rsidR="00DB1842" w:rsidRDefault="00DB1842">
      <w:pPr>
        <w:pStyle w:val="TableofFigures"/>
        <w:tabs>
          <w:tab w:val="right" w:leader="dot" w:pos="9350"/>
        </w:tabs>
        <w:rPr>
          <w:rFonts w:asciiTheme="minorHAnsi" w:eastAsiaTheme="minorEastAsia" w:hAnsiTheme="minorHAnsi" w:cstheme="minorBidi"/>
          <w:noProof/>
          <w:sz w:val="22"/>
          <w:szCs w:val="22"/>
          <w:lang/>
        </w:rPr>
      </w:pPr>
      <w:hyperlink w:anchor="_Toc188367097" w:history="1">
        <w:r w:rsidRPr="0098197E">
          <w:rPr>
            <w:rStyle w:val="Hyperlink"/>
            <w:noProof/>
            <w:lang/>
          </w:rPr>
          <w:t>Figure A14: Total Acres Burned Due to Wildfires (1998–2018)</w:t>
        </w:r>
        <w:r>
          <w:rPr>
            <w:noProof/>
            <w:webHidden/>
          </w:rPr>
          <w:tab/>
        </w:r>
        <w:r>
          <w:rPr>
            <w:noProof/>
            <w:webHidden/>
          </w:rPr>
          <w:fldChar w:fldCharType="begin"/>
        </w:r>
        <w:r>
          <w:rPr>
            <w:noProof/>
            <w:webHidden/>
          </w:rPr>
          <w:instrText xml:space="preserve"> PAGEREF _Toc188367097 \h </w:instrText>
        </w:r>
        <w:r>
          <w:rPr>
            <w:noProof/>
            <w:webHidden/>
          </w:rPr>
        </w:r>
        <w:r>
          <w:rPr>
            <w:noProof/>
            <w:webHidden/>
          </w:rPr>
          <w:fldChar w:fldCharType="separate"/>
        </w:r>
        <w:r w:rsidR="0083513D">
          <w:rPr>
            <w:noProof/>
            <w:webHidden/>
          </w:rPr>
          <w:t>207</w:t>
        </w:r>
        <w:r>
          <w:rPr>
            <w:noProof/>
            <w:webHidden/>
          </w:rPr>
          <w:fldChar w:fldCharType="end"/>
        </w:r>
      </w:hyperlink>
    </w:p>
    <w:p w14:paraId="38321123" w14:textId="260217EC" w:rsidR="00DB1842" w:rsidRDefault="00DB1842">
      <w:pPr>
        <w:pStyle w:val="TableofFigures"/>
        <w:tabs>
          <w:tab w:val="right" w:leader="dot" w:pos="9350"/>
        </w:tabs>
        <w:rPr>
          <w:rFonts w:asciiTheme="minorHAnsi" w:eastAsiaTheme="minorEastAsia" w:hAnsiTheme="minorHAnsi" w:cstheme="minorBidi"/>
          <w:noProof/>
          <w:sz w:val="22"/>
          <w:szCs w:val="22"/>
          <w:lang/>
        </w:rPr>
      </w:pPr>
      <w:hyperlink w:anchor="_Toc188367098" w:history="1">
        <w:r w:rsidRPr="0098197E">
          <w:rPr>
            <w:rStyle w:val="Hyperlink"/>
            <w:noProof/>
          </w:rPr>
          <w:t>Figure A15: Annual Trends in Precipitation and Temperature (1998–2018)</w:t>
        </w:r>
        <w:r>
          <w:rPr>
            <w:noProof/>
            <w:webHidden/>
          </w:rPr>
          <w:tab/>
        </w:r>
        <w:r>
          <w:rPr>
            <w:noProof/>
            <w:webHidden/>
          </w:rPr>
          <w:fldChar w:fldCharType="begin"/>
        </w:r>
        <w:r>
          <w:rPr>
            <w:noProof/>
            <w:webHidden/>
          </w:rPr>
          <w:instrText xml:space="preserve"> PAGEREF _Toc188367098 \h </w:instrText>
        </w:r>
        <w:r>
          <w:rPr>
            <w:noProof/>
            <w:webHidden/>
          </w:rPr>
        </w:r>
        <w:r>
          <w:rPr>
            <w:noProof/>
            <w:webHidden/>
          </w:rPr>
          <w:fldChar w:fldCharType="separate"/>
        </w:r>
        <w:r w:rsidR="0083513D">
          <w:rPr>
            <w:noProof/>
            <w:webHidden/>
          </w:rPr>
          <w:t>209</w:t>
        </w:r>
        <w:r>
          <w:rPr>
            <w:noProof/>
            <w:webHidden/>
          </w:rPr>
          <w:fldChar w:fldCharType="end"/>
        </w:r>
      </w:hyperlink>
    </w:p>
    <w:p w14:paraId="73C83F19" w14:textId="2F47A4E3" w:rsidR="00DB1842" w:rsidRDefault="00DB1842">
      <w:pPr>
        <w:pStyle w:val="TableofFigures"/>
        <w:tabs>
          <w:tab w:val="right" w:leader="dot" w:pos="9350"/>
        </w:tabs>
        <w:rPr>
          <w:rFonts w:asciiTheme="minorHAnsi" w:eastAsiaTheme="minorEastAsia" w:hAnsiTheme="minorHAnsi" w:cstheme="minorBidi"/>
          <w:noProof/>
          <w:sz w:val="22"/>
          <w:szCs w:val="22"/>
          <w:lang/>
        </w:rPr>
      </w:pPr>
      <w:hyperlink w:anchor="_Toc188367099" w:history="1">
        <w:r w:rsidRPr="0098197E">
          <w:rPr>
            <w:rStyle w:val="Hyperlink"/>
            <w:noProof/>
          </w:rPr>
          <w:t>Figure A16: Correlation Heatmap of Explanatory Variables</w:t>
        </w:r>
        <w:r>
          <w:rPr>
            <w:noProof/>
            <w:webHidden/>
          </w:rPr>
          <w:tab/>
        </w:r>
        <w:r>
          <w:rPr>
            <w:noProof/>
            <w:webHidden/>
          </w:rPr>
          <w:fldChar w:fldCharType="begin"/>
        </w:r>
        <w:r>
          <w:rPr>
            <w:noProof/>
            <w:webHidden/>
          </w:rPr>
          <w:instrText xml:space="preserve"> PAGEREF _Toc188367099 \h </w:instrText>
        </w:r>
        <w:r>
          <w:rPr>
            <w:noProof/>
            <w:webHidden/>
          </w:rPr>
        </w:r>
        <w:r>
          <w:rPr>
            <w:noProof/>
            <w:webHidden/>
          </w:rPr>
          <w:fldChar w:fldCharType="separate"/>
        </w:r>
        <w:r w:rsidR="0083513D">
          <w:rPr>
            <w:noProof/>
            <w:webHidden/>
          </w:rPr>
          <w:t>210</w:t>
        </w:r>
        <w:r>
          <w:rPr>
            <w:noProof/>
            <w:webHidden/>
          </w:rPr>
          <w:fldChar w:fldCharType="end"/>
        </w:r>
      </w:hyperlink>
    </w:p>
    <w:p w14:paraId="6429995E" w14:textId="4C7B8DA2" w:rsidR="00DB1842" w:rsidRDefault="00DB1842">
      <w:pPr>
        <w:pStyle w:val="TableofFigures"/>
        <w:tabs>
          <w:tab w:val="right" w:leader="dot" w:pos="9350"/>
        </w:tabs>
        <w:rPr>
          <w:rFonts w:asciiTheme="minorHAnsi" w:eastAsiaTheme="minorEastAsia" w:hAnsiTheme="minorHAnsi" w:cstheme="minorBidi"/>
          <w:noProof/>
          <w:sz w:val="22"/>
          <w:szCs w:val="22"/>
          <w:lang/>
        </w:rPr>
      </w:pPr>
      <w:hyperlink w:anchor="_Toc188367100" w:history="1">
        <w:r w:rsidRPr="0098197E">
          <w:rPr>
            <w:rStyle w:val="Hyperlink"/>
            <w:noProof/>
          </w:rPr>
          <w:t>Figure A17: Habitat Range of the Louisiana Black Bear</w:t>
        </w:r>
        <w:r>
          <w:rPr>
            <w:noProof/>
            <w:webHidden/>
          </w:rPr>
          <w:tab/>
        </w:r>
        <w:r>
          <w:rPr>
            <w:noProof/>
            <w:webHidden/>
          </w:rPr>
          <w:fldChar w:fldCharType="begin"/>
        </w:r>
        <w:r>
          <w:rPr>
            <w:noProof/>
            <w:webHidden/>
          </w:rPr>
          <w:instrText xml:space="preserve"> PAGEREF _Toc188367100 \h </w:instrText>
        </w:r>
        <w:r>
          <w:rPr>
            <w:noProof/>
            <w:webHidden/>
          </w:rPr>
        </w:r>
        <w:r>
          <w:rPr>
            <w:noProof/>
            <w:webHidden/>
          </w:rPr>
          <w:fldChar w:fldCharType="separate"/>
        </w:r>
        <w:r w:rsidR="0083513D">
          <w:rPr>
            <w:noProof/>
            <w:webHidden/>
          </w:rPr>
          <w:t>304</w:t>
        </w:r>
        <w:r>
          <w:rPr>
            <w:noProof/>
            <w:webHidden/>
          </w:rPr>
          <w:fldChar w:fldCharType="end"/>
        </w:r>
      </w:hyperlink>
    </w:p>
    <w:p w14:paraId="41CB551A" w14:textId="2AED8B95" w:rsidR="00DB1842" w:rsidRDefault="00DB1842" w:rsidP="00095E25">
      <w:pPr>
        <w:pStyle w:val="Title"/>
      </w:pPr>
      <w:r>
        <w:fldChar w:fldCharType="end"/>
      </w:r>
    </w:p>
    <w:p w14:paraId="24FA7749" w14:textId="47699A58" w:rsidR="00FF1E19" w:rsidRDefault="00FF1E19">
      <w:pPr>
        <w:spacing w:line="240" w:lineRule="auto"/>
        <w:rPr>
          <w:b/>
          <w:bCs/>
          <w:lang w:val="zh-CN" w:eastAsia="zh-CN"/>
        </w:rPr>
      </w:pPr>
      <w:r>
        <w:br w:type="page"/>
      </w:r>
    </w:p>
    <w:p w14:paraId="4ABB834E" w14:textId="77777777" w:rsidR="00FF1E19" w:rsidRDefault="00FF1E19" w:rsidP="00DB1842">
      <w:pPr>
        <w:pStyle w:val="Heading1"/>
        <w:sectPr w:rsidR="00FF1E19" w:rsidSect="001953BB">
          <w:pgSz w:w="12240" w:h="15840" w:code="1"/>
          <w:pgMar w:top="1440" w:right="1440" w:bottom="1440" w:left="1440" w:header="720" w:footer="720" w:gutter="0"/>
          <w:pgNumType w:fmt="lowerRoman"/>
          <w:cols w:space="720"/>
          <w:noEndnote/>
          <w:docGrid w:linePitch="360"/>
        </w:sectPr>
      </w:pPr>
    </w:p>
    <w:p w14:paraId="0EC561AB" w14:textId="64F2FE72" w:rsidR="004C2071" w:rsidRPr="00525895" w:rsidRDefault="00526151" w:rsidP="00DB1842">
      <w:pPr>
        <w:pStyle w:val="Heading1"/>
      </w:pPr>
      <w:bookmarkStart w:id="22" w:name="_Toc188378969"/>
      <w:r w:rsidRPr="00525895">
        <w:lastRenderedPageBreak/>
        <w:t>INTRODUCTION</w:t>
      </w:r>
      <w:bookmarkEnd w:id="20"/>
      <w:bookmarkEnd w:id="21"/>
      <w:bookmarkEnd w:id="22"/>
      <w:r w:rsidR="00EE334C" w:rsidRPr="00525895">
        <w:t xml:space="preserve"> </w:t>
      </w:r>
    </w:p>
    <w:p w14:paraId="7B906066" w14:textId="77777777" w:rsidR="008B3DD3" w:rsidRPr="008B3DD3" w:rsidRDefault="008B3DD3" w:rsidP="00961D1F">
      <w:pPr>
        <w:rPr>
          <w:lang w:eastAsia="zh-CN"/>
        </w:rPr>
      </w:pPr>
      <w:r w:rsidRPr="008B3DD3">
        <w:rPr>
          <w:lang w:eastAsia="zh-CN"/>
        </w:rPr>
        <w:t>The intricate relationship between environmental conservation policies and economic development has become increasingly significant as societies strive to balance ecological preservation with sustainable growth. Conservation measures such as Protected Area Designations (PADs), disaster responses to climate-induced wildfires, and the recovery of endangered species highlight the multifaceted challenges and opportunities that arise at the intersection of environmental and economic goals.</w:t>
      </w:r>
    </w:p>
    <w:p w14:paraId="5EF0A2DE" w14:textId="77777777" w:rsidR="008B3DD3" w:rsidRPr="008B3DD3" w:rsidRDefault="008B3DD3" w:rsidP="00961D1F">
      <w:pPr>
        <w:rPr>
          <w:lang w:eastAsia="zh-CN"/>
        </w:rPr>
      </w:pPr>
      <w:r w:rsidRPr="008B3DD3">
        <w:rPr>
          <w:lang w:eastAsia="zh-CN"/>
        </w:rPr>
        <w:t>This dissertation investigates these dynamics through three interrelated chapters, each addressing a critical aspect of conservation and its economic implications. The research spans the contiguous United States from 1998 to 2018, employing advanced econometric techniques and leveraging proprietary establishment-level data to provide robust insights.</w:t>
      </w:r>
    </w:p>
    <w:p w14:paraId="66280AB3" w14:textId="77777777" w:rsidR="008B3DD3" w:rsidRPr="008B3DD3" w:rsidRDefault="008B3DD3" w:rsidP="00961D1F">
      <w:pPr>
        <w:rPr>
          <w:lang w:eastAsia="zh-CN"/>
        </w:rPr>
      </w:pPr>
      <w:r w:rsidRPr="008B3DD3">
        <w:rPr>
          <w:lang w:eastAsia="zh-CN"/>
        </w:rPr>
        <w:t>Chapter 1 examines the economic impacts of PADs, focusing on land-intensive sectors (LIS) such as agriculture, forestry, and construction. It explores how varying levels of conservation stringency influence establishment births, exits, and relocations at intra- and inter-state levels. This chapter highlights the non-linear effects of PADs, emphasizing the trade-offs between ecological preservation and regional economic activity.</w:t>
      </w:r>
    </w:p>
    <w:p w14:paraId="175EA769" w14:textId="77777777" w:rsidR="008B3DD3" w:rsidRPr="008B3DD3" w:rsidRDefault="008B3DD3" w:rsidP="00961D1F">
      <w:pPr>
        <w:rPr>
          <w:lang w:eastAsia="zh-CN"/>
        </w:rPr>
      </w:pPr>
      <w:r w:rsidRPr="008B3DD3">
        <w:rPr>
          <w:lang w:eastAsia="zh-CN"/>
        </w:rPr>
        <w:t>Chapter 2 shifts attention to the economic consequences of wildfires, with a particular focus on frequency and intensity measures. By analyzing the impacts on LIS and non-land-intensive sectors (non-LIS) in California, this chapter uncovers the vulnerabilities and adaptive capacities of different sectors. It also highlights the dual nature of wildfires, which both disrupt economic stability and create opportunities for recovery-focused industries like construction.</w:t>
      </w:r>
    </w:p>
    <w:p w14:paraId="00051DA5" w14:textId="77777777" w:rsidR="008B3DD3" w:rsidRPr="008B3DD3" w:rsidRDefault="008B3DD3" w:rsidP="00961D1F">
      <w:pPr>
        <w:rPr>
          <w:lang w:eastAsia="zh-CN"/>
        </w:rPr>
      </w:pPr>
      <w:r w:rsidRPr="008B3DD3">
        <w:rPr>
          <w:lang w:eastAsia="zh-CN"/>
        </w:rPr>
        <w:t xml:space="preserve">Chapter 3 delves into the post-recovery economic impacts of delisting the Louisiana Black Bear under the Endangered Species Act. This chapter investigates the temporal and spatial dimensions </w:t>
      </w:r>
      <w:r w:rsidRPr="008B3DD3">
        <w:rPr>
          <w:lang w:eastAsia="zh-CN"/>
        </w:rPr>
        <w:lastRenderedPageBreak/>
        <w:t>of delisting effects on LIS and non-LIS, providing insights into the economic trade-offs that emerge after species recovery. It underscores the need for long-term monitoring and adaptive policy measures to harmonize conservation outcomes with economic growth.</w:t>
      </w:r>
    </w:p>
    <w:p w14:paraId="7424EEF9" w14:textId="77777777" w:rsidR="008B3DD3" w:rsidRPr="008B3DD3" w:rsidRDefault="008B3DD3" w:rsidP="00961D1F">
      <w:pPr>
        <w:rPr>
          <w:lang w:eastAsia="zh-CN"/>
        </w:rPr>
      </w:pPr>
      <w:r w:rsidRPr="008B3DD3">
        <w:rPr>
          <w:lang w:eastAsia="zh-CN"/>
        </w:rPr>
        <w:t>By integrating these three distinct but complementary studies, this dissertation advances our understanding of how conservation policies shape economic landscapes. The findings offer actionable recommendations for policymakers, emphasizing the importance of spatially targeted and sector-specific strategies to achieve sustainable development. As environmental challenges continue to evolve, this research provides a framework for aligning economic and ecological priorities in a rapidly changing world.</w:t>
      </w:r>
    </w:p>
    <w:p w14:paraId="0EC561BD" w14:textId="77777777" w:rsidR="003D07F7" w:rsidRPr="00525895" w:rsidRDefault="00DD00DE" w:rsidP="004C39A4">
      <w:pPr>
        <w:rPr>
          <w:rFonts w:cs="Times New Roman"/>
        </w:rPr>
      </w:pPr>
      <w:r w:rsidRPr="00525895">
        <w:rPr>
          <w:rFonts w:cs="Times New Roman"/>
        </w:rPr>
        <w:br w:type="page"/>
      </w:r>
    </w:p>
    <w:p w14:paraId="78CCD78A" w14:textId="10855F36" w:rsidR="009F55A7" w:rsidRPr="001953BB" w:rsidRDefault="003C7FC5" w:rsidP="00DB1842">
      <w:pPr>
        <w:pStyle w:val="Heading1"/>
      </w:pPr>
      <w:bookmarkStart w:id="23" w:name="_Toc289175825"/>
      <w:bookmarkStart w:id="24" w:name="_Toc175638309"/>
      <w:bookmarkStart w:id="25" w:name="_Toc188378970"/>
      <w:r w:rsidRPr="001953BB">
        <w:lastRenderedPageBreak/>
        <w:t>CHAPTER I</w:t>
      </w:r>
      <w:r w:rsidR="004C39A4" w:rsidRPr="001953BB">
        <w:rPr>
          <w:lang w:val="en-US"/>
        </w:rPr>
        <w:t>:</w:t>
      </w:r>
      <w:bookmarkEnd w:id="23"/>
      <w:bookmarkEnd w:id="24"/>
      <w:r w:rsidR="004C39A4" w:rsidRPr="001953BB">
        <w:rPr>
          <w:lang w:val="en-US"/>
        </w:rPr>
        <w:t xml:space="preserve"> </w:t>
      </w:r>
      <w:r w:rsidR="009F55A7" w:rsidRPr="001953BB">
        <w:t>PRESERVATION AND PRODUCTION</w:t>
      </w:r>
      <w:bookmarkEnd w:id="25"/>
    </w:p>
    <w:p w14:paraId="0EC561BF" w14:textId="2F152439" w:rsidR="00060A6A" w:rsidRPr="001953BB" w:rsidRDefault="009F55A7" w:rsidP="009F55A7">
      <w:pPr>
        <w:jc w:val="center"/>
        <w:rPr>
          <w:b/>
          <w:bCs/>
        </w:rPr>
      </w:pPr>
      <w:r w:rsidRPr="001953BB">
        <w:rPr>
          <w:b/>
          <w:bCs/>
        </w:rPr>
        <w:t>INVESTIGATION INTO THE RELATIONSHIP BETWEEN PADS AND LAND INTENSIVE INDUSTRIAL ACTIVITY</w:t>
      </w:r>
    </w:p>
    <w:p w14:paraId="0EC561C1" w14:textId="77777777" w:rsidR="00003F6A" w:rsidRPr="001953BB" w:rsidRDefault="00003F6A" w:rsidP="004C39A4">
      <w:pPr>
        <w:pStyle w:val="Heading3"/>
      </w:pPr>
      <w:r w:rsidRPr="001953BB">
        <w:br w:type="page"/>
      </w:r>
    </w:p>
    <w:p w14:paraId="051B2B18" w14:textId="404355B1" w:rsidR="00193EC1" w:rsidRPr="001953BB" w:rsidRDefault="00193EC1" w:rsidP="00E4693E">
      <w:pPr>
        <w:pStyle w:val="Heading2"/>
      </w:pPr>
      <w:bookmarkStart w:id="26" w:name="_Toc188378971"/>
      <w:r w:rsidRPr="001953BB">
        <w:lastRenderedPageBreak/>
        <w:t>Abstract</w:t>
      </w:r>
      <w:bookmarkEnd w:id="26"/>
    </w:p>
    <w:p w14:paraId="28673622" w14:textId="133220A6" w:rsidR="0054107C" w:rsidRPr="001953BB" w:rsidRDefault="0054107C" w:rsidP="00961D1F">
      <w:pPr>
        <w:rPr>
          <w:rFonts w:cs="Times New Roman"/>
          <w:lang w:val="zh-CN" w:eastAsia="zh-CN"/>
        </w:rPr>
      </w:pPr>
      <w:r w:rsidRPr="001953BB">
        <w:rPr>
          <w:rFonts w:cs="Times New Roman"/>
          <w:lang w:val="zh-CN" w:eastAsia="zh-CN"/>
        </w:rPr>
        <w:t xml:space="preserve">This chapter examines the economic effects of Protected Area Designations (PADs) on land-intensive sectors (LIS) at the county level across the contiguous United States from 1998 to 2018. Using a Poisson Pseudo-Maximum Likelihood model with High-Dimensional Fixed Effects (PPMLHDFE), we analyze the </w:t>
      </w:r>
      <w:r w:rsidRPr="001953BB">
        <w:rPr>
          <w:rFonts w:cs="Times New Roman"/>
        </w:rPr>
        <w:t>effects</w:t>
      </w:r>
      <w:r w:rsidRPr="001953BB">
        <w:rPr>
          <w:rFonts w:cs="Times New Roman"/>
          <w:lang w:val="zh-CN"/>
        </w:rPr>
        <w:t xml:space="preserve"> </w:t>
      </w:r>
      <w:r w:rsidRPr="001953BB">
        <w:rPr>
          <w:rFonts w:cs="Times New Roman"/>
          <w:lang w:val="zh-CN" w:eastAsia="zh-CN"/>
        </w:rPr>
        <w:t>of PADs under two categories representing different levels of environmental stringency on establishment births, deaths, and relocations, including intra-state and inter-state movements.</w:t>
      </w:r>
    </w:p>
    <w:p w14:paraId="1A947C56" w14:textId="77777777" w:rsidR="0054107C" w:rsidRPr="001953BB" w:rsidRDefault="0054107C" w:rsidP="00961D1F">
      <w:pPr>
        <w:rPr>
          <w:rFonts w:cs="Times New Roman"/>
          <w:lang w:val="zh-CN" w:eastAsia="zh-CN"/>
        </w:rPr>
      </w:pPr>
      <w:r w:rsidRPr="001953BB">
        <w:rPr>
          <w:rFonts w:cs="Times New Roman"/>
          <w:lang w:val="zh-CN" w:eastAsia="zh-CN"/>
        </w:rPr>
        <w:t>Our results reveal non-linear relationships between PAD coverage and business location dynamics, with marginal effects varying in direction and magnitude depending on both the stringency of PAD restrictions and the existing level of PAD coverage within a county. For LIS, strict PADs initially reduce entries and increase exits, but beyond specific thresholds, ecological benefits stabilize business operations. Conversely, non-land-intensive sectors (non-LIS) leverage the ecological amenities associated with PADs to attract new business entries and enhance stability.</w:t>
      </w:r>
    </w:p>
    <w:p w14:paraId="3D505296" w14:textId="4D72BBBE" w:rsidR="00D61046" w:rsidRPr="001953BB" w:rsidRDefault="0054107C" w:rsidP="00961D1F">
      <w:pPr>
        <w:rPr>
          <w:rFonts w:cs="Times New Roman"/>
          <w:kern w:val="2"/>
          <w:lang/>
        </w:rPr>
      </w:pPr>
      <w:r w:rsidRPr="001953BB">
        <w:rPr>
          <w:rFonts w:cs="Times New Roman"/>
          <w:lang w:val="zh-CN" w:eastAsia="zh-CN"/>
        </w:rPr>
        <w:t xml:space="preserve">This chapter makes three key contributions: First, it provides robust evidence of the non-linear effects of PADs on business dynamics. Second, it highlights the differential </w:t>
      </w:r>
      <w:r w:rsidRPr="001953BB">
        <w:rPr>
          <w:rFonts w:cs="Times New Roman"/>
        </w:rPr>
        <w:t>effects</w:t>
      </w:r>
      <w:r w:rsidRPr="001953BB">
        <w:rPr>
          <w:rFonts w:cs="Times New Roman"/>
          <w:lang w:val="zh-CN"/>
        </w:rPr>
        <w:t xml:space="preserve"> </w:t>
      </w:r>
      <w:r w:rsidRPr="001953BB">
        <w:rPr>
          <w:rFonts w:cs="Times New Roman"/>
          <w:lang w:val="zh-CN" w:eastAsia="zh-CN"/>
        </w:rPr>
        <w:t>of PADs based on their classification, reflecting varying levels of conservation stringency and associated land-use restrictions. Third, it extends the understanding of spatial economic dynamics by analyzing intra- and inter-state relocations in response to PAD coverage. These findings offer valuable insights for policymakers seeking to align conservation goals with sustainable economic development.</w:t>
      </w:r>
    </w:p>
    <w:p w14:paraId="7EF6B190" w14:textId="1F242F50" w:rsidR="0054107C" w:rsidRPr="001953BB" w:rsidRDefault="0054107C" w:rsidP="00E4693E">
      <w:pPr>
        <w:pStyle w:val="Heading2"/>
      </w:pPr>
      <w:bookmarkStart w:id="27" w:name="_Toc188378972"/>
      <w:r w:rsidRPr="001953BB">
        <w:lastRenderedPageBreak/>
        <w:t>1.</w:t>
      </w:r>
      <w:r w:rsidR="00554455" w:rsidRPr="001953BB">
        <w:t>1</w:t>
      </w:r>
      <w:r w:rsidRPr="001953BB">
        <w:t xml:space="preserve"> Introduction</w:t>
      </w:r>
      <w:bookmarkEnd w:id="27"/>
    </w:p>
    <w:p w14:paraId="5906DB72" w14:textId="77777777" w:rsidR="0054107C" w:rsidRPr="001953BB" w:rsidRDefault="0054107C" w:rsidP="00961D1F">
      <w:pPr>
        <w:rPr>
          <w:rFonts w:cs="Times New Roman"/>
        </w:rPr>
      </w:pPr>
      <w:r w:rsidRPr="001953BB">
        <w:rPr>
          <w:rFonts w:cs="Times New Roman"/>
        </w:rPr>
        <w:t>Protected Area Designations (PADs) serve as vital instruments for biodiversity conservation and sustainable land-use management, influencing not only environmental outcomes but also regional economic dynamics by shaping land-use policies and regulatory frameworks. In the United States, the Gap Analysis Program (GAP) categorizes PADs into four levels of conservation intensity, providing a systematic approach to prioritize conservation goals based on permissible land uses and management objectives.</w:t>
      </w:r>
    </w:p>
    <w:p w14:paraId="771D813F" w14:textId="77777777" w:rsidR="0054107C" w:rsidRPr="001953BB" w:rsidRDefault="0054107C" w:rsidP="00961D1F">
      <w:pPr>
        <w:rPr>
          <w:rFonts w:cs="Times New Roman"/>
        </w:rPr>
      </w:pPr>
      <w:r w:rsidRPr="001953BB">
        <w:rPr>
          <w:rFonts w:cs="Times New Roman"/>
        </w:rPr>
        <w:t>This study distinguishes between strict PADs (GAP 1 and 2) and broad PADs (GAP 1–4) to explore their economic implications. Strict PADs focus on ecological preservation, with GAP 1 ensuring the permanent protection of natural ecosystems through minimal human interference, and GAP 2 permitting limited, non-disruptive management to maintain essential ecological processes. Broad PADs include all GAP levels, incorporating GAP 3, which allows sustainable land-use practices without significant land cover alterations, and GAP 4, which encompasses lands with no explicit conservation mandates but indirect biodiversity contributions. These distinctions in regulatory intensity and flexibility provide a basis for investigating the trade-offs between conservation goals and economic activities.</w:t>
      </w:r>
    </w:p>
    <w:p w14:paraId="41F4501D" w14:textId="77777777" w:rsidR="0054107C" w:rsidRPr="001953BB" w:rsidRDefault="0054107C" w:rsidP="00961D1F">
      <w:pPr>
        <w:rPr>
          <w:rFonts w:cs="Times New Roman"/>
        </w:rPr>
      </w:pPr>
      <w:r w:rsidRPr="001953BB">
        <w:rPr>
          <w:rFonts w:cs="Times New Roman"/>
        </w:rPr>
        <w:t xml:space="preserve">Employing a Poisson Pseudo-Maximum Likelihood model with High-Dimensional Fixed Effects (PPMLHDFE), the study accounts for unobserved heterogeneity and provides robust estimates of PAD effects on business dynamics. Rather than focusing on causality, the analysis emphasizes non-linear marginal effects, illustrating how PAD coverage influences economic outcomes while acknowledging the complexities of PAD-related dynamics and potential unobserved factors. PAD effects are threshold-sensitive, with their magnitude and direction contingent upon the prevailing PAD levels within a county. For illustrative purposes, marginal effects are evaluated </w:t>
      </w:r>
      <w:r w:rsidRPr="001953BB">
        <w:rPr>
          <w:rFonts w:cs="Times New Roman"/>
        </w:rPr>
        <w:lastRenderedPageBreak/>
        <w:t>at the mean PAD levels (14.3% for broad PADs and 5.33% for strict PADs), offering policy-relevant insights into the economic implications of conservation measures without overinterpreting specific statistical patterns.</w:t>
      </w:r>
    </w:p>
    <w:p w14:paraId="54B236AF" w14:textId="77777777" w:rsidR="0054107C" w:rsidRPr="001953BB" w:rsidRDefault="0054107C" w:rsidP="00961D1F">
      <w:pPr>
        <w:rPr>
          <w:rFonts w:cs="Times New Roman"/>
        </w:rPr>
      </w:pPr>
      <w:r w:rsidRPr="001953BB">
        <w:rPr>
          <w:rFonts w:cs="Times New Roman"/>
        </w:rPr>
        <w:t>The primary objective of this chapter is to examine how PADs influence the location outcomes of businesses—specifically entries, exits, and relocations—within land-intensive sectors (LIS), such as agriculture, mining, utilities, and construction, which are especially sensitive to land-use restrictions due to their reliance on natural resources and physical landscapes. Strict PADs exhibit pronounced non-linear effects. They impose higher regulatory constraints, initially deterring entries and relocations while fostering long-term stability through reduced exits and inter-state relocations as businesses adapt to stringent conservation requirements. Broad PADs, in contrast, display more moderate non-linear effects, facilitating flexibility in economic adjustments by encouraging local retention and reducing inter-state outward relocations, though they also amplify intra-state relocations and exits in some contexts.</w:t>
      </w:r>
    </w:p>
    <w:p w14:paraId="53E8C2B9" w14:textId="77777777" w:rsidR="0054107C" w:rsidRPr="001953BB" w:rsidRDefault="0054107C" w:rsidP="00961D1F">
      <w:pPr>
        <w:rPr>
          <w:rFonts w:cs="Times New Roman"/>
        </w:rPr>
      </w:pPr>
      <w:r w:rsidRPr="001953BB">
        <w:rPr>
          <w:rFonts w:cs="Times New Roman"/>
        </w:rPr>
        <w:t xml:space="preserve">Sector-specific evaluations highlight these dynamics further: Agriculture benefits from increased entries and stabilized exits under both PAD definitions, showcasing adaptability to conservation-driven environments. Mining experiences stability under strict PADs, with reduced exits and outward relocations, despite marginal deterrence of new entries. Utilities face significant entry constraints under broad PADs but exhibit local retention as exits decline. Construction demonstrates heightened intra-state mobility under strict PADs while maintaining reduced total exits, reflecting its capacity for adaptation under stringent conservation measures. </w:t>
      </w:r>
    </w:p>
    <w:p w14:paraId="2383034F" w14:textId="77777777" w:rsidR="0054107C" w:rsidRPr="001953BB" w:rsidRDefault="0054107C" w:rsidP="00961D1F">
      <w:pPr>
        <w:rPr>
          <w:rFonts w:cs="Times New Roman"/>
        </w:rPr>
      </w:pPr>
      <w:r w:rsidRPr="001953BB">
        <w:rPr>
          <w:rFonts w:cs="Times New Roman"/>
        </w:rPr>
        <w:t xml:space="preserve">To offer a broader perspective, the study also assesses the Manufacturing sector (NAICS 31–33) as a representative non-land-intensive sector (non-LIS), highlighting how the effects of PAD extend to industries with lesser reliance on land resources. Broad PADs encourage entries and </w:t>
      </w:r>
      <w:r w:rsidRPr="001953BB">
        <w:rPr>
          <w:rFonts w:cs="Times New Roman"/>
        </w:rPr>
        <w:lastRenderedPageBreak/>
        <w:t>relocations, reflecting moderate flexibility. However, these benefits are counterbalanced by increased outward mobility, underscoring the sector's sensitivity to conservation intensity. Strict PADs suppress entries and amplify outward relocations, presenting challenges for industries less reliant on land but subject to regulatory pressures.</w:t>
      </w:r>
    </w:p>
    <w:p w14:paraId="7422A7D7" w14:textId="77777777" w:rsidR="0054107C" w:rsidRPr="001953BB" w:rsidRDefault="0054107C" w:rsidP="00961D1F">
      <w:pPr>
        <w:rPr>
          <w:rFonts w:cs="Times New Roman"/>
        </w:rPr>
      </w:pPr>
      <w:r w:rsidRPr="001953BB">
        <w:rPr>
          <w:rFonts w:cs="Times New Roman"/>
        </w:rPr>
        <w:t xml:space="preserve">The analysis of </w:t>
      </w:r>
      <w:proofErr w:type="spellStart"/>
      <w:r w:rsidRPr="001953BB">
        <w:rPr>
          <w:rFonts w:cs="Times New Roman"/>
        </w:rPr>
        <w:t>PADs’</w:t>
      </w:r>
      <w:proofErr w:type="spellEnd"/>
      <w:r w:rsidRPr="001953BB">
        <w:rPr>
          <w:rFonts w:cs="Times New Roman"/>
        </w:rPr>
        <w:t xml:space="preserve"> non-linear marginal effects provides a comprehensive understanding of how conservation policies influence business location outcomes. These findings highlight the importance of evaluating PAD effects based on existing coverage levels, enabling policymakers to balance ecological objectives with economic resilience effectively. These findings extend the Pollution Haven Hypothesis (PHH), which suggests that stringent regulations may prompt relocations to less-regulated areas, particularly for LIS industries, and the Porter Hypothesis (PH), which posits that stricter environmental regulations can drive innovation and long-term stability. By uncovering the nuanced economic effects of PADs, this research contributes to the broader </w:t>
      </w:r>
      <w:proofErr w:type="gramStart"/>
      <w:r w:rsidRPr="001953BB">
        <w:rPr>
          <w:rFonts w:cs="Times New Roman"/>
        </w:rPr>
        <w:t>literatures</w:t>
      </w:r>
      <w:proofErr w:type="gramEnd"/>
      <w:r w:rsidRPr="001953BB">
        <w:rPr>
          <w:rFonts w:cs="Times New Roman"/>
        </w:rPr>
        <w:t xml:space="preserve"> on conservation economics, land-use economics, environmental federalism, and industrial location.</w:t>
      </w:r>
    </w:p>
    <w:p w14:paraId="708DE182" w14:textId="77777777" w:rsidR="0054107C" w:rsidRPr="001953BB" w:rsidRDefault="0054107C" w:rsidP="00961D1F">
      <w:pPr>
        <w:rPr>
          <w:rFonts w:cs="Times New Roman"/>
        </w:rPr>
      </w:pPr>
      <w:r w:rsidRPr="001953BB">
        <w:rPr>
          <w:rFonts w:cs="Times New Roman"/>
        </w:rPr>
        <w:t>Additionally, the results challenge assumptions about regulatory flight, demonstrating that conservation policies can encourage localized adaptations rather than inter-state mobility. This research underscores the need to balance conservation objectives with regional economic resilience, offering actionable insights for policymakers seeking to align ecological preservation with sustainable economic growth.</w:t>
      </w:r>
    </w:p>
    <w:p w14:paraId="0E11228E" w14:textId="158B0BD3" w:rsidR="0054107C" w:rsidRPr="001953BB" w:rsidRDefault="0054107C" w:rsidP="004C39A4">
      <w:pPr>
        <w:pStyle w:val="Heading3"/>
      </w:pPr>
      <w:bookmarkStart w:id="28" w:name="_Toc187684957"/>
      <w:bookmarkStart w:id="29" w:name="_Toc188378973"/>
      <w:r w:rsidRPr="001953BB">
        <w:t>1.1</w:t>
      </w:r>
      <w:r w:rsidR="00554455" w:rsidRPr="001953BB">
        <w:rPr>
          <w:lang w:val="en-US"/>
        </w:rPr>
        <w:t>.1</w:t>
      </w:r>
      <w:r w:rsidRPr="001953BB">
        <w:t xml:space="preserve"> Research Objectives, Questions and Hypotheses</w:t>
      </w:r>
      <w:bookmarkEnd w:id="28"/>
      <w:bookmarkEnd w:id="29"/>
    </w:p>
    <w:p w14:paraId="42674B79" w14:textId="1285EB0B" w:rsidR="0054107C" w:rsidRPr="001953BB" w:rsidRDefault="0054107C" w:rsidP="001953BB">
      <w:pPr>
        <w:pStyle w:val="Heading4"/>
      </w:pPr>
      <w:bookmarkStart w:id="30" w:name="_Toc187684958"/>
      <w:r w:rsidRPr="001953BB">
        <w:t>1.1.1</w:t>
      </w:r>
      <w:r w:rsidR="00554455" w:rsidRPr="001953BB">
        <w:t>.1</w:t>
      </w:r>
      <w:r w:rsidRPr="001953BB">
        <w:t xml:space="preserve"> Research Objectives</w:t>
      </w:r>
      <w:bookmarkEnd w:id="30"/>
    </w:p>
    <w:p w14:paraId="0FC7290B" w14:textId="77777777" w:rsidR="0054107C" w:rsidRPr="001953BB" w:rsidRDefault="0054107C" w:rsidP="00961D1F">
      <w:pPr>
        <w:rPr>
          <w:rFonts w:cs="Times New Roman"/>
          <w:lang/>
        </w:rPr>
      </w:pPr>
      <w:r w:rsidRPr="001953BB">
        <w:rPr>
          <w:rFonts w:cs="Times New Roman"/>
          <w:lang/>
        </w:rPr>
        <w:t xml:space="preserve">This study aims to assess the relationship between PAD coverage and business location dynamics, focusing on the aggregate LIS. The primary objective is to analyze the non-linear </w:t>
      </w:r>
      <w:r w:rsidRPr="001953BB">
        <w:rPr>
          <w:rFonts w:cs="Times New Roman"/>
          <w:lang/>
        </w:rPr>
        <w:lastRenderedPageBreak/>
        <w:t>associations between PAD coverage and key location outcomes—specifically, establishment births (entries), deaths (exits), and relocations (intra-state and inter-state)—and to determine how these relationships vary with existing PAD coverage levels.</w:t>
      </w:r>
    </w:p>
    <w:p w14:paraId="667E346E" w14:textId="77777777" w:rsidR="0054107C" w:rsidRPr="001953BB" w:rsidRDefault="0054107C" w:rsidP="00961D1F">
      <w:pPr>
        <w:rPr>
          <w:rFonts w:cs="Times New Roman"/>
          <w:b/>
          <w:bCs/>
          <w:lang/>
        </w:rPr>
      </w:pPr>
      <w:r w:rsidRPr="001953BB">
        <w:rPr>
          <w:rFonts w:cs="Times New Roman"/>
          <w:lang/>
        </w:rPr>
        <w:t>On a secondary level, the research explores heterogeneity in these effects across specific LIS industries (agriculture, mining, utilities, and construction) and within the non-LIS (manufacturing). By integrating these perspectives, the study offers insights into the differential economic implications of conservation policies across sectors with varying levels of dependency on land resources.</w:t>
      </w:r>
    </w:p>
    <w:p w14:paraId="12AE4AF6" w14:textId="4DC87BCB" w:rsidR="0054107C" w:rsidRPr="001953BB" w:rsidRDefault="00554455" w:rsidP="001953BB">
      <w:pPr>
        <w:pStyle w:val="Heading4"/>
      </w:pPr>
      <w:bookmarkStart w:id="31" w:name="_Toc187684959"/>
      <w:r w:rsidRPr="001953BB">
        <w:t>1.</w:t>
      </w:r>
      <w:r w:rsidR="0054107C" w:rsidRPr="001953BB">
        <w:t>1.1.2 Research Questions</w:t>
      </w:r>
      <w:bookmarkEnd w:id="31"/>
    </w:p>
    <w:p w14:paraId="437E8187" w14:textId="77777777" w:rsidR="0054107C" w:rsidRPr="001953BB" w:rsidRDefault="0054107C" w:rsidP="00961D1F">
      <w:pPr>
        <w:rPr>
          <w:rFonts w:cs="Times New Roman"/>
          <w:lang/>
        </w:rPr>
      </w:pPr>
      <w:r w:rsidRPr="001953BB">
        <w:rPr>
          <w:rFonts w:cs="Times New Roman"/>
          <w:b/>
          <w:bCs/>
          <w:lang/>
        </w:rPr>
        <w:t>Research Question 1</w:t>
      </w:r>
      <w:r w:rsidRPr="001953BB">
        <w:rPr>
          <w:rFonts w:cs="Times New Roman"/>
          <w:b/>
          <w:bCs/>
        </w:rPr>
        <w:t xml:space="preserve"> (Non-Linear PAD Effects)</w:t>
      </w:r>
      <w:r w:rsidRPr="001953BB">
        <w:rPr>
          <w:rFonts w:cs="Times New Roman"/>
          <w:b/>
          <w:bCs/>
          <w:lang/>
        </w:rPr>
        <w:t>:</w:t>
      </w:r>
      <w:r w:rsidRPr="001953BB">
        <w:rPr>
          <w:rFonts w:cs="Times New Roman"/>
        </w:rPr>
        <w:t xml:space="preserve"> </w:t>
      </w:r>
      <w:r w:rsidRPr="001953BB">
        <w:rPr>
          <w:rFonts w:cs="Times New Roman"/>
          <w:lang/>
        </w:rPr>
        <w:t xml:space="preserve">How do PADs affect </w:t>
      </w:r>
      <w:r w:rsidRPr="001953BB">
        <w:rPr>
          <w:rFonts w:cs="Times New Roman"/>
        </w:rPr>
        <w:t>establishment</w:t>
      </w:r>
      <w:r w:rsidRPr="001953BB">
        <w:rPr>
          <w:rFonts w:cs="Times New Roman"/>
          <w:lang/>
        </w:rPr>
        <w:t xml:space="preserve"> location outcomes—specifically births, deaths, and relocations (intra-state and inter-state)—of </w:t>
      </w:r>
      <w:r w:rsidRPr="001953BB">
        <w:rPr>
          <w:rFonts w:cs="Times New Roman"/>
        </w:rPr>
        <w:t>establishments</w:t>
      </w:r>
      <w:r w:rsidRPr="001953BB">
        <w:rPr>
          <w:rFonts w:cs="Times New Roman"/>
          <w:lang/>
        </w:rPr>
        <w:t>, and are these effects non-linear, with marginal effects dependent on the existing level of PAD coverage?</w:t>
      </w:r>
    </w:p>
    <w:p w14:paraId="673C00CA" w14:textId="77777777" w:rsidR="0054107C" w:rsidRPr="001953BB" w:rsidRDefault="0054107C" w:rsidP="00961D1F">
      <w:pPr>
        <w:rPr>
          <w:rFonts w:cs="Times New Roman"/>
          <w:lang/>
        </w:rPr>
      </w:pPr>
      <w:r w:rsidRPr="001953BB">
        <w:rPr>
          <w:rFonts w:cs="Times New Roman"/>
          <w:b/>
          <w:bCs/>
          <w:lang/>
        </w:rPr>
        <w:t>Research Question 2</w:t>
      </w:r>
      <w:r w:rsidRPr="001953BB">
        <w:rPr>
          <w:rFonts w:cs="Times New Roman"/>
          <w:b/>
          <w:bCs/>
        </w:rPr>
        <w:t xml:space="preserve"> (Differential Effects by PAD Intensity)</w:t>
      </w:r>
      <w:r w:rsidRPr="001953BB">
        <w:rPr>
          <w:rFonts w:cs="Times New Roman"/>
          <w:b/>
          <w:bCs/>
          <w:lang/>
        </w:rPr>
        <w:t>:</w:t>
      </w:r>
      <w:r w:rsidRPr="001953BB">
        <w:rPr>
          <w:rFonts w:cs="Times New Roman"/>
        </w:rPr>
        <w:t xml:space="preserve"> </w:t>
      </w:r>
      <w:r w:rsidRPr="001953BB">
        <w:rPr>
          <w:rFonts w:cs="Times New Roman"/>
          <w:lang/>
        </w:rPr>
        <w:t xml:space="preserve">How do the effects of PADs on </w:t>
      </w:r>
      <w:r w:rsidRPr="001953BB">
        <w:rPr>
          <w:rFonts w:cs="Times New Roman"/>
        </w:rPr>
        <w:t>establishment</w:t>
      </w:r>
      <w:r w:rsidRPr="001953BB">
        <w:rPr>
          <w:rFonts w:cs="Times New Roman"/>
          <w:lang/>
        </w:rPr>
        <w:t xml:space="preserve"> location outcomes differ </w:t>
      </w:r>
      <w:r w:rsidRPr="001953BB">
        <w:rPr>
          <w:rFonts w:cs="Times New Roman"/>
        </w:rPr>
        <w:t xml:space="preserve">under the strict PAD definition </w:t>
      </w:r>
      <w:r w:rsidRPr="001953BB">
        <w:rPr>
          <w:rFonts w:cs="Times New Roman"/>
          <w:lang/>
        </w:rPr>
        <w:t>(GAP 1</w:t>
      </w:r>
      <w:r w:rsidRPr="001953BB">
        <w:rPr>
          <w:rFonts w:cs="Times New Roman"/>
        </w:rPr>
        <w:t>-</w:t>
      </w:r>
      <w:r w:rsidRPr="001953BB">
        <w:rPr>
          <w:rFonts w:cs="Times New Roman"/>
          <w:lang/>
        </w:rPr>
        <w:t xml:space="preserve">2) </w:t>
      </w:r>
      <w:r w:rsidRPr="001953BB">
        <w:rPr>
          <w:rFonts w:cs="Times New Roman"/>
        </w:rPr>
        <w:t xml:space="preserve">versus under the </w:t>
      </w:r>
      <w:r w:rsidRPr="001953BB">
        <w:rPr>
          <w:rFonts w:cs="Times New Roman"/>
          <w:lang/>
        </w:rPr>
        <w:t>broad PAD definition (GAP 1–4)?</w:t>
      </w:r>
    </w:p>
    <w:p w14:paraId="03F7430B" w14:textId="77777777" w:rsidR="0054107C" w:rsidRPr="001953BB" w:rsidRDefault="0054107C" w:rsidP="00961D1F">
      <w:pPr>
        <w:rPr>
          <w:rFonts w:cs="Times New Roman"/>
          <w:lang/>
        </w:rPr>
      </w:pPr>
      <w:r w:rsidRPr="001953BB">
        <w:rPr>
          <w:rFonts w:cs="Times New Roman"/>
          <w:b/>
          <w:bCs/>
          <w:lang/>
        </w:rPr>
        <w:t>Research Question 3</w:t>
      </w:r>
      <w:r w:rsidRPr="001953BB">
        <w:rPr>
          <w:rFonts w:cs="Times New Roman"/>
          <w:b/>
          <w:bCs/>
        </w:rPr>
        <w:t xml:space="preserve"> (Relocation Dynamics)</w:t>
      </w:r>
      <w:r w:rsidRPr="001953BB">
        <w:rPr>
          <w:rFonts w:cs="Times New Roman"/>
          <w:b/>
          <w:bCs/>
          <w:lang/>
        </w:rPr>
        <w:t>:</w:t>
      </w:r>
      <w:r w:rsidRPr="001953BB">
        <w:rPr>
          <w:rFonts w:cs="Times New Roman"/>
        </w:rPr>
        <w:t xml:space="preserve"> </w:t>
      </w:r>
      <w:r w:rsidRPr="001953BB">
        <w:rPr>
          <w:rFonts w:cs="Times New Roman"/>
          <w:lang/>
        </w:rPr>
        <w:t>How do PADs influence the prevalence of intra-state versus inter-state relocations of establishments?</w:t>
      </w:r>
    </w:p>
    <w:p w14:paraId="3FD3A190" w14:textId="42B5349E" w:rsidR="0054107C" w:rsidRPr="001953BB" w:rsidRDefault="00554455" w:rsidP="001953BB">
      <w:pPr>
        <w:pStyle w:val="Heading4"/>
      </w:pPr>
      <w:bookmarkStart w:id="32" w:name="_Toc187684960"/>
      <w:r w:rsidRPr="001953BB">
        <w:t>1.</w:t>
      </w:r>
      <w:r w:rsidR="0054107C" w:rsidRPr="001953BB">
        <w:t>1.1.3 Hypotheses</w:t>
      </w:r>
      <w:bookmarkEnd w:id="32"/>
    </w:p>
    <w:p w14:paraId="34E9DD5E" w14:textId="77777777" w:rsidR="0054107C" w:rsidRPr="001953BB" w:rsidRDefault="0054107C" w:rsidP="00961D1F">
      <w:pPr>
        <w:rPr>
          <w:rFonts w:cs="Times New Roman"/>
          <w:lang/>
        </w:rPr>
      </w:pPr>
      <w:r w:rsidRPr="001953BB">
        <w:rPr>
          <w:rFonts w:cs="Times New Roman"/>
          <w:b/>
          <w:bCs/>
          <w:lang/>
        </w:rPr>
        <w:t>Hypothesis 1 (Non-Linear Effect Hypothesis):</w:t>
      </w:r>
      <w:r w:rsidRPr="001953BB">
        <w:rPr>
          <w:rFonts w:cs="Times New Roman"/>
          <w:b/>
          <w:bCs/>
          <w:lang/>
        </w:rPr>
        <w:t xml:space="preserve"> </w:t>
      </w:r>
      <w:r w:rsidRPr="001953BB">
        <w:rPr>
          <w:rFonts w:cs="Times New Roman"/>
          <w:lang/>
        </w:rPr>
        <w:t xml:space="preserve">The relationship between PAD coverage and </w:t>
      </w:r>
      <w:r w:rsidRPr="001953BB">
        <w:rPr>
          <w:rFonts w:cs="Times New Roman"/>
        </w:rPr>
        <w:t>establishment</w:t>
      </w:r>
      <w:r w:rsidRPr="001953BB">
        <w:rPr>
          <w:rFonts w:cs="Times New Roman"/>
          <w:lang/>
        </w:rPr>
        <w:t xml:space="preserve"> location outcomes—specifically births, deaths, and relocations—is statistically significant and non-linear, with the marginal effect of PAD coverage dependent on the existing PAD level within a county.</w:t>
      </w:r>
    </w:p>
    <w:p w14:paraId="0ADE20A4" w14:textId="77777777" w:rsidR="0054107C" w:rsidRPr="001953BB" w:rsidRDefault="0054107C" w:rsidP="00961D1F">
      <w:pPr>
        <w:rPr>
          <w:rFonts w:cs="Times New Roman"/>
          <w:lang/>
        </w:rPr>
      </w:pPr>
      <w:r w:rsidRPr="001953BB">
        <w:rPr>
          <w:rFonts w:cs="Times New Roman"/>
          <w:b/>
          <w:bCs/>
          <w:lang/>
        </w:rPr>
        <w:lastRenderedPageBreak/>
        <w:t>Hypothesis 2 (Differential Effect Hypothesis):</w:t>
      </w:r>
      <w:r w:rsidRPr="001953BB">
        <w:rPr>
          <w:rFonts w:cs="Times New Roman"/>
          <w:b/>
          <w:bCs/>
          <w:lang/>
        </w:rPr>
        <w:t xml:space="preserve"> </w:t>
      </w:r>
      <w:r w:rsidRPr="001953BB">
        <w:rPr>
          <w:rFonts w:cs="Times New Roman"/>
          <w:lang/>
        </w:rPr>
        <w:t xml:space="preserve">Stricter PADs (GAP 1 and 2) have a more pronounced effect on </w:t>
      </w:r>
      <w:r w:rsidRPr="001953BB">
        <w:rPr>
          <w:rFonts w:cs="Times New Roman"/>
        </w:rPr>
        <w:t>establishment</w:t>
      </w:r>
      <w:r w:rsidRPr="001953BB">
        <w:rPr>
          <w:rFonts w:cs="Times New Roman"/>
          <w:lang/>
        </w:rPr>
        <w:t xml:space="preserve"> location outcomes compared to broader PADs (GAP 1–4), with stricter conservation measures imposing greater constraints on business dynamics.</w:t>
      </w:r>
    </w:p>
    <w:p w14:paraId="0696DD9E" w14:textId="77777777" w:rsidR="0054107C" w:rsidRPr="001953BB" w:rsidRDefault="0054107C" w:rsidP="00961D1F">
      <w:pPr>
        <w:rPr>
          <w:rFonts w:cs="Times New Roman"/>
          <w:lang/>
        </w:rPr>
      </w:pPr>
      <w:r w:rsidRPr="001953BB">
        <w:rPr>
          <w:rFonts w:cs="Times New Roman"/>
          <w:b/>
          <w:bCs/>
          <w:lang/>
        </w:rPr>
        <w:t>Hypothesis 3 (Relocation Cost Hypothesis):</w:t>
      </w:r>
      <w:r w:rsidRPr="001953BB">
        <w:rPr>
          <w:rFonts w:cs="Times New Roman"/>
          <w:b/>
          <w:bCs/>
          <w:lang/>
        </w:rPr>
        <w:t xml:space="preserve"> </w:t>
      </w:r>
      <w:r w:rsidRPr="001953BB">
        <w:rPr>
          <w:rFonts w:cs="Times New Roman"/>
          <w:lang/>
        </w:rPr>
        <w:t>Intra-state relocations of establishments are more prevalent than inter-state relocations</w:t>
      </w:r>
      <w:r w:rsidRPr="001953BB">
        <w:rPr>
          <w:rFonts w:cs="Times New Roman"/>
          <w:lang/>
        </w:rPr>
        <w:t>, potentially</w:t>
      </w:r>
      <w:r w:rsidRPr="001953BB">
        <w:rPr>
          <w:rFonts w:cs="Times New Roman"/>
          <w:lang/>
        </w:rPr>
        <w:t xml:space="preserve"> due to lower relocation costs and familiarity with local regulatory environments.</w:t>
      </w:r>
    </w:p>
    <w:p w14:paraId="64C0A60D" w14:textId="1CB09374" w:rsidR="0054107C" w:rsidRPr="001953BB" w:rsidRDefault="00554455" w:rsidP="00961D1F">
      <w:pPr>
        <w:pStyle w:val="Heading3"/>
      </w:pPr>
      <w:bookmarkStart w:id="33" w:name="_Toc187684961"/>
      <w:bookmarkStart w:id="34" w:name="_Toc188378974"/>
      <w:r w:rsidRPr="001953BB">
        <w:rPr>
          <w:lang w:val="en-US"/>
        </w:rPr>
        <w:t>1.</w:t>
      </w:r>
      <w:r w:rsidR="0054107C" w:rsidRPr="001953BB">
        <w:t>1.2 Dissertation Structure</w:t>
      </w:r>
      <w:bookmarkEnd w:id="33"/>
      <w:bookmarkEnd w:id="34"/>
    </w:p>
    <w:p w14:paraId="4DAF2EA4" w14:textId="77777777" w:rsidR="0054107C" w:rsidRPr="001953BB" w:rsidRDefault="0054107C" w:rsidP="00961D1F">
      <w:pPr>
        <w:rPr>
          <w:rFonts w:cs="Times New Roman"/>
          <w:lang w:val="zh-CN" w:eastAsia="zh-CN"/>
        </w:rPr>
      </w:pPr>
      <w:r w:rsidRPr="001953BB">
        <w:rPr>
          <w:rFonts w:cs="Times New Roman"/>
        </w:rPr>
        <w:t xml:space="preserve">The chapter is structured as follows. Section 2 reviews the literature on PADs, conservation policies, and business dynamics. Section 3 describes the dataset, key variables, and descriptive statistics. Section 4 details the econometric methodology, focusing on the modeling approach and robustness checks. Section 5 presents the results, interpreting their implications for LIS and non-LIS sectors. Section 6 discusses the broader theoretical and policy contributions of the findings and offers recommendations for conservation strategy design. Section 7 provides the conclusion to this chapter. </w:t>
      </w:r>
      <w:r w:rsidRPr="001953BB">
        <w:rPr>
          <w:rFonts w:cs="Times New Roman"/>
          <w:lang w:val="zh-CN" w:eastAsia="zh-CN"/>
        </w:rPr>
        <w:t>Appendices provide detailed regression tables and sector-specific results under broad and strict PAD definitions.</w:t>
      </w:r>
    </w:p>
    <w:p w14:paraId="2E1392A3" w14:textId="5FD2FF10" w:rsidR="0054107C" w:rsidRPr="001953BB" w:rsidRDefault="00554455" w:rsidP="00E4693E">
      <w:pPr>
        <w:pStyle w:val="Heading2"/>
      </w:pPr>
      <w:bookmarkStart w:id="35" w:name="_Toc187684962"/>
      <w:bookmarkStart w:id="36" w:name="_Toc188378975"/>
      <w:r w:rsidRPr="001953BB">
        <w:t>1.</w:t>
      </w:r>
      <w:r w:rsidR="0054107C" w:rsidRPr="001953BB">
        <w:t>2 Literature Review</w:t>
      </w:r>
      <w:bookmarkEnd w:id="35"/>
      <w:bookmarkEnd w:id="36"/>
    </w:p>
    <w:p w14:paraId="3FED36C1" w14:textId="77777777" w:rsidR="0054107C" w:rsidRPr="001953BB" w:rsidRDefault="0054107C" w:rsidP="00961D1F">
      <w:pPr>
        <w:rPr>
          <w:rFonts w:cs="Times New Roman"/>
          <w:lang w:val="zh-CN"/>
        </w:rPr>
      </w:pPr>
      <w:r w:rsidRPr="001953BB">
        <w:rPr>
          <w:rFonts w:cs="Times New Roman"/>
          <w:lang w:val="zh-CN"/>
        </w:rPr>
        <w:t>This literature review synthesizes insights from environmental federalism, capital mobility, industrial location, and conservation economics to examine the effects of PADs on establishment location decisions. It integrates theoretical frameworks and empirical findings, addressing key gaps in PAD-focused research while situating this study within the broader academic discourse.</w:t>
      </w:r>
    </w:p>
    <w:p w14:paraId="0A5A6528" w14:textId="73A06992" w:rsidR="0054107C" w:rsidRPr="001953BB" w:rsidRDefault="00554455" w:rsidP="00961D1F">
      <w:pPr>
        <w:pStyle w:val="Heading3"/>
      </w:pPr>
      <w:bookmarkStart w:id="37" w:name="_Toc187684963"/>
      <w:bookmarkStart w:id="38" w:name="_Toc188378976"/>
      <w:r w:rsidRPr="001953BB">
        <w:rPr>
          <w:lang w:val="en-US"/>
        </w:rPr>
        <w:t>1.</w:t>
      </w:r>
      <w:r w:rsidR="0054107C" w:rsidRPr="001953BB">
        <w:t>2.1 Environmental Federalism and the Race to the Bottom</w:t>
      </w:r>
      <w:bookmarkEnd w:id="37"/>
      <w:bookmarkEnd w:id="38"/>
    </w:p>
    <w:p w14:paraId="48E7573E" w14:textId="77777777" w:rsidR="0054107C" w:rsidRPr="001953BB" w:rsidRDefault="0054107C" w:rsidP="00961D1F">
      <w:pPr>
        <w:rPr>
          <w:rFonts w:cs="Times New Roman"/>
          <w:lang w:val="zh-CN"/>
        </w:rPr>
      </w:pPr>
      <w:r w:rsidRPr="001953BB">
        <w:rPr>
          <w:rFonts w:cs="Times New Roman"/>
          <w:lang w:val="zh-CN"/>
        </w:rPr>
        <w:t xml:space="preserve">The environmental federalism literature examines how decentralized regulation can incentivize inter-jurisdictional competition, often leading to a "race to the bottom" as regions lower </w:t>
      </w:r>
      <w:r w:rsidRPr="001953BB">
        <w:rPr>
          <w:rFonts w:cs="Times New Roman"/>
          <w:lang w:val="zh-CN"/>
        </w:rPr>
        <w:lastRenderedPageBreak/>
        <w:t>environmental standards to attract businesses (Oates &amp; Schwab, 1988). Levinson (2003) finds that weaker environmental standards attract 5–10% more new establishments in pollution-intensive sectors, while Fredriksson and Millimet (2002) demonstrate that higher regulatory stringency reduces manufacturing establishment births by 12%.</w:t>
      </w:r>
      <w:r w:rsidRPr="001953BB">
        <w:rPr>
          <w:rFonts w:cs="Times New Roman"/>
        </w:rPr>
        <w:t xml:space="preserve"> </w:t>
      </w:r>
      <w:r w:rsidRPr="001953BB">
        <w:rPr>
          <w:rFonts w:cs="Times New Roman"/>
          <w:lang w:val="zh-CN"/>
        </w:rPr>
        <w:t xml:space="preserve">However, PADs differ fundamentally from emissions-based regulations. As federally mandated policies, PADs bypass the competitive dynamics observed in decentralized systems. </w:t>
      </w:r>
    </w:p>
    <w:p w14:paraId="6E0AC9B3" w14:textId="2F5867E6" w:rsidR="0054107C" w:rsidRPr="001953BB" w:rsidRDefault="00554455" w:rsidP="00961D1F">
      <w:pPr>
        <w:pStyle w:val="Heading3"/>
      </w:pPr>
      <w:bookmarkStart w:id="39" w:name="_Toc187684964"/>
      <w:bookmarkStart w:id="40" w:name="_Toc188378977"/>
      <w:r w:rsidRPr="001953BB">
        <w:rPr>
          <w:lang w:val="en-US"/>
        </w:rPr>
        <w:t>1.</w:t>
      </w:r>
      <w:r w:rsidR="0054107C" w:rsidRPr="001953BB">
        <w:t>2.2 Capital Mobility and Economic Responses to Regulatory Changes</w:t>
      </w:r>
      <w:bookmarkEnd w:id="39"/>
      <w:bookmarkEnd w:id="40"/>
    </w:p>
    <w:p w14:paraId="2EE8D29D" w14:textId="77777777" w:rsidR="0054107C" w:rsidRPr="001953BB" w:rsidRDefault="0054107C" w:rsidP="00961D1F">
      <w:pPr>
        <w:rPr>
          <w:rFonts w:cs="Times New Roman"/>
          <w:lang w:val="zh-CN"/>
        </w:rPr>
      </w:pPr>
      <w:r w:rsidRPr="001953BB">
        <w:rPr>
          <w:rFonts w:cs="Times New Roman"/>
          <w:lang w:val="zh-CN"/>
        </w:rPr>
        <w:t>Capital mobility literature explores how businesses adjust to localized costs, including regulatory stringency. Establishment-level responses are particularly relevant, as they directly reflect location-specific factors. Coughlin et al. (1991) and Head et al. (1995) show that establishments are influenced by agglomeration economies and regulatory costs, with state-level tax increases reducing new establishment births by 6–10%.</w:t>
      </w:r>
    </w:p>
    <w:p w14:paraId="34E48ACE" w14:textId="77777777" w:rsidR="0054107C" w:rsidRPr="001953BB" w:rsidRDefault="0054107C" w:rsidP="00961D1F">
      <w:pPr>
        <w:rPr>
          <w:rFonts w:cs="Times New Roman"/>
        </w:rPr>
      </w:pPr>
      <w:r w:rsidRPr="001953BB">
        <w:rPr>
          <w:rFonts w:cs="Times New Roman"/>
          <w:lang w:val="zh-CN"/>
        </w:rPr>
        <w:t xml:space="preserve">Rosenthal and Strange (2004) emphasize that agglomeration benefits significantly offset regulatory deterrents, while Ellison and Glaeser (1997) demonstrate that agglomeration reduces </w:t>
      </w:r>
      <w:r w:rsidRPr="001953BB">
        <w:rPr>
          <w:rFonts w:cs="Times New Roman"/>
        </w:rPr>
        <w:t>business</w:t>
      </w:r>
      <w:r w:rsidRPr="001953BB">
        <w:rPr>
          <w:rFonts w:cs="Times New Roman"/>
          <w:lang w:val="zh-CN"/>
        </w:rPr>
        <w:t xml:space="preserve"> exit rates by 4–6%. These findings suggest that localized economic advantages play a critical role in moderating the effects of regulatory policies.</w:t>
      </w:r>
      <w:r w:rsidRPr="001953BB">
        <w:rPr>
          <w:rFonts w:cs="Times New Roman"/>
        </w:rPr>
        <w:t xml:space="preserve"> We </w:t>
      </w:r>
      <w:proofErr w:type="gramStart"/>
      <w:r w:rsidRPr="001953BB">
        <w:rPr>
          <w:rFonts w:cs="Times New Roman"/>
        </w:rPr>
        <w:t>control for</w:t>
      </w:r>
      <w:proofErr w:type="gramEnd"/>
      <w:r w:rsidRPr="001953BB">
        <w:rPr>
          <w:rFonts w:cs="Times New Roman"/>
        </w:rPr>
        <w:t xml:space="preserve"> agglomeration economies in our study.</w:t>
      </w:r>
    </w:p>
    <w:p w14:paraId="3EADDC66" w14:textId="2CA309E5" w:rsidR="0054107C" w:rsidRPr="001953BB" w:rsidRDefault="00554455" w:rsidP="00961D1F">
      <w:pPr>
        <w:pStyle w:val="Heading3"/>
      </w:pPr>
      <w:bookmarkStart w:id="41" w:name="_Toc187684965"/>
      <w:bookmarkStart w:id="42" w:name="_Toc188378978"/>
      <w:r w:rsidRPr="001953BB">
        <w:rPr>
          <w:lang w:val="en-US"/>
        </w:rPr>
        <w:t>1.</w:t>
      </w:r>
      <w:r w:rsidR="0054107C" w:rsidRPr="001953BB">
        <w:t>2.3 Impacts of Environmental Regulations on Establishment Dynamics</w:t>
      </w:r>
      <w:bookmarkEnd w:id="41"/>
      <w:bookmarkEnd w:id="42"/>
    </w:p>
    <w:p w14:paraId="2EED0D8C" w14:textId="77777777" w:rsidR="0054107C" w:rsidRPr="001953BB" w:rsidRDefault="0054107C" w:rsidP="00961D1F">
      <w:pPr>
        <w:rPr>
          <w:rFonts w:cs="Times New Roman"/>
          <w:lang w:val="zh-CN" w:eastAsia="zh-CN"/>
        </w:rPr>
      </w:pPr>
      <w:r w:rsidRPr="001953BB">
        <w:rPr>
          <w:rFonts w:cs="Times New Roman"/>
          <w:lang w:val="zh-CN"/>
        </w:rPr>
        <w:t>Research on environmental regulations predominantly focuses on emissions-based policies, such as the Clean Air Act</w:t>
      </w:r>
      <w:r w:rsidRPr="001953BB">
        <w:rPr>
          <w:rFonts w:cs="Times New Roman"/>
        </w:rPr>
        <w:t xml:space="preserve"> (CAA)</w:t>
      </w:r>
      <w:r w:rsidRPr="001953BB">
        <w:rPr>
          <w:rFonts w:cs="Times New Roman"/>
          <w:lang w:val="zh-CN"/>
        </w:rPr>
        <w:t xml:space="preserve">. Greenstone (2002) and Becker and Henderson (2000) find that nonattainment designations reduce establishment births by 15–20% and increase closure rates by 10–12%. Levinson and Taylor (2008) highlight the pollution haven effect, where </w:t>
      </w:r>
      <w:r w:rsidRPr="001953BB">
        <w:rPr>
          <w:rFonts w:cs="Times New Roman"/>
        </w:rPr>
        <w:t>businesses</w:t>
      </w:r>
      <w:r w:rsidRPr="001953BB">
        <w:rPr>
          <w:rFonts w:cs="Times New Roman"/>
          <w:lang w:val="zh-CN"/>
        </w:rPr>
        <w:t xml:space="preserve"> relocate to less-regulated areas, while Berman and Bui (2001) provide evidence supporting the </w:t>
      </w:r>
      <w:r w:rsidRPr="001953BB">
        <w:rPr>
          <w:rFonts w:cs="Times New Roman"/>
          <w:lang w:val="zh-CN"/>
        </w:rPr>
        <w:lastRenderedPageBreak/>
        <w:t>Porter Hypothesis, showing that stricter air quality standards can drive productivity gains.</w:t>
      </w:r>
      <w:r w:rsidRPr="001953BB">
        <w:rPr>
          <w:rFonts w:cs="Times New Roman"/>
        </w:rPr>
        <w:t xml:space="preserve"> </w:t>
      </w:r>
      <w:r w:rsidRPr="001953BB">
        <w:rPr>
          <w:rFonts w:cs="Times New Roman"/>
          <w:lang w:val="zh-CN"/>
        </w:rPr>
        <w:t xml:space="preserve">In contrast, PADs extend beyond emissions controls, imposing land-use constraints that directly affect LIS. </w:t>
      </w:r>
    </w:p>
    <w:p w14:paraId="572D7B31" w14:textId="77777777" w:rsidR="0054107C" w:rsidRPr="001953BB" w:rsidRDefault="0054107C" w:rsidP="00961D1F">
      <w:pPr>
        <w:rPr>
          <w:rFonts w:cs="Times New Roman"/>
          <w:lang w:val="zh-CN" w:eastAsia="zh-CN"/>
        </w:rPr>
      </w:pPr>
      <w:r w:rsidRPr="001953BB">
        <w:rPr>
          <w:rFonts w:cs="Times New Roman"/>
          <w:lang w:val="zh-CN" w:eastAsia="zh-CN"/>
        </w:rPr>
        <w:t xml:space="preserve">The inclusion of lagged explanatory variables in </w:t>
      </w:r>
      <w:r w:rsidRPr="001953BB">
        <w:rPr>
          <w:rFonts w:cs="Times New Roman"/>
          <w:lang w:eastAsia="zh-CN"/>
        </w:rPr>
        <w:t xml:space="preserve">our </w:t>
      </w:r>
      <w:r w:rsidRPr="001953BB">
        <w:rPr>
          <w:rFonts w:cs="Times New Roman"/>
          <w:lang w:val="zh-CN" w:eastAsia="zh-CN"/>
        </w:rPr>
        <w:t xml:space="preserve">econometric models of establishment dynamics is supported by existing literature. For instance, Manjón-Antolín and Arauzo-Carod (2011) emphasize the role of past business activity in shaping current location choices, finding that previous exits and relocations influence new </w:t>
      </w:r>
      <w:r w:rsidRPr="001953BB">
        <w:rPr>
          <w:rFonts w:cs="Times New Roman"/>
          <w:lang w:eastAsia="zh-CN"/>
        </w:rPr>
        <w:t>business</w:t>
      </w:r>
      <w:r w:rsidRPr="001953BB">
        <w:rPr>
          <w:rFonts w:cs="Times New Roman"/>
          <w:lang w:val="zh-CN" w:eastAsia="zh-CN"/>
        </w:rPr>
        <w:t xml:space="preserve"> births and movements. Similarly, Bartik (1985) and Greenstone (2002) discuss the importance of lagged variables in capturing adjustment processes in regional economies. These studies underscore that prior establishment dynamics, such as deaths or entries, provide valuable signals about market saturation, competition, and economic resilience, justifying their inclusion in models analyzing industrial location outcomes.</w:t>
      </w:r>
    </w:p>
    <w:p w14:paraId="06DBDDA6" w14:textId="27E0E162" w:rsidR="0054107C" w:rsidRPr="001953BB" w:rsidRDefault="00554455" w:rsidP="00961D1F">
      <w:pPr>
        <w:pStyle w:val="Heading3"/>
      </w:pPr>
      <w:bookmarkStart w:id="43" w:name="_Toc187684966"/>
      <w:bookmarkStart w:id="44" w:name="_Toc188378979"/>
      <w:r w:rsidRPr="001953BB">
        <w:rPr>
          <w:lang w:val="en-US"/>
        </w:rPr>
        <w:t>1.</w:t>
      </w:r>
      <w:r w:rsidR="0054107C" w:rsidRPr="001953BB">
        <w:t>2.4 Related Fields in the Literature</w:t>
      </w:r>
      <w:bookmarkEnd w:id="43"/>
      <w:bookmarkEnd w:id="44"/>
    </w:p>
    <w:p w14:paraId="3BD2CA6C" w14:textId="77777777" w:rsidR="0054107C" w:rsidRPr="001953BB" w:rsidRDefault="0054107C" w:rsidP="00961D1F">
      <w:pPr>
        <w:rPr>
          <w:rFonts w:cs="Times New Roman"/>
        </w:rPr>
      </w:pPr>
      <w:r w:rsidRPr="001953BB">
        <w:rPr>
          <w:rFonts w:cs="Times New Roman"/>
          <w:lang w:val="zh-CN"/>
        </w:rPr>
        <w:t>Several related fields provide additional insights into PADs’ economic impacts, including land-use economics, resource economics, and environmental justice.</w:t>
      </w:r>
      <w:r w:rsidRPr="001953BB">
        <w:rPr>
          <w:rFonts w:cs="Times New Roman"/>
        </w:rPr>
        <w:t xml:space="preserve"> </w:t>
      </w:r>
    </w:p>
    <w:p w14:paraId="20AC7604" w14:textId="77777777" w:rsidR="0054107C" w:rsidRPr="001953BB" w:rsidRDefault="0054107C" w:rsidP="00961D1F">
      <w:pPr>
        <w:rPr>
          <w:rFonts w:cs="Times New Roman"/>
          <w:lang w:val="zh-CN"/>
        </w:rPr>
      </w:pPr>
      <w:r w:rsidRPr="001953BB">
        <w:rPr>
          <w:rFonts w:cs="Times New Roman"/>
          <w:lang w:val="zh-CN"/>
        </w:rPr>
        <w:t xml:space="preserve">Restrictive land-use policies, such as zoning laws, decrease business dynamism by limiting land availability. Gyourko and Molloy (2015) find that such policies reduce business growth by 10–15%, while Saiz (2010) shows that land-use constraints disproportionately affect land-intensive industries. Costanza et al. (1997) estimate that protected areas contribute $33 trillion annually in ecosystem services, providing long-term environmental and economic benefits. PADs enhance ecosystem services critical to LIS sectors, such as water filtration for agriculture and biodiversity preservation for recreation. Environmental justice research highlights the uneven distribution of conservation benefits and economic burdens. Morello-Frosch et al. (2002) and Pastor et al. </w:t>
      </w:r>
      <w:r w:rsidRPr="001953BB">
        <w:rPr>
          <w:rFonts w:cs="Times New Roman"/>
          <w:lang w:val="zh-CN"/>
        </w:rPr>
        <w:lastRenderedPageBreak/>
        <w:t xml:space="preserve">(2004) emphasize that lower-income regions often bear higher economic constraints from environmental policies. </w:t>
      </w:r>
    </w:p>
    <w:p w14:paraId="133836B2" w14:textId="77777777" w:rsidR="0054107C" w:rsidRPr="001953BB" w:rsidRDefault="0054107C" w:rsidP="00961D1F">
      <w:pPr>
        <w:rPr>
          <w:rFonts w:cs="Times New Roman"/>
          <w:b/>
          <w:bCs/>
          <w:lang w:val="zh-CN"/>
        </w:rPr>
      </w:pPr>
      <w:r w:rsidRPr="001953BB">
        <w:rPr>
          <w:rFonts w:cs="Times New Roman"/>
        </w:rPr>
        <w:t>B</w:t>
      </w:r>
      <w:r w:rsidRPr="001953BB">
        <w:rPr>
          <w:rFonts w:cs="Times New Roman"/>
          <w:lang w:val="zh-CN"/>
        </w:rPr>
        <w:t xml:space="preserve">y examining the nonlinear effects of PAD coverage on LIS dynamics and contrasting these with broader regulatory policies, this study contributes to multiple literatures, from environmental federalism to conservation economics. It offers new perspectives on how PADs </w:t>
      </w:r>
      <w:r w:rsidRPr="001953BB">
        <w:rPr>
          <w:rFonts w:cs="Times New Roman"/>
        </w:rPr>
        <w:t>affect LIS and non-LIS, further distinguishing between the non-linear marginal effects of strict versus broad PADs and how these effects depends upon the existing level of PAD within a region (county)</w:t>
      </w:r>
      <w:r w:rsidRPr="001953BB">
        <w:rPr>
          <w:rFonts w:cs="Times New Roman"/>
          <w:lang w:val="zh-CN"/>
        </w:rPr>
        <w:t>.</w:t>
      </w:r>
    </w:p>
    <w:p w14:paraId="3360E894" w14:textId="735E90C3" w:rsidR="0054107C" w:rsidRPr="001953BB" w:rsidRDefault="00554455" w:rsidP="00E4693E">
      <w:pPr>
        <w:pStyle w:val="Heading2"/>
        <w:rPr>
          <w:lang w:val="zh-CN"/>
        </w:rPr>
      </w:pPr>
      <w:bookmarkStart w:id="45" w:name="_Toc187684967"/>
      <w:bookmarkStart w:id="46" w:name="_Toc188378980"/>
      <w:r w:rsidRPr="001953BB">
        <w:t>1.</w:t>
      </w:r>
      <w:r w:rsidR="0054107C" w:rsidRPr="001953BB">
        <w:rPr>
          <w:lang w:val="zh-CN"/>
        </w:rPr>
        <w:t>3 Data</w:t>
      </w:r>
      <w:bookmarkEnd w:id="45"/>
      <w:bookmarkEnd w:id="46"/>
    </w:p>
    <w:p w14:paraId="27C7323C" w14:textId="77777777" w:rsidR="0054107C" w:rsidRPr="001953BB" w:rsidRDefault="0054107C" w:rsidP="00961D1F">
      <w:pPr>
        <w:rPr>
          <w:rFonts w:cs="Times New Roman"/>
          <w:lang w:val="zh-CN" w:eastAsia="zh-CN"/>
        </w:rPr>
      </w:pPr>
      <w:r w:rsidRPr="001953BB">
        <w:rPr>
          <w:rFonts w:cs="Times New Roman"/>
          <w:lang w:val="zh-CN"/>
        </w:rPr>
        <w:t xml:space="preserve">This section focuses on the data, their sources, and the construction of variables employed in our econometric model. It also provides an overview of the summary and descriptive statistics of key variables used in the analysis. In the main text, we present the summary statistics specifically for the aggregate LIS sector, which combines NAICS sectors 11, 21, 22, and 23. </w:t>
      </w:r>
    </w:p>
    <w:p w14:paraId="1FDEF1AE" w14:textId="1C580ECE" w:rsidR="0054107C" w:rsidRPr="001953BB" w:rsidRDefault="0054107C" w:rsidP="00961D1F">
      <w:pPr>
        <w:rPr>
          <w:rFonts w:cs="Times New Roman"/>
          <w:lang w:val="zh-CN"/>
        </w:rPr>
      </w:pPr>
      <w:r w:rsidRPr="001953BB">
        <w:rPr>
          <w:rFonts w:cs="Times New Roman"/>
          <w:lang w:val="zh-CN"/>
        </w:rPr>
        <w:t>However, we do not comment on the summary statistics for individual LIS sectors (Agriculture, Mining, Utilities, and Construction) or the non-LIS sector (Manufacturing) within this section. These are instead provided in the Appendix document</w:t>
      </w:r>
      <w:r w:rsidRPr="001953BB">
        <w:rPr>
          <w:rFonts w:cs="Times New Roman"/>
        </w:rPr>
        <w:t xml:space="preserve"> (</w:t>
      </w:r>
      <w:r w:rsidRPr="001953BB">
        <w:rPr>
          <w:rFonts w:cs="Times New Roman"/>
          <w:b/>
          <w:bCs/>
        </w:rPr>
        <w:t>Table A28</w:t>
      </w:r>
      <w:r w:rsidRPr="001953BB">
        <w:rPr>
          <w:rFonts w:cs="Times New Roman"/>
          <w:lang w:val="zh-CN"/>
        </w:rPr>
        <w:t xml:space="preserve"> and </w:t>
      </w:r>
      <w:r w:rsidR="005B64E8" w:rsidRPr="001953BB">
        <w:rPr>
          <w:rFonts w:cs="Times New Roman"/>
          <w:b/>
          <w:bCs/>
        </w:rPr>
        <w:t>Table</w:t>
      </w:r>
      <w:r w:rsidR="005B64E8" w:rsidRPr="001953BB">
        <w:rPr>
          <w:rFonts w:cs="Times New Roman"/>
          <w:b/>
          <w:bCs/>
          <w:lang w:val="zh-CN"/>
        </w:rPr>
        <w:t xml:space="preserve"> </w:t>
      </w:r>
      <w:r w:rsidRPr="001953BB">
        <w:rPr>
          <w:rFonts w:cs="Times New Roman"/>
          <w:b/>
          <w:bCs/>
          <w:lang w:val="zh-CN"/>
        </w:rPr>
        <w:t>A29</w:t>
      </w:r>
      <w:r w:rsidRPr="001953BB">
        <w:rPr>
          <w:rFonts w:cs="Times New Roman"/>
        </w:rPr>
        <w:t>).</w:t>
      </w:r>
      <w:r w:rsidRPr="001953BB">
        <w:rPr>
          <w:rFonts w:cs="Times New Roman"/>
          <w:lang w:val="zh-CN"/>
        </w:rPr>
        <w:t xml:space="preserve"> Additionally, we note that the socio-demographic, environmental, and economic </w:t>
      </w:r>
      <w:r w:rsidRPr="001953BB">
        <w:rPr>
          <w:rFonts w:cs="Times New Roman"/>
        </w:rPr>
        <w:t xml:space="preserve">explanatory </w:t>
      </w:r>
      <w:r w:rsidRPr="001953BB">
        <w:rPr>
          <w:rFonts w:cs="Times New Roman"/>
          <w:lang w:val="zh-CN"/>
        </w:rPr>
        <w:t>variables across the specific sectors in their respective datasets exhibit similar characteristics</w:t>
      </w:r>
      <w:r w:rsidRPr="001953BB">
        <w:rPr>
          <w:rFonts w:cs="Times New Roman"/>
        </w:rPr>
        <w:t xml:space="preserve"> as that of the aggregate LIS</w:t>
      </w:r>
      <w:r w:rsidRPr="001953BB">
        <w:rPr>
          <w:rFonts w:cs="Times New Roman"/>
          <w:lang w:val="zh-CN"/>
        </w:rPr>
        <w:t>, and therefore, we do not provide separate summary statistics for these.</w:t>
      </w:r>
    </w:p>
    <w:p w14:paraId="46EA576F" w14:textId="77777777" w:rsidR="0054107C" w:rsidRPr="001953BB" w:rsidRDefault="0054107C" w:rsidP="00961D1F">
      <w:pPr>
        <w:rPr>
          <w:rFonts w:cs="Times New Roman"/>
          <w:b/>
          <w:bCs/>
          <w:lang w:val="zh-CN"/>
        </w:rPr>
      </w:pPr>
      <w:r w:rsidRPr="001953BB">
        <w:rPr>
          <w:rFonts w:cs="Times New Roman"/>
          <w:lang w:val="zh-CN"/>
        </w:rPr>
        <w:t xml:space="preserve">To ensure the robustness of our analysis, we conducted variance inflation factor (VIF) tests, all of which yielded values below the standard threshold of 10, confirming no multicollinearity among variables. Correlation tests indicated low overlap between explanatory variables, and stepwise regression procedures validated the inclusion of only statistically significant predictors. </w:t>
      </w:r>
      <w:r w:rsidRPr="001953BB">
        <w:rPr>
          <w:rFonts w:cs="Times New Roman"/>
          <w:lang w:val="zh-CN"/>
        </w:rPr>
        <w:lastRenderedPageBreak/>
        <w:t>This comprehensive variable selection framework ensures the relevance and reliability of our data for subsequent analysis.</w:t>
      </w:r>
    </w:p>
    <w:p w14:paraId="27291225" w14:textId="1D102002" w:rsidR="0054107C" w:rsidRPr="001953BB" w:rsidRDefault="00554455" w:rsidP="00961D1F">
      <w:pPr>
        <w:pStyle w:val="Heading3"/>
      </w:pPr>
      <w:bookmarkStart w:id="47" w:name="_Toc187684968"/>
      <w:bookmarkStart w:id="48" w:name="_Toc188378981"/>
      <w:r w:rsidRPr="001953BB">
        <w:rPr>
          <w:lang w:val="en-US"/>
        </w:rPr>
        <w:t>1.</w:t>
      </w:r>
      <w:r w:rsidR="0054107C" w:rsidRPr="001953BB">
        <w:t>3.1 Outcome Variables</w:t>
      </w:r>
      <w:bookmarkEnd w:id="47"/>
      <w:bookmarkEnd w:id="48"/>
    </w:p>
    <w:p w14:paraId="6DA9E098" w14:textId="77777777" w:rsidR="0054107C" w:rsidRPr="001953BB" w:rsidRDefault="0054107C" w:rsidP="00961D1F">
      <w:pPr>
        <w:rPr>
          <w:rFonts w:cs="Times New Roman"/>
          <w:lang w:val="zh-CN"/>
        </w:rPr>
      </w:pPr>
      <w:r w:rsidRPr="001953BB">
        <w:rPr>
          <w:rFonts w:cs="Times New Roman"/>
          <w:lang w:val="zh-CN"/>
        </w:rPr>
        <w:t>Research on business location decisions often relies on public datasets such as the County Business Patterns (CBP), Quarterly Census of Employment and Wages (QCEW), and Bureau of Labor Statistics (BLS). While these datasets are valuable, they frequently suppress data to protect confidentiality when establishments in small geographical regions, like counties, are sparse (Jarmin &amp; Miranda, 2002; Abowd &amp; Vilhuber, 2008). This suppression poses significant challenges for county-level analyses, as it limits observations on the annual number of establishment entries and exits, particularly in less densely populated counties.</w:t>
      </w:r>
    </w:p>
    <w:p w14:paraId="291A082D" w14:textId="77777777" w:rsidR="0054107C" w:rsidRPr="001953BB" w:rsidRDefault="0054107C" w:rsidP="00961D1F">
      <w:pPr>
        <w:rPr>
          <w:rFonts w:cs="Times New Roman"/>
        </w:rPr>
      </w:pPr>
      <w:r w:rsidRPr="001953BB">
        <w:rPr>
          <w:rFonts w:cs="Times New Roman"/>
          <w:lang w:val="zh-CN"/>
        </w:rPr>
        <w:t xml:space="preserve">To address these limitations, this study employs the proprietary Data Axle historical business dataset (formerly Infogroup). Unlike public datasets, Data Axle provides unsuppressed, establishment-level data with unique American Business Information (ABI) identifiers, enabling precise tracking of </w:t>
      </w:r>
      <w:r w:rsidRPr="001953BB">
        <w:rPr>
          <w:rFonts w:cs="Times New Roman"/>
        </w:rPr>
        <w:t xml:space="preserve">each </w:t>
      </w:r>
      <w:r w:rsidRPr="001953BB">
        <w:rPr>
          <w:rFonts w:cs="Times New Roman"/>
          <w:lang w:val="zh-CN"/>
        </w:rPr>
        <w:t>businesses across years. It offers detailed information on geolocations, employment, sales, and NAICS classifications, making it particularly well-suited for county-level analyses of establishment dynamics.</w:t>
      </w:r>
      <w:r w:rsidRPr="001953BB">
        <w:rPr>
          <w:rFonts w:cs="Times New Roman"/>
        </w:rPr>
        <w:t xml:space="preserve"> </w:t>
      </w:r>
      <w:r w:rsidRPr="001953BB">
        <w:rPr>
          <w:rFonts w:cs="Times New Roman"/>
          <w:lang w:eastAsia="zh-CN"/>
        </w:rPr>
        <w:t xml:space="preserve">The dataset’s granularity allows for a detailed examination of establishment location outcomes, including births, deaths, and relocations, further disaggregated into intra-state and inter-state movements. </w:t>
      </w:r>
    </w:p>
    <w:p w14:paraId="66B881FC" w14:textId="77777777" w:rsidR="0054107C" w:rsidRPr="001953BB" w:rsidRDefault="0054107C" w:rsidP="00961D1F">
      <w:pPr>
        <w:rPr>
          <w:rFonts w:cs="Times New Roman"/>
        </w:rPr>
      </w:pPr>
      <w:r w:rsidRPr="001953BB">
        <w:rPr>
          <w:rFonts w:cs="Times New Roman"/>
          <w:lang w:val="zh-CN"/>
        </w:rPr>
        <w:t xml:space="preserve">Using this dataset, which spans from 1997 to 2019, we constructed annual </w:t>
      </w:r>
      <w:r w:rsidRPr="001953BB">
        <w:rPr>
          <w:rFonts w:cs="Times New Roman"/>
        </w:rPr>
        <w:t xml:space="preserve">sector-specific </w:t>
      </w:r>
      <w:r w:rsidRPr="001953BB">
        <w:rPr>
          <w:rFonts w:cs="Times New Roman"/>
          <w:lang w:val="zh-CN"/>
        </w:rPr>
        <w:t xml:space="preserve">county-level measures of </w:t>
      </w:r>
      <w:r w:rsidRPr="001953BB">
        <w:rPr>
          <w:rFonts w:cs="Times New Roman"/>
        </w:rPr>
        <w:t>establishment</w:t>
      </w:r>
      <w:r w:rsidRPr="001953BB">
        <w:rPr>
          <w:rFonts w:cs="Times New Roman"/>
          <w:lang w:val="zh-CN"/>
        </w:rPr>
        <w:t xml:space="preserve"> location outcomes for the 1998–2018 period</w:t>
      </w:r>
      <w:r w:rsidRPr="001953BB">
        <w:rPr>
          <w:rFonts w:cs="Times New Roman"/>
        </w:rPr>
        <w:t>, listed below</w:t>
      </w:r>
      <w:r w:rsidRPr="001953BB">
        <w:rPr>
          <w:rFonts w:cs="Times New Roman"/>
          <w:lang w:val="zh-CN"/>
        </w:rPr>
        <w:t xml:space="preserve">. </w:t>
      </w:r>
      <w:r w:rsidRPr="001953BB">
        <w:rPr>
          <w:rFonts w:cs="Times New Roman"/>
          <w:lang w:eastAsia="zh-CN"/>
        </w:rPr>
        <w:t xml:space="preserve">The first and final years of the dataset (1997 and 2019) are excluded due to missing prior-year (1996) and subsequent-year (2020) data needed to compute exits in 1997 and entries in 2019, respectively. </w:t>
      </w:r>
      <w:r w:rsidRPr="001953BB">
        <w:rPr>
          <w:rFonts w:cs="Times New Roman"/>
        </w:rPr>
        <w:t xml:space="preserve">The sectors which we look at are NAICS 11, 21, 22, 23, and 31-33. We </w:t>
      </w:r>
      <w:r w:rsidRPr="001953BB">
        <w:rPr>
          <w:rFonts w:cs="Times New Roman"/>
        </w:rPr>
        <w:lastRenderedPageBreak/>
        <w:t xml:space="preserve">construct our location outcome variables for each of these NAICS sectors, then for the aggregate LIS sector, which consists of establishments from NAICS sectors 11, 21, 22, and 23. </w:t>
      </w:r>
    </w:p>
    <w:p w14:paraId="4F5F8001" w14:textId="77777777" w:rsidR="0054107C" w:rsidRPr="001953BB" w:rsidRDefault="0054107C" w:rsidP="00961D1F">
      <w:pPr>
        <w:rPr>
          <w:rFonts w:cs="Times New Roman"/>
          <w:lang w:val="zh-CN"/>
        </w:rPr>
      </w:pPr>
      <w:r w:rsidRPr="001953BB">
        <w:rPr>
          <w:rFonts w:cs="Times New Roman"/>
          <w:b/>
          <w:bCs/>
          <w:lang w:eastAsia="zh-CN"/>
        </w:rPr>
        <w:t>Figure A1</w:t>
      </w:r>
      <w:r w:rsidRPr="001953BB">
        <w:rPr>
          <w:rFonts w:cs="Times New Roman"/>
          <w:lang w:eastAsia="zh-CN"/>
        </w:rPr>
        <w:t xml:space="preserve"> (Location Decision Tree) illustrates the conceptual decision tree underlying establishment location dynamics, emphasizing the distinct pathways of entries (births and relocations) and exits (deaths and relocations). Below, are the exact definitions of each location outcome variable we constructed: </w:t>
      </w:r>
    </w:p>
    <w:p w14:paraId="1DBE8FF1" w14:textId="77777777" w:rsidR="0054107C" w:rsidRPr="001953BB" w:rsidRDefault="0054107C" w:rsidP="00961D1F">
      <w:pPr>
        <w:numPr>
          <w:ilvl w:val="0"/>
          <w:numId w:val="1"/>
        </w:numPr>
        <w:rPr>
          <w:rFonts w:cs="Times New Roman"/>
          <w:lang w:val="zh-CN" w:eastAsia="zh-CN"/>
        </w:rPr>
      </w:pPr>
      <w:r w:rsidRPr="001953BB">
        <w:rPr>
          <w:rFonts w:cs="Times New Roman"/>
          <w:b/>
          <w:bCs/>
          <w:lang w:val="zh-CN" w:eastAsia="zh-CN"/>
        </w:rPr>
        <w:t>Birth:</w:t>
      </w:r>
      <w:r w:rsidRPr="001953BB">
        <w:rPr>
          <w:rFonts w:cs="Times New Roman"/>
          <w:lang w:val="zh-CN" w:eastAsia="zh-CN"/>
        </w:rPr>
        <w:t xml:space="preserve"> An establishment is considered "born" in county C in year T if it did not exist anywhere in the United States in the previous year (T-1).</w:t>
      </w:r>
    </w:p>
    <w:p w14:paraId="32A4C168" w14:textId="77777777" w:rsidR="0054107C" w:rsidRPr="001953BB" w:rsidRDefault="0054107C" w:rsidP="00961D1F">
      <w:pPr>
        <w:numPr>
          <w:ilvl w:val="0"/>
          <w:numId w:val="1"/>
        </w:numPr>
        <w:rPr>
          <w:rFonts w:cs="Times New Roman"/>
          <w:lang w:val="zh-CN" w:eastAsia="zh-CN"/>
        </w:rPr>
      </w:pPr>
      <w:r w:rsidRPr="001953BB">
        <w:rPr>
          <w:rFonts w:cs="Times New Roman"/>
          <w:b/>
          <w:bCs/>
          <w:lang w:val="zh-CN" w:eastAsia="zh-CN"/>
        </w:rPr>
        <w:t>Inward Relocation:</w:t>
      </w:r>
      <w:r w:rsidRPr="001953BB">
        <w:rPr>
          <w:rFonts w:cs="Times New Roman"/>
          <w:lang w:val="zh-CN" w:eastAsia="zh-CN"/>
        </w:rPr>
        <w:t xml:space="preserve"> An inward relocation occurs in county C in year T if, in the previous year (T-1), the establishment was located in a different county within the United States. Inward relocations are further categorized into either:</w:t>
      </w:r>
    </w:p>
    <w:p w14:paraId="759C76BD" w14:textId="77777777" w:rsidR="0054107C" w:rsidRPr="001953BB" w:rsidRDefault="0054107C" w:rsidP="00961D1F">
      <w:pPr>
        <w:ind w:left="1440"/>
        <w:rPr>
          <w:rFonts w:cs="Times New Roman"/>
          <w:lang w:val="zh-CN" w:eastAsia="zh-CN"/>
        </w:rPr>
      </w:pPr>
      <w:r w:rsidRPr="001953BB">
        <w:rPr>
          <w:rFonts w:cs="Times New Roman"/>
          <w:b/>
          <w:bCs/>
          <w:lang w:val="zh-CN" w:eastAsia="zh-CN"/>
        </w:rPr>
        <w:t>2</w:t>
      </w:r>
      <w:r w:rsidRPr="001953BB">
        <w:rPr>
          <w:rFonts w:cs="Times New Roman"/>
          <w:b/>
          <w:bCs/>
          <w:lang w:eastAsia="zh-CN"/>
        </w:rPr>
        <w:t>.1)</w:t>
      </w:r>
      <w:r w:rsidRPr="001953BB">
        <w:rPr>
          <w:rFonts w:cs="Times New Roman"/>
          <w:lang w:eastAsia="zh-CN"/>
        </w:rPr>
        <w:t xml:space="preserve"> </w:t>
      </w:r>
      <w:r w:rsidRPr="001953BB">
        <w:rPr>
          <w:rFonts w:cs="Times New Roman"/>
          <w:b/>
          <w:bCs/>
          <w:lang w:val="zh-CN"/>
        </w:rPr>
        <w:t>Intra-State Inward Relocation:</w:t>
      </w:r>
      <w:r w:rsidRPr="001953BB">
        <w:rPr>
          <w:rFonts w:cs="Times New Roman"/>
          <w:lang w:val="zh-CN"/>
        </w:rPr>
        <w:t xml:space="preserve"> Occurs in county C, state S, in year T if the establishment was previously located in another county within the same state (S) in year T-1.</w:t>
      </w:r>
    </w:p>
    <w:p w14:paraId="0E842733" w14:textId="77777777" w:rsidR="0054107C" w:rsidRPr="001953BB" w:rsidRDefault="0054107C" w:rsidP="00961D1F">
      <w:pPr>
        <w:ind w:left="1440"/>
        <w:rPr>
          <w:rFonts w:cs="Times New Roman"/>
          <w:b/>
          <w:bCs/>
          <w:lang w:eastAsia="zh-CN"/>
        </w:rPr>
      </w:pPr>
      <w:r w:rsidRPr="001953BB">
        <w:rPr>
          <w:rFonts w:cs="Times New Roman"/>
          <w:b/>
          <w:bCs/>
          <w:lang w:eastAsia="zh-CN"/>
        </w:rPr>
        <w:t>2.2)</w:t>
      </w:r>
      <w:r w:rsidRPr="001953BB">
        <w:rPr>
          <w:rFonts w:cs="Times New Roman"/>
          <w:lang w:eastAsia="zh-CN"/>
        </w:rPr>
        <w:t xml:space="preserve"> </w:t>
      </w:r>
      <w:r w:rsidRPr="001953BB">
        <w:rPr>
          <w:rFonts w:cs="Times New Roman"/>
          <w:b/>
          <w:bCs/>
          <w:lang w:val="zh-CN" w:eastAsia="zh-CN"/>
        </w:rPr>
        <w:t>Inter-State Inward Relocation:</w:t>
      </w:r>
      <w:r w:rsidRPr="001953BB">
        <w:rPr>
          <w:rFonts w:cs="Times New Roman"/>
          <w:lang w:val="zh-CN" w:eastAsia="zh-CN"/>
        </w:rPr>
        <w:t xml:space="preserve"> Occurs in county C, state S, in year T if the establishment was previously located in a county within a different state from state S in year T-1.</w:t>
      </w:r>
      <w:r w:rsidRPr="001953BB">
        <w:rPr>
          <w:rFonts w:cs="Times New Roman"/>
          <w:b/>
          <w:bCs/>
          <w:lang w:eastAsia="zh-CN"/>
        </w:rPr>
        <w:t xml:space="preserve"> </w:t>
      </w:r>
    </w:p>
    <w:p w14:paraId="7EE090C9" w14:textId="77777777" w:rsidR="0054107C" w:rsidRPr="001953BB" w:rsidRDefault="0054107C" w:rsidP="00961D1F">
      <w:pPr>
        <w:numPr>
          <w:ilvl w:val="0"/>
          <w:numId w:val="11"/>
        </w:numPr>
        <w:contextualSpacing/>
        <w:rPr>
          <w:rFonts w:cs="Times New Roman"/>
          <w:kern w:val="2"/>
          <w:lang w:val="zh-CN" w:eastAsia="zh-CN"/>
        </w:rPr>
      </w:pPr>
      <w:r w:rsidRPr="001953BB">
        <w:rPr>
          <w:rFonts w:cs="Times New Roman"/>
          <w:b/>
          <w:bCs/>
          <w:kern w:val="2"/>
          <w:lang w:eastAsia="zh-CN"/>
        </w:rPr>
        <w:t>D</w:t>
      </w:r>
      <w:r w:rsidRPr="001953BB">
        <w:rPr>
          <w:rFonts w:cs="Times New Roman"/>
          <w:b/>
          <w:bCs/>
          <w:kern w:val="2"/>
          <w:lang w:val="zh-CN" w:eastAsia="zh-CN"/>
        </w:rPr>
        <w:t>eaths:</w:t>
      </w:r>
      <w:r w:rsidRPr="001953BB">
        <w:rPr>
          <w:rFonts w:cs="Times New Roman"/>
          <w:kern w:val="2"/>
          <w:lang w:val="zh-CN" w:eastAsia="zh-CN"/>
        </w:rPr>
        <w:t xml:space="preserve"> An establishment is considered "dead" in county C in year T-1 if it no longer exists anywhere in the United States by year T.</w:t>
      </w:r>
    </w:p>
    <w:p w14:paraId="081F773E" w14:textId="77777777" w:rsidR="0054107C" w:rsidRPr="001953BB" w:rsidRDefault="0054107C" w:rsidP="00961D1F">
      <w:pPr>
        <w:numPr>
          <w:ilvl w:val="0"/>
          <w:numId w:val="11"/>
        </w:numPr>
        <w:tabs>
          <w:tab w:val="left" w:pos="720"/>
        </w:tabs>
        <w:contextualSpacing/>
        <w:rPr>
          <w:rFonts w:cs="Times New Roman"/>
          <w:kern w:val="2"/>
          <w:lang w:eastAsia="zh-CN"/>
        </w:rPr>
      </w:pPr>
      <w:r w:rsidRPr="001953BB">
        <w:rPr>
          <w:rFonts w:cs="Times New Roman"/>
          <w:b/>
          <w:bCs/>
          <w:kern w:val="2"/>
          <w:lang w:val="zh-CN" w:eastAsia="zh-CN"/>
        </w:rPr>
        <w:t>Outward Relocations:</w:t>
      </w:r>
      <w:r w:rsidRPr="001953BB">
        <w:rPr>
          <w:rFonts w:cs="Times New Roman"/>
          <w:kern w:val="2"/>
          <w:lang w:val="zh-CN" w:eastAsia="zh-CN"/>
        </w:rPr>
        <w:t xml:space="preserve"> An outward relocation occurs in county C in year T-1 if, in year T, the establishment moves to a different county within the United States.</w:t>
      </w:r>
      <w:r w:rsidRPr="001953BB">
        <w:rPr>
          <w:rFonts w:cs="Times New Roman"/>
          <w:kern w:val="2"/>
          <w:lang w:eastAsia="zh-CN"/>
        </w:rPr>
        <w:t xml:space="preserve"> Outward relocations are further categorized into:</w:t>
      </w:r>
    </w:p>
    <w:p w14:paraId="3A2E41B1" w14:textId="77777777" w:rsidR="0054107C" w:rsidRPr="001953BB" w:rsidRDefault="0054107C" w:rsidP="00961D1F">
      <w:pPr>
        <w:tabs>
          <w:tab w:val="left" w:pos="720"/>
        </w:tabs>
        <w:ind w:left="1440"/>
        <w:contextualSpacing/>
        <w:rPr>
          <w:rFonts w:cs="Times New Roman"/>
          <w:kern w:val="2"/>
          <w:lang w:eastAsia="zh-CN"/>
        </w:rPr>
      </w:pPr>
      <w:r w:rsidRPr="001953BB">
        <w:rPr>
          <w:rFonts w:cs="Times New Roman"/>
          <w:b/>
          <w:bCs/>
          <w:kern w:val="2"/>
          <w:lang w:eastAsia="zh-CN"/>
        </w:rPr>
        <w:lastRenderedPageBreak/>
        <w:t>4.1) Intra-State Outward Relocation:</w:t>
      </w:r>
      <w:r w:rsidRPr="001953BB">
        <w:rPr>
          <w:rFonts w:cs="Times New Roman"/>
          <w:kern w:val="2"/>
          <w:lang w:eastAsia="zh-CN"/>
        </w:rPr>
        <w:t xml:space="preserve"> Occurs in county C, state S, in year T-1 if, by year T, the establishment relocates to another county within the same state (S).</w:t>
      </w:r>
    </w:p>
    <w:p w14:paraId="1B9AF7AC" w14:textId="77777777" w:rsidR="0054107C" w:rsidRPr="001953BB" w:rsidRDefault="0054107C" w:rsidP="00961D1F">
      <w:pPr>
        <w:tabs>
          <w:tab w:val="left" w:pos="720"/>
        </w:tabs>
        <w:ind w:left="1440"/>
        <w:contextualSpacing/>
        <w:rPr>
          <w:rFonts w:cs="Times New Roman"/>
          <w:kern w:val="2"/>
          <w:lang w:eastAsia="zh-CN"/>
        </w:rPr>
      </w:pPr>
      <w:r w:rsidRPr="001953BB">
        <w:rPr>
          <w:rFonts w:cs="Times New Roman"/>
          <w:b/>
          <w:bCs/>
          <w:kern w:val="2"/>
          <w:lang w:eastAsia="zh-CN"/>
        </w:rPr>
        <w:t>4.2) Inter-State Outward Relocation:</w:t>
      </w:r>
      <w:r w:rsidRPr="001953BB">
        <w:rPr>
          <w:rFonts w:cs="Times New Roman"/>
          <w:kern w:val="2"/>
          <w:lang w:eastAsia="zh-CN"/>
        </w:rPr>
        <w:t xml:space="preserve"> Occurs in county C, state S, in year T-1 if, by year T, the establishment relocates to a different state from state S.</w:t>
      </w:r>
    </w:p>
    <w:p w14:paraId="231C4931" w14:textId="77777777" w:rsidR="0054107C" w:rsidRPr="001953BB" w:rsidRDefault="0054107C" w:rsidP="00961D1F">
      <w:pPr>
        <w:numPr>
          <w:ilvl w:val="0"/>
          <w:numId w:val="11"/>
        </w:numPr>
        <w:tabs>
          <w:tab w:val="left" w:pos="720"/>
        </w:tabs>
        <w:rPr>
          <w:rFonts w:cs="Times New Roman"/>
          <w:lang w:val="zh-CN" w:eastAsia="zh-CN"/>
        </w:rPr>
      </w:pPr>
      <w:r w:rsidRPr="001953BB">
        <w:rPr>
          <w:rFonts w:cs="Times New Roman"/>
          <w:b/>
          <w:bCs/>
          <w:lang w:val="zh-CN" w:eastAsia="zh-CN"/>
        </w:rPr>
        <w:t>Total Entries:</w:t>
      </w:r>
      <w:r w:rsidRPr="001953BB">
        <w:rPr>
          <w:rFonts w:cs="Times New Roman"/>
          <w:lang w:val="zh-CN" w:eastAsia="zh-CN"/>
        </w:rPr>
        <w:t xml:space="preserve"> Total entries in county C for year T refer to the sum of establishment births and inward relocations (both intra-state and inter-state) into the county during that year. </w:t>
      </w:r>
    </w:p>
    <w:p w14:paraId="0F30B020" w14:textId="77777777" w:rsidR="0054107C" w:rsidRPr="001953BB" w:rsidRDefault="0054107C" w:rsidP="00961D1F">
      <w:pPr>
        <w:numPr>
          <w:ilvl w:val="0"/>
          <w:numId w:val="11"/>
        </w:numPr>
        <w:tabs>
          <w:tab w:val="left" w:pos="720"/>
        </w:tabs>
        <w:rPr>
          <w:rFonts w:cs="Times New Roman"/>
          <w:lang w:val="zh-CN" w:eastAsia="zh-CN"/>
        </w:rPr>
      </w:pPr>
      <w:r w:rsidRPr="001953BB">
        <w:rPr>
          <w:rFonts w:cs="Times New Roman"/>
          <w:b/>
          <w:bCs/>
          <w:lang w:eastAsia="zh-CN"/>
        </w:rPr>
        <w:t xml:space="preserve">Total </w:t>
      </w:r>
      <w:r w:rsidRPr="001953BB">
        <w:rPr>
          <w:rFonts w:cs="Times New Roman"/>
          <w:b/>
          <w:bCs/>
          <w:lang w:val="zh-CN" w:eastAsia="zh-CN"/>
        </w:rPr>
        <w:t>Exits:</w:t>
      </w:r>
      <w:r w:rsidRPr="001953BB">
        <w:rPr>
          <w:rFonts w:cs="Times New Roman"/>
          <w:b/>
          <w:bCs/>
          <w:lang w:eastAsia="zh-CN"/>
        </w:rPr>
        <w:t xml:space="preserve"> </w:t>
      </w:r>
      <w:r w:rsidRPr="001953BB">
        <w:rPr>
          <w:rFonts w:cs="Times New Roman"/>
          <w:lang w:val="zh-CN" w:eastAsia="zh-CN"/>
        </w:rPr>
        <w:t>Total exits in county C for year T refer to the sum of establishment deaths and outward relocations (both intra-state and inter-state) from the county during that year.</w:t>
      </w:r>
    </w:p>
    <w:p w14:paraId="59E16E80" w14:textId="686B0E48" w:rsidR="0054107C" w:rsidRPr="001953BB" w:rsidRDefault="00554455" w:rsidP="001953BB">
      <w:pPr>
        <w:pStyle w:val="Heading4"/>
      </w:pPr>
      <w:bookmarkStart w:id="49" w:name="_Toc187684969"/>
      <w:r w:rsidRPr="001953BB">
        <w:t>1.</w:t>
      </w:r>
      <w:r w:rsidR="0054107C" w:rsidRPr="001953BB">
        <w:t>3.1.1 Justification for using count versus rate outcome variables</w:t>
      </w:r>
      <w:bookmarkEnd w:id="49"/>
    </w:p>
    <w:p w14:paraId="38590B27" w14:textId="77777777" w:rsidR="0054107C" w:rsidRPr="001953BB" w:rsidRDefault="0054107C" w:rsidP="00961D1F">
      <w:pPr>
        <w:rPr>
          <w:rFonts w:cs="Times New Roman"/>
          <w:lang w:eastAsia="zh-CN"/>
        </w:rPr>
      </w:pPr>
      <w:r w:rsidRPr="001953BB">
        <w:rPr>
          <w:rFonts w:cs="Times New Roman"/>
          <w:lang w:eastAsia="zh-CN"/>
        </w:rPr>
        <w:t>The choice of using counts for establishment location outcomes—such as entries, exits, and relocations—instead of rates is deliberate and methodologically sound. Counts preserve the absolute scale of business activity, capturing critical heterogeneity across counties with varying economic sizes. Entry or exit rates may obscure meaningful variations between small rural counties and large urban centers, where the scale of activity differs despite potentially similar rates.</w:t>
      </w:r>
    </w:p>
    <w:p w14:paraId="4B0DAB2A" w14:textId="77777777" w:rsidR="0054107C" w:rsidRPr="001953BB" w:rsidRDefault="0054107C" w:rsidP="00961D1F">
      <w:pPr>
        <w:rPr>
          <w:rFonts w:cs="Times New Roman"/>
          <w:lang w:eastAsia="zh-CN"/>
        </w:rPr>
      </w:pPr>
      <w:r w:rsidRPr="001953BB">
        <w:rPr>
          <w:rFonts w:cs="Times New Roman"/>
          <w:lang w:eastAsia="zh-CN"/>
        </w:rPr>
        <w:t xml:space="preserve">Furthermore, including past establishment counts as explanatory variables accounts for path-dependence in business dynamics. For example, a high number of past exits may signal market opportunities created by reduced competition, influencing current entries. This approach ensures that the model captures the scale and feedback effects of past dynamics without the information loss associated with standardization to rates. </w:t>
      </w:r>
    </w:p>
    <w:p w14:paraId="666C357C" w14:textId="77777777" w:rsidR="0054107C" w:rsidRPr="001953BB" w:rsidRDefault="0054107C" w:rsidP="00961D1F">
      <w:pPr>
        <w:rPr>
          <w:rFonts w:cs="Times New Roman"/>
          <w:lang w:eastAsia="zh-CN"/>
        </w:rPr>
      </w:pPr>
      <w:r w:rsidRPr="001953BB">
        <w:rPr>
          <w:rFonts w:cs="Times New Roman"/>
          <w:lang w:eastAsia="zh-CN"/>
        </w:rPr>
        <w:lastRenderedPageBreak/>
        <w:t xml:space="preserve">Count outcome variables are also well-suited to the Poisson Pseudo-Maximum Likelihood (PPML) framework employed in this study, which addresses the non-negative, discrete nature of these variables while accommodating overdispersion and heteroskedasticity. </w:t>
      </w:r>
    </w:p>
    <w:p w14:paraId="604CBDF9" w14:textId="6F30BCD8" w:rsidR="0054107C" w:rsidRPr="001953BB" w:rsidRDefault="00554455" w:rsidP="001953BB">
      <w:pPr>
        <w:pStyle w:val="Heading4"/>
        <w:rPr>
          <w:rFonts w:eastAsia="Times New Roman"/>
        </w:rPr>
      </w:pPr>
      <w:bookmarkStart w:id="50" w:name="_Toc187684970"/>
      <w:r w:rsidRPr="001953BB">
        <w:t>1.</w:t>
      </w:r>
      <w:r w:rsidR="0054107C" w:rsidRPr="001953BB">
        <w:t>3.1.2 Summary Statistics of Aggregate LIS Location Outcome Variables</w:t>
      </w:r>
      <w:bookmarkEnd w:id="50"/>
    </w:p>
    <w:p w14:paraId="7B20D0D2" w14:textId="77777777" w:rsidR="0054107C" w:rsidRPr="001953BB" w:rsidRDefault="0054107C" w:rsidP="00961D1F">
      <w:pPr>
        <w:rPr>
          <w:rFonts w:cs="Times New Roman"/>
        </w:rPr>
      </w:pPr>
      <w:r w:rsidRPr="001953BB">
        <w:rPr>
          <w:rFonts w:cs="Times New Roman"/>
        </w:rPr>
        <w:t xml:space="preserve">The summary statistics for our LIS location outcome variables in </w:t>
      </w:r>
      <w:r w:rsidRPr="001953BB">
        <w:rPr>
          <w:rFonts w:cs="Times New Roman"/>
          <w:b/>
          <w:bCs/>
        </w:rPr>
        <w:t>Table A1</w:t>
      </w:r>
      <w:r w:rsidRPr="001953BB">
        <w:rPr>
          <w:rFonts w:cs="Times New Roman"/>
        </w:rPr>
        <w:t xml:space="preserve"> provide a quantitative overview of business dynamics across U.S. counties. On average, business births average 69 establishments per county annually, closely mirrored by business deaths at 67, suggesting a stable but dynamic equilibrium. Total entries and exits align closely, averaging 72 and 70 establishments per county, reinforcing the balanced nature of LIS business activity. While relocations are less frequent compared to births and deaths, with intra-state movements dominating over inter-state relocations possibly due to lower relocation costs and better regulatory familiarity within states, these trends reflect the importance of localized factors.</w:t>
      </w:r>
    </w:p>
    <w:p w14:paraId="34F8008D" w14:textId="77777777" w:rsidR="0054107C" w:rsidRPr="001953BB" w:rsidRDefault="0054107C" w:rsidP="00961D1F">
      <w:pPr>
        <w:rPr>
          <w:rFonts w:cs="Times New Roman"/>
        </w:rPr>
      </w:pPr>
      <w:r w:rsidRPr="001953BB">
        <w:rPr>
          <w:rFonts w:cs="Times New Roman"/>
        </w:rPr>
        <w:t xml:space="preserve">The high variability across counties, reflected in the range of establishment births (0 to 12,469) and deaths (0 to 13,569), underscores heterogeneity driven by regional economic conditions, resource availability, and policy effects. Relocations remain minimal, signaling that land-intensive businesses are less mobile, possibly constrained by logistical and sector-specific land dependencies. </w:t>
      </w:r>
    </w:p>
    <w:p w14:paraId="2939E93B" w14:textId="77777777" w:rsidR="0054107C" w:rsidRPr="001953BB" w:rsidRDefault="0054107C" w:rsidP="00961D1F">
      <w:pPr>
        <w:rPr>
          <w:rFonts w:cs="Times New Roman"/>
          <w:b/>
          <w:bCs/>
        </w:rPr>
      </w:pPr>
      <w:r w:rsidRPr="001953BB">
        <w:rPr>
          <w:rFonts w:cs="Times New Roman"/>
        </w:rPr>
        <w:t xml:space="preserve">We now provide additional exploratory analyses </w:t>
      </w:r>
      <w:proofErr w:type="gramStart"/>
      <w:r w:rsidRPr="001953BB">
        <w:rPr>
          <w:rFonts w:cs="Times New Roman"/>
        </w:rPr>
        <w:t>in regards to</w:t>
      </w:r>
      <w:proofErr w:type="gramEnd"/>
      <w:r w:rsidRPr="001953BB">
        <w:rPr>
          <w:rFonts w:cs="Times New Roman"/>
        </w:rPr>
        <w:t xml:space="preserve"> our location outcome variables.</w:t>
      </w:r>
    </w:p>
    <w:p w14:paraId="2DB54544" w14:textId="42CD986C" w:rsidR="0054107C" w:rsidRPr="001953BB" w:rsidRDefault="00554455" w:rsidP="001953BB">
      <w:pPr>
        <w:pStyle w:val="Heading4"/>
      </w:pPr>
      <w:bookmarkStart w:id="51" w:name="_Toc187684971"/>
      <w:r w:rsidRPr="001953BB">
        <w:t>1.</w:t>
      </w:r>
      <w:r w:rsidR="0054107C" w:rsidRPr="001953BB">
        <w:t>3.1.3 Trends in Aggregate LIS Entries and Exits</w:t>
      </w:r>
      <w:bookmarkEnd w:id="51"/>
    </w:p>
    <w:p w14:paraId="1E2F0A76" w14:textId="77777777" w:rsidR="0054107C" w:rsidRPr="001953BB" w:rsidRDefault="0054107C" w:rsidP="00961D1F">
      <w:pPr>
        <w:rPr>
          <w:rFonts w:cs="Times New Roman"/>
        </w:rPr>
      </w:pPr>
      <w:r w:rsidRPr="001953BB">
        <w:rPr>
          <w:rFonts w:cs="Times New Roman"/>
          <w:b/>
          <w:bCs/>
        </w:rPr>
        <w:t>Figure A2</w:t>
      </w:r>
      <w:r w:rsidRPr="001953BB">
        <w:rPr>
          <w:rFonts w:cs="Times New Roman"/>
        </w:rPr>
        <w:t xml:space="preserve"> shows the annual trends in LIS entries and exits reflect the sector's sensitivity to macroeconomic cycles. Periods of economic growth, such as the early 2000s, show increased entries and reduced exits. Conversely, economic downturns like the 2008 financial crisis are marked by declining entries and surging exits, highlighting the vulnerability of LIS to financial </w:t>
      </w:r>
      <w:r w:rsidRPr="001953BB">
        <w:rPr>
          <w:rFonts w:cs="Times New Roman"/>
        </w:rPr>
        <w:lastRenderedPageBreak/>
        <w:t>shocks. The negative correlation between entries and exits throughout the study period underscores the cyclical nature of LIS dynamics.</w:t>
      </w:r>
    </w:p>
    <w:p w14:paraId="0DB112A8" w14:textId="66AABDB0" w:rsidR="0054107C" w:rsidRPr="001953BB" w:rsidRDefault="00554455" w:rsidP="001953BB">
      <w:pPr>
        <w:pStyle w:val="Heading4"/>
      </w:pPr>
      <w:bookmarkStart w:id="52" w:name="_Toc187684972"/>
      <w:r w:rsidRPr="001953BB">
        <w:t>1.</w:t>
      </w:r>
      <w:r w:rsidR="0054107C" w:rsidRPr="001953BB">
        <w:t>3.1.4 Decomposition of Aggregate LIS Entries</w:t>
      </w:r>
      <w:bookmarkEnd w:id="52"/>
    </w:p>
    <w:p w14:paraId="5D257CF0" w14:textId="77777777" w:rsidR="0054107C" w:rsidRPr="001953BB" w:rsidRDefault="0054107C" w:rsidP="00961D1F">
      <w:pPr>
        <w:rPr>
          <w:rFonts w:cs="Times New Roman"/>
        </w:rPr>
      </w:pPr>
      <w:r w:rsidRPr="001953BB">
        <w:rPr>
          <w:rFonts w:cs="Times New Roman"/>
        </w:rPr>
        <w:t xml:space="preserve">In </w:t>
      </w:r>
      <w:r w:rsidRPr="001953BB">
        <w:rPr>
          <w:rFonts w:cs="Times New Roman"/>
          <w:b/>
          <w:bCs/>
        </w:rPr>
        <w:t>Figure A3</w:t>
      </w:r>
      <w:r w:rsidRPr="001953BB">
        <w:rPr>
          <w:rFonts w:cs="Times New Roman"/>
        </w:rPr>
        <w:t>, we see that births overwhelmingly drive entry trends in LIS, reflecting the importance of local entrepreneurship and regional business conditions. Intra-state and inter-state relocations remain consistently low throughout the study period, with limited mobility within states possibly due to economic and environmental constraints. Peaks in relocations, such as those observed in 2003 and 2007, likely correspond to external factors such as state-level policy changes or economic shifts.</w:t>
      </w:r>
    </w:p>
    <w:p w14:paraId="0236EF17" w14:textId="7985C64C" w:rsidR="0054107C" w:rsidRPr="001953BB" w:rsidRDefault="00554455" w:rsidP="001953BB">
      <w:pPr>
        <w:pStyle w:val="Heading4"/>
      </w:pPr>
      <w:bookmarkStart w:id="53" w:name="_Toc187684973"/>
      <w:r w:rsidRPr="001953BB">
        <w:t>1.</w:t>
      </w:r>
      <w:r w:rsidR="0054107C" w:rsidRPr="001953BB">
        <w:t>3.1.5 Decomposition of Aggregate LIS Exits</w:t>
      </w:r>
      <w:bookmarkEnd w:id="53"/>
    </w:p>
    <w:p w14:paraId="107EE80D" w14:textId="7DF012A1" w:rsidR="0054107C" w:rsidRPr="001953BB" w:rsidRDefault="0054107C" w:rsidP="00961D1F">
      <w:pPr>
        <w:rPr>
          <w:rFonts w:cs="Times New Roman"/>
        </w:rPr>
      </w:pPr>
      <w:r w:rsidRPr="001953BB">
        <w:rPr>
          <w:rFonts w:cs="Times New Roman"/>
        </w:rPr>
        <w:t xml:space="preserve">In </w:t>
      </w:r>
      <w:r w:rsidRPr="001953BB">
        <w:rPr>
          <w:rFonts w:cs="Times New Roman"/>
          <w:b/>
          <w:bCs/>
        </w:rPr>
        <w:t>Figure A4</w:t>
      </w:r>
      <w:r w:rsidRPr="001953BB">
        <w:rPr>
          <w:rFonts w:cs="Times New Roman"/>
        </w:rPr>
        <w:t>, we see that exits in the LIS are predominantly driven by business closures (deaths), which far outnumber outward relocations. Significant spikes in closures, such as those in 2003 and 2007, coincide with periods of economic strain or regulatory pressures. Intra-state and inter-state outward relocations remain low and stable, with inter-state relocations slightly more frequent. This suggests that businesses facing restrictive conditions prefer local adaptation but may relocate out of state under extreme pressures.</w:t>
      </w:r>
    </w:p>
    <w:p w14:paraId="6F98F205" w14:textId="69AE70CE" w:rsidR="0054107C" w:rsidRPr="001953BB" w:rsidRDefault="00554455" w:rsidP="00961D1F">
      <w:pPr>
        <w:pStyle w:val="Heading3"/>
      </w:pPr>
      <w:bookmarkStart w:id="54" w:name="_Toc187684974"/>
      <w:bookmarkStart w:id="55" w:name="_Toc188378982"/>
      <w:r w:rsidRPr="001953BB">
        <w:rPr>
          <w:lang w:val="en-US"/>
        </w:rPr>
        <w:t>1.</w:t>
      </w:r>
      <w:r w:rsidR="0054107C" w:rsidRPr="001953BB">
        <w:t>3.2 Aggregate LIS location dynamics and PAD coverage levels</w:t>
      </w:r>
      <w:bookmarkEnd w:id="54"/>
      <w:bookmarkEnd w:id="55"/>
    </w:p>
    <w:p w14:paraId="59899C9B" w14:textId="77777777" w:rsidR="0054107C" w:rsidRPr="001953BB" w:rsidRDefault="0054107C" w:rsidP="00961D1F">
      <w:pPr>
        <w:rPr>
          <w:rFonts w:cs="Times New Roman"/>
          <w:lang w:val="zh-CN"/>
        </w:rPr>
      </w:pPr>
      <w:r w:rsidRPr="001953BB">
        <w:rPr>
          <w:rFonts w:cs="Times New Roman"/>
          <w:lang w:val="zh-CN"/>
        </w:rPr>
        <w:t xml:space="preserve">This section </w:t>
      </w:r>
      <w:r w:rsidRPr="001953BB">
        <w:rPr>
          <w:rFonts w:cs="Times New Roman"/>
        </w:rPr>
        <w:t xml:space="preserve">describes and presents graphically </w:t>
      </w:r>
      <w:r w:rsidRPr="001953BB">
        <w:rPr>
          <w:rFonts w:cs="Times New Roman"/>
          <w:lang w:val="zh-CN"/>
        </w:rPr>
        <w:t>the relationship between PAD coverage</w:t>
      </w:r>
      <w:r w:rsidRPr="001953BB">
        <w:rPr>
          <w:rFonts w:cs="Times New Roman"/>
        </w:rPr>
        <w:t>,</w:t>
      </w:r>
      <w:r w:rsidRPr="001953BB">
        <w:rPr>
          <w:rFonts w:cs="Times New Roman"/>
          <w:lang w:val="zh-CN"/>
        </w:rPr>
        <w:t xml:space="preserve"> </w:t>
      </w:r>
      <w:r w:rsidRPr="001953BB">
        <w:rPr>
          <w:rFonts w:cs="Times New Roman"/>
        </w:rPr>
        <w:t xml:space="preserve">under the strict and broad definition, with our different aggregate </w:t>
      </w:r>
      <w:r w:rsidRPr="001953BB">
        <w:rPr>
          <w:rFonts w:cs="Times New Roman"/>
          <w:lang w:val="zh-CN"/>
        </w:rPr>
        <w:t xml:space="preserve">LIS </w:t>
      </w:r>
      <w:r w:rsidRPr="001953BB">
        <w:rPr>
          <w:rFonts w:cs="Times New Roman"/>
        </w:rPr>
        <w:t>location outcome variables</w:t>
      </w:r>
      <w:r w:rsidRPr="001953BB">
        <w:rPr>
          <w:rFonts w:cs="Times New Roman"/>
          <w:lang w:val="zh-CN"/>
        </w:rPr>
        <w:t xml:space="preserve">—entries, exits, and relocations. While the analyses presented here are descriptive, they offer key preliminary insights into </w:t>
      </w:r>
      <w:r w:rsidRPr="001953BB">
        <w:rPr>
          <w:rFonts w:cs="Times New Roman"/>
        </w:rPr>
        <w:t xml:space="preserve">the </w:t>
      </w:r>
      <w:r w:rsidRPr="001953BB">
        <w:rPr>
          <w:rFonts w:cs="Times New Roman"/>
          <w:lang w:val="zh-CN"/>
        </w:rPr>
        <w:t xml:space="preserve">potential trends and non-linear effects of PAD coverage </w:t>
      </w:r>
      <w:r w:rsidRPr="001953BB">
        <w:rPr>
          <w:rFonts w:cs="Times New Roman"/>
        </w:rPr>
        <w:t xml:space="preserve">and </w:t>
      </w:r>
      <w:r w:rsidRPr="001953BB">
        <w:rPr>
          <w:rFonts w:cs="Times New Roman"/>
          <w:lang w:val="zh-CN"/>
        </w:rPr>
        <w:t xml:space="preserve">LIS </w:t>
      </w:r>
      <w:r w:rsidRPr="001953BB">
        <w:rPr>
          <w:rFonts w:cs="Times New Roman"/>
        </w:rPr>
        <w:t>establishment location choices</w:t>
      </w:r>
      <w:r w:rsidRPr="001953BB">
        <w:rPr>
          <w:rFonts w:cs="Times New Roman"/>
          <w:lang w:val="zh-CN"/>
        </w:rPr>
        <w:t>.</w:t>
      </w:r>
    </w:p>
    <w:p w14:paraId="0F49CAA4" w14:textId="4DB2DF43" w:rsidR="0054107C" w:rsidRPr="001953BB" w:rsidRDefault="00554455" w:rsidP="001953BB">
      <w:pPr>
        <w:pStyle w:val="Heading4"/>
      </w:pPr>
      <w:bookmarkStart w:id="56" w:name="_Toc187684975"/>
      <w:r w:rsidRPr="001953BB">
        <w:lastRenderedPageBreak/>
        <w:t>1.</w:t>
      </w:r>
      <w:r w:rsidR="0054107C" w:rsidRPr="001953BB">
        <w:t>3.2.1 Aggregate LIS Entries and PAD Coverage</w:t>
      </w:r>
      <w:bookmarkEnd w:id="56"/>
    </w:p>
    <w:p w14:paraId="1CEFB160" w14:textId="576E075B" w:rsidR="0054107C" w:rsidRPr="001953BB" w:rsidRDefault="0054107C" w:rsidP="00961D1F">
      <w:pPr>
        <w:rPr>
          <w:rFonts w:cs="Times New Roman"/>
          <w:lang w:val="zh-CN" w:eastAsia="zh-CN"/>
        </w:rPr>
      </w:pPr>
      <w:r w:rsidRPr="001953BB">
        <w:rPr>
          <w:rFonts w:cs="Times New Roman"/>
          <w:b/>
          <w:bCs/>
          <w:lang w:eastAsia="zh-CN"/>
        </w:rPr>
        <w:t>Figure A5</w:t>
      </w:r>
      <w:r w:rsidRPr="001953BB">
        <w:rPr>
          <w:rFonts w:cs="Times New Roman"/>
          <w:lang w:eastAsia="zh-CN"/>
        </w:rPr>
        <w:t xml:space="preserve"> and </w:t>
      </w:r>
      <w:r w:rsidR="003D770C" w:rsidRPr="001953BB">
        <w:rPr>
          <w:rFonts w:cs="Times New Roman"/>
          <w:b/>
          <w:bCs/>
          <w:lang w:eastAsia="zh-CN"/>
        </w:rPr>
        <w:t xml:space="preserve">Figure </w:t>
      </w:r>
      <w:r w:rsidRPr="001953BB">
        <w:rPr>
          <w:rFonts w:cs="Times New Roman"/>
          <w:b/>
          <w:bCs/>
          <w:lang w:eastAsia="zh-CN"/>
        </w:rPr>
        <w:t>A6</w:t>
      </w:r>
      <w:r w:rsidRPr="001953BB">
        <w:rPr>
          <w:rFonts w:cs="Times New Roman"/>
          <w:lang w:eastAsia="zh-CN"/>
        </w:rPr>
        <w:t xml:space="preserve"> </w:t>
      </w:r>
      <w:proofErr w:type="gramStart"/>
      <w:r w:rsidRPr="001953BB">
        <w:rPr>
          <w:rFonts w:cs="Times New Roman"/>
          <w:lang w:eastAsia="zh-CN"/>
        </w:rPr>
        <w:t>presents</w:t>
      </w:r>
      <w:proofErr w:type="gramEnd"/>
      <w:r w:rsidRPr="001953BB">
        <w:rPr>
          <w:rFonts w:cs="Times New Roman"/>
          <w:lang w:eastAsia="zh-CN"/>
        </w:rPr>
        <w:t xml:space="preserve"> t</w:t>
      </w:r>
      <w:r w:rsidRPr="001953BB">
        <w:rPr>
          <w:rFonts w:cs="Times New Roman"/>
          <w:lang w:val="zh-CN" w:eastAsia="zh-CN"/>
        </w:rPr>
        <w:t xml:space="preserve">he relationship between PADs and </w:t>
      </w:r>
      <w:r w:rsidRPr="001953BB">
        <w:rPr>
          <w:rFonts w:cs="Times New Roman"/>
          <w:lang w:eastAsia="zh-CN"/>
        </w:rPr>
        <w:t xml:space="preserve">aggregate </w:t>
      </w:r>
      <w:r w:rsidRPr="001953BB">
        <w:rPr>
          <w:rFonts w:cs="Times New Roman"/>
          <w:lang w:val="zh-CN" w:eastAsia="zh-CN"/>
        </w:rPr>
        <w:t>LIS entries</w:t>
      </w:r>
      <w:r w:rsidRPr="001953BB">
        <w:rPr>
          <w:rFonts w:cs="Times New Roman"/>
          <w:lang w:eastAsia="zh-CN"/>
        </w:rPr>
        <w:t>,</w:t>
      </w:r>
      <w:r w:rsidRPr="001953BB">
        <w:rPr>
          <w:rFonts w:cs="Times New Roman"/>
          <w:lang w:val="zh-CN" w:eastAsia="zh-CN"/>
        </w:rPr>
        <w:t xml:space="preserve"> suggest</w:t>
      </w:r>
      <w:proofErr w:type="spellStart"/>
      <w:r w:rsidRPr="001953BB">
        <w:rPr>
          <w:rFonts w:cs="Times New Roman"/>
          <w:lang w:eastAsia="zh-CN"/>
        </w:rPr>
        <w:t>ing</w:t>
      </w:r>
      <w:proofErr w:type="spellEnd"/>
      <w:r w:rsidRPr="001953BB">
        <w:rPr>
          <w:rFonts w:cs="Times New Roman"/>
          <w:lang w:val="zh-CN" w:eastAsia="zh-CN"/>
        </w:rPr>
        <w:t xml:space="preserve"> potential non-linear effects</w:t>
      </w:r>
      <w:r w:rsidRPr="001953BB">
        <w:rPr>
          <w:rFonts w:cs="Times New Roman"/>
          <w:lang w:eastAsia="zh-CN"/>
        </w:rPr>
        <w:t xml:space="preserve">. </w:t>
      </w:r>
      <w:r w:rsidRPr="001953BB">
        <w:rPr>
          <w:rFonts w:cs="Times New Roman"/>
          <w:lang w:val="zh-CN" w:eastAsia="zh-CN"/>
        </w:rPr>
        <w:t xml:space="preserve">Across all PAD types, </w:t>
      </w:r>
      <w:r w:rsidRPr="001953BB">
        <w:rPr>
          <w:rFonts w:cs="Times New Roman"/>
          <w:lang w:eastAsia="zh-CN"/>
        </w:rPr>
        <w:t xml:space="preserve">as shown in </w:t>
      </w:r>
      <w:r w:rsidRPr="001953BB">
        <w:rPr>
          <w:rFonts w:cs="Times New Roman"/>
          <w:b/>
          <w:bCs/>
          <w:lang w:eastAsia="zh-CN"/>
        </w:rPr>
        <w:t>Figure A5</w:t>
      </w:r>
      <w:r w:rsidRPr="001953BB">
        <w:rPr>
          <w:rFonts w:cs="Times New Roman"/>
          <w:lang w:eastAsia="zh-CN"/>
        </w:rPr>
        <w:t xml:space="preserve">, </w:t>
      </w:r>
      <w:r w:rsidRPr="001953BB">
        <w:rPr>
          <w:rFonts w:cs="Times New Roman"/>
          <w:lang w:val="zh-CN" w:eastAsia="zh-CN"/>
        </w:rPr>
        <w:t xml:space="preserve">establishment entries decline with increasing PAD coverage, particularly up to 50%, </w:t>
      </w:r>
      <w:r w:rsidRPr="001953BB">
        <w:rPr>
          <w:rFonts w:cs="Times New Roman"/>
          <w:lang w:eastAsia="zh-CN"/>
        </w:rPr>
        <w:t xml:space="preserve">possibly </w:t>
      </w:r>
      <w:r w:rsidRPr="001953BB">
        <w:rPr>
          <w:rFonts w:cs="Times New Roman"/>
          <w:lang w:val="zh-CN" w:eastAsia="zh-CN"/>
        </w:rPr>
        <w:t>reflecting the challenges of operating under restricted land use. A slight increase is observed between 50% and 70% coverage, followed by another decline at higher PAD levels.</w:t>
      </w:r>
      <w:r w:rsidRPr="001953BB">
        <w:rPr>
          <w:rFonts w:cs="Times New Roman"/>
          <w:lang w:eastAsia="zh-CN"/>
        </w:rPr>
        <w:t xml:space="preserve"> In </w:t>
      </w:r>
      <w:r w:rsidRPr="001953BB">
        <w:rPr>
          <w:rFonts w:cs="Times New Roman"/>
          <w:b/>
          <w:bCs/>
          <w:lang w:eastAsia="zh-CN"/>
        </w:rPr>
        <w:t>Figure A6</w:t>
      </w:r>
      <w:r w:rsidRPr="001953BB">
        <w:rPr>
          <w:rFonts w:cs="Times New Roman"/>
          <w:lang w:eastAsia="zh-CN"/>
        </w:rPr>
        <w:t xml:space="preserve">, we see that </w:t>
      </w:r>
      <w:r w:rsidRPr="001953BB">
        <w:rPr>
          <w:rFonts w:cs="Times New Roman"/>
          <w:lang w:val="zh-CN" w:eastAsia="zh-CN"/>
        </w:rPr>
        <w:t xml:space="preserve">Stricter PADs (GAP Status 1 and 2) show a sharper decline in entries, with sparse activity above 20% coverage. These findings </w:t>
      </w:r>
      <w:r w:rsidRPr="001953BB">
        <w:rPr>
          <w:rFonts w:cs="Times New Roman"/>
          <w:lang w:eastAsia="zh-CN"/>
        </w:rPr>
        <w:t xml:space="preserve">possibly </w:t>
      </w:r>
      <w:r w:rsidRPr="001953BB">
        <w:rPr>
          <w:rFonts w:cs="Times New Roman"/>
          <w:lang w:val="zh-CN" w:eastAsia="zh-CN"/>
        </w:rPr>
        <w:t xml:space="preserve">indicate that higher conservation stringency </w:t>
      </w:r>
      <w:r w:rsidRPr="001953BB">
        <w:rPr>
          <w:rFonts w:cs="Times New Roman"/>
          <w:lang w:eastAsia="zh-CN"/>
        </w:rPr>
        <w:t xml:space="preserve">may </w:t>
      </w:r>
      <w:r w:rsidRPr="001953BB">
        <w:rPr>
          <w:rFonts w:cs="Times New Roman"/>
          <w:lang w:val="zh-CN" w:eastAsia="zh-CN"/>
        </w:rPr>
        <w:t>pose additional barriers to new business formation.</w:t>
      </w:r>
    </w:p>
    <w:p w14:paraId="32746167" w14:textId="4C19814F" w:rsidR="0054107C" w:rsidRPr="001953BB" w:rsidRDefault="00554455" w:rsidP="001953BB">
      <w:pPr>
        <w:pStyle w:val="Heading4"/>
      </w:pPr>
      <w:bookmarkStart w:id="57" w:name="_Toc187684976"/>
      <w:r w:rsidRPr="001953BB">
        <w:t>1.</w:t>
      </w:r>
      <w:r w:rsidR="0054107C" w:rsidRPr="001953BB">
        <w:t>3.2.2 Aggregate LIS Exits and PAD Coverage</w:t>
      </w:r>
      <w:bookmarkEnd w:id="57"/>
    </w:p>
    <w:p w14:paraId="35C988BB" w14:textId="00EE6B66" w:rsidR="0054107C" w:rsidRPr="001953BB" w:rsidRDefault="0054107C" w:rsidP="00961D1F">
      <w:pPr>
        <w:rPr>
          <w:rFonts w:cs="Times New Roman"/>
          <w:lang w:val="zh-CN" w:eastAsia="zh-CN"/>
        </w:rPr>
      </w:pPr>
      <w:r w:rsidRPr="001953BB">
        <w:rPr>
          <w:rFonts w:cs="Times New Roman"/>
          <w:lang w:eastAsia="zh-CN"/>
        </w:rPr>
        <w:t xml:space="preserve">From </w:t>
      </w:r>
      <w:r w:rsidRPr="001953BB">
        <w:rPr>
          <w:rFonts w:cs="Times New Roman"/>
          <w:b/>
          <w:bCs/>
          <w:lang w:eastAsia="zh-CN"/>
        </w:rPr>
        <w:t>Figure A7</w:t>
      </w:r>
      <w:r w:rsidRPr="001953BB">
        <w:rPr>
          <w:rFonts w:cs="Times New Roman"/>
          <w:lang w:eastAsia="zh-CN"/>
        </w:rPr>
        <w:t xml:space="preserve">, and </w:t>
      </w:r>
      <w:r w:rsidR="003D770C" w:rsidRPr="001953BB">
        <w:rPr>
          <w:rFonts w:cs="Times New Roman"/>
          <w:b/>
          <w:bCs/>
          <w:lang w:eastAsia="zh-CN"/>
        </w:rPr>
        <w:t xml:space="preserve">Figure </w:t>
      </w:r>
      <w:r w:rsidRPr="001953BB">
        <w:rPr>
          <w:rFonts w:cs="Times New Roman"/>
          <w:b/>
          <w:bCs/>
          <w:lang w:eastAsia="zh-CN"/>
        </w:rPr>
        <w:t>A8</w:t>
      </w:r>
      <w:r w:rsidRPr="001953BB">
        <w:rPr>
          <w:rFonts w:cs="Times New Roman"/>
          <w:lang w:eastAsia="zh-CN"/>
        </w:rPr>
        <w:t>, under each PAD definition, we observe e</w:t>
      </w:r>
      <w:r w:rsidRPr="001953BB">
        <w:rPr>
          <w:rFonts w:cs="Times New Roman"/>
          <w:lang w:val="zh-CN" w:eastAsia="zh-CN"/>
        </w:rPr>
        <w:t xml:space="preserve">xits </w:t>
      </w:r>
      <w:r w:rsidRPr="001953BB">
        <w:rPr>
          <w:rFonts w:cs="Times New Roman"/>
          <w:lang w:eastAsia="zh-CN"/>
        </w:rPr>
        <w:t xml:space="preserve">to be </w:t>
      </w:r>
      <w:r w:rsidRPr="001953BB">
        <w:rPr>
          <w:rFonts w:cs="Times New Roman"/>
          <w:lang w:val="zh-CN" w:eastAsia="zh-CN"/>
        </w:rPr>
        <w:t>concentrated at low PAD coverage levels and generally decline as PAD coverage increases</w:t>
      </w:r>
      <w:r w:rsidRPr="001953BB">
        <w:rPr>
          <w:rFonts w:cs="Times New Roman"/>
          <w:lang w:eastAsia="zh-CN"/>
        </w:rPr>
        <w:t xml:space="preserve">. </w:t>
      </w:r>
      <w:r w:rsidRPr="001953BB">
        <w:rPr>
          <w:rFonts w:cs="Times New Roman"/>
          <w:lang w:val="zh-CN" w:eastAsia="zh-CN"/>
        </w:rPr>
        <w:t xml:space="preserve">Across all PAD types, </w:t>
      </w:r>
      <w:r w:rsidRPr="001953BB">
        <w:rPr>
          <w:rFonts w:cs="Times New Roman"/>
          <w:lang w:eastAsia="zh-CN"/>
        </w:rPr>
        <w:t xml:space="preserve">as shown in </w:t>
      </w:r>
      <w:r w:rsidRPr="001953BB">
        <w:rPr>
          <w:rFonts w:cs="Times New Roman"/>
          <w:b/>
          <w:bCs/>
          <w:lang w:val="zh-CN" w:eastAsia="zh-CN"/>
        </w:rPr>
        <w:t xml:space="preserve">Figure </w:t>
      </w:r>
      <w:r w:rsidRPr="001953BB">
        <w:rPr>
          <w:rFonts w:cs="Times New Roman"/>
          <w:b/>
          <w:bCs/>
          <w:lang w:eastAsia="zh-CN"/>
        </w:rPr>
        <w:t>A7</w:t>
      </w:r>
      <w:r w:rsidRPr="001953BB">
        <w:rPr>
          <w:rFonts w:cs="Times New Roman"/>
          <w:lang w:eastAsia="zh-CN"/>
        </w:rPr>
        <w:t xml:space="preserve">, </w:t>
      </w:r>
      <w:r w:rsidRPr="001953BB">
        <w:rPr>
          <w:rFonts w:cs="Times New Roman"/>
          <w:lang w:val="zh-CN" w:eastAsia="zh-CN"/>
        </w:rPr>
        <w:t>exits become less frequent at higher PAD percentages.</w:t>
      </w:r>
      <w:r w:rsidRPr="001953BB">
        <w:rPr>
          <w:rFonts w:cs="Times New Roman"/>
          <w:lang w:eastAsia="zh-CN"/>
        </w:rPr>
        <w:t xml:space="preserve"> </w:t>
      </w:r>
      <w:r w:rsidRPr="001953BB">
        <w:rPr>
          <w:rFonts w:cs="Times New Roman"/>
          <w:lang w:val="zh-CN" w:eastAsia="zh-CN"/>
        </w:rPr>
        <w:t xml:space="preserve">Stricter PADs reinforce this trend, </w:t>
      </w:r>
      <w:r w:rsidRPr="001953BB">
        <w:rPr>
          <w:rFonts w:cs="Times New Roman"/>
          <w:lang w:eastAsia="zh-CN"/>
        </w:rPr>
        <w:t xml:space="preserve">as shown in </w:t>
      </w:r>
      <w:r w:rsidRPr="001953BB">
        <w:rPr>
          <w:rFonts w:cs="Times New Roman"/>
          <w:b/>
          <w:bCs/>
          <w:lang w:val="zh-CN" w:eastAsia="zh-CN"/>
        </w:rPr>
        <w:t xml:space="preserve">Figure </w:t>
      </w:r>
      <w:r w:rsidRPr="001953BB">
        <w:rPr>
          <w:rFonts w:cs="Times New Roman"/>
          <w:b/>
          <w:bCs/>
          <w:lang w:eastAsia="zh-CN"/>
        </w:rPr>
        <w:t>A8</w:t>
      </w:r>
      <w:r w:rsidRPr="001953BB">
        <w:rPr>
          <w:rFonts w:cs="Times New Roman"/>
          <w:lang w:val="zh-CN" w:eastAsia="zh-CN"/>
        </w:rPr>
        <w:t xml:space="preserve">. Businesses may </w:t>
      </w:r>
      <w:r w:rsidRPr="001953BB">
        <w:rPr>
          <w:rFonts w:cs="Times New Roman"/>
          <w:lang w:eastAsia="zh-CN"/>
        </w:rPr>
        <w:t xml:space="preserve">be thought to be </w:t>
      </w:r>
      <w:r w:rsidRPr="001953BB">
        <w:rPr>
          <w:rFonts w:cs="Times New Roman"/>
          <w:lang w:val="zh-CN" w:eastAsia="zh-CN"/>
        </w:rPr>
        <w:t>adapt</w:t>
      </w:r>
      <w:proofErr w:type="spellStart"/>
      <w:r w:rsidRPr="001953BB">
        <w:rPr>
          <w:rFonts w:cs="Times New Roman"/>
          <w:lang w:eastAsia="zh-CN"/>
        </w:rPr>
        <w:t>ing</w:t>
      </w:r>
      <w:proofErr w:type="spellEnd"/>
      <w:r w:rsidRPr="001953BB">
        <w:rPr>
          <w:rFonts w:cs="Times New Roman"/>
          <w:lang w:val="zh-CN" w:eastAsia="zh-CN"/>
        </w:rPr>
        <w:t xml:space="preserve"> to stricter conservation measures or benefit from the enhanced predictability of protected environments.</w:t>
      </w:r>
    </w:p>
    <w:p w14:paraId="0F8F3F62" w14:textId="727C61C8" w:rsidR="0054107C" w:rsidRPr="001953BB" w:rsidRDefault="00554455" w:rsidP="001953BB">
      <w:pPr>
        <w:pStyle w:val="Heading4"/>
      </w:pPr>
      <w:bookmarkStart w:id="58" w:name="_Toc187684977"/>
      <w:r w:rsidRPr="001953BB">
        <w:t>1.</w:t>
      </w:r>
      <w:r w:rsidR="0054107C" w:rsidRPr="001953BB">
        <w:t>3.2.3 Aggregate LIS Relocations and PAD Coverage</w:t>
      </w:r>
      <w:bookmarkEnd w:id="58"/>
    </w:p>
    <w:p w14:paraId="057F5717" w14:textId="2F43F4D5" w:rsidR="0054107C" w:rsidRPr="001953BB" w:rsidRDefault="0054107C" w:rsidP="00961D1F">
      <w:pPr>
        <w:rPr>
          <w:rFonts w:cs="Times New Roman"/>
          <w:b/>
          <w:bCs/>
          <w:lang w:val="zh-CN" w:eastAsia="zh-CN"/>
        </w:rPr>
      </w:pPr>
      <w:r w:rsidRPr="001953BB">
        <w:rPr>
          <w:rFonts w:eastAsia="Times New Roman" w:cs="Times New Roman"/>
          <w:lang w:eastAsia="zh-CN"/>
        </w:rPr>
        <w:t xml:space="preserve">As shown in </w:t>
      </w:r>
      <w:r w:rsidRPr="001953BB">
        <w:rPr>
          <w:rFonts w:cs="Times New Roman"/>
          <w:b/>
          <w:bCs/>
          <w:lang w:val="zh-CN" w:eastAsia="zh-CN"/>
        </w:rPr>
        <w:t xml:space="preserve">Figure </w:t>
      </w:r>
      <w:r w:rsidRPr="001953BB">
        <w:rPr>
          <w:rFonts w:cs="Times New Roman"/>
          <w:b/>
          <w:bCs/>
          <w:lang w:eastAsia="zh-CN"/>
        </w:rPr>
        <w:t>A9</w:t>
      </w:r>
      <w:r w:rsidRPr="001953BB">
        <w:rPr>
          <w:rFonts w:cs="Times New Roman"/>
          <w:lang w:eastAsia="zh-CN"/>
        </w:rPr>
        <w:t>, under the broad PAD definition, w</w:t>
      </w:r>
      <w:r w:rsidRPr="001953BB">
        <w:rPr>
          <w:rFonts w:eastAsia="Times New Roman" w:cs="Times New Roman"/>
          <w:lang w:eastAsia="zh-CN"/>
        </w:rPr>
        <w:t xml:space="preserve">e find </w:t>
      </w:r>
      <w:proofErr w:type="spellStart"/>
      <w:r w:rsidRPr="001953BB">
        <w:rPr>
          <w:rFonts w:eastAsia="Times New Roman" w:cs="Times New Roman"/>
          <w:lang w:eastAsia="zh-CN"/>
        </w:rPr>
        <w:t>i</w:t>
      </w:r>
      <w:proofErr w:type="spellEnd"/>
      <w:r w:rsidRPr="001953BB">
        <w:rPr>
          <w:rFonts w:eastAsia="Times New Roman" w:cs="Times New Roman"/>
          <w:lang w:val="zh-CN" w:eastAsia="zh-CN"/>
        </w:rPr>
        <w:t>nward relocations</w:t>
      </w:r>
      <w:r w:rsidRPr="001953BB">
        <w:rPr>
          <w:rFonts w:cs="Times New Roman"/>
          <w:lang w:val="zh-CN" w:eastAsia="zh-CN"/>
        </w:rPr>
        <w:t xml:space="preserve"> </w:t>
      </w:r>
      <w:r w:rsidRPr="001953BB">
        <w:rPr>
          <w:rFonts w:cs="Times New Roman"/>
          <w:lang w:eastAsia="zh-CN"/>
        </w:rPr>
        <w:t xml:space="preserve">to </w:t>
      </w:r>
      <w:r w:rsidRPr="001953BB">
        <w:rPr>
          <w:rFonts w:cs="Times New Roman"/>
          <w:lang w:val="zh-CN" w:eastAsia="zh-CN"/>
        </w:rPr>
        <w:t xml:space="preserve">generally decline as PAD coverage </w:t>
      </w:r>
      <w:r w:rsidRPr="001953BB">
        <w:rPr>
          <w:rFonts w:cs="Times New Roman"/>
          <w:lang w:eastAsia="zh-CN"/>
        </w:rPr>
        <w:t xml:space="preserve">levels </w:t>
      </w:r>
      <w:proofErr w:type="gramStart"/>
      <w:r w:rsidRPr="001953BB">
        <w:rPr>
          <w:rFonts w:cs="Times New Roman"/>
          <w:lang w:val="zh-CN" w:eastAsia="zh-CN"/>
        </w:rPr>
        <w:t>increases</w:t>
      </w:r>
      <w:proofErr w:type="gramEnd"/>
      <w:r w:rsidRPr="001953BB">
        <w:rPr>
          <w:rFonts w:cs="Times New Roman"/>
          <w:lang w:val="zh-CN" w:eastAsia="zh-CN"/>
        </w:rPr>
        <w:t xml:space="preserve">. </w:t>
      </w:r>
      <w:r w:rsidRPr="001953BB">
        <w:rPr>
          <w:rFonts w:cs="Times New Roman"/>
          <w:lang w:eastAsia="zh-CN"/>
        </w:rPr>
        <w:t xml:space="preserve">In </w:t>
      </w:r>
      <w:r w:rsidRPr="001953BB">
        <w:rPr>
          <w:rFonts w:cs="Times New Roman"/>
          <w:b/>
          <w:bCs/>
          <w:lang w:val="zh-CN" w:eastAsia="zh-CN"/>
        </w:rPr>
        <w:t xml:space="preserve">Figure </w:t>
      </w:r>
      <w:r w:rsidRPr="001953BB">
        <w:rPr>
          <w:rFonts w:cs="Times New Roman"/>
          <w:b/>
          <w:bCs/>
          <w:lang w:eastAsia="zh-CN"/>
        </w:rPr>
        <w:t>A</w:t>
      </w:r>
      <w:r w:rsidRPr="001953BB">
        <w:rPr>
          <w:rFonts w:cs="Times New Roman"/>
          <w:b/>
          <w:bCs/>
          <w:lang w:val="zh-CN" w:eastAsia="zh-CN"/>
        </w:rPr>
        <w:t>1</w:t>
      </w:r>
      <w:r w:rsidRPr="001953BB">
        <w:rPr>
          <w:rFonts w:cs="Times New Roman"/>
          <w:b/>
          <w:bCs/>
          <w:lang w:eastAsia="zh-CN"/>
        </w:rPr>
        <w:t>0</w:t>
      </w:r>
      <w:r w:rsidRPr="001953BB">
        <w:rPr>
          <w:rFonts w:cs="Times New Roman"/>
          <w:lang w:eastAsia="zh-CN"/>
        </w:rPr>
        <w:t>, s</w:t>
      </w:r>
      <w:r w:rsidRPr="001953BB">
        <w:rPr>
          <w:rFonts w:cs="Times New Roman"/>
          <w:lang w:val="zh-CN" w:eastAsia="zh-CN"/>
        </w:rPr>
        <w:t xml:space="preserve">tricter PADs show an even sharper drop-off at coverage levels above </w:t>
      </w:r>
      <w:r w:rsidRPr="001953BB">
        <w:rPr>
          <w:rFonts w:eastAsia="Times New Roman" w:cs="Times New Roman"/>
          <w:lang w:val="zh-CN" w:eastAsia="zh-CN"/>
        </w:rPr>
        <w:t>20%</w:t>
      </w:r>
      <w:r w:rsidRPr="001953BB">
        <w:rPr>
          <w:rFonts w:eastAsia="Times New Roman" w:cs="Times New Roman"/>
          <w:b/>
          <w:bCs/>
          <w:lang w:val="zh-CN" w:eastAsia="zh-CN"/>
        </w:rPr>
        <w:t>,</w:t>
      </w:r>
      <w:r w:rsidRPr="001953BB">
        <w:rPr>
          <w:rFonts w:cs="Times New Roman"/>
          <w:lang w:val="zh-CN" w:eastAsia="zh-CN"/>
        </w:rPr>
        <w:t xml:space="preserve"> reflecting potential deterrents for relocating businesses.</w:t>
      </w:r>
      <w:r w:rsidRPr="001953BB">
        <w:rPr>
          <w:rFonts w:cs="Times New Roman"/>
          <w:lang w:eastAsia="zh-CN"/>
        </w:rPr>
        <w:t xml:space="preserve"> </w:t>
      </w:r>
      <w:r w:rsidRPr="001953BB">
        <w:rPr>
          <w:rFonts w:eastAsia="Times New Roman" w:cs="Times New Roman"/>
          <w:lang w:eastAsia="zh-CN"/>
        </w:rPr>
        <w:t xml:space="preserve">Under the broad PAD definitions, as shown in </w:t>
      </w:r>
      <w:r w:rsidRPr="001953BB">
        <w:rPr>
          <w:rFonts w:cs="Times New Roman"/>
          <w:b/>
          <w:bCs/>
          <w:lang w:val="zh-CN" w:eastAsia="zh-CN"/>
        </w:rPr>
        <w:t xml:space="preserve">Figure </w:t>
      </w:r>
      <w:r w:rsidRPr="001953BB">
        <w:rPr>
          <w:rFonts w:cs="Times New Roman"/>
          <w:b/>
          <w:bCs/>
          <w:lang w:eastAsia="zh-CN"/>
        </w:rPr>
        <w:t>A</w:t>
      </w:r>
      <w:r w:rsidRPr="001953BB">
        <w:rPr>
          <w:rFonts w:cs="Times New Roman"/>
          <w:b/>
          <w:bCs/>
          <w:lang w:val="zh-CN" w:eastAsia="zh-CN"/>
        </w:rPr>
        <w:t>1</w:t>
      </w:r>
      <w:r w:rsidRPr="001953BB">
        <w:rPr>
          <w:rFonts w:cs="Times New Roman"/>
          <w:b/>
          <w:bCs/>
          <w:lang w:eastAsia="zh-CN"/>
        </w:rPr>
        <w:t>1</w:t>
      </w:r>
      <w:r w:rsidRPr="001953BB">
        <w:rPr>
          <w:rFonts w:cs="Times New Roman"/>
          <w:lang w:eastAsia="zh-CN"/>
        </w:rPr>
        <w:t>, o</w:t>
      </w:r>
      <w:r w:rsidRPr="001953BB">
        <w:rPr>
          <w:rFonts w:eastAsia="Times New Roman" w:cs="Times New Roman"/>
          <w:lang w:val="zh-CN" w:eastAsia="zh-CN"/>
        </w:rPr>
        <w:t>utward relocations</w:t>
      </w:r>
      <w:r w:rsidRPr="001953BB">
        <w:rPr>
          <w:rFonts w:cs="Times New Roman"/>
          <w:lang w:val="zh-CN" w:eastAsia="zh-CN"/>
        </w:rPr>
        <w:t xml:space="preserve"> decline slightly with higher PAD coverage. </w:t>
      </w:r>
      <w:r w:rsidRPr="001953BB">
        <w:rPr>
          <w:rFonts w:cs="Times New Roman"/>
          <w:lang w:eastAsia="zh-CN"/>
        </w:rPr>
        <w:t xml:space="preserve">In </w:t>
      </w:r>
      <w:r w:rsidR="003D770C" w:rsidRPr="001953BB">
        <w:rPr>
          <w:rFonts w:cs="Times New Roman"/>
          <w:b/>
          <w:bCs/>
          <w:lang w:eastAsia="zh-CN"/>
        </w:rPr>
        <w:t>F</w:t>
      </w:r>
      <w:r w:rsidRPr="001953BB">
        <w:rPr>
          <w:rFonts w:cs="Times New Roman"/>
          <w:b/>
          <w:bCs/>
          <w:lang w:eastAsia="zh-CN"/>
        </w:rPr>
        <w:t>igure A12</w:t>
      </w:r>
      <w:r w:rsidRPr="001953BB">
        <w:rPr>
          <w:rFonts w:cs="Times New Roman"/>
          <w:lang w:eastAsia="zh-CN"/>
        </w:rPr>
        <w:t>, we observe that s</w:t>
      </w:r>
      <w:r w:rsidRPr="001953BB">
        <w:rPr>
          <w:rFonts w:cs="Times New Roman"/>
          <w:lang w:val="zh-CN" w:eastAsia="zh-CN"/>
        </w:rPr>
        <w:t xml:space="preserve">tricter PADs reduce outward movements more significantly, suggesting that stringent protections may anchor </w:t>
      </w:r>
      <w:r w:rsidRPr="001953BB">
        <w:rPr>
          <w:rFonts w:cs="Times New Roman"/>
          <w:lang w:eastAsia="zh-CN"/>
        </w:rPr>
        <w:t>establishments</w:t>
      </w:r>
      <w:r w:rsidRPr="001953BB">
        <w:rPr>
          <w:rFonts w:cs="Times New Roman"/>
          <w:lang w:val="zh-CN" w:eastAsia="zh-CN"/>
        </w:rPr>
        <w:t>.</w:t>
      </w:r>
      <w:r w:rsidRPr="001953BB">
        <w:rPr>
          <w:rFonts w:cs="Times New Roman"/>
          <w:lang w:eastAsia="zh-CN"/>
        </w:rPr>
        <w:t xml:space="preserve"> </w:t>
      </w:r>
      <w:bookmarkStart w:id="59" w:name="_Toc180787815"/>
    </w:p>
    <w:p w14:paraId="013CC196" w14:textId="58F16FB9" w:rsidR="0054107C" w:rsidRPr="001953BB" w:rsidRDefault="00554455" w:rsidP="00961D1F">
      <w:pPr>
        <w:pStyle w:val="Heading3"/>
      </w:pPr>
      <w:bookmarkStart w:id="60" w:name="_Toc187684978"/>
      <w:bookmarkStart w:id="61" w:name="_Toc188378983"/>
      <w:r w:rsidRPr="001953BB">
        <w:rPr>
          <w:lang w:val="en-US"/>
        </w:rPr>
        <w:lastRenderedPageBreak/>
        <w:t>1.</w:t>
      </w:r>
      <w:r w:rsidR="0054107C" w:rsidRPr="001953BB">
        <w:t>3.3 Explanatory Variables and Summary Statistics</w:t>
      </w:r>
      <w:bookmarkEnd w:id="59"/>
      <w:bookmarkEnd w:id="60"/>
      <w:bookmarkEnd w:id="61"/>
    </w:p>
    <w:p w14:paraId="12DB3BC3" w14:textId="77777777" w:rsidR="0054107C" w:rsidRPr="001953BB" w:rsidRDefault="0054107C" w:rsidP="00961D1F">
      <w:pPr>
        <w:rPr>
          <w:rFonts w:cs="Times New Roman"/>
          <w:lang w:val="zh-CN" w:eastAsia="zh-CN"/>
        </w:rPr>
      </w:pPr>
      <w:r w:rsidRPr="001953BB">
        <w:rPr>
          <w:rFonts w:cs="Times New Roman"/>
          <w:lang w:val="zh-CN"/>
        </w:rPr>
        <w:t>The choice of explanatory variables in this study is guided by foundational works in industrial location choice and environmental federalism, including List (2001), Greenstone (2002), and Becker and Henderson (2000), which emphasize the importance of local economic, demographic, and regulatory factors in shaping establishment dynamics.</w:t>
      </w:r>
      <w:r w:rsidRPr="001953BB">
        <w:rPr>
          <w:rFonts w:cs="Times New Roman"/>
        </w:rPr>
        <w:t xml:space="preserve"> </w:t>
      </w:r>
      <w:r w:rsidRPr="001953BB">
        <w:rPr>
          <w:rFonts w:cs="Times New Roman"/>
          <w:lang w:val="zh-CN"/>
        </w:rPr>
        <w:t>In addition to the main explanatory variables, selected lagged versions of certain outcome variables—such as births, deaths, inward relocations, and outward relocations—are included in specific regression models to account for intertemporal dependencies. These lagged variables capture the influence of prior market dynamics on current outcomes and are described further in Section 4.</w:t>
      </w:r>
    </w:p>
    <w:p w14:paraId="7F905804" w14:textId="77777777" w:rsidR="0054107C" w:rsidRPr="001953BB" w:rsidRDefault="0054107C" w:rsidP="00961D1F">
      <w:pPr>
        <w:rPr>
          <w:rFonts w:eastAsia="Times New Roman" w:cs="Times New Roman"/>
          <w:i/>
          <w:iCs/>
          <w:lang w:val="zh-CN"/>
        </w:rPr>
      </w:pPr>
      <w:r w:rsidRPr="001953BB">
        <w:rPr>
          <w:rFonts w:cs="Times New Roman"/>
          <w:b/>
          <w:bCs/>
          <w:lang w:val="zh-CN"/>
        </w:rPr>
        <w:t xml:space="preserve">Table </w:t>
      </w:r>
      <w:r w:rsidRPr="001953BB">
        <w:rPr>
          <w:rFonts w:cs="Times New Roman"/>
          <w:b/>
          <w:bCs/>
        </w:rPr>
        <w:t>A</w:t>
      </w:r>
      <w:r w:rsidRPr="001953BB">
        <w:rPr>
          <w:rFonts w:cs="Times New Roman"/>
          <w:b/>
          <w:bCs/>
          <w:lang w:val="zh-CN"/>
        </w:rPr>
        <w:t>3</w:t>
      </w:r>
      <w:r w:rsidRPr="001953BB">
        <w:rPr>
          <w:rFonts w:cs="Times New Roman"/>
          <w:lang w:val="zh-CN"/>
        </w:rPr>
        <w:t xml:space="preserve"> </w:t>
      </w:r>
      <w:r w:rsidRPr="001953BB">
        <w:rPr>
          <w:rFonts w:cs="Times New Roman"/>
        </w:rPr>
        <w:t xml:space="preserve">provides the </w:t>
      </w:r>
      <w:r w:rsidRPr="001953BB">
        <w:rPr>
          <w:rFonts w:cs="Times New Roman"/>
          <w:lang w:val="zh-CN"/>
        </w:rPr>
        <w:t>summar</w:t>
      </w:r>
      <w:r w:rsidRPr="001953BB">
        <w:rPr>
          <w:rFonts w:cs="Times New Roman"/>
        </w:rPr>
        <w:t>y statistics on the</w:t>
      </w:r>
      <w:r w:rsidRPr="001953BB">
        <w:rPr>
          <w:rFonts w:cs="Times New Roman"/>
          <w:lang w:val="zh-CN"/>
        </w:rPr>
        <w:t xml:space="preserve"> key explanatory variables used in the analysis, across U.S. counties from 1998 to 2018. </w:t>
      </w:r>
    </w:p>
    <w:p w14:paraId="5F8D954A" w14:textId="4504A63C" w:rsidR="0054107C" w:rsidRPr="001953BB" w:rsidRDefault="00554455" w:rsidP="001953BB">
      <w:pPr>
        <w:pStyle w:val="Heading4"/>
      </w:pPr>
      <w:bookmarkStart w:id="62" w:name="_Toc187684979"/>
      <w:r w:rsidRPr="001953BB">
        <w:t>1.</w:t>
      </w:r>
      <w:r w:rsidR="0054107C" w:rsidRPr="001953BB">
        <w:t>3.3.1 Environmental Variables</w:t>
      </w:r>
      <w:bookmarkEnd w:id="62"/>
    </w:p>
    <w:p w14:paraId="55A51578" w14:textId="77777777" w:rsidR="0054107C" w:rsidRPr="001953BB" w:rsidRDefault="0054107C" w:rsidP="00961D1F">
      <w:pPr>
        <w:outlineLvl w:val="3"/>
        <w:rPr>
          <w:rFonts w:eastAsia="Times New Roman" w:cs="Times New Roman"/>
          <w:b/>
          <w:bCs/>
          <w:lang w:eastAsia="zh-CN"/>
        </w:rPr>
      </w:pPr>
      <w:r w:rsidRPr="001953BB">
        <w:rPr>
          <w:rFonts w:eastAsia="Times New Roman" w:cs="Times New Roman"/>
          <w:b/>
          <w:bCs/>
          <w:lang w:eastAsia="zh-CN"/>
        </w:rPr>
        <w:t xml:space="preserve">1. </w:t>
      </w:r>
      <w:r w:rsidRPr="001953BB">
        <w:rPr>
          <w:rFonts w:eastAsia="Times New Roman" w:cs="Times New Roman"/>
          <w:b/>
          <w:bCs/>
          <w:lang w:val="zh-CN" w:eastAsia="zh-CN"/>
        </w:rPr>
        <w:t>Protected Area Designations (PADs)</w:t>
      </w:r>
    </w:p>
    <w:p w14:paraId="3935716A" w14:textId="77777777" w:rsidR="0054107C" w:rsidRPr="001953BB" w:rsidRDefault="0054107C" w:rsidP="00961D1F">
      <w:pPr>
        <w:rPr>
          <w:rFonts w:cs="Times New Roman"/>
        </w:rPr>
      </w:pPr>
      <w:r w:rsidRPr="001953BB">
        <w:rPr>
          <w:rFonts w:eastAsia="Times New Roman" w:cs="Times New Roman"/>
          <w:lang w:val="zh-CN"/>
        </w:rPr>
        <w:t xml:space="preserve">PADs form the core environmental variable in this study, representing conservation intensity at the county level. Data were sourced from the PAD-US 3.0 database, the most comprehensive national dataset on protected lands in the United States. PADs classify regions based on their environmental or cultural protections, with varying levels of management and permissible activities defined by GAP status codes. These classifications inform policy and conservation strategies, guiding land use and resource management decisions. </w:t>
      </w:r>
      <w:r w:rsidRPr="001953BB">
        <w:rPr>
          <w:rFonts w:eastAsia="Times New Roman" w:cs="Times New Roman"/>
          <w:b/>
          <w:bCs/>
          <w:lang w:val="zh-CN"/>
        </w:rPr>
        <w:t xml:space="preserve">Table </w:t>
      </w:r>
      <w:r w:rsidRPr="001953BB">
        <w:rPr>
          <w:rFonts w:eastAsia="Times New Roman" w:cs="Times New Roman"/>
          <w:b/>
          <w:bCs/>
        </w:rPr>
        <w:t>A</w:t>
      </w:r>
      <w:r w:rsidRPr="001953BB">
        <w:rPr>
          <w:rFonts w:eastAsia="Times New Roman" w:cs="Times New Roman"/>
          <w:b/>
          <w:bCs/>
          <w:lang w:val="zh-CN"/>
        </w:rPr>
        <w:t>2</w:t>
      </w:r>
      <w:r w:rsidRPr="001953BB">
        <w:rPr>
          <w:rFonts w:eastAsia="Times New Roman" w:cs="Times New Roman"/>
          <w:lang w:val="zh-CN"/>
        </w:rPr>
        <w:t xml:space="preserve"> provides a complete description for PAD under each GAP status code.</w:t>
      </w:r>
      <w:r w:rsidRPr="001953BB">
        <w:rPr>
          <w:rFonts w:cs="Times New Roman"/>
        </w:rPr>
        <w:t xml:space="preserve"> </w:t>
      </w:r>
    </w:p>
    <w:p w14:paraId="524CBAA9" w14:textId="77777777" w:rsidR="0054107C" w:rsidRPr="001953BB" w:rsidRDefault="0054107C" w:rsidP="00961D1F">
      <w:pPr>
        <w:rPr>
          <w:rFonts w:eastAsia="Times New Roman" w:cs="Times New Roman"/>
          <w:lang w:val="zh-CN"/>
        </w:rPr>
      </w:pPr>
      <w:r w:rsidRPr="001953BB">
        <w:rPr>
          <w:rFonts w:eastAsia="Times New Roman" w:cs="Times New Roman"/>
          <w:lang w:val="zh-CN"/>
        </w:rPr>
        <w:t>Using GIS tools in ARCGIS Pro, we constructed annual county-level cumulative PAD coverage under two key definitions:</w:t>
      </w:r>
    </w:p>
    <w:p w14:paraId="64A1C65A" w14:textId="77777777" w:rsidR="0054107C" w:rsidRPr="001953BB" w:rsidRDefault="0054107C" w:rsidP="00961D1F">
      <w:pPr>
        <w:numPr>
          <w:ilvl w:val="0"/>
          <w:numId w:val="5"/>
        </w:numPr>
        <w:contextualSpacing/>
        <w:rPr>
          <w:rFonts w:eastAsia="Times New Roman" w:cs="Times New Roman"/>
          <w:kern w:val="2"/>
          <w:lang w:val="zh-CN" w:eastAsia="zh-CN"/>
        </w:rPr>
      </w:pPr>
      <w:r w:rsidRPr="001953BB">
        <w:rPr>
          <w:rFonts w:eastAsia="Times New Roman" w:cs="Times New Roman"/>
          <w:b/>
          <w:bCs/>
          <w:kern w:val="2"/>
          <w:lang w:val="zh-CN" w:eastAsia="zh-CN"/>
        </w:rPr>
        <w:lastRenderedPageBreak/>
        <w:t>Broad PADs (GAP Status 1–4):</w:t>
      </w:r>
      <w:r w:rsidRPr="001953BB">
        <w:rPr>
          <w:rFonts w:eastAsia="Times New Roman" w:cs="Times New Roman"/>
          <w:kern w:val="2"/>
          <w:lang w:val="zh-CN" w:eastAsia="zh-CN"/>
        </w:rPr>
        <w:t xml:space="preserve"> Captures all conservation levels and averages 14.3% of county land.</w:t>
      </w:r>
    </w:p>
    <w:p w14:paraId="2D43462F" w14:textId="77777777" w:rsidR="0054107C" w:rsidRPr="001953BB" w:rsidRDefault="0054107C" w:rsidP="00961D1F">
      <w:pPr>
        <w:numPr>
          <w:ilvl w:val="0"/>
          <w:numId w:val="5"/>
        </w:numPr>
        <w:contextualSpacing/>
        <w:rPr>
          <w:rFonts w:eastAsia="Times New Roman" w:cs="Times New Roman"/>
          <w:kern w:val="2"/>
          <w:lang w:val="zh-CN" w:eastAsia="zh-CN"/>
        </w:rPr>
      </w:pPr>
      <w:r w:rsidRPr="001953BB">
        <w:rPr>
          <w:rFonts w:eastAsia="Times New Roman" w:cs="Times New Roman"/>
          <w:b/>
          <w:bCs/>
          <w:kern w:val="2"/>
          <w:lang w:val="zh-CN" w:eastAsia="zh-CN"/>
        </w:rPr>
        <w:t>Strict PADs (GAP Status 1–2):</w:t>
      </w:r>
      <w:r w:rsidRPr="001953BB">
        <w:rPr>
          <w:rFonts w:eastAsia="Times New Roman" w:cs="Times New Roman"/>
          <w:kern w:val="2"/>
          <w:lang w:val="zh-CN" w:eastAsia="zh-CN"/>
        </w:rPr>
        <w:t xml:space="preserve"> Focuses on the strictest protection measures, such as national parks and wilderness areas, and averages 5.33% of county land.</w:t>
      </w:r>
    </w:p>
    <w:p w14:paraId="08E84A9A" w14:textId="77777777" w:rsidR="0054107C" w:rsidRPr="001953BB" w:rsidRDefault="0054107C" w:rsidP="00961D1F">
      <w:pPr>
        <w:rPr>
          <w:rFonts w:eastAsia="Times New Roman" w:cs="Times New Roman"/>
        </w:rPr>
      </w:pPr>
      <w:r w:rsidRPr="001953BB">
        <w:rPr>
          <w:rFonts w:eastAsia="Times New Roman" w:cs="Times New Roman"/>
          <w:lang w:val="zh-CN"/>
        </w:rPr>
        <w:t xml:space="preserve">For each year in the study period (1998–2018), we calculated </w:t>
      </w:r>
      <w:r w:rsidRPr="001953BB">
        <w:rPr>
          <w:rFonts w:eastAsia="Times New Roman" w:cs="Times New Roman"/>
        </w:rPr>
        <w:t xml:space="preserve">our </w:t>
      </w:r>
      <w:r w:rsidRPr="001953BB">
        <w:rPr>
          <w:rFonts w:eastAsia="Times New Roman" w:cs="Times New Roman"/>
          <w:lang w:val="zh-CN"/>
        </w:rPr>
        <w:t xml:space="preserve">PAD coverage </w:t>
      </w:r>
      <w:r w:rsidRPr="001953BB">
        <w:rPr>
          <w:rFonts w:eastAsia="Times New Roman" w:cs="Times New Roman"/>
        </w:rPr>
        <w:t xml:space="preserve">variable </w:t>
      </w:r>
      <w:r w:rsidRPr="001953BB">
        <w:rPr>
          <w:rFonts w:eastAsia="Times New Roman" w:cs="Times New Roman"/>
          <w:lang w:val="zh-CN"/>
        </w:rPr>
        <w:t>by summing the acreage of all PADs</w:t>
      </w:r>
      <w:r w:rsidRPr="001953BB">
        <w:rPr>
          <w:rFonts w:eastAsia="Times New Roman" w:cs="Times New Roman"/>
        </w:rPr>
        <w:t xml:space="preserve"> </w:t>
      </w:r>
      <w:r w:rsidRPr="001953BB">
        <w:rPr>
          <w:rFonts w:eastAsia="Times New Roman" w:cs="Times New Roman"/>
          <w:lang w:val="zh-CN"/>
        </w:rPr>
        <w:t xml:space="preserve">in a county </w:t>
      </w:r>
      <w:r w:rsidRPr="001953BB">
        <w:rPr>
          <w:rFonts w:eastAsia="Times New Roman" w:cs="Times New Roman"/>
        </w:rPr>
        <w:t xml:space="preserve">(under the strict and broad definitions) </w:t>
      </w:r>
      <w:r w:rsidRPr="001953BB">
        <w:rPr>
          <w:rFonts w:eastAsia="Times New Roman" w:cs="Times New Roman"/>
          <w:lang w:val="zh-CN"/>
        </w:rPr>
        <w:t xml:space="preserve">and dividing </w:t>
      </w:r>
      <w:r w:rsidRPr="001953BB">
        <w:rPr>
          <w:rFonts w:eastAsia="Times New Roman" w:cs="Times New Roman"/>
        </w:rPr>
        <w:t xml:space="preserve">it </w:t>
      </w:r>
      <w:r w:rsidRPr="001953BB">
        <w:rPr>
          <w:rFonts w:eastAsia="Times New Roman" w:cs="Times New Roman"/>
          <w:lang w:val="zh-CN"/>
        </w:rPr>
        <w:t xml:space="preserve">by the total land area </w:t>
      </w:r>
      <w:r w:rsidRPr="001953BB">
        <w:rPr>
          <w:rFonts w:eastAsia="Times New Roman" w:cs="Times New Roman"/>
        </w:rPr>
        <w:t xml:space="preserve">(in acres) </w:t>
      </w:r>
      <w:r w:rsidRPr="001953BB">
        <w:rPr>
          <w:rFonts w:eastAsia="Times New Roman" w:cs="Times New Roman"/>
          <w:lang w:val="zh-CN"/>
        </w:rPr>
        <w:t>of that county.</w:t>
      </w:r>
      <w:r w:rsidRPr="001953BB">
        <w:rPr>
          <w:rFonts w:eastAsia="Times New Roman" w:cs="Times New Roman"/>
        </w:rPr>
        <w:t xml:space="preserve"> On average, 5.33% of county land falls under GAP 1 and 2, which are the most strictly protected areas aimed at biodiversity conservation, where commercial use is generally prohibited. When including all GAP categories (which encompass varying levels of protection), the average protected land rises to 14.3%.</w:t>
      </w:r>
    </w:p>
    <w:p w14:paraId="52829B09" w14:textId="77777777" w:rsidR="0054107C" w:rsidRPr="001953BB" w:rsidRDefault="0054107C" w:rsidP="00961D1F">
      <w:pPr>
        <w:rPr>
          <w:rFonts w:cs="Times New Roman"/>
          <w:lang w:val="zh-CN" w:eastAsia="zh-CN"/>
        </w:rPr>
      </w:pPr>
      <w:bookmarkStart w:id="63" w:name="_Hlk186804207"/>
      <w:r w:rsidRPr="001953BB">
        <w:rPr>
          <w:rFonts w:eastAsia="Times New Roman" w:cs="Times New Roman"/>
          <w:b/>
          <w:bCs/>
          <w:lang w:val="zh-CN"/>
        </w:rPr>
        <w:t>Data Adjustments for Overlaps and Outliers</w:t>
      </w:r>
      <w:r w:rsidRPr="001953BB">
        <w:rPr>
          <w:rFonts w:eastAsia="Times New Roman" w:cs="Times New Roman"/>
          <w:b/>
          <w:bCs/>
        </w:rPr>
        <w:t xml:space="preserve">: </w:t>
      </w:r>
      <w:bookmarkEnd w:id="63"/>
      <w:r w:rsidRPr="001953BB">
        <w:rPr>
          <w:rFonts w:eastAsia="Times New Roman" w:cs="Times New Roman"/>
          <w:lang w:val="zh-CN"/>
        </w:rPr>
        <w:t>To address anomalies in PAD-US 3.0, such as instances where PAD coverage exceeded 100% of county land due to overlapping designations, adjustments were made to ensure analytical reliability. Overlapping designations in PAD-US have been recognized as a source of inconsistency, complicating the assessment of conservation intensity and protection status (USGS, 2020).</w:t>
      </w:r>
    </w:p>
    <w:p w14:paraId="77827EBC" w14:textId="77777777" w:rsidR="0054107C" w:rsidRPr="001953BB" w:rsidRDefault="0054107C" w:rsidP="00961D1F">
      <w:pPr>
        <w:rPr>
          <w:rFonts w:cs="Times New Roman"/>
          <w:lang w:val="zh-CN" w:eastAsia="zh-CN"/>
        </w:rPr>
      </w:pPr>
      <w:r w:rsidRPr="001953BB">
        <w:rPr>
          <w:rFonts w:eastAsia="Times New Roman" w:cs="Times New Roman"/>
          <w:lang w:val="zh-CN"/>
        </w:rPr>
        <w:t>Following best practices in spatial data analysis, counties with PAD coverage exceeding 88% were excluded, representing less than 1% of the dataset. This threshold was chosen to maintain the representativeness of the dataset while mitigating distortions caused by extreme outliers. Sensitivity analyses confirmed that the exclusion of these outliers did not affect regression outcomes</w:t>
      </w:r>
      <w:r w:rsidRPr="001953BB">
        <w:rPr>
          <w:rFonts w:eastAsia="Times New Roman" w:cs="Times New Roman"/>
        </w:rPr>
        <w:t xml:space="preserve"> on a statistical significance level</w:t>
      </w:r>
      <w:r w:rsidRPr="001953BB">
        <w:rPr>
          <w:rFonts w:eastAsia="Times New Roman" w:cs="Times New Roman"/>
          <w:lang w:val="zh-CN"/>
        </w:rPr>
        <w:t>, ensuring that the findings remained robust and reliable.</w:t>
      </w:r>
    </w:p>
    <w:p w14:paraId="6444E3A9" w14:textId="77777777" w:rsidR="0054107C" w:rsidRPr="001953BB" w:rsidRDefault="0054107C" w:rsidP="00961D1F">
      <w:pPr>
        <w:rPr>
          <w:rFonts w:cs="Times New Roman"/>
          <w:lang w:val="zh-CN" w:eastAsia="zh-CN"/>
        </w:rPr>
      </w:pPr>
      <w:bookmarkStart w:id="64" w:name="_Hlk186804112"/>
      <w:r w:rsidRPr="001953BB">
        <w:rPr>
          <w:rFonts w:eastAsia="Times New Roman" w:cs="Times New Roman"/>
          <w:b/>
          <w:bCs/>
          <w:lang w:val="zh-CN"/>
        </w:rPr>
        <w:t>Evaluation of Flattened PAD-US Dataset</w:t>
      </w:r>
      <w:r w:rsidRPr="001953BB">
        <w:rPr>
          <w:rFonts w:eastAsia="Times New Roman" w:cs="Times New Roman"/>
          <w:b/>
          <w:bCs/>
        </w:rPr>
        <w:t xml:space="preserve">: </w:t>
      </w:r>
      <w:bookmarkStart w:id="65" w:name="_Hlk186803928"/>
      <w:bookmarkEnd w:id="64"/>
      <w:r w:rsidRPr="001953BB">
        <w:rPr>
          <w:rFonts w:eastAsia="Times New Roman" w:cs="Times New Roman"/>
          <w:lang w:val="zh-CN"/>
        </w:rPr>
        <w:t xml:space="preserve">We also investigated the potential use of the Flattened PAD-US dataset, which addresses overlapping PAD designations. While this resolves </w:t>
      </w:r>
      <w:r w:rsidRPr="001953BB">
        <w:rPr>
          <w:rFonts w:eastAsia="Times New Roman" w:cs="Times New Roman"/>
          <w:lang w:val="zh-CN"/>
        </w:rPr>
        <w:lastRenderedPageBreak/>
        <w:t>issues of overlap, the dataset lacks temporal coverage, making it unsuitable for the spatio-temporal framework of this study. By using PAD-US 3.0, which retains temporal information, we are able to account for annual changes in PAD coverage.</w:t>
      </w:r>
      <w:bookmarkEnd w:id="65"/>
    </w:p>
    <w:p w14:paraId="41DEC3DA" w14:textId="77777777" w:rsidR="0054107C" w:rsidRPr="001953BB" w:rsidRDefault="0054107C" w:rsidP="00961D1F">
      <w:pPr>
        <w:rPr>
          <w:rFonts w:cs="Times New Roman"/>
          <w:lang w:eastAsia="zh-CN"/>
        </w:rPr>
      </w:pPr>
      <w:r w:rsidRPr="001953BB">
        <w:rPr>
          <w:rFonts w:eastAsia="Times New Roman" w:cs="Times New Roman"/>
          <w:b/>
          <w:bCs/>
          <w:lang w:val="zh-CN"/>
        </w:rPr>
        <w:t>Temporal Considerations</w:t>
      </w:r>
      <w:r w:rsidRPr="001953BB">
        <w:rPr>
          <w:rFonts w:eastAsia="Times New Roman" w:cs="Times New Roman"/>
          <w:b/>
          <w:bCs/>
        </w:rPr>
        <w:t xml:space="preserve">: </w:t>
      </w:r>
      <w:r w:rsidRPr="001953BB">
        <w:rPr>
          <w:rFonts w:eastAsia="Times New Roman" w:cs="Times New Roman"/>
          <w:lang w:val="zh-CN"/>
        </w:rPr>
        <w:t xml:space="preserve">Approximately 33% of PADs in PAD-US 3.0 lack designation dates, presenting challenges in accurately determining the temporal sequence of protection. </w:t>
      </w:r>
      <w:r w:rsidRPr="001953BB">
        <w:rPr>
          <w:rFonts w:cs="Times New Roman"/>
        </w:rPr>
        <w:t>W</w:t>
      </w:r>
      <w:r w:rsidRPr="001953BB">
        <w:rPr>
          <w:rFonts w:cs="Times New Roman"/>
          <w:lang w:val="zh-CN"/>
        </w:rPr>
        <w:t xml:space="preserve">e improved upon the PAD-US dataset by incorporating supplemental data from the California Protected Areas Database (CPAD) shared by Professor Maria De Santos of Zurich University. Her dataset provided partial missing designation dates for PADs within California, which were then merged into the national PAD-US dataset. </w:t>
      </w:r>
    </w:p>
    <w:p w14:paraId="1A0C6CE5" w14:textId="77777777" w:rsidR="0054107C" w:rsidRPr="001953BB" w:rsidRDefault="0054107C" w:rsidP="00961D1F">
      <w:pPr>
        <w:rPr>
          <w:rFonts w:eastAsia="Times New Roman" w:cs="Times New Roman"/>
        </w:rPr>
      </w:pPr>
      <w:r w:rsidRPr="001953BB">
        <w:rPr>
          <w:rFonts w:eastAsia="Times New Roman" w:cs="Times New Roman"/>
        </w:rPr>
        <w:t xml:space="preserve">Additionally, following phone consultations with a PAD-US representative, I was informed that the missing PAD dates predated the 1990s. Based on this information, we assumed that PADs without designation dates were established before the start of the study period (1997–2019). This assumption aligns with historical conservation trends, ensuring temporal consistency at the national scale. </w:t>
      </w:r>
    </w:p>
    <w:p w14:paraId="69BA59D7" w14:textId="77777777" w:rsidR="0054107C" w:rsidRPr="001953BB" w:rsidRDefault="0054107C" w:rsidP="00961D1F">
      <w:pPr>
        <w:rPr>
          <w:rFonts w:eastAsia="Times New Roman" w:cs="Times New Roman"/>
          <w:lang w:val="zh-CN"/>
        </w:rPr>
      </w:pPr>
      <w:r w:rsidRPr="001953BB">
        <w:rPr>
          <w:rFonts w:eastAsia="Times New Roman" w:cs="Times New Roman"/>
          <w:lang w:val="zh-CN"/>
        </w:rPr>
        <w:t>By acknowledging these limitations, leveraging supplementary data, and adapting our approach to the available resources, this study addresses potential concerns about the temporal aspects of PAD designations while maintaining the robustness and relevance of the findings.</w:t>
      </w:r>
    </w:p>
    <w:p w14:paraId="2D158657" w14:textId="77777777" w:rsidR="0054107C" w:rsidRPr="001953BB" w:rsidRDefault="0054107C" w:rsidP="00961D1F">
      <w:pPr>
        <w:rPr>
          <w:rFonts w:cs="Times New Roman"/>
          <w:lang w:val="zh-CN" w:eastAsia="zh-CN"/>
        </w:rPr>
      </w:pPr>
      <w:r w:rsidRPr="001953BB">
        <w:rPr>
          <w:rFonts w:eastAsia="Times New Roman" w:cs="Times New Roman"/>
          <w:b/>
          <w:bCs/>
          <w:lang w:val="zh-CN"/>
        </w:rPr>
        <w:t>Lags, Leads, and Counterfactuals</w:t>
      </w:r>
      <w:r w:rsidRPr="001953BB">
        <w:rPr>
          <w:rFonts w:eastAsia="Times New Roman" w:cs="Times New Roman"/>
          <w:b/>
          <w:bCs/>
        </w:rPr>
        <w:t xml:space="preserve">: </w:t>
      </w:r>
      <w:r w:rsidRPr="001953BB">
        <w:rPr>
          <w:rFonts w:eastAsia="Times New Roman" w:cs="Times New Roman"/>
          <w:lang w:val="zh-CN"/>
        </w:rPr>
        <w:t xml:space="preserve">For counterfactual analysis, we constructed lags and leads of PAD coverage </w:t>
      </w:r>
      <w:r w:rsidRPr="001953BB">
        <w:rPr>
          <w:rFonts w:eastAsia="Times New Roman" w:cs="Times New Roman"/>
        </w:rPr>
        <w:t>under</w:t>
      </w:r>
      <w:r w:rsidRPr="001953BB">
        <w:rPr>
          <w:rFonts w:eastAsia="Times New Roman" w:cs="Times New Roman"/>
          <w:lang w:val="zh-CN"/>
        </w:rPr>
        <w:t xml:space="preserve"> both </w:t>
      </w:r>
      <w:r w:rsidRPr="001953BB">
        <w:rPr>
          <w:rFonts w:eastAsia="Times New Roman" w:cs="Times New Roman"/>
        </w:rPr>
        <w:t>the b</w:t>
      </w:r>
      <w:r w:rsidRPr="001953BB">
        <w:rPr>
          <w:rFonts w:eastAsia="Times New Roman" w:cs="Times New Roman"/>
          <w:lang w:val="zh-CN"/>
        </w:rPr>
        <w:t xml:space="preserve">road and </w:t>
      </w:r>
      <w:r w:rsidRPr="001953BB">
        <w:rPr>
          <w:rFonts w:eastAsia="Times New Roman" w:cs="Times New Roman"/>
        </w:rPr>
        <w:t>s</w:t>
      </w:r>
      <w:r w:rsidRPr="001953BB">
        <w:rPr>
          <w:rFonts w:eastAsia="Times New Roman" w:cs="Times New Roman"/>
          <w:lang w:val="zh-CN"/>
        </w:rPr>
        <w:t>trict definitions. These variables enabled the examination of pre- and post-designation effects on establishment location outcomes, offering insights into the dynamic effects of conservation policies.</w:t>
      </w:r>
    </w:p>
    <w:p w14:paraId="2DCF8D66" w14:textId="77777777" w:rsidR="0054107C" w:rsidRPr="001953BB" w:rsidRDefault="0054107C" w:rsidP="00961D1F">
      <w:pPr>
        <w:outlineLvl w:val="3"/>
        <w:rPr>
          <w:rFonts w:eastAsia="Times New Roman" w:cs="Times New Roman"/>
          <w:b/>
          <w:bCs/>
          <w:lang w:eastAsia="zh-CN"/>
        </w:rPr>
      </w:pPr>
      <w:r w:rsidRPr="001953BB">
        <w:rPr>
          <w:rFonts w:eastAsia="Times New Roman" w:cs="Times New Roman"/>
          <w:b/>
          <w:bCs/>
          <w:lang w:eastAsia="zh-CN"/>
        </w:rPr>
        <w:t>2. N</w:t>
      </w:r>
      <w:r w:rsidRPr="001953BB">
        <w:rPr>
          <w:rFonts w:eastAsia="Times New Roman" w:cs="Times New Roman"/>
          <w:b/>
          <w:bCs/>
          <w:lang w:val="zh-CN" w:eastAsia="zh-CN"/>
        </w:rPr>
        <w:t>on-Attainment Status</w:t>
      </w:r>
      <w:r w:rsidRPr="001953BB">
        <w:rPr>
          <w:rFonts w:eastAsia="Times New Roman" w:cs="Times New Roman"/>
          <w:b/>
          <w:bCs/>
          <w:lang w:eastAsia="zh-CN"/>
        </w:rPr>
        <w:t xml:space="preserve"> </w:t>
      </w:r>
    </w:p>
    <w:p w14:paraId="0E705B13" w14:textId="77777777" w:rsidR="0054107C" w:rsidRPr="001953BB" w:rsidRDefault="0054107C" w:rsidP="00961D1F">
      <w:pPr>
        <w:rPr>
          <w:rFonts w:cs="Times New Roman"/>
          <w:lang w:val="zh-CN" w:eastAsia="zh-CN"/>
        </w:rPr>
      </w:pPr>
      <w:r w:rsidRPr="001953BB">
        <w:rPr>
          <w:rFonts w:cs="Times New Roman"/>
          <w:lang w:val="zh-CN"/>
        </w:rPr>
        <w:lastRenderedPageBreak/>
        <w:t>Under the Clean Air Act (CAA), the EPA classifies counties as "in-attainment" or "out-of-attainment" for six criteria pollutants based on compliance with the National Ambient Air Quality Standards (NAAQS). These pollutants include Carbon Monoxide (CO), Lead (Pb), Ozone (O₃), Particulate Matter (PM 2.5), Sulfur Dioxide (SO₂), and Nitrogen Dioxide (NO₂), each with specific thresholds that when exceeded</w:t>
      </w:r>
      <w:r w:rsidRPr="001953BB">
        <w:rPr>
          <w:rFonts w:cs="Times New Roman"/>
        </w:rPr>
        <w:t xml:space="preserve"> </w:t>
      </w:r>
      <w:r w:rsidRPr="001953BB">
        <w:rPr>
          <w:rFonts w:cs="Times New Roman"/>
          <w:lang w:val="zh-CN"/>
        </w:rPr>
        <w:t>trigger stricter regulatory requirements</w:t>
      </w:r>
      <w:r w:rsidRPr="001953BB">
        <w:rPr>
          <w:rFonts w:cs="Times New Roman"/>
        </w:rPr>
        <w:t xml:space="preserve">. </w:t>
      </w:r>
      <w:r w:rsidRPr="001953BB">
        <w:rPr>
          <w:rFonts w:cs="Times New Roman"/>
          <w:lang w:val="zh-CN"/>
        </w:rPr>
        <w:t>Counties out-of-attainment face heightened compliance costs, which can influence industrial location decisions by raising operating costs and deterring new establishments.</w:t>
      </w:r>
      <w:r w:rsidRPr="001953BB">
        <w:rPr>
          <w:rFonts w:cs="Times New Roman"/>
        </w:rPr>
        <w:t xml:space="preserve"> We downloaded our data from the EPA’s Greenbook website, and constructed county-</w:t>
      </w:r>
      <w:r w:rsidRPr="001953BB">
        <w:rPr>
          <w:rFonts w:cs="Times New Roman"/>
          <w:lang w:val="zh-CN"/>
        </w:rPr>
        <w:t>non-attainment</w:t>
      </w:r>
      <w:r w:rsidRPr="001953BB">
        <w:rPr>
          <w:rFonts w:cs="Times New Roman"/>
        </w:rPr>
        <w:t>-</w:t>
      </w:r>
      <w:r w:rsidRPr="001953BB">
        <w:rPr>
          <w:rFonts w:cs="Times New Roman"/>
          <w:lang w:val="zh-CN"/>
        </w:rPr>
        <w:t xml:space="preserve">status </w:t>
      </w:r>
      <w:r w:rsidRPr="001953BB">
        <w:rPr>
          <w:rFonts w:cs="Times New Roman"/>
        </w:rPr>
        <w:t>b</w:t>
      </w:r>
      <w:r w:rsidRPr="001953BB">
        <w:rPr>
          <w:rFonts w:cs="Times New Roman"/>
          <w:lang w:val="zh-CN"/>
        </w:rPr>
        <w:t xml:space="preserve">inary variables for each pollutant. </w:t>
      </w:r>
    </w:p>
    <w:p w14:paraId="0762934A" w14:textId="77777777" w:rsidR="0054107C" w:rsidRPr="001953BB" w:rsidRDefault="0054107C" w:rsidP="00961D1F">
      <w:pPr>
        <w:rPr>
          <w:rFonts w:cs="Times New Roman"/>
          <w:b/>
          <w:bCs/>
          <w:lang w:val="zh-CN"/>
        </w:rPr>
      </w:pPr>
      <w:r w:rsidRPr="001953BB">
        <w:rPr>
          <w:rFonts w:cs="Times New Roman"/>
          <w:lang w:val="zh-CN"/>
        </w:rPr>
        <w:t>Prior research underscores the importance of non-attainment status in influencing business behavior</w:t>
      </w:r>
      <w:r w:rsidRPr="001953BB">
        <w:rPr>
          <w:rFonts w:cs="Times New Roman"/>
        </w:rPr>
        <w:t xml:space="preserve"> </w:t>
      </w:r>
      <w:r w:rsidRPr="001953BB">
        <w:rPr>
          <w:rFonts w:cs="Times New Roman"/>
          <w:lang w:val="zh-CN"/>
        </w:rPr>
        <w:t>(List et al., 2003; Kuminoff et al., 2013</w:t>
      </w:r>
      <w:r w:rsidRPr="001953BB">
        <w:rPr>
          <w:rFonts w:cs="Times New Roman"/>
        </w:rPr>
        <w:t xml:space="preserve">; </w:t>
      </w:r>
      <w:r w:rsidRPr="001953BB">
        <w:rPr>
          <w:rFonts w:cs="Times New Roman"/>
          <w:lang w:val="zh-CN"/>
        </w:rPr>
        <w:t xml:space="preserve">Chay &amp; Greenstone, 2005). </w:t>
      </w:r>
      <w:r w:rsidRPr="001953BB">
        <w:rPr>
          <w:rFonts w:cs="Times New Roman"/>
        </w:rPr>
        <w:t>T</w:t>
      </w:r>
      <w:r w:rsidRPr="001953BB">
        <w:rPr>
          <w:rFonts w:cs="Times New Roman"/>
          <w:lang w:val="zh-CN"/>
        </w:rPr>
        <w:t xml:space="preserve">he inclusion of non-attainment variables ensures </w:t>
      </w:r>
      <w:r w:rsidRPr="001953BB">
        <w:rPr>
          <w:rFonts w:cs="Times New Roman"/>
        </w:rPr>
        <w:t xml:space="preserve">that </w:t>
      </w:r>
      <w:r w:rsidRPr="001953BB">
        <w:rPr>
          <w:rFonts w:cs="Times New Roman"/>
          <w:lang w:val="zh-CN"/>
        </w:rPr>
        <w:t>our results account for overlapping regulatory pressures, aligning with our objective to evaluate PAD effects while isolating the influence of broader environmental stringency.</w:t>
      </w:r>
    </w:p>
    <w:p w14:paraId="6BB937E0" w14:textId="29694D6E" w:rsidR="0054107C" w:rsidRPr="001953BB" w:rsidRDefault="00554455" w:rsidP="001953BB">
      <w:pPr>
        <w:pStyle w:val="Heading4"/>
      </w:pPr>
      <w:bookmarkStart w:id="66" w:name="_Toc187684980"/>
      <w:r w:rsidRPr="001953BB">
        <w:t>1.</w:t>
      </w:r>
      <w:r w:rsidR="0054107C" w:rsidRPr="001953BB">
        <w:t>3.3.2 Socio-Demographic and Economic Variables</w:t>
      </w:r>
      <w:bookmarkEnd w:id="66"/>
    </w:p>
    <w:p w14:paraId="3BA17CD8" w14:textId="77777777" w:rsidR="0054107C" w:rsidRPr="001953BB" w:rsidRDefault="0054107C" w:rsidP="00961D1F">
      <w:pPr>
        <w:rPr>
          <w:rFonts w:cs="Times New Roman"/>
          <w:lang w:eastAsia="zh-CN"/>
        </w:rPr>
      </w:pPr>
      <w:r w:rsidRPr="001953BB">
        <w:rPr>
          <w:rFonts w:cs="Times New Roman"/>
          <w:lang w:val="zh-CN"/>
        </w:rPr>
        <w:t xml:space="preserve">The socio-demographic and economic variables used in this study were sourced from the U.S. Census Bureau, County Business Patterns, and American Community Survey. </w:t>
      </w:r>
      <w:r w:rsidRPr="001953BB">
        <w:rPr>
          <w:rFonts w:cs="Times New Roman"/>
        </w:rPr>
        <w:t xml:space="preserve">Their inclusion in our model </w:t>
      </w:r>
      <w:r w:rsidRPr="001953BB">
        <w:rPr>
          <w:rFonts w:cs="Times New Roman"/>
          <w:lang w:val="zh-CN"/>
        </w:rPr>
        <w:t>align</w:t>
      </w:r>
      <w:r w:rsidRPr="001953BB">
        <w:rPr>
          <w:rFonts w:cs="Times New Roman"/>
        </w:rPr>
        <w:t>s</w:t>
      </w:r>
      <w:r w:rsidRPr="001953BB">
        <w:rPr>
          <w:rFonts w:cs="Times New Roman"/>
          <w:lang w:val="zh-CN"/>
        </w:rPr>
        <w:t xml:space="preserve"> with prior research (Glaeser et al., 2001; Moretti, 2010; Ellison and Glaeser, 1997), highlighting the role of local economic conditions in shaping establishment location decisions.</w:t>
      </w:r>
      <w:r w:rsidRPr="001953BB">
        <w:rPr>
          <w:rFonts w:cs="Times New Roman"/>
        </w:rPr>
        <w:t xml:space="preserve"> We now provide comments on each one of them. Note that some of these variables have been scaled, with their respective scaling factor written in parentheses (See </w:t>
      </w:r>
      <w:r w:rsidRPr="001953BB">
        <w:rPr>
          <w:rFonts w:cs="Times New Roman"/>
          <w:b/>
          <w:bCs/>
        </w:rPr>
        <w:t>Table A3</w:t>
      </w:r>
      <w:r w:rsidRPr="001953BB">
        <w:rPr>
          <w:rFonts w:cs="Times New Roman"/>
        </w:rPr>
        <w:t>).</w:t>
      </w:r>
    </w:p>
    <w:p w14:paraId="3D3F36AC" w14:textId="77777777" w:rsidR="0054107C" w:rsidRPr="001953BB" w:rsidRDefault="0054107C" w:rsidP="00961D1F">
      <w:pPr>
        <w:rPr>
          <w:rFonts w:cs="Times New Roman"/>
          <w:lang w:val="zh-CN" w:eastAsia="zh-CN"/>
        </w:rPr>
      </w:pPr>
      <w:r w:rsidRPr="001953BB">
        <w:rPr>
          <w:rFonts w:cs="Times New Roman"/>
          <w:b/>
          <w:bCs/>
          <w:lang w:val="zh-CN" w:eastAsia="zh-CN"/>
        </w:rPr>
        <w:t>Population Density:</w:t>
      </w:r>
      <w:r w:rsidRPr="001953BB">
        <w:rPr>
          <w:rFonts w:cs="Times New Roman"/>
          <w:lang w:eastAsia="zh-CN"/>
        </w:rPr>
        <w:t xml:space="preserve"> </w:t>
      </w:r>
      <w:r w:rsidRPr="001953BB">
        <w:rPr>
          <w:rFonts w:cs="Times New Roman"/>
          <w:lang w:val="zh-CN" w:eastAsia="zh-CN"/>
        </w:rPr>
        <w:t xml:space="preserve">Population density serves as a proxy for urbanization and market size, averaging 0.004 (scaled by 100), with a maximum value of 1.16. Higher density regions provide </w:t>
      </w:r>
      <w:r w:rsidRPr="001953BB">
        <w:rPr>
          <w:rFonts w:cs="Times New Roman"/>
          <w:lang w:val="zh-CN" w:eastAsia="zh-CN"/>
        </w:rPr>
        <w:lastRenderedPageBreak/>
        <w:t>access to larger consumer markets and agglomeration economies, attracting business entries. However, congestion, higher land costs, and intensified competition in densely populated counties may lead to elevated exit rates.</w:t>
      </w:r>
    </w:p>
    <w:p w14:paraId="3D2133E9" w14:textId="77777777" w:rsidR="0054107C" w:rsidRPr="001953BB" w:rsidRDefault="0054107C" w:rsidP="00961D1F">
      <w:pPr>
        <w:rPr>
          <w:rFonts w:cs="Times New Roman"/>
          <w:lang w:val="zh-CN" w:eastAsia="zh-CN"/>
        </w:rPr>
      </w:pPr>
      <w:r w:rsidRPr="001953BB">
        <w:rPr>
          <w:rFonts w:cs="Times New Roman"/>
          <w:b/>
          <w:bCs/>
          <w:lang w:val="zh-CN" w:eastAsia="zh-CN"/>
        </w:rPr>
        <w:t>Unemployment Rate:</w:t>
      </w:r>
      <w:r w:rsidRPr="001953BB">
        <w:rPr>
          <w:rFonts w:cs="Times New Roman"/>
          <w:lang w:eastAsia="zh-CN"/>
        </w:rPr>
        <w:t xml:space="preserve"> </w:t>
      </w:r>
      <w:r w:rsidRPr="001953BB">
        <w:rPr>
          <w:rFonts w:cs="Times New Roman"/>
          <w:lang w:val="zh-CN" w:eastAsia="zh-CN"/>
        </w:rPr>
        <w:t>The unemployment rate reflects local labor market conditions, with a mean of 6.1% and a maximum of 30.6%. High unemployment often signals weak demand, potentially deterring new establishments. However, regions with higher unemployment may attract cost-sensitive businesses due to reduced labor costs.</w:t>
      </w:r>
    </w:p>
    <w:p w14:paraId="3DD139CD" w14:textId="77777777" w:rsidR="0054107C" w:rsidRPr="001953BB" w:rsidRDefault="0054107C" w:rsidP="00961D1F">
      <w:pPr>
        <w:rPr>
          <w:rFonts w:cs="Times New Roman"/>
          <w:lang w:val="zh-CN" w:eastAsia="zh-CN"/>
        </w:rPr>
      </w:pPr>
      <w:r w:rsidRPr="001953BB">
        <w:rPr>
          <w:rFonts w:cs="Times New Roman"/>
          <w:b/>
          <w:bCs/>
          <w:lang w:val="zh-CN" w:eastAsia="zh-CN"/>
        </w:rPr>
        <w:t>Median Household Income:</w:t>
      </w:r>
      <w:r w:rsidRPr="001953BB">
        <w:rPr>
          <w:rFonts w:cs="Times New Roman"/>
          <w:lang w:eastAsia="zh-CN"/>
        </w:rPr>
        <w:t xml:space="preserve"> </w:t>
      </w:r>
      <w:r w:rsidRPr="001953BB">
        <w:rPr>
          <w:rFonts w:cs="Times New Roman"/>
          <w:lang w:val="zh-CN" w:eastAsia="zh-CN"/>
        </w:rPr>
        <w:t xml:space="preserve">Median household income, averaging $42,300, captures local purchasing power and labor costs. Higher-income counties may attract </w:t>
      </w:r>
      <w:r w:rsidRPr="001953BB">
        <w:rPr>
          <w:rFonts w:cs="Times New Roman"/>
          <w:lang w:eastAsia="zh-CN"/>
        </w:rPr>
        <w:t>establishment</w:t>
      </w:r>
      <w:r w:rsidRPr="001953BB">
        <w:rPr>
          <w:rFonts w:cs="Times New Roman"/>
          <w:lang w:val="zh-CN" w:eastAsia="zh-CN"/>
        </w:rPr>
        <w:t xml:space="preserve"> seeking skilled labor and affluent markets. However, elevated income levels may deter labor-intensive or low-margin sectors due to increased wage pressures.</w:t>
      </w:r>
    </w:p>
    <w:p w14:paraId="1EA3443E" w14:textId="77777777" w:rsidR="0054107C" w:rsidRPr="001953BB" w:rsidRDefault="0054107C" w:rsidP="00961D1F">
      <w:pPr>
        <w:rPr>
          <w:rFonts w:cs="Times New Roman"/>
          <w:lang w:val="zh-CN" w:eastAsia="zh-CN"/>
        </w:rPr>
      </w:pPr>
      <w:r w:rsidRPr="001953BB">
        <w:rPr>
          <w:rFonts w:cs="Times New Roman"/>
          <w:b/>
          <w:bCs/>
          <w:lang w:val="zh-CN" w:eastAsia="zh-CN"/>
        </w:rPr>
        <w:t>Housing Price Index:</w:t>
      </w:r>
      <w:r w:rsidRPr="001953BB">
        <w:rPr>
          <w:rFonts w:cs="Times New Roman"/>
          <w:lang w:eastAsia="zh-CN"/>
        </w:rPr>
        <w:t xml:space="preserve"> </w:t>
      </w:r>
      <w:r w:rsidRPr="001953BB">
        <w:rPr>
          <w:rFonts w:cs="Times New Roman"/>
          <w:lang w:val="zh-CN" w:eastAsia="zh-CN"/>
        </w:rPr>
        <w:t>With a mean of 2.466 and a wide range (0.637–20.849), the Housing Price Index captures real estate and land costs. High housing prices often correlate with economic activity but may discourage new business entries in land-intensive sectors due to operational cost concerns.</w:t>
      </w:r>
    </w:p>
    <w:p w14:paraId="787DBF09" w14:textId="77777777" w:rsidR="0054107C" w:rsidRPr="001953BB" w:rsidRDefault="0054107C" w:rsidP="00961D1F">
      <w:pPr>
        <w:rPr>
          <w:rFonts w:cs="Times New Roman"/>
          <w:lang w:val="zh-CN" w:eastAsia="zh-CN"/>
        </w:rPr>
      </w:pPr>
      <w:r w:rsidRPr="001953BB">
        <w:rPr>
          <w:rFonts w:cs="Times New Roman"/>
          <w:b/>
          <w:bCs/>
          <w:lang w:val="zh-CN" w:eastAsia="zh-CN"/>
        </w:rPr>
        <w:t>Poverty Rate:</w:t>
      </w:r>
      <w:r w:rsidRPr="001953BB">
        <w:rPr>
          <w:rFonts w:cs="Times New Roman"/>
          <w:lang w:eastAsia="zh-CN"/>
        </w:rPr>
        <w:t xml:space="preserve"> </w:t>
      </w:r>
      <w:r w:rsidRPr="001953BB">
        <w:rPr>
          <w:rFonts w:cs="Times New Roman"/>
          <w:lang w:val="zh-CN" w:eastAsia="zh-CN"/>
        </w:rPr>
        <w:t>The poverty rate averages 15.3%, with substantial variation (0–62%). High poverty rates can deter businesses reliant on local consumer demand but may attract low-cost industries. This variable also highlights economic disparities across counties, influencing business dynamics.</w:t>
      </w:r>
    </w:p>
    <w:p w14:paraId="0B16A52C" w14:textId="03AA43A4" w:rsidR="0054107C" w:rsidRPr="001953BB" w:rsidRDefault="00554455" w:rsidP="001953BB">
      <w:pPr>
        <w:pStyle w:val="Heading4"/>
      </w:pPr>
      <w:bookmarkStart w:id="67" w:name="_Toc187684981"/>
      <w:r w:rsidRPr="001953BB">
        <w:t>1.</w:t>
      </w:r>
      <w:r w:rsidR="0054107C" w:rsidRPr="001953BB">
        <w:t>3.3.3 Aggregate LIS-Specific Explanatory Variables</w:t>
      </w:r>
      <w:bookmarkEnd w:id="67"/>
    </w:p>
    <w:p w14:paraId="7ECB47D9" w14:textId="77777777" w:rsidR="0054107C" w:rsidRPr="001953BB" w:rsidRDefault="0054107C" w:rsidP="00961D1F">
      <w:pPr>
        <w:rPr>
          <w:rFonts w:cs="Times New Roman"/>
        </w:rPr>
      </w:pPr>
      <w:r w:rsidRPr="001953BB">
        <w:rPr>
          <w:rFonts w:cs="Times New Roman"/>
        </w:rPr>
        <w:t xml:space="preserve">This subsection highlights additional explanatory variables specific to the aggregate LIS, capturing economic, agglomeration, and mobility dynamics within counties. These variables provide insights into key factors influencing establishment location outcomes, such as entries, </w:t>
      </w:r>
      <w:r w:rsidRPr="001953BB">
        <w:rPr>
          <w:rFonts w:cs="Times New Roman"/>
        </w:rPr>
        <w:lastRenderedPageBreak/>
        <w:t>exits, and relocations, and help account for the regional disparities in business dynamics. Each variable reflects unique aspects of county-level economic activity, including agglomeration economies, business churn, and localized mobility trends, offering a comprehensive view of the aggregate LIS environment.</w:t>
      </w:r>
    </w:p>
    <w:p w14:paraId="579038E1" w14:textId="77777777" w:rsidR="0054107C" w:rsidRPr="001953BB" w:rsidRDefault="0054107C" w:rsidP="00961D1F">
      <w:pPr>
        <w:rPr>
          <w:rFonts w:cs="Times New Roman"/>
          <w:lang w:val="zh-CN" w:eastAsia="zh-CN"/>
        </w:rPr>
      </w:pPr>
      <w:r w:rsidRPr="001953BB">
        <w:rPr>
          <w:rFonts w:cs="Times New Roman"/>
          <w:b/>
          <w:bCs/>
          <w:lang w:val="zh-CN" w:eastAsia="zh-CN"/>
        </w:rPr>
        <w:t>Localization Economies:</w:t>
      </w:r>
      <w:r w:rsidRPr="001953BB">
        <w:rPr>
          <w:rFonts w:cs="Times New Roman"/>
          <w:lang w:eastAsia="zh-CN"/>
        </w:rPr>
        <w:t xml:space="preserve"> </w:t>
      </w:r>
      <w:r w:rsidRPr="001953BB">
        <w:rPr>
          <w:rFonts w:cs="Times New Roman"/>
          <w:lang w:val="zh-CN" w:eastAsia="zh-CN"/>
        </w:rPr>
        <w:t xml:space="preserve">Measured as the prior-year count of establishments in a county-sector, this variable reflects agglomeration economies. Higher localization supports </w:t>
      </w:r>
      <w:r w:rsidRPr="001953BB">
        <w:rPr>
          <w:rFonts w:cs="Times New Roman"/>
          <w:lang w:eastAsia="zh-CN"/>
        </w:rPr>
        <w:t>establishment</w:t>
      </w:r>
      <w:r w:rsidRPr="001953BB">
        <w:rPr>
          <w:rFonts w:cs="Times New Roman"/>
          <w:lang w:val="zh-CN" w:eastAsia="zh-CN"/>
        </w:rPr>
        <w:t xml:space="preserve"> entries through reduced search costs for suppliers and labor and fosters innovation. </w:t>
      </w:r>
    </w:p>
    <w:p w14:paraId="52E3030D" w14:textId="77777777" w:rsidR="0054107C" w:rsidRPr="001953BB" w:rsidRDefault="0054107C" w:rsidP="00961D1F">
      <w:pPr>
        <w:rPr>
          <w:rFonts w:cs="Times New Roman"/>
          <w:lang w:val="zh-CN" w:eastAsia="zh-CN"/>
        </w:rPr>
      </w:pPr>
      <w:r w:rsidRPr="001953BB">
        <w:rPr>
          <w:rFonts w:cs="Times New Roman"/>
          <w:b/>
          <w:bCs/>
          <w:lang w:val="zh-CN" w:eastAsia="zh-CN"/>
        </w:rPr>
        <w:t>Employment Density:</w:t>
      </w:r>
      <w:r w:rsidRPr="001953BB">
        <w:rPr>
          <w:rFonts w:cs="Times New Roman"/>
          <w:lang w:eastAsia="zh-CN"/>
        </w:rPr>
        <w:t xml:space="preserve"> </w:t>
      </w:r>
      <w:r w:rsidRPr="001953BB">
        <w:rPr>
          <w:rFonts w:cs="Times New Roman"/>
          <w:lang w:val="zh-CN" w:eastAsia="zh-CN"/>
        </w:rPr>
        <w:t xml:space="preserve">Employment density, with a mean of 0.191 and a high standard deviation (1.332), reflects the concentration of employment within counties. Higher density fosters productivity and supports </w:t>
      </w:r>
      <w:r w:rsidRPr="001953BB">
        <w:rPr>
          <w:rFonts w:cs="Times New Roman"/>
          <w:lang w:eastAsia="zh-CN"/>
        </w:rPr>
        <w:t>establishment</w:t>
      </w:r>
      <w:r w:rsidRPr="001953BB">
        <w:rPr>
          <w:rFonts w:cs="Times New Roman"/>
          <w:lang w:val="zh-CN" w:eastAsia="zh-CN"/>
        </w:rPr>
        <w:t xml:space="preserve"> entries due to agglomeration effects. However, competitive pressures in densely employed regions can lead to increased </w:t>
      </w:r>
      <w:r w:rsidRPr="001953BB">
        <w:rPr>
          <w:rFonts w:cs="Times New Roman"/>
          <w:lang w:eastAsia="zh-CN"/>
        </w:rPr>
        <w:t>establishment</w:t>
      </w:r>
      <w:r w:rsidRPr="001953BB">
        <w:rPr>
          <w:rFonts w:cs="Times New Roman"/>
          <w:lang w:val="zh-CN" w:eastAsia="zh-CN"/>
        </w:rPr>
        <w:t xml:space="preserve"> exits.</w:t>
      </w:r>
    </w:p>
    <w:p w14:paraId="69F8F877" w14:textId="77777777" w:rsidR="0054107C" w:rsidRPr="001953BB" w:rsidRDefault="0054107C" w:rsidP="00961D1F">
      <w:pPr>
        <w:rPr>
          <w:rFonts w:cs="Times New Roman"/>
        </w:rPr>
      </w:pPr>
      <w:r w:rsidRPr="001953BB">
        <w:rPr>
          <w:rFonts w:cs="Times New Roman"/>
          <w:b/>
          <w:bCs/>
          <w:lang w:val="zh-CN" w:eastAsia="zh-CN"/>
        </w:rPr>
        <w:t>Sales Volume (t-1):</w:t>
      </w:r>
      <w:r w:rsidRPr="001953BB">
        <w:rPr>
          <w:rFonts w:cs="Times New Roman"/>
        </w:rPr>
        <w:t xml:space="preserve"> The average sales volume is $621,662, with a high standard deviation of $2,267,050, indicating substantial disparities in economic scale across counties. The maximum value of $188 million underscores the presence of a few counties with extremely large businesses driving economic activity, while many counties experience much smaller sales volumes.</w:t>
      </w:r>
    </w:p>
    <w:p w14:paraId="0F60D8E8" w14:textId="77777777" w:rsidR="0054107C" w:rsidRPr="001953BB" w:rsidRDefault="0054107C" w:rsidP="00961D1F">
      <w:pPr>
        <w:rPr>
          <w:rFonts w:cs="Times New Roman"/>
        </w:rPr>
      </w:pPr>
      <w:r w:rsidRPr="001953BB">
        <w:rPr>
          <w:rFonts w:cs="Times New Roman"/>
          <w:b/>
          <w:bCs/>
          <w:lang w:val="zh-CN" w:eastAsia="zh-CN"/>
        </w:rPr>
        <w:t>Births (t-1):</w:t>
      </w:r>
      <w:r w:rsidRPr="001953BB">
        <w:rPr>
          <w:rFonts w:cs="Times New Roman"/>
        </w:rPr>
        <w:t xml:space="preserve"> Counties see an average of 68.34 establishment births per year, with a wide range (0 to 12,469). The high standard deviation (229.62) indicates significant variability, suggesting that certain counties exhibit substantial entrepreneurial activity, while others show minimal new business formation.</w:t>
      </w:r>
    </w:p>
    <w:p w14:paraId="116DF06F" w14:textId="77777777" w:rsidR="0054107C" w:rsidRPr="001953BB" w:rsidRDefault="0054107C" w:rsidP="00961D1F">
      <w:pPr>
        <w:rPr>
          <w:rFonts w:cs="Times New Roman"/>
        </w:rPr>
      </w:pPr>
      <w:r w:rsidRPr="001953BB">
        <w:rPr>
          <w:rFonts w:cs="Times New Roman"/>
          <w:b/>
          <w:bCs/>
          <w:lang w:val="zh-CN" w:eastAsia="zh-CN"/>
        </w:rPr>
        <w:t>Deaths (t-1):</w:t>
      </w:r>
      <w:r w:rsidRPr="001953BB">
        <w:rPr>
          <w:rFonts w:cs="Times New Roman"/>
        </w:rPr>
        <w:t xml:space="preserve"> Establishment deaths closely align with births, averaging 65.70 per year, with a similarly large range (0 to 13,569) and standard deviation (221.28). This near parity between births and deaths suggests a dynamic but balanced environment in most counties, with notable churn in business activity.</w:t>
      </w:r>
    </w:p>
    <w:p w14:paraId="41AD95FC" w14:textId="77777777" w:rsidR="0054107C" w:rsidRPr="001953BB" w:rsidRDefault="0054107C" w:rsidP="00961D1F">
      <w:pPr>
        <w:rPr>
          <w:rFonts w:cs="Times New Roman"/>
        </w:rPr>
      </w:pPr>
      <w:r w:rsidRPr="001953BB">
        <w:rPr>
          <w:rFonts w:cs="Times New Roman"/>
          <w:b/>
          <w:bCs/>
          <w:lang w:val="zh-CN" w:eastAsia="zh-CN"/>
        </w:rPr>
        <w:lastRenderedPageBreak/>
        <w:t>Relocation Variables (t-1):</w:t>
      </w:r>
      <w:r w:rsidRPr="001953BB">
        <w:rPr>
          <w:rFonts w:cs="Times New Roman"/>
        </w:rPr>
        <w:t xml:space="preserve"> Total inward relocations average 2.85 annually per county, dominated by intra-state movements (2.83) compared to inter-state (0.016). This highlights a clear preference for localized relocations, possibly due to lower costs and greater regulatory familiarity. The minimal inter-state movements reflect limited mobility for businesses across state boundaries. Total outward relocations also average 2.85, mirroring inward relocations, with intra-state out-migrations (2.83) far outpacing inter-state out-migrations (0.016). The pattern underscores the importance of intra-state dynamics in shaping business mobility.</w:t>
      </w:r>
    </w:p>
    <w:p w14:paraId="3B5FBF36" w14:textId="77777777" w:rsidR="0054107C" w:rsidRPr="001953BB" w:rsidRDefault="0054107C" w:rsidP="00961D1F">
      <w:pPr>
        <w:rPr>
          <w:rFonts w:cs="Times New Roman"/>
        </w:rPr>
      </w:pPr>
      <w:r w:rsidRPr="001953BB">
        <w:rPr>
          <w:rFonts w:cs="Times New Roman"/>
          <w:b/>
          <w:bCs/>
          <w:lang w:val="zh-CN" w:eastAsia="zh-CN"/>
        </w:rPr>
        <w:t>Total Entries (t-1):</w:t>
      </w:r>
      <w:r w:rsidRPr="001953BB">
        <w:rPr>
          <w:rFonts w:cs="Times New Roman"/>
        </w:rPr>
        <w:t xml:space="preserve"> Total entries, encompassing both births and inward relocations, average 71.19 per year, with a substantial range (0 to 12,469) and standard deviation (243.13). This variability highlights regional disparities in growth opportunities.</w:t>
      </w:r>
    </w:p>
    <w:p w14:paraId="63374C36" w14:textId="77777777" w:rsidR="0054107C" w:rsidRPr="001953BB" w:rsidRDefault="0054107C" w:rsidP="00961D1F">
      <w:pPr>
        <w:rPr>
          <w:rFonts w:cs="Times New Roman"/>
        </w:rPr>
      </w:pPr>
      <w:r w:rsidRPr="001953BB">
        <w:rPr>
          <w:rFonts w:cs="Times New Roman"/>
          <w:b/>
          <w:bCs/>
          <w:lang w:val="zh-CN" w:eastAsia="zh-CN"/>
        </w:rPr>
        <w:t>Total Exits (t-1):</w:t>
      </w:r>
      <w:r w:rsidRPr="001953BB">
        <w:rPr>
          <w:rFonts w:cs="Times New Roman"/>
        </w:rPr>
        <w:t xml:space="preserve"> Total exits, including deaths and outward relocations, align closely with total entries, averaging 70 per year, with a similarly wide range and standard deviation. This balance between entries and exits reinforces the dynamic equilibrium observed in many counties.</w:t>
      </w:r>
    </w:p>
    <w:p w14:paraId="5B73AC66" w14:textId="38D37E08" w:rsidR="0054107C" w:rsidRPr="001953BB" w:rsidRDefault="00554455" w:rsidP="00961D1F">
      <w:pPr>
        <w:pStyle w:val="Heading3"/>
      </w:pPr>
      <w:bookmarkStart w:id="68" w:name="_Toc187684982"/>
      <w:bookmarkStart w:id="69" w:name="_Toc188378984"/>
      <w:r w:rsidRPr="001953BB">
        <w:rPr>
          <w:lang w:val="en-US"/>
        </w:rPr>
        <w:t>1.</w:t>
      </w:r>
      <w:r w:rsidR="0054107C" w:rsidRPr="001953BB">
        <w:t>3.4 Conclusion</w:t>
      </w:r>
      <w:bookmarkEnd w:id="68"/>
      <w:bookmarkEnd w:id="69"/>
    </w:p>
    <w:p w14:paraId="7FA9BDC3" w14:textId="77777777" w:rsidR="0054107C" w:rsidRPr="001953BB" w:rsidRDefault="0054107C" w:rsidP="00961D1F">
      <w:pPr>
        <w:rPr>
          <w:rFonts w:cs="Times New Roman"/>
        </w:rPr>
      </w:pPr>
      <w:bookmarkStart w:id="70" w:name="_Toc180787827"/>
      <w:r w:rsidRPr="001953BB">
        <w:rPr>
          <w:rFonts w:cs="Times New Roman"/>
        </w:rPr>
        <w:t>In summary, this data section establishes a comprehensive framework for analyzing the relationship between PAD coverage and establishment location outcomes across the LIS and non-LIS sectors. By integrating robust explanatory variables that capture environmental, socio-economic, and regulatory factors, the data preparation aligns closely with the study’s research objectives. This foundation enables a nuanced evaluation of the interplay between conservation policies, business dynamics, and sectoral heterogeneities. The following section details the econometric approach employed to examine the non-linear effects of PAD coverage on establishment location outcomes.</w:t>
      </w:r>
    </w:p>
    <w:p w14:paraId="4B7ECAC7" w14:textId="7F12EC9D" w:rsidR="0054107C" w:rsidRPr="001953BB" w:rsidRDefault="00554455" w:rsidP="00E4693E">
      <w:pPr>
        <w:pStyle w:val="Heading2"/>
        <w:rPr>
          <w:lang w:val="zh-CN"/>
        </w:rPr>
      </w:pPr>
      <w:bookmarkStart w:id="71" w:name="_Toc187684983"/>
      <w:bookmarkStart w:id="72" w:name="_Toc188378985"/>
      <w:r w:rsidRPr="001953BB">
        <w:lastRenderedPageBreak/>
        <w:t>1.</w:t>
      </w:r>
      <w:r w:rsidR="0054107C" w:rsidRPr="001953BB">
        <w:t xml:space="preserve">4 </w:t>
      </w:r>
      <w:r w:rsidR="0054107C" w:rsidRPr="001953BB">
        <w:rPr>
          <w:lang w:val="zh-CN"/>
        </w:rPr>
        <w:t>Methodological Framework</w:t>
      </w:r>
      <w:bookmarkEnd w:id="70"/>
      <w:bookmarkEnd w:id="71"/>
      <w:bookmarkEnd w:id="72"/>
    </w:p>
    <w:p w14:paraId="5A36115A" w14:textId="77777777" w:rsidR="0054107C" w:rsidRPr="001953BB" w:rsidRDefault="0054107C" w:rsidP="00814092">
      <w:pPr>
        <w:rPr>
          <w:rFonts w:cs="Times New Roman"/>
          <w:lang w:val="zh-CN"/>
        </w:rPr>
      </w:pPr>
      <w:r w:rsidRPr="001953BB">
        <w:rPr>
          <w:rFonts w:cs="Times New Roman"/>
          <w:lang w:val="zh-CN"/>
        </w:rPr>
        <w:t>This section outlines the econometric approach used to analyze the effects of PADs on</w:t>
      </w:r>
      <w:r w:rsidRPr="001953BB">
        <w:rPr>
          <w:rFonts w:cs="Times New Roman"/>
        </w:rPr>
        <w:t xml:space="preserve"> the location decision choice of establishments from the </w:t>
      </w:r>
      <w:r w:rsidRPr="001953BB">
        <w:rPr>
          <w:rFonts w:cs="Times New Roman"/>
          <w:lang w:val="zh-CN"/>
        </w:rPr>
        <w:t xml:space="preserve">LIS and non-LIS, emphasizing robustness against endogeneity and incorporating joint-significance tests to evaluate non-linear relationships. </w:t>
      </w:r>
    </w:p>
    <w:p w14:paraId="67449A76" w14:textId="6C43C551" w:rsidR="0054107C" w:rsidRPr="001953BB" w:rsidRDefault="00554455" w:rsidP="00814092">
      <w:pPr>
        <w:pStyle w:val="Heading3"/>
      </w:pPr>
      <w:bookmarkStart w:id="73" w:name="_Toc180787828"/>
      <w:bookmarkStart w:id="74" w:name="_Toc187684984"/>
      <w:bookmarkStart w:id="75" w:name="_Toc188378986"/>
      <w:r w:rsidRPr="001953BB">
        <w:rPr>
          <w:lang w:val="en-US"/>
        </w:rPr>
        <w:t>1.</w:t>
      </w:r>
      <w:r w:rsidR="0054107C" w:rsidRPr="001953BB">
        <w:t>4.1 Econometric Model</w:t>
      </w:r>
      <w:bookmarkEnd w:id="73"/>
      <w:bookmarkEnd w:id="74"/>
      <w:bookmarkEnd w:id="75"/>
    </w:p>
    <w:p w14:paraId="4DE688DE" w14:textId="77777777" w:rsidR="0054107C" w:rsidRPr="001953BB" w:rsidRDefault="0054107C" w:rsidP="00814092">
      <w:pPr>
        <w:rPr>
          <w:rFonts w:cs="Times New Roman"/>
          <w:lang w:val="zh-CN" w:eastAsia="zh-CN"/>
        </w:rPr>
      </w:pPr>
      <w:r w:rsidRPr="001953BB">
        <w:rPr>
          <w:rFonts w:cs="Times New Roman"/>
          <w:lang w:val="zh-CN" w:eastAsia="zh-CN"/>
        </w:rPr>
        <w:t>The analysis employs a Poisson Pseudo-Maximum Likelihood (PPML) estimator with High-Dimensional Fixed Effects (HDFE) to model count data outcomes, including business births, deaths, and relocations.</w:t>
      </w:r>
      <w:r w:rsidRPr="001953BB">
        <w:rPr>
          <w:rFonts w:cs="Times New Roman"/>
          <w:lang w:eastAsia="zh-CN"/>
        </w:rPr>
        <w:t xml:space="preserve"> The </w:t>
      </w:r>
      <w:r w:rsidRPr="001953BB">
        <w:rPr>
          <w:rFonts w:cs="Times New Roman"/>
          <w:lang w:val="zh-CN" w:eastAsia="zh-CN"/>
        </w:rPr>
        <w:t xml:space="preserve">PPML-HDFE </w:t>
      </w:r>
      <w:r w:rsidRPr="001953BB">
        <w:rPr>
          <w:rFonts w:cs="Times New Roman"/>
          <w:lang w:eastAsia="zh-CN"/>
        </w:rPr>
        <w:t xml:space="preserve">approach </w:t>
      </w:r>
      <w:r w:rsidRPr="001953BB">
        <w:rPr>
          <w:rFonts w:cs="Times New Roman"/>
          <w:lang w:val="zh-CN" w:eastAsia="zh-CN"/>
        </w:rPr>
        <w:t>offers several advantages over traditional models such as OLS, Negative Binomial, and Zero-Inflated Poisson models:</w:t>
      </w:r>
    </w:p>
    <w:p w14:paraId="201D8AFC" w14:textId="77777777" w:rsidR="0054107C" w:rsidRPr="001953BB" w:rsidRDefault="0054107C" w:rsidP="00814092">
      <w:pPr>
        <w:numPr>
          <w:ilvl w:val="0"/>
          <w:numId w:val="2"/>
        </w:numPr>
        <w:rPr>
          <w:rFonts w:cs="Times New Roman"/>
          <w:lang w:val="zh-CN"/>
        </w:rPr>
      </w:pPr>
      <w:r w:rsidRPr="001953BB">
        <w:rPr>
          <w:rFonts w:cs="Times New Roman"/>
          <w:b/>
          <w:bCs/>
          <w:lang w:val="zh-CN"/>
        </w:rPr>
        <w:t>Resilience to Heteroskedasticity:</w:t>
      </w:r>
      <w:r w:rsidRPr="001953BB">
        <w:rPr>
          <w:rFonts w:cs="Times New Roman"/>
          <w:lang w:val="zh-CN"/>
        </w:rPr>
        <w:t xml:space="preserve"> Unlike OLS, PPML produces consistent estimates under heteroskedasticity, ensuring robust results even in the presence of skewed data distributions (Santos Silva &amp; Tenreyro, 2006; Correia et al., 2019).</w:t>
      </w:r>
    </w:p>
    <w:p w14:paraId="2869B353" w14:textId="77777777" w:rsidR="0054107C" w:rsidRPr="001953BB" w:rsidRDefault="0054107C" w:rsidP="00814092">
      <w:pPr>
        <w:numPr>
          <w:ilvl w:val="0"/>
          <w:numId w:val="2"/>
        </w:numPr>
        <w:rPr>
          <w:rFonts w:cs="Times New Roman"/>
          <w:lang w:val="zh-CN"/>
        </w:rPr>
      </w:pPr>
      <w:r w:rsidRPr="001953BB">
        <w:rPr>
          <w:rFonts w:cs="Times New Roman"/>
          <w:b/>
          <w:bCs/>
          <w:lang w:val="zh-CN"/>
        </w:rPr>
        <w:t>Handling of Fixed Effects:</w:t>
      </w:r>
      <w:r w:rsidRPr="001953BB">
        <w:rPr>
          <w:rFonts w:cs="Times New Roman"/>
          <w:lang w:val="zh-CN"/>
        </w:rPr>
        <w:t xml:space="preserve"> High-dimensional fixed effects account for unobserved heterogeneity at multiple levels, enhancing the precision and interpretability of our coefficients (Fally, 2020).</w:t>
      </w:r>
    </w:p>
    <w:p w14:paraId="7A113F74" w14:textId="77777777" w:rsidR="0054107C" w:rsidRPr="001953BB" w:rsidRDefault="0054107C" w:rsidP="00814092">
      <w:pPr>
        <w:numPr>
          <w:ilvl w:val="0"/>
          <w:numId w:val="2"/>
        </w:numPr>
        <w:rPr>
          <w:rFonts w:cs="Times New Roman"/>
          <w:lang w:val="zh-CN"/>
        </w:rPr>
      </w:pPr>
      <w:r w:rsidRPr="001953BB">
        <w:rPr>
          <w:rFonts w:cs="Times New Roman"/>
          <w:b/>
          <w:bCs/>
          <w:lang w:val="zh-CN"/>
        </w:rPr>
        <w:t>Flexibility for Count Data:</w:t>
      </w:r>
      <w:r w:rsidRPr="001953BB">
        <w:rPr>
          <w:rFonts w:cs="Times New Roman"/>
          <w:lang w:val="zh-CN"/>
        </w:rPr>
        <w:t xml:space="preserve"> PPML is well-suited to datasets with excess zeros and variability across regions, common in business dynamics research (Cameron &amp; Trivedi, 2013).</w:t>
      </w:r>
    </w:p>
    <w:p w14:paraId="02BC5036" w14:textId="77777777" w:rsidR="0054107C" w:rsidRPr="001953BB" w:rsidRDefault="0054107C" w:rsidP="00814092">
      <w:pPr>
        <w:rPr>
          <w:rFonts w:eastAsia="Times New Roman" w:cs="Times New Roman"/>
          <w:lang w:val="zh-CN" w:eastAsia="zh-CN"/>
        </w:rPr>
      </w:pPr>
      <w:r w:rsidRPr="001953BB">
        <w:rPr>
          <w:rFonts w:cs="Times New Roman"/>
          <w:lang w:val="zh-CN" w:eastAsia="zh-CN"/>
        </w:rPr>
        <w:t>The model is specified as follows:</w:t>
      </w:r>
    </w:p>
    <w:p w14:paraId="0D5DDFE4" w14:textId="69F657B1" w:rsidR="0054107C" w:rsidRPr="001953BB" w:rsidRDefault="00000000" w:rsidP="00814092">
      <w:pPr>
        <w:rPr>
          <w:rFonts w:cs="Times New Roman"/>
          <w:lang w:val="zh-CN" w:eastAsia="zh-CN"/>
        </w:rPr>
      </w:pPr>
      <m:oMathPara>
        <m:oMathParaPr>
          <m:jc m:val="left"/>
        </m:oMathParaPr>
        <m:oMath>
          <m:sSub>
            <m:sSubPr>
              <m:ctrlPr>
                <w:rPr>
                  <w:rFonts w:ascii="Cambria Math" w:hAnsi="Cambria Math" w:cs="Times New Roman"/>
                  <w:i/>
                  <w:lang w:val="zh-CN" w:eastAsia="zh-CN"/>
                </w:rPr>
              </m:ctrlPr>
            </m:sSubPr>
            <m:e>
              <m:r>
                <w:rPr>
                  <w:rFonts w:ascii="Cambria Math" w:eastAsia="Times New Roman" w:hAnsi="Cambria Math" w:cs="Times New Roman"/>
                  <w:lang w:val="zh-CN" w:eastAsia="zh-CN"/>
                </w:rPr>
                <m:t>Y</m:t>
              </m:r>
            </m:e>
            <m:sub>
              <m:r>
                <w:rPr>
                  <w:rFonts w:ascii="Cambria Math" w:eastAsia="Times New Roman" w:hAnsi="Cambria Math" w:cs="Times New Roman"/>
                  <w:lang w:val="zh-CN" w:eastAsia="zh-CN"/>
                </w:rPr>
                <m:t>csnt</m:t>
              </m:r>
            </m:sub>
          </m:sSub>
          <m:r>
            <w:rPr>
              <w:rFonts w:ascii="Cambria Math" w:eastAsia="Times New Roman" w:hAnsi="Cambria Math" w:cs="Times New Roman"/>
              <w:lang w:val="zh-CN" w:eastAsia="zh-CN"/>
            </w:rPr>
            <m:t>=</m:t>
          </m:r>
          <m:r>
            <m:rPr>
              <m:sty m:val="p"/>
            </m:rPr>
            <w:rPr>
              <w:rFonts w:ascii="Cambria Math" w:eastAsia="Times New Roman" w:hAnsi="Cambria Math" w:cs="Times New Roman"/>
              <w:lang w:val="zh-CN" w:eastAsia="zh-CN"/>
            </w:rPr>
            <m:t>exp⁡</m:t>
          </m:r>
          <m:r>
            <w:rPr>
              <w:rFonts w:ascii="Cambria Math" w:eastAsia="Times New Roman" w:hAnsi="Cambria Math" w:cs="Times New Roman"/>
              <w:lang w:val="zh-CN" w:eastAsia="zh-CN"/>
            </w:rPr>
            <m:t>(</m:t>
          </m:r>
          <m:sSub>
            <m:sSubPr>
              <m:ctrlPr>
                <w:rPr>
                  <w:rFonts w:ascii="Cambria Math" w:hAnsi="Cambria Math" w:cs="Times New Roman"/>
                  <w:i/>
                  <w:lang w:val="zh-CN" w:eastAsia="zh-CN"/>
                </w:rPr>
              </m:ctrlPr>
            </m:sSubPr>
            <m:e>
              <m:r>
                <w:rPr>
                  <w:rFonts w:ascii="Cambria Math" w:eastAsia="Times New Roman" w:hAnsi="Cambria Math" w:cs="Times New Roman"/>
                  <w:lang w:val="zh-CN" w:eastAsia="zh-CN"/>
                </w:rPr>
                <m:t>β</m:t>
              </m:r>
            </m:e>
            <m:sub>
              <m:r>
                <w:rPr>
                  <w:rFonts w:ascii="Cambria Math" w:eastAsia="Times New Roman" w:hAnsi="Cambria Math" w:cs="Times New Roman"/>
                  <w:lang w:val="zh-CN" w:eastAsia="zh-CN"/>
                </w:rPr>
                <m:t>0</m:t>
              </m:r>
            </m:sub>
          </m:sSub>
          <m:r>
            <w:rPr>
              <w:rFonts w:ascii="Cambria Math" w:eastAsia="Times New Roman" w:hAnsi="Cambria Math" w:cs="Times New Roman"/>
              <w:lang w:val="zh-CN" w:eastAsia="zh-CN"/>
            </w:rPr>
            <m:t>+</m:t>
          </m:r>
          <m:sSub>
            <m:sSubPr>
              <m:ctrlPr>
                <w:rPr>
                  <w:rFonts w:ascii="Cambria Math" w:hAnsi="Cambria Math" w:cs="Times New Roman"/>
                  <w:i/>
                  <w:lang w:val="zh-CN" w:eastAsia="zh-CN"/>
                </w:rPr>
              </m:ctrlPr>
            </m:sSubPr>
            <m:e>
              <m:r>
                <w:rPr>
                  <w:rFonts w:ascii="Cambria Math" w:eastAsia="Times New Roman" w:hAnsi="Cambria Math" w:cs="Times New Roman"/>
                  <w:lang w:val="zh-CN" w:eastAsia="zh-CN"/>
                </w:rPr>
                <m:t>β</m:t>
              </m:r>
            </m:e>
            <m:sub>
              <m:r>
                <w:rPr>
                  <w:rFonts w:ascii="Cambria Math" w:eastAsia="Times New Roman" w:hAnsi="Cambria Math" w:cs="Times New Roman"/>
                  <w:lang w:val="zh-CN" w:eastAsia="zh-CN"/>
                </w:rPr>
                <m:t>1</m:t>
              </m:r>
            </m:sub>
          </m:sSub>
          <m:r>
            <w:rPr>
              <w:rFonts w:ascii="Cambria Math" w:eastAsia="Times New Roman" w:hAnsi="Cambria Math" w:cs="Times New Roman"/>
              <w:lang w:val="zh-CN" w:eastAsia="zh-CN"/>
            </w:rPr>
            <m:t>PA</m:t>
          </m:r>
          <m:sSub>
            <m:sSubPr>
              <m:ctrlPr>
                <w:rPr>
                  <w:rFonts w:ascii="Cambria Math" w:hAnsi="Cambria Math" w:cs="Times New Roman"/>
                  <w:i/>
                  <w:lang w:val="zh-CN" w:eastAsia="zh-CN"/>
                </w:rPr>
              </m:ctrlPr>
            </m:sSubPr>
            <m:e>
              <m:r>
                <w:rPr>
                  <w:rFonts w:ascii="Cambria Math" w:eastAsia="Times New Roman" w:hAnsi="Cambria Math" w:cs="Times New Roman"/>
                  <w:lang w:val="zh-CN" w:eastAsia="zh-CN"/>
                </w:rPr>
                <m:t>D</m:t>
              </m:r>
            </m:e>
            <m:sub>
              <m:r>
                <w:rPr>
                  <w:rFonts w:ascii="Cambria Math" w:eastAsia="Times New Roman" w:hAnsi="Cambria Math" w:cs="Times New Roman"/>
                  <w:lang w:val="zh-CN" w:eastAsia="zh-CN"/>
                </w:rPr>
                <m:t>cs,t-1</m:t>
              </m:r>
            </m:sub>
          </m:sSub>
          <m:r>
            <w:rPr>
              <w:rFonts w:ascii="Cambria Math" w:eastAsia="Times New Roman" w:hAnsi="Cambria Math" w:cs="Times New Roman"/>
              <w:lang w:val="zh-CN" w:eastAsia="zh-CN"/>
            </w:rPr>
            <m:t>+</m:t>
          </m:r>
          <m:sSub>
            <m:sSubPr>
              <m:ctrlPr>
                <w:rPr>
                  <w:rFonts w:ascii="Cambria Math" w:hAnsi="Cambria Math" w:cs="Times New Roman"/>
                  <w:i/>
                  <w:lang w:val="zh-CN" w:eastAsia="zh-CN"/>
                </w:rPr>
              </m:ctrlPr>
            </m:sSubPr>
            <m:e>
              <m:r>
                <w:rPr>
                  <w:rFonts w:ascii="Cambria Math" w:eastAsia="Times New Roman" w:hAnsi="Cambria Math" w:cs="Times New Roman"/>
                  <w:lang w:val="zh-CN" w:eastAsia="zh-CN"/>
                </w:rPr>
                <m:t>β</m:t>
              </m:r>
            </m:e>
            <m:sub>
              <m:r>
                <w:rPr>
                  <w:rFonts w:ascii="Cambria Math" w:eastAsia="Times New Roman" w:hAnsi="Cambria Math" w:cs="Times New Roman"/>
                  <w:lang w:val="zh-CN" w:eastAsia="zh-CN"/>
                </w:rPr>
                <m:t>2</m:t>
              </m:r>
            </m:sub>
          </m:sSub>
          <m:r>
            <w:rPr>
              <w:rFonts w:ascii="Cambria Math" w:eastAsia="Times New Roman" w:hAnsi="Cambria Math" w:cs="Times New Roman"/>
              <w:lang w:val="zh-CN" w:eastAsia="zh-CN"/>
            </w:rPr>
            <m:t>PA</m:t>
          </m:r>
          <m:sSubSup>
            <m:sSubSupPr>
              <m:ctrlPr>
                <w:rPr>
                  <w:rFonts w:ascii="Cambria Math" w:hAnsi="Cambria Math" w:cs="Times New Roman"/>
                  <w:i/>
                  <w:lang w:val="zh-CN" w:eastAsia="zh-CN"/>
                </w:rPr>
              </m:ctrlPr>
            </m:sSubSupPr>
            <m:e>
              <m:r>
                <w:rPr>
                  <w:rFonts w:ascii="Cambria Math" w:eastAsia="Times New Roman" w:hAnsi="Cambria Math" w:cs="Times New Roman"/>
                  <w:lang w:val="zh-CN" w:eastAsia="zh-CN"/>
                </w:rPr>
                <m:t>D</m:t>
              </m:r>
            </m:e>
            <m:sub>
              <m:r>
                <w:rPr>
                  <w:rFonts w:ascii="Cambria Math" w:eastAsia="Times New Roman" w:hAnsi="Cambria Math" w:cs="Times New Roman"/>
                  <w:lang w:val="zh-CN" w:eastAsia="zh-CN"/>
                </w:rPr>
                <m:t>cs,t-1</m:t>
              </m:r>
            </m:sub>
            <m:sup>
              <m:r>
                <w:rPr>
                  <w:rFonts w:ascii="Cambria Math" w:eastAsia="Times New Roman" w:hAnsi="Cambria Math" w:cs="Times New Roman"/>
                  <w:lang w:val="zh-CN" w:eastAsia="zh-CN"/>
                </w:rPr>
                <m:t>2</m:t>
              </m:r>
            </m:sup>
          </m:sSubSup>
          <m:r>
            <w:rPr>
              <w:rFonts w:ascii="Cambria Math" w:eastAsia="Times New Roman" w:hAnsi="Cambria Math" w:cs="Times New Roman"/>
              <w:lang w:val="zh-CN" w:eastAsia="zh-CN"/>
            </w:rPr>
            <m:t>+</m:t>
          </m:r>
          <m:nary>
            <m:naryPr>
              <m:chr m:val="∑"/>
              <m:limLoc m:val="undOvr"/>
              <m:subHide m:val="1"/>
              <m:supHide m:val="1"/>
              <m:ctrlPr>
                <w:rPr>
                  <w:rFonts w:ascii="Cambria Math" w:hAnsi="Cambria Math" w:cs="Times New Roman"/>
                  <w:i/>
                  <w:lang w:val="zh-CN" w:eastAsia="zh-CN"/>
                </w:rPr>
              </m:ctrlPr>
            </m:naryPr>
            <m:sub/>
            <m:sup/>
            <m:e>
              <m:r>
                <w:rPr>
                  <w:rFonts w:ascii="Cambria Math" w:eastAsia="Times New Roman" w:hAnsi="Cambria Math" w:cs="Times New Roman"/>
                  <w:lang w:val="zh-CN" w:eastAsia="zh-CN"/>
                </w:rPr>
                <m:t>β</m:t>
              </m:r>
              <m:sSub>
                <m:sSubPr>
                  <m:ctrlPr>
                    <w:rPr>
                      <w:rFonts w:ascii="Cambria Math" w:hAnsi="Cambria Math" w:cs="Times New Roman"/>
                      <w:i/>
                      <w:lang w:val="zh-CN" w:eastAsia="zh-CN"/>
                    </w:rPr>
                  </m:ctrlPr>
                </m:sSubPr>
                <m:e>
                  <m:r>
                    <w:rPr>
                      <w:rFonts w:ascii="Cambria Math" w:eastAsia="Times New Roman" w:hAnsi="Cambria Math" w:cs="Times New Roman"/>
                      <w:lang w:val="zh-CN" w:eastAsia="zh-CN"/>
                    </w:rPr>
                    <m:t>X</m:t>
                  </m:r>
                </m:e>
                <m:sub>
                  <m:r>
                    <w:rPr>
                      <w:rFonts w:ascii="Cambria Math" w:eastAsia="Times New Roman" w:hAnsi="Cambria Math" w:cs="Times New Roman"/>
                      <w:lang w:val="zh-CN" w:eastAsia="zh-CN"/>
                    </w:rPr>
                    <m:t>csnt</m:t>
                  </m:r>
                </m:sub>
              </m:sSub>
            </m:e>
          </m:nary>
          <m:r>
            <w:rPr>
              <w:rFonts w:ascii="Cambria Math" w:eastAsia="Times New Roman" w:hAnsi="Cambria Math" w:cs="Times New Roman"/>
              <w:lang w:val="zh-CN" w:eastAsia="zh-CN"/>
            </w:rPr>
            <m:t>+</m:t>
          </m:r>
          <m:sSub>
            <m:sSubPr>
              <m:ctrlPr>
                <w:rPr>
                  <w:rFonts w:ascii="Cambria Math" w:hAnsi="Cambria Math" w:cs="Times New Roman"/>
                  <w:i/>
                  <w:lang w:val="zh-CN" w:eastAsia="zh-CN"/>
                </w:rPr>
              </m:ctrlPr>
            </m:sSubPr>
            <m:e>
              <m:r>
                <w:rPr>
                  <w:rFonts w:ascii="Cambria Math" w:eastAsia="Times New Roman" w:hAnsi="Cambria Math" w:cs="Times New Roman"/>
                  <w:lang w:val="zh-CN" w:eastAsia="zh-CN"/>
                </w:rPr>
                <m:t>γ</m:t>
              </m:r>
            </m:e>
            <m:sub>
              <m:r>
                <w:rPr>
                  <w:rFonts w:ascii="Cambria Math" w:eastAsia="Times New Roman" w:hAnsi="Cambria Math" w:cs="Times New Roman"/>
                  <w:lang w:val="zh-CN" w:eastAsia="zh-CN"/>
                </w:rPr>
                <m:t>c</m:t>
              </m:r>
            </m:sub>
          </m:sSub>
          <m:r>
            <m:rPr>
              <m:lit/>
            </m:rPr>
            <w:rPr>
              <w:rFonts w:ascii="Cambria Math" w:eastAsia="Times New Roman" w:hAnsi="Cambria Math" w:cs="Times New Roman"/>
              <w:lang w:val="zh-CN" w:eastAsia="zh-CN"/>
            </w:rPr>
            <m:t>+</m:t>
          </m:r>
          <m:sSub>
            <m:sSubPr>
              <m:ctrlPr>
                <w:rPr>
                  <w:rFonts w:ascii="Cambria Math" w:hAnsi="Cambria Math" w:cs="Times New Roman"/>
                  <w:i/>
                  <w:lang w:val="zh-CN" w:eastAsia="zh-CN"/>
                </w:rPr>
              </m:ctrlPr>
            </m:sSubPr>
            <m:e>
              <m:r>
                <w:rPr>
                  <w:rFonts w:ascii="Cambria Math" w:eastAsia="Times New Roman" w:hAnsi="Cambria Math" w:cs="Times New Roman"/>
                  <w:lang w:val="zh-CN" w:eastAsia="zh-CN"/>
                </w:rPr>
                <m:t>α</m:t>
              </m:r>
            </m:e>
            <m:sub>
              <m:r>
                <w:rPr>
                  <w:rFonts w:ascii="Cambria Math" w:eastAsia="Times New Roman" w:hAnsi="Cambria Math" w:cs="Times New Roman"/>
                  <w:lang w:val="zh-CN" w:eastAsia="zh-CN"/>
                </w:rPr>
                <m:t>s*t</m:t>
              </m:r>
            </m:sub>
          </m:sSub>
          <m:r>
            <w:rPr>
              <w:rFonts w:ascii="Cambria Math" w:eastAsia="Times New Roman" w:hAnsi="Cambria Math" w:cs="Times New Roman"/>
              <w:lang w:val="zh-CN" w:eastAsia="zh-CN"/>
            </w:rPr>
            <m:t>+</m:t>
          </m:r>
          <m:sSub>
            <m:sSubPr>
              <m:ctrlPr>
                <w:rPr>
                  <w:rFonts w:ascii="Cambria Math" w:hAnsi="Cambria Math" w:cs="Times New Roman"/>
                  <w:i/>
                  <w:lang w:val="zh-CN" w:eastAsia="zh-CN"/>
                </w:rPr>
              </m:ctrlPr>
            </m:sSubPr>
            <m:e>
              <m:r>
                <w:rPr>
                  <w:rFonts w:ascii="Cambria Math" w:eastAsia="Times New Roman" w:hAnsi="Cambria Math" w:cs="Times New Roman"/>
                  <w:lang w:val="zh-CN" w:eastAsia="zh-CN"/>
                </w:rPr>
                <m:t>δ</m:t>
              </m:r>
            </m:e>
            <m:sub>
              <m:r>
                <w:rPr>
                  <w:rFonts w:ascii="Cambria Math" w:eastAsia="Times New Roman" w:hAnsi="Cambria Math" w:cs="Times New Roman"/>
                  <w:lang w:val="zh-CN" w:eastAsia="zh-CN"/>
                </w:rPr>
                <m:t>n</m:t>
              </m:r>
            </m:sub>
          </m:sSub>
          <m:r>
            <w:rPr>
              <w:rFonts w:ascii="Cambria Math" w:eastAsia="Times New Roman" w:hAnsi="Cambria Math" w:cs="Times New Roman"/>
              <w:lang w:val="zh-CN" w:eastAsia="zh-CN"/>
            </w:rPr>
            <m:t>)+</m:t>
          </m:r>
          <m:sSub>
            <m:sSubPr>
              <m:ctrlPr>
                <w:rPr>
                  <w:rFonts w:ascii="Cambria Math" w:hAnsi="Cambria Math" w:cs="Times New Roman"/>
                  <w:i/>
                  <w:lang w:val="zh-CN" w:eastAsia="zh-CN"/>
                </w:rPr>
              </m:ctrlPr>
            </m:sSubPr>
            <m:e>
              <m:r>
                <w:rPr>
                  <w:rFonts w:ascii="Cambria Math" w:eastAsia="Times New Roman" w:hAnsi="Cambria Math" w:cs="Times New Roman"/>
                  <w:lang w:val="zh-CN" w:eastAsia="zh-CN"/>
                </w:rPr>
                <m:t>ϵ</m:t>
              </m:r>
            </m:e>
            <m:sub>
              <m:r>
                <w:rPr>
                  <w:rFonts w:ascii="Cambria Math" w:eastAsia="Times New Roman" w:hAnsi="Cambria Math" w:cs="Times New Roman"/>
                  <w:lang w:val="zh-CN" w:eastAsia="zh-CN"/>
                </w:rPr>
                <m:t>cstn</m:t>
              </m:r>
            </m:sub>
          </m:sSub>
        </m:oMath>
      </m:oMathPara>
    </w:p>
    <w:p w14:paraId="2A8F1345" w14:textId="770C81AE" w:rsidR="00C76E15" w:rsidRPr="001953BB" w:rsidRDefault="00C76E15" w:rsidP="00814092">
      <w:pPr>
        <w:rPr>
          <w:rFonts w:cs="Times New Roman"/>
          <w:lang w:eastAsia="zh-CN"/>
        </w:rPr>
      </w:pPr>
      <w:proofErr w:type="gramStart"/>
      <w:r w:rsidRPr="001953BB">
        <w:rPr>
          <w:rFonts w:cs="Times New Roman"/>
          <w:lang w:eastAsia="zh-CN"/>
        </w:rPr>
        <w:t>Where</w:t>
      </w:r>
      <w:proofErr w:type="gramEnd"/>
      <w:r w:rsidRPr="001953BB">
        <w:rPr>
          <w:rFonts w:cs="Times New Roman"/>
          <w:lang w:eastAsia="zh-CN"/>
        </w:rPr>
        <w:t>,</w:t>
      </w:r>
    </w:p>
    <w:p w14:paraId="6562F11D" w14:textId="77777777" w:rsidR="0054107C" w:rsidRPr="001953BB" w:rsidRDefault="00000000" w:rsidP="00814092">
      <w:pPr>
        <w:numPr>
          <w:ilvl w:val="0"/>
          <w:numId w:val="3"/>
        </w:numPr>
        <w:contextualSpacing/>
        <w:rPr>
          <w:rFonts w:cs="Times New Roman"/>
          <w:kern w:val="2"/>
          <w:lang w:val="zh-CN" w:eastAsia="zh-CN"/>
        </w:rPr>
      </w:pPr>
      <m:oMath>
        <m:sSub>
          <m:sSubPr>
            <m:ctrlPr>
              <w:rPr>
                <w:rFonts w:ascii="Cambria Math" w:hAnsi="Cambria Math" w:cs="Times New Roman"/>
                <w:i/>
                <w:lang w:val="zh-CN" w:eastAsia="zh-CN"/>
              </w:rPr>
            </m:ctrlPr>
          </m:sSubPr>
          <m:e>
            <m:r>
              <w:rPr>
                <w:rFonts w:ascii="Cambria Math" w:hAnsi="Cambria Math" w:cs="Times New Roman"/>
                <w:lang w:val="zh-CN" w:eastAsia="zh-CN"/>
              </w:rPr>
              <m:t>Y</m:t>
            </m:r>
          </m:e>
          <m:sub>
            <m:r>
              <w:rPr>
                <w:rFonts w:ascii="Cambria Math" w:hAnsi="Cambria Math" w:cs="Times New Roman"/>
                <w:lang w:val="zh-CN" w:eastAsia="zh-CN"/>
              </w:rPr>
              <m:t>csnt</m:t>
            </m:r>
          </m:sub>
        </m:sSub>
        <m:r>
          <w:rPr>
            <w:rFonts w:ascii="Cambria Math" w:hAnsi="Cambria Math" w:cs="Times New Roman"/>
            <w:lang w:val="zh-CN" w:eastAsia="zh-CN"/>
          </w:rPr>
          <m:t>:</m:t>
        </m:r>
      </m:oMath>
      <w:r w:rsidR="0054107C" w:rsidRPr="001953BB">
        <w:rPr>
          <w:rFonts w:cs="Times New Roman"/>
          <w:lang w:val="zh-CN" w:eastAsia="zh-CN"/>
        </w:rPr>
        <w:t xml:space="preserve"> </w:t>
      </w:r>
      <w:r w:rsidR="0054107C" w:rsidRPr="001953BB">
        <w:rPr>
          <w:rFonts w:cs="Times New Roman"/>
          <w:lang w:eastAsia="zh-CN"/>
        </w:rPr>
        <w:t>O</w:t>
      </w:r>
      <w:r w:rsidR="0054107C" w:rsidRPr="001953BB">
        <w:rPr>
          <w:rFonts w:cs="Times New Roman"/>
          <w:kern w:val="2"/>
          <w:lang w:val="zh-CN" w:eastAsia="zh-CN"/>
        </w:rPr>
        <w:t xml:space="preserve">utcome </w:t>
      </w:r>
      <w:r w:rsidR="0054107C" w:rsidRPr="001953BB">
        <w:rPr>
          <w:rFonts w:cs="Times New Roman"/>
          <w:kern w:val="2"/>
          <w:lang w:eastAsia="zh-CN"/>
        </w:rPr>
        <w:t>variable</w:t>
      </w:r>
      <w:r w:rsidR="0054107C" w:rsidRPr="001953BB">
        <w:rPr>
          <w:rFonts w:cs="Times New Roman"/>
          <w:kern w:val="2"/>
          <w:lang w:val="zh-CN" w:eastAsia="zh-CN"/>
        </w:rPr>
        <w:t xml:space="preserve"> </w:t>
      </w:r>
      <w:r w:rsidR="0054107C" w:rsidRPr="001953BB">
        <w:rPr>
          <w:rFonts w:cs="Times New Roman"/>
          <w:kern w:val="2"/>
          <w:lang w:eastAsia="zh-CN"/>
        </w:rPr>
        <w:t>for</w:t>
      </w:r>
      <w:r w:rsidR="0054107C" w:rsidRPr="001953BB">
        <w:rPr>
          <w:rFonts w:cs="Times New Roman"/>
          <w:kern w:val="2"/>
          <w:lang w:val="zh-CN" w:eastAsia="zh-CN"/>
        </w:rPr>
        <w:t xml:space="preserve"> county </w:t>
      </w:r>
      <w:r w:rsidR="0054107C" w:rsidRPr="001953BB">
        <w:rPr>
          <w:rFonts w:cs="Times New Roman"/>
          <w:i/>
          <w:iCs/>
          <w:kern w:val="2"/>
          <w:lang w:val="zh-CN" w:eastAsia="zh-CN"/>
        </w:rPr>
        <w:t xml:space="preserve">c, </w:t>
      </w:r>
      <w:r w:rsidR="0054107C" w:rsidRPr="001953BB">
        <w:rPr>
          <w:rFonts w:cs="Times New Roman"/>
          <w:kern w:val="2"/>
          <w:lang w:val="zh-CN" w:eastAsia="zh-CN"/>
        </w:rPr>
        <w:t xml:space="preserve">state </w:t>
      </w:r>
      <w:r w:rsidR="0054107C" w:rsidRPr="001953BB">
        <w:rPr>
          <w:rFonts w:cs="Times New Roman"/>
          <w:i/>
          <w:iCs/>
          <w:kern w:val="2"/>
          <w:lang w:val="zh-CN" w:eastAsia="zh-CN"/>
        </w:rPr>
        <w:t>s</w:t>
      </w:r>
      <w:r w:rsidR="0054107C" w:rsidRPr="001953BB">
        <w:rPr>
          <w:rFonts w:cs="Times New Roman"/>
          <w:kern w:val="2"/>
          <w:lang w:val="zh-CN" w:eastAsia="zh-CN"/>
        </w:rPr>
        <w:t xml:space="preserve">, NAICS sector </w:t>
      </w:r>
      <w:r w:rsidR="0054107C" w:rsidRPr="001953BB">
        <w:rPr>
          <w:rFonts w:cs="Times New Roman"/>
          <w:i/>
          <w:iCs/>
          <w:kern w:val="2"/>
          <w:lang w:val="zh-CN" w:eastAsia="zh-CN"/>
        </w:rPr>
        <w:t>n</w:t>
      </w:r>
      <w:r w:rsidR="0054107C" w:rsidRPr="001953BB">
        <w:rPr>
          <w:rFonts w:cs="Times New Roman"/>
          <w:i/>
          <w:iCs/>
          <w:kern w:val="2"/>
          <w:lang w:eastAsia="zh-CN"/>
        </w:rPr>
        <w:t>,</w:t>
      </w:r>
      <w:r w:rsidR="0054107C" w:rsidRPr="001953BB">
        <w:rPr>
          <w:rFonts w:cs="Times New Roman"/>
          <w:kern w:val="2"/>
          <w:lang w:val="zh-CN" w:eastAsia="zh-CN"/>
        </w:rPr>
        <w:t xml:space="preserve"> year </w:t>
      </w:r>
      <w:r w:rsidR="0054107C" w:rsidRPr="001953BB">
        <w:rPr>
          <w:rFonts w:cs="Times New Roman"/>
          <w:i/>
          <w:iCs/>
          <w:kern w:val="2"/>
          <w:lang w:val="zh-CN" w:eastAsia="zh-CN"/>
        </w:rPr>
        <w:t>t</w:t>
      </w:r>
      <w:r w:rsidR="0054107C" w:rsidRPr="001953BB">
        <w:rPr>
          <w:rFonts w:cs="Times New Roman"/>
          <w:kern w:val="2"/>
          <w:lang w:eastAsia="zh-CN"/>
        </w:rPr>
        <w:t>.</w:t>
      </w:r>
    </w:p>
    <w:p w14:paraId="1FC8DABA" w14:textId="77777777" w:rsidR="0054107C" w:rsidRPr="001953BB" w:rsidRDefault="0054107C" w:rsidP="00814092">
      <w:pPr>
        <w:numPr>
          <w:ilvl w:val="0"/>
          <w:numId w:val="3"/>
        </w:numPr>
        <w:contextualSpacing/>
        <w:rPr>
          <w:rFonts w:cs="Times New Roman"/>
          <w:kern w:val="2"/>
          <w:lang w:val="zh-CN" w:eastAsia="zh-CN"/>
        </w:rPr>
      </w:pPr>
      <m:oMath>
        <m:r>
          <w:rPr>
            <w:rFonts w:ascii="Cambria Math" w:hAnsi="Cambria Math" w:cs="Times New Roman"/>
            <w:kern w:val="2"/>
            <w:lang w:val="zh-CN" w:eastAsia="zh-CN"/>
          </w:rPr>
          <m:t>PA</m:t>
        </m:r>
        <m:sSub>
          <m:sSubPr>
            <m:ctrlPr>
              <w:rPr>
                <w:rFonts w:ascii="Cambria Math" w:hAnsi="Cambria Math" w:cs="Times New Roman"/>
                <w:i/>
                <w:kern w:val="2"/>
                <w:lang w:val="zh-CN" w:eastAsia="zh-CN"/>
              </w:rPr>
            </m:ctrlPr>
          </m:sSubPr>
          <m:e>
            <m:r>
              <w:rPr>
                <w:rFonts w:ascii="Cambria Math" w:hAnsi="Cambria Math" w:cs="Times New Roman"/>
                <w:kern w:val="2"/>
                <w:lang w:val="zh-CN" w:eastAsia="zh-CN"/>
              </w:rPr>
              <m:t>D</m:t>
            </m:r>
          </m:e>
          <m:sub>
            <m:r>
              <w:rPr>
                <w:rFonts w:ascii="Cambria Math" w:hAnsi="Cambria Math" w:cs="Times New Roman"/>
                <w:kern w:val="2"/>
                <w:lang w:val="zh-CN" w:eastAsia="zh-CN"/>
              </w:rPr>
              <m:t>cs,t-1</m:t>
            </m:r>
          </m:sub>
        </m:sSub>
        <m:r>
          <w:rPr>
            <w:rFonts w:ascii="Cambria Math" w:hAnsi="Cambria Math" w:cs="Times New Roman"/>
            <w:kern w:val="2"/>
            <w:lang w:val="zh-CN" w:eastAsia="zh-CN"/>
          </w:rPr>
          <m:t>:</m:t>
        </m:r>
      </m:oMath>
      <w:r w:rsidRPr="001953BB">
        <w:rPr>
          <w:rFonts w:cs="Times New Roman"/>
          <w:kern w:val="2"/>
          <w:lang w:val="zh-CN" w:eastAsia="zh-CN"/>
        </w:rPr>
        <w:t xml:space="preserve"> Lagged percentage of county land under PADs.</w:t>
      </w:r>
    </w:p>
    <w:p w14:paraId="777BC857" w14:textId="77777777" w:rsidR="0054107C" w:rsidRPr="001953BB" w:rsidRDefault="0054107C" w:rsidP="00814092">
      <w:pPr>
        <w:numPr>
          <w:ilvl w:val="0"/>
          <w:numId w:val="3"/>
        </w:numPr>
        <w:contextualSpacing/>
        <w:rPr>
          <w:rFonts w:cs="Times New Roman"/>
          <w:kern w:val="2"/>
          <w:lang w:val="zh-CN" w:eastAsia="zh-CN"/>
        </w:rPr>
      </w:pPr>
      <m:oMath>
        <m:r>
          <w:rPr>
            <w:rFonts w:ascii="Cambria Math" w:hAnsi="Cambria Math" w:cs="Times New Roman"/>
            <w:kern w:val="2"/>
            <w:lang w:val="zh-CN" w:eastAsia="zh-CN"/>
          </w:rPr>
          <m:t>PA</m:t>
        </m:r>
        <m:sSubSup>
          <m:sSubSupPr>
            <m:ctrlPr>
              <w:rPr>
                <w:rFonts w:ascii="Cambria Math" w:hAnsi="Cambria Math" w:cs="Times New Roman"/>
                <w:i/>
                <w:kern w:val="2"/>
                <w:lang w:val="zh-CN" w:eastAsia="zh-CN"/>
              </w:rPr>
            </m:ctrlPr>
          </m:sSubSupPr>
          <m:e>
            <m:r>
              <w:rPr>
                <w:rFonts w:ascii="Cambria Math" w:hAnsi="Cambria Math" w:cs="Times New Roman"/>
                <w:kern w:val="2"/>
                <w:lang w:val="zh-CN" w:eastAsia="zh-CN"/>
              </w:rPr>
              <m:t>D</m:t>
            </m:r>
          </m:e>
          <m:sub>
            <m:r>
              <w:rPr>
                <w:rFonts w:ascii="Cambria Math" w:hAnsi="Cambria Math" w:cs="Times New Roman"/>
                <w:kern w:val="2"/>
                <w:lang w:val="zh-CN" w:eastAsia="zh-CN"/>
              </w:rPr>
              <m:t>cs,t-1</m:t>
            </m:r>
          </m:sub>
          <m:sup>
            <m:r>
              <w:rPr>
                <w:rFonts w:ascii="Cambria Math" w:hAnsi="Cambria Math" w:cs="Times New Roman"/>
                <w:kern w:val="2"/>
                <w:lang w:val="zh-CN" w:eastAsia="zh-CN"/>
              </w:rPr>
              <m:t>2</m:t>
            </m:r>
          </m:sup>
        </m:sSubSup>
        <m:r>
          <w:rPr>
            <w:rFonts w:ascii="Cambria Math" w:hAnsi="Cambria Math" w:cs="Times New Roman"/>
            <w:kern w:val="2"/>
            <w:lang w:val="zh-CN" w:eastAsia="zh-CN"/>
          </w:rPr>
          <m:t>:</m:t>
        </m:r>
      </m:oMath>
      <w:r w:rsidRPr="001953BB">
        <w:rPr>
          <w:rFonts w:cs="Times New Roman"/>
          <w:kern w:val="2"/>
          <w:lang w:val="zh-CN" w:eastAsia="zh-CN"/>
        </w:rPr>
        <w:t xml:space="preserve"> Quadratic</w:t>
      </w:r>
      <w:r w:rsidRPr="001953BB">
        <w:rPr>
          <w:rFonts w:cs="Times New Roman"/>
          <w:kern w:val="2"/>
          <w:lang w:eastAsia="zh-CN"/>
        </w:rPr>
        <w:t xml:space="preserve"> PAD</w:t>
      </w:r>
      <w:r w:rsidRPr="001953BB">
        <w:rPr>
          <w:rFonts w:cs="Times New Roman"/>
          <w:kern w:val="2"/>
          <w:lang w:val="zh-CN" w:eastAsia="zh-CN"/>
        </w:rPr>
        <w:t xml:space="preserve"> term modeling non-linear dynamics.</w:t>
      </w:r>
    </w:p>
    <w:p w14:paraId="62C1A957" w14:textId="77777777" w:rsidR="0054107C" w:rsidRPr="001953BB" w:rsidRDefault="00000000" w:rsidP="00814092">
      <w:pPr>
        <w:numPr>
          <w:ilvl w:val="0"/>
          <w:numId w:val="3"/>
        </w:numPr>
        <w:contextualSpacing/>
        <w:rPr>
          <w:rFonts w:cs="Times New Roman"/>
          <w:kern w:val="2"/>
          <w:lang w:val="zh-CN" w:eastAsia="zh-CN"/>
        </w:rPr>
      </w:pPr>
      <m:oMath>
        <m:sSub>
          <m:sSubPr>
            <m:ctrlPr>
              <w:rPr>
                <w:rFonts w:ascii="Cambria Math" w:hAnsi="Cambria Math" w:cs="Times New Roman"/>
                <w:i/>
                <w:kern w:val="2"/>
                <w:lang w:val="zh-CN" w:eastAsia="zh-CN"/>
              </w:rPr>
            </m:ctrlPr>
          </m:sSubPr>
          <m:e>
            <m:r>
              <w:rPr>
                <w:rFonts w:ascii="Cambria Math" w:hAnsi="Cambria Math" w:cs="Times New Roman"/>
                <w:kern w:val="2"/>
                <w:lang w:val="zh-CN" w:eastAsia="zh-CN"/>
              </w:rPr>
              <m:t>γ</m:t>
            </m:r>
          </m:e>
          <m:sub>
            <m:r>
              <w:rPr>
                <w:rFonts w:ascii="Cambria Math" w:hAnsi="Cambria Math" w:cs="Times New Roman"/>
                <w:kern w:val="2"/>
                <w:lang w:val="zh-CN" w:eastAsia="zh-CN"/>
              </w:rPr>
              <m:t>c</m:t>
            </m:r>
          </m:sub>
        </m:sSub>
        <m:r>
          <w:rPr>
            <w:rFonts w:ascii="Cambria Math" w:hAnsi="Cambria Math" w:cs="Times New Roman"/>
            <w:kern w:val="2"/>
            <w:lang w:val="zh-CN" w:eastAsia="zh-CN"/>
          </w:rPr>
          <m:t xml:space="preserve">, </m:t>
        </m:r>
        <m:sSub>
          <m:sSubPr>
            <m:ctrlPr>
              <w:rPr>
                <w:rFonts w:ascii="Cambria Math" w:hAnsi="Cambria Math" w:cs="Times New Roman"/>
                <w:i/>
                <w:kern w:val="2"/>
                <w:lang w:val="zh-CN" w:eastAsia="zh-CN"/>
              </w:rPr>
            </m:ctrlPr>
          </m:sSubPr>
          <m:e>
            <m:r>
              <w:rPr>
                <w:rFonts w:ascii="Cambria Math" w:hAnsi="Cambria Math" w:cs="Times New Roman"/>
                <w:kern w:val="2"/>
                <w:lang w:val="zh-CN" w:eastAsia="zh-CN"/>
              </w:rPr>
              <m:t>α</m:t>
            </m:r>
          </m:e>
          <m:sub>
            <m:r>
              <w:rPr>
                <w:rFonts w:ascii="Cambria Math" w:hAnsi="Cambria Math" w:cs="Times New Roman"/>
                <w:kern w:val="2"/>
                <w:lang w:val="zh-CN" w:eastAsia="zh-CN"/>
              </w:rPr>
              <m:t>s*t</m:t>
            </m:r>
          </m:sub>
        </m:sSub>
        <m:r>
          <w:rPr>
            <w:rFonts w:ascii="Cambria Math" w:hAnsi="Cambria Math" w:cs="Times New Roman"/>
            <w:kern w:val="2"/>
            <w:lang w:val="zh-CN" w:eastAsia="zh-CN"/>
          </w:rPr>
          <m:t>,</m:t>
        </m:r>
        <m:sSub>
          <m:sSubPr>
            <m:ctrlPr>
              <w:rPr>
                <w:rFonts w:ascii="Cambria Math" w:hAnsi="Cambria Math" w:cs="Times New Roman"/>
                <w:i/>
                <w:kern w:val="2"/>
                <w:lang w:val="zh-CN" w:eastAsia="zh-CN"/>
              </w:rPr>
            </m:ctrlPr>
          </m:sSubPr>
          <m:e>
            <m:r>
              <w:rPr>
                <w:rFonts w:ascii="Cambria Math" w:hAnsi="Cambria Math" w:cs="Times New Roman"/>
                <w:kern w:val="2"/>
                <w:lang w:val="zh-CN" w:eastAsia="zh-CN"/>
              </w:rPr>
              <m:t>δ</m:t>
            </m:r>
          </m:e>
          <m:sub>
            <m:r>
              <w:rPr>
                <w:rFonts w:ascii="Cambria Math" w:hAnsi="Cambria Math" w:cs="Times New Roman"/>
                <w:kern w:val="2"/>
                <w:lang w:val="zh-CN" w:eastAsia="zh-CN"/>
              </w:rPr>
              <m:t>n</m:t>
            </m:r>
          </m:sub>
        </m:sSub>
      </m:oMath>
      <w:r w:rsidR="0054107C" w:rsidRPr="001953BB">
        <w:rPr>
          <w:rFonts w:cs="Times New Roman"/>
          <w:kern w:val="2"/>
          <w:lang w:eastAsia="zh-CN"/>
        </w:rPr>
        <w:t xml:space="preserve">: </w:t>
      </w:r>
      <w:r w:rsidR="0054107C" w:rsidRPr="001953BB">
        <w:rPr>
          <w:rFonts w:cs="Times New Roman"/>
          <w:kern w:val="2"/>
          <w:lang w:val="zh-CN" w:eastAsia="zh-CN"/>
        </w:rPr>
        <w:t>County, state-year, and sector fixed effects, respectively.</w:t>
      </w:r>
    </w:p>
    <w:p w14:paraId="3A8A52A3" w14:textId="77777777" w:rsidR="0054107C" w:rsidRPr="001953BB" w:rsidRDefault="00000000" w:rsidP="00814092">
      <w:pPr>
        <w:numPr>
          <w:ilvl w:val="0"/>
          <w:numId w:val="4"/>
        </w:numPr>
        <w:contextualSpacing/>
        <w:rPr>
          <w:rFonts w:cs="Times New Roman"/>
          <w:b/>
          <w:bCs/>
          <w:lang w:val="zh-CN" w:eastAsia="zh-CN"/>
        </w:rPr>
      </w:pPr>
      <m:oMath>
        <m:sSub>
          <m:sSubPr>
            <m:ctrlPr>
              <w:rPr>
                <w:rFonts w:ascii="Cambria Math" w:hAnsi="Cambria Math" w:cs="Times New Roman"/>
                <w:i/>
                <w:kern w:val="2"/>
                <w:lang w:val="zh-CN" w:eastAsia="zh-CN"/>
              </w:rPr>
            </m:ctrlPr>
          </m:sSubPr>
          <m:e>
            <m:r>
              <w:rPr>
                <w:rFonts w:ascii="Cambria Math" w:eastAsia="Times New Roman" w:hAnsi="Cambria Math" w:cs="Times New Roman"/>
                <w:kern w:val="2"/>
                <w:lang w:val="zh-CN" w:eastAsia="zh-CN"/>
              </w:rPr>
              <m:t>X</m:t>
            </m:r>
          </m:e>
          <m:sub>
            <m:r>
              <w:rPr>
                <w:rFonts w:ascii="Cambria Math" w:eastAsia="Times New Roman" w:hAnsi="Cambria Math" w:cs="Times New Roman"/>
                <w:kern w:val="2"/>
                <w:lang w:val="zh-CN" w:eastAsia="zh-CN"/>
              </w:rPr>
              <m:t>csnt</m:t>
            </m:r>
          </m:sub>
        </m:sSub>
        <m:r>
          <w:rPr>
            <w:rFonts w:ascii="Cambria Math" w:eastAsia="Times New Roman" w:hAnsi="Cambria Math" w:cs="Times New Roman"/>
            <w:kern w:val="2"/>
            <w:lang w:val="zh-CN" w:eastAsia="zh-CN"/>
          </w:rPr>
          <m:t>:</m:t>
        </m:r>
      </m:oMath>
      <w:r w:rsidR="0054107C" w:rsidRPr="001953BB">
        <w:rPr>
          <w:rFonts w:cs="Times New Roman"/>
          <w:kern w:val="2"/>
          <w:lang w:eastAsia="zh-CN"/>
        </w:rPr>
        <w:t xml:space="preserve"> </w:t>
      </w:r>
      <w:r w:rsidR="0054107C" w:rsidRPr="001953BB">
        <w:rPr>
          <w:rFonts w:cs="Times New Roman"/>
          <w:kern w:val="2"/>
          <w:lang w:val="zh-CN" w:eastAsia="zh-CN"/>
        </w:rPr>
        <w:t>Vector of control variables.</w:t>
      </w:r>
    </w:p>
    <w:p w14:paraId="6790FD7F" w14:textId="77777777" w:rsidR="0054107C" w:rsidRPr="001953BB" w:rsidRDefault="00000000" w:rsidP="00814092">
      <w:pPr>
        <w:numPr>
          <w:ilvl w:val="0"/>
          <w:numId w:val="4"/>
        </w:numPr>
        <w:contextualSpacing/>
        <w:rPr>
          <w:rFonts w:cs="Times New Roman"/>
          <w:b/>
          <w:bCs/>
          <w:kern w:val="2"/>
          <w:lang w:val="zh-CN" w:eastAsia="zh-CN"/>
        </w:rPr>
      </w:pPr>
      <m:oMath>
        <m:sSub>
          <m:sSubPr>
            <m:ctrlPr>
              <w:rPr>
                <w:rFonts w:ascii="Cambria Math" w:hAnsi="Cambria Math" w:cs="Times New Roman"/>
                <w:i/>
                <w:kern w:val="2"/>
                <w:lang w:val="zh-CN" w:eastAsia="zh-CN"/>
              </w:rPr>
            </m:ctrlPr>
          </m:sSubPr>
          <m:e>
            <m:r>
              <w:rPr>
                <w:rFonts w:ascii="Cambria Math" w:eastAsia="Times New Roman" w:hAnsi="Cambria Math" w:cs="Times New Roman"/>
                <w:kern w:val="2"/>
                <w:lang w:val="zh-CN" w:eastAsia="zh-CN"/>
              </w:rPr>
              <m:t>ϵ</m:t>
            </m:r>
          </m:e>
          <m:sub>
            <m:r>
              <w:rPr>
                <w:rFonts w:ascii="Cambria Math" w:eastAsia="Times New Roman" w:hAnsi="Cambria Math" w:cs="Times New Roman"/>
                <w:kern w:val="2"/>
                <w:lang w:val="zh-CN" w:eastAsia="zh-CN"/>
              </w:rPr>
              <m:t>cstn</m:t>
            </m:r>
          </m:sub>
        </m:sSub>
        <m:r>
          <w:rPr>
            <w:rFonts w:ascii="Cambria Math" w:hAnsi="Cambria Math" w:cs="Times New Roman"/>
            <w:kern w:val="2"/>
            <w:lang w:val="zh-CN" w:eastAsia="zh-CN"/>
          </w:rPr>
          <m:t>:</m:t>
        </m:r>
      </m:oMath>
      <w:r w:rsidR="0054107C" w:rsidRPr="001953BB">
        <w:rPr>
          <w:rFonts w:cs="Times New Roman"/>
          <w:kern w:val="2"/>
          <w:lang w:val="zh-CN" w:eastAsia="zh-CN"/>
        </w:rPr>
        <w:t xml:space="preserve"> Clustered error term at the county level.</w:t>
      </w:r>
    </w:p>
    <w:p w14:paraId="4059D983" w14:textId="77777777" w:rsidR="0054107C" w:rsidRPr="001953BB" w:rsidRDefault="0054107C" w:rsidP="00814092">
      <w:pPr>
        <w:tabs>
          <w:tab w:val="left" w:pos="720"/>
        </w:tabs>
        <w:rPr>
          <w:rFonts w:cs="Times New Roman"/>
          <w:lang w:val="zh-CN" w:eastAsia="zh-CN"/>
        </w:rPr>
      </w:pPr>
      <w:r w:rsidRPr="001953BB">
        <w:rPr>
          <w:rFonts w:cs="Times New Roman"/>
          <w:lang w:val="zh-CN"/>
        </w:rPr>
        <w:t xml:space="preserve">Results from Hausman tests confirm the superiority of fixed effects over random effects, validating the inclusion of county, state-by-year, and sector fixed effects. These fixed effects isolate within-county temporal variations, mitigating confounding influences from time-invariant and state-level unobserved factors. </w:t>
      </w:r>
    </w:p>
    <w:p w14:paraId="51FA5167" w14:textId="77777777" w:rsidR="0054107C" w:rsidRPr="001953BB" w:rsidRDefault="0054107C" w:rsidP="00814092">
      <w:pPr>
        <w:tabs>
          <w:tab w:val="left" w:pos="720"/>
        </w:tabs>
        <w:rPr>
          <w:rFonts w:cs="Times New Roman"/>
          <w:lang w:val="zh-CN"/>
        </w:rPr>
      </w:pPr>
      <w:bookmarkStart w:id="76" w:name="_Hlk186821886"/>
      <w:r w:rsidRPr="001953BB">
        <w:rPr>
          <w:rFonts w:cs="Times New Roman"/>
          <w:lang w:val="zh-CN"/>
        </w:rPr>
        <w:t>Our models incorporate socio-economic and environmental controls, scaled and lagged where appropriate. Additionally, to account for intertemporal dependencies and dynamic business responses, lagged outcome variables are selectively included in models for specific business location outcomes. This approach aligns with established literature (e.g., Brouwer et al., 2004; Arauzo-Carod, 2009</w:t>
      </w:r>
      <w:r w:rsidRPr="001953BB">
        <w:rPr>
          <w:rFonts w:cs="Times New Roman"/>
        </w:rPr>
        <w:t>;</w:t>
      </w:r>
      <w:r w:rsidRPr="001953BB">
        <w:rPr>
          <w:rFonts w:cs="Times New Roman"/>
          <w:lang/>
        </w:rPr>
        <w:t xml:space="preserve"> Greenstone, 2002</w:t>
      </w:r>
      <w:r w:rsidRPr="001953BB">
        <w:rPr>
          <w:rFonts w:cs="Times New Roman"/>
          <w:lang w:val="zh-CN"/>
        </w:rPr>
        <w:t xml:space="preserve">), which emphasizes the influence of past dynamics on current decisions. </w:t>
      </w:r>
    </w:p>
    <w:p w14:paraId="0B11BBF5" w14:textId="77777777" w:rsidR="0054107C" w:rsidRPr="001953BB" w:rsidRDefault="0054107C" w:rsidP="00814092">
      <w:pPr>
        <w:tabs>
          <w:tab w:val="left" w:pos="720"/>
        </w:tabs>
        <w:rPr>
          <w:rFonts w:cs="Times New Roman"/>
          <w:lang w:val="zh-CN" w:eastAsia="zh-CN"/>
        </w:rPr>
      </w:pPr>
      <w:r w:rsidRPr="001953BB">
        <w:rPr>
          <w:rFonts w:cs="Times New Roman"/>
          <w:lang w:val="zh-CN"/>
        </w:rPr>
        <w:t xml:space="preserve">For establishment births, lagged total exits signal reduced competition or new market opportunities, encouraging entries. Inward relocations are influenced by prior births, which indicate local economic vitality, and past deaths, which highlight market vacancies, while lagged outward relocations reflect market dynamism shaping inflows. Similarly, lagged total exits suggest economic churn, spurring total entries. For establishment deaths, lagged entries capture market saturation or competitive pressures, increasing closure risks. Outward relocations are </w:t>
      </w:r>
      <w:r w:rsidRPr="001953BB">
        <w:rPr>
          <w:rFonts w:cs="Times New Roman"/>
          <w:lang w:val="zh-CN"/>
        </w:rPr>
        <w:lastRenderedPageBreak/>
        <w:t>driven by prior births, which may create crowding effects, and past deaths, which signal instability, while lagged inward relocations underscore how inflows can trigger outflows. Finally, lagged total entries highlight market congestion, potentially leading to exits or relocations. This integration of lagged variables ensures that models capture the dynamic interplay between past and current business activities.</w:t>
      </w:r>
    </w:p>
    <w:p w14:paraId="426449D2" w14:textId="77777777" w:rsidR="0054107C" w:rsidRPr="001953BB" w:rsidRDefault="0054107C" w:rsidP="00814092">
      <w:pPr>
        <w:tabs>
          <w:tab w:val="left" w:pos="720"/>
        </w:tabs>
        <w:rPr>
          <w:rFonts w:cs="Times New Roman"/>
          <w:lang w:val="zh-CN" w:eastAsia="zh-CN"/>
        </w:rPr>
      </w:pPr>
      <w:r w:rsidRPr="001953BB">
        <w:rPr>
          <w:rFonts w:cs="Times New Roman"/>
        </w:rPr>
        <w:t>All our control</w:t>
      </w:r>
      <w:r w:rsidRPr="001953BB">
        <w:rPr>
          <w:rFonts w:cs="Times New Roman"/>
          <w:lang w:val="zh-CN"/>
        </w:rPr>
        <w:t xml:space="preserve"> variables captur</w:t>
      </w:r>
      <w:r w:rsidRPr="001953BB">
        <w:rPr>
          <w:rFonts w:cs="Times New Roman"/>
        </w:rPr>
        <w:t>e</w:t>
      </w:r>
      <w:r w:rsidRPr="001953BB">
        <w:rPr>
          <w:rFonts w:cs="Times New Roman"/>
          <w:lang w:val="zh-CN"/>
        </w:rPr>
        <w:t xml:space="preserve"> broader temporal trends and local economic conditions.</w:t>
      </w:r>
      <w:r w:rsidRPr="001953BB">
        <w:rPr>
          <w:rFonts w:cs="Times New Roman"/>
        </w:rPr>
        <w:t xml:space="preserve"> </w:t>
      </w:r>
      <w:r w:rsidRPr="001953BB">
        <w:rPr>
          <w:rFonts w:cs="Times New Roman"/>
          <w:lang w:val="zh-CN"/>
        </w:rPr>
        <w:t>Variance Inflation Factor (VIF) tests indicate minimal multicollinearity, while AIC/BIC measures demonstrate improved model fit when these variables are included. This ensures th</w:t>
      </w:r>
      <w:r w:rsidRPr="001953BB">
        <w:rPr>
          <w:rFonts w:cs="Times New Roman"/>
        </w:rPr>
        <w:t xml:space="preserve">at our controls significantly </w:t>
      </w:r>
      <w:r w:rsidRPr="001953BB">
        <w:rPr>
          <w:rFonts w:cs="Times New Roman"/>
          <w:lang w:val="zh-CN"/>
        </w:rPr>
        <w:t xml:space="preserve">contribute </w:t>
      </w:r>
      <w:r w:rsidRPr="001953BB">
        <w:rPr>
          <w:rFonts w:cs="Times New Roman"/>
        </w:rPr>
        <w:t xml:space="preserve">to our models, in terms of </w:t>
      </w:r>
      <w:r w:rsidRPr="001953BB">
        <w:rPr>
          <w:rFonts w:cs="Times New Roman"/>
          <w:lang w:val="zh-CN"/>
        </w:rPr>
        <w:t>explanatory power without overfitting, reinforcing the robustness and interpretability of the results.</w:t>
      </w:r>
      <w:r w:rsidRPr="001953BB">
        <w:rPr>
          <w:rFonts w:cs="Times New Roman"/>
        </w:rPr>
        <w:t xml:space="preserve"> </w:t>
      </w:r>
      <w:bookmarkEnd w:id="76"/>
      <w:r w:rsidRPr="001953BB">
        <w:rPr>
          <w:rFonts w:cs="Times New Roman"/>
          <w:lang w:val="zh-CN"/>
        </w:rPr>
        <w:t>This econometric framework provides a robust foundation for analyzing the effects of PAD coverage on business location dynamics, setting the stage for the exploration of non-linear relationships in Section 4.2.</w:t>
      </w:r>
    </w:p>
    <w:p w14:paraId="1C70D063" w14:textId="737EF0D5" w:rsidR="0054107C" w:rsidRPr="001953BB" w:rsidRDefault="00554455" w:rsidP="00814092">
      <w:pPr>
        <w:pStyle w:val="Heading3"/>
      </w:pPr>
      <w:bookmarkStart w:id="77" w:name="_Toc187684985"/>
      <w:bookmarkStart w:id="78" w:name="_Toc188378987"/>
      <w:r w:rsidRPr="001953BB">
        <w:rPr>
          <w:lang w:val="en-US"/>
        </w:rPr>
        <w:t>1.</w:t>
      </w:r>
      <w:r w:rsidR="0054107C" w:rsidRPr="001953BB">
        <w:t>4.2 Decoding Non-linear Dynamics of PADs</w:t>
      </w:r>
      <w:bookmarkEnd w:id="77"/>
      <w:bookmarkEnd w:id="78"/>
    </w:p>
    <w:p w14:paraId="2EF72A4D" w14:textId="77777777" w:rsidR="0054107C" w:rsidRPr="001953BB" w:rsidRDefault="0054107C" w:rsidP="00814092">
      <w:pPr>
        <w:rPr>
          <w:rFonts w:cs="Times New Roman"/>
          <w:b/>
          <w:bCs/>
          <w:lang/>
        </w:rPr>
      </w:pPr>
      <w:r w:rsidRPr="001953BB">
        <w:rPr>
          <w:rFonts w:cs="Times New Roman"/>
          <w:lang/>
        </w:rPr>
        <w:t>To investigate threshold-sensitive effects, the model includes both linear and quadratic terms for PAD coverage:</w:t>
      </w:r>
    </w:p>
    <w:p w14:paraId="5B1E989F" w14:textId="77777777" w:rsidR="0054107C" w:rsidRPr="001953BB" w:rsidRDefault="0054107C" w:rsidP="00814092">
      <w:pPr>
        <w:numPr>
          <w:ilvl w:val="0"/>
          <w:numId w:val="15"/>
        </w:numPr>
        <w:contextualSpacing/>
        <w:rPr>
          <w:rFonts w:cs="Times New Roman"/>
          <w:b/>
          <w:bCs/>
          <w:kern w:val="2"/>
          <w:lang w:eastAsia="zh-CN"/>
        </w:rPr>
      </w:pPr>
      <w:r w:rsidRPr="001953BB">
        <w:rPr>
          <w:rFonts w:cs="Times New Roman"/>
          <w:b/>
          <w:bCs/>
          <w:kern w:val="2"/>
          <w:lang w:eastAsia="zh-CN"/>
        </w:rPr>
        <w:t xml:space="preserve">Linear Term </w:t>
      </w:r>
      <m:oMath>
        <m:r>
          <m:rPr>
            <m:sty m:val="bi"/>
          </m:rPr>
          <w:rPr>
            <w:rFonts w:ascii="Cambria Math" w:hAnsi="Cambria Math" w:cs="Times New Roman"/>
            <w:kern w:val="2"/>
            <w:lang w:eastAsia="zh-CN"/>
          </w:rPr>
          <m:t>(</m:t>
        </m:r>
        <m:r>
          <m:rPr>
            <m:sty m:val="bi"/>
          </m:rPr>
          <w:rPr>
            <w:rFonts w:ascii="Cambria Math" w:eastAsia="Times New Roman" w:hAnsi="Cambria Math" w:cs="Times New Roman"/>
            <w:kern w:val="2"/>
            <w:lang w:val="zh-CN" w:eastAsia="zh-CN"/>
          </w:rPr>
          <m:t>PA</m:t>
        </m:r>
        <m:sSub>
          <m:sSubPr>
            <m:ctrlPr>
              <w:rPr>
                <w:rFonts w:ascii="Cambria Math" w:hAnsi="Cambria Math" w:cs="Times New Roman"/>
                <w:b/>
                <w:bCs/>
                <w:i/>
                <w:kern w:val="2"/>
                <w:lang w:val="zh-CN" w:eastAsia="zh-CN"/>
              </w:rPr>
            </m:ctrlPr>
          </m:sSubPr>
          <m:e>
            <m:r>
              <m:rPr>
                <m:sty m:val="bi"/>
              </m:rPr>
              <w:rPr>
                <w:rFonts w:ascii="Cambria Math" w:eastAsia="Times New Roman" w:hAnsi="Cambria Math" w:cs="Times New Roman"/>
                <w:kern w:val="2"/>
                <w:lang w:val="zh-CN" w:eastAsia="zh-CN"/>
              </w:rPr>
              <m:t>D</m:t>
            </m:r>
          </m:e>
          <m:sub>
            <m:r>
              <m:rPr>
                <m:sty m:val="bi"/>
              </m:rPr>
              <w:rPr>
                <w:rFonts w:ascii="Cambria Math" w:eastAsia="Times New Roman" w:hAnsi="Cambria Math" w:cs="Times New Roman"/>
                <w:kern w:val="2"/>
                <w:lang w:val="zh-CN" w:eastAsia="zh-CN"/>
              </w:rPr>
              <m:t>cs,t-1</m:t>
            </m:r>
          </m:sub>
        </m:sSub>
        <m:r>
          <m:rPr>
            <m:sty m:val="bi"/>
          </m:rPr>
          <w:rPr>
            <w:rFonts w:ascii="Cambria Math" w:eastAsia="Times New Roman" w:hAnsi="Cambria Math" w:cs="Times New Roman"/>
            <w:kern w:val="2"/>
            <w:lang w:val="zh-CN" w:eastAsia="zh-CN"/>
          </w:rPr>
          <m:t>)</m:t>
        </m:r>
      </m:oMath>
      <w:r w:rsidRPr="001953BB">
        <w:rPr>
          <w:rFonts w:cs="Times New Roman"/>
          <w:b/>
          <w:bCs/>
          <w:kern w:val="2"/>
          <w:lang w:eastAsia="zh-CN"/>
        </w:rPr>
        <w:t>:</w:t>
      </w:r>
      <w:r w:rsidRPr="001953BB">
        <w:rPr>
          <w:rFonts w:cs="Times New Roman"/>
          <w:kern w:val="2"/>
          <w:lang w:eastAsia="zh-CN"/>
        </w:rPr>
        <w:t xml:space="preserve"> Captures the initial directional effect of PADs, revealing whether coverage positively or negatively influences business outcomes at low levels.</w:t>
      </w:r>
    </w:p>
    <w:p w14:paraId="3FD204FF" w14:textId="34690FB6" w:rsidR="0054107C" w:rsidRPr="001953BB" w:rsidRDefault="0054107C" w:rsidP="00814092">
      <w:pPr>
        <w:numPr>
          <w:ilvl w:val="0"/>
          <w:numId w:val="15"/>
        </w:numPr>
        <w:contextualSpacing/>
        <w:rPr>
          <w:rFonts w:cs="Times New Roman"/>
          <w:b/>
          <w:bCs/>
          <w:kern w:val="2"/>
          <w:lang w:eastAsia="zh-CN"/>
        </w:rPr>
      </w:pPr>
      <w:r w:rsidRPr="001953BB">
        <w:rPr>
          <w:rFonts w:cs="Times New Roman"/>
          <w:b/>
          <w:bCs/>
          <w:kern w:val="2"/>
          <w:lang w:eastAsia="zh-CN"/>
        </w:rPr>
        <w:t xml:space="preserve">Quadratic Term </w:t>
      </w:r>
      <m:oMath>
        <m:r>
          <m:rPr>
            <m:sty m:val="bi"/>
          </m:rPr>
          <w:rPr>
            <w:rFonts w:ascii="Cambria Math" w:hAnsi="Cambria Math" w:cs="Times New Roman"/>
            <w:kern w:val="2"/>
            <w:lang w:eastAsia="zh-CN"/>
          </w:rPr>
          <m:t>(</m:t>
        </m:r>
        <m:r>
          <m:rPr>
            <m:sty m:val="bi"/>
          </m:rPr>
          <w:rPr>
            <w:rFonts w:ascii="Cambria Math" w:eastAsia="Times New Roman" w:hAnsi="Cambria Math" w:cs="Times New Roman"/>
            <w:kern w:val="2"/>
            <w:lang w:val="zh-CN" w:eastAsia="zh-CN"/>
          </w:rPr>
          <m:t>PA</m:t>
        </m:r>
        <m:sSubSup>
          <m:sSubSupPr>
            <m:ctrlPr>
              <w:rPr>
                <w:rFonts w:ascii="Cambria Math" w:hAnsi="Cambria Math" w:cs="Times New Roman"/>
                <w:b/>
                <w:bCs/>
                <w:i/>
                <w:kern w:val="2"/>
                <w:lang w:val="zh-CN" w:eastAsia="zh-CN"/>
              </w:rPr>
            </m:ctrlPr>
          </m:sSubSupPr>
          <m:e>
            <m:r>
              <m:rPr>
                <m:sty m:val="bi"/>
              </m:rPr>
              <w:rPr>
                <w:rFonts w:ascii="Cambria Math" w:eastAsia="Times New Roman" w:hAnsi="Cambria Math" w:cs="Times New Roman"/>
                <w:kern w:val="2"/>
                <w:lang w:val="zh-CN" w:eastAsia="zh-CN"/>
              </w:rPr>
              <m:t>D</m:t>
            </m:r>
          </m:e>
          <m:sub>
            <m:r>
              <m:rPr>
                <m:sty m:val="bi"/>
              </m:rPr>
              <w:rPr>
                <w:rFonts w:ascii="Cambria Math" w:eastAsia="Times New Roman" w:hAnsi="Cambria Math" w:cs="Times New Roman"/>
                <w:kern w:val="2"/>
                <w:lang w:val="zh-CN" w:eastAsia="zh-CN"/>
              </w:rPr>
              <m:t>cs,t-1</m:t>
            </m:r>
          </m:sub>
          <m:sup>
            <m:r>
              <m:rPr>
                <m:sty m:val="bi"/>
              </m:rPr>
              <w:rPr>
                <w:rFonts w:ascii="Cambria Math" w:eastAsia="Times New Roman" w:hAnsi="Cambria Math" w:cs="Times New Roman"/>
                <w:kern w:val="2"/>
                <w:lang w:val="zh-CN" w:eastAsia="zh-CN"/>
              </w:rPr>
              <m:t>2</m:t>
            </m:r>
          </m:sup>
        </m:sSubSup>
        <m:r>
          <m:rPr>
            <m:sty m:val="bi"/>
          </m:rPr>
          <w:rPr>
            <w:rFonts w:ascii="Cambria Math" w:eastAsia="Times New Roman" w:hAnsi="Cambria Math" w:cs="Times New Roman"/>
            <w:kern w:val="2"/>
            <w:lang w:val="zh-CN" w:eastAsia="zh-CN"/>
          </w:rPr>
          <m:t>)</m:t>
        </m:r>
      </m:oMath>
      <w:r w:rsidRPr="001953BB">
        <w:rPr>
          <w:rFonts w:cs="Times New Roman"/>
          <w:b/>
          <w:bCs/>
          <w:kern w:val="2"/>
          <w:lang w:eastAsia="zh-CN"/>
        </w:rPr>
        <w:t>:</w:t>
      </w:r>
      <w:r w:rsidRPr="001953BB">
        <w:rPr>
          <w:rFonts w:cs="Times New Roman"/>
          <w:kern w:val="2"/>
          <w:lang w:eastAsia="zh-CN"/>
        </w:rPr>
        <w:t xml:space="preserve"> Reflects threshold effects, where PAD effects shift from being constraints to catalysts </w:t>
      </w:r>
      <w:r w:rsidRPr="001953BB">
        <w:rPr>
          <w:rFonts w:cs="Times New Roman"/>
          <w:kern w:val="2"/>
          <w:lang w:eastAsia="zh-CN"/>
        </w:rPr>
        <w:t>(or vi</w:t>
      </w:r>
      <w:r w:rsidR="00C76E15" w:rsidRPr="001953BB">
        <w:rPr>
          <w:rFonts w:cs="Times New Roman"/>
          <w:kern w:val="2"/>
          <w:lang w:eastAsia="zh-CN"/>
        </w:rPr>
        <w:t>c</w:t>
      </w:r>
      <w:r w:rsidRPr="001953BB">
        <w:rPr>
          <w:rFonts w:cs="Times New Roman"/>
          <w:kern w:val="2"/>
          <w:lang w:eastAsia="zh-CN"/>
        </w:rPr>
        <w:t xml:space="preserve">e versa) </w:t>
      </w:r>
      <w:r w:rsidRPr="001953BB">
        <w:rPr>
          <w:rFonts w:cs="Times New Roman"/>
          <w:kern w:val="2"/>
          <w:lang w:eastAsia="zh-CN"/>
        </w:rPr>
        <w:t>for economic activity.</w:t>
      </w:r>
    </w:p>
    <w:p w14:paraId="7716806D" w14:textId="6EE1BE3B" w:rsidR="0054107C" w:rsidRPr="001953BB" w:rsidRDefault="00554455" w:rsidP="001953BB">
      <w:pPr>
        <w:pStyle w:val="Heading4"/>
      </w:pPr>
      <w:bookmarkStart w:id="79" w:name="_Toc187684986"/>
      <w:r w:rsidRPr="001953BB">
        <w:lastRenderedPageBreak/>
        <w:t>1.</w:t>
      </w:r>
      <w:r w:rsidR="0054107C" w:rsidRPr="001953BB">
        <w:t>4.2.1 Joint-Significance Tests</w:t>
      </w:r>
      <w:bookmarkEnd w:id="79"/>
    </w:p>
    <w:p w14:paraId="3549D4FA" w14:textId="77777777" w:rsidR="0054107C" w:rsidRPr="001953BB" w:rsidRDefault="0054107C" w:rsidP="00814092">
      <w:pPr>
        <w:rPr>
          <w:rFonts w:cs="Times New Roman"/>
          <w:lang w:val="zh-CN" w:eastAsia="zh-CN"/>
        </w:rPr>
      </w:pPr>
      <w:r w:rsidRPr="001953BB">
        <w:rPr>
          <w:rFonts w:cs="Times New Roman"/>
          <w:lang w:val="zh-CN"/>
        </w:rPr>
        <w:t xml:space="preserve">To examine the presence of non-linear effects of </w:t>
      </w:r>
      <m:oMath>
        <m:r>
          <w:rPr>
            <w:rFonts w:ascii="Cambria Math" w:hAnsi="Cambria Math" w:cs="Times New Roman"/>
            <w:lang w:val="zh-CN"/>
          </w:rPr>
          <m:t>PAD</m:t>
        </m:r>
      </m:oMath>
      <w:r w:rsidRPr="001953BB">
        <w:rPr>
          <w:rFonts w:cs="Times New Roman"/>
          <w:lang w:val="zh-CN"/>
        </w:rPr>
        <w:t xml:space="preserve"> coverage on the dependent variable (</w:t>
      </w:r>
      <m:oMath>
        <m:r>
          <w:rPr>
            <w:rFonts w:ascii="Cambria Math" w:hAnsi="Cambria Math" w:cs="Times New Roman"/>
          </w:rPr>
          <m:t>Y</m:t>
        </m:r>
      </m:oMath>
      <w:r w:rsidRPr="001953BB">
        <w:rPr>
          <w:rFonts w:cs="Times New Roman"/>
          <w:lang w:val="zh-CN"/>
        </w:rPr>
        <w:t>), we conduct joint-significance tests for the linear (</w:t>
      </w:r>
      <m:oMath>
        <m:r>
          <w:rPr>
            <w:rFonts w:ascii="Cambria Math" w:hAnsi="Cambria Math" w:cs="Times New Roman"/>
            <w:lang w:val="zh-CN"/>
          </w:rPr>
          <m:t>PAD</m:t>
        </m:r>
      </m:oMath>
      <w:r w:rsidRPr="001953BB">
        <w:rPr>
          <w:rFonts w:cs="Times New Roman"/>
          <w:lang w:val="zh-CN"/>
        </w:rPr>
        <w:t>) and quadratic (</w:t>
      </w:r>
      <m:oMath>
        <m:r>
          <w:rPr>
            <w:rFonts w:ascii="Cambria Math" w:hAnsi="Cambria Math" w:cs="Times New Roman"/>
            <w:lang w:val="zh-CN"/>
          </w:rPr>
          <m:t>PA</m:t>
        </m:r>
        <m:sSup>
          <m:sSupPr>
            <m:ctrlPr>
              <w:rPr>
                <w:rFonts w:ascii="Cambria Math" w:hAnsi="Cambria Math" w:cs="Times New Roman"/>
                <w:i/>
              </w:rPr>
            </m:ctrlPr>
          </m:sSupPr>
          <m:e>
            <m:r>
              <w:rPr>
                <w:rFonts w:ascii="Cambria Math" w:hAnsi="Cambria Math" w:cs="Times New Roman"/>
                <w:lang w:val="zh-CN"/>
              </w:rPr>
              <m:t>D</m:t>
            </m:r>
            <m:ctrlPr>
              <w:rPr>
                <w:rFonts w:ascii="Cambria Math" w:hAnsi="Cambria Math" w:cs="Times New Roman"/>
                <w:i/>
                <w:lang w:val="zh-CN"/>
              </w:rPr>
            </m:ctrlPr>
          </m:e>
          <m:sup>
            <m:r>
              <w:rPr>
                <w:rFonts w:ascii="Cambria Math" w:hAnsi="Cambria Math" w:cs="Times New Roman"/>
              </w:rPr>
              <m:t>2</m:t>
            </m:r>
          </m:sup>
        </m:sSup>
      </m:oMath>
      <w:r w:rsidRPr="001953BB">
        <w:rPr>
          <w:rFonts w:cs="Times New Roman"/>
          <w:lang w:val="zh-CN"/>
        </w:rPr>
        <w:t>) terms. Specifically, we test the null hypothesis:</w:t>
      </w:r>
    </w:p>
    <w:p w14:paraId="3F561E86" w14:textId="3B935219" w:rsidR="0054107C" w:rsidRPr="001953BB" w:rsidRDefault="00000000" w:rsidP="00814092">
      <w:pPr>
        <w:rPr>
          <w:rFonts w:cs="Times New Roman"/>
          <w:lang/>
        </w:rPr>
      </w:pPr>
      <m:oMath>
        <m:sSub>
          <m:sSubPr>
            <m:ctrlPr>
              <w:rPr>
                <w:rFonts w:ascii="Cambria Math" w:hAnsi="Cambria Math" w:cs="Times New Roman"/>
                <w:i/>
                <w:lang/>
              </w:rPr>
            </m:ctrlPr>
          </m:sSubPr>
          <m:e>
            <m:r>
              <w:rPr>
                <w:rFonts w:ascii="Cambria Math" w:hAnsi="Cambria Math" w:cs="Times New Roman"/>
                <w:lang/>
              </w:rPr>
              <m:t>H</m:t>
            </m:r>
          </m:e>
          <m:sub>
            <m:r>
              <w:rPr>
                <w:rFonts w:ascii="Cambria Math" w:hAnsi="Cambria Math" w:cs="Times New Roman"/>
                <w:lang/>
              </w:rPr>
              <m:t>0</m:t>
            </m:r>
          </m:sub>
        </m:sSub>
        <m:r>
          <w:rPr>
            <w:rFonts w:ascii="Cambria Math" w:hAnsi="Cambria Math" w:cs="Times New Roman"/>
            <w:lang/>
          </w:rPr>
          <m:t>:</m:t>
        </m:r>
        <m:r>
          <w:rPr>
            <w:rFonts w:ascii="Cambria Math" w:hAnsi="Cambria Math" w:cs="Times New Roman"/>
            <w:lang/>
          </w:rPr>
          <m:t xml:space="preserve"> </m:t>
        </m:r>
        <m:sSub>
          <m:sSubPr>
            <m:ctrlPr>
              <w:rPr>
                <w:rFonts w:ascii="Cambria Math" w:hAnsi="Cambria Math" w:cs="Times New Roman"/>
                <w:i/>
                <w:lang/>
              </w:rPr>
            </m:ctrlPr>
          </m:sSubPr>
          <m:e>
            <m:r>
              <w:rPr>
                <w:rFonts w:ascii="Cambria Math" w:hAnsi="Cambria Math" w:cs="Times New Roman"/>
                <w:lang/>
              </w:rPr>
              <m:t>β</m:t>
            </m:r>
            <m:ctrlPr>
              <w:rPr>
                <w:rFonts w:ascii="Cambria Math" w:hAnsi="Cambria Math" w:cs="Times New Roman"/>
                <w:i/>
                <w:lang/>
              </w:rPr>
            </m:ctrlPr>
          </m:e>
          <m:sub>
            <m:r>
              <w:rPr>
                <w:rFonts w:ascii="Cambria Math" w:hAnsi="Cambria Math" w:cs="Times New Roman"/>
                <w:lang/>
              </w:rPr>
              <m:t>1</m:t>
            </m:r>
          </m:sub>
        </m:sSub>
        <m:r>
          <w:rPr>
            <w:rFonts w:ascii="Cambria Math" w:hAnsi="Cambria Math" w:cs="Times New Roman"/>
            <w:lang/>
          </w:rPr>
          <m:t>=0</m:t>
        </m:r>
        <m:r>
          <w:rPr>
            <w:rFonts w:ascii="Cambria Math" w:hAnsi="Cambria Math" w:cs="Times New Roman"/>
            <w:lang/>
          </w:rPr>
          <m:t xml:space="preserve"> </m:t>
        </m:r>
        <m:r>
          <w:rPr>
            <w:rFonts w:ascii="Cambria Math" w:hAnsi="Cambria Math" w:cs="Times New Roman"/>
            <w:lang/>
          </w:rPr>
          <m:t>and</m:t>
        </m:r>
        <m:r>
          <w:rPr>
            <w:rFonts w:ascii="Cambria Math" w:hAnsi="Cambria Math" w:cs="Times New Roman"/>
            <w:lang/>
          </w:rPr>
          <m:t xml:space="preserve"> </m:t>
        </m:r>
        <m:sSub>
          <m:sSubPr>
            <m:ctrlPr>
              <w:rPr>
                <w:rFonts w:ascii="Cambria Math" w:hAnsi="Cambria Math" w:cs="Times New Roman"/>
                <w:i/>
                <w:lang/>
              </w:rPr>
            </m:ctrlPr>
          </m:sSubPr>
          <m:e>
            <m:r>
              <w:rPr>
                <w:rFonts w:ascii="Cambria Math" w:hAnsi="Cambria Math" w:cs="Times New Roman"/>
                <w:lang/>
              </w:rPr>
              <m:t>β</m:t>
            </m:r>
            <m:ctrlPr>
              <w:rPr>
                <w:rFonts w:ascii="Cambria Math" w:hAnsi="Cambria Math" w:cs="Times New Roman"/>
                <w:i/>
                <w:lang/>
              </w:rPr>
            </m:ctrlPr>
          </m:e>
          <m:sub>
            <m:r>
              <w:rPr>
                <w:rFonts w:ascii="Cambria Math" w:hAnsi="Cambria Math" w:cs="Times New Roman"/>
                <w:lang/>
              </w:rPr>
              <m:t>2</m:t>
            </m:r>
          </m:sub>
        </m:sSub>
        <m:r>
          <w:rPr>
            <w:rFonts w:ascii="Cambria Math" w:hAnsi="Cambria Math" w:cs="Times New Roman"/>
            <w:lang/>
          </w:rPr>
          <m:t xml:space="preserve">=0, </m:t>
        </m:r>
      </m:oMath>
      <w:r w:rsidR="0054107C" w:rsidRPr="001953BB">
        <w:rPr>
          <w:rFonts w:cs="Times New Roman"/>
          <w:lang/>
        </w:rPr>
        <w:t>against the alternative:</w:t>
      </w:r>
      <w:r w:rsidR="001329F7" w:rsidRPr="001953BB">
        <w:rPr>
          <w:rFonts w:cs="Times New Roman"/>
          <w:lang/>
        </w:rPr>
        <w:t xml:space="preserve"> </w:t>
      </w:r>
      <m:oMath>
        <m:sSub>
          <m:sSubPr>
            <m:ctrlPr>
              <w:rPr>
                <w:rFonts w:ascii="Cambria Math" w:hAnsi="Cambria Math" w:cs="Times New Roman"/>
                <w:i/>
                <w:lang/>
              </w:rPr>
            </m:ctrlPr>
          </m:sSubPr>
          <m:e>
            <m:r>
              <w:rPr>
                <w:rFonts w:ascii="Cambria Math" w:hAnsi="Cambria Math" w:cs="Times New Roman"/>
                <w:lang/>
              </w:rPr>
              <m:t>H</m:t>
            </m:r>
          </m:e>
          <m:sub>
            <m:r>
              <w:rPr>
                <w:rFonts w:ascii="Cambria Math" w:hAnsi="Cambria Math" w:cs="Times New Roman"/>
                <w:lang/>
              </w:rPr>
              <m:t>a</m:t>
            </m:r>
          </m:sub>
        </m:sSub>
        <m:r>
          <w:rPr>
            <w:rFonts w:ascii="Cambria Math" w:hAnsi="Cambria Math" w:cs="Times New Roman"/>
            <w:lang/>
          </w:rPr>
          <m:t>:</m:t>
        </m:r>
        <m:sSub>
          <m:sSubPr>
            <m:ctrlPr>
              <w:rPr>
                <w:rFonts w:ascii="Cambria Math" w:hAnsi="Cambria Math" w:cs="Times New Roman"/>
                <w:i/>
                <w:lang/>
              </w:rPr>
            </m:ctrlPr>
          </m:sSubPr>
          <m:e>
            <m:r>
              <w:rPr>
                <w:rFonts w:ascii="Cambria Math" w:hAnsi="Cambria Math" w:cs="Times New Roman"/>
                <w:lang/>
              </w:rPr>
              <m:t>β</m:t>
            </m:r>
          </m:e>
          <m:sub>
            <m:r>
              <w:rPr>
                <w:rFonts w:ascii="Cambria Math" w:hAnsi="Cambria Math" w:cs="Times New Roman"/>
                <w:lang/>
              </w:rPr>
              <m:t>1</m:t>
            </m:r>
          </m:sub>
        </m:sSub>
        <m:r>
          <w:rPr>
            <w:rFonts w:ascii="Cambria Math" w:hAnsi="Cambria Math" w:cs="Times New Roman"/>
            <w:lang/>
          </w:rPr>
          <m:t xml:space="preserve">≠0 or </m:t>
        </m:r>
        <m:sSub>
          <m:sSubPr>
            <m:ctrlPr>
              <w:rPr>
                <w:rFonts w:ascii="Cambria Math" w:hAnsi="Cambria Math" w:cs="Times New Roman"/>
                <w:i/>
                <w:lang/>
              </w:rPr>
            </m:ctrlPr>
          </m:sSubPr>
          <m:e>
            <m:r>
              <w:rPr>
                <w:rFonts w:ascii="Cambria Math" w:hAnsi="Cambria Math" w:cs="Times New Roman"/>
                <w:lang/>
              </w:rPr>
              <m:t>β</m:t>
            </m:r>
          </m:e>
          <m:sub>
            <m:r>
              <w:rPr>
                <w:rFonts w:ascii="Cambria Math" w:hAnsi="Cambria Math" w:cs="Times New Roman"/>
                <w:lang/>
              </w:rPr>
              <m:t>2</m:t>
            </m:r>
          </m:sub>
        </m:sSub>
        <m:r>
          <w:rPr>
            <w:rFonts w:ascii="Cambria Math" w:hAnsi="Cambria Math" w:cs="Times New Roman"/>
            <w:lang/>
          </w:rPr>
          <m:t>≠0,</m:t>
        </m:r>
      </m:oMath>
    </w:p>
    <w:p w14:paraId="65DDD4D1" w14:textId="77777777" w:rsidR="0054107C" w:rsidRPr="001953BB" w:rsidRDefault="0054107C" w:rsidP="00814092">
      <w:pPr>
        <w:rPr>
          <w:rFonts w:cs="Times New Roman"/>
          <w:lang/>
        </w:rPr>
      </w:pPr>
      <w:r w:rsidRPr="001953BB">
        <w:rPr>
          <w:rFonts w:cs="Times New Roman"/>
          <w:lang/>
        </w:rPr>
        <w:t xml:space="preserve">where </w:t>
      </w:r>
      <m:oMath>
        <m:sSub>
          <m:sSubPr>
            <m:ctrlPr>
              <w:rPr>
                <w:rFonts w:ascii="Cambria Math" w:hAnsi="Cambria Math" w:cs="Times New Roman"/>
                <w:i/>
                <w:lang/>
              </w:rPr>
            </m:ctrlPr>
          </m:sSubPr>
          <m:e>
            <m:r>
              <w:rPr>
                <w:rFonts w:ascii="Cambria Math" w:hAnsi="Cambria Math" w:cs="Times New Roman"/>
                <w:lang/>
              </w:rPr>
              <m:t>β</m:t>
            </m:r>
          </m:e>
          <m:sub>
            <m:r>
              <w:rPr>
                <w:rFonts w:ascii="Cambria Math" w:hAnsi="Cambria Math" w:cs="Times New Roman"/>
                <w:lang/>
              </w:rPr>
              <m:t>1</m:t>
            </m:r>
          </m:sub>
        </m:sSub>
      </m:oMath>
      <w:r w:rsidRPr="001953BB">
        <w:rPr>
          <w:rFonts w:cs="Times New Roman"/>
          <w:lang/>
        </w:rPr>
        <w:t xml:space="preserve"> and </w:t>
      </w:r>
      <m:oMath>
        <m:sSub>
          <m:sSubPr>
            <m:ctrlPr>
              <w:rPr>
                <w:rFonts w:ascii="Cambria Math" w:hAnsi="Cambria Math" w:cs="Times New Roman"/>
                <w:i/>
                <w:lang/>
              </w:rPr>
            </m:ctrlPr>
          </m:sSubPr>
          <m:e>
            <m:r>
              <w:rPr>
                <w:rFonts w:ascii="Cambria Math" w:hAnsi="Cambria Math" w:cs="Times New Roman"/>
                <w:lang/>
              </w:rPr>
              <m:t>β</m:t>
            </m:r>
          </m:e>
          <m:sub>
            <m:r>
              <w:rPr>
                <w:rFonts w:ascii="Cambria Math" w:hAnsi="Cambria Math" w:cs="Times New Roman"/>
                <w:lang/>
              </w:rPr>
              <m:t>2</m:t>
            </m:r>
          </m:sub>
        </m:sSub>
      </m:oMath>
      <w:r w:rsidRPr="001953BB">
        <w:rPr>
          <w:rFonts w:cs="Times New Roman"/>
          <w:lang/>
        </w:rPr>
        <w:t xml:space="preserve"> represent </w:t>
      </w:r>
      <w:r w:rsidRPr="001953BB">
        <w:rPr>
          <w:rFonts w:cs="Times New Roman"/>
          <w:lang w:val="zh-CN"/>
        </w:rPr>
        <w:t xml:space="preserve">the coefficients of the linear and quadratic PAD terms, respectively. Rejecting </w:t>
      </w:r>
      <m:oMath>
        <m:sSub>
          <m:sSubPr>
            <m:ctrlPr>
              <w:rPr>
                <w:rFonts w:ascii="Cambria Math" w:hAnsi="Cambria Math" w:cs="Times New Roman"/>
                <w:i/>
                <w:lang/>
              </w:rPr>
            </m:ctrlPr>
          </m:sSubPr>
          <m:e>
            <m:r>
              <w:rPr>
                <w:rFonts w:ascii="Cambria Math" w:hAnsi="Cambria Math" w:cs="Times New Roman"/>
                <w:lang/>
              </w:rPr>
              <m:t>H</m:t>
            </m:r>
          </m:e>
          <m:sub>
            <m:r>
              <w:rPr>
                <w:rFonts w:ascii="Cambria Math" w:hAnsi="Cambria Math" w:cs="Times New Roman"/>
                <w:lang/>
              </w:rPr>
              <m:t>0</m:t>
            </m:r>
          </m:sub>
        </m:sSub>
      </m:oMath>
      <w:r w:rsidRPr="001953BB">
        <w:rPr>
          <w:rFonts w:cs="Times New Roman"/>
          <w:lang/>
        </w:rPr>
        <w:t xml:space="preserve"> indicates </w:t>
      </w:r>
      <w:r w:rsidRPr="001953BB">
        <w:rPr>
          <w:rFonts w:cs="Times New Roman"/>
          <w:lang w:val="zh-CN"/>
        </w:rPr>
        <w:t xml:space="preserve">that the two terms jointly and significantly contribute to explaining </w:t>
      </w:r>
      <w:r w:rsidRPr="001953BB">
        <w:rPr>
          <w:rFonts w:cs="Times New Roman"/>
          <w:lang w:val="zh-CN"/>
        </w:rPr>
        <w:t>(</w:t>
      </w:r>
      <m:oMath>
        <m:r>
          <w:rPr>
            <w:rFonts w:ascii="Cambria Math" w:hAnsi="Cambria Math" w:cs="Times New Roman"/>
            <w:lang w:val="zh-CN"/>
          </w:rPr>
          <m:t>Y</m:t>
        </m:r>
      </m:oMath>
      <w:r w:rsidRPr="001953BB">
        <w:rPr>
          <w:rFonts w:cs="Times New Roman"/>
          <w:lang w:val="zh-CN"/>
        </w:rPr>
        <w:t>)</w:t>
      </w:r>
      <w:r w:rsidRPr="001953BB">
        <w:rPr>
          <w:rFonts w:cs="Times New Roman"/>
          <w:lang w:val="zh-CN"/>
        </w:rPr>
        <w:t>, validating the presence of non-linear effects.</w:t>
      </w:r>
      <w:r w:rsidRPr="001953BB">
        <w:rPr>
          <w:rFonts w:cs="Times New Roman"/>
          <w:lang w:val="zh-CN"/>
        </w:rPr>
        <w:t xml:space="preserve"> (</w:t>
      </w:r>
      <m:oMath>
        <m:r>
          <w:rPr>
            <w:rFonts w:ascii="Cambria Math" w:hAnsi="Cambria Math" w:cs="Times New Roman"/>
            <w:lang w:val="zh-CN"/>
          </w:rPr>
          <m:t>Y</m:t>
        </m:r>
      </m:oMath>
      <w:r w:rsidRPr="001953BB">
        <w:rPr>
          <w:rFonts w:cs="Times New Roman"/>
          <w:lang w:val="zh-CN"/>
        </w:rPr>
        <w:t>).</w:t>
      </w:r>
      <w:r w:rsidRPr="001953BB">
        <w:rPr>
          <w:rFonts w:cs="Times New Roman"/>
          <w:lang/>
        </w:rPr>
        <w:t xml:space="preserve"> </w:t>
      </w:r>
    </w:p>
    <w:p w14:paraId="783B41DC" w14:textId="25D2D55D" w:rsidR="0054107C" w:rsidRPr="001953BB" w:rsidRDefault="0054107C" w:rsidP="00814092">
      <w:pPr>
        <w:rPr>
          <w:rFonts w:cs="Times New Roman"/>
        </w:rPr>
      </w:pPr>
      <w:r w:rsidRPr="001953BB">
        <w:rPr>
          <w:rFonts w:cs="Times New Roman"/>
        </w:rPr>
        <w:t>A statistically significant p-value for the joint test—determined at the 10% significance threshold—indicates the presence of non-linear effects. In such cases, the marginal effects of PAD coverage are interpreted as dependent on the level of existing PAD in a county. Conversely, if the joint test is statistically insignificant, we refrain from interpreting the coefficients of either the linear or quadratic PAD terms, even if they are individually significant. This approach follows econometric best practices, which caution against interpreting isolated coefficients in polynomial specifications without joint significance (Wooldridge, 2010; Greene, 2012).</w:t>
      </w:r>
    </w:p>
    <w:p w14:paraId="6CCA6BC2" w14:textId="40B278F0" w:rsidR="0054107C" w:rsidRPr="001953BB" w:rsidRDefault="0054107C" w:rsidP="00814092">
      <w:pPr>
        <w:rPr>
          <w:rFonts w:cs="Times New Roman"/>
        </w:rPr>
      </w:pPr>
      <w:r w:rsidRPr="001953BB">
        <w:rPr>
          <w:rFonts w:cs="Times New Roman"/>
          <w:b/>
          <w:bCs/>
        </w:rPr>
        <w:t>Primary Test: Wald Test</w:t>
      </w:r>
      <w:r w:rsidR="008718F7" w:rsidRPr="001953BB">
        <w:rPr>
          <w:rFonts w:cs="Times New Roman"/>
          <w:b/>
          <w:bCs/>
        </w:rPr>
        <w:t xml:space="preserve">: </w:t>
      </w:r>
      <w:r w:rsidRPr="001953BB">
        <w:rPr>
          <w:rFonts w:cs="Times New Roman"/>
        </w:rPr>
        <w:t xml:space="preserve">The Wald test is the baseline approach employed to assess whether the estimated coefficients of </w:t>
      </w:r>
      <m:oMath>
        <m:r>
          <w:rPr>
            <w:rFonts w:ascii="Cambria Math" w:hAnsi="Cambria Math" w:cs="Times New Roman"/>
          </w:rPr>
          <m:t>PAD</m:t>
        </m:r>
      </m:oMath>
      <w:r w:rsidRPr="001953BB">
        <w:rPr>
          <w:rFonts w:cs="Times New Roman"/>
        </w:rPr>
        <w:t xml:space="preserve"> and </w:t>
      </w:r>
      <m:oMath>
        <m:r>
          <w:rPr>
            <w:rFonts w:ascii="Cambria Math" w:hAnsi="Cambria Math" w:cs="Times New Roman"/>
          </w:rPr>
          <m:t>PA</m:t>
        </m:r>
        <m:sSup>
          <m:sSupPr>
            <m:ctrlPr>
              <w:rPr>
                <w:rFonts w:ascii="Cambria Math" w:hAnsi="Cambria Math" w:cs="Times New Roman"/>
                <w:i/>
              </w:rPr>
            </m:ctrlPr>
          </m:sSupPr>
          <m:e>
            <m:r>
              <w:rPr>
                <w:rFonts w:ascii="Cambria Math" w:hAnsi="Cambria Math" w:cs="Times New Roman"/>
              </w:rPr>
              <m:t>D</m:t>
            </m:r>
          </m:e>
          <m:sup>
            <m:r>
              <w:rPr>
                <w:rFonts w:ascii="Cambria Math" w:hAnsi="Cambria Math" w:cs="Times New Roman"/>
              </w:rPr>
              <m:t>2</m:t>
            </m:r>
          </m:sup>
        </m:sSup>
      </m:oMath>
      <w:r w:rsidRPr="001953BB">
        <w:rPr>
          <w:rFonts w:cs="Times New Roman"/>
        </w:rPr>
        <w:t xml:space="preserve"> are jointly significantly different from zero. The Wald test statistic is computed as:</w:t>
      </w:r>
      <w:r w:rsidR="00DB1842" w:rsidRPr="001953BB">
        <w:rPr>
          <w:rFonts w:cs="Times New Roman"/>
        </w:rPr>
        <w:t xml:space="preserve"> </w:t>
      </w:r>
      <m:oMath>
        <m:r>
          <w:rPr>
            <w:rFonts w:ascii="Cambria Math" w:hAnsi="Cambria Math" w:cs="Times New Roman"/>
          </w:rPr>
          <m:t>W=</m:t>
        </m:r>
        <w:bookmarkStart w:id="80" w:name="_Hlk187667968"/>
        <m:acc>
          <m:accPr>
            <m:ctrlPr>
              <w:rPr>
                <w:rFonts w:ascii="Cambria Math" w:hAnsi="Cambria Math" w:cs="Times New Roman"/>
                <w:i/>
              </w:rPr>
            </m:ctrlPr>
          </m:accPr>
          <m:e>
            <m:r>
              <w:rPr>
                <w:rFonts w:ascii="Cambria Math" w:hAnsi="Cambria Math" w:cs="Times New Roman"/>
              </w:rPr>
              <m:t>β</m:t>
            </m:r>
          </m:e>
        </m:acc>
        <w:bookmarkEnd w:id="80"/>
        <m:r>
          <w:rPr>
            <w:rFonts w:ascii="Cambria Math" w:hAnsi="Cambria Math" w:cs="Times New Roman"/>
          </w:rPr>
          <m:t>'*Var</m:t>
        </m:r>
        <m:sSup>
          <m:sSupPr>
            <m:ctrlPr>
              <w:rPr>
                <w:rFonts w:ascii="Cambria Math" w:hAnsi="Cambria Math" w:cs="Times New Roman"/>
                <w:i/>
              </w:rPr>
            </m:ctrlPr>
          </m:sSupPr>
          <m:e>
            <m:d>
              <m:dPr>
                <m:ctrlPr>
                  <w:rPr>
                    <w:rFonts w:ascii="Cambria Math" w:hAnsi="Cambria Math" w:cs="Times New Roman"/>
                    <w:i/>
                  </w:rPr>
                </m:ctrlPr>
              </m:dPr>
              <m:e>
                <m:acc>
                  <m:accPr>
                    <m:ctrlPr>
                      <w:rPr>
                        <w:rFonts w:ascii="Cambria Math" w:hAnsi="Cambria Math" w:cs="Times New Roman"/>
                        <w:i/>
                      </w:rPr>
                    </m:ctrlPr>
                  </m:accPr>
                  <m:e>
                    <m:r>
                      <w:rPr>
                        <w:rFonts w:ascii="Cambria Math" w:hAnsi="Cambria Math" w:cs="Times New Roman"/>
                      </w:rPr>
                      <m:t>β</m:t>
                    </m:r>
                  </m:e>
                </m:acc>
              </m:e>
            </m:d>
          </m:e>
          <m:sup>
            <m:r>
              <w:rPr>
                <w:rFonts w:ascii="Cambria Math" w:hAnsi="Cambria Math" w:cs="Times New Roman"/>
              </w:rPr>
              <m:t>-1</m:t>
            </m:r>
          </m:sup>
        </m:sSup>
        <m:r>
          <w:rPr>
            <w:rFonts w:ascii="Cambria Math" w:hAnsi="Cambria Math" w:cs="Times New Roman"/>
          </w:rPr>
          <m:t>*</m:t>
        </m:r>
        <m:acc>
          <m:accPr>
            <m:ctrlPr>
              <w:rPr>
                <w:rFonts w:ascii="Cambria Math" w:hAnsi="Cambria Math" w:cs="Times New Roman"/>
                <w:i/>
              </w:rPr>
            </m:ctrlPr>
          </m:accPr>
          <m:e>
            <m:r>
              <w:rPr>
                <w:rFonts w:ascii="Cambria Math" w:hAnsi="Cambria Math" w:cs="Times New Roman"/>
              </w:rPr>
              <m:t>β</m:t>
            </m:r>
          </m:e>
        </m:acc>
      </m:oMath>
    </w:p>
    <w:p w14:paraId="2C94DA01" w14:textId="77777777" w:rsidR="0054107C" w:rsidRPr="001953BB" w:rsidRDefault="0054107C" w:rsidP="00814092">
      <w:pPr>
        <w:rPr>
          <w:rFonts w:cs="Times New Roman"/>
        </w:rPr>
      </w:pPr>
      <w:r w:rsidRPr="001953BB">
        <w:rPr>
          <w:rFonts w:cs="Times New Roman"/>
        </w:rPr>
        <w:t xml:space="preserve">Where </w:t>
      </w:r>
      <m:oMath>
        <m:acc>
          <m:accPr>
            <m:ctrlPr>
              <w:rPr>
                <w:rFonts w:ascii="Cambria Math" w:hAnsi="Cambria Math" w:cs="Times New Roman"/>
                <w:i/>
              </w:rPr>
            </m:ctrlPr>
          </m:accPr>
          <m:e>
            <m:r>
              <w:rPr>
                <w:rFonts w:ascii="Cambria Math" w:hAnsi="Cambria Math" w:cs="Times New Roman"/>
              </w:rPr>
              <m:t>β</m:t>
            </m:r>
          </m:e>
        </m:acc>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1</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2</m:t>
            </m:r>
          </m:sub>
        </m:sSub>
        <m:r>
          <w:rPr>
            <w:rFonts w:ascii="Cambria Math" w:hAnsi="Cambria Math" w:cs="Times New Roman"/>
          </w:rPr>
          <m:t>)'</m:t>
        </m:r>
      </m:oMath>
      <w:r w:rsidRPr="001953BB">
        <w:rPr>
          <w:rFonts w:cs="Times New Roman"/>
        </w:rPr>
        <w:t xml:space="preserve"> is the vector of estimated coefficients, and </w:t>
      </w:r>
      <m:oMath>
        <m:r>
          <w:rPr>
            <w:rFonts w:ascii="Cambria Math" w:hAnsi="Cambria Math" w:cs="Times New Roman"/>
          </w:rPr>
          <m:t>Var(</m:t>
        </m:r>
        <m:acc>
          <m:accPr>
            <m:ctrlPr>
              <w:rPr>
                <w:rFonts w:ascii="Cambria Math" w:hAnsi="Cambria Math" w:cs="Times New Roman"/>
                <w:i/>
              </w:rPr>
            </m:ctrlPr>
          </m:accPr>
          <m:e>
            <m:r>
              <w:rPr>
                <w:rFonts w:ascii="Cambria Math" w:hAnsi="Cambria Math" w:cs="Times New Roman"/>
              </w:rPr>
              <m:t>β</m:t>
            </m:r>
          </m:e>
        </m:acc>
        <m:r>
          <w:rPr>
            <w:rFonts w:ascii="Cambria Math" w:hAnsi="Cambria Math" w:cs="Times New Roman"/>
          </w:rPr>
          <m:t>)</m:t>
        </m:r>
      </m:oMath>
      <w:r w:rsidRPr="001953BB">
        <w:rPr>
          <w:rFonts w:cs="Times New Roman"/>
        </w:rPr>
        <w:t xml:space="preserve"> is the variance-covariance matrix of the coefficients. This test is computationally efficient and commonly applied in high-dimensional fixed effects models. While computationally efficient and widely </w:t>
      </w:r>
      <w:r w:rsidRPr="001953BB">
        <w:rPr>
          <w:rFonts w:cs="Times New Roman"/>
        </w:rPr>
        <w:lastRenderedPageBreak/>
        <w:t>used, the Wald test has limitations. Its validity relies on large-sample properties, which may lead to inaccuracies in smaller datasets. Issues such as heteroskedasticity or over-dispersion, common in count data models like PPML, can affect reliability.</w:t>
      </w:r>
    </w:p>
    <w:p w14:paraId="657C1AD3" w14:textId="77777777" w:rsidR="0054107C" w:rsidRPr="001953BB" w:rsidRDefault="0054107C" w:rsidP="00814092">
      <w:pPr>
        <w:tabs>
          <w:tab w:val="left" w:pos="720"/>
          <w:tab w:val="left" w:pos="1440"/>
        </w:tabs>
        <w:rPr>
          <w:rFonts w:cs="Times New Roman"/>
          <w:b/>
          <w:bCs/>
        </w:rPr>
      </w:pPr>
      <w:r w:rsidRPr="001953BB">
        <w:rPr>
          <w:rFonts w:cs="Times New Roman"/>
          <w:b/>
          <w:bCs/>
        </w:rPr>
        <w:t>Stricter and Alternative Robustness Tests</w:t>
      </w:r>
    </w:p>
    <w:p w14:paraId="651DEEE9" w14:textId="77777777" w:rsidR="0054107C" w:rsidRPr="001953BB" w:rsidRDefault="0054107C" w:rsidP="00814092">
      <w:pPr>
        <w:tabs>
          <w:tab w:val="left" w:pos="720"/>
          <w:tab w:val="left" w:pos="1440"/>
        </w:tabs>
        <w:rPr>
          <w:rFonts w:cs="Times New Roman"/>
        </w:rPr>
      </w:pPr>
      <w:r w:rsidRPr="001953BB">
        <w:rPr>
          <w:rFonts w:cs="Times New Roman"/>
        </w:rPr>
        <w:t>Recognizing the potential limitations of the Wald test, we employ more stringent tests to ensure the robustness of our findings:</w:t>
      </w:r>
    </w:p>
    <w:p w14:paraId="24AD175B" w14:textId="17EC7087" w:rsidR="0054107C" w:rsidRPr="001953BB" w:rsidRDefault="0054107C" w:rsidP="00CA1D48">
      <w:pPr>
        <w:numPr>
          <w:ilvl w:val="0"/>
          <w:numId w:val="14"/>
        </w:numPr>
        <w:tabs>
          <w:tab w:val="left" w:pos="720"/>
          <w:tab w:val="left" w:pos="1440"/>
        </w:tabs>
        <w:contextualSpacing/>
        <w:rPr>
          <w:rFonts w:cs="Times New Roman"/>
          <w:lang w:val="zh-CN"/>
        </w:rPr>
      </w:pPr>
      <w:r w:rsidRPr="001953BB">
        <w:rPr>
          <w:rFonts w:cs="Times New Roman"/>
          <w:b/>
          <w:bCs/>
          <w:kern w:val="2"/>
          <w:lang w:eastAsia="zh-CN"/>
        </w:rPr>
        <w:t>Likelihood Ration (LR) Test:</w:t>
      </w:r>
      <w:r w:rsidRPr="001953BB">
        <w:rPr>
          <w:rFonts w:cs="Times New Roman"/>
          <w:kern w:val="2"/>
          <w:lang w:eastAsia="zh-CN"/>
        </w:rPr>
        <w:t xml:space="preserve"> This test compares the log-</w:t>
      </w:r>
      <w:proofErr w:type="spellStart"/>
      <w:r w:rsidRPr="001953BB">
        <w:rPr>
          <w:rFonts w:cs="Times New Roman"/>
          <w:kern w:val="2"/>
          <w:lang w:eastAsia="zh-CN"/>
        </w:rPr>
        <w:t>likehoods</w:t>
      </w:r>
      <w:proofErr w:type="spellEnd"/>
      <w:r w:rsidRPr="001953BB">
        <w:rPr>
          <w:rFonts w:cs="Times New Roman"/>
          <w:kern w:val="2"/>
          <w:lang w:eastAsia="zh-CN"/>
        </w:rPr>
        <w:t xml:space="preserve"> of models with and without the linear and quadratic PAD terms:</w:t>
      </w:r>
      <w:r w:rsidR="00C76E15" w:rsidRPr="001953BB">
        <w:rPr>
          <w:rFonts w:cs="Times New Roman"/>
          <w:kern w:val="2"/>
          <w:lang w:eastAsia="zh-CN"/>
        </w:rPr>
        <w:t xml:space="preserve"> </w:t>
      </w:r>
      <m:oMath>
        <m:r>
          <w:rPr>
            <w:rFonts w:ascii="Cambria Math" w:hAnsi="Cambria Math" w:cs="Times New Roman"/>
            <w:lang w:val="zh-CN"/>
          </w:rPr>
          <m:t>LR= -2*[</m:t>
        </m:r>
        <m:func>
          <m:funcPr>
            <m:ctrlPr>
              <w:rPr>
                <w:rFonts w:ascii="Cambria Math" w:hAnsi="Cambria Math" w:cs="Times New Roman"/>
                <w:i/>
                <w:lang w:val="zh-CN"/>
              </w:rPr>
            </m:ctrlPr>
          </m:funcPr>
          <m:fName>
            <m:r>
              <m:rPr>
                <m:sty m:val="p"/>
              </m:rPr>
              <w:rPr>
                <w:rFonts w:ascii="Cambria Math" w:hAnsi="Cambria Math" w:cs="Times New Roman"/>
                <w:lang w:val="zh-CN"/>
              </w:rPr>
              <m:t>ln</m:t>
            </m:r>
          </m:fName>
          <m:e>
            <m:r>
              <w:rPr>
                <w:rFonts w:ascii="Cambria Math" w:hAnsi="Cambria Math" w:cs="Times New Roman"/>
                <w:lang w:val="zh-CN"/>
              </w:rPr>
              <m:t>(</m:t>
            </m:r>
            <m:sSub>
              <m:sSubPr>
                <m:ctrlPr>
                  <w:rPr>
                    <w:rFonts w:ascii="Cambria Math" w:hAnsi="Cambria Math" w:cs="Times New Roman"/>
                    <w:i/>
                    <w:lang w:val="zh-CN"/>
                  </w:rPr>
                </m:ctrlPr>
              </m:sSubPr>
              <m:e>
                <m:r>
                  <w:rPr>
                    <w:rFonts w:ascii="Cambria Math" w:hAnsi="Cambria Math" w:cs="Times New Roman"/>
                    <w:lang w:val="zh-CN"/>
                  </w:rPr>
                  <m:t>L</m:t>
                </m:r>
              </m:e>
              <m:sub>
                <m:r>
                  <w:rPr>
                    <w:rFonts w:ascii="Cambria Math" w:hAnsi="Cambria Math" w:cs="Times New Roman"/>
                    <w:lang w:val="zh-CN"/>
                  </w:rPr>
                  <m:t>restricted</m:t>
                </m:r>
              </m:sub>
            </m:sSub>
            <m:r>
              <w:rPr>
                <w:rFonts w:ascii="Cambria Math" w:hAnsi="Cambria Math" w:cs="Times New Roman"/>
                <w:lang w:val="zh-CN"/>
              </w:rPr>
              <m:t>)</m:t>
            </m:r>
          </m:e>
        </m:func>
        <m:r>
          <w:rPr>
            <w:rFonts w:ascii="Cambria Math" w:hAnsi="Cambria Math" w:cs="Times New Roman"/>
            <w:lang w:val="zh-CN"/>
          </w:rPr>
          <m:t>-</m:t>
        </m:r>
        <m:func>
          <m:funcPr>
            <m:ctrlPr>
              <w:rPr>
                <w:rFonts w:ascii="Cambria Math" w:hAnsi="Cambria Math" w:cs="Times New Roman"/>
                <w:i/>
                <w:lang w:val="zh-CN"/>
              </w:rPr>
            </m:ctrlPr>
          </m:funcPr>
          <m:fName>
            <m:r>
              <m:rPr>
                <m:sty m:val="p"/>
              </m:rPr>
              <w:rPr>
                <w:rFonts w:ascii="Cambria Math" w:hAnsi="Cambria Math" w:cs="Times New Roman"/>
                <w:lang w:val="zh-CN"/>
              </w:rPr>
              <m:t>ln</m:t>
            </m:r>
          </m:fName>
          <m:e>
            <m:r>
              <w:rPr>
                <w:rFonts w:ascii="Cambria Math" w:hAnsi="Cambria Math" w:cs="Times New Roman"/>
                <w:lang w:val="zh-CN"/>
              </w:rPr>
              <m:t>(</m:t>
            </m:r>
            <m:sSub>
              <m:sSubPr>
                <m:ctrlPr>
                  <w:rPr>
                    <w:rFonts w:ascii="Cambria Math" w:hAnsi="Cambria Math" w:cs="Times New Roman"/>
                    <w:i/>
                    <w:lang w:val="zh-CN"/>
                  </w:rPr>
                </m:ctrlPr>
              </m:sSubPr>
              <m:e>
                <m:r>
                  <w:rPr>
                    <w:rFonts w:ascii="Cambria Math" w:hAnsi="Cambria Math" w:cs="Times New Roman"/>
                    <w:lang w:val="zh-CN"/>
                  </w:rPr>
                  <m:t>L</m:t>
                </m:r>
              </m:e>
              <m:sub>
                <m:r>
                  <w:rPr>
                    <w:rFonts w:ascii="Cambria Math" w:hAnsi="Cambria Math" w:cs="Times New Roman"/>
                    <w:lang w:val="zh-CN"/>
                  </w:rPr>
                  <m:t>unrestricted</m:t>
                </m:r>
              </m:sub>
            </m:sSub>
          </m:e>
        </m:func>
        <m:r>
          <w:rPr>
            <w:rFonts w:ascii="Cambria Math" w:hAnsi="Cambria Math" w:cs="Times New Roman"/>
            <w:lang w:val="zh-CN"/>
          </w:rPr>
          <m:t>)]</m:t>
        </m:r>
      </m:oMath>
    </w:p>
    <w:p w14:paraId="1F65BC07" w14:textId="77777777" w:rsidR="0054107C" w:rsidRPr="001953BB" w:rsidRDefault="0054107C" w:rsidP="00814092">
      <w:pPr>
        <w:tabs>
          <w:tab w:val="left" w:pos="720"/>
          <w:tab w:val="left" w:pos="1440"/>
        </w:tabs>
        <w:rPr>
          <w:rFonts w:cs="Times New Roman"/>
          <w:kern w:val="2"/>
          <w:lang/>
        </w:rPr>
      </w:pPr>
      <w:r w:rsidRPr="001953BB">
        <w:rPr>
          <w:rFonts w:cs="Times New Roman"/>
          <w:lang w:val="zh-CN"/>
        </w:rPr>
        <w:t>This test is generally more reliable than the Wald test, particularly in finite samples, as it evaluates the joint explanatory power of the terms based on likelihood differences.</w:t>
      </w:r>
    </w:p>
    <w:p w14:paraId="1CEB1457" w14:textId="77777777" w:rsidR="0054107C" w:rsidRPr="001953BB" w:rsidRDefault="0054107C" w:rsidP="00814092">
      <w:pPr>
        <w:numPr>
          <w:ilvl w:val="0"/>
          <w:numId w:val="14"/>
        </w:numPr>
        <w:tabs>
          <w:tab w:val="left" w:pos="720"/>
          <w:tab w:val="left" w:pos="1440"/>
        </w:tabs>
        <w:contextualSpacing/>
        <w:rPr>
          <w:rFonts w:cs="Times New Roman"/>
          <w:b/>
          <w:bCs/>
          <w:kern w:val="2"/>
          <w:lang w:eastAsia="zh-CN"/>
        </w:rPr>
      </w:pPr>
      <w:r w:rsidRPr="001953BB">
        <w:rPr>
          <w:rFonts w:cs="Times New Roman"/>
          <w:b/>
          <w:bCs/>
          <w:kern w:val="2"/>
          <w:lang w:eastAsia="zh-CN"/>
        </w:rPr>
        <w:t>Bootstrap-Based Wald Test</w:t>
      </w:r>
      <w:r w:rsidRPr="001953BB">
        <w:rPr>
          <w:rFonts w:cs="Times New Roman"/>
          <w:kern w:val="2"/>
          <w:lang w:eastAsia="zh-CN"/>
        </w:rPr>
        <w:t xml:space="preserve">: </w:t>
      </w:r>
      <w:r w:rsidRPr="001953BB">
        <w:rPr>
          <w:rFonts w:cs="Times New Roman"/>
          <w:kern w:val="2"/>
          <w:lang w:val="zh-CN" w:eastAsia="zh-CN"/>
        </w:rPr>
        <w:t>The bootstrap-based Wald test mitigates small-sample biases by resampling the data and recalculating the test statistic across these samples. This approach strengthens inference under non-standard conditions.</w:t>
      </w:r>
    </w:p>
    <w:p w14:paraId="0177FF23" w14:textId="77777777" w:rsidR="0054107C" w:rsidRPr="001953BB" w:rsidRDefault="0054107C" w:rsidP="00814092">
      <w:pPr>
        <w:numPr>
          <w:ilvl w:val="0"/>
          <w:numId w:val="14"/>
        </w:numPr>
        <w:tabs>
          <w:tab w:val="left" w:pos="720"/>
          <w:tab w:val="left" w:pos="1440"/>
        </w:tabs>
        <w:contextualSpacing/>
        <w:rPr>
          <w:rFonts w:cs="Times New Roman"/>
          <w:b/>
          <w:bCs/>
          <w:kern w:val="2"/>
          <w:lang w:eastAsia="zh-CN"/>
        </w:rPr>
      </w:pPr>
      <w:r w:rsidRPr="001953BB">
        <w:rPr>
          <w:rFonts w:cs="Times New Roman"/>
          <w:b/>
          <w:bCs/>
          <w:kern w:val="2"/>
          <w:lang w:eastAsia="zh-CN"/>
        </w:rPr>
        <w:t xml:space="preserve">F-Test: </w:t>
      </w:r>
      <w:r w:rsidRPr="001953BB">
        <w:rPr>
          <w:rFonts w:cs="Times New Roman"/>
          <w:kern w:val="2"/>
          <w:lang w:eastAsia="zh-CN"/>
        </w:rPr>
        <w:t>Commonly used in linear regression, the F-test compares the variance explained by the restricted and unrestricted models. While conceptually relevant, its direct application is limited in PPML models.</w:t>
      </w:r>
    </w:p>
    <w:p w14:paraId="738397A9" w14:textId="77777777" w:rsidR="0054107C" w:rsidRPr="001953BB" w:rsidRDefault="0054107C" w:rsidP="00814092">
      <w:pPr>
        <w:rPr>
          <w:rFonts w:cs="Times New Roman"/>
          <w:lang/>
        </w:rPr>
      </w:pPr>
      <w:r w:rsidRPr="001953BB">
        <w:rPr>
          <w:rFonts w:cs="Times New Roman"/>
          <w:lang/>
        </w:rPr>
        <w:t xml:space="preserve">The joint significance of </w:t>
      </w:r>
      <m:oMath>
        <m:r>
          <w:rPr>
            <w:rFonts w:ascii="Cambria Math" w:hAnsi="Cambria Math" w:cs="Times New Roman"/>
            <w:lang/>
          </w:rPr>
          <m:t>PAD</m:t>
        </m:r>
      </m:oMath>
      <w:r w:rsidRPr="001953BB">
        <w:rPr>
          <w:rFonts w:cs="Times New Roman"/>
          <w:lang/>
        </w:rPr>
        <w:t xml:space="preserve"> and </w:t>
      </w:r>
      <m:oMath>
        <m:r>
          <w:rPr>
            <w:rFonts w:ascii="Cambria Math" w:hAnsi="Cambria Math" w:cs="Times New Roman"/>
            <w:lang/>
          </w:rPr>
          <m:t>PA</m:t>
        </m:r>
        <m:sSup>
          <m:sSupPr>
            <m:ctrlPr>
              <w:rPr>
                <w:rFonts w:ascii="Cambria Math" w:hAnsi="Cambria Math" w:cs="Times New Roman"/>
                <w:i/>
                <w:lang/>
              </w:rPr>
            </m:ctrlPr>
          </m:sSupPr>
          <m:e>
            <m:r>
              <w:rPr>
                <w:rFonts w:ascii="Cambria Math" w:hAnsi="Cambria Math" w:cs="Times New Roman"/>
                <w:lang/>
              </w:rPr>
              <m:t>D</m:t>
            </m:r>
          </m:e>
          <m:sup>
            <m:r>
              <w:rPr>
                <w:rFonts w:ascii="Cambria Math" w:hAnsi="Cambria Math" w:cs="Times New Roman"/>
                <w:lang/>
              </w:rPr>
              <m:t>2</m:t>
            </m:r>
          </m:sup>
        </m:sSup>
      </m:oMath>
      <w:r w:rsidRPr="001953BB">
        <w:rPr>
          <w:rFonts w:cs="Times New Roman"/>
          <w:lang/>
        </w:rPr>
        <w:t xml:space="preserve"> </w:t>
      </w:r>
      <w:r w:rsidRPr="001953BB">
        <w:rPr>
          <w:rFonts w:cs="Times New Roman"/>
          <w:lang/>
        </w:rPr>
        <w:t xml:space="preserve">was consistently supported by the Wald test and confirmed by stricter alternatives, such as the LR and bootstrap-based Wald tests. These results bolster confidence in the non-linear effects of </w:t>
      </w:r>
      <m:oMath>
        <m:r>
          <w:rPr>
            <w:rFonts w:ascii="Cambria Math" w:hAnsi="Cambria Math" w:cs="Times New Roman"/>
            <w:lang/>
          </w:rPr>
          <m:t>PAD</m:t>
        </m:r>
      </m:oMath>
      <w:r w:rsidRPr="001953BB">
        <w:rPr>
          <w:rFonts w:cs="Times New Roman"/>
          <w:lang/>
        </w:rPr>
        <w:t xml:space="preserve"> coverage on </w:t>
      </w:r>
      <m:oMath>
        <m:r>
          <w:rPr>
            <w:rFonts w:ascii="Cambria Math" w:hAnsi="Cambria Math" w:cs="Times New Roman"/>
            <w:lang/>
          </w:rPr>
          <m:t>Y</m:t>
        </m:r>
      </m:oMath>
      <w:r w:rsidRPr="001953BB">
        <w:rPr>
          <w:rFonts w:cs="Times New Roman"/>
          <w:lang/>
        </w:rPr>
        <w:t>. However, sensitivity analyses reveal some attenuation of results under the stricter tests</w:t>
      </w:r>
      <w:r w:rsidRPr="001953BB">
        <w:rPr>
          <w:rFonts w:cs="Times New Roman"/>
          <w:lang/>
        </w:rPr>
        <w:t xml:space="preserve">. </w:t>
      </w:r>
      <w:r w:rsidRPr="001953BB">
        <w:rPr>
          <w:rFonts w:cs="Times New Roman"/>
          <w:lang/>
        </w:rPr>
        <w:t>For instance, in certain specifications, the quadratic term (</w:t>
      </w:r>
      <m:oMath>
        <m:r>
          <w:rPr>
            <w:rFonts w:ascii="Cambria Math" w:hAnsi="Cambria Math" w:cs="Times New Roman"/>
            <w:lang/>
          </w:rPr>
          <m:t>PA</m:t>
        </m:r>
        <m:sSup>
          <m:sSupPr>
            <m:ctrlPr>
              <w:rPr>
                <w:rFonts w:ascii="Cambria Math" w:hAnsi="Cambria Math" w:cs="Times New Roman"/>
                <w:i/>
                <w:lang/>
              </w:rPr>
            </m:ctrlPr>
          </m:sSupPr>
          <m:e>
            <m:r>
              <w:rPr>
                <w:rFonts w:ascii="Cambria Math" w:hAnsi="Cambria Math" w:cs="Times New Roman"/>
                <w:lang/>
              </w:rPr>
              <m:t>D</m:t>
            </m:r>
          </m:e>
          <m:sup>
            <m:r>
              <w:rPr>
                <w:rFonts w:ascii="Cambria Math" w:hAnsi="Cambria Math" w:cs="Times New Roman"/>
                <w:lang/>
              </w:rPr>
              <m:t>2</m:t>
            </m:r>
          </m:sup>
        </m:sSup>
      </m:oMath>
      <w:r w:rsidRPr="001953BB">
        <w:rPr>
          <w:rFonts w:cs="Times New Roman"/>
          <w:lang/>
        </w:rPr>
        <w:t xml:space="preserve">) becomes statistically insignificant under the LR test. This suggests that the evidence for non-linear effects may depend on the specific econometric method </w:t>
      </w:r>
      <w:r w:rsidRPr="001953BB">
        <w:rPr>
          <w:rFonts w:cs="Times New Roman"/>
          <w:lang/>
        </w:rPr>
        <w:lastRenderedPageBreak/>
        <w:t>employed.</w:t>
      </w:r>
      <w:r w:rsidRPr="001953BB">
        <w:rPr>
          <w:rFonts w:cs="Times New Roman"/>
          <w:lang/>
        </w:rPr>
        <w:t xml:space="preserve"> </w:t>
      </w:r>
      <w:r w:rsidRPr="001953BB">
        <w:rPr>
          <w:rFonts w:cs="Times New Roman"/>
          <w:lang/>
        </w:rPr>
        <w:t>By transparently addressing these discrepancies, we ensure that our results are interpreted cautiously and robustly.</w:t>
      </w:r>
    </w:p>
    <w:p w14:paraId="28EC8F5B" w14:textId="4AB6834A" w:rsidR="0054107C" w:rsidRPr="001953BB" w:rsidRDefault="0054107C" w:rsidP="00814092">
      <w:pPr>
        <w:rPr>
          <w:rFonts w:cs="Times New Roman"/>
          <w:b/>
          <w:bCs/>
        </w:rPr>
      </w:pPr>
      <w:r w:rsidRPr="001953BB">
        <w:rPr>
          <w:rFonts w:cs="Times New Roman"/>
        </w:rPr>
        <w:t>Where joint significance is established, the results validate the presence of non-linear dynamics in PAD’s effect on Y. In these cases, marginal effects are evaluated at the mean PAD coverage levels for broad (14.3%) and strict (5.33%) definitions. This approach provides practical insights into the direction and magnitude of PAD effects</w:t>
      </w:r>
      <w:r w:rsidRPr="001953BB">
        <w:rPr>
          <w:rFonts w:cs="Times New Roman"/>
          <w:lang w:val="zh-CN"/>
        </w:rPr>
        <w:t xml:space="preserve"> </w:t>
      </w:r>
      <w:r w:rsidRPr="001953BB">
        <w:rPr>
          <w:rFonts w:cs="Times New Roman"/>
        </w:rPr>
        <w:t xml:space="preserve">under realistic conditions, while avoiding overinterpretation of imprecise estimates. However, in the absence of joint significance, we refrain from interpreting the marginal effects or asserting the presence of non-linear patterns. </w:t>
      </w:r>
    </w:p>
    <w:p w14:paraId="16445035" w14:textId="2B03E212" w:rsidR="0054107C" w:rsidRPr="001953BB" w:rsidRDefault="00554455" w:rsidP="001953BB">
      <w:pPr>
        <w:pStyle w:val="Heading4"/>
      </w:pPr>
      <w:bookmarkStart w:id="81" w:name="_Toc187684987"/>
      <w:r w:rsidRPr="001953BB">
        <w:t>1.</w:t>
      </w:r>
      <w:r w:rsidR="0054107C" w:rsidRPr="001953BB">
        <w:t>4.2.2 Marginal Effects</w:t>
      </w:r>
      <w:bookmarkEnd w:id="81"/>
    </w:p>
    <w:p w14:paraId="55C5B2EE" w14:textId="77777777" w:rsidR="0054107C" w:rsidRPr="001953BB" w:rsidRDefault="0054107C" w:rsidP="00814092">
      <w:pPr>
        <w:rPr>
          <w:rFonts w:cs="Times New Roman"/>
          <w:lang/>
        </w:rPr>
      </w:pPr>
      <w:r w:rsidRPr="001953BB">
        <w:rPr>
          <w:rFonts w:cs="Times New Roman"/>
          <w:lang/>
        </w:rPr>
        <w:t>Marginal effects quantify the relationship between changes in an independent variable and the dependent variable (</w:t>
      </w:r>
      <m:oMath>
        <m:r>
          <w:rPr>
            <w:rFonts w:ascii="Cambria Math" w:hAnsi="Cambria Math" w:cs="Times New Roman"/>
            <w:lang/>
          </w:rPr>
          <m:t>Y</m:t>
        </m:r>
      </m:oMath>
      <w:r w:rsidRPr="001953BB">
        <w:rPr>
          <w:rFonts w:cs="Times New Roman"/>
          <w:lang/>
        </w:rPr>
        <w:t xml:space="preserve">), offering critical insights into how explanatory variables influence outcomes. For this analysis, marginal effects are calculated to capture the percentage change in </w:t>
      </w:r>
      <m:oMath>
        <m:r>
          <w:rPr>
            <w:rFonts w:ascii="Cambria Math" w:hAnsi="Cambria Math" w:cs="Times New Roman"/>
            <w:lang/>
          </w:rPr>
          <m:t>Y</m:t>
        </m:r>
      </m:oMath>
      <w:r w:rsidRPr="001953BB">
        <w:rPr>
          <w:rFonts w:cs="Times New Roman"/>
          <w:lang/>
        </w:rPr>
        <w:t xml:space="preserve"> for small changes in the explanatory variables, with a particular focus on PAD.</w:t>
      </w:r>
    </w:p>
    <w:p w14:paraId="63355662" w14:textId="3212CBE3" w:rsidR="0054107C" w:rsidRPr="001953BB" w:rsidRDefault="0054107C" w:rsidP="00814092">
      <w:pPr>
        <w:rPr>
          <w:rFonts w:cs="Times New Roman"/>
          <w:lang/>
        </w:rPr>
      </w:pPr>
      <w:r w:rsidRPr="001953BB">
        <w:rPr>
          <w:rFonts w:cs="Times New Roman"/>
          <w:b/>
          <w:bCs/>
          <w:lang/>
        </w:rPr>
        <w:t>Marginal Effects in Non-Linear Models</w:t>
      </w:r>
      <w:r w:rsidR="008718F7" w:rsidRPr="001953BB">
        <w:rPr>
          <w:rFonts w:cs="Times New Roman"/>
          <w:b/>
          <w:bCs/>
        </w:rPr>
        <w:t xml:space="preserve">: </w:t>
      </w:r>
      <w:r w:rsidRPr="001953BB">
        <w:rPr>
          <w:rFonts w:cs="Times New Roman"/>
          <w:lang/>
        </w:rPr>
        <w:t xml:space="preserve">In the PPML regression framework, the expected value of </w:t>
      </w:r>
      <m:oMath>
        <m:r>
          <w:rPr>
            <w:rFonts w:ascii="Cambria Math" w:hAnsi="Cambria Math" w:cs="Times New Roman"/>
            <w:lang/>
          </w:rPr>
          <m:t>Y</m:t>
        </m:r>
      </m:oMath>
      <w:r w:rsidRPr="001953BB">
        <w:rPr>
          <w:rFonts w:cs="Times New Roman"/>
          <w:lang/>
        </w:rPr>
        <w:t xml:space="preserve"> is modeled as:</w:t>
      </w:r>
      <w:r w:rsidR="00C76E15" w:rsidRPr="001953BB">
        <w:rPr>
          <w:rFonts w:cs="Times New Roman"/>
        </w:rPr>
        <w:t xml:space="preserve"> </w:t>
      </w:r>
      <m:oMath>
        <m:r>
          <w:rPr>
            <w:rFonts w:ascii="Cambria Math" w:hAnsi="Cambria Math" w:cs="Times New Roman"/>
            <w:lang/>
          </w:rPr>
          <m:t>E[Y∣X]=exp⁡(</m:t>
        </m:r>
        <m:sSub>
          <m:sSubPr>
            <m:ctrlPr>
              <w:rPr>
                <w:rFonts w:ascii="Cambria Math" w:hAnsi="Cambria Math" w:cs="Times New Roman"/>
                <w:i/>
                <w:lang/>
              </w:rPr>
            </m:ctrlPr>
          </m:sSubPr>
          <m:e>
            <m:r>
              <w:rPr>
                <w:rFonts w:ascii="Cambria Math" w:hAnsi="Cambria Math" w:cs="Times New Roman"/>
                <w:lang/>
              </w:rPr>
              <m:t>β</m:t>
            </m:r>
          </m:e>
          <m:sub>
            <m:r>
              <w:rPr>
                <w:rFonts w:ascii="Cambria Math" w:hAnsi="Cambria Math" w:cs="Times New Roman"/>
                <w:lang/>
              </w:rPr>
              <m:t>0</m:t>
            </m:r>
          </m:sub>
        </m:sSub>
        <m:r>
          <w:rPr>
            <w:rFonts w:ascii="Cambria Math" w:hAnsi="Cambria Math" w:cs="Times New Roman"/>
            <w:lang/>
          </w:rPr>
          <m:t>+</m:t>
        </m:r>
        <m:sSub>
          <m:sSubPr>
            <m:ctrlPr>
              <w:rPr>
                <w:rFonts w:ascii="Cambria Math" w:hAnsi="Cambria Math" w:cs="Times New Roman"/>
                <w:i/>
                <w:lang/>
              </w:rPr>
            </m:ctrlPr>
          </m:sSubPr>
          <m:e>
            <m:r>
              <w:rPr>
                <w:rFonts w:ascii="Cambria Math" w:hAnsi="Cambria Math" w:cs="Times New Roman"/>
                <w:lang/>
              </w:rPr>
              <m:t>β</m:t>
            </m:r>
          </m:e>
          <m:sub>
            <m:r>
              <w:rPr>
                <w:rFonts w:ascii="Cambria Math" w:hAnsi="Cambria Math" w:cs="Times New Roman"/>
                <w:lang/>
              </w:rPr>
              <m:t>1</m:t>
            </m:r>
          </m:sub>
        </m:sSub>
        <m:r>
          <w:rPr>
            <w:rFonts w:ascii="Cambria Math" w:hAnsi="Cambria Math" w:cs="Times New Roman"/>
            <w:lang/>
          </w:rPr>
          <m:t>⋅PAD+</m:t>
        </m:r>
        <m:sSub>
          <m:sSubPr>
            <m:ctrlPr>
              <w:rPr>
                <w:rFonts w:ascii="Cambria Math" w:hAnsi="Cambria Math" w:cs="Times New Roman"/>
                <w:i/>
                <w:lang/>
              </w:rPr>
            </m:ctrlPr>
          </m:sSubPr>
          <m:e>
            <m:r>
              <w:rPr>
                <w:rFonts w:ascii="Cambria Math" w:hAnsi="Cambria Math" w:cs="Times New Roman"/>
                <w:lang/>
              </w:rPr>
              <m:t>β</m:t>
            </m:r>
          </m:e>
          <m:sub>
            <m:r>
              <w:rPr>
                <w:rFonts w:ascii="Cambria Math" w:hAnsi="Cambria Math" w:cs="Times New Roman"/>
                <w:lang/>
              </w:rPr>
              <m:t>2</m:t>
            </m:r>
          </m:sub>
        </m:sSub>
        <m:r>
          <w:rPr>
            <w:rFonts w:ascii="Cambria Math" w:hAnsi="Cambria Math" w:cs="Times New Roman"/>
            <w:lang/>
          </w:rPr>
          <m:t>⋅PA</m:t>
        </m:r>
        <m:sSup>
          <m:sSupPr>
            <m:ctrlPr>
              <w:rPr>
                <w:rFonts w:ascii="Cambria Math" w:hAnsi="Cambria Math" w:cs="Times New Roman"/>
                <w:i/>
                <w:lang/>
              </w:rPr>
            </m:ctrlPr>
          </m:sSupPr>
          <m:e>
            <m:r>
              <w:rPr>
                <w:rFonts w:ascii="Cambria Math" w:hAnsi="Cambria Math" w:cs="Times New Roman"/>
                <w:lang/>
              </w:rPr>
              <m:t>D</m:t>
            </m:r>
          </m:e>
          <m:sup>
            <m:r>
              <w:rPr>
                <w:rFonts w:ascii="Cambria Math" w:hAnsi="Cambria Math" w:cs="Times New Roman"/>
                <w:lang/>
              </w:rPr>
              <m:t>2</m:t>
            </m:r>
          </m:sup>
        </m:sSup>
        <m:r>
          <w:rPr>
            <w:rFonts w:ascii="Cambria Math" w:hAnsi="Cambria Math" w:cs="Times New Roman"/>
            <w:lang/>
          </w:rPr>
          <m:t>+Z'γ)</m:t>
        </m:r>
      </m:oMath>
    </w:p>
    <w:p w14:paraId="16601A41" w14:textId="77777777" w:rsidR="00C76E15" w:rsidRPr="001953BB" w:rsidRDefault="0054107C" w:rsidP="00814092">
      <w:pPr>
        <w:rPr>
          <w:rFonts w:cs="Times New Roman"/>
          <w:lang/>
        </w:rPr>
      </w:pPr>
      <w:r w:rsidRPr="001953BB">
        <w:rPr>
          <w:rFonts w:cs="Times New Roman"/>
          <w:lang/>
        </w:rPr>
        <w:t xml:space="preserve">where </w:t>
      </w:r>
      <m:oMath>
        <m:sSub>
          <m:sSubPr>
            <m:ctrlPr>
              <w:rPr>
                <w:rFonts w:ascii="Cambria Math" w:hAnsi="Cambria Math" w:cs="Times New Roman"/>
                <w:i/>
                <w:lang/>
              </w:rPr>
            </m:ctrlPr>
          </m:sSubPr>
          <m:e>
            <m:r>
              <w:rPr>
                <w:rFonts w:ascii="Cambria Math" w:hAnsi="Cambria Math" w:cs="Times New Roman"/>
                <w:lang/>
              </w:rPr>
              <m:t>β</m:t>
            </m:r>
          </m:e>
          <m:sub>
            <m:r>
              <w:rPr>
                <w:rFonts w:ascii="Cambria Math" w:hAnsi="Cambria Math" w:cs="Times New Roman"/>
                <w:lang/>
              </w:rPr>
              <m:t>1</m:t>
            </m:r>
          </m:sub>
        </m:sSub>
      </m:oMath>
      <w:r w:rsidRPr="001953BB">
        <w:rPr>
          <w:rFonts w:cs="Times New Roman"/>
          <w:lang/>
        </w:rPr>
        <w:t xml:space="preserve">​ and </w:t>
      </w:r>
      <m:oMath>
        <m:sSub>
          <m:sSubPr>
            <m:ctrlPr>
              <w:rPr>
                <w:rFonts w:ascii="Cambria Math" w:hAnsi="Cambria Math" w:cs="Times New Roman"/>
                <w:i/>
                <w:lang/>
              </w:rPr>
            </m:ctrlPr>
          </m:sSubPr>
          <m:e>
            <m:r>
              <w:rPr>
                <w:rFonts w:ascii="Cambria Math" w:hAnsi="Cambria Math" w:cs="Times New Roman"/>
                <w:lang/>
              </w:rPr>
              <m:t>β</m:t>
            </m:r>
          </m:e>
          <m:sub>
            <m:r>
              <w:rPr>
                <w:rFonts w:ascii="Cambria Math" w:hAnsi="Cambria Math" w:cs="Times New Roman"/>
                <w:lang/>
              </w:rPr>
              <m:t>2</m:t>
            </m:r>
          </m:sub>
        </m:sSub>
      </m:oMath>
      <w:r w:rsidRPr="001953BB">
        <w:rPr>
          <w:rFonts w:cs="Times New Roman"/>
          <w:lang/>
        </w:rPr>
        <w:t xml:space="preserve">​ are the coefficients for the linear and quadratic terms of </w:t>
      </w:r>
      <m:oMath>
        <m:r>
          <w:rPr>
            <w:rFonts w:ascii="Cambria Math" w:hAnsi="Cambria Math" w:cs="Times New Roman"/>
            <w:lang/>
          </w:rPr>
          <m:t>PAD</m:t>
        </m:r>
      </m:oMath>
      <w:r w:rsidRPr="001953BB">
        <w:rPr>
          <w:rFonts w:cs="Times New Roman"/>
          <w:lang/>
        </w:rPr>
        <w:t xml:space="preserve">, respectively, and </w:t>
      </w:r>
      <m:oMath>
        <m:r>
          <w:rPr>
            <w:rFonts w:ascii="Cambria Math" w:hAnsi="Cambria Math" w:cs="Times New Roman"/>
            <w:lang/>
          </w:rPr>
          <m:t>Z'γ</m:t>
        </m:r>
      </m:oMath>
      <w:r w:rsidRPr="001953BB">
        <w:rPr>
          <w:rFonts w:cs="Times New Roman"/>
          <w:lang/>
        </w:rPr>
        <w:t xml:space="preserve"> represents other control variables. </w:t>
      </w:r>
    </w:p>
    <w:p w14:paraId="7EA1545E" w14:textId="336706B9" w:rsidR="0054107C" w:rsidRPr="001953BB" w:rsidRDefault="0054107C" w:rsidP="00814092">
      <w:pPr>
        <w:rPr>
          <w:rFonts w:cs="Times New Roman"/>
          <w:lang/>
        </w:rPr>
      </w:pPr>
      <w:r w:rsidRPr="001953BB">
        <w:rPr>
          <w:rFonts w:cs="Times New Roman"/>
          <w:lang/>
        </w:rPr>
        <w:t xml:space="preserve">The marginal effect of </w:t>
      </w:r>
      <m:oMath>
        <m:r>
          <w:rPr>
            <w:rFonts w:ascii="Cambria Math" w:hAnsi="Cambria Math" w:cs="Times New Roman"/>
            <w:lang/>
          </w:rPr>
          <m:t>PAD</m:t>
        </m:r>
      </m:oMath>
      <w:r w:rsidRPr="001953BB">
        <w:rPr>
          <w:rFonts w:cs="Times New Roman"/>
        </w:rPr>
        <w:t xml:space="preserve"> </w:t>
      </w:r>
      <w:r w:rsidRPr="001953BB">
        <w:rPr>
          <w:rFonts w:cs="Times New Roman"/>
          <w:lang/>
        </w:rPr>
        <w:t>is given by:</w:t>
      </w:r>
      <w:r w:rsidR="00C76E15" w:rsidRPr="001953BB">
        <w:rPr>
          <w:rFonts w:cs="Times New Roman"/>
        </w:rPr>
        <w:t xml:space="preserve"> </w:t>
      </w:r>
      <m:oMath>
        <m:f>
          <m:fPr>
            <m:ctrlPr>
              <w:rPr>
                <w:rFonts w:ascii="Cambria Math" w:hAnsi="Cambria Math" w:cs="Times New Roman"/>
                <w:i/>
                <w:lang/>
              </w:rPr>
            </m:ctrlPr>
          </m:fPr>
          <m:num>
            <m:r>
              <w:rPr>
                <w:rFonts w:ascii="Cambria Math" w:hAnsi="Cambria Math" w:cs="Times New Roman"/>
                <w:lang/>
              </w:rPr>
              <m:t>∂E</m:t>
            </m:r>
            <m:d>
              <m:dPr>
                <m:begChr m:val="["/>
                <m:sepChr m:val="∣"/>
                <m:endChr m:val="]"/>
                <m:ctrlPr>
                  <w:rPr>
                    <w:rFonts w:ascii="Cambria Math" w:hAnsi="Cambria Math" w:cs="Times New Roman"/>
                    <w:i/>
                    <w:lang/>
                  </w:rPr>
                </m:ctrlPr>
              </m:dPr>
              <m:e>
                <m:r>
                  <w:rPr>
                    <w:rFonts w:ascii="Cambria Math" w:hAnsi="Cambria Math" w:cs="Times New Roman"/>
                    <w:lang/>
                  </w:rPr>
                  <m:t>Y</m:t>
                </m:r>
              </m:e>
              <m:e>
                <m:r>
                  <w:rPr>
                    <w:rFonts w:ascii="Cambria Math" w:hAnsi="Cambria Math" w:cs="Times New Roman"/>
                    <w:lang/>
                  </w:rPr>
                  <m:t>X</m:t>
                </m:r>
              </m:e>
            </m:d>
          </m:num>
          <m:den>
            <m:r>
              <w:rPr>
                <w:rFonts w:ascii="Cambria Math" w:hAnsi="Cambria Math" w:cs="Times New Roman"/>
                <w:lang/>
              </w:rPr>
              <m:t>∂PAD</m:t>
            </m:r>
          </m:den>
        </m:f>
        <m:r>
          <w:rPr>
            <w:rFonts w:ascii="Cambria Math" w:hAnsi="Cambria Math" w:cs="Times New Roman"/>
            <w:lang/>
          </w:rPr>
          <m:t>=E[Y∣X]⋅(</m:t>
        </m:r>
        <m:sSub>
          <m:sSubPr>
            <m:ctrlPr>
              <w:rPr>
                <w:rFonts w:ascii="Cambria Math" w:hAnsi="Cambria Math" w:cs="Times New Roman"/>
                <w:i/>
                <w:lang/>
              </w:rPr>
            </m:ctrlPr>
          </m:sSubPr>
          <m:e>
            <m:r>
              <w:rPr>
                <w:rFonts w:ascii="Cambria Math" w:hAnsi="Cambria Math" w:cs="Times New Roman"/>
                <w:lang/>
              </w:rPr>
              <m:t>β</m:t>
            </m:r>
          </m:e>
          <m:sub>
            <m:r>
              <w:rPr>
                <w:rFonts w:ascii="Cambria Math" w:hAnsi="Cambria Math" w:cs="Times New Roman"/>
                <w:lang/>
              </w:rPr>
              <m:t>1</m:t>
            </m:r>
          </m:sub>
        </m:sSub>
        <m:r>
          <w:rPr>
            <w:rFonts w:ascii="Cambria Math" w:hAnsi="Cambria Math" w:cs="Times New Roman"/>
            <w:lang/>
          </w:rPr>
          <m:t>+2⋅</m:t>
        </m:r>
        <m:sSub>
          <m:sSubPr>
            <m:ctrlPr>
              <w:rPr>
                <w:rFonts w:ascii="Cambria Math" w:hAnsi="Cambria Math" w:cs="Times New Roman"/>
                <w:i/>
                <w:lang/>
              </w:rPr>
            </m:ctrlPr>
          </m:sSubPr>
          <m:e>
            <m:r>
              <w:rPr>
                <w:rFonts w:ascii="Cambria Math" w:hAnsi="Cambria Math" w:cs="Times New Roman"/>
                <w:lang/>
              </w:rPr>
              <m:t>β</m:t>
            </m:r>
          </m:e>
          <m:sub>
            <m:r>
              <w:rPr>
                <w:rFonts w:ascii="Cambria Math" w:hAnsi="Cambria Math" w:cs="Times New Roman"/>
                <w:lang/>
              </w:rPr>
              <m:t>2</m:t>
            </m:r>
          </m:sub>
        </m:sSub>
        <m:r>
          <w:rPr>
            <w:rFonts w:ascii="Cambria Math" w:hAnsi="Cambria Math" w:cs="Times New Roman"/>
            <w:lang/>
          </w:rPr>
          <m:t>⋅PAD)</m:t>
        </m:r>
      </m:oMath>
    </w:p>
    <w:p w14:paraId="2CF57FAB" w14:textId="64A7B2C1" w:rsidR="0054107C" w:rsidRPr="001953BB" w:rsidRDefault="0054107C" w:rsidP="00814092">
      <w:pPr>
        <w:rPr>
          <w:rFonts w:cs="Times New Roman"/>
          <w:lang/>
        </w:rPr>
      </w:pPr>
      <w:r w:rsidRPr="001953BB">
        <w:rPr>
          <w:rFonts w:cs="Times New Roman"/>
          <w:lang/>
        </w:rPr>
        <w:t xml:space="preserve">To simplify interpretation, we adopt the normalization </w:t>
      </w:r>
      <m:oMath>
        <m:r>
          <w:rPr>
            <w:rFonts w:ascii="Cambria Math" w:hAnsi="Cambria Math" w:cs="Times New Roman"/>
            <w:lang/>
          </w:rPr>
          <m:t>E[Y∣X]=1</m:t>
        </m:r>
      </m:oMath>
      <w:r w:rsidRPr="001953BB">
        <w:rPr>
          <w:rFonts w:cs="Times New Roman"/>
          <w:lang/>
        </w:rPr>
        <w:t>, which transforms the marginal effect into:</w:t>
      </w:r>
      <w:r w:rsidR="00C76E15" w:rsidRPr="001953BB">
        <w:rPr>
          <w:rFonts w:cs="Times New Roman"/>
        </w:rPr>
        <w:t xml:space="preserve"> </w:t>
      </w:r>
      <m:oMath>
        <m:f>
          <m:fPr>
            <m:ctrlPr>
              <w:rPr>
                <w:rFonts w:ascii="Cambria Math" w:hAnsi="Cambria Math" w:cs="Times New Roman"/>
                <w:i/>
                <w:lang/>
              </w:rPr>
            </m:ctrlPr>
          </m:fPr>
          <m:num>
            <m:r>
              <w:rPr>
                <w:rFonts w:ascii="Cambria Math" w:hAnsi="Cambria Math" w:cs="Times New Roman"/>
                <w:lang/>
              </w:rPr>
              <m:t>∂E</m:t>
            </m:r>
            <m:d>
              <m:dPr>
                <m:begChr m:val="["/>
                <m:sepChr m:val="∣"/>
                <m:endChr m:val="]"/>
                <m:ctrlPr>
                  <w:rPr>
                    <w:rFonts w:ascii="Cambria Math" w:hAnsi="Cambria Math" w:cs="Times New Roman"/>
                    <w:i/>
                    <w:lang/>
                  </w:rPr>
                </m:ctrlPr>
              </m:dPr>
              <m:e>
                <m:r>
                  <w:rPr>
                    <w:rFonts w:ascii="Cambria Math" w:hAnsi="Cambria Math" w:cs="Times New Roman"/>
                    <w:lang/>
                  </w:rPr>
                  <m:t>Y</m:t>
                </m:r>
              </m:e>
              <m:e>
                <m:r>
                  <w:rPr>
                    <w:rFonts w:ascii="Cambria Math" w:hAnsi="Cambria Math" w:cs="Times New Roman"/>
                    <w:lang/>
                  </w:rPr>
                  <m:t>X</m:t>
                </m:r>
              </m:e>
            </m:d>
          </m:num>
          <m:den>
            <m:r>
              <w:rPr>
                <w:rFonts w:ascii="Cambria Math" w:hAnsi="Cambria Math" w:cs="Times New Roman"/>
                <w:lang/>
              </w:rPr>
              <m:t>∂PAD</m:t>
            </m:r>
          </m:den>
        </m:f>
        <m:r>
          <w:rPr>
            <w:rFonts w:ascii="Cambria Math" w:hAnsi="Cambria Math" w:cs="Times New Roman"/>
            <w:lang/>
          </w:rPr>
          <m:t>=</m:t>
        </m:r>
        <m:sSub>
          <m:sSubPr>
            <m:ctrlPr>
              <w:rPr>
                <w:rFonts w:ascii="Cambria Math" w:hAnsi="Cambria Math" w:cs="Times New Roman"/>
                <w:i/>
                <w:lang/>
              </w:rPr>
            </m:ctrlPr>
          </m:sSubPr>
          <m:e>
            <m:r>
              <w:rPr>
                <w:rFonts w:ascii="Cambria Math" w:hAnsi="Cambria Math" w:cs="Times New Roman"/>
                <w:lang/>
              </w:rPr>
              <m:t>β</m:t>
            </m:r>
          </m:e>
          <m:sub>
            <m:r>
              <w:rPr>
                <w:rFonts w:ascii="Cambria Math" w:hAnsi="Cambria Math" w:cs="Times New Roman"/>
                <w:lang/>
              </w:rPr>
              <m:t>1</m:t>
            </m:r>
          </m:sub>
        </m:sSub>
        <m:r>
          <w:rPr>
            <w:rFonts w:ascii="Cambria Math" w:hAnsi="Cambria Math" w:cs="Times New Roman"/>
            <w:lang/>
          </w:rPr>
          <m:t>+2⋅</m:t>
        </m:r>
        <m:sSub>
          <m:sSubPr>
            <m:ctrlPr>
              <w:rPr>
                <w:rFonts w:ascii="Cambria Math" w:hAnsi="Cambria Math" w:cs="Times New Roman"/>
                <w:i/>
                <w:lang/>
              </w:rPr>
            </m:ctrlPr>
          </m:sSubPr>
          <m:e>
            <m:r>
              <w:rPr>
                <w:rFonts w:ascii="Cambria Math" w:hAnsi="Cambria Math" w:cs="Times New Roman"/>
                <w:lang/>
              </w:rPr>
              <m:t>β</m:t>
            </m:r>
          </m:e>
          <m:sub>
            <m:r>
              <w:rPr>
                <w:rFonts w:ascii="Cambria Math" w:hAnsi="Cambria Math" w:cs="Times New Roman"/>
                <w:lang/>
              </w:rPr>
              <m:t>2</m:t>
            </m:r>
          </m:sub>
        </m:sSub>
        <m:r>
          <w:rPr>
            <w:rFonts w:ascii="Cambria Math" w:hAnsi="Cambria Math" w:cs="Times New Roman"/>
            <w:lang/>
          </w:rPr>
          <m:t>⋅PAD</m:t>
        </m:r>
      </m:oMath>
    </w:p>
    <w:p w14:paraId="612F8AC0" w14:textId="77777777" w:rsidR="0054107C" w:rsidRPr="001953BB" w:rsidRDefault="0054107C" w:rsidP="00814092">
      <w:pPr>
        <w:rPr>
          <w:rFonts w:cs="Times New Roman"/>
          <w:lang/>
        </w:rPr>
      </w:pPr>
      <w:r w:rsidRPr="001953BB">
        <w:rPr>
          <w:rFonts w:cs="Times New Roman"/>
          <w:lang/>
        </w:rPr>
        <w:t xml:space="preserve">This assumption is standard in applied econometrics (Wooldridge, 2010; Cameron &amp; Trivedi, 2013) and allows the marginal effect to be interpreted directly as the percentage change in </w:t>
      </w:r>
      <m:oMath>
        <m:r>
          <w:rPr>
            <w:rFonts w:ascii="Cambria Math" w:hAnsi="Cambria Math" w:cs="Times New Roman"/>
            <w:lang/>
          </w:rPr>
          <m:t>Y</m:t>
        </m:r>
      </m:oMath>
      <w:r w:rsidRPr="001953BB">
        <w:rPr>
          <w:rFonts w:cs="Times New Roman"/>
          <w:lang/>
        </w:rPr>
        <w:t xml:space="preserve"> for </w:t>
      </w:r>
      <w:r w:rsidRPr="001953BB">
        <w:rPr>
          <w:rFonts w:cs="Times New Roman"/>
          <w:lang/>
        </w:rPr>
        <w:lastRenderedPageBreak/>
        <w:t xml:space="preserve">a small change in </w:t>
      </w:r>
      <m:oMath>
        <m:r>
          <w:rPr>
            <w:rFonts w:ascii="Cambria Math" w:hAnsi="Cambria Math" w:cs="Times New Roman"/>
            <w:lang/>
          </w:rPr>
          <m:t>PAD</m:t>
        </m:r>
      </m:oMath>
      <w:r w:rsidRPr="001953BB">
        <w:rPr>
          <w:rFonts w:cs="Times New Roman"/>
          <w:lang/>
        </w:rPr>
        <w:t xml:space="preserve">. Without normalization, the interpretation of the marginal effect would require explicit computation of </w:t>
      </w:r>
      <m:oMath>
        <m:r>
          <w:rPr>
            <w:rFonts w:ascii="Cambria Math" w:hAnsi="Cambria Math" w:cs="Times New Roman"/>
            <w:lang/>
          </w:rPr>
          <m:t>E[Y∣X]</m:t>
        </m:r>
      </m:oMath>
      <w:r w:rsidRPr="001953BB">
        <w:rPr>
          <w:rFonts w:cs="Times New Roman"/>
          <w:lang/>
        </w:rPr>
        <w:t>, introducing unnecessary complexity without altering the relative interpretation of the coefficients.</w:t>
      </w:r>
    </w:p>
    <w:p w14:paraId="07CBE498" w14:textId="629CCC0C" w:rsidR="0054107C" w:rsidRPr="001953BB" w:rsidRDefault="0054107C" w:rsidP="00814092">
      <w:pPr>
        <w:rPr>
          <w:rFonts w:cs="Times New Roman"/>
          <w:lang/>
        </w:rPr>
      </w:pPr>
      <w:r w:rsidRPr="001953BB">
        <w:rPr>
          <w:rFonts w:cs="Times New Roman"/>
          <w:b/>
          <w:bCs/>
          <w:lang/>
        </w:rPr>
        <w:t>Non-Linearity in PAD’s Marginal Effects</w:t>
      </w:r>
      <w:r w:rsidR="008718F7" w:rsidRPr="001953BB">
        <w:rPr>
          <w:rFonts w:cs="Times New Roman"/>
          <w:b/>
          <w:bCs/>
        </w:rPr>
        <w:t xml:space="preserve">: </w:t>
      </w:r>
      <w:r w:rsidRPr="001953BB">
        <w:rPr>
          <w:rFonts w:cs="Times New Roman"/>
          <w:lang/>
        </w:rPr>
        <w:t>The inclusion of quadratic terms (</w:t>
      </w:r>
      <m:oMath>
        <m:r>
          <w:rPr>
            <w:rFonts w:ascii="Cambria Math" w:hAnsi="Cambria Math" w:cs="Times New Roman"/>
            <w:lang/>
          </w:rPr>
          <m:t>PA</m:t>
        </m:r>
        <m:sSup>
          <m:sSupPr>
            <m:ctrlPr>
              <w:rPr>
                <w:rFonts w:ascii="Cambria Math" w:hAnsi="Cambria Math" w:cs="Times New Roman"/>
                <w:i/>
                <w:lang/>
              </w:rPr>
            </m:ctrlPr>
          </m:sSupPr>
          <m:e>
            <m:r>
              <w:rPr>
                <w:rFonts w:ascii="Cambria Math" w:hAnsi="Cambria Math" w:cs="Times New Roman"/>
                <w:lang/>
              </w:rPr>
              <m:t>D</m:t>
            </m:r>
          </m:e>
          <m:sup>
            <m:r>
              <w:rPr>
                <w:rFonts w:ascii="Cambria Math" w:hAnsi="Cambria Math" w:cs="Times New Roman"/>
                <w:lang/>
              </w:rPr>
              <m:t>2</m:t>
            </m:r>
          </m:sup>
        </m:sSup>
      </m:oMath>
      <w:r w:rsidRPr="001953BB">
        <w:rPr>
          <w:rFonts w:cs="Times New Roman"/>
          <w:lang/>
        </w:rPr>
        <w:t>) introduces non-linearity, meaning the marginal effect of PAD varies with the current level of PAD. At low levels of PAD, the linear term dominates, resulting in more pronounced impacts. At higher levels of PAD, the quadratic term moderates or reverses the effect.</w:t>
      </w:r>
    </w:p>
    <w:p w14:paraId="7F73BE9B" w14:textId="51576DD0" w:rsidR="0054107C" w:rsidRPr="001953BB" w:rsidRDefault="0054107C" w:rsidP="00814092">
      <w:pPr>
        <w:rPr>
          <w:rFonts w:cs="Times New Roman"/>
          <w:lang/>
        </w:rPr>
      </w:pPr>
      <w:r w:rsidRPr="001953BB">
        <w:rPr>
          <w:rFonts w:cs="Times New Roman"/>
          <w:lang/>
        </w:rPr>
        <w:t>For example</w:t>
      </w:r>
      <w:r w:rsidRPr="001953BB">
        <w:rPr>
          <w:rFonts w:cs="Times New Roman"/>
        </w:rPr>
        <w:t>, a</w:t>
      </w:r>
      <w:r w:rsidRPr="001953BB">
        <w:rPr>
          <w:rFonts w:cs="Times New Roman"/>
          <w:lang/>
        </w:rPr>
        <w:t xml:space="preserve">t </w:t>
      </w:r>
      <w:r w:rsidRPr="001953BB">
        <w:rPr>
          <w:rFonts w:cs="Times New Roman"/>
        </w:rPr>
        <w:t xml:space="preserve">the mean </w:t>
      </w:r>
      <w:r w:rsidRPr="001953BB">
        <w:rPr>
          <w:rFonts w:cs="Times New Roman"/>
          <w:lang/>
        </w:rPr>
        <w:t>strict PAD level (5.33%</w:t>
      </w:r>
      <w:r w:rsidRPr="001953BB">
        <w:rPr>
          <w:rFonts w:cs="Times New Roman"/>
        </w:rPr>
        <w:t>)</w:t>
      </w:r>
      <w:r w:rsidRPr="001953BB">
        <w:rPr>
          <w:rFonts w:cs="Times New Roman"/>
          <w:lang/>
        </w:rPr>
        <w:t>:</w:t>
      </w:r>
      <w:r w:rsidR="00C76E15" w:rsidRPr="001953BB">
        <w:rPr>
          <w:rFonts w:cs="Times New Roman"/>
        </w:rPr>
        <w:t xml:space="preserve"> </w:t>
      </w:r>
      <m:oMath>
        <m:r>
          <w:rPr>
            <w:rFonts w:ascii="Cambria Math" w:hAnsi="Cambria Math" w:cs="Times New Roman"/>
            <w:lang/>
          </w:rPr>
          <m:t>Marginal Effect=</m:t>
        </m:r>
        <m:sSub>
          <m:sSubPr>
            <m:ctrlPr>
              <w:rPr>
                <w:rFonts w:ascii="Cambria Math" w:hAnsi="Cambria Math" w:cs="Times New Roman"/>
                <w:i/>
                <w:lang/>
              </w:rPr>
            </m:ctrlPr>
          </m:sSubPr>
          <m:e>
            <m:r>
              <w:rPr>
                <w:rFonts w:ascii="Cambria Math" w:hAnsi="Cambria Math" w:cs="Times New Roman"/>
                <w:lang/>
              </w:rPr>
              <m:t>β</m:t>
            </m:r>
          </m:e>
          <m:sub>
            <m:r>
              <w:rPr>
                <w:rFonts w:ascii="Cambria Math" w:hAnsi="Cambria Math" w:cs="Times New Roman"/>
                <w:lang/>
              </w:rPr>
              <m:t>1</m:t>
            </m:r>
          </m:sub>
        </m:sSub>
        <m:r>
          <w:rPr>
            <w:rFonts w:ascii="Cambria Math" w:hAnsi="Cambria Math" w:cs="Times New Roman"/>
            <w:lang/>
          </w:rPr>
          <m:t>+2⋅</m:t>
        </m:r>
        <m:sSub>
          <m:sSubPr>
            <m:ctrlPr>
              <w:rPr>
                <w:rFonts w:ascii="Cambria Math" w:hAnsi="Cambria Math" w:cs="Times New Roman"/>
                <w:i/>
                <w:lang/>
              </w:rPr>
            </m:ctrlPr>
          </m:sSubPr>
          <m:e>
            <m:r>
              <w:rPr>
                <w:rFonts w:ascii="Cambria Math" w:hAnsi="Cambria Math" w:cs="Times New Roman"/>
                <w:lang/>
              </w:rPr>
              <m:t>β</m:t>
            </m:r>
          </m:e>
          <m:sub>
            <m:r>
              <w:rPr>
                <w:rFonts w:ascii="Cambria Math" w:hAnsi="Cambria Math" w:cs="Times New Roman"/>
                <w:lang/>
              </w:rPr>
              <m:t>2</m:t>
            </m:r>
          </m:sub>
        </m:sSub>
        <m:r>
          <w:rPr>
            <w:rFonts w:ascii="Cambria Math" w:hAnsi="Cambria Math" w:cs="Times New Roman"/>
            <w:lang/>
          </w:rPr>
          <m:t>⋅PAD</m:t>
        </m:r>
      </m:oMath>
    </w:p>
    <w:p w14:paraId="16643E44" w14:textId="77777777" w:rsidR="0054107C" w:rsidRPr="001953BB" w:rsidRDefault="0054107C" w:rsidP="00814092">
      <w:pPr>
        <w:rPr>
          <w:rFonts w:cs="Times New Roman"/>
          <w:lang/>
        </w:rPr>
      </w:pPr>
      <w:r w:rsidRPr="001953BB">
        <w:rPr>
          <w:rFonts w:cs="Times New Roman"/>
          <w:lang/>
        </w:rPr>
        <w:t xml:space="preserve">Using </w:t>
      </w:r>
      <m:oMath>
        <m:sSub>
          <m:sSubPr>
            <m:ctrlPr>
              <w:rPr>
                <w:rFonts w:ascii="Cambria Math" w:hAnsi="Cambria Math" w:cs="Times New Roman"/>
                <w:i/>
                <w:lang/>
              </w:rPr>
            </m:ctrlPr>
          </m:sSubPr>
          <m:e>
            <m:r>
              <w:rPr>
                <w:rFonts w:ascii="Cambria Math" w:hAnsi="Cambria Math" w:cs="Times New Roman"/>
                <w:lang/>
              </w:rPr>
              <m:t>β</m:t>
            </m:r>
          </m:e>
          <m:sub>
            <m:r>
              <w:rPr>
                <w:rFonts w:ascii="Cambria Math" w:hAnsi="Cambria Math" w:cs="Times New Roman"/>
                <w:lang/>
              </w:rPr>
              <m:t>1</m:t>
            </m:r>
          </m:sub>
        </m:sSub>
        <m:r>
          <w:rPr>
            <w:rFonts w:ascii="Cambria Math" w:hAnsi="Cambria Math" w:cs="Times New Roman"/>
            <w:lang/>
          </w:rPr>
          <m:t>=-2.435</m:t>
        </m:r>
      </m:oMath>
      <w:r w:rsidRPr="001953BB">
        <w:rPr>
          <w:rFonts w:cs="Times New Roman"/>
        </w:rPr>
        <w:t xml:space="preserve"> </w:t>
      </w:r>
      <w:r w:rsidRPr="001953BB">
        <w:rPr>
          <w:rFonts w:cs="Times New Roman"/>
          <w:lang/>
        </w:rPr>
        <w:t xml:space="preserve">and </w:t>
      </w:r>
      <m:oMath>
        <m:sSub>
          <m:sSubPr>
            <m:ctrlPr>
              <w:rPr>
                <w:rFonts w:ascii="Cambria Math" w:hAnsi="Cambria Math" w:cs="Times New Roman"/>
                <w:i/>
                <w:lang/>
              </w:rPr>
            </m:ctrlPr>
          </m:sSubPr>
          <m:e>
            <m:r>
              <w:rPr>
                <w:rFonts w:ascii="Cambria Math" w:hAnsi="Cambria Math" w:cs="Times New Roman"/>
                <w:lang/>
              </w:rPr>
              <m:t>β</m:t>
            </m:r>
          </m:e>
          <m:sub>
            <m:r>
              <w:rPr>
                <w:rFonts w:ascii="Cambria Math" w:hAnsi="Cambria Math" w:cs="Times New Roman"/>
                <w:lang/>
              </w:rPr>
              <m:t>2</m:t>
            </m:r>
          </m:sub>
        </m:sSub>
        <m:r>
          <w:rPr>
            <w:rFonts w:ascii="Cambria Math" w:hAnsi="Cambria Math" w:cs="Times New Roman"/>
            <w:lang/>
          </w:rPr>
          <m:t xml:space="preserve"> = 2.653</m:t>
        </m:r>
      </m:oMath>
      <w:r w:rsidRPr="001953BB">
        <w:rPr>
          <w:rFonts w:cs="Times New Roman"/>
          <w:lang/>
        </w:rPr>
        <w:t>, the marginal effect is:</w:t>
      </w:r>
    </w:p>
    <w:p w14:paraId="1EB57738" w14:textId="77777777" w:rsidR="0054107C" w:rsidRPr="001953BB" w:rsidRDefault="0054107C" w:rsidP="00814092">
      <w:pPr>
        <w:rPr>
          <w:rFonts w:cs="Times New Roman"/>
          <w:lang/>
        </w:rPr>
      </w:pPr>
      <m:oMathPara>
        <m:oMathParaPr>
          <m:jc m:val="left"/>
        </m:oMathParaPr>
        <m:oMath>
          <m:r>
            <w:rPr>
              <w:rFonts w:ascii="Cambria Math" w:hAnsi="Cambria Math" w:cs="Times New Roman"/>
              <w:lang/>
            </w:rPr>
            <m:t>Marginal Effect=-2.435+2⋅2.653⋅0.0533=-2.1523</m:t>
          </m:r>
        </m:oMath>
      </m:oMathPara>
    </w:p>
    <w:p w14:paraId="32AB61E2" w14:textId="77777777" w:rsidR="0054107C" w:rsidRPr="001953BB" w:rsidRDefault="0054107C" w:rsidP="00814092">
      <w:pPr>
        <w:rPr>
          <w:rFonts w:cs="Times New Roman"/>
          <w:lang/>
        </w:rPr>
      </w:pPr>
      <w:r w:rsidRPr="001953BB">
        <w:rPr>
          <w:rFonts w:cs="Times New Roman"/>
          <w:lang/>
        </w:rPr>
        <w:t>This implies that a 1 percentage point increase in PAD (from 5.33% to 6.33%) reduces relocations by 2.15%.</w:t>
      </w:r>
      <w:r w:rsidRPr="001953BB">
        <w:rPr>
          <w:rFonts w:cs="Times New Roman"/>
        </w:rPr>
        <w:t xml:space="preserve"> </w:t>
      </w:r>
      <w:r w:rsidRPr="001953BB">
        <w:rPr>
          <w:rFonts w:cs="Times New Roman"/>
          <w:lang/>
        </w:rPr>
        <w:t>At higher PAD levels (</w:t>
      </w:r>
      <w:r w:rsidRPr="001953BB">
        <w:rPr>
          <w:rFonts w:cs="Times New Roman"/>
        </w:rPr>
        <w:t xml:space="preserve">for instance at </w:t>
      </w:r>
      <w:r w:rsidRPr="001953BB">
        <w:rPr>
          <w:rFonts w:cs="Times New Roman"/>
          <w:lang/>
        </w:rPr>
        <w:t>20%):</w:t>
      </w:r>
    </w:p>
    <w:p w14:paraId="73D6D9F7" w14:textId="77777777" w:rsidR="0054107C" w:rsidRPr="001953BB" w:rsidRDefault="0054107C" w:rsidP="00814092">
      <w:pPr>
        <w:rPr>
          <w:rFonts w:cs="Times New Roman"/>
          <w:lang/>
        </w:rPr>
      </w:pPr>
      <m:oMathPara>
        <m:oMathParaPr>
          <m:jc m:val="left"/>
        </m:oMathParaPr>
        <m:oMath>
          <m:r>
            <w:rPr>
              <w:rFonts w:ascii="Cambria Math" w:hAnsi="Cambria Math" w:cs="Times New Roman"/>
              <w:lang/>
            </w:rPr>
            <m:t>Marginal Effect=-2.435+2⋅2.653⋅0.20=-1.105</m:t>
          </m:r>
        </m:oMath>
      </m:oMathPara>
    </w:p>
    <w:p w14:paraId="1474C1C8" w14:textId="77777777" w:rsidR="0054107C" w:rsidRPr="001953BB" w:rsidRDefault="0054107C" w:rsidP="00814092">
      <w:pPr>
        <w:rPr>
          <w:rFonts w:cs="Times New Roman"/>
          <w:lang/>
        </w:rPr>
      </w:pPr>
      <w:r w:rsidRPr="001953BB">
        <w:rPr>
          <w:rFonts w:cs="Times New Roman"/>
          <w:lang/>
        </w:rPr>
        <w:t>This indicates a diminishing effect as PAD coverage increases.</w:t>
      </w:r>
    </w:p>
    <w:p w14:paraId="06F3816E" w14:textId="77777777" w:rsidR="00C76E15" w:rsidRPr="001953BB" w:rsidRDefault="0054107C" w:rsidP="00814092">
      <w:pPr>
        <w:rPr>
          <w:rFonts w:cs="Times New Roman"/>
          <w:lang/>
        </w:rPr>
      </w:pPr>
      <w:r w:rsidRPr="001953BB">
        <w:rPr>
          <w:rFonts w:cs="Times New Roman"/>
          <w:b/>
          <w:bCs/>
          <w:lang/>
        </w:rPr>
        <w:t>Comparison with Non-PAD Variables</w:t>
      </w:r>
      <w:r w:rsidR="008718F7" w:rsidRPr="001953BB">
        <w:rPr>
          <w:rFonts w:cs="Times New Roman"/>
          <w:b/>
          <w:bCs/>
        </w:rPr>
        <w:t xml:space="preserve">: </w:t>
      </w:r>
      <w:r w:rsidRPr="001953BB">
        <w:rPr>
          <w:rFonts w:cs="Times New Roman"/>
          <w:lang/>
        </w:rPr>
        <w:t xml:space="preserve">In contrast, non-PAD </w:t>
      </w:r>
      <w:r w:rsidRPr="001953BB">
        <w:rPr>
          <w:rFonts w:cs="Times New Roman"/>
        </w:rPr>
        <w:t xml:space="preserve">explanatory </w:t>
      </w:r>
      <w:r w:rsidRPr="001953BB">
        <w:rPr>
          <w:rFonts w:cs="Times New Roman"/>
          <w:lang/>
        </w:rPr>
        <w:t>variables</w:t>
      </w:r>
      <w:r w:rsidRPr="001953BB">
        <w:rPr>
          <w:rFonts w:cs="Times New Roman"/>
        </w:rPr>
        <w:t xml:space="preserve"> </w:t>
      </w:r>
      <w:r w:rsidRPr="001953BB">
        <w:rPr>
          <w:rFonts w:cs="Times New Roman"/>
          <w:lang/>
        </w:rPr>
        <w:t>exhibit constant marginal effects because they are model</w:t>
      </w:r>
      <w:r w:rsidRPr="001953BB">
        <w:rPr>
          <w:rFonts w:cs="Times New Roman"/>
        </w:rPr>
        <w:t>l</w:t>
      </w:r>
      <w:r w:rsidRPr="001953BB">
        <w:rPr>
          <w:rFonts w:cs="Times New Roman"/>
          <w:lang/>
        </w:rPr>
        <w:t xml:space="preserve">ed linearly. </w:t>
      </w:r>
    </w:p>
    <w:p w14:paraId="685D3564" w14:textId="45020C25" w:rsidR="0054107C" w:rsidRPr="001953BB" w:rsidRDefault="0054107C" w:rsidP="00814092">
      <w:pPr>
        <w:rPr>
          <w:rFonts w:cs="Times New Roman"/>
          <w:lang/>
        </w:rPr>
      </w:pPr>
      <w:r w:rsidRPr="001953BB">
        <w:rPr>
          <w:rFonts w:cs="Times New Roman"/>
          <w:lang/>
        </w:rPr>
        <w:t>For these variables:</w:t>
      </w:r>
      <w:r w:rsidR="00C76E15" w:rsidRPr="001953BB">
        <w:rPr>
          <w:rFonts w:cs="Times New Roman"/>
        </w:rPr>
        <w:t xml:space="preserve"> </w:t>
      </w:r>
      <m:oMath>
        <m:f>
          <m:fPr>
            <m:ctrlPr>
              <w:rPr>
                <w:rFonts w:ascii="Cambria Math" w:hAnsi="Cambria Math" w:cs="Times New Roman"/>
                <w:i/>
                <w:lang/>
              </w:rPr>
            </m:ctrlPr>
          </m:fPr>
          <m:num>
            <m:r>
              <w:rPr>
                <w:rFonts w:ascii="Cambria Math" w:hAnsi="Cambria Math" w:cs="Times New Roman"/>
                <w:lang/>
              </w:rPr>
              <m:t>∂E</m:t>
            </m:r>
            <m:d>
              <m:dPr>
                <m:begChr m:val="["/>
                <m:sepChr m:val="∣"/>
                <m:endChr m:val="]"/>
                <m:ctrlPr>
                  <w:rPr>
                    <w:rFonts w:ascii="Cambria Math" w:hAnsi="Cambria Math" w:cs="Times New Roman"/>
                    <w:i/>
                    <w:lang/>
                  </w:rPr>
                </m:ctrlPr>
              </m:dPr>
              <m:e>
                <m:r>
                  <w:rPr>
                    <w:rFonts w:ascii="Cambria Math" w:hAnsi="Cambria Math" w:cs="Times New Roman"/>
                    <w:lang/>
                  </w:rPr>
                  <m:t>Y</m:t>
                </m:r>
              </m:e>
              <m:e>
                <m:r>
                  <w:rPr>
                    <w:rFonts w:ascii="Cambria Math" w:hAnsi="Cambria Math" w:cs="Times New Roman"/>
                    <w:lang/>
                  </w:rPr>
                  <m:t>X</m:t>
                </m:r>
              </m:e>
            </m:d>
          </m:num>
          <m:den>
            <m:r>
              <w:rPr>
                <w:rFonts w:ascii="Cambria Math" w:hAnsi="Cambria Math" w:cs="Times New Roman"/>
                <w:lang/>
              </w:rPr>
              <m:t>∂X</m:t>
            </m:r>
          </m:den>
        </m:f>
        <m:r>
          <w:rPr>
            <w:rFonts w:ascii="Cambria Math" w:hAnsi="Cambria Math" w:cs="Times New Roman"/>
            <w:lang/>
          </w:rPr>
          <m:t>=E[Y∣X]⋅β</m:t>
        </m:r>
      </m:oMath>
    </w:p>
    <w:p w14:paraId="5AD63E34" w14:textId="77777777" w:rsidR="0054107C" w:rsidRPr="001953BB" w:rsidRDefault="0054107C" w:rsidP="00814092">
      <w:pPr>
        <w:rPr>
          <w:rFonts w:cs="Times New Roman"/>
          <w:lang/>
        </w:rPr>
      </w:pPr>
      <w:r w:rsidRPr="001953BB">
        <w:rPr>
          <w:rFonts w:cs="Times New Roman"/>
          <w:lang/>
        </w:rPr>
        <w:t>Where</w:t>
      </w:r>
      <w:r w:rsidRPr="001953BB">
        <w:rPr>
          <w:rFonts w:cs="Times New Roman"/>
        </w:rPr>
        <w:t xml:space="preserve"> </w:t>
      </w:r>
      <w:r w:rsidRPr="001953BB">
        <w:rPr>
          <w:rFonts w:cs="Times New Roman"/>
          <w:lang/>
        </w:rPr>
        <w:t>β is the coefficient</w:t>
      </w:r>
      <w:r w:rsidRPr="001953BB">
        <w:rPr>
          <w:rFonts w:cs="Times New Roman"/>
        </w:rPr>
        <w:t xml:space="preserve"> on any of the non-PAD explanatory variable</w:t>
      </w:r>
      <w:r w:rsidRPr="001953BB">
        <w:rPr>
          <w:rFonts w:cs="Times New Roman"/>
          <w:lang/>
        </w:rPr>
        <w:t xml:space="preserve">. This means a 1-unit increase in the variable produces the same percentage change in </w:t>
      </w:r>
      <m:oMath>
        <m:r>
          <w:rPr>
            <w:rFonts w:ascii="Cambria Math" w:hAnsi="Cambria Math" w:cs="Times New Roman"/>
            <w:lang/>
          </w:rPr>
          <m:t>Y</m:t>
        </m:r>
      </m:oMath>
      <w:r w:rsidRPr="001953BB">
        <w:rPr>
          <w:rFonts w:cs="Times New Roman"/>
          <w:lang/>
        </w:rPr>
        <w:t>, regardless of the baseline level of the variable.</w:t>
      </w:r>
    </w:p>
    <w:p w14:paraId="681D3AE9" w14:textId="77777777" w:rsidR="0054107C" w:rsidRPr="001953BB" w:rsidRDefault="0054107C" w:rsidP="00814092">
      <w:pPr>
        <w:rPr>
          <w:rFonts w:cs="Times New Roman"/>
        </w:rPr>
      </w:pPr>
      <w:r w:rsidRPr="001953BB">
        <w:rPr>
          <w:rFonts w:cs="Times New Roman"/>
          <w:lang/>
        </w:rPr>
        <w:t xml:space="preserve">The non-linear marginal effects of PAD underscore the importance of accounting for baseline coverage levels in policymaking. For counties with low PAD coverage, small increases may </w:t>
      </w:r>
      <w:r w:rsidRPr="001953BB">
        <w:rPr>
          <w:rFonts w:cs="Times New Roman"/>
          <w:lang/>
        </w:rPr>
        <w:lastRenderedPageBreak/>
        <w:t>have significant impacts, while in counties with high PAD coverage, the effects diminish. Conversely, the constant marginal effects of non-PAD variables simplify their interpretation, enabling more straightforward policy interventions.</w:t>
      </w:r>
      <w:r w:rsidRPr="001953BB">
        <w:rPr>
          <w:rFonts w:cs="Times New Roman"/>
        </w:rPr>
        <w:t xml:space="preserve"> </w:t>
      </w:r>
      <w:r w:rsidRPr="001953BB">
        <w:rPr>
          <w:rFonts w:cs="Times New Roman"/>
          <w:lang w:val="zh-CN"/>
        </w:rPr>
        <w:t>While the marginal effects of PAD demonstrate its non-linear relationship with Y, the interpretation of coefficients and marginal effects for other variables depends on whether they are scaled or unscaled, as discussed next.</w:t>
      </w:r>
    </w:p>
    <w:p w14:paraId="30EB2612" w14:textId="30D00E51" w:rsidR="0054107C" w:rsidRPr="001953BB" w:rsidRDefault="00961D1F" w:rsidP="001953BB">
      <w:pPr>
        <w:pStyle w:val="Heading4"/>
      </w:pPr>
      <w:bookmarkStart w:id="82" w:name="_Toc187684988"/>
      <w:r w:rsidRPr="001953BB">
        <w:t>1.</w:t>
      </w:r>
      <w:r w:rsidR="0054107C" w:rsidRPr="001953BB">
        <w:t>4.2.3 Relevance of Scaled and Unscaled Variables</w:t>
      </w:r>
      <w:bookmarkEnd w:id="82"/>
    </w:p>
    <w:p w14:paraId="48204BFE" w14:textId="77777777" w:rsidR="0054107C" w:rsidRPr="001953BB" w:rsidRDefault="0054107C" w:rsidP="00814092">
      <w:pPr>
        <w:rPr>
          <w:rFonts w:cs="Times New Roman"/>
          <w:lang w:val="zh-CN"/>
        </w:rPr>
      </w:pPr>
      <w:r w:rsidRPr="001953BB">
        <w:rPr>
          <w:rFonts w:cs="Times New Roman"/>
          <w:lang w:val="zh-CN"/>
        </w:rPr>
        <w:t xml:space="preserve">The PPMLHDFE model is designed to handle count-based dependent variables (e.g., business births, relocations, and exits) by modeling the conditional mean of the outcome variable </w:t>
      </w:r>
      <m:oMath>
        <m:r>
          <w:rPr>
            <w:rFonts w:ascii="Cambria Math" w:hAnsi="Cambria Math" w:cs="Times New Roman"/>
          </w:rPr>
          <m:t>Y</m:t>
        </m:r>
      </m:oMath>
      <w:r w:rsidRPr="001953BB">
        <w:rPr>
          <w:rFonts w:cs="Times New Roman"/>
          <w:lang w:val="zh-CN"/>
        </w:rPr>
        <w:t xml:space="preserve"> as </w:t>
      </w:r>
      <m:oMath>
        <m:r>
          <w:rPr>
            <w:rFonts w:ascii="Cambria Math" w:hAnsi="Cambria Math" w:cs="Times New Roman"/>
            <w:lang w:val="zh-CN"/>
          </w:rPr>
          <m:t>exp(β'X)</m:t>
        </m:r>
      </m:oMath>
      <w:r w:rsidRPr="001953BB">
        <w:rPr>
          <w:rFonts w:cs="Times New Roman"/>
          <w:lang w:val="zh-CN"/>
        </w:rPr>
        <w:t>. In this framework, the inclusion of both scaled and unscaled explanatory variables allows for precise interpretation of the marginal effects of key factors on business dynamics, aligning with best econometric practices (Bartik, 1985; Levinson, 1996).</w:t>
      </w:r>
    </w:p>
    <w:p w14:paraId="1A1025BE" w14:textId="77777777" w:rsidR="0054107C" w:rsidRPr="001953BB" w:rsidRDefault="0054107C" w:rsidP="00814092">
      <w:pPr>
        <w:numPr>
          <w:ilvl w:val="0"/>
          <w:numId w:val="6"/>
        </w:numPr>
        <w:contextualSpacing/>
        <w:rPr>
          <w:rFonts w:cs="Times New Roman"/>
          <w:kern w:val="2"/>
          <w:lang w:val="zh-CN" w:eastAsia="zh-CN"/>
        </w:rPr>
      </w:pPr>
      <w:r w:rsidRPr="001953BB">
        <w:rPr>
          <w:rFonts w:cs="Times New Roman"/>
          <w:b/>
          <w:bCs/>
          <w:kern w:val="2"/>
          <w:lang w:val="zh-CN" w:eastAsia="zh-CN"/>
        </w:rPr>
        <w:t>Unscaled Variables:</w:t>
      </w:r>
      <w:r w:rsidRPr="001953BB">
        <w:rPr>
          <w:rFonts w:cs="Times New Roman"/>
          <w:kern w:val="2"/>
          <w:lang w:val="zh-CN" w:eastAsia="zh-CN"/>
        </w:rPr>
        <w:t xml:space="preserve"> Coefficients represent the percentage change in the outcome variable (</w:t>
      </w:r>
      <m:oMath>
        <m:r>
          <w:rPr>
            <w:rFonts w:ascii="Cambria Math" w:hAnsi="Cambria Math" w:cs="Times New Roman"/>
            <w:kern w:val="2"/>
            <w:lang w:eastAsia="zh-CN"/>
          </w:rPr>
          <m:t>Y</m:t>
        </m:r>
      </m:oMath>
      <w:r w:rsidRPr="001953BB">
        <w:rPr>
          <w:rFonts w:cs="Times New Roman"/>
          <w:kern w:val="2"/>
          <w:lang w:val="zh-CN" w:eastAsia="zh-CN"/>
        </w:rPr>
        <w:t>) associated with a one-unit increase in the explanatory variable (</w:t>
      </w:r>
      <m:oMath>
        <m:r>
          <w:rPr>
            <w:rFonts w:ascii="Cambria Math" w:hAnsi="Cambria Math" w:cs="Times New Roman"/>
            <w:kern w:val="2"/>
            <w:lang w:val="zh-CN" w:eastAsia="zh-CN"/>
          </w:rPr>
          <m:t>X</m:t>
        </m:r>
      </m:oMath>
      <w:r w:rsidRPr="001953BB">
        <w:rPr>
          <w:rFonts w:cs="Times New Roman"/>
          <w:kern w:val="2"/>
          <w:lang w:val="zh-CN" w:eastAsia="zh-CN"/>
        </w:rPr>
        <w:t xml:space="preserve">), ceteris paribus. </w:t>
      </w:r>
    </w:p>
    <w:p w14:paraId="7884B506" w14:textId="77777777" w:rsidR="0054107C" w:rsidRPr="001953BB" w:rsidRDefault="0054107C" w:rsidP="00814092">
      <w:pPr>
        <w:numPr>
          <w:ilvl w:val="0"/>
          <w:numId w:val="6"/>
        </w:numPr>
        <w:contextualSpacing/>
        <w:rPr>
          <w:rFonts w:cs="Times New Roman"/>
          <w:kern w:val="2"/>
          <w:lang w:val="zh-CN" w:eastAsia="zh-CN"/>
        </w:rPr>
      </w:pPr>
      <w:r w:rsidRPr="001953BB">
        <w:rPr>
          <w:rFonts w:cs="Times New Roman"/>
          <w:b/>
          <w:bCs/>
          <w:kern w:val="2"/>
          <w:lang w:val="zh-CN" w:eastAsia="zh-CN"/>
        </w:rPr>
        <w:t>Scaled Variables:</w:t>
      </w:r>
      <w:r w:rsidRPr="001953BB">
        <w:rPr>
          <w:rFonts w:cs="Times New Roman"/>
          <w:kern w:val="2"/>
          <w:lang w:val="zh-CN" w:eastAsia="zh-CN"/>
        </w:rPr>
        <w:t xml:space="preserve"> Variables such as median household income, housing price index, or employment density are scaled (e.g., in 100s or 1,000s) to enhance interpretability. Coefficients for these variables reflect the percentage change in </w:t>
      </w:r>
      <m:oMath>
        <m:r>
          <w:rPr>
            <w:rFonts w:ascii="Cambria Math" w:hAnsi="Cambria Math" w:cs="Times New Roman"/>
            <w:kern w:val="2"/>
            <w:lang w:eastAsia="zh-CN"/>
          </w:rPr>
          <m:t>Y</m:t>
        </m:r>
      </m:oMath>
      <w:r w:rsidRPr="001953BB">
        <w:rPr>
          <w:rFonts w:cs="Times New Roman"/>
          <w:kern w:val="2"/>
          <w:lang w:val="zh-CN" w:eastAsia="zh-CN"/>
        </w:rPr>
        <w:t xml:space="preserve"> for a standardized change in </w:t>
      </w:r>
      <m:oMath>
        <m:r>
          <w:rPr>
            <w:rFonts w:ascii="Cambria Math" w:hAnsi="Cambria Math" w:cs="Times New Roman"/>
            <w:kern w:val="2"/>
            <w:lang w:eastAsia="zh-CN"/>
          </w:rPr>
          <m:t>X</m:t>
        </m:r>
      </m:oMath>
      <w:r w:rsidRPr="001953BB">
        <w:rPr>
          <w:rFonts w:cs="Times New Roman"/>
          <w:kern w:val="2"/>
          <w:lang w:val="zh-CN" w:eastAsia="zh-CN"/>
        </w:rPr>
        <w:t xml:space="preserve"> (e.g., a 100-unit or 1,000-unit increase).</w:t>
      </w:r>
    </w:p>
    <w:p w14:paraId="1621A091" w14:textId="77777777" w:rsidR="0054107C" w:rsidRPr="001953BB" w:rsidRDefault="0054107C" w:rsidP="00814092">
      <w:pPr>
        <w:rPr>
          <w:rFonts w:eastAsia="Times New Roman" w:cs="Times New Roman"/>
          <w:lang w:val="zh-CN"/>
        </w:rPr>
      </w:pPr>
      <w:r w:rsidRPr="001953BB">
        <w:rPr>
          <w:rFonts w:cs="Times New Roman"/>
          <w:lang w:val="zh-CN"/>
        </w:rPr>
        <w:t>Scaled coefficients offer intuitive insights into relationships without being overshadowed by differences in variable magnitudes.</w:t>
      </w:r>
      <w:r w:rsidRPr="001953BB">
        <w:rPr>
          <w:rFonts w:cs="Times New Roman"/>
        </w:rPr>
        <w:t xml:space="preserve"> </w:t>
      </w:r>
      <w:r w:rsidRPr="001953BB">
        <w:rPr>
          <w:rFonts w:cs="Times New Roman"/>
          <w:lang w:val="zh-CN"/>
        </w:rPr>
        <w:t>This nuanced approach underscores the importance of carefully constructed variables to control for confounding factors provid</w:t>
      </w:r>
      <w:proofErr w:type="spellStart"/>
      <w:r w:rsidRPr="001953BB">
        <w:rPr>
          <w:rFonts w:cs="Times New Roman"/>
        </w:rPr>
        <w:t>ing</w:t>
      </w:r>
      <w:proofErr w:type="spellEnd"/>
      <w:r w:rsidRPr="001953BB">
        <w:rPr>
          <w:rFonts w:cs="Times New Roman"/>
          <w:lang w:val="zh-CN"/>
        </w:rPr>
        <w:t xml:space="preserve"> a comprehensive framework to </w:t>
      </w:r>
      <w:r w:rsidRPr="001953BB">
        <w:rPr>
          <w:rFonts w:cs="Times New Roman"/>
        </w:rPr>
        <w:t xml:space="preserve">assess and </w:t>
      </w:r>
      <w:r w:rsidRPr="001953BB">
        <w:rPr>
          <w:rFonts w:cs="Times New Roman"/>
          <w:lang w:val="zh-CN"/>
        </w:rPr>
        <w:t xml:space="preserve">interpret the </w:t>
      </w:r>
      <w:r w:rsidRPr="001953BB">
        <w:rPr>
          <w:rFonts w:cs="Times New Roman"/>
        </w:rPr>
        <w:t xml:space="preserve">possible non-linear effects </w:t>
      </w:r>
      <w:r w:rsidRPr="001953BB">
        <w:rPr>
          <w:rFonts w:cs="Times New Roman"/>
          <w:lang w:val="zh-CN"/>
        </w:rPr>
        <w:t>of PAD coverage</w:t>
      </w:r>
      <w:r w:rsidRPr="001953BB">
        <w:rPr>
          <w:rFonts w:cs="Times New Roman"/>
        </w:rPr>
        <w:t xml:space="preserve"> on establishment location decision outcomes</w:t>
      </w:r>
      <w:r w:rsidRPr="001953BB">
        <w:rPr>
          <w:rFonts w:cs="Times New Roman"/>
          <w:lang w:val="zh-CN"/>
        </w:rPr>
        <w:t>.</w:t>
      </w:r>
    </w:p>
    <w:p w14:paraId="2319980B" w14:textId="074DA0C2" w:rsidR="0054107C" w:rsidRPr="001953BB" w:rsidRDefault="00961D1F" w:rsidP="00814092">
      <w:pPr>
        <w:pStyle w:val="Heading3"/>
        <w:rPr>
          <w:lang/>
        </w:rPr>
      </w:pPr>
      <w:bookmarkStart w:id="83" w:name="_Toc187684989"/>
      <w:bookmarkStart w:id="84" w:name="_Toc188378988"/>
      <w:r w:rsidRPr="001953BB">
        <w:rPr>
          <w:lang w:val="en-US"/>
        </w:rPr>
        <w:lastRenderedPageBreak/>
        <w:t>1.</w:t>
      </w:r>
      <w:r w:rsidR="0054107C" w:rsidRPr="001953BB">
        <w:t>4.3 Addressing Biases and Validating Robustness</w:t>
      </w:r>
      <w:bookmarkEnd w:id="83"/>
      <w:bookmarkEnd w:id="84"/>
    </w:p>
    <w:p w14:paraId="27EAAEC5" w14:textId="77777777" w:rsidR="0054107C" w:rsidRPr="001953BB" w:rsidRDefault="0054107C" w:rsidP="00814092">
      <w:pPr>
        <w:rPr>
          <w:rFonts w:cs="Times New Roman"/>
          <w:lang w:eastAsia="zh-CN"/>
        </w:rPr>
      </w:pPr>
      <w:r w:rsidRPr="001953BB">
        <w:rPr>
          <w:rFonts w:cs="Times New Roman"/>
          <w:lang w:eastAsia="zh-CN"/>
        </w:rPr>
        <w:t>To ensure the reliability and robustness of the results, this study addresses potential biases arising from omitted variables, reverse causality, and measurement error. Additionally, rigorous robustness checks were conducted to validate the consistency of findings across alternative model specifications and assumptions, enhancing the credibility of the observed relationships between PAD coverage and business dynamics.</w:t>
      </w:r>
    </w:p>
    <w:p w14:paraId="713F8E0F" w14:textId="6753502F" w:rsidR="0054107C" w:rsidRPr="001953BB" w:rsidRDefault="00961D1F" w:rsidP="001953BB">
      <w:pPr>
        <w:pStyle w:val="Heading4"/>
      </w:pPr>
      <w:bookmarkStart w:id="85" w:name="_Toc187684990"/>
      <w:r w:rsidRPr="001953BB">
        <w:t>1.</w:t>
      </w:r>
      <w:r w:rsidR="0054107C" w:rsidRPr="001953BB">
        <w:t>4.3.1 Addressing Endogeneity Concerns</w:t>
      </w:r>
      <w:bookmarkEnd w:id="85"/>
    </w:p>
    <w:p w14:paraId="2E39D521" w14:textId="77777777" w:rsidR="0054107C" w:rsidRPr="001953BB" w:rsidRDefault="0054107C" w:rsidP="00814092">
      <w:pPr>
        <w:rPr>
          <w:rFonts w:cs="Times New Roman"/>
          <w:lang w:eastAsia="zh-CN"/>
        </w:rPr>
      </w:pPr>
      <w:r w:rsidRPr="001953BB">
        <w:rPr>
          <w:rFonts w:cs="Times New Roman"/>
          <w:b/>
          <w:bCs/>
          <w:lang w:val="zh-CN" w:eastAsia="zh-CN"/>
        </w:rPr>
        <w:t xml:space="preserve">1. </w:t>
      </w:r>
      <w:r w:rsidRPr="001953BB">
        <w:rPr>
          <w:rFonts w:cs="Times New Roman"/>
          <w:b/>
          <w:bCs/>
          <w:lang w:eastAsia="zh-CN"/>
        </w:rPr>
        <w:t>Omitted Variable Bias:</w:t>
      </w:r>
      <w:r w:rsidRPr="001953BB">
        <w:rPr>
          <w:rFonts w:cs="Times New Roman"/>
          <w:lang w:eastAsia="zh-CN"/>
        </w:rPr>
        <w:t xml:space="preserve"> </w:t>
      </w:r>
      <w:r w:rsidRPr="001953BB">
        <w:rPr>
          <w:rFonts w:cs="Times New Roman"/>
          <w:lang w:eastAsia="zh-CN"/>
        </w:rPr>
        <w:t>Unobserved factors influencing both PAD coverage and business dynamics could bias estimates. To address this, the analysis employs:</w:t>
      </w:r>
    </w:p>
    <w:p w14:paraId="7BB21A3E" w14:textId="77777777" w:rsidR="0054107C" w:rsidRPr="001953BB" w:rsidRDefault="0054107C" w:rsidP="00814092">
      <w:pPr>
        <w:numPr>
          <w:ilvl w:val="0"/>
          <w:numId w:val="12"/>
        </w:numPr>
        <w:contextualSpacing/>
        <w:rPr>
          <w:rFonts w:cs="Times New Roman"/>
          <w:kern w:val="2"/>
          <w:lang w:eastAsia="zh-CN"/>
        </w:rPr>
      </w:pPr>
      <w:r w:rsidRPr="001953BB">
        <w:rPr>
          <w:rFonts w:cs="Times New Roman"/>
          <w:b/>
          <w:bCs/>
          <w:kern w:val="2"/>
          <w:lang w:eastAsia="zh-CN"/>
        </w:rPr>
        <w:t>County Fixed Effects:</w:t>
      </w:r>
      <w:r w:rsidRPr="001953BB">
        <w:rPr>
          <w:rFonts w:cs="Times New Roman"/>
          <w:kern w:val="2"/>
          <w:lang w:eastAsia="zh-CN"/>
        </w:rPr>
        <w:t xml:space="preserve"> Control for time-invariant local characteristics, such as geography, historical land-use patterns, and political stability.</w:t>
      </w:r>
    </w:p>
    <w:p w14:paraId="7AA5B2C2" w14:textId="77777777" w:rsidR="0054107C" w:rsidRPr="001953BB" w:rsidRDefault="0054107C" w:rsidP="00814092">
      <w:pPr>
        <w:numPr>
          <w:ilvl w:val="0"/>
          <w:numId w:val="12"/>
        </w:numPr>
        <w:contextualSpacing/>
        <w:rPr>
          <w:rFonts w:cs="Times New Roman"/>
          <w:kern w:val="2"/>
          <w:lang w:eastAsia="zh-CN"/>
        </w:rPr>
      </w:pPr>
      <w:r w:rsidRPr="001953BB">
        <w:rPr>
          <w:rFonts w:cs="Times New Roman"/>
          <w:b/>
          <w:bCs/>
          <w:kern w:val="2"/>
          <w:lang w:eastAsia="zh-CN"/>
        </w:rPr>
        <w:t>State-Year Fixed Effects:</w:t>
      </w:r>
      <w:r w:rsidRPr="001953BB">
        <w:rPr>
          <w:rFonts w:cs="Times New Roman"/>
          <w:kern w:val="2"/>
          <w:lang w:eastAsia="zh-CN"/>
        </w:rPr>
        <w:t xml:space="preserve"> Capture time-varying state-level factors, including economic shocks and policy changes, that might simultaneously affect PAD designations and business outcomes.</w:t>
      </w:r>
    </w:p>
    <w:p w14:paraId="41C7AE98" w14:textId="77777777" w:rsidR="0054107C" w:rsidRPr="001953BB" w:rsidRDefault="0054107C" w:rsidP="00814092">
      <w:pPr>
        <w:numPr>
          <w:ilvl w:val="0"/>
          <w:numId w:val="12"/>
        </w:numPr>
        <w:contextualSpacing/>
        <w:rPr>
          <w:rFonts w:cs="Times New Roman"/>
          <w:kern w:val="2"/>
          <w:lang w:eastAsia="zh-CN"/>
        </w:rPr>
      </w:pPr>
      <w:r w:rsidRPr="001953BB">
        <w:rPr>
          <w:rFonts w:cs="Times New Roman"/>
          <w:b/>
          <w:bCs/>
          <w:kern w:val="2"/>
          <w:lang w:eastAsia="zh-CN"/>
        </w:rPr>
        <w:t>Sector Fixed Effects:</w:t>
      </w:r>
      <w:r w:rsidRPr="001953BB">
        <w:rPr>
          <w:rFonts w:cs="Times New Roman"/>
          <w:kern w:val="2"/>
          <w:lang w:eastAsia="zh-CN"/>
        </w:rPr>
        <w:t xml:space="preserve"> Account for industry-specific attributes, such as sectoral sensitivity to environmental regulations, ensuring comparability across industries.</w:t>
      </w:r>
    </w:p>
    <w:p w14:paraId="2481C946" w14:textId="77777777" w:rsidR="0054107C" w:rsidRPr="001953BB" w:rsidRDefault="0054107C" w:rsidP="00814092">
      <w:pPr>
        <w:rPr>
          <w:rFonts w:cs="Times New Roman"/>
          <w:lang w:eastAsia="zh-CN"/>
        </w:rPr>
      </w:pPr>
      <w:r w:rsidRPr="001953BB">
        <w:rPr>
          <w:rFonts w:cs="Times New Roman"/>
          <w:lang w:eastAsia="zh-CN"/>
        </w:rPr>
        <w:t>These fixed effects isolate within-county variation over time, mitigating potential confounding influences and allowing for a robust examination of PAD effects.</w:t>
      </w:r>
    </w:p>
    <w:p w14:paraId="221343EB" w14:textId="77777777" w:rsidR="0054107C" w:rsidRPr="001953BB" w:rsidRDefault="0054107C" w:rsidP="00814092">
      <w:pPr>
        <w:rPr>
          <w:rFonts w:cs="Times New Roman"/>
          <w:lang w:eastAsia="zh-CN"/>
        </w:rPr>
      </w:pPr>
      <w:r w:rsidRPr="001953BB">
        <w:rPr>
          <w:rFonts w:cs="Times New Roman"/>
          <w:b/>
          <w:bCs/>
          <w:lang w:val="zh-CN" w:eastAsia="zh-CN"/>
        </w:rPr>
        <w:t xml:space="preserve">2. </w:t>
      </w:r>
      <w:r w:rsidRPr="001953BB">
        <w:rPr>
          <w:rFonts w:cs="Times New Roman"/>
          <w:b/>
          <w:bCs/>
          <w:lang w:eastAsia="zh-CN"/>
        </w:rPr>
        <w:t>Reverse Causality:</w:t>
      </w:r>
      <w:r w:rsidRPr="001953BB">
        <w:rPr>
          <w:rFonts w:cs="Times New Roman"/>
          <w:b/>
          <w:bCs/>
          <w:lang w:eastAsia="zh-CN"/>
        </w:rPr>
        <w:t xml:space="preserve"> </w:t>
      </w:r>
      <w:r w:rsidRPr="001953BB">
        <w:rPr>
          <w:rFonts w:cs="Times New Roman"/>
          <w:lang w:eastAsia="zh-CN"/>
        </w:rPr>
        <w:t>To address concerns that business dynamics could influence PAD coverage</w:t>
      </w:r>
      <w:r w:rsidRPr="001953BB">
        <w:rPr>
          <w:rFonts w:cs="Times New Roman"/>
          <w:lang w:eastAsia="zh-CN"/>
        </w:rPr>
        <w:t xml:space="preserve">. </w:t>
      </w:r>
      <w:r w:rsidRPr="001953BB">
        <w:rPr>
          <w:rFonts w:cs="Times New Roman"/>
          <w:lang w:eastAsia="zh-CN"/>
        </w:rPr>
        <w:t>PAD coverage and several control variables were lagged to ensure that conservation policies precede observed changes in business activity.</w:t>
      </w:r>
      <w:r w:rsidRPr="001953BB">
        <w:rPr>
          <w:rFonts w:cs="Times New Roman"/>
          <w:lang w:eastAsia="zh-CN"/>
        </w:rPr>
        <w:t xml:space="preserve"> </w:t>
      </w:r>
      <w:r w:rsidRPr="001953BB">
        <w:rPr>
          <w:rFonts w:cs="Times New Roman"/>
          <w:lang w:eastAsia="zh-CN"/>
        </w:rPr>
        <w:t xml:space="preserve">Dynamic models incorporated leads and lags up to four periods to assess whether businesses anticipated PAD designations or adjusted </w:t>
      </w:r>
      <w:r w:rsidRPr="001953BB">
        <w:rPr>
          <w:rFonts w:cs="Times New Roman"/>
          <w:lang w:eastAsia="zh-CN"/>
        </w:rPr>
        <w:lastRenderedPageBreak/>
        <w:t>gradually over time. Results showed no significant anticipatory behavior, and lagged effects diminished after two to three years, as shown in counterfactual analyses.</w:t>
      </w:r>
    </w:p>
    <w:p w14:paraId="58215EC5" w14:textId="77777777" w:rsidR="0054107C" w:rsidRPr="001953BB" w:rsidRDefault="0054107C" w:rsidP="00814092">
      <w:pPr>
        <w:rPr>
          <w:rFonts w:cs="Times New Roman"/>
          <w:lang w:eastAsia="zh-CN"/>
        </w:rPr>
      </w:pPr>
      <w:r w:rsidRPr="001953BB">
        <w:rPr>
          <w:rFonts w:cs="Times New Roman"/>
          <w:b/>
          <w:bCs/>
          <w:lang w:val="zh-CN" w:eastAsia="zh-CN"/>
        </w:rPr>
        <w:t xml:space="preserve">3. </w:t>
      </w:r>
      <w:r w:rsidRPr="001953BB">
        <w:rPr>
          <w:rFonts w:cs="Times New Roman"/>
          <w:b/>
          <w:bCs/>
          <w:lang w:eastAsia="zh-CN"/>
        </w:rPr>
        <w:t>Measurement Error:</w:t>
      </w:r>
      <w:r w:rsidRPr="001953BB">
        <w:rPr>
          <w:rFonts w:cs="Times New Roman"/>
          <w:lang w:eastAsia="zh-CN"/>
        </w:rPr>
        <w:t xml:space="preserve"> </w:t>
      </w:r>
      <w:r w:rsidRPr="001953BB">
        <w:rPr>
          <w:rFonts w:cs="Times New Roman"/>
          <w:lang w:eastAsia="zh-CN"/>
        </w:rPr>
        <w:t>Potential inaccuracies in PAD coverage or business outcomes were mitigated through</w:t>
      </w:r>
      <w:r w:rsidRPr="001953BB">
        <w:rPr>
          <w:rFonts w:cs="Times New Roman"/>
          <w:lang w:eastAsia="zh-CN"/>
        </w:rPr>
        <w:t xml:space="preserve"> c</w:t>
      </w:r>
      <w:r w:rsidRPr="001953BB">
        <w:rPr>
          <w:rFonts w:cs="Times New Roman"/>
          <w:lang w:eastAsia="zh-CN"/>
        </w:rPr>
        <w:t>ross-referencing PAD data with alternative datasets</w:t>
      </w:r>
      <w:r w:rsidRPr="001953BB">
        <w:rPr>
          <w:rFonts w:cs="Times New Roman"/>
          <w:lang w:eastAsia="zh-CN"/>
        </w:rPr>
        <w:t>, r</w:t>
      </w:r>
      <w:r w:rsidRPr="001953BB">
        <w:rPr>
          <w:rFonts w:cs="Times New Roman"/>
          <w:lang w:eastAsia="zh-CN"/>
        </w:rPr>
        <w:t>esolving spatial overlaps and inconsistencies in PAD boundaries for precise measurement</w:t>
      </w:r>
      <w:r w:rsidRPr="001953BB">
        <w:rPr>
          <w:rFonts w:cs="Times New Roman"/>
          <w:lang w:eastAsia="zh-CN"/>
        </w:rPr>
        <w:t>, and e</w:t>
      </w:r>
      <w:r w:rsidRPr="001953BB">
        <w:rPr>
          <w:rFonts w:cs="Times New Roman"/>
          <w:lang w:eastAsia="zh-CN"/>
        </w:rPr>
        <w:t>xcluding counties with extreme PAD coverage to test result stability, confirming that findings are not driven by outliers.</w:t>
      </w:r>
    </w:p>
    <w:p w14:paraId="133D8196" w14:textId="77777777" w:rsidR="0054107C" w:rsidRPr="001953BB" w:rsidRDefault="0054107C" w:rsidP="00814092">
      <w:pPr>
        <w:rPr>
          <w:rFonts w:cs="Times New Roman"/>
          <w:lang w:eastAsia="zh-CN"/>
        </w:rPr>
      </w:pPr>
      <w:r w:rsidRPr="001953BB">
        <w:rPr>
          <w:rFonts w:cs="Times New Roman"/>
          <w:b/>
          <w:bCs/>
          <w:lang w:val="zh-CN" w:eastAsia="zh-CN"/>
        </w:rPr>
        <w:t xml:space="preserve">4. </w:t>
      </w:r>
      <w:r w:rsidRPr="001953BB">
        <w:rPr>
          <w:rFonts w:cs="Times New Roman"/>
          <w:b/>
          <w:bCs/>
          <w:lang w:eastAsia="zh-CN"/>
        </w:rPr>
        <w:t>Clustering of Standard Errors:</w:t>
      </w:r>
      <w:r w:rsidRPr="001953BB">
        <w:rPr>
          <w:rFonts w:cs="Times New Roman"/>
          <w:b/>
          <w:bCs/>
          <w:lang w:eastAsia="zh-CN"/>
        </w:rPr>
        <w:t xml:space="preserve"> </w:t>
      </w:r>
      <w:r w:rsidRPr="001953BB">
        <w:rPr>
          <w:rFonts w:cs="Times New Roman"/>
          <w:lang w:eastAsia="zh-CN"/>
        </w:rPr>
        <w:t>To account for within-county correlations in error terms over time, standard errors were clustered at the county level. This adjustment addresses potential heteroskedasticity and serial correlation, ensuring robust statistical inference.</w:t>
      </w:r>
    </w:p>
    <w:p w14:paraId="39A11F0D" w14:textId="3BCC17DD" w:rsidR="0054107C" w:rsidRPr="001953BB" w:rsidRDefault="00961D1F" w:rsidP="001953BB">
      <w:pPr>
        <w:pStyle w:val="Heading4"/>
      </w:pPr>
      <w:bookmarkStart w:id="86" w:name="_Toc187684991"/>
      <w:r w:rsidRPr="001953BB">
        <w:t>1.</w:t>
      </w:r>
      <w:r w:rsidR="0054107C" w:rsidRPr="001953BB">
        <w:t>4.3.2 Robustness Checks</w:t>
      </w:r>
      <w:bookmarkEnd w:id="86"/>
    </w:p>
    <w:p w14:paraId="7530FB1A" w14:textId="77777777" w:rsidR="0054107C" w:rsidRPr="001953BB" w:rsidRDefault="0054107C" w:rsidP="00814092">
      <w:pPr>
        <w:rPr>
          <w:rFonts w:cs="Times New Roman"/>
          <w:lang w:eastAsia="zh-CN"/>
        </w:rPr>
      </w:pPr>
      <w:r w:rsidRPr="001953BB">
        <w:rPr>
          <w:rFonts w:cs="Times New Roman"/>
          <w:b/>
          <w:bCs/>
          <w:lang w:val="zh-CN" w:eastAsia="zh-CN"/>
        </w:rPr>
        <w:t xml:space="preserve">1. </w:t>
      </w:r>
      <w:r w:rsidRPr="001953BB">
        <w:rPr>
          <w:rFonts w:cs="Times New Roman"/>
          <w:b/>
          <w:bCs/>
          <w:lang w:eastAsia="zh-CN"/>
        </w:rPr>
        <w:t>Alternative Model Specifications:</w:t>
      </w:r>
      <w:r w:rsidRPr="001953BB">
        <w:rPr>
          <w:rFonts w:cs="Times New Roman"/>
          <w:lang w:eastAsia="zh-CN"/>
        </w:rPr>
        <w:t xml:space="preserve"> </w:t>
      </w:r>
      <w:r w:rsidRPr="001953BB">
        <w:rPr>
          <w:rFonts w:cs="Times New Roman"/>
          <w:lang w:eastAsia="zh-CN"/>
        </w:rPr>
        <w:t>To test the sensitivity of results, models with and without quadratic terms were estimated to assess non-linear relationships. Joint-significance tests, as described in Section 4.2, were applied to confirm the presence of statistically significant non-linear effects of PAD coverage on business outcomes. Marginal effects were subsequently evaluated at mean PAD levels to illustrate how PAD effects vary depending on the level of existing PAD coverage within counties.</w:t>
      </w:r>
    </w:p>
    <w:p w14:paraId="731E1C4A" w14:textId="77777777" w:rsidR="0054107C" w:rsidRPr="001953BB" w:rsidRDefault="0054107C" w:rsidP="00814092">
      <w:pPr>
        <w:rPr>
          <w:rFonts w:cs="Times New Roman"/>
          <w:lang w:eastAsia="zh-CN"/>
        </w:rPr>
      </w:pPr>
      <w:r w:rsidRPr="001953BB">
        <w:rPr>
          <w:rFonts w:cs="Times New Roman"/>
          <w:b/>
          <w:bCs/>
          <w:lang w:val="zh-CN" w:eastAsia="zh-CN"/>
        </w:rPr>
        <w:t xml:space="preserve">2. </w:t>
      </w:r>
      <w:r w:rsidRPr="001953BB">
        <w:rPr>
          <w:rFonts w:cs="Times New Roman"/>
          <w:b/>
          <w:bCs/>
          <w:lang w:eastAsia="zh-CN"/>
        </w:rPr>
        <w:t>Counterfactual and Placebo Tests:</w:t>
      </w:r>
      <w:r w:rsidRPr="001953BB">
        <w:rPr>
          <w:rFonts w:cs="Times New Roman"/>
          <w:lang w:eastAsia="zh-CN"/>
        </w:rPr>
        <w:t xml:space="preserve"> </w:t>
      </w:r>
      <w:r w:rsidRPr="001953BB">
        <w:rPr>
          <w:rFonts w:cs="Times New Roman"/>
          <w:lang w:eastAsia="zh-CN"/>
        </w:rPr>
        <w:t>Building on the endogeneity analyses in Section 4.3.1</w:t>
      </w:r>
      <w:r w:rsidRPr="001953BB">
        <w:rPr>
          <w:rFonts w:cs="Times New Roman"/>
          <w:lang w:eastAsia="zh-CN"/>
        </w:rPr>
        <w:t xml:space="preserve">. </w:t>
      </w:r>
      <w:r w:rsidRPr="001953BB">
        <w:rPr>
          <w:rFonts w:cs="Times New Roman"/>
          <w:lang w:eastAsia="zh-CN"/>
        </w:rPr>
        <w:t>Dynamic models incorporated lags to examine persistence in PAD effects over time. Results showed that PAD effects diminish after two to three years, reflecting business adaptation periods.</w:t>
      </w:r>
      <w:r w:rsidRPr="001953BB">
        <w:rPr>
          <w:rFonts w:cs="Times New Roman"/>
          <w:lang w:eastAsia="zh-CN"/>
        </w:rPr>
        <w:t xml:space="preserve"> </w:t>
      </w:r>
      <w:r w:rsidRPr="001953BB">
        <w:rPr>
          <w:rFonts w:cs="Times New Roman"/>
          <w:lang w:eastAsia="zh-CN"/>
        </w:rPr>
        <w:t>Testing for anticipatory effects revealed no evidence of businesses pre</w:t>
      </w:r>
      <w:r w:rsidRPr="001953BB">
        <w:rPr>
          <w:rFonts w:cs="Times New Roman"/>
          <w:lang w:eastAsia="zh-CN"/>
        </w:rPr>
        <w:t>-</w:t>
      </w:r>
      <w:r w:rsidRPr="001953BB">
        <w:rPr>
          <w:rFonts w:cs="Times New Roman"/>
          <w:lang w:eastAsia="zh-CN"/>
        </w:rPr>
        <w:t xml:space="preserve">emptively adjusting to PAD designations, reducing simultaneity concerns. Varying PAD intensities confirmed that moderate PAD coverage stabilizes business dynamics, while excessive coverage </w:t>
      </w:r>
      <w:r w:rsidRPr="001953BB">
        <w:rPr>
          <w:rFonts w:cs="Times New Roman"/>
          <w:lang w:eastAsia="zh-CN"/>
        </w:rPr>
        <w:lastRenderedPageBreak/>
        <w:t>imposes constraints.</w:t>
      </w:r>
      <w:r w:rsidRPr="001953BB">
        <w:rPr>
          <w:rFonts w:cs="Times New Roman"/>
          <w:lang w:eastAsia="zh-CN"/>
        </w:rPr>
        <w:t xml:space="preserve"> </w:t>
      </w:r>
      <w:r w:rsidRPr="001953BB">
        <w:rPr>
          <w:rFonts w:cs="Times New Roman"/>
          <w:lang w:eastAsia="zh-CN"/>
        </w:rPr>
        <w:t>Randomly assigning PAD coverage to counties produced no significant effects, affirming that the observed relationships are not spurious.</w:t>
      </w:r>
    </w:p>
    <w:p w14:paraId="653028DC" w14:textId="77777777" w:rsidR="0054107C" w:rsidRPr="001953BB" w:rsidRDefault="0054107C" w:rsidP="00814092">
      <w:pPr>
        <w:rPr>
          <w:rFonts w:cs="Times New Roman"/>
          <w:lang w:eastAsia="zh-CN"/>
        </w:rPr>
      </w:pPr>
      <w:r w:rsidRPr="001953BB">
        <w:rPr>
          <w:rFonts w:cs="Times New Roman"/>
          <w:b/>
          <w:bCs/>
          <w:lang w:val="zh-CN" w:eastAsia="zh-CN"/>
        </w:rPr>
        <w:t xml:space="preserve">3. </w:t>
      </w:r>
      <w:r w:rsidRPr="001953BB">
        <w:rPr>
          <w:rFonts w:cs="Times New Roman"/>
          <w:b/>
          <w:bCs/>
          <w:lang w:eastAsia="zh-CN"/>
        </w:rPr>
        <w:t>Subsample Analyses:</w:t>
      </w:r>
      <w:r w:rsidRPr="001953BB">
        <w:rPr>
          <w:rFonts w:cs="Times New Roman"/>
          <w:lang w:eastAsia="zh-CN"/>
        </w:rPr>
        <w:t xml:space="preserve"> </w:t>
      </w:r>
      <w:r w:rsidRPr="001953BB">
        <w:rPr>
          <w:rFonts w:cs="Times New Roman"/>
          <w:lang w:eastAsia="zh-CN"/>
        </w:rPr>
        <w:t>Subsample analyses were conducted to examine heterogeneity in PAD effects</w:t>
      </w:r>
      <w:r w:rsidRPr="001953BB">
        <w:rPr>
          <w:rFonts w:cs="Times New Roman"/>
          <w:lang w:eastAsia="zh-CN"/>
        </w:rPr>
        <w:t xml:space="preserve">. </w:t>
      </w:r>
      <w:r w:rsidRPr="001953BB">
        <w:rPr>
          <w:rFonts w:cs="Times New Roman"/>
          <w:lang w:eastAsia="zh-CN"/>
        </w:rPr>
        <w:t xml:space="preserve">Urban versus rural counties showed consistent patterns, confirming that PAD effects are not confined to specific geographic contexts. Separate analyses of each LIS sector and the non-LIS sector highlighted how PAD </w:t>
      </w:r>
      <w:r w:rsidRPr="001953BB">
        <w:rPr>
          <w:rFonts w:cs="Times New Roman"/>
        </w:rPr>
        <w:t>effects</w:t>
      </w:r>
      <w:r w:rsidRPr="001953BB">
        <w:rPr>
          <w:rFonts w:cs="Times New Roman"/>
          <w:lang w:val="zh-CN"/>
        </w:rPr>
        <w:t xml:space="preserve"> </w:t>
      </w:r>
      <w:r w:rsidRPr="001953BB">
        <w:rPr>
          <w:rFonts w:cs="Times New Roman"/>
          <w:lang w:eastAsia="zh-CN"/>
        </w:rPr>
        <w:t>vary by industry. Comparing strict (GAP 1–2) and broad (GAP 1–4) PAD definitions revealed consistent trends, validating the robustness of findings across varying levels of conservation stringency.</w:t>
      </w:r>
    </w:p>
    <w:p w14:paraId="039C6202" w14:textId="17635494" w:rsidR="0054107C" w:rsidRPr="001953BB" w:rsidRDefault="00961D1F" w:rsidP="001953BB">
      <w:pPr>
        <w:pStyle w:val="Heading4"/>
      </w:pPr>
      <w:bookmarkStart w:id="87" w:name="_Toc187684992"/>
      <w:r w:rsidRPr="001953BB">
        <w:t>1.</w:t>
      </w:r>
      <w:r w:rsidR="0054107C" w:rsidRPr="001953BB">
        <w:t>4.3.3 Summary of Robustness Results</w:t>
      </w:r>
      <w:bookmarkEnd w:id="87"/>
    </w:p>
    <w:p w14:paraId="2168914A" w14:textId="77777777" w:rsidR="0054107C" w:rsidRPr="001953BB" w:rsidRDefault="0054107C" w:rsidP="00814092">
      <w:pPr>
        <w:rPr>
          <w:rFonts w:cs="Times New Roman"/>
          <w:lang w:eastAsia="zh-CN"/>
        </w:rPr>
      </w:pPr>
      <w:r w:rsidRPr="001953BB">
        <w:rPr>
          <w:rFonts w:cs="Times New Roman"/>
          <w:lang w:eastAsia="zh-CN"/>
        </w:rPr>
        <w:t xml:space="preserve">Overall, the robustness checks confirm that the core results of this study are stable and reliable. The significant non-linear effects of PADs on business entries, exits, and relocations across the LIS and non-LIS sectors remain consistent across various specifications, subsamples, and placebo tests. These analyses reinforce the validity of the findings and ensure that the relationships between PADs and business </w:t>
      </w:r>
      <w:r w:rsidRPr="001953BB">
        <w:rPr>
          <w:rFonts w:cs="Times New Roman"/>
          <w:lang w:eastAsia="zh-CN"/>
        </w:rPr>
        <w:t xml:space="preserve">location </w:t>
      </w:r>
      <w:r w:rsidRPr="001953BB">
        <w:rPr>
          <w:rFonts w:cs="Times New Roman"/>
          <w:lang w:eastAsia="zh-CN"/>
        </w:rPr>
        <w:t>dynamics are not artifacts of specific modelling choices or data limitations.</w:t>
      </w:r>
    </w:p>
    <w:p w14:paraId="18DECAB7" w14:textId="02D56128" w:rsidR="0054107C" w:rsidRPr="001953BB" w:rsidRDefault="00961D1F" w:rsidP="00E4693E">
      <w:pPr>
        <w:pStyle w:val="Heading2"/>
        <w:rPr>
          <w:lang w:val="zh-CN"/>
        </w:rPr>
      </w:pPr>
      <w:bookmarkStart w:id="88" w:name="_Toc187684993"/>
      <w:bookmarkStart w:id="89" w:name="_Toc188378989"/>
      <w:r w:rsidRPr="001953BB">
        <w:t>1.</w:t>
      </w:r>
      <w:r w:rsidR="0054107C" w:rsidRPr="001953BB">
        <w:t xml:space="preserve">5 </w:t>
      </w:r>
      <w:r w:rsidR="0054107C" w:rsidRPr="001953BB">
        <w:rPr>
          <w:lang w:val="zh-CN"/>
        </w:rPr>
        <w:t>Results, Interpretation, and Discussion</w:t>
      </w:r>
      <w:bookmarkEnd w:id="88"/>
      <w:bookmarkEnd w:id="89"/>
    </w:p>
    <w:p w14:paraId="3613967D" w14:textId="77777777" w:rsidR="0054107C" w:rsidRPr="001953BB" w:rsidRDefault="0054107C" w:rsidP="00814092">
      <w:pPr>
        <w:rPr>
          <w:rFonts w:cs="Times New Roman"/>
          <w:lang/>
        </w:rPr>
      </w:pPr>
      <w:r w:rsidRPr="001953BB">
        <w:rPr>
          <w:rFonts w:cs="Times New Roman"/>
          <w:lang/>
        </w:rPr>
        <w:t xml:space="preserve">This section evaluates the economic effects of PAD coverage, focusing on marginal effects evaluated at mean PAD levels for broad </w:t>
      </w:r>
      <m:oMath>
        <m:r>
          <w:rPr>
            <w:rFonts w:ascii="Cambria Math" w:hAnsi="Cambria Math" w:cs="Times New Roman"/>
            <w:lang/>
          </w:rPr>
          <m:t>(14.3%)</m:t>
        </m:r>
      </m:oMath>
      <w:r w:rsidRPr="001953BB">
        <w:rPr>
          <w:rFonts w:cs="Times New Roman"/>
          <w:lang/>
        </w:rPr>
        <w:t xml:space="preserve"> and strict </w:t>
      </w:r>
      <m:oMath>
        <m:r>
          <w:rPr>
            <w:rFonts w:ascii="Cambria Math" w:hAnsi="Cambria Math" w:cs="Times New Roman"/>
            <w:lang/>
          </w:rPr>
          <m:t>(5.33%)</m:t>
        </m:r>
      </m:oMath>
      <w:r w:rsidRPr="001953BB">
        <w:rPr>
          <w:rFonts w:cs="Times New Roman"/>
          <w:lang/>
        </w:rPr>
        <w:t xml:space="preserve"> PAD definitions. The marginal effects represent percentage changes in business outcomes (</w:t>
      </w:r>
      <m:oMath>
        <m:r>
          <w:rPr>
            <w:rFonts w:ascii="Cambria Math" w:hAnsi="Cambria Math" w:cs="Times New Roman"/>
            <w:lang/>
          </w:rPr>
          <m:t>Y</m:t>
        </m:r>
      </m:oMath>
      <w:r w:rsidRPr="001953BB">
        <w:rPr>
          <w:rFonts w:cs="Times New Roman"/>
          <w:lang/>
        </w:rPr>
        <w:t>) resulting from a 1 percentage point increase in PAD coverage</w:t>
      </w:r>
      <w:r w:rsidRPr="001953BB">
        <w:rPr>
          <w:rFonts w:cs="Times New Roman"/>
        </w:rPr>
        <w:t xml:space="preserve"> (see Section 4.2.2)</w:t>
      </w:r>
      <w:r w:rsidRPr="001953BB">
        <w:rPr>
          <w:rFonts w:cs="Times New Roman"/>
          <w:lang/>
        </w:rPr>
        <w:t>. These results are presented across establishment births, closures, entries, and exits, disaggregated by sector and location dynamics. This structure provides a nuanced understanding of how PADs influence business outcomes across various economic and geographic contexts.</w:t>
      </w:r>
    </w:p>
    <w:p w14:paraId="2881023E" w14:textId="77777777" w:rsidR="0054107C" w:rsidRPr="001953BB" w:rsidRDefault="0054107C" w:rsidP="00814092">
      <w:pPr>
        <w:rPr>
          <w:rFonts w:cs="Times New Roman"/>
          <w:lang/>
        </w:rPr>
      </w:pPr>
      <w:r w:rsidRPr="001953BB">
        <w:rPr>
          <w:rFonts w:cs="Times New Roman"/>
          <w:lang/>
        </w:rPr>
        <w:lastRenderedPageBreak/>
        <w:t>The econometric framework employs Poisson Pseudo-Maximum Likelihood models with High-Dimensional Fixed Effects (PPMLHDFE), which account for unobserved heterogeneity, spatial correlation, and endogeneity. County, year, and state-by-year fixed effects are included to capture unobserved heterogeneity and policy shocks, while standard errors are clustered at the county level for robust inference. Joint significance tests validate the non-linear relationship between PAD coverage and economic outcomes, and marginal effects are interpreted within this framework.</w:t>
      </w:r>
    </w:p>
    <w:p w14:paraId="783FCD47" w14:textId="77777777" w:rsidR="0054107C" w:rsidRPr="001953BB" w:rsidRDefault="0054107C" w:rsidP="00814092">
      <w:pPr>
        <w:rPr>
          <w:rFonts w:cs="Times New Roman"/>
        </w:rPr>
      </w:pPr>
      <w:r w:rsidRPr="001953BB">
        <w:rPr>
          <w:rFonts w:cs="Times New Roman"/>
          <w:lang w:val="zh-CN"/>
        </w:rPr>
        <w:t xml:space="preserve">We begin by addressing our primary research objective, examining the relationship between PAD coverage and the aggregate LIS, which comprises establishments from the Agriculture, Mining, Utilities, and Construction sectors. Next, we address the secondary objective by analyzing PAD effects on each of these four LIS sectors individually, uncovering the drivers behind aggregate trends. Finally, we analyze the Manufacturing sector, representing the non-LIS, to contrast PAD </w:t>
      </w:r>
      <w:r w:rsidRPr="001953BB">
        <w:rPr>
          <w:rFonts w:cs="Times New Roman"/>
        </w:rPr>
        <w:t>effects</w:t>
      </w:r>
      <w:r w:rsidRPr="001953BB">
        <w:rPr>
          <w:rFonts w:cs="Times New Roman"/>
          <w:lang w:val="zh-CN"/>
        </w:rPr>
        <w:t xml:space="preserve"> across distinct economic contexts.</w:t>
      </w:r>
    </w:p>
    <w:p w14:paraId="42B304F2" w14:textId="560BEB84" w:rsidR="0054107C" w:rsidRPr="001953BB" w:rsidRDefault="00961D1F" w:rsidP="00814092">
      <w:pPr>
        <w:pStyle w:val="Heading3"/>
      </w:pPr>
      <w:bookmarkStart w:id="90" w:name="_Toc187684994"/>
      <w:bookmarkStart w:id="91" w:name="_Toc188378990"/>
      <w:r w:rsidRPr="001953BB">
        <w:rPr>
          <w:lang w:val="en-US"/>
        </w:rPr>
        <w:t>1.</w:t>
      </w:r>
      <w:r w:rsidR="0054107C" w:rsidRPr="001953BB">
        <w:t>5.1 Effects of PADs on the Aggregate LIS</w:t>
      </w:r>
      <w:bookmarkEnd w:id="90"/>
      <w:bookmarkEnd w:id="91"/>
    </w:p>
    <w:p w14:paraId="68D17DF8" w14:textId="77777777" w:rsidR="0054107C" w:rsidRPr="001953BB" w:rsidRDefault="0054107C" w:rsidP="00814092">
      <w:pPr>
        <w:rPr>
          <w:rFonts w:cs="Times New Roman"/>
          <w:lang/>
        </w:rPr>
      </w:pPr>
      <w:r w:rsidRPr="001953BB">
        <w:rPr>
          <w:rFonts w:cs="Times New Roman"/>
          <w:lang w:val="zh-CN"/>
        </w:rPr>
        <w:t xml:space="preserve">The following subsections </w:t>
      </w:r>
      <w:r w:rsidRPr="001953BB">
        <w:rPr>
          <w:rFonts w:cs="Times New Roman"/>
        </w:rPr>
        <w:t xml:space="preserve">present the PPMLHDFE regression results in regards to our aggregate LIS, under each PAD definition, across each location outcome of interest. </w:t>
      </w:r>
      <w:r w:rsidRPr="001953BB">
        <w:rPr>
          <w:rFonts w:cs="Times New Roman"/>
          <w:lang w:val="zh-CN"/>
        </w:rPr>
        <w:t xml:space="preserve">Full regression tables are provided in the Appendix </w:t>
      </w:r>
      <w:r w:rsidRPr="001953BB">
        <w:rPr>
          <w:rFonts w:cs="Times New Roman"/>
        </w:rPr>
        <w:t xml:space="preserve">section. </w:t>
      </w:r>
      <w:r w:rsidRPr="001953BB">
        <w:rPr>
          <w:rFonts w:cs="Times New Roman"/>
          <w:b/>
          <w:bCs/>
          <w:lang w:val="zh-CN"/>
        </w:rPr>
        <w:t>Table A4</w:t>
      </w:r>
      <w:r w:rsidRPr="001953BB">
        <w:rPr>
          <w:rFonts w:cs="Times New Roman"/>
        </w:rPr>
        <w:t xml:space="preserve"> and </w:t>
      </w:r>
      <w:r w:rsidRPr="001953BB">
        <w:rPr>
          <w:rFonts w:cs="Times New Roman"/>
          <w:b/>
          <w:bCs/>
        </w:rPr>
        <w:t>Table A5</w:t>
      </w:r>
      <w:r w:rsidRPr="001953BB">
        <w:rPr>
          <w:rFonts w:cs="Times New Roman"/>
        </w:rPr>
        <w:t xml:space="preserve"> present the results on entry type LIS location outcomes under the broad and strict PAD definitions, respectively. </w:t>
      </w:r>
      <w:r w:rsidRPr="001953BB">
        <w:rPr>
          <w:rFonts w:cs="Times New Roman"/>
          <w:b/>
          <w:bCs/>
        </w:rPr>
        <w:t>Table A6</w:t>
      </w:r>
      <w:r w:rsidRPr="001953BB">
        <w:rPr>
          <w:rFonts w:cs="Times New Roman"/>
        </w:rPr>
        <w:t xml:space="preserve"> and </w:t>
      </w:r>
      <w:r w:rsidRPr="001953BB">
        <w:rPr>
          <w:rFonts w:cs="Times New Roman"/>
          <w:b/>
          <w:bCs/>
        </w:rPr>
        <w:t>Table A7</w:t>
      </w:r>
      <w:r w:rsidRPr="001953BB">
        <w:rPr>
          <w:rFonts w:cs="Times New Roman"/>
        </w:rPr>
        <w:t xml:space="preserve"> present the results on exit type LIS location outcomes under the broad and strict PAD definitions, respectively.</w:t>
      </w:r>
    </w:p>
    <w:p w14:paraId="47DA8CED" w14:textId="44DA14DD" w:rsidR="0054107C" w:rsidRPr="001953BB" w:rsidRDefault="00961D1F" w:rsidP="001953BB">
      <w:pPr>
        <w:pStyle w:val="Heading4"/>
      </w:pPr>
      <w:bookmarkStart w:id="92" w:name="_Toc187684995"/>
      <w:r w:rsidRPr="001953BB">
        <w:t>1.</w:t>
      </w:r>
      <w:r w:rsidR="0054107C" w:rsidRPr="001953BB">
        <w:t>5.1.1 Effect of Broad PADs on Aggregate LIS Establishment Entries</w:t>
      </w:r>
      <w:bookmarkEnd w:id="92"/>
    </w:p>
    <w:p w14:paraId="265D4747" w14:textId="77777777" w:rsidR="0054107C" w:rsidRPr="001953BB" w:rsidRDefault="0054107C" w:rsidP="00814092">
      <w:pPr>
        <w:rPr>
          <w:rFonts w:cs="Times New Roman"/>
        </w:rPr>
      </w:pPr>
      <w:r w:rsidRPr="001953BB">
        <w:rPr>
          <w:rFonts w:cs="Times New Roman"/>
          <w:lang/>
        </w:rPr>
        <w:t>The results</w:t>
      </w:r>
      <w:r w:rsidRPr="001953BB">
        <w:rPr>
          <w:rFonts w:cs="Times New Roman"/>
        </w:rPr>
        <w:t xml:space="preserve">, from </w:t>
      </w:r>
      <w:r w:rsidRPr="001953BB">
        <w:rPr>
          <w:rFonts w:cs="Times New Roman"/>
          <w:b/>
          <w:bCs/>
        </w:rPr>
        <w:t>Table A4</w:t>
      </w:r>
      <w:r w:rsidRPr="001953BB">
        <w:rPr>
          <w:rFonts w:cs="Times New Roman"/>
        </w:rPr>
        <w:t>,</w:t>
      </w:r>
      <w:r w:rsidRPr="001953BB">
        <w:rPr>
          <w:rFonts w:cs="Times New Roman"/>
          <w:lang/>
        </w:rPr>
        <w:t xml:space="preserve"> reveal no statistically significant effects of broad PADs on LIS business entries. Joint-significance tests confirm the absence of measurable non-linear </w:t>
      </w:r>
      <w:r w:rsidRPr="001953BB">
        <w:rPr>
          <w:rFonts w:cs="Times New Roman"/>
          <w:lang/>
        </w:rPr>
        <w:lastRenderedPageBreak/>
        <w:t>relationships, indicating that moderate conservation policies under broad PADs do not substantially alter establishment births or inward relocations.</w:t>
      </w:r>
      <w:r w:rsidRPr="001953BB">
        <w:rPr>
          <w:rFonts w:cs="Times New Roman"/>
        </w:rPr>
        <w:t xml:space="preserve"> </w:t>
      </w:r>
      <w:r w:rsidRPr="001953BB">
        <w:rPr>
          <w:rFonts w:cs="Times New Roman"/>
          <w:lang/>
        </w:rPr>
        <w:t>Overall, broad PADs exhibit limited economic effects on LIS entries, reflecting their more flexible conservation mandates.</w:t>
      </w:r>
    </w:p>
    <w:p w14:paraId="638426D6" w14:textId="77777777" w:rsidR="0054107C" w:rsidRPr="001953BB" w:rsidRDefault="0054107C" w:rsidP="00814092">
      <w:pPr>
        <w:rPr>
          <w:rFonts w:cs="Times New Roman"/>
          <w:lang/>
        </w:rPr>
      </w:pPr>
      <w:r w:rsidRPr="001953BB">
        <w:rPr>
          <w:rFonts w:cs="Times New Roman"/>
          <w:lang/>
        </w:rPr>
        <w:t xml:space="preserve">These findings address Research Question 1, suggesting that broad PADs neither deter new establishments through regulatory constraints nor incentivize them via </w:t>
      </w:r>
      <w:r w:rsidRPr="001953BB">
        <w:rPr>
          <w:rFonts w:cs="Times New Roman"/>
        </w:rPr>
        <w:t xml:space="preserve">associated </w:t>
      </w:r>
      <w:r w:rsidRPr="001953BB">
        <w:rPr>
          <w:rFonts w:cs="Times New Roman"/>
          <w:lang/>
        </w:rPr>
        <w:t>ecological benefits. This contradicts Hypothesis 1 (Non-Linear Effect Hypothesis) and aligns partially with Hypothesis 2 (Differential Effect Hypothesis), as broad PADs appear less influential compared to stricter PADs</w:t>
      </w:r>
      <w:r w:rsidRPr="001953BB">
        <w:rPr>
          <w:rFonts w:cs="Times New Roman"/>
        </w:rPr>
        <w:t xml:space="preserve"> (see next section)</w:t>
      </w:r>
      <w:r w:rsidRPr="001953BB">
        <w:rPr>
          <w:rFonts w:cs="Times New Roman"/>
          <w:lang/>
        </w:rPr>
        <w:t xml:space="preserve">. </w:t>
      </w:r>
    </w:p>
    <w:p w14:paraId="5FD2DAD9" w14:textId="48AF5383" w:rsidR="0054107C" w:rsidRPr="001953BB" w:rsidRDefault="00961D1F" w:rsidP="001953BB">
      <w:pPr>
        <w:pStyle w:val="Heading4"/>
      </w:pPr>
      <w:bookmarkStart w:id="93" w:name="_Toc187684996"/>
      <w:r w:rsidRPr="001953BB">
        <w:t>1.</w:t>
      </w:r>
      <w:r w:rsidR="0054107C" w:rsidRPr="001953BB">
        <w:t>5.1.2 Effect of Strict PADs on Aggregate LIS Establishment Entries</w:t>
      </w:r>
      <w:bookmarkEnd w:id="93"/>
    </w:p>
    <w:p w14:paraId="3722A162" w14:textId="77777777" w:rsidR="0054107C" w:rsidRPr="001953BB" w:rsidRDefault="0054107C" w:rsidP="00814092">
      <w:pPr>
        <w:rPr>
          <w:rFonts w:cs="Times New Roman"/>
        </w:rPr>
      </w:pPr>
      <w:r w:rsidRPr="001953BB">
        <w:rPr>
          <w:rFonts w:cs="Times New Roman"/>
          <w:lang w:val="zh-CN"/>
        </w:rPr>
        <w:t xml:space="preserve">In contrast, </w:t>
      </w:r>
      <w:r w:rsidRPr="001953BB">
        <w:rPr>
          <w:rFonts w:cs="Times New Roman"/>
        </w:rPr>
        <w:t xml:space="preserve">we find non-linear significant effects of </w:t>
      </w:r>
      <w:r w:rsidRPr="001953BB">
        <w:rPr>
          <w:rFonts w:cs="Times New Roman"/>
          <w:lang w:val="zh-CN"/>
        </w:rPr>
        <w:t xml:space="preserve">strict PADs </w:t>
      </w:r>
      <w:r w:rsidRPr="001953BB">
        <w:rPr>
          <w:rFonts w:cs="Times New Roman"/>
        </w:rPr>
        <w:t>on inward relocations (</w:t>
      </w:r>
      <w:r w:rsidRPr="001953BB">
        <w:rPr>
          <w:rFonts w:cs="Times New Roman"/>
          <w:b/>
          <w:bCs/>
        </w:rPr>
        <w:t>Table A5</w:t>
      </w:r>
      <w:r w:rsidRPr="001953BB">
        <w:rPr>
          <w:rFonts w:cs="Times New Roman"/>
        </w:rPr>
        <w:t>)</w:t>
      </w:r>
      <w:r w:rsidRPr="001953BB">
        <w:rPr>
          <w:rFonts w:cs="Times New Roman"/>
          <w:lang w:val="zh-CN"/>
        </w:rPr>
        <w:t xml:space="preserve">. </w:t>
      </w:r>
      <w:r w:rsidRPr="001953BB">
        <w:rPr>
          <w:rFonts w:cs="Times New Roman"/>
        </w:rPr>
        <w:t>Specifically, a 1 percentage point increase in strict PAD coverage results in a 2.15% decrease in inward relocations and a 2.31% decrease in intra-state relocations, evaluated at the mean strict PAD level (5.33%). These results suggest that the effects</w:t>
      </w:r>
      <w:r w:rsidRPr="001953BB">
        <w:rPr>
          <w:rFonts w:cs="Times New Roman"/>
          <w:lang w:val="zh-CN"/>
        </w:rPr>
        <w:t xml:space="preserve"> </w:t>
      </w:r>
      <w:r w:rsidRPr="001953BB">
        <w:rPr>
          <w:rFonts w:cs="Times New Roman"/>
        </w:rPr>
        <w:t>of strict PADs on relocation outcomes are sensitive to existing PAD coverage levels.</w:t>
      </w:r>
    </w:p>
    <w:p w14:paraId="4695EB51" w14:textId="77777777" w:rsidR="0054107C" w:rsidRPr="001953BB" w:rsidRDefault="0054107C" w:rsidP="00814092">
      <w:pPr>
        <w:rPr>
          <w:rFonts w:cs="Times New Roman"/>
          <w:b/>
          <w:bCs/>
          <w:lang w:val="zh-CN"/>
        </w:rPr>
      </w:pPr>
      <w:r w:rsidRPr="001953BB">
        <w:rPr>
          <w:rFonts w:cs="Times New Roman"/>
        </w:rPr>
        <w:t xml:space="preserve">While we do not specify the exact shape of the non-linear relationship, the varying marginal effects reflect the restrictive nature of stringent conservation policies, which reduce land availability and impose higher regulatory burdens. </w:t>
      </w:r>
      <w:r w:rsidRPr="001953BB">
        <w:rPr>
          <w:rFonts w:cs="Times New Roman"/>
          <w:lang w:val="zh-CN"/>
        </w:rPr>
        <w:t>These findings address Research Question 1 and validate Hypothesis 1 by confirming the presence of non-linear effects of PAD coverage. The results also support Hypothesis 2, highlighting differential impacts of PAD coverage on entries under strict versus broad PADs.</w:t>
      </w:r>
    </w:p>
    <w:p w14:paraId="00715D8B" w14:textId="39D88814" w:rsidR="0054107C" w:rsidRPr="001953BB" w:rsidRDefault="00961D1F" w:rsidP="001953BB">
      <w:pPr>
        <w:pStyle w:val="Heading4"/>
      </w:pPr>
      <w:bookmarkStart w:id="94" w:name="_Toc187684997"/>
      <w:r w:rsidRPr="001953BB">
        <w:t>1.</w:t>
      </w:r>
      <w:r w:rsidR="0054107C" w:rsidRPr="001953BB">
        <w:t>5.1.3 Effect of Broad PADs on Aggregate LIS Establishment Exits</w:t>
      </w:r>
      <w:bookmarkEnd w:id="94"/>
    </w:p>
    <w:p w14:paraId="181E4C2E" w14:textId="77777777" w:rsidR="0054107C" w:rsidRPr="001953BB" w:rsidRDefault="0054107C" w:rsidP="00814092">
      <w:pPr>
        <w:rPr>
          <w:rFonts w:cs="Times New Roman"/>
          <w:lang w:val="zh-CN"/>
        </w:rPr>
      </w:pPr>
      <w:r w:rsidRPr="001953BB">
        <w:rPr>
          <w:rFonts w:cs="Times New Roman"/>
        </w:rPr>
        <w:t xml:space="preserve">We find that broad PAD coverage has non-linear effects on establishment closures, intra-state outward relocations, and total exits, as evidenced by statistically significant joint tests of the </w:t>
      </w:r>
      <w:r w:rsidRPr="001953BB">
        <w:rPr>
          <w:rFonts w:cs="Times New Roman"/>
        </w:rPr>
        <w:lastRenderedPageBreak/>
        <w:t>linear and quadratic terms (</w:t>
      </w:r>
      <w:r w:rsidRPr="001953BB">
        <w:rPr>
          <w:rFonts w:cs="Times New Roman"/>
          <w:b/>
          <w:bCs/>
        </w:rPr>
        <w:t>Table A6</w:t>
      </w:r>
      <w:r w:rsidRPr="001953BB">
        <w:rPr>
          <w:rFonts w:cs="Times New Roman"/>
        </w:rPr>
        <w:t>). Evaluated at the mean Broad PAD level (14.3%), a 1 percentage point increase in broad PAD coverage is associated with a 0.54% increase in closures, a 17.8% reduction in inter-state outward relocations, and a 0.47% increase in total exits. These results confirm that broad PADs influence establishment exit-related outcomes, addressing Research Question 1. The observed decline in inter-state relocations aligns with the Relocation Cost Hypothesis (Hypothesis 3), suggesting that businesses adapt locally rather than incurring the costs and regulatory unfamiliarity associated with inter-state moves. However, the increase in closures and total exits underscores that broad PADs impose moderate pressures on business operations, reflecting the trade-offs between conservation policies and economic adaptability.</w:t>
      </w:r>
      <w:r w:rsidRPr="001953BB">
        <w:rPr>
          <w:rFonts w:cs="Times New Roman"/>
          <w:lang w:val="zh-CN"/>
        </w:rPr>
        <w:t xml:space="preserve"> </w:t>
      </w:r>
    </w:p>
    <w:p w14:paraId="5D5D3A68" w14:textId="082BC93A" w:rsidR="0054107C" w:rsidRPr="001953BB" w:rsidRDefault="00961D1F" w:rsidP="001953BB">
      <w:pPr>
        <w:pStyle w:val="Heading4"/>
        <w:rPr>
          <w:rFonts w:eastAsia="Times New Roman"/>
        </w:rPr>
      </w:pPr>
      <w:bookmarkStart w:id="95" w:name="_Toc187684998"/>
      <w:r w:rsidRPr="001953BB">
        <w:t>1.</w:t>
      </w:r>
      <w:r w:rsidR="0054107C" w:rsidRPr="001953BB">
        <w:t>5.1.4 Effect of Strict PADs on Aggregate LIS Establishment Exits</w:t>
      </w:r>
      <w:bookmarkEnd w:id="95"/>
    </w:p>
    <w:p w14:paraId="5C9687E0" w14:textId="77777777" w:rsidR="0054107C" w:rsidRPr="001953BB" w:rsidRDefault="0054107C" w:rsidP="00814092">
      <w:pPr>
        <w:rPr>
          <w:rFonts w:cs="Times New Roman"/>
          <w:lang/>
        </w:rPr>
      </w:pPr>
      <w:r w:rsidRPr="001953BB">
        <w:rPr>
          <w:rFonts w:cs="Times New Roman"/>
          <w:lang/>
        </w:rPr>
        <w:t>Significant joint tests confirm the presence of non-linear effects of strict PAD coverage on business exits</w:t>
      </w:r>
      <w:r w:rsidRPr="001953BB">
        <w:rPr>
          <w:rFonts w:cs="Times New Roman"/>
        </w:rPr>
        <w:t xml:space="preserve"> (see </w:t>
      </w:r>
      <w:r w:rsidRPr="001953BB">
        <w:rPr>
          <w:rFonts w:cs="Times New Roman"/>
          <w:b/>
          <w:bCs/>
        </w:rPr>
        <w:t>Table A7</w:t>
      </w:r>
      <w:r w:rsidRPr="001953BB">
        <w:rPr>
          <w:rFonts w:cs="Times New Roman"/>
        </w:rPr>
        <w:t>)</w:t>
      </w:r>
      <w:r w:rsidRPr="001953BB">
        <w:rPr>
          <w:rFonts w:cs="Times New Roman"/>
          <w:lang/>
        </w:rPr>
        <w:t xml:space="preserve">. Evaluated at the mean Strict PAD level (5.33%), </w:t>
      </w:r>
      <w:r w:rsidRPr="001953BB">
        <w:rPr>
          <w:rFonts w:cs="Times New Roman"/>
        </w:rPr>
        <w:t>a</w:t>
      </w:r>
      <w:r w:rsidRPr="001953BB">
        <w:rPr>
          <w:rFonts w:cs="Times New Roman"/>
          <w:lang/>
        </w:rPr>
        <w:t xml:space="preserve"> 1 percentage point increase in strict PAD coverage is associated with a 0.94% reduction in deaths, a 16.3% decline in inter-state relocations, and a 0.93% reduction in total exits.</w:t>
      </w:r>
      <w:r w:rsidRPr="001953BB">
        <w:rPr>
          <w:rFonts w:cs="Times New Roman"/>
        </w:rPr>
        <w:t xml:space="preserve"> </w:t>
      </w:r>
      <w:r w:rsidRPr="001953BB">
        <w:rPr>
          <w:rFonts w:cs="Times New Roman"/>
          <w:lang/>
        </w:rPr>
        <w:t>These results address Research Question 1 by demonstrating that strict PADs reduce business exits, with significant declines in deaths and inter-state relocations. This suggests that stricter conservation policies provide a stabilizing effect on local businesses, likely by creating a more predictable regulatory environment over time.</w:t>
      </w:r>
    </w:p>
    <w:p w14:paraId="15E787AD" w14:textId="77777777" w:rsidR="0054107C" w:rsidRPr="001953BB" w:rsidRDefault="0054107C" w:rsidP="00814092">
      <w:pPr>
        <w:rPr>
          <w:rFonts w:cs="Times New Roman"/>
          <w:lang/>
        </w:rPr>
      </w:pPr>
      <w:r w:rsidRPr="001953BB">
        <w:rPr>
          <w:rFonts w:cs="Times New Roman"/>
          <w:lang/>
        </w:rPr>
        <w:t xml:space="preserve">The differential </w:t>
      </w:r>
      <w:r w:rsidRPr="001953BB">
        <w:rPr>
          <w:rFonts w:cs="Times New Roman"/>
        </w:rPr>
        <w:t>effects</w:t>
      </w:r>
      <w:r w:rsidRPr="001953BB">
        <w:rPr>
          <w:rFonts w:cs="Times New Roman"/>
          <w:lang w:val="zh-CN"/>
        </w:rPr>
        <w:t xml:space="preserve"> </w:t>
      </w:r>
      <w:r w:rsidRPr="001953BB">
        <w:rPr>
          <w:rFonts w:cs="Times New Roman"/>
          <w:lang/>
        </w:rPr>
        <w:t xml:space="preserve">of strict PADs, compared to broad PADs, align with Hypothesis 2, confirming that stricter conservation measures exert stronger regulatory effects on business dynamics. Furthermore, the decline in inter-state relocations supports the Relocation Cost Hypothesis (Hypothesis 3), indicating that businesses are more inclined to adapt locally under </w:t>
      </w:r>
      <w:r w:rsidRPr="001953BB">
        <w:rPr>
          <w:rFonts w:cs="Times New Roman"/>
          <w:lang/>
        </w:rPr>
        <w:lastRenderedPageBreak/>
        <w:t>strict PAD coverage, likely due to the higher costs and challenges associated with moving across state lines.</w:t>
      </w:r>
    </w:p>
    <w:p w14:paraId="6E4CAF84" w14:textId="5F346AAC" w:rsidR="0054107C" w:rsidRPr="001953BB" w:rsidRDefault="00961D1F" w:rsidP="001953BB">
      <w:pPr>
        <w:pStyle w:val="Heading4"/>
        <w:rPr>
          <w:lang/>
        </w:rPr>
      </w:pPr>
      <w:r w:rsidRPr="001953BB">
        <w:t>1.</w:t>
      </w:r>
      <w:bookmarkStart w:id="96" w:name="_Toc187684999"/>
      <w:r w:rsidR="0054107C" w:rsidRPr="001953BB">
        <w:t>5.1.5 Summary of LIS Results</w:t>
      </w:r>
      <w:bookmarkEnd w:id="96"/>
    </w:p>
    <w:p w14:paraId="0EF65996" w14:textId="77777777" w:rsidR="0054107C" w:rsidRPr="001953BB" w:rsidRDefault="0054107C" w:rsidP="00814092">
      <w:pPr>
        <w:rPr>
          <w:rFonts w:cs="Times New Roman"/>
          <w:lang/>
        </w:rPr>
      </w:pPr>
      <w:r w:rsidRPr="001953BB">
        <w:rPr>
          <w:rFonts w:cs="Times New Roman"/>
          <w:lang/>
        </w:rPr>
        <w:t xml:space="preserve">The analysis of PAD effects on LIS establishments reveals key findings across business location outcomes. Broad PADs exert moderate </w:t>
      </w:r>
      <w:r w:rsidRPr="001953BB">
        <w:rPr>
          <w:rFonts w:cs="Times New Roman"/>
        </w:rPr>
        <w:t>effects</w:t>
      </w:r>
      <w:r w:rsidRPr="001953BB">
        <w:rPr>
          <w:rFonts w:cs="Times New Roman"/>
          <w:lang/>
        </w:rPr>
        <w:t>, reducing inter-state relocations while slightly increasing closures and total exits. These outcomes suggest that businesses often prefer local adaptation over costly inter-state moves but may face operational pressures under broad conservation mandates.</w:t>
      </w:r>
      <w:r w:rsidRPr="001953BB">
        <w:rPr>
          <w:rFonts w:cs="Times New Roman"/>
        </w:rPr>
        <w:t xml:space="preserve"> </w:t>
      </w:r>
      <w:r w:rsidRPr="001953BB">
        <w:rPr>
          <w:rFonts w:cs="Times New Roman"/>
          <w:lang/>
        </w:rPr>
        <w:t>Strict PADs, on the other hand, demonstrate more pronounced regulatory effects. They reduce deaths, total exits, and inter-state relocations, indicating their stabilizing influence on local business dynamics. These findings suggest that strict PADs create a predictable regulatory environment that supports retention and mitigates broader economic disruptions.</w:t>
      </w:r>
    </w:p>
    <w:p w14:paraId="1BD78212" w14:textId="77777777" w:rsidR="0054107C" w:rsidRPr="001953BB" w:rsidRDefault="0054107C" w:rsidP="00814092">
      <w:pPr>
        <w:rPr>
          <w:rFonts w:cs="Times New Roman"/>
          <w:lang/>
        </w:rPr>
      </w:pPr>
      <w:r w:rsidRPr="001953BB">
        <w:rPr>
          <w:rFonts w:cs="Times New Roman"/>
          <w:lang/>
        </w:rPr>
        <w:t xml:space="preserve">The results confirm the non-linear effects of PAD coverage, as evidenced by significant joint tests of the linear and quadratic terms. Marginal effects vary based on existing PAD levels, underscoring the importance of accounting for coverage intensity when evaluating policy </w:t>
      </w:r>
      <w:r w:rsidRPr="001953BB">
        <w:rPr>
          <w:rFonts w:cs="Times New Roman"/>
        </w:rPr>
        <w:t>effects</w:t>
      </w:r>
      <w:r w:rsidRPr="001953BB">
        <w:rPr>
          <w:rFonts w:cs="Times New Roman"/>
          <w:lang/>
        </w:rPr>
        <w:t xml:space="preserve">. These findings validate the Non-Linear Effect Hypothesis (Hypothesis 1). Moreover, the distinct </w:t>
      </w:r>
      <w:r w:rsidRPr="001953BB">
        <w:rPr>
          <w:rFonts w:cs="Times New Roman"/>
        </w:rPr>
        <w:t>effects</w:t>
      </w:r>
      <w:r w:rsidRPr="001953BB">
        <w:rPr>
          <w:rFonts w:cs="Times New Roman"/>
          <w:lang w:val="zh-CN"/>
        </w:rPr>
        <w:t xml:space="preserve"> </w:t>
      </w:r>
      <w:r w:rsidRPr="001953BB">
        <w:rPr>
          <w:rFonts w:cs="Times New Roman"/>
          <w:lang/>
        </w:rPr>
        <w:t>of broad and strict PADs emphasize their differential effects, supporting Hypothesis 2. Lastly, the consistent decline in inter-state relocations under both PAD definitions aligns with the Relocation Cost Hypothesis (Hypothesis 3), highlighting businesses’ preference for local adaptation in the face of regulatory stringency.</w:t>
      </w:r>
    </w:p>
    <w:p w14:paraId="35A5B752" w14:textId="2E543B5A" w:rsidR="0054107C" w:rsidRPr="001953BB" w:rsidRDefault="00961D1F" w:rsidP="00814092">
      <w:pPr>
        <w:pStyle w:val="Heading3"/>
      </w:pPr>
      <w:bookmarkStart w:id="97" w:name="_Toc187685000"/>
      <w:bookmarkStart w:id="98" w:name="_Toc188378991"/>
      <w:r w:rsidRPr="001953BB">
        <w:rPr>
          <w:lang w:val="en-US"/>
        </w:rPr>
        <w:t>1.</w:t>
      </w:r>
      <w:r w:rsidR="0054107C" w:rsidRPr="001953BB">
        <w:t>5.2 Summary of Sectoral Heterogeneity: Drivers of LIS Results</w:t>
      </w:r>
      <w:bookmarkEnd w:id="97"/>
      <w:bookmarkEnd w:id="98"/>
    </w:p>
    <w:p w14:paraId="317682E8" w14:textId="77777777" w:rsidR="0054107C" w:rsidRPr="001953BB" w:rsidRDefault="0054107C" w:rsidP="00814092">
      <w:pPr>
        <w:rPr>
          <w:rFonts w:cs="Times New Roman"/>
        </w:rPr>
      </w:pPr>
      <w:r w:rsidRPr="001953BB">
        <w:rPr>
          <w:rFonts w:cs="Times New Roman"/>
          <w:lang w:val="zh-CN"/>
        </w:rPr>
        <w:t xml:space="preserve">The results for the constituent sectors of the </w:t>
      </w:r>
      <w:r w:rsidRPr="001953BB">
        <w:rPr>
          <w:rFonts w:cs="Times New Roman"/>
        </w:rPr>
        <w:t xml:space="preserve">aggregate </w:t>
      </w:r>
      <w:r w:rsidRPr="001953BB">
        <w:rPr>
          <w:rFonts w:cs="Times New Roman"/>
          <w:lang w:val="zh-CN"/>
        </w:rPr>
        <w:t xml:space="preserve">LIS—Agriculture (NAICS 11), Mining (NAICS 21), Utilities (NAICS 22), and Construction (NAICS 23)—offer critical insights into the </w:t>
      </w:r>
      <w:r w:rsidRPr="001953BB">
        <w:rPr>
          <w:rFonts w:cs="Times New Roman"/>
          <w:lang w:val="zh-CN"/>
        </w:rPr>
        <w:lastRenderedPageBreak/>
        <w:t xml:space="preserve">varied responses of </w:t>
      </w:r>
      <w:r w:rsidRPr="001953BB">
        <w:rPr>
          <w:rFonts w:cs="Times New Roman"/>
        </w:rPr>
        <w:t xml:space="preserve">specific sectors </w:t>
      </w:r>
      <w:r w:rsidRPr="001953BB">
        <w:rPr>
          <w:rFonts w:cs="Times New Roman"/>
          <w:lang w:val="zh-CN"/>
        </w:rPr>
        <w:t xml:space="preserve">to PADs. </w:t>
      </w:r>
      <w:proofErr w:type="gramStart"/>
      <w:r w:rsidRPr="001953BB">
        <w:rPr>
          <w:rFonts w:cs="Times New Roman"/>
        </w:rPr>
        <w:t>Similar to</w:t>
      </w:r>
      <w:proofErr w:type="gramEnd"/>
      <w:r w:rsidRPr="001953BB">
        <w:rPr>
          <w:rFonts w:cs="Times New Roman"/>
        </w:rPr>
        <w:t xml:space="preserve"> the previous section, marginal effects follow from statistically significant joint tests and are dependent upon the level of PAD coverage within a county. For illustrative purposes, we provide practical insights by evaluating these marginal effects at mean PAD level. </w:t>
      </w:r>
    </w:p>
    <w:p w14:paraId="2A88C803" w14:textId="47EBB4FE" w:rsidR="0054107C" w:rsidRPr="001953BB" w:rsidRDefault="0054107C" w:rsidP="00814092">
      <w:pPr>
        <w:rPr>
          <w:rFonts w:cs="Times New Roman"/>
          <w:b/>
          <w:bCs/>
          <w:lang w:val="zh-CN" w:eastAsia="zh-CN"/>
        </w:rPr>
      </w:pPr>
      <w:r w:rsidRPr="001953BB">
        <w:rPr>
          <w:rFonts w:cs="Times New Roman"/>
          <w:lang w:val="zh-CN"/>
        </w:rPr>
        <w:t>These sector-specific findings shed</w:t>
      </w:r>
      <w:r w:rsidRPr="001953BB">
        <w:rPr>
          <w:rFonts w:cs="Times New Roman"/>
        </w:rPr>
        <w:t>s</w:t>
      </w:r>
      <w:r w:rsidRPr="001953BB">
        <w:rPr>
          <w:rFonts w:cs="Times New Roman"/>
          <w:lang w:val="zh-CN"/>
        </w:rPr>
        <w:t xml:space="preserve"> light on the non-linear, differential, and relocation dynamics within the</w:t>
      </w:r>
      <w:r w:rsidRPr="001953BB">
        <w:rPr>
          <w:rFonts w:cs="Times New Roman"/>
        </w:rPr>
        <w:t xml:space="preserve"> aggregate</w:t>
      </w:r>
      <w:r w:rsidRPr="001953BB">
        <w:rPr>
          <w:rFonts w:cs="Times New Roman"/>
          <w:lang w:val="zh-CN"/>
        </w:rPr>
        <w:t xml:space="preserve"> LIS.</w:t>
      </w:r>
      <w:r w:rsidRPr="001953BB">
        <w:rPr>
          <w:rFonts w:cs="Times New Roman"/>
        </w:rPr>
        <w:t xml:space="preserve"> </w:t>
      </w:r>
      <w:bookmarkStart w:id="99" w:name="_Hlk186454873"/>
      <w:r w:rsidRPr="001953BB">
        <w:rPr>
          <w:rFonts w:cs="Times New Roman"/>
          <w:b/>
          <w:bCs/>
        </w:rPr>
        <w:t>Table A8</w:t>
      </w:r>
      <w:r w:rsidRPr="001953BB">
        <w:rPr>
          <w:rFonts w:cs="Times New Roman"/>
        </w:rPr>
        <w:t xml:space="preserve"> to </w:t>
      </w:r>
      <w:r w:rsidR="005B64E8" w:rsidRPr="001953BB">
        <w:rPr>
          <w:rFonts w:cs="Times New Roman"/>
          <w:b/>
          <w:bCs/>
        </w:rPr>
        <w:t xml:space="preserve">Table </w:t>
      </w:r>
      <w:r w:rsidRPr="001953BB">
        <w:rPr>
          <w:rFonts w:cs="Times New Roman"/>
          <w:b/>
          <w:bCs/>
        </w:rPr>
        <w:t>A17</w:t>
      </w:r>
      <w:r w:rsidRPr="001953BB">
        <w:rPr>
          <w:rFonts w:cs="Times New Roman"/>
        </w:rPr>
        <w:t xml:space="preserve"> present the results on births, inward relocations, intra-state inward relocations, inter-state inward relocations, total entries, deaths, outward relocations, intra-state outward relocations, inter-state outward relocations, and total exits, respectively, under the broad PAD definition. </w:t>
      </w:r>
      <w:r w:rsidRPr="001953BB">
        <w:rPr>
          <w:rFonts w:cs="Times New Roman"/>
          <w:b/>
          <w:bCs/>
        </w:rPr>
        <w:t>Table A18</w:t>
      </w:r>
      <w:r w:rsidRPr="001953BB">
        <w:rPr>
          <w:rFonts w:cs="Times New Roman"/>
        </w:rPr>
        <w:t xml:space="preserve"> to </w:t>
      </w:r>
      <w:r w:rsidR="005B64E8" w:rsidRPr="001953BB">
        <w:rPr>
          <w:rFonts w:cs="Times New Roman"/>
          <w:b/>
          <w:bCs/>
        </w:rPr>
        <w:t xml:space="preserve">Table </w:t>
      </w:r>
      <w:r w:rsidRPr="001953BB">
        <w:rPr>
          <w:rFonts w:cs="Times New Roman"/>
          <w:b/>
          <w:bCs/>
        </w:rPr>
        <w:t>A27</w:t>
      </w:r>
      <w:r w:rsidRPr="001953BB">
        <w:rPr>
          <w:rFonts w:cs="Times New Roman"/>
        </w:rPr>
        <w:t xml:space="preserve"> present the results on those same outcome location variables, respectively, under the strict PAD definition.</w:t>
      </w:r>
      <w:bookmarkEnd w:id="99"/>
      <w:r w:rsidRPr="001953BB">
        <w:rPr>
          <w:rFonts w:cs="Times New Roman"/>
        </w:rPr>
        <w:t xml:space="preserve"> The column names in each table </w:t>
      </w:r>
      <w:proofErr w:type="gramStart"/>
      <w:r w:rsidRPr="001953BB">
        <w:rPr>
          <w:rFonts w:cs="Times New Roman"/>
        </w:rPr>
        <w:t>correspond</w:t>
      </w:r>
      <w:proofErr w:type="gramEnd"/>
      <w:r w:rsidRPr="001953BB">
        <w:rPr>
          <w:rFonts w:cs="Times New Roman"/>
        </w:rPr>
        <w:t xml:space="preserve"> a specific NAICS sector. </w:t>
      </w:r>
    </w:p>
    <w:p w14:paraId="5C6DEABD" w14:textId="5FB30952" w:rsidR="0054107C" w:rsidRPr="001953BB" w:rsidRDefault="00961D1F" w:rsidP="001953BB">
      <w:pPr>
        <w:pStyle w:val="Heading4"/>
        <w:rPr>
          <w:rFonts w:eastAsia="SimSun"/>
          <w:lang/>
        </w:rPr>
      </w:pPr>
      <w:bookmarkStart w:id="100" w:name="_Toc187685001"/>
      <w:r w:rsidRPr="001953BB">
        <w:t>1.</w:t>
      </w:r>
      <w:r w:rsidR="0054107C" w:rsidRPr="001953BB">
        <w:t>5.2.1 Agriculture, Forestry, Fishing, and Hunting (NAICS 11</w:t>
      </w:r>
      <w:bookmarkEnd w:id="100"/>
      <w:r w:rsidR="0054107C" w:rsidRPr="001953BB">
        <w:rPr>
          <w:rFonts w:eastAsia="SimSun"/>
          <w:lang/>
        </w:rPr>
        <w:t>)</w:t>
      </w:r>
    </w:p>
    <w:p w14:paraId="7FD331B8" w14:textId="77777777" w:rsidR="0054107C" w:rsidRPr="001953BB" w:rsidRDefault="0054107C" w:rsidP="00814092">
      <w:pPr>
        <w:rPr>
          <w:rFonts w:cs="Times New Roman"/>
          <w:lang/>
        </w:rPr>
      </w:pPr>
      <w:r w:rsidRPr="001953BB">
        <w:rPr>
          <w:rFonts w:cs="Times New Roman"/>
          <w:lang/>
        </w:rPr>
        <w:t xml:space="preserve">The Agriculture sector exhibits distinct responses to PAD coverage, with significant non-linear effects identified under both broad and strict PAD definitions. For broad PADs, </w:t>
      </w:r>
      <w:r w:rsidRPr="001953BB">
        <w:rPr>
          <w:rFonts w:cs="Times New Roman"/>
        </w:rPr>
        <w:t>a</w:t>
      </w:r>
      <w:r w:rsidRPr="001953BB">
        <w:rPr>
          <w:rFonts w:cs="Times New Roman"/>
          <w:lang/>
        </w:rPr>
        <w:t xml:space="preserve"> 1 percentage point increase in coverage leads to a 5.26% rise in births and a 5.06% increase in total entries, evaluated at the mean broad PAD level (14.3%). These effects suggest that broad PADs enhance establishment entries, likely due to the ecological benefits provided by less restrictive conservation policies.</w:t>
      </w:r>
    </w:p>
    <w:p w14:paraId="6427509C" w14:textId="77777777" w:rsidR="0054107C" w:rsidRPr="001953BB" w:rsidRDefault="0054107C" w:rsidP="00814092">
      <w:pPr>
        <w:rPr>
          <w:rFonts w:cs="Times New Roman"/>
          <w:lang/>
        </w:rPr>
      </w:pPr>
      <w:r w:rsidRPr="001953BB">
        <w:rPr>
          <w:rFonts w:cs="Times New Roman"/>
          <w:lang/>
        </w:rPr>
        <w:t>Strict PADs similarly show significant positive effects on entries</w:t>
      </w:r>
      <w:r w:rsidRPr="001953BB">
        <w:rPr>
          <w:rFonts w:cs="Times New Roman"/>
        </w:rPr>
        <w:t xml:space="preserve">, where we find that </w:t>
      </w:r>
      <w:r w:rsidRPr="001953BB">
        <w:rPr>
          <w:rFonts w:cs="Times New Roman"/>
          <w:lang/>
        </w:rPr>
        <w:t xml:space="preserve">a 1 percentage point increase in strict PAD coverage results in a 2.06% rise in births and a 2.03% increase in total entries, evaluated at the mean strict PAD level (5.33%). </w:t>
      </w:r>
      <w:r w:rsidRPr="001953BB">
        <w:rPr>
          <w:rFonts w:cs="Times New Roman"/>
        </w:rPr>
        <w:t>However, we find that S</w:t>
      </w:r>
      <w:r w:rsidRPr="001953BB">
        <w:rPr>
          <w:rFonts w:cs="Times New Roman"/>
          <w:lang/>
        </w:rPr>
        <w:t>trict PADs also significantly reduce closures (1.85%) and total exits (1.76%), emphasizing their stabilizing role.</w:t>
      </w:r>
    </w:p>
    <w:p w14:paraId="534C58BF" w14:textId="77777777" w:rsidR="0054107C" w:rsidRPr="001953BB" w:rsidRDefault="0054107C" w:rsidP="00814092">
      <w:pPr>
        <w:rPr>
          <w:rFonts w:cs="Times New Roman"/>
          <w:lang/>
        </w:rPr>
      </w:pPr>
      <w:r w:rsidRPr="001953BB">
        <w:rPr>
          <w:rFonts w:cs="Times New Roman"/>
          <w:lang/>
        </w:rPr>
        <w:lastRenderedPageBreak/>
        <w:t xml:space="preserve">These findings confirm the presence of non-linear effects (Hypothesis 1), highlighting the sensitivity of agricultural establishments to conservation intensity. Broad PADs primarily facilitate new business formation, reflecting their flexibility in allowing land use while promoting ecological services. In contrast, strict PADs stabilize existing operations, fostering resilience by providing predictable regulatory environments. This differential </w:t>
      </w:r>
      <w:r w:rsidRPr="001953BB">
        <w:rPr>
          <w:rFonts w:cs="Times New Roman"/>
        </w:rPr>
        <w:t>effect</w:t>
      </w:r>
      <w:r w:rsidRPr="001953BB">
        <w:rPr>
          <w:rFonts w:cs="Times New Roman"/>
          <w:lang w:val="zh-CN"/>
        </w:rPr>
        <w:t xml:space="preserve"> </w:t>
      </w:r>
      <w:r w:rsidRPr="001953BB">
        <w:rPr>
          <w:rFonts w:cs="Times New Roman"/>
          <w:lang/>
        </w:rPr>
        <w:t>supports Hypothesis 2, demonstrating the varying effects of strict versus broad PADs. However, relocation dynamics are not prominent in the Agriculture sector, rendering Research Question 3 less applicable.</w:t>
      </w:r>
    </w:p>
    <w:p w14:paraId="32F57CB1" w14:textId="3A924D6A" w:rsidR="0054107C" w:rsidRPr="001953BB" w:rsidRDefault="00961D1F" w:rsidP="001953BB">
      <w:pPr>
        <w:pStyle w:val="Heading4"/>
      </w:pPr>
      <w:bookmarkStart w:id="101" w:name="_Toc187685002"/>
      <w:r w:rsidRPr="001953BB">
        <w:t>1.</w:t>
      </w:r>
      <w:r w:rsidR="0054107C" w:rsidRPr="001953BB">
        <w:t>5.2.2 Mining, Quarrying, Oil, and Gas Extraction (NAICS 21)</w:t>
      </w:r>
      <w:bookmarkEnd w:id="101"/>
    </w:p>
    <w:p w14:paraId="0EBD5BF5" w14:textId="77777777" w:rsidR="0054107C" w:rsidRPr="001953BB" w:rsidRDefault="0054107C" w:rsidP="00814092">
      <w:pPr>
        <w:rPr>
          <w:rFonts w:cs="Times New Roman"/>
          <w:lang/>
        </w:rPr>
      </w:pPr>
      <w:r w:rsidRPr="001953BB">
        <w:rPr>
          <w:rFonts w:cs="Times New Roman"/>
          <w:lang/>
        </w:rPr>
        <w:t xml:space="preserve">The Mining sector exhibits significant non-linear effects only under strict PAD coverage, with no statistically measurable </w:t>
      </w:r>
      <w:r w:rsidRPr="001953BB">
        <w:rPr>
          <w:rFonts w:cs="Times New Roman"/>
        </w:rPr>
        <w:t>effects</w:t>
      </w:r>
      <w:r w:rsidRPr="001953BB">
        <w:rPr>
          <w:rFonts w:cs="Times New Roman"/>
          <w:lang w:val="zh-CN"/>
        </w:rPr>
        <w:t xml:space="preserve"> </w:t>
      </w:r>
      <w:r w:rsidRPr="001953BB">
        <w:rPr>
          <w:rFonts w:cs="Times New Roman"/>
          <w:lang/>
        </w:rPr>
        <w:t xml:space="preserve">observed for broad PADs. Strict PADs demonstrate a stabilizing influence on mining establishments, particularly by reducing exits and outward relocations. Evaluated at the mean strict PAD level (5.33%), a </w:t>
      </w:r>
      <w:r w:rsidRPr="001953BB">
        <w:rPr>
          <w:rFonts w:cs="Times New Roman"/>
          <w:lang w:val="zh-CN"/>
        </w:rPr>
        <w:t>1 percentage point increase in coverage leads to a 0.18% reduction in closures, a 15.9% decline in outward relocations, a 17.41% decrease in inter-state outward relocations, and a 0.353% reduction in total exits</w:t>
      </w:r>
      <w:r w:rsidRPr="001953BB">
        <w:rPr>
          <w:rFonts w:cs="Times New Roman"/>
          <w:lang/>
        </w:rPr>
        <w:t>. These effects suggest that stringent conservation policies encourage mining businesses to remain operational locally rather than relocating, particularly across state boundaries.</w:t>
      </w:r>
    </w:p>
    <w:p w14:paraId="117D8EB0" w14:textId="77777777" w:rsidR="0054107C" w:rsidRPr="001953BB" w:rsidRDefault="0054107C" w:rsidP="00814092">
      <w:pPr>
        <w:rPr>
          <w:rFonts w:cs="Times New Roman"/>
          <w:lang/>
        </w:rPr>
      </w:pPr>
      <w:r w:rsidRPr="001953BB">
        <w:rPr>
          <w:rFonts w:cs="Times New Roman"/>
          <w:lang/>
        </w:rPr>
        <w:t xml:space="preserve">However, strict PADs also appear to deter new establishment entries, reflecting the regulatory costs associated with operating under stricter conservation mandates. At the mean strict PAD level, a </w:t>
      </w:r>
      <w:r w:rsidRPr="001953BB">
        <w:rPr>
          <w:rFonts w:cs="Times New Roman"/>
          <w:lang w:val="zh-CN"/>
        </w:rPr>
        <w:t>1 percentage point</w:t>
      </w:r>
      <w:r w:rsidRPr="001953BB">
        <w:rPr>
          <w:rFonts w:cs="Times New Roman"/>
          <w:lang/>
        </w:rPr>
        <w:t xml:space="preserve"> increase in coverage is associated with only a modest increase of 0.21% in births and 0.12% in total entries, indicating that strict PADs primarily influence retention rather than new business formation.</w:t>
      </w:r>
    </w:p>
    <w:p w14:paraId="18D7B0C2" w14:textId="77777777" w:rsidR="0054107C" w:rsidRPr="001953BB" w:rsidRDefault="0054107C" w:rsidP="00814092">
      <w:pPr>
        <w:rPr>
          <w:rFonts w:cs="Times New Roman"/>
          <w:b/>
          <w:bCs/>
          <w:lang/>
        </w:rPr>
      </w:pPr>
      <w:r w:rsidRPr="001953BB">
        <w:rPr>
          <w:rFonts w:cs="Times New Roman"/>
          <w:lang/>
        </w:rPr>
        <w:lastRenderedPageBreak/>
        <w:t>These results confirm Hypotheses 1 and 2 by demonstrating the non-linear and differential effects of strict PADs compared to broad PADs. The significant reductions in inter-state outward relocations also address Research Question 3, aligning with the Relocation Cost Hypothesis. The findings emphasize that mining establishments, due to their reliance on localized resources, are particularly sensitive to the regulatory constraints and stabilization provided by strict PADs. While strict PADs discourage new entries, they foster long-term stability by reducing mobility pressures and exits.</w:t>
      </w:r>
    </w:p>
    <w:p w14:paraId="25A4CC82" w14:textId="2A2174E7" w:rsidR="0054107C" w:rsidRPr="001953BB" w:rsidRDefault="00961D1F" w:rsidP="001953BB">
      <w:pPr>
        <w:pStyle w:val="Heading4"/>
      </w:pPr>
      <w:bookmarkStart w:id="102" w:name="_Toc187685003"/>
      <w:r w:rsidRPr="001953BB">
        <w:t>1.</w:t>
      </w:r>
      <w:r w:rsidR="0054107C" w:rsidRPr="001953BB">
        <w:t>5.2.3 Utilities (NAICS 22)</w:t>
      </w:r>
      <w:bookmarkEnd w:id="102"/>
    </w:p>
    <w:p w14:paraId="3E465C63" w14:textId="77777777" w:rsidR="0054107C" w:rsidRPr="001953BB" w:rsidRDefault="0054107C" w:rsidP="00814092">
      <w:pPr>
        <w:rPr>
          <w:rFonts w:cs="Times New Roman"/>
          <w:lang/>
        </w:rPr>
      </w:pPr>
      <w:r w:rsidRPr="001953BB">
        <w:rPr>
          <w:rFonts w:cs="Times New Roman"/>
          <w:lang/>
        </w:rPr>
        <w:t xml:space="preserve">The Utilities sector demonstrates significant non-linear effects under broad PAD coverage, with additional PAD coverage negatively </w:t>
      </w:r>
      <w:r w:rsidRPr="001953BB">
        <w:rPr>
          <w:rFonts w:cs="Times New Roman"/>
        </w:rPr>
        <w:t>affecting</w:t>
      </w:r>
      <w:r w:rsidRPr="001953BB">
        <w:rPr>
          <w:rFonts w:cs="Times New Roman"/>
          <w:lang/>
        </w:rPr>
        <w:t xml:space="preserve"> establishment births, relocations, and entries. At the mean broad PAD level (14.3%), a </w:t>
      </w:r>
      <w:r w:rsidRPr="001953BB">
        <w:rPr>
          <w:rFonts w:cs="Times New Roman"/>
          <w:lang w:val="zh-CN"/>
        </w:rPr>
        <w:t>1 percentage point</w:t>
      </w:r>
      <w:r w:rsidRPr="001953BB">
        <w:rPr>
          <w:rFonts w:cs="Times New Roman"/>
          <w:lang/>
        </w:rPr>
        <w:t xml:space="preserve"> increase in broad PAD coverage is associated with a 7.43% decline in births, a 37.7% decrease in overall inward relocations, a 46.1% reduction in intra-state in-migrations, and a 7.47% decline in total entries. These results indicate that broad PADs impose constraints on new business activity, reflecting the sector’s sensitivity to land-use restrictions. Additionally, broad PADs slightly increase establishment deaths (0.347%), suggesting heightened operational challenges. Total exits decline marginally (1.58%), reflecting a preference among existing establishments to adapt locally rather than relocate.</w:t>
      </w:r>
    </w:p>
    <w:p w14:paraId="2C530E8B" w14:textId="77777777" w:rsidR="0054107C" w:rsidRPr="001953BB" w:rsidRDefault="0054107C" w:rsidP="00814092">
      <w:pPr>
        <w:rPr>
          <w:rFonts w:cs="Times New Roman"/>
          <w:lang/>
        </w:rPr>
      </w:pPr>
      <w:r w:rsidRPr="001953BB">
        <w:rPr>
          <w:rFonts w:cs="Times New Roman"/>
          <w:lang/>
        </w:rPr>
        <w:t>In contrast, strict PADs do not exhibit statistically significant effects on the Utilities sector. This indicates that the regulatory dynamics of broad PADs already encompass the relevant constraints and adaptation mechanisms for this sector, likely due to the nature of utility operations, which are typically site-specific and less mobile.</w:t>
      </w:r>
    </w:p>
    <w:p w14:paraId="0961B667" w14:textId="77777777" w:rsidR="0054107C" w:rsidRPr="001953BB" w:rsidRDefault="0054107C" w:rsidP="00814092">
      <w:pPr>
        <w:rPr>
          <w:rFonts w:cs="Times New Roman"/>
          <w:lang/>
        </w:rPr>
      </w:pPr>
      <w:r w:rsidRPr="001953BB">
        <w:rPr>
          <w:rFonts w:cs="Times New Roman"/>
          <w:lang/>
        </w:rPr>
        <w:lastRenderedPageBreak/>
        <w:t xml:space="preserve">These findings align with Hypotheses 1 and 2, confirming the presence of non-linear effects and highlighting the differential </w:t>
      </w:r>
      <w:r w:rsidRPr="001953BB">
        <w:rPr>
          <w:rFonts w:cs="Times New Roman"/>
        </w:rPr>
        <w:t>effects</w:t>
      </w:r>
      <w:r w:rsidRPr="001953BB">
        <w:rPr>
          <w:rFonts w:cs="Times New Roman"/>
          <w:lang w:val="zh-CN"/>
        </w:rPr>
        <w:t xml:space="preserve"> </w:t>
      </w:r>
      <w:r w:rsidRPr="001953BB">
        <w:rPr>
          <w:rFonts w:cs="Times New Roman"/>
          <w:lang/>
        </w:rPr>
        <w:t>of broad versus strict PADs. The observed reductions in relocations also support Hypothesis 3, underscoring the influence of relocation costs and regulatory familiarity in shaping business dynamics in the Utilities sector. Broad PADs, in particular, appear to discourage new activity while stabilizing existing operations, reflecting a complex interplay between conservation policies and economic adjustments.</w:t>
      </w:r>
    </w:p>
    <w:p w14:paraId="049F40F9" w14:textId="593C7BAF" w:rsidR="0054107C" w:rsidRPr="001953BB" w:rsidRDefault="00961D1F" w:rsidP="001953BB">
      <w:pPr>
        <w:pStyle w:val="Heading4"/>
      </w:pPr>
      <w:bookmarkStart w:id="103" w:name="_Toc187685004"/>
      <w:r w:rsidRPr="001953BB">
        <w:t>1.</w:t>
      </w:r>
      <w:r w:rsidR="0054107C" w:rsidRPr="001953BB">
        <w:t>5.2.4 Construction (NAICS 23)</w:t>
      </w:r>
      <w:bookmarkEnd w:id="103"/>
    </w:p>
    <w:p w14:paraId="6C8C42BB" w14:textId="77777777" w:rsidR="0054107C" w:rsidRPr="001953BB" w:rsidRDefault="0054107C" w:rsidP="00814092">
      <w:pPr>
        <w:rPr>
          <w:rFonts w:cs="Times New Roman"/>
          <w:lang/>
        </w:rPr>
      </w:pPr>
      <w:r w:rsidRPr="001953BB">
        <w:rPr>
          <w:rFonts w:cs="Times New Roman"/>
          <w:lang/>
        </w:rPr>
        <w:t xml:space="preserve">The Construction sector exhibits marginal non-linear effects under both broad and strict PAD coverage, revealing its sensitivity to varying conservation intensities. Under broad PAD coverage, evaluated at the mean broad PAD level (14.3%), a </w:t>
      </w:r>
      <w:r w:rsidRPr="001953BB">
        <w:rPr>
          <w:rFonts w:cs="Times New Roman"/>
          <w:lang w:val="zh-CN"/>
        </w:rPr>
        <w:t>1 percentage point</w:t>
      </w:r>
      <w:r w:rsidRPr="001953BB">
        <w:rPr>
          <w:rFonts w:cs="Times New Roman"/>
          <w:lang/>
        </w:rPr>
        <w:t xml:space="preserve"> increase in coverage is associated with a 0.325% rise in closures and a 0.929% decline in total exits. These results indicate mixed pressures: while broad PADs increase business closures, they simultaneously reduce total exits, suggesting that businesses are more inclined to adapt locally rather than relocate.</w:t>
      </w:r>
    </w:p>
    <w:p w14:paraId="5BE8FB90" w14:textId="77777777" w:rsidR="0054107C" w:rsidRPr="001953BB" w:rsidRDefault="0054107C" w:rsidP="00814092">
      <w:pPr>
        <w:rPr>
          <w:rFonts w:cs="Times New Roman"/>
          <w:lang/>
        </w:rPr>
      </w:pPr>
      <w:r w:rsidRPr="001953BB">
        <w:rPr>
          <w:rFonts w:cs="Times New Roman"/>
          <w:lang/>
        </w:rPr>
        <w:t xml:space="preserve">In contrast, strict PAD coverage exhibits more pronounced effects. Evaluated at the mean strict PAD level (5.33%), a </w:t>
      </w:r>
      <w:r w:rsidRPr="001953BB">
        <w:rPr>
          <w:rFonts w:cs="Times New Roman"/>
          <w:lang w:val="zh-CN"/>
        </w:rPr>
        <w:t>1 percentage point</w:t>
      </w:r>
      <w:r w:rsidRPr="001953BB">
        <w:rPr>
          <w:rFonts w:cs="Times New Roman"/>
          <w:lang/>
        </w:rPr>
        <w:t xml:space="preserve"> increase in strict PAD coverage results in a 1.98% decline in inward relocations, a 1.94% decline in intra-state inward relocations, and reductions in closures (0.839%) and total exits (0.82%). Positive marginal effects are observed for outward relocations (3.0%) and intra-state outward relocations (3.26%), suggesting that while strict PADs stabilize overall exits, they also incentivize intra-state mobility.</w:t>
      </w:r>
    </w:p>
    <w:p w14:paraId="1407B86E" w14:textId="77777777" w:rsidR="0054107C" w:rsidRPr="001953BB" w:rsidRDefault="0054107C" w:rsidP="00814092">
      <w:pPr>
        <w:rPr>
          <w:rFonts w:cs="Times New Roman"/>
          <w:lang/>
        </w:rPr>
      </w:pPr>
      <w:r w:rsidRPr="001953BB">
        <w:rPr>
          <w:rFonts w:cs="Times New Roman"/>
          <w:lang/>
        </w:rPr>
        <w:t xml:space="preserve">These findings emphasize the Construction sector's adaptability to conservation intensity. Broad PADs impose moderate pressures, balancing closures with mitigated exits, while strict PADs exert stronger regulatory constraints that encourage intra-state mobility but stabilize total exits. </w:t>
      </w:r>
      <w:r w:rsidRPr="001953BB">
        <w:rPr>
          <w:rFonts w:cs="Times New Roman"/>
          <w:lang/>
        </w:rPr>
        <w:lastRenderedPageBreak/>
        <w:t xml:space="preserve">The results support Hypotheses 1 and 2, confirming the presence of non-linear effects and the more pronounced </w:t>
      </w:r>
      <w:r w:rsidRPr="001953BB">
        <w:rPr>
          <w:rFonts w:cs="Times New Roman"/>
        </w:rPr>
        <w:t>effects</w:t>
      </w:r>
      <w:r w:rsidRPr="001953BB">
        <w:rPr>
          <w:rFonts w:cs="Times New Roman"/>
          <w:lang w:val="zh-CN"/>
        </w:rPr>
        <w:t xml:space="preserve"> </w:t>
      </w:r>
      <w:r w:rsidRPr="001953BB">
        <w:rPr>
          <w:rFonts w:cs="Times New Roman"/>
          <w:lang/>
        </w:rPr>
        <w:t>of strict PADs relative to broad PADs. Additionally, the observed relocation patterns align with Hypothesis 3, highlighting the sector's intra-state adjustments in response to regulatory and cost considerations.</w:t>
      </w:r>
    </w:p>
    <w:p w14:paraId="073B03C5" w14:textId="151D82F1" w:rsidR="0054107C" w:rsidRPr="001953BB" w:rsidRDefault="00961D1F" w:rsidP="00814092">
      <w:pPr>
        <w:pStyle w:val="Heading3"/>
      </w:pPr>
      <w:bookmarkStart w:id="104" w:name="_Toc187685005"/>
      <w:bookmarkStart w:id="105" w:name="_Toc188378992"/>
      <w:r w:rsidRPr="001953BB">
        <w:rPr>
          <w:lang w:val="en-US"/>
        </w:rPr>
        <w:t>1.</w:t>
      </w:r>
      <w:r w:rsidR="0054107C" w:rsidRPr="001953BB">
        <w:t>5.3 Unveiling Sectoral Drivers of LIS Outcomes</w:t>
      </w:r>
      <w:bookmarkEnd w:id="104"/>
      <w:bookmarkEnd w:id="105"/>
    </w:p>
    <w:p w14:paraId="7E0C4BB1" w14:textId="77777777" w:rsidR="0054107C" w:rsidRPr="001953BB" w:rsidRDefault="0054107C" w:rsidP="00814092">
      <w:pPr>
        <w:rPr>
          <w:rFonts w:cs="Times New Roman"/>
          <w:lang w:eastAsia="zh-CN"/>
        </w:rPr>
      </w:pPr>
      <w:r w:rsidRPr="001953BB">
        <w:rPr>
          <w:rFonts w:cs="Times New Roman"/>
          <w:lang w:eastAsia="zh-CN"/>
        </w:rPr>
        <w:t>The analysis of PAD effects on both the aggregate LIS and its constituent sectors (Agriculture, Mining, Utilities, and Construction) uncovers overarching trends and critical sector-specific heterogeneities. These insights provide a deeper understanding of how conservation policies influence LIS establishment location dynamics.</w:t>
      </w:r>
    </w:p>
    <w:p w14:paraId="38C0CF2B" w14:textId="77777777" w:rsidR="0054107C" w:rsidRPr="001953BB" w:rsidRDefault="0054107C" w:rsidP="00814092">
      <w:pPr>
        <w:rPr>
          <w:rFonts w:cs="Times New Roman"/>
          <w:lang w:eastAsia="zh-CN"/>
        </w:rPr>
      </w:pPr>
      <w:r w:rsidRPr="001953BB">
        <w:rPr>
          <w:rFonts w:cs="Times New Roman"/>
          <w:lang w:eastAsia="zh-CN"/>
        </w:rPr>
        <w:t xml:space="preserve">At the aggregate LIS level, strict PADs exhibit more pronounced regulatory constraints, initially deterring business activity but fostering stability over time through reductions in exits and inter-state relocations. However, disaggregated sector-specific results reveal the diverse mechanisms that drive these aggregate trends, emphasizing the importance of analyzing individual LIS sectors to capture the nuanced </w:t>
      </w:r>
      <w:r w:rsidRPr="001953BB">
        <w:rPr>
          <w:rFonts w:cs="Times New Roman"/>
        </w:rPr>
        <w:t>effects</w:t>
      </w:r>
      <w:r w:rsidRPr="001953BB">
        <w:rPr>
          <w:rFonts w:cs="Times New Roman"/>
          <w:lang w:val="zh-CN"/>
        </w:rPr>
        <w:t xml:space="preserve"> </w:t>
      </w:r>
      <w:r w:rsidRPr="001953BB">
        <w:rPr>
          <w:rFonts w:cs="Times New Roman"/>
          <w:lang w:eastAsia="zh-CN"/>
        </w:rPr>
        <w:t>of PAD coverage.</w:t>
      </w:r>
    </w:p>
    <w:p w14:paraId="57D886DA" w14:textId="77777777" w:rsidR="0054107C" w:rsidRPr="001953BB" w:rsidRDefault="0054107C" w:rsidP="00814092">
      <w:pPr>
        <w:tabs>
          <w:tab w:val="num" w:pos="720"/>
        </w:tabs>
        <w:rPr>
          <w:rFonts w:cs="Times New Roman"/>
          <w:lang w:eastAsia="zh-CN"/>
        </w:rPr>
      </w:pPr>
      <w:r w:rsidRPr="001953BB">
        <w:rPr>
          <w:rFonts w:cs="Times New Roman"/>
          <w:lang w:eastAsia="zh-CN"/>
        </w:rPr>
        <w:t>Agriculture demonstrates a consistently positive response to additional PAD coverage under both broad and strict PAD definitions. Broad PADs enhance entries, reflecting ecological benefits that outweigh regulatory costs, while strict PADs stabilize operations by significantly reducing exits.</w:t>
      </w:r>
      <w:r w:rsidRPr="001953BB">
        <w:rPr>
          <w:rFonts w:cs="Times New Roman"/>
          <w:lang w:eastAsia="zh-CN"/>
        </w:rPr>
        <w:t xml:space="preserve"> </w:t>
      </w:r>
      <w:r w:rsidRPr="001953BB">
        <w:rPr>
          <w:rFonts w:cs="Times New Roman"/>
          <w:lang w:eastAsia="zh-CN"/>
        </w:rPr>
        <w:t>Mining benefits from stability under strict PADs, which deter exits and outward relocations while modestly increasing entries. These results suggest that stricter conservation measures create a more predictable operating environment for the sector.</w:t>
      </w:r>
      <w:r w:rsidRPr="001953BB">
        <w:rPr>
          <w:rFonts w:cs="Times New Roman"/>
          <w:lang w:eastAsia="zh-CN"/>
        </w:rPr>
        <w:t xml:space="preserve"> </w:t>
      </w:r>
    </w:p>
    <w:p w14:paraId="28BA380E" w14:textId="77777777" w:rsidR="0054107C" w:rsidRPr="001953BB" w:rsidRDefault="0054107C" w:rsidP="00814092">
      <w:pPr>
        <w:tabs>
          <w:tab w:val="num" w:pos="720"/>
        </w:tabs>
        <w:rPr>
          <w:rFonts w:cs="Times New Roman"/>
          <w:lang w:eastAsia="zh-CN"/>
        </w:rPr>
      </w:pPr>
      <w:r w:rsidRPr="001953BB">
        <w:rPr>
          <w:rFonts w:cs="Times New Roman"/>
          <w:lang w:eastAsia="zh-CN"/>
        </w:rPr>
        <w:t xml:space="preserve">Utilities face constraints under broad PADs, which reduce entries and relocations but promote local retention by lowering total exits. Strict PADs, however, show no significant effects, implying that the regulatory dynamics of broad PADs dominate in shaping outcomes for this </w:t>
      </w:r>
      <w:r w:rsidRPr="001953BB">
        <w:rPr>
          <w:rFonts w:cs="Times New Roman"/>
          <w:lang w:eastAsia="zh-CN"/>
        </w:rPr>
        <w:lastRenderedPageBreak/>
        <w:t>sector.</w:t>
      </w:r>
      <w:r w:rsidRPr="001953BB">
        <w:rPr>
          <w:rFonts w:cs="Times New Roman"/>
          <w:lang w:eastAsia="zh-CN"/>
        </w:rPr>
        <w:t xml:space="preserve"> </w:t>
      </w:r>
      <w:r w:rsidRPr="001953BB">
        <w:rPr>
          <w:rFonts w:cs="Times New Roman"/>
          <w:lang w:eastAsia="zh-CN"/>
        </w:rPr>
        <w:t>Construction exhibits the most pronounced intra-state mobility under strict PADs, reflecting adaptability to stringent conservation measures. Broad PADs impose moderate pressures, increasing closures but reducing overall exits, while strict PADs stabilize total exits despite encouraging some intra-state relocations.</w:t>
      </w:r>
    </w:p>
    <w:p w14:paraId="0B054948" w14:textId="77777777" w:rsidR="0054107C" w:rsidRPr="001953BB" w:rsidRDefault="0054107C" w:rsidP="00814092">
      <w:pPr>
        <w:rPr>
          <w:rFonts w:cs="Times New Roman"/>
          <w:lang w:eastAsia="zh-CN"/>
        </w:rPr>
      </w:pPr>
      <w:r w:rsidRPr="001953BB">
        <w:rPr>
          <w:rFonts w:cs="Times New Roman"/>
          <w:lang w:eastAsia="zh-CN"/>
        </w:rPr>
        <w:t>This sectoral decomposition underscores the varying sensitivities of LIS to conservation policies. The results illustrate that aggregate trends emerge from the complex interplay of sector-specific responses to PAD coverage, highlighting the necessity of distinguishing between broad and strict PADs to understand their differential economic impacts.</w:t>
      </w:r>
    </w:p>
    <w:p w14:paraId="64D8FA9D" w14:textId="6C7EBC7B" w:rsidR="0054107C" w:rsidRPr="001953BB" w:rsidRDefault="00961D1F" w:rsidP="00814092">
      <w:pPr>
        <w:pStyle w:val="Heading3"/>
      </w:pPr>
      <w:bookmarkStart w:id="106" w:name="_Toc187685006"/>
      <w:bookmarkStart w:id="107" w:name="_Toc188378993"/>
      <w:r w:rsidRPr="001953BB">
        <w:rPr>
          <w:lang w:val="en-US"/>
        </w:rPr>
        <w:t>1.</w:t>
      </w:r>
      <w:r w:rsidR="0054107C" w:rsidRPr="001953BB">
        <w:t>5.4 Non-LIS Results: Insights from Manufacturing</w:t>
      </w:r>
      <w:bookmarkEnd w:id="106"/>
      <w:bookmarkEnd w:id="107"/>
    </w:p>
    <w:p w14:paraId="7313405C" w14:textId="77777777" w:rsidR="0054107C" w:rsidRPr="001953BB" w:rsidRDefault="0054107C" w:rsidP="00814092">
      <w:pPr>
        <w:rPr>
          <w:rFonts w:cs="Times New Roman"/>
          <w:lang w:val="zh-CN" w:eastAsia="zh-CN"/>
        </w:rPr>
      </w:pPr>
      <w:r w:rsidRPr="001953BB">
        <w:rPr>
          <w:rFonts w:cs="Times New Roman"/>
          <w:lang w:val="zh-CN" w:eastAsia="zh-CN"/>
        </w:rPr>
        <w:t xml:space="preserve">This section evaluates the </w:t>
      </w:r>
      <w:r w:rsidRPr="001953BB">
        <w:rPr>
          <w:rFonts w:cs="Times New Roman"/>
        </w:rPr>
        <w:t>effects</w:t>
      </w:r>
      <w:r w:rsidRPr="001953BB">
        <w:rPr>
          <w:rFonts w:cs="Times New Roman"/>
          <w:lang w:val="zh-CN"/>
        </w:rPr>
        <w:t xml:space="preserve"> </w:t>
      </w:r>
      <w:r w:rsidRPr="001953BB">
        <w:rPr>
          <w:rFonts w:cs="Times New Roman"/>
          <w:lang w:val="zh-CN" w:eastAsia="zh-CN"/>
        </w:rPr>
        <w:t xml:space="preserve">of PAD coverage on the Manufacturing sector (NAICS 31–33), representing non-LIS industries with lower land dependency. Manufacturing provides a comparative lens for understanding how conservation policies affect economic dynamics across diverse sectors, addressing the study’s secondary objective. </w:t>
      </w:r>
    </w:p>
    <w:p w14:paraId="4498F5C5" w14:textId="4EE001DA" w:rsidR="0054107C" w:rsidRPr="001953BB" w:rsidRDefault="0054107C" w:rsidP="00814092">
      <w:pPr>
        <w:rPr>
          <w:rFonts w:cs="Times New Roman"/>
          <w:lang w:eastAsia="zh-CN"/>
        </w:rPr>
      </w:pPr>
      <w:r w:rsidRPr="001953BB">
        <w:rPr>
          <w:rFonts w:cs="Times New Roman"/>
          <w:b/>
          <w:bCs/>
          <w:lang w:eastAsia="zh-CN"/>
        </w:rPr>
        <w:t>Table A8</w:t>
      </w:r>
      <w:r w:rsidRPr="001953BB">
        <w:rPr>
          <w:rFonts w:cs="Times New Roman"/>
          <w:lang w:eastAsia="zh-CN"/>
        </w:rPr>
        <w:t xml:space="preserve"> to</w:t>
      </w:r>
      <w:r w:rsidR="005B64E8" w:rsidRPr="001953BB">
        <w:rPr>
          <w:rFonts w:cs="Times New Roman"/>
          <w:lang w:eastAsia="zh-CN"/>
        </w:rPr>
        <w:t xml:space="preserve"> </w:t>
      </w:r>
      <w:r w:rsidR="005B64E8" w:rsidRPr="001953BB">
        <w:rPr>
          <w:rFonts w:cs="Times New Roman"/>
          <w:b/>
          <w:bCs/>
        </w:rPr>
        <w:t>Table</w:t>
      </w:r>
      <w:r w:rsidRPr="001953BB">
        <w:rPr>
          <w:rFonts w:cs="Times New Roman"/>
          <w:b/>
          <w:bCs/>
          <w:lang w:eastAsia="zh-CN"/>
        </w:rPr>
        <w:t xml:space="preserve"> A17</w:t>
      </w:r>
      <w:r w:rsidRPr="001953BB">
        <w:rPr>
          <w:rFonts w:cs="Times New Roman"/>
          <w:lang w:eastAsia="zh-CN"/>
        </w:rPr>
        <w:t xml:space="preserve"> present the results on births, inward relocations, intra-state inward relocations, inter-state inward relocations, total entries, deaths, outward relocations, intra-state outward relocations, inter-state outward relocations, and total exits, respectively, under the broad PAD definition. </w:t>
      </w:r>
      <w:r w:rsidRPr="001953BB">
        <w:rPr>
          <w:rFonts w:cs="Times New Roman"/>
          <w:b/>
          <w:bCs/>
          <w:lang w:eastAsia="zh-CN"/>
        </w:rPr>
        <w:t>Table A18</w:t>
      </w:r>
      <w:r w:rsidRPr="001953BB">
        <w:rPr>
          <w:rFonts w:cs="Times New Roman"/>
          <w:lang w:eastAsia="zh-CN"/>
        </w:rPr>
        <w:t xml:space="preserve"> to </w:t>
      </w:r>
      <w:r w:rsidR="005B64E8" w:rsidRPr="001953BB">
        <w:rPr>
          <w:rFonts w:cs="Times New Roman"/>
          <w:b/>
          <w:bCs/>
        </w:rPr>
        <w:t>Table</w:t>
      </w:r>
      <w:r w:rsidR="005B64E8" w:rsidRPr="001953BB">
        <w:rPr>
          <w:rFonts w:cs="Times New Roman"/>
          <w:b/>
          <w:bCs/>
          <w:lang w:eastAsia="zh-CN"/>
        </w:rPr>
        <w:t xml:space="preserve"> </w:t>
      </w:r>
      <w:r w:rsidRPr="001953BB">
        <w:rPr>
          <w:rFonts w:cs="Times New Roman"/>
          <w:b/>
          <w:bCs/>
          <w:lang w:eastAsia="zh-CN"/>
        </w:rPr>
        <w:t>A27</w:t>
      </w:r>
      <w:r w:rsidRPr="001953BB">
        <w:rPr>
          <w:rFonts w:cs="Times New Roman"/>
          <w:lang w:eastAsia="zh-CN"/>
        </w:rPr>
        <w:t xml:space="preserve"> present the results on those same outcome location variables, respectively, under the strict PAD definition. Refer to the last column in each table for the specific results </w:t>
      </w:r>
      <w:proofErr w:type="gramStart"/>
      <w:r w:rsidRPr="001953BB">
        <w:rPr>
          <w:rFonts w:cs="Times New Roman"/>
          <w:lang w:eastAsia="zh-CN"/>
        </w:rPr>
        <w:t>in regards to</w:t>
      </w:r>
      <w:proofErr w:type="gramEnd"/>
      <w:r w:rsidRPr="001953BB">
        <w:rPr>
          <w:rFonts w:cs="Times New Roman"/>
          <w:lang w:eastAsia="zh-CN"/>
        </w:rPr>
        <w:t xml:space="preserve"> the Manufacturing sector (NAICS 31-33).</w:t>
      </w:r>
    </w:p>
    <w:p w14:paraId="3B195338" w14:textId="77777777" w:rsidR="0054107C" w:rsidRPr="001953BB" w:rsidRDefault="0054107C" w:rsidP="00814092">
      <w:pPr>
        <w:tabs>
          <w:tab w:val="num" w:pos="720"/>
        </w:tabs>
        <w:rPr>
          <w:rFonts w:cs="Times New Roman"/>
          <w:lang w:eastAsia="zh-CN"/>
        </w:rPr>
      </w:pPr>
      <w:r w:rsidRPr="001953BB">
        <w:rPr>
          <w:rFonts w:cs="Times New Roman"/>
          <w:lang w:eastAsia="zh-CN"/>
        </w:rPr>
        <w:t>The results for Manufacturing reveal distinct dynamics under broad and strict PAD definitions</w:t>
      </w:r>
      <w:r w:rsidRPr="001953BB">
        <w:rPr>
          <w:rFonts w:cs="Times New Roman"/>
          <w:lang w:eastAsia="zh-CN"/>
        </w:rPr>
        <w:t xml:space="preserve">. </w:t>
      </w:r>
      <w:r w:rsidRPr="001953BB">
        <w:rPr>
          <w:rFonts w:cs="Times New Roman"/>
          <w:lang w:eastAsia="zh-CN"/>
        </w:rPr>
        <w:t xml:space="preserve">Evaluated at the mean Broad PAD level (14.3%), a </w:t>
      </w:r>
      <w:r w:rsidRPr="001953BB">
        <w:rPr>
          <w:rFonts w:cs="Times New Roman"/>
          <w:lang w:val="zh-CN"/>
        </w:rPr>
        <w:t>1 percentage point</w:t>
      </w:r>
      <w:r w:rsidRPr="001953BB">
        <w:rPr>
          <w:rFonts w:cs="Times New Roman"/>
          <w:lang w:eastAsia="zh-CN"/>
        </w:rPr>
        <w:t xml:space="preserve"> increase in coverage corresponds to increases in births (0.619%), inward relocations (2.93%), intra-state in-migrations (4.10%), and total entries (0.614%). Meanwhile, exits show a mixed response, with reductions in </w:t>
      </w:r>
      <w:r w:rsidRPr="001953BB">
        <w:rPr>
          <w:rFonts w:cs="Times New Roman"/>
          <w:lang w:eastAsia="zh-CN"/>
        </w:rPr>
        <w:lastRenderedPageBreak/>
        <w:t>deaths (0.87%) but increases in outward relocations (9.77%), intra-state outward relocations (9.73%), and total exits (1.35%). These results suggest that broad PADs support business mobility and new entries while imposing moderate pressures on existing establishments to exit.</w:t>
      </w:r>
      <w:r w:rsidRPr="001953BB">
        <w:rPr>
          <w:rFonts w:cs="Times New Roman"/>
          <w:lang w:eastAsia="zh-CN"/>
        </w:rPr>
        <w:t xml:space="preserve"> </w:t>
      </w:r>
    </w:p>
    <w:p w14:paraId="559A5E37" w14:textId="77777777" w:rsidR="0054107C" w:rsidRPr="001953BB" w:rsidRDefault="0054107C" w:rsidP="00814092">
      <w:pPr>
        <w:tabs>
          <w:tab w:val="num" w:pos="720"/>
        </w:tabs>
        <w:rPr>
          <w:rFonts w:cs="Times New Roman"/>
          <w:lang w:eastAsia="zh-CN"/>
        </w:rPr>
      </w:pPr>
      <w:r w:rsidRPr="001953BB">
        <w:rPr>
          <w:rFonts w:cs="Times New Roman"/>
          <w:lang w:eastAsia="zh-CN"/>
        </w:rPr>
        <w:t xml:space="preserve">Evaluated at the mean Strict PAD level (5.33%), a </w:t>
      </w:r>
      <w:r w:rsidRPr="001953BB">
        <w:rPr>
          <w:rFonts w:cs="Times New Roman"/>
          <w:lang w:val="zh-CN"/>
        </w:rPr>
        <w:t>1 percentage point</w:t>
      </w:r>
      <w:r w:rsidRPr="001953BB">
        <w:rPr>
          <w:rFonts w:cs="Times New Roman"/>
          <w:lang w:eastAsia="zh-CN"/>
        </w:rPr>
        <w:t xml:space="preserve"> increase in coverage leads to declines in births (1.72%) and total entries (1.76%). Exits increase under strict PADs, with rises in outward relocations (3.40%), intra-state outward relocations (5.11%), and total exits (1.85%). These findings indicate that strict PADs impose higher regulatory burdens, deterring new activity and increasing exit pressures.</w:t>
      </w:r>
    </w:p>
    <w:p w14:paraId="1E1D39C7" w14:textId="77777777" w:rsidR="0054107C" w:rsidRPr="001953BB" w:rsidRDefault="0054107C" w:rsidP="00814092">
      <w:pPr>
        <w:rPr>
          <w:rFonts w:cs="Times New Roman"/>
          <w:lang w:eastAsia="zh-CN"/>
        </w:rPr>
      </w:pPr>
      <w:r w:rsidRPr="001953BB">
        <w:rPr>
          <w:rFonts w:cs="Times New Roman"/>
          <w:lang w:eastAsia="zh-CN"/>
        </w:rPr>
        <w:t xml:space="preserve">Our </w:t>
      </w:r>
      <w:r w:rsidRPr="001953BB">
        <w:rPr>
          <w:rFonts w:cs="Times New Roman"/>
          <w:lang w:val="zh-CN" w:eastAsia="zh-CN"/>
        </w:rPr>
        <w:t xml:space="preserve">results reveal significant non-linear relationships between PAD coverage and business outcomes, addressing Research Question 1 and supporting Hypothesis 1. </w:t>
      </w:r>
      <w:r w:rsidRPr="001953BB">
        <w:rPr>
          <w:rFonts w:cs="Times New Roman"/>
          <w:lang w:eastAsia="zh-CN"/>
        </w:rPr>
        <w:t xml:space="preserve">Our results further </w:t>
      </w:r>
      <w:proofErr w:type="gramStart"/>
      <w:r w:rsidRPr="001953BB">
        <w:rPr>
          <w:rFonts w:cs="Times New Roman"/>
          <w:lang w:val="zh-CN" w:eastAsia="zh-CN"/>
        </w:rPr>
        <w:t>address</w:t>
      </w:r>
      <w:r w:rsidRPr="001953BB">
        <w:rPr>
          <w:rFonts w:cs="Times New Roman"/>
          <w:lang w:eastAsia="zh-CN"/>
        </w:rPr>
        <w:t>es</w:t>
      </w:r>
      <w:proofErr w:type="gramEnd"/>
      <w:r w:rsidRPr="001953BB">
        <w:rPr>
          <w:rFonts w:cs="Times New Roman"/>
          <w:lang w:val="zh-CN" w:eastAsia="zh-CN"/>
        </w:rPr>
        <w:t xml:space="preserve"> Research Question 2 and </w:t>
      </w:r>
      <w:proofErr w:type="gramStart"/>
      <w:r w:rsidRPr="001953BB">
        <w:rPr>
          <w:rFonts w:cs="Times New Roman"/>
          <w:lang w:val="zh-CN" w:eastAsia="zh-CN"/>
        </w:rPr>
        <w:t>validat</w:t>
      </w:r>
      <w:r w:rsidRPr="001953BB">
        <w:rPr>
          <w:rFonts w:cs="Times New Roman"/>
          <w:lang w:eastAsia="zh-CN"/>
        </w:rPr>
        <w:t>es</w:t>
      </w:r>
      <w:proofErr w:type="gramEnd"/>
      <w:r w:rsidRPr="001953BB">
        <w:rPr>
          <w:rFonts w:cs="Times New Roman"/>
          <w:lang w:val="zh-CN" w:eastAsia="zh-CN"/>
        </w:rPr>
        <w:t xml:space="preserve"> Hypothesis 2, as broad PADs encourage positive dynamics such as increased births and relocations, whereas strict PADs impose stronger constraints on new activity and intensify relocations. Relocation dynamics further reveal that intra-state relocations are particularly responsive to PAD coverage under both PAD definitions, reflecting localized adjustments, while inter-state relocations show limited effects</w:t>
      </w:r>
      <w:r w:rsidRPr="001953BB">
        <w:rPr>
          <w:rFonts w:cs="Times New Roman"/>
          <w:lang w:eastAsia="zh-CN"/>
        </w:rPr>
        <w:t>,</w:t>
      </w:r>
      <w:r w:rsidRPr="001953BB">
        <w:rPr>
          <w:rFonts w:cs="Times New Roman"/>
          <w:lang w:val="zh-CN" w:eastAsia="zh-CN"/>
        </w:rPr>
        <w:t xml:space="preserve"> align</w:t>
      </w:r>
      <w:proofErr w:type="spellStart"/>
      <w:r w:rsidRPr="001953BB">
        <w:rPr>
          <w:rFonts w:cs="Times New Roman"/>
          <w:lang w:eastAsia="zh-CN"/>
        </w:rPr>
        <w:t>ing</w:t>
      </w:r>
      <w:proofErr w:type="spellEnd"/>
      <w:r w:rsidRPr="001953BB">
        <w:rPr>
          <w:rFonts w:cs="Times New Roman"/>
          <w:lang w:val="zh-CN" w:eastAsia="zh-CN"/>
        </w:rPr>
        <w:t xml:space="preserve"> with the Relocation Cost Hypothesis (Hypothesis 3), as stricter PADs increase the costs and complexity of broader mobility.</w:t>
      </w:r>
    </w:p>
    <w:p w14:paraId="623E39F1" w14:textId="3B5D656A" w:rsidR="0054107C" w:rsidRPr="001953BB" w:rsidRDefault="00961D1F" w:rsidP="00814092">
      <w:pPr>
        <w:pStyle w:val="Heading3"/>
      </w:pPr>
      <w:bookmarkStart w:id="108" w:name="_Toc187685007"/>
      <w:bookmarkStart w:id="109" w:name="_Toc188378994"/>
      <w:r w:rsidRPr="001953BB">
        <w:rPr>
          <w:lang w:val="en-US"/>
        </w:rPr>
        <w:t>1.</w:t>
      </w:r>
      <w:r w:rsidR="0054107C" w:rsidRPr="001953BB">
        <w:t>5.5 Key Insights from Manufacturing</w:t>
      </w:r>
      <w:bookmarkEnd w:id="108"/>
      <w:bookmarkEnd w:id="109"/>
    </w:p>
    <w:p w14:paraId="0841CAAA" w14:textId="77777777" w:rsidR="0054107C" w:rsidRPr="001953BB" w:rsidRDefault="0054107C" w:rsidP="00814092">
      <w:pPr>
        <w:rPr>
          <w:rFonts w:cs="Times New Roman"/>
          <w:lang w:eastAsia="zh-CN"/>
        </w:rPr>
      </w:pPr>
      <w:r w:rsidRPr="001953BB">
        <w:rPr>
          <w:rFonts w:cs="Times New Roman"/>
          <w:lang w:eastAsia="zh-CN"/>
        </w:rPr>
        <w:t xml:space="preserve">The Manufacturing sector (NAICS 31–33) provides valuable insights into how PAD coverage influences non-LIS industries, offering a critical contrast to the dynamics observed in LIS sectors. Addressing the study’s secondary objective, these results illustrate the broader adaptability of industries less dependent on land resources to conservation policies. Broad PADs exhibit flexibility by fostering entries and relocations, promoting positive business dynamics. </w:t>
      </w:r>
      <w:r w:rsidRPr="001953BB">
        <w:rPr>
          <w:rFonts w:cs="Times New Roman"/>
          <w:lang w:eastAsia="zh-CN"/>
        </w:rPr>
        <w:lastRenderedPageBreak/>
        <w:t>However, they also heighten outward mobility pressures, reflecting moderate regulatory impacts that balance conservation goals with economic activity. In contrast, strict PADs impose entry barriers and intensify exit pressures, revealing their more restrictive nature.</w:t>
      </w:r>
    </w:p>
    <w:p w14:paraId="5F0895C0" w14:textId="77777777" w:rsidR="0054107C" w:rsidRPr="001953BB" w:rsidRDefault="0054107C" w:rsidP="00814092">
      <w:pPr>
        <w:rPr>
          <w:rFonts w:cs="Times New Roman"/>
          <w:lang w:eastAsia="zh-CN"/>
        </w:rPr>
      </w:pPr>
      <w:r w:rsidRPr="001953BB">
        <w:rPr>
          <w:rFonts w:cs="Times New Roman"/>
          <w:lang w:eastAsia="zh-CN"/>
        </w:rPr>
        <w:t xml:space="preserve">The inclusion of Manufacturing demonstrates how conservation policies affect sectors beyond LIS, enriching the narrative on PAD </w:t>
      </w:r>
      <w:r w:rsidRPr="001953BB">
        <w:rPr>
          <w:rFonts w:cs="Times New Roman"/>
        </w:rPr>
        <w:t>effects</w:t>
      </w:r>
      <w:r w:rsidRPr="001953BB">
        <w:rPr>
          <w:rFonts w:cs="Times New Roman"/>
          <w:lang w:eastAsia="zh-CN"/>
        </w:rPr>
        <w:t>. These findings align with the Porter Hypothesis, suggesting that conservation policies can constrain activity while fostering stability depending on regulatory intensity. Manufacturing also provides a complementary perspective to LIS dynamics, illustrating how non-LIS sectors adapt to PAD coverage through increased mobility and responsiveness. This contrast highlights the importance of tailoring conservation policies to balance ecological objectives with economic resilience across diverse industrial contexts.</w:t>
      </w:r>
    </w:p>
    <w:p w14:paraId="6765D737" w14:textId="04DF7ED5" w:rsidR="0054107C" w:rsidRPr="001953BB" w:rsidRDefault="00961D1F" w:rsidP="00814092">
      <w:pPr>
        <w:pStyle w:val="Heading3"/>
      </w:pPr>
      <w:bookmarkStart w:id="110" w:name="_Toc187685008"/>
      <w:bookmarkStart w:id="111" w:name="_Toc188378995"/>
      <w:r w:rsidRPr="001953BB">
        <w:rPr>
          <w:lang w:val="en-US"/>
        </w:rPr>
        <w:t>1.</w:t>
      </w:r>
      <w:r w:rsidR="0054107C" w:rsidRPr="001953BB">
        <w:t>5.6 Validation of Key Findings</w:t>
      </w:r>
      <w:bookmarkEnd w:id="110"/>
      <w:bookmarkEnd w:id="111"/>
    </w:p>
    <w:p w14:paraId="48FE4B78" w14:textId="77777777" w:rsidR="0054107C" w:rsidRPr="001953BB" w:rsidRDefault="0054107C" w:rsidP="00814092">
      <w:pPr>
        <w:rPr>
          <w:rFonts w:cs="Times New Roman"/>
          <w:lang w:eastAsia="zh-CN"/>
        </w:rPr>
      </w:pPr>
      <w:r w:rsidRPr="001953BB">
        <w:rPr>
          <w:rFonts w:cs="Times New Roman"/>
          <w:lang w:eastAsia="zh-CN"/>
        </w:rPr>
        <w:t>This section validates the robustness and reliability of the observed relationships between PAD coverage and business dynamics through comprehensive endogeneity checks and robustness tests. These efforts confirm the consistency of findings across alternative specifications, enhancing confidence in their relevance for economic and policy interpretation.</w:t>
      </w:r>
    </w:p>
    <w:p w14:paraId="5EA22969" w14:textId="1DE01A7A" w:rsidR="0054107C" w:rsidRPr="001953BB" w:rsidRDefault="00961D1F" w:rsidP="001953BB">
      <w:pPr>
        <w:pStyle w:val="Heading4"/>
      </w:pPr>
      <w:bookmarkStart w:id="112" w:name="_Toc187685009"/>
      <w:r w:rsidRPr="001953BB">
        <w:t>1.</w:t>
      </w:r>
      <w:r w:rsidR="0054107C" w:rsidRPr="001953BB">
        <w:t>5.6.1 Addressing Biases</w:t>
      </w:r>
      <w:bookmarkEnd w:id="112"/>
    </w:p>
    <w:p w14:paraId="0E1B93CA" w14:textId="77777777" w:rsidR="0054107C" w:rsidRPr="001953BB" w:rsidRDefault="0054107C" w:rsidP="00814092">
      <w:pPr>
        <w:numPr>
          <w:ilvl w:val="0"/>
          <w:numId w:val="10"/>
        </w:numPr>
        <w:contextualSpacing/>
        <w:rPr>
          <w:rFonts w:cs="Times New Roman"/>
          <w:kern w:val="2"/>
          <w:lang w:eastAsia="zh-CN"/>
        </w:rPr>
      </w:pPr>
      <w:r w:rsidRPr="001953BB">
        <w:rPr>
          <w:rFonts w:cs="Times New Roman"/>
          <w:b/>
          <w:bCs/>
          <w:kern w:val="2"/>
          <w:lang w:val="zh-CN" w:eastAsia="zh-CN"/>
        </w:rPr>
        <w:t>Omitted Variable Bias:</w:t>
      </w:r>
      <w:r w:rsidRPr="001953BB">
        <w:rPr>
          <w:rFonts w:cs="Times New Roman"/>
          <w:kern w:val="2"/>
          <w:lang w:eastAsia="zh-CN"/>
        </w:rPr>
        <w:t xml:space="preserve"> </w:t>
      </w:r>
      <w:r w:rsidRPr="001953BB">
        <w:rPr>
          <w:rFonts w:cs="Times New Roman"/>
          <w:kern w:val="2"/>
          <w:lang w:eastAsia="zh-CN"/>
        </w:rPr>
        <w:t>The inclusion of high-dimensional fixed effects—county, state-year, and sectoral—effectively controlled for unobserved heterogeneity. For example, the non-linear effects of PADs remained significant even after accounting for county-specific geographic and historical conditions, affirming the robustness of the findings.</w:t>
      </w:r>
    </w:p>
    <w:p w14:paraId="53015C69" w14:textId="77777777" w:rsidR="0054107C" w:rsidRPr="001953BB" w:rsidRDefault="0054107C" w:rsidP="00814092">
      <w:pPr>
        <w:numPr>
          <w:ilvl w:val="0"/>
          <w:numId w:val="10"/>
        </w:numPr>
        <w:contextualSpacing/>
        <w:rPr>
          <w:rFonts w:cs="Times New Roman"/>
          <w:kern w:val="2"/>
          <w:lang w:eastAsia="zh-CN"/>
        </w:rPr>
      </w:pPr>
      <w:r w:rsidRPr="001953BB">
        <w:rPr>
          <w:rFonts w:cs="Times New Roman"/>
          <w:b/>
          <w:bCs/>
          <w:kern w:val="2"/>
          <w:lang w:val="zh-CN" w:eastAsia="zh-CN"/>
        </w:rPr>
        <w:t>Reverse Causality:</w:t>
      </w:r>
      <w:r w:rsidRPr="001953BB">
        <w:rPr>
          <w:rFonts w:cs="Times New Roman"/>
          <w:kern w:val="2"/>
          <w:lang w:eastAsia="zh-CN"/>
        </w:rPr>
        <w:t xml:space="preserve"> </w:t>
      </w:r>
      <w:r w:rsidRPr="001953BB">
        <w:rPr>
          <w:rFonts w:cs="Times New Roman"/>
          <w:kern w:val="2"/>
          <w:lang w:eastAsia="zh-CN"/>
        </w:rPr>
        <w:t xml:space="preserve">Lagged variables ensured that PAD coverage preceded observed changes in business outcomes, addressing simultaneity concerns. The lack of significant lead coefficients in dynamic models confirmed that businesses did not anticipate PAD </w:t>
      </w:r>
      <w:r w:rsidRPr="001953BB">
        <w:rPr>
          <w:rFonts w:cs="Times New Roman"/>
          <w:kern w:val="2"/>
          <w:lang w:eastAsia="zh-CN"/>
        </w:rPr>
        <w:lastRenderedPageBreak/>
        <w:t>designations before implementation, further validating the temporal sequencing of observed PAD effects.</w:t>
      </w:r>
    </w:p>
    <w:p w14:paraId="7643128A" w14:textId="77777777" w:rsidR="0054107C" w:rsidRPr="001953BB" w:rsidRDefault="0054107C" w:rsidP="00814092">
      <w:pPr>
        <w:numPr>
          <w:ilvl w:val="0"/>
          <w:numId w:val="10"/>
        </w:numPr>
        <w:contextualSpacing/>
        <w:rPr>
          <w:rFonts w:cs="Times New Roman"/>
          <w:kern w:val="2"/>
          <w:lang w:eastAsia="zh-CN"/>
        </w:rPr>
      </w:pPr>
      <w:r w:rsidRPr="001953BB">
        <w:rPr>
          <w:rFonts w:cs="Times New Roman"/>
          <w:b/>
          <w:bCs/>
          <w:kern w:val="2"/>
          <w:lang w:val="zh-CN" w:eastAsia="zh-CN"/>
        </w:rPr>
        <w:t>Measurement Error:</w:t>
      </w:r>
      <w:r w:rsidRPr="001953BB">
        <w:rPr>
          <w:rFonts w:cs="Times New Roman"/>
          <w:kern w:val="2"/>
          <w:lang w:eastAsia="zh-CN"/>
        </w:rPr>
        <w:t xml:space="preserve"> </w:t>
      </w:r>
      <w:r w:rsidRPr="001953BB">
        <w:rPr>
          <w:rFonts w:cs="Times New Roman"/>
          <w:kern w:val="2"/>
          <w:lang w:eastAsia="zh-CN"/>
        </w:rPr>
        <w:t>Sensitivity analyses confirmed that measurement errors in PAD coverage or business outcomes did not bias results. Excluding extreme PAD coverage values did not alter key findings, demonstrating the stability of observed relationships.</w:t>
      </w:r>
    </w:p>
    <w:p w14:paraId="062B35A4" w14:textId="5FF6F8B3" w:rsidR="0054107C" w:rsidRPr="001953BB" w:rsidRDefault="00961D1F" w:rsidP="001953BB">
      <w:pPr>
        <w:pStyle w:val="Heading4"/>
      </w:pPr>
      <w:bookmarkStart w:id="113" w:name="_Toc187685010"/>
      <w:r w:rsidRPr="001953BB">
        <w:t>1.</w:t>
      </w:r>
      <w:r w:rsidR="0054107C" w:rsidRPr="001953BB">
        <w:t>5.6.2 Robustness and Dynamic Effects</w:t>
      </w:r>
      <w:bookmarkEnd w:id="113"/>
    </w:p>
    <w:p w14:paraId="42B591A5" w14:textId="77777777" w:rsidR="0054107C" w:rsidRPr="001953BB" w:rsidRDefault="0054107C" w:rsidP="00814092">
      <w:pPr>
        <w:numPr>
          <w:ilvl w:val="0"/>
          <w:numId w:val="9"/>
        </w:numPr>
        <w:contextualSpacing/>
        <w:rPr>
          <w:rFonts w:cs="Times New Roman"/>
          <w:kern w:val="2"/>
          <w:lang w:eastAsia="zh-CN"/>
        </w:rPr>
      </w:pPr>
      <w:r w:rsidRPr="001953BB">
        <w:rPr>
          <w:rFonts w:cs="Times New Roman"/>
          <w:b/>
          <w:bCs/>
          <w:kern w:val="2"/>
          <w:lang w:val="zh-CN" w:eastAsia="zh-CN"/>
        </w:rPr>
        <w:t>Alternative Specifications:</w:t>
      </w:r>
      <w:r w:rsidRPr="001953BB">
        <w:rPr>
          <w:rFonts w:cs="Times New Roman"/>
          <w:kern w:val="2"/>
          <w:lang w:eastAsia="zh-CN"/>
        </w:rPr>
        <w:t xml:space="preserve"> </w:t>
      </w:r>
      <w:r w:rsidRPr="001953BB">
        <w:rPr>
          <w:rFonts w:cs="Times New Roman"/>
          <w:kern w:val="2"/>
          <w:lang w:eastAsia="zh-CN"/>
        </w:rPr>
        <w:t>Models with quadratic terms captured non-linear dynamics, validating the relationship between PAD coverage and business outcomes without overinterpreting turning points. Marginal effects were consistently significant, even though turning points were not precisely estimated.</w:t>
      </w:r>
    </w:p>
    <w:p w14:paraId="4AA14234" w14:textId="77777777" w:rsidR="0054107C" w:rsidRPr="001953BB" w:rsidRDefault="0054107C" w:rsidP="00814092">
      <w:pPr>
        <w:numPr>
          <w:ilvl w:val="0"/>
          <w:numId w:val="9"/>
        </w:numPr>
        <w:contextualSpacing/>
        <w:rPr>
          <w:rFonts w:cs="Times New Roman"/>
          <w:kern w:val="2"/>
          <w:lang w:eastAsia="zh-CN"/>
        </w:rPr>
      </w:pPr>
      <w:r w:rsidRPr="001953BB">
        <w:rPr>
          <w:rFonts w:cs="Times New Roman"/>
          <w:b/>
          <w:bCs/>
          <w:kern w:val="2"/>
          <w:lang w:val="zh-CN" w:eastAsia="zh-CN"/>
        </w:rPr>
        <w:t>Dynamic Effects:</w:t>
      </w:r>
      <w:r w:rsidRPr="001953BB">
        <w:rPr>
          <w:rFonts w:cs="Times New Roman"/>
          <w:b/>
          <w:bCs/>
          <w:kern w:val="2"/>
          <w:lang w:eastAsia="zh-CN"/>
        </w:rPr>
        <w:t xml:space="preserve"> </w:t>
      </w:r>
      <w:r w:rsidRPr="001953BB">
        <w:rPr>
          <w:rFonts w:cs="Times New Roman"/>
          <w:kern w:val="2"/>
          <w:lang w:eastAsia="zh-CN"/>
        </w:rPr>
        <w:t>PAD effects were shown to persist but diminish after two to three years, reflecting businesses’ gradual adaptation to regulatory environments. For example, initial increases in closures due to PAD constraints stabilized as firms adjusted their operations to align with conservation policies.</w:t>
      </w:r>
    </w:p>
    <w:p w14:paraId="2775A7DF" w14:textId="123A2929" w:rsidR="0054107C" w:rsidRPr="001953BB" w:rsidRDefault="00961D1F" w:rsidP="001953BB">
      <w:pPr>
        <w:pStyle w:val="Heading4"/>
      </w:pPr>
      <w:bookmarkStart w:id="114" w:name="_Toc187685011"/>
      <w:r w:rsidRPr="001953BB">
        <w:t>1.</w:t>
      </w:r>
      <w:r w:rsidR="0054107C" w:rsidRPr="001953BB">
        <w:t>5.6.3 Counterfactual and Placebo Results</w:t>
      </w:r>
      <w:bookmarkEnd w:id="114"/>
    </w:p>
    <w:p w14:paraId="67B5EDD3" w14:textId="77777777" w:rsidR="0054107C" w:rsidRPr="001953BB" w:rsidRDefault="0054107C" w:rsidP="00814092">
      <w:pPr>
        <w:numPr>
          <w:ilvl w:val="0"/>
          <w:numId w:val="8"/>
        </w:numPr>
        <w:contextualSpacing/>
        <w:rPr>
          <w:rFonts w:cs="Times New Roman"/>
          <w:kern w:val="2"/>
          <w:lang w:eastAsia="zh-CN"/>
        </w:rPr>
      </w:pPr>
      <w:r w:rsidRPr="001953BB">
        <w:rPr>
          <w:rFonts w:cs="Times New Roman"/>
          <w:b/>
          <w:bCs/>
          <w:kern w:val="2"/>
          <w:lang w:val="zh-CN" w:eastAsia="zh-CN"/>
        </w:rPr>
        <w:t>Counterfactual Scenarios:</w:t>
      </w:r>
      <w:r w:rsidRPr="001953BB">
        <w:rPr>
          <w:rFonts w:cs="Times New Roman"/>
          <w:kern w:val="2"/>
          <w:lang w:eastAsia="zh-CN"/>
        </w:rPr>
        <w:t xml:space="preserve"> </w:t>
      </w:r>
      <w:r w:rsidRPr="001953BB">
        <w:rPr>
          <w:rFonts w:cs="Times New Roman"/>
          <w:kern w:val="2"/>
          <w:lang w:eastAsia="zh-CN"/>
        </w:rPr>
        <w:t>Simulated PAD coverage levels confirmed that the observed dynamics are robust across varying policy intensities. Moderate PAD coverage promoted stability, while excessive coverage-imposed constraints, underscoring the importance of balanced conservation policies.</w:t>
      </w:r>
    </w:p>
    <w:p w14:paraId="4971B35C" w14:textId="77777777" w:rsidR="0054107C" w:rsidRPr="001953BB" w:rsidRDefault="0054107C" w:rsidP="00814092">
      <w:pPr>
        <w:numPr>
          <w:ilvl w:val="0"/>
          <w:numId w:val="8"/>
        </w:numPr>
        <w:contextualSpacing/>
        <w:rPr>
          <w:rFonts w:cs="Times New Roman"/>
          <w:kern w:val="2"/>
          <w:lang w:eastAsia="zh-CN"/>
        </w:rPr>
      </w:pPr>
      <w:r w:rsidRPr="001953BB">
        <w:rPr>
          <w:rFonts w:cs="Times New Roman"/>
          <w:b/>
          <w:bCs/>
          <w:kern w:val="2"/>
          <w:lang w:val="zh-CN" w:eastAsia="zh-CN"/>
        </w:rPr>
        <w:t>Placebo Assignments:</w:t>
      </w:r>
      <w:r w:rsidRPr="001953BB">
        <w:rPr>
          <w:rFonts w:cs="Times New Roman"/>
          <w:kern w:val="2"/>
          <w:lang w:eastAsia="zh-CN"/>
        </w:rPr>
        <w:t xml:space="preserve"> </w:t>
      </w:r>
      <w:r w:rsidRPr="001953BB">
        <w:rPr>
          <w:rFonts w:cs="Times New Roman"/>
          <w:kern w:val="2"/>
          <w:lang w:eastAsia="zh-CN"/>
        </w:rPr>
        <w:t>Randomized PAD assignments yielded no significant effects, validating that the observed relationships are not driven by spurious correlations.</w:t>
      </w:r>
    </w:p>
    <w:p w14:paraId="29FAA5FE" w14:textId="141255C4" w:rsidR="0054107C" w:rsidRPr="001953BB" w:rsidRDefault="00961D1F" w:rsidP="001953BB">
      <w:pPr>
        <w:pStyle w:val="Heading4"/>
      </w:pPr>
      <w:bookmarkStart w:id="115" w:name="_Toc187685012"/>
      <w:r w:rsidRPr="001953BB">
        <w:lastRenderedPageBreak/>
        <w:t>1.</w:t>
      </w:r>
      <w:r w:rsidR="0054107C" w:rsidRPr="001953BB">
        <w:t>5.6.4 Implications for Results Interpretation</w:t>
      </w:r>
      <w:bookmarkEnd w:id="115"/>
    </w:p>
    <w:p w14:paraId="0FBEC563" w14:textId="77777777" w:rsidR="0054107C" w:rsidRPr="001953BB" w:rsidRDefault="0054107C" w:rsidP="00814092">
      <w:pPr>
        <w:numPr>
          <w:ilvl w:val="0"/>
          <w:numId w:val="7"/>
        </w:numPr>
        <w:contextualSpacing/>
        <w:rPr>
          <w:rFonts w:cs="Times New Roman"/>
          <w:kern w:val="2"/>
          <w:lang w:eastAsia="zh-CN"/>
        </w:rPr>
      </w:pPr>
      <w:r w:rsidRPr="001953BB">
        <w:rPr>
          <w:rFonts w:cs="Times New Roman"/>
          <w:b/>
          <w:bCs/>
          <w:kern w:val="2"/>
          <w:lang w:val="zh-CN" w:eastAsia="zh-CN"/>
        </w:rPr>
        <w:t>Temporal Adaptation:</w:t>
      </w:r>
      <w:r w:rsidRPr="001953BB">
        <w:rPr>
          <w:rFonts w:cs="Times New Roman"/>
          <w:kern w:val="2"/>
          <w:lang w:eastAsia="zh-CN"/>
        </w:rPr>
        <w:t xml:space="preserve"> </w:t>
      </w:r>
      <w:r w:rsidRPr="001953BB">
        <w:rPr>
          <w:rFonts w:cs="Times New Roman"/>
          <w:kern w:val="2"/>
          <w:lang w:eastAsia="zh-CN"/>
        </w:rPr>
        <w:t>Businesses face initial adjustment costs following PAD implementation but stabilize over time, supporting the non-linear dynamics observed in entries, exits, and relocations.</w:t>
      </w:r>
    </w:p>
    <w:p w14:paraId="24A71EB7" w14:textId="77777777" w:rsidR="0054107C" w:rsidRPr="001953BB" w:rsidRDefault="0054107C" w:rsidP="00814092">
      <w:pPr>
        <w:numPr>
          <w:ilvl w:val="0"/>
          <w:numId w:val="7"/>
        </w:numPr>
        <w:contextualSpacing/>
        <w:rPr>
          <w:rFonts w:cs="Times New Roman"/>
          <w:kern w:val="2"/>
          <w:lang w:eastAsia="zh-CN"/>
        </w:rPr>
      </w:pPr>
      <w:r w:rsidRPr="001953BB">
        <w:rPr>
          <w:rFonts w:cs="Times New Roman"/>
          <w:b/>
          <w:bCs/>
          <w:kern w:val="2"/>
          <w:lang w:val="zh-CN" w:eastAsia="zh-CN"/>
        </w:rPr>
        <w:t>Sectoral Heterogeneity:</w:t>
      </w:r>
      <w:r w:rsidRPr="001953BB">
        <w:rPr>
          <w:rFonts w:cs="Times New Roman"/>
          <w:kern w:val="2"/>
          <w:lang w:eastAsia="zh-CN"/>
        </w:rPr>
        <w:t xml:space="preserve"> </w:t>
      </w:r>
      <w:r w:rsidRPr="001953BB">
        <w:rPr>
          <w:rFonts w:cs="Times New Roman"/>
          <w:kern w:val="2"/>
          <w:lang w:eastAsia="zh-CN"/>
        </w:rPr>
        <w:t>The differential effects across LIS and non-LIS sectors highlight the need for tailored conservation policies that consider sectoral dependencies on land use and adaptation capacities.</w:t>
      </w:r>
    </w:p>
    <w:p w14:paraId="3A520B5A" w14:textId="77777777" w:rsidR="0054107C" w:rsidRPr="001953BB" w:rsidRDefault="0054107C" w:rsidP="00814092">
      <w:pPr>
        <w:numPr>
          <w:ilvl w:val="0"/>
          <w:numId w:val="7"/>
        </w:numPr>
        <w:contextualSpacing/>
        <w:rPr>
          <w:rFonts w:cs="Times New Roman"/>
          <w:kern w:val="2"/>
          <w:lang w:eastAsia="zh-CN"/>
        </w:rPr>
      </w:pPr>
      <w:r w:rsidRPr="001953BB">
        <w:rPr>
          <w:rFonts w:cs="Times New Roman"/>
          <w:b/>
          <w:bCs/>
          <w:kern w:val="2"/>
          <w:lang w:val="zh-CN" w:eastAsia="zh-CN"/>
        </w:rPr>
        <w:t>Policy Design:</w:t>
      </w:r>
      <w:r w:rsidRPr="001953BB">
        <w:rPr>
          <w:rFonts w:cs="Times New Roman"/>
          <w:kern w:val="2"/>
          <w:lang w:eastAsia="zh-CN"/>
        </w:rPr>
        <w:t xml:space="preserve"> </w:t>
      </w:r>
      <w:r w:rsidRPr="001953BB">
        <w:rPr>
          <w:rFonts w:cs="Times New Roman"/>
          <w:kern w:val="2"/>
          <w:lang w:eastAsia="zh-CN"/>
        </w:rPr>
        <w:t>The findings emphasize the importance of threshold-sensitive PAD policies that balance regulatory intensity with economic resilience, ensuring conservation goals are achieved without destabilizing businesses.</w:t>
      </w:r>
    </w:p>
    <w:p w14:paraId="6D39E35D" w14:textId="16144159" w:rsidR="0054107C" w:rsidRPr="001953BB" w:rsidRDefault="00961D1F" w:rsidP="00E4693E">
      <w:pPr>
        <w:pStyle w:val="Heading2"/>
        <w:rPr>
          <w:lang/>
        </w:rPr>
      </w:pPr>
      <w:bookmarkStart w:id="116" w:name="_Toc187685013"/>
      <w:bookmarkStart w:id="117" w:name="_Toc188378996"/>
      <w:r w:rsidRPr="001953BB">
        <w:t>1.</w:t>
      </w:r>
      <w:r w:rsidR="0054107C" w:rsidRPr="001953BB">
        <w:rPr>
          <w:lang/>
        </w:rPr>
        <w:t>6 Discussion</w:t>
      </w:r>
      <w:bookmarkEnd w:id="116"/>
      <w:bookmarkEnd w:id="117"/>
    </w:p>
    <w:p w14:paraId="60D4500F" w14:textId="77777777" w:rsidR="0054107C" w:rsidRPr="001953BB" w:rsidRDefault="0054107C" w:rsidP="00814092">
      <w:pPr>
        <w:rPr>
          <w:rFonts w:eastAsia="Times New Roman" w:cs="Times New Roman"/>
          <w:lang/>
        </w:rPr>
      </w:pPr>
      <w:r w:rsidRPr="001953BB">
        <w:rPr>
          <w:rFonts w:eastAsia="Times New Roman" w:cs="Times New Roman"/>
          <w:lang/>
        </w:rPr>
        <w:t>This section synthesizes the study’s findings, aligning them with the research objectives, hypotheses, and broader theoretical frameworks. It emphasizes the non-linear, differential, and relocation dynamics of PADs on business outcomes across LIS and non-LIS sectors, offering insights into their sectoral implications. The discussion concludes with theoretical contributions, policy recommendations, limitations, and future research opportunities.</w:t>
      </w:r>
    </w:p>
    <w:p w14:paraId="243D7FD9" w14:textId="3D460D46" w:rsidR="0054107C" w:rsidRPr="001953BB" w:rsidRDefault="00961D1F" w:rsidP="00814092">
      <w:pPr>
        <w:pStyle w:val="Heading3"/>
      </w:pPr>
      <w:bookmarkStart w:id="118" w:name="_Toc187685014"/>
      <w:bookmarkStart w:id="119" w:name="_Toc188378997"/>
      <w:r w:rsidRPr="001953BB">
        <w:rPr>
          <w:lang w:val="en-US"/>
        </w:rPr>
        <w:t>1.</w:t>
      </w:r>
      <w:r w:rsidR="0054107C" w:rsidRPr="001953BB">
        <w:t>6.1 Primary Findings and Hypotheses Validation</w:t>
      </w:r>
      <w:bookmarkEnd w:id="118"/>
      <w:bookmarkEnd w:id="119"/>
    </w:p>
    <w:p w14:paraId="665E7262" w14:textId="77777777" w:rsidR="0054107C" w:rsidRPr="001953BB" w:rsidRDefault="0054107C" w:rsidP="00814092">
      <w:pPr>
        <w:rPr>
          <w:rFonts w:eastAsia="Times New Roman" w:cs="Times New Roman"/>
          <w:lang/>
        </w:rPr>
      </w:pPr>
      <w:r w:rsidRPr="001953BB">
        <w:rPr>
          <w:rFonts w:eastAsia="Times New Roman" w:cs="Times New Roman"/>
          <w:lang/>
        </w:rPr>
        <w:t xml:space="preserve">The results validate the study’s hypotheses, revealing nuanced PAD </w:t>
      </w:r>
      <w:r w:rsidRPr="001953BB">
        <w:rPr>
          <w:rFonts w:eastAsia="Times New Roman" w:cs="Times New Roman"/>
        </w:rPr>
        <w:t>effects</w:t>
      </w:r>
      <w:r w:rsidRPr="001953BB">
        <w:rPr>
          <w:rFonts w:eastAsia="Times New Roman" w:cs="Times New Roman"/>
          <w:lang/>
        </w:rPr>
        <w:t xml:space="preserve"> on establishment location outcomes</w:t>
      </w:r>
      <w:r w:rsidRPr="001953BB">
        <w:rPr>
          <w:rFonts w:eastAsia="Times New Roman" w:cs="Times New Roman"/>
        </w:rPr>
        <w:t>, as follows</w:t>
      </w:r>
      <w:r w:rsidRPr="001953BB">
        <w:rPr>
          <w:rFonts w:eastAsia="Times New Roman" w:cs="Times New Roman"/>
          <w:lang/>
        </w:rPr>
        <w:t>:</w:t>
      </w:r>
    </w:p>
    <w:p w14:paraId="50570F8A" w14:textId="77777777" w:rsidR="0054107C" w:rsidRPr="001953BB" w:rsidRDefault="0054107C" w:rsidP="00814092">
      <w:pPr>
        <w:rPr>
          <w:rFonts w:eastAsia="Times New Roman" w:cs="Times New Roman"/>
          <w:lang/>
        </w:rPr>
      </w:pPr>
      <w:r w:rsidRPr="001953BB">
        <w:rPr>
          <w:rFonts w:eastAsia="Times New Roman" w:cs="Times New Roman"/>
          <w:b/>
          <w:bCs/>
          <w:lang/>
        </w:rPr>
        <w:t>Non-Linear Effects (Hypothesis 1):</w:t>
      </w:r>
      <w:r w:rsidRPr="001953BB">
        <w:rPr>
          <w:rFonts w:eastAsia="Times New Roman" w:cs="Times New Roman"/>
          <w:lang/>
        </w:rPr>
        <w:t xml:space="preserve"> PAD effects are highly non-linear, with </w:t>
      </w:r>
      <w:r w:rsidRPr="001953BB">
        <w:rPr>
          <w:rFonts w:eastAsia="Times New Roman" w:cs="Times New Roman"/>
        </w:rPr>
        <w:t>effects</w:t>
      </w:r>
      <w:r w:rsidRPr="001953BB">
        <w:rPr>
          <w:rFonts w:eastAsia="Times New Roman" w:cs="Times New Roman"/>
          <w:lang/>
        </w:rPr>
        <w:t xml:space="preserve"> dependent on existing PAD coverage levels. Broad PADs impose moderate pressures, primarily influencing exits, while strict PADs stabilize operations over time by reducing exits and inter-state relocations. For example, in Agriculture, broad PADs enhance entries through ecological </w:t>
      </w:r>
      <w:r w:rsidRPr="001953BB">
        <w:rPr>
          <w:rFonts w:eastAsia="Times New Roman" w:cs="Times New Roman"/>
          <w:lang/>
        </w:rPr>
        <w:lastRenderedPageBreak/>
        <w:t>benefits, while strict PADs reduce closures, stabilizing long-term operations. In Manufacturing, non-linear effects reveal adaptability under broad PADs and constraints under strict PADs.</w:t>
      </w:r>
    </w:p>
    <w:p w14:paraId="36FBF73A" w14:textId="77777777" w:rsidR="0054107C" w:rsidRPr="001953BB" w:rsidRDefault="0054107C" w:rsidP="00814092">
      <w:pPr>
        <w:rPr>
          <w:rFonts w:eastAsia="Times New Roman" w:cs="Times New Roman"/>
          <w:lang/>
        </w:rPr>
      </w:pPr>
      <w:r w:rsidRPr="001953BB">
        <w:rPr>
          <w:rFonts w:eastAsia="Times New Roman" w:cs="Times New Roman"/>
          <w:b/>
          <w:bCs/>
          <w:lang/>
        </w:rPr>
        <w:t>Differential Effects (Hypothesis 2):</w:t>
      </w:r>
      <w:r w:rsidRPr="001953BB">
        <w:rPr>
          <w:rFonts w:eastAsia="Times New Roman" w:cs="Times New Roman"/>
          <w:lang/>
        </w:rPr>
        <w:t xml:space="preserve"> The intensity of PAD regulations shapes their differential </w:t>
      </w:r>
      <w:r w:rsidRPr="001953BB">
        <w:rPr>
          <w:rFonts w:eastAsia="Times New Roman" w:cs="Times New Roman"/>
        </w:rPr>
        <w:t>effects</w:t>
      </w:r>
      <w:r w:rsidRPr="001953BB">
        <w:rPr>
          <w:rFonts w:eastAsia="Times New Roman" w:cs="Times New Roman"/>
          <w:lang/>
        </w:rPr>
        <w:t>. Broad PADs exhibit flexibility, encouraging entries and relocations while imposing moderate exit pressures. Strict PADs exert stronger constraints, deterring entries and relocations but fostering stability by reducing exits. For Mining, strict PADs stabilize operations but deter new entries due to compliance costs.</w:t>
      </w:r>
    </w:p>
    <w:p w14:paraId="7B483A98" w14:textId="77777777" w:rsidR="0054107C" w:rsidRPr="001953BB" w:rsidRDefault="0054107C" w:rsidP="00814092">
      <w:pPr>
        <w:rPr>
          <w:rFonts w:eastAsia="Times New Roman" w:cs="Times New Roman"/>
          <w:lang/>
        </w:rPr>
      </w:pPr>
      <w:r w:rsidRPr="001953BB">
        <w:rPr>
          <w:rFonts w:eastAsia="Times New Roman" w:cs="Times New Roman"/>
          <w:b/>
          <w:bCs/>
          <w:lang/>
        </w:rPr>
        <w:t>Relocation Dynamics (Hypothesis 3):</w:t>
      </w:r>
      <w:r w:rsidRPr="001953BB">
        <w:rPr>
          <w:rFonts w:eastAsia="Times New Roman" w:cs="Times New Roman"/>
          <w:lang/>
        </w:rPr>
        <w:t xml:space="preserve"> PADs influence relocation patterns, with broad PADs supporting intra-state relocations and strict PADs deterring inter-state moves. This reflects localized adjustments under broad PADs and cost-driven retention under strict PADs. For Manufacturing, intra-state relocations dominate under both PAD definitions, while inter-state relocations remain less responsive.</w:t>
      </w:r>
    </w:p>
    <w:p w14:paraId="1CFCC0D9" w14:textId="5FE3EA2E" w:rsidR="0054107C" w:rsidRPr="001953BB" w:rsidRDefault="00961D1F" w:rsidP="00814092">
      <w:pPr>
        <w:pStyle w:val="Heading3"/>
      </w:pPr>
      <w:bookmarkStart w:id="120" w:name="_Toc187685015"/>
      <w:bookmarkStart w:id="121" w:name="_Toc188378998"/>
      <w:r w:rsidRPr="001953BB">
        <w:rPr>
          <w:lang w:val="en-US"/>
        </w:rPr>
        <w:t>1.</w:t>
      </w:r>
      <w:r w:rsidR="0054107C" w:rsidRPr="001953BB">
        <w:t>6.2 Sectoral Insights</w:t>
      </w:r>
      <w:bookmarkEnd w:id="120"/>
      <w:bookmarkEnd w:id="121"/>
    </w:p>
    <w:p w14:paraId="277F0067" w14:textId="77777777" w:rsidR="0054107C" w:rsidRPr="001953BB" w:rsidRDefault="0054107C" w:rsidP="00814092">
      <w:pPr>
        <w:rPr>
          <w:rFonts w:eastAsia="Times New Roman" w:cs="Times New Roman"/>
        </w:rPr>
      </w:pPr>
      <w:r w:rsidRPr="001953BB">
        <w:rPr>
          <w:rFonts w:eastAsia="Times New Roman" w:cs="Times New Roman"/>
          <w:lang/>
        </w:rPr>
        <w:t>Sectoral heterogeneity highlights the diverse mechanisms through which PADs affect LIS and non-LIS industries</w:t>
      </w:r>
      <w:r w:rsidRPr="001953BB">
        <w:rPr>
          <w:rFonts w:eastAsia="Times New Roman" w:cs="Times New Roman"/>
        </w:rPr>
        <w:t xml:space="preserve">. </w:t>
      </w:r>
    </w:p>
    <w:p w14:paraId="4E3F3267" w14:textId="77777777" w:rsidR="0054107C" w:rsidRPr="001953BB" w:rsidRDefault="0054107C" w:rsidP="00814092">
      <w:pPr>
        <w:rPr>
          <w:rFonts w:eastAsia="Times New Roman" w:cs="Times New Roman"/>
          <w:lang/>
        </w:rPr>
      </w:pPr>
      <w:r w:rsidRPr="001953BB">
        <w:rPr>
          <w:rFonts w:eastAsia="Times New Roman" w:cs="Times New Roman"/>
        </w:rPr>
        <w:t xml:space="preserve">For the </w:t>
      </w:r>
      <w:r w:rsidRPr="001953BB">
        <w:rPr>
          <w:rFonts w:eastAsia="Times New Roman" w:cs="Times New Roman"/>
          <w:lang/>
        </w:rPr>
        <w:t xml:space="preserve">Agriculture </w:t>
      </w:r>
      <w:r w:rsidRPr="001953BB">
        <w:rPr>
          <w:rFonts w:eastAsia="Times New Roman" w:cs="Times New Roman"/>
        </w:rPr>
        <w:t>sector,</w:t>
      </w:r>
      <w:r w:rsidRPr="001953BB">
        <w:rPr>
          <w:rFonts w:eastAsia="Times New Roman" w:cs="Times New Roman"/>
          <w:b/>
          <w:bCs/>
        </w:rPr>
        <w:t xml:space="preserve"> </w:t>
      </w:r>
      <w:r w:rsidRPr="001953BB">
        <w:rPr>
          <w:rFonts w:eastAsia="Times New Roman" w:cs="Times New Roman"/>
          <w:lang/>
        </w:rPr>
        <w:t>Broad PADs enhance entries, leveraging ecological amenities, while strict PADs stabilize operations by reducing exits, reflecting adaptability to conservation-driven changes.</w:t>
      </w:r>
      <w:r w:rsidRPr="001953BB">
        <w:rPr>
          <w:rFonts w:eastAsia="Times New Roman" w:cs="Times New Roman"/>
        </w:rPr>
        <w:t xml:space="preserve"> For the </w:t>
      </w:r>
      <w:r w:rsidRPr="001953BB">
        <w:rPr>
          <w:rFonts w:eastAsia="Times New Roman" w:cs="Times New Roman"/>
          <w:lang/>
        </w:rPr>
        <w:t xml:space="preserve">Mining </w:t>
      </w:r>
      <w:r w:rsidRPr="001953BB">
        <w:rPr>
          <w:rFonts w:eastAsia="Times New Roman" w:cs="Times New Roman"/>
        </w:rPr>
        <w:t>sector,</w:t>
      </w:r>
      <w:r w:rsidRPr="001953BB">
        <w:rPr>
          <w:rFonts w:eastAsia="Times New Roman" w:cs="Times New Roman"/>
          <w:b/>
          <w:bCs/>
        </w:rPr>
        <w:t xml:space="preserve"> </w:t>
      </w:r>
      <w:r w:rsidRPr="001953BB">
        <w:rPr>
          <w:rFonts w:eastAsia="Times New Roman" w:cs="Times New Roman"/>
          <w:lang/>
        </w:rPr>
        <w:t>Strict PADs reduce exits and relocations, stabilizing operations despite deterring new entries, emphasizing trade-offs between regulatory intensity and long-term resilience.</w:t>
      </w:r>
      <w:r w:rsidRPr="001953BB">
        <w:rPr>
          <w:rFonts w:eastAsia="Times New Roman" w:cs="Times New Roman"/>
        </w:rPr>
        <w:t xml:space="preserve"> For the </w:t>
      </w:r>
      <w:r w:rsidRPr="001953BB">
        <w:rPr>
          <w:rFonts w:eastAsia="Times New Roman" w:cs="Times New Roman"/>
          <w:lang/>
        </w:rPr>
        <w:t>Utilities</w:t>
      </w:r>
      <w:r w:rsidRPr="001953BB">
        <w:rPr>
          <w:rFonts w:eastAsia="Times New Roman" w:cs="Times New Roman"/>
          <w:b/>
          <w:bCs/>
          <w:lang/>
        </w:rPr>
        <w:t xml:space="preserve"> </w:t>
      </w:r>
      <w:r w:rsidRPr="001953BB">
        <w:rPr>
          <w:rFonts w:eastAsia="Times New Roman" w:cs="Times New Roman"/>
        </w:rPr>
        <w:t>sector,</w:t>
      </w:r>
      <w:r w:rsidRPr="001953BB">
        <w:rPr>
          <w:rFonts w:eastAsia="Times New Roman" w:cs="Times New Roman"/>
          <w:b/>
          <w:bCs/>
        </w:rPr>
        <w:t xml:space="preserve"> </w:t>
      </w:r>
      <w:r w:rsidRPr="001953BB">
        <w:rPr>
          <w:rFonts w:eastAsia="Times New Roman" w:cs="Times New Roman"/>
          <w:lang/>
        </w:rPr>
        <w:t>Broad PADs deter entries and relocations but reduce total exits, fostering localized adaptation. Strict PADs add minimal effects, indicating that broad policies sufficiently shape sectoral dynamics.</w:t>
      </w:r>
      <w:r w:rsidRPr="001953BB">
        <w:rPr>
          <w:rFonts w:eastAsia="Times New Roman" w:cs="Times New Roman"/>
        </w:rPr>
        <w:t xml:space="preserve"> For the </w:t>
      </w:r>
      <w:r w:rsidRPr="001953BB">
        <w:rPr>
          <w:rFonts w:eastAsia="Times New Roman" w:cs="Times New Roman"/>
          <w:lang/>
        </w:rPr>
        <w:t>Construction</w:t>
      </w:r>
      <w:r w:rsidRPr="001953BB">
        <w:rPr>
          <w:rFonts w:eastAsia="Times New Roman" w:cs="Times New Roman"/>
          <w:b/>
          <w:bCs/>
          <w:lang/>
        </w:rPr>
        <w:t xml:space="preserve"> </w:t>
      </w:r>
      <w:r w:rsidRPr="001953BB">
        <w:rPr>
          <w:rFonts w:eastAsia="Times New Roman" w:cs="Times New Roman"/>
        </w:rPr>
        <w:t>sector,</w:t>
      </w:r>
      <w:r w:rsidRPr="001953BB">
        <w:rPr>
          <w:rFonts w:eastAsia="Times New Roman" w:cs="Times New Roman"/>
          <w:b/>
          <w:bCs/>
        </w:rPr>
        <w:t xml:space="preserve"> </w:t>
      </w:r>
      <w:r w:rsidRPr="001953BB">
        <w:rPr>
          <w:rFonts w:eastAsia="Times New Roman" w:cs="Times New Roman"/>
        </w:rPr>
        <w:t>m</w:t>
      </w:r>
      <w:r w:rsidRPr="001953BB">
        <w:rPr>
          <w:rFonts w:eastAsia="Times New Roman" w:cs="Times New Roman"/>
          <w:lang/>
        </w:rPr>
        <w:t>ixed effects emerge under broad PADs, with closures increasing but total exits declining. Strict PADs intensify intra-</w:t>
      </w:r>
      <w:r w:rsidRPr="001953BB">
        <w:rPr>
          <w:rFonts w:eastAsia="Times New Roman" w:cs="Times New Roman"/>
          <w:lang/>
        </w:rPr>
        <w:lastRenderedPageBreak/>
        <w:t>state mobility while stabilizing overall exits, demonstrating resilience under heightened regulatory pressures.</w:t>
      </w:r>
    </w:p>
    <w:p w14:paraId="697D8217" w14:textId="77777777" w:rsidR="0054107C" w:rsidRPr="001953BB" w:rsidRDefault="0054107C" w:rsidP="00814092">
      <w:pPr>
        <w:tabs>
          <w:tab w:val="num" w:pos="1440"/>
        </w:tabs>
        <w:rPr>
          <w:rFonts w:eastAsia="Times New Roman" w:cs="Times New Roman"/>
          <w:lang/>
        </w:rPr>
      </w:pPr>
      <w:r w:rsidRPr="001953BB">
        <w:rPr>
          <w:rFonts w:eastAsia="Times New Roman" w:cs="Times New Roman"/>
        </w:rPr>
        <w:t>For the n</w:t>
      </w:r>
      <w:r w:rsidRPr="001953BB">
        <w:rPr>
          <w:rFonts w:eastAsia="Times New Roman" w:cs="Times New Roman"/>
          <w:lang/>
        </w:rPr>
        <w:t xml:space="preserve">on-LIS </w:t>
      </w:r>
      <w:r w:rsidRPr="001953BB">
        <w:rPr>
          <w:rFonts w:eastAsia="Times New Roman" w:cs="Times New Roman"/>
        </w:rPr>
        <w:t xml:space="preserve">representative, i.e., the </w:t>
      </w:r>
      <w:r w:rsidRPr="001953BB">
        <w:rPr>
          <w:rFonts w:eastAsia="Times New Roman" w:cs="Times New Roman"/>
          <w:lang/>
        </w:rPr>
        <w:t xml:space="preserve">Manufacturing </w:t>
      </w:r>
      <w:r w:rsidRPr="001953BB">
        <w:rPr>
          <w:rFonts w:eastAsia="Times New Roman" w:cs="Times New Roman"/>
        </w:rPr>
        <w:t xml:space="preserve">sector, </w:t>
      </w:r>
      <w:r w:rsidRPr="001953BB">
        <w:rPr>
          <w:rFonts w:eastAsia="Times New Roman" w:cs="Times New Roman"/>
          <w:lang/>
        </w:rPr>
        <w:t>Broad PADs promote entries and relocations, reflecting moderate regulatory flexibility, while strict PADs suppress entries and amplify outward relocations. This dual role highlights the constraints and stabilizing effects of conservation policies in non-LIS industries.</w:t>
      </w:r>
    </w:p>
    <w:p w14:paraId="0EF4A30C" w14:textId="07B0D507" w:rsidR="0054107C" w:rsidRPr="001953BB" w:rsidRDefault="00961D1F" w:rsidP="00814092">
      <w:pPr>
        <w:pStyle w:val="Heading3"/>
      </w:pPr>
      <w:bookmarkStart w:id="122" w:name="_Toc187685016"/>
      <w:bookmarkStart w:id="123" w:name="_Toc188378999"/>
      <w:r w:rsidRPr="001953BB">
        <w:rPr>
          <w:lang w:val="en-US"/>
        </w:rPr>
        <w:t>1.</w:t>
      </w:r>
      <w:r w:rsidR="0054107C" w:rsidRPr="001953BB">
        <w:t>6.3 Theoretical Contributions</w:t>
      </w:r>
      <w:bookmarkEnd w:id="122"/>
      <w:bookmarkEnd w:id="123"/>
    </w:p>
    <w:p w14:paraId="5A1FAC0B" w14:textId="77777777" w:rsidR="0054107C" w:rsidRPr="001953BB" w:rsidRDefault="0054107C" w:rsidP="00814092">
      <w:pPr>
        <w:tabs>
          <w:tab w:val="num" w:pos="720"/>
        </w:tabs>
        <w:rPr>
          <w:rFonts w:eastAsia="Times New Roman" w:cs="Times New Roman"/>
          <w:lang/>
        </w:rPr>
      </w:pPr>
      <w:r w:rsidRPr="001953BB">
        <w:rPr>
          <w:rFonts w:eastAsia="Times New Roman" w:cs="Times New Roman"/>
          <w:lang/>
        </w:rPr>
        <w:t>The findings offer significant contributions to the understanding of conservation policies and industrial dynamics across multiple theoretical domains. The threshold-sensitive effects of PADs reveal how moderate conservation measures can balance ecological and economic objectives, promoting adaptability and economic flexibility, while stricter measures provide long-term stability by reducing exits and inter-state relocations. These findings challenge conventional assumptions about regulatory flight, particularly in LIS sectors like Mining, where strict PADs encourage local retention and adaptive behavior rather than widespread mobility.</w:t>
      </w:r>
    </w:p>
    <w:p w14:paraId="0C18140A" w14:textId="77777777" w:rsidR="0054107C" w:rsidRPr="001953BB" w:rsidRDefault="0054107C" w:rsidP="00814092">
      <w:pPr>
        <w:tabs>
          <w:tab w:val="num" w:pos="720"/>
        </w:tabs>
        <w:rPr>
          <w:rFonts w:eastAsia="Times New Roman" w:cs="Times New Roman"/>
          <w:lang/>
        </w:rPr>
      </w:pPr>
      <w:r w:rsidRPr="001953BB">
        <w:rPr>
          <w:rFonts w:eastAsia="Times New Roman" w:cs="Times New Roman"/>
          <w:lang/>
        </w:rPr>
        <w:t>PADs simultaneously act as constraints and stabilizers, with broad PADs fostering innovation and economic adjustments, and strict PADs enhancing resilience through predictable operating environments. These dynamics align with the Porter Hypothesis, demonstrating its applicability across LIS and non-LIS, and highlighting how conservation policies can drive both short-term economic adjustments and long-term stability.</w:t>
      </w:r>
    </w:p>
    <w:p w14:paraId="12C588A5" w14:textId="1A2FF9EA" w:rsidR="0054107C" w:rsidRPr="001953BB" w:rsidRDefault="00961D1F" w:rsidP="00814092">
      <w:pPr>
        <w:pStyle w:val="Heading3"/>
      </w:pPr>
      <w:bookmarkStart w:id="124" w:name="_Toc187685017"/>
      <w:bookmarkStart w:id="125" w:name="_Toc188379000"/>
      <w:r w:rsidRPr="001953BB">
        <w:rPr>
          <w:lang w:val="en-US"/>
        </w:rPr>
        <w:t>1.</w:t>
      </w:r>
      <w:r w:rsidR="0054107C" w:rsidRPr="001953BB">
        <w:t>6.4 Policy Implications</w:t>
      </w:r>
      <w:bookmarkEnd w:id="124"/>
      <w:bookmarkEnd w:id="125"/>
    </w:p>
    <w:p w14:paraId="3F17E095" w14:textId="77777777" w:rsidR="0054107C" w:rsidRPr="001953BB" w:rsidRDefault="0054107C" w:rsidP="00814092">
      <w:pPr>
        <w:tabs>
          <w:tab w:val="num" w:pos="720"/>
          <w:tab w:val="num" w:pos="1440"/>
        </w:tabs>
        <w:rPr>
          <w:rFonts w:eastAsia="Times New Roman" w:cs="Times New Roman"/>
        </w:rPr>
      </w:pPr>
      <w:r w:rsidRPr="001953BB">
        <w:rPr>
          <w:rFonts w:eastAsia="Times New Roman" w:cs="Times New Roman"/>
          <w:lang/>
        </w:rPr>
        <w:t>The study provides actionable recommendations for policymakers designing conservation strategies</w:t>
      </w:r>
      <w:r w:rsidRPr="001953BB">
        <w:rPr>
          <w:rFonts w:eastAsia="Times New Roman" w:cs="Times New Roman"/>
        </w:rPr>
        <w:t xml:space="preserve">. </w:t>
      </w:r>
      <w:r w:rsidRPr="001953BB">
        <w:rPr>
          <w:rFonts w:eastAsia="Times New Roman" w:cs="Times New Roman"/>
          <w:lang/>
        </w:rPr>
        <w:t xml:space="preserve">Policymakers should optimize PAD coverage to balance ecological goals with </w:t>
      </w:r>
      <w:r w:rsidRPr="001953BB">
        <w:rPr>
          <w:rFonts w:eastAsia="Times New Roman" w:cs="Times New Roman"/>
          <w:lang/>
        </w:rPr>
        <w:lastRenderedPageBreak/>
        <w:t>economic adaptability. Moderate PADs encourage entries and relocations, while strict PADs stabilize operations at higher thresholds.</w:t>
      </w:r>
      <w:r w:rsidRPr="001953BB">
        <w:rPr>
          <w:rFonts w:eastAsia="Times New Roman" w:cs="Times New Roman"/>
        </w:rPr>
        <w:t xml:space="preserve"> </w:t>
      </w:r>
    </w:p>
    <w:p w14:paraId="120F8847" w14:textId="77777777" w:rsidR="0054107C" w:rsidRPr="001953BB" w:rsidRDefault="0054107C" w:rsidP="00814092">
      <w:pPr>
        <w:tabs>
          <w:tab w:val="num" w:pos="720"/>
          <w:tab w:val="num" w:pos="1440"/>
        </w:tabs>
        <w:rPr>
          <w:rFonts w:eastAsia="Times New Roman" w:cs="Times New Roman"/>
          <w:lang/>
        </w:rPr>
      </w:pPr>
      <w:r w:rsidRPr="001953BB">
        <w:rPr>
          <w:rFonts w:eastAsia="Times New Roman" w:cs="Times New Roman"/>
          <w:lang/>
        </w:rPr>
        <w:t>Tailored incentives are necessary for Agriculture and Mining to enhance ecological benefits and mitigate compliance costs. Utilities and Construction require policies addressing mobility dynamics and operational constraints. Manufacturing policies should focus on reducing entry barriers and managing relocation pressures, particularly under strict PAD coverage. By fostering predictable regulatory environments, strict PADs support local retention and reduce disruptions, aligning conservation objectives with regional economic stability.</w:t>
      </w:r>
    </w:p>
    <w:p w14:paraId="78EBBE97" w14:textId="20209AC5" w:rsidR="0054107C" w:rsidRPr="001953BB" w:rsidRDefault="00961D1F" w:rsidP="00814092">
      <w:pPr>
        <w:pStyle w:val="Heading3"/>
      </w:pPr>
      <w:bookmarkStart w:id="126" w:name="_Toc187685018"/>
      <w:bookmarkStart w:id="127" w:name="_Toc188379001"/>
      <w:r w:rsidRPr="001953BB">
        <w:rPr>
          <w:lang w:val="en-US"/>
        </w:rPr>
        <w:t>1.</w:t>
      </w:r>
      <w:r w:rsidR="0054107C" w:rsidRPr="001953BB">
        <w:t>6.5 Summary</w:t>
      </w:r>
      <w:bookmarkEnd w:id="126"/>
      <w:bookmarkEnd w:id="127"/>
    </w:p>
    <w:p w14:paraId="06FBACE8" w14:textId="77777777" w:rsidR="0054107C" w:rsidRPr="001953BB" w:rsidRDefault="0054107C" w:rsidP="00814092">
      <w:pPr>
        <w:rPr>
          <w:rFonts w:eastAsia="Times New Roman" w:cs="Times New Roman"/>
          <w:lang/>
        </w:rPr>
      </w:pPr>
      <w:r w:rsidRPr="001953BB">
        <w:rPr>
          <w:rFonts w:eastAsia="Times New Roman" w:cs="Times New Roman"/>
          <w:lang/>
        </w:rPr>
        <w:t xml:space="preserve">This discussion highlights the non-linear, differential, and relocation effects of PADs, underscoring their varied </w:t>
      </w:r>
      <w:r w:rsidRPr="001953BB">
        <w:rPr>
          <w:rFonts w:cs="Times New Roman"/>
        </w:rPr>
        <w:t>effects</w:t>
      </w:r>
      <w:r w:rsidRPr="001953BB">
        <w:rPr>
          <w:rFonts w:cs="Times New Roman"/>
          <w:lang w:val="zh-CN"/>
        </w:rPr>
        <w:t xml:space="preserve"> </w:t>
      </w:r>
      <w:r w:rsidRPr="001953BB">
        <w:rPr>
          <w:rFonts w:eastAsia="Times New Roman" w:cs="Times New Roman"/>
          <w:lang/>
        </w:rPr>
        <w:t>across LIS and non-LIS sectors. By validating key hypotheses, the study advances theoretical and policy debates, offering actionable insights for balancing conservation goals with economic resilience. Policymakers can leverage these findings to design nuanced strategies that align environmental objectives with sustainable growth across diverse industries.</w:t>
      </w:r>
    </w:p>
    <w:p w14:paraId="2468EDFF" w14:textId="5A94B820" w:rsidR="0054107C" w:rsidRPr="001953BB" w:rsidRDefault="00961D1F" w:rsidP="00E4693E">
      <w:pPr>
        <w:pStyle w:val="Heading2"/>
        <w:rPr>
          <w:lang w:val="zh-CN"/>
        </w:rPr>
      </w:pPr>
      <w:bookmarkStart w:id="128" w:name="_Toc187685019"/>
      <w:bookmarkStart w:id="129" w:name="_Toc188379002"/>
      <w:r w:rsidRPr="001953BB">
        <w:t>1.</w:t>
      </w:r>
      <w:r w:rsidR="0054107C" w:rsidRPr="001953BB">
        <w:rPr>
          <w:lang w:val="zh-CN"/>
        </w:rPr>
        <w:t>7</w:t>
      </w:r>
      <w:r w:rsidR="0054107C" w:rsidRPr="001953BB">
        <w:t xml:space="preserve"> </w:t>
      </w:r>
      <w:r w:rsidR="0054107C" w:rsidRPr="001953BB">
        <w:rPr>
          <w:lang w:val="zh-CN"/>
        </w:rPr>
        <w:t>Conclusion</w:t>
      </w:r>
      <w:bookmarkEnd w:id="128"/>
      <w:bookmarkEnd w:id="129"/>
      <w:r w:rsidR="0054107C" w:rsidRPr="001953BB">
        <w:rPr>
          <w:lang w:val="zh-CN"/>
        </w:rPr>
        <w:t xml:space="preserve"> </w:t>
      </w:r>
    </w:p>
    <w:p w14:paraId="687F1099" w14:textId="77777777" w:rsidR="0054107C" w:rsidRPr="001953BB" w:rsidRDefault="0054107C" w:rsidP="00814092">
      <w:pPr>
        <w:rPr>
          <w:rFonts w:cs="Times New Roman"/>
          <w:lang w:val="zh-CN"/>
        </w:rPr>
      </w:pPr>
      <w:r w:rsidRPr="001953BB">
        <w:rPr>
          <w:rFonts w:cs="Times New Roman"/>
          <w:lang w:val="zh-CN"/>
        </w:rPr>
        <w:t xml:space="preserve">This dissertation chapter investigates how Protected Area Designations (PADs), under varying levels of environmental stringency—broad (GAP 1–4) and strict (GAP 1–2)—influence business location dynamics. The analysis spans (i) the aggregate LIS, comprising establishments from NAICS sectors 11 (Agriculture), 21 (Mining), 22 (Utilities), and 23 (Construction); (ii) each LIS sector individually; and (iii) NAICS 31–33 (Manufacturing), which serves as a representative non-land-intensive sector (non-LIS). By utilizing a proprietary historical business dataset from Data Axle, this study evaluates establishment births, deaths, and inter- and intra-state relocations </w:t>
      </w:r>
      <w:r w:rsidRPr="001953BB">
        <w:rPr>
          <w:rFonts w:cs="Times New Roman"/>
          <w:lang w:val="zh-CN"/>
        </w:rPr>
        <w:lastRenderedPageBreak/>
        <w:t>at the county level from 1998 to 2018 across the conterminous United States. These findings offer insights into the complex interactions between conservation policies and economic outcomes, contributing to debates in Conservation Economics, Land Use Economics, Environmental Federalism, Capital Mobility, and Industrial Location.</w:t>
      </w:r>
    </w:p>
    <w:p w14:paraId="6DACB850" w14:textId="77777777" w:rsidR="0054107C" w:rsidRPr="001953BB" w:rsidRDefault="0054107C" w:rsidP="00814092">
      <w:pPr>
        <w:rPr>
          <w:rFonts w:cs="Times New Roman"/>
          <w:lang w:val="zh-CN"/>
        </w:rPr>
      </w:pPr>
      <w:r w:rsidRPr="001953BB">
        <w:rPr>
          <w:rFonts w:cs="Times New Roman"/>
          <w:lang w:val="zh-CN"/>
        </w:rPr>
        <w:t>This study employs Poisson Pseudo-Maximum Likelihood with high-dimensional fixed effects (PPMLHDFE), a robust econometric framework well-suited for analyzing count data in the presence of heteroskedasticity. County fixed effects, state-by-year fixed effects, and year fixed effects control for unobservable heterogeneity across regions, state-specific shocks, and time trends, respectively. Standard errors are clustered at the county level to account for spatial correlation. To account for dynamic PAD effects, counterfactual analyses with leads and lags of PAD coverage were included, ensuring the robustness of the findings.</w:t>
      </w:r>
    </w:p>
    <w:p w14:paraId="1627C323" w14:textId="77777777" w:rsidR="0054107C" w:rsidRPr="001953BB" w:rsidRDefault="0054107C" w:rsidP="00814092">
      <w:pPr>
        <w:rPr>
          <w:rFonts w:cs="Times New Roman"/>
          <w:lang w:val="zh-CN"/>
        </w:rPr>
      </w:pPr>
      <w:r w:rsidRPr="001953BB">
        <w:rPr>
          <w:rFonts w:cs="Times New Roman"/>
          <w:lang w:val="zh-CN"/>
        </w:rPr>
        <w:t>The joint significance test of linear and quadratic PAD terms establishes the presence of non-linear relationships between PAD coverage and business location outcomes. Importantly, these non-linear marginal effects are contingent on the level of existing PAD coverage in a county. Significant non-linear effects were evaluated at the mean PAD levels for both broad (14.3%) and strict (5.33%) PAD coverage, offering practical and interpretable insights.</w:t>
      </w:r>
    </w:p>
    <w:p w14:paraId="0E75C2C0" w14:textId="77777777" w:rsidR="0054107C" w:rsidRPr="001953BB" w:rsidRDefault="0054107C" w:rsidP="00814092">
      <w:pPr>
        <w:rPr>
          <w:rFonts w:cs="Times New Roman"/>
          <w:lang w:val="zh-CN"/>
        </w:rPr>
      </w:pPr>
      <w:r w:rsidRPr="001953BB">
        <w:rPr>
          <w:rFonts w:cs="Times New Roman"/>
          <w:lang w:val="zh-CN"/>
        </w:rPr>
        <w:t xml:space="preserve">The primary objective of this research was to assess how PADs influence the aggregate LIS. The findings reveal significant non-linear effects, underscoring that the </w:t>
      </w:r>
      <w:r w:rsidRPr="001953BB">
        <w:rPr>
          <w:rFonts w:cs="Times New Roman"/>
        </w:rPr>
        <w:t>effects</w:t>
      </w:r>
      <w:r w:rsidRPr="001953BB">
        <w:rPr>
          <w:rFonts w:cs="Times New Roman"/>
          <w:lang w:val="zh-CN"/>
        </w:rPr>
        <w:t xml:space="preserve"> of PADs vary with existing coverage levels. Broad PADs exert moderate pressures on LIS by increasing exits, with limited influence on entries. In contrast, strict PADs reduce exits and inter-state relocations, fostering long-term economic stability. These results validate Hypothesis 1 (Non-Linear Effect Hypothesis) by confirming that PAD effects are threshold-sensitive. Furthermore, Hypothesis 2 (Differential Effect Hypothesis) is supported by the stronger regulatory </w:t>
      </w:r>
      <w:r w:rsidRPr="001953BB">
        <w:rPr>
          <w:rFonts w:cs="Times New Roman"/>
        </w:rPr>
        <w:t>effects</w:t>
      </w:r>
      <w:r w:rsidRPr="001953BB">
        <w:rPr>
          <w:rFonts w:cs="Times New Roman"/>
          <w:lang w:val="zh-CN"/>
        </w:rPr>
        <w:t xml:space="preserve"> of strict PADs </w:t>
      </w:r>
      <w:r w:rsidRPr="001953BB">
        <w:rPr>
          <w:rFonts w:cs="Times New Roman"/>
          <w:lang w:val="zh-CN"/>
        </w:rPr>
        <w:lastRenderedPageBreak/>
        <w:t>compared to broad PADs. Relocation dynamics, particularly the decline in inter-state relocations under strict PADs, partially confirm Hypothesis 3 (Relocation Cost Hypothesis), reflecting the role of regulatory familiarity and cost considerations.</w:t>
      </w:r>
    </w:p>
    <w:p w14:paraId="56BCF998" w14:textId="77777777" w:rsidR="0054107C" w:rsidRPr="001953BB" w:rsidRDefault="0054107C" w:rsidP="00814092">
      <w:pPr>
        <w:rPr>
          <w:rFonts w:cs="Times New Roman"/>
          <w:lang w:val="zh-CN"/>
        </w:rPr>
      </w:pPr>
      <w:r w:rsidRPr="001953BB">
        <w:rPr>
          <w:rFonts w:cs="Times New Roman"/>
          <w:lang w:val="zh-CN"/>
        </w:rPr>
        <w:t xml:space="preserve">Sector-specific analyses provide deeper insights into the heterogeneous </w:t>
      </w:r>
      <w:r w:rsidRPr="001953BB">
        <w:rPr>
          <w:rFonts w:cs="Times New Roman"/>
        </w:rPr>
        <w:t>effects</w:t>
      </w:r>
      <w:r w:rsidRPr="001953BB">
        <w:rPr>
          <w:rFonts w:cs="Times New Roman"/>
          <w:lang w:val="zh-CN"/>
        </w:rPr>
        <w:t xml:space="preserve"> of PADs. Within LIS, Agriculture benefits from both broad and strict PADs, leveraging ecological services to enhance entries and stabilize exits. Mining and Construction demonstrate resilience under strict PADs, with reduced relocations and exits. Utilities face challenges under broad PADs due to operational constraints that deter entries and relocations but stabilize total exits. In the non-LIS Manufacturing sector, broad PADs foster growth and stabilization by promoting entries and relocations, while strict PADs constrain entries and amplify outward relocations. These results underscore the adaptability of some sectors to conservation policies and the constraints faced by others.</w:t>
      </w:r>
    </w:p>
    <w:p w14:paraId="2AC01EC0" w14:textId="77777777" w:rsidR="0054107C" w:rsidRPr="001953BB" w:rsidRDefault="0054107C" w:rsidP="00814092">
      <w:pPr>
        <w:rPr>
          <w:rFonts w:cs="Times New Roman"/>
          <w:lang w:val="zh-CN"/>
        </w:rPr>
      </w:pPr>
      <w:r w:rsidRPr="001953BB">
        <w:rPr>
          <w:rFonts w:cs="Times New Roman"/>
          <w:lang w:val="zh-CN"/>
        </w:rPr>
        <w:t>The findings highlight important considerations for policymakers. First, the non-linear effects of PADs suggest that conservation policies should balance ecological goals with economic adaptability by targeting moderate coverage levels. Broad PADs encourage economic flexibility, while strict PADs stabilize operations at higher thresholds. Policymakers should implement tailored sectoral strategies: for example, supporting LIS subsectors like Agriculture and Mining to mitigate regulatory burdens while enhancing ecological benefits. For Manufacturing, policies should reduce entry barriers and address relocation pressures, particularly under strict PAD coverage.</w:t>
      </w:r>
    </w:p>
    <w:p w14:paraId="2768801F" w14:textId="77777777" w:rsidR="0054107C" w:rsidRPr="001953BB" w:rsidRDefault="0054107C" w:rsidP="00814092">
      <w:pPr>
        <w:rPr>
          <w:rFonts w:cs="Times New Roman"/>
          <w:lang w:val="zh-CN"/>
        </w:rPr>
      </w:pPr>
      <w:r w:rsidRPr="001953BB">
        <w:rPr>
          <w:rFonts w:cs="Times New Roman"/>
          <w:lang w:val="zh-CN"/>
        </w:rPr>
        <w:t xml:space="preserve">From a methodological standpoint, this study underscores the importance of employing econometric methods that account for non-linear dynamics, spatial heterogeneity, and endogeneity concerns. Evaluating significant non-linear effects at mean PAD levels facilitates </w:t>
      </w:r>
      <w:r w:rsidRPr="001953BB">
        <w:rPr>
          <w:rFonts w:cs="Times New Roman"/>
          <w:lang w:val="zh-CN"/>
        </w:rPr>
        <w:lastRenderedPageBreak/>
        <w:t>practical interpretation, while the inclusion of lagged and lead PAD terms strengthens the analysis by capturing temporal dynamics.</w:t>
      </w:r>
    </w:p>
    <w:p w14:paraId="6F07ECF7" w14:textId="77777777" w:rsidR="0054107C" w:rsidRPr="001953BB" w:rsidRDefault="0054107C" w:rsidP="00814092">
      <w:pPr>
        <w:rPr>
          <w:rFonts w:cs="Times New Roman"/>
          <w:lang w:val="zh-CN"/>
        </w:rPr>
      </w:pPr>
      <w:r w:rsidRPr="001953BB">
        <w:rPr>
          <w:rFonts w:cs="Times New Roman"/>
          <w:lang w:val="zh-CN"/>
        </w:rPr>
        <w:t>While this study provides valuable insights, it is not without limitations. The reliance on U.S.-specific data limits the generalizability of findings to other regulatory and economic contexts. Additionally, county-level analysis, while comprehensive, may overlook firm-level nuances in PAD responses. Future research could address these limitations by conducting international comparative studies, incorporating micro-level data, and exploring interactions between PADs and other regulatory instruments, such as zoning laws and fiscal policies.</w:t>
      </w:r>
    </w:p>
    <w:p w14:paraId="1E1AB96B" w14:textId="77777777" w:rsidR="0054107C" w:rsidRPr="001953BB" w:rsidRDefault="0054107C" w:rsidP="00814092">
      <w:pPr>
        <w:rPr>
          <w:rFonts w:cs="Times New Roman"/>
          <w:lang w:val="zh-CN"/>
        </w:rPr>
      </w:pPr>
      <w:r w:rsidRPr="001953BB">
        <w:rPr>
          <w:rFonts w:cs="Times New Roman"/>
          <w:lang w:val="zh-CN"/>
        </w:rPr>
        <w:t>This research demonstrates that PADs act as both constraints and stabilizers, creating complex and sector-specific economic dynamics. By distinguishing between broad and strict PADs, it offers actionable insights for designing conservation policies that align ecological objectives with economic resilience. Policymakers can leverage these findings to foster sustainable growth, encourage local retention, and support sectoral adaptation, ensuring that conservation policies contribute meaningfully to environmental preservation and economic stability.</w:t>
      </w:r>
      <w:r w:rsidRPr="001953BB">
        <w:rPr>
          <w:rFonts w:cs="Times New Roman"/>
          <w:lang w:val="zh-CN"/>
        </w:rPr>
        <w:br w:type="page"/>
      </w:r>
    </w:p>
    <w:p w14:paraId="0247F0C0" w14:textId="59F93078" w:rsidR="0054107C" w:rsidRPr="001953BB" w:rsidRDefault="0054107C" w:rsidP="00E4693E">
      <w:pPr>
        <w:pStyle w:val="Heading2"/>
        <w:rPr>
          <w:lang w:val="zh-CN"/>
        </w:rPr>
      </w:pPr>
      <w:bookmarkStart w:id="130" w:name="_Toc180787884"/>
      <w:bookmarkStart w:id="131" w:name="_Toc187685020"/>
      <w:bookmarkStart w:id="132" w:name="_Toc188379003"/>
      <w:r w:rsidRPr="001953BB">
        <w:rPr>
          <w:lang w:val="zh-CN"/>
        </w:rPr>
        <w:lastRenderedPageBreak/>
        <w:t>References</w:t>
      </w:r>
      <w:bookmarkEnd w:id="130"/>
      <w:bookmarkEnd w:id="131"/>
      <w:bookmarkEnd w:id="132"/>
    </w:p>
    <w:p w14:paraId="7A234E43" w14:textId="77777777" w:rsidR="00632178" w:rsidRPr="001953BB" w:rsidRDefault="00632178" w:rsidP="00632178">
      <w:pPr>
        <w:pStyle w:val="NormalWeb"/>
        <w:numPr>
          <w:ilvl w:val="0"/>
          <w:numId w:val="46"/>
        </w:numPr>
        <w:ind w:left="360"/>
      </w:pPr>
      <w:r w:rsidRPr="001953BB">
        <w:t xml:space="preserve">Acemoglu, D., Akcigit, U., Bloom, N., &amp; Kerr, W. R. (2012). Innovation, reallocation, and growth. </w:t>
      </w:r>
      <w:r w:rsidRPr="001953BB">
        <w:rPr>
          <w:rStyle w:val="Emphasis"/>
        </w:rPr>
        <w:t>American Economic Review, 102</w:t>
      </w:r>
      <w:r w:rsidRPr="001953BB">
        <w:t>(1), 65–90. https://doi.org/10.1257/aer.102.1.65</w:t>
      </w:r>
    </w:p>
    <w:p w14:paraId="377E5035" w14:textId="77777777" w:rsidR="00632178" w:rsidRPr="001953BB" w:rsidRDefault="00632178" w:rsidP="00632178">
      <w:pPr>
        <w:pStyle w:val="NormalWeb"/>
        <w:numPr>
          <w:ilvl w:val="0"/>
          <w:numId w:val="46"/>
        </w:numPr>
        <w:ind w:left="360"/>
      </w:pPr>
      <w:r w:rsidRPr="001953BB">
        <w:t xml:space="preserve">Acemoglu, D., Akcigit, U., Bloom, N., &amp; Kerr, W. R. (2016). Innovation, reallocation, and growth. </w:t>
      </w:r>
      <w:r w:rsidRPr="001953BB">
        <w:rPr>
          <w:rStyle w:val="Emphasis"/>
        </w:rPr>
        <w:t>American Economic Review, 106</w:t>
      </w:r>
      <w:r w:rsidRPr="001953BB">
        <w:t>(5), 305–309. https://doi.org/10.1257/aer.p20161073</w:t>
      </w:r>
    </w:p>
    <w:p w14:paraId="03D7E271" w14:textId="77777777" w:rsidR="00632178" w:rsidRPr="001953BB" w:rsidRDefault="00632178" w:rsidP="00632178">
      <w:pPr>
        <w:pStyle w:val="NormalWeb"/>
        <w:numPr>
          <w:ilvl w:val="0"/>
          <w:numId w:val="46"/>
        </w:numPr>
        <w:ind w:left="360"/>
      </w:pPr>
      <w:r w:rsidRPr="001953BB">
        <w:t xml:space="preserve">Aghion, P., Akcigit, U., &amp; Howitt, P. (2019). What do we learn from Schumpeterian growth theory? </w:t>
      </w:r>
      <w:r w:rsidRPr="001953BB">
        <w:rPr>
          <w:rStyle w:val="Emphasis"/>
        </w:rPr>
        <w:t>The World Bank Economic Review, 33</w:t>
      </w:r>
      <w:r w:rsidRPr="001953BB">
        <w:t>(2), 171–194. https://doi.org/10.1093/wber/lhy015</w:t>
      </w:r>
    </w:p>
    <w:p w14:paraId="0C16ACB8" w14:textId="77777777" w:rsidR="00632178" w:rsidRPr="001953BB" w:rsidRDefault="00632178" w:rsidP="00632178">
      <w:pPr>
        <w:pStyle w:val="NormalWeb"/>
        <w:numPr>
          <w:ilvl w:val="0"/>
          <w:numId w:val="46"/>
        </w:numPr>
        <w:ind w:left="360"/>
      </w:pPr>
      <w:r w:rsidRPr="001953BB">
        <w:t xml:space="preserve">Ambec, S., Cohen, M. A., Elgie, S., &amp; Lanoie, P. (2013). The Porter hypothesis at 20: Can environmental regulation enhance innovation and competitiveness? </w:t>
      </w:r>
      <w:r w:rsidRPr="001953BB">
        <w:rPr>
          <w:rStyle w:val="Emphasis"/>
        </w:rPr>
        <w:t>Review of Environmental Economics and Policy, 7</w:t>
      </w:r>
      <w:r w:rsidRPr="001953BB">
        <w:t>(1), 2–22. https://doi.org/10.1093/reep/res016</w:t>
      </w:r>
    </w:p>
    <w:p w14:paraId="5CECD400" w14:textId="77777777" w:rsidR="00632178" w:rsidRPr="001953BB" w:rsidRDefault="00632178" w:rsidP="00632178">
      <w:pPr>
        <w:pStyle w:val="NormalWeb"/>
        <w:numPr>
          <w:ilvl w:val="0"/>
          <w:numId w:val="46"/>
        </w:numPr>
        <w:ind w:left="360"/>
      </w:pPr>
      <w:r w:rsidRPr="001953BB">
        <w:t xml:space="preserve">Andam, K. S., Ferraro, P. J., Pfaff, A., Sanchez-Azofeifa, G. A., &amp; Robalino, J. A. (2008). Measuring the effectiveness of protected area networks in reducing deforestation. </w:t>
      </w:r>
      <w:r w:rsidRPr="001953BB">
        <w:rPr>
          <w:rStyle w:val="Emphasis"/>
        </w:rPr>
        <w:t>Proceedings of the National Academy of Sciences, 105</w:t>
      </w:r>
      <w:r w:rsidRPr="001953BB">
        <w:t>(42), 16089–16094. https://doi.org/10.1073/pnas.0800437105</w:t>
      </w:r>
    </w:p>
    <w:p w14:paraId="048DF6F2" w14:textId="77777777" w:rsidR="00632178" w:rsidRPr="001953BB" w:rsidRDefault="00632178" w:rsidP="00632178">
      <w:pPr>
        <w:pStyle w:val="NormalWeb"/>
        <w:numPr>
          <w:ilvl w:val="0"/>
          <w:numId w:val="46"/>
        </w:numPr>
        <w:ind w:left="360"/>
      </w:pPr>
      <w:r w:rsidRPr="001953BB">
        <w:t xml:space="preserve">Andam, K. S., Ferraro, P. J., Sims, K. R., Healy, A., &amp; Holland, M. B. (2008). Protected areas reduced poverty in Costa Rica and Thailand. </w:t>
      </w:r>
      <w:r w:rsidRPr="001953BB">
        <w:rPr>
          <w:rStyle w:val="Emphasis"/>
        </w:rPr>
        <w:t>Proceedings of the National Academy of Sciences, 105</w:t>
      </w:r>
      <w:r w:rsidRPr="001953BB">
        <w:t>(32), 10414–10419. https://doi.org/10.1073/pnas.0804080105</w:t>
      </w:r>
    </w:p>
    <w:p w14:paraId="55474774" w14:textId="77777777" w:rsidR="00632178" w:rsidRPr="001953BB" w:rsidRDefault="00632178" w:rsidP="00632178">
      <w:pPr>
        <w:pStyle w:val="NormalWeb"/>
        <w:numPr>
          <w:ilvl w:val="0"/>
          <w:numId w:val="46"/>
        </w:numPr>
        <w:ind w:left="360"/>
      </w:pPr>
      <w:r w:rsidRPr="001953BB">
        <w:t xml:space="preserve">Angrist, J. D., &amp; Krueger, A. B. (1991). Does compulsory school attendance affect schooling and earnings? </w:t>
      </w:r>
      <w:r w:rsidRPr="001953BB">
        <w:rPr>
          <w:rStyle w:val="Emphasis"/>
        </w:rPr>
        <w:t>The Quarterly Journal of Economics, 106</w:t>
      </w:r>
      <w:r w:rsidRPr="001953BB">
        <w:t>(4), 979–1014. https://doi.org/10.2307/2937954</w:t>
      </w:r>
    </w:p>
    <w:p w14:paraId="2A8D070E" w14:textId="77777777" w:rsidR="00632178" w:rsidRPr="001953BB" w:rsidRDefault="00632178" w:rsidP="00632178">
      <w:pPr>
        <w:pStyle w:val="NormalWeb"/>
        <w:numPr>
          <w:ilvl w:val="0"/>
          <w:numId w:val="46"/>
        </w:numPr>
        <w:ind w:left="360"/>
      </w:pPr>
      <w:r w:rsidRPr="001953BB">
        <w:lastRenderedPageBreak/>
        <w:t xml:space="preserve">Arellano, M., &amp; Bond, S. (1991). Some tests of specification for panel data: Monte Carlo evidence and an application to employment equations. </w:t>
      </w:r>
      <w:r w:rsidRPr="001953BB">
        <w:rPr>
          <w:rStyle w:val="Emphasis"/>
        </w:rPr>
        <w:t>The Review of Economic Studies, 58</w:t>
      </w:r>
      <w:r w:rsidRPr="001953BB">
        <w:t>(2), 277–297. https://doi.org/10.2307/2297968</w:t>
      </w:r>
    </w:p>
    <w:p w14:paraId="7F547CB9" w14:textId="77777777" w:rsidR="00632178" w:rsidRPr="001953BB" w:rsidRDefault="00632178" w:rsidP="00632178">
      <w:pPr>
        <w:pStyle w:val="NormalWeb"/>
        <w:numPr>
          <w:ilvl w:val="0"/>
          <w:numId w:val="46"/>
        </w:numPr>
        <w:ind w:left="360"/>
      </w:pPr>
      <w:r w:rsidRPr="001953BB">
        <w:t xml:space="preserve">Audretsch, D. B. (1995). </w:t>
      </w:r>
      <w:r w:rsidRPr="001953BB">
        <w:rPr>
          <w:rStyle w:val="Emphasis"/>
        </w:rPr>
        <w:t>Innovation and industry evolution</w:t>
      </w:r>
      <w:r w:rsidRPr="001953BB">
        <w:t>. MIT Press.</w:t>
      </w:r>
    </w:p>
    <w:p w14:paraId="6741C0D6" w14:textId="77777777" w:rsidR="00632178" w:rsidRPr="001953BB" w:rsidRDefault="00632178" w:rsidP="00632178">
      <w:pPr>
        <w:pStyle w:val="NormalWeb"/>
        <w:numPr>
          <w:ilvl w:val="0"/>
          <w:numId w:val="46"/>
        </w:numPr>
        <w:ind w:left="360"/>
      </w:pPr>
      <w:r w:rsidRPr="001953BB">
        <w:t xml:space="preserve">Baek, J., Kim, D., &amp; Oh, S. Y. (2021). How is policy uncertainty transmitted to the real economy? Evidence from South Korea. </w:t>
      </w:r>
      <w:r w:rsidRPr="001953BB">
        <w:rPr>
          <w:rStyle w:val="Emphasis"/>
        </w:rPr>
        <w:t>Economic Modelling, 97</w:t>
      </w:r>
      <w:r w:rsidRPr="001953BB">
        <w:t>, 292–303. https://doi.org/10.1016/j.econmod.2020.12.016</w:t>
      </w:r>
    </w:p>
    <w:p w14:paraId="608FC6DA" w14:textId="77777777" w:rsidR="00632178" w:rsidRPr="001953BB" w:rsidRDefault="00632178" w:rsidP="00632178">
      <w:pPr>
        <w:pStyle w:val="NormalWeb"/>
        <w:numPr>
          <w:ilvl w:val="0"/>
          <w:numId w:val="46"/>
        </w:numPr>
        <w:ind w:left="360"/>
      </w:pPr>
      <w:r w:rsidRPr="001953BB">
        <w:t xml:space="preserve">Balsvik, R., &amp; Maré, D. (2019). Business cycles and start-ups across industries: An empirical analysis using data on Norwegian entry and exit. </w:t>
      </w:r>
      <w:r w:rsidRPr="001953BB">
        <w:rPr>
          <w:rStyle w:val="Emphasis"/>
        </w:rPr>
        <w:t>Journal of Applied Econometrics, 34</w:t>
      </w:r>
      <w:r w:rsidRPr="001953BB">
        <w:t>(7), 1036–1062. https://doi.org/10.1002/jae.2708</w:t>
      </w:r>
    </w:p>
    <w:p w14:paraId="06CC95BB" w14:textId="77777777" w:rsidR="00632178" w:rsidRPr="001953BB" w:rsidRDefault="00632178" w:rsidP="00632178">
      <w:pPr>
        <w:pStyle w:val="NormalWeb"/>
        <w:numPr>
          <w:ilvl w:val="0"/>
          <w:numId w:val="46"/>
        </w:numPr>
        <w:ind w:left="360"/>
      </w:pPr>
      <w:r w:rsidRPr="001953BB">
        <w:t xml:space="preserve">Baltagi, B. H. (2008). </w:t>
      </w:r>
      <w:r w:rsidRPr="001953BB">
        <w:rPr>
          <w:rStyle w:val="Emphasis"/>
        </w:rPr>
        <w:t>Econometric analysis of panel data</w:t>
      </w:r>
      <w:r w:rsidRPr="001953BB">
        <w:t xml:space="preserve"> (4th ed.). Wiley.</w:t>
      </w:r>
    </w:p>
    <w:p w14:paraId="7198D610" w14:textId="77777777" w:rsidR="00632178" w:rsidRPr="001953BB" w:rsidRDefault="00632178" w:rsidP="00632178">
      <w:pPr>
        <w:pStyle w:val="NormalWeb"/>
        <w:numPr>
          <w:ilvl w:val="0"/>
          <w:numId w:val="46"/>
        </w:numPr>
        <w:ind w:left="360"/>
      </w:pPr>
      <w:r w:rsidRPr="001953BB">
        <w:t xml:space="preserve">Banzhaf, H. S., &amp; Walsh, R. P. (2008). Do people vote with their feet? An empirical test of Tiebout’s mechanism. </w:t>
      </w:r>
      <w:r w:rsidRPr="001953BB">
        <w:rPr>
          <w:rStyle w:val="Emphasis"/>
        </w:rPr>
        <w:t>American Economic Review, 98</w:t>
      </w:r>
      <w:r w:rsidRPr="001953BB">
        <w:t>(3), 843–863. https://doi.org/10.1257/aer.98.3.843</w:t>
      </w:r>
    </w:p>
    <w:p w14:paraId="0F590752" w14:textId="77777777" w:rsidR="00632178" w:rsidRPr="001953BB" w:rsidRDefault="00632178" w:rsidP="00632178">
      <w:pPr>
        <w:pStyle w:val="NormalWeb"/>
        <w:numPr>
          <w:ilvl w:val="0"/>
          <w:numId w:val="46"/>
        </w:numPr>
        <w:ind w:left="360"/>
      </w:pPr>
      <w:r w:rsidRPr="001953BB">
        <w:t xml:space="preserve">Barbier, E. B. (2019). </w:t>
      </w:r>
      <w:r w:rsidRPr="001953BB">
        <w:rPr>
          <w:rStyle w:val="Emphasis"/>
        </w:rPr>
        <w:t>The water paradox: Overcoming the global crisis in water management</w:t>
      </w:r>
      <w:r w:rsidRPr="001953BB">
        <w:t>. Yale University Press.</w:t>
      </w:r>
    </w:p>
    <w:p w14:paraId="657A90A8" w14:textId="77777777" w:rsidR="00632178" w:rsidRPr="001953BB" w:rsidRDefault="00632178" w:rsidP="00632178">
      <w:pPr>
        <w:pStyle w:val="NormalWeb"/>
        <w:numPr>
          <w:ilvl w:val="0"/>
          <w:numId w:val="46"/>
        </w:numPr>
        <w:ind w:left="360"/>
      </w:pPr>
      <w:r w:rsidRPr="001953BB">
        <w:t xml:space="preserve">Barney, J. (1991). Firm resources and sustained competitive advantage. </w:t>
      </w:r>
      <w:r w:rsidRPr="001953BB">
        <w:rPr>
          <w:rStyle w:val="Emphasis"/>
        </w:rPr>
        <w:t>Journal of Management, 17</w:t>
      </w:r>
      <w:r w:rsidRPr="001953BB">
        <w:t>(1), 99–120. https://doi.org/10.1177/014920639101700108</w:t>
      </w:r>
    </w:p>
    <w:p w14:paraId="2A0C5BE4" w14:textId="77777777" w:rsidR="00632178" w:rsidRPr="001953BB" w:rsidRDefault="00632178" w:rsidP="00632178">
      <w:pPr>
        <w:pStyle w:val="NormalWeb"/>
        <w:numPr>
          <w:ilvl w:val="0"/>
          <w:numId w:val="46"/>
        </w:numPr>
        <w:ind w:left="360"/>
      </w:pPr>
      <w:r w:rsidRPr="001953BB">
        <w:t xml:space="preserve">Barro, R. J., &amp; Sala-i-Martin, X. (2003). </w:t>
      </w:r>
      <w:r w:rsidRPr="001953BB">
        <w:rPr>
          <w:rStyle w:val="Emphasis"/>
        </w:rPr>
        <w:t>Economic growth</w:t>
      </w:r>
      <w:r w:rsidRPr="001953BB">
        <w:t xml:space="preserve"> (2nd ed.). MIT Press.</w:t>
      </w:r>
    </w:p>
    <w:p w14:paraId="372E1205" w14:textId="7E806B7A" w:rsidR="00632178" w:rsidRPr="001953BB" w:rsidRDefault="00632178" w:rsidP="00632178">
      <w:pPr>
        <w:pStyle w:val="NormalWeb"/>
        <w:numPr>
          <w:ilvl w:val="0"/>
          <w:numId w:val="46"/>
        </w:numPr>
        <w:ind w:left="360"/>
      </w:pPr>
      <w:r w:rsidRPr="001953BB">
        <w:t xml:space="preserve">Bartik, T. J. (1985). Business location decisions in the United States: Estimates of the effects of unionization, taxes, and other characteristics of states. </w:t>
      </w:r>
      <w:r w:rsidRPr="001953BB">
        <w:rPr>
          <w:rStyle w:val="Emphasis"/>
        </w:rPr>
        <w:t>Journal of Business &amp; Economic Statistics, 3</w:t>
      </w:r>
      <w:r w:rsidRPr="001953BB">
        <w:t>(1), 14–22. https://doi.org/10.2307/1391685</w:t>
      </w:r>
    </w:p>
    <w:p w14:paraId="7D761BA2" w14:textId="77777777" w:rsidR="00632178" w:rsidRPr="001953BB" w:rsidRDefault="00632178" w:rsidP="00632178">
      <w:pPr>
        <w:pStyle w:val="NormalWeb"/>
        <w:numPr>
          <w:ilvl w:val="0"/>
          <w:numId w:val="46"/>
        </w:numPr>
        <w:ind w:left="360"/>
      </w:pPr>
      <w:r w:rsidRPr="001953BB">
        <w:lastRenderedPageBreak/>
        <w:t xml:space="preserve">Bateman, I. J., Mace, G. M., Fezzi, C., Atkinson, G., &amp; Turner, K. (2013). Economic analysis for ecosystem service assessments. </w:t>
      </w:r>
      <w:r w:rsidRPr="001953BB">
        <w:rPr>
          <w:rStyle w:val="Emphasis"/>
        </w:rPr>
        <w:t>Environmental and Resource Economics, 57</w:t>
      </w:r>
      <w:r w:rsidRPr="001953BB">
        <w:t>(2), 273–297. https://doi.org/10.1007/s10640-013-9662-y</w:t>
      </w:r>
    </w:p>
    <w:p w14:paraId="370F238B" w14:textId="10BC1489" w:rsidR="00632178" w:rsidRPr="001953BB" w:rsidRDefault="00632178" w:rsidP="00632178">
      <w:pPr>
        <w:pStyle w:val="NormalWeb"/>
        <w:numPr>
          <w:ilvl w:val="0"/>
          <w:numId w:val="46"/>
        </w:numPr>
        <w:ind w:left="360"/>
      </w:pPr>
      <w:r w:rsidRPr="001953BB">
        <w:t xml:space="preserve">Becker, R., &amp; Henderson, J. V. (2000). Effects of air quality regulations on polluting industries. </w:t>
      </w:r>
      <w:r w:rsidRPr="001953BB">
        <w:rPr>
          <w:rStyle w:val="Emphasis"/>
        </w:rPr>
        <w:t>Journal of Political Economy, 108</w:t>
      </w:r>
      <w:r w:rsidRPr="001953BB">
        <w:t>(2), 379–421. https://doi.org/10.1086/262122</w:t>
      </w:r>
    </w:p>
    <w:p w14:paraId="5AD3518E" w14:textId="4DE7963E" w:rsidR="00632178" w:rsidRPr="001953BB" w:rsidRDefault="00632178" w:rsidP="00632178">
      <w:pPr>
        <w:pStyle w:val="NormalWeb"/>
        <w:numPr>
          <w:ilvl w:val="0"/>
          <w:numId w:val="46"/>
        </w:numPr>
        <w:ind w:left="360"/>
      </w:pPr>
      <w:r w:rsidRPr="001953BB">
        <w:t xml:space="preserve">Berman, E., &amp; Bui, L. T. M. (2001). Environmental regulation and productivity: Evidence from oil refineries. </w:t>
      </w:r>
      <w:r w:rsidRPr="001953BB">
        <w:rPr>
          <w:rStyle w:val="Emphasis"/>
        </w:rPr>
        <w:t>The Review of Economics and Statistics, 83</w:t>
      </w:r>
      <w:r w:rsidRPr="001953BB">
        <w:t>(3), 498–510. https://doi.org/10.1162/00346530152480144</w:t>
      </w:r>
    </w:p>
    <w:p w14:paraId="77EC880E" w14:textId="77777777" w:rsidR="00632178" w:rsidRPr="001953BB" w:rsidRDefault="00632178" w:rsidP="00632178">
      <w:pPr>
        <w:pStyle w:val="NormalWeb"/>
        <w:numPr>
          <w:ilvl w:val="0"/>
          <w:numId w:val="46"/>
        </w:numPr>
        <w:ind w:left="360"/>
      </w:pPr>
      <w:r w:rsidRPr="001953BB">
        <w:t xml:space="preserve">Blackman, A., &amp; Boyd, J. (2011). The regulation of pollution-intensive industries. In A. Esty &amp; D. Geradin (Eds.), </w:t>
      </w:r>
      <w:r w:rsidRPr="001953BB">
        <w:rPr>
          <w:rStyle w:val="Emphasis"/>
        </w:rPr>
        <w:t>Regulatory property rights: The transforming notion of property in transnational business regulation</w:t>
      </w:r>
      <w:r w:rsidRPr="001953BB">
        <w:t xml:space="preserve"> (pp. 97–118). Oxford University Press.</w:t>
      </w:r>
    </w:p>
    <w:p w14:paraId="482C6843" w14:textId="77777777" w:rsidR="00632178" w:rsidRPr="001953BB" w:rsidRDefault="00632178" w:rsidP="00632178">
      <w:pPr>
        <w:pStyle w:val="NormalWeb"/>
        <w:numPr>
          <w:ilvl w:val="0"/>
          <w:numId w:val="46"/>
        </w:numPr>
        <w:ind w:left="360"/>
      </w:pPr>
      <w:r w:rsidRPr="001953BB">
        <w:t xml:space="preserve">Blundell, R., &amp; Bond, S. (1998). Initial conditions and moment restrictions in dynamic panel data models. </w:t>
      </w:r>
      <w:r w:rsidRPr="001953BB">
        <w:rPr>
          <w:rStyle w:val="Emphasis"/>
        </w:rPr>
        <w:t>Journal of Econometrics, 87</w:t>
      </w:r>
      <w:r w:rsidRPr="001953BB">
        <w:t>(1), 115–143. https://doi.org/10.1016/S0304-4076(98)00009-8</w:t>
      </w:r>
    </w:p>
    <w:p w14:paraId="6AA8B0D2" w14:textId="77777777" w:rsidR="00632178" w:rsidRPr="001953BB" w:rsidRDefault="00632178" w:rsidP="00632178">
      <w:pPr>
        <w:pStyle w:val="NormalWeb"/>
        <w:numPr>
          <w:ilvl w:val="0"/>
          <w:numId w:val="46"/>
        </w:numPr>
        <w:ind w:left="360"/>
      </w:pPr>
      <w:r w:rsidRPr="001953BB">
        <w:t xml:space="preserve">Brueckner, J. K. (1995). Strategic control of growth in a system of cities. </w:t>
      </w:r>
      <w:r w:rsidRPr="001953BB">
        <w:rPr>
          <w:rStyle w:val="Emphasis"/>
        </w:rPr>
        <w:t>Journal of Public Economics, 57</w:t>
      </w:r>
      <w:r w:rsidRPr="001953BB">
        <w:t>(3), 393–416. https://doi.org/10.1016/0047-2727(94)01480-6</w:t>
      </w:r>
    </w:p>
    <w:p w14:paraId="64946A5D" w14:textId="77777777" w:rsidR="00632178" w:rsidRPr="001953BB" w:rsidRDefault="00632178" w:rsidP="00632178">
      <w:pPr>
        <w:pStyle w:val="NormalWeb"/>
        <w:numPr>
          <w:ilvl w:val="0"/>
          <w:numId w:val="46"/>
        </w:numPr>
        <w:ind w:left="360"/>
      </w:pPr>
      <w:r w:rsidRPr="001953BB">
        <w:t xml:space="preserve">Brueckner, J. K. (2000). Urban sprawl: Diagnosis and remedies. </w:t>
      </w:r>
      <w:r w:rsidRPr="001953BB">
        <w:rPr>
          <w:rStyle w:val="Emphasis"/>
        </w:rPr>
        <w:t>International Regional Science Review, 23</w:t>
      </w:r>
      <w:r w:rsidRPr="001953BB">
        <w:t>(2), 160–171. https://doi.org/10.1177/016001700761012710</w:t>
      </w:r>
    </w:p>
    <w:p w14:paraId="2CC15837" w14:textId="77777777" w:rsidR="00632178" w:rsidRPr="001953BB" w:rsidRDefault="00632178" w:rsidP="00632178">
      <w:pPr>
        <w:pStyle w:val="NormalWeb"/>
        <w:numPr>
          <w:ilvl w:val="0"/>
          <w:numId w:val="46"/>
        </w:numPr>
        <w:ind w:left="360"/>
      </w:pPr>
      <w:r w:rsidRPr="001953BB">
        <w:t xml:space="preserve">Buckley, R. (2009). Parks and tourism. </w:t>
      </w:r>
      <w:r w:rsidRPr="001953BB">
        <w:rPr>
          <w:rStyle w:val="Emphasis"/>
        </w:rPr>
        <w:t>PLoS Biology, 7</w:t>
      </w:r>
      <w:r w:rsidRPr="001953BB">
        <w:t>(6), e1000143. https://doi.org/10.1371/journal.pbio.1000143</w:t>
      </w:r>
    </w:p>
    <w:p w14:paraId="1061F513" w14:textId="77777777" w:rsidR="00632178" w:rsidRPr="001953BB" w:rsidRDefault="00632178" w:rsidP="00632178">
      <w:pPr>
        <w:pStyle w:val="NormalWeb"/>
        <w:numPr>
          <w:ilvl w:val="0"/>
          <w:numId w:val="46"/>
        </w:numPr>
        <w:ind w:left="360"/>
      </w:pPr>
      <w:r w:rsidRPr="001953BB">
        <w:t xml:space="preserve">Cameron, A. C., &amp; Trivedi, P. K. (2010). </w:t>
      </w:r>
      <w:r w:rsidRPr="001953BB">
        <w:rPr>
          <w:rStyle w:val="Emphasis"/>
        </w:rPr>
        <w:t>Microeconometrics: Methods and applications</w:t>
      </w:r>
      <w:r w:rsidRPr="001953BB">
        <w:t>. Cambridge University Press.</w:t>
      </w:r>
    </w:p>
    <w:p w14:paraId="19038B22" w14:textId="492D85AC" w:rsidR="00632178" w:rsidRPr="001953BB" w:rsidRDefault="00632178" w:rsidP="00632178">
      <w:pPr>
        <w:pStyle w:val="NormalWeb"/>
        <w:numPr>
          <w:ilvl w:val="0"/>
          <w:numId w:val="46"/>
        </w:numPr>
        <w:ind w:left="360"/>
      </w:pPr>
      <w:r w:rsidRPr="001953BB">
        <w:lastRenderedPageBreak/>
        <w:t xml:space="preserve">Cameron, A. C., &amp; Trivedi, P. K. (2013). </w:t>
      </w:r>
      <w:r w:rsidRPr="001953BB">
        <w:rPr>
          <w:rStyle w:val="Emphasis"/>
        </w:rPr>
        <w:t>Regression analysis of count data</w:t>
      </w:r>
      <w:r w:rsidRPr="001953BB">
        <w:t xml:space="preserve"> (Vol. 53). Cambridge University Press. https://doi.org/10.1017/CBO9781139013567</w:t>
      </w:r>
    </w:p>
    <w:p w14:paraId="37FD57CA" w14:textId="77777777" w:rsidR="00632178" w:rsidRPr="001953BB" w:rsidRDefault="00632178" w:rsidP="00632178">
      <w:pPr>
        <w:pStyle w:val="NormalWeb"/>
        <w:numPr>
          <w:ilvl w:val="0"/>
          <w:numId w:val="46"/>
        </w:numPr>
        <w:ind w:left="360"/>
      </w:pPr>
      <w:r w:rsidRPr="001953BB">
        <w:t xml:space="preserve">Carr, D. L., Lopez, A. C., &amp; Bilsborrow, R. E. (2010). The population, agriculture, and environment nexus in Latin America: Country-level evidence from the latter half of the twentieth century. </w:t>
      </w:r>
      <w:r w:rsidRPr="001953BB">
        <w:rPr>
          <w:rStyle w:val="Emphasis"/>
        </w:rPr>
        <w:t>Population and Environment, 32</w:t>
      </w:r>
      <w:r w:rsidRPr="001953BB">
        <w:t>(2–3), 216–242. https://doi.org/10.1007/s11111-010-0112-9</w:t>
      </w:r>
    </w:p>
    <w:p w14:paraId="0D1DC251" w14:textId="77777777" w:rsidR="00632178" w:rsidRPr="001953BB" w:rsidRDefault="00632178" w:rsidP="00632178">
      <w:pPr>
        <w:pStyle w:val="NormalWeb"/>
        <w:numPr>
          <w:ilvl w:val="0"/>
          <w:numId w:val="46"/>
        </w:numPr>
        <w:ind w:left="360"/>
      </w:pPr>
      <w:r w:rsidRPr="001953BB">
        <w:t xml:space="preserve">Cheshire, P. C., &amp; Sheppard, S. (2002). The welfare economics of land use planning. </w:t>
      </w:r>
      <w:r w:rsidRPr="001953BB">
        <w:rPr>
          <w:rStyle w:val="Emphasis"/>
        </w:rPr>
        <w:t>Journal of Urban Economics, 52</w:t>
      </w:r>
      <w:r w:rsidRPr="001953BB">
        <w:t>(2), 242–269. https://doi.org/10.1016/S0094-1190(02)00003-7</w:t>
      </w:r>
    </w:p>
    <w:p w14:paraId="49B46069" w14:textId="018A4F67" w:rsidR="00632178" w:rsidRPr="001953BB" w:rsidRDefault="00632178" w:rsidP="00632178">
      <w:pPr>
        <w:pStyle w:val="NormalWeb"/>
        <w:numPr>
          <w:ilvl w:val="0"/>
          <w:numId w:val="46"/>
        </w:numPr>
        <w:ind w:left="360"/>
      </w:pPr>
      <w:r w:rsidRPr="001953BB">
        <w:t xml:space="preserve">Cheshire, P. C., &amp; Sheppard, S. (2005). The introduction of price signals into land use planning decision-making: A proposal. </w:t>
      </w:r>
      <w:r w:rsidRPr="001953BB">
        <w:rPr>
          <w:rStyle w:val="Emphasis"/>
        </w:rPr>
        <w:t>Urban Studies, 42</w:t>
      </w:r>
      <w:r w:rsidRPr="001953BB">
        <w:t>(4), 647–663. https://doi.org/10.1080/00420980500060203</w:t>
      </w:r>
    </w:p>
    <w:p w14:paraId="27E384D2" w14:textId="63B7CB5D" w:rsidR="00632178" w:rsidRPr="001953BB" w:rsidRDefault="00632178" w:rsidP="00632178">
      <w:pPr>
        <w:pStyle w:val="NormalWeb"/>
        <w:numPr>
          <w:ilvl w:val="0"/>
          <w:numId w:val="46"/>
        </w:numPr>
        <w:ind w:left="360"/>
      </w:pPr>
      <w:r w:rsidRPr="001953BB">
        <w:t xml:space="preserve">Correia, S., Guimarães, P., &amp; Zylkin, T. (2019). PPMLHDFE: Fast Poisson estimation with high-dimensional fixed effects. </w:t>
      </w:r>
      <w:r w:rsidRPr="001953BB">
        <w:rPr>
          <w:rStyle w:val="Emphasis"/>
        </w:rPr>
        <w:t>arXiv</w:t>
      </w:r>
      <w:r w:rsidRPr="001953BB">
        <w:t>. https://arxiv.org/abs/1903.01690</w:t>
      </w:r>
    </w:p>
    <w:p w14:paraId="5E6B3C9C" w14:textId="61DE617F" w:rsidR="00632178" w:rsidRPr="001953BB" w:rsidRDefault="00632178" w:rsidP="00632178">
      <w:pPr>
        <w:pStyle w:val="NormalWeb"/>
        <w:numPr>
          <w:ilvl w:val="0"/>
          <w:numId w:val="46"/>
        </w:numPr>
        <w:ind w:left="360"/>
      </w:pPr>
      <w:r w:rsidRPr="001953BB">
        <w:t xml:space="preserve">Costanza, R., d'Arge, R., de Groot, R., Farber, S., Grasso, M., Hannon, B., … van den Belt, M. (1997). The value of the world’s ecosystem services and natural capital. </w:t>
      </w:r>
      <w:r w:rsidRPr="001953BB">
        <w:rPr>
          <w:rStyle w:val="Emphasis"/>
        </w:rPr>
        <w:t>Nature, 387</w:t>
      </w:r>
      <w:r w:rsidRPr="001953BB">
        <w:t>(6630), 253–260. https://doi.org/10.1038/387253a0</w:t>
      </w:r>
    </w:p>
    <w:p w14:paraId="53012215" w14:textId="189A4982" w:rsidR="00632178" w:rsidRPr="001953BB" w:rsidRDefault="00632178" w:rsidP="00632178">
      <w:pPr>
        <w:pStyle w:val="NormalWeb"/>
        <w:numPr>
          <w:ilvl w:val="0"/>
          <w:numId w:val="46"/>
        </w:numPr>
        <w:ind w:left="360"/>
      </w:pPr>
      <w:r w:rsidRPr="001953BB">
        <w:t xml:space="preserve">Coughlin, C. C., Terza, J. V., &amp; Arromdee, V. (1991). State characteristics and the location of foreign direct investment within the United States. </w:t>
      </w:r>
      <w:r w:rsidRPr="001953BB">
        <w:rPr>
          <w:rStyle w:val="Emphasis"/>
        </w:rPr>
        <w:t>The Review of Economics and Statistics, 73</w:t>
      </w:r>
      <w:r w:rsidRPr="001953BB">
        <w:t>(4), 675–683. https://doi.org/10.2307/2109406</w:t>
      </w:r>
    </w:p>
    <w:p w14:paraId="6D8571AB" w14:textId="77777777" w:rsidR="00632178" w:rsidRPr="001953BB" w:rsidRDefault="00632178" w:rsidP="00632178">
      <w:pPr>
        <w:pStyle w:val="NormalWeb"/>
        <w:numPr>
          <w:ilvl w:val="0"/>
          <w:numId w:val="46"/>
        </w:numPr>
        <w:ind w:left="360"/>
      </w:pPr>
      <w:r w:rsidRPr="001953BB">
        <w:t xml:space="preserve">Dasgupta, P. (2021). </w:t>
      </w:r>
      <w:r w:rsidRPr="001953BB">
        <w:rPr>
          <w:rStyle w:val="Emphasis"/>
        </w:rPr>
        <w:t>The economics of biodiversity: The Dasgupta review</w:t>
      </w:r>
      <w:r w:rsidRPr="001953BB">
        <w:t>. HM Treasury.</w:t>
      </w:r>
    </w:p>
    <w:p w14:paraId="3366987F" w14:textId="6E3BC079" w:rsidR="00632178" w:rsidRPr="001953BB" w:rsidRDefault="00632178" w:rsidP="00632178">
      <w:pPr>
        <w:pStyle w:val="NormalWeb"/>
        <w:numPr>
          <w:ilvl w:val="0"/>
          <w:numId w:val="46"/>
        </w:numPr>
        <w:ind w:left="360"/>
      </w:pPr>
      <w:r w:rsidRPr="001953BB">
        <w:t xml:space="preserve">Data Axle Group. (n.d.). </w:t>
      </w:r>
      <w:r w:rsidRPr="001953BB">
        <w:rPr>
          <w:rStyle w:val="Emphasis"/>
        </w:rPr>
        <w:t>Data Axle</w:t>
      </w:r>
      <w:r w:rsidRPr="001953BB">
        <w:t>. Retrieved January 20, 2025, from https://www.data-axle.com/</w:t>
      </w:r>
    </w:p>
    <w:p w14:paraId="01F4FEDB" w14:textId="77777777" w:rsidR="00632178" w:rsidRPr="001953BB" w:rsidRDefault="00632178" w:rsidP="00632178">
      <w:pPr>
        <w:pStyle w:val="NormalWeb"/>
        <w:numPr>
          <w:ilvl w:val="0"/>
          <w:numId w:val="46"/>
        </w:numPr>
        <w:ind w:left="360"/>
      </w:pPr>
      <w:r w:rsidRPr="001953BB">
        <w:lastRenderedPageBreak/>
        <w:t xml:space="preserve">Deller, S. C., Tsai, T. H., Marcouiller, D. W., &amp; English, D. B. (2001). The role of amenities and quality of life in rural economic growth. </w:t>
      </w:r>
      <w:r w:rsidRPr="001953BB">
        <w:rPr>
          <w:rStyle w:val="Emphasis"/>
        </w:rPr>
        <w:t>American Journal of Agricultural Economics, 83</w:t>
      </w:r>
      <w:r w:rsidRPr="001953BB">
        <w:t>(2), 352–365. https://doi.org/10.1111/0002-9092.00161</w:t>
      </w:r>
    </w:p>
    <w:p w14:paraId="2EE1CC4F" w14:textId="77777777" w:rsidR="00632178" w:rsidRPr="001953BB" w:rsidRDefault="00632178" w:rsidP="00632178">
      <w:pPr>
        <w:pStyle w:val="NormalWeb"/>
        <w:numPr>
          <w:ilvl w:val="0"/>
          <w:numId w:val="46"/>
        </w:numPr>
        <w:ind w:left="360"/>
      </w:pPr>
      <w:r w:rsidRPr="001953BB">
        <w:t xml:space="preserve">Dixit, A. K., &amp; Pindyck, R. S. (1994). </w:t>
      </w:r>
      <w:r w:rsidRPr="001953BB">
        <w:rPr>
          <w:rStyle w:val="Emphasis"/>
        </w:rPr>
        <w:t>Investment under uncertainty</w:t>
      </w:r>
      <w:r w:rsidRPr="001953BB">
        <w:t>. Princeton University Press.</w:t>
      </w:r>
    </w:p>
    <w:p w14:paraId="2767C7BF" w14:textId="77777777" w:rsidR="00632178" w:rsidRPr="001953BB" w:rsidRDefault="00632178" w:rsidP="00632178">
      <w:pPr>
        <w:pStyle w:val="NormalWeb"/>
        <w:numPr>
          <w:ilvl w:val="0"/>
          <w:numId w:val="46"/>
        </w:numPr>
        <w:ind w:left="360"/>
      </w:pPr>
      <w:r w:rsidRPr="001953BB">
        <w:t xml:space="preserve">Dudley, N., Stolton, S., &amp; Belokurov, A. (2010). </w:t>
      </w:r>
      <w:r w:rsidRPr="001953BB">
        <w:rPr>
          <w:rStyle w:val="Emphasis"/>
        </w:rPr>
        <w:t>Protected landscapes: A guide for policymakers and planners</w:t>
      </w:r>
      <w:r w:rsidRPr="001953BB">
        <w:t>. IUCN.</w:t>
      </w:r>
    </w:p>
    <w:p w14:paraId="5366BB15" w14:textId="77777777" w:rsidR="00632178" w:rsidRPr="001953BB" w:rsidRDefault="00632178" w:rsidP="00632178">
      <w:pPr>
        <w:pStyle w:val="NormalWeb"/>
        <w:numPr>
          <w:ilvl w:val="0"/>
          <w:numId w:val="46"/>
        </w:numPr>
        <w:ind w:left="360"/>
      </w:pPr>
      <w:r w:rsidRPr="001953BB">
        <w:t xml:space="preserve">Duranton, G., Puga, D., &amp; Sadun, R. (2020). The economics of density: Evidence from the economics literature. </w:t>
      </w:r>
      <w:r w:rsidRPr="001953BB">
        <w:rPr>
          <w:rStyle w:val="Emphasis"/>
        </w:rPr>
        <w:t>Journal of Economic Perspectives, 34</w:t>
      </w:r>
      <w:r w:rsidRPr="001953BB">
        <w:t>(3), 27–49. https://doi.org/10.1257/jep.34.3.27</w:t>
      </w:r>
    </w:p>
    <w:p w14:paraId="27240686" w14:textId="77777777" w:rsidR="00632178" w:rsidRPr="001953BB" w:rsidRDefault="00632178" w:rsidP="00632178">
      <w:pPr>
        <w:pStyle w:val="NormalWeb"/>
        <w:numPr>
          <w:ilvl w:val="0"/>
          <w:numId w:val="46"/>
        </w:numPr>
        <w:ind w:left="360"/>
      </w:pPr>
      <w:r w:rsidRPr="001953BB">
        <w:t xml:space="preserve">Eagles, P. F. (2002). Trends in park tourism: Economics, finance and management. </w:t>
      </w:r>
      <w:r w:rsidRPr="001953BB">
        <w:rPr>
          <w:rStyle w:val="Emphasis"/>
        </w:rPr>
        <w:t>Journal of Sustainable Tourism, 10</w:t>
      </w:r>
      <w:r w:rsidRPr="001953BB">
        <w:t>(2), 132–153. https://doi.org/10.1080/09669580208667158</w:t>
      </w:r>
    </w:p>
    <w:p w14:paraId="2C1AF9C1" w14:textId="7A8BB981" w:rsidR="00632178" w:rsidRPr="001953BB" w:rsidRDefault="00632178" w:rsidP="00632178">
      <w:pPr>
        <w:pStyle w:val="NormalWeb"/>
        <w:numPr>
          <w:ilvl w:val="0"/>
          <w:numId w:val="46"/>
        </w:numPr>
        <w:ind w:left="360"/>
      </w:pPr>
      <w:r w:rsidRPr="001953BB">
        <w:t xml:space="preserve">Ellison, G., &amp; Glaeser, E. L. (1997). Geographic concentration in U.S. manufacturing industries: A dartboard approach. </w:t>
      </w:r>
      <w:r w:rsidRPr="001953BB">
        <w:rPr>
          <w:rStyle w:val="Emphasis"/>
        </w:rPr>
        <w:t>Journal of Political Economy, 105</w:t>
      </w:r>
      <w:r w:rsidRPr="001953BB">
        <w:t>(5), 889–927. https://doi.org/10.1086/262098</w:t>
      </w:r>
    </w:p>
    <w:p w14:paraId="21EC27FF" w14:textId="77777777" w:rsidR="00632178" w:rsidRPr="001953BB" w:rsidRDefault="00632178" w:rsidP="00632178">
      <w:pPr>
        <w:pStyle w:val="NormalWeb"/>
        <w:numPr>
          <w:ilvl w:val="0"/>
          <w:numId w:val="46"/>
        </w:numPr>
        <w:ind w:left="360"/>
      </w:pPr>
      <w:r w:rsidRPr="001953BB">
        <w:t xml:space="preserve">Ellison, G., Glaeser, E. L., &amp; Kerr, W. R. (2010). What causes industry agglomeration? Evidence from coagglomeration patterns. </w:t>
      </w:r>
      <w:r w:rsidRPr="001953BB">
        <w:rPr>
          <w:rStyle w:val="Emphasis"/>
        </w:rPr>
        <w:t>American Economic Review, 100</w:t>
      </w:r>
      <w:r w:rsidRPr="001953BB">
        <w:t>(3), 1195–1213. https://doi.org/10.1257/aer.100.3.1195</w:t>
      </w:r>
    </w:p>
    <w:p w14:paraId="7BC73507" w14:textId="77777777" w:rsidR="00632178" w:rsidRPr="001953BB" w:rsidRDefault="00632178" w:rsidP="00632178">
      <w:pPr>
        <w:pStyle w:val="NormalWeb"/>
        <w:numPr>
          <w:ilvl w:val="0"/>
          <w:numId w:val="46"/>
        </w:numPr>
        <w:ind w:left="360"/>
      </w:pPr>
      <w:r w:rsidRPr="001953BB">
        <w:t xml:space="preserve">Ferraro, P. J. (2002). The local costs of establishing protected areas in low-income nations: Ranomafana National Park, Madagascar. </w:t>
      </w:r>
      <w:r w:rsidRPr="001953BB">
        <w:rPr>
          <w:rStyle w:val="Emphasis"/>
        </w:rPr>
        <w:t>Ecological Economics, 43</w:t>
      </w:r>
      <w:r w:rsidRPr="001953BB">
        <w:t>(2–3), 261–275. https://doi.org/10.1016/S0921-8009(02)00219-7</w:t>
      </w:r>
    </w:p>
    <w:p w14:paraId="244A541E" w14:textId="77777777" w:rsidR="00632178" w:rsidRPr="001953BB" w:rsidRDefault="00632178" w:rsidP="00632178">
      <w:pPr>
        <w:pStyle w:val="NormalWeb"/>
        <w:numPr>
          <w:ilvl w:val="0"/>
          <w:numId w:val="46"/>
        </w:numPr>
        <w:ind w:left="360"/>
      </w:pPr>
      <w:r w:rsidRPr="001953BB">
        <w:lastRenderedPageBreak/>
        <w:t xml:space="preserve">Ferraro, P. J., Hanauer, M. M., &amp; Sims, K. R. (2011). Estimating the effects of conservation on ecosystem services and poverty by integrating modeling and evaluation. </w:t>
      </w:r>
      <w:r w:rsidRPr="001953BB">
        <w:rPr>
          <w:rStyle w:val="Emphasis"/>
        </w:rPr>
        <w:t>Proceedings of the National Academy of Sciences, 108</w:t>
      </w:r>
      <w:r w:rsidRPr="001953BB">
        <w:t>(32), 13919–13924. https://doi.org/10.1073/pnas.1011529108</w:t>
      </w:r>
    </w:p>
    <w:p w14:paraId="5289BF11" w14:textId="77777777" w:rsidR="00632178" w:rsidRPr="001953BB" w:rsidRDefault="00632178" w:rsidP="00632178">
      <w:pPr>
        <w:pStyle w:val="NormalWeb"/>
        <w:numPr>
          <w:ilvl w:val="0"/>
          <w:numId w:val="46"/>
        </w:numPr>
        <w:ind w:left="360"/>
      </w:pPr>
      <w:r w:rsidRPr="001953BB">
        <w:t xml:space="preserve">Ferraro, P. J., McIntosh, C., &amp; Ospina, M. (2011). The effectiveness of the protected area network of Colombia in reducing deforestation. </w:t>
      </w:r>
      <w:r w:rsidRPr="001953BB">
        <w:rPr>
          <w:rStyle w:val="Emphasis"/>
        </w:rPr>
        <w:t>World Development, 39</w:t>
      </w:r>
      <w:r w:rsidRPr="001953BB">
        <w:t>(3), 498–508. https://doi.org/10.1016/j.worlddev.2010.07.010</w:t>
      </w:r>
    </w:p>
    <w:p w14:paraId="0973C38C" w14:textId="295F185E" w:rsidR="00632178" w:rsidRPr="001953BB" w:rsidRDefault="00632178" w:rsidP="00632178">
      <w:pPr>
        <w:pStyle w:val="NormalWeb"/>
        <w:numPr>
          <w:ilvl w:val="0"/>
          <w:numId w:val="46"/>
        </w:numPr>
        <w:ind w:left="360"/>
      </w:pPr>
      <w:r w:rsidRPr="001953BB">
        <w:t xml:space="preserve">Fredriksson, P. G., &amp; Millimet, D. L. (2002). Strategic interaction and the determination of environmental policy across U.S. states. </w:t>
      </w:r>
      <w:r w:rsidRPr="001953BB">
        <w:rPr>
          <w:rStyle w:val="Emphasis"/>
        </w:rPr>
        <w:t>Journal of Urban Economics, 51</w:t>
      </w:r>
      <w:r w:rsidRPr="001953BB">
        <w:t>(1), 101–122. https://doi.org/10.1006/juec.2001.2235</w:t>
      </w:r>
    </w:p>
    <w:p w14:paraId="39219991" w14:textId="77777777" w:rsidR="00632178" w:rsidRPr="001953BB" w:rsidRDefault="00632178" w:rsidP="00632178">
      <w:pPr>
        <w:pStyle w:val="NormalWeb"/>
        <w:numPr>
          <w:ilvl w:val="0"/>
          <w:numId w:val="46"/>
        </w:numPr>
        <w:ind w:left="360"/>
      </w:pPr>
      <w:r w:rsidRPr="001953BB">
        <w:t xml:space="preserve">Fujita, M., Krugman, P., &amp; Venables, A. J. (1999). </w:t>
      </w:r>
      <w:r w:rsidRPr="001953BB">
        <w:rPr>
          <w:rStyle w:val="Emphasis"/>
        </w:rPr>
        <w:t>The spatial economy: Cities, regions, and international trade</w:t>
      </w:r>
      <w:r w:rsidRPr="001953BB">
        <w:t>. MIT Press.</w:t>
      </w:r>
    </w:p>
    <w:p w14:paraId="590D22FF" w14:textId="77777777" w:rsidR="00632178" w:rsidRPr="001953BB" w:rsidRDefault="00632178" w:rsidP="00632178">
      <w:pPr>
        <w:pStyle w:val="NormalWeb"/>
        <w:numPr>
          <w:ilvl w:val="0"/>
          <w:numId w:val="46"/>
        </w:numPr>
        <w:ind w:left="360"/>
      </w:pPr>
      <w:r w:rsidRPr="001953BB">
        <w:t xml:space="preserve">Glaeser, E. L., Kallal, H. D., Scheinkman, J. A., &amp; Shleifer, A. (2001). Growth in cities. </w:t>
      </w:r>
      <w:r w:rsidRPr="001953BB">
        <w:rPr>
          <w:rStyle w:val="Emphasis"/>
        </w:rPr>
        <w:t>Journal of Political Economy, 100</w:t>
      </w:r>
      <w:r w:rsidRPr="001953BB">
        <w:t>(6), 1126–1152. https://doi.org/10.1086/261856</w:t>
      </w:r>
    </w:p>
    <w:p w14:paraId="680469E0" w14:textId="77777777" w:rsidR="00632178" w:rsidRPr="001953BB" w:rsidRDefault="00632178" w:rsidP="00632178">
      <w:pPr>
        <w:pStyle w:val="NormalWeb"/>
        <w:numPr>
          <w:ilvl w:val="0"/>
          <w:numId w:val="46"/>
        </w:numPr>
        <w:ind w:left="360"/>
      </w:pPr>
      <w:r w:rsidRPr="001953BB">
        <w:t xml:space="preserve">Greene, W. H. (2012). </w:t>
      </w:r>
      <w:r w:rsidRPr="001953BB">
        <w:rPr>
          <w:rStyle w:val="Emphasis"/>
        </w:rPr>
        <w:t>Econometric analysis</w:t>
      </w:r>
      <w:r w:rsidRPr="001953BB">
        <w:t xml:space="preserve"> (7th ed.). Pearson Education.</w:t>
      </w:r>
    </w:p>
    <w:p w14:paraId="0C5E9D08" w14:textId="77777777" w:rsidR="00632178" w:rsidRPr="001953BB" w:rsidRDefault="00632178" w:rsidP="00632178">
      <w:pPr>
        <w:pStyle w:val="NormalWeb"/>
        <w:numPr>
          <w:ilvl w:val="0"/>
          <w:numId w:val="46"/>
        </w:numPr>
        <w:ind w:left="360"/>
      </w:pPr>
      <w:r w:rsidRPr="001953BB">
        <w:t xml:space="preserve">Greene, W. H. (2018). </w:t>
      </w:r>
      <w:r w:rsidRPr="001953BB">
        <w:rPr>
          <w:rStyle w:val="Emphasis"/>
        </w:rPr>
        <w:t>Econometric analysis</w:t>
      </w:r>
      <w:r w:rsidRPr="001953BB">
        <w:t xml:space="preserve"> (8th ed.). Pearson.</w:t>
      </w:r>
    </w:p>
    <w:p w14:paraId="24BAE98A" w14:textId="0BEB85AE" w:rsidR="00632178" w:rsidRPr="001953BB" w:rsidRDefault="00632178" w:rsidP="00632178">
      <w:pPr>
        <w:pStyle w:val="NormalWeb"/>
        <w:numPr>
          <w:ilvl w:val="0"/>
          <w:numId w:val="46"/>
        </w:numPr>
        <w:ind w:left="360"/>
      </w:pPr>
      <w:r w:rsidRPr="001953BB">
        <w:t xml:space="preserve">Greenstone, M. (2002). The impacts of environmental regulations on industrial activity: Evidence from the 1970 and 1977 Clean Air Act Amendments and the Census of Manufactures. </w:t>
      </w:r>
      <w:r w:rsidRPr="001953BB">
        <w:rPr>
          <w:rStyle w:val="Emphasis"/>
        </w:rPr>
        <w:t>Journal of Political Economy, 110</w:t>
      </w:r>
      <w:r w:rsidRPr="001953BB">
        <w:t>(6), 1175–1219. https://doi.org/10.1086/342808</w:t>
      </w:r>
    </w:p>
    <w:p w14:paraId="319E1E5D" w14:textId="77777777" w:rsidR="00632178" w:rsidRPr="001953BB" w:rsidRDefault="00632178" w:rsidP="00632178">
      <w:pPr>
        <w:pStyle w:val="NormalWeb"/>
        <w:numPr>
          <w:ilvl w:val="0"/>
          <w:numId w:val="46"/>
        </w:numPr>
        <w:ind w:left="360"/>
      </w:pPr>
      <w:r w:rsidRPr="001953BB">
        <w:lastRenderedPageBreak/>
        <w:t xml:space="preserve">Greenstone, M., Hornbeck, R., &amp; Moretti, E. (2010). Identifying agglomeration spillovers: Evidence from winners and losers of large plant openings. </w:t>
      </w:r>
      <w:r w:rsidRPr="001953BB">
        <w:rPr>
          <w:rStyle w:val="Emphasis"/>
        </w:rPr>
        <w:t>Journal of Political Economy, 118</w:t>
      </w:r>
      <w:r w:rsidRPr="001953BB">
        <w:t>(3), 536–598. https://doi.org/10.1086/653714</w:t>
      </w:r>
    </w:p>
    <w:p w14:paraId="19FF975A" w14:textId="77777777" w:rsidR="00632178" w:rsidRPr="001953BB" w:rsidRDefault="00632178" w:rsidP="00632178">
      <w:pPr>
        <w:pStyle w:val="NormalWeb"/>
        <w:numPr>
          <w:ilvl w:val="0"/>
          <w:numId w:val="46"/>
        </w:numPr>
        <w:ind w:left="360"/>
      </w:pPr>
      <w:r w:rsidRPr="001953BB">
        <w:t xml:space="preserve">Grossman, G. M., &amp; Krueger, A. B. (1995). Economic growth and the environment. </w:t>
      </w:r>
      <w:r w:rsidRPr="001953BB">
        <w:rPr>
          <w:rStyle w:val="Emphasis"/>
        </w:rPr>
        <w:t>The Quarterly Journal of Economics, 110</w:t>
      </w:r>
      <w:r w:rsidRPr="001953BB">
        <w:t>(2), 353–377. https://doi.org/10.2307/2118443</w:t>
      </w:r>
    </w:p>
    <w:p w14:paraId="7D5E08B2" w14:textId="33195CF6" w:rsidR="00632178" w:rsidRPr="001953BB" w:rsidRDefault="00632178" w:rsidP="00632178">
      <w:pPr>
        <w:pStyle w:val="NormalWeb"/>
        <w:numPr>
          <w:ilvl w:val="0"/>
          <w:numId w:val="46"/>
        </w:numPr>
        <w:ind w:left="360"/>
      </w:pPr>
      <w:r w:rsidRPr="001953BB">
        <w:t xml:space="preserve">Gyourko, J., &amp; Molloy, R. (2015). Regulation and housing supply. In G. Duranton, J. V. Henderson, &amp; W. C. Strange (Eds.), </w:t>
      </w:r>
      <w:r w:rsidRPr="001953BB">
        <w:rPr>
          <w:rStyle w:val="Emphasis"/>
        </w:rPr>
        <w:t>Handbook of regional and urban economics</w:t>
      </w:r>
      <w:r w:rsidRPr="001953BB">
        <w:t xml:space="preserve"> (Vol. 5, pp. 1289–1337). Elsevier. https://doi.org/10.1016/B978-0-444-59531-7.00019-3</w:t>
      </w:r>
    </w:p>
    <w:p w14:paraId="1B808CED" w14:textId="77777777" w:rsidR="00632178" w:rsidRPr="001953BB" w:rsidRDefault="00632178" w:rsidP="00632178">
      <w:pPr>
        <w:pStyle w:val="NormalWeb"/>
        <w:numPr>
          <w:ilvl w:val="0"/>
          <w:numId w:val="46"/>
        </w:numPr>
        <w:ind w:left="360"/>
      </w:pPr>
      <w:r w:rsidRPr="001953BB">
        <w:t xml:space="preserve">Halpern, B. S., et al. (2013). Achieving the triple bottom line in the face of inherent trade-offs among social equity, economic return, and conservation. </w:t>
      </w:r>
      <w:r w:rsidRPr="001953BB">
        <w:rPr>
          <w:rStyle w:val="Emphasis"/>
        </w:rPr>
        <w:t>Proceedings of the National Academy of Sciences, 110</w:t>
      </w:r>
      <w:r w:rsidRPr="001953BB">
        <w:t>(15), 6229–6234. https://doi.org/10.1073/pnas.1217689110</w:t>
      </w:r>
    </w:p>
    <w:p w14:paraId="2DAB281B" w14:textId="77777777" w:rsidR="00632178" w:rsidRPr="001953BB" w:rsidRDefault="00632178" w:rsidP="00632178">
      <w:pPr>
        <w:pStyle w:val="NormalWeb"/>
        <w:numPr>
          <w:ilvl w:val="0"/>
          <w:numId w:val="46"/>
        </w:numPr>
        <w:ind w:left="360"/>
      </w:pPr>
      <w:r w:rsidRPr="001953BB">
        <w:t xml:space="preserve">Haltiwanger, J., Jarmin, R. S., &amp; Miranda, J. (2013). Who creates jobs? Small versus large versus young. </w:t>
      </w:r>
      <w:r w:rsidRPr="001953BB">
        <w:rPr>
          <w:rStyle w:val="Emphasis"/>
        </w:rPr>
        <w:t>Review of Economics and Statistics, 95</w:t>
      </w:r>
      <w:r w:rsidRPr="001953BB">
        <w:t>(2), 347–361. https://doi.org/10.1162/REST_a_00288</w:t>
      </w:r>
    </w:p>
    <w:p w14:paraId="1A2E5CA4" w14:textId="77777777" w:rsidR="00632178" w:rsidRPr="001953BB" w:rsidRDefault="00632178" w:rsidP="00632178">
      <w:pPr>
        <w:pStyle w:val="NormalWeb"/>
        <w:numPr>
          <w:ilvl w:val="0"/>
          <w:numId w:val="46"/>
        </w:numPr>
        <w:ind w:left="360"/>
      </w:pPr>
      <w:r w:rsidRPr="001953BB">
        <w:t xml:space="preserve">He, W., &amp; Romanos, M. (2016). On the use of lagged dependent variables in fixed effects regression models for count data. </w:t>
      </w:r>
      <w:r w:rsidRPr="001953BB">
        <w:rPr>
          <w:rStyle w:val="Emphasis"/>
        </w:rPr>
        <w:t>Economics Letters, 138</w:t>
      </w:r>
      <w:r w:rsidRPr="001953BB">
        <w:t>, 31–34. https://doi.org/10.1016/j.econlet.2015.11.023</w:t>
      </w:r>
    </w:p>
    <w:p w14:paraId="7FA4C854" w14:textId="59151A92" w:rsidR="00632178" w:rsidRPr="001953BB" w:rsidRDefault="00632178" w:rsidP="00632178">
      <w:pPr>
        <w:pStyle w:val="NormalWeb"/>
        <w:numPr>
          <w:ilvl w:val="0"/>
          <w:numId w:val="46"/>
        </w:numPr>
        <w:ind w:left="360"/>
      </w:pPr>
      <w:r w:rsidRPr="001953BB">
        <w:t xml:space="preserve">Head, K., &amp; Mayer, T. (2004). The empirics of agglomeration and trade. In J. V. Henderson &amp; J. F. Thisse (Eds.), </w:t>
      </w:r>
      <w:r w:rsidRPr="001953BB">
        <w:rPr>
          <w:rStyle w:val="Emphasis"/>
        </w:rPr>
        <w:t>Handbook of regional and urban economics</w:t>
      </w:r>
      <w:r w:rsidRPr="001953BB">
        <w:t xml:space="preserve"> (Vol. 4, pp. 2609–2669). Elsevier. https://doi.org/10.1016/S1574-0080(04)80006-3</w:t>
      </w:r>
    </w:p>
    <w:p w14:paraId="6FA64D07" w14:textId="0D33A27F" w:rsidR="00632178" w:rsidRPr="001953BB" w:rsidRDefault="00632178" w:rsidP="00632178">
      <w:pPr>
        <w:pStyle w:val="NormalWeb"/>
        <w:numPr>
          <w:ilvl w:val="0"/>
          <w:numId w:val="46"/>
        </w:numPr>
        <w:ind w:left="360"/>
      </w:pPr>
      <w:r w:rsidRPr="001953BB">
        <w:lastRenderedPageBreak/>
        <w:t xml:space="preserve">Head, K., Ries, J., &amp; Swenson, D. (1995). Agglomeration benefits and location choice: Evidence from Japanese manufacturing investments in the United States. </w:t>
      </w:r>
      <w:r w:rsidRPr="001953BB">
        <w:rPr>
          <w:rStyle w:val="Emphasis"/>
        </w:rPr>
        <w:t>Journal of International Economics, 38</w:t>
      </w:r>
      <w:r w:rsidRPr="001953BB">
        <w:t>(3–4), 223–247. https://doi.org/10.1016/0022-1996(94)01351-R</w:t>
      </w:r>
    </w:p>
    <w:p w14:paraId="59E5F1F7" w14:textId="77777777" w:rsidR="00632178" w:rsidRPr="001953BB" w:rsidRDefault="00632178" w:rsidP="00632178">
      <w:pPr>
        <w:pStyle w:val="NormalWeb"/>
        <w:numPr>
          <w:ilvl w:val="0"/>
          <w:numId w:val="46"/>
        </w:numPr>
        <w:ind w:left="360"/>
      </w:pPr>
      <w:r w:rsidRPr="001953BB">
        <w:t xml:space="preserve">Holmes, T. J., &amp; Stevens, J. J. (2014). Resurrecting the role of the product cycle in trade models. </w:t>
      </w:r>
      <w:r w:rsidRPr="001953BB">
        <w:rPr>
          <w:rStyle w:val="Emphasis"/>
        </w:rPr>
        <w:t>Journal of International Economics, 92</w:t>
      </w:r>
      <w:r w:rsidRPr="001953BB">
        <w:t>(1), 118–131. https://doi.org/10.1016/j.jinteco.2013.11.001</w:t>
      </w:r>
    </w:p>
    <w:p w14:paraId="65806446" w14:textId="77777777" w:rsidR="00632178" w:rsidRPr="001953BB" w:rsidRDefault="00632178" w:rsidP="00632178">
      <w:pPr>
        <w:pStyle w:val="NormalWeb"/>
        <w:numPr>
          <w:ilvl w:val="0"/>
          <w:numId w:val="46"/>
        </w:numPr>
        <w:ind w:left="360"/>
      </w:pPr>
      <w:r w:rsidRPr="001953BB">
        <w:t xml:space="preserve">Hotelling, H. (1931). The economics of exhaustible resources. </w:t>
      </w:r>
      <w:r w:rsidRPr="001953BB">
        <w:rPr>
          <w:rStyle w:val="Emphasis"/>
        </w:rPr>
        <w:t>Journal of Political Economy, 39</w:t>
      </w:r>
      <w:r w:rsidRPr="001953BB">
        <w:t>(2), 137–175. https://doi.org/10.1086/254195</w:t>
      </w:r>
    </w:p>
    <w:p w14:paraId="0993BF94" w14:textId="77777777" w:rsidR="00632178" w:rsidRPr="001953BB" w:rsidRDefault="00632178" w:rsidP="00632178">
      <w:pPr>
        <w:pStyle w:val="NormalWeb"/>
        <w:numPr>
          <w:ilvl w:val="0"/>
          <w:numId w:val="46"/>
        </w:numPr>
        <w:ind w:left="360"/>
      </w:pPr>
      <w:r w:rsidRPr="001953BB">
        <w:t xml:space="preserve">Irwin, E. G., &amp; Bockstael, N. E. (2002). Interacting agents, spatial externalities and the evolution of residential land use patterns. </w:t>
      </w:r>
      <w:r w:rsidRPr="001953BB">
        <w:rPr>
          <w:rStyle w:val="Emphasis"/>
        </w:rPr>
        <w:t>Journal of Economic Geography, 2</w:t>
      </w:r>
      <w:r w:rsidRPr="001953BB">
        <w:t>(1), 31–54. https://doi.org/10.1093/jeg/2.1.31</w:t>
      </w:r>
    </w:p>
    <w:p w14:paraId="042944B2" w14:textId="77777777" w:rsidR="00632178" w:rsidRPr="001953BB" w:rsidRDefault="00632178" w:rsidP="00632178">
      <w:pPr>
        <w:pStyle w:val="NormalWeb"/>
        <w:numPr>
          <w:ilvl w:val="0"/>
          <w:numId w:val="46"/>
        </w:numPr>
        <w:ind w:left="360"/>
      </w:pPr>
      <w:r w:rsidRPr="001953BB">
        <w:t xml:space="preserve">Jeppesen, T., List, J. A., &amp; Folmer, H. (2002). Environmental regulations and new plant location decisions: Evidence from a meta-analysis. </w:t>
      </w:r>
      <w:r w:rsidRPr="001953BB">
        <w:rPr>
          <w:rStyle w:val="Emphasis"/>
        </w:rPr>
        <w:t>Journal of Regional Science, 42</w:t>
      </w:r>
      <w:r w:rsidRPr="001953BB">
        <w:t>(1), 19–49. https://doi.org/10.1111/1467-9787.00251</w:t>
      </w:r>
    </w:p>
    <w:p w14:paraId="3E3D0F6B" w14:textId="77777777" w:rsidR="00632178" w:rsidRPr="001953BB" w:rsidRDefault="00632178" w:rsidP="00632178">
      <w:pPr>
        <w:pStyle w:val="NormalWeb"/>
        <w:numPr>
          <w:ilvl w:val="0"/>
          <w:numId w:val="46"/>
        </w:numPr>
        <w:ind w:left="360"/>
      </w:pPr>
      <w:r w:rsidRPr="001953BB">
        <w:t xml:space="preserve">Joppa, L. N., &amp; Pfaff, A. (2011). Global protected area impacts. </w:t>
      </w:r>
      <w:r w:rsidRPr="001953BB">
        <w:rPr>
          <w:rStyle w:val="Emphasis"/>
        </w:rPr>
        <w:t>Proceedings of the Royal Society B: Biological Sciences, 278</w:t>
      </w:r>
      <w:r w:rsidRPr="001953BB">
        <w:t>(1712), 1633–1638. https://doi.org/10.1098/rspb.2010.1713</w:t>
      </w:r>
    </w:p>
    <w:p w14:paraId="478562E6" w14:textId="77777777" w:rsidR="00632178" w:rsidRPr="001953BB" w:rsidRDefault="00632178" w:rsidP="00632178">
      <w:pPr>
        <w:pStyle w:val="NormalWeb"/>
        <w:numPr>
          <w:ilvl w:val="0"/>
          <w:numId w:val="46"/>
        </w:numPr>
        <w:ind w:left="360"/>
      </w:pPr>
      <w:r w:rsidRPr="001953BB">
        <w:t xml:space="preserve">Jorgenson, A. K., &amp; Burns, T. J. (2007). The political-economic causes of change in the ecological footprints of nations, 1991–2001: A quantitative investigation. </w:t>
      </w:r>
      <w:r w:rsidRPr="001953BB">
        <w:rPr>
          <w:rStyle w:val="Emphasis"/>
        </w:rPr>
        <w:t>Social Science Research, 36</w:t>
      </w:r>
      <w:r w:rsidRPr="001953BB">
        <w:t>(2), 834–853. https://doi.org/10.1016/j.ssresearch.2006.09.005</w:t>
      </w:r>
    </w:p>
    <w:p w14:paraId="632FE207" w14:textId="77777777" w:rsidR="00632178" w:rsidRPr="001953BB" w:rsidRDefault="00632178" w:rsidP="00632178">
      <w:pPr>
        <w:pStyle w:val="NormalWeb"/>
        <w:numPr>
          <w:ilvl w:val="0"/>
          <w:numId w:val="46"/>
        </w:numPr>
        <w:ind w:left="360"/>
      </w:pPr>
      <w:r w:rsidRPr="001953BB">
        <w:t xml:space="preserve">Kahn, M. E. (2006). </w:t>
      </w:r>
      <w:r w:rsidRPr="001953BB">
        <w:rPr>
          <w:rStyle w:val="Emphasis"/>
        </w:rPr>
        <w:t>Green cities: Urban growth and the environment</w:t>
      </w:r>
      <w:r w:rsidRPr="001953BB">
        <w:t>. Brookings Institution Press.</w:t>
      </w:r>
    </w:p>
    <w:p w14:paraId="3EFF0388" w14:textId="77777777" w:rsidR="00632178" w:rsidRPr="001953BB" w:rsidRDefault="00632178" w:rsidP="00632178">
      <w:pPr>
        <w:pStyle w:val="NormalWeb"/>
        <w:numPr>
          <w:ilvl w:val="0"/>
          <w:numId w:val="46"/>
        </w:numPr>
        <w:ind w:left="360"/>
      </w:pPr>
      <w:r w:rsidRPr="001953BB">
        <w:lastRenderedPageBreak/>
        <w:t xml:space="preserve">Klier, T., &amp; McMillen, D. P. (2008). Clustering of auto supplier plants in the United States: Glimpses of the industrial structure of cities. </w:t>
      </w:r>
      <w:r w:rsidRPr="001953BB">
        <w:rPr>
          <w:rStyle w:val="Emphasis"/>
        </w:rPr>
        <w:t>Journal of Economic Geography, 8</w:t>
      </w:r>
      <w:r w:rsidRPr="001953BB">
        <w:t>(2), 231–257. https://doi.org/10.1093/jeg/lbm043</w:t>
      </w:r>
    </w:p>
    <w:p w14:paraId="58373BD7" w14:textId="77777777" w:rsidR="00632178" w:rsidRPr="001953BB" w:rsidRDefault="00632178" w:rsidP="00632178">
      <w:pPr>
        <w:pStyle w:val="NormalWeb"/>
        <w:numPr>
          <w:ilvl w:val="0"/>
          <w:numId w:val="46"/>
        </w:numPr>
        <w:ind w:left="360"/>
      </w:pPr>
      <w:r w:rsidRPr="001953BB">
        <w:t xml:space="preserve">Krugman, P. (1991). </w:t>
      </w:r>
      <w:r w:rsidRPr="001953BB">
        <w:rPr>
          <w:rStyle w:val="Emphasis"/>
        </w:rPr>
        <w:t>Geography and trade</w:t>
      </w:r>
      <w:r w:rsidRPr="001953BB">
        <w:t>. MIT Press.</w:t>
      </w:r>
    </w:p>
    <w:p w14:paraId="59FF933A" w14:textId="77777777" w:rsidR="00632178" w:rsidRPr="001953BB" w:rsidRDefault="00632178" w:rsidP="00632178">
      <w:pPr>
        <w:pStyle w:val="NormalWeb"/>
        <w:numPr>
          <w:ilvl w:val="0"/>
          <w:numId w:val="46"/>
        </w:numPr>
        <w:ind w:left="360"/>
      </w:pPr>
      <w:r w:rsidRPr="001953BB">
        <w:t xml:space="preserve">Krugman, P. (1991). Increasing returns and economic geography. </w:t>
      </w:r>
      <w:r w:rsidRPr="001953BB">
        <w:rPr>
          <w:rStyle w:val="Emphasis"/>
        </w:rPr>
        <w:t>Journal of Political Economy, 99</w:t>
      </w:r>
      <w:r w:rsidRPr="001953BB">
        <w:t>(3), 483–499. https://doi.org/10.1086/261763</w:t>
      </w:r>
    </w:p>
    <w:p w14:paraId="3CBFF608" w14:textId="77777777" w:rsidR="00632178" w:rsidRPr="001953BB" w:rsidRDefault="00632178" w:rsidP="00632178">
      <w:pPr>
        <w:pStyle w:val="NormalWeb"/>
        <w:numPr>
          <w:ilvl w:val="0"/>
          <w:numId w:val="46"/>
        </w:numPr>
        <w:ind w:left="360"/>
      </w:pPr>
      <w:r w:rsidRPr="001953BB">
        <w:t xml:space="preserve">Kuminoff, N. V., Parmeter, C. F., &amp; Pope, J. C. (2013). Which hedonic models can we trust to recover the marginal willingness to pay for environmental amenities? </w:t>
      </w:r>
      <w:r w:rsidRPr="001953BB">
        <w:rPr>
          <w:rStyle w:val="Emphasis"/>
        </w:rPr>
        <w:t>Journal of Environmental Economics and Management, 66</w:t>
      </w:r>
      <w:r w:rsidRPr="001953BB">
        <w:t>(3), 380–393. https://doi.org/10.1016/j.jeem.2013.06.004</w:t>
      </w:r>
    </w:p>
    <w:p w14:paraId="2B4E6234" w14:textId="77777777" w:rsidR="00632178" w:rsidRPr="001953BB" w:rsidRDefault="00632178" w:rsidP="00632178">
      <w:pPr>
        <w:pStyle w:val="NormalWeb"/>
        <w:numPr>
          <w:ilvl w:val="0"/>
          <w:numId w:val="46"/>
        </w:numPr>
        <w:ind w:left="360"/>
      </w:pPr>
      <w:r w:rsidRPr="001953BB">
        <w:t xml:space="preserve">Levinson, A. (1996). Environmental regulations and manufacturers’ location choices: Evidence from the Census of Manufactures. </w:t>
      </w:r>
      <w:r w:rsidRPr="001953BB">
        <w:rPr>
          <w:rStyle w:val="Emphasis"/>
        </w:rPr>
        <w:t>Journal of Public Economics, 62</w:t>
      </w:r>
      <w:r w:rsidRPr="001953BB">
        <w:t>(1–2), 5–29. https://doi.org/10.1016/0047-2727(96)01572-1</w:t>
      </w:r>
    </w:p>
    <w:p w14:paraId="791A41CC" w14:textId="057A7ABF" w:rsidR="00632178" w:rsidRPr="001953BB" w:rsidRDefault="00632178" w:rsidP="00632178">
      <w:pPr>
        <w:pStyle w:val="NormalWeb"/>
        <w:numPr>
          <w:ilvl w:val="0"/>
          <w:numId w:val="46"/>
        </w:numPr>
        <w:ind w:left="360"/>
      </w:pPr>
      <w:r w:rsidRPr="001953BB">
        <w:t xml:space="preserve">Levinson, A. (2003). Environmental regulatory competition: A status report and some new evidence. </w:t>
      </w:r>
      <w:r w:rsidRPr="001953BB">
        <w:rPr>
          <w:rStyle w:val="Emphasis"/>
        </w:rPr>
        <w:t>National Tax Journal, 56</w:t>
      </w:r>
      <w:r w:rsidRPr="001953BB">
        <w:t>(1), 91–106. https://doi.org/10.17310/ntj.2003.1.05</w:t>
      </w:r>
    </w:p>
    <w:p w14:paraId="7F5B384D" w14:textId="59B84E0B" w:rsidR="00632178" w:rsidRPr="001953BB" w:rsidRDefault="00632178" w:rsidP="00632178">
      <w:pPr>
        <w:pStyle w:val="NormalWeb"/>
        <w:numPr>
          <w:ilvl w:val="0"/>
          <w:numId w:val="46"/>
        </w:numPr>
        <w:ind w:left="360"/>
      </w:pPr>
      <w:r w:rsidRPr="001953BB">
        <w:t xml:space="preserve">Levinson, A., &amp; Taylor, M. S. (2008). Unmasking the pollution haven effect. </w:t>
      </w:r>
      <w:r w:rsidRPr="001953BB">
        <w:rPr>
          <w:rStyle w:val="Emphasis"/>
        </w:rPr>
        <w:t>International Economic Review, 49</w:t>
      </w:r>
      <w:r w:rsidRPr="001953BB">
        <w:t>(1), 223–254. https://doi.org/10.1111/j.1468-2354.2008.00478.x</w:t>
      </w:r>
    </w:p>
    <w:p w14:paraId="698BD24A" w14:textId="77777777" w:rsidR="00632178" w:rsidRPr="001953BB" w:rsidRDefault="00632178" w:rsidP="00632178">
      <w:pPr>
        <w:pStyle w:val="NormalWeb"/>
        <w:numPr>
          <w:ilvl w:val="0"/>
          <w:numId w:val="46"/>
        </w:numPr>
        <w:ind w:left="360"/>
      </w:pPr>
      <w:r w:rsidRPr="001953BB">
        <w:t xml:space="preserve">Libby, L. W., &amp; Sharp, E. B. (2003). Agricultural and urban land use patterns: An analysis of external influences. </w:t>
      </w:r>
      <w:r w:rsidRPr="001953BB">
        <w:rPr>
          <w:rStyle w:val="Emphasis"/>
        </w:rPr>
        <w:t>Land Economics, 79</w:t>
      </w:r>
      <w:r w:rsidRPr="001953BB">
        <w:t>(4), 491–503. https://doi.org/10.2307/3147298</w:t>
      </w:r>
    </w:p>
    <w:p w14:paraId="340F4583" w14:textId="77777777" w:rsidR="00632178" w:rsidRPr="001953BB" w:rsidRDefault="00632178" w:rsidP="00632178">
      <w:pPr>
        <w:pStyle w:val="NormalWeb"/>
        <w:numPr>
          <w:ilvl w:val="0"/>
          <w:numId w:val="46"/>
        </w:numPr>
        <w:ind w:left="360"/>
      </w:pPr>
      <w:r w:rsidRPr="001953BB">
        <w:t xml:space="preserve">List, J. A., Millimet, D. L., &amp; Stengos, T. (2003). The environmental Kuznets curve: Real progress or misspecified measurement? </w:t>
      </w:r>
      <w:r w:rsidRPr="001953BB">
        <w:rPr>
          <w:rStyle w:val="Emphasis"/>
        </w:rPr>
        <w:t>The Review of Economics and Statistics, 85</w:t>
      </w:r>
      <w:r w:rsidRPr="001953BB">
        <w:t>(4), 1038–1047. https://doi.org/10.1162/003465303772815930</w:t>
      </w:r>
    </w:p>
    <w:p w14:paraId="48EA8A41" w14:textId="77777777" w:rsidR="00632178" w:rsidRPr="001953BB" w:rsidRDefault="00632178" w:rsidP="00632178">
      <w:pPr>
        <w:pStyle w:val="NormalWeb"/>
        <w:numPr>
          <w:ilvl w:val="0"/>
          <w:numId w:val="46"/>
        </w:numPr>
        <w:ind w:left="360"/>
      </w:pPr>
      <w:r w:rsidRPr="001953BB">
        <w:lastRenderedPageBreak/>
        <w:t xml:space="preserve">List, J. A., Millimet, D. L., Fredriksson, P. G., &amp; McHone, W. W. (2006). Effects of environmental regulations on manufacturing plant births: Evidence from a propensity score matching estimator. </w:t>
      </w:r>
      <w:r w:rsidRPr="001953BB">
        <w:rPr>
          <w:rStyle w:val="Emphasis"/>
        </w:rPr>
        <w:t>Review of Economics and Statistics, 88</w:t>
      </w:r>
      <w:r w:rsidRPr="001953BB">
        <w:t>(4), 672–690. https://doi.org/10.1162/rest.88.4.672</w:t>
      </w:r>
    </w:p>
    <w:p w14:paraId="68C6CD62" w14:textId="4DB2AC1A" w:rsidR="00632178" w:rsidRPr="001953BB" w:rsidRDefault="00632178" w:rsidP="00632178">
      <w:pPr>
        <w:pStyle w:val="NormalWeb"/>
        <w:numPr>
          <w:ilvl w:val="0"/>
          <w:numId w:val="46"/>
        </w:numPr>
        <w:ind w:left="360"/>
      </w:pPr>
      <w:r w:rsidRPr="001953BB">
        <w:t xml:space="preserve">Manjón-Antolín, M. C., &amp; Arauzo-Carod, J. M. (2011). Locations and relocations: Modelling, determinants, and interrelations. </w:t>
      </w:r>
      <w:r w:rsidRPr="001953BB">
        <w:rPr>
          <w:rStyle w:val="Emphasis"/>
        </w:rPr>
        <w:t>The Annals of Regional Science, 47</w:t>
      </w:r>
      <w:r w:rsidRPr="001953BB">
        <w:t>(1), 131–146. https://doi.org/10.1007/s00168-010-0374-5</w:t>
      </w:r>
    </w:p>
    <w:p w14:paraId="2DC2066A" w14:textId="77777777" w:rsidR="00632178" w:rsidRPr="001953BB" w:rsidRDefault="00632178" w:rsidP="00632178">
      <w:pPr>
        <w:pStyle w:val="NormalWeb"/>
        <w:numPr>
          <w:ilvl w:val="0"/>
          <w:numId w:val="46"/>
        </w:numPr>
        <w:ind w:left="360"/>
      </w:pPr>
      <w:r w:rsidRPr="001953BB">
        <w:t xml:space="preserve">Markusen, A. (1995). Sticky places in slippery space: A typology of industrial districts. </w:t>
      </w:r>
      <w:r w:rsidRPr="001953BB">
        <w:rPr>
          <w:rStyle w:val="Emphasis"/>
        </w:rPr>
        <w:t>Economic Geography, 71</w:t>
      </w:r>
      <w:r w:rsidRPr="001953BB">
        <w:t>(3), 293–313. https://doi.org/10.2307/144428</w:t>
      </w:r>
    </w:p>
    <w:p w14:paraId="077CD3DF" w14:textId="77777777" w:rsidR="00632178" w:rsidRPr="001953BB" w:rsidRDefault="00632178" w:rsidP="00632178">
      <w:pPr>
        <w:pStyle w:val="NormalWeb"/>
        <w:numPr>
          <w:ilvl w:val="0"/>
          <w:numId w:val="46"/>
        </w:numPr>
        <w:ind w:left="360"/>
      </w:pPr>
      <w:r w:rsidRPr="001953BB">
        <w:t xml:space="preserve">Martin, R., Sunley, P., Gardiner, B., &amp; Tyler, P. (2011). Does spatial agglomeration increase national growth? Some evidence from Europe. </w:t>
      </w:r>
      <w:r w:rsidRPr="001953BB">
        <w:rPr>
          <w:rStyle w:val="Emphasis"/>
        </w:rPr>
        <w:t>Journal of Economic Geography, 11</w:t>
      </w:r>
      <w:r w:rsidRPr="001953BB">
        <w:t>(6), 979–1006. https://doi.org/10.1093/jeg/lbr010</w:t>
      </w:r>
    </w:p>
    <w:p w14:paraId="5AD8D0CD" w14:textId="299B7EE7" w:rsidR="00632178" w:rsidRPr="001953BB" w:rsidRDefault="00632178" w:rsidP="00632178">
      <w:pPr>
        <w:pStyle w:val="NormalWeb"/>
        <w:numPr>
          <w:ilvl w:val="0"/>
          <w:numId w:val="46"/>
        </w:numPr>
        <w:ind w:left="360"/>
      </w:pPr>
      <w:r w:rsidRPr="001953BB">
        <w:t xml:space="preserve">Morello-Frosch, R., Pastor, M., &amp; Sadd, J. L. (2002). Integrating environmental justice and the precautionary principle in research and policy making: The case of ambient air toxics exposures and health risks among schoolchildren in Los Angeles. </w:t>
      </w:r>
      <w:r w:rsidRPr="001953BB">
        <w:rPr>
          <w:rStyle w:val="Emphasis"/>
        </w:rPr>
        <w:t>Annals of the American Academy of Political and Social Science, 584</w:t>
      </w:r>
      <w:r w:rsidRPr="001953BB">
        <w:t>(1), 47–68. https://doi.org/10.1177/000271620258400103</w:t>
      </w:r>
    </w:p>
    <w:p w14:paraId="4ACF2A8E" w14:textId="77777777" w:rsidR="00632178" w:rsidRPr="001953BB" w:rsidRDefault="00632178" w:rsidP="00632178">
      <w:pPr>
        <w:pStyle w:val="NormalWeb"/>
        <w:numPr>
          <w:ilvl w:val="0"/>
          <w:numId w:val="46"/>
        </w:numPr>
        <w:ind w:left="360"/>
      </w:pPr>
      <w:r w:rsidRPr="001953BB">
        <w:t xml:space="preserve">Moretti, E. (2010). Local multipliers. </w:t>
      </w:r>
      <w:r w:rsidRPr="001953BB">
        <w:rPr>
          <w:rStyle w:val="Emphasis"/>
        </w:rPr>
        <w:t>American Economic Review, 100</w:t>
      </w:r>
      <w:r w:rsidRPr="001953BB">
        <w:t>(2), 373–377. https://doi.org/10.1257/aer.100.2.373</w:t>
      </w:r>
    </w:p>
    <w:p w14:paraId="08A05A83" w14:textId="77777777" w:rsidR="00632178" w:rsidRPr="001953BB" w:rsidRDefault="00632178" w:rsidP="00632178">
      <w:pPr>
        <w:pStyle w:val="NormalWeb"/>
        <w:numPr>
          <w:ilvl w:val="0"/>
          <w:numId w:val="46"/>
        </w:numPr>
        <w:ind w:left="360"/>
      </w:pPr>
      <w:r w:rsidRPr="001953BB">
        <w:t xml:space="preserve">Moretti, E. (2011). Local labor markets. In O. Ashenfelter &amp; D. Card (Eds.), </w:t>
      </w:r>
      <w:r w:rsidRPr="001953BB">
        <w:rPr>
          <w:rStyle w:val="Emphasis"/>
        </w:rPr>
        <w:t>Handbook of labor economics</w:t>
      </w:r>
      <w:r w:rsidRPr="001953BB">
        <w:t xml:space="preserve"> (Vol. 4B, pp. 1237–1313). Elsevier. https://doi.org/10.1016/B978-0-444-53439-2.00014-5</w:t>
      </w:r>
    </w:p>
    <w:p w14:paraId="0ABD0DAA" w14:textId="77777777" w:rsidR="00632178" w:rsidRPr="001953BB" w:rsidRDefault="00632178" w:rsidP="00632178">
      <w:pPr>
        <w:pStyle w:val="NormalWeb"/>
        <w:numPr>
          <w:ilvl w:val="0"/>
          <w:numId w:val="46"/>
        </w:numPr>
        <w:ind w:left="360"/>
      </w:pPr>
      <w:r w:rsidRPr="001953BB">
        <w:lastRenderedPageBreak/>
        <w:t xml:space="preserve">Naidoo, R., &amp; Adamowicz, W. L. (2006). Modeling opportunity costs of conservation in transitional landscapes. </w:t>
      </w:r>
      <w:r w:rsidRPr="001953BB">
        <w:rPr>
          <w:rStyle w:val="Emphasis"/>
        </w:rPr>
        <w:t>Conservation Biology, 20</w:t>
      </w:r>
      <w:r w:rsidRPr="001953BB">
        <w:t>(2), 490–500. https://doi.org/10.1111/j.1523-1739.2006.00307.x</w:t>
      </w:r>
    </w:p>
    <w:p w14:paraId="11C1DD78" w14:textId="77777777" w:rsidR="00632178" w:rsidRPr="001953BB" w:rsidRDefault="00632178" w:rsidP="00632178">
      <w:pPr>
        <w:pStyle w:val="NormalWeb"/>
        <w:numPr>
          <w:ilvl w:val="0"/>
          <w:numId w:val="46"/>
        </w:numPr>
        <w:ind w:left="360"/>
      </w:pPr>
      <w:r w:rsidRPr="001953BB">
        <w:t xml:space="preserve">Neidell, M. J., &amp; Viswanathan, S. (2011). Air quality and manufacturing firm productivity: Comprehensive evidence from India. </w:t>
      </w:r>
      <w:r w:rsidRPr="001953BB">
        <w:rPr>
          <w:rStyle w:val="Emphasis"/>
        </w:rPr>
        <w:t>The Review of Economics and Statistics, 93</w:t>
      </w:r>
      <w:r w:rsidRPr="001953BB">
        <w:t>(4), 1196–1213. https://doi.org/10.1162/REST_a_00103</w:t>
      </w:r>
    </w:p>
    <w:p w14:paraId="555A0C99" w14:textId="77777777" w:rsidR="00632178" w:rsidRPr="001953BB" w:rsidRDefault="00632178" w:rsidP="00632178">
      <w:pPr>
        <w:pStyle w:val="NormalWeb"/>
        <w:numPr>
          <w:ilvl w:val="0"/>
          <w:numId w:val="46"/>
        </w:numPr>
        <w:ind w:left="360"/>
      </w:pPr>
      <w:r w:rsidRPr="001953BB">
        <w:t xml:space="preserve">Nelson, A. C., Dawkins, C. J., &amp; Sanchez, T. W. (2004). Urban containment and residential prices: Some evidence from U.S. metropolitan areas. </w:t>
      </w:r>
      <w:r w:rsidRPr="001953BB">
        <w:rPr>
          <w:rStyle w:val="Emphasis"/>
        </w:rPr>
        <w:t>Journal of Urban Planning and Development, 130</w:t>
      </w:r>
      <w:r w:rsidRPr="001953BB">
        <w:t>(1), 38–46. https://doi.org/10.1061/(ASCE)0733-9488(2004)130:1(38)</w:t>
      </w:r>
    </w:p>
    <w:p w14:paraId="7AA238C6" w14:textId="77777777" w:rsidR="00632178" w:rsidRPr="001953BB" w:rsidRDefault="00632178" w:rsidP="00632178">
      <w:pPr>
        <w:pStyle w:val="NormalWeb"/>
        <w:numPr>
          <w:ilvl w:val="0"/>
          <w:numId w:val="46"/>
        </w:numPr>
        <w:ind w:left="360"/>
      </w:pPr>
      <w:r w:rsidRPr="001953BB">
        <w:t xml:space="preserve">Newburn, D. A., &amp; Berck, P. (2011). Exurban development. </w:t>
      </w:r>
      <w:r w:rsidRPr="001953BB">
        <w:rPr>
          <w:rStyle w:val="Emphasis"/>
        </w:rPr>
        <w:t>Journal of Environmental Economics and Management, 62</w:t>
      </w:r>
      <w:r w:rsidRPr="001953BB">
        <w:t>(3), 323–336. https://doi.org/10.1016/j.jeem.2011.05.003</w:t>
      </w:r>
    </w:p>
    <w:p w14:paraId="3C68F30D" w14:textId="77777777" w:rsidR="00632178" w:rsidRPr="001953BB" w:rsidRDefault="00632178" w:rsidP="00632178">
      <w:pPr>
        <w:pStyle w:val="NormalWeb"/>
        <w:numPr>
          <w:ilvl w:val="0"/>
          <w:numId w:val="46"/>
        </w:numPr>
        <w:ind w:left="360"/>
      </w:pPr>
      <w:r w:rsidRPr="001953BB">
        <w:t xml:space="preserve">Oates, W. E. (1998). Environmental policy and fiscal federalism. In R. D. Congleton &amp; B. S. Hillman (Eds.), </w:t>
      </w:r>
      <w:r w:rsidRPr="001953BB">
        <w:rPr>
          <w:rStyle w:val="Emphasis"/>
        </w:rPr>
        <w:t>Companion to public economics</w:t>
      </w:r>
      <w:r w:rsidRPr="001953BB">
        <w:t xml:space="preserve"> (pp. 493–513). Edward Elgar Publishing.</w:t>
      </w:r>
    </w:p>
    <w:p w14:paraId="2140FB96" w14:textId="77777777" w:rsidR="00632178" w:rsidRPr="001953BB" w:rsidRDefault="00632178" w:rsidP="00632178">
      <w:pPr>
        <w:pStyle w:val="NormalWeb"/>
        <w:numPr>
          <w:ilvl w:val="0"/>
          <w:numId w:val="46"/>
        </w:numPr>
        <w:ind w:left="360"/>
      </w:pPr>
      <w:r w:rsidRPr="001953BB">
        <w:t xml:space="preserve">Oates, W. E. (2002). A reconsideration of environmental federalism. In H. Folmer &amp; T. Tietenberg (Eds.), </w:t>
      </w:r>
      <w:r w:rsidRPr="001953BB">
        <w:rPr>
          <w:rStyle w:val="Emphasis"/>
        </w:rPr>
        <w:t>Recent advances in environmental economics</w:t>
      </w:r>
      <w:r w:rsidRPr="001953BB">
        <w:t xml:space="preserve"> (pp. 1–32). Edward Elgar Publishing.</w:t>
      </w:r>
    </w:p>
    <w:p w14:paraId="5500765E" w14:textId="77777777" w:rsidR="00632178" w:rsidRPr="001953BB" w:rsidRDefault="00632178" w:rsidP="00632178">
      <w:pPr>
        <w:pStyle w:val="NormalWeb"/>
        <w:numPr>
          <w:ilvl w:val="0"/>
          <w:numId w:val="46"/>
        </w:numPr>
        <w:ind w:left="360"/>
      </w:pPr>
      <w:r w:rsidRPr="001953BB">
        <w:t xml:space="preserve">Oates, W. E., &amp; Portney, P. R. (2003). The political economy of environmental policy. In K. G. Mäler &amp; J. R. Vincent (Eds.), </w:t>
      </w:r>
      <w:r w:rsidRPr="001953BB">
        <w:rPr>
          <w:rStyle w:val="Emphasis"/>
        </w:rPr>
        <w:t>Handbook of environmental economics</w:t>
      </w:r>
      <w:r w:rsidRPr="001953BB">
        <w:t xml:space="preserve"> (Vol. 1, pp. 325–354). Elsevier. https://doi.org/10.1016/S1574-0099(03)01013-1</w:t>
      </w:r>
    </w:p>
    <w:p w14:paraId="0DC9DBED" w14:textId="7C963688" w:rsidR="00632178" w:rsidRPr="001953BB" w:rsidRDefault="00632178" w:rsidP="00632178">
      <w:pPr>
        <w:pStyle w:val="NormalWeb"/>
        <w:numPr>
          <w:ilvl w:val="0"/>
          <w:numId w:val="46"/>
        </w:numPr>
        <w:ind w:left="360"/>
      </w:pPr>
      <w:r w:rsidRPr="001953BB">
        <w:t xml:space="preserve">Oates, W. E., &amp; Schwab, R. M. (1988). Economic competition among jurisdictions: Efficiency enhancing or distortion inducing? </w:t>
      </w:r>
      <w:r w:rsidRPr="001953BB">
        <w:rPr>
          <w:rStyle w:val="Emphasis"/>
        </w:rPr>
        <w:t>Journal of Public Economics, 35</w:t>
      </w:r>
      <w:r w:rsidRPr="001953BB">
        <w:t>(3), 333–354. https://doi.org/10.1016/0047-2727(88)90036-9</w:t>
      </w:r>
    </w:p>
    <w:p w14:paraId="1406DC88" w14:textId="77777777" w:rsidR="00632178" w:rsidRPr="001953BB" w:rsidRDefault="00632178" w:rsidP="00632178">
      <w:pPr>
        <w:pStyle w:val="NormalWeb"/>
        <w:numPr>
          <w:ilvl w:val="0"/>
          <w:numId w:val="46"/>
        </w:numPr>
        <w:ind w:left="360"/>
      </w:pPr>
      <w:r w:rsidRPr="001953BB">
        <w:lastRenderedPageBreak/>
        <w:t xml:space="preserve">Ostrom, E. (1990). </w:t>
      </w:r>
      <w:r w:rsidRPr="001953BB">
        <w:rPr>
          <w:rStyle w:val="Emphasis"/>
        </w:rPr>
        <w:t>Governing the commons: The evolution of institutions for collective action</w:t>
      </w:r>
      <w:r w:rsidRPr="001953BB">
        <w:t>. Cambridge University Press. https://doi.org/10.1017/CBO9780511807763</w:t>
      </w:r>
    </w:p>
    <w:p w14:paraId="6647012E" w14:textId="77777777" w:rsidR="00632178" w:rsidRPr="001953BB" w:rsidRDefault="00632178" w:rsidP="00632178">
      <w:pPr>
        <w:pStyle w:val="NormalWeb"/>
        <w:numPr>
          <w:ilvl w:val="0"/>
          <w:numId w:val="46"/>
        </w:numPr>
        <w:ind w:left="360"/>
      </w:pPr>
      <w:r w:rsidRPr="001953BB">
        <w:t xml:space="preserve">Papke, L. E. (1991). Tax policy and urban development: Evidence from the Indiana enterprise zone program. </w:t>
      </w:r>
      <w:r w:rsidRPr="001953BB">
        <w:rPr>
          <w:rStyle w:val="Emphasis"/>
        </w:rPr>
        <w:t>Journal of Public Economics, 45</w:t>
      </w:r>
      <w:r w:rsidRPr="001953BB">
        <w:t>(1), 47–68. https://doi.org/10.1016/0047-2727(91)90029-K</w:t>
      </w:r>
    </w:p>
    <w:p w14:paraId="4D052F41" w14:textId="77777777" w:rsidR="00632178" w:rsidRPr="001953BB" w:rsidRDefault="00632178" w:rsidP="00632178">
      <w:pPr>
        <w:pStyle w:val="NormalWeb"/>
        <w:numPr>
          <w:ilvl w:val="0"/>
          <w:numId w:val="46"/>
        </w:numPr>
        <w:ind w:left="360"/>
      </w:pPr>
      <w:r w:rsidRPr="001953BB">
        <w:t xml:space="preserve">Pargal, S., &amp; Wheeler, D. (1995). Informal regulation of industrial pollution in developing countries: Evidence from Indonesia. </w:t>
      </w:r>
      <w:r w:rsidRPr="001953BB">
        <w:rPr>
          <w:rStyle w:val="Emphasis"/>
        </w:rPr>
        <w:t>Journal of Political Economy, 103</w:t>
      </w:r>
      <w:r w:rsidRPr="001953BB">
        <w:t>(6), 1299–1329. https://doi.org/10.1086/601448</w:t>
      </w:r>
    </w:p>
    <w:p w14:paraId="5AF2BFE1" w14:textId="68CFBF94" w:rsidR="00632178" w:rsidRPr="001953BB" w:rsidRDefault="00632178" w:rsidP="00632178">
      <w:pPr>
        <w:pStyle w:val="NormalWeb"/>
        <w:numPr>
          <w:ilvl w:val="0"/>
          <w:numId w:val="46"/>
        </w:numPr>
        <w:ind w:left="360"/>
      </w:pPr>
      <w:r w:rsidRPr="001953BB">
        <w:t xml:space="preserve">Pastor, M., Sadd, J. L., &amp; Morello-Frosch, R. (2004). Waiting to inhale: The demographics of toxic air release facilities in 21st-century California. </w:t>
      </w:r>
      <w:r w:rsidRPr="001953BB">
        <w:rPr>
          <w:rStyle w:val="Emphasis"/>
        </w:rPr>
        <w:t>Social Science Quarterly, 85</w:t>
      </w:r>
      <w:r w:rsidRPr="001953BB">
        <w:t>(2), 420–440. https://doi.org/10.1111/j.0038-4941.2004.08502006.x</w:t>
      </w:r>
    </w:p>
    <w:p w14:paraId="2DB810D4" w14:textId="77777777" w:rsidR="00632178" w:rsidRPr="001953BB" w:rsidRDefault="00632178" w:rsidP="00632178">
      <w:pPr>
        <w:pStyle w:val="NormalWeb"/>
        <w:numPr>
          <w:ilvl w:val="0"/>
          <w:numId w:val="46"/>
        </w:numPr>
        <w:ind w:left="360"/>
      </w:pPr>
      <w:r w:rsidRPr="001953BB">
        <w:t xml:space="preserve">Pfeffer, J., &amp; Salancik, G. R. (2003). </w:t>
      </w:r>
      <w:r w:rsidRPr="001953BB">
        <w:rPr>
          <w:rStyle w:val="Emphasis"/>
        </w:rPr>
        <w:t>The external control of organizations: A resource dependence perspective</w:t>
      </w:r>
      <w:r w:rsidRPr="001953BB">
        <w:t>. Stanford University Press.</w:t>
      </w:r>
    </w:p>
    <w:p w14:paraId="096A52AF" w14:textId="77777777" w:rsidR="00632178" w:rsidRPr="001953BB" w:rsidRDefault="00632178" w:rsidP="00632178">
      <w:pPr>
        <w:pStyle w:val="NormalWeb"/>
        <w:numPr>
          <w:ilvl w:val="0"/>
          <w:numId w:val="46"/>
        </w:numPr>
        <w:ind w:left="360"/>
      </w:pPr>
      <w:r w:rsidRPr="001953BB">
        <w:t xml:space="preserve">Plantinga, A. J., &amp; Miller, D. J. (2001). Agricultural land values and the value of rights to future land development. </w:t>
      </w:r>
      <w:r w:rsidRPr="001953BB">
        <w:rPr>
          <w:rStyle w:val="Emphasis"/>
        </w:rPr>
        <w:t>Land Economics, 77</w:t>
      </w:r>
      <w:r w:rsidRPr="001953BB">
        <w:t>(1), 56–67. https://doi.org/10.2307/3146974</w:t>
      </w:r>
    </w:p>
    <w:p w14:paraId="4EF2C9DB" w14:textId="77777777" w:rsidR="00632178" w:rsidRPr="001953BB" w:rsidRDefault="00632178" w:rsidP="00632178">
      <w:pPr>
        <w:pStyle w:val="NormalWeb"/>
        <w:numPr>
          <w:ilvl w:val="0"/>
          <w:numId w:val="46"/>
        </w:numPr>
        <w:ind w:left="360"/>
      </w:pPr>
      <w:r w:rsidRPr="001953BB">
        <w:t xml:space="preserve">Porter, M. E. (2000). Location, competition, and economic development: Local clusters in a global economy. </w:t>
      </w:r>
      <w:r w:rsidRPr="001953BB">
        <w:rPr>
          <w:rStyle w:val="Emphasis"/>
        </w:rPr>
        <w:t>Economic Development Quarterly, 14</w:t>
      </w:r>
      <w:r w:rsidRPr="001953BB">
        <w:t>(1), 15–34. https://doi.org/10.1177/089124240001400105</w:t>
      </w:r>
    </w:p>
    <w:p w14:paraId="5336BEEF" w14:textId="77777777" w:rsidR="00632178" w:rsidRPr="001953BB" w:rsidRDefault="00632178" w:rsidP="00632178">
      <w:pPr>
        <w:pStyle w:val="NormalWeb"/>
        <w:numPr>
          <w:ilvl w:val="0"/>
          <w:numId w:val="46"/>
        </w:numPr>
        <w:ind w:left="360"/>
      </w:pPr>
      <w:r w:rsidRPr="001953BB">
        <w:t xml:space="preserve">Porter, M. E., &amp; van der Linde, C. (1995). Green and competitive: Ending the stalemate. </w:t>
      </w:r>
      <w:r w:rsidRPr="001953BB">
        <w:rPr>
          <w:rStyle w:val="Emphasis"/>
        </w:rPr>
        <w:t>Harvard Business Review, 73</w:t>
      </w:r>
      <w:r w:rsidRPr="001953BB">
        <w:t>(5), 120–134.</w:t>
      </w:r>
    </w:p>
    <w:p w14:paraId="7647B1A2" w14:textId="77777777" w:rsidR="00632178" w:rsidRPr="001953BB" w:rsidRDefault="00632178" w:rsidP="00632178">
      <w:pPr>
        <w:pStyle w:val="NormalWeb"/>
        <w:numPr>
          <w:ilvl w:val="0"/>
          <w:numId w:val="46"/>
        </w:numPr>
        <w:ind w:left="360"/>
      </w:pPr>
      <w:r w:rsidRPr="001953BB">
        <w:lastRenderedPageBreak/>
        <w:t xml:space="preserve">Porter, M. E., &amp; van der Linde, C. (1995). Toward a new conception of the environment-competitiveness relationship. </w:t>
      </w:r>
      <w:r w:rsidRPr="001953BB">
        <w:rPr>
          <w:rStyle w:val="Emphasis"/>
        </w:rPr>
        <w:t>Journal of Economic Perspectives, 9</w:t>
      </w:r>
      <w:r w:rsidRPr="001953BB">
        <w:t>(4), 97–118. https://doi.org/10.1257/jep.9.4.97</w:t>
      </w:r>
    </w:p>
    <w:p w14:paraId="377699C0" w14:textId="571E616F" w:rsidR="00632178" w:rsidRPr="001953BB" w:rsidRDefault="00632178" w:rsidP="00632178">
      <w:pPr>
        <w:pStyle w:val="NormalWeb"/>
        <w:numPr>
          <w:ilvl w:val="0"/>
          <w:numId w:val="46"/>
        </w:numPr>
        <w:ind w:left="360"/>
      </w:pPr>
      <w:r w:rsidRPr="001953BB">
        <w:t xml:space="preserve">Radeloff, V. C., et al. (2019). The wildland–urban interface: Evolution and consequences of a decade of urban growth. </w:t>
      </w:r>
      <w:r w:rsidRPr="001953BB">
        <w:rPr>
          <w:rStyle w:val="Emphasis"/>
        </w:rPr>
        <w:t>Land Use Policy, 75</w:t>
      </w:r>
      <w:r w:rsidRPr="001953BB">
        <w:t>, 73–89. https://doi.org/10.1016/j.landusepol.2018.12.014</w:t>
      </w:r>
    </w:p>
    <w:p w14:paraId="5BF52501" w14:textId="0BECCC4D" w:rsidR="00632178" w:rsidRPr="001953BB" w:rsidRDefault="00632178" w:rsidP="00632178">
      <w:pPr>
        <w:pStyle w:val="NormalWeb"/>
        <w:numPr>
          <w:ilvl w:val="0"/>
          <w:numId w:val="46"/>
        </w:numPr>
        <w:ind w:left="360"/>
      </w:pPr>
      <w:r w:rsidRPr="001953BB">
        <w:t xml:space="preserve">Rosenthal, S. S., &amp; Strange, W. C. (2004). Evidence on the nature and sources of agglomeration economies. In J. V. Henderson &amp; J. F. Thisse (Eds.), </w:t>
      </w:r>
      <w:r w:rsidRPr="001953BB">
        <w:rPr>
          <w:rStyle w:val="Emphasis"/>
        </w:rPr>
        <w:t>Handbook of regional and urban economics</w:t>
      </w:r>
      <w:r w:rsidRPr="001953BB">
        <w:t xml:space="preserve"> (Vol. 4, pp. 2119–2171). Elsevier. https://doi.org/10.1016/S1574-0080(04)80006-3</w:t>
      </w:r>
    </w:p>
    <w:p w14:paraId="6699716D" w14:textId="77777777" w:rsidR="00632178" w:rsidRPr="001953BB" w:rsidRDefault="00632178" w:rsidP="00632178">
      <w:pPr>
        <w:pStyle w:val="NormalWeb"/>
        <w:numPr>
          <w:ilvl w:val="0"/>
          <w:numId w:val="46"/>
        </w:numPr>
        <w:ind w:left="360"/>
      </w:pPr>
      <w:r w:rsidRPr="001953BB">
        <w:t xml:space="preserve">Sachs, J. D., &amp; Warner, A. M. (1995). Natural resource abundance and economic growth. </w:t>
      </w:r>
      <w:r w:rsidRPr="001953BB">
        <w:rPr>
          <w:rStyle w:val="Emphasis"/>
        </w:rPr>
        <w:t>NBER Working Paper No. 5398</w:t>
      </w:r>
      <w:r w:rsidRPr="001953BB">
        <w:t>. https://doi.org/10.3386/w5398</w:t>
      </w:r>
    </w:p>
    <w:p w14:paraId="27A1492D" w14:textId="6DF2D46C" w:rsidR="00632178" w:rsidRPr="001953BB" w:rsidRDefault="00632178" w:rsidP="00632178">
      <w:pPr>
        <w:pStyle w:val="NormalWeb"/>
        <w:numPr>
          <w:ilvl w:val="0"/>
          <w:numId w:val="46"/>
        </w:numPr>
        <w:ind w:left="360"/>
      </w:pPr>
      <w:r w:rsidRPr="001953BB">
        <w:t xml:space="preserve">Saiz, A. (2010). The geographic determinants of housing supply. </w:t>
      </w:r>
      <w:r w:rsidRPr="001953BB">
        <w:rPr>
          <w:rStyle w:val="Emphasis"/>
        </w:rPr>
        <w:t>The Quarterly Journal of Economics, 125</w:t>
      </w:r>
      <w:r w:rsidRPr="001953BB">
        <w:t>(3), 1253–1296. https://doi.org/10.1162/qjec.2010.125.3.1253</w:t>
      </w:r>
    </w:p>
    <w:p w14:paraId="7181105F" w14:textId="77777777" w:rsidR="00632178" w:rsidRPr="001953BB" w:rsidRDefault="00632178" w:rsidP="00632178">
      <w:pPr>
        <w:pStyle w:val="NormalWeb"/>
        <w:numPr>
          <w:ilvl w:val="0"/>
          <w:numId w:val="46"/>
        </w:numPr>
        <w:ind w:left="360"/>
      </w:pPr>
      <w:r w:rsidRPr="001953BB">
        <w:t xml:space="preserve">Samuelson, P. A. (1954). The pure theory of public expenditure. </w:t>
      </w:r>
      <w:r w:rsidRPr="001953BB">
        <w:rPr>
          <w:rStyle w:val="Emphasis"/>
        </w:rPr>
        <w:t>The Review of Economics and Statistics, 36</w:t>
      </w:r>
      <w:r w:rsidRPr="001953BB">
        <w:t>(4), 387–389. https://doi.org/10.2307/1925895</w:t>
      </w:r>
    </w:p>
    <w:p w14:paraId="7F5E0238" w14:textId="0F6846D1" w:rsidR="00632178" w:rsidRPr="001953BB" w:rsidRDefault="00632178" w:rsidP="00632178">
      <w:pPr>
        <w:pStyle w:val="NormalWeb"/>
        <w:numPr>
          <w:ilvl w:val="0"/>
          <w:numId w:val="46"/>
        </w:numPr>
        <w:ind w:left="360"/>
      </w:pPr>
      <w:r w:rsidRPr="001953BB">
        <w:t xml:space="preserve">Santos Silva, J. M. C., &amp; Tenreyro, S. (2006). The log of gravity. </w:t>
      </w:r>
      <w:r w:rsidRPr="001953BB">
        <w:rPr>
          <w:rStyle w:val="Emphasis"/>
        </w:rPr>
        <w:t>The Review of Economics and Statistics, 88</w:t>
      </w:r>
      <w:r w:rsidRPr="001953BB">
        <w:t>(4), 641–658. https://doi.org/10.1162/rest.88.4.641</w:t>
      </w:r>
    </w:p>
    <w:p w14:paraId="54882C55" w14:textId="77777777" w:rsidR="00632178" w:rsidRPr="001953BB" w:rsidRDefault="00632178" w:rsidP="00632178">
      <w:pPr>
        <w:pStyle w:val="NormalWeb"/>
        <w:numPr>
          <w:ilvl w:val="0"/>
          <w:numId w:val="46"/>
        </w:numPr>
        <w:ind w:left="360"/>
      </w:pPr>
      <w:r w:rsidRPr="001953BB">
        <w:t xml:space="preserve">Schumpeter, J. A. (1942). </w:t>
      </w:r>
      <w:r w:rsidRPr="001953BB">
        <w:rPr>
          <w:rStyle w:val="Emphasis"/>
        </w:rPr>
        <w:t>Capitalism, socialism and democracy</w:t>
      </w:r>
      <w:r w:rsidRPr="001953BB">
        <w:t>. Harper &amp; Brothers.</w:t>
      </w:r>
    </w:p>
    <w:p w14:paraId="07199AD0" w14:textId="77777777" w:rsidR="00632178" w:rsidRPr="001953BB" w:rsidRDefault="00632178" w:rsidP="00632178">
      <w:pPr>
        <w:pStyle w:val="NormalWeb"/>
        <w:numPr>
          <w:ilvl w:val="0"/>
          <w:numId w:val="46"/>
        </w:numPr>
        <w:ind w:left="360"/>
      </w:pPr>
      <w:r w:rsidRPr="001953BB">
        <w:t xml:space="preserve">Sims, K. R. (2010). Conservation and development: Evidence from Thai protected areas. </w:t>
      </w:r>
      <w:r w:rsidRPr="001953BB">
        <w:rPr>
          <w:rStyle w:val="Emphasis"/>
        </w:rPr>
        <w:t>Journal of Environmental Economics and Management, 60</w:t>
      </w:r>
      <w:r w:rsidRPr="001953BB">
        <w:t>(2), 94–114. https://doi.org/10.1016/j.jeem.2010.04.002</w:t>
      </w:r>
    </w:p>
    <w:p w14:paraId="7C54E08C" w14:textId="77777777" w:rsidR="00632178" w:rsidRPr="001953BB" w:rsidRDefault="00632178" w:rsidP="00632178">
      <w:pPr>
        <w:pStyle w:val="NormalWeb"/>
        <w:numPr>
          <w:ilvl w:val="0"/>
          <w:numId w:val="46"/>
        </w:numPr>
        <w:ind w:left="360"/>
      </w:pPr>
      <w:r w:rsidRPr="001953BB">
        <w:lastRenderedPageBreak/>
        <w:t xml:space="preserve">Syverson, C. (2011). What determines productivity? </w:t>
      </w:r>
      <w:r w:rsidRPr="001953BB">
        <w:rPr>
          <w:rStyle w:val="Emphasis"/>
        </w:rPr>
        <w:t>Journal of Economic Literature, 49</w:t>
      </w:r>
      <w:r w:rsidRPr="001953BB">
        <w:t>(2), 326–365. https://doi.org/10.1257/jel.49.2.326</w:t>
      </w:r>
    </w:p>
    <w:p w14:paraId="5F374388" w14:textId="77777777" w:rsidR="00632178" w:rsidRPr="001953BB" w:rsidRDefault="00632178" w:rsidP="00632178">
      <w:pPr>
        <w:pStyle w:val="NormalWeb"/>
        <w:numPr>
          <w:ilvl w:val="0"/>
          <w:numId w:val="46"/>
        </w:numPr>
        <w:ind w:left="360"/>
      </w:pPr>
      <w:r w:rsidRPr="001953BB">
        <w:t xml:space="preserve">Tiebout, C. M. (1956). A pure theory of local expenditures. </w:t>
      </w:r>
      <w:r w:rsidRPr="001953BB">
        <w:rPr>
          <w:rStyle w:val="Emphasis"/>
        </w:rPr>
        <w:t>Journal of Political Economy, 64</w:t>
      </w:r>
      <w:r w:rsidRPr="001953BB">
        <w:t>(5), 416–424. https://doi.org/10.1086/257839</w:t>
      </w:r>
    </w:p>
    <w:p w14:paraId="6626AF2A" w14:textId="4FFDB841" w:rsidR="00632178" w:rsidRPr="001953BB" w:rsidRDefault="00632178" w:rsidP="00632178">
      <w:pPr>
        <w:pStyle w:val="NormalWeb"/>
        <w:numPr>
          <w:ilvl w:val="0"/>
          <w:numId w:val="46"/>
        </w:numPr>
        <w:ind w:left="360"/>
      </w:pPr>
      <w:r w:rsidRPr="001953BB">
        <w:t xml:space="preserve">U.S. Geological Survey (USGS). (2020). Protected Areas Database of the United States (PAD-US) 3.0: Vector analysis and summary statistics. </w:t>
      </w:r>
      <w:r w:rsidRPr="001953BB">
        <w:rPr>
          <w:rStyle w:val="Emphasis"/>
        </w:rPr>
        <w:t>U.S. Geological Survey</w:t>
      </w:r>
      <w:r w:rsidRPr="001953BB">
        <w:t>. Retrieved from https://catalog.data.gov</w:t>
      </w:r>
    </w:p>
    <w:p w14:paraId="751ADAA3" w14:textId="77777777" w:rsidR="00632178" w:rsidRPr="001953BB" w:rsidRDefault="00632178" w:rsidP="00632178">
      <w:pPr>
        <w:pStyle w:val="NormalWeb"/>
        <w:numPr>
          <w:ilvl w:val="0"/>
          <w:numId w:val="46"/>
        </w:numPr>
        <w:ind w:left="360"/>
      </w:pPr>
      <w:r w:rsidRPr="001953BB">
        <w:t xml:space="preserve">Williamson, O. E. (1981). The economics of organization: The transaction cost approach. </w:t>
      </w:r>
      <w:r w:rsidRPr="001953BB">
        <w:rPr>
          <w:rStyle w:val="Emphasis"/>
        </w:rPr>
        <w:t>American Journal of Sociology, 87</w:t>
      </w:r>
      <w:r w:rsidRPr="001953BB">
        <w:t>(3), 548–577. https://doi.org/10.1086/227496</w:t>
      </w:r>
    </w:p>
    <w:p w14:paraId="22428D23" w14:textId="77777777" w:rsidR="00632178" w:rsidRPr="001953BB" w:rsidRDefault="00632178" w:rsidP="00632178">
      <w:pPr>
        <w:pStyle w:val="NormalWeb"/>
        <w:numPr>
          <w:ilvl w:val="0"/>
          <w:numId w:val="46"/>
        </w:numPr>
        <w:ind w:left="360"/>
      </w:pPr>
      <w:r w:rsidRPr="001953BB">
        <w:t xml:space="preserve">Wooldridge, J. M. (2005). Fixed-effects and related estimators for correlated random coefficient panel data models. </w:t>
      </w:r>
      <w:r w:rsidRPr="001953BB">
        <w:rPr>
          <w:rStyle w:val="Emphasis"/>
        </w:rPr>
        <w:t>The Review of Economics and Statistics, 87</w:t>
      </w:r>
      <w:r w:rsidRPr="001953BB">
        <w:t>(2), 385–390. https://doi.org/10.1162/0034653053970173</w:t>
      </w:r>
    </w:p>
    <w:p w14:paraId="6E2D3D2C" w14:textId="77777777" w:rsidR="00632178" w:rsidRPr="001953BB" w:rsidRDefault="00632178" w:rsidP="00632178">
      <w:pPr>
        <w:pStyle w:val="NormalWeb"/>
        <w:numPr>
          <w:ilvl w:val="0"/>
          <w:numId w:val="46"/>
        </w:numPr>
        <w:ind w:left="360"/>
      </w:pPr>
      <w:r w:rsidRPr="001953BB">
        <w:t xml:space="preserve">Wooldridge, J. M. (2010). </w:t>
      </w:r>
      <w:r w:rsidRPr="001953BB">
        <w:rPr>
          <w:rStyle w:val="Emphasis"/>
        </w:rPr>
        <w:t>Econometric analysis of cross section and panel data</w:t>
      </w:r>
      <w:r w:rsidRPr="001953BB">
        <w:t xml:space="preserve"> (2nd ed.). MIT Press.</w:t>
      </w:r>
    </w:p>
    <w:p w14:paraId="5890A96F" w14:textId="77777777" w:rsidR="00632178" w:rsidRPr="001953BB" w:rsidRDefault="00632178" w:rsidP="00632178">
      <w:pPr>
        <w:pStyle w:val="NormalWeb"/>
        <w:numPr>
          <w:ilvl w:val="0"/>
          <w:numId w:val="46"/>
        </w:numPr>
        <w:ind w:left="360"/>
      </w:pPr>
      <w:r w:rsidRPr="001953BB">
        <w:t xml:space="preserve">Wu, J., &amp; Plantinga, A. J. (2003). The influence of public open space on urban spatial structure. </w:t>
      </w:r>
      <w:r w:rsidRPr="001953BB">
        <w:rPr>
          <w:rStyle w:val="Emphasis"/>
        </w:rPr>
        <w:t>Journal of Environmental Economics and Management, 46</w:t>
      </w:r>
      <w:r w:rsidRPr="001953BB">
        <w:t>(2), 288–309. https://doi.org/10.1016/S0095-0696(03)00024-0</w:t>
      </w:r>
    </w:p>
    <w:p w14:paraId="40C0E941" w14:textId="77777777" w:rsidR="00632178" w:rsidRPr="001953BB" w:rsidRDefault="00632178" w:rsidP="00632178">
      <w:pPr>
        <w:pStyle w:val="NormalWeb"/>
      </w:pPr>
    </w:p>
    <w:p w14:paraId="43C14BF6" w14:textId="77777777" w:rsidR="00632178" w:rsidRPr="00FD1D7B" w:rsidRDefault="00632178" w:rsidP="00632178"/>
    <w:p w14:paraId="0EC56214" w14:textId="77777777" w:rsidR="00975E37" w:rsidRPr="00525895" w:rsidRDefault="00975E37" w:rsidP="004C39A4">
      <w:pPr>
        <w:rPr>
          <w:rFonts w:cs="Times New Roman"/>
        </w:rPr>
      </w:pPr>
    </w:p>
    <w:p w14:paraId="549C7EFC" w14:textId="77777777" w:rsidR="009B5135" w:rsidRDefault="009B5135">
      <w:pPr>
        <w:spacing w:line="240" w:lineRule="auto"/>
        <w:rPr>
          <w:b/>
          <w:bCs/>
          <w:iCs/>
          <w:szCs w:val="28"/>
          <w:lang w:eastAsia="zh-CN"/>
        </w:rPr>
      </w:pPr>
      <w:bookmarkStart w:id="133" w:name="_Toc159605414"/>
      <w:bookmarkStart w:id="134" w:name="_Toc186799392"/>
      <w:bookmarkStart w:id="135" w:name="_Hlk183199198"/>
      <w:bookmarkStart w:id="136" w:name="_Hlk188035457"/>
      <w:r>
        <w:br w:type="page"/>
      </w:r>
    </w:p>
    <w:p w14:paraId="4D4DDB2F" w14:textId="36AE37B9" w:rsidR="00971AE1" w:rsidRDefault="00971AE1" w:rsidP="00E4693E">
      <w:pPr>
        <w:pStyle w:val="Heading2"/>
      </w:pPr>
      <w:bookmarkStart w:id="137" w:name="_Toc188379004"/>
      <w:r w:rsidRPr="00971AE1">
        <w:lastRenderedPageBreak/>
        <w:t>A</w:t>
      </w:r>
      <w:bookmarkEnd w:id="133"/>
      <w:bookmarkEnd w:id="134"/>
      <w:r w:rsidR="003E13FE">
        <w:t>ppendix</w:t>
      </w:r>
      <w:bookmarkEnd w:id="137"/>
    </w:p>
    <w:p w14:paraId="54C05DA5" w14:textId="77777777" w:rsidR="00D37B02" w:rsidRPr="00D37B02" w:rsidRDefault="00D37B02" w:rsidP="004C39A4">
      <w:pPr>
        <w:rPr>
          <w:lang w:eastAsia="zh-CN"/>
        </w:rPr>
      </w:pPr>
    </w:p>
    <w:p w14:paraId="4B734DBA" w14:textId="77777777" w:rsidR="00CD4846" w:rsidRDefault="00971AE1" w:rsidP="004C39A4">
      <w:pPr>
        <w:keepNext/>
        <w:spacing w:line="240" w:lineRule="auto"/>
        <w:jc w:val="center"/>
      </w:pPr>
      <w:r w:rsidRPr="00971AE1">
        <w:rPr>
          <w:rFonts w:cs="Times New Roman"/>
          <w:i/>
          <w:iCs/>
          <w:noProof/>
          <w:color w:val="44546A"/>
          <w:kern w:val="2"/>
          <w:sz w:val="20"/>
          <w:szCs w:val="20"/>
          <w:lang/>
        </w:rPr>
        <w:drawing>
          <wp:inline distT="0" distB="0" distL="0" distR="0" wp14:anchorId="49B273B7" wp14:editId="7F09FF5C">
            <wp:extent cx="4037330" cy="2933065"/>
            <wp:effectExtent l="0" t="0" r="1270" b="63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37330" cy="2933065"/>
                    </a:xfrm>
                    <a:prstGeom prst="rect">
                      <a:avLst/>
                    </a:prstGeom>
                    <a:noFill/>
                    <a:ln>
                      <a:noFill/>
                    </a:ln>
                  </pic:spPr>
                </pic:pic>
              </a:graphicData>
            </a:graphic>
          </wp:inline>
        </w:drawing>
      </w:r>
    </w:p>
    <w:p w14:paraId="6953F9EB" w14:textId="10EBC364" w:rsidR="00CD4846" w:rsidRPr="00CD4846" w:rsidRDefault="00CD4846" w:rsidP="009D3026">
      <w:pPr>
        <w:pStyle w:val="Caption"/>
      </w:pPr>
      <w:bookmarkStart w:id="138" w:name="_Toc188359957"/>
      <w:bookmarkStart w:id="139" w:name="_Toc188367084"/>
      <w:r w:rsidRPr="00CD4846">
        <w:t>Figure A1: Location Decision Tree</w:t>
      </w:r>
      <w:bookmarkEnd w:id="138"/>
      <w:bookmarkEnd w:id="139"/>
    </w:p>
    <w:p w14:paraId="27F1836D" w14:textId="6A807BCC" w:rsidR="00971AE1" w:rsidRPr="00FC56A5" w:rsidRDefault="00971AE1" w:rsidP="004C39A4">
      <w:pPr>
        <w:spacing w:line="240" w:lineRule="auto"/>
        <w:rPr>
          <w:i/>
          <w:iCs/>
          <w:sz w:val="20"/>
          <w:szCs w:val="20"/>
          <w:lang/>
        </w:rPr>
      </w:pPr>
      <w:r w:rsidRPr="00FC56A5">
        <w:rPr>
          <w:sz w:val="20"/>
          <w:szCs w:val="20"/>
          <w:lang/>
        </w:rPr>
        <w:t xml:space="preserve">This figure outlines the decision-making framework for establishment location dynamics. It categorizes entries into births and relocations (further divided into intra-state and inter-state) and exits into deaths and outward relocations. This framework supports the analysis of business dynamics across </w:t>
      </w:r>
      <w:r w:rsidR="00FC56A5" w:rsidRPr="00FC56A5">
        <w:rPr>
          <w:sz w:val="20"/>
          <w:szCs w:val="20"/>
          <w:lang/>
        </w:rPr>
        <w:t xml:space="preserve">LIS </w:t>
      </w:r>
      <w:r w:rsidRPr="00FC56A5">
        <w:rPr>
          <w:sz w:val="20"/>
          <w:szCs w:val="20"/>
          <w:lang/>
        </w:rPr>
        <w:t>and non-</w:t>
      </w:r>
      <w:r w:rsidR="00FC56A5" w:rsidRPr="00FC56A5">
        <w:rPr>
          <w:sz w:val="20"/>
          <w:szCs w:val="20"/>
          <w:lang/>
        </w:rPr>
        <w:t>LIS</w:t>
      </w:r>
      <w:r w:rsidRPr="00FC56A5">
        <w:rPr>
          <w:sz w:val="20"/>
          <w:szCs w:val="20"/>
          <w:lang/>
        </w:rPr>
        <w:t>.</w:t>
      </w:r>
    </w:p>
    <w:bookmarkEnd w:id="135"/>
    <w:p w14:paraId="7133BD63" w14:textId="49B67BD9" w:rsidR="0011288B" w:rsidRDefault="0011288B" w:rsidP="004C39A4">
      <w:pPr>
        <w:spacing w:line="240" w:lineRule="auto"/>
        <w:rPr>
          <w:rFonts w:cs="Times New Roman"/>
          <w:kern w:val="2"/>
          <w:sz w:val="20"/>
          <w:szCs w:val="20"/>
          <w:lang/>
        </w:rPr>
      </w:pPr>
    </w:p>
    <w:p w14:paraId="78BA07C0" w14:textId="77777777" w:rsidR="00C441DF" w:rsidRPr="00971AE1" w:rsidRDefault="00C441DF" w:rsidP="004C39A4">
      <w:pPr>
        <w:spacing w:line="240" w:lineRule="auto"/>
        <w:rPr>
          <w:rFonts w:cs="Times New Roman"/>
          <w:kern w:val="2"/>
          <w:sz w:val="20"/>
          <w:szCs w:val="20"/>
          <w:lang/>
        </w:rPr>
      </w:pPr>
    </w:p>
    <w:p w14:paraId="0298BD5E" w14:textId="77777777" w:rsidR="00CD103D" w:rsidRDefault="00CD103D" w:rsidP="00095E25">
      <w:pPr>
        <w:pStyle w:val="Title"/>
      </w:pPr>
      <w:bookmarkStart w:id="140" w:name="_Hlk188125473"/>
      <w:bookmarkStart w:id="141" w:name="_Hlk183199849"/>
    </w:p>
    <w:p w14:paraId="7D171579" w14:textId="73242ED8" w:rsidR="00971AE1" w:rsidRPr="0011288B" w:rsidRDefault="00CD4846" w:rsidP="00095E25">
      <w:pPr>
        <w:pStyle w:val="Title"/>
      </w:pPr>
      <w:bookmarkStart w:id="142" w:name="_Toc188359608"/>
      <w:bookmarkStart w:id="143" w:name="_Toc188359896"/>
      <w:bookmarkStart w:id="144" w:name="_Toc188361132"/>
      <w:bookmarkStart w:id="145" w:name="_Toc188366974"/>
      <w:r>
        <w:t>Table A</w:t>
      </w:r>
      <w:r>
        <w:fldChar w:fldCharType="begin"/>
      </w:r>
      <w:r>
        <w:instrText xml:space="preserve"> SEQ Table \* ARABIC </w:instrText>
      </w:r>
      <w:r>
        <w:fldChar w:fldCharType="separate"/>
      </w:r>
      <w:r w:rsidR="0083513D">
        <w:rPr>
          <w:noProof/>
        </w:rPr>
        <w:t>1</w:t>
      </w:r>
      <w:r>
        <w:fldChar w:fldCharType="end"/>
      </w:r>
      <w:r w:rsidRPr="00B51493">
        <w:t>: Summary Statistics of Aggregate LIS location variables – Entries and Exits</w:t>
      </w:r>
      <w:bookmarkEnd w:id="142"/>
      <w:bookmarkEnd w:id="143"/>
      <w:bookmarkEnd w:id="144"/>
      <w:bookmarkEnd w:id="145"/>
    </w:p>
    <w:tbl>
      <w:tblPr>
        <w:tblW w:w="5000" w:type="pct"/>
        <w:tblLook w:val="04A0" w:firstRow="1" w:lastRow="0" w:firstColumn="1" w:lastColumn="0" w:noHBand="0" w:noVBand="1"/>
      </w:tblPr>
      <w:tblGrid>
        <w:gridCol w:w="3344"/>
        <w:gridCol w:w="1505"/>
        <w:gridCol w:w="1505"/>
        <w:gridCol w:w="1505"/>
        <w:gridCol w:w="1501"/>
      </w:tblGrid>
      <w:tr w:rsidR="00971AE1" w:rsidRPr="00971AE1" w14:paraId="2C58D4C3" w14:textId="77777777" w:rsidTr="0082071D">
        <w:tc>
          <w:tcPr>
            <w:tcW w:w="1786" w:type="pct"/>
            <w:tcBorders>
              <w:top w:val="single" w:sz="4" w:space="0" w:color="auto"/>
              <w:left w:val="nil"/>
              <w:bottom w:val="single" w:sz="4" w:space="0" w:color="auto"/>
              <w:right w:val="nil"/>
            </w:tcBorders>
            <w:hideMark/>
          </w:tcPr>
          <w:p w14:paraId="799FCA20" w14:textId="123A3D27" w:rsidR="00971AE1" w:rsidRPr="0005254C" w:rsidRDefault="00971AE1" w:rsidP="0005254C">
            <w:pPr>
              <w:spacing w:line="240" w:lineRule="auto"/>
              <w:rPr>
                <w:rFonts w:cs="Times New Roman"/>
                <w:b/>
                <w:bCs/>
                <w:kern w:val="2"/>
                <w:sz w:val="20"/>
                <w:szCs w:val="20"/>
                <w:lang/>
              </w:rPr>
            </w:pPr>
            <w:r w:rsidRPr="0005254C">
              <w:rPr>
                <w:rFonts w:cs="Times New Roman"/>
                <w:b/>
                <w:bCs/>
                <w:kern w:val="2"/>
                <w:sz w:val="20"/>
                <w:szCs w:val="20"/>
                <w:lang/>
              </w:rPr>
              <w:t>Variable</w:t>
            </w:r>
          </w:p>
        </w:tc>
        <w:tc>
          <w:tcPr>
            <w:tcW w:w="804" w:type="pct"/>
            <w:tcBorders>
              <w:top w:val="single" w:sz="4" w:space="0" w:color="auto"/>
              <w:left w:val="nil"/>
              <w:bottom w:val="single" w:sz="4" w:space="0" w:color="auto"/>
              <w:right w:val="nil"/>
            </w:tcBorders>
            <w:hideMark/>
          </w:tcPr>
          <w:p w14:paraId="021A218B" w14:textId="5F48B3F8" w:rsidR="00971AE1" w:rsidRPr="0005254C" w:rsidRDefault="00971AE1" w:rsidP="0005254C">
            <w:pPr>
              <w:spacing w:line="240" w:lineRule="auto"/>
              <w:rPr>
                <w:rFonts w:cs="Times New Roman"/>
                <w:b/>
                <w:bCs/>
                <w:kern w:val="2"/>
                <w:sz w:val="20"/>
                <w:szCs w:val="20"/>
                <w:lang/>
              </w:rPr>
            </w:pPr>
            <w:r w:rsidRPr="0005254C">
              <w:rPr>
                <w:rFonts w:cs="Times New Roman"/>
                <w:b/>
                <w:bCs/>
                <w:kern w:val="2"/>
                <w:sz w:val="20"/>
                <w:szCs w:val="20"/>
                <w:lang/>
              </w:rPr>
              <w:t>Mean</w:t>
            </w:r>
          </w:p>
        </w:tc>
        <w:tc>
          <w:tcPr>
            <w:tcW w:w="804" w:type="pct"/>
            <w:tcBorders>
              <w:top w:val="single" w:sz="4" w:space="0" w:color="auto"/>
              <w:left w:val="nil"/>
              <w:bottom w:val="single" w:sz="4" w:space="0" w:color="auto"/>
              <w:right w:val="nil"/>
            </w:tcBorders>
            <w:hideMark/>
          </w:tcPr>
          <w:p w14:paraId="3F8584F9" w14:textId="032D10C8" w:rsidR="00971AE1" w:rsidRPr="0005254C" w:rsidRDefault="00971AE1" w:rsidP="0005254C">
            <w:pPr>
              <w:spacing w:line="240" w:lineRule="auto"/>
              <w:rPr>
                <w:rFonts w:cs="Times New Roman"/>
                <w:b/>
                <w:bCs/>
                <w:kern w:val="2"/>
                <w:sz w:val="20"/>
                <w:szCs w:val="20"/>
                <w:lang/>
              </w:rPr>
            </w:pPr>
            <w:r w:rsidRPr="0005254C">
              <w:rPr>
                <w:rFonts w:cs="Times New Roman"/>
                <w:b/>
                <w:bCs/>
                <w:kern w:val="2"/>
                <w:sz w:val="20"/>
                <w:szCs w:val="20"/>
                <w:lang/>
              </w:rPr>
              <w:t>Std. Dev.</w:t>
            </w:r>
          </w:p>
        </w:tc>
        <w:tc>
          <w:tcPr>
            <w:tcW w:w="804" w:type="pct"/>
            <w:tcBorders>
              <w:top w:val="single" w:sz="4" w:space="0" w:color="auto"/>
              <w:left w:val="nil"/>
              <w:bottom w:val="single" w:sz="4" w:space="0" w:color="auto"/>
              <w:right w:val="nil"/>
            </w:tcBorders>
            <w:hideMark/>
          </w:tcPr>
          <w:p w14:paraId="004B1623" w14:textId="72E97A68" w:rsidR="00971AE1" w:rsidRPr="0005254C" w:rsidRDefault="00971AE1" w:rsidP="0005254C">
            <w:pPr>
              <w:spacing w:line="240" w:lineRule="auto"/>
              <w:rPr>
                <w:rFonts w:cs="Times New Roman"/>
                <w:b/>
                <w:bCs/>
                <w:kern w:val="2"/>
                <w:sz w:val="20"/>
                <w:szCs w:val="20"/>
                <w:lang/>
              </w:rPr>
            </w:pPr>
            <w:r w:rsidRPr="0005254C">
              <w:rPr>
                <w:rFonts w:cs="Times New Roman"/>
                <w:b/>
                <w:bCs/>
                <w:kern w:val="2"/>
                <w:sz w:val="20"/>
                <w:szCs w:val="20"/>
                <w:lang/>
              </w:rPr>
              <w:t>Min</w:t>
            </w:r>
          </w:p>
        </w:tc>
        <w:tc>
          <w:tcPr>
            <w:tcW w:w="802" w:type="pct"/>
            <w:tcBorders>
              <w:top w:val="single" w:sz="4" w:space="0" w:color="auto"/>
              <w:left w:val="nil"/>
              <w:bottom w:val="single" w:sz="4" w:space="0" w:color="auto"/>
              <w:right w:val="nil"/>
            </w:tcBorders>
            <w:hideMark/>
          </w:tcPr>
          <w:p w14:paraId="5B9CE061" w14:textId="0209D901" w:rsidR="00971AE1" w:rsidRPr="0005254C" w:rsidRDefault="00971AE1" w:rsidP="0005254C">
            <w:pPr>
              <w:spacing w:line="240" w:lineRule="auto"/>
              <w:rPr>
                <w:rFonts w:cs="Times New Roman"/>
                <w:b/>
                <w:bCs/>
                <w:kern w:val="2"/>
                <w:sz w:val="20"/>
                <w:szCs w:val="20"/>
                <w:lang/>
              </w:rPr>
            </w:pPr>
            <w:r w:rsidRPr="0005254C">
              <w:rPr>
                <w:rFonts w:cs="Times New Roman"/>
                <w:b/>
                <w:bCs/>
                <w:kern w:val="2"/>
                <w:sz w:val="20"/>
                <w:szCs w:val="20"/>
                <w:lang/>
              </w:rPr>
              <w:t>Max</w:t>
            </w:r>
          </w:p>
        </w:tc>
      </w:tr>
      <w:tr w:rsidR="00971AE1" w:rsidRPr="00971AE1" w14:paraId="2C35A7D7" w14:textId="77777777" w:rsidTr="0082071D">
        <w:tc>
          <w:tcPr>
            <w:tcW w:w="1786" w:type="pct"/>
            <w:tcBorders>
              <w:top w:val="single" w:sz="4" w:space="0" w:color="auto"/>
              <w:left w:val="nil"/>
              <w:bottom w:val="nil"/>
              <w:right w:val="nil"/>
            </w:tcBorders>
            <w:hideMark/>
          </w:tcPr>
          <w:p w14:paraId="66E717CD" w14:textId="77777777" w:rsidR="00971AE1" w:rsidRPr="0005254C" w:rsidRDefault="00971AE1" w:rsidP="0005254C">
            <w:pPr>
              <w:spacing w:line="240" w:lineRule="auto"/>
              <w:rPr>
                <w:rFonts w:cs="Times New Roman"/>
                <w:kern w:val="2"/>
                <w:sz w:val="20"/>
                <w:szCs w:val="20"/>
                <w:lang/>
              </w:rPr>
            </w:pPr>
            <w:r w:rsidRPr="0005254C">
              <w:rPr>
                <w:rFonts w:cs="Times New Roman"/>
                <w:kern w:val="2"/>
                <w:sz w:val="20"/>
                <w:szCs w:val="20"/>
                <w:lang/>
              </w:rPr>
              <w:t>Births</w:t>
            </w:r>
          </w:p>
        </w:tc>
        <w:tc>
          <w:tcPr>
            <w:tcW w:w="804" w:type="pct"/>
            <w:tcBorders>
              <w:top w:val="single" w:sz="4" w:space="0" w:color="auto"/>
              <w:left w:val="nil"/>
              <w:bottom w:val="nil"/>
              <w:right w:val="nil"/>
            </w:tcBorders>
            <w:hideMark/>
          </w:tcPr>
          <w:p w14:paraId="4A8900F1" w14:textId="77777777" w:rsidR="00971AE1" w:rsidRPr="0005254C" w:rsidRDefault="00971AE1" w:rsidP="0005254C">
            <w:pPr>
              <w:spacing w:line="240" w:lineRule="auto"/>
              <w:rPr>
                <w:rFonts w:cs="Times New Roman"/>
                <w:kern w:val="2"/>
                <w:sz w:val="20"/>
                <w:szCs w:val="20"/>
                <w:lang/>
              </w:rPr>
            </w:pPr>
            <w:r w:rsidRPr="0005254C">
              <w:rPr>
                <w:rFonts w:cs="Times New Roman"/>
                <w:kern w:val="2"/>
                <w:sz w:val="20"/>
                <w:szCs w:val="20"/>
                <w:lang/>
              </w:rPr>
              <w:t>69.3</w:t>
            </w:r>
          </w:p>
        </w:tc>
        <w:tc>
          <w:tcPr>
            <w:tcW w:w="804" w:type="pct"/>
            <w:tcBorders>
              <w:top w:val="single" w:sz="4" w:space="0" w:color="auto"/>
              <w:left w:val="nil"/>
              <w:bottom w:val="nil"/>
              <w:right w:val="nil"/>
            </w:tcBorders>
            <w:hideMark/>
          </w:tcPr>
          <w:p w14:paraId="04F605DB" w14:textId="77777777" w:rsidR="00971AE1" w:rsidRPr="0005254C" w:rsidRDefault="00971AE1" w:rsidP="0005254C">
            <w:pPr>
              <w:spacing w:line="240" w:lineRule="auto"/>
              <w:rPr>
                <w:rFonts w:cs="Times New Roman"/>
                <w:kern w:val="2"/>
                <w:sz w:val="20"/>
                <w:szCs w:val="20"/>
                <w:lang/>
              </w:rPr>
            </w:pPr>
            <w:r w:rsidRPr="0005254C">
              <w:rPr>
                <w:rFonts w:cs="Times New Roman"/>
                <w:kern w:val="2"/>
                <w:sz w:val="20"/>
                <w:szCs w:val="20"/>
                <w:lang/>
              </w:rPr>
              <w:t>22</w:t>
            </w:r>
            <w:r w:rsidRPr="0005254C">
              <w:rPr>
                <w:rFonts w:cs="Times New Roman"/>
                <w:kern w:val="2"/>
                <w:sz w:val="20"/>
                <w:szCs w:val="20"/>
                <w:lang/>
              </w:rPr>
              <w:t>8</w:t>
            </w:r>
          </w:p>
        </w:tc>
        <w:tc>
          <w:tcPr>
            <w:tcW w:w="804" w:type="pct"/>
            <w:tcBorders>
              <w:top w:val="single" w:sz="4" w:space="0" w:color="auto"/>
              <w:left w:val="nil"/>
              <w:bottom w:val="nil"/>
              <w:right w:val="nil"/>
            </w:tcBorders>
            <w:hideMark/>
          </w:tcPr>
          <w:p w14:paraId="6D4B500A" w14:textId="77777777" w:rsidR="00971AE1" w:rsidRPr="0005254C" w:rsidRDefault="00971AE1" w:rsidP="0005254C">
            <w:pPr>
              <w:spacing w:line="240" w:lineRule="auto"/>
              <w:rPr>
                <w:rFonts w:cs="Times New Roman"/>
                <w:kern w:val="2"/>
                <w:sz w:val="20"/>
                <w:szCs w:val="20"/>
                <w:lang/>
              </w:rPr>
            </w:pPr>
            <w:r w:rsidRPr="0005254C">
              <w:rPr>
                <w:rFonts w:cs="Times New Roman"/>
                <w:kern w:val="2"/>
                <w:sz w:val="20"/>
                <w:szCs w:val="20"/>
                <w:lang/>
              </w:rPr>
              <w:t>0</w:t>
            </w:r>
          </w:p>
        </w:tc>
        <w:tc>
          <w:tcPr>
            <w:tcW w:w="802" w:type="pct"/>
            <w:tcBorders>
              <w:top w:val="single" w:sz="4" w:space="0" w:color="auto"/>
              <w:left w:val="nil"/>
              <w:bottom w:val="nil"/>
              <w:right w:val="nil"/>
            </w:tcBorders>
            <w:hideMark/>
          </w:tcPr>
          <w:p w14:paraId="7D4A7349" w14:textId="77777777" w:rsidR="00971AE1" w:rsidRPr="0005254C" w:rsidRDefault="00971AE1" w:rsidP="0005254C">
            <w:pPr>
              <w:spacing w:line="240" w:lineRule="auto"/>
              <w:rPr>
                <w:rFonts w:cs="Times New Roman"/>
                <w:kern w:val="2"/>
                <w:sz w:val="20"/>
                <w:szCs w:val="20"/>
                <w:lang/>
              </w:rPr>
            </w:pPr>
            <w:r w:rsidRPr="0005254C">
              <w:rPr>
                <w:rFonts w:cs="Times New Roman"/>
                <w:kern w:val="2"/>
                <w:sz w:val="20"/>
                <w:szCs w:val="20"/>
                <w:lang/>
              </w:rPr>
              <w:t>12469</w:t>
            </w:r>
          </w:p>
        </w:tc>
      </w:tr>
      <w:tr w:rsidR="00971AE1" w:rsidRPr="00971AE1" w14:paraId="5CAC6B79" w14:textId="77777777" w:rsidTr="00CC5757">
        <w:tc>
          <w:tcPr>
            <w:tcW w:w="1786" w:type="pct"/>
            <w:tcBorders>
              <w:top w:val="nil"/>
              <w:left w:val="nil"/>
              <w:bottom w:val="nil"/>
              <w:right w:val="nil"/>
            </w:tcBorders>
            <w:hideMark/>
          </w:tcPr>
          <w:p w14:paraId="2174A160" w14:textId="77777777" w:rsidR="00971AE1" w:rsidRPr="0005254C" w:rsidRDefault="00971AE1" w:rsidP="0005254C">
            <w:pPr>
              <w:spacing w:line="240" w:lineRule="auto"/>
              <w:rPr>
                <w:rFonts w:cs="Times New Roman"/>
                <w:kern w:val="2"/>
                <w:sz w:val="20"/>
                <w:szCs w:val="20"/>
                <w:lang/>
              </w:rPr>
            </w:pPr>
            <w:r w:rsidRPr="0005254C">
              <w:rPr>
                <w:rFonts w:cs="Times New Roman"/>
                <w:kern w:val="2"/>
                <w:sz w:val="20"/>
                <w:szCs w:val="20"/>
                <w:lang/>
              </w:rPr>
              <w:t>Inward Relocations</w:t>
            </w:r>
          </w:p>
        </w:tc>
        <w:tc>
          <w:tcPr>
            <w:tcW w:w="804" w:type="pct"/>
            <w:tcBorders>
              <w:top w:val="nil"/>
              <w:left w:val="nil"/>
              <w:bottom w:val="nil"/>
              <w:right w:val="nil"/>
            </w:tcBorders>
            <w:hideMark/>
          </w:tcPr>
          <w:p w14:paraId="125F912E" w14:textId="77777777" w:rsidR="00971AE1" w:rsidRPr="0005254C" w:rsidRDefault="00971AE1" w:rsidP="0005254C">
            <w:pPr>
              <w:spacing w:line="240" w:lineRule="auto"/>
              <w:rPr>
                <w:rFonts w:cs="Times New Roman"/>
                <w:kern w:val="2"/>
                <w:sz w:val="20"/>
                <w:szCs w:val="20"/>
                <w:lang/>
              </w:rPr>
            </w:pPr>
            <w:r w:rsidRPr="0005254C">
              <w:rPr>
                <w:rFonts w:cs="Times New Roman"/>
                <w:kern w:val="2"/>
                <w:sz w:val="20"/>
                <w:szCs w:val="20"/>
                <w:lang/>
              </w:rPr>
              <w:t>2.87</w:t>
            </w:r>
          </w:p>
        </w:tc>
        <w:tc>
          <w:tcPr>
            <w:tcW w:w="804" w:type="pct"/>
            <w:tcBorders>
              <w:top w:val="nil"/>
              <w:left w:val="nil"/>
              <w:bottom w:val="nil"/>
              <w:right w:val="nil"/>
            </w:tcBorders>
            <w:hideMark/>
          </w:tcPr>
          <w:p w14:paraId="7751591D" w14:textId="77777777" w:rsidR="00971AE1" w:rsidRPr="0005254C" w:rsidRDefault="00971AE1" w:rsidP="0005254C">
            <w:pPr>
              <w:spacing w:line="240" w:lineRule="auto"/>
              <w:rPr>
                <w:rFonts w:cs="Times New Roman"/>
                <w:kern w:val="2"/>
                <w:sz w:val="20"/>
                <w:szCs w:val="20"/>
                <w:lang/>
              </w:rPr>
            </w:pPr>
            <w:r w:rsidRPr="0005254C">
              <w:rPr>
                <w:rFonts w:cs="Times New Roman"/>
                <w:kern w:val="2"/>
                <w:sz w:val="20"/>
                <w:szCs w:val="20"/>
                <w:lang/>
              </w:rPr>
              <w:t>48.4</w:t>
            </w:r>
          </w:p>
        </w:tc>
        <w:tc>
          <w:tcPr>
            <w:tcW w:w="804" w:type="pct"/>
            <w:tcBorders>
              <w:top w:val="nil"/>
              <w:left w:val="nil"/>
              <w:bottom w:val="nil"/>
              <w:right w:val="nil"/>
            </w:tcBorders>
            <w:hideMark/>
          </w:tcPr>
          <w:p w14:paraId="06D4B1B6" w14:textId="77777777" w:rsidR="00971AE1" w:rsidRPr="0005254C" w:rsidRDefault="00971AE1" w:rsidP="0005254C">
            <w:pPr>
              <w:spacing w:line="240" w:lineRule="auto"/>
              <w:rPr>
                <w:rFonts w:cs="Times New Roman"/>
                <w:kern w:val="2"/>
                <w:sz w:val="20"/>
                <w:szCs w:val="20"/>
                <w:lang/>
              </w:rPr>
            </w:pPr>
            <w:r w:rsidRPr="0005254C">
              <w:rPr>
                <w:rFonts w:cs="Times New Roman"/>
                <w:kern w:val="2"/>
                <w:sz w:val="20"/>
                <w:szCs w:val="20"/>
                <w:lang/>
              </w:rPr>
              <w:t>0</w:t>
            </w:r>
          </w:p>
        </w:tc>
        <w:tc>
          <w:tcPr>
            <w:tcW w:w="802" w:type="pct"/>
            <w:tcBorders>
              <w:top w:val="nil"/>
              <w:left w:val="nil"/>
              <w:bottom w:val="nil"/>
              <w:right w:val="nil"/>
            </w:tcBorders>
            <w:hideMark/>
          </w:tcPr>
          <w:p w14:paraId="28B2567B" w14:textId="77777777" w:rsidR="00971AE1" w:rsidRPr="0005254C" w:rsidRDefault="00971AE1" w:rsidP="0005254C">
            <w:pPr>
              <w:spacing w:line="240" w:lineRule="auto"/>
              <w:rPr>
                <w:rFonts w:cs="Times New Roman"/>
                <w:kern w:val="2"/>
                <w:sz w:val="20"/>
                <w:szCs w:val="20"/>
                <w:lang/>
              </w:rPr>
            </w:pPr>
            <w:r w:rsidRPr="0005254C">
              <w:rPr>
                <w:rFonts w:cs="Times New Roman"/>
                <w:kern w:val="2"/>
                <w:sz w:val="20"/>
                <w:szCs w:val="20"/>
                <w:lang/>
              </w:rPr>
              <w:t>4410</w:t>
            </w:r>
          </w:p>
        </w:tc>
      </w:tr>
      <w:tr w:rsidR="00971AE1" w:rsidRPr="00971AE1" w14:paraId="6F9D5D68" w14:textId="77777777" w:rsidTr="00CC5757">
        <w:tc>
          <w:tcPr>
            <w:tcW w:w="1786" w:type="pct"/>
            <w:tcBorders>
              <w:top w:val="nil"/>
              <w:left w:val="nil"/>
              <w:bottom w:val="nil"/>
              <w:right w:val="nil"/>
            </w:tcBorders>
            <w:hideMark/>
          </w:tcPr>
          <w:p w14:paraId="5DA3E309" w14:textId="77777777" w:rsidR="00971AE1" w:rsidRPr="0005254C" w:rsidRDefault="00971AE1" w:rsidP="0005254C">
            <w:pPr>
              <w:spacing w:line="240" w:lineRule="auto"/>
              <w:rPr>
                <w:rFonts w:cs="Times New Roman"/>
                <w:kern w:val="2"/>
                <w:sz w:val="20"/>
                <w:szCs w:val="20"/>
                <w:lang/>
              </w:rPr>
            </w:pPr>
            <w:r w:rsidRPr="0005254C">
              <w:rPr>
                <w:rFonts w:cs="Times New Roman"/>
                <w:kern w:val="2"/>
                <w:sz w:val="20"/>
                <w:szCs w:val="20"/>
                <w:lang/>
              </w:rPr>
              <w:t>Int</w:t>
            </w:r>
            <w:proofErr w:type="spellStart"/>
            <w:r w:rsidRPr="0005254C">
              <w:rPr>
                <w:rFonts w:cs="Times New Roman"/>
                <w:kern w:val="2"/>
                <w:sz w:val="20"/>
                <w:szCs w:val="20"/>
                <w:lang/>
              </w:rPr>
              <w:t>ra</w:t>
            </w:r>
            <w:proofErr w:type="spellEnd"/>
            <w:r w:rsidRPr="0005254C">
              <w:rPr>
                <w:rFonts w:cs="Times New Roman"/>
                <w:kern w:val="2"/>
                <w:sz w:val="20"/>
                <w:szCs w:val="20"/>
                <w:lang/>
              </w:rPr>
              <w:t>-State Inward Relocations</w:t>
            </w:r>
          </w:p>
        </w:tc>
        <w:tc>
          <w:tcPr>
            <w:tcW w:w="804" w:type="pct"/>
            <w:tcBorders>
              <w:top w:val="nil"/>
              <w:left w:val="nil"/>
              <w:bottom w:val="nil"/>
              <w:right w:val="nil"/>
            </w:tcBorders>
            <w:hideMark/>
          </w:tcPr>
          <w:p w14:paraId="7349C78D" w14:textId="77777777" w:rsidR="00971AE1" w:rsidRPr="0005254C" w:rsidRDefault="00971AE1" w:rsidP="0005254C">
            <w:pPr>
              <w:spacing w:line="240" w:lineRule="auto"/>
              <w:rPr>
                <w:rFonts w:cs="Times New Roman"/>
                <w:kern w:val="2"/>
                <w:sz w:val="20"/>
                <w:szCs w:val="20"/>
                <w:lang/>
              </w:rPr>
            </w:pPr>
            <w:r w:rsidRPr="0005254C">
              <w:rPr>
                <w:rFonts w:cs="Times New Roman"/>
                <w:kern w:val="2"/>
                <w:sz w:val="20"/>
                <w:szCs w:val="20"/>
                <w:lang/>
              </w:rPr>
              <w:t>2.85</w:t>
            </w:r>
          </w:p>
        </w:tc>
        <w:tc>
          <w:tcPr>
            <w:tcW w:w="804" w:type="pct"/>
            <w:tcBorders>
              <w:top w:val="nil"/>
              <w:left w:val="nil"/>
              <w:bottom w:val="nil"/>
              <w:right w:val="nil"/>
            </w:tcBorders>
            <w:hideMark/>
          </w:tcPr>
          <w:p w14:paraId="70797304" w14:textId="77777777" w:rsidR="00971AE1" w:rsidRPr="0005254C" w:rsidRDefault="00971AE1" w:rsidP="0005254C">
            <w:pPr>
              <w:spacing w:line="240" w:lineRule="auto"/>
              <w:rPr>
                <w:rFonts w:cs="Times New Roman"/>
                <w:kern w:val="2"/>
                <w:sz w:val="20"/>
                <w:szCs w:val="20"/>
                <w:lang/>
              </w:rPr>
            </w:pPr>
            <w:r w:rsidRPr="0005254C">
              <w:rPr>
                <w:rFonts w:cs="Times New Roman"/>
                <w:kern w:val="2"/>
                <w:sz w:val="20"/>
                <w:szCs w:val="20"/>
                <w:lang/>
              </w:rPr>
              <w:t>48.4</w:t>
            </w:r>
          </w:p>
        </w:tc>
        <w:tc>
          <w:tcPr>
            <w:tcW w:w="804" w:type="pct"/>
            <w:tcBorders>
              <w:top w:val="nil"/>
              <w:left w:val="nil"/>
              <w:bottom w:val="nil"/>
              <w:right w:val="nil"/>
            </w:tcBorders>
            <w:hideMark/>
          </w:tcPr>
          <w:p w14:paraId="7E3E57F6" w14:textId="77777777" w:rsidR="00971AE1" w:rsidRPr="0005254C" w:rsidRDefault="00971AE1" w:rsidP="0005254C">
            <w:pPr>
              <w:spacing w:line="240" w:lineRule="auto"/>
              <w:rPr>
                <w:rFonts w:cs="Times New Roman"/>
                <w:kern w:val="2"/>
                <w:sz w:val="20"/>
                <w:szCs w:val="20"/>
                <w:lang/>
              </w:rPr>
            </w:pPr>
            <w:r w:rsidRPr="0005254C">
              <w:rPr>
                <w:rFonts w:cs="Times New Roman"/>
                <w:kern w:val="2"/>
                <w:sz w:val="20"/>
                <w:szCs w:val="20"/>
                <w:lang/>
              </w:rPr>
              <w:t>0</w:t>
            </w:r>
          </w:p>
        </w:tc>
        <w:tc>
          <w:tcPr>
            <w:tcW w:w="802" w:type="pct"/>
            <w:tcBorders>
              <w:top w:val="nil"/>
              <w:left w:val="nil"/>
              <w:bottom w:val="nil"/>
              <w:right w:val="nil"/>
            </w:tcBorders>
            <w:hideMark/>
          </w:tcPr>
          <w:p w14:paraId="38C16DC8" w14:textId="77777777" w:rsidR="00971AE1" w:rsidRPr="0005254C" w:rsidRDefault="00971AE1" w:rsidP="0005254C">
            <w:pPr>
              <w:spacing w:line="240" w:lineRule="auto"/>
              <w:rPr>
                <w:rFonts w:cs="Times New Roman"/>
                <w:kern w:val="2"/>
                <w:sz w:val="20"/>
                <w:szCs w:val="20"/>
                <w:lang/>
              </w:rPr>
            </w:pPr>
            <w:r w:rsidRPr="0005254C">
              <w:rPr>
                <w:rFonts w:cs="Times New Roman"/>
                <w:kern w:val="2"/>
                <w:sz w:val="20"/>
                <w:szCs w:val="20"/>
                <w:lang/>
              </w:rPr>
              <w:t>4410</w:t>
            </w:r>
          </w:p>
        </w:tc>
      </w:tr>
      <w:tr w:rsidR="00971AE1" w:rsidRPr="00971AE1" w14:paraId="6EFA45C7" w14:textId="77777777" w:rsidTr="00CC5757">
        <w:tc>
          <w:tcPr>
            <w:tcW w:w="1786" w:type="pct"/>
            <w:tcBorders>
              <w:top w:val="nil"/>
              <w:left w:val="nil"/>
              <w:bottom w:val="nil"/>
              <w:right w:val="nil"/>
            </w:tcBorders>
            <w:hideMark/>
          </w:tcPr>
          <w:p w14:paraId="03155120" w14:textId="77777777" w:rsidR="00971AE1" w:rsidRPr="0005254C" w:rsidRDefault="00971AE1" w:rsidP="0005254C">
            <w:pPr>
              <w:spacing w:line="240" w:lineRule="auto"/>
              <w:rPr>
                <w:rFonts w:cs="Times New Roman"/>
                <w:kern w:val="2"/>
                <w:sz w:val="20"/>
                <w:szCs w:val="20"/>
                <w:lang/>
              </w:rPr>
            </w:pPr>
            <w:r w:rsidRPr="0005254C">
              <w:rPr>
                <w:rFonts w:cs="Times New Roman"/>
                <w:kern w:val="2"/>
                <w:sz w:val="20"/>
                <w:szCs w:val="20"/>
                <w:lang/>
              </w:rPr>
              <w:t>Int</w:t>
            </w:r>
            <w:r w:rsidRPr="0005254C">
              <w:rPr>
                <w:rFonts w:cs="Times New Roman"/>
                <w:kern w:val="2"/>
                <w:sz w:val="20"/>
                <w:szCs w:val="20"/>
                <w:lang/>
              </w:rPr>
              <w:t>er</w:t>
            </w:r>
            <w:r w:rsidRPr="0005254C">
              <w:rPr>
                <w:rFonts w:cs="Times New Roman"/>
                <w:kern w:val="2"/>
                <w:sz w:val="20"/>
                <w:szCs w:val="20"/>
                <w:lang/>
              </w:rPr>
              <w:t>-State Inward Relocations</w:t>
            </w:r>
          </w:p>
        </w:tc>
        <w:tc>
          <w:tcPr>
            <w:tcW w:w="804" w:type="pct"/>
            <w:tcBorders>
              <w:top w:val="nil"/>
              <w:left w:val="nil"/>
              <w:bottom w:val="nil"/>
              <w:right w:val="nil"/>
            </w:tcBorders>
            <w:hideMark/>
          </w:tcPr>
          <w:p w14:paraId="63D5F34B" w14:textId="77777777" w:rsidR="00971AE1" w:rsidRPr="0005254C" w:rsidRDefault="00971AE1" w:rsidP="0005254C">
            <w:pPr>
              <w:spacing w:line="240" w:lineRule="auto"/>
              <w:rPr>
                <w:rFonts w:cs="Times New Roman"/>
                <w:kern w:val="2"/>
                <w:sz w:val="20"/>
                <w:szCs w:val="20"/>
                <w:lang/>
              </w:rPr>
            </w:pPr>
            <w:r w:rsidRPr="0005254C">
              <w:rPr>
                <w:rFonts w:cs="Times New Roman"/>
                <w:kern w:val="2"/>
                <w:sz w:val="20"/>
                <w:szCs w:val="20"/>
                <w:lang/>
              </w:rPr>
              <w:t>.019</w:t>
            </w:r>
          </w:p>
        </w:tc>
        <w:tc>
          <w:tcPr>
            <w:tcW w:w="804" w:type="pct"/>
            <w:tcBorders>
              <w:top w:val="nil"/>
              <w:left w:val="nil"/>
              <w:bottom w:val="nil"/>
              <w:right w:val="nil"/>
            </w:tcBorders>
            <w:hideMark/>
          </w:tcPr>
          <w:p w14:paraId="21E366B5" w14:textId="77777777" w:rsidR="00971AE1" w:rsidRPr="0005254C" w:rsidRDefault="00971AE1" w:rsidP="0005254C">
            <w:pPr>
              <w:spacing w:line="240" w:lineRule="auto"/>
              <w:rPr>
                <w:rFonts w:cs="Times New Roman"/>
                <w:kern w:val="2"/>
                <w:sz w:val="20"/>
                <w:szCs w:val="20"/>
                <w:lang/>
              </w:rPr>
            </w:pPr>
            <w:r w:rsidRPr="0005254C">
              <w:rPr>
                <w:rFonts w:cs="Times New Roman"/>
                <w:kern w:val="2"/>
                <w:sz w:val="20"/>
                <w:szCs w:val="20"/>
                <w:lang/>
              </w:rPr>
              <w:t>.202</w:t>
            </w:r>
          </w:p>
        </w:tc>
        <w:tc>
          <w:tcPr>
            <w:tcW w:w="804" w:type="pct"/>
            <w:tcBorders>
              <w:top w:val="nil"/>
              <w:left w:val="nil"/>
              <w:bottom w:val="nil"/>
              <w:right w:val="nil"/>
            </w:tcBorders>
            <w:hideMark/>
          </w:tcPr>
          <w:p w14:paraId="2BE7EBCC" w14:textId="77777777" w:rsidR="00971AE1" w:rsidRPr="0005254C" w:rsidRDefault="00971AE1" w:rsidP="0005254C">
            <w:pPr>
              <w:spacing w:line="240" w:lineRule="auto"/>
              <w:rPr>
                <w:rFonts w:cs="Times New Roman"/>
                <w:kern w:val="2"/>
                <w:sz w:val="20"/>
                <w:szCs w:val="20"/>
                <w:lang/>
              </w:rPr>
            </w:pPr>
            <w:r w:rsidRPr="0005254C">
              <w:rPr>
                <w:rFonts w:cs="Times New Roman"/>
                <w:kern w:val="2"/>
                <w:sz w:val="20"/>
                <w:szCs w:val="20"/>
                <w:lang/>
              </w:rPr>
              <w:t>0</w:t>
            </w:r>
          </w:p>
        </w:tc>
        <w:tc>
          <w:tcPr>
            <w:tcW w:w="802" w:type="pct"/>
            <w:tcBorders>
              <w:top w:val="nil"/>
              <w:left w:val="nil"/>
              <w:bottom w:val="nil"/>
              <w:right w:val="nil"/>
            </w:tcBorders>
            <w:hideMark/>
          </w:tcPr>
          <w:p w14:paraId="7B4DB3DE" w14:textId="77777777" w:rsidR="00971AE1" w:rsidRPr="0005254C" w:rsidRDefault="00971AE1" w:rsidP="0005254C">
            <w:pPr>
              <w:spacing w:line="240" w:lineRule="auto"/>
              <w:rPr>
                <w:rFonts w:cs="Times New Roman"/>
                <w:kern w:val="2"/>
                <w:sz w:val="20"/>
                <w:szCs w:val="20"/>
                <w:lang/>
              </w:rPr>
            </w:pPr>
            <w:r w:rsidRPr="0005254C">
              <w:rPr>
                <w:rFonts w:cs="Times New Roman"/>
                <w:kern w:val="2"/>
                <w:sz w:val="20"/>
                <w:szCs w:val="20"/>
                <w:lang/>
              </w:rPr>
              <w:t>18</w:t>
            </w:r>
          </w:p>
        </w:tc>
      </w:tr>
      <w:tr w:rsidR="00971AE1" w:rsidRPr="00971AE1" w14:paraId="26042135" w14:textId="77777777" w:rsidTr="00CC5757">
        <w:tc>
          <w:tcPr>
            <w:tcW w:w="1786" w:type="pct"/>
            <w:tcBorders>
              <w:top w:val="nil"/>
              <w:left w:val="nil"/>
              <w:bottom w:val="nil"/>
              <w:right w:val="nil"/>
            </w:tcBorders>
            <w:hideMark/>
          </w:tcPr>
          <w:p w14:paraId="1253E67F" w14:textId="77777777" w:rsidR="00971AE1" w:rsidRPr="0005254C" w:rsidRDefault="00971AE1" w:rsidP="0005254C">
            <w:pPr>
              <w:spacing w:line="240" w:lineRule="auto"/>
              <w:rPr>
                <w:rFonts w:cs="Times New Roman"/>
                <w:kern w:val="2"/>
                <w:sz w:val="20"/>
                <w:szCs w:val="20"/>
                <w:lang/>
              </w:rPr>
            </w:pPr>
            <w:r w:rsidRPr="0005254C">
              <w:rPr>
                <w:rFonts w:cs="Times New Roman"/>
                <w:kern w:val="2"/>
                <w:sz w:val="20"/>
                <w:szCs w:val="20"/>
                <w:lang/>
              </w:rPr>
              <w:t>Total Entries</w:t>
            </w:r>
          </w:p>
        </w:tc>
        <w:tc>
          <w:tcPr>
            <w:tcW w:w="804" w:type="pct"/>
            <w:tcBorders>
              <w:top w:val="nil"/>
              <w:left w:val="nil"/>
              <w:bottom w:val="nil"/>
              <w:right w:val="nil"/>
            </w:tcBorders>
            <w:hideMark/>
          </w:tcPr>
          <w:p w14:paraId="37BE4BB6" w14:textId="77777777" w:rsidR="00971AE1" w:rsidRPr="0005254C" w:rsidRDefault="00971AE1" w:rsidP="0005254C">
            <w:pPr>
              <w:spacing w:line="240" w:lineRule="auto"/>
              <w:rPr>
                <w:rFonts w:cs="Times New Roman"/>
                <w:kern w:val="2"/>
                <w:sz w:val="20"/>
                <w:szCs w:val="20"/>
                <w:lang/>
              </w:rPr>
            </w:pPr>
            <w:r w:rsidRPr="0005254C">
              <w:rPr>
                <w:rFonts w:cs="Times New Roman"/>
                <w:kern w:val="2"/>
                <w:sz w:val="20"/>
                <w:szCs w:val="20"/>
                <w:lang/>
              </w:rPr>
              <w:t>72.2</w:t>
            </w:r>
          </w:p>
        </w:tc>
        <w:tc>
          <w:tcPr>
            <w:tcW w:w="804" w:type="pct"/>
            <w:tcBorders>
              <w:top w:val="nil"/>
              <w:left w:val="nil"/>
              <w:bottom w:val="nil"/>
              <w:right w:val="nil"/>
            </w:tcBorders>
            <w:hideMark/>
          </w:tcPr>
          <w:p w14:paraId="1A6B5A17" w14:textId="77777777" w:rsidR="00971AE1" w:rsidRPr="0005254C" w:rsidRDefault="00971AE1" w:rsidP="0005254C">
            <w:pPr>
              <w:spacing w:line="240" w:lineRule="auto"/>
              <w:rPr>
                <w:rFonts w:cs="Times New Roman"/>
                <w:kern w:val="2"/>
                <w:sz w:val="20"/>
                <w:szCs w:val="20"/>
                <w:lang/>
              </w:rPr>
            </w:pPr>
            <w:r w:rsidRPr="0005254C">
              <w:rPr>
                <w:rFonts w:cs="Times New Roman"/>
                <w:kern w:val="2"/>
                <w:sz w:val="20"/>
                <w:szCs w:val="20"/>
                <w:lang/>
              </w:rPr>
              <w:t>241</w:t>
            </w:r>
          </w:p>
        </w:tc>
        <w:tc>
          <w:tcPr>
            <w:tcW w:w="804" w:type="pct"/>
            <w:tcBorders>
              <w:top w:val="nil"/>
              <w:left w:val="nil"/>
              <w:bottom w:val="nil"/>
              <w:right w:val="nil"/>
            </w:tcBorders>
            <w:hideMark/>
          </w:tcPr>
          <w:p w14:paraId="236BD716" w14:textId="77777777" w:rsidR="00971AE1" w:rsidRPr="0005254C" w:rsidRDefault="00971AE1" w:rsidP="0005254C">
            <w:pPr>
              <w:spacing w:line="240" w:lineRule="auto"/>
              <w:rPr>
                <w:rFonts w:cs="Times New Roman"/>
                <w:kern w:val="2"/>
                <w:sz w:val="20"/>
                <w:szCs w:val="20"/>
                <w:lang/>
              </w:rPr>
            </w:pPr>
            <w:r w:rsidRPr="0005254C">
              <w:rPr>
                <w:rFonts w:cs="Times New Roman"/>
                <w:kern w:val="2"/>
                <w:sz w:val="20"/>
                <w:szCs w:val="20"/>
                <w:lang/>
              </w:rPr>
              <w:t>0</w:t>
            </w:r>
          </w:p>
        </w:tc>
        <w:tc>
          <w:tcPr>
            <w:tcW w:w="802" w:type="pct"/>
            <w:tcBorders>
              <w:top w:val="nil"/>
              <w:left w:val="nil"/>
              <w:bottom w:val="nil"/>
              <w:right w:val="nil"/>
            </w:tcBorders>
            <w:hideMark/>
          </w:tcPr>
          <w:p w14:paraId="7B271957" w14:textId="77777777" w:rsidR="00971AE1" w:rsidRPr="0005254C" w:rsidRDefault="00971AE1" w:rsidP="0005254C">
            <w:pPr>
              <w:spacing w:line="240" w:lineRule="auto"/>
              <w:rPr>
                <w:rFonts w:cs="Times New Roman"/>
                <w:kern w:val="2"/>
                <w:sz w:val="20"/>
                <w:szCs w:val="20"/>
                <w:lang/>
              </w:rPr>
            </w:pPr>
            <w:r w:rsidRPr="0005254C">
              <w:rPr>
                <w:rFonts w:cs="Times New Roman"/>
                <w:kern w:val="2"/>
                <w:sz w:val="20"/>
                <w:szCs w:val="20"/>
                <w:lang/>
              </w:rPr>
              <w:t>12469</w:t>
            </w:r>
          </w:p>
        </w:tc>
      </w:tr>
      <w:tr w:rsidR="00971AE1" w:rsidRPr="00971AE1" w14:paraId="5BCB824F" w14:textId="77777777" w:rsidTr="00CC5757">
        <w:tc>
          <w:tcPr>
            <w:tcW w:w="1786" w:type="pct"/>
            <w:tcBorders>
              <w:top w:val="nil"/>
              <w:left w:val="nil"/>
              <w:bottom w:val="nil"/>
              <w:right w:val="nil"/>
            </w:tcBorders>
            <w:hideMark/>
          </w:tcPr>
          <w:p w14:paraId="077AB8D0" w14:textId="77777777" w:rsidR="00971AE1" w:rsidRPr="0005254C" w:rsidRDefault="00971AE1" w:rsidP="0005254C">
            <w:pPr>
              <w:spacing w:line="240" w:lineRule="auto"/>
              <w:rPr>
                <w:rFonts w:cs="Times New Roman"/>
                <w:kern w:val="2"/>
                <w:sz w:val="20"/>
                <w:szCs w:val="20"/>
                <w:lang/>
              </w:rPr>
            </w:pPr>
            <w:r w:rsidRPr="0005254C">
              <w:rPr>
                <w:rFonts w:cs="Times New Roman"/>
                <w:kern w:val="2"/>
                <w:sz w:val="20"/>
                <w:szCs w:val="20"/>
                <w:lang/>
              </w:rPr>
              <w:t>Deaths</w:t>
            </w:r>
          </w:p>
        </w:tc>
        <w:tc>
          <w:tcPr>
            <w:tcW w:w="804" w:type="pct"/>
            <w:tcBorders>
              <w:top w:val="nil"/>
              <w:left w:val="nil"/>
              <w:bottom w:val="nil"/>
              <w:right w:val="nil"/>
            </w:tcBorders>
            <w:hideMark/>
          </w:tcPr>
          <w:p w14:paraId="0A10ACC7" w14:textId="77777777" w:rsidR="00971AE1" w:rsidRPr="0005254C" w:rsidRDefault="00971AE1" w:rsidP="0005254C">
            <w:pPr>
              <w:spacing w:line="240" w:lineRule="auto"/>
              <w:rPr>
                <w:rFonts w:cs="Times New Roman"/>
                <w:kern w:val="2"/>
                <w:sz w:val="20"/>
                <w:szCs w:val="20"/>
                <w:lang/>
              </w:rPr>
            </w:pPr>
            <w:r w:rsidRPr="0005254C">
              <w:rPr>
                <w:rFonts w:cs="Times New Roman"/>
                <w:kern w:val="2"/>
                <w:sz w:val="20"/>
                <w:szCs w:val="20"/>
                <w:lang/>
              </w:rPr>
              <w:t>67.0</w:t>
            </w:r>
          </w:p>
        </w:tc>
        <w:tc>
          <w:tcPr>
            <w:tcW w:w="804" w:type="pct"/>
            <w:tcBorders>
              <w:top w:val="nil"/>
              <w:left w:val="nil"/>
              <w:bottom w:val="nil"/>
              <w:right w:val="nil"/>
            </w:tcBorders>
            <w:hideMark/>
          </w:tcPr>
          <w:p w14:paraId="3CC0FE06" w14:textId="77777777" w:rsidR="00971AE1" w:rsidRPr="0005254C" w:rsidRDefault="00971AE1" w:rsidP="0005254C">
            <w:pPr>
              <w:spacing w:line="240" w:lineRule="auto"/>
              <w:rPr>
                <w:rFonts w:cs="Times New Roman"/>
                <w:kern w:val="2"/>
                <w:sz w:val="20"/>
                <w:szCs w:val="20"/>
                <w:lang/>
              </w:rPr>
            </w:pPr>
            <w:r w:rsidRPr="0005254C">
              <w:rPr>
                <w:rFonts w:cs="Times New Roman"/>
                <w:kern w:val="2"/>
                <w:sz w:val="20"/>
                <w:szCs w:val="20"/>
                <w:lang/>
              </w:rPr>
              <w:t>22</w:t>
            </w:r>
            <w:r w:rsidRPr="0005254C">
              <w:rPr>
                <w:rFonts w:cs="Times New Roman"/>
                <w:kern w:val="2"/>
                <w:sz w:val="20"/>
                <w:szCs w:val="20"/>
                <w:lang/>
              </w:rPr>
              <w:t>1</w:t>
            </w:r>
          </w:p>
        </w:tc>
        <w:tc>
          <w:tcPr>
            <w:tcW w:w="804" w:type="pct"/>
            <w:tcBorders>
              <w:top w:val="nil"/>
              <w:left w:val="nil"/>
              <w:bottom w:val="nil"/>
              <w:right w:val="nil"/>
            </w:tcBorders>
            <w:hideMark/>
          </w:tcPr>
          <w:p w14:paraId="52DDFAB4" w14:textId="77777777" w:rsidR="00971AE1" w:rsidRPr="0005254C" w:rsidRDefault="00971AE1" w:rsidP="0005254C">
            <w:pPr>
              <w:spacing w:line="240" w:lineRule="auto"/>
              <w:rPr>
                <w:rFonts w:cs="Times New Roman"/>
                <w:kern w:val="2"/>
                <w:sz w:val="20"/>
                <w:szCs w:val="20"/>
                <w:lang/>
              </w:rPr>
            </w:pPr>
            <w:r w:rsidRPr="0005254C">
              <w:rPr>
                <w:rFonts w:cs="Times New Roman"/>
                <w:kern w:val="2"/>
                <w:sz w:val="20"/>
                <w:szCs w:val="20"/>
                <w:lang/>
              </w:rPr>
              <w:t>0</w:t>
            </w:r>
          </w:p>
        </w:tc>
        <w:tc>
          <w:tcPr>
            <w:tcW w:w="802" w:type="pct"/>
            <w:tcBorders>
              <w:top w:val="nil"/>
              <w:left w:val="nil"/>
              <w:bottom w:val="nil"/>
              <w:right w:val="nil"/>
            </w:tcBorders>
            <w:hideMark/>
          </w:tcPr>
          <w:p w14:paraId="28E7B305" w14:textId="77777777" w:rsidR="00971AE1" w:rsidRPr="0005254C" w:rsidRDefault="00971AE1" w:rsidP="0005254C">
            <w:pPr>
              <w:spacing w:line="240" w:lineRule="auto"/>
              <w:rPr>
                <w:rFonts w:cs="Times New Roman"/>
                <w:kern w:val="2"/>
                <w:sz w:val="20"/>
                <w:szCs w:val="20"/>
                <w:lang/>
              </w:rPr>
            </w:pPr>
            <w:r w:rsidRPr="0005254C">
              <w:rPr>
                <w:rFonts w:cs="Times New Roman"/>
                <w:kern w:val="2"/>
                <w:sz w:val="20"/>
                <w:szCs w:val="20"/>
                <w:lang/>
              </w:rPr>
              <w:t>13568</w:t>
            </w:r>
          </w:p>
        </w:tc>
      </w:tr>
      <w:tr w:rsidR="00971AE1" w:rsidRPr="00971AE1" w14:paraId="22F8A3FD" w14:textId="77777777" w:rsidTr="00CC5757">
        <w:tc>
          <w:tcPr>
            <w:tcW w:w="1786" w:type="pct"/>
            <w:tcBorders>
              <w:top w:val="nil"/>
              <w:left w:val="nil"/>
              <w:bottom w:val="nil"/>
              <w:right w:val="nil"/>
            </w:tcBorders>
            <w:hideMark/>
          </w:tcPr>
          <w:p w14:paraId="2952F315" w14:textId="77777777" w:rsidR="00971AE1" w:rsidRPr="0005254C" w:rsidRDefault="00971AE1" w:rsidP="0005254C">
            <w:pPr>
              <w:spacing w:line="240" w:lineRule="auto"/>
              <w:rPr>
                <w:rFonts w:cs="Times New Roman"/>
                <w:kern w:val="2"/>
                <w:sz w:val="20"/>
                <w:szCs w:val="20"/>
                <w:lang/>
              </w:rPr>
            </w:pPr>
            <w:r w:rsidRPr="0005254C">
              <w:rPr>
                <w:rFonts w:cs="Times New Roman"/>
                <w:kern w:val="2"/>
                <w:sz w:val="20"/>
                <w:szCs w:val="20"/>
                <w:lang/>
              </w:rPr>
              <w:t>Outward Relocations</w:t>
            </w:r>
          </w:p>
        </w:tc>
        <w:tc>
          <w:tcPr>
            <w:tcW w:w="804" w:type="pct"/>
            <w:tcBorders>
              <w:top w:val="nil"/>
              <w:left w:val="nil"/>
              <w:bottom w:val="nil"/>
              <w:right w:val="nil"/>
            </w:tcBorders>
            <w:hideMark/>
          </w:tcPr>
          <w:p w14:paraId="6E44330F" w14:textId="77777777" w:rsidR="00971AE1" w:rsidRPr="0005254C" w:rsidRDefault="00971AE1" w:rsidP="0005254C">
            <w:pPr>
              <w:spacing w:line="240" w:lineRule="auto"/>
              <w:rPr>
                <w:rFonts w:cs="Times New Roman"/>
                <w:kern w:val="2"/>
                <w:sz w:val="20"/>
                <w:szCs w:val="20"/>
                <w:lang/>
              </w:rPr>
            </w:pPr>
            <w:r w:rsidRPr="0005254C">
              <w:rPr>
                <w:rFonts w:cs="Times New Roman"/>
                <w:kern w:val="2"/>
                <w:sz w:val="20"/>
                <w:szCs w:val="20"/>
                <w:lang/>
              </w:rPr>
              <w:t>2.8</w:t>
            </w:r>
            <w:r w:rsidRPr="0005254C">
              <w:rPr>
                <w:rFonts w:cs="Times New Roman"/>
                <w:kern w:val="2"/>
                <w:sz w:val="20"/>
                <w:szCs w:val="20"/>
                <w:lang/>
              </w:rPr>
              <w:t>9</w:t>
            </w:r>
          </w:p>
        </w:tc>
        <w:tc>
          <w:tcPr>
            <w:tcW w:w="804" w:type="pct"/>
            <w:tcBorders>
              <w:top w:val="nil"/>
              <w:left w:val="nil"/>
              <w:bottom w:val="nil"/>
              <w:right w:val="nil"/>
            </w:tcBorders>
            <w:hideMark/>
          </w:tcPr>
          <w:p w14:paraId="4967BCC3" w14:textId="77777777" w:rsidR="00971AE1" w:rsidRPr="0005254C" w:rsidRDefault="00971AE1" w:rsidP="0005254C">
            <w:pPr>
              <w:spacing w:line="240" w:lineRule="auto"/>
              <w:rPr>
                <w:rFonts w:cs="Times New Roman"/>
                <w:kern w:val="2"/>
                <w:sz w:val="20"/>
                <w:szCs w:val="20"/>
                <w:lang/>
              </w:rPr>
            </w:pPr>
            <w:r w:rsidRPr="0005254C">
              <w:rPr>
                <w:rFonts w:cs="Times New Roman"/>
                <w:kern w:val="2"/>
                <w:sz w:val="20"/>
                <w:szCs w:val="20"/>
                <w:lang/>
              </w:rPr>
              <w:t>50.</w:t>
            </w:r>
            <w:r w:rsidRPr="0005254C">
              <w:rPr>
                <w:rFonts w:cs="Times New Roman"/>
                <w:kern w:val="2"/>
                <w:sz w:val="20"/>
                <w:szCs w:val="20"/>
                <w:lang/>
              </w:rPr>
              <w:t>2</w:t>
            </w:r>
          </w:p>
        </w:tc>
        <w:tc>
          <w:tcPr>
            <w:tcW w:w="804" w:type="pct"/>
            <w:tcBorders>
              <w:top w:val="nil"/>
              <w:left w:val="nil"/>
              <w:bottom w:val="nil"/>
              <w:right w:val="nil"/>
            </w:tcBorders>
            <w:hideMark/>
          </w:tcPr>
          <w:p w14:paraId="2BC1577D" w14:textId="77777777" w:rsidR="00971AE1" w:rsidRPr="0005254C" w:rsidRDefault="00971AE1" w:rsidP="0005254C">
            <w:pPr>
              <w:spacing w:line="240" w:lineRule="auto"/>
              <w:rPr>
                <w:rFonts w:cs="Times New Roman"/>
                <w:kern w:val="2"/>
                <w:sz w:val="20"/>
                <w:szCs w:val="20"/>
                <w:lang/>
              </w:rPr>
            </w:pPr>
            <w:r w:rsidRPr="0005254C">
              <w:rPr>
                <w:rFonts w:cs="Times New Roman"/>
                <w:kern w:val="2"/>
                <w:sz w:val="20"/>
                <w:szCs w:val="20"/>
                <w:lang/>
              </w:rPr>
              <w:t>0</w:t>
            </w:r>
          </w:p>
        </w:tc>
        <w:tc>
          <w:tcPr>
            <w:tcW w:w="802" w:type="pct"/>
            <w:tcBorders>
              <w:top w:val="nil"/>
              <w:left w:val="nil"/>
              <w:bottom w:val="nil"/>
              <w:right w:val="nil"/>
            </w:tcBorders>
            <w:hideMark/>
          </w:tcPr>
          <w:p w14:paraId="3346174D" w14:textId="77777777" w:rsidR="00971AE1" w:rsidRPr="0005254C" w:rsidRDefault="00971AE1" w:rsidP="0005254C">
            <w:pPr>
              <w:spacing w:line="240" w:lineRule="auto"/>
              <w:rPr>
                <w:rFonts w:cs="Times New Roman"/>
                <w:kern w:val="2"/>
                <w:sz w:val="20"/>
                <w:szCs w:val="20"/>
                <w:lang/>
              </w:rPr>
            </w:pPr>
            <w:r w:rsidRPr="0005254C">
              <w:rPr>
                <w:rFonts w:cs="Times New Roman"/>
                <w:kern w:val="2"/>
                <w:sz w:val="20"/>
                <w:szCs w:val="20"/>
                <w:lang/>
              </w:rPr>
              <w:t>4537</w:t>
            </w:r>
          </w:p>
        </w:tc>
      </w:tr>
      <w:tr w:rsidR="00971AE1" w:rsidRPr="00971AE1" w14:paraId="7431F342" w14:textId="77777777" w:rsidTr="00CC5757">
        <w:tc>
          <w:tcPr>
            <w:tcW w:w="1786" w:type="pct"/>
            <w:tcBorders>
              <w:top w:val="nil"/>
              <w:left w:val="nil"/>
              <w:bottom w:val="nil"/>
              <w:right w:val="nil"/>
            </w:tcBorders>
            <w:hideMark/>
          </w:tcPr>
          <w:p w14:paraId="37B7F189" w14:textId="77777777" w:rsidR="00971AE1" w:rsidRPr="0005254C" w:rsidRDefault="00971AE1" w:rsidP="0005254C">
            <w:pPr>
              <w:spacing w:line="240" w:lineRule="auto"/>
              <w:rPr>
                <w:rFonts w:cs="Times New Roman"/>
                <w:kern w:val="2"/>
                <w:sz w:val="20"/>
                <w:szCs w:val="20"/>
                <w:lang/>
              </w:rPr>
            </w:pPr>
            <w:r w:rsidRPr="0005254C">
              <w:rPr>
                <w:rFonts w:cs="Times New Roman"/>
                <w:kern w:val="2"/>
                <w:sz w:val="20"/>
                <w:szCs w:val="20"/>
                <w:lang/>
              </w:rPr>
              <w:t>Int</w:t>
            </w:r>
            <w:proofErr w:type="spellStart"/>
            <w:r w:rsidRPr="0005254C">
              <w:rPr>
                <w:rFonts w:cs="Times New Roman"/>
                <w:kern w:val="2"/>
                <w:sz w:val="20"/>
                <w:szCs w:val="20"/>
                <w:lang/>
              </w:rPr>
              <w:t>ra</w:t>
            </w:r>
            <w:proofErr w:type="spellEnd"/>
            <w:r w:rsidRPr="0005254C">
              <w:rPr>
                <w:rFonts w:cs="Times New Roman"/>
                <w:kern w:val="2"/>
                <w:sz w:val="20"/>
                <w:szCs w:val="20"/>
                <w:lang/>
              </w:rPr>
              <w:t>-State Outward Relocations</w:t>
            </w:r>
          </w:p>
        </w:tc>
        <w:tc>
          <w:tcPr>
            <w:tcW w:w="804" w:type="pct"/>
            <w:tcBorders>
              <w:top w:val="nil"/>
              <w:left w:val="nil"/>
              <w:bottom w:val="nil"/>
              <w:right w:val="nil"/>
            </w:tcBorders>
            <w:hideMark/>
          </w:tcPr>
          <w:p w14:paraId="26B9D955" w14:textId="77777777" w:rsidR="00971AE1" w:rsidRPr="0005254C" w:rsidRDefault="00971AE1" w:rsidP="0005254C">
            <w:pPr>
              <w:spacing w:line="240" w:lineRule="auto"/>
              <w:rPr>
                <w:rFonts w:cs="Times New Roman"/>
                <w:kern w:val="2"/>
                <w:sz w:val="20"/>
                <w:szCs w:val="20"/>
                <w:lang/>
              </w:rPr>
            </w:pPr>
            <w:r w:rsidRPr="0005254C">
              <w:rPr>
                <w:rFonts w:cs="Times New Roman"/>
                <w:kern w:val="2"/>
                <w:sz w:val="20"/>
                <w:szCs w:val="20"/>
                <w:lang/>
              </w:rPr>
              <w:t>2.8</w:t>
            </w:r>
            <w:r w:rsidRPr="0005254C">
              <w:rPr>
                <w:rFonts w:cs="Times New Roman"/>
                <w:kern w:val="2"/>
                <w:sz w:val="20"/>
                <w:szCs w:val="20"/>
                <w:lang/>
              </w:rPr>
              <w:t>7</w:t>
            </w:r>
          </w:p>
        </w:tc>
        <w:tc>
          <w:tcPr>
            <w:tcW w:w="804" w:type="pct"/>
            <w:tcBorders>
              <w:top w:val="nil"/>
              <w:left w:val="nil"/>
              <w:bottom w:val="nil"/>
              <w:right w:val="nil"/>
            </w:tcBorders>
            <w:hideMark/>
          </w:tcPr>
          <w:p w14:paraId="42D34D13" w14:textId="77777777" w:rsidR="00971AE1" w:rsidRPr="0005254C" w:rsidRDefault="00971AE1" w:rsidP="0005254C">
            <w:pPr>
              <w:spacing w:line="240" w:lineRule="auto"/>
              <w:rPr>
                <w:rFonts w:cs="Times New Roman"/>
                <w:kern w:val="2"/>
                <w:sz w:val="20"/>
                <w:szCs w:val="20"/>
                <w:lang/>
              </w:rPr>
            </w:pPr>
            <w:r w:rsidRPr="0005254C">
              <w:rPr>
                <w:rFonts w:cs="Times New Roman"/>
                <w:kern w:val="2"/>
                <w:sz w:val="20"/>
                <w:szCs w:val="20"/>
                <w:lang/>
              </w:rPr>
              <w:t>50.</w:t>
            </w:r>
            <w:r w:rsidRPr="0005254C">
              <w:rPr>
                <w:rFonts w:cs="Times New Roman"/>
                <w:kern w:val="2"/>
                <w:sz w:val="20"/>
                <w:szCs w:val="20"/>
                <w:lang/>
              </w:rPr>
              <w:t>2</w:t>
            </w:r>
          </w:p>
        </w:tc>
        <w:tc>
          <w:tcPr>
            <w:tcW w:w="804" w:type="pct"/>
            <w:tcBorders>
              <w:top w:val="nil"/>
              <w:left w:val="nil"/>
              <w:bottom w:val="nil"/>
              <w:right w:val="nil"/>
            </w:tcBorders>
            <w:hideMark/>
          </w:tcPr>
          <w:p w14:paraId="3F409869" w14:textId="77777777" w:rsidR="00971AE1" w:rsidRPr="0005254C" w:rsidRDefault="00971AE1" w:rsidP="0005254C">
            <w:pPr>
              <w:spacing w:line="240" w:lineRule="auto"/>
              <w:rPr>
                <w:rFonts w:cs="Times New Roman"/>
                <w:kern w:val="2"/>
                <w:sz w:val="20"/>
                <w:szCs w:val="20"/>
                <w:lang/>
              </w:rPr>
            </w:pPr>
            <w:r w:rsidRPr="0005254C">
              <w:rPr>
                <w:rFonts w:cs="Times New Roman"/>
                <w:kern w:val="2"/>
                <w:sz w:val="20"/>
                <w:szCs w:val="20"/>
                <w:lang/>
              </w:rPr>
              <w:t>0</w:t>
            </w:r>
          </w:p>
        </w:tc>
        <w:tc>
          <w:tcPr>
            <w:tcW w:w="802" w:type="pct"/>
            <w:tcBorders>
              <w:top w:val="nil"/>
              <w:left w:val="nil"/>
              <w:bottom w:val="nil"/>
              <w:right w:val="nil"/>
            </w:tcBorders>
            <w:hideMark/>
          </w:tcPr>
          <w:p w14:paraId="2C23CB10" w14:textId="77777777" w:rsidR="00971AE1" w:rsidRPr="0005254C" w:rsidRDefault="00971AE1" w:rsidP="0005254C">
            <w:pPr>
              <w:spacing w:line="240" w:lineRule="auto"/>
              <w:rPr>
                <w:rFonts w:cs="Times New Roman"/>
                <w:kern w:val="2"/>
                <w:sz w:val="20"/>
                <w:szCs w:val="20"/>
                <w:lang/>
              </w:rPr>
            </w:pPr>
            <w:r w:rsidRPr="0005254C">
              <w:rPr>
                <w:rFonts w:cs="Times New Roman"/>
                <w:kern w:val="2"/>
                <w:sz w:val="20"/>
                <w:szCs w:val="20"/>
                <w:lang/>
              </w:rPr>
              <w:t>4537</w:t>
            </w:r>
          </w:p>
        </w:tc>
      </w:tr>
      <w:tr w:rsidR="00971AE1" w:rsidRPr="00971AE1" w14:paraId="7D520DAF" w14:textId="77777777" w:rsidTr="00CC5757">
        <w:tc>
          <w:tcPr>
            <w:tcW w:w="1786" w:type="pct"/>
            <w:tcBorders>
              <w:top w:val="nil"/>
              <w:left w:val="nil"/>
              <w:bottom w:val="nil"/>
              <w:right w:val="nil"/>
            </w:tcBorders>
            <w:hideMark/>
          </w:tcPr>
          <w:p w14:paraId="3B4E31FF" w14:textId="77777777" w:rsidR="00971AE1" w:rsidRPr="0005254C" w:rsidRDefault="00971AE1" w:rsidP="0005254C">
            <w:pPr>
              <w:spacing w:line="240" w:lineRule="auto"/>
              <w:rPr>
                <w:rFonts w:cs="Times New Roman"/>
                <w:kern w:val="2"/>
                <w:sz w:val="20"/>
                <w:szCs w:val="20"/>
                <w:lang/>
              </w:rPr>
            </w:pPr>
            <w:r w:rsidRPr="0005254C">
              <w:rPr>
                <w:rFonts w:cs="Times New Roman"/>
                <w:kern w:val="2"/>
                <w:sz w:val="20"/>
                <w:szCs w:val="20"/>
                <w:lang/>
              </w:rPr>
              <w:t>Inte</w:t>
            </w:r>
            <w:r w:rsidRPr="0005254C">
              <w:rPr>
                <w:rFonts w:cs="Times New Roman"/>
                <w:kern w:val="2"/>
                <w:sz w:val="20"/>
                <w:szCs w:val="20"/>
                <w:lang/>
              </w:rPr>
              <w:t>r</w:t>
            </w:r>
            <w:r w:rsidRPr="0005254C">
              <w:rPr>
                <w:rFonts w:cs="Times New Roman"/>
                <w:kern w:val="2"/>
                <w:sz w:val="20"/>
                <w:szCs w:val="20"/>
                <w:lang/>
              </w:rPr>
              <w:t>-State Outward Relocations</w:t>
            </w:r>
          </w:p>
        </w:tc>
        <w:tc>
          <w:tcPr>
            <w:tcW w:w="804" w:type="pct"/>
            <w:tcBorders>
              <w:top w:val="nil"/>
              <w:left w:val="nil"/>
              <w:bottom w:val="nil"/>
              <w:right w:val="nil"/>
            </w:tcBorders>
            <w:hideMark/>
          </w:tcPr>
          <w:p w14:paraId="41E0E9C4" w14:textId="77777777" w:rsidR="00971AE1" w:rsidRPr="0005254C" w:rsidRDefault="00971AE1" w:rsidP="0005254C">
            <w:pPr>
              <w:spacing w:line="240" w:lineRule="auto"/>
              <w:rPr>
                <w:rFonts w:cs="Times New Roman"/>
                <w:kern w:val="2"/>
                <w:sz w:val="20"/>
                <w:szCs w:val="20"/>
                <w:lang/>
              </w:rPr>
            </w:pPr>
            <w:r w:rsidRPr="0005254C">
              <w:rPr>
                <w:rFonts w:cs="Times New Roman"/>
                <w:kern w:val="2"/>
                <w:sz w:val="20"/>
                <w:szCs w:val="20"/>
                <w:lang/>
              </w:rPr>
              <w:t>.019</w:t>
            </w:r>
          </w:p>
        </w:tc>
        <w:tc>
          <w:tcPr>
            <w:tcW w:w="804" w:type="pct"/>
            <w:tcBorders>
              <w:top w:val="nil"/>
              <w:left w:val="nil"/>
              <w:bottom w:val="nil"/>
              <w:right w:val="nil"/>
            </w:tcBorders>
            <w:hideMark/>
          </w:tcPr>
          <w:p w14:paraId="6C74CDC8" w14:textId="77777777" w:rsidR="00971AE1" w:rsidRPr="0005254C" w:rsidRDefault="00971AE1" w:rsidP="0005254C">
            <w:pPr>
              <w:spacing w:line="240" w:lineRule="auto"/>
              <w:rPr>
                <w:rFonts w:cs="Times New Roman"/>
                <w:kern w:val="2"/>
                <w:sz w:val="20"/>
                <w:szCs w:val="20"/>
                <w:lang/>
              </w:rPr>
            </w:pPr>
            <w:r w:rsidRPr="0005254C">
              <w:rPr>
                <w:rFonts w:cs="Times New Roman"/>
                <w:kern w:val="2"/>
                <w:sz w:val="20"/>
                <w:szCs w:val="20"/>
                <w:lang/>
              </w:rPr>
              <w:t>.196</w:t>
            </w:r>
          </w:p>
        </w:tc>
        <w:tc>
          <w:tcPr>
            <w:tcW w:w="804" w:type="pct"/>
            <w:tcBorders>
              <w:top w:val="nil"/>
              <w:left w:val="nil"/>
              <w:bottom w:val="nil"/>
              <w:right w:val="nil"/>
            </w:tcBorders>
            <w:hideMark/>
          </w:tcPr>
          <w:p w14:paraId="580759BB" w14:textId="77777777" w:rsidR="00971AE1" w:rsidRPr="0005254C" w:rsidRDefault="00971AE1" w:rsidP="0005254C">
            <w:pPr>
              <w:spacing w:line="240" w:lineRule="auto"/>
              <w:rPr>
                <w:rFonts w:cs="Times New Roman"/>
                <w:kern w:val="2"/>
                <w:sz w:val="20"/>
                <w:szCs w:val="20"/>
                <w:lang/>
              </w:rPr>
            </w:pPr>
            <w:r w:rsidRPr="0005254C">
              <w:rPr>
                <w:rFonts w:cs="Times New Roman"/>
                <w:kern w:val="2"/>
                <w:sz w:val="20"/>
                <w:szCs w:val="20"/>
                <w:lang/>
              </w:rPr>
              <w:t>0</w:t>
            </w:r>
          </w:p>
        </w:tc>
        <w:tc>
          <w:tcPr>
            <w:tcW w:w="802" w:type="pct"/>
            <w:tcBorders>
              <w:top w:val="nil"/>
              <w:left w:val="nil"/>
              <w:bottom w:val="nil"/>
              <w:right w:val="nil"/>
            </w:tcBorders>
            <w:hideMark/>
          </w:tcPr>
          <w:p w14:paraId="2D0A4050" w14:textId="77777777" w:rsidR="00971AE1" w:rsidRPr="0005254C" w:rsidRDefault="00971AE1" w:rsidP="0005254C">
            <w:pPr>
              <w:spacing w:line="240" w:lineRule="auto"/>
              <w:rPr>
                <w:rFonts w:cs="Times New Roman"/>
                <w:kern w:val="2"/>
                <w:sz w:val="20"/>
                <w:szCs w:val="20"/>
                <w:lang/>
              </w:rPr>
            </w:pPr>
            <w:r w:rsidRPr="0005254C">
              <w:rPr>
                <w:rFonts w:cs="Times New Roman"/>
                <w:kern w:val="2"/>
                <w:sz w:val="20"/>
                <w:szCs w:val="20"/>
                <w:lang/>
              </w:rPr>
              <w:t>23</w:t>
            </w:r>
          </w:p>
        </w:tc>
      </w:tr>
      <w:tr w:rsidR="00971AE1" w:rsidRPr="00971AE1" w14:paraId="55AB4CF5" w14:textId="77777777" w:rsidTr="00CC5757">
        <w:tc>
          <w:tcPr>
            <w:tcW w:w="1786" w:type="pct"/>
            <w:tcBorders>
              <w:top w:val="nil"/>
              <w:left w:val="nil"/>
              <w:bottom w:val="single" w:sz="4" w:space="0" w:color="auto"/>
              <w:right w:val="nil"/>
            </w:tcBorders>
            <w:hideMark/>
          </w:tcPr>
          <w:p w14:paraId="4FE3DD7F" w14:textId="77777777" w:rsidR="00971AE1" w:rsidRPr="0005254C" w:rsidRDefault="00971AE1" w:rsidP="0005254C">
            <w:pPr>
              <w:spacing w:line="240" w:lineRule="auto"/>
              <w:rPr>
                <w:rFonts w:cs="Times New Roman"/>
                <w:kern w:val="2"/>
                <w:sz w:val="20"/>
                <w:szCs w:val="20"/>
                <w:lang/>
              </w:rPr>
            </w:pPr>
            <w:r w:rsidRPr="0005254C">
              <w:rPr>
                <w:rFonts w:cs="Times New Roman"/>
                <w:kern w:val="2"/>
                <w:sz w:val="20"/>
                <w:szCs w:val="20"/>
                <w:lang/>
              </w:rPr>
              <w:t>Total Exits</w:t>
            </w:r>
          </w:p>
        </w:tc>
        <w:tc>
          <w:tcPr>
            <w:tcW w:w="804" w:type="pct"/>
            <w:tcBorders>
              <w:top w:val="nil"/>
              <w:left w:val="nil"/>
              <w:bottom w:val="single" w:sz="4" w:space="0" w:color="auto"/>
              <w:right w:val="nil"/>
            </w:tcBorders>
            <w:hideMark/>
          </w:tcPr>
          <w:p w14:paraId="73B532C4" w14:textId="77777777" w:rsidR="00971AE1" w:rsidRPr="0005254C" w:rsidRDefault="00971AE1" w:rsidP="0005254C">
            <w:pPr>
              <w:spacing w:line="240" w:lineRule="auto"/>
              <w:rPr>
                <w:rFonts w:cs="Times New Roman"/>
                <w:kern w:val="2"/>
                <w:sz w:val="20"/>
                <w:szCs w:val="20"/>
                <w:lang/>
              </w:rPr>
            </w:pPr>
            <w:r w:rsidRPr="0005254C">
              <w:rPr>
                <w:rFonts w:cs="Times New Roman"/>
                <w:kern w:val="2"/>
                <w:sz w:val="20"/>
                <w:szCs w:val="20"/>
                <w:lang/>
              </w:rPr>
              <w:t>69.9</w:t>
            </w:r>
          </w:p>
        </w:tc>
        <w:tc>
          <w:tcPr>
            <w:tcW w:w="804" w:type="pct"/>
            <w:tcBorders>
              <w:top w:val="nil"/>
              <w:left w:val="nil"/>
              <w:bottom w:val="single" w:sz="4" w:space="0" w:color="auto"/>
              <w:right w:val="nil"/>
            </w:tcBorders>
            <w:hideMark/>
          </w:tcPr>
          <w:p w14:paraId="09697D0C" w14:textId="77777777" w:rsidR="00971AE1" w:rsidRPr="0005254C" w:rsidRDefault="00971AE1" w:rsidP="0005254C">
            <w:pPr>
              <w:spacing w:line="240" w:lineRule="auto"/>
              <w:rPr>
                <w:rFonts w:cs="Times New Roman"/>
                <w:kern w:val="2"/>
                <w:sz w:val="20"/>
                <w:szCs w:val="20"/>
                <w:lang/>
              </w:rPr>
            </w:pPr>
            <w:r w:rsidRPr="0005254C">
              <w:rPr>
                <w:rFonts w:cs="Times New Roman"/>
                <w:kern w:val="2"/>
                <w:sz w:val="20"/>
                <w:szCs w:val="20"/>
                <w:lang/>
              </w:rPr>
              <w:t>23</w:t>
            </w:r>
            <w:r w:rsidRPr="0005254C">
              <w:rPr>
                <w:rFonts w:cs="Times New Roman"/>
                <w:kern w:val="2"/>
                <w:sz w:val="20"/>
                <w:szCs w:val="20"/>
                <w:lang/>
              </w:rPr>
              <w:t>4</w:t>
            </w:r>
          </w:p>
        </w:tc>
        <w:tc>
          <w:tcPr>
            <w:tcW w:w="804" w:type="pct"/>
            <w:tcBorders>
              <w:top w:val="nil"/>
              <w:left w:val="nil"/>
              <w:bottom w:val="single" w:sz="4" w:space="0" w:color="auto"/>
              <w:right w:val="nil"/>
            </w:tcBorders>
            <w:hideMark/>
          </w:tcPr>
          <w:p w14:paraId="2EEEE1F1" w14:textId="77777777" w:rsidR="00971AE1" w:rsidRPr="0005254C" w:rsidRDefault="00971AE1" w:rsidP="0005254C">
            <w:pPr>
              <w:spacing w:line="240" w:lineRule="auto"/>
              <w:rPr>
                <w:rFonts w:cs="Times New Roman"/>
                <w:kern w:val="2"/>
                <w:sz w:val="20"/>
                <w:szCs w:val="20"/>
                <w:lang/>
              </w:rPr>
            </w:pPr>
            <w:r w:rsidRPr="0005254C">
              <w:rPr>
                <w:rFonts w:cs="Times New Roman"/>
                <w:kern w:val="2"/>
                <w:sz w:val="20"/>
                <w:szCs w:val="20"/>
                <w:lang/>
              </w:rPr>
              <w:t>0</w:t>
            </w:r>
          </w:p>
        </w:tc>
        <w:tc>
          <w:tcPr>
            <w:tcW w:w="802" w:type="pct"/>
            <w:tcBorders>
              <w:top w:val="nil"/>
              <w:left w:val="nil"/>
              <w:bottom w:val="single" w:sz="4" w:space="0" w:color="auto"/>
              <w:right w:val="nil"/>
            </w:tcBorders>
            <w:hideMark/>
          </w:tcPr>
          <w:p w14:paraId="1D5EB750" w14:textId="77777777" w:rsidR="00971AE1" w:rsidRPr="0005254C" w:rsidRDefault="00971AE1" w:rsidP="0005254C">
            <w:pPr>
              <w:spacing w:line="240" w:lineRule="auto"/>
              <w:rPr>
                <w:rFonts w:cs="Times New Roman"/>
                <w:kern w:val="2"/>
                <w:sz w:val="20"/>
                <w:szCs w:val="20"/>
                <w:lang/>
              </w:rPr>
            </w:pPr>
            <w:r w:rsidRPr="0005254C">
              <w:rPr>
                <w:rFonts w:cs="Times New Roman"/>
                <w:kern w:val="2"/>
                <w:sz w:val="20"/>
                <w:szCs w:val="20"/>
                <w:lang/>
              </w:rPr>
              <w:t>13569</w:t>
            </w:r>
          </w:p>
        </w:tc>
      </w:tr>
    </w:tbl>
    <w:p w14:paraId="27B42521" w14:textId="5D7A3632" w:rsidR="00971AE1" w:rsidRDefault="002C0F11" w:rsidP="004C39A4">
      <w:pPr>
        <w:spacing w:line="240" w:lineRule="auto"/>
        <w:rPr>
          <w:lang/>
        </w:rPr>
      </w:pPr>
      <w:r>
        <w:rPr>
          <w:sz w:val="20"/>
          <w:szCs w:val="20"/>
          <w:lang/>
        </w:rPr>
        <w:t>T</w:t>
      </w:r>
      <w:r w:rsidR="00971AE1" w:rsidRPr="00FC56A5">
        <w:rPr>
          <w:sz w:val="20"/>
          <w:szCs w:val="20"/>
          <w:lang/>
        </w:rPr>
        <w:t xml:space="preserve">able </w:t>
      </w:r>
      <w:r>
        <w:rPr>
          <w:sz w:val="20"/>
          <w:szCs w:val="20"/>
          <w:lang/>
        </w:rPr>
        <w:t xml:space="preserve">A1 </w:t>
      </w:r>
      <w:r w:rsidR="00971AE1" w:rsidRPr="00FC56A5">
        <w:rPr>
          <w:sz w:val="20"/>
          <w:szCs w:val="20"/>
          <w:lang/>
        </w:rPr>
        <w:t>provides descriptive statistics of key measures related to LIS establishment location dynamics across U.S. counties. It includes average counts, standard deviations, minimums, and maximums for establishment counts, entries (births and inward relocations), exits (deaths and outward relocations), and their intra- and inter-state components.</w:t>
      </w:r>
      <w:bookmarkEnd w:id="140"/>
      <w:r w:rsidR="00971AE1" w:rsidRPr="00971AE1">
        <w:rPr>
          <w:lang/>
        </w:rPr>
        <w:br/>
      </w:r>
      <w:bookmarkEnd w:id="141"/>
    </w:p>
    <w:p w14:paraId="00B69AEA" w14:textId="2AD3325B" w:rsidR="00D37B02" w:rsidRPr="00971AE1" w:rsidRDefault="00CA199F" w:rsidP="004C39A4">
      <w:pPr>
        <w:spacing w:line="240" w:lineRule="auto"/>
        <w:rPr>
          <w:lang/>
        </w:rPr>
      </w:pPr>
      <w:r>
        <w:rPr>
          <w:lang/>
        </w:rPr>
        <w:t xml:space="preserve"> </w:t>
      </w:r>
    </w:p>
    <w:p w14:paraId="24C12C09" w14:textId="77777777" w:rsidR="00971AE1" w:rsidRPr="00971AE1" w:rsidRDefault="00971AE1" w:rsidP="004C39A4">
      <w:pPr>
        <w:spacing w:line="240" w:lineRule="auto"/>
        <w:jc w:val="center"/>
        <w:rPr>
          <w:rFonts w:cs="Times New Roman"/>
          <w:kern w:val="2"/>
          <w:sz w:val="20"/>
          <w:szCs w:val="20"/>
          <w:lang/>
        </w:rPr>
      </w:pPr>
      <w:bookmarkStart w:id="146" w:name="_Hlk183200390"/>
      <w:r w:rsidRPr="00971AE1">
        <w:rPr>
          <w:rFonts w:cs="Times New Roman"/>
          <w:noProof/>
          <w:kern w:val="2"/>
          <w:sz w:val="20"/>
          <w:szCs w:val="20"/>
          <w:lang/>
        </w:rPr>
        <w:lastRenderedPageBreak/>
        <w:drawing>
          <wp:inline distT="0" distB="0" distL="0" distR="0" wp14:anchorId="5C279433" wp14:editId="06996C64">
            <wp:extent cx="5380220" cy="3420000"/>
            <wp:effectExtent l="0" t="0" r="0" b="952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3">
                      <a:extLst>
                        <a:ext uri="{28A0092B-C50C-407E-A947-70E740481C1C}">
                          <a14:useLocalDpi xmlns:a14="http://schemas.microsoft.com/office/drawing/2010/main" val="0"/>
                        </a:ext>
                      </a:extLst>
                    </a:blip>
                    <a:srcRect t="5099" b="1672"/>
                    <a:stretch/>
                  </pic:blipFill>
                  <pic:spPr bwMode="auto">
                    <a:xfrm>
                      <a:off x="0" y="0"/>
                      <a:ext cx="5385600" cy="3423420"/>
                    </a:xfrm>
                    <a:prstGeom prst="rect">
                      <a:avLst/>
                    </a:prstGeom>
                    <a:noFill/>
                    <a:ln>
                      <a:noFill/>
                    </a:ln>
                    <a:extLst>
                      <a:ext uri="{53640926-AAD7-44D8-BBD7-CCE9431645EC}">
                        <a14:shadowObscured xmlns:a14="http://schemas.microsoft.com/office/drawing/2010/main"/>
                      </a:ext>
                    </a:extLst>
                  </pic:spPr>
                </pic:pic>
              </a:graphicData>
            </a:graphic>
          </wp:inline>
        </w:drawing>
      </w:r>
    </w:p>
    <w:p w14:paraId="6C2CEF64" w14:textId="638104D7" w:rsidR="00CD4846" w:rsidRDefault="00CD4846" w:rsidP="009D3026">
      <w:pPr>
        <w:pStyle w:val="Caption"/>
      </w:pPr>
      <w:bookmarkStart w:id="147" w:name="_Toc188189064"/>
      <w:bookmarkStart w:id="148" w:name="_Toc188359958"/>
      <w:bookmarkStart w:id="149" w:name="_Toc188367085"/>
      <w:r>
        <w:t xml:space="preserve">Figure </w:t>
      </w:r>
      <w:fldSimple w:instr=" SEQ Figure \* ALPHABETIC ">
        <w:r w:rsidR="0083513D">
          <w:rPr>
            <w:noProof/>
          </w:rPr>
          <w:t>A</w:t>
        </w:r>
      </w:fldSimple>
      <w:r w:rsidRPr="00DB64A9">
        <w:t>2: Trends in Aggregate LIS Entries and Exits Over Time</w:t>
      </w:r>
      <w:bookmarkEnd w:id="147"/>
      <w:bookmarkEnd w:id="148"/>
      <w:bookmarkEnd w:id="149"/>
    </w:p>
    <w:p w14:paraId="21C32D9D" w14:textId="1EADB08E" w:rsidR="001329F7" w:rsidRDefault="00971AE1" w:rsidP="004C39A4">
      <w:pPr>
        <w:spacing w:line="240" w:lineRule="auto"/>
        <w:rPr>
          <w:sz w:val="20"/>
          <w:szCs w:val="20"/>
          <w:lang/>
        </w:rPr>
      </w:pPr>
      <w:r w:rsidRPr="00FC56A5">
        <w:rPr>
          <w:sz w:val="20"/>
          <w:szCs w:val="20"/>
          <w:lang/>
        </w:rPr>
        <w:t>This figure illustrates the annual trends in establishment entries and exits for the LIS from 1998 to 2018. The blue line represents total entries, while the red line represents total exits. These trends highlight the dynamic nature of LIS business activity, influenced by macroeconomic cycles and external shocks, such as the 2008 financial crisis.</w:t>
      </w:r>
    </w:p>
    <w:p w14:paraId="085AFBA0" w14:textId="77777777" w:rsidR="001329F7" w:rsidRDefault="001329F7">
      <w:pPr>
        <w:spacing w:line="240" w:lineRule="auto"/>
        <w:rPr>
          <w:sz w:val="20"/>
          <w:szCs w:val="20"/>
          <w:lang/>
        </w:rPr>
      </w:pPr>
      <w:r>
        <w:rPr>
          <w:sz w:val="20"/>
          <w:szCs w:val="20"/>
          <w:lang/>
        </w:rPr>
        <w:br w:type="page"/>
      </w:r>
    </w:p>
    <w:p w14:paraId="5E4F2E3D" w14:textId="77777777" w:rsidR="00971AE1" w:rsidRPr="00FC56A5" w:rsidRDefault="00971AE1" w:rsidP="004C39A4">
      <w:pPr>
        <w:spacing w:line="240" w:lineRule="auto"/>
        <w:rPr>
          <w:sz w:val="20"/>
          <w:szCs w:val="20"/>
          <w:lang/>
        </w:rPr>
      </w:pPr>
    </w:p>
    <w:bookmarkEnd w:id="146"/>
    <w:p w14:paraId="007BC8C3" w14:textId="5EC1108F" w:rsidR="00CD4846" w:rsidRDefault="00971AE1" w:rsidP="004C39A4">
      <w:pPr>
        <w:keepNext/>
        <w:spacing w:line="240" w:lineRule="auto"/>
        <w:jc w:val="center"/>
      </w:pPr>
      <w:r w:rsidRPr="00971AE1">
        <w:rPr>
          <w:rFonts w:cs="Times New Roman"/>
          <w:noProof/>
          <w:kern w:val="2"/>
          <w:sz w:val="20"/>
          <w:szCs w:val="20"/>
          <w:lang/>
        </w:rPr>
        <w:drawing>
          <wp:inline distT="0" distB="0" distL="0" distR="0" wp14:anchorId="000A2E9D" wp14:editId="2802141D">
            <wp:extent cx="5206365" cy="3348000"/>
            <wp:effectExtent l="0" t="0" r="0" b="508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4">
                      <a:extLst>
                        <a:ext uri="{28A0092B-C50C-407E-A947-70E740481C1C}">
                          <a14:useLocalDpi xmlns:a14="http://schemas.microsoft.com/office/drawing/2010/main" val="0"/>
                        </a:ext>
                      </a:extLst>
                    </a:blip>
                    <a:srcRect t="5395" b="2475"/>
                    <a:stretch/>
                  </pic:blipFill>
                  <pic:spPr bwMode="auto">
                    <a:xfrm>
                      <a:off x="0" y="0"/>
                      <a:ext cx="5209200" cy="3349823"/>
                    </a:xfrm>
                    <a:prstGeom prst="rect">
                      <a:avLst/>
                    </a:prstGeom>
                    <a:noFill/>
                    <a:ln>
                      <a:noFill/>
                    </a:ln>
                    <a:extLst>
                      <a:ext uri="{53640926-AAD7-44D8-BBD7-CCE9431645EC}">
                        <a14:shadowObscured xmlns:a14="http://schemas.microsoft.com/office/drawing/2010/main"/>
                      </a:ext>
                    </a:extLst>
                  </pic:spPr>
                </pic:pic>
              </a:graphicData>
            </a:graphic>
          </wp:inline>
        </w:drawing>
      </w:r>
    </w:p>
    <w:p w14:paraId="5DE8C317" w14:textId="3A64E6BF" w:rsidR="00971AE1" w:rsidRDefault="00CD4846" w:rsidP="009D3026">
      <w:pPr>
        <w:pStyle w:val="Caption"/>
        <w:rPr>
          <w:rFonts w:cs="Times New Roman"/>
          <w:sz w:val="20"/>
          <w:lang/>
        </w:rPr>
      </w:pPr>
      <w:bookmarkStart w:id="150" w:name="_Toc188359959"/>
      <w:bookmarkStart w:id="151" w:name="_Toc188367086"/>
      <w:r>
        <w:t>Figure A</w:t>
      </w:r>
      <w:r w:rsidRPr="00442015">
        <w:t>3: Trends in Aggregate LIS Entries Over Time</w:t>
      </w:r>
      <w:bookmarkEnd w:id="150"/>
      <w:bookmarkEnd w:id="151"/>
    </w:p>
    <w:p w14:paraId="4591352D" w14:textId="3FC75C7D" w:rsidR="00971AE1" w:rsidRPr="00971AE1" w:rsidRDefault="00971AE1" w:rsidP="004C39A4">
      <w:pPr>
        <w:spacing w:line="240" w:lineRule="auto"/>
        <w:rPr>
          <w:lang/>
        </w:rPr>
      </w:pPr>
      <w:r w:rsidRPr="00FC56A5">
        <w:rPr>
          <w:sz w:val="20"/>
          <w:szCs w:val="20"/>
          <w:lang/>
        </w:rPr>
        <w:t>This figure depicts the decomposition of total establishment entries in the</w:t>
      </w:r>
      <w:r w:rsidR="00FC56A5" w:rsidRPr="00FC56A5">
        <w:rPr>
          <w:sz w:val="20"/>
          <w:szCs w:val="20"/>
          <w:lang/>
        </w:rPr>
        <w:t xml:space="preserve"> </w:t>
      </w:r>
      <w:r w:rsidRPr="00FC56A5">
        <w:rPr>
          <w:sz w:val="20"/>
          <w:szCs w:val="20"/>
          <w:lang/>
        </w:rPr>
        <w:t>LIS</w:t>
      </w:r>
      <w:r w:rsidR="00FC56A5" w:rsidRPr="00FC56A5">
        <w:rPr>
          <w:sz w:val="20"/>
          <w:szCs w:val="20"/>
          <w:lang/>
        </w:rPr>
        <w:t xml:space="preserve"> </w:t>
      </w:r>
      <w:r w:rsidRPr="00FC56A5">
        <w:rPr>
          <w:sz w:val="20"/>
          <w:szCs w:val="20"/>
          <w:lang/>
        </w:rPr>
        <w:t>over time (1998–2018). The green line represents establishment births, while the orange and purple lines represent intra-state and inter-state relocations, respectively. The trends reveal that births dominate total entries, with relocations (both intra- and inter-state) contributing a smaller and relatively stable share of total entries over the study period.</w:t>
      </w:r>
      <w:r w:rsidRPr="00971AE1">
        <w:rPr>
          <w:lang/>
        </w:rPr>
        <w:br w:type="page"/>
      </w:r>
    </w:p>
    <w:p w14:paraId="07432C52" w14:textId="606D7F5D" w:rsidR="00971AE1" w:rsidRDefault="00971AE1" w:rsidP="004C39A4">
      <w:pPr>
        <w:spacing w:line="240" w:lineRule="auto"/>
        <w:jc w:val="center"/>
        <w:rPr>
          <w:rFonts w:cs="Times New Roman"/>
          <w:kern w:val="2"/>
          <w:sz w:val="20"/>
          <w:szCs w:val="20"/>
          <w:lang/>
        </w:rPr>
      </w:pPr>
      <w:r w:rsidRPr="00971AE1">
        <w:rPr>
          <w:rFonts w:cs="Times New Roman"/>
          <w:noProof/>
          <w:kern w:val="2"/>
          <w:sz w:val="20"/>
          <w:szCs w:val="20"/>
          <w:lang/>
        </w:rPr>
        <w:lastRenderedPageBreak/>
        <w:drawing>
          <wp:inline distT="0" distB="0" distL="0" distR="0" wp14:anchorId="32B4C77A" wp14:editId="345C51E1">
            <wp:extent cx="5093881" cy="3276000"/>
            <wp:effectExtent l="0" t="0" r="0" b="63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5">
                      <a:extLst>
                        <a:ext uri="{28A0092B-C50C-407E-A947-70E740481C1C}">
                          <a14:useLocalDpi xmlns:a14="http://schemas.microsoft.com/office/drawing/2010/main" val="0"/>
                        </a:ext>
                      </a:extLst>
                    </a:blip>
                    <a:srcRect t="5452" b="2366"/>
                    <a:stretch/>
                  </pic:blipFill>
                  <pic:spPr bwMode="auto">
                    <a:xfrm>
                      <a:off x="0" y="0"/>
                      <a:ext cx="5108400" cy="3285337"/>
                    </a:xfrm>
                    <a:prstGeom prst="rect">
                      <a:avLst/>
                    </a:prstGeom>
                    <a:noFill/>
                    <a:ln>
                      <a:noFill/>
                    </a:ln>
                    <a:extLst>
                      <a:ext uri="{53640926-AAD7-44D8-BBD7-CCE9431645EC}">
                        <a14:shadowObscured xmlns:a14="http://schemas.microsoft.com/office/drawing/2010/main"/>
                      </a:ext>
                    </a:extLst>
                  </pic:spPr>
                </pic:pic>
              </a:graphicData>
            </a:graphic>
          </wp:inline>
        </w:drawing>
      </w:r>
    </w:p>
    <w:p w14:paraId="3D79D064" w14:textId="77777777" w:rsidR="0011288B" w:rsidRPr="00971AE1" w:rsidRDefault="0011288B" w:rsidP="009D3026">
      <w:pPr>
        <w:pStyle w:val="Caption"/>
      </w:pPr>
      <w:bookmarkStart w:id="152" w:name="_Toc186799397"/>
      <w:bookmarkStart w:id="153" w:name="_Toc188056042"/>
      <w:bookmarkStart w:id="154" w:name="_Toc188057126"/>
      <w:bookmarkStart w:id="155" w:name="_Toc188359960"/>
      <w:bookmarkStart w:id="156" w:name="_Toc188367087"/>
      <w:r w:rsidRPr="00971AE1">
        <w:t>Figure A4: Trends in Aggregate LIS Exits Over Time</w:t>
      </w:r>
      <w:bookmarkEnd w:id="152"/>
      <w:bookmarkEnd w:id="153"/>
      <w:bookmarkEnd w:id="154"/>
      <w:bookmarkEnd w:id="155"/>
      <w:bookmarkEnd w:id="156"/>
    </w:p>
    <w:p w14:paraId="3707F0F3" w14:textId="6D4A3A77" w:rsidR="00971AE1" w:rsidRPr="00FC56A5" w:rsidRDefault="00971AE1" w:rsidP="004C39A4">
      <w:pPr>
        <w:spacing w:line="240" w:lineRule="auto"/>
        <w:rPr>
          <w:sz w:val="20"/>
          <w:szCs w:val="20"/>
          <w:lang/>
        </w:rPr>
      </w:pPr>
      <w:bookmarkStart w:id="157" w:name="_Hlk183201851"/>
      <w:r w:rsidRPr="00FC56A5">
        <w:rPr>
          <w:sz w:val="20"/>
          <w:szCs w:val="20"/>
          <w:lang/>
        </w:rPr>
        <w:t>This figure illustrates the decomposition of total establishment exits in the LIS over time (1998–2018). The red line represents establishment deaths, while the pink and cyan lines indicate intra-state and inter-state outward relocations, respectively. Establishment deaths account for the majority of exits, with intra-state and inter-state relocations contributing smaller and relatively stable shares throughout the study period. Peaks in deaths, such as those observed during the 2008 financial crisis, highlight the sensitivity of LIS sectors to macroeconomic disruptions.</w:t>
      </w:r>
    </w:p>
    <w:p w14:paraId="46B365BB" w14:textId="77777777" w:rsidR="00971AE1" w:rsidRPr="00971AE1" w:rsidRDefault="00971AE1" w:rsidP="004C39A4">
      <w:pPr>
        <w:spacing w:line="240" w:lineRule="auto"/>
        <w:rPr>
          <w:rFonts w:cs="Times New Roman"/>
          <w:b/>
          <w:bCs/>
          <w:color w:val="000000"/>
          <w:kern w:val="2"/>
          <w:sz w:val="20"/>
          <w:szCs w:val="20"/>
          <w:lang/>
        </w:rPr>
      </w:pPr>
    </w:p>
    <w:p w14:paraId="1DFA7E76" w14:textId="77777777" w:rsidR="0011288B" w:rsidRDefault="0011288B" w:rsidP="004C39A4">
      <w:pPr>
        <w:spacing w:line="240" w:lineRule="auto"/>
        <w:rPr>
          <w:rFonts w:cs="Times New Roman"/>
          <w:b/>
          <w:bCs/>
          <w:color w:val="2F5496"/>
          <w:kern w:val="2"/>
          <w:sz w:val="20"/>
          <w:szCs w:val="20"/>
          <w14:ligatures w14:val="standardContextual"/>
        </w:rPr>
      </w:pPr>
      <w:bookmarkStart w:id="158" w:name="_Toc186799398"/>
      <w:r>
        <w:rPr>
          <w:rFonts w:cs="Times New Roman"/>
          <w:b/>
          <w:bCs/>
          <w:color w:val="2F5496"/>
          <w:kern w:val="2"/>
          <w:sz w:val="20"/>
          <w:szCs w:val="20"/>
          <w14:ligatures w14:val="standardContextual"/>
        </w:rPr>
        <w:br w:type="page"/>
      </w:r>
    </w:p>
    <w:p w14:paraId="6B528D66" w14:textId="7B49CC45" w:rsidR="00971AE1" w:rsidRPr="009B5135" w:rsidRDefault="00971AE1" w:rsidP="00095E25">
      <w:pPr>
        <w:pStyle w:val="Title"/>
      </w:pPr>
      <w:bookmarkStart w:id="159" w:name="_Toc188056043"/>
      <w:bookmarkStart w:id="160" w:name="_Toc188057127"/>
      <w:bookmarkStart w:id="161" w:name="_Toc188359609"/>
      <w:bookmarkStart w:id="162" w:name="_Toc188359897"/>
      <w:bookmarkStart w:id="163" w:name="_Toc188361133"/>
      <w:bookmarkStart w:id="164" w:name="_Toc188366975"/>
      <w:r w:rsidRPr="009B5135">
        <w:lastRenderedPageBreak/>
        <w:t>Table A2</w:t>
      </w:r>
      <w:r w:rsidR="009B5135" w:rsidRPr="009B5135">
        <w:t>:</w:t>
      </w:r>
      <w:r w:rsidRPr="009B5135">
        <w:t xml:space="preserve"> GAP Definitions</w:t>
      </w:r>
      <w:bookmarkEnd w:id="158"/>
      <w:bookmarkEnd w:id="159"/>
      <w:bookmarkEnd w:id="160"/>
      <w:bookmarkEnd w:id="161"/>
      <w:bookmarkEnd w:id="162"/>
      <w:bookmarkEnd w:id="163"/>
      <w:bookmarkEnd w:id="164"/>
    </w:p>
    <w:tbl>
      <w:tblPr>
        <w:tblStyle w:val="TableGrid"/>
        <w:tblW w:w="5000" w:type="pct"/>
        <w:tblLook w:val="04A0" w:firstRow="1" w:lastRow="0" w:firstColumn="1" w:lastColumn="0" w:noHBand="0" w:noVBand="1"/>
      </w:tblPr>
      <w:tblGrid>
        <w:gridCol w:w="1315"/>
        <w:gridCol w:w="8035"/>
      </w:tblGrid>
      <w:tr w:rsidR="00971AE1" w:rsidRPr="00971AE1" w14:paraId="76AF8636" w14:textId="77777777" w:rsidTr="00FC56A5">
        <w:tc>
          <w:tcPr>
            <w:tcW w:w="703" w:type="pct"/>
            <w:tcBorders>
              <w:top w:val="single" w:sz="4" w:space="0" w:color="auto"/>
              <w:left w:val="single" w:sz="4" w:space="0" w:color="auto"/>
              <w:bottom w:val="single" w:sz="4" w:space="0" w:color="auto"/>
              <w:right w:val="single" w:sz="4" w:space="0" w:color="auto"/>
            </w:tcBorders>
            <w:vAlign w:val="center"/>
            <w:hideMark/>
          </w:tcPr>
          <w:p w14:paraId="5907736C" w14:textId="77777777" w:rsidR="00971AE1" w:rsidRPr="00971AE1" w:rsidRDefault="00971AE1" w:rsidP="00CC0257">
            <w:pPr>
              <w:spacing w:line="240" w:lineRule="auto"/>
              <w:rPr>
                <w:rFonts w:cs="Times New Roman"/>
                <w:b/>
                <w:bCs/>
                <w:color w:val="000000"/>
                <w:kern w:val="2"/>
                <w:sz w:val="20"/>
                <w:szCs w:val="20"/>
                <w:lang w:val="zh-CN"/>
              </w:rPr>
            </w:pPr>
            <w:r w:rsidRPr="00971AE1">
              <w:rPr>
                <w:rFonts w:cs="Times New Roman"/>
                <w:b/>
                <w:bCs/>
                <w:color w:val="000000"/>
                <w:kern w:val="2"/>
                <w:sz w:val="20"/>
                <w:szCs w:val="20"/>
                <w:lang w:val="zh-CN"/>
              </w:rPr>
              <w:t>GAP Status</w:t>
            </w:r>
          </w:p>
        </w:tc>
        <w:tc>
          <w:tcPr>
            <w:tcW w:w="4297" w:type="pct"/>
            <w:tcBorders>
              <w:top w:val="single" w:sz="4" w:space="0" w:color="auto"/>
              <w:left w:val="nil"/>
              <w:bottom w:val="single" w:sz="4" w:space="0" w:color="auto"/>
              <w:right w:val="single" w:sz="4" w:space="0" w:color="auto"/>
            </w:tcBorders>
            <w:vAlign w:val="center"/>
            <w:hideMark/>
          </w:tcPr>
          <w:p w14:paraId="0DE3C955" w14:textId="77777777" w:rsidR="00971AE1" w:rsidRPr="00971AE1" w:rsidRDefault="00971AE1" w:rsidP="00CC0257">
            <w:pPr>
              <w:spacing w:line="240" w:lineRule="auto"/>
              <w:rPr>
                <w:rFonts w:cs="Times New Roman"/>
                <w:b/>
                <w:bCs/>
                <w:color w:val="000000"/>
                <w:kern w:val="2"/>
                <w:sz w:val="20"/>
                <w:szCs w:val="20"/>
                <w:lang w:val="zh-CN"/>
              </w:rPr>
            </w:pPr>
            <w:r w:rsidRPr="00971AE1">
              <w:rPr>
                <w:rFonts w:cs="Times New Roman"/>
                <w:b/>
                <w:bCs/>
                <w:color w:val="000000"/>
                <w:kern w:val="2"/>
                <w:sz w:val="20"/>
                <w:szCs w:val="20"/>
                <w:lang w:val="zh-CN"/>
              </w:rPr>
              <w:t>Definition</w:t>
            </w:r>
          </w:p>
        </w:tc>
      </w:tr>
      <w:tr w:rsidR="00971AE1" w:rsidRPr="00971AE1" w14:paraId="1F5FFBDF" w14:textId="77777777" w:rsidTr="00FC56A5">
        <w:tc>
          <w:tcPr>
            <w:tcW w:w="703" w:type="pct"/>
            <w:tcBorders>
              <w:top w:val="single" w:sz="4" w:space="0" w:color="auto"/>
              <w:left w:val="single" w:sz="4" w:space="0" w:color="auto"/>
              <w:bottom w:val="single" w:sz="4" w:space="0" w:color="auto"/>
              <w:right w:val="single" w:sz="4" w:space="0" w:color="auto"/>
            </w:tcBorders>
            <w:hideMark/>
          </w:tcPr>
          <w:p w14:paraId="46BCB8A2" w14:textId="77777777" w:rsidR="00971AE1" w:rsidRPr="00971AE1" w:rsidRDefault="00971AE1" w:rsidP="00CC0257">
            <w:pPr>
              <w:spacing w:line="240" w:lineRule="auto"/>
              <w:rPr>
                <w:rFonts w:cs="Times New Roman"/>
                <w:color w:val="000000"/>
                <w:kern w:val="2"/>
                <w:sz w:val="20"/>
                <w:szCs w:val="20"/>
                <w:lang w:val="zh-CN"/>
              </w:rPr>
            </w:pPr>
            <w:r w:rsidRPr="00971AE1">
              <w:rPr>
                <w:rFonts w:cs="Times New Roman"/>
                <w:color w:val="000000"/>
                <w:kern w:val="2"/>
                <w:sz w:val="20"/>
                <w:szCs w:val="20"/>
                <w:lang w:val="zh-CN"/>
              </w:rPr>
              <w:t>0</w:t>
            </w:r>
          </w:p>
        </w:tc>
        <w:tc>
          <w:tcPr>
            <w:tcW w:w="4297" w:type="pct"/>
            <w:tcBorders>
              <w:top w:val="single" w:sz="4" w:space="0" w:color="auto"/>
              <w:left w:val="nil"/>
              <w:bottom w:val="single" w:sz="4" w:space="0" w:color="auto"/>
              <w:right w:val="single" w:sz="4" w:space="0" w:color="auto"/>
            </w:tcBorders>
            <w:hideMark/>
          </w:tcPr>
          <w:p w14:paraId="5103F1CC" w14:textId="77777777" w:rsidR="00971AE1" w:rsidRPr="00971AE1" w:rsidRDefault="00971AE1" w:rsidP="00CC0257">
            <w:pPr>
              <w:spacing w:line="240" w:lineRule="auto"/>
              <w:rPr>
                <w:rFonts w:cs="Times New Roman"/>
                <w:color w:val="000000"/>
                <w:kern w:val="2"/>
                <w:sz w:val="20"/>
                <w:szCs w:val="20"/>
                <w:lang w:val="zh-CN"/>
              </w:rPr>
            </w:pPr>
            <w:r w:rsidRPr="00971AE1">
              <w:rPr>
                <w:rFonts w:cs="Times New Roman"/>
                <w:color w:val="000000"/>
                <w:kern w:val="2"/>
                <w:sz w:val="20"/>
                <w:szCs w:val="20"/>
                <w:lang w:val="zh-CN"/>
              </w:rPr>
              <w:t>No formal designation or protection. They might be open to various uses, such as resource extraction or development, without specific conservation measures. Such examples are undeveloped lands or regions in some countries that lack official protection, where construction, mining, or other activities can occur without restriction.</w:t>
            </w:r>
          </w:p>
        </w:tc>
      </w:tr>
      <w:tr w:rsidR="00971AE1" w:rsidRPr="00971AE1" w14:paraId="02742842" w14:textId="77777777" w:rsidTr="00FC56A5">
        <w:tc>
          <w:tcPr>
            <w:tcW w:w="703" w:type="pct"/>
            <w:tcBorders>
              <w:top w:val="single" w:sz="4" w:space="0" w:color="auto"/>
              <w:left w:val="single" w:sz="4" w:space="0" w:color="auto"/>
              <w:bottom w:val="single" w:sz="4" w:space="0" w:color="auto"/>
              <w:right w:val="single" w:sz="4" w:space="0" w:color="auto"/>
            </w:tcBorders>
            <w:hideMark/>
          </w:tcPr>
          <w:p w14:paraId="404E6EE8" w14:textId="77777777" w:rsidR="00971AE1" w:rsidRPr="00971AE1" w:rsidRDefault="00971AE1" w:rsidP="00CC0257">
            <w:pPr>
              <w:spacing w:line="240" w:lineRule="auto"/>
              <w:rPr>
                <w:rFonts w:cs="Times New Roman"/>
                <w:color w:val="000000"/>
                <w:kern w:val="2"/>
                <w:sz w:val="20"/>
                <w:szCs w:val="20"/>
                <w:lang w:val="zh-CN"/>
              </w:rPr>
            </w:pPr>
            <w:r w:rsidRPr="00971AE1">
              <w:rPr>
                <w:rFonts w:cs="Times New Roman"/>
                <w:color w:val="000000"/>
                <w:kern w:val="2"/>
                <w:sz w:val="20"/>
                <w:szCs w:val="20"/>
                <w:lang w:val="zh-CN"/>
              </w:rPr>
              <w:t>1</w:t>
            </w:r>
          </w:p>
        </w:tc>
        <w:tc>
          <w:tcPr>
            <w:tcW w:w="4297" w:type="pct"/>
            <w:tcBorders>
              <w:top w:val="single" w:sz="4" w:space="0" w:color="auto"/>
              <w:left w:val="nil"/>
              <w:bottom w:val="single" w:sz="4" w:space="0" w:color="auto"/>
              <w:right w:val="single" w:sz="4" w:space="0" w:color="auto"/>
            </w:tcBorders>
            <w:hideMark/>
          </w:tcPr>
          <w:p w14:paraId="1C018C68" w14:textId="77777777" w:rsidR="00971AE1" w:rsidRPr="00971AE1" w:rsidRDefault="00971AE1" w:rsidP="00CC0257">
            <w:pPr>
              <w:spacing w:line="240" w:lineRule="auto"/>
              <w:rPr>
                <w:rFonts w:cs="Times New Roman"/>
                <w:color w:val="000000"/>
                <w:kern w:val="2"/>
                <w:sz w:val="20"/>
                <w:szCs w:val="20"/>
                <w:lang w:val="zh-CN"/>
              </w:rPr>
            </w:pPr>
            <w:r w:rsidRPr="00971AE1">
              <w:rPr>
                <w:rFonts w:cs="Times New Roman"/>
                <w:color w:val="000000"/>
                <w:kern w:val="2"/>
                <w:sz w:val="20"/>
                <w:szCs w:val="20"/>
                <w:lang w:val="zh-CN"/>
              </w:rPr>
              <w:t>PADs with strict protection aimed at preserving biodiversity and natural processes. These areas generally prohibit activities like logging or mining and focus on conservation and research. Such examples are national parks with strict protection, wilderness areas, or nature reserves where only non-intrusive activities like hiking or birdwatching are allowed. These areas typically have rigorous management plans to maintain ecological integrity.</w:t>
            </w:r>
          </w:p>
        </w:tc>
      </w:tr>
      <w:tr w:rsidR="00971AE1" w:rsidRPr="00971AE1" w14:paraId="70E02500" w14:textId="77777777" w:rsidTr="00FC56A5">
        <w:tc>
          <w:tcPr>
            <w:tcW w:w="703" w:type="pct"/>
            <w:tcBorders>
              <w:top w:val="single" w:sz="4" w:space="0" w:color="auto"/>
              <w:left w:val="single" w:sz="4" w:space="0" w:color="auto"/>
              <w:bottom w:val="single" w:sz="4" w:space="0" w:color="auto"/>
              <w:right w:val="single" w:sz="4" w:space="0" w:color="auto"/>
            </w:tcBorders>
            <w:hideMark/>
          </w:tcPr>
          <w:p w14:paraId="3D39217A" w14:textId="77777777" w:rsidR="00971AE1" w:rsidRPr="00971AE1" w:rsidRDefault="00971AE1" w:rsidP="00CC0257">
            <w:pPr>
              <w:spacing w:line="240" w:lineRule="auto"/>
              <w:rPr>
                <w:rFonts w:cs="Times New Roman"/>
                <w:color w:val="000000"/>
                <w:kern w:val="2"/>
                <w:sz w:val="20"/>
                <w:szCs w:val="20"/>
                <w:lang w:val="zh-CN"/>
              </w:rPr>
            </w:pPr>
            <w:r w:rsidRPr="00971AE1">
              <w:rPr>
                <w:rFonts w:cs="Times New Roman"/>
                <w:color w:val="000000"/>
                <w:kern w:val="2"/>
                <w:sz w:val="20"/>
                <w:szCs w:val="20"/>
                <w:lang w:val="zh-CN"/>
              </w:rPr>
              <w:t>2</w:t>
            </w:r>
          </w:p>
        </w:tc>
        <w:tc>
          <w:tcPr>
            <w:tcW w:w="4297" w:type="pct"/>
            <w:tcBorders>
              <w:top w:val="single" w:sz="4" w:space="0" w:color="auto"/>
              <w:left w:val="nil"/>
              <w:bottom w:val="single" w:sz="4" w:space="0" w:color="auto"/>
              <w:right w:val="single" w:sz="4" w:space="0" w:color="auto"/>
            </w:tcBorders>
            <w:hideMark/>
          </w:tcPr>
          <w:p w14:paraId="53C61352" w14:textId="77777777" w:rsidR="00971AE1" w:rsidRPr="00971AE1" w:rsidRDefault="00971AE1" w:rsidP="00CC0257">
            <w:pPr>
              <w:spacing w:line="240" w:lineRule="auto"/>
              <w:rPr>
                <w:rFonts w:cs="Times New Roman"/>
                <w:color w:val="000000"/>
                <w:kern w:val="2"/>
                <w:sz w:val="20"/>
                <w:szCs w:val="20"/>
                <w:lang w:val="zh-CN"/>
              </w:rPr>
            </w:pPr>
            <w:r w:rsidRPr="00971AE1">
              <w:rPr>
                <w:rFonts w:cs="Times New Roman"/>
                <w:color w:val="000000"/>
                <w:kern w:val="2"/>
                <w:sz w:val="20"/>
                <w:szCs w:val="20"/>
                <w:lang w:val="zh-CN"/>
              </w:rPr>
              <w:t>Moderately protected areas that permit some sustainable resource use. They are managed for conservation, but may allow limited activities such as controlled logging, grazing, or tourism. Such examples are wildlife management areas, some types of nature parks, or buffer zones around strictly protected regions. These areas might have zoning that allows for sustainable use while maintaining overall ecological health.</w:t>
            </w:r>
          </w:p>
        </w:tc>
      </w:tr>
      <w:tr w:rsidR="00971AE1" w:rsidRPr="00971AE1" w14:paraId="6A823FDC" w14:textId="77777777" w:rsidTr="00FC56A5">
        <w:tc>
          <w:tcPr>
            <w:tcW w:w="703" w:type="pct"/>
            <w:tcBorders>
              <w:top w:val="single" w:sz="4" w:space="0" w:color="auto"/>
              <w:left w:val="single" w:sz="4" w:space="0" w:color="auto"/>
              <w:bottom w:val="single" w:sz="4" w:space="0" w:color="auto"/>
              <w:right w:val="single" w:sz="4" w:space="0" w:color="auto"/>
            </w:tcBorders>
            <w:hideMark/>
          </w:tcPr>
          <w:p w14:paraId="61F866A3" w14:textId="77777777" w:rsidR="00971AE1" w:rsidRPr="00971AE1" w:rsidRDefault="00971AE1" w:rsidP="00CC0257">
            <w:pPr>
              <w:spacing w:line="240" w:lineRule="auto"/>
              <w:rPr>
                <w:rFonts w:cs="Times New Roman"/>
                <w:color w:val="000000"/>
                <w:kern w:val="2"/>
                <w:sz w:val="20"/>
                <w:szCs w:val="20"/>
                <w:lang w:val="zh-CN"/>
              </w:rPr>
            </w:pPr>
            <w:r w:rsidRPr="00971AE1">
              <w:rPr>
                <w:rFonts w:cs="Times New Roman"/>
                <w:color w:val="000000"/>
                <w:kern w:val="2"/>
                <w:sz w:val="20"/>
                <w:szCs w:val="20"/>
                <w:lang w:val="zh-CN"/>
              </w:rPr>
              <w:t>3</w:t>
            </w:r>
          </w:p>
        </w:tc>
        <w:tc>
          <w:tcPr>
            <w:tcW w:w="4297" w:type="pct"/>
            <w:tcBorders>
              <w:top w:val="single" w:sz="4" w:space="0" w:color="auto"/>
              <w:left w:val="nil"/>
              <w:bottom w:val="single" w:sz="4" w:space="0" w:color="auto"/>
              <w:right w:val="single" w:sz="4" w:space="0" w:color="auto"/>
            </w:tcBorders>
            <w:hideMark/>
          </w:tcPr>
          <w:p w14:paraId="11865BF3" w14:textId="77777777" w:rsidR="00971AE1" w:rsidRPr="00971AE1" w:rsidRDefault="00971AE1" w:rsidP="00CC0257">
            <w:pPr>
              <w:spacing w:line="240" w:lineRule="auto"/>
              <w:rPr>
                <w:rFonts w:cs="Times New Roman"/>
                <w:color w:val="000000"/>
                <w:kern w:val="2"/>
                <w:sz w:val="20"/>
                <w:szCs w:val="20"/>
                <w:lang w:val="zh-CN"/>
              </w:rPr>
            </w:pPr>
            <w:r w:rsidRPr="00971AE1">
              <w:rPr>
                <w:rFonts w:cs="Times New Roman"/>
                <w:color w:val="000000"/>
                <w:kern w:val="2"/>
                <w:sz w:val="20"/>
                <w:szCs w:val="20"/>
                <w:lang w:val="zh-CN"/>
              </w:rPr>
              <w:t>PADs with less stringent protection, where more varied activities are allowed but still follow some conservation principles. These areas might focus on sustainable resource use or community involvement. Such examples are national forests or designated multi-use zones. These regions may allow recreational activities, timber harvesting, or other resource-based activities under regulated guidelines to ensure sustainability.</w:t>
            </w:r>
          </w:p>
        </w:tc>
      </w:tr>
      <w:tr w:rsidR="00971AE1" w:rsidRPr="00971AE1" w14:paraId="55C5C713" w14:textId="77777777" w:rsidTr="00FC56A5">
        <w:tc>
          <w:tcPr>
            <w:tcW w:w="703" w:type="pct"/>
            <w:tcBorders>
              <w:top w:val="single" w:sz="4" w:space="0" w:color="auto"/>
              <w:left w:val="single" w:sz="4" w:space="0" w:color="auto"/>
              <w:bottom w:val="single" w:sz="4" w:space="0" w:color="auto"/>
              <w:right w:val="single" w:sz="4" w:space="0" w:color="auto"/>
            </w:tcBorders>
            <w:hideMark/>
          </w:tcPr>
          <w:p w14:paraId="21D8B8CF" w14:textId="77777777" w:rsidR="00971AE1" w:rsidRPr="00971AE1" w:rsidRDefault="00971AE1" w:rsidP="00CC0257">
            <w:pPr>
              <w:spacing w:line="240" w:lineRule="auto"/>
              <w:rPr>
                <w:rFonts w:cs="Times New Roman"/>
                <w:color w:val="000000"/>
                <w:kern w:val="2"/>
                <w:sz w:val="20"/>
                <w:szCs w:val="20"/>
                <w:lang w:val="zh-CN"/>
              </w:rPr>
            </w:pPr>
            <w:r w:rsidRPr="00971AE1">
              <w:rPr>
                <w:rFonts w:cs="Times New Roman"/>
                <w:color w:val="000000"/>
                <w:kern w:val="2"/>
                <w:sz w:val="20"/>
                <w:szCs w:val="20"/>
                <w:lang w:val="zh-CN"/>
              </w:rPr>
              <w:t>4</w:t>
            </w:r>
          </w:p>
        </w:tc>
        <w:tc>
          <w:tcPr>
            <w:tcW w:w="4297" w:type="pct"/>
            <w:tcBorders>
              <w:top w:val="single" w:sz="4" w:space="0" w:color="auto"/>
              <w:left w:val="nil"/>
              <w:bottom w:val="single" w:sz="4" w:space="0" w:color="auto"/>
              <w:right w:val="single" w:sz="4" w:space="0" w:color="auto"/>
            </w:tcBorders>
            <w:hideMark/>
          </w:tcPr>
          <w:p w14:paraId="1236A788" w14:textId="77777777" w:rsidR="00971AE1" w:rsidRPr="00971AE1" w:rsidRDefault="00971AE1" w:rsidP="00CC0257">
            <w:pPr>
              <w:spacing w:line="240" w:lineRule="auto"/>
              <w:rPr>
                <w:rFonts w:cs="Times New Roman"/>
                <w:color w:val="000000"/>
                <w:kern w:val="2"/>
                <w:sz w:val="20"/>
                <w:szCs w:val="20"/>
                <w:lang w:val="zh-CN"/>
              </w:rPr>
            </w:pPr>
            <w:r w:rsidRPr="00971AE1">
              <w:rPr>
                <w:rFonts w:cs="Times New Roman"/>
                <w:color w:val="000000"/>
                <w:kern w:val="2"/>
                <w:sz w:val="20"/>
                <w:szCs w:val="20"/>
                <w:lang w:val="zh-CN"/>
              </w:rPr>
              <w:t>These PADs have a focus on sustainable resource management, often with significant human activity. They are typically designated for multiple uses, balancing conservation with economic interests. Such examples are areas with resource management plans for agriculture, forestry, or fisheries. They may include zones for sustainable agriculture or other land-use activities that support local communities while maintaining ecological considerations.</w:t>
            </w:r>
          </w:p>
        </w:tc>
      </w:tr>
    </w:tbl>
    <w:bookmarkEnd w:id="157"/>
    <w:p w14:paraId="1F73065C" w14:textId="16C1CBFD" w:rsidR="00971AE1" w:rsidRPr="00971AE1" w:rsidRDefault="002C0F11" w:rsidP="00CC0257">
      <w:pPr>
        <w:spacing w:line="240" w:lineRule="auto"/>
        <w:rPr>
          <w:lang/>
        </w:rPr>
      </w:pPr>
      <w:r>
        <w:rPr>
          <w:sz w:val="20"/>
          <w:szCs w:val="20"/>
          <w:lang/>
        </w:rPr>
        <w:t>Table A2</w:t>
      </w:r>
      <w:r w:rsidR="00971AE1" w:rsidRPr="00FC56A5">
        <w:rPr>
          <w:sz w:val="20"/>
          <w:szCs w:val="20"/>
          <w:lang/>
        </w:rPr>
        <w:t xml:space="preserve"> defines the conservation categories under the Gap Analysis Program (GAP), detailing the objectives and allowable land uses for each GAP status. GAP Status 1 and 2 reflect stricter conservation measures with limited human intervention, while GAP Status 3 and 4 represent more flexible land-use policies balancing conservation and economic activities. These classifications provide a framework for evaluating the impact of PADs on land-intensive and non-land-intensive business dynamics.</w:t>
      </w:r>
      <w:r w:rsidR="00971AE1" w:rsidRPr="00971AE1">
        <w:rPr>
          <w:lang/>
        </w:rPr>
        <w:br w:type="page"/>
      </w:r>
    </w:p>
    <w:p w14:paraId="508AA7A1" w14:textId="3114EA17" w:rsidR="00971AE1" w:rsidRDefault="00971AE1" w:rsidP="004C39A4">
      <w:pPr>
        <w:spacing w:line="240" w:lineRule="auto"/>
        <w:jc w:val="center"/>
        <w:rPr>
          <w:rFonts w:cs="Times New Roman"/>
          <w:kern w:val="2"/>
          <w:sz w:val="20"/>
          <w:szCs w:val="20"/>
          <w:lang/>
        </w:rPr>
      </w:pPr>
      <w:r w:rsidRPr="00971AE1">
        <w:rPr>
          <w:rFonts w:cs="Times New Roman"/>
          <w:noProof/>
          <w:kern w:val="2"/>
          <w:sz w:val="20"/>
          <w:szCs w:val="20"/>
          <w:lang/>
        </w:rPr>
        <w:lastRenderedPageBreak/>
        <w:drawing>
          <wp:inline distT="0" distB="0" distL="0" distR="0" wp14:anchorId="50F6B5D9" wp14:editId="2BFB467F">
            <wp:extent cx="5690510" cy="3744000"/>
            <wp:effectExtent l="0" t="0" r="5715" b="889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6">
                      <a:extLst>
                        <a:ext uri="{28A0092B-C50C-407E-A947-70E740481C1C}">
                          <a14:useLocalDpi xmlns:a14="http://schemas.microsoft.com/office/drawing/2010/main" val="0"/>
                        </a:ext>
                      </a:extLst>
                    </a:blip>
                    <a:srcRect t="5885" b="2003"/>
                    <a:stretch/>
                  </pic:blipFill>
                  <pic:spPr bwMode="auto">
                    <a:xfrm>
                      <a:off x="0" y="0"/>
                      <a:ext cx="5695200" cy="3747086"/>
                    </a:xfrm>
                    <a:prstGeom prst="rect">
                      <a:avLst/>
                    </a:prstGeom>
                    <a:noFill/>
                    <a:ln>
                      <a:noFill/>
                    </a:ln>
                    <a:extLst>
                      <a:ext uri="{53640926-AAD7-44D8-BBD7-CCE9431645EC}">
                        <a14:shadowObscured xmlns:a14="http://schemas.microsoft.com/office/drawing/2010/main"/>
                      </a:ext>
                    </a:extLst>
                  </pic:spPr>
                </pic:pic>
              </a:graphicData>
            </a:graphic>
          </wp:inline>
        </w:drawing>
      </w:r>
    </w:p>
    <w:p w14:paraId="698CFBD2" w14:textId="77777777" w:rsidR="0011288B" w:rsidRPr="00971AE1" w:rsidRDefault="0011288B" w:rsidP="009D3026">
      <w:pPr>
        <w:pStyle w:val="Caption"/>
      </w:pPr>
      <w:bookmarkStart w:id="165" w:name="_Toc186799399"/>
      <w:bookmarkStart w:id="166" w:name="_Toc188056044"/>
      <w:bookmarkStart w:id="167" w:name="_Toc188057128"/>
      <w:bookmarkStart w:id="168" w:name="_Toc188359961"/>
      <w:bookmarkStart w:id="169" w:name="_Toc188367088"/>
      <w:r w:rsidRPr="00971AE1">
        <w:t>Figure A5: Aggregate LIS Entries vs. Broad PADs (GAP 1-4)</w:t>
      </w:r>
      <w:bookmarkEnd w:id="165"/>
      <w:bookmarkEnd w:id="166"/>
      <w:bookmarkEnd w:id="167"/>
      <w:bookmarkEnd w:id="168"/>
      <w:bookmarkEnd w:id="169"/>
    </w:p>
    <w:p w14:paraId="724DA852" w14:textId="4A5BB476" w:rsidR="00971AE1" w:rsidRPr="00FC56A5" w:rsidRDefault="00971AE1" w:rsidP="003074D3">
      <w:pPr>
        <w:spacing w:line="240" w:lineRule="auto"/>
        <w:rPr>
          <w:sz w:val="20"/>
          <w:szCs w:val="20"/>
          <w:lang/>
        </w:rPr>
      </w:pPr>
      <w:r w:rsidRPr="00FC56A5">
        <w:rPr>
          <w:sz w:val="20"/>
          <w:szCs w:val="20"/>
          <w:lang/>
        </w:rPr>
        <w:t>This scatter plot illustrates the relationship between establishment entries and the percentage of county area covered by all types of PADs. The plot highlights how varying levels of PAD coverage may influence the formation of new establishments across U.S. counties.</w:t>
      </w:r>
    </w:p>
    <w:p w14:paraId="283F5404" w14:textId="3BE9103A" w:rsidR="00971AE1" w:rsidRDefault="00971AE1" w:rsidP="004C39A4">
      <w:pPr>
        <w:spacing w:line="240" w:lineRule="auto"/>
        <w:jc w:val="center"/>
        <w:rPr>
          <w:rFonts w:cs="Times New Roman"/>
          <w:b/>
          <w:bCs/>
          <w:kern w:val="2"/>
          <w:sz w:val="20"/>
          <w:szCs w:val="20"/>
          <w:lang/>
        </w:rPr>
      </w:pPr>
    </w:p>
    <w:p w14:paraId="772063E6" w14:textId="3DB3498D" w:rsidR="0011288B" w:rsidRDefault="0011288B" w:rsidP="004C39A4">
      <w:pPr>
        <w:spacing w:line="240" w:lineRule="auto"/>
        <w:jc w:val="center"/>
        <w:rPr>
          <w:rFonts w:cs="Times New Roman"/>
          <w:b/>
          <w:bCs/>
          <w:kern w:val="2"/>
          <w:sz w:val="20"/>
          <w:szCs w:val="20"/>
          <w:lang/>
        </w:rPr>
      </w:pPr>
    </w:p>
    <w:p w14:paraId="22198AA1" w14:textId="77777777" w:rsidR="00D37B02" w:rsidRPr="00971AE1" w:rsidRDefault="00D37B02" w:rsidP="004C39A4">
      <w:pPr>
        <w:spacing w:line="240" w:lineRule="auto"/>
        <w:jc w:val="center"/>
        <w:rPr>
          <w:rFonts w:cs="Times New Roman"/>
          <w:b/>
          <w:bCs/>
          <w:kern w:val="2"/>
          <w:sz w:val="20"/>
          <w:szCs w:val="20"/>
          <w:lang/>
        </w:rPr>
      </w:pPr>
    </w:p>
    <w:p w14:paraId="081E3C06" w14:textId="77777777" w:rsidR="00D37B02" w:rsidRDefault="00D37B02" w:rsidP="004C39A4">
      <w:pPr>
        <w:spacing w:line="240" w:lineRule="auto"/>
        <w:jc w:val="center"/>
        <w:rPr>
          <w:rFonts w:cs="Times New Roman"/>
          <w:color w:val="44546A"/>
          <w:kern w:val="2"/>
          <w:sz w:val="20"/>
          <w:szCs w:val="20"/>
          <w:lang/>
        </w:rPr>
      </w:pPr>
    </w:p>
    <w:p w14:paraId="663D4ADB" w14:textId="77777777" w:rsidR="00D37B02" w:rsidRDefault="00D37B02" w:rsidP="004C39A4">
      <w:pPr>
        <w:spacing w:line="240" w:lineRule="auto"/>
        <w:jc w:val="center"/>
        <w:rPr>
          <w:rFonts w:cs="Times New Roman"/>
          <w:color w:val="44546A"/>
          <w:kern w:val="2"/>
          <w:sz w:val="20"/>
          <w:szCs w:val="20"/>
          <w:lang/>
        </w:rPr>
      </w:pPr>
    </w:p>
    <w:p w14:paraId="023D2109" w14:textId="77777777" w:rsidR="00D37B02" w:rsidRDefault="00D37B02" w:rsidP="004C39A4">
      <w:pPr>
        <w:spacing w:line="240" w:lineRule="auto"/>
        <w:jc w:val="center"/>
        <w:rPr>
          <w:rFonts w:cs="Times New Roman"/>
          <w:color w:val="44546A"/>
          <w:kern w:val="2"/>
          <w:sz w:val="20"/>
          <w:szCs w:val="20"/>
          <w:lang/>
        </w:rPr>
      </w:pPr>
    </w:p>
    <w:p w14:paraId="06B57E15" w14:textId="77777777" w:rsidR="00D37B02" w:rsidRDefault="00D37B02" w:rsidP="004C39A4">
      <w:pPr>
        <w:spacing w:line="240" w:lineRule="auto"/>
        <w:jc w:val="center"/>
        <w:rPr>
          <w:rFonts w:cs="Times New Roman"/>
          <w:color w:val="44546A"/>
          <w:kern w:val="2"/>
          <w:sz w:val="20"/>
          <w:szCs w:val="20"/>
          <w:lang/>
        </w:rPr>
      </w:pPr>
    </w:p>
    <w:p w14:paraId="0FFE8FEE" w14:textId="77777777" w:rsidR="00D37B02" w:rsidRDefault="00D37B02" w:rsidP="004C39A4">
      <w:pPr>
        <w:spacing w:line="240" w:lineRule="auto"/>
        <w:jc w:val="center"/>
        <w:rPr>
          <w:rFonts w:cs="Times New Roman"/>
          <w:color w:val="44546A"/>
          <w:kern w:val="2"/>
          <w:sz w:val="20"/>
          <w:szCs w:val="20"/>
          <w:lang/>
        </w:rPr>
      </w:pPr>
    </w:p>
    <w:p w14:paraId="5A6648D2" w14:textId="210493C1" w:rsidR="00D37B02" w:rsidRDefault="00D37B02" w:rsidP="004C39A4">
      <w:pPr>
        <w:spacing w:line="240" w:lineRule="auto"/>
        <w:jc w:val="center"/>
        <w:rPr>
          <w:rFonts w:cs="Times New Roman"/>
          <w:color w:val="44546A"/>
          <w:kern w:val="2"/>
          <w:sz w:val="20"/>
          <w:szCs w:val="20"/>
          <w:lang/>
        </w:rPr>
      </w:pPr>
    </w:p>
    <w:p w14:paraId="47A5296E" w14:textId="26334465" w:rsidR="00D37B02" w:rsidRDefault="00D37B02" w:rsidP="004C39A4">
      <w:pPr>
        <w:spacing w:line="240" w:lineRule="auto"/>
        <w:jc w:val="center"/>
        <w:rPr>
          <w:rFonts w:cs="Times New Roman"/>
          <w:color w:val="44546A"/>
          <w:kern w:val="2"/>
          <w:sz w:val="20"/>
          <w:szCs w:val="20"/>
          <w:lang/>
        </w:rPr>
      </w:pPr>
    </w:p>
    <w:p w14:paraId="17D38B98" w14:textId="299F02D6" w:rsidR="00D37B02" w:rsidRDefault="00D37B02" w:rsidP="004C39A4">
      <w:pPr>
        <w:spacing w:line="240" w:lineRule="auto"/>
        <w:jc w:val="center"/>
        <w:rPr>
          <w:rFonts w:cs="Times New Roman"/>
          <w:color w:val="44546A"/>
          <w:kern w:val="2"/>
          <w:sz w:val="20"/>
          <w:szCs w:val="20"/>
          <w:lang/>
        </w:rPr>
      </w:pPr>
    </w:p>
    <w:p w14:paraId="543CA38F" w14:textId="355B7A4B" w:rsidR="00D37B02" w:rsidRDefault="00D37B02" w:rsidP="004C39A4">
      <w:pPr>
        <w:spacing w:line="240" w:lineRule="auto"/>
        <w:jc w:val="center"/>
        <w:rPr>
          <w:rFonts w:cs="Times New Roman"/>
          <w:color w:val="44546A"/>
          <w:kern w:val="2"/>
          <w:sz w:val="20"/>
          <w:szCs w:val="20"/>
          <w:lang/>
        </w:rPr>
      </w:pPr>
    </w:p>
    <w:p w14:paraId="116F64D1" w14:textId="797B6A08" w:rsidR="00D37B02" w:rsidRDefault="00D37B02" w:rsidP="004C39A4">
      <w:pPr>
        <w:spacing w:line="240" w:lineRule="auto"/>
        <w:jc w:val="center"/>
        <w:rPr>
          <w:rFonts w:cs="Times New Roman"/>
          <w:color w:val="44546A"/>
          <w:kern w:val="2"/>
          <w:sz w:val="20"/>
          <w:szCs w:val="20"/>
          <w:lang/>
        </w:rPr>
      </w:pPr>
    </w:p>
    <w:p w14:paraId="0E9FB962" w14:textId="20979D79" w:rsidR="00D37B02" w:rsidRDefault="00D37B02" w:rsidP="004C39A4">
      <w:pPr>
        <w:spacing w:line="240" w:lineRule="auto"/>
        <w:jc w:val="center"/>
        <w:rPr>
          <w:rFonts w:cs="Times New Roman"/>
          <w:color w:val="44546A"/>
          <w:kern w:val="2"/>
          <w:sz w:val="20"/>
          <w:szCs w:val="20"/>
          <w:lang/>
        </w:rPr>
      </w:pPr>
    </w:p>
    <w:p w14:paraId="7380FFA0" w14:textId="36DB80B5" w:rsidR="00D37B02" w:rsidRDefault="00D37B02" w:rsidP="004C39A4">
      <w:pPr>
        <w:spacing w:line="240" w:lineRule="auto"/>
        <w:jc w:val="center"/>
        <w:rPr>
          <w:rFonts w:cs="Times New Roman"/>
          <w:color w:val="44546A"/>
          <w:kern w:val="2"/>
          <w:sz w:val="20"/>
          <w:szCs w:val="20"/>
          <w:lang/>
        </w:rPr>
      </w:pPr>
    </w:p>
    <w:p w14:paraId="1DE562AB" w14:textId="0406F578" w:rsidR="00D37B02" w:rsidRDefault="00D37B02" w:rsidP="004C39A4">
      <w:pPr>
        <w:spacing w:line="240" w:lineRule="auto"/>
        <w:jc w:val="center"/>
        <w:rPr>
          <w:rFonts w:cs="Times New Roman"/>
          <w:color w:val="44546A"/>
          <w:kern w:val="2"/>
          <w:sz w:val="20"/>
          <w:szCs w:val="20"/>
          <w:lang/>
        </w:rPr>
      </w:pPr>
    </w:p>
    <w:p w14:paraId="1A03AAAD" w14:textId="19B77D86" w:rsidR="00D37B02" w:rsidRDefault="00D37B02" w:rsidP="004C39A4">
      <w:pPr>
        <w:spacing w:line="240" w:lineRule="auto"/>
        <w:jc w:val="center"/>
        <w:rPr>
          <w:rFonts w:cs="Times New Roman"/>
          <w:color w:val="44546A"/>
          <w:kern w:val="2"/>
          <w:sz w:val="20"/>
          <w:szCs w:val="20"/>
          <w:lang/>
        </w:rPr>
      </w:pPr>
    </w:p>
    <w:p w14:paraId="2F574CE1" w14:textId="432D2D5A" w:rsidR="00D37B02" w:rsidRDefault="00D37B02" w:rsidP="004C39A4">
      <w:pPr>
        <w:spacing w:line="240" w:lineRule="auto"/>
        <w:jc w:val="center"/>
        <w:rPr>
          <w:rFonts w:cs="Times New Roman"/>
          <w:color w:val="44546A"/>
          <w:kern w:val="2"/>
          <w:sz w:val="20"/>
          <w:szCs w:val="20"/>
          <w:lang/>
        </w:rPr>
      </w:pPr>
    </w:p>
    <w:p w14:paraId="3731B8D4" w14:textId="098C5C69" w:rsidR="00D37B02" w:rsidRDefault="00D37B02" w:rsidP="004C39A4">
      <w:pPr>
        <w:spacing w:line="240" w:lineRule="auto"/>
        <w:jc w:val="center"/>
        <w:rPr>
          <w:rFonts w:cs="Times New Roman"/>
          <w:color w:val="44546A"/>
          <w:kern w:val="2"/>
          <w:sz w:val="20"/>
          <w:szCs w:val="20"/>
          <w:lang/>
        </w:rPr>
      </w:pPr>
    </w:p>
    <w:p w14:paraId="68C1CEE1" w14:textId="6E2A8A6B" w:rsidR="00D37B02" w:rsidRDefault="00D37B02" w:rsidP="004C39A4">
      <w:pPr>
        <w:spacing w:line="240" w:lineRule="auto"/>
        <w:jc w:val="center"/>
        <w:rPr>
          <w:rFonts w:cs="Times New Roman"/>
          <w:color w:val="44546A"/>
          <w:kern w:val="2"/>
          <w:sz w:val="20"/>
          <w:szCs w:val="20"/>
          <w:lang/>
        </w:rPr>
      </w:pPr>
    </w:p>
    <w:p w14:paraId="710D0E4C" w14:textId="1CEA7B50" w:rsidR="00D37B02" w:rsidRDefault="00D37B02" w:rsidP="004C39A4">
      <w:pPr>
        <w:spacing w:line="240" w:lineRule="auto"/>
        <w:jc w:val="center"/>
        <w:rPr>
          <w:rFonts w:cs="Times New Roman"/>
          <w:color w:val="44546A"/>
          <w:kern w:val="2"/>
          <w:sz w:val="20"/>
          <w:szCs w:val="20"/>
          <w:lang/>
        </w:rPr>
      </w:pPr>
    </w:p>
    <w:p w14:paraId="73095E17" w14:textId="33E45A3B" w:rsidR="00971AE1" w:rsidRPr="00971AE1" w:rsidRDefault="00971AE1" w:rsidP="004C39A4">
      <w:pPr>
        <w:spacing w:line="240" w:lineRule="auto"/>
        <w:jc w:val="center"/>
        <w:rPr>
          <w:rFonts w:cs="Times New Roman"/>
          <w:color w:val="44546A"/>
          <w:kern w:val="2"/>
          <w:sz w:val="20"/>
          <w:szCs w:val="20"/>
          <w:lang/>
        </w:rPr>
      </w:pPr>
      <w:r w:rsidRPr="00971AE1">
        <w:rPr>
          <w:rFonts w:cs="Times New Roman"/>
          <w:noProof/>
          <w:kern w:val="2"/>
          <w:sz w:val="20"/>
          <w:szCs w:val="20"/>
          <w:lang/>
        </w:rPr>
        <w:lastRenderedPageBreak/>
        <w:drawing>
          <wp:inline distT="0" distB="0" distL="0" distR="0" wp14:anchorId="75AEA961" wp14:editId="6C996957">
            <wp:extent cx="5745956" cy="3744000"/>
            <wp:effectExtent l="0" t="0" r="7620" b="889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7">
                      <a:extLst>
                        <a:ext uri="{28A0092B-C50C-407E-A947-70E740481C1C}">
                          <a14:useLocalDpi xmlns:a14="http://schemas.microsoft.com/office/drawing/2010/main" val="0"/>
                        </a:ext>
                      </a:extLst>
                    </a:blip>
                    <a:srcRect t="5223" b="1867"/>
                    <a:stretch/>
                  </pic:blipFill>
                  <pic:spPr bwMode="auto">
                    <a:xfrm>
                      <a:off x="0" y="0"/>
                      <a:ext cx="5749200" cy="3746113"/>
                    </a:xfrm>
                    <a:prstGeom prst="rect">
                      <a:avLst/>
                    </a:prstGeom>
                    <a:noFill/>
                    <a:ln>
                      <a:noFill/>
                    </a:ln>
                    <a:extLst>
                      <a:ext uri="{53640926-AAD7-44D8-BBD7-CCE9431645EC}">
                        <a14:shadowObscured xmlns:a14="http://schemas.microsoft.com/office/drawing/2010/main"/>
                      </a:ext>
                    </a:extLst>
                  </pic:spPr>
                </pic:pic>
              </a:graphicData>
            </a:graphic>
          </wp:inline>
        </w:drawing>
      </w:r>
    </w:p>
    <w:p w14:paraId="56AB6239" w14:textId="77777777" w:rsidR="0011288B" w:rsidRPr="00971AE1" w:rsidRDefault="0011288B" w:rsidP="009D3026">
      <w:pPr>
        <w:pStyle w:val="Caption"/>
      </w:pPr>
      <w:bookmarkStart w:id="170" w:name="_Toc186799400"/>
      <w:bookmarkStart w:id="171" w:name="_Toc188056045"/>
      <w:bookmarkStart w:id="172" w:name="_Toc188057129"/>
      <w:bookmarkStart w:id="173" w:name="_Toc188359962"/>
      <w:bookmarkStart w:id="174" w:name="_Toc188367089"/>
      <w:r w:rsidRPr="00971AE1">
        <w:t>Figure A6: Aggregate LIS Entries vs. Strict PADs (GAP 1-2)</w:t>
      </w:r>
      <w:bookmarkEnd w:id="170"/>
      <w:bookmarkEnd w:id="171"/>
      <w:bookmarkEnd w:id="172"/>
      <w:bookmarkEnd w:id="173"/>
      <w:bookmarkEnd w:id="174"/>
    </w:p>
    <w:p w14:paraId="496B8ED1" w14:textId="7FD4CDA9" w:rsidR="00971AE1" w:rsidRPr="00FC56A5" w:rsidRDefault="00971AE1" w:rsidP="004C39A4">
      <w:pPr>
        <w:spacing w:line="240" w:lineRule="auto"/>
        <w:rPr>
          <w:sz w:val="20"/>
          <w:szCs w:val="20"/>
          <w:lang/>
        </w:rPr>
      </w:pPr>
      <w:r w:rsidRPr="00FC56A5">
        <w:rPr>
          <w:sz w:val="20"/>
          <w:szCs w:val="20"/>
          <w:lang/>
        </w:rPr>
        <w:t>This figure highlights the relationship between establishment entries and the percentage of county area covered by PADs under GAP Status 1 and 2. These PADs represent stricter conservation measures aimed at preserving ecological integrity with minimal human intervention.</w:t>
      </w:r>
    </w:p>
    <w:p w14:paraId="3E52C882" w14:textId="77777777" w:rsidR="00971AE1" w:rsidRPr="00971AE1" w:rsidRDefault="00971AE1" w:rsidP="004C39A4">
      <w:pPr>
        <w:spacing w:line="240" w:lineRule="auto"/>
        <w:jc w:val="center"/>
        <w:rPr>
          <w:rFonts w:cs="Times New Roman"/>
          <w:b/>
          <w:bCs/>
          <w:kern w:val="2"/>
          <w:sz w:val="20"/>
          <w:szCs w:val="20"/>
          <w:lang/>
        </w:rPr>
      </w:pPr>
      <w:r w:rsidRPr="00971AE1">
        <w:rPr>
          <w:rFonts w:cs="Times New Roman"/>
          <w:b/>
          <w:bCs/>
          <w:kern w:val="2"/>
          <w:sz w:val="20"/>
          <w:szCs w:val="20"/>
          <w:lang/>
        </w:rPr>
        <w:br w:type="page"/>
      </w:r>
    </w:p>
    <w:p w14:paraId="428C56AD" w14:textId="70C7338D" w:rsidR="00971AE1" w:rsidRDefault="00971AE1" w:rsidP="004C39A4">
      <w:pPr>
        <w:spacing w:line="240" w:lineRule="auto"/>
        <w:jc w:val="center"/>
        <w:rPr>
          <w:rFonts w:cs="Times New Roman"/>
          <w:i/>
          <w:iCs/>
          <w:color w:val="44546A"/>
          <w:kern w:val="2"/>
          <w:sz w:val="20"/>
          <w:szCs w:val="20"/>
          <w:lang/>
        </w:rPr>
      </w:pPr>
      <w:r w:rsidRPr="00971AE1">
        <w:rPr>
          <w:rFonts w:cs="Times New Roman"/>
          <w:i/>
          <w:iCs/>
          <w:noProof/>
          <w:color w:val="44546A"/>
          <w:kern w:val="2"/>
          <w:sz w:val="20"/>
          <w:szCs w:val="20"/>
          <w:lang/>
        </w:rPr>
        <w:lastRenderedPageBreak/>
        <w:drawing>
          <wp:inline distT="0" distB="0" distL="0" distR="0" wp14:anchorId="793CC3BA" wp14:editId="60AFF376">
            <wp:extent cx="5118307" cy="3384000"/>
            <wp:effectExtent l="0" t="0" r="6350" b="698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8">
                      <a:extLst>
                        <a:ext uri="{28A0092B-C50C-407E-A947-70E740481C1C}">
                          <a14:useLocalDpi xmlns:a14="http://schemas.microsoft.com/office/drawing/2010/main" val="0"/>
                        </a:ext>
                      </a:extLst>
                    </a:blip>
                    <a:srcRect t="6078" b="1684"/>
                    <a:stretch/>
                  </pic:blipFill>
                  <pic:spPr bwMode="auto">
                    <a:xfrm>
                      <a:off x="0" y="0"/>
                      <a:ext cx="5122800" cy="3386971"/>
                    </a:xfrm>
                    <a:prstGeom prst="rect">
                      <a:avLst/>
                    </a:prstGeom>
                    <a:noFill/>
                    <a:ln>
                      <a:noFill/>
                    </a:ln>
                    <a:extLst>
                      <a:ext uri="{53640926-AAD7-44D8-BBD7-CCE9431645EC}">
                        <a14:shadowObscured xmlns:a14="http://schemas.microsoft.com/office/drawing/2010/main"/>
                      </a:ext>
                    </a:extLst>
                  </pic:spPr>
                </pic:pic>
              </a:graphicData>
            </a:graphic>
          </wp:inline>
        </w:drawing>
      </w:r>
    </w:p>
    <w:p w14:paraId="445BBEA6" w14:textId="77777777" w:rsidR="0011288B" w:rsidRPr="00971AE1" w:rsidRDefault="0011288B" w:rsidP="009D3026">
      <w:pPr>
        <w:pStyle w:val="Caption"/>
      </w:pPr>
      <w:bookmarkStart w:id="175" w:name="_Toc186799401"/>
      <w:bookmarkStart w:id="176" w:name="_Toc188056046"/>
      <w:bookmarkStart w:id="177" w:name="_Toc188057130"/>
      <w:bookmarkStart w:id="178" w:name="_Toc188359963"/>
      <w:bookmarkStart w:id="179" w:name="_Toc188367090"/>
      <w:r w:rsidRPr="00971AE1">
        <w:t>Figure A7: Aggregate LIS Exits vs. Broad PADs (GAP 1-4)</w:t>
      </w:r>
      <w:bookmarkEnd w:id="175"/>
      <w:bookmarkEnd w:id="176"/>
      <w:bookmarkEnd w:id="177"/>
      <w:bookmarkEnd w:id="178"/>
      <w:bookmarkEnd w:id="179"/>
    </w:p>
    <w:p w14:paraId="1CE612ED" w14:textId="6A298AE4" w:rsidR="00971AE1" w:rsidRPr="0011288B" w:rsidRDefault="00971AE1" w:rsidP="004C39A4">
      <w:pPr>
        <w:spacing w:line="240" w:lineRule="auto"/>
        <w:rPr>
          <w:i/>
          <w:iCs/>
          <w:sz w:val="20"/>
          <w:szCs w:val="20"/>
          <w:lang/>
        </w:rPr>
      </w:pPr>
      <w:r w:rsidRPr="0011288B">
        <w:rPr>
          <w:sz w:val="20"/>
          <w:szCs w:val="20"/>
          <w:lang/>
        </w:rPr>
        <w:t>This figure illustrates the relationship between establishment exits and the percentage of county area covered by PADs under the broad PAD definition (GAP Status 1–4), encompassing all conservation intensities.</w:t>
      </w:r>
    </w:p>
    <w:p w14:paraId="4170CD0A" w14:textId="77777777" w:rsidR="00971AE1" w:rsidRPr="00971AE1" w:rsidRDefault="00971AE1" w:rsidP="004C39A4">
      <w:pPr>
        <w:keepNext/>
        <w:spacing w:line="240" w:lineRule="auto"/>
        <w:jc w:val="center"/>
        <w:rPr>
          <w:rFonts w:cs="Times New Roman"/>
          <w:b/>
          <w:bCs/>
          <w:kern w:val="2"/>
          <w:sz w:val="20"/>
          <w:szCs w:val="20"/>
          <w:lang/>
        </w:rPr>
      </w:pPr>
    </w:p>
    <w:p w14:paraId="1F76C24A" w14:textId="2FEA8131" w:rsidR="00971AE1" w:rsidRDefault="00971AE1" w:rsidP="004C39A4">
      <w:pPr>
        <w:spacing w:line="240" w:lineRule="auto"/>
        <w:rPr>
          <w:rFonts w:cs="Times New Roman"/>
          <w:b/>
          <w:bCs/>
          <w:color w:val="2F5496"/>
          <w:kern w:val="2"/>
          <w:sz w:val="20"/>
          <w:szCs w:val="20"/>
          <w:lang/>
          <w14:ligatures w14:val="standardContextual"/>
        </w:rPr>
      </w:pPr>
    </w:p>
    <w:p w14:paraId="526B0E6A" w14:textId="7014DBA3" w:rsidR="00D37B02" w:rsidRDefault="00D37B02" w:rsidP="004C39A4">
      <w:pPr>
        <w:spacing w:line="240" w:lineRule="auto"/>
        <w:rPr>
          <w:rFonts w:cs="Times New Roman"/>
          <w:b/>
          <w:bCs/>
          <w:color w:val="2F5496"/>
          <w:kern w:val="2"/>
          <w:sz w:val="20"/>
          <w:szCs w:val="20"/>
          <w:lang/>
          <w14:ligatures w14:val="standardContextual"/>
        </w:rPr>
      </w:pPr>
    </w:p>
    <w:p w14:paraId="6B3AE1F7" w14:textId="4CFBB458" w:rsidR="00D37B02" w:rsidRDefault="00D37B02" w:rsidP="004C39A4">
      <w:pPr>
        <w:spacing w:line="240" w:lineRule="auto"/>
        <w:rPr>
          <w:rFonts w:cs="Times New Roman"/>
          <w:b/>
          <w:bCs/>
          <w:color w:val="2F5496"/>
          <w:kern w:val="2"/>
          <w:sz w:val="20"/>
          <w:szCs w:val="20"/>
          <w:lang/>
          <w14:ligatures w14:val="standardContextual"/>
        </w:rPr>
      </w:pPr>
    </w:p>
    <w:p w14:paraId="6F42784C" w14:textId="640DDDC3" w:rsidR="00D37B02" w:rsidRDefault="00D37B02" w:rsidP="004C39A4">
      <w:pPr>
        <w:spacing w:line="240" w:lineRule="auto"/>
        <w:rPr>
          <w:rFonts w:cs="Times New Roman"/>
          <w:b/>
          <w:bCs/>
          <w:color w:val="2F5496"/>
          <w:kern w:val="2"/>
          <w:sz w:val="20"/>
          <w:szCs w:val="20"/>
          <w:lang/>
          <w14:ligatures w14:val="standardContextual"/>
        </w:rPr>
      </w:pPr>
    </w:p>
    <w:p w14:paraId="0301803F" w14:textId="6BA1B4C5" w:rsidR="00D37B02" w:rsidRDefault="00D37B02" w:rsidP="004C39A4">
      <w:pPr>
        <w:spacing w:line="240" w:lineRule="auto"/>
        <w:rPr>
          <w:rFonts w:cs="Times New Roman"/>
          <w:b/>
          <w:bCs/>
          <w:color w:val="2F5496"/>
          <w:kern w:val="2"/>
          <w:sz w:val="20"/>
          <w:szCs w:val="20"/>
          <w:lang/>
          <w14:ligatures w14:val="standardContextual"/>
        </w:rPr>
      </w:pPr>
    </w:p>
    <w:p w14:paraId="35A0D923" w14:textId="76B6EFF3" w:rsidR="00D37B02" w:rsidRDefault="00D37B02" w:rsidP="004C39A4">
      <w:pPr>
        <w:spacing w:line="240" w:lineRule="auto"/>
        <w:rPr>
          <w:rFonts w:cs="Times New Roman"/>
          <w:b/>
          <w:bCs/>
          <w:color w:val="2F5496"/>
          <w:kern w:val="2"/>
          <w:sz w:val="20"/>
          <w:szCs w:val="20"/>
          <w:lang/>
          <w14:ligatures w14:val="standardContextual"/>
        </w:rPr>
      </w:pPr>
    </w:p>
    <w:p w14:paraId="63202E1E" w14:textId="64962404" w:rsidR="00D37B02" w:rsidRDefault="00D37B02" w:rsidP="004C39A4">
      <w:pPr>
        <w:spacing w:line="240" w:lineRule="auto"/>
        <w:rPr>
          <w:rFonts w:cs="Times New Roman"/>
          <w:b/>
          <w:bCs/>
          <w:color w:val="2F5496"/>
          <w:kern w:val="2"/>
          <w:sz w:val="20"/>
          <w:szCs w:val="20"/>
          <w:lang/>
          <w14:ligatures w14:val="standardContextual"/>
        </w:rPr>
      </w:pPr>
    </w:p>
    <w:p w14:paraId="6EF0959A" w14:textId="1EA82138" w:rsidR="00D37B02" w:rsidRDefault="00D37B02" w:rsidP="004C39A4">
      <w:pPr>
        <w:spacing w:line="240" w:lineRule="auto"/>
        <w:rPr>
          <w:rFonts w:cs="Times New Roman"/>
          <w:b/>
          <w:bCs/>
          <w:color w:val="2F5496"/>
          <w:kern w:val="2"/>
          <w:sz w:val="20"/>
          <w:szCs w:val="20"/>
          <w:lang/>
          <w14:ligatures w14:val="standardContextual"/>
        </w:rPr>
      </w:pPr>
    </w:p>
    <w:p w14:paraId="330F26F4" w14:textId="67562EA9" w:rsidR="00D37B02" w:rsidRDefault="00D37B02" w:rsidP="004C39A4">
      <w:pPr>
        <w:spacing w:line="240" w:lineRule="auto"/>
        <w:rPr>
          <w:rFonts w:cs="Times New Roman"/>
          <w:b/>
          <w:bCs/>
          <w:color w:val="2F5496"/>
          <w:kern w:val="2"/>
          <w:sz w:val="20"/>
          <w:szCs w:val="20"/>
          <w:lang/>
          <w14:ligatures w14:val="standardContextual"/>
        </w:rPr>
      </w:pPr>
    </w:p>
    <w:p w14:paraId="7049094B" w14:textId="3CF684C6" w:rsidR="00D37B02" w:rsidRDefault="00D37B02" w:rsidP="004C39A4">
      <w:pPr>
        <w:spacing w:line="240" w:lineRule="auto"/>
        <w:rPr>
          <w:rFonts w:cs="Times New Roman"/>
          <w:b/>
          <w:bCs/>
          <w:color w:val="2F5496"/>
          <w:kern w:val="2"/>
          <w:sz w:val="20"/>
          <w:szCs w:val="20"/>
          <w:lang/>
          <w14:ligatures w14:val="standardContextual"/>
        </w:rPr>
      </w:pPr>
    </w:p>
    <w:p w14:paraId="58506397" w14:textId="1F097285" w:rsidR="00D37B02" w:rsidRDefault="00D37B02" w:rsidP="004C39A4">
      <w:pPr>
        <w:spacing w:line="240" w:lineRule="auto"/>
        <w:rPr>
          <w:rFonts w:cs="Times New Roman"/>
          <w:b/>
          <w:bCs/>
          <w:color w:val="2F5496"/>
          <w:kern w:val="2"/>
          <w:sz w:val="20"/>
          <w:szCs w:val="20"/>
          <w:lang/>
          <w14:ligatures w14:val="standardContextual"/>
        </w:rPr>
      </w:pPr>
    </w:p>
    <w:p w14:paraId="487B29EA" w14:textId="3803C86E" w:rsidR="00D37B02" w:rsidRDefault="00D37B02" w:rsidP="004C39A4">
      <w:pPr>
        <w:spacing w:line="240" w:lineRule="auto"/>
        <w:rPr>
          <w:rFonts w:cs="Times New Roman"/>
          <w:b/>
          <w:bCs/>
          <w:color w:val="2F5496"/>
          <w:kern w:val="2"/>
          <w:sz w:val="20"/>
          <w:szCs w:val="20"/>
          <w:lang/>
          <w14:ligatures w14:val="standardContextual"/>
        </w:rPr>
      </w:pPr>
    </w:p>
    <w:p w14:paraId="042CF650" w14:textId="4BF20014" w:rsidR="00D37B02" w:rsidRDefault="00D37B02" w:rsidP="004C39A4">
      <w:pPr>
        <w:spacing w:line="240" w:lineRule="auto"/>
        <w:rPr>
          <w:rFonts w:cs="Times New Roman"/>
          <w:b/>
          <w:bCs/>
          <w:color w:val="2F5496"/>
          <w:kern w:val="2"/>
          <w:sz w:val="20"/>
          <w:szCs w:val="20"/>
          <w:lang/>
          <w14:ligatures w14:val="standardContextual"/>
        </w:rPr>
      </w:pPr>
    </w:p>
    <w:p w14:paraId="1DF9CEC4" w14:textId="137E0455" w:rsidR="00D37B02" w:rsidRDefault="00D37B02" w:rsidP="004C39A4">
      <w:pPr>
        <w:spacing w:line="240" w:lineRule="auto"/>
        <w:rPr>
          <w:rFonts w:cs="Times New Roman"/>
          <w:b/>
          <w:bCs/>
          <w:color w:val="2F5496"/>
          <w:kern w:val="2"/>
          <w:sz w:val="20"/>
          <w:szCs w:val="20"/>
          <w:lang/>
          <w14:ligatures w14:val="standardContextual"/>
        </w:rPr>
      </w:pPr>
    </w:p>
    <w:p w14:paraId="6478DD29" w14:textId="0BC95526" w:rsidR="00D37B02" w:rsidRDefault="00D37B02" w:rsidP="004C39A4">
      <w:pPr>
        <w:spacing w:line="240" w:lineRule="auto"/>
        <w:rPr>
          <w:rFonts w:cs="Times New Roman"/>
          <w:b/>
          <w:bCs/>
          <w:color w:val="2F5496"/>
          <w:kern w:val="2"/>
          <w:sz w:val="20"/>
          <w:szCs w:val="20"/>
          <w:lang/>
          <w14:ligatures w14:val="standardContextual"/>
        </w:rPr>
      </w:pPr>
    </w:p>
    <w:p w14:paraId="45D451D2" w14:textId="7D53B5E9" w:rsidR="00D37B02" w:rsidRDefault="00D37B02" w:rsidP="004C39A4">
      <w:pPr>
        <w:spacing w:line="240" w:lineRule="auto"/>
        <w:rPr>
          <w:rFonts w:cs="Times New Roman"/>
          <w:b/>
          <w:bCs/>
          <w:color w:val="2F5496"/>
          <w:kern w:val="2"/>
          <w:sz w:val="20"/>
          <w:szCs w:val="20"/>
          <w:lang/>
          <w14:ligatures w14:val="standardContextual"/>
        </w:rPr>
      </w:pPr>
    </w:p>
    <w:p w14:paraId="0F769692" w14:textId="537B1A4E" w:rsidR="00D37B02" w:rsidRDefault="00D37B02" w:rsidP="004C39A4">
      <w:pPr>
        <w:spacing w:line="240" w:lineRule="auto"/>
        <w:rPr>
          <w:rFonts w:cs="Times New Roman"/>
          <w:b/>
          <w:bCs/>
          <w:color w:val="2F5496"/>
          <w:kern w:val="2"/>
          <w:sz w:val="20"/>
          <w:szCs w:val="20"/>
          <w:lang/>
          <w14:ligatures w14:val="standardContextual"/>
        </w:rPr>
      </w:pPr>
    </w:p>
    <w:p w14:paraId="34AD162D" w14:textId="6F388F24" w:rsidR="00D37B02" w:rsidRDefault="00D37B02" w:rsidP="004C39A4">
      <w:pPr>
        <w:spacing w:line="240" w:lineRule="auto"/>
        <w:rPr>
          <w:rFonts w:cs="Times New Roman"/>
          <w:b/>
          <w:bCs/>
          <w:color w:val="2F5496"/>
          <w:kern w:val="2"/>
          <w:sz w:val="20"/>
          <w:szCs w:val="20"/>
          <w:lang/>
          <w14:ligatures w14:val="standardContextual"/>
        </w:rPr>
      </w:pPr>
    </w:p>
    <w:p w14:paraId="67D84D44" w14:textId="701906D6" w:rsidR="00D37B02" w:rsidRDefault="00D37B02" w:rsidP="004C39A4">
      <w:pPr>
        <w:spacing w:line="240" w:lineRule="auto"/>
        <w:rPr>
          <w:rFonts w:cs="Times New Roman"/>
          <w:b/>
          <w:bCs/>
          <w:color w:val="2F5496"/>
          <w:kern w:val="2"/>
          <w:sz w:val="20"/>
          <w:szCs w:val="20"/>
          <w:lang/>
          <w14:ligatures w14:val="standardContextual"/>
        </w:rPr>
      </w:pPr>
    </w:p>
    <w:p w14:paraId="0B28377B" w14:textId="20E5275A" w:rsidR="00D37B02" w:rsidRDefault="00D37B02" w:rsidP="004C39A4">
      <w:pPr>
        <w:spacing w:line="240" w:lineRule="auto"/>
        <w:rPr>
          <w:rFonts w:cs="Times New Roman"/>
          <w:b/>
          <w:bCs/>
          <w:color w:val="2F5496"/>
          <w:kern w:val="2"/>
          <w:sz w:val="20"/>
          <w:szCs w:val="20"/>
          <w:lang/>
          <w14:ligatures w14:val="standardContextual"/>
        </w:rPr>
      </w:pPr>
    </w:p>
    <w:p w14:paraId="12236DFB" w14:textId="743EF831" w:rsidR="00D37B02" w:rsidRDefault="00D37B02" w:rsidP="004C39A4">
      <w:pPr>
        <w:spacing w:line="240" w:lineRule="auto"/>
        <w:rPr>
          <w:rFonts w:cs="Times New Roman"/>
          <w:b/>
          <w:bCs/>
          <w:color w:val="2F5496"/>
          <w:kern w:val="2"/>
          <w:sz w:val="20"/>
          <w:szCs w:val="20"/>
          <w:lang/>
          <w14:ligatures w14:val="standardContextual"/>
        </w:rPr>
      </w:pPr>
    </w:p>
    <w:p w14:paraId="2EC470FB" w14:textId="412F065B" w:rsidR="00D37B02" w:rsidRDefault="00D37B02" w:rsidP="004C39A4">
      <w:pPr>
        <w:spacing w:line="240" w:lineRule="auto"/>
        <w:rPr>
          <w:rFonts w:cs="Times New Roman"/>
          <w:b/>
          <w:bCs/>
          <w:color w:val="2F5496"/>
          <w:kern w:val="2"/>
          <w:sz w:val="20"/>
          <w:szCs w:val="20"/>
          <w:lang/>
          <w14:ligatures w14:val="standardContextual"/>
        </w:rPr>
      </w:pPr>
    </w:p>
    <w:p w14:paraId="44139B3D" w14:textId="77777777" w:rsidR="00D37B02" w:rsidRPr="00971AE1" w:rsidRDefault="00D37B02" w:rsidP="004C39A4">
      <w:pPr>
        <w:spacing w:line="240" w:lineRule="auto"/>
        <w:rPr>
          <w:rFonts w:cs="Times New Roman"/>
          <w:b/>
          <w:bCs/>
          <w:color w:val="2F5496"/>
          <w:kern w:val="2"/>
          <w:sz w:val="20"/>
          <w:szCs w:val="20"/>
          <w:lang/>
          <w14:ligatures w14:val="standardContextual"/>
        </w:rPr>
      </w:pPr>
    </w:p>
    <w:p w14:paraId="1D60CA7F" w14:textId="77777777" w:rsidR="00971AE1" w:rsidRPr="00971AE1" w:rsidRDefault="00971AE1" w:rsidP="004C39A4">
      <w:pPr>
        <w:spacing w:line="240" w:lineRule="auto"/>
        <w:jc w:val="center"/>
        <w:rPr>
          <w:rFonts w:cs="Times New Roman"/>
          <w:b/>
          <w:bCs/>
          <w:color w:val="44546A"/>
          <w:kern w:val="2"/>
          <w:sz w:val="20"/>
          <w:szCs w:val="20"/>
          <w:lang/>
        </w:rPr>
      </w:pPr>
      <w:r w:rsidRPr="00971AE1">
        <w:rPr>
          <w:rFonts w:cs="Times New Roman"/>
          <w:i/>
          <w:iCs/>
          <w:noProof/>
          <w:color w:val="44546A"/>
          <w:kern w:val="2"/>
          <w:sz w:val="20"/>
          <w:szCs w:val="20"/>
          <w:lang/>
        </w:rPr>
        <w:lastRenderedPageBreak/>
        <w:drawing>
          <wp:inline distT="0" distB="0" distL="0" distR="0" wp14:anchorId="13484193" wp14:editId="4C2D921A">
            <wp:extent cx="4937720" cy="32400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9">
                      <a:extLst>
                        <a:ext uri="{28A0092B-C50C-407E-A947-70E740481C1C}">
                          <a14:useLocalDpi xmlns:a14="http://schemas.microsoft.com/office/drawing/2010/main" val="0"/>
                        </a:ext>
                      </a:extLst>
                    </a:blip>
                    <a:srcRect t="5413" b="1707"/>
                    <a:stretch/>
                  </pic:blipFill>
                  <pic:spPr bwMode="auto">
                    <a:xfrm>
                      <a:off x="0" y="0"/>
                      <a:ext cx="4942800" cy="3243333"/>
                    </a:xfrm>
                    <a:prstGeom prst="rect">
                      <a:avLst/>
                    </a:prstGeom>
                    <a:noFill/>
                    <a:ln>
                      <a:noFill/>
                    </a:ln>
                    <a:extLst>
                      <a:ext uri="{53640926-AAD7-44D8-BBD7-CCE9431645EC}">
                        <a14:shadowObscured xmlns:a14="http://schemas.microsoft.com/office/drawing/2010/main"/>
                      </a:ext>
                    </a:extLst>
                  </pic:spPr>
                </pic:pic>
              </a:graphicData>
            </a:graphic>
          </wp:inline>
        </w:drawing>
      </w:r>
    </w:p>
    <w:p w14:paraId="1BD504C1" w14:textId="77777777" w:rsidR="00971AE1" w:rsidRPr="00971AE1" w:rsidRDefault="00971AE1" w:rsidP="009D3026">
      <w:pPr>
        <w:pStyle w:val="Caption"/>
        <w:rPr>
          <w:i/>
          <w:iCs/>
        </w:rPr>
      </w:pPr>
      <w:bookmarkStart w:id="180" w:name="_Toc186799402"/>
      <w:bookmarkStart w:id="181" w:name="_Toc188056047"/>
      <w:bookmarkStart w:id="182" w:name="_Toc188057131"/>
      <w:bookmarkStart w:id="183" w:name="_Toc188359964"/>
      <w:bookmarkStart w:id="184" w:name="_Toc188367091"/>
      <w:r w:rsidRPr="00971AE1">
        <w:t>Figure A8: Aggregate LIS Exits vs. Strict PADs (GAP 1-2)</w:t>
      </w:r>
      <w:bookmarkEnd w:id="180"/>
      <w:bookmarkEnd w:id="181"/>
      <w:bookmarkEnd w:id="182"/>
      <w:bookmarkEnd w:id="183"/>
      <w:bookmarkEnd w:id="184"/>
    </w:p>
    <w:p w14:paraId="2545342B" w14:textId="10E51597" w:rsidR="00971AE1" w:rsidRDefault="00971AE1" w:rsidP="004C39A4">
      <w:pPr>
        <w:spacing w:line="240" w:lineRule="auto"/>
        <w:rPr>
          <w:sz w:val="20"/>
          <w:szCs w:val="20"/>
          <w:lang/>
        </w:rPr>
      </w:pPr>
      <w:r w:rsidRPr="0011288B">
        <w:rPr>
          <w:sz w:val="20"/>
          <w:szCs w:val="20"/>
          <w:lang/>
        </w:rPr>
        <w:t>This figure demonstrates the relationship between establishment exits and the percentage of county area covered by stricter PADs under GAP Status 1 and 2, which emphasize the highest levels of conservation restrictions.</w:t>
      </w:r>
    </w:p>
    <w:p w14:paraId="6C7C3A16" w14:textId="77777777" w:rsidR="003E13FE" w:rsidRPr="0011288B" w:rsidRDefault="003E13FE" w:rsidP="004C39A4">
      <w:pPr>
        <w:spacing w:line="240" w:lineRule="auto"/>
        <w:jc w:val="both"/>
        <w:rPr>
          <w:i/>
          <w:iCs/>
          <w:sz w:val="20"/>
          <w:szCs w:val="20"/>
          <w:lang/>
        </w:rPr>
      </w:pPr>
    </w:p>
    <w:p w14:paraId="1B1A7F39" w14:textId="4002D7AC" w:rsidR="003E13FE" w:rsidRDefault="003E13FE" w:rsidP="004C39A4">
      <w:pPr>
        <w:spacing w:line="240" w:lineRule="auto"/>
      </w:pPr>
      <w:bookmarkStart w:id="185" w:name="_Hlk188050475"/>
      <w:bookmarkEnd w:id="136"/>
      <w:r>
        <w:br w:type="page"/>
      </w:r>
    </w:p>
    <w:p w14:paraId="737142CE" w14:textId="77777777" w:rsidR="00CD4846" w:rsidRPr="00CD4846" w:rsidRDefault="00CD4846" w:rsidP="00435EFF">
      <w:pPr>
        <w:spacing w:line="240" w:lineRule="auto"/>
        <w:jc w:val="center"/>
        <w:rPr>
          <w:color w:val="44546A"/>
          <w:sz w:val="18"/>
          <w:szCs w:val="18"/>
          <w:lang/>
        </w:rPr>
      </w:pPr>
      <w:r w:rsidRPr="00CD4846">
        <w:rPr>
          <w:noProof/>
          <w:lang/>
        </w:rPr>
        <w:lastRenderedPageBreak/>
        <w:drawing>
          <wp:inline distT="0" distB="0" distL="0" distR="0" wp14:anchorId="7F713AE6" wp14:editId="02F6FEB9">
            <wp:extent cx="4851983" cy="3240000"/>
            <wp:effectExtent l="0" t="0" r="635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20">
                      <a:extLst>
                        <a:ext uri="{28A0092B-C50C-407E-A947-70E740481C1C}">
                          <a14:useLocalDpi xmlns:a14="http://schemas.microsoft.com/office/drawing/2010/main" val="0"/>
                        </a:ext>
                      </a:extLst>
                    </a:blip>
                    <a:srcRect t="5969" b="2110"/>
                    <a:stretch/>
                  </pic:blipFill>
                  <pic:spPr bwMode="auto">
                    <a:xfrm>
                      <a:off x="0" y="0"/>
                      <a:ext cx="4856400" cy="3242949"/>
                    </a:xfrm>
                    <a:prstGeom prst="rect">
                      <a:avLst/>
                    </a:prstGeom>
                    <a:noFill/>
                    <a:ln>
                      <a:noFill/>
                    </a:ln>
                    <a:extLst>
                      <a:ext uri="{53640926-AAD7-44D8-BBD7-CCE9431645EC}">
                        <a14:shadowObscured xmlns:a14="http://schemas.microsoft.com/office/drawing/2010/main"/>
                      </a:ext>
                    </a:extLst>
                  </pic:spPr>
                </pic:pic>
              </a:graphicData>
            </a:graphic>
          </wp:inline>
        </w:drawing>
      </w:r>
    </w:p>
    <w:p w14:paraId="09DC343E" w14:textId="77777777" w:rsidR="00CD4846" w:rsidRPr="00CD4846" w:rsidRDefault="00CD4846" w:rsidP="009D3026">
      <w:pPr>
        <w:pStyle w:val="Caption"/>
        <w:rPr>
          <w:lang/>
        </w:rPr>
      </w:pPr>
      <w:bookmarkStart w:id="186" w:name="_Toc186799403"/>
      <w:bookmarkStart w:id="187" w:name="_Toc188359965"/>
      <w:bookmarkStart w:id="188" w:name="_Toc188367092"/>
      <w:r w:rsidRPr="00CD4846">
        <w:rPr>
          <w:lang/>
        </w:rPr>
        <w:t>Figure A9: Aggregate LIS</w:t>
      </w:r>
      <w:r w:rsidRPr="00CD4846">
        <w:rPr>
          <w:rFonts w:hint="eastAsia"/>
          <w:lang/>
        </w:rPr>
        <w:t xml:space="preserve"> </w:t>
      </w:r>
      <w:r w:rsidRPr="00CD4846">
        <w:rPr>
          <w:lang/>
        </w:rPr>
        <w:t>Inward Relocations vs. Broad PADs (GAP 1-4)</w:t>
      </w:r>
      <w:bookmarkEnd w:id="186"/>
      <w:bookmarkEnd w:id="187"/>
      <w:bookmarkEnd w:id="188"/>
    </w:p>
    <w:p w14:paraId="5B1CCFBF" w14:textId="47E78B78" w:rsidR="00CD4846" w:rsidRPr="00CD4846" w:rsidRDefault="00CD4846" w:rsidP="004C39A4">
      <w:pPr>
        <w:spacing w:line="240" w:lineRule="auto"/>
        <w:rPr>
          <w:lang/>
        </w:rPr>
      </w:pPr>
      <w:r w:rsidRPr="00CD4846">
        <w:rPr>
          <w:sz w:val="20"/>
          <w:szCs w:val="20"/>
          <w:lang/>
        </w:rPr>
        <w:t>This figure illustrates the relationship between inward relocations of establishments and the percentage of county area covered by PADs across all GAP categories.</w:t>
      </w:r>
    </w:p>
    <w:p w14:paraId="7B5AB66A" w14:textId="77777777" w:rsidR="00CD4846" w:rsidRPr="00CD4846" w:rsidRDefault="00CD4846" w:rsidP="004C39A4">
      <w:pPr>
        <w:spacing w:line="256" w:lineRule="auto"/>
        <w:jc w:val="center"/>
        <w:rPr>
          <w:rFonts w:cs="Times New Roman"/>
          <w:b/>
          <w:bCs/>
          <w:kern w:val="2"/>
          <w:lang/>
        </w:rPr>
      </w:pPr>
    </w:p>
    <w:p w14:paraId="6214ED27" w14:textId="4DAE4028" w:rsidR="00FC56A5" w:rsidRDefault="00FC56A5" w:rsidP="004C39A4">
      <w:pPr>
        <w:spacing w:line="240" w:lineRule="auto"/>
        <w:rPr>
          <w:rFonts w:cs="Times New Roman"/>
          <w:b/>
          <w:bCs/>
          <w:kern w:val="2"/>
          <w:lang/>
        </w:rPr>
      </w:pPr>
      <w:r>
        <w:rPr>
          <w:rFonts w:cs="Times New Roman"/>
          <w:b/>
          <w:bCs/>
          <w:kern w:val="2"/>
          <w:lang/>
        </w:rPr>
        <w:br w:type="page"/>
      </w:r>
    </w:p>
    <w:p w14:paraId="01DE440E" w14:textId="77777777" w:rsidR="00CD4846" w:rsidRPr="00CD4846" w:rsidRDefault="00CD4846" w:rsidP="004C39A4">
      <w:pPr>
        <w:spacing w:line="240" w:lineRule="auto"/>
        <w:jc w:val="center"/>
        <w:rPr>
          <w:rFonts w:ascii="DengXian" w:hAnsi="DengXian" w:cs="Times New Roman"/>
          <w:b/>
          <w:bCs/>
          <w:color w:val="44546A"/>
          <w:kern w:val="2"/>
          <w:sz w:val="18"/>
          <w:szCs w:val="18"/>
          <w:lang/>
        </w:rPr>
      </w:pPr>
      <w:r w:rsidRPr="00CD4846">
        <w:rPr>
          <w:rFonts w:cs="Times New Roman"/>
          <w:i/>
          <w:iCs/>
          <w:noProof/>
          <w:color w:val="44546A"/>
          <w:kern w:val="2"/>
          <w:lang/>
        </w:rPr>
        <w:lastRenderedPageBreak/>
        <w:drawing>
          <wp:inline distT="0" distB="0" distL="0" distR="0" wp14:anchorId="7274C41F" wp14:editId="311DF2C7">
            <wp:extent cx="4763177" cy="31680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21">
                      <a:extLst>
                        <a:ext uri="{28A0092B-C50C-407E-A947-70E740481C1C}">
                          <a14:useLocalDpi xmlns:a14="http://schemas.microsoft.com/office/drawing/2010/main" val="0"/>
                        </a:ext>
                      </a:extLst>
                    </a:blip>
                    <a:srcRect t="5474" b="1762"/>
                    <a:stretch/>
                  </pic:blipFill>
                  <pic:spPr bwMode="auto">
                    <a:xfrm>
                      <a:off x="0" y="0"/>
                      <a:ext cx="4770000" cy="3172538"/>
                    </a:xfrm>
                    <a:prstGeom prst="rect">
                      <a:avLst/>
                    </a:prstGeom>
                    <a:noFill/>
                    <a:ln>
                      <a:noFill/>
                    </a:ln>
                    <a:extLst>
                      <a:ext uri="{53640926-AAD7-44D8-BBD7-CCE9431645EC}">
                        <a14:shadowObscured xmlns:a14="http://schemas.microsoft.com/office/drawing/2010/main"/>
                      </a:ext>
                    </a:extLst>
                  </pic:spPr>
                </pic:pic>
              </a:graphicData>
            </a:graphic>
          </wp:inline>
        </w:drawing>
      </w:r>
    </w:p>
    <w:p w14:paraId="4F0BE87F" w14:textId="77777777" w:rsidR="00FC56A5" w:rsidRPr="00CD4846" w:rsidRDefault="00FC56A5" w:rsidP="009D3026">
      <w:pPr>
        <w:pStyle w:val="Caption"/>
        <w:rPr>
          <w:sz w:val="32"/>
          <w:szCs w:val="32"/>
        </w:rPr>
      </w:pPr>
      <w:bookmarkStart w:id="189" w:name="_Toc186799404"/>
      <w:bookmarkStart w:id="190" w:name="_Toc188359966"/>
      <w:bookmarkStart w:id="191" w:name="_Toc188367093"/>
      <w:r w:rsidRPr="00CD4846">
        <w:t>Figure A10: Aggregate LIS</w:t>
      </w:r>
      <w:r w:rsidRPr="00CD4846">
        <w:rPr>
          <w:rFonts w:hint="eastAsia"/>
          <w:i/>
          <w:iCs/>
        </w:rPr>
        <w:t xml:space="preserve"> </w:t>
      </w:r>
      <w:r w:rsidRPr="00CD4846">
        <w:t>Inward Relocations vs. Strict PADs (GAP 1-2)</w:t>
      </w:r>
      <w:bookmarkEnd w:id="189"/>
      <w:bookmarkEnd w:id="190"/>
      <w:bookmarkEnd w:id="191"/>
    </w:p>
    <w:p w14:paraId="46E57E04" w14:textId="77FFABDA" w:rsidR="00CD4846" w:rsidRPr="00FC56A5" w:rsidRDefault="00CD4846" w:rsidP="004C39A4">
      <w:pPr>
        <w:spacing w:line="240" w:lineRule="auto"/>
        <w:rPr>
          <w:i/>
          <w:iCs/>
          <w:sz w:val="20"/>
          <w:szCs w:val="20"/>
          <w:lang/>
        </w:rPr>
      </w:pPr>
      <w:r w:rsidRPr="00FC56A5">
        <w:rPr>
          <w:sz w:val="20"/>
          <w:szCs w:val="20"/>
          <w:lang/>
        </w:rPr>
        <w:t>This scatter plot highlights the relationship between inward relocations of establishments and the percentage of county area covered by strictly protected PADs under GAP Status 1 and 2.</w:t>
      </w:r>
    </w:p>
    <w:p w14:paraId="6D202A62" w14:textId="77777777" w:rsidR="00CD4846" w:rsidRPr="00CD4846" w:rsidRDefault="00CD4846" w:rsidP="004C39A4">
      <w:pPr>
        <w:spacing w:line="256" w:lineRule="auto"/>
        <w:jc w:val="center"/>
        <w:rPr>
          <w:rFonts w:ascii="Calibri" w:hAnsi="Calibri" w:cs="Times New Roman"/>
          <w:kern w:val="2"/>
          <w:sz w:val="22"/>
          <w:szCs w:val="22"/>
          <w:lang/>
        </w:rPr>
      </w:pPr>
    </w:p>
    <w:p w14:paraId="0606D4A9" w14:textId="77777777" w:rsidR="00CD4846" w:rsidRPr="00CD4846" w:rsidRDefault="00CD4846" w:rsidP="004C39A4">
      <w:pPr>
        <w:spacing w:line="240" w:lineRule="auto"/>
        <w:jc w:val="center"/>
        <w:rPr>
          <w:rFonts w:ascii="DengXian" w:hAnsi="DengXian" w:cs="Times New Roman"/>
          <w:b/>
          <w:bCs/>
          <w:kern w:val="2"/>
          <w:sz w:val="21"/>
          <w:szCs w:val="21"/>
          <w:lang/>
        </w:rPr>
      </w:pPr>
    </w:p>
    <w:p w14:paraId="4F190FF7" w14:textId="77777777" w:rsidR="00CD4846" w:rsidRPr="00CD4846" w:rsidRDefault="00CD4846" w:rsidP="004C39A4">
      <w:pPr>
        <w:spacing w:line="259" w:lineRule="auto"/>
        <w:jc w:val="center"/>
        <w:rPr>
          <w:rFonts w:ascii="DengXian" w:hAnsi="DengXian" w:cs="Times New Roman"/>
          <w:b/>
          <w:bCs/>
          <w:kern w:val="2"/>
          <w:sz w:val="21"/>
          <w:szCs w:val="21"/>
          <w:lang/>
        </w:rPr>
      </w:pPr>
      <w:r w:rsidRPr="00CD4846">
        <w:rPr>
          <w:rFonts w:ascii="DengXian" w:hAnsi="DengXian" w:cs="Times New Roman"/>
          <w:b/>
          <w:bCs/>
          <w:kern w:val="2"/>
          <w:sz w:val="21"/>
          <w:szCs w:val="21"/>
          <w:lang/>
        </w:rPr>
        <w:br w:type="page"/>
      </w:r>
    </w:p>
    <w:p w14:paraId="3C3AF7BF" w14:textId="77777777" w:rsidR="00CD4846" w:rsidRPr="00CD4846" w:rsidRDefault="00CD4846" w:rsidP="004C39A4">
      <w:pPr>
        <w:spacing w:line="256" w:lineRule="auto"/>
        <w:jc w:val="center"/>
        <w:rPr>
          <w:rFonts w:ascii="SimSun" w:hAnsi="SimSun" w:cs="Times New Roman"/>
          <w:color w:val="44546A"/>
          <w:kern w:val="2"/>
          <w:sz w:val="18"/>
          <w:szCs w:val="18"/>
          <w:lang/>
        </w:rPr>
      </w:pPr>
      <w:r w:rsidRPr="00CD4846">
        <w:rPr>
          <w:rFonts w:cs="Times New Roman"/>
          <w:noProof/>
          <w:kern w:val="2"/>
          <w:lang/>
        </w:rPr>
        <w:lastRenderedPageBreak/>
        <w:drawing>
          <wp:inline distT="0" distB="0" distL="0" distR="0" wp14:anchorId="5A9BBC41" wp14:editId="43632F11">
            <wp:extent cx="4897407" cy="3276000"/>
            <wp:effectExtent l="0" t="0" r="0" b="63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22">
                      <a:extLst>
                        <a:ext uri="{28A0092B-C50C-407E-A947-70E740481C1C}">
                          <a14:useLocalDpi xmlns:a14="http://schemas.microsoft.com/office/drawing/2010/main" val="0"/>
                        </a:ext>
                      </a:extLst>
                    </a:blip>
                    <a:srcRect t="5947" b="1602"/>
                    <a:stretch/>
                  </pic:blipFill>
                  <pic:spPr bwMode="auto">
                    <a:xfrm>
                      <a:off x="0" y="0"/>
                      <a:ext cx="4925695" cy="3294922"/>
                    </a:xfrm>
                    <a:prstGeom prst="rect">
                      <a:avLst/>
                    </a:prstGeom>
                    <a:noFill/>
                    <a:ln>
                      <a:noFill/>
                    </a:ln>
                    <a:extLst>
                      <a:ext uri="{53640926-AAD7-44D8-BBD7-CCE9431645EC}">
                        <a14:shadowObscured xmlns:a14="http://schemas.microsoft.com/office/drawing/2010/main"/>
                      </a:ext>
                    </a:extLst>
                  </pic:spPr>
                </pic:pic>
              </a:graphicData>
            </a:graphic>
          </wp:inline>
        </w:drawing>
      </w:r>
    </w:p>
    <w:p w14:paraId="09B3A5D4" w14:textId="77777777" w:rsidR="00FC56A5" w:rsidRPr="00F83040" w:rsidRDefault="00FC56A5" w:rsidP="00F83040">
      <w:pPr>
        <w:pStyle w:val="Caption"/>
      </w:pPr>
      <w:bookmarkStart w:id="192" w:name="_Toc186799405"/>
      <w:bookmarkStart w:id="193" w:name="_Toc188359967"/>
      <w:bookmarkStart w:id="194" w:name="_Toc188367094"/>
      <w:r w:rsidRPr="00F83040">
        <w:rPr>
          <w:rFonts w:hint="eastAsia"/>
        </w:rPr>
        <w:t xml:space="preserve">Figure </w:t>
      </w:r>
      <w:r w:rsidRPr="00F83040">
        <w:t>A</w:t>
      </w:r>
      <w:r w:rsidRPr="00F83040">
        <w:rPr>
          <w:rFonts w:hint="eastAsia"/>
        </w:rPr>
        <w:t>1</w:t>
      </w:r>
      <w:r w:rsidRPr="00F83040">
        <w:t>1</w:t>
      </w:r>
      <w:r w:rsidRPr="00F83040">
        <w:rPr>
          <w:rFonts w:hint="eastAsia"/>
        </w:rPr>
        <w:t xml:space="preserve">: </w:t>
      </w:r>
      <w:r w:rsidRPr="00F83040">
        <w:t>Aggregate LIS</w:t>
      </w:r>
      <w:r w:rsidRPr="00F83040">
        <w:rPr>
          <w:rFonts w:hint="eastAsia"/>
        </w:rPr>
        <w:t xml:space="preserve"> Outward Relocations vs. </w:t>
      </w:r>
      <w:r w:rsidRPr="00F83040">
        <w:t xml:space="preserve">broad </w:t>
      </w:r>
      <w:r w:rsidRPr="00F83040">
        <w:rPr>
          <w:rFonts w:hint="eastAsia"/>
        </w:rPr>
        <w:t>PADs (GAP</w:t>
      </w:r>
      <w:r w:rsidRPr="00F83040">
        <w:t xml:space="preserve"> 1-4</w:t>
      </w:r>
      <w:r w:rsidRPr="00F83040">
        <w:rPr>
          <w:rFonts w:hint="eastAsia"/>
        </w:rPr>
        <w:t>)</w:t>
      </w:r>
      <w:bookmarkEnd w:id="192"/>
      <w:bookmarkEnd w:id="193"/>
      <w:bookmarkEnd w:id="194"/>
    </w:p>
    <w:p w14:paraId="3D3F1CD9" w14:textId="44F4EBAE" w:rsidR="00CD4846" w:rsidRPr="00FC56A5" w:rsidRDefault="00CD4846" w:rsidP="004C39A4">
      <w:pPr>
        <w:spacing w:line="240" w:lineRule="auto"/>
        <w:rPr>
          <w:rFonts w:ascii="Calibri" w:hAnsi="Calibri"/>
          <w:sz w:val="20"/>
          <w:szCs w:val="20"/>
          <w:lang/>
        </w:rPr>
      </w:pPr>
      <w:r w:rsidRPr="00FC56A5">
        <w:rPr>
          <w:sz w:val="20"/>
          <w:szCs w:val="20"/>
          <w:lang/>
        </w:rPr>
        <w:t>This figure illustrates the relationship between outward relocations of establishments and the percentage of county area covered by PADs across all GAP status categories.</w:t>
      </w:r>
    </w:p>
    <w:p w14:paraId="39428F18" w14:textId="77777777" w:rsidR="00CD4846" w:rsidRPr="00CD4846" w:rsidRDefault="00CD4846" w:rsidP="004C39A4">
      <w:pPr>
        <w:spacing w:line="240" w:lineRule="auto"/>
        <w:jc w:val="center"/>
        <w:rPr>
          <w:rFonts w:ascii="DengXian" w:hAnsi="DengXian" w:cs="Times New Roman"/>
          <w:b/>
          <w:bCs/>
          <w:kern w:val="2"/>
          <w:sz w:val="22"/>
          <w:szCs w:val="22"/>
          <w:lang/>
        </w:rPr>
      </w:pPr>
    </w:p>
    <w:p w14:paraId="49785287" w14:textId="77777777" w:rsidR="00CD4846" w:rsidRPr="00CD4846" w:rsidRDefault="00CD4846" w:rsidP="004C39A4">
      <w:pPr>
        <w:spacing w:line="240" w:lineRule="auto"/>
        <w:jc w:val="center"/>
        <w:rPr>
          <w:rFonts w:ascii="DengXian" w:hAnsi="DengXian" w:cs="Times New Roman"/>
          <w:b/>
          <w:bCs/>
          <w:kern w:val="2"/>
          <w:sz w:val="22"/>
          <w:szCs w:val="22"/>
          <w:lang/>
        </w:rPr>
      </w:pPr>
    </w:p>
    <w:p w14:paraId="2802D179" w14:textId="4063ADC6" w:rsidR="00FC56A5" w:rsidRDefault="00FC56A5" w:rsidP="004C39A4">
      <w:pPr>
        <w:spacing w:line="240" w:lineRule="auto"/>
        <w:rPr>
          <w:rFonts w:ascii="DengXian" w:hAnsi="DengXian" w:cs="Times New Roman"/>
          <w:b/>
          <w:bCs/>
          <w:kern w:val="2"/>
          <w:sz w:val="22"/>
          <w:szCs w:val="22"/>
          <w:lang/>
        </w:rPr>
      </w:pPr>
      <w:r>
        <w:rPr>
          <w:rFonts w:ascii="DengXian" w:hAnsi="DengXian" w:cs="Times New Roman"/>
          <w:b/>
          <w:bCs/>
          <w:kern w:val="2"/>
          <w:sz w:val="22"/>
          <w:szCs w:val="22"/>
          <w:lang/>
        </w:rPr>
        <w:br w:type="page"/>
      </w:r>
    </w:p>
    <w:p w14:paraId="78045BE3" w14:textId="77777777" w:rsidR="00CD4846" w:rsidRPr="00CD4846" w:rsidRDefault="00CD4846" w:rsidP="004C39A4">
      <w:pPr>
        <w:spacing w:line="256" w:lineRule="auto"/>
        <w:ind w:left="360"/>
        <w:jc w:val="center"/>
        <w:rPr>
          <w:rFonts w:ascii="SimSun" w:hAnsi="SimSun" w:cs="Times New Roman"/>
          <w:color w:val="44546A"/>
          <w:kern w:val="2"/>
          <w:sz w:val="18"/>
          <w:szCs w:val="18"/>
          <w:lang/>
        </w:rPr>
      </w:pPr>
      <w:r w:rsidRPr="00CD4846">
        <w:rPr>
          <w:rFonts w:cs="Times New Roman"/>
          <w:noProof/>
          <w:kern w:val="2"/>
          <w:lang/>
        </w:rPr>
        <w:lastRenderedPageBreak/>
        <w:drawing>
          <wp:inline distT="0" distB="0" distL="0" distR="0" wp14:anchorId="2F624438" wp14:editId="3432B3FA">
            <wp:extent cx="4799963" cy="3168000"/>
            <wp:effectExtent l="0" t="0" r="127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23">
                      <a:extLst>
                        <a:ext uri="{28A0092B-C50C-407E-A947-70E740481C1C}">
                          <a14:useLocalDpi xmlns:a14="http://schemas.microsoft.com/office/drawing/2010/main" val="0"/>
                        </a:ext>
                      </a:extLst>
                    </a:blip>
                    <a:srcRect t="5105" b="2146"/>
                    <a:stretch/>
                  </pic:blipFill>
                  <pic:spPr bwMode="auto">
                    <a:xfrm>
                      <a:off x="0" y="0"/>
                      <a:ext cx="4806000" cy="3171984"/>
                    </a:xfrm>
                    <a:prstGeom prst="rect">
                      <a:avLst/>
                    </a:prstGeom>
                    <a:noFill/>
                    <a:ln>
                      <a:noFill/>
                    </a:ln>
                    <a:extLst>
                      <a:ext uri="{53640926-AAD7-44D8-BBD7-CCE9431645EC}">
                        <a14:shadowObscured xmlns:a14="http://schemas.microsoft.com/office/drawing/2010/main"/>
                      </a:ext>
                    </a:extLst>
                  </pic:spPr>
                </pic:pic>
              </a:graphicData>
            </a:graphic>
          </wp:inline>
        </w:drawing>
      </w:r>
    </w:p>
    <w:p w14:paraId="73E83C4E" w14:textId="77777777" w:rsidR="00FC56A5" w:rsidRPr="00CD4846" w:rsidRDefault="00FC56A5" w:rsidP="009D3026">
      <w:pPr>
        <w:pStyle w:val="Caption"/>
      </w:pPr>
      <w:bookmarkStart w:id="195" w:name="_Toc186799406"/>
      <w:bookmarkStart w:id="196" w:name="_Toc188359968"/>
      <w:bookmarkStart w:id="197" w:name="_Toc188367095"/>
      <w:r w:rsidRPr="00CD4846">
        <w:rPr>
          <w:rFonts w:hint="eastAsia"/>
        </w:rPr>
        <w:t xml:space="preserve">Figure </w:t>
      </w:r>
      <w:r w:rsidRPr="00CD4846">
        <w:t>A</w:t>
      </w:r>
      <w:r w:rsidRPr="00CD4846">
        <w:rPr>
          <w:rFonts w:hint="eastAsia"/>
        </w:rPr>
        <w:t>1</w:t>
      </w:r>
      <w:r w:rsidRPr="00CD4846">
        <w:t>2</w:t>
      </w:r>
      <w:r w:rsidRPr="00CD4846">
        <w:rPr>
          <w:rFonts w:hint="eastAsia"/>
        </w:rPr>
        <w:t xml:space="preserve">: </w:t>
      </w:r>
      <w:r w:rsidRPr="00CD4846">
        <w:t>Aggregate LIS</w:t>
      </w:r>
      <w:r w:rsidRPr="00CD4846">
        <w:rPr>
          <w:rFonts w:hint="eastAsia"/>
        </w:rPr>
        <w:t xml:space="preserve"> </w:t>
      </w:r>
      <w:r w:rsidRPr="00CD4846">
        <w:t>O</w:t>
      </w:r>
      <w:r w:rsidRPr="00CD4846">
        <w:rPr>
          <w:rFonts w:hint="eastAsia"/>
        </w:rPr>
        <w:t xml:space="preserve">utward Relocations vs. </w:t>
      </w:r>
      <w:r w:rsidRPr="00CD4846">
        <w:t xml:space="preserve">Strict </w:t>
      </w:r>
      <w:r w:rsidRPr="00CD4846">
        <w:rPr>
          <w:rFonts w:hint="eastAsia"/>
        </w:rPr>
        <w:t>PADs (GAP 1</w:t>
      </w:r>
      <w:r w:rsidRPr="00CD4846">
        <w:t>-</w:t>
      </w:r>
      <w:r w:rsidRPr="00CD4846">
        <w:rPr>
          <w:rFonts w:hint="eastAsia"/>
        </w:rPr>
        <w:t>2)</w:t>
      </w:r>
      <w:bookmarkEnd w:id="195"/>
      <w:bookmarkEnd w:id="196"/>
      <w:bookmarkEnd w:id="197"/>
    </w:p>
    <w:p w14:paraId="5A4611B8" w14:textId="1570D491" w:rsidR="00CD4846" w:rsidRPr="00CD4846" w:rsidRDefault="00CD4846" w:rsidP="004C39A4">
      <w:pPr>
        <w:spacing w:line="240" w:lineRule="auto"/>
        <w:rPr>
          <w:rFonts w:ascii="DengXian" w:hAnsi="DengXian"/>
          <w:i/>
          <w:iCs/>
          <w:lang/>
        </w:rPr>
      </w:pPr>
      <w:r w:rsidRPr="00FC56A5">
        <w:rPr>
          <w:sz w:val="20"/>
          <w:szCs w:val="20"/>
          <w:lang/>
        </w:rPr>
        <w:t>This scatter plot depicts outward relocations of establishments relative to PADs under GAP Status 1 and 2, representing stricter conservation measures.</w:t>
      </w:r>
      <w:r w:rsidRPr="00CD4846">
        <w:rPr>
          <w:rFonts w:ascii="DengXian" w:hAnsi="DengXian"/>
          <w:i/>
          <w:iCs/>
          <w:lang/>
        </w:rPr>
        <w:br w:type="page"/>
      </w:r>
    </w:p>
    <w:p w14:paraId="4D229C3B" w14:textId="77777777" w:rsidR="00CD4846" w:rsidRPr="00CD4846" w:rsidRDefault="00CD4846" w:rsidP="00095E25">
      <w:pPr>
        <w:pStyle w:val="Title"/>
      </w:pPr>
      <w:bookmarkStart w:id="198" w:name="_Toc186799407"/>
      <w:bookmarkStart w:id="199" w:name="_Toc188359610"/>
      <w:bookmarkStart w:id="200" w:name="_Toc188359898"/>
      <w:bookmarkStart w:id="201" w:name="_Toc188361134"/>
      <w:bookmarkStart w:id="202" w:name="_Toc188366976"/>
      <w:bookmarkStart w:id="203" w:name="_Hlk183202544"/>
      <w:r w:rsidRPr="00CD4846">
        <w:rPr>
          <w:rFonts w:hint="eastAsia"/>
        </w:rPr>
        <w:lastRenderedPageBreak/>
        <w:t xml:space="preserve">Table </w:t>
      </w:r>
      <w:r w:rsidRPr="00CD4846">
        <w:t>A</w:t>
      </w:r>
      <w:r w:rsidRPr="00CD4846">
        <w:rPr>
          <w:rFonts w:hint="eastAsia"/>
        </w:rPr>
        <w:t xml:space="preserve">3: </w:t>
      </w:r>
      <w:r w:rsidRPr="00CD4846">
        <w:t>Summary</w:t>
      </w:r>
      <w:r w:rsidRPr="00CD4846">
        <w:rPr>
          <w:rFonts w:hint="eastAsia"/>
        </w:rPr>
        <w:t xml:space="preserve"> Statistics of Explanatory Variables</w:t>
      </w:r>
      <w:bookmarkEnd w:id="198"/>
      <w:bookmarkEnd w:id="199"/>
      <w:bookmarkEnd w:id="200"/>
      <w:bookmarkEnd w:id="201"/>
      <w:bookmarkEnd w:id="202"/>
    </w:p>
    <w:tbl>
      <w:tblPr>
        <w:tblW w:w="5000" w:type="pct"/>
        <w:tblLook w:val="04A0" w:firstRow="1" w:lastRow="0" w:firstColumn="1" w:lastColumn="0" w:noHBand="0" w:noVBand="1"/>
      </w:tblPr>
      <w:tblGrid>
        <w:gridCol w:w="4419"/>
        <w:gridCol w:w="1174"/>
        <w:gridCol w:w="1408"/>
        <w:gridCol w:w="824"/>
        <w:gridCol w:w="1535"/>
      </w:tblGrid>
      <w:tr w:rsidR="00CD4846" w:rsidRPr="00CD4846" w14:paraId="75BEBF96" w14:textId="77777777" w:rsidTr="00CC0257">
        <w:tc>
          <w:tcPr>
            <w:tcW w:w="2361" w:type="pct"/>
            <w:tcBorders>
              <w:top w:val="single" w:sz="4" w:space="0" w:color="auto"/>
              <w:left w:val="nil"/>
              <w:bottom w:val="single" w:sz="4" w:space="0" w:color="auto"/>
              <w:right w:val="nil"/>
            </w:tcBorders>
            <w:hideMark/>
          </w:tcPr>
          <w:p w14:paraId="43D05BD9" w14:textId="77777777" w:rsidR="00CD4846" w:rsidRPr="00CD4846" w:rsidRDefault="00CD4846" w:rsidP="00CC0257">
            <w:pPr>
              <w:widowControl w:val="0"/>
              <w:autoSpaceDE w:val="0"/>
              <w:autoSpaceDN w:val="0"/>
              <w:adjustRightInd w:val="0"/>
              <w:spacing w:line="240" w:lineRule="auto"/>
              <w:rPr>
                <w:rFonts w:cs="Times New Roman"/>
                <w:b/>
                <w:bCs/>
                <w:kern w:val="2"/>
                <w:sz w:val="20"/>
                <w:szCs w:val="20"/>
                <w:lang/>
              </w:rPr>
            </w:pPr>
            <w:r w:rsidRPr="00CD4846">
              <w:rPr>
                <w:rFonts w:cs="Times New Roman"/>
                <w:b/>
                <w:bCs/>
                <w:kern w:val="2"/>
                <w:sz w:val="20"/>
                <w:szCs w:val="20"/>
                <w:lang/>
              </w:rPr>
              <w:t>Variable</w:t>
            </w:r>
          </w:p>
        </w:tc>
        <w:tc>
          <w:tcPr>
            <w:tcW w:w="627" w:type="pct"/>
            <w:tcBorders>
              <w:top w:val="single" w:sz="4" w:space="0" w:color="auto"/>
              <w:left w:val="nil"/>
              <w:bottom w:val="single" w:sz="4" w:space="0" w:color="auto"/>
              <w:right w:val="nil"/>
            </w:tcBorders>
            <w:hideMark/>
          </w:tcPr>
          <w:p w14:paraId="2B607A8F" w14:textId="15D6C4CA" w:rsidR="00CD4846" w:rsidRPr="00CD4846" w:rsidRDefault="00CD4846" w:rsidP="00CC0257">
            <w:pPr>
              <w:widowControl w:val="0"/>
              <w:autoSpaceDE w:val="0"/>
              <w:autoSpaceDN w:val="0"/>
              <w:adjustRightInd w:val="0"/>
              <w:spacing w:line="240" w:lineRule="auto"/>
              <w:rPr>
                <w:rFonts w:cs="Times New Roman"/>
                <w:b/>
                <w:bCs/>
                <w:kern w:val="2"/>
                <w:sz w:val="20"/>
                <w:szCs w:val="20"/>
                <w:lang/>
              </w:rPr>
            </w:pPr>
            <w:r w:rsidRPr="00CD4846">
              <w:rPr>
                <w:rFonts w:cs="Times New Roman"/>
                <w:b/>
                <w:bCs/>
                <w:kern w:val="2"/>
                <w:sz w:val="20"/>
                <w:szCs w:val="20"/>
                <w:lang/>
              </w:rPr>
              <w:t>Mean</w:t>
            </w:r>
          </w:p>
        </w:tc>
        <w:tc>
          <w:tcPr>
            <w:tcW w:w="752" w:type="pct"/>
            <w:tcBorders>
              <w:top w:val="single" w:sz="4" w:space="0" w:color="auto"/>
              <w:left w:val="nil"/>
              <w:bottom w:val="single" w:sz="4" w:space="0" w:color="auto"/>
              <w:right w:val="nil"/>
            </w:tcBorders>
            <w:hideMark/>
          </w:tcPr>
          <w:p w14:paraId="2F4A9AEA" w14:textId="6B4846C8" w:rsidR="00CD4846" w:rsidRPr="00CD4846" w:rsidRDefault="00CD4846" w:rsidP="00CC0257">
            <w:pPr>
              <w:widowControl w:val="0"/>
              <w:autoSpaceDE w:val="0"/>
              <w:autoSpaceDN w:val="0"/>
              <w:adjustRightInd w:val="0"/>
              <w:spacing w:line="240" w:lineRule="auto"/>
              <w:rPr>
                <w:rFonts w:cs="Times New Roman"/>
                <w:b/>
                <w:bCs/>
                <w:kern w:val="2"/>
                <w:sz w:val="20"/>
                <w:szCs w:val="20"/>
                <w:lang/>
              </w:rPr>
            </w:pPr>
            <w:r w:rsidRPr="00CD4846">
              <w:rPr>
                <w:rFonts w:cs="Times New Roman"/>
                <w:b/>
                <w:bCs/>
                <w:kern w:val="2"/>
                <w:sz w:val="20"/>
                <w:szCs w:val="20"/>
                <w:lang/>
              </w:rPr>
              <w:t>Std. Dev.</w:t>
            </w:r>
          </w:p>
        </w:tc>
        <w:tc>
          <w:tcPr>
            <w:tcW w:w="440" w:type="pct"/>
            <w:tcBorders>
              <w:top w:val="single" w:sz="4" w:space="0" w:color="auto"/>
              <w:left w:val="nil"/>
              <w:bottom w:val="single" w:sz="4" w:space="0" w:color="auto"/>
              <w:right w:val="nil"/>
            </w:tcBorders>
            <w:hideMark/>
          </w:tcPr>
          <w:p w14:paraId="5C25CA1D" w14:textId="4ED058D9" w:rsidR="00CD4846" w:rsidRPr="00CD4846" w:rsidRDefault="00CD4846" w:rsidP="00CC0257">
            <w:pPr>
              <w:widowControl w:val="0"/>
              <w:autoSpaceDE w:val="0"/>
              <w:autoSpaceDN w:val="0"/>
              <w:adjustRightInd w:val="0"/>
              <w:spacing w:line="240" w:lineRule="auto"/>
              <w:rPr>
                <w:rFonts w:cs="Times New Roman"/>
                <w:b/>
                <w:bCs/>
                <w:kern w:val="2"/>
                <w:sz w:val="20"/>
                <w:szCs w:val="20"/>
                <w:lang/>
              </w:rPr>
            </w:pPr>
            <w:r w:rsidRPr="00CD4846">
              <w:rPr>
                <w:rFonts w:cs="Times New Roman"/>
                <w:b/>
                <w:bCs/>
                <w:kern w:val="2"/>
                <w:sz w:val="20"/>
                <w:szCs w:val="20"/>
                <w:lang/>
              </w:rPr>
              <w:t>Min</w:t>
            </w:r>
          </w:p>
        </w:tc>
        <w:tc>
          <w:tcPr>
            <w:tcW w:w="821" w:type="pct"/>
            <w:tcBorders>
              <w:top w:val="single" w:sz="4" w:space="0" w:color="auto"/>
              <w:left w:val="nil"/>
              <w:bottom w:val="single" w:sz="4" w:space="0" w:color="auto"/>
              <w:right w:val="nil"/>
            </w:tcBorders>
            <w:hideMark/>
          </w:tcPr>
          <w:p w14:paraId="30C7A2D6" w14:textId="29ED4FC8" w:rsidR="00CD4846" w:rsidRPr="00CD4846" w:rsidRDefault="00CD4846" w:rsidP="00CC0257">
            <w:pPr>
              <w:widowControl w:val="0"/>
              <w:autoSpaceDE w:val="0"/>
              <w:autoSpaceDN w:val="0"/>
              <w:adjustRightInd w:val="0"/>
              <w:spacing w:line="240" w:lineRule="auto"/>
              <w:rPr>
                <w:rFonts w:cs="Times New Roman"/>
                <w:b/>
                <w:bCs/>
                <w:kern w:val="2"/>
                <w:sz w:val="20"/>
                <w:szCs w:val="20"/>
                <w:lang/>
              </w:rPr>
            </w:pPr>
            <w:r w:rsidRPr="00CD4846">
              <w:rPr>
                <w:rFonts w:cs="Times New Roman"/>
                <w:b/>
                <w:bCs/>
                <w:kern w:val="2"/>
                <w:sz w:val="20"/>
                <w:szCs w:val="20"/>
                <w:lang/>
              </w:rPr>
              <w:t>Max</w:t>
            </w:r>
          </w:p>
        </w:tc>
      </w:tr>
      <w:tr w:rsidR="00CD4846" w:rsidRPr="00CD4846" w14:paraId="379F8CCB" w14:textId="77777777" w:rsidTr="00CC0257">
        <w:tc>
          <w:tcPr>
            <w:tcW w:w="2361" w:type="pct"/>
            <w:tcBorders>
              <w:top w:val="single" w:sz="4" w:space="0" w:color="auto"/>
              <w:left w:val="nil"/>
              <w:right w:val="nil"/>
            </w:tcBorders>
            <w:hideMark/>
          </w:tcPr>
          <w:p w14:paraId="19D4E40B"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 xml:space="preserve"> PAD in GAP 1 and 2 (100s) </w:t>
            </w:r>
          </w:p>
        </w:tc>
        <w:tc>
          <w:tcPr>
            <w:tcW w:w="627" w:type="pct"/>
            <w:tcBorders>
              <w:top w:val="single" w:sz="4" w:space="0" w:color="auto"/>
              <w:left w:val="nil"/>
              <w:right w:val="nil"/>
            </w:tcBorders>
            <w:hideMark/>
          </w:tcPr>
          <w:p w14:paraId="173D2E4D"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0.0533</w:t>
            </w:r>
          </w:p>
        </w:tc>
        <w:tc>
          <w:tcPr>
            <w:tcW w:w="752" w:type="pct"/>
            <w:tcBorders>
              <w:top w:val="single" w:sz="4" w:space="0" w:color="auto"/>
              <w:left w:val="nil"/>
              <w:right w:val="nil"/>
            </w:tcBorders>
            <w:hideMark/>
          </w:tcPr>
          <w:p w14:paraId="21260236"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0.0999</w:t>
            </w:r>
          </w:p>
        </w:tc>
        <w:tc>
          <w:tcPr>
            <w:tcW w:w="440" w:type="pct"/>
            <w:tcBorders>
              <w:top w:val="single" w:sz="4" w:space="0" w:color="auto"/>
              <w:left w:val="nil"/>
              <w:right w:val="nil"/>
            </w:tcBorders>
            <w:hideMark/>
          </w:tcPr>
          <w:p w14:paraId="4A2F9AF9"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w:t>
            </w:r>
          </w:p>
        </w:tc>
        <w:tc>
          <w:tcPr>
            <w:tcW w:w="821" w:type="pct"/>
            <w:tcBorders>
              <w:top w:val="single" w:sz="4" w:space="0" w:color="auto"/>
              <w:left w:val="nil"/>
              <w:right w:val="nil"/>
            </w:tcBorders>
            <w:hideMark/>
          </w:tcPr>
          <w:p w14:paraId="1F5915A1"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0.874</w:t>
            </w:r>
          </w:p>
        </w:tc>
      </w:tr>
      <w:tr w:rsidR="00CD4846" w:rsidRPr="00CD4846" w14:paraId="28D425B0" w14:textId="77777777" w:rsidTr="00CC0257">
        <w:tc>
          <w:tcPr>
            <w:tcW w:w="2361" w:type="pct"/>
            <w:tcBorders>
              <w:left w:val="nil"/>
              <w:bottom w:val="nil"/>
              <w:right w:val="nil"/>
            </w:tcBorders>
            <w:hideMark/>
          </w:tcPr>
          <w:p w14:paraId="7EE91046" w14:textId="77777777" w:rsidR="00CD4846" w:rsidRPr="00CD4846" w:rsidRDefault="00CD4846" w:rsidP="00CC0257">
            <w:pPr>
              <w:widowControl w:val="0"/>
              <w:autoSpaceDE w:val="0"/>
              <w:autoSpaceDN w:val="0"/>
              <w:adjustRightInd w:val="0"/>
              <w:spacing w:line="240" w:lineRule="auto"/>
              <w:rPr>
                <w:rFonts w:cs="Times New Roman"/>
                <w:b/>
                <w:bCs/>
                <w:kern w:val="2"/>
                <w:sz w:val="20"/>
                <w:szCs w:val="20"/>
                <w:lang/>
              </w:rPr>
            </w:pPr>
            <w:r w:rsidRPr="00CD4846">
              <w:rPr>
                <w:rFonts w:cs="Times New Roman"/>
                <w:kern w:val="2"/>
                <w:sz w:val="20"/>
                <w:szCs w:val="20"/>
                <w:lang/>
              </w:rPr>
              <w:t xml:space="preserve"> PAD in all GAPs (100s) </w:t>
            </w:r>
          </w:p>
        </w:tc>
        <w:tc>
          <w:tcPr>
            <w:tcW w:w="627" w:type="pct"/>
            <w:tcBorders>
              <w:left w:val="nil"/>
              <w:bottom w:val="nil"/>
              <w:right w:val="nil"/>
            </w:tcBorders>
            <w:hideMark/>
          </w:tcPr>
          <w:p w14:paraId="4E22470A"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0.143</w:t>
            </w:r>
          </w:p>
        </w:tc>
        <w:tc>
          <w:tcPr>
            <w:tcW w:w="752" w:type="pct"/>
            <w:tcBorders>
              <w:left w:val="nil"/>
              <w:bottom w:val="nil"/>
              <w:right w:val="nil"/>
            </w:tcBorders>
            <w:hideMark/>
          </w:tcPr>
          <w:p w14:paraId="140C1CFB"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0.188</w:t>
            </w:r>
          </w:p>
        </w:tc>
        <w:tc>
          <w:tcPr>
            <w:tcW w:w="440" w:type="pct"/>
            <w:tcBorders>
              <w:left w:val="nil"/>
              <w:bottom w:val="nil"/>
              <w:right w:val="nil"/>
            </w:tcBorders>
            <w:hideMark/>
          </w:tcPr>
          <w:p w14:paraId="2FC09490"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w:t>
            </w:r>
          </w:p>
        </w:tc>
        <w:tc>
          <w:tcPr>
            <w:tcW w:w="821" w:type="pct"/>
            <w:tcBorders>
              <w:left w:val="nil"/>
              <w:bottom w:val="nil"/>
              <w:right w:val="nil"/>
            </w:tcBorders>
            <w:hideMark/>
          </w:tcPr>
          <w:p w14:paraId="0A1027D1"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.88</w:t>
            </w:r>
          </w:p>
        </w:tc>
      </w:tr>
      <w:tr w:rsidR="00CD4846" w:rsidRPr="00CD4846" w14:paraId="0F63BCA0" w14:textId="77777777" w:rsidTr="00CC0257">
        <w:tc>
          <w:tcPr>
            <w:tcW w:w="2361" w:type="pct"/>
            <w:tcBorders>
              <w:top w:val="nil"/>
              <w:left w:val="nil"/>
              <w:bottom w:val="nil"/>
              <w:right w:val="nil"/>
            </w:tcBorders>
            <w:hideMark/>
          </w:tcPr>
          <w:p w14:paraId="6DB6A395"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 xml:space="preserve"> Carbon Monoxide (CO) – 1985 std</w:t>
            </w:r>
          </w:p>
        </w:tc>
        <w:tc>
          <w:tcPr>
            <w:tcW w:w="627" w:type="pct"/>
            <w:tcBorders>
              <w:top w:val="nil"/>
              <w:left w:val="nil"/>
              <w:bottom w:val="nil"/>
              <w:right w:val="nil"/>
            </w:tcBorders>
            <w:hideMark/>
          </w:tcPr>
          <w:p w14:paraId="12AE7262"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.003</w:t>
            </w:r>
          </w:p>
        </w:tc>
        <w:tc>
          <w:tcPr>
            <w:tcW w:w="752" w:type="pct"/>
            <w:tcBorders>
              <w:top w:val="nil"/>
              <w:left w:val="nil"/>
              <w:bottom w:val="nil"/>
              <w:right w:val="nil"/>
            </w:tcBorders>
            <w:hideMark/>
          </w:tcPr>
          <w:p w14:paraId="4966D8C4"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.043</w:t>
            </w:r>
          </w:p>
        </w:tc>
        <w:tc>
          <w:tcPr>
            <w:tcW w:w="440" w:type="pct"/>
            <w:tcBorders>
              <w:top w:val="nil"/>
              <w:left w:val="nil"/>
              <w:bottom w:val="nil"/>
              <w:right w:val="nil"/>
            </w:tcBorders>
            <w:hideMark/>
          </w:tcPr>
          <w:p w14:paraId="0996B5C4"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w:t>
            </w:r>
          </w:p>
        </w:tc>
        <w:tc>
          <w:tcPr>
            <w:tcW w:w="821" w:type="pct"/>
            <w:tcBorders>
              <w:top w:val="nil"/>
              <w:left w:val="nil"/>
              <w:bottom w:val="nil"/>
              <w:right w:val="nil"/>
            </w:tcBorders>
            <w:hideMark/>
          </w:tcPr>
          <w:p w14:paraId="75C7DC84"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w:t>
            </w:r>
          </w:p>
        </w:tc>
      </w:tr>
      <w:tr w:rsidR="00CD4846" w:rsidRPr="00CD4846" w14:paraId="30B05C9D" w14:textId="77777777" w:rsidTr="00CC0257">
        <w:tc>
          <w:tcPr>
            <w:tcW w:w="2361" w:type="pct"/>
            <w:tcBorders>
              <w:top w:val="nil"/>
              <w:left w:val="nil"/>
              <w:bottom w:val="nil"/>
              <w:right w:val="nil"/>
            </w:tcBorders>
            <w:hideMark/>
          </w:tcPr>
          <w:p w14:paraId="00480598"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 xml:space="preserve"> Lead (Pb) – 2008 std</w:t>
            </w:r>
          </w:p>
        </w:tc>
        <w:tc>
          <w:tcPr>
            <w:tcW w:w="627" w:type="pct"/>
            <w:tcBorders>
              <w:top w:val="nil"/>
              <w:left w:val="nil"/>
              <w:bottom w:val="nil"/>
              <w:right w:val="nil"/>
            </w:tcBorders>
            <w:hideMark/>
          </w:tcPr>
          <w:p w14:paraId="660B45EC"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.002</w:t>
            </w:r>
          </w:p>
        </w:tc>
        <w:tc>
          <w:tcPr>
            <w:tcW w:w="752" w:type="pct"/>
            <w:tcBorders>
              <w:top w:val="nil"/>
              <w:left w:val="nil"/>
              <w:bottom w:val="nil"/>
              <w:right w:val="nil"/>
            </w:tcBorders>
            <w:hideMark/>
          </w:tcPr>
          <w:p w14:paraId="5986674B"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w:t>
            </w:r>
          </w:p>
        </w:tc>
        <w:tc>
          <w:tcPr>
            <w:tcW w:w="440" w:type="pct"/>
            <w:tcBorders>
              <w:top w:val="nil"/>
              <w:left w:val="nil"/>
              <w:bottom w:val="nil"/>
              <w:right w:val="nil"/>
            </w:tcBorders>
            <w:hideMark/>
          </w:tcPr>
          <w:p w14:paraId="14359A71"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w:t>
            </w:r>
          </w:p>
        </w:tc>
        <w:tc>
          <w:tcPr>
            <w:tcW w:w="821" w:type="pct"/>
            <w:tcBorders>
              <w:top w:val="nil"/>
              <w:left w:val="nil"/>
              <w:bottom w:val="nil"/>
              <w:right w:val="nil"/>
            </w:tcBorders>
            <w:hideMark/>
          </w:tcPr>
          <w:p w14:paraId="67728DA2"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w:t>
            </w:r>
          </w:p>
        </w:tc>
      </w:tr>
      <w:tr w:rsidR="00CD4846" w:rsidRPr="00CD4846" w14:paraId="09504A99" w14:textId="77777777" w:rsidTr="00CC0257">
        <w:tc>
          <w:tcPr>
            <w:tcW w:w="2361" w:type="pct"/>
            <w:tcBorders>
              <w:top w:val="nil"/>
              <w:left w:val="nil"/>
              <w:bottom w:val="nil"/>
              <w:right w:val="nil"/>
            </w:tcBorders>
            <w:hideMark/>
          </w:tcPr>
          <w:p w14:paraId="78DDC7ED"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 xml:space="preserve"> Ozone (O3) – 2015 std</w:t>
            </w:r>
          </w:p>
        </w:tc>
        <w:tc>
          <w:tcPr>
            <w:tcW w:w="627" w:type="pct"/>
            <w:tcBorders>
              <w:top w:val="nil"/>
              <w:left w:val="nil"/>
              <w:bottom w:val="nil"/>
              <w:right w:val="nil"/>
            </w:tcBorders>
            <w:hideMark/>
          </w:tcPr>
          <w:p w14:paraId="6F4BC794"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.095</w:t>
            </w:r>
          </w:p>
        </w:tc>
        <w:tc>
          <w:tcPr>
            <w:tcW w:w="752" w:type="pct"/>
            <w:tcBorders>
              <w:top w:val="nil"/>
              <w:left w:val="nil"/>
              <w:bottom w:val="nil"/>
              <w:right w:val="nil"/>
            </w:tcBorders>
            <w:hideMark/>
          </w:tcPr>
          <w:p w14:paraId="49347BF7"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.329</w:t>
            </w:r>
          </w:p>
        </w:tc>
        <w:tc>
          <w:tcPr>
            <w:tcW w:w="440" w:type="pct"/>
            <w:tcBorders>
              <w:top w:val="nil"/>
              <w:left w:val="nil"/>
              <w:bottom w:val="nil"/>
              <w:right w:val="nil"/>
            </w:tcBorders>
            <w:hideMark/>
          </w:tcPr>
          <w:p w14:paraId="7D848EAA"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w:t>
            </w:r>
          </w:p>
        </w:tc>
        <w:tc>
          <w:tcPr>
            <w:tcW w:w="821" w:type="pct"/>
            <w:tcBorders>
              <w:top w:val="nil"/>
              <w:left w:val="nil"/>
              <w:bottom w:val="nil"/>
              <w:right w:val="nil"/>
            </w:tcBorders>
            <w:hideMark/>
          </w:tcPr>
          <w:p w14:paraId="61620B17"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w:t>
            </w:r>
          </w:p>
        </w:tc>
      </w:tr>
      <w:tr w:rsidR="00CD4846" w:rsidRPr="00CD4846" w14:paraId="6219DEC3" w14:textId="77777777" w:rsidTr="00CC0257">
        <w:tc>
          <w:tcPr>
            <w:tcW w:w="2361" w:type="pct"/>
            <w:tcBorders>
              <w:top w:val="nil"/>
              <w:left w:val="nil"/>
              <w:right w:val="nil"/>
            </w:tcBorders>
            <w:hideMark/>
          </w:tcPr>
          <w:p w14:paraId="684A8FDE"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 xml:space="preserve"> Particulate Matter (PM) – 2012 std</w:t>
            </w:r>
          </w:p>
        </w:tc>
        <w:tc>
          <w:tcPr>
            <w:tcW w:w="627" w:type="pct"/>
            <w:tcBorders>
              <w:top w:val="nil"/>
              <w:left w:val="nil"/>
              <w:right w:val="nil"/>
            </w:tcBorders>
            <w:hideMark/>
          </w:tcPr>
          <w:p w14:paraId="0F7E3202"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.046</w:t>
            </w:r>
          </w:p>
        </w:tc>
        <w:tc>
          <w:tcPr>
            <w:tcW w:w="752" w:type="pct"/>
            <w:tcBorders>
              <w:top w:val="nil"/>
              <w:left w:val="nil"/>
              <w:right w:val="nil"/>
            </w:tcBorders>
            <w:hideMark/>
          </w:tcPr>
          <w:p w14:paraId="775141F4"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.238</w:t>
            </w:r>
          </w:p>
        </w:tc>
        <w:tc>
          <w:tcPr>
            <w:tcW w:w="440" w:type="pct"/>
            <w:tcBorders>
              <w:top w:val="nil"/>
              <w:left w:val="nil"/>
              <w:right w:val="nil"/>
            </w:tcBorders>
            <w:hideMark/>
          </w:tcPr>
          <w:p w14:paraId="035C1592"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w:t>
            </w:r>
          </w:p>
        </w:tc>
        <w:tc>
          <w:tcPr>
            <w:tcW w:w="821" w:type="pct"/>
            <w:tcBorders>
              <w:top w:val="nil"/>
              <w:left w:val="nil"/>
              <w:right w:val="nil"/>
            </w:tcBorders>
            <w:hideMark/>
          </w:tcPr>
          <w:p w14:paraId="7EB4331D"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w:t>
            </w:r>
          </w:p>
        </w:tc>
      </w:tr>
      <w:tr w:rsidR="00CD4846" w:rsidRPr="00CD4846" w14:paraId="5E5C7F44" w14:textId="77777777" w:rsidTr="00CC0257">
        <w:tc>
          <w:tcPr>
            <w:tcW w:w="2361" w:type="pct"/>
            <w:tcBorders>
              <w:top w:val="nil"/>
              <w:left w:val="nil"/>
              <w:right w:val="nil"/>
            </w:tcBorders>
            <w:hideMark/>
          </w:tcPr>
          <w:p w14:paraId="1583C92A"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 xml:space="preserve"> Sulp</w:t>
            </w:r>
            <w:r w:rsidRPr="00CD4846">
              <w:rPr>
                <w:rFonts w:cs="Times New Roman"/>
                <w:kern w:val="2"/>
                <w:sz w:val="20"/>
                <w:szCs w:val="20"/>
                <w:lang/>
              </w:rPr>
              <w:t>h</w:t>
            </w:r>
            <w:r w:rsidRPr="00CD4846">
              <w:rPr>
                <w:rFonts w:cs="Times New Roman"/>
                <w:kern w:val="2"/>
                <w:sz w:val="20"/>
                <w:szCs w:val="20"/>
                <w:lang/>
              </w:rPr>
              <w:t>ur Dioxide (SO2) – 2010 std</w:t>
            </w:r>
          </w:p>
        </w:tc>
        <w:tc>
          <w:tcPr>
            <w:tcW w:w="627" w:type="pct"/>
            <w:tcBorders>
              <w:top w:val="nil"/>
              <w:left w:val="nil"/>
              <w:right w:val="nil"/>
            </w:tcBorders>
            <w:hideMark/>
          </w:tcPr>
          <w:p w14:paraId="7BC9206E"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.004</w:t>
            </w:r>
          </w:p>
        </w:tc>
        <w:tc>
          <w:tcPr>
            <w:tcW w:w="752" w:type="pct"/>
            <w:tcBorders>
              <w:top w:val="nil"/>
              <w:left w:val="nil"/>
              <w:right w:val="nil"/>
            </w:tcBorders>
            <w:hideMark/>
          </w:tcPr>
          <w:p w14:paraId="6DEE036F"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.048</w:t>
            </w:r>
          </w:p>
        </w:tc>
        <w:tc>
          <w:tcPr>
            <w:tcW w:w="440" w:type="pct"/>
            <w:tcBorders>
              <w:top w:val="nil"/>
              <w:left w:val="nil"/>
              <w:right w:val="nil"/>
            </w:tcBorders>
            <w:hideMark/>
          </w:tcPr>
          <w:p w14:paraId="5F06B3AE"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w:t>
            </w:r>
          </w:p>
        </w:tc>
        <w:tc>
          <w:tcPr>
            <w:tcW w:w="821" w:type="pct"/>
            <w:tcBorders>
              <w:top w:val="nil"/>
              <w:left w:val="nil"/>
              <w:right w:val="nil"/>
            </w:tcBorders>
            <w:hideMark/>
          </w:tcPr>
          <w:p w14:paraId="1F280BE1"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w:t>
            </w:r>
          </w:p>
        </w:tc>
      </w:tr>
      <w:tr w:rsidR="00CD4846" w:rsidRPr="00CD4846" w14:paraId="41C577B4" w14:textId="77777777" w:rsidTr="00CC0257">
        <w:tc>
          <w:tcPr>
            <w:tcW w:w="2361" w:type="pct"/>
            <w:tcBorders>
              <w:left w:val="nil"/>
              <w:bottom w:val="nil"/>
              <w:right w:val="nil"/>
            </w:tcBorders>
            <w:hideMark/>
          </w:tcPr>
          <w:p w14:paraId="6B00AC4F"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 xml:space="preserve">  Poverty rate (100s)</w:t>
            </w:r>
          </w:p>
        </w:tc>
        <w:tc>
          <w:tcPr>
            <w:tcW w:w="627" w:type="pct"/>
            <w:tcBorders>
              <w:left w:val="nil"/>
              <w:bottom w:val="nil"/>
              <w:right w:val="nil"/>
            </w:tcBorders>
            <w:hideMark/>
          </w:tcPr>
          <w:p w14:paraId="13DF3635"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.153</w:t>
            </w:r>
          </w:p>
        </w:tc>
        <w:tc>
          <w:tcPr>
            <w:tcW w:w="752" w:type="pct"/>
            <w:tcBorders>
              <w:left w:val="nil"/>
              <w:bottom w:val="nil"/>
              <w:right w:val="nil"/>
            </w:tcBorders>
            <w:hideMark/>
          </w:tcPr>
          <w:p w14:paraId="752F4B1E"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.062</w:t>
            </w:r>
          </w:p>
        </w:tc>
        <w:tc>
          <w:tcPr>
            <w:tcW w:w="440" w:type="pct"/>
            <w:tcBorders>
              <w:left w:val="nil"/>
              <w:bottom w:val="nil"/>
              <w:right w:val="nil"/>
            </w:tcBorders>
            <w:hideMark/>
          </w:tcPr>
          <w:p w14:paraId="3261C31F"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.017</w:t>
            </w:r>
          </w:p>
        </w:tc>
        <w:tc>
          <w:tcPr>
            <w:tcW w:w="821" w:type="pct"/>
            <w:tcBorders>
              <w:left w:val="nil"/>
              <w:bottom w:val="nil"/>
              <w:right w:val="nil"/>
            </w:tcBorders>
            <w:hideMark/>
          </w:tcPr>
          <w:p w14:paraId="6B87549A"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.62</w:t>
            </w:r>
          </w:p>
        </w:tc>
      </w:tr>
      <w:tr w:rsidR="00CD4846" w:rsidRPr="00CD4846" w14:paraId="5A2F46E3" w14:textId="77777777" w:rsidTr="00CC0257">
        <w:tc>
          <w:tcPr>
            <w:tcW w:w="2361" w:type="pct"/>
            <w:tcBorders>
              <w:top w:val="nil"/>
              <w:left w:val="nil"/>
              <w:bottom w:val="nil"/>
              <w:right w:val="nil"/>
            </w:tcBorders>
            <w:hideMark/>
          </w:tcPr>
          <w:p w14:paraId="4F8E13A0"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 xml:space="preserve">  Unemployment rate (100s)</w:t>
            </w:r>
          </w:p>
        </w:tc>
        <w:tc>
          <w:tcPr>
            <w:tcW w:w="627" w:type="pct"/>
            <w:tcBorders>
              <w:top w:val="nil"/>
              <w:left w:val="nil"/>
              <w:bottom w:val="nil"/>
              <w:right w:val="nil"/>
            </w:tcBorders>
            <w:hideMark/>
          </w:tcPr>
          <w:p w14:paraId="1893B5CC"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.061</w:t>
            </w:r>
          </w:p>
        </w:tc>
        <w:tc>
          <w:tcPr>
            <w:tcW w:w="752" w:type="pct"/>
            <w:tcBorders>
              <w:top w:val="nil"/>
              <w:left w:val="nil"/>
              <w:bottom w:val="nil"/>
              <w:right w:val="nil"/>
            </w:tcBorders>
            <w:hideMark/>
          </w:tcPr>
          <w:p w14:paraId="75B21053"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.028</w:t>
            </w:r>
          </w:p>
        </w:tc>
        <w:tc>
          <w:tcPr>
            <w:tcW w:w="440" w:type="pct"/>
            <w:tcBorders>
              <w:top w:val="nil"/>
              <w:left w:val="nil"/>
              <w:bottom w:val="nil"/>
              <w:right w:val="nil"/>
            </w:tcBorders>
            <w:hideMark/>
          </w:tcPr>
          <w:p w14:paraId="4B29295A"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.007</w:t>
            </w:r>
          </w:p>
        </w:tc>
        <w:tc>
          <w:tcPr>
            <w:tcW w:w="821" w:type="pct"/>
            <w:tcBorders>
              <w:top w:val="nil"/>
              <w:left w:val="nil"/>
              <w:bottom w:val="nil"/>
              <w:right w:val="nil"/>
            </w:tcBorders>
            <w:hideMark/>
          </w:tcPr>
          <w:p w14:paraId="05243C70"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.306</w:t>
            </w:r>
          </w:p>
        </w:tc>
      </w:tr>
      <w:tr w:rsidR="00CD4846" w:rsidRPr="00CD4846" w14:paraId="2E8471B9" w14:textId="77777777" w:rsidTr="00CC0257">
        <w:tc>
          <w:tcPr>
            <w:tcW w:w="2361" w:type="pct"/>
            <w:tcBorders>
              <w:top w:val="nil"/>
              <w:left w:val="nil"/>
              <w:bottom w:val="nil"/>
              <w:right w:val="nil"/>
            </w:tcBorders>
            <w:hideMark/>
          </w:tcPr>
          <w:p w14:paraId="62BF6720"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 xml:space="preserve">  Median HH Income (100ks)</w:t>
            </w:r>
          </w:p>
        </w:tc>
        <w:tc>
          <w:tcPr>
            <w:tcW w:w="627" w:type="pct"/>
            <w:tcBorders>
              <w:top w:val="nil"/>
              <w:left w:val="nil"/>
              <w:bottom w:val="nil"/>
              <w:right w:val="nil"/>
            </w:tcBorders>
            <w:hideMark/>
          </w:tcPr>
          <w:p w14:paraId="63E42FB5"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.423</w:t>
            </w:r>
          </w:p>
        </w:tc>
        <w:tc>
          <w:tcPr>
            <w:tcW w:w="752" w:type="pct"/>
            <w:tcBorders>
              <w:top w:val="nil"/>
              <w:left w:val="nil"/>
              <w:bottom w:val="nil"/>
              <w:right w:val="nil"/>
            </w:tcBorders>
            <w:hideMark/>
          </w:tcPr>
          <w:p w14:paraId="440720F9"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.122</w:t>
            </w:r>
          </w:p>
        </w:tc>
        <w:tc>
          <w:tcPr>
            <w:tcW w:w="440" w:type="pct"/>
            <w:tcBorders>
              <w:top w:val="nil"/>
              <w:left w:val="nil"/>
              <w:bottom w:val="nil"/>
              <w:right w:val="nil"/>
            </w:tcBorders>
            <w:hideMark/>
          </w:tcPr>
          <w:p w14:paraId="6088D1B6"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.099</w:t>
            </w:r>
          </w:p>
        </w:tc>
        <w:tc>
          <w:tcPr>
            <w:tcW w:w="821" w:type="pct"/>
            <w:tcBorders>
              <w:top w:val="nil"/>
              <w:left w:val="nil"/>
              <w:bottom w:val="nil"/>
              <w:right w:val="nil"/>
            </w:tcBorders>
            <w:hideMark/>
          </w:tcPr>
          <w:p w14:paraId="7BE22A7A"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1.40</w:t>
            </w:r>
          </w:p>
        </w:tc>
      </w:tr>
      <w:tr w:rsidR="00CD4846" w:rsidRPr="00CD4846" w14:paraId="031AFC36" w14:textId="77777777" w:rsidTr="00CC0257">
        <w:tc>
          <w:tcPr>
            <w:tcW w:w="2361" w:type="pct"/>
            <w:tcBorders>
              <w:top w:val="nil"/>
              <w:left w:val="nil"/>
              <w:bottom w:val="nil"/>
              <w:right w:val="nil"/>
            </w:tcBorders>
            <w:hideMark/>
          </w:tcPr>
          <w:p w14:paraId="2A0B9329"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 xml:space="preserve">  Housing Price Index (100s)</w:t>
            </w:r>
          </w:p>
        </w:tc>
        <w:tc>
          <w:tcPr>
            <w:tcW w:w="627" w:type="pct"/>
            <w:tcBorders>
              <w:top w:val="nil"/>
              <w:left w:val="nil"/>
              <w:bottom w:val="nil"/>
              <w:right w:val="nil"/>
            </w:tcBorders>
            <w:hideMark/>
          </w:tcPr>
          <w:p w14:paraId="19195447"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2.4</w:t>
            </w:r>
            <w:r w:rsidRPr="00CD4846">
              <w:rPr>
                <w:rFonts w:cs="Times New Roman"/>
                <w:kern w:val="2"/>
                <w:sz w:val="20"/>
                <w:szCs w:val="20"/>
                <w:lang/>
              </w:rPr>
              <w:t>7</w:t>
            </w:r>
          </w:p>
        </w:tc>
        <w:tc>
          <w:tcPr>
            <w:tcW w:w="752" w:type="pct"/>
            <w:tcBorders>
              <w:top w:val="nil"/>
              <w:left w:val="nil"/>
              <w:bottom w:val="nil"/>
              <w:right w:val="nil"/>
            </w:tcBorders>
            <w:hideMark/>
          </w:tcPr>
          <w:p w14:paraId="7BC2ED19"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1.57</w:t>
            </w:r>
          </w:p>
        </w:tc>
        <w:tc>
          <w:tcPr>
            <w:tcW w:w="440" w:type="pct"/>
            <w:tcBorders>
              <w:top w:val="nil"/>
              <w:left w:val="nil"/>
              <w:bottom w:val="nil"/>
              <w:right w:val="nil"/>
            </w:tcBorders>
            <w:hideMark/>
          </w:tcPr>
          <w:p w14:paraId="000ED8F7"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.637</w:t>
            </w:r>
          </w:p>
        </w:tc>
        <w:tc>
          <w:tcPr>
            <w:tcW w:w="821" w:type="pct"/>
            <w:tcBorders>
              <w:top w:val="nil"/>
              <w:left w:val="nil"/>
              <w:bottom w:val="nil"/>
              <w:right w:val="nil"/>
            </w:tcBorders>
            <w:hideMark/>
          </w:tcPr>
          <w:p w14:paraId="54A61907"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20.8</w:t>
            </w:r>
          </w:p>
        </w:tc>
      </w:tr>
      <w:tr w:rsidR="00CD4846" w:rsidRPr="00CD4846" w14:paraId="4EBB35E3" w14:textId="77777777" w:rsidTr="00CC0257">
        <w:tc>
          <w:tcPr>
            <w:tcW w:w="2361" w:type="pct"/>
            <w:tcBorders>
              <w:top w:val="nil"/>
              <w:left w:val="nil"/>
              <w:bottom w:val="nil"/>
              <w:right w:val="nil"/>
            </w:tcBorders>
            <w:hideMark/>
          </w:tcPr>
          <w:p w14:paraId="3D4A5C7D"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 xml:space="preserve">  Percent African American (100s)</w:t>
            </w:r>
          </w:p>
        </w:tc>
        <w:tc>
          <w:tcPr>
            <w:tcW w:w="627" w:type="pct"/>
            <w:tcBorders>
              <w:top w:val="nil"/>
              <w:left w:val="nil"/>
              <w:bottom w:val="nil"/>
              <w:right w:val="nil"/>
            </w:tcBorders>
            <w:hideMark/>
          </w:tcPr>
          <w:p w14:paraId="68CAFC14"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.096</w:t>
            </w:r>
          </w:p>
        </w:tc>
        <w:tc>
          <w:tcPr>
            <w:tcW w:w="752" w:type="pct"/>
            <w:tcBorders>
              <w:top w:val="nil"/>
              <w:left w:val="nil"/>
              <w:bottom w:val="nil"/>
              <w:right w:val="nil"/>
            </w:tcBorders>
            <w:hideMark/>
          </w:tcPr>
          <w:p w14:paraId="4E3585D9"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.146</w:t>
            </w:r>
          </w:p>
        </w:tc>
        <w:tc>
          <w:tcPr>
            <w:tcW w:w="440" w:type="pct"/>
            <w:tcBorders>
              <w:top w:val="nil"/>
              <w:left w:val="nil"/>
              <w:bottom w:val="nil"/>
              <w:right w:val="nil"/>
            </w:tcBorders>
            <w:hideMark/>
          </w:tcPr>
          <w:p w14:paraId="765CB5F6"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w:t>
            </w:r>
          </w:p>
        </w:tc>
        <w:tc>
          <w:tcPr>
            <w:tcW w:w="821" w:type="pct"/>
            <w:tcBorders>
              <w:top w:val="nil"/>
              <w:left w:val="nil"/>
              <w:bottom w:val="nil"/>
              <w:right w:val="nil"/>
            </w:tcBorders>
            <w:hideMark/>
          </w:tcPr>
          <w:p w14:paraId="5DBDA04B"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.858</w:t>
            </w:r>
          </w:p>
        </w:tc>
      </w:tr>
      <w:tr w:rsidR="00CD4846" w:rsidRPr="00CD4846" w14:paraId="73036356" w14:textId="77777777" w:rsidTr="00CC0257">
        <w:tc>
          <w:tcPr>
            <w:tcW w:w="2361" w:type="pct"/>
            <w:tcBorders>
              <w:top w:val="nil"/>
              <w:left w:val="nil"/>
              <w:right w:val="nil"/>
            </w:tcBorders>
            <w:hideMark/>
          </w:tcPr>
          <w:p w14:paraId="7F0F1ABB"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 xml:space="preserve">  Population Density (100s)</w:t>
            </w:r>
          </w:p>
        </w:tc>
        <w:tc>
          <w:tcPr>
            <w:tcW w:w="627" w:type="pct"/>
            <w:tcBorders>
              <w:top w:val="nil"/>
              <w:left w:val="nil"/>
              <w:right w:val="nil"/>
            </w:tcBorders>
            <w:hideMark/>
          </w:tcPr>
          <w:p w14:paraId="01816CE7"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.004</w:t>
            </w:r>
          </w:p>
        </w:tc>
        <w:tc>
          <w:tcPr>
            <w:tcW w:w="752" w:type="pct"/>
            <w:tcBorders>
              <w:top w:val="nil"/>
              <w:left w:val="nil"/>
              <w:right w:val="nil"/>
            </w:tcBorders>
            <w:hideMark/>
          </w:tcPr>
          <w:p w14:paraId="5D3B7BDC"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.027</w:t>
            </w:r>
          </w:p>
        </w:tc>
        <w:tc>
          <w:tcPr>
            <w:tcW w:w="440" w:type="pct"/>
            <w:tcBorders>
              <w:top w:val="nil"/>
              <w:left w:val="nil"/>
              <w:right w:val="nil"/>
            </w:tcBorders>
            <w:hideMark/>
          </w:tcPr>
          <w:p w14:paraId="4E0B8BA0"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w:t>
            </w:r>
          </w:p>
        </w:tc>
        <w:tc>
          <w:tcPr>
            <w:tcW w:w="821" w:type="pct"/>
            <w:tcBorders>
              <w:top w:val="nil"/>
              <w:left w:val="nil"/>
              <w:right w:val="nil"/>
            </w:tcBorders>
            <w:hideMark/>
          </w:tcPr>
          <w:p w14:paraId="2BF8633A"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1.16</w:t>
            </w:r>
          </w:p>
        </w:tc>
      </w:tr>
      <w:tr w:rsidR="00CD4846" w:rsidRPr="00CD4846" w14:paraId="2B814B80" w14:textId="77777777" w:rsidTr="00CC0257">
        <w:tc>
          <w:tcPr>
            <w:tcW w:w="2361" w:type="pct"/>
            <w:tcBorders>
              <w:top w:val="nil"/>
              <w:left w:val="nil"/>
              <w:right w:val="nil"/>
            </w:tcBorders>
            <w:hideMark/>
          </w:tcPr>
          <w:p w14:paraId="6406CE14"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 xml:space="preserve">  Employment Density</w:t>
            </w:r>
          </w:p>
        </w:tc>
        <w:tc>
          <w:tcPr>
            <w:tcW w:w="627" w:type="pct"/>
            <w:tcBorders>
              <w:top w:val="nil"/>
              <w:left w:val="nil"/>
              <w:right w:val="nil"/>
            </w:tcBorders>
            <w:hideMark/>
          </w:tcPr>
          <w:p w14:paraId="741CCE92"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.191</w:t>
            </w:r>
          </w:p>
        </w:tc>
        <w:tc>
          <w:tcPr>
            <w:tcW w:w="752" w:type="pct"/>
            <w:tcBorders>
              <w:top w:val="nil"/>
              <w:left w:val="nil"/>
              <w:right w:val="nil"/>
            </w:tcBorders>
            <w:hideMark/>
          </w:tcPr>
          <w:p w14:paraId="102DBA2B"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1.33</w:t>
            </w:r>
          </w:p>
        </w:tc>
        <w:tc>
          <w:tcPr>
            <w:tcW w:w="440" w:type="pct"/>
            <w:tcBorders>
              <w:top w:val="nil"/>
              <w:left w:val="nil"/>
              <w:right w:val="nil"/>
            </w:tcBorders>
            <w:hideMark/>
          </w:tcPr>
          <w:p w14:paraId="454BB24D"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w:t>
            </w:r>
          </w:p>
        </w:tc>
        <w:tc>
          <w:tcPr>
            <w:tcW w:w="821" w:type="pct"/>
            <w:tcBorders>
              <w:top w:val="nil"/>
              <w:left w:val="nil"/>
              <w:right w:val="nil"/>
            </w:tcBorders>
            <w:hideMark/>
          </w:tcPr>
          <w:p w14:paraId="04041409"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63.3</w:t>
            </w:r>
          </w:p>
        </w:tc>
      </w:tr>
      <w:tr w:rsidR="00CD4846" w:rsidRPr="00CD4846" w14:paraId="13128B0F" w14:textId="77777777" w:rsidTr="00CC0257">
        <w:tc>
          <w:tcPr>
            <w:tcW w:w="2361" w:type="pct"/>
            <w:tcBorders>
              <w:left w:val="nil"/>
              <w:right w:val="nil"/>
            </w:tcBorders>
          </w:tcPr>
          <w:p w14:paraId="43AD7575" w14:textId="77777777" w:rsidR="00CD4846" w:rsidRPr="00CD4846" w:rsidRDefault="00CD4846" w:rsidP="00CC0257">
            <w:pPr>
              <w:widowControl w:val="0"/>
              <w:autoSpaceDE w:val="0"/>
              <w:autoSpaceDN w:val="0"/>
              <w:adjustRightInd w:val="0"/>
              <w:spacing w:line="240" w:lineRule="auto"/>
              <w:rPr>
                <w:rFonts w:cs="Times New Roman"/>
                <w:b/>
                <w:bCs/>
                <w:kern w:val="2"/>
                <w:sz w:val="20"/>
                <w:szCs w:val="20"/>
                <w:lang/>
              </w:rPr>
            </w:pPr>
            <w:r w:rsidRPr="00CD4846">
              <w:rPr>
                <w:rFonts w:cs="Times New Roman"/>
                <w:kern w:val="2"/>
                <w:sz w:val="20"/>
                <w:szCs w:val="20"/>
                <w:lang/>
              </w:rPr>
              <w:t xml:space="preserve">  </w:t>
            </w:r>
            <w:r w:rsidRPr="00CD4846">
              <w:rPr>
                <w:rFonts w:cs="Times New Roman"/>
                <w:kern w:val="2"/>
                <w:sz w:val="20"/>
                <w:szCs w:val="20"/>
                <w:lang/>
              </w:rPr>
              <w:t>Loc. Economies (t-1)</w:t>
            </w:r>
          </w:p>
        </w:tc>
        <w:tc>
          <w:tcPr>
            <w:tcW w:w="627" w:type="pct"/>
            <w:tcBorders>
              <w:left w:val="nil"/>
              <w:right w:val="nil"/>
            </w:tcBorders>
          </w:tcPr>
          <w:p w14:paraId="707FDED8"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84.9</w:t>
            </w:r>
          </w:p>
        </w:tc>
        <w:tc>
          <w:tcPr>
            <w:tcW w:w="752" w:type="pct"/>
            <w:tcBorders>
              <w:left w:val="nil"/>
              <w:right w:val="nil"/>
            </w:tcBorders>
          </w:tcPr>
          <w:p w14:paraId="74950066"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43</w:t>
            </w:r>
            <w:r w:rsidRPr="00CD4846">
              <w:rPr>
                <w:rFonts w:cs="Times New Roman"/>
                <w:kern w:val="2"/>
                <w:sz w:val="20"/>
                <w:szCs w:val="20"/>
                <w:lang/>
              </w:rPr>
              <w:t>2</w:t>
            </w:r>
          </w:p>
        </w:tc>
        <w:tc>
          <w:tcPr>
            <w:tcW w:w="440" w:type="pct"/>
            <w:tcBorders>
              <w:left w:val="nil"/>
              <w:right w:val="nil"/>
            </w:tcBorders>
          </w:tcPr>
          <w:p w14:paraId="133D33AE"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w:t>
            </w:r>
          </w:p>
        </w:tc>
        <w:tc>
          <w:tcPr>
            <w:tcW w:w="821" w:type="pct"/>
            <w:tcBorders>
              <w:left w:val="nil"/>
              <w:right w:val="nil"/>
            </w:tcBorders>
          </w:tcPr>
          <w:p w14:paraId="2DF45FF8"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26029</w:t>
            </w:r>
          </w:p>
        </w:tc>
      </w:tr>
      <w:tr w:rsidR="00CD4846" w:rsidRPr="00CD4846" w14:paraId="15E4AE15" w14:textId="77777777" w:rsidTr="00CC0257">
        <w:tc>
          <w:tcPr>
            <w:tcW w:w="2361" w:type="pct"/>
            <w:tcBorders>
              <w:top w:val="nil"/>
              <w:left w:val="nil"/>
              <w:right w:val="nil"/>
            </w:tcBorders>
          </w:tcPr>
          <w:p w14:paraId="496D6962"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 xml:space="preserve">  </w:t>
            </w:r>
            <w:r w:rsidRPr="00CD4846">
              <w:rPr>
                <w:rFonts w:cs="Times New Roman"/>
                <w:kern w:val="2"/>
                <w:sz w:val="20"/>
                <w:szCs w:val="20"/>
                <w:lang/>
              </w:rPr>
              <w:t>Sales Volume (t-1)</w:t>
            </w:r>
          </w:p>
        </w:tc>
        <w:tc>
          <w:tcPr>
            <w:tcW w:w="627" w:type="pct"/>
            <w:tcBorders>
              <w:top w:val="nil"/>
              <w:left w:val="nil"/>
              <w:right w:val="nil"/>
            </w:tcBorders>
          </w:tcPr>
          <w:p w14:paraId="0570B184"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621662</w:t>
            </w:r>
          </w:p>
        </w:tc>
        <w:tc>
          <w:tcPr>
            <w:tcW w:w="752" w:type="pct"/>
            <w:tcBorders>
              <w:top w:val="nil"/>
              <w:left w:val="nil"/>
              <w:right w:val="nil"/>
            </w:tcBorders>
          </w:tcPr>
          <w:p w14:paraId="4F56D16B"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2267050</w:t>
            </w:r>
          </w:p>
        </w:tc>
        <w:tc>
          <w:tcPr>
            <w:tcW w:w="440" w:type="pct"/>
            <w:tcBorders>
              <w:top w:val="nil"/>
              <w:left w:val="nil"/>
              <w:right w:val="nil"/>
            </w:tcBorders>
          </w:tcPr>
          <w:p w14:paraId="50ACE61D"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w:t>
            </w:r>
          </w:p>
        </w:tc>
        <w:tc>
          <w:tcPr>
            <w:tcW w:w="821" w:type="pct"/>
            <w:tcBorders>
              <w:top w:val="nil"/>
              <w:left w:val="nil"/>
              <w:right w:val="nil"/>
            </w:tcBorders>
          </w:tcPr>
          <w:p w14:paraId="1404C420"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1.880e+08</w:t>
            </w:r>
          </w:p>
        </w:tc>
      </w:tr>
      <w:tr w:rsidR="00CD4846" w:rsidRPr="00CD4846" w14:paraId="4DF869B8" w14:textId="77777777" w:rsidTr="00CC0257">
        <w:tc>
          <w:tcPr>
            <w:tcW w:w="2361" w:type="pct"/>
            <w:tcBorders>
              <w:top w:val="nil"/>
              <w:left w:val="nil"/>
              <w:right w:val="nil"/>
            </w:tcBorders>
          </w:tcPr>
          <w:p w14:paraId="00F726C9"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 xml:space="preserve"> </w:t>
            </w:r>
            <w:r w:rsidRPr="00CD4846">
              <w:rPr>
                <w:rFonts w:cs="Times New Roman"/>
                <w:kern w:val="2"/>
                <w:sz w:val="20"/>
                <w:szCs w:val="20"/>
                <w:lang/>
              </w:rPr>
              <w:t xml:space="preserve"> Births (t-1)</w:t>
            </w:r>
          </w:p>
        </w:tc>
        <w:tc>
          <w:tcPr>
            <w:tcW w:w="627" w:type="pct"/>
            <w:tcBorders>
              <w:top w:val="nil"/>
              <w:left w:val="nil"/>
              <w:right w:val="nil"/>
            </w:tcBorders>
          </w:tcPr>
          <w:p w14:paraId="2497A79E"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68.3</w:t>
            </w:r>
          </w:p>
        </w:tc>
        <w:tc>
          <w:tcPr>
            <w:tcW w:w="752" w:type="pct"/>
            <w:tcBorders>
              <w:top w:val="nil"/>
              <w:left w:val="nil"/>
              <w:right w:val="nil"/>
            </w:tcBorders>
          </w:tcPr>
          <w:p w14:paraId="69060D86"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w:t>
            </w:r>
            <w:r w:rsidRPr="00CD4846">
              <w:rPr>
                <w:rFonts w:cs="Times New Roman"/>
                <w:kern w:val="2"/>
                <w:sz w:val="20"/>
                <w:szCs w:val="20"/>
                <w:lang/>
              </w:rPr>
              <w:t>30</w:t>
            </w:r>
          </w:p>
        </w:tc>
        <w:tc>
          <w:tcPr>
            <w:tcW w:w="440" w:type="pct"/>
            <w:tcBorders>
              <w:top w:val="nil"/>
              <w:left w:val="nil"/>
              <w:right w:val="nil"/>
            </w:tcBorders>
          </w:tcPr>
          <w:p w14:paraId="2841AAB4"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w:t>
            </w:r>
          </w:p>
        </w:tc>
        <w:tc>
          <w:tcPr>
            <w:tcW w:w="821" w:type="pct"/>
            <w:tcBorders>
              <w:top w:val="nil"/>
              <w:left w:val="nil"/>
              <w:right w:val="nil"/>
            </w:tcBorders>
          </w:tcPr>
          <w:p w14:paraId="7A3E9574"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12469</w:t>
            </w:r>
          </w:p>
        </w:tc>
      </w:tr>
      <w:tr w:rsidR="00CD4846" w:rsidRPr="00CD4846" w14:paraId="597B53D0" w14:textId="77777777" w:rsidTr="00CC0257">
        <w:tc>
          <w:tcPr>
            <w:tcW w:w="2361" w:type="pct"/>
            <w:tcBorders>
              <w:top w:val="nil"/>
              <w:left w:val="nil"/>
              <w:right w:val="nil"/>
            </w:tcBorders>
          </w:tcPr>
          <w:p w14:paraId="4DFC84F2"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 xml:space="preserve"> </w:t>
            </w:r>
            <w:r w:rsidRPr="00CD4846">
              <w:rPr>
                <w:rFonts w:cs="Times New Roman"/>
                <w:kern w:val="2"/>
                <w:sz w:val="20"/>
                <w:szCs w:val="20"/>
                <w:lang/>
              </w:rPr>
              <w:t xml:space="preserve"> </w:t>
            </w:r>
            <w:r w:rsidRPr="00CD4846">
              <w:rPr>
                <w:rFonts w:cs="Times New Roman"/>
                <w:kern w:val="2"/>
                <w:sz w:val="20"/>
                <w:szCs w:val="20"/>
                <w:lang/>
              </w:rPr>
              <w:t>Entry Relocations (t-1)</w:t>
            </w:r>
          </w:p>
        </w:tc>
        <w:tc>
          <w:tcPr>
            <w:tcW w:w="627" w:type="pct"/>
            <w:tcBorders>
              <w:top w:val="nil"/>
              <w:left w:val="nil"/>
              <w:right w:val="nil"/>
            </w:tcBorders>
          </w:tcPr>
          <w:p w14:paraId="6B850E3B"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2.8</w:t>
            </w:r>
            <w:r w:rsidRPr="00CD4846">
              <w:rPr>
                <w:rFonts w:cs="Times New Roman"/>
                <w:kern w:val="2"/>
                <w:sz w:val="20"/>
                <w:szCs w:val="20"/>
                <w:lang/>
              </w:rPr>
              <w:t>5</w:t>
            </w:r>
          </w:p>
        </w:tc>
        <w:tc>
          <w:tcPr>
            <w:tcW w:w="752" w:type="pct"/>
            <w:tcBorders>
              <w:top w:val="nil"/>
              <w:left w:val="nil"/>
              <w:right w:val="nil"/>
            </w:tcBorders>
          </w:tcPr>
          <w:p w14:paraId="6A7FD0DC"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48.</w:t>
            </w:r>
            <w:r w:rsidRPr="00CD4846">
              <w:rPr>
                <w:rFonts w:cs="Times New Roman"/>
                <w:kern w:val="2"/>
                <w:sz w:val="20"/>
                <w:szCs w:val="20"/>
                <w:lang/>
              </w:rPr>
              <w:t>4</w:t>
            </w:r>
          </w:p>
        </w:tc>
        <w:tc>
          <w:tcPr>
            <w:tcW w:w="440" w:type="pct"/>
            <w:tcBorders>
              <w:top w:val="nil"/>
              <w:left w:val="nil"/>
              <w:right w:val="nil"/>
            </w:tcBorders>
          </w:tcPr>
          <w:p w14:paraId="447C899F"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w:t>
            </w:r>
          </w:p>
        </w:tc>
        <w:tc>
          <w:tcPr>
            <w:tcW w:w="821" w:type="pct"/>
            <w:tcBorders>
              <w:top w:val="nil"/>
              <w:left w:val="nil"/>
              <w:right w:val="nil"/>
            </w:tcBorders>
          </w:tcPr>
          <w:p w14:paraId="78B882B5"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4410</w:t>
            </w:r>
          </w:p>
        </w:tc>
      </w:tr>
      <w:tr w:rsidR="00CD4846" w:rsidRPr="00CD4846" w14:paraId="76055727" w14:textId="77777777" w:rsidTr="00CC0257">
        <w:tc>
          <w:tcPr>
            <w:tcW w:w="2361" w:type="pct"/>
            <w:tcBorders>
              <w:top w:val="nil"/>
              <w:left w:val="nil"/>
              <w:right w:val="nil"/>
            </w:tcBorders>
          </w:tcPr>
          <w:p w14:paraId="6B4B285A"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 xml:space="preserve"> </w:t>
            </w:r>
            <w:r w:rsidRPr="00CD4846">
              <w:rPr>
                <w:rFonts w:cs="Times New Roman"/>
                <w:kern w:val="2"/>
                <w:sz w:val="20"/>
                <w:szCs w:val="20"/>
                <w:lang/>
              </w:rPr>
              <w:t xml:space="preserve"> </w:t>
            </w:r>
            <w:r w:rsidRPr="00CD4846">
              <w:rPr>
                <w:rFonts w:cs="Times New Roman"/>
                <w:kern w:val="2"/>
                <w:sz w:val="20"/>
                <w:szCs w:val="20"/>
                <w:lang/>
              </w:rPr>
              <w:t>Total Entries (t-1)</w:t>
            </w:r>
          </w:p>
        </w:tc>
        <w:tc>
          <w:tcPr>
            <w:tcW w:w="627" w:type="pct"/>
            <w:tcBorders>
              <w:top w:val="nil"/>
              <w:left w:val="nil"/>
              <w:right w:val="nil"/>
            </w:tcBorders>
          </w:tcPr>
          <w:p w14:paraId="3D580413"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71.</w:t>
            </w:r>
            <w:r w:rsidRPr="00CD4846">
              <w:rPr>
                <w:rFonts w:cs="Times New Roman"/>
                <w:kern w:val="2"/>
                <w:sz w:val="20"/>
                <w:szCs w:val="20"/>
                <w:lang/>
              </w:rPr>
              <w:t>2</w:t>
            </w:r>
          </w:p>
        </w:tc>
        <w:tc>
          <w:tcPr>
            <w:tcW w:w="752" w:type="pct"/>
            <w:tcBorders>
              <w:top w:val="nil"/>
              <w:left w:val="nil"/>
              <w:right w:val="nil"/>
            </w:tcBorders>
          </w:tcPr>
          <w:p w14:paraId="74A11EA5"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243</w:t>
            </w:r>
          </w:p>
        </w:tc>
        <w:tc>
          <w:tcPr>
            <w:tcW w:w="440" w:type="pct"/>
            <w:tcBorders>
              <w:top w:val="nil"/>
              <w:left w:val="nil"/>
              <w:right w:val="nil"/>
            </w:tcBorders>
          </w:tcPr>
          <w:p w14:paraId="6421A6A9"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w:t>
            </w:r>
          </w:p>
        </w:tc>
        <w:tc>
          <w:tcPr>
            <w:tcW w:w="821" w:type="pct"/>
            <w:tcBorders>
              <w:top w:val="nil"/>
              <w:left w:val="nil"/>
              <w:right w:val="nil"/>
            </w:tcBorders>
          </w:tcPr>
          <w:p w14:paraId="7A039202"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12469</w:t>
            </w:r>
          </w:p>
        </w:tc>
      </w:tr>
      <w:tr w:rsidR="00CD4846" w:rsidRPr="00CD4846" w14:paraId="634B8322" w14:textId="77777777" w:rsidTr="00CC0257">
        <w:tc>
          <w:tcPr>
            <w:tcW w:w="2361" w:type="pct"/>
            <w:tcBorders>
              <w:top w:val="nil"/>
              <w:left w:val="nil"/>
              <w:right w:val="nil"/>
            </w:tcBorders>
          </w:tcPr>
          <w:p w14:paraId="45ED59E5"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 xml:space="preserve"> </w:t>
            </w:r>
            <w:r w:rsidRPr="00CD4846">
              <w:rPr>
                <w:rFonts w:cs="Times New Roman"/>
                <w:kern w:val="2"/>
                <w:sz w:val="20"/>
                <w:szCs w:val="20"/>
                <w:lang/>
              </w:rPr>
              <w:t xml:space="preserve"> </w:t>
            </w:r>
            <w:r w:rsidRPr="00CD4846">
              <w:rPr>
                <w:rFonts w:cs="Times New Roman"/>
                <w:kern w:val="2"/>
                <w:sz w:val="20"/>
                <w:szCs w:val="20"/>
                <w:lang/>
              </w:rPr>
              <w:t>Deaths (t-1)</w:t>
            </w:r>
          </w:p>
        </w:tc>
        <w:tc>
          <w:tcPr>
            <w:tcW w:w="627" w:type="pct"/>
            <w:tcBorders>
              <w:top w:val="nil"/>
              <w:left w:val="nil"/>
              <w:right w:val="nil"/>
            </w:tcBorders>
          </w:tcPr>
          <w:p w14:paraId="3D9E813B"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65.</w:t>
            </w:r>
            <w:r w:rsidRPr="00CD4846">
              <w:rPr>
                <w:rFonts w:cs="Times New Roman"/>
                <w:kern w:val="2"/>
                <w:sz w:val="20"/>
                <w:szCs w:val="20"/>
                <w:lang/>
              </w:rPr>
              <w:t>7</w:t>
            </w:r>
          </w:p>
        </w:tc>
        <w:tc>
          <w:tcPr>
            <w:tcW w:w="752" w:type="pct"/>
            <w:tcBorders>
              <w:top w:val="nil"/>
              <w:left w:val="nil"/>
              <w:right w:val="nil"/>
            </w:tcBorders>
          </w:tcPr>
          <w:p w14:paraId="04D08283"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221</w:t>
            </w:r>
          </w:p>
        </w:tc>
        <w:tc>
          <w:tcPr>
            <w:tcW w:w="440" w:type="pct"/>
            <w:tcBorders>
              <w:top w:val="nil"/>
              <w:left w:val="nil"/>
              <w:right w:val="nil"/>
            </w:tcBorders>
          </w:tcPr>
          <w:p w14:paraId="4E2B9968"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w:t>
            </w:r>
          </w:p>
        </w:tc>
        <w:tc>
          <w:tcPr>
            <w:tcW w:w="821" w:type="pct"/>
            <w:tcBorders>
              <w:top w:val="nil"/>
              <w:left w:val="nil"/>
              <w:right w:val="nil"/>
            </w:tcBorders>
          </w:tcPr>
          <w:p w14:paraId="79A8FEFF"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13568</w:t>
            </w:r>
          </w:p>
        </w:tc>
      </w:tr>
      <w:tr w:rsidR="00CD4846" w:rsidRPr="00CD4846" w14:paraId="0E893933" w14:textId="77777777" w:rsidTr="00CC0257">
        <w:tc>
          <w:tcPr>
            <w:tcW w:w="2361" w:type="pct"/>
            <w:tcBorders>
              <w:top w:val="nil"/>
              <w:left w:val="nil"/>
              <w:right w:val="nil"/>
            </w:tcBorders>
          </w:tcPr>
          <w:p w14:paraId="62F28AFD"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 xml:space="preserve"> </w:t>
            </w:r>
            <w:r w:rsidRPr="00CD4846">
              <w:rPr>
                <w:rFonts w:cs="Times New Roman"/>
                <w:kern w:val="2"/>
                <w:sz w:val="20"/>
                <w:szCs w:val="20"/>
                <w:lang/>
              </w:rPr>
              <w:t xml:space="preserve"> </w:t>
            </w:r>
            <w:r w:rsidRPr="00CD4846">
              <w:rPr>
                <w:rFonts w:cs="Times New Roman"/>
                <w:kern w:val="2"/>
                <w:sz w:val="20"/>
                <w:szCs w:val="20"/>
                <w:lang/>
              </w:rPr>
              <w:t>Exit Relocations (t-1)</w:t>
            </w:r>
          </w:p>
        </w:tc>
        <w:tc>
          <w:tcPr>
            <w:tcW w:w="627" w:type="pct"/>
            <w:tcBorders>
              <w:top w:val="nil"/>
              <w:left w:val="nil"/>
              <w:right w:val="nil"/>
            </w:tcBorders>
          </w:tcPr>
          <w:p w14:paraId="0DCAEB5F"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2.8</w:t>
            </w:r>
            <w:r w:rsidRPr="00CD4846">
              <w:rPr>
                <w:rFonts w:cs="Times New Roman"/>
                <w:kern w:val="2"/>
                <w:sz w:val="20"/>
                <w:szCs w:val="20"/>
                <w:lang/>
              </w:rPr>
              <w:t>5</w:t>
            </w:r>
          </w:p>
        </w:tc>
        <w:tc>
          <w:tcPr>
            <w:tcW w:w="752" w:type="pct"/>
            <w:tcBorders>
              <w:top w:val="nil"/>
              <w:left w:val="nil"/>
              <w:right w:val="nil"/>
            </w:tcBorders>
          </w:tcPr>
          <w:p w14:paraId="3CB45EB9"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49.9</w:t>
            </w:r>
          </w:p>
        </w:tc>
        <w:tc>
          <w:tcPr>
            <w:tcW w:w="440" w:type="pct"/>
            <w:tcBorders>
              <w:top w:val="nil"/>
              <w:left w:val="nil"/>
              <w:right w:val="nil"/>
            </w:tcBorders>
          </w:tcPr>
          <w:p w14:paraId="6EA2B66C"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w:t>
            </w:r>
          </w:p>
        </w:tc>
        <w:tc>
          <w:tcPr>
            <w:tcW w:w="821" w:type="pct"/>
            <w:tcBorders>
              <w:top w:val="nil"/>
              <w:left w:val="nil"/>
              <w:right w:val="nil"/>
            </w:tcBorders>
          </w:tcPr>
          <w:p w14:paraId="733D378E"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4537</w:t>
            </w:r>
          </w:p>
        </w:tc>
      </w:tr>
      <w:tr w:rsidR="00CD4846" w:rsidRPr="00CD4846" w14:paraId="0676DD1D" w14:textId="77777777" w:rsidTr="00CC0257">
        <w:tc>
          <w:tcPr>
            <w:tcW w:w="2361" w:type="pct"/>
            <w:tcBorders>
              <w:top w:val="nil"/>
              <w:left w:val="nil"/>
              <w:bottom w:val="single" w:sz="4" w:space="0" w:color="auto"/>
              <w:right w:val="nil"/>
            </w:tcBorders>
          </w:tcPr>
          <w:p w14:paraId="416421AF"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 xml:space="preserve"> </w:t>
            </w:r>
            <w:r w:rsidRPr="00CD4846">
              <w:rPr>
                <w:rFonts w:cs="Times New Roman"/>
                <w:kern w:val="2"/>
                <w:sz w:val="20"/>
                <w:szCs w:val="20"/>
                <w:lang/>
              </w:rPr>
              <w:t xml:space="preserve"> Total Entries (t-1)</w:t>
            </w:r>
          </w:p>
        </w:tc>
        <w:tc>
          <w:tcPr>
            <w:tcW w:w="627" w:type="pct"/>
            <w:tcBorders>
              <w:top w:val="nil"/>
              <w:left w:val="nil"/>
              <w:bottom w:val="single" w:sz="4" w:space="0" w:color="auto"/>
              <w:right w:val="nil"/>
            </w:tcBorders>
          </w:tcPr>
          <w:p w14:paraId="396D0D58"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68.5</w:t>
            </w:r>
          </w:p>
        </w:tc>
        <w:tc>
          <w:tcPr>
            <w:tcW w:w="752" w:type="pct"/>
            <w:tcBorders>
              <w:top w:val="nil"/>
              <w:left w:val="nil"/>
              <w:bottom w:val="single" w:sz="4" w:space="0" w:color="auto"/>
              <w:right w:val="nil"/>
            </w:tcBorders>
          </w:tcPr>
          <w:p w14:paraId="27A5A97C"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234</w:t>
            </w:r>
          </w:p>
        </w:tc>
        <w:tc>
          <w:tcPr>
            <w:tcW w:w="440" w:type="pct"/>
            <w:tcBorders>
              <w:top w:val="nil"/>
              <w:left w:val="nil"/>
              <w:bottom w:val="single" w:sz="4" w:space="0" w:color="auto"/>
              <w:right w:val="nil"/>
            </w:tcBorders>
          </w:tcPr>
          <w:p w14:paraId="1963BC96"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w:t>
            </w:r>
          </w:p>
        </w:tc>
        <w:tc>
          <w:tcPr>
            <w:tcW w:w="821" w:type="pct"/>
            <w:tcBorders>
              <w:top w:val="nil"/>
              <w:left w:val="nil"/>
              <w:bottom w:val="single" w:sz="4" w:space="0" w:color="auto"/>
              <w:right w:val="nil"/>
            </w:tcBorders>
          </w:tcPr>
          <w:p w14:paraId="2246855C" w14:textId="77777777" w:rsidR="00CD4846" w:rsidRPr="00CD4846" w:rsidRDefault="00CD4846" w:rsidP="00CC0257">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13569</w:t>
            </w:r>
          </w:p>
        </w:tc>
      </w:tr>
    </w:tbl>
    <w:p w14:paraId="61708A41" w14:textId="39A3D904" w:rsidR="00CD4846" w:rsidRPr="00CD4846" w:rsidRDefault="002C0F11" w:rsidP="00283B83">
      <w:pPr>
        <w:spacing w:line="240" w:lineRule="auto"/>
        <w:rPr>
          <w:rFonts w:ascii="SimSun" w:hAnsi="SimSun" w:cs="Times New Roman"/>
          <w:b/>
          <w:bCs/>
          <w:lang/>
        </w:rPr>
      </w:pPr>
      <w:r>
        <w:rPr>
          <w:sz w:val="20"/>
          <w:szCs w:val="20"/>
          <w:lang/>
        </w:rPr>
        <w:t>T</w:t>
      </w:r>
      <w:r w:rsidR="00CD4846" w:rsidRPr="00FC56A5">
        <w:rPr>
          <w:sz w:val="20"/>
          <w:szCs w:val="20"/>
          <w:lang/>
        </w:rPr>
        <w:t xml:space="preserve">able </w:t>
      </w:r>
      <w:r>
        <w:rPr>
          <w:sz w:val="20"/>
          <w:szCs w:val="20"/>
          <w:lang/>
        </w:rPr>
        <w:t xml:space="preserve">A3 </w:t>
      </w:r>
      <w:r w:rsidR="00CD4846" w:rsidRPr="00FC56A5">
        <w:rPr>
          <w:sz w:val="20"/>
          <w:szCs w:val="20"/>
          <w:lang/>
        </w:rPr>
        <w:t>presents the summary statistics for the explanatory variables included in the analysis of the aggregate LIS. The variables are categorized into three groups: environmental, socio-demographic-economic, and aggregate LIS-specific explanatory variables. These statistics provide insights into the mean, standard deviation, minimum, and maximum values</w:t>
      </w:r>
      <w:r w:rsidR="00CD4846" w:rsidRPr="00FC56A5">
        <w:rPr>
          <w:sz w:val="20"/>
          <w:szCs w:val="20"/>
          <w:lang/>
        </w:rPr>
        <w:t>.</w:t>
      </w:r>
      <w:r w:rsidR="00CD4846" w:rsidRPr="00FC56A5">
        <w:rPr>
          <w:sz w:val="20"/>
          <w:szCs w:val="20"/>
          <w:lang/>
        </w:rPr>
        <w:t xml:space="preserve"> Standard deviations highlight regional disparities, while minimum and maximum values capture extremes in economic, environmental, and business</w:t>
      </w:r>
      <w:r w:rsidR="00CD4846" w:rsidRPr="00FC56A5">
        <w:rPr>
          <w:sz w:val="20"/>
          <w:szCs w:val="20"/>
          <w:lang/>
        </w:rPr>
        <w:t xml:space="preserve"> </w:t>
      </w:r>
      <w:r w:rsidR="00CD4846" w:rsidRPr="00FC56A5">
        <w:rPr>
          <w:sz w:val="20"/>
          <w:szCs w:val="20"/>
          <w:lang/>
        </w:rPr>
        <w:t>activity contexts.</w:t>
      </w:r>
      <w:r w:rsidR="00CD4846" w:rsidRPr="00CD4846">
        <w:rPr>
          <w:rFonts w:hint="eastAsia"/>
          <w:lang/>
        </w:rPr>
        <w:br/>
      </w:r>
      <w:bookmarkEnd w:id="203"/>
    </w:p>
    <w:p w14:paraId="099C1132" w14:textId="77777777" w:rsidR="0057442E" w:rsidRDefault="00CD4846" w:rsidP="004C39A4">
      <w:pPr>
        <w:spacing w:line="240" w:lineRule="auto"/>
        <w:rPr>
          <w:rFonts w:ascii="Calibri Light" w:eastAsia="Times New Roman" w:hAnsi="Calibri Light" w:cs="Times New Roman"/>
          <w:b/>
          <w:bCs/>
          <w:color w:val="2F5496"/>
          <w:kern w:val="2"/>
          <w:sz w:val="28"/>
          <w:szCs w:val="28"/>
          <w14:ligatures w14:val="standardContextual"/>
        </w:rPr>
        <w:sectPr w:rsidR="0057442E" w:rsidSect="0025401B">
          <w:pgSz w:w="12240" w:h="15840" w:code="1"/>
          <w:pgMar w:top="1440" w:right="1440" w:bottom="1440" w:left="1440" w:header="720" w:footer="850" w:gutter="0"/>
          <w:pgNumType w:start="1"/>
          <w:cols w:space="720"/>
          <w:noEndnote/>
          <w:docGrid w:linePitch="360"/>
        </w:sectPr>
      </w:pPr>
      <w:bookmarkStart w:id="204" w:name="_Toc186799408"/>
      <w:r>
        <w:rPr>
          <w:rFonts w:ascii="Calibri Light" w:eastAsia="Times New Roman" w:hAnsi="Calibri Light" w:cs="Times New Roman"/>
          <w:b/>
          <w:bCs/>
          <w:color w:val="2F5496"/>
          <w:kern w:val="2"/>
          <w:sz w:val="28"/>
          <w:szCs w:val="28"/>
          <w14:ligatures w14:val="standardContextual"/>
        </w:rPr>
        <w:br w:type="page"/>
      </w:r>
    </w:p>
    <w:p w14:paraId="3574B961" w14:textId="37927B97" w:rsidR="00CD4846" w:rsidRPr="00CD4846" w:rsidRDefault="00CD4846" w:rsidP="00095E25">
      <w:pPr>
        <w:pStyle w:val="Title"/>
      </w:pPr>
      <w:bookmarkStart w:id="205" w:name="_Toc188366977"/>
      <w:r w:rsidRPr="00CD4846">
        <w:rPr>
          <w:rFonts w:hint="eastAsia"/>
        </w:rPr>
        <w:lastRenderedPageBreak/>
        <w:t xml:space="preserve">Table </w:t>
      </w:r>
      <w:r w:rsidRPr="00CD4846">
        <w:t>A4</w:t>
      </w:r>
      <w:r w:rsidRPr="00CD4846">
        <w:rPr>
          <w:rFonts w:hint="eastAsia"/>
        </w:rPr>
        <w:t xml:space="preserve">: </w:t>
      </w:r>
      <w:r w:rsidRPr="00CD4846">
        <w:t>Regression Results of Broad PADs on Aggregate LIS Entries</w:t>
      </w:r>
      <w:bookmarkEnd w:id="204"/>
      <w:bookmarkEnd w:id="205"/>
    </w:p>
    <w:tbl>
      <w:tblPr>
        <w:tblW w:w="4464" w:type="pct"/>
        <w:tblLook w:val="04A0" w:firstRow="1" w:lastRow="0" w:firstColumn="1" w:lastColumn="0" w:noHBand="0" w:noVBand="1"/>
      </w:tblPr>
      <w:tblGrid>
        <w:gridCol w:w="2012"/>
        <w:gridCol w:w="968"/>
        <w:gridCol w:w="1937"/>
        <w:gridCol w:w="1187"/>
        <w:gridCol w:w="1192"/>
        <w:gridCol w:w="1061"/>
      </w:tblGrid>
      <w:tr w:rsidR="001953BB" w:rsidRPr="00CD4846" w14:paraId="44B162DE" w14:textId="77777777" w:rsidTr="001953BB">
        <w:trPr>
          <w:trHeight w:val="144"/>
        </w:trPr>
        <w:tc>
          <w:tcPr>
            <w:tcW w:w="1204" w:type="pct"/>
            <w:tcBorders>
              <w:top w:val="single" w:sz="4" w:space="0" w:color="auto"/>
              <w:left w:val="nil"/>
              <w:bottom w:val="single" w:sz="4" w:space="0" w:color="auto"/>
              <w:right w:val="nil"/>
            </w:tcBorders>
            <w:hideMark/>
          </w:tcPr>
          <w:p w14:paraId="59F888F1"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cs="Times New Roman"/>
                <w:b/>
                <w:bCs/>
                <w:kern w:val="2"/>
                <w:sz w:val="20"/>
                <w:szCs w:val="20"/>
                <w:lang/>
              </w:rPr>
              <w:t>Variable</w:t>
            </w:r>
            <w:r w:rsidRPr="00CD4846">
              <w:rPr>
                <w:rFonts w:eastAsia="Calibri" w:cs="Times New Roman"/>
                <w:kern w:val="2"/>
                <w:sz w:val="20"/>
                <w:szCs w:val="20"/>
                <w:lang/>
              </w:rPr>
              <w:t xml:space="preserve">   </w:t>
            </w:r>
          </w:p>
        </w:tc>
        <w:tc>
          <w:tcPr>
            <w:tcW w:w="579" w:type="pct"/>
            <w:tcBorders>
              <w:top w:val="single" w:sz="4" w:space="0" w:color="auto"/>
              <w:left w:val="nil"/>
              <w:bottom w:val="single" w:sz="4" w:space="0" w:color="auto"/>
              <w:right w:val="nil"/>
            </w:tcBorders>
            <w:hideMark/>
          </w:tcPr>
          <w:p w14:paraId="2EAA6310" w14:textId="77777777" w:rsidR="00CD4846" w:rsidRPr="00CD4846" w:rsidRDefault="00CD4846" w:rsidP="00283B83">
            <w:pPr>
              <w:widowControl w:val="0"/>
              <w:autoSpaceDE w:val="0"/>
              <w:autoSpaceDN w:val="0"/>
              <w:adjustRightInd w:val="0"/>
              <w:spacing w:line="240" w:lineRule="auto"/>
              <w:rPr>
                <w:rFonts w:eastAsia="Calibri" w:cs="Times New Roman"/>
                <w:b/>
                <w:kern w:val="2"/>
                <w:sz w:val="20"/>
                <w:szCs w:val="20"/>
                <w:lang/>
              </w:rPr>
            </w:pPr>
            <w:r w:rsidRPr="00CD4846">
              <w:rPr>
                <w:rFonts w:eastAsia="Calibri" w:cs="Times New Roman"/>
                <w:b/>
                <w:kern w:val="2"/>
                <w:sz w:val="20"/>
                <w:szCs w:val="20"/>
                <w:lang/>
              </w:rPr>
              <w:t>Births</w:t>
            </w:r>
          </w:p>
        </w:tc>
        <w:tc>
          <w:tcPr>
            <w:tcW w:w="1159" w:type="pct"/>
            <w:tcBorders>
              <w:top w:val="single" w:sz="4" w:space="0" w:color="auto"/>
              <w:left w:val="nil"/>
              <w:bottom w:val="single" w:sz="4" w:space="0" w:color="auto"/>
              <w:right w:val="nil"/>
            </w:tcBorders>
            <w:hideMark/>
          </w:tcPr>
          <w:p w14:paraId="59A72AA9" w14:textId="77777777" w:rsidR="00CD4846" w:rsidRPr="00CD4846" w:rsidRDefault="00CD4846" w:rsidP="00283B83">
            <w:pPr>
              <w:widowControl w:val="0"/>
              <w:autoSpaceDE w:val="0"/>
              <w:autoSpaceDN w:val="0"/>
              <w:adjustRightInd w:val="0"/>
              <w:spacing w:line="240" w:lineRule="auto"/>
              <w:rPr>
                <w:rFonts w:eastAsia="Calibri" w:cs="Times New Roman"/>
                <w:b/>
                <w:kern w:val="2"/>
                <w:sz w:val="20"/>
                <w:szCs w:val="20"/>
                <w:lang/>
              </w:rPr>
            </w:pPr>
            <w:r w:rsidRPr="00CD4846">
              <w:rPr>
                <w:rFonts w:eastAsia="Calibri" w:cs="Times New Roman"/>
                <w:b/>
                <w:kern w:val="2"/>
                <w:sz w:val="20"/>
                <w:szCs w:val="20"/>
                <w:lang/>
              </w:rPr>
              <w:t>Inward Relocations</w:t>
            </w:r>
            <w:r w:rsidRPr="00CD4846">
              <w:rPr>
                <w:rFonts w:eastAsia="Calibri" w:cs="Times New Roman"/>
                <w:b/>
                <w:kern w:val="2"/>
                <w:sz w:val="20"/>
                <w:szCs w:val="20"/>
                <w:lang/>
              </w:rPr>
              <w:t xml:space="preserve"> (IR)</w:t>
            </w:r>
          </w:p>
        </w:tc>
        <w:tc>
          <w:tcPr>
            <w:tcW w:w="710" w:type="pct"/>
            <w:tcBorders>
              <w:top w:val="single" w:sz="4" w:space="0" w:color="auto"/>
              <w:left w:val="nil"/>
              <w:bottom w:val="single" w:sz="4" w:space="0" w:color="auto"/>
              <w:right w:val="nil"/>
            </w:tcBorders>
            <w:hideMark/>
          </w:tcPr>
          <w:p w14:paraId="7D1C8B07" w14:textId="77777777" w:rsidR="00CD4846" w:rsidRPr="00CD4846" w:rsidRDefault="00CD4846" w:rsidP="00283B83">
            <w:pPr>
              <w:widowControl w:val="0"/>
              <w:autoSpaceDE w:val="0"/>
              <w:autoSpaceDN w:val="0"/>
              <w:adjustRightInd w:val="0"/>
              <w:spacing w:line="240" w:lineRule="auto"/>
              <w:rPr>
                <w:rFonts w:eastAsia="Calibri" w:cs="Times New Roman"/>
                <w:b/>
                <w:kern w:val="2"/>
                <w:sz w:val="20"/>
                <w:szCs w:val="20"/>
                <w:lang/>
              </w:rPr>
            </w:pPr>
            <w:r w:rsidRPr="00CD4846">
              <w:rPr>
                <w:rFonts w:eastAsia="Calibri" w:cs="Times New Roman"/>
                <w:b/>
                <w:kern w:val="2"/>
                <w:sz w:val="20"/>
                <w:szCs w:val="20"/>
                <w:lang/>
              </w:rPr>
              <w:t>Intra-State IR</w:t>
            </w:r>
          </w:p>
        </w:tc>
        <w:tc>
          <w:tcPr>
            <w:tcW w:w="713" w:type="pct"/>
            <w:tcBorders>
              <w:top w:val="single" w:sz="4" w:space="0" w:color="auto"/>
              <w:left w:val="nil"/>
              <w:bottom w:val="single" w:sz="4" w:space="0" w:color="auto"/>
              <w:right w:val="nil"/>
            </w:tcBorders>
            <w:hideMark/>
          </w:tcPr>
          <w:p w14:paraId="4B0E927D" w14:textId="77777777" w:rsidR="00CD4846" w:rsidRPr="00CD4846" w:rsidRDefault="00CD4846" w:rsidP="00283B83">
            <w:pPr>
              <w:widowControl w:val="0"/>
              <w:autoSpaceDE w:val="0"/>
              <w:autoSpaceDN w:val="0"/>
              <w:adjustRightInd w:val="0"/>
              <w:spacing w:line="240" w:lineRule="auto"/>
              <w:rPr>
                <w:rFonts w:eastAsia="Calibri" w:cs="Times New Roman"/>
                <w:b/>
                <w:kern w:val="2"/>
                <w:sz w:val="20"/>
                <w:szCs w:val="20"/>
                <w:lang/>
              </w:rPr>
            </w:pPr>
            <w:r w:rsidRPr="00CD4846">
              <w:rPr>
                <w:rFonts w:eastAsia="Calibri" w:cs="Times New Roman"/>
                <w:b/>
                <w:kern w:val="2"/>
                <w:sz w:val="20"/>
                <w:szCs w:val="20"/>
                <w:lang/>
              </w:rPr>
              <w:t>Inter-State IR</w:t>
            </w:r>
          </w:p>
        </w:tc>
        <w:tc>
          <w:tcPr>
            <w:tcW w:w="635" w:type="pct"/>
            <w:tcBorders>
              <w:top w:val="single" w:sz="4" w:space="0" w:color="auto"/>
              <w:left w:val="nil"/>
              <w:bottom w:val="single" w:sz="4" w:space="0" w:color="auto"/>
              <w:right w:val="nil"/>
            </w:tcBorders>
            <w:hideMark/>
          </w:tcPr>
          <w:p w14:paraId="0916A47F" w14:textId="77777777" w:rsidR="00CD4846" w:rsidRPr="00CD4846" w:rsidRDefault="00CD4846" w:rsidP="00283B83">
            <w:pPr>
              <w:widowControl w:val="0"/>
              <w:autoSpaceDE w:val="0"/>
              <w:autoSpaceDN w:val="0"/>
              <w:adjustRightInd w:val="0"/>
              <w:spacing w:line="240" w:lineRule="auto"/>
              <w:rPr>
                <w:rFonts w:eastAsia="Calibri" w:cs="Times New Roman"/>
                <w:b/>
                <w:kern w:val="2"/>
                <w:sz w:val="20"/>
                <w:szCs w:val="20"/>
                <w:lang/>
              </w:rPr>
            </w:pPr>
            <w:r w:rsidRPr="00CD4846">
              <w:rPr>
                <w:rFonts w:eastAsia="Calibri" w:cs="Times New Roman"/>
                <w:b/>
                <w:kern w:val="2"/>
                <w:sz w:val="20"/>
                <w:szCs w:val="20"/>
                <w:lang/>
              </w:rPr>
              <w:t>Total Entries</w:t>
            </w:r>
          </w:p>
        </w:tc>
      </w:tr>
      <w:tr w:rsidR="001953BB" w:rsidRPr="00CD4846" w14:paraId="0249C187" w14:textId="77777777" w:rsidTr="001953BB">
        <w:tc>
          <w:tcPr>
            <w:tcW w:w="1204" w:type="pct"/>
            <w:tcBorders>
              <w:top w:val="single" w:sz="4" w:space="0" w:color="auto"/>
              <w:left w:val="nil"/>
              <w:bottom w:val="nil"/>
              <w:right w:val="nil"/>
            </w:tcBorders>
            <w:hideMark/>
          </w:tcPr>
          <w:p w14:paraId="642ACA78"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 xml:space="preserve">Broad </w:t>
            </w:r>
            <w:r w:rsidRPr="00CD4846">
              <w:rPr>
                <w:rFonts w:eastAsia="Calibri" w:cs="Times New Roman"/>
                <w:kern w:val="2"/>
                <w:sz w:val="20"/>
                <w:szCs w:val="20"/>
                <w:lang/>
              </w:rPr>
              <w:t>PA</w:t>
            </w:r>
            <w:r w:rsidRPr="00CD4846">
              <w:rPr>
                <w:rFonts w:eastAsia="Calibri" w:cs="Times New Roman"/>
                <w:kern w:val="2"/>
                <w:sz w:val="20"/>
                <w:szCs w:val="20"/>
                <w:lang/>
              </w:rPr>
              <w:t xml:space="preserve">D </w:t>
            </w:r>
            <w:r w:rsidRPr="00CD4846">
              <w:rPr>
                <w:rFonts w:eastAsia="Calibri" w:cs="Times New Roman"/>
                <w:kern w:val="2"/>
                <w:sz w:val="20"/>
                <w:szCs w:val="20"/>
                <w:lang/>
              </w:rPr>
              <w:t>(t-1)</w:t>
            </w:r>
          </w:p>
        </w:tc>
        <w:tc>
          <w:tcPr>
            <w:tcW w:w="579" w:type="pct"/>
            <w:tcBorders>
              <w:top w:val="single" w:sz="4" w:space="0" w:color="auto"/>
              <w:left w:val="nil"/>
              <w:bottom w:val="nil"/>
              <w:right w:val="nil"/>
            </w:tcBorders>
            <w:hideMark/>
          </w:tcPr>
          <w:p w14:paraId="58A6460B"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-2.322</w:t>
            </w:r>
          </w:p>
        </w:tc>
        <w:tc>
          <w:tcPr>
            <w:tcW w:w="1159" w:type="pct"/>
            <w:tcBorders>
              <w:top w:val="single" w:sz="4" w:space="0" w:color="auto"/>
              <w:left w:val="nil"/>
              <w:bottom w:val="nil"/>
              <w:right w:val="nil"/>
            </w:tcBorders>
            <w:hideMark/>
          </w:tcPr>
          <w:p w14:paraId="7DD9F5C6"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1.040</w:t>
            </w:r>
          </w:p>
        </w:tc>
        <w:tc>
          <w:tcPr>
            <w:tcW w:w="710" w:type="pct"/>
            <w:tcBorders>
              <w:top w:val="single" w:sz="4" w:space="0" w:color="auto"/>
              <w:left w:val="nil"/>
              <w:bottom w:val="nil"/>
              <w:right w:val="nil"/>
            </w:tcBorders>
            <w:hideMark/>
          </w:tcPr>
          <w:p w14:paraId="2DB6AEB5"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1.412</w:t>
            </w:r>
          </w:p>
        </w:tc>
        <w:tc>
          <w:tcPr>
            <w:tcW w:w="713" w:type="pct"/>
            <w:tcBorders>
              <w:top w:val="single" w:sz="4" w:space="0" w:color="auto"/>
              <w:left w:val="nil"/>
              <w:bottom w:val="nil"/>
              <w:right w:val="nil"/>
            </w:tcBorders>
            <w:hideMark/>
          </w:tcPr>
          <w:p w14:paraId="5459204F"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9.399</w:t>
            </w:r>
          </w:p>
        </w:tc>
        <w:tc>
          <w:tcPr>
            <w:tcW w:w="635" w:type="pct"/>
            <w:tcBorders>
              <w:top w:val="single" w:sz="4" w:space="0" w:color="auto"/>
              <w:left w:val="nil"/>
              <w:bottom w:val="nil"/>
              <w:right w:val="nil"/>
            </w:tcBorders>
            <w:hideMark/>
          </w:tcPr>
          <w:p w14:paraId="7A394645"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-2.440</w:t>
            </w:r>
          </w:p>
        </w:tc>
      </w:tr>
      <w:tr w:rsidR="001953BB" w:rsidRPr="00CD4846" w14:paraId="4244E759" w14:textId="77777777" w:rsidTr="001953BB">
        <w:tc>
          <w:tcPr>
            <w:tcW w:w="1204" w:type="pct"/>
            <w:tcBorders>
              <w:top w:val="nil"/>
              <w:left w:val="nil"/>
              <w:bottom w:val="nil"/>
              <w:right w:val="nil"/>
            </w:tcBorders>
            <w:hideMark/>
          </w:tcPr>
          <w:p w14:paraId="62920047"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 xml:space="preserve">  </w:t>
            </w:r>
          </w:p>
        </w:tc>
        <w:tc>
          <w:tcPr>
            <w:tcW w:w="579" w:type="pct"/>
            <w:tcBorders>
              <w:top w:val="nil"/>
              <w:left w:val="nil"/>
              <w:bottom w:val="nil"/>
              <w:right w:val="nil"/>
            </w:tcBorders>
            <w:hideMark/>
          </w:tcPr>
          <w:p w14:paraId="16219264"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(1.921)</w:t>
            </w:r>
          </w:p>
        </w:tc>
        <w:tc>
          <w:tcPr>
            <w:tcW w:w="1159" w:type="pct"/>
            <w:tcBorders>
              <w:top w:val="nil"/>
              <w:left w:val="nil"/>
              <w:bottom w:val="nil"/>
              <w:right w:val="nil"/>
            </w:tcBorders>
            <w:hideMark/>
          </w:tcPr>
          <w:p w14:paraId="20F9D4B5"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(2.742)</w:t>
            </w:r>
          </w:p>
        </w:tc>
        <w:tc>
          <w:tcPr>
            <w:tcW w:w="710" w:type="pct"/>
            <w:tcBorders>
              <w:top w:val="nil"/>
              <w:left w:val="nil"/>
              <w:bottom w:val="nil"/>
              <w:right w:val="nil"/>
            </w:tcBorders>
            <w:hideMark/>
          </w:tcPr>
          <w:p w14:paraId="2B61D715"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(2.765)</w:t>
            </w:r>
          </w:p>
        </w:tc>
        <w:tc>
          <w:tcPr>
            <w:tcW w:w="713" w:type="pct"/>
            <w:tcBorders>
              <w:top w:val="nil"/>
              <w:left w:val="nil"/>
              <w:bottom w:val="nil"/>
              <w:right w:val="nil"/>
            </w:tcBorders>
            <w:hideMark/>
          </w:tcPr>
          <w:p w14:paraId="6385045D"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(13.786)</w:t>
            </w:r>
          </w:p>
        </w:tc>
        <w:tc>
          <w:tcPr>
            <w:tcW w:w="635" w:type="pct"/>
            <w:tcBorders>
              <w:top w:val="nil"/>
              <w:left w:val="nil"/>
              <w:bottom w:val="nil"/>
              <w:right w:val="nil"/>
            </w:tcBorders>
            <w:hideMark/>
          </w:tcPr>
          <w:p w14:paraId="0105456C"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(1.936)</w:t>
            </w:r>
          </w:p>
        </w:tc>
      </w:tr>
      <w:tr w:rsidR="001953BB" w:rsidRPr="00CD4846" w14:paraId="75D69D73" w14:textId="77777777" w:rsidTr="001953BB">
        <w:tc>
          <w:tcPr>
            <w:tcW w:w="1204" w:type="pct"/>
            <w:tcBorders>
              <w:top w:val="nil"/>
              <w:left w:val="nil"/>
              <w:bottom w:val="nil"/>
              <w:right w:val="nil"/>
            </w:tcBorders>
            <w:hideMark/>
          </w:tcPr>
          <w:p w14:paraId="686C1420"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 xml:space="preserve">Broad </w:t>
            </w:r>
            <w:r w:rsidRPr="00CD4846">
              <w:rPr>
                <w:rFonts w:eastAsia="Calibri" w:cs="Times New Roman"/>
                <w:kern w:val="2"/>
                <w:sz w:val="20"/>
                <w:szCs w:val="20"/>
                <w:lang/>
              </w:rPr>
              <w:t>PA</w:t>
            </w:r>
            <w:r w:rsidRPr="00CD4846">
              <w:rPr>
                <w:rFonts w:eastAsia="Calibri" w:cs="Times New Roman"/>
                <w:kern w:val="2"/>
                <w:sz w:val="20"/>
                <w:szCs w:val="20"/>
                <w:lang/>
              </w:rPr>
              <w:t xml:space="preserve">D </w:t>
            </w:r>
            <w:r w:rsidRPr="00CD4846">
              <w:rPr>
                <w:rFonts w:eastAsia="Calibri" w:cs="Times New Roman"/>
                <w:kern w:val="2"/>
                <w:sz w:val="20"/>
                <w:szCs w:val="20"/>
                <w:lang/>
              </w:rPr>
              <w:t>Squared (t-1)</w:t>
            </w:r>
          </w:p>
        </w:tc>
        <w:tc>
          <w:tcPr>
            <w:tcW w:w="579" w:type="pct"/>
            <w:tcBorders>
              <w:top w:val="nil"/>
              <w:left w:val="nil"/>
              <w:bottom w:val="nil"/>
              <w:right w:val="nil"/>
            </w:tcBorders>
            <w:hideMark/>
          </w:tcPr>
          <w:p w14:paraId="154D1048"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2.469</w:t>
            </w:r>
          </w:p>
        </w:tc>
        <w:tc>
          <w:tcPr>
            <w:tcW w:w="1159" w:type="pct"/>
            <w:tcBorders>
              <w:top w:val="nil"/>
              <w:left w:val="nil"/>
              <w:bottom w:val="nil"/>
              <w:right w:val="nil"/>
            </w:tcBorders>
            <w:hideMark/>
          </w:tcPr>
          <w:p w14:paraId="487648E9"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-1.947</w:t>
            </w:r>
          </w:p>
        </w:tc>
        <w:tc>
          <w:tcPr>
            <w:tcW w:w="710" w:type="pct"/>
            <w:tcBorders>
              <w:top w:val="nil"/>
              <w:left w:val="nil"/>
              <w:bottom w:val="nil"/>
              <w:right w:val="nil"/>
            </w:tcBorders>
            <w:hideMark/>
          </w:tcPr>
          <w:p w14:paraId="7CD7F9AB"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-2.577</w:t>
            </w:r>
          </w:p>
        </w:tc>
        <w:tc>
          <w:tcPr>
            <w:tcW w:w="713" w:type="pct"/>
            <w:tcBorders>
              <w:top w:val="nil"/>
              <w:left w:val="nil"/>
              <w:bottom w:val="nil"/>
              <w:right w:val="nil"/>
            </w:tcBorders>
            <w:hideMark/>
          </w:tcPr>
          <w:p w14:paraId="04920BF6"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-8.909</w:t>
            </w:r>
          </w:p>
        </w:tc>
        <w:tc>
          <w:tcPr>
            <w:tcW w:w="635" w:type="pct"/>
            <w:tcBorders>
              <w:top w:val="nil"/>
              <w:left w:val="nil"/>
              <w:bottom w:val="nil"/>
              <w:right w:val="nil"/>
            </w:tcBorders>
            <w:hideMark/>
          </w:tcPr>
          <w:p w14:paraId="71E19323"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2.586</w:t>
            </w:r>
          </w:p>
        </w:tc>
      </w:tr>
      <w:tr w:rsidR="001953BB" w:rsidRPr="00CD4846" w14:paraId="789E69AB" w14:textId="77777777" w:rsidTr="001953BB">
        <w:tc>
          <w:tcPr>
            <w:tcW w:w="1204" w:type="pct"/>
            <w:tcBorders>
              <w:top w:val="nil"/>
              <w:left w:val="nil"/>
              <w:bottom w:val="nil"/>
              <w:right w:val="nil"/>
            </w:tcBorders>
            <w:hideMark/>
          </w:tcPr>
          <w:p w14:paraId="456328CE"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 xml:space="preserve">  </w:t>
            </w:r>
          </w:p>
        </w:tc>
        <w:tc>
          <w:tcPr>
            <w:tcW w:w="579" w:type="pct"/>
            <w:tcBorders>
              <w:top w:val="nil"/>
              <w:left w:val="nil"/>
              <w:bottom w:val="nil"/>
              <w:right w:val="nil"/>
            </w:tcBorders>
            <w:hideMark/>
          </w:tcPr>
          <w:p w14:paraId="08215390"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(2.011)</w:t>
            </w:r>
          </w:p>
        </w:tc>
        <w:tc>
          <w:tcPr>
            <w:tcW w:w="1159" w:type="pct"/>
            <w:tcBorders>
              <w:top w:val="nil"/>
              <w:left w:val="nil"/>
              <w:bottom w:val="nil"/>
              <w:right w:val="nil"/>
            </w:tcBorders>
            <w:hideMark/>
          </w:tcPr>
          <w:p w14:paraId="018F5DEF"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(2.544)</w:t>
            </w:r>
          </w:p>
        </w:tc>
        <w:tc>
          <w:tcPr>
            <w:tcW w:w="710" w:type="pct"/>
            <w:tcBorders>
              <w:top w:val="nil"/>
              <w:left w:val="nil"/>
              <w:bottom w:val="nil"/>
              <w:right w:val="nil"/>
            </w:tcBorders>
            <w:hideMark/>
          </w:tcPr>
          <w:p w14:paraId="74134A26"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(2.551)</w:t>
            </w:r>
          </w:p>
        </w:tc>
        <w:tc>
          <w:tcPr>
            <w:tcW w:w="713" w:type="pct"/>
            <w:tcBorders>
              <w:top w:val="nil"/>
              <w:left w:val="nil"/>
              <w:bottom w:val="nil"/>
              <w:right w:val="nil"/>
            </w:tcBorders>
            <w:hideMark/>
          </w:tcPr>
          <w:p w14:paraId="23109A14"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(12.704)</w:t>
            </w:r>
          </w:p>
        </w:tc>
        <w:tc>
          <w:tcPr>
            <w:tcW w:w="635" w:type="pct"/>
            <w:tcBorders>
              <w:top w:val="nil"/>
              <w:left w:val="nil"/>
              <w:bottom w:val="nil"/>
              <w:right w:val="nil"/>
            </w:tcBorders>
            <w:hideMark/>
          </w:tcPr>
          <w:p w14:paraId="4EF3C376"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(2.033)</w:t>
            </w:r>
          </w:p>
        </w:tc>
      </w:tr>
      <w:tr w:rsidR="001953BB" w:rsidRPr="00CD4846" w14:paraId="45E05F42" w14:textId="77777777" w:rsidTr="001953BB">
        <w:tc>
          <w:tcPr>
            <w:tcW w:w="1204" w:type="pct"/>
            <w:tcBorders>
              <w:top w:val="nil"/>
              <w:left w:val="nil"/>
              <w:bottom w:val="nil"/>
              <w:right w:val="nil"/>
            </w:tcBorders>
            <w:hideMark/>
          </w:tcPr>
          <w:p w14:paraId="7048C339"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Loc. Economies (t-1) (10ks)</w:t>
            </w:r>
          </w:p>
        </w:tc>
        <w:tc>
          <w:tcPr>
            <w:tcW w:w="579" w:type="pct"/>
            <w:tcBorders>
              <w:top w:val="nil"/>
              <w:left w:val="nil"/>
              <w:bottom w:val="nil"/>
              <w:right w:val="nil"/>
            </w:tcBorders>
            <w:hideMark/>
          </w:tcPr>
          <w:p w14:paraId="32765685"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0.586***</w:t>
            </w:r>
          </w:p>
        </w:tc>
        <w:tc>
          <w:tcPr>
            <w:tcW w:w="1159" w:type="pct"/>
            <w:tcBorders>
              <w:top w:val="nil"/>
              <w:left w:val="nil"/>
              <w:bottom w:val="nil"/>
              <w:right w:val="nil"/>
            </w:tcBorders>
            <w:hideMark/>
          </w:tcPr>
          <w:p w14:paraId="00E20D0E"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0.916***</w:t>
            </w:r>
          </w:p>
        </w:tc>
        <w:tc>
          <w:tcPr>
            <w:tcW w:w="710" w:type="pct"/>
            <w:tcBorders>
              <w:top w:val="nil"/>
              <w:left w:val="nil"/>
              <w:bottom w:val="nil"/>
              <w:right w:val="nil"/>
            </w:tcBorders>
            <w:hideMark/>
          </w:tcPr>
          <w:p w14:paraId="7B1B724D"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1.326***</w:t>
            </w:r>
          </w:p>
        </w:tc>
        <w:tc>
          <w:tcPr>
            <w:tcW w:w="713" w:type="pct"/>
            <w:tcBorders>
              <w:top w:val="nil"/>
              <w:left w:val="nil"/>
              <w:bottom w:val="nil"/>
              <w:right w:val="nil"/>
            </w:tcBorders>
            <w:hideMark/>
          </w:tcPr>
          <w:p w14:paraId="66FCF838"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-0.424*</w:t>
            </w:r>
          </w:p>
        </w:tc>
        <w:tc>
          <w:tcPr>
            <w:tcW w:w="635" w:type="pct"/>
            <w:tcBorders>
              <w:top w:val="nil"/>
              <w:left w:val="nil"/>
              <w:bottom w:val="nil"/>
              <w:right w:val="nil"/>
            </w:tcBorders>
            <w:hideMark/>
          </w:tcPr>
          <w:p w14:paraId="11CB78A7"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0.584***</w:t>
            </w:r>
          </w:p>
        </w:tc>
      </w:tr>
      <w:tr w:rsidR="001953BB" w:rsidRPr="00CD4846" w14:paraId="1DE78AFD" w14:textId="77777777" w:rsidTr="001953BB">
        <w:tc>
          <w:tcPr>
            <w:tcW w:w="1204" w:type="pct"/>
            <w:tcBorders>
              <w:top w:val="nil"/>
              <w:left w:val="nil"/>
              <w:bottom w:val="nil"/>
              <w:right w:val="nil"/>
            </w:tcBorders>
            <w:hideMark/>
          </w:tcPr>
          <w:p w14:paraId="4BB3307B"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 xml:space="preserve">  </w:t>
            </w:r>
          </w:p>
        </w:tc>
        <w:tc>
          <w:tcPr>
            <w:tcW w:w="579" w:type="pct"/>
            <w:tcBorders>
              <w:top w:val="nil"/>
              <w:left w:val="nil"/>
              <w:bottom w:val="nil"/>
              <w:right w:val="nil"/>
            </w:tcBorders>
            <w:hideMark/>
          </w:tcPr>
          <w:p w14:paraId="3457BFCB"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(0.160)</w:t>
            </w:r>
          </w:p>
        </w:tc>
        <w:tc>
          <w:tcPr>
            <w:tcW w:w="1159" w:type="pct"/>
            <w:tcBorders>
              <w:top w:val="nil"/>
              <w:left w:val="nil"/>
              <w:bottom w:val="nil"/>
              <w:right w:val="nil"/>
            </w:tcBorders>
            <w:hideMark/>
          </w:tcPr>
          <w:p w14:paraId="256591CF"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(0.286)</w:t>
            </w:r>
          </w:p>
        </w:tc>
        <w:tc>
          <w:tcPr>
            <w:tcW w:w="710" w:type="pct"/>
            <w:tcBorders>
              <w:top w:val="nil"/>
              <w:left w:val="nil"/>
              <w:bottom w:val="nil"/>
              <w:right w:val="nil"/>
            </w:tcBorders>
            <w:hideMark/>
          </w:tcPr>
          <w:p w14:paraId="44977B7B"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(0.296)</w:t>
            </w:r>
          </w:p>
        </w:tc>
        <w:tc>
          <w:tcPr>
            <w:tcW w:w="713" w:type="pct"/>
            <w:tcBorders>
              <w:top w:val="nil"/>
              <w:left w:val="nil"/>
              <w:bottom w:val="nil"/>
              <w:right w:val="nil"/>
            </w:tcBorders>
            <w:hideMark/>
          </w:tcPr>
          <w:p w14:paraId="0268E9E4"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(0.243)</w:t>
            </w:r>
          </w:p>
        </w:tc>
        <w:tc>
          <w:tcPr>
            <w:tcW w:w="635" w:type="pct"/>
            <w:tcBorders>
              <w:top w:val="nil"/>
              <w:left w:val="nil"/>
              <w:bottom w:val="nil"/>
              <w:right w:val="nil"/>
            </w:tcBorders>
            <w:hideMark/>
          </w:tcPr>
          <w:p w14:paraId="0DE178E4"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(0.158)</w:t>
            </w:r>
          </w:p>
        </w:tc>
      </w:tr>
      <w:tr w:rsidR="001953BB" w:rsidRPr="00CD4846" w14:paraId="6737D1FF" w14:textId="77777777" w:rsidTr="001953BB">
        <w:tc>
          <w:tcPr>
            <w:tcW w:w="1204" w:type="pct"/>
            <w:tcBorders>
              <w:top w:val="nil"/>
              <w:left w:val="nil"/>
              <w:bottom w:val="nil"/>
              <w:right w:val="nil"/>
            </w:tcBorders>
            <w:hideMark/>
          </w:tcPr>
          <w:p w14:paraId="56CBD351"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Median HH Income (100ks)</w:t>
            </w:r>
          </w:p>
        </w:tc>
        <w:tc>
          <w:tcPr>
            <w:tcW w:w="579" w:type="pct"/>
            <w:tcBorders>
              <w:top w:val="nil"/>
              <w:left w:val="nil"/>
              <w:bottom w:val="nil"/>
              <w:right w:val="nil"/>
            </w:tcBorders>
            <w:hideMark/>
          </w:tcPr>
          <w:p w14:paraId="6476A83C"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-0.153</w:t>
            </w:r>
          </w:p>
        </w:tc>
        <w:tc>
          <w:tcPr>
            <w:tcW w:w="1159" w:type="pct"/>
            <w:tcBorders>
              <w:top w:val="nil"/>
              <w:left w:val="nil"/>
              <w:bottom w:val="nil"/>
              <w:right w:val="nil"/>
            </w:tcBorders>
            <w:hideMark/>
          </w:tcPr>
          <w:p w14:paraId="3720EF86"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-0.202</w:t>
            </w:r>
          </w:p>
        </w:tc>
        <w:tc>
          <w:tcPr>
            <w:tcW w:w="710" w:type="pct"/>
            <w:tcBorders>
              <w:top w:val="nil"/>
              <w:left w:val="nil"/>
              <w:bottom w:val="nil"/>
              <w:right w:val="nil"/>
            </w:tcBorders>
            <w:hideMark/>
          </w:tcPr>
          <w:p w14:paraId="0591A679"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-0.011</w:t>
            </w:r>
          </w:p>
        </w:tc>
        <w:tc>
          <w:tcPr>
            <w:tcW w:w="713" w:type="pct"/>
            <w:tcBorders>
              <w:top w:val="nil"/>
              <w:left w:val="nil"/>
              <w:bottom w:val="nil"/>
              <w:right w:val="nil"/>
            </w:tcBorders>
            <w:hideMark/>
          </w:tcPr>
          <w:p w14:paraId="3FAC2BAD"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-4.162**</w:t>
            </w:r>
          </w:p>
        </w:tc>
        <w:tc>
          <w:tcPr>
            <w:tcW w:w="635" w:type="pct"/>
            <w:tcBorders>
              <w:top w:val="nil"/>
              <w:left w:val="nil"/>
              <w:bottom w:val="nil"/>
              <w:right w:val="nil"/>
            </w:tcBorders>
            <w:hideMark/>
          </w:tcPr>
          <w:p w14:paraId="4B145CC5"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-0.152</w:t>
            </w:r>
          </w:p>
        </w:tc>
      </w:tr>
      <w:tr w:rsidR="001953BB" w:rsidRPr="00CD4846" w14:paraId="32AC7408" w14:textId="77777777" w:rsidTr="001953BB">
        <w:tc>
          <w:tcPr>
            <w:tcW w:w="1204" w:type="pct"/>
            <w:tcBorders>
              <w:top w:val="nil"/>
              <w:left w:val="nil"/>
              <w:bottom w:val="nil"/>
              <w:right w:val="nil"/>
            </w:tcBorders>
            <w:hideMark/>
          </w:tcPr>
          <w:p w14:paraId="63801B12"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 xml:space="preserve">  </w:t>
            </w:r>
          </w:p>
        </w:tc>
        <w:tc>
          <w:tcPr>
            <w:tcW w:w="579" w:type="pct"/>
            <w:tcBorders>
              <w:top w:val="nil"/>
              <w:left w:val="nil"/>
              <w:bottom w:val="nil"/>
              <w:right w:val="nil"/>
            </w:tcBorders>
            <w:hideMark/>
          </w:tcPr>
          <w:p w14:paraId="449B6FE9"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(0.177)</w:t>
            </w:r>
          </w:p>
        </w:tc>
        <w:tc>
          <w:tcPr>
            <w:tcW w:w="1159" w:type="pct"/>
            <w:tcBorders>
              <w:top w:val="nil"/>
              <w:left w:val="nil"/>
              <w:bottom w:val="nil"/>
              <w:right w:val="nil"/>
            </w:tcBorders>
            <w:hideMark/>
          </w:tcPr>
          <w:p w14:paraId="1A21067A"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(0.317)</w:t>
            </w:r>
          </w:p>
        </w:tc>
        <w:tc>
          <w:tcPr>
            <w:tcW w:w="710" w:type="pct"/>
            <w:tcBorders>
              <w:top w:val="nil"/>
              <w:left w:val="nil"/>
              <w:bottom w:val="nil"/>
              <w:right w:val="nil"/>
            </w:tcBorders>
            <w:hideMark/>
          </w:tcPr>
          <w:p w14:paraId="00023F14"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(0.321)</w:t>
            </w:r>
          </w:p>
        </w:tc>
        <w:tc>
          <w:tcPr>
            <w:tcW w:w="713" w:type="pct"/>
            <w:tcBorders>
              <w:top w:val="nil"/>
              <w:left w:val="nil"/>
              <w:bottom w:val="nil"/>
              <w:right w:val="nil"/>
            </w:tcBorders>
            <w:hideMark/>
          </w:tcPr>
          <w:p w14:paraId="713AA40D"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(1.833)</w:t>
            </w:r>
          </w:p>
        </w:tc>
        <w:tc>
          <w:tcPr>
            <w:tcW w:w="635" w:type="pct"/>
            <w:tcBorders>
              <w:top w:val="nil"/>
              <w:left w:val="nil"/>
              <w:bottom w:val="nil"/>
              <w:right w:val="nil"/>
            </w:tcBorders>
            <w:hideMark/>
          </w:tcPr>
          <w:p w14:paraId="71B472FE"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(0.174)</w:t>
            </w:r>
          </w:p>
        </w:tc>
      </w:tr>
      <w:tr w:rsidR="001953BB" w:rsidRPr="00CD4846" w14:paraId="46B2882E" w14:textId="77777777" w:rsidTr="001953BB">
        <w:tc>
          <w:tcPr>
            <w:tcW w:w="1204" w:type="pct"/>
            <w:tcBorders>
              <w:top w:val="nil"/>
              <w:left w:val="nil"/>
              <w:bottom w:val="nil"/>
              <w:right w:val="nil"/>
            </w:tcBorders>
            <w:hideMark/>
          </w:tcPr>
          <w:p w14:paraId="1CEC3731"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Housing Price Index (100s)</w:t>
            </w:r>
          </w:p>
        </w:tc>
        <w:tc>
          <w:tcPr>
            <w:tcW w:w="579" w:type="pct"/>
            <w:tcBorders>
              <w:top w:val="nil"/>
              <w:left w:val="nil"/>
              <w:bottom w:val="nil"/>
              <w:right w:val="nil"/>
            </w:tcBorders>
            <w:hideMark/>
          </w:tcPr>
          <w:p w14:paraId="2D0E15F0"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0.016</w:t>
            </w:r>
          </w:p>
        </w:tc>
        <w:tc>
          <w:tcPr>
            <w:tcW w:w="1159" w:type="pct"/>
            <w:tcBorders>
              <w:top w:val="nil"/>
              <w:left w:val="nil"/>
              <w:bottom w:val="nil"/>
              <w:right w:val="nil"/>
            </w:tcBorders>
            <w:hideMark/>
          </w:tcPr>
          <w:p w14:paraId="106C6870"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-0.002</w:t>
            </w:r>
          </w:p>
        </w:tc>
        <w:tc>
          <w:tcPr>
            <w:tcW w:w="710" w:type="pct"/>
            <w:tcBorders>
              <w:top w:val="nil"/>
              <w:left w:val="nil"/>
              <w:bottom w:val="nil"/>
              <w:right w:val="nil"/>
            </w:tcBorders>
            <w:hideMark/>
          </w:tcPr>
          <w:p w14:paraId="29EF58C5"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-0.007</w:t>
            </w:r>
          </w:p>
        </w:tc>
        <w:tc>
          <w:tcPr>
            <w:tcW w:w="713" w:type="pct"/>
            <w:tcBorders>
              <w:top w:val="nil"/>
              <w:left w:val="nil"/>
              <w:bottom w:val="nil"/>
              <w:right w:val="nil"/>
            </w:tcBorders>
            <w:hideMark/>
          </w:tcPr>
          <w:p w14:paraId="5E2D4D5D"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0.022</w:t>
            </w:r>
          </w:p>
        </w:tc>
        <w:tc>
          <w:tcPr>
            <w:tcW w:w="635" w:type="pct"/>
            <w:tcBorders>
              <w:top w:val="nil"/>
              <w:left w:val="nil"/>
              <w:bottom w:val="nil"/>
              <w:right w:val="nil"/>
            </w:tcBorders>
            <w:hideMark/>
          </w:tcPr>
          <w:p w14:paraId="0AFDD3C9"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0.014</w:t>
            </w:r>
          </w:p>
        </w:tc>
      </w:tr>
      <w:tr w:rsidR="001953BB" w:rsidRPr="00CD4846" w14:paraId="4892BAC0" w14:textId="77777777" w:rsidTr="001953BB">
        <w:tc>
          <w:tcPr>
            <w:tcW w:w="1204" w:type="pct"/>
            <w:tcBorders>
              <w:top w:val="nil"/>
              <w:left w:val="nil"/>
              <w:bottom w:val="nil"/>
              <w:right w:val="nil"/>
            </w:tcBorders>
            <w:hideMark/>
          </w:tcPr>
          <w:p w14:paraId="4A1F3576"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 xml:space="preserve">  </w:t>
            </w:r>
          </w:p>
        </w:tc>
        <w:tc>
          <w:tcPr>
            <w:tcW w:w="579" w:type="pct"/>
            <w:tcBorders>
              <w:top w:val="nil"/>
              <w:left w:val="nil"/>
              <w:bottom w:val="nil"/>
              <w:right w:val="nil"/>
            </w:tcBorders>
            <w:hideMark/>
          </w:tcPr>
          <w:p w14:paraId="2A52C729"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(0.013)</w:t>
            </w:r>
          </w:p>
        </w:tc>
        <w:tc>
          <w:tcPr>
            <w:tcW w:w="1159" w:type="pct"/>
            <w:tcBorders>
              <w:top w:val="nil"/>
              <w:left w:val="nil"/>
              <w:bottom w:val="nil"/>
              <w:right w:val="nil"/>
            </w:tcBorders>
            <w:hideMark/>
          </w:tcPr>
          <w:p w14:paraId="44AF3AD3"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(0.024)</w:t>
            </w:r>
          </w:p>
        </w:tc>
        <w:tc>
          <w:tcPr>
            <w:tcW w:w="710" w:type="pct"/>
            <w:tcBorders>
              <w:top w:val="nil"/>
              <w:left w:val="nil"/>
              <w:bottom w:val="nil"/>
              <w:right w:val="nil"/>
            </w:tcBorders>
            <w:hideMark/>
          </w:tcPr>
          <w:p w14:paraId="11707CB5"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(0.025)</w:t>
            </w:r>
          </w:p>
        </w:tc>
        <w:tc>
          <w:tcPr>
            <w:tcW w:w="713" w:type="pct"/>
            <w:tcBorders>
              <w:top w:val="nil"/>
              <w:left w:val="nil"/>
              <w:bottom w:val="nil"/>
              <w:right w:val="nil"/>
            </w:tcBorders>
            <w:hideMark/>
          </w:tcPr>
          <w:p w14:paraId="236CED3E"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(0.116)</w:t>
            </w:r>
          </w:p>
        </w:tc>
        <w:tc>
          <w:tcPr>
            <w:tcW w:w="635" w:type="pct"/>
            <w:tcBorders>
              <w:top w:val="nil"/>
              <w:left w:val="nil"/>
              <w:bottom w:val="nil"/>
              <w:right w:val="nil"/>
            </w:tcBorders>
            <w:hideMark/>
          </w:tcPr>
          <w:p w14:paraId="24D633EC"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(0.013)</w:t>
            </w:r>
          </w:p>
        </w:tc>
      </w:tr>
      <w:tr w:rsidR="001953BB" w:rsidRPr="00CD4846" w14:paraId="772C9941" w14:textId="77777777" w:rsidTr="001953BB">
        <w:tc>
          <w:tcPr>
            <w:tcW w:w="1204" w:type="pct"/>
            <w:tcBorders>
              <w:top w:val="nil"/>
              <w:left w:val="nil"/>
              <w:bottom w:val="nil"/>
              <w:right w:val="nil"/>
            </w:tcBorders>
            <w:hideMark/>
          </w:tcPr>
          <w:p w14:paraId="401345AC"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Poverty rate (100s)</w:t>
            </w:r>
          </w:p>
        </w:tc>
        <w:tc>
          <w:tcPr>
            <w:tcW w:w="579" w:type="pct"/>
            <w:tcBorders>
              <w:top w:val="nil"/>
              <w:left w:val="nil"/>
              <w:bottom w:val="nil"/>
              <w:right w:val="nil"/>
            </w:tcBorders>
            <w:hideMark/>
          </w:tcPr>
          <w:p w14:paraId="3E649CDE"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0.048</w:t>
            </w:r>
          </w:p>
        </w:tc>
        <w:tc>
          <w:tcPr>
            <w:tcW w:w="1159" w:type="pct"/>
            <w:tcBorders>
              <w:top w:val="nil"/>
              <w:left w:val="nil"/>
              <w:bottom w:val="nil"/>
              <w:right w:val="nil"/>
            </w:tcBorders>
            <w:hideMark/>
          </w:tcPr>
          <w:p w14:paraId="34E2D222"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-0.234</w:t>
            </w:r>
          </w:p>
        </w:tc>
        <w:tc>
          <w:tcPr>
            <w:tcW w:w="710" w:type="pct"/>
            <w:tcBorders>
              <w:top w:val="nil"/>
              <w:left w:val="nil"/>
              <w:bottom w:val="nil"/>
              <w:right w:val="nil"/>
            </w:tcBorders>
            <w:hideMark/>
          </w:tcPr>
          <w:p w14:paraId="7CA421E3"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-0.035</w:t>
            </w:r>
          </w:p>
        </w:tc>
        <w:tc>
          <w:tcPr>
            <w:tcW w:w="713" w:type="pct"/>
            <w:tcBorders>
              <w:top w:val="nil"/>
              <w:left w:val="nil"/>
              <w:bottom w:val="nil"/>
              <w:right w:val="nil"/>
            </w:tcBorders>
            <w:hideMark/>
          </w:tcPr>
          <w:p w14:paraId="3FB502DE"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-1.554</w:t>
            </w:r>
          </w:p>
        </w:tc>
        <w:tc>
          <w:tcPr>
            <w:tcW w:w="635" w:type="pct"/>
            <w:tcBorders>
              <w:top w:val="nil"/>
              <w:left w:val="nil"/>
              <w:bottom w:val="nil"/>
              <w:right w:val="nil"/>
            </w:tcBorders>
            <w:hideMark/>
          </w:tcPr>
          <w:p w14:paraId="1E3BCCCD"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0.057</w:t>
            </w:r>
          </w:p>
        </w:tc>
      </w:tr>
      <w:tr w:rsidR="001953BB" w:rsidRPr="00CD4846" w14:paraId="469C5D39" w14:textId="77777777" w:rsidTr="001953BB">
        <w:tc>
          <w:tcPr>
            <w:tcW w:w="1204" w:type="pct"/>
            <w:tcBorders>
              <w:top w:val="nil"/>
              <w:left w:val="nil"/>
              <w:bottom w:val="nil"/>
              <w:right w:val="nil"/>
            </w:tcBorders>
            <w:hideMark/>
          </w:tcPr>
          <w:p w14:paraId="05004914"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 xml:space="preserve">  </w:t>
            </w:r>
          </w:p>
        </w:tc>
        <w:tc>
          <w:tcPr>
            <w:tcW w:w="579" w:type="pct"/>
            <w:tcBorders>
              <w:top w:val="nil"/>
              <w:left w:val="nil"/>
              <w:bottom w:val="nil"/>
              <w:right w:val="nil"/>
            </w:tcBorders>
            <w:hideMark/>
          </w:tcPr>
          <w:p w14:paraId="77003E7B"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(0.329)</w:t>
            </w:r>
          </w:p>
        </w:tc>
        <w:tc>
          <w:tcPr>
            <w:tcW w:w="1159" w:type="pct"/>
            <w:tcBorders>
              <w:top w:val="nil"/>
              <w:left w:val="nil"/>
              <w:bottom w:val="nil"/>
              <w:right w:val="nil"/>
            </w:tcBorders>
            <w:hideMark/>
          </w:tcPr>
          <w:p w14:paraId="5F69FA0E"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(0.596)</w:t>
            </w:r>
          </w:p>
        </w:tc>
        <w:tc>
          <w:tcPr>
            <w:tcW w:w="710" w:type="pct"/>
            <w:tcBorders>
              <w:top w:val="nil"/>
              <w:left w:val="nil"/>
              <w:bottom w:val="nil"/>
              <w:right w:val="nil"/>
            </w:tcBorders>
            <w:hideMark/>
          </w:tcPr>
          <w:p w14:paraId="7FAAD136"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(0.600)</w:t>
            </w:r>
          </w:p>
        </w:tc>
        <w:tc>
          <w:tcPr>
            <w:tcW w:w="713" w:type="pct"/>
            <w:tcBorders>
              <w:top w:val="nil"/>
              <w:left w:val="nil"/>
              <w:bottom w:val="nil"/>
              <w:right w:val="nil"/>
            </w:tcBorders>
            <w:hideMark/>
          </w:tcPr>
          <w:p w14:paraId="5728F48F"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(4.369)</w:t>
            </w:r>
          </w:p>
        </w:tc>
        <w:tc>
          <w:tcPr>
            <w:tcW w:w="635" w:type="pct"/>
            <w:tcBorders>
              <w:top w:val="nil"/>
              <w:left w:val="nil"/>
              <w:bottom w:val="nil"/>
              <w:right w:val="nil"/>
            </w:tcBorders>
            <w:hideMark/>
          </w:tcPr>
          <w:p w14:paraId="593AFA2C"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(0.329)</w:t>
            </w:r>
          </w:p>
        </w:tc>
      </w:tr>
      <w:tr w:rsidR="001953BB" w:rsidRPr="00CD4846" w14:paraId="547EAB6D" w14:textId="77777777" w:rsidTr="001953BB">
        <w:tc>
          <w:tcPr>
            <w:tcW w:w="1204" w:type="pct"/>
            <w:tcBorders>
              <w:top w:val="nil"/>
              <w:left w:val="nil"/>
              <w:bottom w:val="nil"/>
              <w:right w:val="nil"/>
            </w:tcBorders>
            <w:hideMark/>
          </w:tcPr>
          <w:p w14:paraId="77B13B7B"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Avg annual wages (100k)</w:t>
            </w:r>
          </w:p>
        </w:tc>
        <w:tc>
          <w:tcPr>
            <w:tcW w:w="579" w:type="pct"/>
            <w:tcBorders>
              <w:top w:val="nil"/>
              <w:left w:val="nil"/>
              <w:bottom w:val="nil"/>
              <w:right w:val="nil"/>
            </w:tcBorders>
            <w:hideMark/>
          </w:tcPr>
          <w:p w14:paraId="6543CD7A"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0.086***</w:t>
            </w:r>
          </w:p>
        </w:tc>
        <w:tc>
          <w:tcPr>
            <w:tcW w:w="1159" w:type="pct"/>
            <w:tcBorders>
              <w:top w:val="nil"/>
              <w:left w:val="nil"/>
              <w:bottom w:val="nil"/>
              <w:right w:val="nil"/>
            </w:tcBorders>
            <w:hideMark/>
          </w:tcPr>
          <w:p w14:paraId="752E9B75"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0.106***</w:t>
            </w:r>
          </w:p>
        </w:tc>
        <w:tc>
          <w:tcPr>
            <w:tcW w:w="710" w:type="pct"/>
            <w:tcBorders>
              <w:top w:val="nil"/>
              <w:left w:val="nil"/>
              <w:bottom w:val="nil"/>
              <w:right w:val="nil"/>
            </w:tcBorders>
            <w:hideMark/>
          </w:tcPr>
          <w:p w14:paraId="180EC50D"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0.096***</w:t>
            </w:r>
          </w:p>
        </w:tc>
        <w:tc>
          <w:tcPr>
            <w:tcW w:w="713" w:type="pct"/>
            <w:tcBorders>
              <w:top w:val="nil"/>
              <w:left w:val="nil"/>
              <w:bottom w:val="nil"/>
              <w:right w:val="nil"/>
            </w:tcBorders>
            <w:hideMark/>
          </w:tcPr>
          <w:p w14:paraId="09AA4CC8"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0.143***</w:t>
            </w:r>
          </w:p>
        </w:tc>
        <w:tc>
          <w:tcPr>
            <w:tcW w:w="635" w:type="pct"/>
            <w:tcBorders>
              <w:top w:val="nil"/>
              <w:left w:val="nil"/>
              <w:bottom w:val="nil"/>
              <w:right w:val="nil"/>
            </w:tcBorders>
            <w:hideMark/>
          </w:tcPr>
          <w:p w14:paraId="65504BF4"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0.087***</w:t>
            </w:r>
          </w:p>
        </w:tc>
      </w:tr>
      <w:tr w:rsidR="001953BB" w:rsidRPr="00CD4846" w14:paraId="6EB8997E" w14:textId="77777777" w:rsidTr="001953BB">
        <w:tc>
          <w:tcPr>
            <w:tcW w:w="1204" w:type="pct"/>
            <w:tcBorders>
              <w:top w:val="nil"/>
              <w:left w:val="nil"/>
              <w:bottom w:val="nil"/>
              <w:right w:val="nil"/>
            </w:tcBorders>
            <w:hideMark/>
          </w:tcPr>
          <w:p w14:paraId="1A8361FF"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 xml:space="preserve">  </w:t>
            </w:r>
          </w:p>
        </w:tc>
        <w:tc>
          <w:tcPr>
            <w:tcW w:w="579" w:type="pct"/>
            <w:tcBorders>
              <w:top w:val="nil"/>
              <w:left w:val="nil"/>
              <w:bottom w:val="nil"/>
              <w:right w:val="nil"/>
            </w:tcBorders>
            <w:hideMark/>
          </w:tcPr>
          <w:p w14:paraId="3D532E9B"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(0.011)</w:t>
            </w:r>
          </w:p>
        </w:tc>
        <w:tc>
          <w:tcPr>
            <w:tcW w:w="1159" w:type="pct"/>
            <w:tcBorders>
              <w:top w:val="nil"/>
              <w:left w:val="nil"/>
              <w:bottom w:val="nil"/>
              <w:right w:val="nil"/>
            </w:tcBorders>
            <w:hideMark/>
          </w:tcPr>
          <w:p w14:paraId="3B2FC846"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(0.011)</w:t>
            </w:r>
          </w:p>
        </w:tc>
        <w:tc>
          <w:tcPr>
            <w:tcW w:w="710" w:type="pct"/>
            <w:tcBorders>
              <w:top w:val="nil"/>
              <w:left w:val="nil"/>
              <w:bottom w:val="nil"/>
              <w:right w:val="nil"/>
            </w:tcBorders>
            <w:hideMark/>
          </w:tcPr>
          <w:p w14:paraId="332308B6"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(0.010)</w:t>
            </w:r>
          </w:p>
        </w:tc>
        <w:tc>
          <w:tcPr>
            <w:tcW w:w="713" w:type="pct"/>
            <w:tcBorders>
              <w:top w:val="nil"/>
              <w:left w:val="nil"/>
              <w:bottom w:val="nil"/>
              <w:right w:val="nil"/>
            </w:tcBorders>
            <w:hideMark/>
          </w:tcPr>
          <w:p w14:paraId="6211FB71"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(0.027)</w:t>
            </w:r>
          </w:p>
        </w:tc>
        <w:tc>
          <w:tcPr>
            <w:tcW w:w="635" w:type="pct"/>
            <w:tcBorders>
              <w:top w:val="nil"/>
              <w:left w:val="nil"/>
              <w:bottom w:val="nil"/>
              <w:right w:val="nil"/>
            </w:tcBorders>
            <w:hideMark/>
          </w:tcPr>
          <w:p w14:paraId="66E80945"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(0.011)</w:t>
            </w:r>
          </w:p>
        </w:tc>
      </w:tr>
      <w:tr w:rsidR="001953BB" w:rsidRPr="00CD4846" w14:paraId="05F08ED2" w14:textId="77777777" w:rsidTr="001953BB">
        <w:tc>
          <w:tcPr>
            <w:tcW w:w="1204" w:type="pct"/>
            <w:tcBorders>
              <w:top w:val="nil"/>
              <w:left w:val="nil"/>
              <w:bottom w:val="nil"/>
              <w:right w:val="nil"/>
            </w:tcBorders>
            <w:hideMark/>
          </w:tcPr>
          <w:p w14:paraId="3AE57986"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Attainment Status-CO (t-1)</w:t>
            </w:r>
          </w:p>
        </w:tc>
        <w:tc>
          <w:tcPr>
            <w:tcW w:w="579" w:type="pct"/>
            <w:tcBorders>
              <w:top w:val="nil"/>
              <w:left w:val="nil"/>
              <w:bottom w:val="nil"/>
              <w:right w:val="nil"/>
            </w:tcBorders>
            <w:hideMark/>
          </w:tcPr>
          <w:p w14:paraId="1073E22C"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0.455*</w:t>
            </w:r>
          </w:p>
        </w:tc>
        <w:tc>
          <w:tcPr>
            <w:tcW w:w="1159" w:type="pct"/>
            <w:tcBorders>
              <w:top w:val="nil"/>
              <w:left w:val="nil"/>
              <w:bottom w:val="nil"/>
              <w:right w:val="nil"/>
            </w:tcBorders>
            <w:hideMark/>
          </w:tcPr>
          <w:p w14:paraId="48B87951"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-0.471</w:t>
            </w:r>
          </w:p>
        </w:tc>
        <w:tc>
          <w:tcPr>
            <w:tcW w:w="710" w:type="pct"/>
            <w:tcBorders>
              <w:top w:val="nil"/>
              <w:left w:val="nil"/>
              <w:bottom w:val="nil"/>
              <w:right w:val="nil"/>
            </w:tcBorders>
            <w:hideMark/>
          </w:tcPr>
          <w:p w14:paraId="6812EF44"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-0.472</w:t>
            </w:r>
          </w:p>
        </w:tc>
        <w:tc>
          <w:tcPr>
            <w:tcW w:w="713" w:type="pct"/>
            <w:tcBorders>
              <w:top w:val="nil"/>
              <w:left w:val="nil"/>
              <w:bottom w:val="nil"/>
              <w:right w:val="nil"/>
            </w:tcBorders>
          </w:tcPr>
          <w:p w14:paraId="3971F18C"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p>
        </w:tc>
        <w:tc>
          <w:tcPr>
            <w:tcW w:w="635" w:type="pct"/>
            <w:tcBorders>
              <w:top w:val="nil"/>
              <w:left w:val="nil"/>
              <w:bottom w:val="nil"/>
              <w:right w:val="nil"/>
            </w:tcBorders>
            <w:hideMark/>
          </w:tcPr>
          <w:p w14:paraId="634C6CA3"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0.424*</w:t>
            </w:r>
          </w:p>
        </w:tc>
      </w:tr>
      <w:tr w:rsidR="001953BB" w:rsidRPr="00CD4846" w14:paraId="69FAFB38" w14:textId="77777777" w:rsidTr="001953BB">
        <w:tc>
          <w:tcPr>
            <w:tcW w:w="1204" w:type="pct"/>
            <w:tcBorders>
              <w:top w:val="nil"/>
              <w:left w:val="nil"/>
              <w:bottom w:val="nil"/>
              <w:right w:val="nil"/>
            </w:tcBorders>
            <w:hideMark/>
          </w:tcPr>
          <w:p w14:paraId="78A3CD73"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 xml:space="preserve">  </w:t>
            </w:r>
          </w:p>
        </w:tc>
        <w:tc>
          <w:tcPr>
            <w:tcW w:w="579" w:type="pct"/>
            <w:tcBorders>
              <w:top w:val="nil"/>
              <w:left w:val="nil"/>
              <w:bottom w:val="nil"/>
              <w:right w:val="nil"/>
            </w:tcBorders>
            <w:hideMark/>
          </w:tcPr>
          <w:p w14:paraId="3F0DB9B3"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(0.256)</w:t>
            </w:r>
          </w:p>
        </w:tc>
        <w:tc>
          <w:tcPr>
            <w:tcW w:w="1159" w:type="pct"/>
            <w:tcBorders>
              <w:top w:val="nil"/>
              <w:left w:val="nil"/>
              <w:bottom w:val="nil"/>
              <w:right w:val="nil"/>
            </w:tcBorders>
            <w:hideMark/>
          </w:tcPr>
          <w:p w14:paraId="0C99EADC"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(0.849)</w:t>
            </w:r>
          </w:p>
        </w:tc>
        <w:tc>
          <w:tcPr>
            <w:tcW w:w="710" w:type="pct"/>
            <w:tcBorders>
              <w:top w:val="nil"/>
              <w:left w:val="nil"/>
              <w:bottom w:val="nil"/>
              <w:right w:val="nil"/>
            </w:tcBorders>
            <w:hideMark/>
          </w:tcPr>
          <w:p w14:paraId="07D3C3CE"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(0.869)</w:t>
            </w:r>
          </w:p>
        </w:tc>
        <w:tc>
          <w:tcPr>
            <w:tcW w:w="713" w:type="pct"/>
            <w:tcBorders>
              <w:top w:val="nil"/>
              <w:left w:val="nil"/>
              <w:bottom w:val="nil"/>
              <w:right w:val="nil"/>
            </w:tcBorders>
          </w:tcPr>
          <w:p w14:paraId="620B6D0E"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p>
        </w:tc>
        <w:tc>
          <w:tcPr>
            <w:tcW w:w="635" w:type="pct"/>
            <w:tcBorders>
              <w:top w:val="nil"/>
              <w:left w:val="nil"/>
              <w:bottom w:val="nil"/>
              <w:right w:val="nil"/>
            </w:tcBorders>
            <w:hideMark/>
          </w:tcPr>
          <w:p w14:paraId="6B63AD44"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(0.238)</w:t>
            </w:r>
          </w:p>
        </w:tc>
      </w:tr>
      <w:tr w:rsidR="001953BB" w:rsidRPr="00CD4846" w14:paraId="22AAF0AA" w14:textId="77777777" w:rsidTr="001953BB">
        <w:tc>
          <w:tcPr>
            <w:tcW w:w="1204" w:type="pct"/>
            <w:tcBorders>
              <w:top w:val="nil"/>
              <w:left w:val="nil"/>
              <w:bottom w:val="nil"/>
              <w:right w:val="nil"/>
            </w:tcBorders>
            <w:hideMark/>
          </w:tcPr>
          <w:p w14:paraId="5C847460"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Attainment Status-Pb (t-1)</w:t>
            </w:r>
          </w:p>
        </w:tc>
        <w:tc>
          <w:tcPr>
            <w:tcW w:w="579" w:type="pct"/>
            <w:tcBorders>
              <w:top w:val="nil"/>
              <w:left w:val="nil"/>
              <w:bottom w:val="nil"/>
              <w:right w:val="nil"/>
            </w:tcBorders>
            <w:hideMark/>
          </w:tcPr>
          <w:p w14:paraId="60716954"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-0.061</w:t>
            </w:r>
          </w:p>
        </w:tc>
        <w:tc>
          <w:tcPr>
            <w:tcW w:w="1159" w:type="pct"/>
            <w:tcBorders>
              <w:top w:val="nil"/>
              <w:left w:val="nil"/>
              <w:bottom w:val="nil"/>
              <w:right w:val="nil"/>
            </w:tcBorders>
            <w:hideMark/>
          </w:tcPr>
          <w:p w14:paraId="79E2AF47"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-0.163</w:t>
            </w:r>
          </w:p>
        </w:tc>
        <w:tc>
          <w:tcPr>
            <w:tcW w:w="710" w:type="pct"/>
            <w:tcBorders>
              <w:top w:val="nil"/>
              <w:left w:val="nil"/>
              <w:bottom w:val="nil"/>
              <w:right w:val="nil"/>
            </w:tcBorders>
            <w:hideMark/>
          </w:tcPr>
          <w:p w14:paraId="086B28FD"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-0.163</w:t>
            </w:r>
          </w:p>
        </w:tc>
        <w:tc>
          <w:tcPr>
            <w:tcW w:w="713" w:type="pct"/>
            <w:tcBorders>
              <w:top w:val="nil"/>
              <w:left w:val="nil"/>
              <w:bottom w:val="nil"/>
              <w:right w:val="nil"/>
            </w:tcBorders>
            <w:hideMark/>
          </w:tcPr>
          <w:p w14:paraId="12101E7F"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0.217</w:t>
            </w:r>
          </w:p>
        </w:tc>
        <w:tc>
          <w:tcPr>
            <w:tcW w:w="635" w:type="pct"/>
            <w:tcBorders>
              <w:top w:val="nil"/>
              <w:left w:val="nil"/>
              <w:bottom w:val="nil"/>
              <w:right w:val="nil"/>
            </w:tcBorders>
            <w:hideMark/>
          </w:tcPr>
          <w:p w14:paraId="0F6EA48A"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-0.063</w:t>
            </w:r>
          </w:p>
        </w:tc>
      </w:tr>
      <w:tr w:rsidR="001953BB" w:rsidRPr="00CD4846" w14:paraId="51FD4C2B" w14:textId="77777777" w:rsidTr="001953BB">
        <w:tc>
          <w:tcPr>
            <w:tcW w:w="1204" w:type="pct"/>
            <w:tcBorders>
              <w:top w:val="nil"/>
              <w:left w:val="nil"/>
              <w:bottom w:val="nil"/>
              <w:right w:val="nil"/>
            </w:tcBorders>
            <w:hideMark/>
          </w:tcPr>
          <w:p w14:paraId="12DF7BE2"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 xml:space="preserve">  </w:t>
            </w:r>
          </w:p>
        </w:tc>
        <w:tc>
          <w:tcPr>
            <w:tcW w:w="579" w:type="pct"/>
            <w:tcBorders>
              <w:top w:val="nil"/>
              <w:left w:val="nil"/>
              <w:bottom w:val="nil"/>
              <w:right w:val="nil"/>
            </w:tcBorders>
            <w:hideMark/>
          </w:tcPr>
          <w:p w14:paraId="22A04394"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(0.058)</w:t>
            </w:r>
          </w:p>
        </w:tc>
        <w:tc>
          <w:tcPr>
            <w:tcW w:w="1159" w:type="pct"/>
            <w:tcBorders>
              <w:top w:val="nil"/>
              <w:left w:val="nil"/>
              <w:bottom w:val="nil"/>
              <w:right w:val="nil"/>
            </w:tcBorders>
            <w:hideMark/>
          </w:tcPr>
          <w:p w14:paraId="794D3A43"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(0.198)</w:t>
            </w:r>
          </w:p>
        </w:tc>
        <w:tc>
          <w:tcPr>
            <w:tcW w:w="710" w:type="pct"/>
            <w:tcBorders>
              <w:top w:val="nil"/>
              <w:left w:val="nil"/>
              <w:bottom w:val="nil"/>
              <w:right w:val="nil"/>
            </w:tcBorders>
            <w:hideMark/>
          </w:tcPr>
          <w:p w14:paraId="22C110B5"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(0.193)</w:t>
            </w:r>
          </w:p>
        </w:tc>
        <w:tc>
          <w:tcPr>
            <w:tcW w:w="713" w:type="pct"/>
            <w:tcBorders>
              <w:top w:val="nil"/>
              <w:left w:val="nil"/>
              <w:bottom w:val="nil"/>
              <w:right w:val="nil"/>
            </w:tcBorders>
            <w:hideMark/>
          </w:tcPr>
          <w:p w14:paraId="63AAA6AD"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(0.632)</w:t>
            </w:r>
          </w:p>
        </w:tc>
        <w:tc>
          <w:tcPr>
            <w:tcW w:w="635" w:type="pct"/>
            <w:tcBorders>
              <w:top w:val="nil"/>
              <w:left w:val="nil"/>
              <w:bottom w:val="nil"/>
              <w:right w:val="nil"/>
            </w:tcBorders>
            <w:hideMark/>
          </w:tcPr>
          <w:p w14:paraId="24C91A29"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(0.057)</w:t>
            </w:r>
          </w:p>
        </w:tc>
      </w:tr>
      <w:tr w:rsidR="001953BB" w:rsidRPr="00CD4846" w14:paraId="34468598" w14:textId="77777777" w:rsidTr="001953BB">
        <w:tc>
          <w:tcPr>
            <w:tcW w:w="1204" w:type="pct"/>
            <w:tcBorders>
              <w:top w:val="nil"/>
              <w:left w:val="nil"/>
              <w:bottom w:val="nil"/>
              <w:right w:val="nil"/>
            </w:tcBorders>
            <w:hideMark/>
          </w:tcPr>
          <w:p w14:paraId="7D5FED14"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Attainment Status-O3 (t-1)</w:t>
            </w:r>
          </w:p>
        </w:tc>
        <w:tc>
          <w:tcPr>
            <w:tcW w:w="579" w:type="pct"/>
            <w:tcBorders>
              <w:top w:val="nil"/>
              <w:left w:val="nil"/>
              <w:bottom w:val="nil"/>
              <w:right w:val="nil"/>
            </w:tcBorders>
            <w:hideMark/>
          </w:tcPr>
          <w:p w14:paraId="641701D6"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0.097***</w:t>
            </w:r>
          </w:p>
        </w:tc>
        <w:tc>
          <w:tcPr>
            <w:tcW w:w="1159" w:type="pct"/>
            <w:tcBorders>
              <w:top w:val="nil"/>
              <w:left w:val="nil"/>
              <w:bottom w:val="nil"/>
              <w:right w:val="nil"/>
            </w:tcBorders>
            <w:hideMark/>
          </w:tcPr>
          <w:p w14:paraId="61AE6C65"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0.024</w:t>
            </w:r>
          </w:p>
        </w:tc>
        <w:tc>
          <w:tcPr>
            <w:tcW w:w="710" w:type="pct"/>
            <w:tcBorders>
              <w:top w:val="nil"/>
              <w:left w:val="nil"/>
              <w:bottom w:val="nil"/>
              <w:right w:val="nil"/>
            </w:tcBorders>
            <w:hideMark/>
          </w:tcPr>
          <w:p w14:paraId="7B814FFB"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0.035</w:t>
            </w:r>
          </w:p>
        </w:tc>
        <w:tc>
          <w:tcPr>
            <w:tcW w:w="713" w:type="pct"/>
            <w:tcBorders>
              <w:top w:val="nil"/>
              <w:left w:val="nil"/>
              <w:bottom w:val="nil"/>
              <w:right w:val="nil"/>
            </w:tcBorders>
            <w:hideMark/>
          </w:tcPr>
          <w:p w14:paraId="2AE6429A"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-0.145</w:t>
            </w:r>
          </w:p>
        </w:tc>
        <w:tc>
          <w:tcPr>
            <w:tcW w:w="635" w:type="pct"/>
            <w:tcBorders>
              <w:top w:val="nil"/>
              <w:left w:val="nil"/>
              <w:bottom w:val="nil"/>
              <w:right w:val="nil"/>
            </w:tcBorders>
            <w:hideMark/>
          </w:tcPr>
          <w:p w14:paraId="5E95CF82"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0.095***</w:t>
            </w:r>
          </w:p>
        </w:tc>
      </w:tr>
      <w:tr w:rsidR="001953BB" w:rsidRPr="00CD4846" w14:paraId="58C0FEFD" w14:textId="77777777" w:rsidTr="001953BB">
        <w:tc>
          <w:tcPr>
            <w:tcW w:w="1204" w:type="pct"/>
            <w:tcBorders>
              <w:top w:val="nil"/>
              <w:left w:val="nil"/>
              <w:bottom w:val="nil"/>
              <w:right w:val="nil"/>
            </w:tcBorders>
            <w:hideMark/>
          </w:tcPr>
          <w:p w14:paraId="107FEA1E"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 xml:space="preserve">  </w:t>
            </w:r>
          </w:p>
        </w:tc>
        <w:tc>
          <w:tcPr>
            <w:tcW w:w="579" w:type="pct"/>
            <w:tcBorders>
              <w:top w:val="nil"/>
              <w:left w:val="nil"/>
              <w:bottom w:val="nil"/>
              <w:right w:val="nil"/>
            </w:tcBorders>
            <w:hideMark/>
          </w:tcPr>
          <w:p w14:paraId="164548D5"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(0.027)</w:t>
            </w:r>
          </w:p>
        </w:tc>
        <w:tc>
          <w:tcPr>
            <w:tcW w:w="1159" w:type="pct"/>
            <w:tcBorders>
              <w:top w:val="nil"/>
              <w:left w:val="nil"/>
              <w:bottom w:val="nil"/>
              <w:right w:val="nil"/>
            </w:tcBorders>
            <w:hideMark/>
          </w:tcPr>
          <w:p w14:paraId="7B07D53D"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(0.031)</w:t>
            </w:r>
          </w:p>
        </w:tc>
        <w:tc>
          <w:tcPr>
            <w:tcW w:w="710" w:type="pct"/>
            <w:tcBorders>
              <w:top w:val="nil"/>
              <w:left w:val="nil"/>
              <w:bottom w:val="nil"/>
              <w:right w:val="nil"/>
            </w:tcBorders>
            <w:hideMark/>
          </w:tcPr>
          <w:p w14:paraId="768C7866"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(0.031)</w:t>
            </w:r>
          </w:p>
        </w:tc>
        <w:tc>
          <w:tcPr>
            <w:tcW w:w="713" w:type="pct"/>
            <w:tcBorders>
              <w:top w:val="nil"/>
              <w:left w:val="nil"/>
              <w:bottom w:val="nil"/>
              <w:right w:val="nil"/>
            </w:tcBorders>
            <w:hideMark/>
          </w:tcPr>
          <w:p w14:paraId="05F3C8FC"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(0.163)</w:t>
            </w:r>
          </w:p>
        </w:tc>
        <w:tc>
          <w:tcPr>
            <w:tcW w:w="635" w:type="pct"/>
            <w:tcBorders>
              <w:top w:val="nil"/>
              <w:left w:val="nil"/>
              <w:bottom w:val="nil"/>
              <w:right w:val="nil"/>
            </w:tcBorders>
            <w:hideMark/>
          </w:tcPr>
          <w:p w14:paraId="74721C9F"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(0.027)</w:t>
            </w:r>
          </w:p>
        </w:tc>
      </w:tr>
      <w:tr w:rsidR="001953BB" w:rsidRPr="00CD4846" w14:paraId="6EE1CCB6" w14:textId="77777777" w:rsidTr="001953BB">
        <w:tc>
          <w:tcPr>
            <w:tcW w:w="1204" w:type="pct"/>
            <w:tcBorders>
              <w:top w:val="nil"/>
              <w:left w:val="nil"/>
              <w:bottom w:val="nil"/>
              <w:right w:val="nil"/>
            </w:tcBorders>
            <w:hideMark/>
          </w:tcPr>
          <w:p w14:paraId="7F031A3B"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Attainment Status-PM (t-1)</w:t>
            </w:r>
          </w:p>
        </w:tc>
        <w:tc>
          <w:tcPr>
            <w:tcW w:w="579" w:type="pct"/>
            <w:tcBorders>
              <w:top w:val="nil"/>
              <w:left w:val="nil"/>
              <w:bottom w:val="nil"/>
              <w:right w:val="nil"/>
            </w:tcBorders>
            <w:hideMark/>
          </w:tcPr>
          <w:p w14:paraId="35123FF9"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-0.018</w:t>
            </w:r>
          </w:p>
        </w:tc>
        <w:tc>
          <w:tcPr>
            <w:tcW w:w="1159" w:type="pct"/>
            <w:tcBorders>
              <w:top w:val="nil"/>
              <w:left w:val="nil"/>
              <w:bottom w:val="nil"/>
              <w:right w:val="nil"/>
            </w:tcBorders>
            <w:hideMark/>
          </w:tcPr>
          <w:p w14:paraId="182CF4B9"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-0.023</w:t>
            </w:r>
          </w:p>
        </w:tc>
        <w:tc>
          <w:tcPr>
            <w:tcW w:w="710" w:type="pct"/>
            <w:tcBorders>
              <w:top w:val="nil"/>
              <w:left w:val="nil"/>
              <w:bottom w:val="nil"/>
              <w:right w:val="nil"/>
            </w:tcBorders>
            <w:hideMark/>
          </w:tcPr>
          <w:p w14:paraId="0FB518B4"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-0.019</w:t>
            </w:r>
          </w:p>
        </w:tc>
        <w:tc>
          <w:tcPr>
            <w:tcW w:w="713" w:type="pct"/>
            <w:tcBorders>
              <w:top w:val="nil"/>
              <w:left w:val="nil"/>
              <w:bottom w:val="nil"/>
              <w:right w:val="nil"/>
            </w:tcBorders>
            <w:hideMark/>
          </w:tcPr>
          <w:p w14:paraId="31816D69"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-0.008</w:t>
            </w:r>
          </w:p>
        </w:tc>
        <w:tc>
          <w:tcPr>
            <w:tcW w:w="635" w:type="pct"/>
            <w:tcBorders>
              <w:top w:val="nil"/>
              <w:left w:val="nil"/>
              <w:bottom w:val="nil"/>
              <w:right w:val="nil"/>
            </w:tcBorders>
            <w:hideMark/>
          </w:tcPr>
          <w:p w14:paraId="4D4F1B94"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-0.019</w:t>
            </w:r>
          </w:p>
        </w:tc>
      </w:tr>
      <w:tr w:rsidR="001953BB" w:rsidRPr="00CD4846" w14:paraId="20E7F916" w14:textId="77777777" w:rsidTr="001953BB">
        <w:tc>
          <w:tcPr>
            <w:tcW w:w="1204" w:type="pct"/>
            <w:tcBorders>
              <w:top w:val="nil"/>
              <w:left w:val="nil"/>
              <w:bottom w:val="nil"/>
              <w:right w:val="nil"/>
            </w:tcBorders>
            <w:hideMark/>
          </w:tcPr>
          <w:p w14:paraId="67775B0D"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 xml:space="preserve">  </w:t>
            </w:r>
          </w:p>
        </w:tc>
        <w:tc>
          <w:tcPr>
            <w:tcW w:w="579" w:type="pct"/>
            <w:tcBorders>
              <w:top w:val="nil"/>
              <w:left w:val="nil"/>
              <w:bottom w:val="nil"/>
              <w:right w:val="nil"/>
            </w:tcBorders>
            <w:hideMark/>
          </w:tcPr>
          <w:p w14:paraId="68ECE227"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(0.013)</w:t>
            </w:r>
          </w:p>
        </w:tc>
        <w:tc>
          <w:tcPr>
            <w:tcW w:w="1159" w:type="pct"/>
            <w:tcBorders>
              <w:top w:val="nil"/>
              <w:left w:val="nil"/>
              <w:bottom w:val="nil"/>
              <w:right w:val="nil"/>
            </w:tcBorders>
            <w:hideMark/>
          </w:tcPr>
          <w:p w14:paraId="62ACE99A"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(0.026)</w:t>
            </w:r>
          </w:p>
        </w:tc>
        <w:tc>
          <w:tcPr>
            <w:tcW w:w="710" w:type="pct"/>
            <w:tcBorders>
              <w:top w:val="nil"/>
              <w:left w:val="nil"/>
              <w:bottom w:val="nil"/>
              <w:right w:val="nil"/>
            </w:tcBorders>
            <w:hideMark/>
          </w:tcPr>
          <w:p w14:paraId="1E8AA751"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(0.027)</w:t>
            </w:r>
          </w:p>
        </w:tc>
        <w:tc>
          <w:tcPr>
            <w:tcW w:w="713" w:type="pct"/>
            <w:tcBorders>
              <w:top w:val="nil"/>
              <w:left w:val="nil"/>
              <w:bottom w:val="nil"/>
              <w:right w:val="nil"/>
            </w:tcBorders>
            <w:hideMark/>
          </w:tcPr>
          <w:p w14:paraId="48419742"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(0.141)</w:t>
            </w:r>
          </w:p>
        </w:tc>
        <w:tc>
          <w:tcPr>
            <w:tcW w:w="635" w:type="pct"/>
            <w:tcBorders>
              <w:top w:val="nil"/>
              <w:left w:val="nil"/>
              <w:bottom w:val="nil"/>
              <w:right w:val="nil"/>
            </w:tcBorders>
            <w:hideMark/>
          </w:tcPr>
          <w:p w14:paraId="175487BC"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(0.013)</w:t>
            </w:r>
          </w:p>
        </w:tc>
      </w:tr>
      <w:tr w:rsidR="001953BB" w:rsidRPr="00CD4846" w14:paraId="381B8DF6" w14:textId="77777777" w:rsidTr="001953BB">
        <w:tc>
          <w:tcPr>
            <w:tcW w:w="1204" w:type="pct"/>
            <w:tcBorders>
              <w:top w:val="nil"/>
              <w:left w:val="nil"/>
              <w:bottom w:val="nil"/>
              <w:right w:val="nil"/>
            </w:tcBorders>
            <w:hideMark/>
          </w:tcPr>
          <w:p w14:paraId="7E4B86E6"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Attainment Status-SO2 (t-1)</w:t>
            </w:r>
          </w:p>
        </w:tc>
        <w:tc>
          <w:tcPr>
            <w:tcW w:w="579" w:type="pct"/>
            <w:tcBorders>
              <w:top w:val="nil"/>
              <w:left w:val="nil"/>
              <w:bottom w:val="nil"/>
              <w:right w:val="nil"/>
            </w:tcBorders>
            <w:hideMark/>
          </w:tcPr>
          <w:p w14:paraId="32831174"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0.001</w:t>
            </w:r>
          </w:p>
        </w:tc>
        <w:tc>
          <w:tcPr>
            <w:tcW w:w="1159" w:type="pct"/>
            <w:tcBorders>
              <w:top w:val="nil"/>
              <w:left w:val="nil"/>
              <w:bottom w:val="nil"/>
              <w:right w:val="nil"/>
            </w:tcBorders>
            <w:hideMark/>
          </w:tcPr>
          <w:p w14:paraId="69415832"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-0.256</w:t>
            </w:r>
          </w:p>
        </w:tc>
        <w:tc>
          <w:tcPr>
            <w:tcW w:w="710" w:type="pct"/>
            <w:tcBorders>
              <w:top w:val="nil"/>
              <w:left w:val="nil"/>
              <w:bottom w:val="nil"/>
              <w:right w:val="nil"/>
            </w:tcBorders>
            <w:hideMark/>
          </w:tcPr>
          <w:p w14:paraId="0AE153D4"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-0.285*</w:t>
            </w:r>
          </w:p>
        </w:tc>
        <w:tc>
          <w:tcPr>
            <w:tcW w:w="713" w:type="pct"/>
            <w:tcBorders>
              <w:top w:val="nil"/>
              <w:left w:val="nil"/>
              <w:bottom w:val="nil"/>
              <w:right w:val="nil"/>
            </w:tcBorders>
            <w:hideMark/>
          </w:tcPr>
          <w:p w14:paraId="0159A172"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0.064</w:t>
            </w:r>
          </w:p>
        </w:tc>
        <w:tc>
          <w:tcPr>
            <w:tcW w:w="635" w:type="pct"/>
            <w:tcBorders>
              <w:top w:val="nil"/>
              <w:left w:val="nil"/>
              <w:bottom w:val="nil"/>
              <w:right w:val="nil"/>
            </w:tcBorders>
            <w:hideMark/>
          </w:tcPr>
          <w:p w14:paraId="66933315"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-0.006</w:t>
            </w:r>
          </w:p>
        </w:tc>
      </w:tr>
      <w:tr w:rsidR="001953BB" w:rsidRPr="00CD4846" w14:paraId="4B83F165" w14:textId="77777777" w:rsidTr="001953BB">
        <w:tc>
          <w:tcPr>
            <w:tcW w:w="1204" w:type="pct"/>
            <w:tcBorders>
              <w:top w:val="nil"/>
              <w:left w:val="nil"/>
              <w:bottom w:val="nil"/>
              <w:right w:val="nil"/>
            </w:tcBorders>
            <w:hideMark/>
          </w:tcPr>
          <w:p w14:paraId="1421F9CD"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 xml:space="preserve">  </w:t>
            </w:r>
          </w:p>
        </w:tc>
        <w:tc>
          <w:tcPr>
            <w:tcW w:w="579" w:type="pct"/>
            <w:tcBorders>
              <w:top w:val="nil"/>
              <w:left w:val="nil"/>
              <w:bottom w:val="nil"/>
              <w:right w:val="nil"/>
            </w:tcBorders>
            <w:hideMark/>
          </w:tcPr>
          <w:p w14:paraId="7678E25E"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(0.042)</w:t>
            </w:r>
          </w:p>
        </w:tc>
        <w:tc>
          <w:tcPr>
            <w:tcW w:w="1159" w:type="pct"/>
            <w:tcBorders>
              <w:top w:val="nil"/>
              <w:left w:val="nil"/>
              <w:bottom w:val="nil"/>
              <w:right w:val="nil"/>
            </w:tcBorders>
            <w:hideMark/>
          </w:tcPr>
          <w:p w14:paraId="1691397F"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(0.159)</w:t>
            </w:r>
          </w:p>
        </w:tc>
        <w:tc>
          <w:tcPr>
            <w:tcW w:w="710" w:type="pct"/>
            <w:tcBorders>
              <w:top w:val="nil"/>
              <w:left w:val="nil"/>
              <w:bottom w:val="nil"/>
              <w:right w:val="nil"/>
            </w:tcBorders>
            <w:hideMark/>
          </w:tcPr>
          <w:p w14:paraId="5C576EAA"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(0.158)</w:t>
            </w:r>
          </w:p>
        </w:tc>
        <w:tc>
          <w:tcPr>
            <w:tcW w:w="713" w:type="pct"/>
            <w:tcBorders>
              <w:top w:val="nil"/>
              <w:left w:val="nil"/>
              <w:bottom w:val="nil"/>
              <w:right w:val="nil"/>
            </w:tcBorders>
            <w:hideMark/>
          </w:tcPr>
          <w:p w14:paraId="213D4C12"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(0.508)</w:t>
            </w:r>
          </w:p>
        </w:tc>
        <w:tc>
          <w:tcPr>
            <w:tcW w:w="635" w:type="pct"/>
            <w:tcBorders>
              <w:top w:val="nil"/>
              <w:left w:val="nil"/>
              <w:bottom w:val="nil"/>
              <w:right w:val="nil"/>
            </w:tcBorders>
            <w:hideMark/>
          </w:tcPr>
          <w:p w14:paraId="479C1FFC"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(0.041)</w:t>
            </w:r>
          </w:p>
        </w:tc>
      </w:tr>
      <w:tr w:rsidR="001953BB" w:rsidRPr="00CD4846" w14:paraId="59667812" w14:textId="77777777" w:rsidTr="001953BB">
        <w:tc>
          <w:tcPr>
            <w:tcW w:w="1204" w:type="pct"/>
            <w:tcBorders>
              <w:top w:val="nil"/>
              <w:left w:val="nil"/>
              <w:bottom w:val="nil"/>
              <w:right w:val="nil"/>
            </w:tcBorders>
            <w:hideMark/>
          </w:tcPr>
          <w:p w14:paraId="1FD08A48"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Density Employment</w:t>
            </w:r>
          </w:p>
        </w:tc>
        <w:tc>
          <w:tcPr>
            <w:tcW w:w="579" w:type="pct"/>
            <w:tcBorders>
              <w:top w:val="nil"/>
              <w:left w:val="nil"/>
              <w:bottom w:val="nil"/>
              <w:right w:val="nil"/>
            </w:tcBorders>
            <w:hideMark/>
          </w:tcPr>
          <w:p w14:paraId="1E55B6CA"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0.030</w:t>
            </w:r>
          </w:p>
        </w:tc>
        <w:tc>
          <w:tcPr>
            <w:tcW w:w="1159" w:type="pct"/>
            <w:tcBorders>
              <w:top w:val="nil"/>
              <w:left w:val="nil"/>
              <w:bottom w:val="nil"/>
              <w:right w:val="nil"/>
            </w:tcBorders>
            <w:hideMark/>
          </w:tcPr>
          <w:p w14:paraId="5952138F"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-0.077***</w:t>
            </w:r>
          </w:p>
        </w:tc>
        <w:tc>
          <w:tcPr>
            <w:tcW w:w="710" w:type="pct"/>
            <w:tcBorders>
              <w:top w:val="nil"/>
              <w:left w:val="nil"/>
              <w:bottom w:val="nil"/>
              <w:right w:val="nil"/>
            </w:tcBorders>
            <w:hideMark/>
          </w:tcPr>
          <w:p w14:paraId="3CC54D49"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-0.082***</w:t>
            </w:r>
          </w:p>
        </w:tc>
        <w:tc>
          <w:tcPr>
            <w:tcW w:w="713" w:type="pct"/>
            <w:tcBorders>
              <w:top w:val="nil"/>
              <w:left w:val="nil"/>
              <w:bottom w:val="nil"/>
              <w:right w:val="nil"/>
            </w:tcBorders>
            <w:hideMark/>
          </w:tcPr>
          <w:p w14:paraId="7832B86A"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0.106</w:t>
            </w:r>
          </w:p>
        </w:tc>
        <w:tc>
          <w:tcPr>
            <w:tcW w:w="635" w:type="pct"/>
            <w:tcBorders>
              <w:top w:val="nil"/>
              <w:left w:val="nil"/>
              <w:bottom w:val="nil"/>
              <w:right w:val="nil"/>
            </w:tcBorders>
            <w:hideMark/>
          </w:tcPr>
          <w:p w14:paraId="4CD9C4FA"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0.029</w:t>
            </w:r>
          </w:p>
        </w:tc>
      </w:tr>
      <w:tr w:rsidR="001953BB" w:rsidRPr="00CD4846" w14:paraId="757FBB42" w14:textId="77777777" w:rsidTr="001953BB">
        <w:tc>
          <w:tcPr>
            <w:tcW w:w="1204" w:type="pct"/>
            <w:tcBorders>
              <w:top w:val="nil"/>
              <w:left w:val="nil"/>
              <w:bottom w:val="nil"/>
              <w:right w:val="nil"/>
            </w:tcBorders>
            <w:hideMark/>
          </w:tcPr>
          <w:p w14:paraId="4B192ECB"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 xml:space="preserve">  </w:t>
            </w:r>
          </w:p>
        </w:tc>
        <w:tc>
          <w:tcPr>
            <w:tcW w:w="579" w:type="pct"/>
            <w:tcBorders>
              <w:top w:val="nil"/>
              <w:left w:val="nil"/>
              <w:bottom w:val="nil"/>
              <w:right w:val="nil"/>
            </w:tcBorders>
            <w:hideMark/>
          </w:tcPr>
          <w:p w14:paraId="2024FCF0"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(0.024)</w:t>
            </w:r>
          </w:p>
        </w:tc>
        <w:tc>
          <w:tcPr>
            <w:tcW w:w="1159" w:type="pct"/>
            <w:tcBorders>
              <w:top w:val="nil"/>
              <w:left w:val="nil"/>
              <w:bottom w:val="nil"/>
              <w:right w:val="nil"/>
            </w:tcBorders>
            <w:hideMark/>
          </w:tcPr>
          <w:p w14:paraId="460838D6"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(0.028)</w:t>
            </w:r>
          </w:p>
        </w:tc>
        <w:tc>
          <w:tcPr>
            <w:tcW w:w="710" w:type="pct"/>
            <w:tcBorders>
              <w:top w:val="nil"/>
              <w:left w:val="nil"/>
              <w:bottom w:val="nil"/>
              <w:right w:val="nil"/>
            </w:tcBorders>
            <w:hideMark/>
          </w:tcPr>
          <w:p w14:paraId="447945AE"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(0.029)</w:t>
            </w:r>
          </w:p>
        </w:tc>
        <w:tc>
          <w:tcPr>
            <w:tcW w:w="713" w:type="pct"/>
            <w:tcBorders>
              <w:top w:val="nil"/>
              <w:left w:val="nil"/>
              <w:bottom w:val="nil"/>
              <w:right w:val="nil"/>
            </w:tcBorders>
            <w:hideMark/>
          </w:tcPr>
          <w:p w14:paraId="7B72F92D"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(0.172)</w:t>
            </w:r>
          </w:p>
        </w:tc>
        <w:tc>
          <w:tcPr>
            <w:tcW w:w="635" w:type="pct"/>
            <w:tcBorders>
              <w:top w:val="nil"/>
              <w:left w:val="nil"/>
              <w:bottom w:val="nil"/>
              <w:right w:val="nil"/>
            </w:tcBorders>
            <w:hideMark/>
          </w:tcPr>
          <w:p w14:paraId="04CE32CE"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(0.024)</w:t>
            </w:r>
          </w:p>
        </w:tc>
      </w:tr>
      <w:tr w:rsidR="001953BB" w:rsidRPr="00CD4846" w14:paraId="4C447B73" w14:textId="77777777" w:rsidTr="001953BB">
        <w:tc>
          <w:tcPr>
            <w:tcW w:w="1204" w:type="pct"/>
            <w:tcBorders>
              <w:top w:val="nil"/>
              <w:left w:val="nil"/>
              <w:bottom w:val="nil"/>
              <w:right w:val="nil"/>
            </w:tcBorders>
            <w:hideMark/>
          </w:tcPr>
          <w:p w14:paraId="403FDC8C"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Percent Black (100s)</w:t>
            </w:r>
          </w:p>
        </w:tc>
        <w:tc>
          <w:tcPr>
            <w:tcW w:w="579" w:type="pct"/>
            <w:tcBorders>
              <w:top w:val="nil"/>
              <w:left w:val="nil"/>
              <w:bottom w:val="nil"/>
              <w:right w:val="nil"/>
            </w:tcBorders>
            <w:hideMark/>
          </w:tcPr>
          <w:p w14:paraId="6CFCAD37"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0.537</w:t>
            </w:r>
          </w:p>
        </w:tc>
        <w:tc>
          <w:tcPr>
            <w:tcW w:w="1159" w:type="pct"/>
            <w:tcBorders>
              <w:top w:val="nil"/>
              <w:left w:val="nil"/>
              <w:bottom w:val="nil"/>
              <w:right w:val="nil"/>
            </w:tcBorders>
            <w:hideMark/>
          </w:tcPr>
          <w:p w14:paraId="348E0653"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-0.472</w:t>
            </w:r>
          </w:p>
        </w:tc>
        <w:tc>
          <w:tcPr>
            <w:tcW w:w="710" w:type="pct"/>
            <w:tcBorders>
              <w:top w:val="nil"/>
              <w:left w:val="nil"/>
              <w:bottom w:val="nil"/>
              <w:right w:val="nil"/>
            </w:tcBorders>
            <w:hideMark/>
          </w:tcPr>
          <w:p w14:paraId="479574FE"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-0.261</w:t>
            </w:r>
          </w:p>
        </w:tc>
        <w:tc>
          <w:tcPr>
            <w:tcW w:w="713" w:type="pct"/>
            <w:tcBorders>
              <w:top w:val="nil"/>
              <w:left w:val="nil"/>
              <w:bottom w:val="nil"/>
              <w:right w:val="nil"/>
            </w:tcBorders>
            <w:hideMark/>
          </w:tcPr>
          <w:p w14:paraId="4BB6221E"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-4.211</w:t>
            </w:r>
          </w:p>
        </w:tc>
        <w:tc>
          <w:tcPr>
            <w:tcW w:w="635" w:type="pct"/>
            <w:tcBorders>
              <w:top w:val="nil"/>
              <w:left w:val="nil"/>
              <w:bottom w:val="nil"/>
              <w:right w:val="nil"/>
            </w:tcBorders>
            <w:hideMark/>
          </w:tcPr>
          <w:p w14:paraId="2547BDAE"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0.507</w:t>
            </w:r>
          </w:p>
        </w:tc>
      </w:tr>
      <w:tr w:rsidR="001953BB" w:rsidRPr="00CD4846" w14:paraId="57E36282" w14:textId="77777777" w:rsidTr="001953BB">
        <w:tc>
          <w:tcPr>
            <w:tcW w:w="1204" w:type="pct"/>
            <w:tcBorders>
              <w:top w:val="nil"/>
              <w:left w:val="nil"/>
              <w:bottom w:val="nil"/>
              <w:right w:val="nil"/>
            </w:tcBorders>
            <w:hideMark/>
          </w:tcPr>
          <w:p w14:paraId="7A40D04D"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 xml:space="preserve">  </w:t>
            </w:r>
          </w:p>
        </w:tc>
        <w:tc>
          <w:tcPr>
            <w:tcW w:w="579" w:type="pct"/>
            <w:tcBorders>
              <w:top w:val="nil"/>
              <w:left w:val="nil"/>
              <w:bottom w:val="nil"/>
              <w:right w:val="nil"/>
            </w:tcBorders>
            <w:hideMark/>
          </w:tcPr>
          <w:p w14:paraId="23841EE6"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(0.639)</w:t>
            </w:r>
          </w:p>
        </w:tc>
        <w:tc>
          <w:tcPr>
            <w:tcW w:w="1159" w:type="pct"/>
            <w:tcBorders>
              <w:top w:val="nil"/>
              <w:left w:val="nil"/>
              <w:bottom w:val="nil"/>
              <w:right w:val="nil"/>
            </w:tcBorders>
            <w:hideMark/>
          </w:tcPr>
          <w:p w14:paraId="1EA21A06"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(1.331)</w:t>
            </w:r>
          </w:p>
        </w:tc>
        <w:tc>
          <w:tcPr>
            <w:tcW w:w="710" w:type="pct"/>
            <w:tcBorders>
              <w:top w:val="nil"/>
              <w:left w:val="nil"/>
              <w:bottom w:val="nil"/>
              <w:right w:val="nil"/>
            </w:tcBorders>
            <w:hideMark/>
          </w:tcPr>
          <w:p w14:paraId="4BCD220F"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(1.353)</w:t>
            </w:r>
          </w:p>
        </w:tc>
        <w:tc>
          <w:tcPr>
            <w:tcW w:w="713" w:type="pct"/>
            <w:tcBorders>
              <w:top w:val="nil"/>
              <w:left w:val="nil"/>
              <w:bottom w:val="nil"/>
              <w:right w:val="nil"/>
            </w:tcBorders>
            <w:hideMark/>
          </w:tcPr>
          <w:p w14:paraId="17A0770A"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(7.735)</w:t>
            </w:r>
          </w:p>
        </w:tc>
        <w:tc>
          <w:tcPr>
            <w:tcW w:w="635" w:type="pct"/>
            <w:tcBorders>
              <w:top w:val="nil"/>
              <w:left w:val="nil"/>
              <w:bottom w:val="nil"/>
              <w:right w:val="nil"/>
            </w:tcBorders>
            <w:hideMark/>
          </w:tcPr>
          <w:p w14:paraId="02036918"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(0.626)</w:t>
            </w:r>
          </w:p>
        </w:tc>
      </w:tr>
      <w:tr w:rsidR="001953BB" w:rsidRPr="00CD4846" w14:paraId="352B9BBA" w14:textId="77777777" w:rsidTr="001953BB">
        <w:tc>
          <w:tcPr>
            <w:tcW w:w="1204" w:type="pct"/>
            <w:tcBorders>
              <w:top w:val="nil"/>
              <w:left w:val="nil"/>
              <w:bottom w:val="nil"/>
              <w:right w:val="nil"/>
            </w:tcBorders>
            <w:hideMark/>
          </w:tcPr>
          <w:p w14:paraId="4946F630"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Population count (1ms)</w:t>
            </w:r>
          </w:p>
        </w:tc>
        <w:tc>
          <w:tcPr>
            <w:tcW w:w="579" w:type="pct"/>
            <w:tcBorders>
              <w:top w:val="nil"/>
              <w:left w:val="nil"/>
              <w:bottom w:val="nil"/>
              <w:right w:val="nil"/>
            </w:tcBorders>
            <w:hideMark/>
          </w:tcPr>
          <w:p w14:paraId="425F5B91"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0.155</w:t>
            </w:r>
          </w:p>
        </w:tc>
        <w:tc>
          <w:tcPr>
            <w:tcW w:w="1159" w:type="pct"/>
            <w:tcBorders>
              <w:top w:val="nil"/>
              <w:left w:val="nil"/>
              <w:bottom w:val="nil"/>
              <w:right w:val="nil"/>
            </w:tcBorders>
            <w:hideMark/>
          </w:tcPr>
          <w:p w14:paraId="5F489221"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0.446</w:t>
            </w:r>
          </w:p>
        </w:tc>
        <w:tc>
          <w:tcPr>
            <w:tcW w:w="710" w:type="pct"/>
            <w:tcBorders>
              <w:top w:val="nil"/>
              <w:left w:val="nil"/>
              <w:bottom w:val="nil"/>
              <w:right w:val="nil"/>
            </w:tcBorders>
            <w:hideMark/>
          </w:tcPr>
          <w:p w14:paraId="7E1AEEA0"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0.230</w:t>
            </w:r>
          </w:p>
        </w:tc>
        <w:tc>
          <w:tcPr>
            <w:tcW w:w="713" w:type="pct"/>
            <w:tcBorders>
              <w:top w:val="nil"/>
              <w:left w:val="nil"/>
              <w:bottom w:val="nil"/>
              <w:right w:val="nil"/>
            </w:tcBorders>
            <w:hideMark/>
          </w:tcPr>
          <w:p w14:paraId="6A416CE1"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-2.592***</w:t>
            </w:r>
          </w:p>
        </w:tc>
        <w:tc>
          <w:tcPr>
            <w:tcW w:w="635" w:type="pct"/>
            <w:tcBorders>
              <w:top w:val="nil"/>
              <w:left w:val="nil"/>
              <w:bottom w:val="nil"/>
              <w:right w:val="nil"/>
            </w:tcBorders>
            <w:hideMark/>
          </w:tcPr>
          <w:p w14:paraId="6AFADE36"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0.179</w:t>
            </w:r>
          </w:p>
        </w:tc>
      </w:tr>
      <w:tr w:rsidR="001953BB" w:rsidRPr="00CD4846" w14:paraId="583E359F" w14:textId="77777777" w:rsidTr="001953BB">
        <w:tc>
          <w:tcPr>
            <w:tcW w:w="1204" w:type="pct"/>
            <w:tcBorders>
              <w:top w:val="nil"/>
              <w:left w:val="nil"/>
              <w:bottom w:val="nil"/>
              <w:right w:val="nil"/>
            </w:tcBorders>
            <w:hideMark/>
          </w:tcPr>
          <w:p w14:paraId="65020DCD"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 xml:space="preserve">  </w:t>
            </w:r>
          </w:p>
        </w:tc>
        <w:tc>
          <w:tcPr>
            <w:tcW w:w="579" w:type="pct"/>
            <w:tcBorders>
              <w:top w:val="nil"/>
              <w:left w:val="nil"/>
              <w:bottom w:val="nil"/>
              <w:right w:val="nil"/>
            </w:tcBorders>
            <w:hideMark/>
          </w:tcPr>
          <w:p w14:paraId="1AD86C82"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(0.137)</w:t>
            </w:r>
          </w:p>
        </w:tc>
        <w:tc>
          <w:tcPr>
            <w:tcW w:w="1159" w:type="pct"/>
            <w:tcBorders>
              <w:top w:val="nil"/>
              <w:left w:val="nil"/>
              <w:bottom w:val="nil"/>
              <w:right w:val="nil"/>
            </w:tcBorders>
            <w:hideMark/>
          </w:tcPr>
          <w:p w14:paraId="7BC77471"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(0.334)</w:t>
            </w:r>
          </w:p>
        </w:tc>
        <w:tc>
          <w:tcPr>
            <w:tcW w:w="710" w:type="pct"/>
            <w:tcBorders>
              <w:top w:val="nil"/>
              <w:left w:val="nil"/>
              <w:bottom w:val="nil"/>
              <w:right w:val="nil"/>
            </w:tcBorders>
            <w:hideMark/>
          </w:tcPr>
          <w:p w14:paraId="2DCAFC40"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(0.349)</w:t>
            </w:r>
          </w:p>
        </w:tc>
        <w:tc>
          <w:tcPr>
            <w:tcW w:w="713" w:type="pct"/>
            <w:tcBorders>
              <w:top w:val="nil"/>
              <w:left w:val="nil"/>
              <w:bottom w:val="nil"/>
              <w:right w:val="nil"/>
            </w:tcBorders>
            <w:hideMark/>
          </w:tcPr>
          <w:p w14:paraId="5F3BFDFD"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(0.742)</w:t>
            </w:r>
          </w:p>
        </w:tc>
        <w:tc>
          <w:tcPr>
            <w:tcW w:w="635" w:type="pct"/>
            <w:tcBorders>
              <w:top w:val="nil"/>
              <w:left w:val="nil"/>
              <w:bottom w:val="nil"/>
              <w:right w:val="nil"/>
            </w:tcBorders>
            <w:hideMark/>
          </w:tcPr>
          <w:p w14:paraId="1B8BAB7A"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(0.137)</w:t>
            </w:r>
          </w:p>
        </w:tc>
      </w:tr>
      <w:tr w:rsidR="001953BB" w:rsidRPr="00CD4846" w14:paraId="4B3926B0" w14:textId="77777777" w:rsidTr="001953BB">
        <w:tc>
          <w:tcPr>
            <w:tcW w:w="1204" w:type="pct"/>
            <w:tcBorders>
              <w:top w:val="nil"/>
              <w:left w:val="nil"/>
              <w:bottom w:val="nil"/>
              <w:right w:val="nil"/>
            </w:tcBorders>
            <w:hideMark/>
          </w:tcPr>
          <w:p w14:paraId="659BE77B"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Unemployment rate (100s)</w:t>
            </w:r>
          </w:p>
        </w:tc>
        <w:tc>
          <w:tcPr>
            <w:tcW w:w="579" w:type="pct"/>
            <w:tcBorders>
              <w:top w:val="nil"/>
              <w:left w:val="nil"/>
              <w:bottom w:val="nil"/>
              <w:right w:val="nil"/>
            </w:tcBorders>
            <w:hideMark/>
          </w:tcPr>
          <w:p w14:paraId="290C47E8"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1.504***</w:t>
            </w:r>
          </w:p>
        </w:tc>
        <w:tc>
          <w:tcPr>
            <w:tcW w:w="1159" w:type="pct"/>
            <w:tcBorders>
              <w:top w:val="nil"/>
              <w:left w:val="nil"/>
              <w:bottom w:val="nil"/>
              <w:right w:val="nil"/>
            </w:tcBorders>
            <w:hideMark/>
          </w:tcPr>
          <w:p w14:paraId="572F4A2C"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2.604*</w:t>
            </w:r>
          </w:p>
        </w:tc>
        <w:tc>
          <w:tcPr>
            <w:tcW w:w="710" w:type="pct"/>
            <w:tcBorders>
              <w:top w:val="nil"/>
              <w:left w:val="nil"/>
              <w:bottom w:val="nil"/>
              <w:right w:val="nil"/>
            </w:tcBorders>
            <w:hideMark/>
          </w:tcPr>
          <w:p w14:paraId="4C3D7158"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2.289</w:t>
            </w:r>
          </w:p>
        </w:tc>
        <w:tc>
          <w:tcPr>
            <w:tcW w:w="713" w:type="pct"/>
            <w:tcBorders>
              <w:top w:val="nil"/>
              <w:left w:val="nil"/>
              <w:bottom w:val="nil"/>
              <w:right w:val="nil"/>
            </w:tcBorders>
            <w:hideMark/>
          </w:tcPr>
          <w:p w14:paraId="6C32245E"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4.020</w:t>
            </w:r>
          </w:p>
        </w:tc>
        <w:tc>
          <w:tcPr>
            <w:tcW w:w="635" w:type="pct"/>
            <w:tcBorders>
              <w:top w:val="nil"/>
              <w:left w:val="nil"/>
              <w:bottom w:val="nil"/>
              <w:right w:val="nil"/>
            </w:tcBorders>
            <w:hideMark/>
          </w:tcPr>
          <w:p w14:paraId="5AAA1D76"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1.577***</w:t>
            </w:r>
          </w:p>
        </w:tc>
      </w:tr>
      <w:tr w:rsidR="001953BB" w:rsidRPr="00CD4846" w14:paraId="12BA9EBA" w14:textId="77777777" w:rsidTr="001953BB">
        <w:tc>
          <w:tcPr>
            <w:tcW w:w="1204" w:type="pct"/>
            <w:tcBorders>
              <w:top w:val="nil"/>
              <w:left w:val="nil"/>
              <w:bottom w:val="nil"/>
              <w:right w:val="nil"/>
            </w:tcBorders>
            <w:hideMark/>
          </w:tcPr>
          <w:p w14:paraId="6A8DFA36"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 xml:space="preserve">  </w:t>
            </w:r>
          </w:p>
        </w:tc>
        <w:tc>
          <w:tcPr>
            <w:tcW w:w="579" w:type="pct"/>
            <w:tcBorders>
              <w:top w:val="nil"/>
              <w:left w:val="nil"/>
              <w:bottom w:val="nil"/>
              <w:right w:val="nil"/>
            </w:tcBorders>
            <w:hideMark/>
          </w:tcPr>
          <w:p w14:paraId="63C4E65F"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(0.579)</w:t>
            </w:r>
          </w:p>
        </w:tc>
        <w:tc>
          <w:tcPr>
            <w:tcW w:w="1159" w:type="pct"/>
            <w:tcBorders>
              <w:top w:val="nil"/>
              <w:left w:val="nil"/>
              <w:bottom w:val="nil"/>
              <w:right w:val="nil"/>
            </w:tcBorders>
            <w:hideMark/>
          </w:tcPr>
          <w:p w14:paraId="13C6B4EA"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(1.469)</w:t>
            </w:r>
          </w:p>
        </w:tc>
        <w:tc>
          <w:tcPr>
            <w:tcW w:w="710" w:type="pct"/>
            <w:tcBorders>
              <w:top w:val="nil"/>
              <w:left w:val="nil"/>
              <w:bottom w:val="nil"/>
              <w:right w:val="nil"/>
            </w:tcBorders>
            <w:hideMark/>
          </w:tcPr>
          <w:p w14:paraId="491725C9"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(1.475)</w:t>
            </w:r>
          </w:p>
        </w:tc>
        <w:tc>
          <w:tcPr>
            <w:tcW w:w="713" w:type="pct"/>
            <w:tcBorders>
              <w:top w:val="nil"/>
              <w:left w:val="nil"/>
              <w:bottom w:val="nil"/>
              <w:right w:val="nil"/>
            </w:tcBorders>
            <w:hideMark/>
          </w:tcPr>
          <w:p w14:paraId="18117361"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(9.383)</w:t>
            </w:r>
          </w:p>
        </w:tc>
        <w:tc>
          <w:tcPr>
            <w:tcW w:w="635" w:type="pct"/>
            <w:tcBorders>
              <w:top w:val="nil"/>
              <w:left w:val="nil"/>
              <w:bottom w:val="nil"/>
              <w:right w:val="nil"/>
            </w:tcBorders>
            <w:hideMark/>
          </w:tcPr>
          <w:p w14:paraId="7083FE2B"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(0.575)</w:t>
            </w:r>
          </w:p>
        </w:tc>
      </w:tr>
      <w:tr w:rsidR="001953BB" w:rsidRPr="00CD4846" w14:paraId="7CF81579" w14:textId="77777777" w:rsidTr="001953BB">
        <w:tc>
          <w:tcPr>
            <w:tcW w:w="1204" w:type="pct"/>
            <w:tcBorders>
              <w:top w:val="nil"/>
              <w:left w:val="nil"/>
              <w:bottom w:val="nil"/>
              <w:right w:val="nil"/>
            </w:tcBorders>
            <w:hideMark/>
          </w:tcPr>
          <w:p w14:paraId="1C67F6A7"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Sales Volume (t-1)</w:t>
            </w:r>
          </w:p>
        </w:tc>
        <w:tc>
          <w:tcPr>
            <w:tcW w:w="579" w:type="pct"/>
            <w:tcBorders>
              <w:top w:val="nil"/>
              <w:left w:val="nil"/>
              <w:bottom w:val="nil"/>
              <w:right w:val="nil"/>
            </w:tcBorders>
            <w:hideMark/>
          </w:tcPr>
          <w:p w14:paraId="5B6E172B"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3.172**</w:t>
            </w:r>
          </w:p>
        </w:tc>
        <w:tc>
          <w:tcPr>
            <w:tcW w:w="1159" w:type="pct"/>
            <w:tcBorders>
              <w:top w:val="nil"/>
              <w:left w:val="nil"/>
              <w:bottom w:val="nil"/>
              <w:right w:val="nil"/>
            </w:tcBorders>
            <w:hideMark/>
          </w:tcPr>
          <w:p w14:paraId="297BB6CC"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2.377</w:t>
            </w:r>
          </w:p>
        </w:tc>
        <w:tc>
          <w:tcPr>
            <w:tcW w:w="710" w:type="pct"/>
            <w:tcBorders>
              <w:top w:val="nil"/>
              <w:left w:val="nil"/>
              <w:bottom w:val="nil"/>
              <w:right w:val="nil"/>
            </w:tcBorders>
            <w:hideMark/>
          </w:tcPr>
          <w:p w14:paraId="0A207259"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2.408*</w:t>
            </w:r>
          </w:p>
        </w:tc>
        <w:tc>
          <w:tcPr>
            <w:tcW w:w="713" w:type="pct"/>
            <w:tcBorders>
              <w:top w:val="nil"/>
              <w:left w:val="nil"/>
              <w:bottom w:val="nil"/>
              <w:right w:val="nil"/>
            </w:tcBorders>
            <w:hideMark/>
          </w:tcPr>
          <w:p w14:paraId="19CF89B1"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-0.478</w:t>
            </w:r>
          </w:p>
        </w:tc>
        <w:tc>
          <w:tcPr>
            <w:tcW w:w="635" w:type="pct"/>
            <w:tcBorders>
              <w:top w:val="nil"/>
              <w:left w:val="nil"/>
              <w:bottom w:val="nil"/>
              <w:right w:val="nil"/>
            </w:tcBorders>
            <w:hideMark/>
          </w:tcPr>
          <w:p w14:paraId="49E1F81C"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3.150**</w:t>
            </w:r>
          </w:p>
        </w:tc>
      </w:tr>
      <w:tr w:rsidR="001953BB" w:rsidRPr="00CD4846" w14:paraId="06780002" w14:textId="77777777" w:rsidTr="001953BB">
        <w:tc>
          <w:tcPr>
            <w:tcW w:w="1204" w:type="pct"/>
            <w:tcBorders>
              <w:top w:val="nil"/>
              <w:left w:val="nil"/>
              <w:bottom w:val="nil"/>
              <w:right w:val="nil"/>
            </w:tcBorders>
            <w:hideMark/>
          </w:tcPr>
          <w:p w14:paraId="545CB1DA"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 xml:space="preserve">  </w:t>
            </w:r>
          </w:p>
        </w:tc>
        <w:tc>
          <w:tcPr>
            <w:tcW w:w="579" w:type="pct"/>
            <w:tcBorders>
              <w:top w:val="nil"/>
              <w:left w:val="nil"/>
              <w:bottom w:val="nil"/>
              <w:right w:val="nil"/>
            </w:tcBorders>
            <w:hideMark/>
          </w:tcPr>
          <w:p w14:paraId="031FCB72"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(1.269)</w:t>
            </w:r>
          </w:p>
        </w:tc>
        <w:tc>
          <w:tcPr>
            <w:tcW w:w="1159" w:type="pct"/>
            <w:tcBorders>
              <w:top w:val="nil"/>
              <w:left w:val="nil"/>
              <w:bottom w:val="nil"/>
              <w:right w:val="nil"/>
            </w:tcBorders>
            <w:hideMark/>
          </w:tcPr>
          <w:p w14:paraId="75CC8052"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(1.673)</w:t>
            </w:r>
          </w:p>
        </w:tc>
        <w:tc>
          <w:tcPr>
            <w:tcW w:w="710" w:type="pct"/>
            <w:tcBorders>
              <w:top w:val="nil"/>
              <w:left w:val="nil"/>
              <w:bottom w:val="nil"/>
              <w:right w:val="nil"/>
            </w:tcBorders>
            <w:hideMark/>
          </w:tcPr>
          <w:p w14:paraId="4163B491"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(1.439)</w:t>
            </w:r>
          </w:p>
        </w:tc>
        <w:tc>
          <w:tcPr>
            <w:tcW w:w="713" w:type="pct"/>
            <w:tcBorders>
              <w:top w:val="nil"/>
              <w:left w:val="nil"/>
              <w:bottom w:val="nil"/>
              <w:right w:val="nil"/>
            </w:tcBorders>
            <w:hideMark/>
          </w:tcPr>
          <w:p w14:paraId="2912E2F0"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(4.761)</w:t>
            </w:r>
          </w:p>
        </w:tc>
        <w:tc>
          <w:tcPr>
            <w:tcW w:w="635" w:type="pct"/>
            <w:tcBorders>
              <w:top w:val="nil"/>
              <w:left w:val="nil"/>
              <w:bottom w:val="nil"/>
              <w:right w:val="nil"/>
            </w:tcBorders>
            <w:hideMark/>
          </w:tcPr>
          <w:p w14:paraId="5498D6DF"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(1.273)</w:t>
            </w:r>
          </w:p>
        </w:tc>
      </w:tr>
      <w:tr w:rsidR="001953BB" w:rsidRPr="00CD4846" w14:paraId="1D560437" w14:textId="77777777" w:rsidTr="001953BB">
        <w:tc>
          <w:tcPr>
            <w:tcW w:w="1204" w:type="pct"/>
            <w:tcBorders>
              <w:top w:val="nil"/>
              <w:left w:val="nil"/>
              <w:bottom w:val="nil"/>
              <w:right w:val="nil"/>
            </w:tcBorders>
            <w:hideMark/>
          </w:tcPr>
          <w:p w14:paraId="44A4FBC8"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Total Exits (t-1) (1ks)</w:t>
            </w:r>
          </w:p>
        </w:tc>
        <w:tc>
          <w:tcPr>
            <w:tcW w:w="579" w:type="pct"/>
            <w:tcBorders>
              <w:top w:val="nil"/>
              <w:left w:val="nil"/>
              <w:bottom w:val="nil"/>
              <w:right w:val="nil"/>
            </w:tcBorders>
            <w:hideMark/>
          </w:tcPr>
          <w:p w14:paraId="085C0432"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0.002</w:t>
            </w:r>
          </w:p>
        </w:tc>
        <w:tc>
          <w:tcPr>
            <w:tcW w:w="1159" w:type="pct"/>
            <w:tcBorders>
              <w:top w:val="nil"/>
              <w:left w:val="nil"/>
              <w:bottom w:val="nil"/>
              <w:right w:val="nil"/>
            </w:tcBorders>
          </w:tcPr>
          <w:p w14:paraId="4D19B227"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p>
        </w:tc>
        <w:tc>
          <w:tcPr>
            <w:tcW w:w="710" w:type="pct"/>
            <w:tcBorders>
              <w:top w:val="nil"/>
              <w:left w:val="nil"/>
              <w:bottom w:val="nil"/>
              <w:right w:val="nil"/>
            </w:tcBorders>
          </w:tcPr>
          <w:p w14:paraId="6DD460A6"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p>
        </w:tc>
        <w:tc>
          <w:tcPr>
            <w:tcW w:w="713" w:type="pct"/>
            <w:tcBorders>
              <w:top w:val="nil"/>
              <w:left w:val="nil"/>
              <w:bottom w:val="nil"/>
              <w:right w:val="nil"/>
            </w:tcBorders>
          </w:tcPr>
          <w:p w14:paraId="078CC262"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p>
        </w:tc>
        <w:tc>
          <w:tcPr>
            <w:tcW w:w="635" w:type="pct"/>
            <w:tcBorders>
              <w:top w:val="nil"/>
              <w:left w:val="nil"/>
              <w:bottom w:val="nil"/>
              <w:right w:val="nil"/>
            </w:tcBorders>
            <w:hideMark/>
          </w:tcPr>
          <w:p w14:paraId="3E09E9AA"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0.001</w:t>
            </w:r>
          </w:p>
        </w:tc>
      </w:tr>
      <w:tr w:rsidR="001953BB" w:rsidRPr="00CD4846" w14:paraId="09B27C0B" w14:textId="77777777" w:rsidTr="001953BB">
        <w:tc>
          <w:tcPr>
            <w:tcW w:w="1204" w:type="pct"/>
            <w:tcBorders>
              <w:top w:val="nil"/>
              <w:left w:val="nil"/>
              <w:bottom w:val="nil"/>
              <w:right w:val="nil"/>
            </w:tcBorders>
            <w:hideMark/>
          </w:tcPr>
          <w:p w14:paraId="07EC6336"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 xml:space="preserve">  </w:t>
            </w:r>
          </w:p>
        </w:tc>
        <w:tc>
          <w:tcPr>
            <w:tcW w:w="579" w:type="pct"/>
            <w:tcBorders>
              <w:top w:val="nil"/>
              <w:left w:val="nil"/>
              <w:bottom w:val="nil"/>
              <w:right w:val="nil"/>
            </w:tcBorders>
            <w:hideMark/>
          </w:tcPr>
          <w:p w14:paraId="12A6CF0F"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(0.036)</w:t>
            </w:r>
          </w:p>
        </w:tc>
        <w:tc>
          <w:tcPr>
            <w:tcW w:w="1159" w:type="pct"/>
            <w:tcBorders>
              <w:top w:val="nil"/>
              <w:left w:val="nil"/>
              <w:bottom w:val="nil"/>
              <w:right w:val="nil"/>
            </w:tcBorders>
          </w:tcPr>
          <w:p w14:paraId="24622E05"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p>
        </w:tc>
        <w:tc>
          <w:tcPr>
            <w:tcW w:w="710" w:type="pct"/>
            <w:tcBorders>
              <w:top w:val="nil"/>
              <w:left w:val="nil"/>
              <w:bottom w:val="nil"/>
              <w:right w:val="nil"/>
            </w:tcBorders>
          </w:tcPr>
          <w:p w14:paraId="658C38CD"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p>
        </w:tc>
        <w:tc>
          <w:tcPr>
            <w:tcW w:w="713" w:type="pct"/>
            <w:tcBorders>
              <w:top w:val="nil"/>
              <w:left w:val="nil"/>
              <w:bottom w:val="nil"/>
              <w:right w:val="nil"/>
            </w:tcBorders>
          </w:tcPr>
          <w:p w14:paraId="4F6BF926"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p>
        </w:tc>
        <w:tc>
          <w:tcPr>
            <w:tcW w:w="635" w:type="pct"/>
            <w:tcBorders>
              <w:top w:val="nil"/>
              <w:left w:val="nil"/>
              <w:bottom w:val="nil"/>
              <w:right w:val="nil"/>
            </w:tcBorders>
            <w:hideMark/>
          </w:tcPr>
          <w:p w14:paraId="7C41F720" w14:textId="77777777" w:rsidR="00CD4846" w:rsidRPr="00CD4846" w:rsidRDefault="00CD4846"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(0.036)</w:t>
            </w:r>
          </w:p>
        </w:tc>
      </w:tr>
    </w:tbl>
    <w:p w14:paraId="7BD8DB3C" w14:textId="77777777" w:rsidR="003959BE" w:rsidRDefault="003959BE" w:rsidP="001953BB">
      <w:pPr>
        <w:spacing w:line="240" w:lineRule="auto"/>
        <w:rPr>
          <w:b/>
          <w:bCs/>
        </w:rPr>
      </w:pPr>
    </w:p>
    <w:p w14:paraId="705AFA0F" w14:textId="77777777" w:rsidR="003959BE" w:rsidRDefault="003959BE" w:rsidP="001953BB">
      <w:pPr>
        <w:spacing w:line="240" w:lineRule="auto"/>
        <w:rPr>
          <w:b/>
          <w:bCs/>
        </w:rPr>
      </w:pPr>
    </w:p>
    <w:p w14:paraId="19B9B4A0" w14:textId="77777777" w:rsidR="003959BE" w:rsidRDefault="003959BE" w:rsidP="001953BB">
      <w:pPr>
        <w:spacing w:line="240" w:lineRule="auto"/>
        <w:rPr>
          <w:b/>
          <w:bCs/>
        </w:rPr>
      </w:pPr>
    </w:p>
    <w:p w14:paraId="016417CB" w14:textId="77777777" w:rsidR="003959BE" w:rsidRDefault="003959BE" w:rsidP="001953BB">
      <w:pPr>
        <w:spacing w:line="240" w:lineRule="auto"/>
        <w:rPr>
          <w:b/>
          <w:bCs/>
        </w:rPr>
      </w:pPr>
    </w:p>
    <w:p w14:paraId="6A814A60" w14:textId="04530E9C" w:rsidR="001953BB" w:rsidRDefault="001953BB" w:rsidP="001953BB">
      <w:pPr>
        <w:spacing w:line="240" w:lineRule="auto"/>
      </w:pPr>
      <w:r w:rsidRPr="00C624DB">
        <w:rPr>
          <w:b/>
          <w:bCs/>
        </w:rPr>
        <w:lastRenderedPageBreak/>
        <w:t>Table A4</w:t>
      </w:r>
      <w:r>
        <w:rPr>
          <w:b/>
          <w:bCs/>
        </w:rPr>
        <w:t>:</w:t>
      </w:r>
      <w:r w:rsidRPr="00C624DB">
        <w:rPr>
          <w:b/>
          <w:bCs/>
        </w:rPr>
        <w:t xml:space="preserve"> Continued</w:t>
      </w:r>
    </w:p>
    <w:tbl>
      <w:tblPr>
        <w:tblW w:w="4464" w:type="pct"/>
        <w:tblLook w:val="04A0" w:firstRow="1" w:lastRow="0" w:firstColumn="1" w:lastColumn="0" w:noHBand="0" w:noVBand="1"/>
      </w:tblPr>
      <w:tblGrid>
        <w:gridCol w:w="2012"/>
        <w:gridCol w:w="968"/>
        <w:gridCol w:w="1937"/>
        <w:gridCol w:w="1187"/>
        <w:gridCol w:w="1192"/>
        <w:gridCol w:w="1061"/>
      </w:tblGrid>
      <w:tr w:rsidR="001953BB" w:rsidRPr="00CD4846" w14:paraId="48A2E93F" w14:textId="77777777" w:rsidTr="001953BB">
        <w:tc>
          <w:tcPr>
            <w:tcW w:w="1204" w:type="pct"/>
            <w:tcBorders>
              <w:top w:val="single" w:sz="4" w:space="0" w:color="auto"/>
              <w:left w:val="nil"/>
              <w:bottom w:val="single" w:sz="4" w:space="0" w:color="auto"/>
              <w:right w:val="nil"/>
            </w:tcBorders>
          </w:tcPr>
          <w:p w14:paraId="6D7C8012" w14:textId="167FA5F1"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cs="Times New Roman"/>
                <w:b/>
                <w:bCs/>
                <w:kern w:val="2"/>
                <w:sz w:val="20"/>
                <w:szCs w:val="20"/>
                <w:lang/>
              </w:rPr>
              <w:t>Variable</w:t>
            </w:r>
            <w:r w:rsidRPr="00CD4846">
              <w:rPr>
                <w:rFonts w:eastAsia="Calibri" w:cs="Times New Roman"/>
                <w:kern w:val="2"/>
                <w:sz w:val="20"/>
                <w:szCs w:val="20"/>
                <w:lang/>
              </w:rPr>
              <w:t xml:space="preserve">   </w:t>
            </w:r>
          </w:p>
        </w:tc>
        <w:tc>
          <w:tcPr>
            <w:tcW w:w="579" w:type="pct"/>
            <w:tcBorders>
              <w:top w:val="single" w:sz="4" w:space="0" w:color="auto"/>
              <w:left w:val="nil"/>
              <w:bottom w:val="single" w:sz="4" w:space="0" w:color="auto"/>
              <w:right w:val="nil"/>
            </w:tcBorders>
          </w:tcPr>
          <w:p w14:paraId="5C4A19A4" w14:textId="3A0DBE81"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b/>
                <w:kern w:val="2"/>
                <w:sz w:val="20"/>
                <w:szCs w:val="20"/>
                <w:lang/>
              </w:rPr>
              <w:t>Births</w:t>
            </w:r>
          </w:p>
        </w:tc>
        <w:tc>
          <w:tcPr>
            <w:tcW w:w="1159" w:type="pct"/>
            <w:tcBorders>
              <w:top w:val="single" w:sz="4" w:space="0" w:color="auto"/>
              <w:left w:val="nil"/>
              <w:bottom w:val="single" w:sz="4" w:space="0" w:color="auto"/>
              <w:right w:val="nil"/>
            </w:tcBorders>
          </w:tcPr>
          <w:p w14:paraId="21C68006" w14:textId="3C523E4B"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b/>
                <w:kern w:val="2"/>
                <w:sz w:val="20"/>
                <w:szCs w:val="20"/>
                <w:lang/>
              </w:rPr>
              <w:t>Inward Relocations</w:t>
            </w:r>
            <w:r w:rsidRPr="00CD4846">
              <w:rPr>
                <w:rFonts w:eastAsia="Calibri" w:cs="Times New Roman"/>
                <w:b/>
                <w:kern w:val="2"/>
                <w:sz w:val="20"/>
                <w:szCs w:val="20"/>
                <w:lang/>
              </w:rPr>
              <w:t xml:space="preserve"> (IR)</w:t>
            </w:r>
          </w:p>
        </w:tc>
        <w:tc>
          <w:tcPr>
            <w:tcW w:w="710" w:type="pct"/>
            <w:tcBorders>
              <w:top w:val="single" w:sz="4" w:space="0" w:color="auto"/>
              <w:left w:val="nil"/>
              <w:bottom w:val="single" w:sz="4" w:space="0" w:color="auto"/>
              <w:right w:val="nil"/>
            </w:tcBorders>
          </w:tcPr>
          <w:p w14:paraId="572A18AE" w14:textId="3A2C9E82"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b/>
                <w:kern w:val="2"/>
                <w:sz w:val="20"/>
                <w:szCs w:val="20"/>
                <w:lang/>
              </w:rPr>
              <w:t>Intra-State IR</w:t>
            </w:r>
          </w:p>
        </w:tc>
        <w:tc>
          <w:tcPr>
            <w:tcW w:w="713" w:type="pct"/>
            <w:tcBorders>
              <w:top w:val="single" w:sz="4" w:space="0" w:color="auto"/>
              <w:left w:val="nil"/>
              <w:bottom w:val="single" w:sz="4" w:space="0" w:color="auto"/>
              <w:right w:val="nil"/>
            </w:tcBorders>
          </w:tcPr>
          <w:p w14:paraId="0501B563" w14:textId="5CC9C435"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b/>
                <w:kern w:val="2"/>
                <w:sz w:val="20"/>
                <w:szCs w:val="20"/>
                <w:lang/>
              </w:rPr>
              <w:t>Inter-State IR</w:t>
            </w:r>
          </w:p>
        </w:tc>
        <w:tc>
          <w:tcPr>
            <w:tcW w:w="635" w:type="pct"/>
            <w:tcBorders>
              <w:top w:val="single" w:sz="4" w:space="0" w:color="auto"/>
              <w:left w:val="nil"/>
              <w:bottom w:val="single" w:sz="4" w:space="0" w:color="auto"/>
              <w:right w:val="nil"/>
            </w:tcBorders>
          </w:tcPr>
          <w:p w14:paraId="2D985934" w14:textId="4378FD12"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b/>
                <w:kern w:val="2"/>
                <w:sz w:val="20"/>
                <w:szCs w:val="20"/>
                <w:lang/>
              </w:rPr>
              <w:t>Total Entries</w:t>
            </w:r>
          </w:p>
        </w:tc>
      </w:tr>
      <w:tr w:rsidR="001953BB" w:rsidRPr="00CD4846" w14:paraId="60C0743A" w14:textId="77777777" w:rsidTr="001953BB">
        <w:tc>
          <w:tcPr>
            <w:tcW w:w="1204" w:type="pct"/>
            <w:tcBorders>
              <w:top w:val="nil"/>
              <w:left w:val="nil"/>
              <w:bottom w:val="nil"/>
              <w:right w:val="nil"/>
            </w:tcBorders>
            <w:hideMark/>
          </w:tcPr>
          <w:p w14:paraId="1F4D5763"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Births (t-1) (1ks)</w:t>
            </w:r>
          </w:p>
        </w:tc>
        <w:tc>
          <w:tcPr>
            <w:tcW w:w="579" w:type="pct"/>
            <w:tcBorders>
              <w:top w:val="nil"/>
              <w:left w:val="nil"/>
              <w:bottom w:val="nil"/>
              <w:right w:val="nil"/>
            </w:tcBorders>
          </w:tcPr>
          <w:p w14:paraId="751E3CF0"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p>
        </w:tc>
        <w:tc>
          <w:tcPr>
            <w:tcW w:w="1159" w:type="pct"/>
            <w:tcBorders>
              <w:top w:val="nil"/>
              <w:left w:val="nil"/>
              <w:bottom w:val="nil"/>
              <w:right w:val="nil"/>
            </w:tcBorders>
            <w:hideMark/>
          </w:tcPr>
          <w:p w14:paraId="2414CA6F"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-0.026</w:t>
            </w:r>
          </w:p>
        </w:tc>
        <w:tc>
          <w:tcPr>
            <w:tcW w:w="710" w:type="pct"/>
            <w:tcBorders>
              <w:top w:val="nil"/>
              <w:left w:val="nil"/>
              <w:bottom w:val="nil"/>
              <w:right w:val="nil"/>
            </w:tcBorders>
            <w:hideMark/>
          </w:tcPr>
          <w:p w14:paraId="4CA6D8EB"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-0.039</w:t>
            </w:r>
          </w:p>
        </w:tc>
        <w:tc>
          <w:tcPr>
            <w:tcW w:w="713" w:type="pct"/>
            <w:tcBorders>
              <w:top w:val="nil"/>
              <w:left w:val="nil"/>
              <w:bottom w:val="nil"/>
              <w:right w:val="nil"/>
            </w:tcBorders>
            <w:hideMark/>
          </w:tcPr>
          <w:p w14:paraId="37DC8BFC"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-0.017</w:t>
            </w:r>
          </w:p>
        </w:tc>
        <w:tc>
          <w:tcPr>
            <w:tcW w:w="635" w:type="pct"/>
            <w:tcBorders>
              <w:top w:val="nil"/>
              <w:left w:val="nil"/>
              <w:bottom w:val="nil"/>
              <w:right w:val="nil"/>
            </w:tcBorders>
          </w:tcPr>
          <w:p w14:paraId="22F30982"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p>
        </w:tc>
      </w:tr>
      <w:tr w:rsidR="001953BB" w:rsidRPr="00CD4846" w14:paraId="456BA549" w14:textId="77777777" w:rsidTr="001953BB">
        <w:tc>
          <w:tcPr>
            <w:tcW w:w="1204" w:type="pct"/>
            <w:tcBorders>
              <w:top w:val="nil"/>
              <w:left w:val="nil"/>
              <w:bottom w:val="nil"/>
              <w:right w:val="nil"/>
            </w:tcBorders>
            <w:hideMark/>
          </w:tcPr>
          <w:p w14:paraId="5237B128"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 xml:space="preserve">  </w:t>
            </w:r>
          </w:p>
        </w:tc>
        <w:tc>
          <w:tcPr>
            <w:tcW w:w="579" w:type="pct"/>
            <w:tcBorders>
              <w:top w:val="nil"/>
              <w:left w:val="nil"/>
              <w:bottom w:val="nil"/>
              <w:right w:val="nil"/>
            </w:tcBorders>
          </w:tcPr>
          <w:p w14:paraId="3D942E70"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p>
        </w:tc>
        <w:tc>
          <w:tcPr>
            <w:tcW w:w="1159" w:type="pct"/>
            <w:tcBorders>
              <w:top w:val="nil"/>
              <w:left w:val="nil"/>
              <w:bottom w:val="nil"/>
              <w:right w:val="nil"/>
            </w:tcBorders>
            <w:hideMark/>
          </w:tcPr>
          <w:p w14:paraId="78C64F88"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(0.023)</w:t>
            </w:r>
          </w:p>
        </w:tc>
        <w:tc>
          <w:tcPr>
            <w:tcW w:w="710" w:type="pct"/>
            <w:tcBorders>
              <w:top w:val="nil"/>
              <w:left w:val="nil"/>
              <w:bottom w:val="nil"/>
              <w:right w:val="nil"/>
            </w:tcBorders>
            <w:hideMark/>
          </w:tcPr>
          <w:p w14:paraId="6AE6143B"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(0.024)</w:t>
            </w:r>
          </w:p>
        </w:tc>
        <w:tc>
          <w:tcPr>
            <w:tcW w:w="713" w:type="pct"/>
            <w:tcBorders>
              <w:top w:val="nil"/>
              <w:left w:val="nil"/>
              <w:bottom w:val="nil"/>
              <w:right w:val="nil"/>
            </w:tcBorders>
            <w:hideMark/>
          </w:tcPr>
          <w:p w14:paraId="17A31725"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(0.041)</w:t>
            </w:r>
          </w:p>
        </w:tc>
        <w:tc>
          <w:tcPr>
            <w:tcW w:w="635" w:type="pct"/>
            <w:tcBorders>
              <w:top w:val="nil"/>
              <w:left w:val="nil"/>
              <w:bottom w:val="nil"/>
              <w:right w:val="nil"/>
            </w:tcBorders>
          </w:tcPr>
          <w:p w14:paraId="66BB95B8"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p>
        </w:tc>
      </w:tr>
      <w:tr w:rsidR="001953BB" w:rsidRPr="00CD4846" w14:paraId="77459489" w14:textId="77777777" w:rsidTr="001953BB">
        <w:tc>
          <w:tcPr>
            <w:tcW w:w="1204" w:type="pct"/>
            <w:tcBorders>
              <w:top w:val="nil"/>
              <w:left w:val="nil"/>
              <w:bottom w:val="nil"/>
              <w:right w:val="nil"/>
            </w:tcBorders>
            <w:hideMark/>
          </w:tcPr>
          <w:p w14:paraId="4DB0BB82"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Deaths (t-1) (1ks)</w:t>
            </w:r>
          </w:p>
        </w:tc>
        <w:tc>
          <w:tcPr>
            <w:tcW w:w="579" w:type="pct"/>
            <w:tcBorders>
              <w:top w:val="nil"/>
              <w:left w:val="nil"/>
              <w:bottom w:val="nil"/>
              <w:right w:val="nil"/>
            </w:tcBorders>
          </w:tcPr>
          <w:p w14:paraId="101649D7"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p>
        </w:tc>
        <w:tc>
          <w:tcPr>
            <w:tcW w:w="1159" w:type="pct"/>
            <w:tcBorders>
              <w:top w:val="nil"/>
              <w:left w:val="nil"/>
              <w:bottom w:val="nil"/>
              <w:right w:val="nil"/>
            </w:tcBorders>
            <w:hideMark/>
          </w:tcPr>
          <w:p w14:paraId="421B67E4"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-0.205***</w:t>
            </w:r>
          </w:p>
        </w:tc>
        <w:tc>
          <w:tcPr>
            <w:tcW w:w="710" w:type="pct"/>
            <w:tcBorders>
              <w:top w:val="nil"/>
              <w:left w:val="nil"/>
              <w:bottom w:val="nil"/>
              <w:right w:val="nil"/>
            </w:tcBorders>
            <w:hideMark/>
          </w:tcPr>
          <w:p w14:paraId="306D64CE"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-0.213***</w:t>
            </w:r>
          </w:p>
        </w:tc>
        <w:tc>
          <w:tcPr>
            <w:tcW w:w="713" w:type="pct"/>
            <w:tcBorders>
              <w:top w:val="nil"/>
              <w:left w:val="nil"/>
              <w:bottom w:val="nil"/>
              <w:right w:val="nil"/>
            </w:tcBorders>
            <w:hideMark/>
          </w:tcPr>
          <w:p w14:paraId="6FC0F78B"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0.097</w:t>
            </w:r>
          </w:p>
        </w:tc>
        <w:tc>
          <w:tcPr>
            <w:tcW w:w="635" w:type="pct"/>
            <w:tcBorders>
              <w:top w:val="nil"/>
              <w:left w:val="nil"/>
              <w:bottom w:val="nil"/>
              <w:right w:val="nil"/>
            </w:tcBorders>
          </w:tcPr>
          <w:p w14:paraId="58E57EFD"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p>
        </w:tc>
      </w:tr>
      <w:tr w:rsidR="001953BB" w:rsidRPr="00CD4846" w14:paraId="01C484FA" w14:textId="77777777" w:rsidTr="001953BB">
        <w:tc>
          <w:tcPr>
            <w:tcW w:w="1204" w:type="pct"/>
            <w:tcBorders>
              <w:top w:val="nil"/>
              <w:left w:val="nil"/>
              <w:bottom w:val="nil"/>
              <w:right w:val="nil"/>
            </w:tcBorders>
            <w:hideMark/>
          </w:tcPr>
          <w:p w14:paraId="436049CD"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 xml:space="preserve">  </w:t>
            </w:r>
          </w:p>
        </w:tc>
        <w:tc>
          <w:tcPr>
            <w:tcW w:w="579" w:type="pct"/>
            <w:tcBorders>
              <w:top w:val="nil"/>
              <w:left w:val="nil"/>
              <w:bottom w:val="nil"/>
              <w:right w:val="nil"/>
            </w:tcBorders>
          </w:tcPr>
          <w:p w14:paraId="5FFC0507"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p>
        </w:tc>
        <w:tc>
          <w:tcPr>
            <w:tcW w:w="1159" w:type="pct"/>
            <w:tcBorders>
              <w:top w:val="nil"/>
              <w:left w:val="nil"/>
              <w:bottom w:val="nil"/>
              <w:right w:val="nil"/>
            </w:tcBorders>
            <w:hideMark/>
          </w:tcPr>
          <w:p w14:paraId="6259C94A"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(0.049)</w:t>
            </w:r>
          </w:p>
        </w:tc>
        <w:tc>
          <w:tcPr>
            <w:tcW w:w="710" w:type="pct"/>
            <w:tcBorders>
              <w:top w:val="nil"/>
              <w:left w:val="nil"/>
              <w:bottom w:val="nil"/>
              <w:right w:val="nil"/>
            </w:tcBorders>
            <w:hideMark/>
          </w:tcPr>
          <w:p w14:paraId="298BFD5E"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(0.051)</w:t>
            </w:r>
          </w:p>
        </w:tc>
        <w:tc>
          <w:tcPr>
            <w:tcW w:w="713" w:type="pct"/>
            <w:tcBorders>
              <w:top w:val="nil"/>
              <w:left w:val="nil"/>
              <w:bottom w:val="nil"/>
              <w:right w:val="nil"/>
            </w:tcBorders>
            <w:hideMark/>
          </w:tcPr>
          <w:p w14:paraId="7A83BEAF"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(0.093)</w:t>
            </w:r>
          </w:p>
        </w:tc>
        <w:tc>
          <w:tcPr>
            <w:tcW w:w="635" w:type="pct"/>
            <w:tcBorders>
              <w:top w:val="nil"/>
              <w:left w:val="nil"/>
              <w:bottom w:val="nil"/>
              <w:right w:val="nil"/>
            </w:tcBorders>
          </w:tcPr>
          <w:p w14:paraId="2B3740FA"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p>
        </w:tc>
      </w:tr>
      <w:tr w:rsidR="001953BB" w:rsidRPr="00CD4846" w14:paraId="4289188C" w14:textId="77777777" w:rsidTr="001953BB">
        <w:tc>
          <w:tcPr>
            <w:tcW w:w="1204" w:type="pct"/>
            <w:tcBorders>
              <w:top w:val="nil"/>
              <w:left w:val="nil"/>
              <w:bottom w:val="nil"/>
              <w:right w:val="nil"/>
            </w:tcBorders>
            <w:hideMark/>
          </w:tcPr>
          <w:p w14:paraId="6B2E093D"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Outward Reloc</w:t>
            </w:r>
            <w:r w:rsidRPr="00CD4846">
              <w:rPr>
                <w:rFonts w:eastAsia="Calibri" w:cs="Times New Roman"/>
                <w:kern w:val="2"/>
                <w:sz w:val="20"/>
                <w:szCs w:val="20"/>
                <w:lang/>
              </w:rPr>
              <w:t>.</w:t>
            </w:r>
            <w:r w:rsidRPr="00CD4846">
              <w:rPr>
                <w:rFonts w:eastAsia="Calibri" w:cs="Times New Roman"/>
                <w:kern w:val="2"/>
                <w:sz w:val="20"/>
                <w:szCs w:val="20"/>
                <w:lang/>
              </w:rPr>
              <w:t xml:space="preserve"> (t-1) (1ks)</w:t>
            </w:r>
          </w:p>
        </w:tc>
        <w:tc>
          <w:tcPr>
            <w:tcW w:w="579" w:type="pct"/>
            <w:tcBorders>
              <w:top w:val="nil"/>
              <w:left w:val="nil"/>
              <w:bottom w:val="nil"/>
              <w:right w:val="nil"/>
            </w:tcBorders>
          </w:tcPr>
          <w:p w14:paraId="60255F9F"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p>
        </w:tc>
        <w:tc>
          <w:tcPr>
            <w:tcW w:w="1159" w:type="pct"/>
            <w:tcBorders>
              <w:top w:val="nil"/>
              <w:left w:val="nil"/>
              <w:bottom w:val="nil"/>
              <w:right w:val="nil"/>
            </w:tcBorders>
            <w:hideMark/>
          </w:tcPr>
          <w:p w14:paraId="14D24E46"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3.103*</w:t>
            </w:r>
          </w:p>
        </w:tc>
        <w:tc>
          <w:tcPr>
            <w:tcW w:w="710" w:type="pct"/>
            <w:tcBorders>
              <w:top w:val="nil"/>
              <w:left w:val="nil"/>
              <w:bottom w:val="nil"/>
              <w:right w:val="nil"/>
            </w:tcBorders>
            <w:hideMark/>
          </w:tcPr>
          <w:p w14:paraId="6311A267"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2.432</w:t>
            </w:r>
          </w:p>
        </w:tc>
        <w:tc>
          <w:tcPr>
            <w:tcW w:w="713" w:type="pct"/>
            <w:tcBorders>
              <w:top w:val="nil"/>
              <w:left w:val="nil"/>
              <w:bottom w:val="nil"/>
              <w:right w:val="nil"/>
            </w:tcBorders>
            <w:hideMark/>
          </w:tcPr>
          <w:p w14:paraId="3690347E"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-6.690</w:t>
            </w:r>
          </w:p>
        </w:tc>
        <w:tc>
          <w:tcPr>
            <w:tcW w:w="635" w:type="pct"/>
            <w:tcBorders>
              <w:top w:val="nil"/>
              <w:left w:val="nil"/>
              <w:bottom w:val="nil"/>
              <w:right w:val="nil"/>
            </w:tcBorders>
          </w:tcPr>
          <w:p w14:paraId="553A8EE7"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p>
        </w:tc>
      </w:tr>
      <w:tr w:rsidR="001953BB" w:rsidRPr="00CD4846" w14:paraId="3484DB4A" w14:textId="77777777" w:rsidTr="001953BB">
        <w:tc>
          <w:tcPr>
            <w:tcW w:w="1204" w:type="pct"/>
            <w:tcBorders>
              <w:top w:val="nil"/>
              <w:left w:val="nil"/>
              <w:bottom w:val="nil"/>
              <w:right w:val="nil"/>
            </w:tcBorders>
            <w:hideMark/>
          </w:tcPr>
          <w:p w14:paraId="207F8A87"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 xml:space="preserve">  </w:t>
            </w:r>
          </w:p>
        </w:tc>
        <w:tc>
          <w:tcPr>
            <w:tcW w:w="579" w:type="pct"/>
            <w:tcBorders>
              <w:top w:val="nil"/>
              <w:left w:val="nil"/>
              <w:bottom w:val="nil"/>
              <w:right w:val="nil"/>
            </w:tcBorders>
          </w:tcPr>
          <w:p w14:paraId="57F22473"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p>
        </w:tc>
        <w:tc>
          <w:tcPr>
            <w:tcW w:w="1159" w:type="pct"/>
            <w:tcBorders>
              <w:top w:val="nil"/>
              <w:left w:val="nil"/>
              <w:bottom w:val="nil"/>
              <w:right w:val="nil"/>
            </w:tcBorders>
            <w:hideMark/>
          </w:tcPr>
          <w:p w14:paraId="7F6D2D96"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(1.806)</w:t>
            </w:r>
          </w:p>
        </w:tc>
        <w:tc>
          <w:tcPr>
            <w:tcW w:w="710" w:type="pct"/>
            <w:tcBorders>
              <w:top w:val="nil"/>
              <w:left w:val="nil"/>
              <w:bottom w:val="nil"/>
              <w:right w:val="nil"/>
            </w:tcBorders>
            <w:hideMark/>
          </w:tcPr>
          <w:p w14:paraId="1A7ABD38"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(1.862)</w:t>
            </w:r>
          </w:p>
        </w:tc>
        <w:tc>
          <w:tcPr>
            <w:tcW w:w="713" w:type="pct"/>
            <w:tcBorders>
              <w:top w:val="nil"/>
              <w:left w:val="nil"/>
              <w:bottom w:val="nil"/>
              <w:right w:val="nil"/>
            </w:tcBorders>
            <w:hideMark/>
          </w:tcPr>
          <w:p w14:paraId="71B9CC35"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(6.835)</w:t>
            </w:r>
          </w:p>
        </w:tc>
        <w:tc>
          <w:tcPr>
            <w:tcW w:w="635" w:type="pct"/>
            <w:tcBorders>
              <w:top w:val="nil"/>
              <w:left w:val="nil"/>
              <w:bottom w:val="nil"/>
              <w:right w:val="nil"/>
            </w:tcBorders>
          </w:tcPr>
          <w:p w14:paraId="7FDBF64D"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p>
        </w:tc>
      </w:tr>
      <w:tr w:rsidR="001953BB" w:rsidRPr="00CD4846" w14:paraId="0489AD7B" w14:textId="77777777" w:rsidTr="001953BB">
        <w:tc>
          <w:tcPr>
            <w:tcW w:w="1204" w:type="pct"/>
            <w:tcBorders>
              <w:top w:val="nil"/>
              <w:left w:val="nil"/>
              <w:bottom w:val="nil"/>
              <w:right w:val="nil"/>
            </w:tcBorders>
            <w:hideMark/>
          </w:tcPr>
          <w:p w14:paraId="67DD6E56"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Constant</w:t>
            </w:r>
          </w:p>
        </w:tc>
        <w:tc>
          <w:tcPr>
            <w:tcW w:w="579" w:type="pct"/>
            <w:tcBorders>
              <w:top w:val="nil"/>
              <w:left w:val="nil"/>
              <w:bottom w:val="nil"/>
              <w:right w:val="nil"/>
            </w:tcBorders>
            <w:hideMark/>
          </w:tcPr>
          <w:p w14:paraId="34DECBE2"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4.379***</w:t>
            </w:r>
          </w:p>
        </w:tc>
        <w:tc>
          <w:tcPr>
            <w:tcW w:w="1159" w:type="pct"/>
            <w:tcBorders>
              <w:top w:val="nil"/>
              <w:left w:val="nil"/>
              <w:bottom w:val="nil"/>
              <w:right w:val="nil"/>
            </w:tcBorders>
            <w:hideMark/>
          </w:tcPr>
          <w:p w14:paraId="6240737E"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0.144</w:t>
            </w:r>
          </w:p>
        </w:tc>
        <w:tc>
          <w:tcPr>
            <w:tcW w:w="710" w:type="pct"/>
            <w:tcBorders>
              <w:top w:val="nil"/>
              <w:left w:val="nil"/>
              <w:bottom w:val="nil"/>
              <w:right w:val="nil"/>
            </w:tcBorders>
            <w:hideMark/>
          </w:tcPr>
          <w:p w14:paraId="5D9B932C"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0.114</w:t>
            </w:r>
          </w:p>
        </w:tc>
        <w:tc>
          <w:tcPr>
            <w:tcW w:w="713" w:type="pct"/>
            <w:tcBorders>
              <w:top w:val="nil"/>
              <w:left w:val="nil"/>
              <w:bottom w:val="nil"/>
              <w:right w:val="nil"/>
            </w:tcBorders>
            <w:hideMark/>
          </w:tcPr>
          <w:p w14:paraId="3469D621"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2.764</w:t>
            </w:r>
          </w:p>
        </w:tc>
        <w:tc>
          <w:tcPr>
            <w:tcW w:w="635" w:type="pct"/>
            <w:tcBorders>
              <w:top w:val="nil"/>
              <w:left w:val="nil"/>
              <w:bottom w:val="nil"/>
              <w:right w:val="nil"/>
            </w:tcBorders>
            <w:hideMark/>
          </w:tcPr>
          <w:p w14:paraId="5B486CFB"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4.384***</w:t>
            </w:r>
          </w:p>
        </w:tc>
      </w:tr>
      <w:tr w:rsidR="001953BB" w:rsidRPr="00CD4846" w14:paraId="7DF2BAA9" w14:textId="77777777" w:rsidTr="001953BB">
        <w:tc>
          <w:tcPr>
            <w:tcW w:w="1204" w:type="pct"/>
            <w:tcBorders>
              <w:top w:val="nil"/>
              <w:left w:val="nil"/>
              <w:bottom w:val="nil"/>
              <w:right w:val="nil"/>
            </w:tcBorders>
            <w:hideMark/>
          </w:tcPr>
          <w:p w14:paraId="30D1086C"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 xml:space="preserve">  </w:t>
            </w:r>
          </w:p>
        </w:tc>
        <w:tc>
          <w:tcPr>
            <w:tcW w:w="579" w:type="pct"/>
            <w:tcBorders>
              <w:top w:val="nil"/>
              <w:left w:val="nil"/>
              <w:bottom w:val="nil"/>
              <w:right w:val="nil"/>
            </w:tcBorders>
            <w:hideMark/>
          </w:tcPr>
          <w:p w14:paraId="5E3CEEAD"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(0.308)</w:t>
            </w:r>
          </w:p>
        </w:tc>
        <w:tc>
          <w:tcPr>
            <w:tcW w:w="1159" w:type="pct"/>
            <w:tcBorders>
              <w:top w:val="nil"/>
              <w:left w:val="nil"/>
              <w:bottom w:val="nil"/>
              <w:right w:val="nil"/>
            </w:tcBorders>
            <w:hideMark/>
          </w:tcPr>
          <w:p w14:paraId="629D3BB6"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(0.457)</w:t>
            </w:r>
          </w:p>
        </w:tc>
        <w:tc>
          <w:tcPr>
            <w:tcW w:w="710" w:type="pct"/>
            <w:tcBorders>
              <w:top w:val="nil"/>
              <w:left w:val="nil"/>
              <w:bottom w:val="nil"/>
              <w:right w:val="nil"/>
            </w:tcBorders>
            <w:hideMark/>
          </w:tcPr>
          <w:p w14:paraId="45089F4A"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(0.466)</w:t>
            </w:r>
          </w:p>
        </w:tc>
        <w:tc>
          <w:tcPr>
            <w:tcW w:w="713" w:type="pct"/>
            <w:tcBorders>
              <w:top w:val="nil"/>
              <w:left w:val="nil"/>
              <w:bottom w:val="nil"/>
              <w:right w:val="nil"/>
            </w:tcBorders>
            <w:hideMark/>
          </w:tcPr>
          <w:p w14:paraId="76D3C27B"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(2.695)</w:t>
            </w:r>
          </w:p>
        </w:tc>
        <w:tc>
          <w:tcPr>
            <w:tcW w:w="635" w:type="pct"/>
            <w:tcBorders>
              <w:top w:val="nil"/>
              <w:left w:val="nil"/>
              <w:bottom w:val="nil"/>
              <w:right w:val="nil"/>
            </w:tcBorders>
            <w:hideMark/>
          </w:tcPr>
          <w:p w14:paraId="34D8D867"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(0.305)</w:t>
            </w:r>
          </w:p>
        </w:tc>
      </w:tr>
      <w:tr w:rsidR="001953BB" w:rsidRPr="00CD4846" w14:paraId="0EE67A7A" w14:textId="77777777" w:rsidTr="001953BB">
        <w:tc>
          <w:tcPr>
            <w:tcW w:w="1204" w:type="pct"/>
            <w:tcBorders>
              <w:top w:val="nil"/>
              <w:left w:val="nil"/>
              <w:bottom w:val="nil"/>
              <w:right w:val="nil"/>
            </w:tcBorders>
            <w:hideMark/>
          </w:tcPr>
          <w:p w14:paraId="63EFDE07"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Observations</w:t>
            </w:r>
          </w:p>
        </w:tc>
        <w:tc>
          <w:tcPr>
            <w:tcW w:w="579" w:type="pct"/>
            <w:tcBorders>
              <w:top w:val="nil"/>
              <w:left w:val="nil"/>
              <w:bottom w:val="nil"/>
              <w:right w:val="nil"/>
            </w:tcBorders>
            <w:hideMark/>
          </w:tcPr>
          <w:p w14:paraId="04259D78"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77994</w:t>
            </w:r>
          </w:p>
        </w:tc>
        <w:tc>
          <w:tcPr>
            <w:tcW w:w="1159" w:type="pct"/>
            <w:tcBorders>
              <w:top w:val="nil"/>
              <w:left w:val="nil"/>
              <w:bottom w:val="nil"/>
              <w:right w:val="nil"/>
            </w:tcBorders>
            <w:hideMark/>
          </w:tcPr>
          <w:p w14:paraId="3216BFCA"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71576</w:t>
            </w:r>
          </w:p>
        </w:tc>
        <w:tc>
          <w:tcPr>
            <w:tcW w:w="710" w:type="pct"/>
            <w:tcBorders>
              <w:top w:val="nil"/>
              <w:left w:val="nil"/>
              <w:bottom w:val="nil"/>
              <w:right w:val="nil"/>
            </w:tcBorders>
            <w:hideMark/>
          </w:tcPr>
          <w:p w14:paraId="2DC86EE4"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71058</w:t>
            </w:r>
          </w:p>
        </w:tc>
        <w:tc>
          <w:tcPr>
            <w:tcW w:w="713" w:type="pct"/>
            <w:tcBorders>
              <w:top w:val="nil"/>
              <w:left w:val="nil"/>
              <w:bottom w:val="nil"/>
              <w:right w:val="nil"/>
            </w:tcBorders>
            <w:hideMark/>
          </w:tcPr>
          <w:p w14:paraId="7D52F7BE"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14051</w:t>
            </w:r>
          </w:p>
        </w:tc>
        <w:tc>
          <w:tcPr>
            <w:tcW w:w="635" w:type="pct"/>
            <w:tcBorders>
              <w:top w:val="nil"/>
              <w:left w:val="nil"/>
              <w:bottom w:val="nil"/>
              <w:right w:val="nil"/>
            </w:tcBorders>
            <w:hideMark/>
          </w:tcPr>
          <w:p w14:paraId="72F728D5"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77994</w:t>
            </w:r>
          </w:p>
        </w:tc>
      </w:tr>
      <w:tr w:rsidR="001953BB" w:rsidRPr="00CD4846" w14:paraId="5005D8E9" w14:textId="77777777" w:rsidTr="001953BB">
        <w:tc>
          <w:tcPr>
            <w:tcW w:w="1204" w:type="pct"/>
            <w:tcBorders>
              <w:top w:val="nil"/>
              <w:left w:val="nil"/>
              <w:bottom w:val="nil"/>
              <w:right w:val="nil"/>
            </w:tcBorders>
            <w:hideMark/>
          </w:tcPr>
          <w:p w14:paraId="3AF560FA"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Pseudo R</w:t>
            </w:r>
            <w:r w:rsidRPr="00CD4846">
              <w:rPr>
                <w:rFonts w:eastAsia="Calibri" w:cs="Times New Roman"/>
                <w:kern w:val="2"/>
                <w:sz w:val="20"/>
                <w:szCs w:val="20"/>
                <w:vertAlign w:val="superscript"/>
                <w:lang/>
              </w:rPr>
              <w:t>2</w:t>
            </w:r>
          </w:p>
        </w:tc>
        <w:tc>
          <w:tcPr>
            <w:tcW w:w="579" w:type="pct"/>
            <w:tcBorders>
              <w:top w:val="nil"/>
              <w:left w:val="nil"/>
              <w:bottom w:val="nil"/>
              <w:right w:val="nil"/>
            </w:tcBorders>
            <w:hideMark/>
          </w:tcPr>
          <w:p w14:paraId="72963BAC"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0.908</w:t>
            </w:r>
          </w:p>
        </w:tc>
        <w:tc>
          <w:tcPr>
            <w:tcW w:w="1159" w:type="pct"/>
            <w:tcBorders>
              <w:top w:val="nil"/>
              <w:left w:val="nil"/>
              <w:bottom w:val="nil"/>
              <w:right w:val="nil"/>
            </w:tcBorders>
            <w:hideMark/>
          </w:tcPr>
          <w:p w14:paraId="087C220F"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0.594</w:t>
            </w:r>
          </w:p>
        </w:tc>
        <w:tc>
          <w:tcPr>
            <w:tcW w:w="710" w:type="pct"/>
            <w:tcBorders>
              <w:top w:val="nil"/>
              <w:left w:val="nil"/>
              <w:bottom w:val="nil"/>
              <w:right w:val="nil"/>
            </w:tcBorders>
            <w:hideMark/>
          </w:tcPr>
          <w:p w14:paraId="1D335492"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0.594</w:t>
            </w:r>
          </w:p>
        </w:tc>
        <w:tc>
          <w:tcPr>
            <w:tcW w:w="713" w:type="pct"/>
            <w:tcBorders>
              <w:top w:val="nil"/>
              <w:left w:val="nil"/>
              <w:bottom w:val="nil"/>
              <w:right w:val="nil"/>
            </w:tcBorders>
            <w:hideMark/>
          </w:tcPr>
          <w:p w14:paraId="55402494"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0.317</w:t>
            </w:r>
          </w:p>
        </w:tc>
        <w:tc>
          <w:tcPr>
            <w:tcW w:w="635" w:type="pct"/>
            <w:tcBorders>
              <w:top w:val="nil"/>
              <w:left w:val="nil"/>
              <w:bottom w:val="nil"/>
              <w:right w:val="nil"/>
            </w:tcBorders>
            <w:hideMark/>
          </w:tcPr>
          <w:p w14:paraId="18C81CCE"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0.909</w:t>
            </w:r>
          </w:p>
        </w:tc>
      </w:tr>
      <w:tr w:rsidR="001953BB" w:rsidRPr="00CD4846" w14:paraId="3EE045AC" w14:textId="77777777" w:rsidTr="001953BB">
        <w:tc>
          <w:tcPr>
            <w:tcW w:w="1204" w:type="pct"/>
            <w:tcBorders>
              <w:top w:val="nil"/>
              <w:left w:val="nil"/>
              <w:bottom w:val="nil"/>
              <w:right w:val="nil"/>
            </w:tcBorders>
            <w:hideMark/>
          </w:tcPr>
          <w:p w14:paraId="0B5F46D4"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Chi</w:t>
            </w:r>
            <w:r w:rsidRPr="00CD4846">
              <w:rPr>
                <w:rFonts w:eastAsia="Calibri" w:cs="Times New Roman"/>
                <w:kern w:val="2"/>
                <w:sz w:val="20"/>
                <w:szCs w:val="20"/>
                <w:vertAlign w:val="superscript"/>
                <w:lang/>
              </w:rPr>
              <w:t>2</w:t>
            </w:r>
          </w:p>
        </w:tc>
        <w:tc>
          <w:tcPr>
            <w:tcW w:w="579" w:type="pct"/>
            <w:tcBorders>
              <w:top w:val="nil"/>
              <w:left w:val="nil"/>
              <w:bottom w:val="nil"/>
              <w:right w:val="nil"/>
            </w:tcBorders>
            <w:hideMark/>
          </w:tcPr>
          <w:p w14:paraId="612CE0DF"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397</w:t>
            </w:r>
          </w:p>
        </w:tc>
        <w:tc>
          <w:tcPr>
            <w:tcW w:w="1159" w:type="pct"/>
            <w:tcBorders>
              <w:top w:val="nil"/>
              <w:left w:val="nil"/>
              <w:bottom w:val="nil"/>
              <w:right w:val="nil"/>
            </w:tcBorders>
            <w:hideMark/>
          </w:tcPr>
          <w:p w14:paraId="11BBAB26"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181</w:t>
            </w:r>
          </w:p>
        </w:tc>
        <w:tc>
          <w:tcPr>
            <w:tcW w:w="710" w:type="pct"/>
            <w:tcBorders>
              <w:top w:val="nil"/>
              <w:left w:val="nil"/>
              <w:bottom w:val="nil"/>
              <w:right w:val="nil"/>
            </w:tcBorders>
            <w:hideMark/>
          </w:tcPr>
          <w:p w14:paraId="67A18600"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177</w:t>
            </w:r>
          </w:p>
        </w:tc>
        <w:tc>
          <w:tcPr>
            <w:tcW w:w="713" w:type="pct"/>
            <w:tcBorders>
              <w:top w:val="nil"/>
              <w:left w:val="nil"/>
              <w:bottom w:val="nil"/>
              <w:right w:val="nil"/>
            </w:tcBorders>
            <w:hideMark/>
          </w:tcPr>
          <w:p w14:paraId="3A9EACDB"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116</w:t>
            </w:r>
          </w:p>
        </w:tc>
        <w:tc>
          <w:tcPr>
            <w:tcW w:w="635" w:type="pct"/>
            <w:tcBorders>
              <w:top w:val="nil"/>
              <w:left w:val="nil"/>
              <w:bottom w:val="nil"/>
              <w:right w:val="nil"/>
            </w:tcBorders>
            <w:hideMark/>
          </w:tcPr>
          <w:p w14:paraId="745A14E3"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407</w:t>
            </w:r>
          </w:p>
        </w:tc>
      </w:tr>
      <w:tr w:rsidR="001953BB" w:rsidRPr="00CD4846" w14:paraId="31E4A3AA" w14:textId="77777777" w:rsidTr="001953BB">
        <w:tc>
          <w:tcPr>
            <w:tcW w:w="1204" w:type="pct"/>
            <w:tcBorders>
              <w:top w:val="nil"/>
              <w:left w:val="nil"/>
              <w:bottom w:val="nil"/>
              <w:right w:val="nil"/>
            </w:tcBorders>
            <w:hideMark/>
          </w:tcPr>
          <w:p w14:paraId="3CDD9F0B"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Log Likelihood</w:t>
            </w:r>
          </w:p>
        </w:tc>
        <w:tc>
          <w:tcPr>
            <w:tcW w:w="579" w:type="pct"/>
            <w:tcBorders>
              <w:top w:val="nil"/>
              <w:left w:val="nil"/>
              <w:bottom w:val="nil"/>
              <w:right w:val="nil"/>
            </w:tcBorders>
            <w:hideMark/>
          </w:tcPr>
          <w:p w14:paraId="1D2B2E62"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-440378</w:t>
            </w:r>
          </w:p>
        </w:tc>
        <w:tc>
          <w:tcPr>
            <w:tcW w:w="1159" w:type="pct"/>
            <w:tcBorders>
              <w:top w:val="nil"/>
              <w:left w:val="nil"/>
              <w:bottom w:val="nil"/>
              <w:right w:val="nil"/>
            </w:tcBorders>
            <w:hideMark/>
          </w:tcPr>
          <w:p w14:paraId="1C9F20B9"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-46384</w:t>
            </w:r>
          </w:p>
        </w:tc>
        <w:tc>
          <w:tcPr>
            <w:tcW w:w="710" w:type="pct"/>
            <w:tcBorders>
              <w:top w:val="nil"/>
              <w:left w:val="nil"/>
              <w:bottom w:val="nil"/>
              <w:right w:val="nil"/>
            </w:tcBorders>
            <w:hideMark/>
          </w:tcPr>
          <w:p w14:paraId="1FB718C0"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-45293</w:t>
            </w:r>
          </w:p>
        </w:tc>
        <w:tc>
          <w:tcPr>
            <w:tcW w:w="713" w:type="pct"/>
            <w:tcBorders>
              <w:top w:val="nil"/>
              <w:left w:val="nil"/>
              <w:bottom w:val="nil"/>
              <w:right w:val="nil"/>
            </w:tcBorders>
            <w:hideMark/>
          </w:tcPr>
          <w:p w14:paraId="4E3D326D"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-3414</w:t>
            </w:r>
          </w:p>
        </w:tc>
        <w:tc>
          <w:tcPr>
            <w:tcW w:w="635" w:type="pct"/>
            <w:tcBorders>
              <w:top w:val="nil"/>
              <w:left w:val="nil"/>
              <w:bottom w:val="nil"/>
              <w:right w:val="nil"/>
            </w:tcBorders>
            <w:hideMark/>
          </w:tcPr>
          <w:p w14:paraId="1CC44DAD"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-442318</w:t>
            </w:r>
          </w:p>
        </w:tc>
      </w:tr>
      <w:tr w:rsidR="001953BB" w:rsidRPr="00CD4846" w14:paraId="563AFF7E" w14:textId="77777777" w:rsidTr="001953BB">
        <w:tc>
          <w:tcPr>
            <w:tcW w:w="1204" w:type="pct"/>
            <w:tcBorders>
              <w:top w:val="nil"/>
              <w:left w:val="nil"/>
              <w:bottom w:val="nil"/>
              <w:right w:val="nil"/>
            </w:tcBorders>
            <w:hideMark/>
          </w:tcPr>
          <w:p w14:paraId="2B6784FB"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Akaike’s Criterion</w:t>
            </w:r>
          </w:p>
        </w:tc>
        <w:tc>
          <w:tcPr>
            <w:tcW w:w="579" w:type="pct"/>
            <w:tcBorders>
              <w:top w:val="nil"/>
              <w:left w:val="nil"/>
              <w:bottom w:val="nil"/>
              <w:right w:val="nil"/>
            </w:tcBorders>
            <w:hideMark/>
          </w:tcPr>
          <w:p w14:paraId="3D654AF4"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880792</w:t>
            </w:r>
          </w:p>
        </w:tc>
        <w:tc>
          <w:tcPr>
            <w:tcW w:w="1159" w:type="pct"/>
            <w:tcBorders>
              <w:top w:val="nil"/>
              <w:left w:val="nil"/>
              <w:bottom w:val="nil"/>
              <w:right w:val="nil"/>
            </w:tcBorders>
            <w:hideMark/>
          </w:tcPr>
          <w:p w14:paraId="71F94E33"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92809</w:t>
            </w:r>
          </w:p>
        </w:tc>
        <w:tc>
          <w:tcPr>
            <w:tcW w:w="710" w:type="pct"/>
            <w:tcBorders>
              <w:top w:val="nil"/>
              <w:left w:val="nil"/>
              <w:bottom w:val="nil"/>
              <w:right w:val="nil"/>
            </w:tcBorders>
            <w:hideMark/>
          </w:tcPr>
          <w:p w14:paraId="0439F963"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90627</w:t>
            </w:r>
          </w:p>
        </w:tc>
        <w:tc>
          <w:tcPr>
            <w:tcW w:w="713" w:type="pct"/>
            <w:tcBorders>
              <w:top w:val="nil"/>
              <w:left w:val="nil"/>
              <w:bottom w:val="nil"/>
              <w:right w:val="nil"/>
            </w:tcBorders>
            <w:hideMark/>
          </w:tcPr>
          <w:p w14:paraId="3F20EC02"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6866</w:t>
            </w:r>
          </w:p>
        </w:tc>
        <w:tc>
          <w:tcPr>
            <w:tcW w:w="635" w:type="pct"/>
            <w:tcBorders>
              <w:top w:val="nil"/>
              <w:left w:val="nil"/>
              <w:bottom w:val="nil"/>
              <w:right w:val="nil"/>
            </w:tcBorders>
            <w:hideMark/>
          </w:tcPr>
          <w:p w14:paraId="6D0AE689"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884673</w:t>
            </w:r>
          </w:p>
        </w:tc>
      </w:tr>
    </w:tbl>
    <w:p w14:paraId="3C60CE10" w14:textId="656EE62D" w:rsidR="00C624DB" w:rsidRPr="00C624DB" w:rsidRDefault="00C624DB" w:rsidP="004C39A4">
      <w:pPr>
        <w:spacing w:line="240" w:lineRule="auto"/>
        <w:rPr>
          <w:b/>
          <w:bCs/>
        </w:rPr>
      </w:pPr>
    </w:p>
    <w:tbl>
      <w:tblPr>
        <w:tblW w:w="5000" w:type="pct"/>
        <w:tblLook w:val="04A0" w:firstRow="1" w:lastRow="0" w:firstColumn="1" w:lastColumn="0" w:noHBand="0" w:noVBand="1"/>
      </w:tblPr>
      <w:tblGrid>
        <w:gridCol w:w="2200"/>
        <w:gridCol w:w="1046"/>
        <w:gridCol w:w="2121"/>
        <w:gridCol w:w="1372"/>
        <w:gridCol w:w="1374"/>
        <w:gridCol w:w="1247"/>
      </w:tblGrid>
      <w:tr w:rsidR="004C39A4" w:rsidRPr="00CD4846" w14:paraId="0AC6ED35" w14:textId="77777777" w:rsidTr="002C0F11">
        <w:tc>
          <w:tcPr>
            <w:tcW w:w="1175" w:type="pct"/>
            <w:tcBorders>
              <w:top w:val="single" w:sz="4" w:space="0" w:color="auto"/>
              <w:left w:val="nil"/>
              <w:bottom w:val="nil"/>
              <w:right w:val="nil"/>
            </w:tcBorders>
            <w:hideMark/>
          </w:tcPr>
          <w:p w14:paraId="30686A01" w14:textId="77777777" w:rsidR="00C624DB" w:rsidRPr="00CD4846" w:rsidRDefault="00C624DB"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Bayesian Criterion</w:t>
            </w:r>
          </w:p>
        </w:tc>
        <w:tc>
          <w:tcPr>
            <w:tcW w:w="559" w:type="pct"/>
            <w:tcBorders>
              <w:top w:val="single" w:sz="4" w:space="0" w:color="auto"/>
              <w:left w:val="nil"/>
              <w:bottom w:val="nil"/>
              <w:right w:val="nil"/>
            </w:tcBorders>
            <w:hideMark/>
          </w:tcPr>
          <w:p w14:paraId="30B76B0D" w14:textId="77777777" w:rsidR="00C624DB" w:rsidRPr="00CD4846" w:rsidRDefault="00C624DB"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880959</w:t>
            </w:r>
          </w:p>
        </w:tc>
        <w:tc>
          <w:tcPr>
            <w:tcW w:w="1133" w:type="pct"/>
            <w:tcBorders>
              <w:top w:val="single" w:sz="4" w:space="0" w:color="auto"/>
              <w:left w:val="nil"/>
              <w:bottom w:val="nil"/>
              <w:right w:val="nil"/>
            </w:tcBorders>
            <w:hideMark/>
          </w:tcPr>
          <w:p w14:paraId="07929E87" w14:textId="77777777" w:rsidR="00C624DB" w:rsidRPr="00CD4846" w:rsidRDefault="00C624DB"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92992</w:t>
            </w:r>
          </w:p>
        </w:tc>
        <w:tc>
          <w:tcPr>
            <w:tcW w:w="733" w:type="pct"/>
            <w:tcBorders>
              <w:top w:val="single" w:sz="4" w:space="0" w:color="auto"/>
              <w:left w:val="nil"/>
              <w:bottom w:val="nil"/>
              <w:right w:val="nil"/>
            </w:tcBorders>
            <w:hideMark/>
          </w:tcPr>
          <w:p w14:paraId="1ED85B7D" w14:textId="77777777" w:rsidR="00C624DB" w:rsidRPr="00CD4846" w:rsidRDefault="00C624DB"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90810</w:t>
            </w:r>
          </w:p>
        </w:tc>
        <w:tc>
          <w:tcPr>
            <w:tcW w:w="734" w:type="pct"/>
            <w:tcBorders>
              <w:top w:val="single" w:sz="4" w:space="0" w:color="auto"/>
              <w:left w:val="nil"/>
              <w:bottom w:val="nil"/>
              <w:right w:val="nil"/>
            </w:tcBorders>
            <w:hideMark/>
          </w:tcPr>
          <w:p w14:paraId="6D3A97F5" w14:textId="77777777" w:rsidR="00C624DB" w:rsidRPr="00CD4846" w:rsidRDefault="00C624DB"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7010</w:t>
            </w:r>
          </w:p>
        </w:tc>
        <w:tc>
          <w:tcPr>
            <w:tcW w:w="666" w:type="pct"/>
            <w:tcBorders>
              <w:top w:val="single" w:sz="4" w:space="0" w:color="auto"/>
              <w:left w:val="nil"/>
              <w:bottom w:val="nil"/>
              <w:right w:val="nil"/>
            </w:tcBorders>
            <w:hideMark/>
          </w:tcPr>
          <w:p w14:paraId="7BE49221" w14:textId="77777777" w:rsidR="00C624DB" w:rsidRPr="00CD4846" w:rsidRDefault="00C624DB"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884840</w:t>
            </w:r>
          </w:p>
        </w:tc>
      </w:tr>
      <w:tr w:rsidR="00CE0D78" w:rsidRPr="00CD4846" w14:paraId="6C6BA3F5" w14:textId="77777777" w:rsidTr="002C0F11">
        <w:tc>
          <w:tcPr>
            <w:tcW w:w="1175" w:type="pct"/>
            <w:tcBorders>
              <w:top w:val="nil"/>
              <w:left w:val="nil"/>
              <w:bottom w:val="nil"/>
              <w:right w:val="nil"/>
            </w:tcBorders>
            <w:hideMark/>
          </w:tcPr>
          <w:p w14:paraId="0C86CF6B" w14:textId="77777777" w:rsidR="00C624DB" w:rsidRPr="00CD4846" w:rsidRDefault="00C624DB"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County FE</w:t>
            </w:r>
          </w:p>
        </w:tc>
        <w:tc>
          <w:tcPr>
            <w:tcW w:w="559" w:type="pct"/>
            <w:tcBorders>
              <w:top w:val="nil"/>
              <w:left w:val="nil"/>
              <w:bottom w:val="nil"/>
              <w:right w:val="nil"/>
            </w:tcBorders>
            <w:hideMark/>
          </w:tcPr>
          <w:p w14:paraId="2ACFE216" w14:textId="77777777" w:rsidR="00C624DB" w:rsidRPr="00CD4846" w:rsidRDefault="00C624DB"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Yes</w:t>
            </w:r>
          </w:p>
        </w:tc>
        <w:tc>
          <w:tcPr>
            <w:tcW w:w="1133" w:type="pct"/>
            <w:tcBorders>
              <w:top w:val="nil"/>
              <w:left w:val="nil"/>
              <w:bottom w:val="nil"/>
              <w:right w:val="nil"/>
            </w:tcBorders>
            <w:hideMark/>
          </w:tcPr>
          <w:p w14:paraId="042131E6" w14:textId="77777777" w:rsidR="00C624DB" w:rsidRPr="00CD4846" w:rsidRDefault="00C624DB"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Yes</w:t>
            </w:r>
          </w:p>
        </w:tc>
        <w:tc>
          <w:tcPr>
            <w:tcW w:w="733" w:type="pct"/>
            <w:tcBorders>
              <w:top w:val="nil"/>
              <w:left w:val="nil"/>
              <w:bottom w:val="nil"/>
              <w:right w:val="nil"/>
            </w:tcBorders>
            <w:hideMark/>
          </w:tcPr>
          <w:p w14:paraId="0883F81C" w14:textId="77777777" w:rsidR="00C624DB" w:rsidRPr="00CD4846" w:rsidRDefault="00C624DB"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Yes</w:t>
            </w:r>
          </w:p>
        </w:tc>
        <w:tc>
          <w:tcPr>
            <w:tcW w:w="734" w:type="pct"/>
            <w:tcBorders>
              <w:top w:val="nil"/>
              <w:left w:val="nil"/>
              <w:bottom w:val="nil"/>
              <w:right w:val="nil"/>
            </w:tcBorders>
            <w:hideMark/>
          </w:tcPr>
          <w:p w14:paraId="49D1FC73" w14:textId="77777777" w:rsidR="00C624DB" w:rsidRPr="00CD4846" w:rsidRDefault="00C624DB"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Yes</w:t>
            </w:r>
          </w:p>
        </w:tc>
        <w:tc>
          <w:tcPr>
            <w:tcW w:w="666" w:type="pct"/>
            <w:tcBorders>
              <w:top w:val="nil"/>
              <w:left w:val="nil"/>
              <w:bottom w:val="nil"/>
              <w:right w:val="nil"/>
            </w:tcBorders>
            <w:hideMark/>
          </w:tcPr>
          <w:p w14:paraId="17CE9D0C" w14:textId="77777777" w:rsidR="00C624DB" w:rsidRPr="00CD4846" w:rsidRDefault="00C624DB"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Yes</w:t>
            </w:r>
          </w:p>
        </w:tc>
      </w:tr>
      <w:tr w:rsidR="00CE0D78" w:rsidRPr="00CD4846" w14:paraId="2654A247" w14:textId="77777777" w:rsidTr="002C0F11">
        <w:tc>
          <w:tcPr>
            <w:tcW w:w="1175" w:type="pct"/>
            <w:tcBorders>
              <w:top w:val="nil"/>
              <w:left w:val="nil"/>
              <w:right w:val="nil"/>
            </w:tcBorders>
            <w:hideMark/>
          </w:tcPr>
          <w:p w14:paraId="787DDC98" w14:textId="77777777" w:rsidR="00C624DB" w:rsidRPr="00CD4846" w:rsidRDefault="00C624DB"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State by Year FE</w:t>
            </w:r>
          </w:p>
        </w:tc>
        <w:tc>
          <w:tcPr>
            <w:tcW w:w="559" w:type="pct"/>
            <w:tcBorders>
              <w:top w:val="nil"/>
              <w:left w:val="nil"/>
              <w:right w:val="nil"/>
            </w:tcBorders>
            <w:hideMark/>
          </w:tcPr>
          <w:p w14:paraId="0F84B752" w14:textId="77777777" w:rsidR="00C624DB" w:rsidRPr="00CD4846" w:rsidRDefault="00C624DB"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Yes</w:t>
            </w:r>
          </w:p>
        </w:tc>
        <w:tc>
          <w:tcPr>
            <w:tcW w:w="1133" w:type="pct"/>
            <w:tcBorders>
              <w:top w:val="nil"/>
              <w:left w:val="nil"/>
              <w:right w:val="nil"/>
            </w:tcBorders>
            <w:hideMark/>
          </w:tcPr>
          <w:p w14:paraId="71798141" w14:textId="77777777" w:rsidR="00C624DB" w:rsidRPr="00CD4846" w:rsidRDefault="00C624DB"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Yes</w:t>
            </w:r>
          </w:p>
        </w:tc>
        <w:tc>
          <w:tcPr>
            <w:tcW w:w="733" w:type="pct"/>
            <w:tcBorders>
              <w:top w:val="nil"/>
              <w:left w:val="nil"/>
              <w:right w:val="nil"/>
            </w:tcBorders>
            <w:hideMark/>
          </w:tcPr>
          <w:p w14:paraId="5D608ADB" w14:textId="77777777" w:rsidR="00C624DB" w:rsidRPr="00CD4846" w:rsidRDefault="00C624DB"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Yes</w:t>
            </w:r>
          </w:p>
        </w:tc>
        <w:tc>
          <w:tcPr>
            <w:tcW w:w="734" w:type="pct"/>
            <w:tcBorders>
              <w:top w:val="nil"/>
              <w:left w:val="nil"/>
              <w:right w:val="nil"/>
            </w:tcBorders>
            <w:hideMark/>
          </w:tcPr>
          <w:p w14:paraId="5BBBD14B" w14:textId="77777777" w:rsidR="00C624DB" w:rsidRPr="00CD4846" w:rsidRDefault="00C624DB"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Yes</w:t>
            </w:r>
          </w:p>
        </w:tc>
        <w:tc>
          <w:tcPr>
            <w:tcW w:w="666" w:type="pct"/>
            <w:tcBorders>
              <w:top w:val="nil"/>
              <w:left w:val="nil"/>
              <w:right w:val="nil"/>
            </w:tcBorders>
            <w:hideMark/>
          </w:tcPr>
          <w:p w14:paraId="4F590D00" w14:textId="77777777" w:rsidR="00C624DB" w:rsidRPr="00CD4846" w:rsidRDefault="00C624DB"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Yes</w:t>
            </w:r>
          </w:p>
        </w:tc>
      </w:tr>
      <w:tr w:rsidR="00CE0D78" w:rsidRPr="00CD4846" w14:paraId="47942218" w14:textId="77777777" w:rsidTr="002C0F11">
        <w:tc>
          <w:tcPr>
            <w:tcW w:w="1175" w:type="pct"/>
            <w:tcBorders>
              <w:top w:val="nil"/>
              <w:left w:val="nil"/>
              <w:bottom w:val="single" w:sz="4" w:space="0" w:color="auto"/>
              <w:right w:val="nil"/>
            </w:tcBorders>
            <w:hideMark/>
          </w:tcPr>
          <w:p w14:paraId="17E23924" w14:textId="77777777" w:rsidR="00C624DB" w:rsidRPr="00CD4846" w:rsidRDefault="00C624DB"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PA-PA</w:t>
            </w:r>
            <w:r w:rsidRPr="00CD4846">
              <w:rPr>
                <w:rFonts w:eastAsia="Calibri" w:cs="Times New Roman"/>
                <w:i/>
                <w:color w:val="5F6368"/>
                <w:kern w:val="2"/>
                <w:sz w:val="20"/>
                <w:szCs w:val="20"/>
                <w:shd w:val="clear" w:color="auto" w:fill="FFFFFF"/>
                <w:lang/>
              </w:rPr>
              <w:t xml:space="preserve">² </w:t>
            </w:r>
            <w:r w:rsidRPr="00CD4846">
              <w:rPr>
                <w:rFonts w:eastAsia="Calibri" w:cs="Times New Roman"/>
                <w:kern w:val="2"/>
                <w:sz w:val="20"/>
                <w:szCs w:val="20"/>
                <w:lang/>
              </w:rPr>
              <w:t xml:space="preserve">Joint Test p-value </w:t>
            </w:r>
          </w:p>
        </w:tc>
        <w:tc>
          <w:tcPr>
            <w:tcW w:w="559" w:type="pct"/>
            <w:tcBorders>
              <w:top w:val="nil"/>
              <w:left w:val="nil"/>
              <w:bottom w:val="single" w:sz="4" w:space="0" w:color="auto"/>
              <w:right w:val="nil"/>
            </w:tcBorders>
            <w:hideMark/>
          </w:tcPr>
          <w:p w14:paraId="5CB6C828" w14:textId="77777777" w:rsidR="00C624DB" w:rsidRPr="00CD4846" w:rsidRDefault="00C624DB"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0.4706</w:t>
            </w:r>
          </w:p>
        </w:tc>
        <w:tc>
          <w:tcPr>
            <w:tcW w:w="1133" w:type="pct"/>
            <w:tcBorders>
              <w:top w:val="nil"/>
              <w:left w:val="nil"/>
              <w:bottom w:val="single" w:sz="4" w:space="0" w:color="auto"/>
              <w:right w:val="nil"/>
            </w:tcBorders>
            <w:hideMark/>
          </w:tcPr>
          <w:p w14:paraId="6B299B91" w14:textId="77777777" w:rsidR="00C624DB" w:rsidRPr="00CD4846" w:rsidRDefault="00C624DB"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0.3220</w:t>
            </w:r>
          </w:p>
        </w:tc>
        <w:tc>
          <w:tcPr>
            <w:tcW w:w="733" w:type="pct"/>
            <w:tcBorders>
              <w:top w:val="nil"/>
              <w:left w:val="nil"/>
              <w:bottom w:val="single" w:sz="4" w:space="0" w:color="auto"/>
              <w:right w:val="nil"/>
            </w:tcBorders>
            <w:hideMark/>
          </w:tcPr>
          <w:p w14:paraId="3641FF3D" w14:textId="77777777" w:rsidR="00C624DB" w:rsidRPr="00CD4846" w:rsidRDefault="00C624DB"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0.1541</w:t>
            </w:r>
          </w:p>
        </w:tc>
        <w:tc>
          <w:tcPr>
            <w:tcW w:w="734" w:type="pct"/>
            <w:tcBorders>
              <w:top w:val="nil"/>
              <w:left w:val="nil"/>
              <w:bottom w:val="single" w:sz="4" w:space="0" w:color="auto"/>
              <w:right w:val="nil"/>
            </w:tcBorders>
            <w:hideMark/>
          </w:tcPr>
          <w:p w14:paraId="1CE9A0DA" w14:textId="77777777" w:rsidR="00C624DB" w:rsidRPr="00CD4846" w:rsidRDefault="00C624DB"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0.7812</w:t>
            </w:r>
          </w:p>
        </w:tc>
        <w:tc>
          <w:tcPr>
            <w:tcW w:w="666" w:type="pct"/>
            <w:tcBorders>
              <w:top w:val="nil"/>
              <w:left w:val="nil"/>
              <w:bottom w:val="single" w:sz="4" w:space="0" w:color="auto"/>
              <w:right w:val="nil"/>
            </w:tcBorders>
            <w:hideMark/>
          </w:tcPr>
          <w:p w14:paraId="49CC8EEE" w14:textId="77777777" w:rsidR="00C624DB" w:rsidRPr="00CD4846" w:rsidRDefault="00C624DB" w:rsidP="00283B83">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0.4444</w:t>
            </w:r>
          </w:p>
        </w:tc>
      </w:tr>
    </w:tbl>
    <w:p w14:paraId="3BAA088F" w14:textId="1A87FD82" w:rsidR="00CD4846" w:rsidRPr="00C624DB" w:rsidRDefault="002C0F11" w:rsidP="004C39A4">
      <w:pPr>
        <w:spacing w:line="240" w:lineRule="auto"/>
        <w:rPr>
          <w:rFonts w:ascii="Calibri" w:eastAsia="DengXian" w:hAnsi="Calibri"/>
          <w:i/>
          <w:iCs/>
          <w:sz w:val="20"/>
          <w:szCs w:val="20"/>
          <w:lang/>
        </w:rPr>
      </w:pPr>
      <w:bookmarkStart w:id="206" w:name="_Hlk186789977"/>
      <w:r>
        <w:rPr>
          <w:sz w:val="20"/>
          <w:szCs w:val="20"/>
          <w:lang/>
        </w:rPr>
        <w:t xml:space="preserve">Table A4: </w:t>
      </w:r>
      <w:r w:rsidR="00CD4846" w:rsidRPr="00C624DB">
        <w:rPr>
          <w:sz w:val="20"/>
          <w:szCs w:val="20"/>
          <w:lang/>
        </w:rPr>
        <w:t>PPMLHDFE r</w:t>
      </w:r>
      <w:r w:rsidR="00CD4846" w:rsidRPr="00C624DB">
        <w:rPr>
          <w:rFonts w:hint="eastAsia"/>
          <w:sz w:val="20"/>
          <w:szCs w:val="20"/>
          <w:lang/>
        </w:rPr>
        <w:t xml:space="preserve">egression results </w:t>
      </w:r>
      <w:r w:rsidR="00CD4846" w:rsidRPr="00C624DB">
        <w:rPr>
          <w:sz w:val="20"/>
          <w:szCs w:val="20"/>
          <w:lang/>
        </w:rPr>
        <w:t xml:space="preserve">on aggregate LIS under broad PADs (GAP 1-4) are presented above. Column names correspond to specific entry-type location outcomes. Standard errors are </w:t>
      </w:r>
      <w:r>
        <w:rPr>
          <w:sz w:val="20"/>
          <w:szCs w:val="20"/>
          <w:lang/>
        </w:rPr>
        <w:t xml:space="preserve">in parentheses and are </w:t>
      </w:r>
      <w:r w:rsidR="00CD4846" w:rsidRPr="00C624DB">
        <w:rPr>
          <w:sz w:val="20"/>
          <w:szCs w:val="20"/>
          <w:lang/>
        </w:rPr>
        <w:t xml:space="preserve">clustered at the county level. </w:t>
      </w:r>
      <w:r w:rsidRPr="002C0F11">
        <w:rPr>
          <w:sz w:val="20"/>
          <w:szCs w:val="20"/>
          <w:lang/>
        </w:rPr>
        <w:t>Statistically significant impacts are denoted by asterisks. These asterisks denote statistical significance at the following levels: ***p &lt; 0.01, **p &lt; 0.05, *p &lt; 0.1.</w:t>
      </w:r>
      <w:r>
        <w:rPr>
          <w:sz w:val="20"/>
          <w:szCs w:val="20"/>
          <w:lang/>
        </w:rPr>
        <w:t xml:space="preserve"> </w:t>
      </w:r>
      <w:r w:rsidR="00CD4846" w:rsidRPr="00C624DB">
        <w:rPr>
          <w:sz w:val="20"/>
          <w:szCs w:val="20"/>
          <w:lang/>
        </w:rPr>
        <w:t xml:space="preserve">p-values of joint-tests on linear and quadratic PAD terms are shown in the last row. </w:t>
      </w:r>
    </w:p>
    <w:p w14:paraId="15408952" w14:textId="77777777" w:rsidR="00CD4846" w:rsidRDefault="00CD4846" w:rsidP="004C39A4">
      <w:pPr>
        <w:spacing w:line="240" w:lineRule="auto"/>
        <w:rPr>
          <w:rFonts w:ascii="Calibri Light" w:eastAsia="Times New Roman" w:hAnsi="Calibri Light" w:cs="Times New Roman"/>
          <w:b/>
          <w:bCs/>
          <w:color w:val="2F5496"/>
          <w:kern w:val="2"/>
          <w:sz w:val="28"/>
          <w:szCs w:val="28"/>
          <w14:ligatures w14:val="standardContextual"/>
        </w:rPr>
      </w:pPr>
      <w:bookmarkStart w:id="207" w:name="_Toc186799409"/>
      <w:bookmarkEnd w:id="206"/>
      <w:r>
        <w:rPr>
          <w:rFonts w:ascii="Calibri Light" w:eastAsia="Times New Roman" w:hAnsi="Calibri Light" w:cs="Times New Roman"/>
          <w:b/>
          <w:bCs/>
          <w:color w:val="2F5496"/>
          <w:kern w:val="2"/>
          <w:sz w:val="28"/>
          <w:szCs w:val="28"/>
          <w14:ligatures w14:val="standardContextual"/>
        </w:rPr>
        <w:br w:type="page"/>
      </w:r>
    </w:p>
    <w:p w14:paraId="051739D6" w14:textId="3EF69861" w:rsidR="00CD4846" w:rsidRPr="00CD4846" w:rsidRDefault="00CD4846" w:rsidP="00095E25">
      <w:pPr>
        <w:pStyle w:val="Title"/>
      </w:pPr>
      <w:bookmarkStart w:id="208" w:name="_Toc188359611"/>
      <w:bookmarkStart w:id="209" w:name="_Toc188359899"/>
      <w:bookmarkStart w:id="210" w:name="_Toc188361135"/>
      <w:bookmarkStart w:id="211" w:name="_Toc188366978"/>
      <w:r w:rsidRPr="00CD4846">
        <w:rPr>
          <w:rFonts w:hint="eastAsia"/>
        </w:rPr>
        <w:lastRenderedPageBreak/>
        <w:t xml:space="preserve">Table </w:t>
      </w:r>
      <w:r w:rsidRPr="00CD4846">
        <w:t>A</w:t>
      </w:r>
      <w:r w:rsidRPr="00CD4846">
        <w:rPr>
          <w:rFonts w:hint="eastAsia"/>
        </w:rPr>
        <w:t xml:space="preserve">5: </w:t>
      </w:r>
      <w:r w:rsidRPr="00CD4846">
        <w:t>Regression Results of Strict PADs on Aggregate LIS Entries</w:t>
      </w:r>
      <w:bookmarkEnd w:id="207"/>
      <w:bookmarkEnd w:id="208"/>
      <w:bookmarkEnd w:id="209"/>
      <w:bookmarkEnd w:id="210"/>
      <w:bookmarkEnd w:id="211"/>
    </w:p>
    <w:tbl>
      <w:tblPr>
        <w:tblW w:w="5000" w:type="pct"/>
        <w:tblLook w:val="04A0" w:firstRow="1" w:lastRow="0" w:firstColumn="1" w:lastColumn="0" w:noHBand="0" w:noVBand="1"/>
      </w:tblPr>
      <w:tblGrid>
        <w:gridCol w:w="2192"/>
        <w:gridCol w:w="1011"/>
        <w:gridCol w:w="2050"/>
        <w:gridCol w:w="1252"/>
        <w:gridCol w:w="1625"/>
        <w:gridCol w:w="1230"/>
      </w:tblGrid>
      <w:tr w:rsidR="009D3026" w:rsidRPr="00CD4846" w14:paraId="455B1054" w14:textId="77777777" w:rsidTr="001953BB">
        <w:tc>
          <w:tcPr>
            <w:tcW w:w="1171" w:type="pct"/>
            <w:tcBorders>
              <w:top w:val="single" w:sz="4" w:space="0" w:color="auto"/>
              <w:left w:val="nil"/>
              <w:bottom w:val="single" w:sz="4" w:space="0" w:color="auto"/>
              <w:right w:val="nil"/>
            </w:tcBorders>
            <w:hideMark/>
          </w:tcPr>
          <w:p w14:paraId="6712671C" w14:textId="77777777" w:rsidR="00CD4846" w:rsidRPr="00CD4846" w:rsidRDefault="00CD4846" w:rsidP="00283B83">
            <w:pPr>
              <w:widowControl w:val="0"/>
              <w:autoSpaceDE w:val="0"/>
              <w:autoSpaceDN w:val="0"/>
              <w:adjustRightInd w:val="0"/>
              <w:spacing w:line="256" w:lineRule="auto"/>
              <w:rPr>
                <w:rFonts w:eastAsia="Calibri" w:cs="Times New Roman"/>
                <w:kern w:val="2"/>
                <w:sz w:val="20"/>
                <w:szCs w:val="20"/>
                <w:lang/>
              </w:rPr>
            </w:pPr>
            <w:r w:rsidRPr="00CD4846">
              <w:rPr>
                <w:rFonts w:cs="Times New Roman"/>
                <w:b/>
                <w:bCs/>
                <w:kern w:val="2"/>
                <w:sz w:val="20"/>
                <w:szCs w:val="20"/>
                <w:lang/>
              </w:rPr>
              <w:t>Variable</w:t>
            </w:r>
            <w:r w:rsidRPr="00CD4846">
              <w:rPr>
                <w:rFonts w:eastAsia="Calibri" w:cs="Times New Roman"/>
                <w:kern w:val="2"/>
                <w:sz w:val="20"/>
                <w:szCs w:val="20"/>
                <w:lang/>
              </w:rPr>
              <w:t xml:space="preserve">   </w:t>
            </w:r>
          </w:p>
        </w:tc>
        <w:tc>
          <w:tcPr>
            <w:tcW w:w="540" w:type="pct"/>
            <w:tcBorders>
              <w:top w:val="single" w:sz="4" w:space="0" w:color="auto"/>
              <w:left w:val="nil"/>
              <w:bottom w:val="single" w:sz="4" w:space="0" w:color="auto"/>
              <w:right w:val="nil"/>
            </w:tcBorders>
            <w:hideMark/>
          </w:tcPr>
          <w:p w14:paraId="480A88FE" w14:textId="77777777" w:rsidR="00CD4846" w:rsidRPr="00CD4846" w:rsidRDefault="00CD4846" w:rsidP="00283B83">
            <w:pPr>
              <w:widowControl w:val="0"/>
              <w:autoSpaceDE w:val="0"/>
              <w:autoSpaceDN w:val="0"/>
              <w:adjustRightInd w:val="0"/>
              <w:spacing w:line="256" w:lineRule="auto"/>
              <w:rPr>
                <w:rFonts w:eastAsia="Calibri" w:cs="Times New Roman"/>
                <w:b/>
                <w:kern w:val="2"/>
                <w:sz w:val="20"/>
                <w:szCs w:val="20"/>
                <w:lang/>
              </w:rPr>
            </w:pPr>
            <w:r w:rsidRPr="00CD4846">
              <w:rPr>
                <w:rFonts w:eastAsia="Calibri" w:cs="Times New Roman"/>
                <w:b/>
                <w:kern w:val="2"/>
                <w:sz w:val="20"/>
                <w:szCs w:val="20"/>
                <w:lang/>
              </w:rPr>
              <w:t>Births</w:t>
            </w:r>
          </w:p>
        </w:tc>
        <w:tc>
          <w:tcPr>
            <w:tcW w:w="1095" w:type="pct"/>
            <w:tcBorders>
              <w:top w:val="single" w:sz="4" w:space="0" w:color="auto"/>
              <w:left w:val="nil"/>
              <w:bottom w:val="single" w:sz="4" w:space="0" w:color="auto"/>
              <w:right w:val="nil"/>
            </w:tcBorders>
            <w:hideMark/>
          </w:tcPr>
          <w:p w14:paraId="573660B9" w14:textId="77777777" w:rsidR="00CD4846" w:rsidRPr="00CD4846" w:rsidRDefault="00CD4846" w:rsidP="00283B83">
            <w:pPr>
              <w:widowControl w:val="0"/>
              <w:autoSpaceDE w:val="0"/>
              <w:autoSpaceDN w:val="0"/>
              <w:adjustRightInd w:val="0"/>
              <w:spacing w:line="256" w:lineRule="auto"/>
              <w:rPr>
                <w:rFonts w:eastAsia="Calibri" w:cs="Times New Roman"/>
                <w:b/>
                <w:kern w:val="2"/>
                <w:sz w:val="20"/>
                <w:szCs w:val="20"/>
                <w:lang/>
              </w:rPr>
            </w:pPr>
            <w:r w:rsidRPr="00CD4846">
              <w:rPr>
                <w:rFonts w:eastAsia="Calibri" w:cs="Times New Roman"/>
                <w:b/>
                <w:kern w:val="2"/>
                <w:sz w:val="20"/>
                <w:szCs w:val="20"/>
                <w:lang/>
              </w:rPr>
              <w:t>Inward Relocations</w:t>
            </w:r>
            <w:r w:rsidRPr="00CD4846">
              <w:rPr>
                <w:rFonts w:eastAsia="Calibri" w:cs="Times New Roman"/>
                <w:b/>
                <w:kern w:val="2"/>
                <w:sz w:val="20"/>
                <w:szCs w:val="20"/>
                <w:lang/>
              </w:rPr>
              <w:t xml:space="preserve"> (IR)</w:t>
            </w:r>
          </w:p>
        </w:tc>
        <w:tc>
          <w:tcPr>
            <w:tcW w:w="669" w:type="pct"/>
            <w:tcBorders>
              <w:top w:val="single" w:sz="4" w:space="0" w:color="auto"/>
              <w:left w:val="nil"/>
              <w:bottom w:val="single" w:sz="4" w:space="0" w:color="auto"/>
              <w:right w:val="nil"/>
            </w:tcBorders>
            <w:hideMark/>
          </w:tcPr>
          <w:p w14:paraId="5C297AFD" w14:textId="77777777" w:rsidR="00CD4846" w:rsidRPr="00CD4846" w:rsidRDefault="00CD4846" w:rsidP="00283B83">
            <w:pPr>
              <w:widowControl w:val="0"/>
              <w:autoSpaceDE w:val="0"/>
              <w:autoSpaceDN w:val="0"/>
              <w:adjustRightInd w:val="0"/>
              <w:spacing w:line="256" w:lineRule="auto"/>
              <w:rPr>
                <w:rFonts w:eastAsia="Calibri" w:cs="Times New Roman"/>
                <w:b/>
                <w:kern w:val="2"/>
                <w:sz w:val="20"/>
                <w:szCs w:val="20"/>
                <w:lang/>
              </w:rPr>
            </w:pPr>
            <w:r w:rsidRPr="00CD4846">
              <w:rPr>
                <w:rFonts w:eastAsia="Calibri" w:cs="Times New Roman"/>
                <w:b/>
                <w:kern w:val="2"/>
                <w:sz w:val="20"/>
                <w:szCs w:val="20"/>
                <w:lang/>
              </w:rPr>
              <w:t>Intra-State IR</w:t>
            </w:r>
          </w:p>
        </w:tc>
        <w:tc>
          <w:tcPr>
            <w:tcW w:w="868" w:type="pct"/>
            <w:tcBorders>
              <w:top w:val="single" w:sz="4" w:space="0" w:color="auto"/>
              <w:left w:val="nil"/>
              <w:bottom w:val="single" w:sz="4" w:space="0" w:color="auto"/>
              <w:right w:val="nil"/>
            </w:tcBorders>
            <w:hideMark/>
          </w:tcPr>
          <w:p w14:paraId="3E601753" w14:textId="77777777" w:rsidR="00CD4846" w:rsidRPr="00CD4846" w:rsidRDefault="00CD4846" w:rsidP="00283B83">
            <w:pPr>
              <w:widowControl w:val="0"/>
              <w:autoSpaceDE w:val="0"/>
              <w:autoSpaceDN w:val="0"/>
              <w:adjustRightInd w:val="0"/>
              <w:spacing w:line="256" w:lineRule="auto"/>
              <w:rPr>
                <w:rFonts w:eastAsia="Calibri" w:cs="Times New Roman"/>
                <w:b/>
                <w:kern w:val="2"/>
                <w:sz w:val="20"/>
                <w:szCs w:val="20"/>
                <w:lang/>
              </w:rPr>
            </w:pPr>
            <w:r w:rsidRPr="00CD4846">
              <w:rPr>
                <w:rFonts w:eastAsia="Calibri" w:cs="Times New Roman"/>
                <w:b/>
                <w:kern w:val="2"/>
                <w:sz w:val="20"/>
                <w:szCs w:val="20"/>
                <w:lang/>
              </w:rPr>
              <w:t>Inter-State IR</w:t>
            </w:r>
          </w:p>
        </w:tc>
        <w:tc>
          <w:tcPr>
            <w:tcW w:w="657" w:type="pct"/>
            <w:tcBorders>
              <w:top w:val="single" w:sz="4" w:space="0" w:color="auto"/>
              <w:left w:val="nil"/>
              <w:bottom w:val="single" w:sz="4" w:space="0" w:color="auto"/>
              <w:right w:val="nil"/>
            </w:tcBorders>
            <w:hideMark/>
          </w:tcPr>
          <w:p w14:paraId="076B95B6" w14:textId="77777777" w:rsidR="00CD4846" w:rsidRPr="00CD4846" w:rsidRDefault="00CD4846" w:rsidP="00283B83">
            <w:pPr>
              <w:widowControl w:val="0"/>
              <w:autoSpaceDE w:val="0"/>
              <w:autoSpaceDN w:val="0"/>
              <w:adjustRightInd w:val="0"/>
              <w:spacing w:line="256" w:lineRule="auto"/>
              <w:rPr>
                <w:rFonts w:eastAsia="Calibri" w:cs="Times New Roman"/>
                <w:b/>
                <w:kern w:val="2"/>
                <w:sz w:val="20"/>
                <w:szCs w:val="20"/>
                <w:lang/>
              </w:rPr>
            </w:pPr>
            <w:r w:rsidRPr="00CD4846">
              <w:rPr>
                <w:rFonts w:eastAsia="Calibri" w:cs="Times New Roman"/>
                <w:b/>
                <w:kern w:val="2"/>
                <w:sz w:val="20"/>
                <w:szCs w:val="20"/>
                <w:lang/>
              </w:rPr>
              <w:t>Total Entries</w:t>
            </w:r>
          </w:p>
        </w:tc>
      </w:tr>
      <w:tr w:rsidR="009D3026" w:rsidRPr="00CD4846" w14:paraId="203AB969" w14:textId="77777777" w:rsidTr="001953BB">
        <w:tc>
          <w:tcPr>
            <w:tcW w:w="1171" w:type="pct"/>
            <w:tcBorders>
              <w:top w:val="single" w:sz="4" w:space="0" w:color="auto"/>
              <w:left w:val="nil"/>
              <w:bottom w:val="nil"/>
              <w:right w:val="nil"/>
            </w:tcBorders>
            <w:hideMark/>
          </w:tcPr>
          <w:p w14:paraId="518E3C9C"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 xml:space="preserve">Strict </w:t>
            </w:r>
            <w:r w:rsidRPr="00CD4846">
              <w:rPr>
                <w:rFonts w:eastAsia="Calibri" w:cs="Times New Roman"/>
                <w:kern w:val="2"/>
                <w:sz w:val="20"/>
                <w:szCs w:val="20"/>
                <w:lang/>
              </w:rPr>
              <w:t>PA</w:t>
            </w:r>
            <w:r w:rsidRPr="00CD4846">
              <w:rPr>
                <w:rFonts w:eastAsia="Calibri" w:cs="Times New Roman"/>
                <w:kern w:val="2"/>
                <w:sz w:val="20"/>
                <w:szCs w:val="20"/>
                <w:lang/>
              </w:rPr>
              <w:t xml:space="preserve">D </w:t>
            </w:r>
            <w:r w:rsidRPr="00CD4846">
              <w:rPr>
                <w:rFonts w:eastAsia="Calibri" w:cs="Times New Roman"/>
                <w:kern w:val="2"/>
                <w:sz w:val="20"/>
                <w:szCs w:val="20"/>
                <w:lang/>
              </w:rPr>
              <w:t>(t-1)</w:t>
            </w:r>
          </w:p>
        </w:tc>
        <w:tc>
          <w:tcPr>
            <w:tcW w:w="540" w:type="pct"/>
            <w:tcBorders>
              <w:top w:val="single" w:sz="4" w:space="0" w:color="auto"/>
              <w:left w:val="nil"/>
              <w:bottom w:val="nil"/>
              <w:right w:val="nil"/>
            </w:tcBorders>
            <w:hideMark/>
          </w:tcPr>
          <w:p w14:paraId="58B7FB32"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0.080</w:t>
            </w:r>
          </w:p>
        </w:tc>
        <w:tc>
          <w:tcPr>
            <w:tcW w:w="1095" w:type="pct"/>
            <w:tcBorders>
              <w:top w:val="single" w:sz="4" w:space="0" w:color="auto"/>
              <w:left w:val="nil"/>
              <w:bottom w:val="nil"/>
              <w:right w:val="nil"/>
            </w:tcBorders>
            <w:hideMark/>
          </w:tcPr>
          <w:p w14:paraId="252C94CB"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-2.435**</w:t>
            </w:r>
          </w:p>
        </w:tc>
        <w:tc>
          <w:tcPr>
            <w:tcW w:w="669" w:type="pct"/>
            <w:tcBorders>
              <w:top w:val="single" w:sz="4" w:space="0" w:color="auto"/>
              <w:left w:val="nil"/>
              <w:bottom w:val="nil"/>
              <w:right w:val="nil"/>
            </w:tcBorders>
            <w:hideMark/>
          </w:tcPr>
          <w:p w14:paraId="3A54EB3D"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-2.527**</w:t>
            </w:r>
          </w:p>
        </w:tc>
        <w:tc>
          <w:tcPr>
            <w:tcW w:w="868" w:type="pct"/>
            <w:tcBorders>
              <w:top w:val="single" w:sz="4" w:space="0" w:color="auto"/>
              <w:left w:val="nil"/>
              <w:bottom w:val="nil"/>
              <w:right w:val="nil"/>
            </w:tcBorders>
            <w:hideMark/>
          </w:tcPr>
          <w:p w14:paraId="66D1658A"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1.304</w:t>
            </w:r>
          </w:p>
        </w:tc>
        <w:tc>
          <w:tcPr>
            <w:tcW w:w="657" w:type="pct"/>
            <w:tcBorders>
              <w:top w:val="single" w:sz="4" w:space="0" w:color="auto"/>
              <w:left w:val="nil"/>
              <w:bottom w:val="nil"/>
              <w:right w:val="nil"/>
            </w:tcBorders>
            <w:hideMark/>
          </w:tcPr>
          <w:p w14:paraId="0A314BEF"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0.088</w:t>
            </w:r>
          </w:p>
        </w:tc>
      </w:tr>
      <w:tr w:rsidR="009D3026" w:rsidRPr="00CD4846" w14:paraId="68778B9D" w14:textId="77777777" w:rsidTr="001953BB">
        <w:tc>
          <w:tcPr>
            <w:tcW w:w="1171" w:type="pct"/>
            <w:tcBorders>
              <w:top w:val="nil"/>
              <w:left w:val="nil"/>
              <w:bottom w:val="nil"/>
              <w:right w:val="nil"/>
            </w:tcBorders>
          </w:tcPr>
          <w:p w14:paraId="07E7C3B8"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p>
        </w:tc>
        <w:tc>
          <w:tcPr>
            <w:tcW w:w="540" w:type="pct"/>
            <w:tcBorders>
              <w:top w:val="nil"/>
              <w:left w:val="nil"/>
              <w:bottom w:val="nil"/>
              <w:right w:val="nil"/>
            </w:tcBorders>
            <w:hideMark/>
          </w:tcPr>
          <w:p w14:paraId="614C23C3"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(0.568)</w:t>
            </w:r>
          </w:p>
        </w:tc>
        <w:tc>
          <w:tcPr>
            <w:tcW w:w="1095" w:type="pct"/>
            <w:tcBorders>
              <w:top w:val="nil"/>
              <w:left w:val="nil"/>
              <w:bottom w:val="nil"/>
              <w:right w:val="nil"/>
            </w:tcBorders>
            <w:hideMark/>
          </w:tcPr>
          <w:p w14:paraId="4104D957"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(0.981)</w:t>
            </w:r>
          </w:p>
        </w:tc>
        <w:tc>
          <w:tcPr>
            <w:tcW w:w="669" w:type="pct"/>
            <w:tcBorders>
              <w:top w:val="nil"/>
              <w:left w:val="nil"/>
              <w:bottom w:val="nil"/>
              <w:right w:val="nil"/>
            </w:tcBorders>
            <w:hideMark/>
          </w:tcPr>
          <w:p w14:paraId="7212AEDA"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(1.199)</w:t>
            </w:r>
          </w:p>
        </w:tc>
        <w:tc>
          <w:tcPr>
            <w:tcW w:w="868" w:type="pct"/>
            <w:tcBorders>
              <w:top w:val="nil"/>
              <w:left w:val="nil"/>
              <w:bottom w:val="nil"/>
              <w:right w:val="nil"/>
            </w:tcBorders>
            <w:hideMark/>
          </w:tcPr>
          <w:p w14:paraId="51CACFA4"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(5.778)</w:t>
            </w:r>
          </w:p>
        </w:tc>
        <w:tc>
          <w:tcPr>
            <w:tcW w:w="657" w:type="pct"/>
            <w:tcBorders>
              <w:top w:val="nil"/>
              <w:left w:val="nil"/>
              <w:bottom w:val="nil"/>
              <w:right w:val="nil"/>
            </w:tcBorders>
            <w:hideMark/>
          </w:tcPr>
          <w:p w14:paraId="6C8C9686"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(0.564)</w:t>
            </w:r>
          </w:p>
        </w:tc>
      </w:tr>
      <w:tr w:rsidR="009D3026" w:rsidRPr="00CD4846" w14:paraId="7A4BF2B6" w14:textId="77777777" w:rsidTr="001953BB">
        <w:tc>
          <w:tcPr>
            <w:tcW w:w="1171" w:type="pct"/>
            <w:tcBorders>
              <w:top w:val="nil"/>
              <w:left w:val="nil"/>
              <w:bottom w:val="nil"/>
              <w:right w:val="nil"/>
            </w:tcBorders>
            <w:hideMark/>
          </w:tcPr>
          <w:p w14:paraId="4D33E678"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 xml:space="preserve">Strict </w:t>
            </w:r>
            <w:r w:rsidRPr="00CD4846">
              <w:rPr>
                <w:rFonts w:eastAsia="Calibri" w:cs="Times New Roman"/>
                <w:kern w:val="2"/>
                <w:sz w:val="20"/>
                <w:szCs w:val="20"/>
                <w:lang/>
              </w:rPr>
              <w:t>PA</w:t>
            </w:r>
            <w:r w:rsidRPr="00CD4846">
              <w:rPr>
                <w:rFonts w:eastAsia="Calibri" w:cs="Times New Roman"/>
                <w:kern w:val="2"/>
                <w:sz w:val="20"/>
                <w:szCs w:val="20"/>
                <w:lang/>
              </w:rPr>
              <w:t>D</w:t>
            </w:r>
            <w:r w:rsidRPr="00CD4846">
              <w:rPr>
                <w:rFonts w:eastAsia="Calibri" w:cs="Times New Roman"/>
                <w:kern w:val="2"/>
                <w:sz w:val="20"/>
                <w:szCs w:val="20"/>
                <w:lang/>
              </w:rPr>
              <w:t xml:space="preserve"> Sq. (t-1)</w:t>
            </w:r>
          </w:p>
        </w:tc>
        <w:tc>
          <w:tcPr>
            <w:tcW w:w="540" w:type="pct"/>
            <w:tcBorders>
              <w:top w:val="nil"/>
              <w:left w:val="nil"/>
              <w:bottom w:val="nil"/>
              <w:right w:val="nil"/>
            </w:tcBorders>
            <w:hideMark/>
          </w:tcPr>
          <w:p w14:paraId="5B1D5AAA"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-0.456</w:t>
            </w:r>
          </w:p>
        </w:tc>
        <w:tc>
          <w:tcPr>
            <w:tcW w:w="1095" w:type="pct"/>
            <w:tcBorders>
              <w:top w:val="nil"/>
              <w:left w:val="nil"/>
              <w:bottom w:val="nil"/>
              <w:right w:val="nil"/>
            </w:tcBorders>
            <w:hideMark/>
          </w:tcPr>
          <w:p w14:paraId="102C1A21"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2.653</w:t>
            </w:r>
          </w:p>
        </w:tc>
        <w:tc>
          <w:tcPr>
            <w:tcW w:w="669" w:type="pct"/>
            <w:tcBorders>
              <w:top w:val="nil"/>
              <w:left w:val="nil"/>
              <w:bottom w:val="nil"/>
              <w:right w:val="nil"/>
            </w:tcBorders>
            <w:hideMark/>
          </w:tcPr>
          <w:p w14:paraId="06F32CD3"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2.073</w:t>
            </w:r>
          </w:p>
        </w:tc>
        <w:tc>
          <w:tcPr>
            <w:tcW w:w="868" w:type="pct"/>
            <w:tcBorders>
              <w:top w:val="nil"/>
              <w:left w:val="nil"/>
              <w:bottom w:val="nil"/>
              <w:right w:val="nil"/>
            </w:tcBorders>
            <w:hideMark/>
          </w:tcPr>
          <w:p w14:paraId="3A0B3D0C"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-1.773</w:t>
            </w:r>
          </w:p>
        </w:tc>
        <w:tc>
          <w:tcPr>
            <w:tcW w:w="657" w:type="pct"/>
            <w:tcBorders>
              <w:top w:val="nil"/>
              <w:left w:val="nil"/>
              <w:bottom w:val="nil"/>
              <w:right w:val="nil"/>
            </w:tcBorders>
            <w:hideMark/>
          </w:tcPr>
          <w:p w14:paraId="5C31B725"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-0.498</w:t>
            </w:r>
          </w:p>
        </w:tc>
      </w:tr>
      <w:tr w:rsidR="009D3026" w:rsidRPr="00CD4846" w14:paraId="196FF666" w14:textId="77777777" w:rsidTr="001953BB">
        <w:tc>
          <w:tcPr>
            <w:tcW w:w="1171" w:type="pct"/>
            <w:tcBorders>
              <w:top w:val="nil"/>
              <w:left w:val="nil"/>
              <w:bottom w:val="nil"/>
              <w:right w:val="nil"/>
            </w:tcBorders>
          </w:tcPr>
          <w:p w14:paraId="4EAB1C03"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p>
        </w:tc>
        <w:tc>
          <w:tcPr>
            <w:tcW w:w="540" w:type="pct"/>
            <w:tcBorders>
              <w:top w:val="nil"/>
              <w:left w:val="nil"/>
              <w:bottom w:val="nil"/>
              <w:right w:val="nil"/>
            </w:tcBorders>
            <w:hideMark/>
          </w:tcPr>
          <w:p w14:paraId="155E8E83"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(0.944)</w:t>
            </w:r>
          </w:p>
        </w:tc>
        <w:tc>
          <w:tcPr>
            <w:tcW w:w="1095" w:type="pct"/>
            <w:tcBorders>
              <w:top w:val="nil"/>
              <w:left w:val="nil"/>
              <w:bottom w:val="nil"/>
              <w:right w:val="nil"/>
            </w:tcBorders>
            <w:hideMark/>
          </w:tcPr>
          <w:p w14:paraId="678DEEE3"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(2.015)</w:t>
            </w:r>
          </w:p>
        </w:tc>
        <w:tc>
          <w:tcPr>
            <w:tcW w:w="669" w:type="pct"/>
            <w:tcBorders>
              <w:top w:val="nil"/>
              <w:left w:val="nil"/>
              <w:bottom w:val="nil"/>
              <w:right w:val="nil"/>
            </w:tcBorders>
            <w:hideMark/>
          </w:tcPr>
          <w:p w14:paraId="4B125640"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(2.700)</w:t>
            </w:r>
          </w:p>
        </w:tc>
        <w:tc>
          <w:tcPr>
            <w:tcW w:w="868" w:type="pct"/>
            <w:tcBorders>
              <w:top w:val="nil"/>
              <w:left w:val="nil"/>
              <w:bottom w:val="nil"/>
              <w:right w:val="nil"/>
            </w:tcBorders>
            <w:hideMark/>
          </w:tcPr>
          <w:p w14:paraId="1983C2A6"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(18.342)</w:t>
            </w:r>
          </w:p>
        </w:tc>
        <w:tc>
          <w:tcPr>
            <w:tcW w:w="657" w:type="pct"/>
            <w:tcBorders>
              <w:top w:val="nil"/>
              <w:left w:val="nil"/>
              <w:bottom w:val="nil"/>
              <w:right w:val="nil"/>
            </w:tcBorders>
            <w:hideMark/>
          </w:tcPr>
          <w:p w14:paraId="6ECF1545"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(0.950)</w:t>
            </w:r>
          </w:p>
        </w:tc>
      </w:tr>
      <w:tr w:rsidR="009D3026" w:rsidRPr="00CD4846" w14:paraId="5C2301E8" w14:textId="77777777" w:rsidTr="001953BB">
        <w:tc>
          <w:tcPr>
            <w:tcW w:w="1171" w:type="pct"/>
            <w:tcBorders>
              <w:top w:val="nil"/>
              <w:left w:val="nil"/>
              <w:bottom w:val="nil"/>
              <w:right w:val="nil"/>
            </w:tcBorders>
            <w:hideMark/>
          </w:tcPr>
          <w:p w14:paraId="774C641E"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Loc. Economies (t-1)</w:t>
            </w:r>
            <w:r w:rsidRPr="00CD4846">
              <w:rPr>
                <w:rFonts w:eastAsia="Calibri" w:cs="Times New Roman"/>
                <w:kern w:val="2"/>
                <w:sz w:val="20"/>
                <w:szCs w:val="20"/>
                <w:lang/>
              </w:rPr>
              <w:t xml:space="preserve"> </w:t>
            </w:r>
            <w:r w:rsidRPr="00CD4846">
              <w:rPr>
                <w:rFonts w:eastAsia="Calibri" w:cs="Times New Roman"/>
                <w:kern w:val="2"/>
                <w:sz w:val="20"/>
                <w:szCs w:val="20"/>
                <w:lang/>
              </w:rPr>
              <w:t>(10ks)</w:t>
            </w:r>
          </w:p>
        </w:tc>
        <w:tc>
          <w:tcPr>
            <w:tcW w:w="540" w:type="pct"/>
            <w:tcBorders>
              <w:top w:val="nil"/>
              <w:left w:val="nil"/>
              <w:bottom w:val="nil"/>
              <w:right w:val="nil"/>
            </w:tcBorders>
            <w:hideMark/>
          </w:tcPr>
          <w:p w14:paraId="48A9D486"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0.592***</w:t>
            </w:r>
          </w:p>
        </w:tc>
        <w:tc>
          <w:tcPr>
            <w:tcW w:w="1095" w:type="pct"/>
            <w:tcBorders>
              <w:top w:val="nil"/>
              <w:left w:val="nil"/>
              <w:bottom w:val="nil"/>
              <w:right w:val="nil"/>
            </w:tcBorders>
            <w:hideMark/>
          </w:tcPr>
          <w:p w14:paraId="364AFBD0"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0.866***</w:t>
            </w:r>
          </w:p>
        </w:tc>
        <w:tc>
          <w:tcPr>
            <w:tcW w:w="669" w:type="pct"/>
            <w:tcBorders>
              <w:top w:val="nil"/>
              <w:left w:val="nil"/>
              <w:bottom w:val="nil"/>
              <w:right w:val="nil"/>
            </w:tcBorders>
            <w:hideMark/>
          </w:tcPr>
          <w:p w14:paraId="75AB19F3"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1.294***</w:t>
            </w:r>
          </w:p>
        </w:tc>
        <w:tc>
          <w:tcPr>
            <w:tcW w:w="868" w:type="pct"/>
            <w:tcBorders>
              <w:top w:val="nil"/>
              <w:left w:val="nil"/>
              <w:bottom w:val="nil"/>
              <w:right w:val="nil"/>
            </w:tcBorders>
            <w:hideMark/>
          </w:tcPr>
          <w:p w14:paraId="400F72BE"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-0.540*</w:t>
            </w:r>
          </w:p>
        </w:tc>
        <w:tc>
          <w:tcPr>
            <w:tcW w:w="657" w:type="pct"/>
            <w:tcBorders>
              <w:top w:val="nil"/>
              <w:left w:val="nil"/>
              <w:bottom w:val="nil"/>
              <w:right w:val="nil"/>
            </w:tcBorders>
            <w:hideMark/>
          </w:tcPr>
          <w:p w14:paraId="2BB1B96B"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0.590***</w:t>
            </w:r>
          </w:p>
        </w:tc>
      </w:tr>
      <w:tr w:rsidR="009D3026" w:rsidRPr="00CD4846" w14:paraId="6E9D08FD" w14:textId="77777777" w:rsidTr="001953BB">
        <w:tc>
          <w:tcPr>
            <w:tcW w:w="1171" w:type="pct"/>
            <w:tcBorders>
              <w:top w:val="nil"/>
              <w:left w:val="nil"/>
              <w:bottom w:val="nil"/>
              <w:right w:val="nil"/>
            </w:tcBorders>
          </w:tcPr>
          <w:p w14:paraId="460CF86C"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p>
        </w:tc>
        <w:tc>
          <w:tcPr>
            <w:tcW w:w="540" w:type="pct"/>
            <w:tcBorders>
              <w:top w:val="nil"/>
              <w:left w:val="nil"/>
              <w:bottom w:val="nil"/>
              <w:right w:val="nil"/>
            </w:tcBorders>
            <w:hideMark/>
          </w:tcPr>
          <w:p w14:paraId="7AA32A96"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(0.164)</w:t>
            </w:r>
          </w:p>
        </w:tc>
        <w:tc>
          <w:tcPr>
            <w:tcW w:w="1095" w:type="pct"/>
            <w:tcBorders>
              <w:top w:val="nil"/>
              <w:left w:val="nil"/>
              <w:bottom w:val="nil"/>
              <w:right w:val="nil"/>
            </w:tcBorders>
            <w:hideMark/>
          </w:tcPr>
          <w:p w14:paraId="60A5B726"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(0.273)</w:t>
            </w:r>
          </w:p>
        </w:tc>
        <w:tc>
          <w:tcPr>
            <w:tcW w:w="669" w:type="pct"/>
            <w:tcBorders>
              <w:top w:val="nil"/>
              <w:left w:val="nil"/>
              <w:bottom w:val="nil"/>
              <w:right w:val="nil"/>
            </w:tcBorders>
            <w:hideMark/>
          </w:tcPr>
          <w:p w14:paraId="507013FB"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(0.289)</w:t>
            </w:r>
          </w:p>
        </w:tc>
        <w:tc>
          <w:tcPr>
            <w:tcW w:w="868" w:type="pct"/>
            <w:tcBorders>
              <w:top w:val="nil"/>
              <w:left w:val="nil"/>
              <w:bottom w:val="nil"/>
              <w:right w:val="nil"/>
            </w:tcBorders>
            <w:hideMark/>
          </w:tcPr>
          <w:p w14:paraId="76BB6297"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(0.304)</w:t>
            </w:r>
          </w:p>
        </w:tc>
        <w:tc>
          <w:tcPr>
            <w:tcW w:w="657" w:type="pct"/>
            <w:tcBorders>
              <w:top w:val="nil"/>
              <w:left w:val="nil"/>
              <w:bottom w:val="nil"/>
              <w:right w:val="nil"/>
            </w:tcBorders>
            <w:hideMark/>
          </w:tcPr>
          <w:p w14:paraId="0DC235F7"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(0.163)</w:t>
            </w:r>
          </w:p>
        </w:tc>
      </w:tr>
      <w:tr w:rsidR="009D3026" w:rsidRPr="00CD4846" w14:paraId="336CB958" w14:textId="77777777" w:rsidTr="001953BB">
        <w:tc>
          <w:tcPr>
            <w:tcW w:w="1171" w:type="pct"/>
            <w:tcBorders>
              <w:top w:val="nil"/>
              <w:left w:val="nil"/>
              <w:bottom w:val="nil"/>
              <w:right w:val="nil"/>
            </w:tcBorders>
            <w:hideMark/>
          </w:tcPr>
          <w:p w14:paraId="196EBDF6"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Median HH Income (100ks)</w:t>
            </w:r>
          </w:p>
        </w:tc>
        <w:tc>
          <w:tcPr>
            <w:tcW w:w="540" w:type="pct"/>
            <w:tcBorders>
              <w:top w:val="nil"/>
              <w:left w:val="nil"/>
              <w:bottom w:val="nil"/>
              <w:right w:val="nil"/>
            </w:tcBorders>
            <w:hideMark/>
          </w:tcPr>
          <w:p w14:paraId="487A3725"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-0.190</w:t>
            </w:r>
          </w:p>
        </w:tc>
        <w:tc>
          <w:tcPr>
            <w:tcW w:w="1095" w:type="pct"/>
            <w:tcBorders>
              <w:top w:val="nil"/>
              <w:left w:val="nil"/>
              <w:bottom w:val="nil"/>
              <w:right w:val="nil"/>
            </w:tcBorders>
            <w:hideMark/>
          </w:tcPr>
          <w:p w14:paraId="13A269CD"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-0.319</w:t>
            </w:r>
          </w:p>
        </w:tc>
        <w:tc>
          <w:tcPr>
            <w:tcW w:w="669" w:type="pct"/>
            <w:tcBorders>
              <w:top w:val="nil"/>
              <w:left w:val="nil"/>
              <w:bottom w:val="nil"/>
              <w:right w:val="nil"/>
            </w:tcBorders>
            <w:hideMark/>
          </w:tcPr>
          <w:p w14:paraId="58C18B67"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-0.131</w:t>
            </w:r>
          </w:p>
        </w:tc>
        <w:tc>
          <w:tcPr>
            <w:tcW w:w="868" w:type="pct"/>
            <w:tcBorders>
              <w:top w:val="nil"/>
              <w:left w:val="nil"/>
              <w:bottom w:val="nil"/>
              <w:right w:val="nil"/>
            </w:tcBorders>
            <w:hideMark/>
          </w:tcPr>
          <w:p w14:paraId="140DD586"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-3.953**</w:t>
            </w:r>
          </w:p>
        </w:tc>
        <w:tc>
          <w:tcPr>
            <w:tcW w:w="657" w:type="pct"/>
            <w:tcBorders>
              <w:top w:val="nil"/>
              <w:left w:val="nil"/>
              <w:bottom w:val="nil"/>
              <w:right w:val="nil"/>
            </w:tcBorders>
            <w:hideMark/>
          </w:tcPr>
          <w:p w14:paraId="71C526C1"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-0.194</w:t>
            </w:r>
          </w:p>
        </w:tc>
      </w:tr>
      <w:tr w:rsidR="009D3026" w:rsidRPr="00CD4846" w14:paraId="77C62C4C" w14:textId="77777777" w:rsidTr="001953BB">
        <w:tc>
          <w:tcPr>
            <w:tcW w:w="1171" w:type="pct"/>
            <w:tcBorders>
              <w:top w:val="nil"/>
              <w:left w:val="nil"/>
              <w:bottom w:val="nil"/>
              <w:right w:val="nil"/>
            </w:tcBorders>
          </w:tcPr>
          <w:p w14:paraId="6D0F28ED"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p>
        </w:tc>
        <w:tc>
          <w:tcPr>
            <w:tcW w:w="540" w:type="pct"/>
            <w:tcBorders>
              <w:top w:val="nil"/>
              <w:left w:val="nil"/>
              <w:bottom w:val="nil"/>
              <w:right w:val="nil"/>
            </w:tcBorders>
            <w:hideMark/>
          </w:tcPr>
          <w:p w14:paraId="79A202A2"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(0.191)</w:t>
            </w:r>
          </w:p>
        </w:tc>
        <w:tc>
          <w:tcPr>
            <w:tcW w:w="1095" w:type="pct"/>
            <w:tcBorders>
              <w:top w:val="nil"/>
              <w:left w:val="nil"/>
              <w:bottom w:val="nil"/>
              <w:right w:val="nil"/>
            </w:tcBorders>
            <w:hideMark/>
          </w:tcPr>
          <w:p w14:paraId="574BE87A"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(0.311)</w:t>
            </w:r>
          </w:p>
        </w:tc>
        <w:tc>
          <w:tcPr>
            <w:tcW w:w="669" w:type="pct"/>
            <w:tcBorders>
              <w:top w:val="nil"/>
              <w:left w:val="nil"/>
              <w:bottom w:val="nil"/>
              <w:right w:val="nil"/>
            </w:tcBorders>
            <w:hideMark/>
          </w:tcPr>
          <w:p w14:paraId="16227241"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(0.316)</w:t>
            </w:r>
          </w:p>
        </w:tc>
        <w:tc>
          <w:tcPr>
            <w:tcW w:w="868" w:type="pct"/>
            <w:tcBorders>
              <w:top w:val="nil"/>
              <w:left w:val="nil"/>
              <w:bottom w:val="nil"/>
              <w:right w:val="nil"/>
            </w:tcBorders>
            <w:hideMark/>
          </w:tcPr>
          <w:p w14:paraId="4285EA99"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(1.778)</w:t>
            </w:r>
          </w:p>
        </w:tc>
        <w:tc>
          <w:tcPr>
            <w:tcW w:w="657" w:type="pct"/>
            <w:tcBorders>
              <w:top w:val="nil"/>
              <w:left w:val="nil"/>
              <w:bottom w:val="nil"/>
              <w:right w:val="nil"/>
            </w:tcBorders>
            <w:hideMark/>
          </w:tcPr>
          <w:p w14:paraId="2685D842"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(0.189)</w:t>
            </w:r>
          </w:p>
        </w:tc>
      </w:tr>
      <w:tr w:rsidR="009D3026" w:rsidRPr="00CD4846" w14:paraId="44ED9039" w14:textId="77777777" w:rsidTr="001953BB">
        <w:tc>
          <w:tcPr>
            <w:tcW w:w="1171" w:type="pct"/>
            <w:tcBorders>
              <w:top w:val="nil"/>
              <w:left w:val="nil"/>
              <w:bottom w:val="nil"/>
              <w:right w:val="nil"/>
            </w:tcBorders>
            <w:hideMark/>
          </w:tcPr>
          <w:p w14:paraId="089E5507"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Housing Price Index (100s)</w:t>
            </w:r>
          </w:p>
        </w:tc>
        <w:tc>
          <w:tcPr>
            <w:tcW w:w="540" w:type="pct"/>
            <w:tcBorders>
              <w:top w:val="nil"/>
              <w:left w:val="nil"/>
              <w:bottom w:val="nil"/>
              <w:right w:val="nil"/>
            </w:tcBorders>
            <w:hideMark/>
          </w:tcPr>
          <w:p w14:paraId="3D3092EF"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0.024*</w:t>
            </w:r>
          </w:p>
        </w:tc>
        <w:tc>
          <w:tcPr>
            <w:tcW w:w="1095" w:type="pct"/>
            <w:tcBorders>
              <w:top w:val="nil"/>
              <w:left w:val="nil"/>
              <w:bottom w:val="nil"/>
              <w:right w:val="nil"/>
            </w:tcBorders>
            <w:hideMark/>
          </w:tcPr>
          <w:p w14:paraId="0B81A6CE"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0.001</w:t>
            </w:r>
          </w:p>
        </w:tc>
        <w:tc>
          <w:tcPr>
            <w:tcW w:w="669" w:type="pct"/>
            <w:tcBorders>
              <w:top w:val="nil"/>
              <w:left w:val="nil"/>
              <w:bottom w:val="nil"/>
              <w:right w:val="nil"/>
            </w:tcBorders>
            <w:hideMark/>
          </w:tcPr>
          <w:p w14:paraId="07E8E75C"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-0.005</w:t>
            </w:r>
          </w:p>
        </w:tc>
        <w:tc>
          <w:tcPr>
            <w:tcW w:w="868" w:type="pct"/>
            <w:tcBorders>
              <w:top w:val="nil"/>
              <w:left w:val="nil"/>
              <w:bottom w:val="nil"/>
              <w:right w:val="nil"/>
            </w:tcBorders>
            <w:hideMark/>
          </w:tcPr>
          <w:p w14:paraId="0D006295"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0.001</w:t>
            </w:r>
          </w:p>
        </w:tc>
        <w:tc>
          <w:tcPr>
            <w:tcW w:w="657" w:type="pct"/>
            <w:tcBorders>
              <w:top w:val="nil"/>
              <w:left w:val="nil"/>
              <w:bottom w:val="nil"/>
              <w:right w:val="nil"/>
            </w:tcBorders>
            <w:hideMark/>
          </w:tcPr>
          <w:p w14:paraId="62D29D68"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0.023*</w:t>
            </w:r>
          </w:p>
        </w:tc>
      </w:tr>
      <w:tr w:rsidR="009D3026" w:rsidRPr="00CD4846" w14:paraId="6C6DEA3A" w14:textId="77777777" w:rsidTr="001953BB">
        <w:tc>
          <w:tcPr>
            <w:tcW w:w="1171" w:type="pct"/>
            <w:tcBorders>
              <w:top w:val="nil"/>
              <w:left w:val="nil"/>
              <w:bottom w:val="nil"/>
              <w:right w:val="nil"/>
            </w:tcBorders>
          </w:tcPr>
          <w:p w14:paraId="68C2B4B2"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p>
        </w:tc>
        <w:tc>
          <w:tcPr>
            <w:tcW w:w="540" w:type="pct"/>
            <w:tcBorders>
              <w:top w:val="nil"/>
              <w:left w:val="nil"/>
              <w:bottom w:val="nil"/>
              <w:right w:val="nil"/>
            </w:tcBorders>
            <w:hideMark/>
          </w:tcPr>
          <w:p w14:paraId="109AF047"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(0.013)</w:t>
            </w:r>
          </w:p>
        </w:tc>
        <w:tc>
          <w:tcPr>
            <w:tcW w:w="1095" w:type="pct"/>
            <w:tcBorders>
              <w:top w:val="nil"/>
              <w:left w:val="nil"/>
              <w:bottom w:val="nil"/>
              <w:right w:val="nil"/>
            </w:tcBorders>
            <w:hideMark/>
          </w:tcPr>
          <w:p w14:paraId="23007E94"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(0.024)</w:t>
            </w:r>
          </w:p>
        </w:tc>
        <w:tc>
          <w:tcPr>
            <w:tcW w:w="669" w:type="pct"/>
            <w:tcBorders>
              <w:top w:val="nil"/>
              <w:left w:val="nil"/>
              <w:bottom w:val="nil"/>
              <w:right w:val="nil"/>
            </w:tcBorders>
            <w:hideMark/>
          </w:tcPr>
          <w:p w14:paraId="6504C2BD"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(0.025)</w:t>
            </w:r>
          </w:p>
        </w:tc>
        <w:tc>
          <w:tcPr>
            <w:tcW w:w="868" w:type="pct"/>
            <w:tcBorders>
              <w:top w:val="nil"/>
              <w:left w:val="nil"/>
              <w:bottom w:val="nil"/>
              <w:right w:val="nil"/>
            </w:tcBorders>
            <w:hideMark/>
          </w:tcPr>
          <w:p w14:paraId="02AFB7BD"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(0.111)</w:t>
            </w:r>
          </w:p>
        </w:tc>
        <w:tc>
          <w:tcPr>
            <w:tcW w:w="657" w:type="pct"/>
            <w:tcBorders>
              <w:top w:val="nil"/>
              <w:left w:val="nil"/>
              <w:bottom w:val="nil"/>
              <w:right w:val="nil"/>
            </w:tcBorders>
            <w:hideMark/>
          </w:tcPr>
          <w:p w14:paraId="2A28706E"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(0.013)</w:t>
            </w:r>
          </w:p>
        </w:tc>
      </w:tr>
      <w:tr w:rsidR="009D3026" w:rsidRPr="00CD4846" w14:paraId="6A0108EB" w14:textId="77777777" w:rsidTr="001953BB">
        <w:tc>
          <w:tcPr>
            <w:tcW w:w="1171" w:type="pct"/>
            <w:tcBorders>
              <w:top w:val="nil"/>
              <w:left w:val="nil"/>
              <w:bottom w:val="nil"/>
              <w:right w:val="nil"/>
            </w:tcBorders>
            <w:hideMark/>
          </w:tcPr>
          <w:p w14:paraId="4FBFA1BD"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Poverty rate (100s)</w:t>
            </w:r>
          </w:p>
        </w:tc>
        <w:tc>
          <w:tcPr>
            <w:tcW w:w="540" w:type="pct"/>
            <w:tcBorders>
              <w:top w:val="nil"/>
              <w:left w:val="nil"/>
              <w:bottom w:val="nil"/>
              <w:right w:val="nil"/>
            </w:tcBorders>
            <w:hideMark/>
          </w:tcPr>
          <w:p w14:paraId="05ACB471"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-0.044</w:t>
            </w:r>
          </w:p>
        </w:tc>
        <w:tc>
          <w:tcPr>
            <w:tcW w:w="1095" w:type="pct"/>
            <w:tcBorders>
              <w:top w:val="nil"/>
              <w:left w:val="nil"/>
              <w:bottom w:val="nil"/>
              <w:right w:val="nil"/>
            </w:tcBorders>
            <w:hideMark/>
          </w:tcPr>
          <w:p w14:paraId="4D93124A"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-0.340</w:t>
            </w:r>
          </w:p>
        </w:tc>
        <w:tc>
          <w:tcPr>
            <w:tcW w:w="669" w:type="pct"/>
            <w:tcBorders>
              <w:top w:val="nil"/>
              <w:left w:val="nil"/>
              <w:bottom w:val="nil"/>
              <w:right w:val="nil"/>
            </w:tcBorders>
            <w:hideMark/>
          </w:tcPr>
          <w:p w14:paraId="1E31866A"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-0.131</w:t>
            </w:r>
          </w:p>
        </w:tc>
        <w:tc>
          <w:tcPr>
            <w:tcW w:w="868" w:type="pct"/>
            <w:tcBorders>
              <w:top w:val="nil"/>
              <w:left w:val="nil"/>
              <w:bottom w:val="nil"/>
              <w:right w:val="nil"/>
            </w:tcBorders>
            <w:hideMark/>
          </w:tcPr>
          <w:p w14:paraId="6CFE48B4"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-1.649</w:t>
            </w:r>
          </w:p>
        </w:tc>
        <w:tc>
          <w:tcPr>
            <w:tcW w:w="657" w:type="pct"/>
            <w:tcBorders>
              <w:top w:val="nil"/>
              <w:left w:val="nil"/>
              <w:bottom w:val="nil"/>
              <w:right w:val="nil"/>
            </w:tcBorders>
            <w:hideMark/>
          </w:tcPr>
          <w:p w14:paraId="72380412"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-0.033</w:t>
            </w:r>
          </w:p>
        </w:tc>
      </w:tr>
      <w:tr w:rsidR="009D3026" w:rsidRPr="00CD4846" w14:paraId="593FB988" w14:textId="77777777" w:rsidTr="001953BB">
        <w:tc>
          <w:tcPr>
            <w:tcW w:w="1171" w:type="pct"/>
            <w:tcBorders>
              <w:top w:val="nil"/>
              <w:left w:val="nil"/>
              <w:bottom w:val="nil"/>
              <w:right w:val="nil"/>
            </w:tcBorders>
          </w:tcPr>
          <w:p w14:paraId="44C00C3E"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p>
        </w:tc>
        <w:tc>
          <w:tcPr>
            <w:tcW w:w="540" w:type="pct"/>
            <w:tcBorders>
              <w:top w:val="nil"/>
              <w:left w:val="nil"/>
              <w:bottom w:val="nil"/>
              <w:right w:val="nil"/>
            </w:tcBorders>
            <w:hideMark/>
          </w:tcPr>
          <w:p w14:paraId="16A27D71"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(0.319)</w:t>
            </w:r>
          </w:p>
        </w:tc>
        <w:tc>
          <w:tcPr>
            <w:tcW w:w="1095" w:type="pct"/>
            <w:tcBorders>
              <w:top w:val="nil"/>
              <w:left w:val="nil"/>
              <w:bottom w:val="nil"/>
              <w:right w:val="nil"/>
            </w:tcBorders>
            <w:hideMark/>
          </w:tcPr>
          <w:p w14:paraId="72B3267F"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(0.588)</w:t>
            </w:r>
          </w:p>
        </w:tc>
        <w:tc>
          <w:tcPr>
            <w:tcW w:w="669" w:type="pct"/>
            <w:tcBorders>
              <w:top w:val="nil"/>
              <w:left w:val="nil"/>
              <w:bottom w:val="nil"/>
              <w:right w:val="nil"/>
            </w:tcBorders>
            <w:hideMark/>
          </w:tcPr>
          <w:p w14:paraId="5DD8DD28"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(0.592)</w:t>
            </w:r>
          </w:p>
        </w:tc>
        <w:tc>
          <w:tcPr>
            <w:tcW w:w="868" w:type="pct"/>
            <w:tcBorders>
              <w:top w:val="nil"/>
              <w:left w:val="nil"/>
              <w:bottom w:val="nil"/>
              <w:right w:val="nil"/>
            </w:tcBorders>
            <w:hideMark/>
          </w:tcPr>
          <w:p w14:paraId="63A92DA8"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(4.337)</w:t>
            </w:r>
          </w:p>
        </w:tc>
        <w:tc>
          <w:tcPr>
            <w:tcW w:w="657" w:type="pct"/>
            <w:tcBorders>
              <w:top w:val="nil"/>
              <w:left w:val="nil"/>
              <w:bottom w:val="nil"/>
              <w:right w:val="nil"/>
            </w:tcBorders>
            <w:hideMark/>
          </w:tcPr>
          <w:p w14:paraId="6C4975F9"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(0.318)</w:t>
            </w:r>
          </w:p>
        </w:tc>
      </w:tr>
      <w:tr w:rsidR="009D3026" w:rsidRPr="00CD4846" w14:paraId="314999F8" w14:textId="77777777" w:rsidTr="001953BB">
        <w:tc>
          <w:tcPr>
            <w:tcW w:w="1171" w:type="pct"/>
            <w:tcBorders>
              <w:top w:val="nil"/>
              <w:left w:val="nil"/>
              <w:bottom w:val="nil"/>
              <w:right w:val="nil"/>
            </w:tcBorders>
            <w:hideMark/>
          </w:tcPr>
          <w:p w14:paraId="7CBD7BC8"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Avg annual wages (100k)</w:t>
            </w:r>
          </w:p>
        </w:tc>
        <w:tc>
          <w:tcPr>
            <w:tcW w:w="540" w:type="pct"/>
            <w:tcBorders>
              <w:top w:val="nil"/>
              <w:left w:val="nil"/>
              <w:bottom w:val="nil"/>
              <w:right w:val="nil"/>
            </w:tcBorders>
            <w:hideMark/>
          </w:tcPr>
          <w:p w14:paraId="0C429EA5"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0.090***</w:t>
            </w:r>
          </w:p>
        </w:tc>
        <w:tc>
          <w:tcPr>
            <w:tcW w:w="1095" w:type="pct"/>
            <w:tcBorders>
              <w:top w:val="nil"/>
              <w:left w:val="nil"/>
              <w:bottom w:val="nil"/>
              <w:right w:val="nil"/>
            </w:tcBorders>
            <w:hideMark/>
          </w:tcPr>
          <w:p w14:paraId="72CCE47F"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0.106***</w:t>
            </w:r>
          </w:p>
        </w:tc>
        <w:tc>
          <w:tcPr>
            <w:tcW w:w="669" w:type="pct"/>
            <w:tcBorders>
              <w:top w:val="nil"/>
              <w:left w:val="nil"/>
              <w:bottom w:val="nil"/>
              <w:right w:val="nil"/>
            </w:tcBorders>
            <w:hideMark/>
          </w:tcPr>
          <w:p w14:paraId="3966E40F"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0.099***</w:t>
            </w:r>
          </w:p>
        </w:tc>
        <w:tc>
          <w:tcPr>
            <w:tcW w:w="868" w:type="pct"/>
            <w:tcBorders>
              <w:top w:val="nil"/>
              <w:left w:val="nil"/>
              <w:bottom w:val="nil"/>
              <w:right w:val="nil"/>
            </w:tcBorders>
            <w:hideMark/>
          </w:tcPr>
          <w:p w14:paraId="3B47DA1B"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0.129***</w:t>
            </w:r>
          </w:p>
        </w:tc>
        <w:tc>
          <w:tcPr>
            <w:tcW w:w="657" w:type="pct"/>
            <w:tcBorders>
              <w:top w:val="nil"/>
              <w:left w:val="nil"/>
              <w:bottom w:val="nil"/>
              <w:right w:val="nil"/>
            </w:tcBorders>
            <w:hideMark/>
          </w:tcPr>
          <w:p w14:paraId="4E8722A9"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0.090***</w:t>
            </w:r>
          </w:p>
        </w:tc>
      </w:tr>
      <w:tr w:rsidR="009D3026" w:rsidRPr="00CD4846" w14:paraId="23A37F79" w14:textId="77777777" w:rsidTr="001953BB">
        <w:tc>
          <w:tcPr>
            <w:tcW w:w="1171" w:type="pct"/>
            <w:tcBorders>
              <w:top w:val="nil"/>
              <w:left w:val="nil"/>
              <w:bottom w:val="nil"/>
              <w:right w:val="nil"/>
            </w:tcBorders>
          </w:tcPr>
          <w:p w14:paraId="6FA47A22"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p>
        </w:tc>
        <w:tc>
          <w:tcPr>
            <w:tcW w:w="540" w:type="pct"/>
            <w:tcBorders>
              <w:top w:val="nil"/>
              <w:left w:val="nil"/>
              <w:bottom w:val="nil"/>
              <w:right w:val="nil"/>
            </w:tcBorders>
            <w:hideMark/>
          </w:tcPr>
          <w:p w14:paraId="13EE6FA7"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(0.012)</w:t>
            </w:r>
          </w:p>
        </w:tc>
        <w:tc>
          <w:tcPr>
            <w:tcW w:w="1095" w:type="pct"/>
            <w:tcBorders>
              <w:top w:val="nil"/>
              <w:left w:val="nil"/>
              <w:bottom w:val="nil"/>
              <w:right w:val="nil"/>
            </w:tcBorders>
            <w:hideMark/>
          </w:tcPr>
          <w:p w14:paraId="3D3E128A"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(0.011)</w:t>
            </w:r>
          </w:p>
        </w:tc>
        <w:tc>
          <w:tcPr>
            <w:tcW w:w="669" w:type="pct"/>
            <w:tcBorders>
              <w:top w:val="nil"/>
              <w:left w:val="nil"/>
              <w:bottom w:val="nil"/>
              <w:right w:val="nil"/>
            </w:tcBorders>
            <w:hideMark/>
          </w:tcPr>
          <w:p w14:paraId="115A0CCE"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(0.011)</w:t>
            </w:r>
          </w:p>
        </w:tc>
        <w:tc>
          <w:tcPr>
            <w:tcW w:w="868" w:type="pct"/>
            <w:tcBorders>
              <w:top w:val="nil"/>
              <w:left w:val="nil"/>
              <w:bottom w:val="nil"/>
              <w:right w:val="nil"/>
            </w:tcBorders>
            <w:hideMark/>
          </w:tcPr>
          <w:p w14:paraId="46A9F80D"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(0.027)</w:t>
            </w:r>
          </w:p>
        </w:tc>
        <w:tc>
          <w:tcPr>
            <w:tcW w:w="657" w:type="pct"/>
            <w:tcBorders>
              <w:top w:val="nil"/>
              <w:left w:val="nil"/>
              <w:bottom w:val="nil"/>
              <w:right w:val="nil"/>
            </w:tcBorders>
            <w:hideMark/>
          </w:tcPr>
          <w:p w14:paraId="019DF3ED"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(0.011)</w:t>
            </w:r>
          </w:p>
        </w:tc>
      </w:tr>
      <w:tr w:rsidR="009D3026" w:rsidRPr="00CD4846" w14:paraId="0046915E" w14:textId="77777777" w:rsidTr="001953BB">
        <w:tc>
          <w:tcPr>
            <w:tcW w:w="1171" w:type="pct"/>
            <w:tcBorders>
              <w:top w:val="nil"/>
              <w:left w:val="nil"/>
              <w:bottom w:val="nil"/>
              <w:right w:val="nil"/>
            </w:tcBorders>
            <w:hideMark/>
          </w:tcPr>
          <w:p w14:paraId="525E1D86"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Attainment Status-CO (t-1)</w:t>
            </w:r>
          </w:p>
        </w:tc>
        <w:tc>
          <w:tcPr>
            <w:tcW w:w="540" w:type="pct"/>
            <w:tcBorders>
              <w:top w:val="nil"/>
              <w:left w:val="nil"/>
              <w:bottom w:val="nil"/>
              <w:right w:val="nil"/>
            </w:tcBorders>
            <w:hideMark/>
          </w:tcPr>
          <w:p w14:paraId="7F9F777A"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-0.382</w:t>
            </w:r>
          </w:p>
        </w:tc>
        <w:tc>
          <w:tcPr>
            <w:tcW w:w="1095" w:type="pct"/>
            <w:tcBorders>
              <w:top w:val="nil"/>
              <w:left w:val="nil"/>
              <w:bottom w:val="nil"/>
              <w:right w:val="nil"/>
            </w:tcBorders>
            <w:hideMark/>
          </w:tcPr>
          <w:p w14:paraId="23B78B18"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-1.366</w:t>
            </w:r>
          </w:p>
        </w:tc>
        <w:tc>
          <w:tcPr>
            <w:tcW w:w="669" w:type="pct"/>
            <w:tcBorders>
              <w:top w:val="nil"/>
              <w:left w:val="nil"/>
              <w:bottom w:val="nil"/>
              <w:right w:val="nil"/>
            </w:tcBorders>
            <w:hideMark/>
          </w:tcPr>
          <w:p w14:paraId="535FD04A"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-0.909</w:t>
            </w:r>
          </w:p>
        </w:tc>
        <w:tc>
          <w:tcPr>
            <w:tcW w:w="868" w:type="pct"/>
            <w:tcBorders>
              <w:top w:val="nil"/>
              <w:left w:val="nil"/>
              <w:bottom w:val="nil"/>
              <w:right w:val="nil"/>
            </w:tcBorders>
            <w:hideMark/>
          </w:tcPr>
          <w:p w14:paraId="1DC6860B"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-5.029***</w:t>
            </w:r>
          </w:p>
        </w:tc>
        <w:tc>
          <w:tcPr>
            <w:tcW w:w="657" w:type="pct"/>
            <w:tcBorders>
              <w:top w:val="nil"/>
              <w:left w:val="nil"/>
              <w:bottom w:val="nil"/>
              <w:right w:val="nil"/>
            </w:tcBorders>
            <w:hideMark/>
          </w:tcPr>
          <w:p w14:paraId="641121B2"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-0.392</w:t>
            </w:r>
          </w:p>
        </w:tc>
      </w:tr>
      <w:tr w:rsidR="009D3026" w:rsidRPr="00CD4846" w14:paraId="460F93D0" w14:textId="77777777" w:rsidTr="001953BB">
        <w:tc>
          <w:tcPr>
            <w:tcW w:w="1171" w:type="pct"/>
            <w:tcBorders>
              <w:top w:val="nil"/>
              <w:left w:val="nil"/>
              <w:bottom w:val="nil"/>
              <w:right w:val="nil"/>
            </w:tcBorders>
          </w:tcPr>
          <w:p w14:paraId="2E43859C"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p>
        </w:tc>
        <w:tc>
          <w:tcPr>
            <w:tcW w:w="540" w:type="pct"/>
            <w:tcBorders>
              <w:top w:val="nil"/>
              <w:left w:val="nil"/>
              <w:bottom w:val="nil"/>
              <w:right w:val="nil"/>
            </w:tcBorders>
            <w:hideMark/>
          </w:tcPr>
          <w:p w14:paraId="6F698FEE"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(0.261)</w:t>
            </w:r>
          </w:p>
        </w:tc>
        <w:tc>
          <w:tcPr>
            <w:tcW w:w="1095" w:type="pct"/>
            <w:tcBorders>
              <w:top w:val="nil"/>
              <w:left w:val="nil"/>
              <w:bottom w:val="nil"/>
              <w:right w:val="nil"/>
            </w:tcBorders>
            <w:hideMark/>
          </w:tcPr>
          <w:p w14:paraId="3FC39905"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(1.041)</w:t>
            </w:r>
          </w:p>
        </w:tc>
        <w:tc>
          <w:tcPr>
            <w:tcW w:w="669" w:type="pct"/>
            <w:tcBorders>
              <w:top w:val="nil"/>
              <w:left w:val="nil"/>
              <w:bottom w:val="nil"/>
              <w:right w:val="nil"/>
            </w:tcBorders>
            <w:hideMark/>
          </w:tcPr>
          <w:p w14:paraId="4DD21C86"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(0.881)</w:t>
            </w:r>
          </w:p>
        </w:tc>
        <w:tc>
          <w:tcPr>
            <w:tcW w:w="868" w:type="pct"/>
            <w:tcBorders>
              <w:top w:val="nil"/>
              <w:left w:val="nil"/>
              <w:bottom w:val="nil"/>
              <w:right w:val="nil"/>
            </w:tcBorders>
            <w:hideMark/>
          </w:tcPr>
          <w:p w14:paraId="109D1401"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(1.689)</w:t>
            </w:r>
          </w:p>
        </w:tc>
        <w:tc>
          <w:tcPr>
            <w:tcW w:w="657" w:type="pct"/>
            <w:tcBorders>
              <w:top w:val="nil"/>
              <w:left w:val="nil"/>
              <w:bottom w:val="nil"/>
              <w:right w:val="nil"/>
            </w:tcBorders>
            <w:hideMark/>
          </w:tcPr>
          <w:p w14:paraId="75151D3D"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(0.259)</w:t>
            </w:r>
          </w:p>
        </w:tc>
      </w:tr>
      <w:tr w:rsidR="009D3026" w:rsidRPr="00CD4846" w14:paraId="7D814290" w14:textId="77777777" w:rsidTr="001953BB">
        <w:tc>
          <w:tcPr>
            <w:tcW w:w="1171" w:type="pct"/>
            <w:tcBorders>
              <w:top w:val="nil"/>
              <w:left w:val="nil"/>
              <w:bottom w:val="nil"/>
              <w:right w:val="nil"/>
            </w:tcBorders>
            <w:hideMark/>
          </w:tcPr>
          <w:p w14:paraId="5EA666B5"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Attainment Status-Pb (t-1)</w:t>
            </w:r>
          </w:p>
        </w:tc>
        <w:tc>
          <w:tcPr>
            <w:tcW w:w="540" w:type="pct"/>
            <w:tcBorders>
              <w:top w:val="nil"/>
              <w:left w:val="nil"/>
              <w:bottom w:val="nil"/>
              <w:right w:val="nil"/>
            </w:tcBorders>
            <w:hideMark/>
          </w:tcPr>
          <w:p w14:paraId="30BF06EB"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-0.024</w:t>
            </w:r>
          </w:p>
        </w:tc>
        <w:tc>
          <w:tcPr>
            <w:tcW w:w="1095" w:type="pct"/>
            <w:tcBorders>
              <w:top w:val="nil"/>
              <w:left w:val="nil"/>
              <w:bottom w:val="nil"/>
              <w:right w:val="nil"/>
            </w:tcBorders>
            <w:hideMark/>
          </w:tcPr>
          <w:p w14:paraId="2B79450E"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-0.157</w:t>
            </w:r>
          </w:p>
        </w:tc>
        <w:tc>
          <w:tcPr>
            <w:tcW w:w="669" w:type="pct"/>
            <w:tcBorders>
              <w:top w:val="nil"/>
              <w:left w:val="nil"/>
              <w:bottom w:val="nil"/>
              <w:right w:val="nil"/>
            </w:tcBorders>
            <w:hideMark/>
          </w:tcPr>
          <w:p w14:paraId="665B0233"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-0.159</w:t>
            </w:r>
          </w:p>
        </w:tc>
        <w:tc>
          <w:tcPr>
            <w:tcW w:w="868" w:type="pct"/>
            <w:tcBorders>
              <w:top w:val="nil"/>
              <w:left w:val="nil"/>
              <w:bottom w:val="nil"/>
              <w:right w:val="nil"/>
            </w:tcBorders>
            <w:hideMark/>
          </w:tcPr>
          <w:p w14:paraId="4C704FBE"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0.241</w:t>
            </w:r>
          </w:p>
        </w:tc>
        <w:tc>
          <w:tcPr>
            <w:tcW w:w="657" w:type="pct"/>
            <w:tcBorders>
              <w:top w:val="nil"/>
              <w:left w:val="nil"/>
              <w:bottom w:val="nil"/>
              <w:right w:val="nil"/>
            </w:tcBorders>
            <w:hideMark/>
          </w:tcPr>
          <w:p w14:paraId="0BB01779"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-0.026</w:t>
            </w:r>
          </w:p>
        </w:tc>
      </w:tr>
      <w:tr w:rsidR="009D3026" w:rsidRPr="00CD4846" w14:paraId="65135FDE" w14:textId="77777777" w:rsidTr="001953BB">
        <w:tc>
          <w:tcPr>
            <w:tcW w:w="1171" w:type="pct"/>
            <w:tcBorders>
              <w:top w:val="nil"/>
              <w:left w:val="nil"/>
              <w:bottom w:val="nil"/>
              <w:right w:val="nil"/>
            </w:tcBorders>
          </w:tcPr>
          <w:p w14:paraId="62E384B3"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p>
        </w:tc>
        <w:tc>
          <w:tcPr>
            <w:tcW w:w="540" w:type="pct"/>
            <w:tcBorders>
              <w:top w:val="nil"/>
              <w:left w:val="nil"/>
              <w:bottom w:val="nil"/>
              <w:right w:val="nil"/>
            </w:tcBorders>
            <w:hideMark/>
          </w:tcPr>
          <w:p w14:paraId="4D66A091"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(0.051)</w:t>
            </w:r>
          </w:p>
        </w:tc>
        <w:tc>
          <w:tcPr>
            <w:tcW w:w="1095" w:type="pct"/>
            <w:tcBorders>
              <w:top w:val="nil"/>
              <w:left w:val="nil"/>
              <w:bottom w:val="nil"/>
              <w:right w:val="nil"/>
            </w:tcBorders>
            <w:hideMark/>
          </w:tcPr>
          <w:p w14:paraId="752AB6D6"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(0.198)</w:t>
            </w:r>
          </w:p>
        </w:tc>
        <w:tc>
          <w:tcPr>
            <w:tcW w:w="669" w:type="pct"/>
            <w:tcBorders>
              <w:top w:val="nil"/>
              <w:left w:val="nil"/>
              <w:bottom w:val="nil"/>
              <w:right w:val="nil"/>
            </w:tcBorders>
            <w:hideMark/>
          </w:tcPr>
          <w:p w14:paraId="02B5199F"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(0.192)</w:t>
            </w:r>
          </w:p>
        </w:tc>
        <w:tc>
          <w:tcPr>
            <w:tcW w:w="868" w:type="pct"/>
            <w:tcBorders>
              <w:top w:val="nil"/>
              <w:left w:val="nil"/>
              <w:bottom w:val="nil"/>
              <w:right w:val="nil"/>
            </w:tcBorders>
            <w:hideMark/>
          </w:tcPr>
          <w:p w14:paraId="78A48F32"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(0.623)</w:t>
            </w:r>
          </w:p>
        </w:tc>
        <w:tc>
          <w:tcPr>
            <w:tcW w:w="657" w:type="pct"/>
            <w:tcBorders>
              <w:top w:val="nil"/>
              <w:left w:val="nil"/>
              <w:bottom w:val="nil"/>
              <w:right w:val="nil"/>
            </w:tcBorders>
            <w:hideMark/>
          </w:tcPr>
          <w:p w14:paraId="5C167856"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(0.050)</w:t>
            </w:r>
          </w:p>
        </w:tc>
      </w:tr>
      <w:tr w:rsidR="009D3026" w:rsidRPr="00CD4846" w14:paraId="3C18E80E" w14:textId="77777777" w:rsidTr="001953BB">
        <w:tc>
          <w:tcPr>
            <w:tcW w:w="1171" w:type="pct"/>
            <w:tcBorders>
              <w:top w:val="nil"/>
              <w:left w:val="nil"/>
              <w:bottom w:val="nil"/>
              <w:right w:val="nil"/>
            </w:tcBorders>
            <w:hideMark/>
          </w:tcPr>
          <w:p w14:paraId="3351C5AE"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Attainment Status-O3 (t-1)</w:t>
            </w:r>
          </w:p>
        </w:tc>
        <w:tc>
          <w:tcPr>
            <w:tcW w:w="540" w:type="pct"/>
            <w:tcBorders>
              <w:top w:val="nil"/>
              <w:left w:val="nil"/>
              <w:bottom w:val="nil"/>
              <w:right w:val="nil"/>
            </w:tcBorders>
            <w:hideMark/>
          </w:tcPr>
          <w:p w14:paraId="63196B9E"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0.097***</w:t>
            </w:r>
          </w:p>
        </w:tc>
        <w:tc>
          <w:tcPr>
            <w:tcW w:w="1095" w:type="pct"/>
            <w:tcBorders>
              <w:top w:val="nil"/>
              <w:left w:val="nil"/>
              <w:bottom w:val="nil"/>
              <w:right w:val="nil"/>
            </w:tcBorders>
            <w:hideMark/>
          </w:tcPr>
          <w:p w14:paraId="61426A35"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0.032</w:t>
            </w:r>
          </w:p>
        </w:tc>
        <w:tc>
          <w:tcPr>
            <w:tcW w:w="669" w:type="pct"/>
            <w:tcBorders>
              <w:top w:val="nil"/>
              <w:left w:val="nil"/>
              <w:bottom w:val="nil"/>
              <w:right w:val="nil"/>
            </w:tcBorders>
            <w:hideMark/>
          </w:tcPr>
          <w:p w14:paraId="4BF15CFA"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0.045</w:t>
            </w:r>
          </w:p>
        </w:tc>
        <w:tc>
          <w:tcPr>
            <w:tcW w:w="868" w:type="pct"/>
            <w:tcBorders>
              <w:top w:val="nil"/>
              <w:left w:val="nil"/>
              <w:bottom w:val="nil"/>
              <w:right w:val="nil"/>
            </w:tcBorders>
            <w:hideMark/>
          </w:tcPr>
          <w:p w14:paraId="0588C7FA"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-0.123</w:t>
            </w:r>
          </w:p>
        </w:tc>
        <w:tc>
          <w:tcPr>
            <w:tcW w:w="657" w:type="pct"/>
            <w:tcBorders>
              <w:top w:val="nil"/>
              <w:left w:val="nil"/>
              <w:bottom w:val="nil"/>
              <w:right w:val="nil"/>
            </w:tcBorders>
            <w:hideMark/>
          </w:tcPr>
          <w:p w14:paraId="6B6C7D89"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0.096***</w:t>
            </w:r>
          </w:p>
        </w:tc>
      </w:tr>
      <w:tr w:rsidR="009D3026" w:rsidRPr="00CD4846" w14:paraId="738F66FB" w14:textId="77777777" w:rsidTr="001953BB">
        <w:tc>
          <w:tcPr>
            <w:tcW w:w="1171" w:type="pct"/>
            <w:tcBorders>
              <w:top w:val="nil"/>
              <w:left w:val="nil"/>
              <w:bottom w:val="nil"/>
              <w:right w:val="nil"/>
            </w:tcBorders>
          </w:tcPr>
          <w:p w14:paraId="228B4185"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p>
        </w:tc>
        <w:tc>
          <w:tcPr>
            <w:tcW w:w="540" w:type="pct"/>
            <w:tcBorders>
              <w:top w:val="nil"/>
              <w:left w:val="nil"/>
              <w:bottom w:val="nil"/>
              <w:right w:val="nil"/>
            </w:tcBorders>
            <w:hideMark/>
          </w:tcPr>
          <w:p w14:paraId="535D5C63"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(0.027)</w:t>
            </w:r>
          </w:p>
        </w:tc>
        <w:tc>
          <w:tcPr>
            <w:tcW w:w="1095" w:type="pct"/>
            <w:tcBorders>
              <w:top w:val="nil"/>
              <w:left w:val="nil"/>
              <w:bottom w:val="nil"/>
              <w:right w:val="nil"/>
            </w:tcBorders>
            <w:hideMark/>
          </w:tcPr>
          <w:p w14:paraId="3FAE3056"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(0.031)</w:t>
            </w:r>
          </w:p>
        </w:tc>
        <w:tc>
          <w:tcPr>
            <w:tcW w:w="669" w:type="pct"/>
            <w:tcBorders>
              <w:top w:val="nil"/>
              <w:left w:val="nil"/>
              <w:bottom w:val="nil"/>
              <w:right w:val="nil"/>
            </w:tcBorders>
            <w:hideMark/>
          </w:tcPr>
          <w:p w14:paraId="18811C13"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(0.031)</w:t>
            </w:r>
          </w:p>
        </w:tc>
        <w:tc>
          <w:tcPr>
            <w:tcW w:w="868" w:type="pct"/>
            <w:tcBorders>
              <w:top w:val="nil"/>
              <w:left w:val="nil"/>
              <w:bottom w:val="nil"/>
              <w:right w:val="nil"/>
            </w:tcBorders>
            <w:hideMark/>
          </w:tcPr>
          <w:p w14:paraId="2C1ECDA9"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(0.164)</w:t>
            </w:r>
          </w:p>
        </w:tc>
        <w:tc>
          <w:tcPr>
            <w:tcW w:w="657" w:type="pct"/>
            <w:tcBorders>
              <w:top w:val="nil"/>
              <w:left w:val="nil"/>
              <w:bottom w:val="nil"/>
              <w:right w:val="nil"/>
            </w:tcBorders>
            <w:hideMark/>
          </w:tcPr>
          <w:p w14:paraId="34C48E2F"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(0.027)</w:t>
            </w:r>
          </w:p>
        </w:tc>
      </w:tr>
      <w:tr w:rsidR="009D3026" w:rsidRPr="00CD4846" w14:paraId="0C59CB22" w14:textId="77777777" w:rsidTr="001953BB">
        <w:tc>
          <w:tcPr>
            <w:tcW w:w="1171" w:type="pct"/>
            <w:tcBorders>
              <w:top w:val="nil"/>
              <w:left w:val="nil"/>
              <w:bottom w:val="nil"/>
              <w:right w:val="nil"/>
            </w:tcBorders>
            <w:hideMark/>
          </w:tcPr>
          <w:p w14:paraId="5F6E9714"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Attainment Status-PM (t-1)</w:t>
            </w:r>
          </w:p>
        </w:tc>
        <w:tc>
          <w:tcPr>
            <w:tcW w:w="540" w:type="pct"/>
            <w:tcBorders>
              <w:top w:val="nil"/>
              <w:left w:val="nil"/>
              <w:bottom w:val="nil"/>
              <w:right w:val="nil"/>
            </w:tcBorders>
            <w:hideMark/>
          </w:tcPr>
          <w:p w14:paraId="30A6C9AF"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-0.017</w:t>
            </w:r>
          </w:p>
        </w:tc>
        <w:tc>
          <w:tcPr>
            <w:tcW w:w="1095" w:type="pct"/>
            <w:tcBorders>
              <w:top w:val="nil"/>
              <w:left w:val="nil"/>
              <w:bottom w:val="nil"/>
              <w:right w:val="nil"/>
            </w:tcBorders>
            <w:hideMark/>
          </w:tcPr>
          <w:p w14:paraId="09941C3D"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-0.025</w:t>
            </w:r>
          </w:p>
        </w:tc>
        <w:tc>
          <w:tcPr>
            <w:tcW w:w="669" w:type="pct"/>
            <w:tcBorders>
              <w:top w:val="nil"/>
              <w:left w:val="nil"/>
              <w:bottom w:val="nil"/>
              <w:right w:val="nil"/>
            </w:tcBorders>
            <w:hideMark/>
          </w:tcPr>
          <w:p w14:paraId="120C0596"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-0.021</w:t>
            </w:r>
          </w:p>
        </w:tc>
        <w:tc>
          <w:tcPr>
            <w:tcW w:w="868" w:type="pct"/>
            <w:tcBorders>
              <w:top w:val="nil"/>
              <w:left w:val="nil"/>
              <w:bottom w:val="nil"/>
              <w:right w:val="nil"/>
            </w:tcBorders>
            <w:hideMark/>
          </w:tcPr>
          <w:p w14:paraId="723F1285"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-0.007</w:t>
            </w:r>
          </w:p>
        </w:tc>
        <w:tc>
          <w:tcPr>
            <w:tcW w:w="657" w:type="pct"/>
            <w:tcBorders>
              <w:top w:val="nil"/>
              <w:left w:val="nil"/>
              <w:bottom w:val="nil"/>
              <w:right w:val="nil"/>
            </w:tcBorders>
            <w:hideMark/>
          </w:tcPr>
          <w:p w14:paraId="78B68002"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-0.017</w:t>
            </w:r>
          </w:p>
        </w:tc>
      </w:tr>
      <w:tr w:rsidR="009D3026" w:rsidRPr="00CD4846" w14:paraId="03F67B74" w14:textId="77777777" w:rsidTr="001953BB">
        <w:tc>
          <w:tcPr>
            <w:tcW w:w="1171" w:type="pct"/>
            <w:tcBorders>
              <w:top w:val="nil"/>
              <w:left w:val="nil"/>
              <w:bottom w:val="nil"/>
              <w:right w:val="nil"/>
            </w:tcBorders>
          </w:tcPr>
          <w:p w14:paraId="6BD29B4F"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p>
        </w:tc>
        <w:tc>
          <w:tcPr>
            <w:tcW w:w="540" w:type="pct"/>
            <w:tcBorders>
              <w:top w:val="nil"/>
              <w:left w:val="nil"/>
              <w:bottom w:val="nil"/>
              <w:right w:val="nil"/>
            </w:tcBorders>
            <w:hideMark/>
          </w:tcPr>
          <w:p w14:paraId="099D1C3D"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(0.013)</w:t>
            </w:r>
          </w:p>
        </w:tc>
        <w:tc>
          <w:tcPr>
            <w:tcW w:w="1095" w:type="pct"/>
            <w:tcBorders>
              <w:top w:val="nil"/>
              <w:left w:val="nil"/>
              <w:bottom w:val="nil"/>
              <w:right w:val="nil"/>
            </w:tcBorders>
            <w:hideMark/>
          </w:tcPr>
          <w:p w14:paraId="6B51116C"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(0.026)</w:t>
            </w:r>
          </w:p>
        </w:tc>
        <w:tc>
          <w:tcPr>
            <w:tcW w:w="669" w:type="pct"/>
            <w:tcBorders>
              <w:top w:val="nil"/>
              <w:left w:val="nil"/>
              <w:bottom w:val="nil"/>
              <w:right w:val="nil"/>
            </w:tcBorders>
            <w:hideMark/>
          </w:tcPr>
          <w:p w14:paraId="20163E18"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(0.027)</w:t>
            </w:r>
          </w:p>
        </w:tc>
        <w:tc>
          <w:tcPr>
            <w:tcW w:w="868" w:type="pct"/>
            <w:tcBorders>
              <w:top w:val="nil"/>
              <w:left w:val="nil"/>
              <w:bottom w:val="nil"/>
              <w:right w:val="nil"/>
            </w:tcBorders>
            <w:hideMark/>
          </w:tcPr>
          <w:p w14:paraId="1058DAE4"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(0.141)</w:t>
            </w:r>
          </w:p>
        </w:tc>
        <w:tc>
          <w:tcPr>
            <w:tcW w:w="657" w:type="pct"/>
            <w:tcBorders>
              <w:top w:val="nil"/>
              <w:left w:val="nil"/>
              <w:bottom w:val="nil"/>
              <w:right w:val="nil"/>
            </w:tcBorders>
            <w:hideMark/>
          </w:tcPr>
          <w:p w14:paraId="3BD20AD6"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(0.013)</w:t>
            </w:r>
          </w:p>
        </w:tc>
      </w:tr>
      <w:tr w:rsidR="009D3026" w:rsidRPr="00CD4846" w14:paraId="75894E3C" w14:textId="77777777" w:rsidTr="001953BB">
        <w:tc>
          <w:tcPr>
            <w:tcW w:w="1171" w:type="pct"/>
            <w:tcBorders>
              <w:top w:val="nil"/>
              <w:left w:val="nil"/>
              <w:bottom w:val="nil"/>
              <w:right w:val="nil"/>
            </w:tcBorders>
            <w:hideMark/>
          </w:tcPr>
          <w:p w14:paraId="21EABE1A"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Attainment Status-SO2 (t-1)</w:t>
            </w:r>
          </w:p>
        </w:tc>
        <w:tc>
          <w:tcPr>
            <w:tcW w:w="540" w:type="pct"/>
            <w:tcBorders>
              <w:top w:val="nil"/>
              <w:left w:val="nil"/>
              <w:bottom w:val="nil"/>
              <w:right w:val="nil"/>
            </w:tcBorders>
            <w:hideMark/>
          </w:tcPr>
          <w:p w14:paraId="458B9E52"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-0.021</w:t>
            </w:r>
          </w:p>
        </w:tc>
        <w:tc>
          <w:tcPr>
            <w:tcW w:w="1095" w:type="pct"/>
            <w:tcBorders>
              <w:top w:val="nil"/>
              <w:left w:val="nil"/>
              <w:bottom w:val="nil"/>
              <w:right w:val="nil"/>
            </w:tcBorders>
            <w:hideMark/>
          </w:tcPr>
          <w:p w14:paraId="18459672"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-0.271*</w:t>
            </w:r>
          </w:p>
        </w:tc>
        <w:tc>
          <w:tcPr>
            <w:tcW w:w="669" w:type="pct"/>
            <w:tcBorders>
              <w:top w:val="nil"/>
              <w:left w:val="nil"/>
              <w:bottom w:val="nil"/>
              <w:right w:val="nil"/>
            </w:tcBorders>
            <w:hideMark/>
          </w:tcPr>
          <w:p w14:paraId="40A9410C"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-0.299*</w:t>
            </w:r>
          </w:p>
        </w:tc>
        <w:tc>
          <w:tcPr>
            <w:tcW w:w="868" w:type="pct"/>
            <w:tcBorders>
              <w:top w:val="nil"/>
              <w:left w:val="nil"/>
              <w:bottom w:val="nil"/>
              <w:right w:val="nil"/>
            </w:tcBorders>
            <w:hideMark/>
          </w:tcPr>
          <w:p w14:paraId="38313497"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0.056</w:t>
            </w:r>
          </w:p>
        </w:tc>
        <w:tc>
          <w:tcPr>
            <w:tcW w:w="657" w:type="pct"/>
            <w:tcBorders>
              <w:top w:val="nil"/>
              <w:left w:val="nil"/>
              <w:bottom w:val="nil"/>
              <w:right w:val="nil"/>
            </w:tcBorders>
            <w:hideMark/>
          </w:tcPr>
          <w:p w14:paraId="52BB466B"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-0.028</w:t>
            </w:r>
          </w:p>
        </w:tc>
      </w:tr>
      <w:tr w:rsidR="009D3026" w:rsidRPr="00CD4846" w14:paraId="7A7CEEC7" w14:textId="77777777" w:rsidTr="001953BB">
        <w:tc>
          <w:tcPr>
            <w:tcW w:w="1171" w:type="pct"/>
            <w:tcBorders>
              <w:top w:val="nil"/>
              <w:left w:val="nil"/>
              <w:bottom w:val="nil"/>
              <w:right w:val="nil"/>
            </w:tcBorders>
          </w:tcPr>
          <w:p w14:paraId="2F8B4C0F"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p>
        </w:tc>
        <w:tc>
          <w:tcPr>
            <w:tcW w:w="540" w:type="pct"/>
            <w:tcBorders>
              <w:top w:val="nil"/>
              <w:left w:val="nil"/>
              <w:bottom w:val="nil"/>
              <w:right w:val="nil"/>
            </w:tcBorders>
            <w:hideMark/>
          </w:tcPr>
          <w:p w14:paraId="0DF1A375"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(0.044)</w:t>
            </w:r>
          </w:p>
        </w:tc>
        <w:tc>
          <w:tcPr>
            <w:tcW w:w="1095" w:type="pct"/>
            <w:tcBorders>
              <w:top w:val="nil"/>
              <w:left w:val="nil"/>
              <w:bottom w:val="nil"/>
              <w:right w:val="nil"/>
            </w:tcBorders>
            <w:hideMark/>
          </w:tcPr>
          <w:p w14:paraId="0A188856"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(0.160)</w:t>
            </w:r>
          </w:p>
        </w:tc>
        <w:tc>
          <w:tcPr>
            <w:tcW w:w="669" w:type="pct"/>
            <w:tcBorders>
              <w:top w:val="nil"/>
              <w:left w:val="nil"/>
              <w:bottom w:val="nil"/>
              <w:right w:val="nil"/>
            </w:tcBorders>
            <w:hideMark/>
          </w:tcPr>
          <w:p w14:paraId="6A3313FF"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(0.158)</w:t>
            </w:r>
          </w:p>
        </w:tc>
        <w:tc>
          <w:tcPr>
            <w:tcW w:w="868" w:type="pct"/>
            <w:tcBorders>
              <w:top w:val="nil"/>
              <w:left w:val="nil"/>
              <w:bottom w:val="nil"/>
              <w:right w:val="nil"/>
            </w:tcBorders>
            <w:hideMark/>
          </w:tcPr>
          <w:p w14:paraId="449305C9"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(0.513)</w:t>
            </w:r>
          </w:p>
        </w:tc>
        <w:tc>
          <w:tcPr>
            <w:tcW w:w="657" w:type="pct"/>
            <w:tcBorders>
              <w:top w:val="nil"/>
              <w:left w:val="nil"/>
              <w:bottom w:val="nil"/>
              <w:right w:val="nil"/>
            </w:tcBorders>
            <w:hideMark/>
          </w:tcPr>
          <w:p w14:paraId="5751DC4A"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(0.043)</w:t>
            </w:r>
          </w:p>
        </w:tc>
      </w:tr>
      <w:tr w:rsidR="009D3026" w:rsidRPr="00CD4846" w14:paraId="4C39D6D9" w14:textId="77777777" w:rsidTr="001953BB">
        <w:tc>
          <w:tcPr>
            <w:tcW w:w="1171" w:type="pct"/>
            <w:tcBorders>
              <w:top w:val="nil"/>
              <w:left w:val="nil"/>
              <w:bottom w:val="nil"/>
              <w:right w:val="nil"/>
            </w:tcBorders>
            <w:hideMark/>
          </w:tcPr>
          <w:p w14:paraId="25E137B7"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Density Employment</w:t>
            </w:r>
          </w:p>
        </w:tc>
        <w:tc>
          <w:tcPr>
            <w:tcW w:w="540" w:type="pct"/>
            <w:tcBorders>
              <w:top w:val="nil"/>
              <w:left w:val="nil"/>
              <w:bottom w:val="nil"/>
              <w:right w:val="nil"/>
            </w:tcBorders>
            <w:hideMark/>
          </w:tcPr>
          <w:p w14:paraId="4C231EDA"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0.019</w:t>
            </w:r>
          </w:p>
        </w:tc>
        <w:tc>
          <w:tcPr>
            <w:tcW w:w="1095" w:type="pct"/>
            <w:tcBorders>
              <w:top w:val="nil"/>
              <w:left w:val="nil"/>
              <w:bottom w:val="nil"/>
              <w:right w:val="nil"/>
            </w:tcBorders>
            <w:hideMark/>
          </w:tcPr>
          <w:p w14:paraId="7A6373F3"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-0.084***</w:t>
            </w:r>
          </w:p>
        </w:tc>
        <w:tc>
          <w:tcPr>
            <w:tcW w:w="669" w:type="pct"/>
            <w:tcBorders>
              <w:top w:val="nil"/>
              <w:left w:val="nil"/>
              <w:bottom w:val="nil"/>
              <w:right w:val="nil"/>
            </w:tcBorders>
            <w:hideMark/>
          </w:tcPr>
          <w:p w14:paraId="54641A8D"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-0.090***</w:t>
            </w:r>
          </w:p>
        </w:tc>
        <w:tc>
          <w:tcPr>
            <w:tcW w:w="868" w:type="pct"/>
            <w:tcBorders>
              <w:top w:val="nil"/>
              <w:left w:val="nil"/>
              <w:bottom w:val="nil"/>
              <w:right w:val="nil"/>
            </w:tcBorders>
            <w:hideMark/>
          </w:tcPr>
          <w:p w14:paraId="1F5B7502"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0.109</w:t>
            </w:r>
          </w:p>
        </w:tc>
        <w:tc>
          <w:tcPr>
            <w:tcW w:w="657" w:type="pct"/>
            <w:tcBorders>
              <w:top w:val="nil"/>
              <w:left w:val="nil"/>
              <w:bottom w:val="nil"/>
              <w:right w:val="nil"/>
            </w:tcBorders>
            <w:hideMark/>
          </w:tcPr>
          <w:p w14:paraId="12A482C7"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0.018</w:t>
            </w:r>
          </w:p>
        </w:tc>
      </w:tr>
      <w:tr w:rsidR="009D3026" w:rsidRPr="00CD4846" w14:paraId="2B36BFE2" w14:textId="77777777" w:rsidTr="001953BB">
        <w:tc>
          <w:tcPr>
            <w:tcW w:w="1171" w:type="pct"/>
            <w:tcBorders>
              <w:top w:val="nil"/>
              <w:left w:val="nil"/>
              <w:bottom w:val="nil"/>
              <w:right w:val="nil"/>
            </w:tcBorders>
          </w:tcPr>
          <w:p w14:paraId="61F41267"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p>
        </w:tc>
        <w:tc>
          <w:tcPr>
            <w:tcW w:w="540" w:type="pct"/>
            <w:tcBorders>
              <w:top w:val="nil"/>
              <w:left w:val="nil"/>
              <w:bottom w:val="nil"/>
              <w:right w:val="nil"/>
            </w:tcBorders>
            <w:hideMark/>
          </w:tcPr>
          <w:p w14:paraId="6B72F5DF"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(0.022)</w:t>
            </w:r>
          </w:p>
        </w:tc>
        <w:tc>
          <w:tcPr>
            <w:tcW w:w="1095" w:type="pct"/>
            <w:tcBorders>
              <w:top w:val="nil"/>
              <w:left w:val="nil"/>
              <w:bottom w:val="nil"/>
              <w:right w:val="nil"/>
            </w:tcBorders>
            <w:hideMark/>
          </w:tcPr>
          <w:p w14:paraId="344F60E7"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(0.028)</w:t>
            </w:r>
          </w:p>
        </w:tc>
        <w:tc>
          <w:tcPr>
            <w:tcW w:w="669" w:type="pct"/>
            <w:tcBorders>
              <w:top w:val="nil"/>
              <w:left w:val="nil"/>
              <w:bottom w:val="nil"/>
              <w:right w:val="nil"/>
            </w:tcBorders>
            <w:hideMark/>
          </w:tcPr>
          <w:p w14:paraId="64453F2E"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(0.029)</w:t>
            </w:r>
          </w:p>
        </w:tc>
        <w:tc>
          <w:tcPr>
            <w:tcW w:w="868" w:type="pct"/>
            <w:tcBorders>
              <w:top w:val="nil"/>
              <w:left w:val="nil"/>
              <w:bottom w:val="nil"/>
              <w:right w:val="nil"/>
            </w:tcBorders>
            <w:hideMark/>
          </w:tcPr>
          <w:p w14:paraId="4F95A991"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(0.165)</w:t>
            </w:r>
          </w:p>
        </w:tc>
        <w:tc>
          <w:tcPr>
            <w:tcW w:w="657" w:type="pct"/>
            <w:tcBorders>
              <w:top w:val="nil"/>
              <w:left w:val="nil"/>
              <w:bottom w:val="nil"/>
              <w:right w:val="nil"/>
            </w:tcBorders>
            <w:hideMark/>
          </w:tcPr>
          <w:p w14:paraId="3B97020F"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(0.021)</w:t>
            </w:r>
          </w:p>
        </w:tc>
      </w:tr>
      <w:tr w:rsidR="009D3026" w:rsidRPr="00CD4846" w14:paraId="6C091421" w14:textId="77777777" w:rsidTr="001953BB">
        <w:tc>
          <w:tcPr>
            <w:tcW w:w="1171" w:type="pct"/>
            <w:tcBorders>
              <w:top w:val="nil"/>
              <w:left w:val="nil"/>
              <w:bottom w:val="nil"/>
              <w:right w:val="nil"/>
            </w:tcBorders>
            <w:hideMark/>
          </w:tcPr>
          <w:p w14:paraId="6E6C110C"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African-American (100s)</w:t>
            </w:r>
          </w:p>
        </w:tc>
        <w:tc>
          <w:tcPr>
            <w:tcW w:w="540" w:type="pct"/>
            <w:tcBorders>
              <w:top w:val="nil"/>
              <w:left w:val="nil"/>
              <w:bottom w:val="nil"/>
              <w:right w:val="nil"/>
            </w:tcBorders>
            <w:hideMark/>
          </w:tcPr>
          <w:p w14:paraId="42D6F24B"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-0.102</w:t>
            </w:r>
          </w:p>
        </w:tc>
        <w:tc>
          <w:tcPr>
            <w:tcW w:w="1095" w:type="pct"/>
            <w:tcBorders>
              <w:top w:val="nil"/>
              <w:left w:val="nil"/>
              <w:bottom w:val="nil"/>
              <w:right w:val="nil"/>
            </w:tcBorders>
            <w:hideMark/>
          </w:tcPr>
          <w:p w14:paraId="4B1A07AE"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-0.756</w:t>
            </w:r>
          </w:p>
        </w:tc>
        <w:tc>
          <w:tcPr>
            <w:tcW w:w="669" w:type="pct"/>
            <w:tcBorders>
              <w:top w:val="nil"/>
              <w:left w:val="nil"/>
              <w:bottom w:val="nil"/>
              <w:right w:val="nil"/>
            </w:tcBorders>
            <w:hideMark/>
          </w:tcPr>
          <w:p w14:paraId="40A56F49"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-0.567</w:t>
            </w:r>
          </w:p>
        </w:tc>
        <w:tc>
          <w:tcPr>
            <w:tcW w:w="868" w:type="pct"/>
            <w:tcBorders>
              <w:top w:val="nil"/>
              <w:left w:val="nil"/>
              <w:bottom w:val="nil"/>
              <w:right w:val="nil"/>
            </w:tcBorders>
            <w:hideMark/>
          </w:tcPr>
          <w:p w14:paraId="25AB0B87"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-5.675</w:t>
            </w:r>
          </w:p>
        </w:tc>
        <w:tc>
          <w:tcPr>
            <w:tcW w:w="657" w:type="pct"/>
            <w:tcBorders>
              <w:top w:val="nil"/>
              <w:left w:val="nil"/>
              <w:bottom w:val="nil"/>
              <w:right w:val="nil"/>
            </w:tcBorders>
            <w:hideMark/>
          </w:tcPr>
          <w:p w14:paraId="2DE602E0"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-0.135</w:t>
            </w:r>
          </w:p>
        </w:tc>
      </w:tr>
      <w:tr w:rsidR="009D3026" w:rsidRPr="00CD4846" w14:paraId="2A82B744" w14:textId="77777777" w:rsidTr="001953BB">
        <w:tc>
          <w:tcPr>
            <w:tcW w:w="1171" w:type="pct"/>
            <w:tcBorders>
              <w:top w:val="nil"/>
              <w:left w:val="nil"/>
              <w:bottom w:val="nil"/>
              <w:right w:val="nil"/>
            </w:tcBorders>
          </w:tcPr>
          <w:p w14:paraId="33561E24"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p>
        </w:tc>
        <w:tc>
          <w:tcPr>
            <w:tcW w:w="540" w:type="pct"/>
            <w:tcBorders>
              <w:top w:val="nil"/>
              <w:left w:val="nil"/>
              <w:bottom w:val="nil"/>
              <w:right w:val="nil"/>
            </w:tcBorders>
            <w:hideMark/>
          </w:tcPr>
          <w:p w14:paraId="09CF1124"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(0.806)</w:t>
            </w:r>
          </w:p>
        </w:tc>
        <w:tc>
          <w:tcPr>
            <w:tcW w:w="1095" w:type="pct"/>
            <w:tcBorders>
              <w:top w:val="nil"/>
              <w:left w:val="nil"/>
              <w:bottom w:val="nil"/>
              <w:right w:val="nil"/>
            </w:tcBorders>
            <w:hideMark/>
          </w:tcPr>
          <w:p w14:paraId="67D13F2F"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(1.326)</w:t>
            </w:r>
          </w:p>
        </w:tc>
        <w:tc>
          <w:tcPr>
            <w:tcW w:w="669" w:type="pct"/>
            <w:tcBorders>
              <w:top w:val="nil"/>
              <w:left w:val="nil"/>
              <w:bottom w:val="nil"/>
              <w:right w:val="nil"/>
            </w:tcBorders>
            <w:hideMark/>
          </w:tcPr>
          <w:p w14:paraId="6171D540"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(1.347)</w:t>
            </w:r>
          </w:p>
        </w:tc>
        <w:tc>
          <w:tcPr>
            <w:tcW w:w="868" w:type="pct"/>
            <w:tcBorders>
              <w:top w:val="nil"/>
              <w:left w:val="nil"/>
              <w:bottom w:val="nil"/>
              <w:right w:val="nil"/>
            </w:tcBorders>
            <w:hideMark/>
          </w:tcPr>
          <w:p w14:paraId="670ED6A8"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(7.659)</w:t>
            </w:r>
          </w:p>
        </w:tc>
        <w:tc>
          <w:tcPr>
            <w:tcW w:w="657" w:type="pct"/>
            <w:tcBorders>
              <w:top w:val="nil"/>
              <w:left w:val="nil"/>
              <w:bottom w:val="nil"/>
              <w:right w:val="nil"/>
            </w:tcBorders>
            <w:hideMark/>
          </w:tcPr>
          <w:p w14:paraId="3F4DE624"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(0.796)</w:t>
            </w:r>
          </w:p>
        </w:tc>
      </w:tr>
      <w:tr w:rsidR="009D3026" w:rsidRPr="00CD4846" w14:paraId="0FB54AE9" w14:textId="77777777" w:rsidTr="001953BB">
        <w:tc>
          <w:tcPr>
            <w:tcW w:w="1171" w:type="pct"/>
            <w:tcBorders>
              <w:top w:val="nil"/>
              <w:left w:val="nil"/>
              <w:bottom w:val="nil"/>
              <w:right w:val="nil"/>
            </w:tcBorders>
            <w:hideMark/>
          </w:tcPr>
          <w:p w14:paraId="73BD6A6A"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Population count (1ms)</w:t>
            </w:r>
          </w:p>
        </w:tc>
        <w:tc>
          <w:tcPr>
            <w:tcW w:w="540" w:type="pct"/>
            <w:tcBorders>
              <w:top w:val="nil"/>
              <w:left w:val="nil"/>
              <w:bottom w:val="nil"/>
              <w:right w:val="nil"/>
            </w:tcBorders>
            <w:hideMark/>
          </w:tcPr>
          <w:p w14:paraId="44A865FC"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0.191</w:t>
            </w:r>
          </w:p>
        </w:tc>
        <w:tc>
          <w:tcPr>
            <w:tcW w:w="1095" w:type="pct"/>
            <w:tcBorders>
              <w:top w:val="nil"/>
              <w:left w:val="nil"/>
              <w:bottom w:val="nil"/>
              <w:right w:val="nil"/>
            </w:tcBorders>
            <w:hideMark/>
          </w:tcPr>
          <w:p w14:paraId="0B5D4998"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0.532</w:t>
            </w:r>
          </w:p>
        </w:tc>
        <w:tc>
          <w:tcPr>
            <w:tcW w:w="669" w:type="pct"/>
            <w:tcBorders>
              <w:top w:val="nil"/>
              <w:left w:val="nil"/>
              <w:bottom w:val="nil"/>
              <w:right w:val="nil"/>
            </w:tcBorders>
            <w:hideMark/>
          </w:tcPr>
          <w:p w14:paraId="14DD05EB"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0.269</w:t>
            </w:r>
          </w:p>
        </w:tc>
        <w:tc>
          <w:tcPr>
            <w:tcW w:w="868" w:type="pct"/>
            <w:tcBorders>
              <w:top w:val="nil"/>
              <w:left w:val="nil"/>
              <w:bottom w:val="nil"/>
              <w:right w:val="nil"/>
            </w:tcBorders>
            <w:hideMark/>
          </w:tcPr>
          <w:p w14:paraId="7E38B699"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-2.640***</w:t>
            </w:r>
          </w:p>
        </w:tc>
        <w:tc>
          <w:tcPr>
            <w:tcW w:w="657" w:type="pct"/>
            <w:tcBorders>
              <w:top w:val="nil"/>
              <w:left w:val="nil"/>
              <w:bottom w:val="nil"/>
              <w:right w:val="nil"/>
            </w:tcBorders>
            <w:hideMark/>
          </w:tcPr>
          <w:p w14:paraId="60C20E8E"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0.217</w:t>
            </w:r>
          </w:p>
        </w:tc>
      </w:tr>
      <w:tr w:rsidR="009D3026" w:rsidRPr="00CD4846" w14:paraId="7759BC18" w14:textId="77777777" w:rsidTr="001953BB">
        <w:tc>
          <w:tcPr>
            <w:tcW w:w="1171" w:type="pct"/>
            <w:tcBorders>
              <w:top w:val="nil"/>
              <w:left w:val="nil"/>
              <w:bottom w:val="nil"/>
              <w:right w:val="nil"/>
            </w:tcBorders>
          </w:tcPr>
          <w:p w14:paraId="390780A5"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p>
        </w:tc>
        <w:tc>
          <w:tcPr>
            <w:tcW w:w="540" w:type="pct"/>
            <w:tcBorders>
              <w:top w:val="nil"/>
              <w:left w:val="nil"/>
              <w:bottom w:val="nil"/>
              <w:right w:val="nil"/>
            </w:tcBorders>
            <w:hideMark/>
          </w:tcPr>
          <w:p w14:paraId="6FDF1607"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(0.164)</w:t>
            </w:r>
          </w:p>
        </w:tc>
        <w:tc>
          <w:tcPr>
            <w:tcW w:w="1095" w:type="pct"/>
            <w:tcBorders>
              <w:top w:val="nil"/>
              <w:left w:val="nil"/>
              <w:bottom w:val="nil"/>
              <w:right w:val="nil"/>
            </w:tcBorders>
            <w:hideMark/>
          </w:tcPr>
          <w:p w14:paraId="5C5CED72"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(0.331)</w:t>
            </w:r>
          </w:p>
        </w:tc>
        <w:tc>
          <w:tcPr>
            <w:tcW w:w="669" w:type="pct"/>
            <w:tcBorders>
              <w:top w:val="nil"/>
              <w:left w:val="nil"/>
              <w:bottom w:val="nil"/>
              <w:right w:val="nil"/>
            </w:tcBorders>
            <w:hideMark/>
          </w:tcPr>
          <w:p w14:paraId="740E259F"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(0.341)</w:t>
            </w:r>
          </w:p>
        </w:tc>
        <w:tc>
          <w:tcPr>
            <w:tcW w:w="868" w:type="pct"/>
            <w:tcBorders>
              <w:top w:val="nil"/>
              <w:left w:val="nil"/>
              <w:bottom w:val="nil"/>
              <w:right w:val="nil"/>
            </w:tcBorders>
            <w:hideMark/>
          </w:tcPr>
          <w:p w14:paraId="5DC64497"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(0.747)</w:t>
            </w:r>
          </w:p>
        </w:tc>
        <w:tc>
          <w:tcPr>
            <w:tcW w:w="657" w:type="pct"/>
            <w:tcBorders>
              <w:top w:val="nil"/>
              <w:left w:val="nil"/>
              <w:bottom w:val="nil"/>
              <w:right w:val="nil"/>
            </w:tcBorders>
            <w:hideMark/>
          </w:tcPr>
          <w:p w14:paraId="1A422A34"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(0.165)</w:t>
            </w:r>
          </w:p>
        </w:tc>
      </w:tr>
      <w:tr w:rsidR="009D3026" w:rsidRPr="00CD4846" w14:paraId="290531B4" w14:textId="77777777" w:rsidTr="001953BB">
        <w:tc>
          <w:tcPr>
            <w:tcW w:w="1171" w:type="pct"/>
            <w:tcBorders>
              <w:top w:val="nil"/>
              <w:left w:val="nil"/>
              <w:bottom w:val="nil"/>
              <w:right w:val="nil"/>
            </w:tcBorders>
            <w:hideMark/>
          </w:tcPr>
          <w:p w14:paraId="4891CF31"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Unemployment rate (100s)</w:t>
            </w:r>
          </w:p>
        </w:tc>
        <w:tc>
          <w:tcPr>
            <w:tcW w:w="540" w:type="pct"/>
            <w:tcBorders>
              <w:top w:val="nil"/>
              <w:left w:val="nil"/>
              <w:bottom w:val="nil"/>
              <w:right w:val="nil"/>
            </w:tcBorders>
            <w:hideMark/>
          </w:tcPr>
          <w:p w14:paraId="1CC668FD"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1.052*</w:t>
            </w:r>
          </w:p>
        </w:tc>
        <w:tc>
          <w:tcPr>
            <w:tcW w:w="1095" w:type="pct"/>
            <w:tcBorders>
              <w:top w:val="nil"/>
              <w:left w:val="nil"/>
              <w:bottom w:val="nil"/>
              <w:right w:val="nil"/>
            </w:tcBorders>
            <w:hideMark/>
          </w:tcPr>
          <w:p w14:paraId="02B671C1"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2.455*</w:t>
            </w:r>
          </w:p>
        </w:tc>
        <w:tc>
          <w:tcPr>
            <w:tcW w:w="669" w:type="pct"/>
            <w:tcBorders>
              <w:top w:val="nil"/>
              <w:left w:val="nil"/>
              <w:bottom w:val="nil"/>
              <w:right w:val="nil"/>
            </w:tcBorders>
            <w:hideMark/>
          </w:tcPr>
          <w:p w14:paraId="2C36A34D"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2.129</w:t>
            </w:r>
          </w:p>
        </w:tc>
        <w:tc>
          <w:tcPr>
            <w:tcW w:w="868" w:type="pct"/>
            <w:tcBorders>
              <w:top w:val="nil"/>
              <w:left w:val="nil"/>
              <w:bottom w:val="nil"/>
              <w:right w:val="nil"/>
            </w:tcBorders>
            <w:hideMark/>
          </w:tcPr>
          <w:p w14:paraId="47237E91"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3.951</w:t>
            </w:r>
          </w:p>
        </w:tc>
        <w:tc>
          <w:tcPr>
            <w:tcW w:w="657" w:type="pct"/>
            <w:tcBorders>
              <w:top w:val="nil"/>
              <w:left w:val="nil"/>
              <w:bottom w:val="nil"/>
              <w:right w:val="nil"/>
            </w:tcBorders>
            <w:hideMark/>
          </w:tcPr>
          <w:p w14:paraId="37BB56FE"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1.123*</w:t>
            </w:r>
          </w:p>
        </w:tc>
      </w:tr>
      <w:tr w:rsidR="009D3026" w:rsidRPr="00CD4846" w14:paraId="0A13E105" w14:textId="77777777" w:rsidTr="001953BB">
        <w:tc>
          <w:tcPr>
            <w:tcW w:w="1171" w:type="pct"/>
            <w:tcBorders>
              <w:top w:val="nil"/>
              <w:left w:val="nil"/>
              <w:bottom w:val="nil"/>
              <w:right w:val="nil"/>
            </w:tcBorders>
          </w:tcPr>
          <w:p w14:paraId="4750A1A7"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p>
        </w:tc>
        <w:tc>
          <w:tcPr>
            <w:tcW w:w="540" w:type="pct"/>
            <w:tcBorders>
              <w:top w:val="nil"/>
              <w:left w:val="nil"/>
              <w:bottom w:val="nil"/>
              <w:right w:val="nil"/>
            </w:tcBorders>
            <w:hideMark/>
          </w:tcPr>
          <w:p w14:paraId="7B5666A5"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(0.592)</w:t>
            </w:r>
          </w:p>
        </w:tc>
        <w:tc>
          <w:tcPr>
            <w:tcW w:w="1095" w:type="pct"/>
            <w:tcBorders>
              <w:top w:val="nil"/>
              <w:left w:val="nil"/>
              <w:bottom w:val="nil"/>
              <w:right w:val="nil"/>
            </w:tcBorders>
            <w:hideMark/>
          </w:tcPr>
          <w:p w14:paraId="3CACC61F"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(1.424)</w:t>
            </w:r>
          </w:p>
        </w:tc>
        <w:tc>
          <w:tcPr>
            <w:tcW w:w="669" w:type="pct"/>
            <w:tcBorders>
              <w:top w:val="nil"/>
              <w:left w:val="nil"/>
              <w:bottom w:val="nil"/>
              <w:right w:val="nil"/>
            </w:tcBorders>
            <w:hideMark/>
          </w:tcPr>
          <w:p w14:paraId="4B39689B"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(1.424)</w:t>
            </w:r>
          </w:p>
        </w:tc>
        <w:tc>
          <w:tcPr>
            <w:tcW w:w="868" w:type="pct"/>
            <w:tcBorders>
              <w:top w:val="nil"/>
              <w:left w:val="nil"/>
              <w:bottom w:val="nil"/>
              <w:right w:val="nil"/>
            </w:tcBorders>
            <w:hideMark/>
          </w:tcPr>
          <w:p w14:paraId="746ED7E0"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(8.849)</w:t>
            </w:r>
          </w:p>
        </w:tc>
        <w:tc>
          <w:tcPr>
            <w:tcW w:w="657" w:type="pct"/>
            <w:tcBorders>
              <w:top w:val="nil"/>
              <w:left w:val="nil"/>
              <w:bottom w:val="nil"/>
              <w:right w:val="nil"/>
            </w:tcBorders>
            <w:hideMark/>
          </w:tcPr>
          <w:p w14:paraId="5B5C96D9"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(0.587)</w:t>
            </w:r>
          </w:p>
        </w:tc>
      </w:tr>
      <w:tr w:rsidR="009D3026" w:rsidRPr="00CD4846" w14:paraId="3237890E" w14:textId="77777777" w:rsidTr="001953BB">
        <w:tc>
          <w:tcPr>
            <w:tcW w:w="1171" w:type="pct"/>
            <w:tcBorders>
              <w:top w:val="nil"/>
              <w:left w:val="nil"/>
              <w:bottom w:val="nil"/>
              <w:right w:val="nil"/>
            </w:tcBorders>
            <w:hideMark/>
          </w:tcPr>
          <w:p w14:paraId="37AC3CA8"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Sales Volume (t-1)</w:t>
            </w:r>
          </w:p>
        </w:tc>
        <w:tc>
          <w:tcPr>
            <w:tcW w:w="540" w:type="pct"/>
            <w:tcBorders>
              <w:top w:val="nil"/>
              <w:left w:val="nil"/>
              <w:bottom w:val="nil"/>
              <w:right w:val="nil"/>
            </w:tcBorders>
            <w:hideMark/>
          </w:tcPr>
          <w:p w14:paraId="659FC994"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3.301***</w:t>
            </w:r>
          </w:p>
        </w:tc>
        <w:tc>
          <w:tcPr>
            <w:tcW w:w="1095" w:type="pct"/>
            <w:tcBorders>
              <w:top w:val="nil"/>
              <w:left w:val="nil"/>
              <w:bottom w:val="nil"/>
              <w:right w:val="nil"/>
            </w:tcBorders>
            <w:hideMark/>
          </w:tcPr>
          <w:p w14:paraId="3E0516B8"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1.901</w:t>
            </w:r>
          </w:p>
        </w:tc>
        <w:tc>
          <w:tcPr>
            <w:tcW w:w="669" w:type="pct"/>
            <w:tcBorders>
              <w:top w:val="nil"/>
              <w:left w:val="nil"/>
              <w:bottom w:val="nil"/>
              <w:right w:val="nil"/>
            </w:tcBorders>
            <w:hideMark/>
          </w:tcPr>
          <w:p w14:paraId="64457685"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2.158</w:t>
            </w:r>
          </w:p>
        </w:tc>
        <w:tc>
          <w:tcPr>
            <w:tcW w:w="868" w:type="pct"/>
            <w:tcBorders>
              <w:top w:val="nil"/>
              <w:left w:val="nil"/>
              <w:bottom w:val="nil"/>
              <w:right w:val="nil"/>
            </w:tcBorders>
            <w:hideMark/>
          </w:tcPr>
          <w:p w14:paraId="57E0B8D0"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-4.929</w:t>
            </w:r>
          </w:p>
        </w:tc>
        <w:tc>
          <w:tcPr>
            <w:tcW w:w="657" w:type="pct"/>
            <w:tcBorders>
              <w:top w:val="nil"/>
              <w:left w:val="nil"/>
              <w:bottom w:val="nil"/>
              <w:right w:val="nil"/>
            </w:tcBorders>
            <w:hideMark/>
          </w:tcPr>
          <w:p w14:paraId="631EDE00"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3.270**</w:t>
            </w:r>
          </w:p>
        </w:tc>
      </w:tr>
      <w:tr w:rsidR="009D3026" w:rsidRPr="00CD4846" w14:paraId="03F91897" w14:textId="77777777" w:rsidTr="001953BB">
        <w:tc>
          <w:tcPr>
            <w:tcW w:w="1171" w:type="pct"/>
            <w:tcBorders>
              <w:top w:val="nil"/>
              <w:left w:val="nil"/>
              <w:bottom w:val="nil"/>
              <w:right w:val="nil"/>
            </w:tcBorders>
          </w:tcPr>
          <w:p w14:paraId="1791BCDF"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p>
        </w:tc>
        <w:tc>
          <w:tcPr>
            <w:tcW w:w="540" w:type="pct"/>
            <w:tcBorders>
              <w:top w:val="nil"/>
              <w:left w:val="nil"/>
              <w:bottom w:val="nil"/>
              <w:right w:val="nil"/>
            </w:tcBorders>
            <w:hideMark/>
          </w:tcPr>
          <w:p w14:paraId="4D07883C"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(1.265)</w:t>
            </w:r>
          </w:p>
        </w:tc>
        <w:tc>
          <w:tcPr>
            <w:tcW w:w="1095" w:type="pct"/>
            <w:tcBorders>
              <w:top w:val="nil"/>
              <w:left w:val="nil"/>
              <w:bottom w:val="nil"/>
              <w:right w:val="nil"/>
            </w:tcBorders>
            <w:hideMark/>
          </w:tcPr>
          <w:p w14:paraId="35023BBE"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(2.147)</w:t>
            </w:r>
          </w:p>
        </w:tc>
        <w:tc>
          <w:tcPr>
            <w:tcW w:w="669" w:type="pct"/>
            <w:tcBorders>
              <w:top w:val="nil"/>
              <w:left w:val="nil"/>
              <w:bottom w:val="nil"/>
              <w:right w:val="nil"/>
            </w:tcBorders>
            <w:hideMark/>
          </w:tcPr>
          <w:p w14:paraId="31BAA89D"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(1.646)</w:t>
            </w:r>
          </w:p>
        </w:tc>
        <w:tc>
          <w:tcPr>
            <w:tcW w:w="868" w:type="pct"/>
            <w:tcBorders>
              <w:top w:val="nil"/>
              <w:left w:val="nil"/>
              <w:bottom w:val="nil"/>
              <w:right w:val="nil"/>
            </w:tcBorders>
            <w:hideMark/>
          </w:tcPr>
          <w:p w14:paraId="60E3588A"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(6.608)</w:t>
            </w:r>
          </w:p>
        </w:tc>
        <w:tc>
          <w:tcPr>
            <w:tcW w:w="657" w:type="pct"/>
            <w:tcBorders>
              <w:top w:val="nil"/>
              <w:left w:val="nil"/>
              <w:bottom w:val="nil"/>
              <w:right w:val="nil"/>
            </w:tcBorders>
            <w:hideMark/>
          </w:tcPr>
          <w:p w14:paraId="0CC8873E"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(1.271)</w:t>
            </w:r>
          </w:p>
        </w:tc>
      </w:tr>
      <w:tr w:rsidR="009D3026" w:rsidRPr="00CD4846" w14:paraId="03E16A6A" w14:textId="77777777" w:rsidTr="001953BB">
        <w:tc>
          <w:tcPr>
            <w:tcW w:w="1171" w:type="pct"/>
            <w:tcBorders>
              <w:top w:val="nil"/>
              <w:left w:val="nil"/>
              <w:bottom w:val="nil"/>
              <w:right w:val="nil"/>
            </w:tcBorders>
            <w:hideMark/>
          </w:tcPr>
          <w:p w14:paraId="0630FBC7"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Total Exits (t-1) (1ks)</w:t>
            </w:r>
          </w:p>
        </w:tc>
        <w:tc>
          <w:tcPr>
            <w:tcW w:w="540" w:type="pct"/>
            <w:tcBorders>
              <w:top w:val="nil"/>
              <w:left w:val="nil"/>
              <w:bottom w:val="nil"/>
              <w:right w:val="nil"/>
            </w:tcBorders>
            <w:hideMark/>
          </w:tcPr>
          <w:p w14:paraId="2037A722"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0.007</w:t>
            </w:r>
          </w:p>
        </w:tc>
        <w:tc>
          <w:tcPr>
            <w:tcW w:w="1095" w:type="pct"/>
            <w:tcBorders>
              <w:top w:val="nil"/>
              <w:left w:val="nil"/>
              <w:bottom w:val="nil"/>
              <w:right w:val="nil"/>
            </w:tcBorders>
          </w:tcPr>
          <w:p w14:paraId="121392C7"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p>
        </w:tc>
        <w:tc>
          <w:tcPr>
            <w:tcW w:w="669" w:type="pct"/>
            <w:tcBorders>
              <w:top w:val="nil"/>
              <w:left w:val="nil"/>
              <w:bottom w:val="nil"/>
              <w:right w:val="nil"/>
            </w:tcBorders>
          </w:tcPr>
          <w:p w14:paraId="13F2A474"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p>
        </w:tc>
        <w:tc>
          <w:tcPr>
            <w:tcW w:w="868" w:type="pct"/>
            <w:tcBorders>
              <w:top w:val="nil"/>
              <w:left w:val="nil"/>
              <w:bottom w:val="nil"/>
              <w:right w:val="nil"/>
            </w:tcBorders>
          </w:tcPr>
          <w:p w14:paraId="5E9BA68B"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p>
        </w:tc>
        <w:tc>
          <w:tcPr>
            <w:tcW w:w="657" w:type="pct"/>
            <w:tcBorders>
              <w:top w:val="nil"/>
              <w:left w:val="nil"/>
              <w:bottom w:val="nil"/>
              <w:right w:val="nil"/>
            </w:tcBorders>
            <w:hideMark/>
          </w:tcPr>
          <w:p w14:paraId="14510960"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0.006</w:t>
            </w:r>
          </w:p>
        </w:tc>
      </w:tr>
      <w:tr w:rsidR="009D3026" w:rsidRPr="00CD4846" w14:paraId="4A2DE612" w14:textId="77777777" w:rsidTr="001953BB">
        <w:tc>
          <w:tcPr>
            <w:tcW w:w="1171" w:type="pct"/>
            <w:tcBorders>
              <w:top w:val="nil"/>
              <w:left w:val="nil"/>
              <w:bottom w:val="nil"/>
              <w:right w:val="nil"/>
            </w:tcBorders>
          </w:tcPr>
          <w:p w14:paraId="79BC235F"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p>
        </w:tc>
        <w:tc>
          <w:tcPr>
            <w:tcW w:w="540" w:type="pct"/>
            <w:tcBorders>
              <w:top w:val="nil"/>
              <w:left w:val="nil"/>
              <w:bottom w:val="nil"/>
              <w:right w:val="nil"/>
            </w:tcBorders>
            <w:hideMark/>
          </w:tcPr>
          <w:p w14:paraId="41A5DC90"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(0.037)</w:t>
            </w:r>
          </w:p>
        </w:tc>
        <w:tc>
          <w:tcPr>
            <w:tcW w:w="1095" w:type="pct"/>
            <w:tcBorders>
              <w:top w:val="nil"/>
              <w:left w:val="nil"/>
              <w:bottom w:val="nil"/>
              <w:right w:val="nil"/>
            </w:tcBorders>
          </w:tcPr>
          <w:p w14:paraId="130B4D44"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p>
        </w:tc>
        <w:tc>
          <w:tcPr>
            <w:tcW w:w="669" w:type="pct"/>
            <w:tcBorders>
              <w:top w:val="nil"/>
              <w:left w:val="nil"/>
              <w:bottom w:val="nil"/>
              <w:right w:val="nil"/>
            </w:tcBorders>
          </w:tcPr>
          <w:p w14:paraId="339FF216"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p>
        </w:tc>
        <w:tc>
          <w:tcPr>
            <w:tcW w:w="868" w:type="pct"/>
            <w:tcBorders>
              <w:top w:val="nil"/>
              <w:left w:val="nil"/>
              <w:bottom w:val="nil"/>
              <w:right w:val="nil"/>
            </w:tcBorders>
          </w:tcPr>
          <w:p w14:paraId="1A16FB4E"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p>
        </w:tc>
        <w:tc>
          <w:tcPr>
            <w:tcW w:w="657" w:type="pct"/>
            <w:tcBorders>
              <w:top w:val="nil"/>
              <w:left w:val="nil"/>
              <w:bottom w:val="nil"/>
              <w:right w:val="nil"/>
            </w:tcBorders>
            <w:hideMark/>
          </w:tcPr>
          <w:p w14:paraId="7EB3937C"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(0.037)</w:t>
            </w:r>
          </w:p>
        </w:tc>
      </w:tr>
      <w:tr w:rsidR="009D3026" w:rsidRPr="00CD4846" w14:paraId="34CEBDC7" w14:textId="77777777" w:rsidTr="001953BB">
        <w:tc>
          <w:tcPr>
            <w:tcW w:w="1171" w:type="pct"/>
            <w:tcBorders>
              <w:top w:val="nil"/>
              <w:left w:val="nil"/>
              <w:bottom w:val="nil"/>
              <w:right w:val="nil"/>
            </w:tcBorders>
            <w:hideMark/>
          </w:tcPr>
          <w:p w14:paraId="5DE01B47"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Births (t-1) (1ks)</w:t>
            </w:r>
          </w:p>
        </w:tc>
        <w:tc>
          <w:tcPr>
            <w:tcW w:w="540" w:type="pct"/>
            <w:tcBorders>
              <w:top w:val="nil"/>
              <w:left w:val="nil"/>
              <w:bottom w:val="nil"/>
              <w:right w:val="nil"/>
            </w:tcBorders>
          </w:tcPr>
          <w:p w14:paraId="79834B5B"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p>
        </w:tc>
        <w:tc>
          <w:tcPr>
            <w:tcW w:w="1095" w:type="pct"/>
            <w:tcBorders>
              <w:top w:val="nil"/>
              <w:left w:val="nil"/>
              <w:bottom w:val="nil"/>
              <w:right w:val="nil"/>
            </w:tcBorders>
            <w:hideMark/>
          </w:tcPr>
          <w:p w14:paraId="3CEED6B9"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-0.023</w:t>
            </w:r>
          </w:p>
        </w:tc>
        <w:tc>
          <w:tcPr>
            <w:tcW w:w="669" w:type="pct"/>
            <w:tcBorders>
              <w:top w:val="nil"/>
              <w:left w:val="nil"/>
              <w:bottom w:val="nil"/>
              <w:right w:val="nil"/>
            </w:tcBorders>
            <w:hideMark/>
          </w:tcPr>
          <w:p w14:paraId="31B04A01"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-0.036</w:t>
            </w:r>
          </w:p>
        </w:tc>
        <w:tc>
          <w:tcPr>
            <w:tcW w:w="868" w:type="pct"/>
            <w:tcBorders>
              <w:top w:val="nil"/>
              <w:left w:val="nil"/>
              <w:bottom w:val="nil"/>
              <w:right w:val="nil"/>
            </w:tcBorders>
            <w:hideMark/>
          </w:tcPr>
          <w:p w14:paraId="5313D730"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-0.008</w:t>
            </w:r>
          </w:p>
        </w:tc>
        <w:tc>
          <w:tcPr>
            <w:tcW w:w="657" w:type="pct"/>
            <w:tcBorders>
              <w:top w:val="nil"/>
              <w:left w:val="nil"/>
              <w:bottom w:val="nil"/>
              <w:right w:val="nil"/>
            </w:tcBorders>
          </w:tcPr>
          <w:p w14:paraId="3B332993"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p>
        </w:tc>
      </w:tr>
    </w:tbl>
    <w:p w14:paraId="7952ED67" w14:textId="77777777" w:rsidR="003959BE" w:rsidRDefault="003959BE" w:rsidP="001953BB">
      <w:pPr>
        <w:spacing w:line="240" w:lineRule="auto"/>
        <w:rPr>
          <w:b/>
          <w:bCs/>
        </w:rPr>
      </w:pPr>
    </w:p>
    <w:p w14:paraId="7C809CA3" w14:textId="77777777" w:rsidR="003959BE" w:rsidRDefault="003959BE" w:rsidP="001953BB">
      <w:pPr>
        <w:spacing w:line="240" w:lineRule="auto"/>
        <w:rPr>
          <w:b/>
          <w:bCs/>
        </w:rPr>
      </w:pPr>
    </w:p>
    <w:p w14:paraId="1FA7DCFF" w14:textId="77777777" w:rsidR="003959BE" w:rsidRDefault="003959BE" w:rsidP="001953BB">
      <w:pPr>
        <w:spacing w:line="240" w:lineRule="auto"/>
        <w:rPr>
          <w:b/>
          <w:bCs/>
        </w:rPr>
      </w:pPr>
    </w:p>
    <w:p w14:paraId="7B8EB9A5" w14:textId="77777777" w:rsidR="003959BE" w:rsidRDefault="003959BE" w:rsidP="001953BB">
      <w:pPr>
        <w:spacing w:line="240" w:lineRule="auto"/>
        <w:rPr>
          <w:b/>
          <w:bCs/>
        </w:rPr>
      </w:pPr>
    </w:p>
    <w:p w14:paraId="06BB0DB2" w14:textId="05D5F117" w:rsidR="001953BB" w:rsidRPr="001953BB" w:rsidRDefault="001953BB" w:rsidP="001953BB">
      <w:pPr>
        <w:spacing w:line="240" w:lineRule="auto"/>
        <w:rPr>
          <w:b/>
          <w:bCs/>
        </w:rPr>
      </w:pPr>
      <w:r w:rsidRPr="001953BB">
        <w:rPr>
          <w:rFonts w:hint="eastAsia"/>
          <w:b/>
          <w:bCs/>
        </w:rPr>
        <w:lastRenderedPageBreak/>
        <w:t xml:space="preserve">Table </w:t>
      </w:r>
      <w:r w:rsidRPr="001953BB">
        <w:rPr>
          <w:b/>
          <w:bCs/>
        </w:rPr>
        <w:t>A</w:t>
      </w:r>
      <w:r w:rsidRPr="001953BB">
        <w:rPr>
          <w:rFonts w:hint="eastAsia"/>
          <w:b/>
          <w:bCs/>
        </w:rPr>
        <w:t>5:</w:t>
      </w:r>
      <w:r w:rsidRPr="001953BB">
        <w:rPr>
          <w:b/>
          <w:bCs/>
        </w:rPr>
        <w:t xml:space="preserve"> Continued</w:t>
      </w:r>
    </w:p>
    <w:tbl>
      <w:tblPr>
        <w:tblW w:w="5114" w:type="pct"/>
        <w:tblLook w:val="04A0" w:firstRow="1" w:lastRow="0" w:firstColumn="1" w:lastColumn="0" w:noHBand="0" w:noVBand="1"/>
      </w:tblPr>
      <w:tblGrid>
        <w:gridCol w:w="2188"/>
        <w:gridCol w:w="1017"/>
        <w:gridCol w:w="1153"/>
        <w:gridCol w:w="1254"/>
        <w:gridCol w:w="1627"/>
        <w:gridCol w:w="1227"/>
        <w:gridCol w:w="1107"/>
      </w:tblGrid>
      <w:tr w:rsidR="001953BB" w:rsidRPr="00CD4846" w14:paraId="69B970E2" w14:textId="669C8596" w:rsidTr="001953BB">
        <w:tc>
          <w:tcPr>
            <w:tcW w:w="1143" w:type="pct"/>
            <w:tcBorders>
              <w:top w:val="single" w:sz="4" w:space="0" w:color="auto"/>
              <w:left w:val="nil"/>
              <w:bottom w:val="single" w:sz="4" w:space="0" w:color="auto"/>
              <w:right w:val="nil"/>
            </w:tcBorders>
          </w:tcPr>
          <w:p w14:paraId="19542E79" w14:textId="12006296"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cs="Times New Roman"/>
                <w:b/>
                <w:bCs/>
                <w:kern w:val="2"/>
                <w:sz w:val="20"/>
                <w:szCs w:val="20"/>
                <w:lang/>
              </w:rPr>
              <w:t>Variable</w:t>
            </w:r>
            <w:r w:rsidRPr="00CD4846">
              <w:rPr>
                <w:rFonts w:eastAsia="Calibri" w:cs="Times New Roman"/>
                <w:kern w:val="2"/>
                <w:sz w:val="20"/>
                <w:szCs w:val="20"/>
                <w:lang/>
              </w:rPr>
              <w:t xml:space="preserve">   </w:t>
            </w:r>
          </w:p>
        </w:tc>
        <w:tc>
          <w:tcPr>
            <w:tcW w:w="531" w:type="pct"/>
            <w:tcBorders>
              <w:top w:val="single" w:sz="4" w:space="0" w:color="auto"/>
              <w:left w:val="nil"/>
              <w:bottom w:val="single" w:sz="4" w:space="0" w:color="auto"/>
              <w:right w:val="nil"/>
            </w:tcBorders>
          </w:tcPr>
          <w:p w14:paraId="4D87A1C3"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p>
        </w:tc>
        <w:tc>
          <w:tcPr>
            <w:tcW w:w="602" w:type="pct"/>
            <w:tcBorders>
              <w:top w:val="single" w:sz="4" w:space="0" w:color="auto"/>
              <w:left w:val="nil"/>
              <w:bottom w:val="single" w:sz="4" w:space="0" w:color="auto"/>
              <w:right w:val="nil"/>
            </w:tcBorders>
          </w:tcPr>
          <w:p w14:paraId="67558C74" w14:textId="33D2C51F"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b/>
                <w:kern w:val="2"/>
                <w:sz w:val="20"/>
                <w:szCs w:val="20"/>
                <w:lang/>
              </w:rPr>
              <w:t>Births</w:t>
            </w:r>
          </w:p>
        </w:tc>
        <w:tc>
          <w:tcPr>
            <w:tcW w:w="655" w:type="pct"/>
            <w:tcBorders>
              <w:top w:val="single" w:sz="4" w:space="0" w:color="auto"/>
              <w:left w:val="nil"/>
              <w:bottom w:val="single" w:sz="4" w:space="0" w:color="auto"/>
              <w:right w:val="nil"/>
            </w:tcBorders>
          </w:tcPr>
          <w:p w14:paraId="57FA3D71" w14:textId="37E10BAE"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b/>
                <w:kern w:val="2"/>
                <w:sz w:val="20"/>
                <w:szCs w:val="20"/>
                <w:lang/>
              </w:rPr>
              <w:t>Inward Relocations</w:t>
            </w:r>
            <w:r w:rsidRPr="00CD4846">
              <w:rPr>
                <w:rFonts w:eastAsia="Calibri" w:cs="Times New Roman"/>
                <w:b/>
                <w:kern w:val="2"/>
                <w:sz w:val="20"/>
                <w:szCs w:val="20"/>
                <w:lang/>
              </w:rPr>
              <w:t xml:space="preserve"> (IR)</w:t>
            </w:r>
          </w:p>
        </w:tc>
        <w:tc>
          <w:tcPr>
            <w:tcW w:w="850" w:type="pct"/>
            <w:tcBorders>
              <w:top w:val="single" w:sz="4" w:space="0" w:color="auto"/>
              <w:left w:val="nil"/>
              <w:bottom w:val="single" w:sz="4" w:space="0" w:color="auto"/>
              <w:right w:val="nil"/>
            </w:tcBorders>
          </w:tcPr>
          <w:p w14:paraId="36140932" w14:textId="4F89EEBF"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b/>
                <w:kern w:val="2"/>
                <w:sz w:val="20"/>
                <w:szCs w:val="20"/>
                <w:lang/>
              </w:rPr>
              <w:t>Intra-State IR</w:t>
            </w:r>
          </w:p>
        </w:tc>
        <w:tc>
          <w:tcPr>
            <w:tcW w:w="641" w:type="pct"/>
            <w:tcBorders>
              <w:top w:val="single" w:sz="4" w:space="0" w:color="auto"/>
              <w:left w:val="nil"/>
              <w:bottom w:val="single" w:sz="4" w:space="0" w:color="auto"/>
              <w:right w:val="nil"/>
            </w:tcBorders>
          </w:tcPr>
          <w:p w14:paraId="39B18148" w14:textId="7998FBBC"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b/>
                <w:kern w:val="2"/>
                <w:sz w:val="20"/>
                <w:szCs w:val="20"/>
                <w:lang/>
              </w:rPr>
              <w:t>Inter-State IR</w:t>
            </w:r>
          </w:p>
        </w:tc>
        <w:tc>
          <w:tcPr>
            <w:tcW w:w="579" w:type="pct"/>
            <w:tcBorders>
              <w:top w:val="single" w:sz="4" w:space="0" w:color="auto"/>
              <w:left w:val="nil"/>
              <w:bottom w:val="single" w:sz="4" w:space="0" w:color="auto"/>
              <w:right w:val="nil"/>
            </w:tcBorders>
          </w:tcPr>
          <w:p w14:paraId="1DBDB61E" w14:textId="7CFE6024" w:rsidR="001953BB" w:rsidRPr="00CD4846" w:rsidRDefault="001953BB" w:rsidP="001953BB">
            <w:pPr>
              <w:spacing w:line="240" w:lineRule="auto"/>
            </w:pPr>
            <w:r w:rsidRPr="00CD4846">
              <w:rPr>
                <w:rFonts w:eastAsia="Calibri" w:cs="Times New Roman"/>
                <w:b/>
                <w:kern w:val="2"/>
                <w:sz w:val="20"/>
                <w:szCs w:val="20"/>
                <w:lang/>
              </w:rPr>
              <w:t>Total Entries</w:t>
            </w:r>
          </w:p>
        </w:tc>
      </w:tr>
      <w:tr w:rsidR="001953BB" w:rsidRPr="00CD4846" w14:paraId="69283E2E" w14:textId="77777777" w:rsidTr="001953BB">
        <w:trPr>
          <w:gridAfter w:val="1"/>
          <w:wAfter w:w="579" w:type="pct"/>
        </w:trPr>
        <w:tc>
          <w:tcPr>
            <w:tcW w:w="1143" w:type="pct"/>
            <w:tcBorders>
              <w:top w:val="nil"/>
              <w:left w:val="nil"/>
              <w:bottom w:val="nil"/>
              <w:right w:val="nil"/>
            </w:tcBorders>
          </w:tcPr>
          <w:p w14:paraId="7A5338CE"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p>
        </w:tc>
        <w:tc>
          <w:tcPr>
            <w:tcW w:w="531" w:type="pct"/>
            <w:tcBorders>
              <w:top w:val="nil"/>
              <w:left w:val="nil"/>
              <w:bottom w:val="nil"/>
              <w:right w:val="nil"/>
            </w:tcBorders>
          </w:tcPr>
          <w:p w14:paraId="65B73BE8"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p>
        </w:tc>
        <w:tc>
          <w:tcPr>
            <w:tcW w:w="602" w:type="pct"/>
            <w:tcBorders>
              <w:top w:val="nil"/>
              <w:left w:val="nil"/>
              <w:bottom w:val="nil"/>
              <w:right w:val="nil"/>
            </w:tcBorders>
            <w:hideMark/>
          </w:tcPr>
          <w:p w14:paraId="418223E6"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(0.021)</w:t>
            </w:r>
          </w:p>
        </w:tc>
        <w:tc>
          <w:tcPr>
            <w:tcW w:w="655" w:type="pct"/>
            <w:tcBorders>
              <w:top w:val="nil"/>
              <w:left w:val="nil"/>
              <w:bottom w:val="nil"/>
              <w:right w:val="nil"/>
            </w:tcBorders>
            <w:hideMark/>
          </w:tcPr>
          <w:p w14:paraId="38A8089F"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(0.023)</w:t>
            </w:r>
          </w:p>
        </w:tc>
        <w:tc>
          <w:tcPr>
            <w:tcW w:w="850" w:type="pct"/>
            <w:tcBorders>
              <w:top w:val="nil"/>
              <w:left w:val="nil"/>
              <w:bottom w:val="nil"/>
              <w:right w:val="nil"/>
            </w:tcBorders>
            <w:hideMark/>
          </w:tcPr>
          <w:p w14:paraId="215F7BFA"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(0.048)</w:t>
            </w:r>
          </w:p>
        </w:tc>
        <w:tc>
          <w:tcPr>
            <w:tcW w:w="641" w:type="pct"/>
            <w:tcBorders>
              <w:top w:val="nil"/>
              <w:left w:val="nil"/>
              <w:bottom w:val="nil"/>
              <w:right w:val="nil"/>
            </w:tcBorders>
          </w:tcPr>
          <w:p w14:paraId="6723F2D8"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p>
        </w:tc>
      </w:tr>
      <w:tr w:rsidR="001953BB" w:rsidRPr="00CD4846" w14:paraId="3E18A648" w14:textId="77777777" w:rsidTr="001953BB">
        <w:trPr>
          <w:gridAfter w:val="1"/>
          <w:wAfter w:w="579" w:type="pct"/>
        </w:trPr>
        <w:tc>
          <w:tcPr>
            <w:tcW w:w="1143" w:type="pct"/>
            <w:tcBorders>
              <w:top w:val="nil"/>
              <w:left w:val="nil"/>
              <w:bottom w:val="nil"/>
              <w:right w:val="nil"/>
            </w:tcBorders>
            <w:hideMark/>
          </w:tcPr>
          <w:p w14:paraId="47E65243"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Deaths (t-1) (1ks)</w:t>
            </w:r>
          </w:p>
        </w:tc>
        <w:tc>
          <w:tcPr>
            <w:tcW w:w="531" w:type="pct"/>
            <w:tcBorders>
              <w:top w:val="nil"/>
              <w:left w:val="nil"/>
              <w:bottom w:val="nil"/>
              <w:right w:val="nil"/>
            </w:tcBorders>
          </w:tcPr>
          <w:p w14:paraId="69EEAF3A"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p>
        </w:tc>
        <w:tc>
          <w:tcPr>
            <w:tcW w:w="602" w:type="pct"/>
            <w:tcBorders>
              <w:top w:val="nil"/>
              <w:left w:val="nil"/>
              <w:bottom w:val="nil"/>
              <w:right w:val="nil"/>
            </w:tcBorders>
            <w:hideMark/>
          </w:tcPr>
          <w:p w14:paraId="04C52A93"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-0.199***</w:t>
            </w:r>
          </w:p>
        </w:tc>
        <w:tc>
          <w:tcPr>
            <w:tcW w:w="655" w:type="pct"/>
            <w:tcBorders>
              <w:top w:val="nil"/>
              <w:left w:val="nil"/>
              <w:bottom w:val="nil"/>
              <w:right w:val="nil"/>
            </w:tcBorders>
            <w:hideMark/>
          </w:tcPr>
          <w:p w14:paraId="1AFF0F76"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-0.197***</w:t>
            </w:r>
          </w:p>
        </w:tc>
        <w:tc>
          <w:tcPr>
            <w:tcW w:w="850" w:type="pct"/>
            <w:tcBorders>
              <w:top w:val="nil"/>
              <w:left w:val="nil"/>
              <w:bottom w:val="nil"/>
              <w:right w:val="nil"/>
            </w:tcBorders>
            <w:hideMark/>
          </w:tcPr>
          <w:p w14:paraId="4600F556"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0.071</w:t>
            </w:r>
          </w:p>
        </w:tc>
        <w:tc>
          <w:tcPr>
            <w:tcW w:w="641" w:type="pct"/>
            <w:tcBorders>
              <w:top w:val="nil"/>
              <w:left w:val="nil"/>
              <w:bottom w:val="nil"/>
              <w:right w:val="nil"/>
            </w:tcBorders>
          </w:tcPr>
          <w:p w14:paraId="2DD0CB6B"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p>
        </w:tc>
      </w:tr>
      <w:tr w:rsidR="001953BB" w:rsidRPr="00CD4846" w14:paraId="6F9BAF83" w14:textId="77777777" w:rsidTr="001953BB">
        <w:trPr>
          <w:gridAfter w:val="1"/>
          <w:wAfter w:w="579" w:type="pct"/>
        </w:trPr>
        <w:tc>
          <w:tcPr>
            <w:tcW w:w="1143" w:type="pct"/>
            <w:tcBorders>
              <w:top w:val="nil"/>
              <w:left w:val="nil"/>
              <w:bottom w:val="nil"/>
              <w:right w:val="nil"/>
            </w:tcBorders>
          </w:tcPr>
          <w:p w14:paraId="52AFECE6"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p>
        </w:tc>
        <w:tc>
          <w:tcPr>
            <w:tcW w:w="531" w:type="pct"/>
            <w:tcBorders>
              <w:top w:val="nil"/>
              <w:left w:val="nil"/>
              <w:bottom w:val="nil"/>
              <w:right w:val="nil"/>
            </w:tcBorders>
          </w:tcPr>
          <w:p w14:paraId="42201E1A"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p>
        </w:tc>
        <w:tc>
          <w:tcPr>
            <w:tcW w:w="602" w:type="pct"/>
            <w:tcBorders>
              <w:top w:val="nil"/>
              <w:left w:val="nil"/>
              <w:bottom w:val="nil"/>
              <w:right w:val="nil"/>
            </w:tcBorders>
            <w:hideMark/>
          </w:tcPr>
          <w:p w14:paraId="652FB086"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(0.050)</w:t>
            </w:r>
          </w:p>
        </w:tc>
        <w:tc>
          <w:tcPr>
            <w:tcW w:w="655" w:type="pct"/>
            <w:tcBorders>
              <w:top w:val="nil"/>
              <w:left w:val="nil"/>
              <w:bottom w:val="nil"/>
              <w:right w:val="nil"/>
            </w:tcBorders>
            <w:hideMark/>
          </w:tcPr>
          <w:p w14:paraId="7193DFCA"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(0.048)</w:t>
            </w:r>
          </w:p>
        </w:tc>
        <w:tc>
          <w:tcPr>
            <w:tcW w:w="850" w:type="pct"/>
            <w:tcBorders>
              <w:top w:val="nil"/>
              <w:left w:val="nil"/>
              <w:bottom w:val="nil"/>
              <w:right w:val="nil"/>
            </w:tcBorders>
            <w:hideMark/>
          </w:tcPr>
          <w:p w14:paraId="50FD43CA"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(0.091)</w:t>
            </w:r>
          </w:p>
        </w:tc>
        <w:tc>
          <w:tcPr>
            <w:tcW w:w="641" w:type="pct"/>
            <w:tcBorders>
              <w:top w:val="nil"/>
              <w:left w:val="nil"/>
              <w:bottom w:val="nil"/>
              <w:right w:val="nil"/>
            </w:tcBorders>
          </w:tcPr>
          <w:p w14:paraId="1F1E7C85"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p>
        </w:tc>
      </w:tr>
      <w:tr w:rsidR="001953BB" w:rsidRPr="00CD4846" w14:paraId="7BA5E031" w14:textId="77777777" w:rsidTr="001953BB">
        <w:trPr>
          <w:gridAfter w:val="1"/>
          <w:wAfter w:w="579" w:type="pct"/>
        </w:trPr>
        <w:tc>
          <w:tcPr>
            <w:tcW w:w="1143" w:type="pct"/>
            <w:tcBorders>
              <w:top w:val="nil"/>
              <w:left w:val="nil"/>
              <w:bottom w:val="nil"/>
              <w:right w:val="nil"/>
            </w:tcBorders>
            <w:hideMark/>
          </w:tcPr>
          <w:p w14:paraId="42A93372"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 xml:space="preserve">Outward </w:t>
            </w:r>
            <w:r w:rsidRPr="00CD4846">
              <w:rPr>
                <w:rFonts w:eastAsia="Calibri" w:cs="Times New Roman"/>
                <w:kern w:val="2"/>
                <w:sz w:val="20"/>
                <w:szCs w:val="20"/>
                <w:lang/>
              </w:rPr>
              <w:t>R</w:t>
            </w:r>
            <w:r w:rsidRPr="00CD4846">
              <w:rPr>
                <w:rFonts w:eastAsia="Calibri" w:cs="Times New Roman"/>
                <w:kern w:val="2"/>
                <w:sz w:val="20"/>
                <w:szCs w:val="20"/>
                <w:lang/>
              </w:rPr>
              <w:t>eloc</w:t>
            </w:r>
            <w:r w:rsidRPr="00CD4846">
              <w:rPr>
                <w:rFonts w:eastAsia="Calibri" w:cs="Times New Roman"/>
                <w:kern w:val="2"/>
                <w:sz w:val="20"/>
                <w:szCs w:val="20"/>
                <w:lang/>
              </w:rPr>
              <w:t>.</w:t>
            </w:r>
            <w:r w:rsidRPr="00CD4846">
              <w:rPr>
                <w:rFonts w:eastAsia="Calibri" w:cs="Times New Roman"/>
                <w:kern w:val="2"/>
                <w:sz w:val="20"/>
                <w:szCs w:val="20"/>
                <w:lang/>
              </w:rPr>
              <w:t xml:space="preserve"> (t-1) (1ks)</w:t>
            </w:r>
          </w:p>
        </w:tc>
        <w:tc>
          <w:tcPr>
            <w:tcW w:w="531" w:type="pct"/>
            <w:tcBorders>
              <w:top w:val="nil"/>
              <w:left w:val="nil"/>
              <w:bottom w:val="nil"/>
              <w:right w:val="nil"/>
            </w:tcBorders>
          </w:tcPr>
          <w:p w14:paraId="702763D1"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p>
        </w:tc>
        <w:tc>
          <w:tcPr>
            <w:tcW w:w="602" w:type="pct"/>
            <w:tcBorders>
              <w:top w:val="nil"/>
              <w:left w:val="nil"/>
              <w:bottom w:val="nil"/>
              <w:right w:val="nil"/>
            </w:tcBorders>
            <w:hideMark/>
          </w:tcPr>
          <w:p w14:paraId="322D4D1A"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3.131*</w:t>
            </w:r>
          </w:p>
        </w:tc>
        <w:tc>
          <w:tcPr>
            <w:tcW w:w="655" w:type="pct"/>
            <w:tcBorders>
              <w:top w:val="nil"/>
              <w:left w:val="nil"/>
              <w:bottom w:val="nil"/>
              <w:right w:val="nil"/>
            </w:tcBorders>
            <w:hideMark/>
          </w:tcPr>
          <w:p w14:paraId="0EF3A1CF"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2.020</w:t>
            </w:r>
          </w:p>
        </w:tc>
        <w:tc>
          <w:tcPr>
            <w:tcW w:w="850" w:type="pct"/>
            <w:tcBorders>
              <w:top w:val="nil"/>
              <w:left w:val="nil"/>
              <w:bottom w:val="nil"/>
              <w:right w:val="nil"/>
            </w:tcBorders>
            <w:hideMark/>
          </w:tcPr>
          <w:p w14:paraId="339340FD"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-0.426</w:t>
            </w:r>
          </w:p>
        </w:tc>
        <w:tc>
          <w:tcPr>
            <w:tcW w:w="641" w:type="pct"/>
            <w:tcBorders>
              <w:top w:val="nil"/>
              <w:left w:val="nil"/>
              <w:bottom w:val="nil"/>
              <w:right w:val="nil"/>
            </w:tcBorders>
          </w:tcPr>
          <w:p w14:paraId="33310BFE"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p>
        </w:tc>
      </w:tr>
      <w:tr w:rsidR="001953BB" w:rsidRPr="00CD4846" w14:paraId="491920D7" w14:textId="77777777" w:rsidTr="001953BB">
        <w:trPr>
          <w:gridAfter w:val="1"/>
          <w:wAfter w:w="579" w:type="pct"/>
        </w:trPr>
        <w:tc>
          <w:tcPr>
            <w:tcW w:w="1143" w:type="pct"/>
            <w:tcBorders>
              <w:top w:val="nil"/>
              <w:left w:val="nil"/>
              <w:bottom w:val="nil"/>
              <w:right w:val="nil"/>
            </w:tcBorders>
          </w:tcPr>
          <w:p w14:paraId="2596BE99"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p>
        </w:tc>
        <w:tc>
          <w:tcPr>
            <w:tcW w:w="531" w:type="pct"/>
            <w:tcBorders>
              <w:top w:val="nil"/>
              <w:left w:val="nil"/>
              <w:bottom w:val="nil"/>
              <w:right w:val="nil"/>
            </w:tcBorders>
          </w:tcPr>
          <w:p w14:paraId="231AC4BB"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p>
        </w:tc>
        <w:tc>
          <w:tcPr>
            <w:tcW w:w="602" w:type="pct"/>
            <w:tcBorders>
              <w:top w:val="nil"/>
              <w:left w:val="nil"/>
              <w:bottom w:val="nil"/>
              <w:right w:val="nil"/>
            </w:tcBorders>
            <w:hideMark/>
          </w:tcPr>
          <w:p w14:paraId="54FA08E8"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(1.889)</w:t>
            </w:r>
          </w:p>
        </w:tc>
        <w:tc>
          <w:tcPr>
            <w:tcW w:w="655" w:type="pct"/>
            <w:tcBorders>
              <w:top w:val="nil"/>
              <w:left w:val="nil"/>
              <w:bottom w:val="nil"/>
              <w:right w:val="nil"/>
            </w:tcBorders>
            <w:hideMark/>
          </w:tcPr>
          <w:p w14:paraId="1734975B"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(1.831)</w:t>
            </w:r>
          </w:p>
        </w:tc>
        <w:tc>
          <w:tcPr>
            <w:tcW w:w="850" w:type="pct"/>
            <w:tcBorders>
              <w:top w:val="nil"/>
              <w:left w:val="nil"/>
              <w:bottom w:val="nil"/>
              <w:right w:val="nil"/>
            </w:tcBorders>
            <w:hideMark/>
          </w:tcPr>
          <w:p w14:paraId="579F4730"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(8.467)</w:t>
            </w:r>
          </w:p>
        </w:tc>
        <w:tc>
          <w:tcPr>
            <w:tcW w:w="641" w:type="pct"/>
            <w:tcBorders>
              <w:top w:val="nil"/>
              <w:left w:val="nil"/>
              <w:bottom w:val="nil"/>
              <w:right w:val="nil"/>
            </w:tcBorders>
          </w:tcPr>
          <w:p w14:paraId="147AE112"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p>
        </w:tc>
      </w:tr>
      <w:tr w:rsidR="001953BB" w:rsidRPr="00CD4846" w14:paraId="4359C1E8" w14:textId="77777777" w:rsidTr="001953BB">
        <w:trPr>
          <w:gridAfter w:val="1"/>
          <w:wAfter w:w="579" w:type="pct"/>
        </w:trPr>
        <w:tc>
          <w:tcPr>
            <w:tcW w:w="1143" w:type="pct"/>
            <w:tcBorders>
              <w:top w:val="nil"/>
              <w:left w:val="nil"/>
              <w:bottom w:val="nil"/>
              <w:right w:val="nil"/>
            </w:tcBorders>
            <w:hideMark/>
          </w:tcPr>
          <w:p w14:paraId="640DC5E0"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Constant</w:t>
            </w:r>
          </w:p>
        </w:tc>
        <w:tc>
          <w:tcPr>
            <w:tcW w:w="531" w:type="pct"/>
            <w:tcBorders>
              <w:top w:val="nil"/>
              <w:left w:val="nil"/>
              <w:bottom w:val="nil"/>
              <w:right w:val="nil"/>
            </w:tcBorders>
            <w:hideMark/>
          </w:tcPr>
          <w:p w14:paraId="7F6D002F"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4.216***</w:t>
            </w:r>
          </w:p>
        </w:tc>
        <w:tc>
          <w:tcPr>
            <w:tcW w:w="602" w:type="pct"/>
            <w:tcBorders>
              <w:top w:val="nil"/>
              <w:left w:val="nil"/>
              <w:bottom w:val="nil"/>
              <w:right w:val="nil"/>
            </w:tcBorders>
            <w:hideMark/>
          </w:tcPr>
          <w:p w14:paraId="13ACF4CD"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0.395</w:t>
            </w:r>
          </w:p>
        </w:tc>
        <w:tc>
          <w:tcPr>
            <w:tcW w:w="655" w:type="pct"/>
            <w:tcBorders>
              <w:top w:val="nil"/>
              <w:left w:val="nil"/>
              <w:bottom w:val="nil"/>
              <w:right w:val="nil"/>
            </w:tcBorders>
            <w:hideMark/>
          </w:tcPr>
          <w:p w14:paraId="6D381B56"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0.435</w:t>
            </w:r>
          </w:p>
        </w:tc>
        <w:tc>
          <w:tcPr>
            <w:tcW w:w="850" w:type="pct"/>
            <w:tcBorders>
              <w:top w:val="nil"/>
              <w:left w:val="nil"/>
              <w:bottom w:val="nil"/>
              <w:right w:val="nil"/>
            </w:tcBorders>
            <w:hideMark/>
          </w:tcPr>
          <w:p w14:paraId="1C7D9B4B"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4.296**</w:t>
            </w:r>
          </w:p>
        </w:tc>
        <w:tc>
          <w:tcPr>
            <w:tcW w:w="641" w:type="pct"/>
            <w:tcBorders>
              <w:top w:val="nil"/>
              <w:left w:val="nil"/>
              <w:bottom w:val="nil"/>
              <w:right w:val="nil"/>
            </w:tcBorders>
            <w:hideMark/>
          </w:tcPr>
          <w:p w14:paraId="19BB5933"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4.205***</w:t>
            </w:r>
          </w:p>
        </w:tc>
      </w:tr>
      <w:tr w:rsidR="001953BB" w:rsidRPr="00CD4846" w14:paraId="60D0F6D0" w14:textId="77777777" w:rsidTr="001953BB">
        <w:trPr>
          <w:gridAfter w:val="1"/>
          <w:wAfter w:w="579" w:type="pct"/>
        </w:trPr>
        <w:tc>
          <w:tcPr>
            <w:tcW w:w="1143" w:type="pct"/>
            <w:tcBorders>
              <w:top w:val="nil"/>
              <w:left w:val="nil"/>
              <w:bottom w:val="nil"/>
              <w:right w:val="nil"/>
            </w:tcBorders>
          </w:tcPr>
          <w:p w14:paraId="6570CCF4"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p>
        </w:tc>
        <w:tc>
          <w:tcPr>
            <w:tcW w:w="531" w:type="pct"/>
            <w:tcBorders>
              <w:top w:val="nil"/>
              <w:left w:val="nil"/>
              <w:bottom w:val="nil"/>
              <w:right w:val="nil"/>
            </w:tcBorders>
            <w:hideMark/>
          </w:tcPr>
          <w:p w14:paraId="33738728"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(0.229)</w:t>
            </w:r>
          </w:p>
        </w:tc>
        <w:tc>
          <w:tcPr>
            <w:tcW w:w="602" w:type="pct"/>
            <w:tcBorders>
              <w:top w:val="nil"/>
              <w:left w:val="nil"/>
              <w:bottom w:val="nil"/>
              <w:right w:val="nil"/>
            </w:tcBorders>
            <w:hideMark/>
          </w:tcPr>
          <w:p w14:paraId="7214CD30"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(0.314)</w:t>
            </w:r>
          </w:p>
        </w:tc>
        <w:tc>
          <w:tcPr>
            <w:tcW w:w="655" w:type="pct"/>
            <w:tcBorders>
              <w:top w:val="nil"/>
              <w:left w:val="nil"/>
              <w:bottom w:val="nil"/>
              <w:right w:val="nil"/>
            </w:tcBorders>
            <w:hideMark/>
          </w:tcPr>
          <w:p w14:paraId="2310AB77"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(0.327)</w:t>
            </w:r>
          </w:p>
        </w:tc>
        <w:tc>
          <w:tcPr>
            <w:tcW w:w="850" w:type="pct"/>
            <w:tcBorders>
              <w:top w:val="nil"/>
              <w:left w:val="nil"/>
              <w:bottom w:val="nil"/>
              <w:right w:val="nil"/>
            </w:tcBorders>
            <w:hideMark/>
          </w:tcPr>
          <w:p w14:paraId="518EC5FA"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(1.815)</w:t>
            </w:r>
          </w:p>
        </w:tc>
        <w:tc>
          <w:tcPr>
            <w:tcW w:w="641" w:type="pct"/>
            <w:tcBorders>
              <w:top w:val="nil"/>
              <w:left w:val="nil"/>
              <w:bottom w:val="nil"/>
              <w:right w:val="nil"/>
            </w:tcBorders>
            <w:hideMark/>
          </w:tcPr>
          <w:p w14:paraId="6D4DE82D"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(0.226)</w:t>
            </w:r>
          </w:p>
        </w:tc>
      </w:tr>
      <w:tr w:rsidR="001953BB" w:rsidRPr="00CD4846" w14:paraId="0FD42047" w14:textId="77777777" w:rsidTr="001953BB">
        <w:trPr>
          <w:gridAfter w:val="1"/>
          <w:wAfter w:w="579" w:type="pct"/>
        </w:trPr>
        <w:tc>
          <w:tcPr>
            <w:tcW w:w="1143" w:type="pct"/>
            <w:tcBorders>
              <w:top w:val="nil"/>
              <w:left w:val="nil"/>
              <w:bottom w:val="nil"/>
              <w:right w:val="nil"/>
            </w:tcBorders>
            <w:hideMark/>
          </w:tcPr>
          <w:p w14:paraId="4B997C21"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Observations</w:t>
            </w:r>
          </w:p>
        </w:tc>
        <w:tc>
          <w:tcPr>
            <w:tcW w:w="531" w:type="pct"/>
            <w:tcBorders>
              <w:top w:val="nil"/>
              <w:left w:val="nil"/>
              <w:bottom w:val="nil"/>
              <w:right w:val="nil"/>
            </w:tcBorders>
            <w:hideMark/>
          </w:tcPr>
          <w:p w14:paraId="5A3BCD69"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77389</w:t>
            </w:r>
          </w:p>
        </w:tc>
        <w:tc>
          <w:tcPr>
            <w:tcW w:w="602" w:type="pct"/>
            <w:tcBorders>
              <w:top w:val="nil"/>
              <w:left w:val="nil"/>
              <w:bottom w:val="nil"/>
              <w:right w:val="nil"/>
            </w:tcBorders>
            <w:hideMark/>
          </w:tcPr>
          <w:p w14:paraId="434423AA"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71022</w:t>
            </w:r>
          </w:p>
        </w:tc>
        <w:tc>
          <w:tcPr>
            <w:tcW w:w="655" w:type="pct"/>
            <w:tcBorders>
              <w:top w:val="nil"/>
              <w:left w:val="nil"/>
              <w:bottom w:val="nil"/>
              <w:right w:val="nil"/>
            </w:tcBorders>
            <w:hideMark/>
          </w:tcPr>
          <w:p w14:paraId="28190787"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70522</w:t>
            </w:r>
          </w:p>
        </w:tc>
        <w:tc>
          <w:tcPr>
            <w:tcW w:w="850" w:type="pct"/>
            <w:tcBorders>
              <w:top w:val="nil"/>
              <w:left w:val="nil"/>
              <w:bottom w:val="nil"/>
              <w:right w:val="nil"/>
            </w:tcBorders>
            <w:hideMark/>
          </w:tcPr>
          <w:p w14:paraId="6342868E"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14295</w:t>
            </w:r>
          </w:p>
        </w:tc>
        <w:tc>
          <w:tcPr>
            <w:tcW w:w="641" w:type="pct"/>
            <w:tcBorders>
              <w:top w:val="nil"/>
              <w:left w:val="nil"/>
              <w:bottom w:val="nil"/>
              <w:right w:val="nil"/>
            </w:tcBorders>
            <w:hideMark/>
          </w:tcPr>
          <w:p w14:paraId="0A30DE7D"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77389</w:t>
            </w:r>
          </w:p>
        </w:tc>
      </w:tr>
      <w:tr w:rsidR="001953BB" w:rsidRPr="00CD4846" w14:paraId="76969D56" w14:textId="77777777" w:rsidTr="001953BB">
        <w:trPr>
          <w:gridAfter w:val="1"/>
          <w:wAfter w:w="579" w:type="pct"/>
        </w:trPr>
        <w:tc>
          <w:tcPr>
            <w:tcW w:w="1143" w:type="pct"/>
            <w:tcBorders>
              <w:top w:val="nil"/>
              <w:left w:val="nil"/>
              <w:bottom w:val="nil"/>
              <w:right w:val="nil"/>
            </w:tcBorders>
            <w:hideMark/>
          </w:tcPr>
          <w:p w14:paraId="57E7067A"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Pseudo R</w:t>
            </w:r>
            <w:r w:rsidRPr="00CD4846">
              <w:rPr>
                <w:rFonts w:eastAsia="Calibri" w:cs="Times New Roman"/>
                <w:kern w:val="2"/>
                <w:sz w:val="20"/>
                <w:szCs w:val="20"/>
                <w:vertAlign w:val="superscript"/>
                <w:lang/>
              </w:rPr>
              <w:t>2</w:t>
            </w:r>
          </w:p>
        </w:tc>
        <w:tc>
          <w:tcPr>
            <w:tcW w:w="531" w:type="pct"/>
            <w:tcBorders>
              <w:top w:val="nil"/>
              <w:left w:val="nil"/>
              <w:bottom w:val="nil"/>
              <w:right w:val="nil"/>
            </w:tcBorders>
            <w:hideMark/>
          </w:tcPr>
          <w:p w14:paraId="54F0697C"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0.911</w:t>
            </w:r>
          </w:p>
        </w:tc>
        <w:tc>
          <w:tcPr>
            <w:tcW w:w="602" w:type="pct"/>
            <w:tcBorders>
              <w:top w:val="nil"/>
              <w:left w:val="nil"/>
              <w:bottom w:val="nil"/>
              <w:right w:val="nil"/>
            </w:tcBorders>
            <w:hideMark/>
          </w:tcPr>
          <w:p w14:paraId="260B9ADB"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0.597</w:t>
            </w:r>
          </w:p>
        </w:tc>
        <w:tc>
          <w:tcPr>
            <w:tcW w:w="655" w:type="pct"/>
            <w:tcBorders>
              <w:top w:val="nil"/>
              <w:left w:val="nil"/>
              <w:bottom w:val="nil"/>
              <w:right w:val="nil"/>
            </w:tcBorders>
            <w:hideMark/>
          </w:tcPr>
          <w:p w14:paraId="2640911C"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0.598</w:t>
            </w:r>
          </w:p>
        </w:tc>
        <w:tc>
          <w:tcPr>
            <w:tcW w:w="850" w:type="pct"/>
            <w:tcBorders>
              <w:top w:val="nil"/>
              <w:left w:val="nil"/>
              <w:bottom w:val="nil"/>
              <w:right w:val="nil"/>
            </w:tcBorders>
            <w:hideMark/>
          </w:tcPr>
          <w:p w14:paraId="160BB8F0"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0.312</w:t>
            </w:r>
          </w:p>
        </w:tc>
        <w:tc>
          <w:tcPr>
            <w:tcW w:w="641" w:type="pct"/>
            <w:tcBorders>
              <w:top w:val="nil"/>
              <w:left w:val="nil"/>
              <w:bottom w:val="nil"/>
              <w:right w:val="nil"/>
            </w:tcBorders>
            <w:hideMark/>
          </w:tcPr>
          <w:p w14:paraId="5AC299E4" w14:textId="77777777" w:rsidR="001953BB" w:rsidRPr="00CD4846" w:rsidRDefault="001953BB" w:rsidP="001953BB">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0.912</w:t>
            </w:r>
          </w:p>
        </w:tc>
      </w:tr>
      <w:tr w:rsidR="001953BB" w:rsidRPr="00CD4846" w14:paraId="6C9CE9A5" w14:textId="77777777" w:rsidTr="001953BB">
        <w:trPr>
          <w:gridAfter w:val="1"/>
          <w:wAfter w:w="579" w:type="pct"/>
        </w:trPr>
        <w:tc>
          <w:tcPr>
            <w:tcW w:w="1143" w:type="pct"/>
            <w:tcBorders>
              <w:top w:val="nil"/>
              <w:left w:val="nil"/>
              <w:bottom w:val="nil"/>
              <w:right w:val="nil"/>
            </w:tcBorders>
          </w:tcPr>
          <w:p w14:paraId="0B1EE076" w14:textId="27FEF513" w:rsidR="001953BB" w:rsidRPr="00CD4846" w:rsidRDefault="001953BB" w:rsidP="001953BB">
            <w:pPr>
              <w:widowControl w:val="0"/>
              <w:autoSpaceDE w:val="0"/>
              <w:autoSpaceDN w:val="0"/>
              <w:adjustRightInd w:val="0"/>
              <w:spacing w:line="256" w:lineRule="auto"/>
              <w:rPr>
                <w:rFonts w:eastAsia="Calibri" w:cs="Times New Roman"/>
                <w:kern w:val="2"/>
                <w:sz w:val="20"/>
                <w:szCs w:val="20"/>
                <w:lang/>
              </w:rPr>
            </w:pPr>
          </w:p>
        </w:tc>
        <w:tc>
          <w:tcPr>
            <w:tcW w:w="531" w:type="pct"/>
            <w:tcBorders>
              <w:top w:val="nil"/>
              <w:left w:val="nil"/>
              <w:bottom w:val="nil"/>
              <w:right w:val="nil"/>
            </w:tcBorders>
          </w:tcPr>
          <w:p w14:paraId="3A95B7DB" w14:textId="69ACDF49" w:rsidR="001953BB" w:rsidRPr="00CD4846" w:rsidRDefault="001953BB" w:rsidP="001953BB">
            <w:pPr>
              <w:widowControl w:val="0"/>
              <w:autoSpaceDE w:val="0"/>
              <w:autoSpaceDN w:val="0"/>
              <w:adjustRightInd w:val="0"/>
              <w:spacing w:line="256" w:lineRule="auto"/>
              <w:rPr>
                <w:rFonts w:eastAsia="Calibri" w:cs="Times New Roman"/>
                <w:kern w:val="2"/>
                <w:sz w:val="20"/>
                <w:szCs w:val="20"/>
                <w:lang/>
              </w:rPr>
            </w:pPr>
          </w:p>
        </w:tc>
        <w:tc>
          <w:tcPr>
            <w:tcW w:w="602" w:type="pct"/>
            <w:tcBorders>
              <w:top w:val="nil"/>
              <w:left w:val="nil"/>
              <w:bottom w:val="nil"/>
              <w:right w:val="nil"/>
            </w:tcBorders>
          </w:tcPr>
          <w:p w14:paraId="1CBB0DC0" w14:textId="68BB049D" w:rsidR="001953BB" w:rsidRPr="00CD4846" w:rsidRDefault="001953BB" w:rsidP="001953BB">
            <w:pPr>
              <w:widowControl w:val="0"/>
              <w:autoSpaceDE w:val="0"/>
              <w:autoSpaceDN w:val="0"/>
              <w:adjustRightInd w:val="0"/>
              <w:spacing w:line="256" w:lineRule="auto"/>
              <w:rPr>
                <w:rFonts w:eastAsia="Calibri" w:cs="Times New Roman"/>
                <w:kern w:val="2"/>
                <w:sz w:val="20"/>
                <w:szCs w:val="20"/>
                <w:lang/>
              </w:rPr>
            </w:pPr>
          </w:p>
        </w:tc>
        <w:tc>
          <w:tcPr>
            <w:tcW w:w="655" w:type="pct"/>
            <w:tcBorders>
              <w:top w:val="nil"/>
              <w:left w:val="nil"/>
              <w:bottom w:val="nil"/>
              <w:right w:val="nil"/>
            </w:tcBorders>
          </w:tcPr>
          <w:p w14:paraId="4F0B3346" w14:textId="0D434502" w:rsidR="001953BB" w:rsidRPr="00CD4846" w:rsidRDefault="001953BB" w:rsidP="001953BB">
            <w:pPr>
              <w:widowControl w:val="0"/>
              <w:autoSpaceDE w:val="0"/>
              <w:autoSpaceDN w:val="0"/>
              <w:adjustRightInd w:val="0"/>
              <w:spacing w:line="256" w:lineRule="auto"/>
              <w:rPr>
                <w:rFonts w:eastAsia="Calibri" w:cs="Times New Roman"/>
                <w:kern w:val="2"/>
                <w:sz w:val="20"/>
                <w:szCs w:val="20"/>
                <w:lang/>
              </w:rPr>
            </w:pPr>
          </w:p>
        </w:tc>
        <w:tc>
          <w:tcPr>
            <w:tcW w:w="850" w:type="pct"/>
            <w:tcBorders>
              <w:top w:val="nil"/>
              <w:left w:val="nil"/>
              <w:bottom w:val="nil"/>
              <w:right w:val="nil"/>
            </w:tcBorders>
          </w:tcPr>
          <w:p w14:paraId="7BBAEAEE" w14:textId="7BD74A1D" w:rsidR="001953BB" w:rsidRPr="00CD4846" w:rsidRDefault="001953BB" w:rsidP="001953BB">
            <w:pPr>
              <w:widowControl w:val="0"/>
              <w:autoSpaceDE w:val="0"/>
              <w:autoSpaceDN w:val="0"/>
              <w:adjustRightInd w:val="0"/>
              <w:spacing w:line="256" w:lineRule="auto"/>
              <w:rPr>
                <w:rFonts w:eastAsia="Calibri" w:cs="Times New Roman"/>
                <w:kern w:val="2"/>
                <w:sz w:val="20"/>
                <w:szCs w:val="20"/>
                <w:lang/>
              </w:rPr>
            </w:pPr>
          </w:p>
        </w:tc>
        <w:tc>
          <w:tcPr>
            <w:tcW w:w="641" w:type="pct"/>
            <w:tcBorders>
              <w:top w:val="nil"/>
              <w:left w:val="nil"/>
              <w:bottom w:val="nil"/>
              <w:right w:val="nil"/>
            </w:tcBorders>
          </w:tcPr>
          <w:p w14:paraId="4CD398E2" w14:textId="625F4497" w:rsidR="001953BB" w:rsidRPr="00CD4846" w:rsidRDefault="001953BB" w:rsidP="001953BB">
            <w:pPr>
              <w:widowControl w:val="0"/>
              <w:autoSpaceDE w:val="0"/>
              <w:autoSpaceDN w:val="0"/>
              <w:adjustRightInd w:val="0"/>
              <w:spacing w:line="256" w:lineRule="auto"/>
              <w:rPr>
                <w:rFonts w:eastAsia="Calibri" w:cs="Times New Roman"/>
                <w:kern w:val="2"/>
                <w:sz w:val="20"/>
                <w:szCs w:val="20"/>
                <w:lang/>
              </w:rPr>
            </w:pPr>
          </w:p>
        </w:tc>
      </w:tr>
    </w:tbl>
    <w:p w14:paraId="2271B5E0" w14:textId="75A4CFFC" w:rsidR="005B48E8" w:rsidRPr="00283B83" w:rsidRDefault="005B48E8" w:rsidP="004C39A4">
      <w:pPr>
        <w:spacing w:line="240" w:lineRule="auto"/>
        <w:rPr>
          <w:b/>
          <w:bCs/>
        </w:rPr>
      </w:pPr>
    </w:p>
    <w:tbl>
      <w:tblPr>
        <w:tblW w:w="5000" w:type="pct"/>
        <w:tblLook w:val="04A0" w:firstRow="1" w:lastRow="0" w:firstColumn="1" w:lastColumn="0" w:noHBand="0" w:noVBand="1"/>
      </w:tblPr>
      <w:tblGrid>
        <w:gridCol w:w="911"/>
        <w:gridCol w:w="1062"/>
        <w:gridCol w:w="912"/>
        <w:gridCol w:w="912"/>
        <w:gridCol w:w="1850"/>
        <w:gridCol w:w="1131"/>
        <w:gridCol w:w="1466"/>
        <w:gridCol w:w="1116"/>
      </w:tblGrid>
      <w:tr w:rsidR="001953BB" w:rsidRPr="00CD4846" w14:paraId="1DFD567A" w14:textId="77777777" w:rsidTr="001953BB">
        <w:tc>
          <w:tcPr>
            <w:tcW w:w="1055" w:type="pct"/>
            <w:gridSpan w:val="2"/>
            <w:tcBorders>
              <w:top w:val="single" w:sz="4" w:space="0" w:color="auto"/>
              <w:left w:val="nil"/>
              <w:right w:val="nil"/>
            </w:tcBorders>
          </w:tcPr>
          <w:p w14:paraId="1A4E2271" w14:textId="20495311" w:rsidR="001953BB" w:rsidRPr="00C00EE4" w:rsidRDefault="001953BB"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Chi</w:t>
            </w:r>
            <w:r w:rsidRPr="00CD4846">
              <w:rPr>
                <w:rFonts w:eastAsia="Calibri" w:cs="Times New Roman"/>
                <w:kern w:val="2"/>
                <w:sz w:val="20"/>
                <w:szCs w:val="20"/>
                <w:vertAlign w:val="superscript"/>
                <w:lang/>
              </w:rPr>
              <w:t>2</w:t>
            </w:r>
          </w:p>
        </w:tc>
        <w:tc>
          <w:tcPr>
            <w:tcW w:w="487" w:type="pct"/>
            <w:tcBorders>
              <w:top w:val="single" w:sz="4" w:space="0" w:color="auto"/>
              <w:left w:val="nil"/>
              <w:right w:val="nil"/>
            </w:tcBorders>
          </w:tcPr>
          <w:p w14:paraId="448861EC" w14:textId="77777777" w:rsidR="001953BB" w:rsidRPr="00CD4846" w:rsidRDefault="001953BB" w:rsidP="00EE502F">
            <w:pPr>
              <w:widowControl w:val="0"/>
              <w:autoSpaceDE w:val="0"/>
              <w:autoSpaceDN w:val="0"/>
              <w:adjustRightInd w:val="0"/>
              <w:spacing w:line="240" w:lineRule="auto"/>
              <w:rPr>
                <w:rFonts w:eastAsia="Calibri" w:cs="Times New Roman"/>
                <w:kern w:val="2"/>
                <w:sz w:val="20"/>
                <w:szCs w:val="20"/>
                <w:lang/>
              </w:rPr>
            </w:pPr>
          </w:p>
        </w:tc>
        <w:tc>
          <w:tcPr>
            <w:tcW w:w="487" w:type="pct"/>
            <w:tcBorders>
              <w:top w:val="single" w:sz="4" w:space="0" w:color="auto"/>
              <w:left w:val="nil"/>
              <w:right w:val="nil"/>
            </w:tcBorders>
          </w:tcPr>
          <w:p w14:paraId="428BF8EE" w14:textId="7990D6AB" w:rsidR="001953BB" w:rsidRPr="00C00EE4" w:rsidRDefault="001953BB"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380</w:t>
            </w:r>
          </w:p>
        </w:tc>
        <w:tc>
          <w:tcPr>
            <w:tcW w:w="988" w:type="pct"/>
            <w:tcBorders>
              <w:top w:val="single" w:sz="4" w:space="0" w:color="auto"/>
              <w:left w:val="nil"/>
              <w:right w:val="nil"/>
            </w:tcBorders>
          </w:tcPr>
          <w:p w14:paraId="0ED99EED" w14:textId="1C25035E" w:rsidR="001953BB" w:rsidRPr="00C00EE4" w:rsidRDefault="001953BB"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202</w:t>
            </w:r>
          </w:p>
        </w:tc>
        <w:tc>
          <w:tcPr>
            <w:tcW w:w="604" w:type="pct"/>
            <w:tcBorders>
              <w:top w:val="single" w:sz="4" w:space="0" w:color="auto"/>
              <w:left w:val="nil"/>
              <w:right w:val="nil"/>
            </w:tcBorders>
          </w:tcPr>
          <w:p w14:paraId="4DB2A31E" w14:textId="52FEF47B" w:rsidR="001953BB" w:rsidRPr="00C00EE4" w:rsidRDefault="001953BB"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200</w:t>
            </w:r>
          </w:p>
        </w:tc>
        <w:tc>
          <w:tcPr>
            <w:tcW w:w="783" w:type="pct"/>
            <w:tcBorders>
              <w:top w:val="single" w:sz="4" w:space="0" w:color="auto"/>
              <w:left w:val="nil"/>
              <w:right w:val="nil"/>
            </w:tcBorders>
          </w:tcPr>
          <w:p w14:paraId="59289881" w14:textId="19F5E987" w:rsidR="001953BB" w:rsidRPr="00C00EE4" w:rsidRDefault="001953BB"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162</w:t>
            </w:r>
          </w:p>
        </w:tc>
        <w:tc>
          <w:tcPr>
            <w:tcW w:w="595" w:type="pct"/>
            <w:tcBorders>
              <w:top w:val="single" w:sz="4" w:space="0" w:color="auto"/>
              <w:left w:val="nil"/>
              <w:right w:val="nil"/>
            </w:tcBorders>
          </w:tcPr>
          <w:p w14:paraId="056F6834" w14:textId="0A0CA787" w:rsidR="001953BB" w:rsidRPr="00C00EE4" w:rsidRDefault="001953BB"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384</w:t>
            </w:r>
          </w:p>
        </w:tc>
      </w:tr>
      <w:tr w:rsidR="001953BB" w:rsidRPr="00CD4846" w14:paraId="32030373" w14:textId="77777777" w:rsidTr="001953BB">
        <w:tc>
          <w:tcPr>
            <w:tcW w:w="1055" w:type="pct"/>
            <w:gridSpan w:val="2"/>
            <w:tcBorders>
              <w:left w:val="nil"/>
              <w:bottom w:val="nil"/>
              <w:right w:val="nil"/>
            </w:tcBorders>
            <w:hideMark/>
          </w:tcPr>
          <w:p w14:paraId="5ABC4D16" w14:textId="77777777" w:rsidR="001953BB" w:rsidRPr="00CD4846" w:rsidRDefault="001953BB"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Log Likelihood</w:t>
            </w:r>
          </w:p>
        </w:tc>
        <w:tc>
          <w:tcPr>
            <w:tcW w:w="487" w:type="pct"/>
            <w:tcBorders>
              <w:left w:val="nil"/>
              <w:bottom w:val="nil"/>
              <w:right w:val="nil"/>
            </w:tcBorders>
          </w:tcPr>
          <w:p w14:paraId="7EAD9DA9" w14:textId="77777777" w:rsidR="001953BB" w:rsidRPr="00CD4846" w:rsidRDefault="001953BB" w:rsidP="00EE502F">
            <w:pPr>
              <w:widowControl w:val="0"/>
              <w:autoSpaceDE w:val="0"/>
              <w:autoSpaceDN w:val="0"/>
              <w:adjustRightInd w:val="0"/>
              <w:spacing w:line="240" w:lineRule="auto"/>
              <w:rPr>
                <w:rFonts w:eastAsia="Calibri" w:cs="Times New Roman"/>
                <w:kern w:val="2"/>
                <w:sz w:val="20"/>
                <w:szCs w:val="20"/>
                <w:lang/>
              </w:rPr>
            </w:pPr>
          </w:p>
        </w:tc>
        <w:tc>
          <w:tcPr>
            <w:tcW w:w="487" w:type="pct"/>
            <w:tcBorders>
              <w:left w:val="nil"/>
              <w:bottom w:val="nil"/>
              <w:right w:val="nil"/>
            </w:tcBorders>
            <w:hideMark/>
          </w:tcPr>
          <w:p w14:paraId="04E61F6F" w14:textId="3F2161B1" w:rsidR="001953BB" w:rsidRPr="00CD4846" w:rsidRDefault="001953BB"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-445973</w:t>
            </w:r>
          </w:p>
        </w:tc>
        <w:tc>
          <w:tcPr>
            <w:tcW w:w="988" w:type="pct"/>
            <w:tcBorders>
              <w:left w:val="nil"/>
              <w:bottom w:val="nil"/>
              <w:right w:val="nil"/>
            </w:tcBorders>
            <w:hideMark/>
          </w:tcPr>
          <w:p w14:paraId="0B50A205" w14:textId="77777777" w:rsidR="001953BB" w:rsidRPr="00CD4846" w:rsidRDefault="001953BB"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-46558</w:t>
            </w:r>
          </w:p>
        </w:tc>
        <w:tc>
          <w:tcPr>
            <w:tcW w:w="604" w:type="pct"/>
            <w:tcBorders>
              <w:left w:val="nil"/>
              <w:bottom w:val="nil"/>
              <w:right w:val="nil"/>
            </w:tcBorders>
            <w:hideMark/>
          </w:tcPr>
          <w:p w14:paraId="2F64523D" w14:textId="77777777" w:rsidR="001953BB" w:rsidRPr="00CD4846" w:rsidRDefault="001953BB"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-45343</w:t>
            </w:r>
          </w:p>
        </w:tc>
        <w:tc>
          <w:tcPr>
            <w:tcW w:w="783" w:type="pct"/>
            <w:tcBorders>
              <w:left w:val="nil"/>
              <w:bottom w:val="nil"/>
              <w:right w:val="nil"/>
            </w:tcBorders>
            <w:hideMark/>
          </w:tcPr>
          <w:p w14:paraId="36B3BF62" w14:textId="77777777" w:rsidR="001953BB" w:rsidRPr="00CD4846" w:rsidRDefault="001953BB"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-3561</w:t>
            </w:r>
          </w:p>
        </w:tc>
        <w:tc>
          <w:tcPr>
            <w:tcW w:w="595" w:type="pct"/>
            <w:tcBorders>
              <w:left w:val="nil"/>
              <w:bottom w:val="nil"/>
              <w:right w:val="nil"/>
            </w:tcBorders>
            <w:hideMark/>
          </w:tcPr>
          <w:p w14:paraId="28C1E88C" w14:textId="77777777" w:rsidR="001953BB" w:rsidRPr="00CD4846" w:rsidRDefault="001953BB"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-447793</w:t>
            </w:r>
          </w:p>
        </w:tc>
      </w:tr>
      <w:tr w:rsidR="001953BB" w:rsidRPr="00CD4846" w14:paraId="7B76F5C8" w14:textId="77777777" w:rsidTr="001953BB">
        <w:tc>
          <w:tcPr>
            <w:tcW w:w="1055" w:type="pct"/>
            <w:gridSpan w:val="2"/>
            <w:tcBorders>
              <w:top w:val="nil"/>
              <w:left w:val="nil"/>
              <w:bottom w:val="nil"/>
              <w:right w:val="nil"/>
            </w:tcBorders>
            <w:hideMark/>
          </w:tcPr>
          <w:p w14:paraId="38A81C48" w14:textId="77777777" w:rsidR="001953BB" w:rsidRPr="00CD4846" w:rsidRDefault="001953BB"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Akaike’s Criterion</w:t>
            </w:r>
          </w:p>
        </w:tc>
        <w:tc>
          <w:tcPr>
            <w:tcW w:w="487" w:type="pct"/>
            <w:tcBorders>
              <w:top w:val="nil"/>
              <w:left w:val="nil"/>
              <w:bottom w:val="nil"/>
              <w:right w:val="nil"/>
            </w:tcBorders>
          </w:tcPr>
          <w:p w14:paraId="6EF16772" w14:textId="77777777" w:rsidR="001953BB" w:rsidRPr="00CD4846" w:rsidRDefault="001953BB" w:rsidP="00EE502F">
            <w:pPr>
              <w:widowControl w:val="0"/>
              <w:autoSpaceDE w:val="0"/>
              <w:autoSpaceDN w:val="0"/>
              <w:adjustRightInd w:val="0"/>
              <w:spacing w:line="240" w:lineRule="auto"/>
              <w:rPr>
                <w:rFonts w:eastAsia="Calibri" w:cs="Times New Roman"/>
                <w:kern w:val="2"/>
                <w:sz w:val="20"/>
                <w:szCs w:val="20"/>
                <w:lang/>
              </w:rPr>
            </w:pPr>
          </w:p>
        </w:tc>
        <w:tc>
          <w:tcPr>
            <w:tcW w:w="487" w:type="pct"/>
            <w:tcBorders>
              <w:top w:val="nil"/>
              <w:left w:val="nil"/>
              <w:bottom w:val="nil"/>
              <w:right w:val="nil"/>
            </w:tcBorders>
            <w:hideMark/>
          </w:tcPr>
          <w:p w14:paraId="2451D744" w14:textId="65865ED8" w:rsidR="001953BB" w:rsidRPr="00CD4846" w:rsidRDefault="001953BB"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891982</w:t>
            </w:r>
          </w:p>
        </w:tc>
        <w:tc>
          <w:tcPr>
            <w:tcW w:w="988" w:type="pct"/>
            <w:tcBorders>
              <w:top w:val="nil"/>
              <w:left w:val="nil"/>
              <w:bottom w:val="nil"/>
              <w:right w:val="nil"/>
            </w:tcBorders>
            <w:hideMark/>
          </w:tcPr>
          <w:p w14:paraId="72BC0EC3" w14:textId="77777777" w:rsidR="001953BB" w:rsidRPr="00CD4846" w:rsidRDefault="001953BB"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93157</w:t>
            </w:r>
          </w:p>
        </w:tc>
        <w:tc>
          <w:tcPr>
            <w:tcW w:w="604" w:type="pct"/>
            <w:tcBorders>
              <w:top w:val="nil"/>
              <w:left w:val="nil"/>
              <w:bottom w:val="nil"/>
              <w:right w:val="nil"/>
            </w:tcBorders>
            <w:hideMark/>
          </w:tcPr>
          <w:p w14:paraId="338F3E7C" w14:textId="77777777" w:rsidR="001953BB" w:rsidRPr="00CD4846" w:rsidRDefault="001953BB"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90727</w:t>
            </w:r>
          </w:p>
        </w:tc>
        <w:tc>
          <w:tcPr>
            <w:tcW w:w="783" w:type="pct"/>
            <w:tcBorders>
              <w:top w:val="nil"/>
              <w:left w:val="nil"/>
              <w:bottom w:val="nil"/>
              <w:right w:val="nil"/>
            </w:tcBorders>
            <w:hideMark/>
          </w:tcPr>
          <w:p w14:paraId="195CE767" w14:textId="77777777" w:rsidR="001953BB" w:rsidRPr="00CD4846" w:rsidRDefault="001953BB"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7163</w:t>
            </w:r>
          </w:p>
        </w:tc>
        <w:tc>
          <w:tcPr>
            <w:tcW w:w="595" w:type="pct"/>
            <w:tcBorders>
              <w:top w:val="nil"/>
              <w:left w:val="nil"/>
              <w:bottom w:val="nil"/>
              <w:right w:val="nil"/>
            </w:tcBorders>
            <w:hideMark/>
          </w:tcPr>
          <w:p w14:paraId="1C26116B" w14:textId="77777777" w:rsidR="001953BB" w:rsidRPr="00CD4846" w:rsidRDefault="001953BB"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895622</w:t>
            </w:r>
          </w:p>
        </w:tc>
      </w:tr>
      <w:tr w:rsidR="001953BB" w:rsidRPr="00CD4846" w14:paraId="465DE9F1" w14:textId="77777777" w:rsidTr="001953BB">
        <w:tc>
          <w:tcPr>
            <w:tcW w:w="1055" w:type="pct"/>
            <w:gridSpan w:val="2"/>
            <w:tcBorders>
              <w:top w:val="nil"/>
              <w:left w:val="nil"/>
              <w:bottom w:val="nil"/>
              <w:right w:val="nil"/>
            </w:tcBorders>
            <w:hideMark/>
          </w:tcPr>
          <w:p w14:paraId="1DBFF78A" w14:textId="77777777" w:rsidR="001953BB" w:rsidRPr="00CD4846" w:rsidRDefault="001953BB"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Bayesian Criterion</w:t>
            </w:r>
          </w:p>
        </w:tc>
        <w:tc>
          <w:tcPr>
            <w:tcW w:w="487" w:type="pct"/>
            <w:tcBorders>
              <w:top w:val="nil"/>
              <w:left w:val="nil"/>
              <w:bottom w:val="nil"/>
              <w:right w:val="nil"/>
            </w:tcBorders>
          </w:tcPr>
          <w:p w14:paraId="19776291" w14:textId="77777777" w:rsidR="001953BB" w:rsidRPr="00CD4846" w:rsidRDefault="001953BB" w:rsidP="00EE502F">
            <w:pPr>
              <w:widowControl w:val="0"/>
              <w:autoSpaceDE w:val="0"/>
              <w:autoSpaceDN w:val="0"/>
              <w:adjustRightInd w:val="0"/>
              <w:spacing w:line="240" w:lineRule="auto"/>
              <w:rPr>
                <w:rFonts w:eastAsia="Calibri" w:cs="Times New Roman"/>
                <w:kern w:val="2"/>
                <w:sz w:val="20"/>
                <w:szCs w:val="20"/>
                <w:lang/>
              </w:rPr>
            </w:pPr>
          </w:p>
        </w:tc>
        <w:tc>
          <w:tcPr>
            <w:tcW w:w="487" w:type="pct"/>
            <w:tcBorders>
              <w:top w:val="nil"/>
              <w:left w:val="nil"/>
              <w:bottom w:val="nil"/>
              <w:right w:val="nil"/>
            </w:tcBorders>
            <w:hideMark/>
          </w:tcPr>
          <w:p w14:paraId="6888229A" w14:textId="3E1A7E98" w:rsidR="001953BB" w:rsidRPr="00CD4846" w:rsidRDefault="001953BB"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892148</w:t>
            </w:r>
          </w:p>
        </w:tc>
        <w:tc>
          <w:tcPr>
            <w:tcW w:w="988" w:type="pct"/>
            <w:tcBorders>
              <w:top w:val="nil"/>
              <w:left w:val="nil"/>
              <w:bottom w:val="nil"/>
              <w:right w:val="nil"/>
            </w:tcBorders>
            <w:hideMark/>
          </w:tcPr>
          <w:p w14:paraId="49A453FF" w14:textId="77777777" w:rsidR="001953BB" w:rsidRPr="00CD4846" w:rsidRDefault="001953BB"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93340</w:t>
            </w:r>
          </w:p>
        </w:tc>
        <w:tc>
          <w:tcPr>
            <w:tcW w:w="604" w:type="pct"/>
            <w:tcBorders>
              <w:top w:val="nil"/>
              <w:left w:val="nil"/>
              <w:bottom w:val="nil"/>
              <w:right w:val="nil"/>
            </w:tcBorders>
            <w:hideMark/>
          </w:tcPr>
          <w:p w14:paraId="4037469D" w14:textId="77777777" w:rsidR="001953BB" w:rsidRPr="00CD4846" w:rsidRDefault="001953BB"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90910</w:t>
            </w:r>
          </w:p>
        </w:tc>
        <w:tc>
          <w:tcPr>
            <w:tcW w:w="783" w:type="pct"/>
            <w:tcBorders>
              <w:top w:val="nil"/>
              <w:left w:val="nil"/>
              <w:bottom w:val="nil"/>
              <w:right w:val="nil"/>
            </w:tcBorders>
            <w:hideMark/>
          </w:tcPr>
          <w:p w14:paraId="239CBADF" w14:textId="77777777" w:rsidR="001953BB" w:rsidRPr="00CD4846" w:rsidRDefault="001953BB"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7314</w:t>
            </w:r>
          </w:p>
        </w:tc>
        <w:tc>
          <w:tcPr>
            <w:tcW w:w="595" w:type="pct"/>
            <w:tcBorders>
              <w:top w:val="nil"/>
              <w:left w:val="nil"/>
              <w:bottom w:val="nil"/>
              <w:right w:val="nil"/>
            </w:tcBorders>
            <w:hideMark/>
          </w:tcPr>
          <w:p w14:paraId="4EB9BB94" w14:textId="77777777" w:rsidR="001953BB" w:rsidRPr="00CD4846" w:rsidRDefault="001953BB"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895789</w:t>
            </w:r>
          </w:p>
        </w:tc>
      </w:tr>
      <w:tr w:rsidR="001953BB" w:rsidRPr="00CD4846" w14:paraId="0E72E8E7" w14:textId="77777777" w:rsidTr="001953BB">
        <w:tc>
          <w:tcPr>
            <w:tcW w:w="1055" w:type="pct"/>
            <w:gridSpan w:val="2"/>
            <w:tcBorders>
              <w:top w:val="nil"/>
              <w:left w:val="nil"/>
              <w:bottom w:val="nil"/>
              <w:right w:val="nil"/>
            </w:tcBorders>
            <w:hideMark/>
          </w:tcPr>
          <w:p w14:paraId="1BE49FD7" w14:textId="77777777" w:rsidR="001953BB" w:rsidRPr="00CD4846" w:rsidRDefault="001953BB"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County FE</w:t>
            </w:r>
          </w:p>
        </w:tc>
        <w:tc>
          <w:tcPr>
            <w:tcW w:w="487" w:type="pct"/>
            <w:tcBorders>
              <w:top w:val="nil"/>
              <w:left w:val="nil"/>
              <w:bottom w:val="nil"/>
              <w:right w:val="nil"/>
            </w:tcBorders>
          </w:tcPr>
          <w:p w14:paraId="525AB936" w14:textId="77777777" w:rsidR="001953BB" w:rsidRPr="00CD4846" w:rsidRDefault="001953BB" w:rsidP="00EE502F">
            <w:pPr>
              <w:widowControl w:val="0"/>
              <w:autoSpaceDE w:val="0"/>
              <w:autoSpaceDN w:val="0"/>
              <w:adjustRightInd w:val="0"/>
              <w:spacing w:line="240" w:lineRule="auto"/>
              <w:rPr>
                <w:rFonts w:eastAsia="Calibri" w:cs="Times New Roman"/>
                <w:kern w:val="2"/>
                <w:sz w:val="20"/>
                <w:szCs w:val="20"/>
                <w:lang/>
              </w:rPr>
            </w:pPr>
          </w:p>
        </w:tc>
        <w:tc>
          <w:tcPr>
            <w:tcW w:w="487" w:type="pct"/>
            <w:tcBorders>
              <w:top w:val="nil"/>
              <w:left w:val="nil"/>
              <w:bottom w:val="nil"/>
              <w:right w:val="nil"/>
            </w:tcBorders>
            <w:hideMark/>
          </w:tcPr>
          <w:p w14:paraId="2CD4B40D" w14:textId="140D03E2" w:rsidR="001953BB" w:rsidRPr="00CD4846" w:rsidRDefault="001953BB"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Yes</w:t>
            </w:r>
          </w:p>
        </w:tc>
        <w:tc>
          <w:tcPr>
            <w:tcW w:w="988" w:type="pct"/>
            <w:tcBorders>
              <w:top w:val="nil"/>
              <w:left w:val="nil"/>
              <w:bottom w:val="nil"/>
              <w:right w:val="nil"/>
            </w:tcBorders>
            <w:hideMark/>
          </w:tcPr>
          <w:p w14:paraId="770C325B" w14:textId="77777777" w:rsidR="001953BB" w:rsidRPr="00CD4846" w:rsidRDefault="001953BB"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Yes</w:t>
            </w:r>
          </w:p>
        </w:tc>
        <w:tc>
          <w:tcPr>
            <w:tcW w:w="604" w:type="pct"/>
            <w:tcBorders>
              <w:top w:val="nil"/>
              <w:left w:val="nil"/>
              <w:bottom w:val="nil"/>
              <w:right w:val="nil"/>
            </w:tcBorders>
            <w:hideMark/>
          </w:tcPr>
          <w:p w14:paraId="29F4D2E2" w14:textId="77777777" w:rsidR="001953BB" w:rsidRPr="00CD4846" w:rsidRDefault="001953BB"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Yes</w:t>
            </w:r>
          </w:p>
        </w:tc>
        <w:tc>
          <w:tcPr>
            <w:tcW w:w="783" w:type="pct"/>
            <w:tcBorders>
              <w:top w:val="nil"/>
              <w:left w:val="nil"/>
              <w:bottom w:val="nil"/>
              <w:right w:val="nil"/>
            </w:tcBorders>
            <w:hideMark/>
          </w:tcPr>
          <w:p w14:paraId="304AEB77" w14:textId="77777777" w:rsidR="001953BB" w:rsidRPr="00CD4846" w:rsidRDefault="001953BB"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Yes</w:t>
            </w:r>
          </w:p>
        </w:tc>
        <w:tc>
          <w:tcPr>
            <w:tcW w:w="595" w:type="pct"/>
            <w:tcBorders>
              <w:top w:val="nil"/>
              <w:left w:val="nil"/>
              <w:bottom w:val="nil"/>
              <w:right w:val="nil"/>
            </w:tcBorders>
            <w:hideMark/>
          </w:tcPr>
          <w:p w14:paraId="4537F305" w14:textId="77777777" w:rsidR="001953BB" w:rsidRPr="00CD4846" w:rsidRDefault="001953BB"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Yes</w:t>
            </w:r>
          </w:p>
        </w:tc>
      </w:tr>
      <w:tr w:rsidR="001953BB" w:rsidRPr="00CD4846" w14:paraId="796CC0BA" w14:textId="77777777" w:rsidTr="001953BB">
        <w:tc>
          <w:tcPr>
            <w:tcW w:w="1055" w:type="pct"/>
            <w:gridSpan w:val="2"/>
            <w:tcBorders>
              <w:top w:val="nil"/>
              <w:left w:val="nil"/>
              <w:bottom w:val="nil"/>
              <w:right w:val="nil"/>
            </w:tcBorders>
            <w:hideMark/>
          </w:tcPr>
          <w:p w14:paraId="695D907A" w14:textId="77777777" w:rsidR="001953BB" w:rsidRPr="00CD4846" w:rsidRDefault="001953BB"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State by Year FE</w:t>
            </w:r>
          </w:p>
        </w:tc>
        <w:tc>
          <w:tcPr>
            <w:tcW w:w="487" w:type="pct"/>
            <w:tcBorders>
              <w:top w:val="nil"/>
              <w:left w:val="nil"/>
              <w:bottom w:val="nil"/>
              <w:right w:val="nil"/>
            </w:tcBorders>
          </w:tcPr>
          <w:p w14:paraId="38F400CE" w14:textId="77777777" w:rsidR="001953BB" w:rsidRPr="00CD4846" w:rsidRDefault="001953BB" w:rsidP="00EE502F">
            <w:pPr>
              <w:widowControl w:val="0"/>
              <w:autoSpaceDE w:val="0"/>
              <w:autoSpaceDN w:val="0"/>
              <w:adjustRightInd w:val="0"/>
              <w:spacing w:line="240" w:lineRule="auto"/>
              <w:rPr>
                <w:rFonts w:eastAsia="Calibri" w:cs="Times New Roman"/>
                <w:kern w:val="2"/>
                <w:sz w:val="20"/>
                <w:szCs w:val="20"/>
                <w:lang/>
              </w:rPr>
            </w:pPr>
          </w:p>
        </w:tc>
        <w:tc>
          <w:tcPr>
            <w:tcW w:w="487" w:type="pct"/>
            <w:tcBorders>
              <w:top w:val="nil"/>
              <w:left w:val="nil"/>
              <w:bottom w:val="nil"/>
              <w:right w:val="nil"/>
            </w:tcBorders>
            <w:hideMark/>
          </w:tcPr>
          <w:p w14:paraId="457C78C1" w14:textId="7D802AB9" w:rsidR="001953BB" w:rsidRPr="00CD4846" w:rsidRDefault="001953BB"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Yes</w:t>
            </w:r>
          </w:p>
        </w:tc>
        <w:tc>
          <w:tcPr>
            <w:tcW w:w="988" w:type="pct"/>
            <w:tcBorders>
              <w:top w:val="nil"/>
              <w:left w:val="nil"/>
              <w:bottom w:val="nil"/>
              <w:right w:val="nil"/>
            </w:tcBorders>
            <w:hideMark/>
          </w:tcPr>
          <w:p w14:paraId="5331552F" w14:textId="77777777" w:rsidR="001953BB" w:rsidRPr="00CD4846" w:rsidRDefault="001953BB"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Yes</w:t>
            </w:r>
          </w:p>
        </w:tc>
        <w:tc>
          <w:tcPr>
            <w:tcW w:w="604" w:type="pct"/>
            <w:tcBorders>
              <w:top w:val="nil"/>
              <w:left w:val="nil"/>
              <w:bottom w:val="nil"/>
              <w:right w:val="nil"/>
            </w:tcBorders>
            <w:hideMark/>
          </w:tcPr>
          <w:p w14:paraId="269DDA72" w14:textId="77777777" w:rsidR="001953BB" w:rsidRPr="00CD4846" w:rsidRDefault="001953BB"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Yes</w:t>
            </w:r>
          </w:p>
        </w:tc>
        <w:tc>
          <w:tcPr>
            <w:tcW w:w="783" w:type="pct"/>
            <w:tcBorders>
              <w:top w:val="nil"/>
              <w:left w:val="nil"/>
              <w:bottom w:val="nil"/>
              <w:right w:val="nil"/>
            </w:tcBorders>
            <w:hideMark/>
          </w:tcPr>
          <w:p w14:paraId="10D2103F" w14:textId="77777777" w:rsidR="001953BB" w:rsidRPr="00CD4846" w:rsidRDefault="001953BB"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Yes</w:t>
            </w:r>
          </w:p>
        </w:tc>
        <w:tc>
          <w:tcPr>
            <w:tcW w:w="595" w:type="pct"/>
            <w:tcBorders>
              <w:top w:val="nil"/>
              <w:left w:val="nil"/>
              <w:bottom w:val="nil"/>
              <w:right w:val="nil"/>
            </w:tcBorders>
            <w:hideMark/>
          </w:tcPr>
          <w:p w14:paraId="65C609A4" w14:textId="77777777" w:rsidR="001953BB" w:rsidRPr="00CD4846" w:rsidRDefault="001953BB"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Yes</w:t>
            </w:r>
          </w:p>
        </w:tc>
      </w:tr>
      <w:tr w:rsidR="001953BB" w:rsidRPr="00CD4846" w14:paraId="7C821C66" w14:textId="77777777" w:rsidTr="001953BB">
        <w:tc>
          <w:tcPr>
            <w:tcW w:w="1055" w:type="pct"/>
            <w:gridSpan w:val="2"/>
            <w:tcBorders>
              <w:top w:val="nil"/>
              <w:left w:val="nil"/>
              <w:bottom w:val="nil"/>
              <w:right w:val="nil"/>
            </w:tcBorders>
            <w:hideMark/>
          </w:tcPr>
          <w:p w14:paraId="5C2A8BD7" w14:textId="77777777" w:rsidR="001953BB" w:rsidRPr="00CD4846" w:rsidRDefault="001953BB"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PA-PA</w:t>
            </w:r>
            <w:r w:rsidRPr="00CD4846">
              <w:rPr>
                <w:rFonts w:eastAsia="Calibri" w:cs="Times New Roman"/>
                <w:b/>
                <w:bCs/>
                <w:i/>
                <w:color w:val="5F6368"/>
                <w:kern w:val="2"/>
                <w:sz w:val="20"/>
                <w:szCs w:val="20"/>
                <w:shd w:val="clear" w:color="auto" w:fill="FFFFFF"/>
                <w:lang/>
              </w:rPr>
              <w:t xml:space="preserve">² </w:t>
            </w:r>
            <w:r w:rsidRPr="00CD4846">
              <w:rPr>
                <w:rFonts w:eastAsia="Calibri" w:cs="Times New Roman"/>
                <w:kern w:val="2"/>
                <w:sz w:val="20"/>
                <w:szCs w:val="20"/>
                <w:lang/>
              </w:rPr>
              <w:t>Joint Test p-value</w:t>
            </w:r>
          </w:p>
        </w:tc>
        <w:tc>
          <w:tcPr>
            <w:tcW w:w="487" w:type="pct"/>
            <w:tcBorders>
              <w:top w:val="nil"/>
              <w:left w:val="nil"/>
              <w:bottom w:val="nil"/>
              <w:right w:val="nil"/>
            </w:tcBorders>
          </w:tcPr>
          <w:p w14:paraId="52291F50" w14:textId="77777777" w:rsidR="001953BB" w:rsidRPr="00CD4846" w:rsidRDefault="001953BB" w:rsidP="00EE502F">
            <w:pPr>
              <w:widowControl w:val="0"/>
              <w:autoSpaceDE w:val="0"/>
              <w:autoSpaceDN w:val="0"/>
              <w:adjustRightInd w:val="0"/>
              <w:spacing w:line="240" w:lineRule="auto"/>
              <w:rPr>
                <w:rFonts w:eastAsia="Calibri" w:cs="Times New Roman"/>
                <w:kern w:val="2"/>
                <w:sz w:val="20"/>
                <w:szCs w:val="20"/>
                <w:lang/>
              </w:rPr>
            </w:pPr>
          </w:p>
        </w:tc>
        <w:tc>
          <w:tcPr>
            <w:tcW w:w="487" w:type="pct"/>
            <w:tcBorders>
              <w:top w:val="nil"/>
              <w:left w:val="nil"/>
              <w:bottom w:val="nil"/>
              <w:right w:val="nil"/>
            </w:tcBorders>
            <w:hideMark/>
          </w:tcPr>
          <w:p w14:paraId="6743A313" w14:textId="03CFB395" w:rsidR="001953BB" w:rsidRPr="00CD4846" w:rsidRDefault="001953BB"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0.7598</w:t>
            </w:r>
          </w:p>
        </w:tc>
        <w:tc>
          <w:tcPr>
            <w:tcW w:w="988" w:type="pct"/>
            <w:tcBorders>
              <w:top w:val="nil"/>
              <w:left w:val="nil"/>
              <w:bottom w:val="nil"/>
              <w:right w:val="nil"/>
            </w:tcBorders>
            <w:hideMark/>
          </w:tcPr>
          <w:p w14:paraId="28D4064A" w14:textId="77777777" w:rsidR="001953BB" w:rsidRPr="00CD4846" w:rsidRDefault="001953BB" w:rsidP="00EE502F">
            <w:pPr>
              <w:widowControl w:val="0"/>
              <w:autoSpaceDE w:val="0"/>
              <w:autoSpaceDN w:val="0"/>
              <w:adjustRightInd w:val="0"/>
              <w:spacing w:line="240" w:lineRule="auto"/>
              <w:rPr>
                <w:rFonts w:eastAsia="Calibri" w:cs="Times New Roman"/>
                <w:bCs/>
                <w:kern w:val="2"/>
                <w:sz w:val="20"/>
                <w:szCs w:val="20"/>
                <w:lang/>
              </w:rPr>
            </w:pPr>
            <w:r w:rsidRPr="00CD4846">
              <w:rPr>
                <w:rFonts w:eastAsia="Calibri" w:cs="Times New Roman"/>
                <w:bCs/>
                <w:kern w:val="2"/>
                <w:sz w:val="20"/>
                <w:szCs w:val="20"/>
                <w:lang/>
              </w:rPr>
              <w:t xml:space="preserve">0.0252 </w:t>
            </w:r>
          </w:p>
        </w:tc>
        <w:tc>
          <w:tcPr>
            <w:tcW w:w="604" w:type="pct"/>
            <w:tcBorders>
              <w:top w:val="nil"/>
              <w:left w:val="nil"/>
              <w:bottom w:val="nil"/>
              <w:right w:val="nil"/>
            </w:tcBorders>
            <w:hideMark/>
          </w:tcPr>
          <w:p w14:paraId="69021E6C" w14:textId="77777777" w:rsidR="001953BB" w:rsidRPr="00CD4846" w:rsidRDefault="001953BB" w:rsidP="00EE502F">
            <w:pPr>
              <w:widowControl w:val="0"/>
              <w:autoSpaceDE w:val="0"/>
              <w:autoSpaceDN w:val="0"/>
              <w:adjustRightInd w:val="0"/>
              <w:spacing w:line="240" w:lineRule="auto"/>
              <w:rPr>
                <w:rFonts w:eastAsia="Calibri" w:cs="Times New Roman"/>
                <w:bCs/>
                <w:kern w:val="2"/>
                <w:sz w:val="20"/>
                <w:szCs w:val="20"/>
                <w:lang/>
              </w:rPr>
            </w:pPr>
            <w:r w:rsidRPr="00CD4846">
              <w:rPr>
                <w:rFonts w:eastAsia="Calibri" w:cs="Times New Roman"/>
                <w:bCs/>
                <w:kern w:val="2"/>
                <w:sz w:val="20"/>
                <w:szCs w:val="20"/>
                <w:lang/>
              </w:rPr>
              <w:t>0.0178</w:t>
            </w:r>
          </w:p>
        </w:tc>
        <w:tc>
          <w:tcPr>
            <w:tcW w:w="783" w:type="pct"/>
            <w:tcBorders>
              <w:top w:val="nil"/>
              <w:left w:val="nil"/>
              <w:bottom w:val="nil"/>
              <w:right w:val="nil"/>
            </w:tcBorders>
            <w:hideMark/>
          </w:tcPr>
          <w:p w14:paraId="1155F166" w14:textId="77777777" w:rsidR="001953BB" w:rsidRPr="00CD4846" w:rsidRDefault="001953BB"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0.9420</w:t>
            </w:r>
          </w:p>
        </w:tc>
        <w:tc>
          <w:tcPr>
            <w:tcW w:w="595" w:type="pct"/>
            <w:tcBorders>
              <w:top w:val="nil"/>
              <w:left w:val="nil"/>
              <w:bottom w:val="nil"/>
              <w:right w:val="nil"/>
            </w:tcBorders>
            <w:hideMark/>
          </w:tcPr>
          <w:p w14:paraId="291A9991" w14:textId="77777777" w:rsidR="001953BB" w:rsidRPr="00CD4846" w:rsidRDefault="001953BB"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0.7263</w:t>
            </w:r>
          </w:p>
        </w:tc>
      </w:tr>
      <w:tr w:rsidR="001953BB" w:rsidRPr="00CD4846" w14:paraId="5C0736B9" w14:textId="77777777" w:rsidTr="001953BB">
        <w:tc>
          <w:tcPr>
            <w:tcW w:w="487" w:type="pct"/>
            <w:tcBorders>
              <w:top w:val="single" w:sz="6" w:space="0" w:color="auto"/>
              <w:left w:val="nil"/>
              <w:bottom w:val="nil"/>
              <w:right w:val="nil"/>
            </w:tcBorders>
          </w:tcPr>
          <w:p w14:paraId="23D4B131" w14:textId="77777777" w:rsidR="001953BB" w:rsidRPr="00CD4846" w:rsidRDefault="001953BB" w:rsidP="00C00EE4">
            <w:pPr>
              <w:widowControl w:val="0"/>
              <w:autoSpaceDE w:val="0"/>
              <w:autoSpaceDN w:val="0"/>
              <w:adjustRightInd w:val="0"/>
              <w:spacing w:line="256" w:lineRule="auto"/>
              <w:rPr>
                <w:rFonts w:eastAsia="Calibri" w:cs="Times New Roman"/>
                <w:i/>
                <w:iCs/>
                <w:kern w:val="2"/>
                <w:sz w:val="20"/>
                <w:szCs w:val="20"/>
                <w:lang/>
              </w:rPr>
            </w:pPr>
          </w:p>
        </w:tc>
        <w:tc>
          <w:tcPr>
            <w:tcW w:w="4513" w:type="pct"/>
            <w:gridSpan w:val="7"/>
            <w:tcBorders>
              <w:top w:val="single" w:sz="6" w:space="0" w:color="auto"/>
              <w:left w:val="nil"/>
              <w:bottom w:val="nil"/>
              <w:right w:val="nil"/>
            </w:tcBorders>
            <w:hideMark/>
          </w:tcPr>
          <w:p w14:paraId="26887542" w14:textId="0EA32525" w:rsidR="001953BB" w:rsidRPr="00CD4846" w:rsidRDefault="001953BB" w:rsidP="001953BB">
            <w:pPr>
              <w:widowControl w:val="0"/>
              <w:autoSpaceDE w:val="0"/>
              <w:autoSpaceDN w:val="0"/>
              <w:adjustRightInd w:val="0"/>
              <w:spacing w:line="256" w:lineRule="auto"/>
              <w:ind w:left="-24"/>
              <w:rPr>
                <w:rFonts w:eastAsia="Calibri" w:cs="Times New Roman"/>
                <w:i/>
                <w:iCs/>
                <w:kern w:val="2"/>
                <w:sz w:val="20"/>
                <w:szCs w:val="20"/>
                <w:lang/>
              </w:rPr>
            </w:pPr>
            <w:r w:rsidRPr="00CD4846">
              <w:rPr>
                <w:rFonts w:eastAsia="Calibri" w:cs="Times New Roman"/>
                <w:i/>
                <w:iCs/>
                <w:kern w:val="2"/>
                <w:sz w:val="20"/>
                <w:szCs w:val="20"/>
                <w:lang/>
              </w:rPr>
              <w:t>Standard errors are in parentheses</w:t>
            </w:r>
          </w:p>
        </w:tc>
      </w:tr>
      <w:tr w:rsidR="001953BB" w:rsidRPr="00CD4846" w14:paraId="5E1F7FC7" w14:textId="77777777" w:rsidTr="001953BB">
        <w:tc>
          <w:tcPr>
            <w:tcW w:w="487" w:type="pct"/>
            <w:tcBorders>
              <w:top w:val="nil"/>
              <w:left w:val="nil"/>
              <w:bottom w:val="nil"/>
              <w:right w:val="nil"/>
            </w:tcBorders>
          </w:tcPr>
          <w:p w14:paraId="27B53387" w14:textId="77777777" w:rsidR="001953BB" w:rsidRPr="00CD4846" w:rsidRDefault="001953BB" w:rsidP="00C00EE4">
            <w:pPr>
              <w:widowControl w:val="0"/>
              <w:autoSpaceDE w:val="0"/>
              <w:autoSpaceDN w:val="0"/>
              <w:adjustRightInd w:val="0"/>
              <w:spacing w:line="256" w:lineRule="auto"/>
              <w:rPr>
                <w:rFonts w:eastAsia="Calibri" w:cs="Times New Roman"/>
                <w:i/>
                <w:iCs/>
                <w:kern w:val="2"/>
                <w:sz w:val="20"/>
                <w:szCs w:val="20"/>
                <w:lang/>
              </w:rPr>
            </w:pPr>
          </w:p>
        </w:tc>
        <w:tc>
          <w:tcPr>
            <w:tcW w:w="4513" w:type="pct"/>
            <w:gridSpan w:val="7"/>
            <w:tcBorders>
              <w:top w:val="nil"/>
              <w:left w:val="nil"/>
              <w:bottom w:val="nil"/>
              <w:right w:val="nil"/>
            </w:tcBorders>
            <w:hideMark/>
          </w:tcPr>
          <w:p w14:paraId="1BCB3791" w14:textId="319E79D8" w:rsidR="001953BB" w:rsidRPr="00CD4846" w:rsidRDefault="001953BB" w:rsidP="00C00EE4">
            <w:pPr>
              <w:widowControl w:val="0"/>
              <w:autoSpaceDE w:val="0"/>
              <w:autoSpaceDN w:val="0"/>
              <w:adjustRightInd w:val="0"/>
              <w:spacing w:line="256" w:lineRule="auto"/>
              <w:rPr>
                <w:rFonts w:eastAsia="Calibri" w:cs="Times New Roman"/>
                <w:i/>
                <w:iCs/>
                <w:kern w:val="2"/>
                <w:sz w:val="20"/>
                <w:szCs w:val="20"/>
                <w:lang/>
              </w:rPr>
            </w:pPr>
            <w:r w:rsidRPr="00CD4846">
              <w:rPr>
                <w:rFonts w:eastAsia="Calibri" w:cs="Times New Roman"/>
                <w:i/>
                <w:iCs/>
                <w:kern w:val="2"/>
                <w:sz w:val="20"/>
                <w:szCs w:val="20"/>
                <w:lang/>
              </w:rPr>
              <w:t xml:space="preserve">*** p&lt;.01, ** p&lt;.05, * p&lt;.1 </w:t>
            </w:r>
          </w:p>
        </w:tc>
      </w:tr>
      <w:tr w:rsidR="001953BB" w:rsidRPr="00CD4846" w14:paraId="1A1C5EAD" w14:textId="77777777" w:rsidTr="001953BB">
        <w:tc>
          <w:tcPr>
            <w:tcW w:w="487" w:type="pct"/>
            <w:tcBorders>
              <w:top w:val="nil"/>
              <w:left w:val="nil"/>
              <w:bottom w:val="nil"/>
              <w:right w:val="nil"/>
            </w:tcBorders>
          </w:tcPr>
          <w:p w14:paraId="5F4DC7D3" w14:textId="77777777" w:rsidR="001953BB" w:rsidRPr="00C00EE4" w:rsidRDefault="001953BB" w:rsidP="00C00EE4">
            <w:pPr>
              <w:spacing w:line="240" w:lineRule="auto"/>
              <w:rPr>
                <w:rFonts w:cs="Times New Roman"/>
                <w:sz w:val="20"/>
                <w:szCs w:val="20"/>
                <w:lang/>
              </w:rPr>
            </w:pPr>
          </w:p>
        </w:tc>
        <w:tc>
          <w:tcPr>
            <w:tcW w:w="4513" w:type="pct"/>
            <w:gridSpan w:val="7"/>
            <w:tcBorders>
              <w:top w:val="nil"/>
              <w:left w:val="nil"/>
              <w:bottom w:val="nil"/>
              <w:right w:val="nil"/>
            </w:tcBorders>
            <w:hideMark/>
          </w:tcPr>
          <w:p w14:paraId="7975E7C8" w14:textId="6D8696A2" w:rsidR="001953BB" w:rsidRPr="00C00EE4" w:rsidRDefault="001953BB" w:rsidP="00C00EE4">
            <w:pPr>
              <w:spacing w:line="240" w:lineRule="auto"/>
              <w:rPr>
                <w:rFonts w:eastAsia="DengXian" w:cs="Times New Roman"/>
                <w:i/>
                <w:iCs/>
                <w:sz w:val="20"/>
                <w:szCs w:val="20"/>
                <w:lang/>
              </w:rPr>
            </w:pPr>
            <w:r w:rsidRPr="00C00EE4">
              <w:rPr>
                <w:rFonts w:cs="Times New Roman"/>
                <w:sz w:val="20"/>
                <w:szCs w:val="20"/>
                <w:lang/>
              </w:rPr>
              <w:t xml:space="preserve">Table </w:t>
            </w:r>
            <w:r w:rsidRPr="00C00EE4">
              <w:rPr>
                <w:rFonts w:cs="Times New Roman"/>
                <w:sz w:val="20"/>
                <w:szCs w:val="20"/>
                <w:lang/>
              </w:rPr>
              <w:t>A5</w:t>
            </w:r>
            <w:r w:rsidRPr="00C00EE4">
              <w:rPr>
                <w:rFonts w:cs="Times New Roman"/>
                <w:sz w:val="20"/>
                <w:szCs w:val="20"/>
                <w:lang/>
              </w:rPr>
              <w:t xml:space="preserve">: </w:t>
            </w:r>
            <w:r w:rsidRPr="00C00EE4">
              <w:rPr>
                <w:rFonts w:cs="Times New Roman"/>
                <w:sz w:val="20"/>
                <w:szCs w:val="20"/>
                <w:lang/>
              </w:rPr>
              <w:t>PPMLHDFE r</w:t>
            </w:r>
            <w:r w:rsidRPr="00C00EE4">
              <w:rPr>
                <w:rFonts w:cs="Times New Roman"/>
                <w:sz w:val="20"/>
                <w:szCs w:val="20"/>
                <w:lang/>
              </w:rPr>
              <w:t xml:space="preserve">egression results </w:t>
            </w:r>
            <w:r w:rsidRPr="00C00EE4">
              <w:rPr>
                <w:rFonts w:cs="Times New Roman"/>
                <w:sz w:val="20"/>
                <w:szCs w:val="20"/>
                <w:lang/>
              </w:rPr>
              <w:t xml:space="preserve">on aggregate LIS under strict PADs (GAP 1-2) are presented above. Column names correspond to specific entry-type location outcomes. </w:t>
            </w:r>
            <w:r w:rsidRPr="00C624DB">
              <w:rPr>
                <w:sz w:val="20"/>
                <w:szCs w:val="20"/>
                <w:lang/>
              </w:rPr>
              <w:t xml:space="preserve">Standard errors are </w:t>
            </w:r>
            <w:r>
              <w:rPr>
                <w:sz w:val="20"/>
                <w:szCs w:val="20"/>
                <w:lang/>
              </w:rPr>
              <w:t xml:space="preserve">in parentheses and are </w:t>
            </w:r>
            <w:r w:rsidRPr="00C624DB">
              <w:rPr>
                <w:sz w:val="20"/>
                <w:szCs w:val="20"/>
                <w:lang/>
              </w:rPr>
              <w:t xml:space="preserve">clustered at the county level. </w:t>
            </w:r>
            <w:r w:rsidRPr="002C0F11">
              <w:rPr>
                <w:sz w:val="20"/>
                <w:szCs w:val="20"/>
                <w:lang/>
              </w:rPr>
              <w:t xml:space="preserve">Statistically significant impacts are denoted by asterisks. These asterisks denote statistical significance at the following levels: ***p &lt; 0.01, **p &lt; 0.05, *p &lt; </w:t>
            </w:r>
            <w:proofErr w:type="gramStart"/>
            <w:r w:rsidRPr="002C0F11">
              <w:rPr>
                <w:sz w:val="20"/>
                <w:szCs w:val="20"/>
                <w:lang/>
              </w:rPr>
              <w:t>0.1.</w:t>
            </w:r>
            <w:r w:rsidRPr="00C00EE4">
              <w:rPr>
                <w:rFonts w:cs="Times New Roman"/>
                <w:sz w:val="20"/>
                <w:szCs w:val="20"/>
                <w:lang/>
              </w:rPr>
              <w:t>.</w:t>
            </w:r>
            <w:proofErr w:type="gramEnd"/>
            <w:r w:rsidRPr="00C00EE4">
              <w:rPr>
                <w:rFonts w:cs="Times New Roman"/>
                <w:sz w:val="20"/>
                <w:szCs w:val="20"/>
                <w:lang/>
              </w:rPr>
              <w:t xml:space="preserve"> p-values of joint-tests on linear and quadratic PAD terms are shown in the last row. </w:t>
            </w:r>
          </w:p>
          <w:p w14:paraId="3B49D27A" w14:textId="77777777" w:rsidR="001953BB" w:rsidRPr="00CD4846" w:rsidRDefault="001953BB" w:rsidP="00C00EE4">
            <w:pPr>
              <w:widowControl w:val="0"/>
              <w:autoSpaceDE w:val="0"/>
              <w:autoSpaceDN w:val="0"/>
              <w:adjustRightInd w:val="0"/>
              <w:spacing w:line="256" w:lineRule="auto"/>
              <w:rPr>
                <w:rFonts w:eastAsia="Calibri" w:cs="Times New Roman"/>
                <w:kern w:val="2"/>
                <w:sz w:val="20"/>
                <w:szCs w:val="20"/>
                <w:lang/>
              </w:rPr>
            </w:pPr>
          </w:p>
        </w:tc>
      </w:tr>
      <w:tr w:rsidR="001953BB" w:rsidRPr="00CD4846" w14:paraId="481449BF" w14:textId="77777777" w:rsidTr="001953BB">
        <w:tc>
          <w:tcPr>
            <w:tcW w:w="487" w:type="pct"/>
            <w:tcBorders>
              <w:top w:val="nil"/>
              <w:left w:val="nil"/>
              <w:bottom w:val="nil"/>
              <w:right w:val="nil"/>
            </w:tcBorders>
          </w:tcPr>
          <w:p w14:paraId="4FFEE8D2" w14:textId="77777777" w:rsidR="001953BB" w:rsidRPr="00CD4846" w:rsidRDefault="001953BB" w:rsidP="00C00EE4">
            <w:pPr>
              <w:widowControl w:val="0"/>
              <w:autoSpaceDE w:val="0"/>
              <w:autoSpaceDN w:val="0"/>
              <w:adjustRightInd w:val="0"/>
              <w:spacing w:line="256" w:lineRule="auto"/>
              <w:rPr>
                <w:rFonts w:eastAsia="Calibri" w:cs="Times New Roman"/>
                <w:b/>
                <w:bCs/>
                <w:kern w:val="2"/>
                <w:sz w:val="20"/>
                <w:szCs w:val="20"/>
                <w:lang/>
              </w:rPr>
            </w:pPr>
          </w:p>
        </w:tc>
        <w:tc>
          <w:tcPr>
            <w:tcW w:w="4513" w:type="pct"/>
            <w:gridSpan w:val="7"/>
            <w:tcBorders>
              <w:top w:val="nil"/>
              <w:left w:val="nil"/>
              <w:bottom w:val="nil"/>
              <w:right w:val="nil"/>
            </w:tcBorders>
            <w:hideMark/>
          </w:tcPr>
          <w:p w14:paraId="4D68C9D8" w14:textId="45F7D6F9" w:rsidR="001953BB" w:rsidRPr="00CD4846" w:rsidRDefault="001953BB" w:rsidP="00C00EE4">
            <w:pPr>
              <w:widowControl w:val="0"/>
              <w:autoSpaceDE w:val="0"/>
              <w:autoSpaceDN w:val="0"/>
              <w:adjustRightInd w:val="0"/>
              <w:spacing w:line="256" w:lineRule="auto"/>
              <w:rPr>
                <w:rFonts w:eastAsia="Calibri" w:cs="Times New Roman"/>
                <w:b/>
                <w:bCs/>
                <w:kern w:val="2"/>
                <w:sz w:val="20"/>
                <w:szCs w:val="20"/>
                <w:lang/>
              </w:rPr>
            </w:pPr>
          </w:p>
        </w:tc>
      </w:tr>
    </w:tbl>
    <w:p w14:paraId="4D5DFBE7" w14:textId="77777777" w:rsidR="00CD4846" w:rsidRPr="00CD4846" w:rsidRDefault="00CD4846" w:rsidP="00095E25">
      <w:pPr>
        <w:pStyle w:val="Title"/>
        <w:rPr>
          <w:sz w:val="32"/>
          <w:szCs w:val="32"/>
        </w:rPr>
      </w:pPr>
      <w:r w:rsidRPr="00CD4846">
        <w:rPr>
          <w:rFonts w:ascii="SimSun" w:hAnsi="SimSun"/>
        </w:rPr>
        <w:br w:type="page"/>
      </w:r>
      <w:bookmarkStart w:id="212" w:name="_Toc186799410"/>
      <w:bookmarkStart w:id="213" w:name="_Toc188359612"/>
      <w:bookmarkStart w:id="214" w:name="_Toc188359900"/>
      <w:bookmarkStart w:id="215" w:name="_Toc188361136"/>
      <w:bookmarkStart w:id="216" w:name="_Toc188366979"/>
      <w:r w:rsidRPr="00CD4846">
        <w:rPr>
          <w:rFonts w:hint="eastAsia"/>
        </w:rPr>
        <w:lastRenderedPageBreak/>
        <w:t xml:space="preserve">Table </w:t>
      </w:r>
      <w:r w:rsidRPr="00CD4846">
        <w:t>A</w:t>
      </w:r>
      <w:r w:rsidRPr="00CD4846">
        <w:rPr>
          <w:rFonts w:hint="eastAsia"/>
        </w:rPr>
        <w:t xml:space="preserve">6: </w:t>
      </w:r>
      <w:r w:rsidRPr="00CD4846">
        <w:t>Regression Results of Broad PADs on Aggregate LIS Exits</w:t>
      </w:r>
      <w:bookmarkEnd w:id="212"/>
      <w:bookmarkEnd w:id="213"/>
      <w:bookmarkEnd w:id="214"/>
      <w:bookmarkEnd w:id="215"/>
      <w:bookmarkEnd w:id="216"/>
    </w:p>
    <w:tbl>
      <w:tblPr>
        <w:tblW w:w="5000" w:type="pct"/>
        <w:tblLook w:val="04A0" w:firstRow="1" w:lastRow="0" w:firstColumn="1" w:lastColumn="0" w:noHBand="0" w:noVBand="1"/>
      </w:tblPr>
      <w:tblGrid>
        <w:gridCol w:w="2476"/>
        <w:gridCol w:w="966"/>
        <w:gridCol w:w="2258"/>
        <w:gridCol w:w="1318"/>
        <w:gridCol w:w="1314"/>
        <w:gridCol w:w="1028"/>
      </w:tblGrid>
      <w:tr w:rsidR="009D3026" w:rsidRPr="00C00EE4" w14:paraId="07804DC1" w14:textId="77777777" w:rsidTr="001953BB">
        <w:tc>
          <w:tcPr>
            <w:tcW w:w="1323" w:type="pct"/>
            <w:tcBorders>
              <w:top w:val="single" w:sz="4" w:space="0" w:color="auto"/>
              <w:left w:val="nil"/>
              <w:bottom w:val="single" w:sz="4" w:space="0" w:color="auto"/>
              <w:right w:val="nil"/>
            </w:tcBorders>
            <w:hideMark/>
          </w:tcPr>
          <w:p w14:paraId="2995ACC1"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cs="Times New Roman"/>
                <w:b/>
                <w:bCs/>
                <w:kern w:val="2"/>
                <w:sz w:val="20"/>
                <w:szCs w:val="20"/>
                <w:lang/>
              </w:rPr>
              <w:t>Variable</w:t>
            </w:r>
            <w:r w:rsidRPr="00CD4846">
              <w:rPr>
                <w:rFonts w:eastAsia="Calibri" w:cs="Times New Roman"/>
                <w:kern w:val="2"/>
                <w:sz w:val="20"/>
                <w:szCs w:val="20"/>
                <w:lang/>
              </w:rPr>
              <w:t xml:space="preserve">   </w:t>
            </w:r>
          </w:p>
        </w:tc>
        <w:tc>
          <w:tcPr>
            <w:tcW w:w="516" w:type="pct"/>
            <w:tcBorders>
              <w:top w:val="single" w:sz="4" w:space="0" w:color="auto"/>
              <w:left w:val="nil"/>
              <w:bottom w:val="single" w:sz="4" w:space="0" w:color="auto"/>
              <w:right w:val="nil"/>
            </w:tcBorders>
            <w:hideMark/>
          </w:tcPr>
          <w:p w14:paraId="6E1127CD" w14:textId="77777777" w:rsidR="00CD4846" w:rsidRPr="00CD4846" w:rsidRDefault="00CD4846" w:rsidP="00EE502F">
            <w:pPr>
              <w:widowControl w:val="0"/>
              <w:autoSpaceDE w:val="0"/>
              <w:autoSpaceDN w:val="0"/>
              <w:adjustRightInd w:val="0"/>
              <w:spacing w:line="240" w:lineRule="auto"/>
              <w:rPr>
                <w:rFonts w:eastAsia="Calibri" w:cs="Times New Roman"/>
                <w:b/>
                <w:kern w:val="2"/>
                <w:sz w:val="20"/>
                <w:szCs w:val="20"/>
                <w:lang/>
              </w:rPr>
            </w:pPr>
            <w:r w:rsidRPr="00CD4846">
              <w:rPr>
                <w:rFonts w:eastAsia="Calibri" w:cs="Times New Roman"/>
                <w:b/>
                <w:kern w:val="2"/>
                <w:sz w:val="20"/>
                <w:szCs w:val="20"/>
                <w:lang/>
              </w:rPr>
              <w:t>Deaths</w:t>
            </w:r>
          </w:p>
        </w:tc>
        <w:tc>
          <w:tcPr>
            <w:tcW w:w="1206" w:type="pct"/>
            <w:tcBorders>
              <w:top w:val="single" w:sz="4" w:space="0" w:color="auto"/>
              <w:left w:val="nil"/>
              <w:bottom w:val="single" w:sz="4" w:space="0" w:color="auto"/>
              <w:right w:val="nil"/>
            </w:tcBorders>
            <w:hideMark/>
          </w:tcPr>
          <w:p w14:paraId="2330CC73" w14:textId="77777777" w:rsidR="00CD4846" w:rsidRPr="00CD4846" w:rsidRDefault="00CD4846" w:rsidP="00EE502F">
            <w:pPr>
              <w:widowControl w:val="0"/>
              <w:autoSpaceDE w:val="0"/>
              <w:autoSpaceDN w:val="0"/>
              <w:adjustRightInd w:val="0"/>
              <w:spacing w:line="240" w:lineRule="auto"/>
              <w:rPr>
                <w:rFonts w:eastAsia="Calibri" w:cs="Times New Roman"/>
                <w:b/>
                <w:kern w:val="2"/>
                <w:sz w:val="20"/>
                <w:szCs w:val="20"/>
                <w:lang/>
              </w:rPr>
            </w:pPr>
            <w:r w:rsidRPr="00CD4846">
              <w:rPr>
                <w:rFonts w:eastAsia="Calibri" w:cs="Times New Roman"/>
                <w:b/>
                <w:kern w:val="2"/>
                <w:sz w:val="20"/>
                <w:szCs w:val="20"/>
                <w:lang/>
              </w:rPr>
              <w:t>Outward Relocations</w:t>
            </w:r>
            <w:r w:rsidRPr="00CD4846">
              <w:rPr>
                <w:rFonts w:eastAsia="Calibri" w:cs="Times New Roman"/>
                <w:b/>
                <w:kern w:val="2"/>
                <w:sz w:val="20"/>
                <w:szCs w:val="20"/>
                <w:lang/>
              </w:rPr>
              <w:t xml:space="preserve"> (OR)</w:t>
            </w:r>
          </w:p>
        </w:tc>
        <w:tc>
          <w:tcPr>
            <w:tcW w:w="704" w:type="pct"/>
            <w:tcBorders>
              <w:top w:val="single" w:sz="4" w:space="0" w:color="auto"/>
              <w:left w:val="nil"/>
              <w:bottom w:val="single" w:sz="4" w:space="0" w:color="auto"/>
              <w:right w:val="nil"/>
            </w:tcBorders>
            <w:hideMark/>
          </w:tcPr>
          <w:p w14:paraId="22201DB0" w14:textId="77777777" w:rsidR="00CD4846" w:rsidRPr="00CD4846" w:rsidRDefault="00CD4846" w:rsidP="00EE502F">
            <w:pPr>
              <w:widowControl w:val="0"/>
              <w:autoSpaceDE w:val="0"/>
              <w:autoSpaceDN w:val="0"/>
              <w:adjustRightInd w:val="0"/>
              <w:spacing w:line="240" w:lineRule="auto"/>
              <w:rPr>
                <w:rFonts w:eastAsia="Calibri" w:cs="Times New Roman"/>
                <w:b/>
                <w:kern w:val="2"/>
                <w:sz w:val="20"/>
                <w:szCs w:val="20"/>
                <w:lang/>
              </w:rPr>
            </w:pPr>
            <w:r w:rsidRPr="00CD4846">
              <w:rPr>
                <w:rFonts w:eastAsia="Calibri" w:cs="Times New Roman"/>
                <w:b/>
                <w:kern w:val="2"/>
                <w:sz w:val="20"/>
                <w:szCs w:val="20"/>
                <w:lang/>
              </w:rPr>
              <w:t xml:space="preserve">Intra-State </w:t>
            </w:r>
            <w:r w:rsidRPr="00CD4846">
              <w:rPr>
                <w:rFonts w:eastAsia="Calibri" w:cs="Times New Roman"/>
                <w:b/>
                <w:kern w:val="2"/>
                <w:sz w:val="20"/>
                <w:szCs w:val="20"/>
                <w:lang/>
              </w:rPr>
              <w:t>OR</w:t>
            </w:r>
          </w:p>
        </w:tc>
        <w:tc>
          <w:tcPr>
            <w:tcW w:w="702" w:type="pct"/>
            <w:tcBorders>
              <w:top w:val="single" w:sz="4" w:space="0" w:color="auto"/>
              <w:left w:val="nil"/>
              <w:bottom w:val="single" w:sz="4" w:space="0" w:color="auto"/>
              <w:right w:val="nil"/>
            </w:tcBorders>
            <w:hideMark/>
          </w:tcPr>
          <w:p w14:paraId="451FAE79" w14:textId="77777777" w:rsidR="00CD4846" w:rsidRPr="00CD4846" w:rsidRDefault="00CD4846" w:rsidP="00EE502F">
            <w:pPr>
              <w:widowControl w:val="0"/>
              <w:autoSpaceDE w:val="0"/>
              <w:autoSpaceDN w:val="0"/>
              <w:adjustRightInd w:val="0"/>
              <w:spacing w:line="240" w:lineRule="auto"/>
              <w:rPr>
                <w:rFonts w:eastAsia="Calibri" w:cs="Times New Roman"/>
                <w:b/>
                <w:kern w:val="2"/>
                <w:sz w:val="20"/>
                <w:szCs w:val="20"/>
                <w:lang/>
              </w:rPr>
            </w:pPr>
            <w:r w:rsidRPr="00CD4846">
              <w:rPr>
                <w:rFonts w:eastAsia="Calibri" w:cs="Times New Roman"/>
                <w:b/>
                <w:kern w:val="2"/>
                <w:sz w:val="20"/>
                <w:szCs w:val="20"/>
                <w:lang/>
              </w:rPr>
              <w:t xml:space="preserve">Inter-State </w:t>
            </w:r>
            <w:r w:rsidRPr="00CD4846">
              <w:rPr>
                <w:rFonts w:eastAsia="Calibri" w:cs="Times New Roman"/>
                <w:b/>
                <w:kern w:val="2"/>
                <w:sz w:val="20"/>
                <w:szCs w:val="20"/>
                <w:lang/>
              </w:rPr>
              <w:t>OR</w:t>
            </w:r>
          </w:p>
        </w:tc>
        <w:tc>
          <w:tcPr>
            <w:tcW w:w="549" w:type="pct"/>
            <w:tcBorders>
              <w:top w:val="single" w:sz="4" w:space="0" w:color="auto"/>
              <w:left w:val="nil"/>
              <w:bottom w:val="single" w:sz="4" w:space="0" w:color="auto"/>
              <w:right w:val="nil"/>
            </w:tcBorders>
            <w:hideMark/>
          </w:tcPr>
          <w:p w14:paraId="6B752103" w14:textId="77777777" w:rsidR="00CD4846" w:rsidRPr="00CD4846" w:rsidRDefault="00CD4846" w:rsidP="00EE502F">
            <w:pPr>
              <w:widowControl w:val="0"/>
              <w:autoSpaceDE w:val="0"/>
              <w:autoSpaceDN w:val="0"/>
              <w:adjustRightInd w:val="0"/>
              <w:spacing w:line="240" w:lineRule="auto"/>
              <w:rPr>
                <w:rFonts w:eastAsia="Calibri" w:cs="Times New Roman"/>
                <w:b/>
                <w:kern w:val="2"/>
                <w:sz w:val="20"/>
                <w:szCs w:val="20"/>
                <w:lang/>
              </w:rPr>
            </w:pPr>
            <w:r w:rsidRPr="00CD4846">
              <w:rPr>
                <w:rFonts w:eastAsia="Calibri" w:cs="Times New Roman"/>
                <w:b/>
                <w:kern w:val="2"/>
                <w:sz w:val="20"/>
                <w:szCs w:val="20"/>
                <w:lang/>
              </w:rPr>
              <w:t>Total Exits</w:t>
            </w:r>
          </w:p>
        </w:tc>
      </w:tr>
      <w:tr w:rsidR="009D3026" w:rsidRPr="00C00EE4" w14:paraId="0D8FA352" w14:textId="77777777" w:rsidTr="001953BB">
        <w:tc>
          <w:tcPr>
            <w:tcW w:w="1323" w:type="pct"/>
            <w:tcBorders>
              <w:top w:val="single" w:sz="4" w:space="0" w:color="auto"/>
              <w:left w:val="nil"/>
              <w:bottom w:val="nil"/>
              <w:right w:val="nil"/>
            </w:tcBorders>
            <w:hideMark/>
          </w:tcPr>
          <w:p w14:paraId="60339AAF"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 xml:space="preserve">Broad </w:t>
            </w:r>
            <w:r w:rsidRPr="00CD4846">
              <w:rPr>
                <w:rFonts w:eastAsia="Calibri" w:cs="Times New Roman"/>
                <w:kern w:val="2"/>
                <w:sz w:val="20"/>
                <w:szCs w:val="20"/>
                <w:lang/>
              </w:rPr>
              <w:t>PA</w:t>
            </w:r>
            <w:r w:rsidRPr="00CD4846">
              <w:rPr>
                <w:rFonts w:eastAsia="Calibri" w:cs="Times New Roman"/>
                <w:kern w:val="2"/>
                <w:sz w:val="20"/>
                <w:szCs w:val="20"/>
                <w:lang/>
              </w:rPr>
              <w:t xml:space="preserve">D </w:t>
            </w:r>
            <w:r w:rsidRPr="00CD4846">
              <w:rPr>
                <w:rFonts w:eastAsia="Calibri" w:cs="Times New Roman"/>
                <w:kern w:val="2"/>
                <w:sz w:val="20"/>
                <w:szCs w:val="20"/>
                <w:lang/>
              </w:rPr>
              <w:t>(t-1)</w:t>
            </w:r>
          </w:p>
        </w:tc>
        <w:tc>
          <w:tcPr>
            <w:tcW w:w="516" w:type="pct"/>
            <w:tcBorders>
              <w:top w:val="single" w:sz="4" w:space="0" w:color="auto"/>
              <w:left w:val="nil"/>
              <w:bottom w:val="nil"/>
              <w:right w:val="nil"/>
            </w:tcBorders>
            <w:hideMark/>
          </w:tcPr>
          <w:p w14:paraId="36C226E8"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1.161</w:t>
            </w:r>
          </w:p>
        </w:tc>
        <w:tc>
          <w:tcPr>
            <w:tcW w:w="1206" w:type="pct"/>
            <w:tcBorders>
              <w:top w:val="single" w:sz="4" w:space="0" w:color="auto"/>
              <w:left w:val="nil"/>
              <w:bottom w:val="nil"/>
              <w:right w:val="nil"/>
            </w:tcBorders>
            <w:hideMark/>
          </w:tcPr>
          <w:p w14:paraId="515B6B5F"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0.119</w:t>
            </w:r>
          </w:p>
        </w:tc>
        <w:tc>
          <w:tcPr>
            <w:tcW w:w="704" w:type="pct"/>
            <w:tcBorders>
              <w:top w:val="single" w:sz="4" w:space="0" w:color="auto"/>
              <w:left w:val="nil"/>
              <w:bottom w:val="nil"/>
              <w:right w:val="nil"/>
            </w:tcBorders>
            <w:hideMark/>
          </w:tcPr>
          <w:p w14:paraId="3B32F43A"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1.400</w:t>
            </w:r>
          </w:p>
        </w:tc>
        <w:tc>
          <w:tcPr>
            <w:tcW w:w="702" w:type="pct"/>
            <w:tcBorders>
              <w:top w:val="single" w:sz="4" w:space="0" w:color="auto"/>
              <w:left w:val="nil"/>
              <w:bottom w:val="nil"/>
              <w:right w:val="nil"/>
            </w:tcBorders>
            <w:hideMark/>
          </w:tcPr>
          <w:p w14:paraId="2CD0314F"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-21.726</w:t>
            </w:r>
          </w:p>
        </w:tc>
        <w:tc>
          <w:tcPr>
            <w:tcW w:w="549" w:type="pct"/>
            <w:tcBorders>
              <w:top w:val="single" w:sz="4" w:space="0" w:color="auto"/>
              <w:left w:val="nil"/>
              <w:bottom w:val="nil"/>
              <w:right w:val="nil"/>
            </w:tcBorders>
            <w:hideMark/>
          </w:tcPr>
          <w:p w14:paraId="4A006E2D"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1.061</w:t>
            </w:r>
          </w:p>
        </w:tc>
      </w:tr>
      <w:tr w:rsidR="009D3026" w:rsidRPr="00C00EE4" w14:paraId="4174C424" w14:textId="77777777" w:rsidTr="001953BB">
        <w:tc>
          <w:tcPr>
            <w:tcW w:w="1323" w:type="pct"/>
            <w:tcBorders>
              <w:top w:val="nil"/>
              <w:left w:val="nil"/>
              <w:bottom w:val="nil"/>
              <w:right w:val="nil"/>
            </w:tcBorders>
            <w:hideMark/>
          </w:tcPr>
          <w:p w14:paraId="5A7934A3"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 xml:space="preserve">  </w:t>
            </w:r>
          </w:p>
        </w:tc>
        <w:tc>
          <w:tcPr>
            <w:tcW w:w="516" w:type="pct"/>
            <w:tcBorders>
              <w:top w:val="nil"/>
              <w:left w:val="nil"/>
              <w:bottom w:val="nil"/>
              <w:right w:val="nil"/>
            </w:tcBorders>
            <w:hideMark/>
          </w:tcPr>
          <w:p w14:paraId="76E545BA"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(1.232)</w:t>
            </w:r>
          </w:p>
        </w:tc>
        <w:tc>
          <w:tcPr>
            <w:tcW w:w="1206" w:type="pct"/>
            <w:tcBorders>
              <w:top w:val="nil"/>
              <w:left w:val="nil"/>
              <w:bottom w:val="nil"/>
              <w:right w:val="nil"/>
            </w:tcBorders>
            <w:hideMark/>
          </w:tcPr>
          <w:p w14:paraId="54B0DBB8"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(2.676)</w:t>
            </w:r>
          </w:p>
        </w:tc>
        <w:tc>
          <w:tcPr>
            <w:tcW w:w="704" w:type="pct"/>
            <w:tcBorders>
              <w:top w:val="nil"/>
              <w:left w:val="nil"/>
              <w:bottom w:val="nil"/>
              <w:right w:val="nil"/>
            </w:tcBorders>
            <w:hideMark/>
          </w:tcPr>
          <w:p w14:paraId="1FE9F218"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(2.926)</w:t>
            </w:r>
          </w:p>
        </w:tc>
        <w:tc>
          <w:tcPr>
            <w:tcW w:w="702" w:type="pct"/>
            <w:tcBorders>
              <w:top w:val="nil"/>
              <w:left w:val="nil"/>
              <w:bottom w:val="nil"/>
              <w:right w:val="nil"/>
            </w:tcBorders>
            <w:hideMark/>
          </w:tcPr>
          <w:p w14:paraId="6CF94ACC"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(15.446)</w:t>
            </w:r>
          </w:p>
        </w:tc>
        <w:tc>
          <w:tcPr>
            <w:tcW w:w="549" w:type="pct"/>
            <w:tcBorders>
              <w:top w:val="nil"/>
              <w:left w:val="nil"/>
              <w:bottom w:val="nil"/>
              <w:right w:val="nil"/>
            </w:tcBorders>
            <w:hideMark/>
          </w:tcPr>
          <w:p w14:paraId="32B76A46"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(1.215)</w:t>
            </w:r>
          </w:p>
        </w:tc>
      </w:tr>
      <w:tr w:rsidR="009D3026" w:rsidRPr="00C00EE4" w14:paraId="4E666F28" w14:textId="77777777" w:rsidTr="001953BB">
        <w:tc>
          <w:tcPr>
            <w:tcW w:w="1323" w:type="pct"/>
            <w:tcBorders>
              <w:top w:val="nil"/>
              <w:left w:val="nil"/>
              <w:bottom w:val="nil"/>
              <w:right w:val="nil"/>
            </w:tcBorders>
            <w:hideMark/>
          </w:tcPr>
          <w:p w14:paraId="37956235"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 xml:space="preserve">Broad </w:t>
            </w:r>
            <w:r w:rsidRPr="00CD4846">
              <w:rPr>
                <w:rFonts w:eastAsia="Calibri" w:cs="Times New Roman"/>
                <w:kern w:val="2"/>
                <w:sz w:val="20"/>
                <w:szCs w:val="20"/>
                <w:lang/>
              </w:rPr>
              <w:t>PA</w:t>
            </w:r>
            <w:r w:rsidRPr="00CD4846">
              <w:rPr>
                <w:rFonts w:eastAsia="Calibri" w:cs="Times New Roman"/>
                <w:kern w:val="2"/>
                <w:sz w:val="20"/>
                <w:szCs w:val="20"/>
                <w:lang/>
              </w:rPr>
              <w:t xml:space="preserve">D </w:t>
            </w:r>
            <w:r w:rsidRPr="00CD4846">
              <w:rPr>
                <w:rFonts w:eastAsia="Calibri" w:cs="Times New Roman"/>
                <w:kern w:val="2"/>
                <w:sz w:val="20"/>
                <w:szCs w:val="20"/>
                <w:lang/>
              </w:rPr>
              <w:t>Sq</w:t>
            </w:r>
            <w:r w:rsidRPr="00CD4846">
              <w:rPr>
                <w:rFonts w:eastAsia="Calibri" w:cs="Times New Roman"/>
                <w:kern w:val="2"/>
                <w:sz w:val="20"/>
                <w:szCs w:val="20"/>
                <w:lang/>
              </w:rPr>
              <w:t>.</w:t>
            </w:r>
            <w:r w:rsidRPr="00CD4846">
              <w:rPr>
                <w:rFonts w:eastAsia="Calibri" w:cs="Times New Roman"/>
                <w:kern w:val="2"/>
                <w:sz w:val="20"/>
                <w:szCs w:val="20"/>
                <w:lang/>
              </w:rPr>
              <w:t xml:space="preserve"> (t-1)</w:t>
            </w:r>
          </w:p>
        </w:tc>
        <w:tc>
          <w:tcPr>
            <w:tcW w:w="516" w:type="pct"/>
            <w:tcBorders>
              <w:top w:val="nil"/>
              <w:left w:val="nil"/>
              <w:bottom w:val="nil"/>
              <w:right w:val="nil"/>
            </w:tcBorders>
            <w:hideMark/>
          </w:tcPr>
          <w:p w14:paraId="78E56FE1"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-2.168*</w:t>
            </w:r>
          </w:p>
        </w:tc>
        <w:tc>
          <w:tcPr>
            <w:tcW w:w="1206" w:type="pct"/>
            <w:tcBorders>
              <w:top w:val="nil"/>
              <w:left w:val="nil"/>
              <w:bottom w:val="nil"/>
              <w:right w:val="nil"/>
            </w:tcBorders>
            <w:hideMark/>
          </w:tcPr>
          <w:p w14:paraId="150208C5"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-0.830</w:t>
            </w:r>
          </w:p>
        </w:tc>
        <w:tc>
          <w:tcPr>
            <w:tcW w:w="704" w:type="pct"/>
            <w:tcBorders>
              <w:top w:val="nil"/>
              <w:left w:val="nil"/>
              <w:bottom w:val="nil"/>
              <w:right w:val="nil"/>
            </w:tcBorders>
            <w:hideMark/>
          </w:tcPr>
          <w:p w14:paraId="0A173520"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-1.886</w:t>
            </w:r>
          </w:p>
        </w:tc>
        <w:tc>
          <w:tcPr>
            <w:tcW w:w="702" w:type="pct"/>
            <w:tcBorders>
              <w:top w:val="nil"/>
              <w:left w:val="nil"/>
              <w:bottom w:val="nil"/>
              <w:right w:val="nil"/>
            </w:tcBorders>
            <w:hideMark/>
          </w:tcPr>
          <w:p w14:paraId="375DD202"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13.812</w:t>
            </w:r>
          </w:p>
        </w:tc>
        <w:tc>
          <w:tcPr>
            <w:tcW w:w="549" w:type="pct"/>
            <w:tcBorders>
              <w:top w:val="nil"/>
              <w:left w:val="nil"/>
              <w:bottom w:val="nil"/>
              <w:right w:val="nil"/>
            </w:tcBorders>
            <w:hideMark/>
          </w:tcPr>
          <w:p w14:paraId="254E7836"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-2.074</w:t>
            </w:r>
          </w:p>
        </w:tc>
      </w:tr>
      <w:tr w:rsidR="009D3026" w:rsidRPr="00C00EE4" w14:paraId="79C676FE" w14:textId="77777777" w:rsidTr="001953BB">
        <w:tc>
          <w:tcPr>
            <w:tcW w:w="1323" w:type="pct"/>
            <w:tcBorders>
              <w:top w:val="nil"/>
              <w:left w:val="nil"/>
              <w:bottom w:val="nil"/>
              <w:right w:val="nil"/>
            </w:tcBorders>
            <w:hideMark/>
          </w:tcPr>
          <w:p w14:paraId="4AC32C92"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 xml:space="preserve">  </w:t>
            </w:r>
          </w:p>
        </w:tc>
        <w:tc>
          <w:tcPr>
            <w:tcW w:w="516" w:type="pct"/>
            <w:tcBorders>
              <w:top w:val="nil"/>
              <w:left w:val="nil"/>
              <w:bottom w:val="nil"/>
              <w:right w:val="nil"/>
            </w:tcBorders>
            <w:hideMark/>
          </w:tcPr>
          <w:p w14:paraId="3C91AB1D"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(1.317)</w:t>
            </w:r>
          </w:p>
        </w:tc>
        <w:tc>
          <w:tcPr>
            <w:tcW w:w="1206" w:type="pct"/>
            <w:tcBorders>
              <w:top w:val="nil"/>
              <w:left w:val="nil"/>
              <w:bottom w:val="nil"/>
              <w:right w:val="nil"/>
            </w:tcBorders>
            <w:hideMark/>
          </w:tcPr>
          <w:p w14:paraId="3B5E5BB7"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(3.246)</w:t>
            </w:r>
          </w:p>
        </w:tc>
        <w:tc>
          <w:tcPr>
            <w:tcW w:w="704" w:type="pct"/>
            <w:tcBorders>
              <w:top w:val="nil"/>
              <w:left w:val="nil"/>
              <w:bottom w:val="nil"/>
              <w:right w:val="nil"/>
            </w:tcBorders>
            <w:hideMark/>
          </w:tcPr>
          <w:p w14:paraId="2DF14FB4"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(3.501)</w:t>
            </w:r>
          </w:p>
        </w:tc>
        <w:tc>
          <w:tcPr>
            <w:tcW w:w="702" w:type="pct"/>
            <w:tcBorders>
              <w:top w:val="nil"/>
              <w:left w:val="nil"/>
              <w:bottom w:val="nil"/>
              <w:right w:val="nil"/>
            </w:tcBorders>
            <w:hideMark/>
          </w:tcPr>
          <w:p w14:paraId="1D8B662A"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(13.032)</w:t>
            </w:r>
          </w:p>
        </w:tc>
        <w:tc>
          <w:tcPr>
            <w:tcW w:w="549" w:type="pct"/>
            <w:tcBorders>
              <w:top w:val="nil"/>
              <w:left w:val="nil"/>
              <w:bottom w:val="nil"/>
              <w:right w:val="nil"/>
            </w:tcBorders>
            <w:hideMark/>
          </w:tcPr>
          <w:p w14:paraId="07DB0E76"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(1.301)</w:t>
            </w:r>
          </w:p>
        </w:tc>
      </w:tr>
      <w:tr w:rsidR="009D3026" w:rsidRPr="00C00EE4" w14:paraId="13410C03" w14:textId="77777777" w:rsidTr="001953BB">
        <w:tc>
          <w:tcPr>
            <w:tcW w:w="1323" w:type="pct"/>
            <w:tcBorders>
              <w:top w:val="nil"/>
              <w:left w:val="nil"/>
              <w:bottom w:val="nil"/>
              <w:right w:val="nil"/>
            </w:tcBorders>
            <w:hideMark/>
          </w:tcPr>
          <w:p w14:paraId="4DCFDBF8"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Loc. Economies (t-1) (10ks)</w:t>
            </w:r>
          </w:p>
        </w:tc>
        <w:tc>
          <w:tcPr>
            <w:tcW w:w="516" w:type="pct"/>
            <w:tcBorders>
              <w:top w:val="nil"/>
              <w:left w:val="nil"/>
              <w:bottom w:val="nil"/>
              <w:right w:val="nil"/>
            </w:tcBorders>
            <w:hideMark/>
          </w:tcPr>
          <w:p w14:paraId="3A368FF0"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1.240***</w:t>
            </w:r>
          </w:p>
        </w:tc>
        <w:tc>
          <w:tcPr>
            <w:tcW w:w="1206" w:type="pct"/>
            <w:tcBorders>
              <w:top w:val="nil"/>
              <w:left w:val="nil"/>
              <w:bottom w:val="nil"/>
              <w:right w:val="nil"/>
            </w:tcBorders>
            <w:hideMark/>
          </w:tcPr>
          <w:p w14:paraId="5A3CB1AB"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0.760**</w:t>
            </w:r>
          </w:p>
        </w:tc>
        <w:tc>
          <w:tcPr>
            <w:tcW w:w="704" w:type="pct"/>
            <w:tcBorders>
              <w:top w:val="nil"/>
              <w:left w:val="nil"/>
              <w:bottom w:val="nil"/>
              <w:right w:val="nil"/>
            </w:tcBorders>
            <w:hideMark/>
          </w:tcPr>
          <w:p w14:paraId="6578D1E6"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0.968***</w:t>
            </w:r>
          </w:p>
        </w:tc>
        <w:tc>
          <w:tcPr>
            <w:tcW w:w="702" w:type="pct"/>
            <w:tcBorders>
              <w:top w:val="nil"/>
              <w:left w:val="nil"/>
              <w:bottom w:val="nil"/>
              <w:right w:val="nil"/>
            </w:tcBorders>
            <w:hideMark/>
          </w:tcPr>
          <w:p w14:paraId="67194A28"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0.025</w:t>
            </w:r>
          </w:p>
        </w:tc>
        <w:tc>
          <w:tcPr>
            <w:tcW w:w="549" w:type="pct"/>
            <w:tcBorders>
              <w:top w:val="nil"/>
              <w:left w:val="nil"/>
              <w:bottom w:val="nil"/>
              <w:right w:val="nil"/>
            </w:tcBorders>
            <w:hideMark/>
          </w:tcPr>
          <w:p w14:paraId="503EC60F"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1.238***</w:t>
            </w:r>
          </w:p>
        </w:tc>
      </w:tr>
      <w:tr w:rsidR="009D3026" w:rsidRPr="00C00EE4" w14:paraId="7AAD7AD5" w14:textId="77777777" w:rsidTr="001953BB">
        <w:tc>
          <w:tcPr>
            <w:tcW w:w="1323" w:type="pct"/>
            <w:tcBorders>
              <w:top w:val="nil"/>
              <w:left w:val="nil"/>
              <w:bottom w:val="nil"/>
              <w:right w:val="nil"/>
            </w:tcBorders>
            <w:hideMark/>
          </w:tcPr>
          <w:p w14:paraId="41768B68"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 xml:space="preserve">  </w:t>
            </w:r>
          </w:p>
        </w:tc>
        <w:tc>
          <w:tcPr>
            <w:tcW w:w="516" w:type="pct"/>
            <w:tcBorders>
              <w:top w:val="nil"/>
              <w:left w:val="nil"/>
              <w:bottom w:val="nil"/>
              <w:right w:val="nil"/>
            </w:tcBorders>
            <w:hideMark/>
          </w:tcPr>
          <w:p w14:paraId="7BCEF715"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(0.113)</w:t>
            </w:r>
          </w:p>
        </w:tc>
        <w:tc>
          <w:tcPr>
            <w:tcW w:w="1206" w:type="pct"/>
            <w:tcBorders>
              <w:top w:val="nil"/>
              <w:left w:val="nil"/>
              <w:bottom w:val="nil"/>
              <w:right w:val="nil"/>
            </w:tcBorders>
            <w:hideMark/>
          </w:tcPr>
          <w:p w14:paraId="4DE9ECD2"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(0.343)</w:t>
            </w:r>
          </w:p>
        </w:tc>
        <w:tc>
          <w:tcPr>
            <w:tcW w:w="704" w:type="pct"/>
            <w:tcBorders>
              <w:top w:val="nil"/>
              <w:left w:val="nil"/>
              <w:bottom w:val="nil"/>
              <w:right w:val="nil"/>
            </w:tcBorders>
            <w:hideMark/>
          </w:tcPr>
          <w:p w14:paraId="222F0870"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(0.327)</w:t>
            </w:r>
          </w:p>
        </w:tc>
        <w:tc>
          <w:tcPr>
            <w:tcW w:w="702" w:type="pct"/>
            <w:tcBorders>
              <w:top w:val="nil"/>
              <w:left w:val="nil"/>
              <w:bottom w:val="nil"/>
              <w:right w:val="nil"/>
            </w:tcBorders>
            <w:hideMark/>
          </w:tcPr>
          <w:p w14:paraId="0163637E"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(0.349)</w:t>
            </w:r>
          </w:p>
        </w:tc>
        <w:tc>
          <w:tcPr>
            <w:tcW w:w="549" w:type="pct"/>
            <w:tcBorders>
              <w:top w:val="nil"/>
              <w:left w:val="nil"/>
              <w:bottom w:val="nil"/>
              <w:right w:val="nil"/>
            </w:tcBorders>
            <w:hideMark/>
          </w:tcPr>
          <w:p w14:paraId="5CEC9218"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(0.113)</w:t>
            </w:r>
          </w:p>
        </w:tc>
      </w:tr>
      <w:tr w:rsidR="009D3026" w:rsidRPr="00C00EE4" w14:paraId="79BAABE7" w14:textId="77777777" w:rsidTr="001953BB">
        <w:tc>
          <w:tcPr>
            <w:tcW w:w="1323" w:type="pct"/>
            <w:tcBorders>
              <w:top w:val="nil"/>
              <w:left w:val="nil"/>
              <w:bottom w:val="nil"/>
              <w:right w:val="nil"/>
            </w:tcBorders>
            <w:hideMark/>
          </w:tcPr>
          <w:p w14:paraId="6C4E3A0F"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Median HH Income (100ks)</w:t>
            </w:r>
          </w:p>
        </w:tc>
        <w:tc>
          <w:tcPr>
            <w:tcW w:w="516" w:type="pct"/>
            <w:tcBorders>
              <w:top w:val="nil"/>
              <w:left w:val="nil"/>
              <w:bottom w:val="nil"/>
              <w:right w:val="nil"/>
            </w:tcBorders>
            <w:hideMark/>
          </w:tcPr>
          <w:p w14:paraId="101634E2" w14:textId="7DF88EBE"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-0.538**</w:t>
            </w:r>
          </w:p>
        </w:tc>
        <w:tc>
          <w:tcPr>
            <w:tcW w:w="1206" w:type="pct"/>
            <w:tcBorders>
              <w:top w:val="nil"/>
              <w:left w:val="nil"/>
              <w:bottom w:val="nil"/>
              <w:right w:val="nil"/>
            </w:tcBorders>
            <w:hideMark/>
          </w:tcPr>
          <w:p w14:paraId="3EF77714"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-0.316</w:t>
            </w:r>
          </w:p>
        </w:tc>
        <w:tc>
          <w:tcPr>
            <w:tcW w:w="704" w:type="pct"/>
            <w:tcBorders>
              <w:top w:val="nil"/>
              <w:left w:val="nil"/>
              <w:bottom w:val="nil"/>
              <w:right w:val="nil"/>
            </w:tcBorders>
            <w:hideMark/>
          </w:tcPr>
          <w:p w14:paraId="369FFDDA"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-0.327</w:t>
            </w:r>
          </w:p>
        </w:tc>
        <w:tc>
          <w:tcPr>
            <w:tcW w:w="702" w:type="pct"/>
            <w:tcBorders>
              <w:top w:val="nil"/>
              <w:left w:val="nil"/>
              <w:bottom w:val="nil"/>
              <w:right w:val="nil"/>
            </w:tcBorders>
            <w:hideMark/>
          </w:tcPr>
          <w:p w14:paraId="32DA67E4"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1.105</w:t>
            </w:r>
          </w:p>
        </w:tc>
        <w:tc>
          <w:tcPr>
            <w:tcW w:w="549" w:type="pct"/>
            <w:tcBorders>
              <w:top w:val="nil"/>
              <w:left w:val="nil"/>
              <w:bottom w:val="nil"/>
              <w:right w:val="nil"/>
            </w:tcBorders>
            <w:hideMark/>
          </w:tcPr>
          <w:p w14:paraId="7FD06B8B"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-0.538***</w:t>
            </w:r>
          </w:p>
        </w:tc>
      </w:tr>
      <w:tr w:rsidR="009D3026" w:rsidRPr="00C00EE4" w14:paraId="3D51EB26" w14:textId="77777777" w:rsidTr="001953BB">
        <w:tc>
          <w:tcPr>
            <w:tcW w:w="1323" w:type="pct"/>
            <w:tcBorders>
              <w:top w:val="nil"/>
              <w:left w:val="nil"/>
              <w:bottom w:val="nil"/>
              <w:right w:val="nil"/>
            </w:tcBorders>
            <w:hideMark/>
          </w:tcPr>
          <w:p w14:paraId="0961B93A"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 xml:space="preserve">  </w:t>
            </w:r>
          </w:p>
        </w:tc>
        <w:tc>
          <w:tcPr>
            <w:tcW w:w="516" w:type="pct"/>
            <w:tcBorders>
              <w:top w:val="nil"/>
              <w:left w:val="nil"/>
              <w:bottom w:val="nil"/>
              <w:right w:val="nil"/>
            </w:tcBorders>
            <w:hideMark/>
          </w:tcPr>
          <w:p w14:paraId="050BA6BD"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(0.178)</w:t>
            </w:r>
          </w:p>
        </w:tc>
        <w:tc>
          <w:tcPr>
            <w:tcW w:w="1206" w:type="pct"/>
            <w:tcBorders>
              <w:top w:val="nil"/>
              <w:left w:val="nil"/>
              <w:bottom w:val="nil"/>
              <w:right w:val="nil"/>
            </w:tcBorders>
            <w:hideMark/>
          </w:tcPr>
          <w:p w14:paraId="2B084AC5"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(0.309)</w:t>
            </w:r>
          </w:p>
        </w:tc>
        <w:tc>
          <w:tcPr>
            <w:tcW w:w="704" w:type="pct"/>
            <w:tcBorders>
              <w:top w:val="nil"/>
              <w:left w:val="nil"/>
              <w:bottom w:val="nil"/>
              <w:right w:val="nil"/>
            </w:tcBorders>
            <w:hideMark/>
          </w:tcPr>
          <w:p w14:paraId="7829448D"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(0.306)</w:t>
            </w:r>
          </w:p>
        </w:tc>
        <w:tc>
          <w:tcPr>
            <w:tcW w:w="702" w:type="pct"/>
            <w:tcBorders>
              <w:top w:val="nil"/>
              <w:left w:val="nil"/>
              <w:bottom w:val="nil"/>
              <w:right w:val="nil"/>
            </w:tcBorders>
            <w:hideMark/>
          </w:tcPr>
          <w:p w14:paraId="6237BF05"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(1.824)</w:t>
            </w:r>
          </w:p>
        </w:tc>
        <w:tc>
          <w:tcPr>
            <w:tcW w:w="549" w:type="pct"/>
            <w:tcBorders>
              <w:top w:val="nil"/>
              <w:left w:val="nil"/>
              <w:bottom w:val="nil"/>
              <w:right w:val="nil"/>
            </w:tcBorders>
            <w:hideMark/>
          </w:tcPr>
          <w:p w14:paraId="0FA80EF1"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(0.175)</w:t>
            </w:r>
          </w:p>
        </w:tc>
      </w:tr>
      <w:tr w:rsidR="009D3026" w:rsidRPr="00C00EE4" w14:paraId="475E4488" w14:textId="77777777" w:rsidTr="001953BB">
        <w:tc>
          <w:tcPr>
            <w:tcW w:w="1323" w:type="pct"/>
            <w:tcBorders>
              <w:top w:val="nil"/>
              <w:left w:val="nil"/>
              <w:bottom w:val="nil"/>
              <w:right w:val="nil"/>
            </w:tcBorders>
            <w:hideMark/>
          </w:tcPr>
          <w:p w14:paraId="0AB6E21B"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Housing Price Index (100s)</w:t>
            </w:r>
          </w:p>
        </w:tc>
        <w:tc>
          <w:tcPr>
            <w:tcW w:w="516" w:type="pct"/>
            <w:tcBorders>
              <w:top w:val="nil"/>
              <w:left w:val="nil"/>
              <w:bottom w:val="nil"/>
              <w:right w:val="nil"/>
            </w:tcBorders>
            <w:hideMark/>
          </w:tcPr>
          <w:p w14:paraId="250CDC5C"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0.036**</w:t>
            </w:r>
          </w:p>
        </w:tc>
        <w:tc>
          <w:tcPr>
            <w:tcW w:w="1206" w:type="pct"/>
            <w:tcBorders>
              <w:top w:val="nil"/>
              <w:left w:val="nil"/>
              <w:bottom w:val="nil"/>
              <w:right w:val="nil"/>
            </w:tcBorders>
            <w:hideMark/>
          </w:tcPr>
          <w:p w14:paraId="796E71E3"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0.039*</w:t>
            </w:r>
          </w:p>
        </w:tc>
        <w:tc>
          <w:tcPr>
            <w:tcW w:w="704" w:type="pct"/>
            <w:tcBorders>
              <w:top w:val="nil"/>
              <w:left w:val="nil"/>
              <w:bottom w:val="nil"/>
              <w:right w:val="nil"/>
            </w:tcBorders>
            <w:hideMark/>
          </w:tcPr>
          <w:p w14:paraId="1D1401B6"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0.044*</w:t>
            </w:r>
          </w:p>
        </w:tc>
        <w:tc>
          <w:tcPr>
            <w:tcW w:w="702" w:type="pct"/>
            <w:tcBorders>
              <w:top w:val="nil"/>
              <w:left w:val="nil"/>
              <w:bottom w:val="nil"/>
              <w:right w:val="nil"/>
            </w:tcBorders>
            <w:hideMark/>
          </w:tcPr>
          <w:p w14:paraId="23925A7E"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-0.237**</w:t>
            </w:r>
          </w:p>
        </w:tc>
        <w:tc>
          <w:tcPr>
            <w:tcW w:w="549" w:type="pct"/>
            <w:tcBorders>
              <w:top w:val="nil"/>
              <w:left w:val="nil"/>
              <w:bottom w:val="nil"/>
              <w:right w:val="nil"/>
            </w:tcBorders>
            <w:hideMark/>
          </w:tcPr>
          <w:p w14:paraId="40A6502A"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0.035**</w:t>
            </w:r>
          </w:p>
        </w:tc>
      </w:tr>
      <w:tr w:rsidR="009D3026" w:rsidRPr="00C00EE4" w14:paraId="2970CF82" w14:textId="77777777" w:rsidTr="001953BB">
        <w:tc>
          <w:tcPr>
            <w:tcW w:w="1323" w:type="pct"/>
            <w:tcBorders>
              <w:top w:val="nil"/>
              <w:left w:val="nil"/>
              <w:bottom w:val="nil"/>
              <w:right w:val="nil"/>
            </w:tcBorders>
            <w:hideMark/>
          </w:tcPr>
          <w:p w14:paraId="0677F71E"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 xml:space="preserve">  </w:t>
            </w:r>
          </w:p>
        </w:tc>
        <w:tc>
          <w:tcPr>
            <w:tcW w:w="516" w:type="pct"/>
            <w:tcBorders>
              <w:top w:val="nil"/>
              <w:left w:val="nil"/>
              <w:bottom w:val="nil"/>
              <w:right w:val="nil"/>
            </w:tcBorders>
            <w:hideMark/>
          </w:tcPr>
          <w:p w14:paraId="434FE7FB"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(0.016)</w:t>
            </w:r>
          </w:p>
        </w:tc>
        <w:tc>
          <w:tcPr>
            <w:tcW w:w="1206" w:type="pct"/>
            <w:tcBorders>
              <w:top w:val="nil"/>
              <w:left w:val="nil"/>
              <w:bottom w:val="nil"/>
              <w:right w:val="nil"/>
            </w:tcBorders>
            <w:hideMark/>
          </w:tcPr>
          <w:p w14:paraId="6B8356DB"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(0.023)</w:t>
            </w:r>
          </w:p>
        </w:tc>
        <w:tc>
          <w:tcPr>
            <w:tcW w:w="704" w:type="pct"/>
            <w:tcBorders>
              <w:top w:val="nil"/>
              <w:left w:val="nil"/>
              <w:bottom w:val="nil"/>
              <w:right w:val="nil"/>
            </w:tcBorders>
            <w:hideMark/>
          </w:tcPr>
          <w:p w14:paraId="28A8051F"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(0.023)</w:t>
            </w:r>
          </w:p>
        </w:tc>
        <w:tc>
          <w:tcPr>
            <w:tcW w:w="702" w:type="pct"/>
            <w:tcBorders>
              <w:top w:val="nil"/>
              <w:left w:val="nil"/>
              <w:bottom w:val="nil"/>
              <w:right w:val="nil"/>
            </w:tcBorders>
            <w:hideMark/>
          </w:tcPr>
          <w:p w14:paraId="50D94FF3"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(0.100)</w:t>
            </w:r>
          </w:p>
        </w:tc>
        <w:tc>
          <w:tcPr>
            <w:tcW w:w="549" w:type="pct"/>
            <w:tcBorders>
              <w:top w:val="nil"/>
              <w:left w:val="nil"/>
              <w:bottom w:val="nil"/>
              <w:right w:val="nil"/>
            </w:tcBorders>
            <w:hideMark/>
          </w:tcPr>
          <w:p w14:paraId="3BDD0760"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(0.016)</w:t>
            </w:r>
          </w:p>
        </w:tc>
      </w:tr>
      <w:tr w:rsidR="009D3026" w:rsidRPr="00C00EE4" w14:paraId="36B053EC" w14:textId="77777777" w:rsidTr="001953BB">
        <w:tc>
          <w:tcPr>
            <w:tcW w:w="1323" w:type="pct"/>
            <w:tcBorders>
              <w:top w:val="nil"/>
              <w:left w:val="nil"/>
              <w:bottom w:val="nil"/>
              <w:right w:val="nil"/>
            </w:tcBorders>
            <w:hideMark/>
          </w:tcPr>
          <w:p w14:paraId="67D57BB3"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Poverty rate (100s)</w:t>
            </w:r>
          </w:p>
        </w:tc>
        <w:tc>
          <w:tcPr>
            <w:tcW w:w="516" w:type="pct"/>
            <w:tcBorders>
              <w:top w:val="nil"/>
              <w:left w:val="nil"/>
              <w:bottom w:val="nil"/>
              <w:right w:val="nil"/>
            </w:tcBorders>
            <w:hideMark/>
          </w:tcPr>
          <w:p w14:paraId="03F77B31"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-0.518*</w:t>
            </w:r>
          </w:p>
        </w:tc>
        <w:tc>
          <w:tcPr>
            <w:tcW w:w="1206" w:type="pct"/>
            <w:tcBorders>
              <w:top w:val="nil"/>
              <w:left w:val="nil"/>
              <w:bottom w:val="nil"/>
              <w:right w:val="nil"/>
            </w:tcBorders>
            <w:hideMark/>
          </w:tcPr>
          <w:p w14:paraId="483DAF43"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-1.971***</w:t>
            </w:r>
          </w:p>
        </w:tc>
        <w:tc>
          <w:tcPr>
            <w:tcW w:w="704" w:type="pct"/>
            <w:tcBorders>
              <w:top w:val="nil"/>
              <w:left w:val="nil"/>
              <w:bottom w:val="nil"/>
              <w:right w:val="nil"/>
            </w:tcBorders>
            <w:hideMark/>
          </w:tcPr>
          <w:p w14:paraId="01797A7B"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-1.911***</w:t>
            </w:r>
          </w:p>
        </w:tc>
        <w:tc>
          <w:tcPr>
            <w:tcW w:w="702" w:type="pct"/>
            <w:tcBorders>
              <w:top w:val="nil"/>
              <w:left w:val="nil"/>
              <w:bottom w:val="nil"/>
              <w:right w:val="nil"/>
            </w:tcBorders>
            <w:hideMark/>
          </w:tcPr>
          <w:p w14:paraId="2C5C6BB2"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-2.254</w:t>
            </w:r>
          </w:p>
        </w:tc>
        <w:tc>
          <w:tcPr>
            <w:tcW w:w="549" w:type="pct"/>
            <w:tcBorders>
              <w:top w:val="nil"/>
              <w:left w:val="nil"/>
              <w:bottom w:val="nil"/>
              <w:right w:val="nil"/>
            </w:tcBorders>
            <w:hideMark/>
          </w:tcPr>
          <w:p w14:paraId="709C492E"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-0.541*</w:t>
            </w:r>
          </w:p>
        </w:tc>
      </w:tr>
      <w:tr w:rsidR="009D3026" w:rsidRPr="00C00EE4" w14:paraId="2529B2E6" w14:textId="77777777" w:rsidTr="001953BB">
        <w:tc>
          <w:tcPr>
            <w:tcW w:w="1323" w:type="pct"/>
            <w:tcBorders>
              <w:top w:val="nil"/>
              <w:left w:val="nil"/>
              <w:bottom w:val="nil"/>
              <w:right w:val="nil"/>
            </w:tcBorders>
            <w:hideMark/>
          </w:tcPr>
          <w:p w14:paraId="25905DAD"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 xml:space="preserve">  </w:t>
            </w:r>
          </w:p>
        </w:tc>
        <w:tc>
          <w:tcPr>
            <w:tcW w:w="516" w:type="pct"/>
            <w:tcBorders>
              <w:top w:val="nil"/>
              <w:left w:val="nil"/>
              <w:bottom w:val="nil"/>
              <w:right w:val="nil"/>
            </w:tcBorders>
            <w:hideMark/>
          </w:tcPr>
          <w:p w14:paraId="2E6680A1"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(0.293)</w:t>
            </w:r>
          </w:p>
        </w:tc>
        <w:tc>
          <w:tcPr>
            <w:tcW w:w="1206" w:type="pct"/>
            <w:tcBorders>
              <w:top w:val="nil"/>
              <w:left w:val="nil"/>
              <w:bottom w:val="nil"/>
              <w:right w:val="nil"/>
            </w:tcBorders>
            <w:hideMark/>
          </w:tcPr>
          <w:p w14:paraId="2D615E9B"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(0.581)</w:t>
            </w:r>
          </w:p>
        </w:tc>
        <w:tc>
          <w:tcPr>
            <w:tcW w:w="704" w:type="pct"/>
            <w:tcBorders>
              <w:top w:val="nil"/>
              <w:left w:val="nil"/>
              <w:bottom w:val="nil"/>
              <w:right w:val="nil"/>
            </w:tcBorders>
            <w:hideMark/>
          </w:tcPr>
          <w:p w14:paraId="0B772A0B"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(0.584)</w:t>
            </w:r>
          </w:p>
        </w:tc>
        <w:tc>
          <w:tcPr>
            <w:tcW w:w="702" w:type="pct"/>
            <w:tcBorders>
              <w:top w:val="nil"/>
              <w:left w:val="nil"/>
              <w:bottom w:val="nil"/>
              <w:right w:val="nil"/>
            </w:tcBorders>
            <w:hideMark/>
          </w:tcPr>
          <w:p w14:paraId="75949147"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(3.347)</w:t>
            </w:r>
          </w:p>
        </w:tc>
        <w:tc>
          <w:tcPr>
            <w:tcW w:w="549" w:type="pct"/>
            <w:tcBorders>
              <w:top w:val="nil"/>
              <w:left w:val="nil"/>
              <w:bottom w:val="nil"/>
              <w:right w:val="nil"/>
            </w:tcBorders>
            <w:hideMark/>
          </w:tcPr>
          <w:p w14:paraId="5F965437"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(0.290)</w:t>
            </w:r>
          </w:p>
        </w:tc>
      </w:tr>
      <w:tr w:rsidR="009D3026" w:rsidRPr="00C00EE4" w14:paraId="174BCFF3" w14:textId="77777777" w:rsidTr="001953BB">
        <w:tc>
          <w:tcPr>
            <w:tcW w:w="1323" w:type="pct"/>
            <w:tcBorders>
              <w:top w:val="nil"/>
              <w:left w:val="nil"/>
              <w:bottom w:val="nil"/>
              <w:right w:val="nil"/>
            </w:tcBorders>
            <w:hideMark/>
          </w:tcPr>
          <w:p w14:paraId="4BC0F121"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Avg annual wages (100k)</w:t>
            </w:r>
          </w:p>
        </w:tc>
        <w:tc>
          <w:tcPr>
            <w:tcW w:w="516" w:type="pct"/>
            <w:tcBorders>
              <w:top w:val="nil"/>
              <w:left w:val="nil"/>
              <w:bottom w:val="nil"/>
              <w:right w:val="nil"/>
            </w:tcBorders>
            <w:hideMark/>
          </w:tcPr>
          <w:p w14:paraId="43EF5515"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0.085***</w:t>
            </w:r>
          </w:p>
        </w:tc>
        <w:tc>
          <w:tcPr>
            <w:tcW w:w="1206" w:type="pct"/>
            <w:tcBorders>
              <w:top w:val="nil"/>
              <w:left w:val="nil"/>
              <w:bottom w:val="nil"/>
              <w:right w:val="nil"/>
            </w:tcBorders>
            <w:hideMark/>
          </w:tcPr>
          <w:p w14:paraId="4F9FD527"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0.083***</w:t>
            </w:r>
          </w:p>
        </w:tc>
        <w:tc>
          <w:tcPr>
            <w:tcW w:w="704" w:type="pct"/>
            <w:tcBorders>
              <w:top w:val="nil"/>
              <w:left w:val="nil"/>
              <w:bottom w:val="nil"/>
              <w:right w:val="nil"/>
            </w:tcBorders>
            <w:hideMark/>
          </w:tcPr>
          <w:p w14:paraId="41C120CB"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0.077***</w:t>
            </w:r>
          </w:p>
        </w:tc>
        <w:tc>
          <w:tcPr>
            <w:tcW w:w="702" w:type="pct"/>
            <w:tcBorders>
              <w:top w:val="nil"/>
              <w:left w:val="nil"/>
              <w:bottom w:val="nil"/>
              <w:right w:val="nil"/>
            </w:tcBorders>
            <w:hideMark/>
          </w:tcPr>
          <w:p w14:paraId="2913ED9B"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0.113***</w:t>
            </w:r>
          </w:p>
        </w:tc>
        <w:tc>
          <w:tcPr>
            <w:tcW w:w="549" w:type="pct"/>
            <w:tcBorders>
              <w:top w:val="nil"/>
              <w:left w:val="nil"/>
              <w:bottom w:val="nil"/>
              <w:right w:val="nil"/>
            </w:tcBorders>
            <w:hideMark/>
          </w:tcPr>
          <w:p w14:paraId="7C8F0F53"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0.085***</w:t>
            </w:r>
          </w:p>
        </w:tc>
      </w:tr>
      <w:tr w:rsidR="009D3026" w:rsidRPr="00C00EE4" w14:paraId="014345FE" w14:textId="77777777" w:rsidTr="001953BB">
        <w:tc>
          <w:tcPr>
            <w:tcW w:w="1323" w:type="pct"/>
            <w:tcBorders>
              <w:top w:val="nil"/>
              <w:left w:val="nil"/>
              <w:bottom w:val="nil"/>
              <w:right w:val="nil"/>
            </w:tcBorders>
            <w:hideMark/>
          </w:tcPr>
          <w:p w14:paraId="52756D3A"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 xml:space="preserve">  </w:t>
            </w:r>
          </w:p>
        </w:tc>
        <w:tc>
          <w:tcPr>
            <w:tcW w:w="516" w:type="pct"/>
            <w:tcBorders>
              <w:top w:val="nil"/>
              <w:left w:val="nil"/>
              <w:bottom w:val="nil"/>
              <w:right w:val="nil"/>
            </w:tcBorders>
            <w:hideMark/>
          </w:tcPr>
          <w:p w14:paraId="7DEC1CA3"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(0.010)</w:t>
            </w:r>
          </w:p>
        </w:tc>
        <w:tc>
          <w:tcPr>
            <w:tcW w:w="1206" w:type="pct"/>
            <w:tcBorders>
              <w:top w:val="nil"/>
              <w:left w:val="nil"/>
              <w:bottom w:val="nil"/>
              <w:right w:val="nil"/>
            </w:tcBorders>
            <w:hideMark/>
          </w:tcPr>
          <w:p w14:paraId="66139FDC"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(0.011)</w:t>
            </w:r>
          </w:p>
        </w:tc>
        <w:tc>
          <w:tcPr>
            <w:tcW w:w="704" w:type="pct"/>
            <w:tcBorders>
              <w:top w:val="nil"/>
              <w:left w:val="nil"/>
              <w:bottom w:val="nil"/>
              <w:right w:val="nil"/>
            </w:tcBorders>
            <w:hideMark/>
          </w:tcPr>
          <w:p w14:paraId="19E8A480"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(0.011)</w:t>
            </w:r>
          </w:p>
        </w:tc>
        <w:tc>
          <w:tcPr>
            <w:tcW w:w="702" w:type="pct"/>
            <w:tcBorders>
              <w:top w:val="nil"/>
              <w:left w:val="nil"/>
              <w:bottom w:val="nil"/>
              <w:right w:val="nil"/>
            </w:tcBorders>
            <w:hideMark/>
          </w:tcPr>
          <w:p w14:paraId="0CFB735B"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(0.025)</w:t>
            </w:r>
          </w:p>
        </w:tc>
        <w:tc>
          <w:tcPr>
            <w:tcW w:w="549" w:type="pct"/>
            <w:tcBorders>
              <w:top w:val="nil"/>
              <w:left w:val="nil"/>
              <w:bottom w:val="nil"/>
              <w:right w:val="nil"/>
            </w:tcBorders>
            <w:hideMark/>
          </w:tcPr>
          <w:p w14:paraId="25852E05"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(0.010)</w:t>
            </w:r>
          </w:p>
        </w:tc>
      </w:tr>
      <w:tr w:rsidR="009D3026" w:rsidRPr="00C00EE4" w14:paraId="6578190B" w14:textId="77777777" w:rsidTr="001953BB">
        <w:tc>
          <w:tcPr>
            <w:tcW w:w="1323" w:type="pct"/>
            <w:tcBorders>
              <w:top w:val="nil"/>
              <w:left w:val="nil"/>
              <w:bottom w:val="nil"/>
              <w:right w:val="nil"/>
            </w:tcBorders>
            <w:hideMark/>
          </w:tcPr>
          <w:p w14:paraId="0CE0E264"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Attainment Status-CO (t-1)</w:t>
            </w:r>
          </w:p>
        </w:tc>
        <w:tc>
          <w:tcPr>
            <w:tcW w:w="516" w:type="pct"/>
            <w:tcBorders>
              <w:top w:val="nil"/>
              <w:left w:val="nil"/>
              <w:bottom w:val="nil"/>
              <w:right w:val="nil"/>
            </w:tcBorders>
            <w:hideMark/>
          </w:tcPr>
          <w:p w14:paraId="2A59C3E3"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0.113</w:t>
            </w:r>
          </w:p>
        </w:tc>
        <w:tc>
          <w:tcPr>
            <w:tcW w:w="1206" w:type="pct"/>
            <w:tcBorders>
              <w:top w:val="nil"/>
              <w:left w:val="nil"/>
              <w:bottom w:val="nil"/>
              <w:right w:val="nil"/>
            </w:tcBorders>
            <w:hideMark/>
          </w:tcPr>
          <w:p w14:paraId="50BCAB3A"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0.770**</w:t>
            </w:r>
          </w:p>
        </w:tc>
        <w:tc>
          <w:tcPr>
            <w:tcW w:w="704" w:type="pct"/>
            <w:tcBorders>
              <w:top w:val="nil"/>
              <w:left w:val="nil"/>
              <w:bottom w:val="nil"/>
              <w:right w:val="nil"/>
            </w:tcBorders>
            <w:hideMark/>
          </w:tcPr>
          <w:p w14:paraId="7101A466"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0.738**</w:t>
            </w:r>
          </w:p>
        </w:tc>
        <w:tc>
          <w:tcPr>
            <w:tcW w:w="702" w:type="pct"/>
            <w:tcBorders>
              <w:top w:val="nil"/>
              <w:left w:val="nil"/>
              <w:bottom w:val="nil"/>
              <w:right w:val="nil"/>
            </w:tcBorders>
          </w:tcPr>
          <w:p w14:paraId="670CDAC8"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p>
        </w:tc>
        <w:tc>
          <w:tcPr>
            <w:tcW w:w="549" w:type="pct"/>
            <w:tcBorders>
              <w:top w:val="nil"/>
              <w:left w:val="nil"/>
              <w:bottom w:val="nil"/>
              <w:right w:val="nil"/>
            </w:tcBorders>
            <w:hideMark/>
          </w:tcPr>
          <w:p w14:paraId="73322310"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0.139*</w:t>
            </w:r>
          </w:p>
        </w:tc>
      </w:tr>
      <w:tr w:rsidR="009D3026" w:rsidRPr="00C00EE4" w14:paraId="4FAC5DFD" w14:textId="77777777" w:rsidTr="001953BB">
        <w:tc>
          <w:tcPr>
            <w:tcW w:w="1323" w:type="pct"/>
            <w:tcBorders>
              <w:top w:val="nil"/>
              <w:left w:val="nil"/>
              <w:bottom w:val="nil"/>
              <w:right w:val="nil"/>
            </w:tcBorders>
            <w:hideMark/>
          </w:tcPr>
          <w:p w14:paraId="4B659B21"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 xml:space="preserve">  </w:t>
            </w:r>
          </w:p>
        </w:tc>
        <w:tc>
          <w:tcPr>
            <w:tcW w:w="516" w:type="pct"/>
            <w:tcBorders>
              <w:top w:val="nil"/>
              <w:left w:val="nil"/>
              <w:bottom w:val="nil"/>
              <w:right w:val="nil"/>
            </w:tcBorders>
            <w:hideMark/>
          </w:tcPr>
          <w:p w14:paraId="13FD1C8E"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(0.101)</w:t>
            </w:r>
          </w:p>
        </w:tc>
        <w:tc>
          <w:tcPr>
            <w:tcW w:w="1206" w:type="pct"/>
            <w:tcBorders>
              <w:top w:val="nil"/>
              <w:left w:val="nil"/>
              <w:bottom w:val="nil"/>
              <w:right w:val="nil"/>
            </w:tcBorders>
            <w:hideMark/>
          </w:tcPr>
          <w:p w14:paraId="703D25B6"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(0.372)</w:t>
            </w:r>
          </w:p>
        </w:tc>
        <w:tc>
          <w:tcPr>
            <w:tcW w:w="704" w:type="pct"/>
            <w:tcBorders>
              <w:top w:val="nil"/>
              <w:left w:val="nil"/>
              <w:bottom w:val="nil"/>
              <w:right w:val="nil"/>
            </w:tcBorders>
            <w:hideMark/>
          </w:tcPr>
          <w:p w14:paraId="74DCA4CF"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(0.366)</w:t>
            </w:r>
          </w:p>
        </w:tc>
        <w:tc>
          <w:tcPr>
            <w:tcW w:w="702" w:type="pct"/>
            <w:tcBorders>
              <w:top w:val="nil"/>
              <w:left w:val="nil"/>
              <w:bottom w:val="nil"/>
              <w:right w:val="nil"/>
            </w:tcBorders>
          </w:tcPr>
          <w:p w14:paraId="4FAB9667"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p>
        </w:tc>
        <w:tc>
          <w:tcPr>
            <w:tcW w:w="549" w:type="pct"/>
            <w:tcBorders>
              <w:top w:val="nil"/>
              <w:left w:val="nil"/>
              <w:bottom w:val="nil"/>
              <w:right w:val="nil"/>
            </w:tcBorders>
            <w:hideMark/>
          </w:tcPr>
          <w:p w14:paraId="04B5DB57"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(0.084)</w:t>
            </w:r>
          </w:p>
        </w:tc>
      </w:tr>
      <w:tr w:rsidR="009D3026" w:rsidRPr="00C00EE4" w14:paraId="09AF56C1" w14:textId="77777777" w:rsidTr="001953BB">
        <w:tc>
          <w:tcPr>
            <w:tcW w:w="1323" w:type="pct"/>
            <w:tcBorders>
              <w:top w:val="nil"/>
              <w:left w:val="nil"/>
              <w:bottom w:val="nil"/>
              <w:right w:val="nil"/>
            </w:tcBorders>
            <w:hideMark/>
          </w:tcPr>
          <w:p w14:paraId="229E9465"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Attainment Status-Pb (t-1)</w:t>
            </w:r>
          </w:p>
        </w:tc>
        <w:tc>
          <w:tcPr>
            <w:tcW w:w="516" w:type="pct"/>
            <w:tcBorders>
              <w:top w:val="nil"/>
              <w:left w:val="nil"/>
              <w:bottom w:val="nil"/>
              <w:right w:val="nil"/>
            </w:tcBorders>
            <w:hideMark/>
          </w:tcPr>
          <w:p w14:paraId="38AFA63B"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-0.052</w:t>
            </w:r>
          </w:p>
        </w:tc>
        <w:tc>
          <w:tcPr>
            <w:tcW w:w="1206" w:type="pct"/>
            <w:tcBorders>
              <w:top w:val="nil"/>
              <w:left w:val="nil"/>
              <w:bottom w:val="nil"/>
              <w:right w:val="nil"/>
            </w:tcBorders>
            <w:hideMark/>
          </w:tcPr>
          <w:p w14:paraId="45890079"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0.071</w:t>
            </w:r>
          </w:p>
        </w:tc>
        <w:tc>
          <w:tcPr>
            <w:tcW w:w="704" w:type="pct"/>
            <w:tcBorders>
              <w:top w:val="nil"/>
              <w:left w:val="nil"/>
              <w:bottom w:val="nil"/>
              <w:right w:val="nil"/>
            </w:tcBorders>
            <w:hideMark/>
          </w:tcPr>
          <w:p w14:paraId="33E3F009"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0.060</w:t>
            </w:r>
          </w:p>
        </w:tc>
        <w:tc>
          <w:tcPr>
            <w:tcW w:w="702" w:type="pct"/>
            <w:tcBorders>
              <w:top w:val="nil"/>
              <w:left w:val="nil"/>
              <w:bottom w:val="nil"/>
              <w:right w:val="nil"/>
            </w:tcBorders>
            <w:hideMark/>
          </w:tcPr>
          <w:p w14:paraId="4A7C4716"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0.488</w:t>
            </w:r>
          </w:p>
        </w:tc>
        <w:tc>
          <w:tcPr>
            <w:tcW w:w="549" w:type="pct"/>
            <w:tcBorders>
              <w:top w:val="nil"/>
              <w:left w:val="nil"/>
              <w:bottom w:val="nil"/>
              <w:right w:val="nil"/>
            </w:tcBorders>
            <w:hideMark/>
          </w:tcPr>
          <w:p w14:paraId="1CBFEB37"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-0.050</w:t>
            </w:r>
          </w:p>
        </w:tc>
      </w:tr>
      <w:tr w:rsidR="009D3026" w:rsidRPr="00C00EE4" w14:paraId="57D05F49" w14:textId="77777777" w:rsidTr="001953BB">
        <w:tc>
          <w:tcPr>
            <w:tcW w:w="1323" w:type="pct"/>
            <w:tcBorders>
              <w:top w:val="nil"/>
              <w:left w:val="nil"/>
              <w:bottom w:val="nil"/>
              <w:right w:val="nil"/>
            </w:tcBorders>
            <w:hideMark/>
          </w:tcPr>
          <w:p w14:paraId="269FDF50"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 xml:space="preserve">  </w:t>
            </w:r>
          </w:p>
        </w:tc>
        <w:tc>
          <w:tcPr>
            <w:tcW w:w="516" w:type="pct"/>
            <w:tcBorders>
              <w:top w:val="nil"/>
              <w:left w:val="nil"/>
              <w:bottom w:val="nil"/>
              <w:right w:val="nil"/>
            </w:tcBorders>
            <w:hideMark/>
          </w:tcPr>
          <w:p w14:paraId="5E46D88D"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(0.061)</w:t>
            </w:r>
          </w:p>
        </w:tc>
        <w:tc>
          <w:tcPr>
            <w:tcW w:w="1206" w:type="pct"/>
            <w:tcBorders>
              <w:top w:val="nil"/>
              <w:left w:val="nil"/>
              <w:bottom w:val="nil"/>
              <w:right w:val="nil"/>
            </w:tcBorders>
            <w:hideMark/>
          </w:tcPr>
          <w:p w14:paraId="5EEE86EB"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(0.149)</w:t>
            </w:r>
          </w:p>
        </w:tc>
        <w:tc>
          <w:tcPr>
            <w:tcW w:w="704" w:type="pct"/>
            <w:tcBorders>
              <w:top w:val="nil"/>
              <w:left w:val="nil"/>
              <w:bottom w:val="nil"/>
              <w:right w:val="nil"/>
            </w:tcBorders>
            <w:hideMark/>
          </w:tcPr>
          <w:p w14:paraId="7FBABC36"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(0.150)</w:t>
            </w:r>
          </w:p>
        </w:tc>
        <w:tc>
          <w:tcPr>
            <w:tcW w:w="702" w:type="pct"/>
            <w:tcBorders>
              <w:top w:val="nil"/>
              <w:left w:val="nil"/>
              <w:bottom w:val="nil"/>
              <w:right w:val="nil"/>
            </w:tcBorders>
            <w:hideMark/>
          </w:tcPr>
          <w:p w14:paraId="39D35176"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(0.749)</w:t>
            </w:r>
          </w:p>
        </w:tc>
        <w:tc>
          <w:tcPr>
            <w:tcW w:w="549" w:type="pct"/>
            <w:tcBorders>
              <w:top w:val="nil"/>
              <w:left w:val="nil"/>
              <w:bottom w:val="nil"/>
              <w:right w:val="nil"/>
            </w:tcBorders>
            <w:hideMark/>
          </w:tcPr>
          <w:p w14:paraId="7AE900CB"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(0.060)</w:t>
            </w:r>
          </w:p>
        </w:tc>
      </w:tr>
      <w:tr w:rsidR="009D3026" w:rsidRPr="00C00EE4" w14:paraId="1677E02B" w14:textId="77777777" w:rsidTr="001953BB">
        <w:tc>
          <w:tcPr>
            <w:tcW w:w="1323" w:type="pct"/>
            <w:tcBorders>
              <w:top w:val="nil"/>
              <w:left w:val="nil"/>
              <w:bottom w:val="nil"/>
              <w:right w:val="nil"/>
            </w:tcBorders>
            <w:hideMark/>
          </w:tcPr>
          <w:p w14:paraId="6FE450F4"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Attainment Status-O3 (t-1)</w:t>
            </w:r>
          </w:p>
        </w:tc>
        <w:tc>
          <w:tcPr>
            <w:tcW w:w="516" w:type="pct"/>
            <w:tcBorders>
              <w:top w:val="nil"/>
              <w:left w:val="nil"/>
              <w:bottom w:val="nil"/>
              <w:right w:val="nil"/>
            </w:tcBorders>
            <w:hideMark/>
          </w:tcPr>
          <w:p w14:paraId="25028DE3"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0.012</w:t>
            </w:r>
          </w:p>
        </w:tc>
        <w:tc>
          <w:tcPr>
            <w:tcW w:w="1206" w:type="pct"/>
            <w:tcBorders>
              <w:top w:val="nil"/>
              <w:left w:val="nil"/>
              <w:bottom w:val="nil"/>
              <w:right w:val="nil"/>
            </w:tcBorders>
            <w:hideMark/>
          </w:tcPr>
          <w:p w14:paraId="6E0A1102"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0.048</w:t>
            </w:r>
          </w:p>
        </w:tc>
        <w:tc>
          <w:tcPr>
            <w:tcW w:w="704" w:type="pct"/>
            <w:tcBorders>
              <w:top w:val="nil"/>
              <w:left w:val="nil"/>
              <w:bottom w:val="nil"/>
              <w:right w:val="nil"/>
            </w:tcBorders>
            <w:hideMark/>
          </w:tcPr>
          <w:p w14:paraId="133B67E0"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0.048</w:t>
            </w:r>
          </w:p>
        </w:tc>
        <w:tc>
          <w:tcPr>
            <w:tcW w:w="702" w:type="pct"/>
            <w:tcBorders>
              <w:top w:val="nil"/>
              <w:left w:val="nil"/>
              <w:bottom w:val="nil"/>
              <w:right w:val="nil"/>
            </w:tcBorders>
            <w:hideMark/>
          </w:tcPr>
          <w:p w14:paraId="690CB073"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0.230</w:t>
            </w:r>
          </w:p>
        </w:tc>
        <w:tc>
          <w:tcPr>
            <w:tcW w:w="549" w:type="pct"/>
            <w:tcBorders>
              <w:top w:val="nil"/>
              <w:left w:val="nil"/>
              <w:bottom w:val="nil"/>
              <w:right w:val="nil"/>
            </w:tcBorders>
            <w:hideMark/>
          </w:tcPr>
          <w:p w14:paraId="26DA0ED6"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0.013</w:t>
            </w:r>
          </w:p>
        </w:tc>
      </w:tr>
      <w:tr w:rsidR="009D3026" w:rsidRPr="00C00EE4" w14:paraId="1C7605ED" w14:textId="77777777" w:rsidTr="001953BB">
        <w:tc>
          <w:tcPr>
            <w:tcW w:w="1323" w:type="pct"/>
            <w:tcBorders>
              <w:top w:val="nil"/>
              <w:left w:val="nil"/>
              <w:bottom w:val="nil"/>
              <w:right w:val="nil"/>
            </w:tcBorders>
            <w:hideMark/>
          </w:tcPr>
          <w:p w14:paraId="0FDF7C7C"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 xml:space="preserve">  </w:t>
            </w:r>
          </w:p>
        </w:tc>
        <w:tc>
          <w:tcPr>
            <w:tcW w:w="516" w:type="pct"/>
            <w:tcBorders>
              <w:top w:val="nil"/>
              <w:left w:val="nil"/>
              <w:bottom w:val="nil"/>
              <w:right w:val="nil"/>
            </w:tcBorders>
            <w:hideMark/>
          </w:tcPr>
          <w:p w14:paraId="0BB750A1"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(0.018)</w:t>
            </w:r>
          </w:p>
        </w:tc>
        <w:tc>
          <w:tcPr>
            <w:tcW w:w="1206" w:type="pct"/>
            <w:tcBorders>
              <w:top w:val="nil"/>
              <w:left w:val="nil"/>
              <w:bottom w:val="nil"/>
              <w:right w:val="nil"/>
            </w:tcBorders>
            <w:hideMark/>
          </w:tcPr>
          <w:p w14:paraId="129CF114"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(0.035)</w:t>
            </w:r>
          </w:p>
        </w:tc>
        <w:tc>
          <w:tcPr>
            <w:tcW w:w="704" w:type="pct"/>
            <w:tcBorders>
              <w:top w:val="nil"/>
              <w:left w:val="nil"/>
              <w:bottom w:val="nil"/>
              <w:right w:val="nil"/>
            </w:tcBorders>
            <w:hideMark/>
          </w:tcPr>
          <w:p w14:paraId="29D955C6"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(0.035)</w:t>
            </w:r>
          </w:p>
        </w:tc>
        <w:tc>
          <w:tcPr>
            <w:tcW w:w="702" w:type="pct"/>
            <w:tcBorders>
              <w:top w:val="nil"/>
              <w:left w:val="nil"/>
              <w:bottom w:val="nil"/>
              <w:right w:val="nil"/>
            </w:tcBorders>
            <w:hideMark/>
          </w:tcPr>
          <w:p w14:paraId="11BC47AD"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(0.160)</w:t>
            </w:r>
          </w:p>
        </w:tc>
        <w:tc>
          <w:tcPr>
            <w:tcW w:w="549" w:type="pct"/>
            <w:tcBorders>
              <w:top w:val="nil"/>
              <w:left w:val="nil"/>
              <w:bottom w:val="nil"/>
              <w:right w:val="nil"/>
            </w:tcBorders>
            <w:hideMark/>
          </w:tcPr>
          <w:p w14:paraId="7F167AE8"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(0.018)</w:t>
            </w:r>
          </w:p>
        </w:tc>
      </w:tr>
      <w:tr w:rsidR="009D3026" w:rsidRPr="00C00EE4" w14:paraId="74E5A8EA" w14:textId="77777777" w:rsidTr="001953BB">
        <w:tc>
          <w:tcPr>
            <w:tcW w:w="1323" w:type="pct"/>
            <w:tcBorders>
              <w:top w:val="nil"/>
              <w:left w:val="nil"/>
              <w:bottom w:val="nil"/>
              <w:right w:val="nil"/>
            </w:tcBorders>
            <w:hideMark/>
          </w:tcPr>
          <w:p w14:paraId="76CE2172"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Attainment Status-PM (t-1)</w:t>
            </w:r>
          </w:p>
        </w:tc>
        <w:tc>
          <w:tcPr>
            <w:tcW w:w="516" w:type="pct"/>
            <w:tcBorders>
              <w:top w:val="nil"/>
              <w:left w:val="nil"/>
              <w:bottom w:val="nil"/>
              <w:right w:val="nil"/>
            </w:tcBorders>
            <w:hideMark/>
          </w:tcPr>
          <w:p w14:paraId="5CE61623"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0.047**</w:t>
            </w:r>
          </w:p>
        </w:tc>
        <w:tc>
          <w:tcPr>
            <w:tcW w:w="1206" w:type="pct"/>
            <w:tcBorders>
              <w:top w:val="nil"/>
              <w:left w:val="nil"/>
              <w:bottom w:val="nil"/>
              <w:right w:val="nil"/>
            </w:tcBorders>
            <w:hideMark/>
          </w:tcPr>
          <w:p w14:paraId="01EC2325"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-0.002</w:t>
            </w:r>
          </w:p>
        </w:tc>
        <w:tc>
          <w:tcPr>
            <w:tcW w:w="704" w:type="pct"/>
            <w:tcBorders>
              <w:top w:val="nil"/>
              <w:left w:val="nil"/>
              <w:bottom w:val="nil"/>
              <w:right w:val="nil"/>
            </w:tcBorders>
            <w:hideMark/>
          </w:tcPr>
          <w:p w14:paraId="5B0D0188"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0.004</w:t>
            </w:r>
          </w:p>
        </w:tc>
        <w:tc>
          <w:tcPr>
            <w:tcW w:w="702" w:type="pct"/>
            <w:tcBorders>
              <w:top w:val="nil"/>
              <w:left w:val="nil"/>
              <w:bottom w:val="nil"/>
              <w:right w:val="nil"/>
            </w:tcBorders>
            <w:hideMark/>
          </w:tcPr>
          <w:p w14:paraId="1D009601"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-0.136</w:t>
            </w:r>
          </w:p>
        </w:tc>
        <w:tc>
          <w:tcPr>
            <w:tcW w:w="549" w:type="pct"/>
            <w:tcBorders>
              <w:top w:val="nil"/>
              <w:left w:val="nil"/>
              <w:bottom w:val="nil"/>
              <w:right w:val="nil"/>
            </w:tcBorders>
            <w:hideMark/>
          </w:tcPr>
          <w:p w14:paraId="3A875571"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0.047**</w:t>
            </w:r>
          </w:p>
        </w:tc>
      </w:tr>
      <w:tr w:rsidR="009D3026" w:rsidRPr="00C00EE4" w14:paraId="3ECEF417" w14:textId="77777777" w:rsidTr="001953BB">
        <w:tc>
          <w:tcPr>
            <w:tcW w:w="1323" w:type="pct"/>
            <w:tcBorders>
              <w:top w:val="nil"/>
              <w:left w:val="nil"/>
              <w:bottom w:val="nil"/>
              <w:right w:val="nil"/>
            </w:tcBorders>
            <w:hideMark/>
          </w:tcPr>
          <w:p w14:paraId="298E032F"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 xml:space="preserve">  </w:t>
            </w:r>
          </w:p>
        </w:tc>
        <w:tc>
          <w:tcPr>
            <w:tcW w:w="516" w:type="pct"/>
            <w:tcBorders>
              <w:top w:val="nil"/>
              <w:left w:val="nil"/>
              <w:bottom w:val="nil"/>
              <w:right w:val="nil"/>
            </w:tcBorders>
            <w:hideMark/>
          </w:tcPr>
          <w:p w14:paraId="481CE463"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(0.020)</w:t>
            </w:r>
          </w:p>
        </w:tc>
        <w:tc>
          <w:tcPr>
            <w:tcW w:w="1206" w:type="pct"/>
            <w:tcBorders>
              <w:top w:val="nil"/>
              <w:left w:val="nil"/>
              <w:bottom w:val="nil"/>
              <w:right w:val="nil"/>
            </w:tcBorders>
            <w:hideMark/>
          </w:tcPr>
          <w:p w14:paraId="17727A4A"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(0.028)</w:t>
            </w:r>
          </w:p>
        </w:tc>
        <w:tc>
          <w:tcPr>
            <w:tcW w:w="704" w:type="pct"/>
            <w:tcBorders>
              <w:top w:val="nil"/>
              <w:left w:val="nil"/>
              <w:bottom w:val="nil"/>
              <w:right w:val="nil"/>
            </w:tcBorders>
            <w:hideMark/>
          </w:tcPr>
          <w:p w14:paraId="1DCA37EF"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(0.028)</w:t>
            </w:r>
          </w:p>
        </w:tc>
        <w:tc>
          <w:tcPr>
            <w:tcW w:w="702" w:type="pct"/>
            <w:tcBorders>
              <w:top w:val="nil"/>
              <w:left w:val="nil"/>
              <w:bottom w:val="nil"/>
              <w:right w:val="nil"/>
            </w:tcBorders>
            <w:hideMark/>
          </w:tcPr>
          <w:p w14:paraId="71D09780"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(0.142)</w:t>
            </w:r>
          </w:p>
        </w:tc>
        <w:tc>
          <w:tcPr>
            <w:tcW w:w="549" w:type="pct"/>
            <w:tcBorders>
              <w:top w:val="nil"/>
              <w:left w:val="nil"/>
              <w:bottom w:val="nil"/>
              <w:right w:val="nil"/>
            </w:tcBorders>
            <w:hideMark/>
          </w:tcPr>
          <w:p w14:paraId="6A50F4DF"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(0.020)</w:t>
            </w:r>
          </w:p>
        </w:tc>
      </w:tr>
      <w:tr w:rsidR="009D3026" w:rsidRPr="00C00EE4" w14:paraId="6B64E7AF" w14:textId="77777777" w:rsidTr="001953BB">
        <w:tc>
          <w:tcPr>
            <w:tcW w:w="1323" w:type="pct"/>
            <w:tcBorders>
              <w:top w:val="nil"/>
              <w:left w:val="nil"/>
              <w:bottom w:val="nil"/>
              <w:right w:val="nil"/>
            </w:tcBorders>
            <w:hideMark/>
          </w:tcPr>
          <w:p w14:paraId="2476F178"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Attainment Status-SO2 (t-1)</w:t>
            </w:r>
          </w:p>
        </w:tc>
        <w:tc>
          <w:tcPr>
            <w:tcW w:w="516" w:type="pct"/>
            <w:tcBorders>
              <w:top w:val="nil"/>
              <w:left w:val="nil"/>
              <w:bottom w:val="nil"/>
              <w:right w:val="nil"/>
            </w:tcBorders>
            <w:hideMark/>
          </w:tcPr>
          <w:p w14:paraId="021A5DA4"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0.113*</w:t>
            </w:r>
          </w:p>
        </w:tc>
        <w:tc>
          <w:tcPr>
            <w:tcW w:w="1206" w:type="pct"/>
            <w:tcBorders>
              <w:top w:val="nil"/>
              <w:left w:val="nil"/>
              <w:bottom w:val="nil"/>
              <w:right w:val="nil"/>
            </w:tcBorders>
            <w:hideMark/>
          </w:tcPr>
          <w:p w14:paraId="48871646"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0.121</w:t>
            </w:r>
          </w:p>
        </w:tc>
        <w:tc>
          <w:tcPr>
            <w:tcW w:w="704" w:type="pct"/>
            <w:tcBorders>
              <w:top w:val="nil"/>
              <w:left w:val="nil"/>
              <w:bottom w:val="nil"/>
              <w:right w:val="nil"/>
            </w:tcBorders>
            <w:hideMark/>
          </w:tcPr>
          <w:p w14:paraId="016E5008"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0.119</w:t>
            </w:r>
          </w:p>
        </w:tc>
        <w:tc>
          <w:tcPr>
            <w:tcW w:w="702" w:type="pct"/>
            <w:tcBorders>
              <w:top w:val="nil"/>
              <w:left w:val="nil"/>
              <w:bottom w:val="nil"/>
              <w:right w:val="nil"/>
            </w:tcBorders>
            <w:hideMark/>
          </w:tcPr>
          <w:p w14:paraId="0000E9CC"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-0.088</w:t>
            </w:r>
          </w:p>
        </w:tc>
        <w:tc>
          <w:tcPr>
            <w:tcW w:w="549" w:type="pct"/>
            <w:tcBorders>
              <w:top w:val="nil"/>
              <w:left w:val="nil"/>
              <w:bottom w:val="nil"/>
              <w:right w:val="nil"/>
            </w:tcBorders>
            <w:hideMark/>
          </w:tcPr>
          <w:p w14:paraId="3E15F500"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0.115*</w:t>
            </w:r>
          </w:p>
        </w:tc>
      </w:tr>
      <w:tr w:rsidR="009D3026" w:rsidRPr="00C00EE4" w14:paraId="0B542AF7" w14:textId="77777777" w:rsidTr="001953BB">
        <w:tc>
          <w:tcPr>
            <w:tcW w:w="1323" w:type="pct"/>
            <w:tcBorders>
              <w:top w:val="nil"/>
              <w:left w:val="nil"/>
              <w:bottom w:val="nil"/>
              <w:right w:val="nil"/>
            </w:tcBorders>
            <w:hideMark/>
          </w:tcPr>
          <w:p w14:paraId="191920E2"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 xml:space="preserve">  </w:t>
            </w:r>
          </w:p>
        </w:tc>
        <w:tc>
          <w:tcPr>
            <w:tcW w:w="516" w:type="pct"/>
            <w:tcBorders>
              <w:top w:val="nil"/>
              <w:left w:val="nil"/>
              <w:bottom w:val="nil"/>
              <w:right w:val="nil"/>
            </w:tcBorders>
            <w:hideMark/>
          </w:tcPr>
          <w:p w14:paraId="740F3EC3"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(0.059)</w:t>
            </w:r>
          </w:p>
        </w:tc>
        <w:tc>
          <w:tcPr>
            <w:tcW w:w="1206" w:type="pct"/>
            <w:tcBorders>
              <w:top w:val="nil"/>
              <w:left w:val="nil"/>
              <w:bottom w:val="nil"/>
              <w:right w:val="nil"/>
            </w:tcBorders>
            <w:hideMark/>
          </w:tcPr>
          <w:p w14:paraId="07E7B5AE"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(0.112)</w:t>
            </w:r>
          </w:p>
        </w:tc>
        <w:tc>
          <w:tcPr>
            <w:tcW w:w="704" w:type="pct"/>
            <w:tcBorders>
              <w:top w:val="nil"/>
              <w:left w:val="nil"/>
              <w:bottom w:val="nil"/>
              <w:right w:val="nil"/>
            </w:tcBorders>
            <w:hideMark/>
          </w:tcPr>
          <w:p w14:paraId="5F318AFB"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(0.112)</w:t>
            </w:r>
          </w:p>
        </w:tc>
        <w:tc>
          <w:tcPr>
            <w:tcW w:w="702" w:type="pct"/>
            <w:tcBorders>
              <w:top w:val="nil"/>
              <w:left w:val="nil"/>
              <w:bottom w:val="nil"/>
              <w:right w:val="nil"/>
            </w:tcBorders>
            <w:hideMark/>
          </w:tcPr>
          <w:p w14:paraId="0AADB6EC"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(0.609)</w:t>
            </w:r>
          </w:p>
        </w:tc>
        <w:tc>
          <w:tcPr>
            <w:tcW w:w="549" w:type="pct"/>
            <w:tcBorders>
              <w:top w:val="nil"/>
              <w:left w:val="nil"/>
              <w:bottom w:val="nil"/>
              <w:right w:val="nil"/>
            </w:tcBorders>
            <w:hideMark/>
          </w:tcPr>
          <w:p w14:paraId="454F3940"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(0.059)</w:t>
            </w:r>
          </w:p>
        </w:tc>
      </w:tr>
      <w:tr w:rsidR="009D3026" w:rsidRPr="00C00EE4" w14:paraId="09134E4C" w14:textId="77777777" w:rsidTr="001953BB">
        <w:tc>
          <w:tcPr>
            <w:tcW w:w="1323" w:type="pct"/>
            <w:tcBorders>
              <w:top w:val="nil"/>
              <w:left w:val="nil"/>
              <w:bottom w:val="nil"/>
              <w:right w:val="nil"/>
            </w:tcBorders>
            <w:hideMark/>
          </w:tcPr>
          <w:p w14:paraId="3700E99F"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Density Employment</w:t>
            </w:r>
          </w:p>
        </w:tc>
        <w:tc>
          <w:tcPr>
            <w:tcW w:w="516" w:type="pct"/>
            <w:tcBorders>
              <w:top w:val="nil"/>
              <w:left w:val="nil"/>
              <w:bottom w:val="nil"/>
              <w:right w:val="nil"/>
            </w:tcBorders>
            <w:hideMark/>
          </w:tcPr>
          <w:p w14:paraId="390F52D4"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0.051**</w:t>
            </w:r>
          </w:p>
        </w:tc>
        <w:tc>
          <w:tcPr>
            <w:tcW w:w="1206" w:type="pct"/>
            <w:tcBorders>
              <w:top w:val="nil"/>
              <w:left w:val="nil"/>
              <w:bottom w:val="nil"/>
              <w:right w:val="nil"/>
            </w:tcBorders>
            <w:hideMark/>
          </w:tcPr>
          <w:p w14:paraId="1BE94F3B"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0.046</w:t>
            </w:r>
          </w:p>
        </w:tc>
        <w:tc>
          <w:tcPr>
            <w:tcW w:w="704" w:type="pct"/>
            <w:tcBorders>
              <w:top w:val="nil"/>
              <w:left w:val="nil"/>
              <w:bottom w:val="nil"/>
              <w:right w:val="nil"/>
            </w:tcBorders>
            <w:hideMark/>
          </w:tcPr>
          <w:p w14:paraId="60915775"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0.014</w:t>
            </w:r>
          </w:p>
        </w:tc>
        <w:tc>
          <w:tcPr>
            <w:tcW w:w="702" w:type="pct"/>
            <w:tcBorders>
              <w:top w:val="nil"/>
              <w:left w:val="nil"/>
              <w:bottom w:val="nil"/>
              <w:right w:val="nil"/>
            </w:tcBorders>
            <w:hideMark/>
          </w:tcPr>
          <w:p w14:paraId="42D51937"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0.298</w:t>
            </w:r>
          </w:p>
        </w:tc>
        <w:tc>
          <w:tcPr>
            <w:tcW w:w="549" w:type="pct"/>
            <w:tcBorders>
              <w:top w:val="nil"/>
              <w:left w:val="nil"/>
              <w:bottom w:val="nil"/>
              <w:right w:val="nil"/>
            </w:tcBorders>
            <w:hideMark/>
          </w:tcPr>
          <w:p w14:paraId="04353A89"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0.050**</w:t>
            </w:r>
          </w:p>
        </w:tc>
      </w:tr>
      <w:tr w:rsidR="009D3026" w:rsidRPr="00C00EE4" w14:paraId="5EB7697F" w14:textId="77777777" w:rsidTr="001953BB">
        <w:tc>
          <w:tcPr>
            <w:tcW w:w="1323" w:type="pct"/>
            <w:tcBorders>
              <w:top w:val="nil"/>
              <w:left w:val="nil"/>
              <w:bottom w:val="nil"/>
              <w:right w:val="nil"/>
            </w:tcBorders>
            <w:hideMark/>
          </w:tcPr>
          <w:p w14:paraId="44AF79BF"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 xml:space="preserve">  </w:t>
            </w:r>
          </w:p>
        </w:tc>
        <w:tc>
          <w:tcPr>
            <w:tcW w:w="516" w:type="pct"/>
            <w:tcBorders>
              <w:top w:val="nil"/>
              <w:left w:val="nil"/>
              <w:bottom w:val="nil"/>
              <w:right w:val="nil"/>
            </w:tcBorders>
            <w:hideMark/>
          </w:tcPr>
          <w:p w14:paraId="1ADE80D0"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(0.025)</w:t>
            </w:r>
          </w:p>
        </w:tc>
        <w:tc>
          <w:tcPr>
            <w:tcW w:w="1206" w:type="pct"/>
            <w:tcBorders>
              <w:top w:val="nil"/>
              <w:left w:val="nil"/>
              <w:bottom w:val="nil"/>
              <w:right w:val="nil"/>
            </w:tcBorders>
            <w:hideMark/>
          </w:tcPr>
          <w:p w14:paraId="650058AB"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(0.055)</w:t>
            </w:r>
          </w:p>
        </w:tc>
        <w:tc>
          <w:tcPr>
            <w:tcW w:w="704" w:type="pct"/>
            <w:tcBorders>
              <w:top w:val="nil"/>
              <w:left w:val="nil"/>
              <w:bottom w:val="nil"/>
              <w:right w:val="nil"/>
            </w:tcBorders>
            <w:hideMark/>
          </w:tcPr>
          <w:p w14:paraId="59567F4C"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(0.047)</w:t>
            </w:r>
          </w:p>
        </w:tc>
        <w:tc>
          <w:tcPr>
            <w:tcW w:w="702" w:type="pct"/>
            <w:tcBorders>
              <w:top w:val="nil"/>
              <w:left w:val="nil"/>
              <w:bottom w:val="nil"/>
              <w:right w:val="nil"/>
            </w:tcBorders>
            <w:hideMark/>
          </w:tcPr>
          <w:p w14:paraId="665E6504"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(0.204)</w:t>
            </w:r>
          </w:p>
        </w:tc>
        <w:tc>
          <w:tcPr>
            <w:tcW w:w="549" w:type="pct"/>
            <w:tcBorders>
              <w:top w:val="nil"/>
              <w:left w:val="nil"/>
              <w:bottom w:val="nil"/>
              <w:right w:val="nil"/>
            </w:tcBorders>
            <w:hideMark/>
          </w:tcPr>
          <w:p w14:paraId="4E56458F"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(0.025)</w:t>
            </w:r>
          </w:p>
        </w:tc>
      </w:tr>
      <w:tr w:rsidR="009D3026" w:rsidRPr="00C00EE4" w14:paraId="3198217B" w14:textId="77777777" w:rsidTr="001953BB">
        <w:tc>
          <w:tcPr>
            <w:tcW w:w="1323" w:type="pct"/>
            <w:tcBorders>
              <w:top w:val="nil"/>
              <w:left w:val="nil"/>
              <w:bottom w:val="nil"/>
              <w:right w:val="nil"/>
            </w:tcBorders>
            <w:hideMark/>
          </w:tcPr>
          <w:p w14:paraId="3D571237"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Percent Black (100s)</w:t>
            </w:r>
          </w:p>
        </w:tc>
        <w:tc>
          <w:tcPr>
            <w:tcW w:w="516" w:type="pct"/>
            <w:tcBorders>
              <w:top w:val="nil"/>
              <w:left w:val="nil"/>
              <w:bottom w:val="nil"/>
              <w:right w:val="nil"/>
            </w:tcBorders>
            <w:hideMark/>
          </w:tcPr>
          <w:p w14:paraId="5062A318"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1.047</w:t>
            </w:r>
          </w:p>
        </w:tc>
        <w:tc>
          <w:tcPr>
            <w:tcW w:w="1206" w:type="pct"/>
            <w:tcBorders>
              <w:top w:val="nil"/>
              <w:left w:val="nil"/>
              <w:bottom w:val="nil"/>
              <w:right w:val="nil"/>
            </w:tcBorders>
            <w:hideMark/>
          </w:tcPr>
          <w:p w14:paraId="7317A4C2"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-0.426</w:t>
            </w:r>
          </w:p>
        </w:tc>
        <w:tc>
          <w:tcPr>
            <w:tcW w:w="704" w:type="pct"/>
            <w:tcBorders>
              <w:top w:val="nil"/>
              <w:left w:val="nil"/>
              <w:bottom w:val="nil"/>
              <w:right w:val="nil"/>
            </w:tcBorders>
            <w:hideMark/>
          </w:tcPr>
          <w:p w14:paraId="6D18ACE5"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0.235</w:t>
            </w:r>
          </w:p>
        </w:tc>
        <w:tc>
          <w:tcPr>
            <w:tcW w:w="702" w:type="pct"/>
            <w:tcBorders>
              <w:top w:val="nil"/>
              <w:left w:val="nil"/>
              <w:bottom w:val="nil"/>
              <w:right w:val="nil"/>
            </w:tcBorders>
            <w:hideMark/>
          </w:tcPr>
          <w:p w14:paraId="66ADC84C"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-11.146*</w:t>
            </w:r>
          </w:p>
        </w:tc>
        <w:tc>
          <w:tcPr>
            <w:tcW w:w="549" w:type="pct"/>
            <w:tcBorders>
              <w:top w:val="nil"/>
              <w:left w:val="nil"/>
              <w:bottom w:val="nil"/>
              <w:right w:val="nil"/>
            </w:tcBorders>
            <w:hideMark/>
          </w:tcPr>
          <w:p w14:paraId="33E9F63C"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1.008</w:t>
            </w:r>
          </w:p>
        </w:tc>
      </w:tr>
      <w:tr w:rsidR="009D3026" w:rsidRPr="00C00EE4" w14:paraId="744D7CA9" w14:textId="77777777" w:rsidTr="001953BB">
        <w:tc>
          <w:tcPr>
            <w:tcW w:w="1323" w:type="pct"/>
            <w:tcBorders>
              <w:top w:val="nil"/>
              <w:left w:val="nil"/>
              <w:bottom w:val="nil"/>
              <w:right w:val="nil"/>
            </w:tcBorders>
            <w:hideMark/>
          </w:tcPr>
          <w:p w14:paraId="344942AD"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 xml:space="preserve">  </w:t>
            </w:r>
          </w:p>
        </w:tc>
        <w:tc>
          <w:tcPr>
            <w:tcW w:w="516" w:type="pct"/>
            <w:tcBorders>
              <w:top w:val="nil"/>
              <w:left w:val="nil"/>
              <w:bottom w:val="nil"/>
              <w:right w:val="nil"/>
            </w:tcBorders>
            <w:hideMark/>
          </w:tcPr>
          <w:p w14:paraId="798FBC43"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(0.652)</w:t>
            </w:r>
          </w:p>
        </w:tc>
        <w:tc>
          <w:tcPr>
            <w:tcW w:w="1206" w:type="pct"/>
            <w:tcBorders>
              <w:top w:val="nil"/>
              <w:left w:val="nil"/>
              <w:bottom w:val="nil"/>
              <w:right w:val="nil"/>
            </w:tcBorders>
            <w:hideMark/>
          </w:tcPr>
          <w:p w14:paraId="1A36593E"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(1.139)</w:t>
            </w:r>
          </w:p>
        </w:tc>
        <w:tc>
          <w:tcPr>
            <w:tcW w:w="704" w:type="pct"/>
            <w:tcBorders>
              <w:top w:val="nil"/>
              <w:left w:val="nil"/>
              <w:bottom w:val="nil"/>
              <w:right w:val="nil"/>
            </w:tcBorders>
            <w:hideMark/>
          </w:tcPr>
          <w:p w14:paraId="320A5F97"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(1.144)</w:t>
            </w:r>
          </w:p>
        </w:tc>
        <w:tc>
          <w:tcPr>
            <w:tcW w:w="702" w:type="pct"/>
            <w:tcBorders>
              <w:top w:val="nil"/>
              <w:left w:val="nil"/>
              <w:bottom w:val="nil"/>
              <w:right w:val="nil"/>
            </w:tcBorders>
            <w:hideMark/>
          </w:tcPr>
          <w:p w14:paraId="5301E2F2"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(6.768)</w:t>
            </w:r>
          </w:p>
        </w:tc>
        <w:tc>
          <w:tcPr>
            <w:tcW w:w="549" w:type="pct"/>
            <w:tcBorders>
              <w:top w:val="nil"/>
              <w:left w:val="nil"/>
              <w:bottom w:val="nil"/>
              <w:right w:val="nil"/>
            </w:tcBorders>
            <w:hideMark/>
          </w:tcPr>
          <w:p w14:paraId="0A6C3582"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(0.645)</w:t>
            </w:r>
          </w:p>
        </w:tc>
      </w:tr>
      <w:tr w:rsidR="009D3026" w:rsidRPr="00C00EE4" w14:paraId="79C101D9" w14:textId="77777777" w:rsidTr="001953BB">
        <w:tc>
          <w:tcPr>
            <w:tcW w:w="1323" w:type="pct"/>
            <w:tcBorders>
              <w:top w:val="nil"/>
              <w:left w:val="nil"/>
              <w:bottom w:val="nil"/>
              <w:right w:val="nil"/>
            </w:tcBorders>
            <w:hideMark/>
          </w:tcPr>
          <w:p w14:paraId="5BB467B0"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Population count (1ms)</w:t>
            </w:r>
          </w:p>
        </w:tc>
        <w:tc>
          <w:tcPr>
            <w:tcW w:w="516" w:type="pct"/>
            <w:tcBorders>
              <w:top w:val="nil"/>
              <w:left w:val="nil"/>
              <w:bottom w:val="nil"/>
              <w:right w:val="nil"/>
            </w:tcBorders>
            <w:hideMark/>
          </w:tcPr>
          <w:p w14:paraId="32FAB45D"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-0.474**</w:t>
            </w:r>
          </w:p>
        </w:tc>
        <w:tc>
          <w:tcPr>
            <w:tcW w:w="1206" w:type="pct"/>
            <w:tcBorders>
              <w:top w:val="nil"/>
              <w:left w:val="nil"/>
              <w:bottom w:val="nil"/>
              <w:right w:val="nil"/>
            </w:tcBorders>
            <w:hideMark/>
          </w:tcPr>
          <w:p w14:paraId="56E61D10"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-0.378*</w:t>
            </w:r>
          </w:p>
        </w:tc>
        <w:tc>
          <w:tcPr>
            <w:tcW w:w="704" w:type="pct"/>
            <w:tcBorders>
              <w:top w:val="nil"/>
              <w:left w:val="nil"/>
              <w:bottom w:val="nil"/>
              <w:right w:val="nil"/>
            </w:tcBorders>
            <w:hideMark/>
          </w:tcPr>
          <w:p w14:paraId="54F5E160"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-0.564**</w:t>
            </w:r>
          </w:p>
        </w:tc>
        <w:tc>
          <w:tcPr>
            <w:tcW w:w="702" w:type="pct"/>
            <w:tcBorders>
              <w:top w:val="nil"/>
              <w:left w:val="nil"/>
              <w:bottom w:val="nil"/>
              <w:right w:val="nil"/>
            </w:tcBorders>
            <w:hideMark/>
          </w:tcPr>
          <w:p w14:paraId="77D415A9"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-0.962</w:t>
            </w:r>
          </w:p>
        </w:tc>
        <w:tc>
          <w:tcPr>
            <w:tcW w:w="549" w:type="pct"/>
            <w:tcBorders>
              <w:top w:val="nil"/>
              <w:left w:val="nil"/>
              <w:bottom w:val="nil"/>
              <w:right w:val="nil"/>
            </w:tcBorders>
            <w:hideMark/>
          </w:tcPr>
          <w:p w14:paraId="1E4FE2EB"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-0.468**</w:t>
            </w:r>
          </w:p>
        </w:tc>
      </w:tr>
      <w:tr w:rsidR="009D3026" w:rsidRPr="00C00EE4" w14:paraId="71BEE276" w14:textId="77777777" w:rsidTr="001953BB">
        <w:tc>
          <w:tcPr>
            <w:tcW w:w="1323" w:type="pct"/>
            <w:tcBorders>
              <w:top w:val="nil"/>
              <w:left w:val="nil"/>
              <w:bottom w:val="nil"/>
              <w:right w:val="nil"/>
            </w:tcBorders>
            <w:hideMark/>
          </w:tcPr>
          <w:p w14:paraId="7C70CFAC"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 xml:space="preserve">  </w:t>
            </w:r>
          </w:p>
        </w:tc>
        <w:tc>
          <w:tcPr>
            <w:tcW w:w="516" w:type="pct"/>
            <w:tcBorders>
              <w:top w:val="nil"/>
              <w:left w:val="nil"/>
              <w:bottom w:val="nil"/>
              <w:right w:val="nil"/>
            </w:tcBorders>
            <w:hideMark/>
          </w:tcPr>
          <w:p w14:paraId="0EDC04C8"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(0.210)</w:t>
            </w:r>
          </w:p>
        </w:tc>
        <w:tc>
          <w:tcPr>
            <w:tcW w:w="1206" w:type="pct"/>
            <w:tcBorders>
              <w:top w:val="nil"/>
              <w:left w:val="nil"/>
              <w:bottom w:val="nil"/>
              <w:right w:val="nil"/>
            </w:tcBorders>
            <w:hideMark/>
          </w:tcPr>
          <w:p w14:paraId="29B0138C"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(0.193)</w:t>
            </w:r>
          </w:p>
        </w:tc>
        <w:tc>
          <w:tcPr>
            <w:tcW w:w="704" w:type="pct"/>
            <w:tcBorders>
              <w:top w:val="nil"/>
              <w:left w:val="nil"/>
              <w:bottom w:val="nil"/>
              <w:right w:val="nil"/>
            </w:tcBorders>
            <w:hideMark/>
          </w:tcPr>
          <w:p w14:paraId="62EA9FC0"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(0.220)</w:t>
            </w:r>
          </w:p>
        </w:tc>
        <w:tc>
          <w:tcPr>
            <w:tcW w:w="702" w:type="pct"/>
            <w:tcBorders>
              <w:top w:val="nil"/>
              <w:left w:val="nil"/>
              <w:bottom w:val="nil"/>
              <w:right w:val="nil"/>
            </w:tcBorders>
            <w:hideMark/>
          </w:tcPr>
          <w:p w14:paraId="5DFF63F0"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(0.679)</w:t>
            </w:r>
          </w:p>
        </w:tc>
        <w:tc>
          <w:tcPr>
            <w:tcW w:w="549" w:type="pct"/>
            <w:tcBorders>
              <w:top w:val="nil"/>
              <w:left w:val="nil"/>
              <w:bottom w:val="nil"/>
              <w:right w:val="nil"/>
            </w:tcBorders>
            <w:hideMark/>
          </w:tcPr>
          <w:p w14:paraId="29A9CA33"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(0.206)</w:t>
            </w:r>
          </w:p>
        </w:tc>
      </w:tr>
      <w:tr w:rsidR="009D3026" w:rsidRPr="00C00EE4" w14:paraId="195906C7" w14:textId="77777777" w:rsidTr="001953BB">
        <w:tc>
          <w:tcPr>
            <w:tcW w:w="1323" w:type="pct"/>
            <w:tcBorders>
              <w:top w:val="nil"/>
              <w:left w:val="nil"/>
              <w:bottom w:val="nil"/>
              <w:right w:val="nil"/>
            </w:tcBorders>
            <w:hideMark/>
          </w:tcPr>
          <w:p w14:paraId="4302C433"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Unemployment rate (100s)</w:t>
            </w:r>
          </w:p>
        </w:tc>
        <w:tc>
          <w:tcPr>
            <w:tcW w:w="516" w:type="pct"/>
            <w:tcBorders>
              <w:top w:val="nil"/>
              <w:left w:val="nil"/>
              <w:bottom w:val="nil"/>
              <w:right w:val="nil"/>
            </w:tcBorders>
            <w:hideMark/>
          </w:tcPr>
          <w:p w14:paraId="5C2DB1C4"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4.264***</w:t>
            </w:r>
          </w:p>
        </w:tc>
        <w:tc>
          <w:tcPr>
            <w:tcW w:w="1206" w:type="pct"/>
            <w:tcBorders>
              <w:top w:val="nil"/>
              <w:left w:val="nil"/>
              <w:bottom w:val="nil"/>
              <w:right w:val="nil"/>
            </w:tcBorders>
            <w:hideMark/>
          </w:tcPr>
          <w:p w14:paraId="600992DA"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1.002</w:t>
            </w:r>
          </w:p>
        </w:tc>
        <w:tc>
          <w:tcPr>
            <w:tcW w:w="704" w:type="pct"/>
            <w:tcBorders>
              <w:top w:val="nil"/>
              <w:left w:val="nil"/>
              <w:bottom w:val="nil"/>
              <w:right w:val="nil"/>
            </w:tcBorders>
            <w:hideMark/>
          </w:tcPr>
          <w:p w14:paraId="6A53AF8D"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1.332</w:t>
            </w:r>
          </w:p>
        </w:tc>
        <w:tc>
          <w:tcPr>
            <w:tcW w:w="702" w:type="pct"/>
            <w:tcBorders>
              <w:top w:val="nil"/>
              <w:left w:val="nil"/>
              <w:bottom w:val="nil"/>
              <w:right w:val="nil"/>
            </w:tcBorders>
            <w:hideMark/>
          </w:tcPr>
          <w:p w14:paraId="2782A5D1"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-18.244**</w:t>
            </w:r>
          </w:p>
        </w:tc>
        <w:tc>
          <w:tcPr>
            <w:tcW w:w="549" w:type="pct"/>
            <w:tcBorders>
              <w:top w:val="nil"/>
              <w:left w:val="nil"/>
              <w:bottom w:val="nil"/>
              <w:right w:val="nil"/>
            </w:tcBorders>
            <w:hideMark/>
          </w:tcPr>
          <w:p w14:paraId="5A20047D"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4.223***</w:t>
            </w:r>
          </w:p>
        </w:tc>
      </w:tr>
      <w:tr w:rsidR="009D3026" w:rsidRPr="00C00EE4" w14:paraId="1B136532" w14:textId="77777777" w:rsidTr="001953BB">
        <w:tc>
          <w:tcPr>
            <w:tcW w:w="1323" w:type="pct"/>
            <w:tcBorders>
              <w:top w:val="nil"/>
              <w:left w:val="nil"/>
              <w:bottom w:val="nil"/>
              <w:right w:val="nil"/>
            </w:tcBorders>
            <w:hideMark/>
          </w:tcPr>
          <w:p w14:paraId="0765D232"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 xml:space="preserve">  </w:t>
            </w:r>
          </w:p>
        </w:tc>
        <w:tc>
          <w:tcPr>
            <w:tcW w:w="516" w:type="pct"/>
            <w:tcBorders>
              <w:top w:val="nil"/>
              <w:left w:val="nil"/>
              <w:bottom w:val="nil"/>
              <w:right w:val="nil"/>
            </w:tcBorders>
            <w:hideMark/>
          </w:tcPr>
          <w:p w14:paraId="683D69BB"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(0.607)</w:t>
            </w:r>
          </w:p>
        </w:tc>
        <w:tc>
          <w:tcPr>
            <w:tcW w:w="1206" w:type="pct"/>
            <w:tcBorders>
              <w:top w:val="nil"/>
              <w:left w:val="nil"/>
              <w:bottom w:val="nil"/>
              <w:right w:val="nil"/>
            </w:tcBorders>
            <w:hideMark/>
          </w:tcPr>
          <w:p w14:paraId="170E1329"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(1.090)</w:t>
            </w:r>
          </w:p>
        </w:tc>
        <w:tc>
          <w:tcPr>
            <w:tcW w:w="704" w:type="pct"/>
            <w:tcBorders>
              <w:top w:val="nil"/>
              <w:left w:val="nil"/>
              <w:bottom w:val="nil"/>
              <w:right w:val="nil"/>
            </w:tcBorders>
            <w:hideMark/>
          </w:tcPr>
          <w:p w14:paraId="1201D8C6"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(1.095)</w:t>
            </w:r>
          </w:p>
        </w:tc>
        <w:tc>
          <w:tcPr>
            <w:tcW w:w="702" w:type="pct"/>
            <w:tcBorders>
              <w:top w:val="nil"/>
              <w:left w:val="nil"/>
              <w:bottom w:val="nil"/>
              <w:right w:val="nil"/>
            </w:tcBorders>
            <w:hideMark/>
          </w:tcPr>
          <w:p w14:paraId="6BE5E557"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(7.191)</w:t>
            </w:r>
          </w:p>
        </w:tc>
        <w:tc>
          <w:tcPr>
            <w:tcW w:w="549" w:type="pct"/>
            <w:tcBorders>
              <w:top w:val="nil"/>
              <w:left w:val="nil"/>
              <w:bottom w:val="nil"/>
              <w:right w:val="nil"/>
            </w:tcBorders>
            <w:hideMark/>
          </w:tcPr>
          <w:p w14:paraId="6D9C2A65"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(0.599)</w:t>
            </w:r>
          </w:p>
        </w:tc>
      </w:tr>
      <w:tr w:rsidR="009D3026" w:rsidRPr="00C00EE4" w14:paraId="557D9309" w14:textId="77777777" w:rsidTr="001953BB">
        <w:tc>
          <w:tcPr>
            <w:tcW w:w="1323" w:type="pct"/>
            <w:tcBorders>
              <w:top w:val="nil"/>
              <w:left w:val="nil"/>
              <w:bottom w:val="nil"/>
              <w:right w:val="nil"/>
            </w:tcBorders>
            <w:hideMark/>
          </w:tcPr>
          <w:p w14:paraId="521DF66C"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Sales Volume (t-1)</w:t>
            </w:r>
          </w:p>
        </w:tc>
        <w:tc>
          <w:tcPr>
            <w:tcW w:w="516" w:type="pct"/>
            <w:tcBorders>
              <w:top w:val="nil"/>
              <w:left w:val="nil"/>
              <w:bottom w:val="nil"/>
              <w:right w:val="nil"/>
            </w:tcBorders>
            <w:hideMark/>
          </w:tcPr>
          <w:p w14:paraId="62835D1B"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3.284***</w:t>
            </w:r>
          </w:p>
        </w:tc>
        <w:tc>
          <w:tcPr>
            <w:tcW w:w="1206" w:type="pct"/>
            <w:tcBorders>
              <w:top w:val="nil"/>
              <w:left w:val="nil"/>
              <w:bottom w:val="nil"/>
              <w:right w:val="nil"/>
            </w:tcBorders>
            <w:hideMark/>
          </w:tcPr>
          <w:p w14:paraId="6497C6C6"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2.370</w:t>
            </w:r>
          </w:p>
        </w:tc>
        <w:tc>
          <w:tcPr>
            <w:tcW w:w="704" w:type="pct"/>
            <w:tcBorders>
              <w:top w:val="nil"/>
              <w:left w:val="nil"/>
              <w:bottom w:val="nil"/>
              <w:right w:val="nil"/>
            </w:tcBorders>
            <w:hideMark/>
          </w:tcPr>
          <w:p w14:paraId="2DB17E56"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2.729*</w:t>
            </w:r>
          </w:p>
        </w:tc>
        <w:tc>
          <w:tcPr>
            <w:tcW w:w="702" w:type="pct"/>
            <w:tcBorders>
              <w:top w:val="nil"/>
              <w:left w:val="nil"/>
              <w:bottom w:val="nil"/>
              <w:right w:val="nil"/>
            </w:tcBorders>
            <w:hideMark/>
          </w:tcPr>
          <w:p w14:paraId="0D486C02"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-2.713</w:t>
            </w:r>
          </w:p>
        </w:tc>
        <w:tc>
          <w:tcPr>
            <w:tcW w:w="549" w:type="pct"/>
            <w:tcBorders>
              <w:top w:val="nil"/>
              <w:left w:val="nil"/>
              <w:bottom w:val="nil"/>
              <w:right w:val="nil"/>
            </w:tcBorders>
            <w:hideMark/>
          </w:tcPr>
          <w:p w14:paraId="2E643622"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3.272***</w:t>
            </w:r>
          </w:p>
        </w:tc>
      </w:tr>
      <w:tr w:rsidR="009D3026" w:rsidRPr="00C00EE4" w14:paraId="328FCB81" w14:textId="77777777" w:rsidTr="001953BB">
        <w:tc>
          <w:tcPr>
            <w:tcW w:w="1323" w:type="pct"/>
            <w:tcBorders>
              <w:top w:val="nil"/>
              <w:left w:val="nil"/>
              <w:bottom w:val="nil"/>
              <w:right w:val="nil"/>
            </w:tcBorders>
            <w:hideMark/>
          </w:tcPr>
          <w:p w14:paraId="4D7EB48F"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 xml:space="preserve">  </w:t>
            </w:r>
          </w:p>
        </w:tc>
        <w:tc>
          <w:tcPr>
            <w:tcW w:w="516" w:type="pct"/>
            <w:tcBorders>
              <w:top w:val="nil"/>
              <w:left w:val="nil"/>
              <w:bottom w:val="nil"/>
              <w:right w:val="nil"/>
            </w:tcBorders>
            <w:hideMark/>
          </w:tcPr>
          <w:p w14:paraId="10E1A832"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(1.175)</w:t>
            </w:r>
          </w:p>
        </w:tc>
        <w:tc>
          <w:tcPr>
            <w:tcW w:w="1206" w:type="pct"/>
            <w:tcBorders>
              <w:top w:val="nil"/>
              <w:left w:val="nil"/>
              <w:bottom w:val="nil"/>
              <w:right w:val="nil"/>
            </w:tcBorders>
            <w:hideMark/>
          </w:tcPr>
          <w:p w14:paraId="3BFE3C43"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(1.652)</w:t>
            </w:r>
          </w:p>
        </w:tc>
        <w:tc>
          <w:tcPr>
            <w:tcW w:w="704" w:type="pct"/>
            <w:tcBorders>
              <w:top w:val="nil"/>
              <w:left w:val="nil"/>
              <w:bottom w:val="nil"/>
              <w:right w:val="nil"/>
            </w:tcBorders>
            <w:hideMark/>
          </w:tcPr>
          <w:p w14:paraId="235AB5BA"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(1.560)</w:t>
            </w:r>
          </w:p>
        </w:tc>
        <w:tc>
          <w:tcPr>
            <w:tcW w:w="702" w:type="pct"/>
            <w:tcBorders>
              <w:top w:val="nil"/>
              <w:left w:val="nil"/>
              <w:bottom w:val="nil"/>
              <w:right w:val="nil"/>
            </w:tcBorders>
            <w:hideMark/>
          </w:tcPr>
          <w:p w14:paraId="69FA5CCF"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(4.513)</w:t>
            </w:r>
          </w:p>
        </w:tc>
        <w:tc>
          <w:tcPr>
            <w:tcW w:w="549" w:type="pct"/>
            <w:tcBorders>
              <w:top w:val="nil"/>
              <w:left w:val="nil"/>
              <w:bottom w:val="nil"/>
              <w:right w:val="nil"/>
            </w:tcBorders>
            <w:hideMark/>
          </w:tcPr>
          <w:p w14:paraId="44C772E6"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(1.179)</w:t>
            </w:r>
          </w:p>
        </w:tc>
      </w:tr>
      <w:tr w:rsidR="009D3026" w:rsidRPr="00C00EE4" w14:paraId="4438F229" w14:textId="77777777" w:rsidTr="001953BB">
        <w:tc>
          <w:tcPr>
            <w:tcW w:w="1323" w:type="pct"/>
            <w:tcBorders>
              <w:top w:val="nil"/>
              <w:left w:val="nil"/>
              <w:bottom w:val="nil"/>
              <w:right w:val="nil"/>
            </w:tcBorders>
            <w:hideMark/>
          </w:tcPr>
          <w:p w14:paraId="517EE78F"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Total Entries (t-1) (1ks)</w:t>
            </w:r>
          </w:p>
        </w:tc>
        <w:tc>
          <w:tcPr>
            <w:tcW w:w="516" w:type="pct"/>
            <w:tcBorders>
              <w:top w:val="nil"/>
              <w:left w:val="nil"/>
              <w:bottom w:val="nil"/>
              <w:right w:val="nil"/>
            </w:tcBorders>
            <w:hideMark/>
          </w:tcPr>
          <w:p w14:paraId="0C862EAC" w14:textId="43891273"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-0.072**</w:t>
            </w:r>
          </w:p>
        </w:tc>
        <w:tc>
          <w:tcPr>
            <w:tcW w:w="1206" w:type="pct"/>
            <w:tcBorders>
              <w:top w:val="nil"/>
              <w:left w:val="nil"/>
              <w:bottom w:val="nil"/>
              <w:right w:val="nil"/>
            </w:tcBorders>
          </w:tcPr>
          <w:p w14:paraId="12B9282C"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p>
        </w:tc>
        <w:tc>
          <w:tcPr>
            <w:tcW w:w="704" w:type="pct"/>
            <w:tcBorders>
              <w:top w:val="nil"/>
              <w:left w:val="nil"/>
              <w:bottom w:val="nil"/>
              <w:right w:val="nil"/>
            </w:tcBorders>
          </w:tcPr>
          <w:p w14:paraId="6446CF7D"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p>
        </w:tc>
        <w:tc>
          <w:tcPr>
            <w:tcW w:w="702" w:type="pct"/>
            <w:tcBorders>
              <w:top w:val="nil"/>
              <w:left w:val="nil"/>
              <w:bottom w:val="nil"/>
              <w:right w:val="nil"/>
            </w:tcBorders>
          </w:tcPr>
          <w:p w14:paraId="0B92CE66"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p>
        </w:tc>
        <w:tc>
          <w:tcPr>
            <w:tcW w:w="549" w:type="pct"/>
            <w:tcBorders>
              <w:top w:val="nil"/>
              <w:left w:val="nil"/>
              <w:bottom w:val="nil"/>
              <w:right w:val="nil"/>
            </w:tcBorders>
            <w:hideMark/>
          </w:tcPr>
          <w:p w14:paraId="1A04C652"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-0.071***</w:t>
            </w:r>
          </w:p>
        </w:tc>
      </w:tr>
      <w:tr w:rsidR="009D3026" w:rsidRPr="00C00EE4" w14:paraId="711E04CC" w14:textId="77777777" w:rsidTr="001953BB">
        <w:tc>
          <w:tcPr>
            <w:tcW w:w="1323" w:type="pct"/>
            <w:tcBorders>
              <w:top w:val="nil"/>
              <w:left w:val="nil"/>
              <w:bottom w:val="nil"/>
              <w:right w:val="nil"/>
            </w:tcBorders>
            <w:hideMark/>
          </w:tcPr>
          <w:p w14:paraId="57AED57A"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 xml:space="preserve">  </w:t>
            </w:r>
          </w:p>
        </w:tc>
        <w:tc>
          <w:tcPr>
            <w:tcW w:w="516" w:type="pct"/>
            <w:tcBorders>
              <w:top w:val="nil"/>
              <w:left w:val="nil"/>
              <w:bottom w:val="nil"/>
              <w:right w:val="nil"/>
            </w:tcBorders>
            <w:hideMark/>
          </w:tcPr>
          <w:p w14:paraId="69408734"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(0.007)</w:t>
            </w:r>
          </w:p>
        </w:tc>
        <w:tc>
          <w:tcPr>
            <w:tcW w:w="1206" w:type="pct"/>
            <w:tcBorders>
              <w:top w:val="nil"/>
              <w:left w:val="nil"/>
              <w:bottom w:val="nil"/>
              <w:right w:val="nil"/>
            </w:tcBorders>
          </w:tcPr>
          <w:p w14:paraId="6B8FC695"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p>
        </w:tc>
        <w:tc>
          <w:tcPr>
            <w:tcW w:w="704" w:type="pct"/>
            <w:tcBorders>
              <w:top w:val="nil"/>
              <w:left w:val="nil"/>
              <w:bottom w:val="nil"/>
              <w:right w:val="nil"/>
            </w:tcBorders>
          </w:tcPr>
          <w:p w14:paraId="05C2232A"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p>
        </w:tc>
        <w:tc>
          <w:tcPr>
            <w:tcW w:w="702" w:type="pct"/>
            <w:tcBorders>
              <w:top w:val="nil"/>
              <w:left w:val="nil"/>
              <w:bottom w:val="nil"/>
              <w:right w:val="nil"/>
            </w:tcBorders>
          </w:tcPr>
          <w:p w14:paraId="03CBBE6E"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p>
        </w:tc>
        <w:tc>
          <w:tcPr>
            <w:tcW w:w="549" w:type="pct"/>
            <w:tcBorders>
              <w:top w:val="nil"/>
              <w:left w:val="nil"/>
              <w:bottom w:val="nil"/>
              <w:right w:val="nil"/>
            </w:tcBorders>
            <w:hideMark/>
          </w:tcPr>
          <w:p w14:paraId="3A552FF8"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(0.007)</w:t>
            </w:r>
          </w:p>
        </w:tc>
      </w:tr>
      <w:tr w:rsidR="009D3026" w:rsidRPr="00C00EE4" w14:paraId="342A589F" w14:textId="77777777" w:rsidTr="001953BB">
        <w:tc>
          <w:tcPr>
            <w:tcW w:w="1323" w:type="pct"/>
            <w:tcBorders>
              <w:top w:val="nil"/>
              <w:left w:val="nil"/>
              <w:bottom w:val="nil"/>
              <w:right w:val="nil"/>
            </w:tcBorders>
            <w:hideMark/>
          </w:tcPr>
          <w:p w14:paraId="27AAFFCB"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Births (t-1) (1ks)</w:t>
            </w:r>
          </w:p>
        </w:tc>
        <w:tc>
          <w:tcPr>
            <w:tcW w:w="516" w:type="pct"/>
            <w:tcBorders>
              <w:top w:val="nil"/>
              <w:left w:val="nil"/>
              <w:bottom w:val="nil"/>
              <w:right w:val="nil"/>
            </w:tcBorders>
          </w:tcPr>
          <w:p w14:paraId="6623E7FC"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p>
        </w:tc>
        <w:tc>
          <w:tcPr>
            <w:tcW w:w="1206" w:type="pct"/>
            <w:tcBorders>
              <w:top w:val="nil"/>
              <w:left w:val="nil"/>
              <w:bottom w:val="nil"/>
              <w:right w:val="nil"/>
            </w:tcBorders>
            <w:hideMark/>
          </w:tcPr>
          <w:p w14:paraId="0A879534"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-0.034**</w:t>
            </w:r>
          </w:p>
        </w:tc>
        <w:tc>
          <w:tcPr>
            <w:tcW w:w="704" w:type="pct"/>
            <w:tcBorders>
              <w:top w:val="nil"/>
              <w:left w:val="nil"/>
              <w:bottom w:val="nil"/>
              <w:right w:val="nil"/>
            </w:tcBorders>
            <w:hideMark/>
          </w:tcPr>
          <w:p w14:paraId="0E739986"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-0.042***</w:t>
            </w:r>
          </w:p>
        </w:tc>
        <w:tc>
          <w:tcPr>
            <w:tcW w:w="702" w:type="pct"/>
            <w:tcBorders>
              <w:top w:val="nil"/>
              <w:left w:val="nil"/>
              <w:bottom w:val="nil"/>
              <w:right w:val="nil"/>
            </w:tcBorders>
            <w:hideMark/>
          </w:tcPr>
          <w:p w14:paraId="03D574E9"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-0.050</w:t>
            </w:r>
          </w:p>
        </w:tc>
        <w:tc>
          <w:tcPr>
            <w:tcW w:w="549" w:type="pct"/>
            <w:tcBorders>
              <w:top w:val="nil"/>
              <w:left w:val="nil"/>
              <w:bottom w:val="nil"/>
              <w:right w:val="nil"/>
            </w:tcBorders>
          </w:tcPr>
          <w:p w14:paraId="2EF2D035"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p>
        </w:tc>
      </w:tr>
      <w:tr w:rsidR="009D3026" w:rsidRPr="00C00EE4" w14:paraId="6A80C3E9" w14:textId="77777777" w:rsidTr="001953BB">
        <w:tc>
          <w:tcPr>
            <w:tcW w:w="1323" w:type="pct"/>
            <w:tcBorders>
              <w:top w:val="nil"/>
              <w:left w:val="nil"/>
              <w:bottom w:val="nil"/>
              <w:right w:val="nil"/>
            </w:tcBorders>
            <w:hideMark/>
          </w:tcPr>
          <w:p w14:paraId="57969DA8"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 xml:space="preserve">  </w:t>
            </w:r>
          </w:p>
        </w:tc>
        <w:tc>
          <w:tcPr>
            <w:tcW w:w="516" w:type="pct"/>
            <w:tcBorders>
              <w:top w:val="nil"/>
              <w:left w:val="nil"/>
              <w:bottom w:val="nil"/>
              <w:right w:val="nil"/>
            </w:tcBorders>
          </w:tcPr>
          <w:p w14:paraId="482B2453"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p>
        </w:tc>
        <w:tc>
          <w:tcPr>
            <w:tcW w:w="1206" w:type="pct"/>
            <w:tcBorders>
              <w:top w:val="nil"/>
              <w:left w:val="nil"/>
              <w:bottom w:val="nil"/>
              <w:right w:val="nil"/>
            </w:tcBorders>
            <w:hideMark/>
          </w:tcPr>
          <w:p w14:paraId="3A1D6C61"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(0.017)</w:t>
            </w:r>
          </w:p>
        </w:tc>
        <w:tc>
          <w:tcPr>
            <w:tcW w:w="704" w:type="pct"/>
            <w:tcBorders>
              <w:top w:val="nil"/>
              <w:left w:val="nil"/>
              <w:bottom w:val="nil"/>
              <w:right w:val="nil"/>
            </w:tcBorders>
            <w:hideMark/>
          </w:tcPr>
          <w:p w14:paraId="15D3921E"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(0.015)</w:t>
            </w:r>
          </w:p>
        </w:tc>
        <w:tc>
          <w:tcPr>
            <w:tcW w:w="702" w:type="pct"/>
            <w:tcBorders>
              <w:top w:val="nil"/>
              <w:left w:val="nil"/>
              <w:bottom w:val="nil"/>
              <w:right w:val="nil"/>
            </w:tcBorders>
            <w:hideMark/>
          </w:tcPr>
          <w:p w14:paraId="70994A4F"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(0.060)</w:t>
            </w:r>
          </w:p>
        </w:tc>
        <w:tc>
          <w:tcPr>
            <w:tcW w:w="549" w:type="pct"/>
            <w:tcBorders>
              <w:top w:val="nil"/>
              <w:left w:val="nil"/>
              <w:bottom w:val="nil"/>
              <w:right w:val="nil"/>
            </w:tcBorders>
          </w:tcPr>
          <w:p w14:paraId="43C4A87E"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p>
        </w:tc>
      </w:tr>
      <w:tr w:rsidR="009D3026" w:rsidRPr="00C00EE4" w14:paraId="72A21FCA" w14:textId="77777777" w:rsidTr="001953BB">
        <w:tc>
          <w:tcPr>
            <w:tcW w:w="1323" w:type="pct"/>
            <w:tcBorders>
              <w:top w:val="nil"/>
              <w:left w:val="nil"/>
              <w:bottom w:val="nil"/>
              <w:right w:val="nil"/>
            </w:tcBorders>
            <w:hideMark/>
          </w:tcPr>
          <w:p w14:paraId="68E8AF30"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Deaths (t-1) (1ks)</w:t>
            </w:r>
          </w:p>
        </w:tc>
        <w:tc>
          <w:tcPr>
            <w:tcW w:w="516" w:type="pct"/>
            <w:tcBorders>
              <w:top w:val="nil"/>
              <w:left w:val="nil"/>
              <w:bottom w:val="nil"/>
              <w:right w:val="nil"/>
            </w:tcBorders>
          </w:tcPr>
          <w:p w14:paraId="4195B3B5"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p>
        </w:tc>
        <w:tc>
          <w:tcPr>
            <w:tcW w:w="1206" w:type="pct"/>
            <w:tcBorders>
              <w:top w:val="nil"/>
              <w:left w:val="nil"/>
              <w:bottom w:val="nil"/>
              <w:right w:val="nil"/>
            </w:tcBorders>
            <w:hideMark/>
          </w:tcPr>
          <w:p w14:paraId="271BF67B"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-0.132*</w:t>
            </w:r>
          </w:p>
        </w:tc>
        <w:tc>
          <w:tcPr>
            <w:tcW w:w="704" w:type="pct"/>
            <w:tcBorders>
              <w:top w:val="nil"/>
              <w:left w:val="nil"/>
              <w:bottom w:val="nil"/>
              <w:right w:val="nil"/>
            </w:tcBorders>
            <w:hideMark/>
          </w:tcPr>
          <w:p w14:paraId="76CB8A59"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-0.174***</w:t>
            </w:r>
          </w:p>
        </w:tc>
        <w:tc>
          <w:tcPr>
            <w:tcW w:w="702" w:type="pct"/>
            <w:tcBorders>
              <w:top w:val="nil"/>
              <w:left w:val="nil"/>
              <w:bottom w:val="nil"/>
              <w:right w:val="nil"/>
            </w:tcBorders>
            <w:hideMark/>
          </w:tcPr>
          <w:p w14:paraId="798764FA"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0.107</w:t>
            </w:r>
          </w:p>
        </w:tc>
        <w:tc>
          <w:tcPr>
            <w:tcW w:w="549" w:type="pct"/>
            <w:tcBorders>
              <w:top w:val="nil"/>
              <w:left w:val="nil"/>
              <w:bottom w:val="nil"/>
              <w:right w:val="nil"/>
            </w:tcBorders>
          </w:tcPr>
          <w:p w14:paraId="5A39B358"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p>
        </w:tc>
      </w:tr>
      <w:tr w:rsidR="009D3026" w:rsidRPr="00C00EE4" w14:paraId="07F70DD3" w14:textId="77777777" w:rsidTr="001953BB">
        <w:tc>
          <w:tcPr>
            <w:tcW w:w="1323" w:type="pct"/>
            <w:tcBorders>
              <w:top w:val="nil"/>
              <w:left w:val="nil"/>
              <w:bottom w:val="nil"/>
              <w:right w:val="nil"/>
            </w:tcBorders>
            <w:hideMark/>
          </w:tcPr>
          <w:p w14:paraId="50AA8D01"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 xml:space="preserve">  </w:t>
            </w:r>
          </w:p>
        </w:tc>
        <w:tc>
          <w:tcPr>
            <w:tcW w:w="516" w:type="pct"/>
            <w:tcBorders>
              <w:top w:val="nil"/>
              <w:left w:val="nil"/>
              <w:bottom w:val="nil"/>
              <w:right w:val="nil"/>
            </w:tcBorders>
          </w:tcPr>
          <w:p w14:paraId="39F04CAF"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p>
        </w:tc>
        <w:tc>
          <w:tcPr>
            <w:tcW w:w="1206" w:type="pct"/>
            <w:tcBorders>
              <w:top w:val="nil"/>
              <w:left w:val="nil"/>
              <w:bottom w:val="nil"/>
              <w:right w:val="nil"/>
            </w:tcBorders>
            <w:hideMark/>
          </w:tcPr>
          <w:p w14:paraId="52BAAFF0"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(0.080)</w:t>
            </w:r>
          </w:p>
        </w:tc>
        <w:tc>
          <w:tcPr>
            <w:tcW w:w="704" w:type="pct"/>
            <w:tcBorders>
              <w:top w:val="nil"/>
              <w:left w:val="nil"/>
              <w:bottom w:val="nil"/>
              <w:right w:val="nil"/>
            </w:tcBorders>
            <w:hideMark/>
          </w:tcPr>
          <w:p w14:paraId="5EFC6646"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(0.050)</w:t>
            </w:r>
          </w:p>
        </w:tc>
        <w:tc>
          <w:tcPr>
            <w:tcW w:w="702" w:type="pct"/>
            <w:tcBorders>
              <w:top w:val="nil"/>
              <w:left w:val="nil"/>
              <w:bottom w:val="nil"/>
              <w:right w:val="nil"/>
            </w:tcBorders>
            <w:hideMark/>
          </w:tcPr>
          <w:p w14:paraId="13EC6E57"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(0.073)</w:t>
            </w:r>
          </w:p>
        </w:tc>
        <w:tc>
          <w:tcPr>
            <w:tcW w:w="549" w:type="pct"/>
            <w:tcBorders>
              <w:top w:val="nil"/>
              <w:left w:val="nil"/>
              <w:bottom w:val="nil"/>
              <w:right w:val="nil"/>
            </w:tcBorders>
          </w:tcPr>
          <w:p w14:paraId="7051AA16"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p>
        </w:tc>
      </w:tr>
      <w:tr w:rsidR="009D3026" w:rsidRPr="00C00EE4" w14:paraId="5873C512" w14:textId="77777777" w:rsidTr="001953BB">
        <w:tc>
          <w:tcPr>
            <w:tcW w:w="1323" w:type="pct"/>
            <w:tcBorders>
              <w:top w:val="nil"/>
              <w:left w:val="nil"/>
              <w:bottom w:val="nil"/>
              <w:right w:val="nil"/>
            </w:tcBorders>
            <w:hideMark/>
          </w:tcPr>
          <w:p w14:paraId="2BDA06A2"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Inward relocations (t-1) (1ks)</w:t>
            </w:r>
          </w:p>
        </w:tc>
        <w:tc>
          <w:tcPr>
            <w:tcW w:w="516" w:type="pct"/>
            <w:tcBorders>
              <w:top w:val="nil"/>
              <w:left w:val="nil"/>
              <w:bottom w:val="nil"/>
              <w:right w:val="nil"/>
            </w:tcBorders>
          </w:tcPr>
          <w:p w14:paraId="663D4A6B"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p>
        </w:tc>
        <w:tc>
          <w:tcPr>
            <w:tcW w:w="1206" w:type="pct"/>
            <w:tcBorders>
              <w:top w:val="nil"/>
              <w:left w:val="nil"/>
              <w:bottom w:val="nil"/>
              <w:right w:val="nil"/>
            </w:tcBorders>
            <w:hideMark/>
          </w:tcPr>
          <w:p w14:paraId="585CD558"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10.726***</w:t>
            </w:r>
          </w:p>
        </w:tc>
        <w:tc>
          <w:tcPr>
            <w:tcW w:w="704" w:type="pct"/>
            <w:tcBorders>
              <w:top w:val="nil"/>
              <w:left w:val="nil"/>
              <w:bottom w:val="nil"/>
              <w:right w:val="nil"/>
            </w:tcBorders>
            <w:hideMark/>
          </w:tcPr>
          <w:p w14:paraId="7C716F13"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10.229***</w:t>
            </w:r>
          </w:p>
        </w:tc>
        <w:tc>
          <w:tcPr>
            <w:tcW w:w="702" w:type="pct"/>
            <w:tcBorders>
              <w:top w:val="nil"/>
              <w:left w:val="nil"/>
              <w:bottom w:val="nil"/>
              <w:right w:val="nil"/>
            </w:tcBorders>
            <w:hideMark/>
          </w:tcPr>
          <w:p w14:paraId="26BF3180"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-2.657</w:t>
            </w:r>
          </w:p>
        </w:tc>
        <w:tc>
          <w:tcPr>
            <w:tcW w:w="549" w:type="pct"/>
            <w:tcBorders>
              <w:top w:val="nil"/>
              <w:left w:val="nil"/>
              <w:bottom w:val="nil"/>
              <w:right w:val="nil"/>
            </w:tcBorders>
          </w:tcPr>
          <w:p w14:paraId="0FDAD03F"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p>
        </w:tc>
      </w:tr>
      <w:tr w:rsidR="009D3026" w:rsidRPr="00C00EE4" w14:paraId="463E4DE3" w14:textId="77777777" w:rsidTr="001953BB">
        <w:tc>
          <w:tcPr>
            <w:tcW w:w="1323" w:type="pct"/>
            <w:tcBorders>
              <w:top w:val="nil"/>
              <w:left w:val="nil"/>
              <w:bottom w:val="nil"/>
              <w:right w:val="nil"/>
            </w:tcBorders>
            <w:hideMark/>
          </w:tcPr>
          <w:p w14:paraId="6C5C289D"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 xml:space="preserve">  </w:t>
            </w:r>
          </w:p>
        </w:tc>
        <w:tc>
          <w:tcPr>
            <w:tcW w:w="516" w:type="pct"/>
            <w:tcBorders>
              <w:top w:val="nil"/>
              <w:left w:val="nil"/>
              <w:bottom w:val="nil"/>
              <w:right w:val="nil"/>
            </w:tcBorders>
          </w:tcPr>
          <w:p w14:paraId="268F1083"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p>
        </w:tc>
        <w:tc>
          <w:tcPr>
            <w:tcW w:w="1206" w:type="pct"/>
            <w:tcBorders>
              <w:top w:val="nil"/>
              <w:left w:val="nil"/>
              <w:bottom w:val="nil"/>
              <w:right w:val="nil"/>
            </w:tcBorders>
            <w:hideMark/>
          </w:tcPr>
          <w:p w14:paraId="597946A2"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(1.926)</w:t>
            </w:r>
          </w:p>
        </w:tc>
        <w:tc>
          <w:tcPr>
            <w:tcW w:w="704" w:type="pct"/>
            <w:tcBorders>
              <w:top w:val="nil"/>
              <w:left w:val="nil"/>
              <w:bottom w:val="nil"/>
              <w:right w:val="nil"/>
            </w:tcBorders>
            <w:hideMark/>
          </w:tcPr>
          <w:p w14:paraId="1C9794EA"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(1.945)</w:t>
            </w:r>
          </w:p>
        </w:tc>
        <w:tc>
          <w:tcPr>
            <w:tcW w:w="702" w:type="pct"/>
            <w:tcBorders>
              <w:top w:val="nil"/>
              <w:left w:val="nil"/>
              <w:bottom w:val="nil"/>
              <w:right w:val="nil"/>
            </w:tcBorders>
            <w:hideMark/>
          </w:tcPr>
          <w:p w14:paraId="7E38833C"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(10.264)</w:t>
            </w:r>
          </w:p>
        </w:tc>
        <w:tc>
          <w:tcPr>
            <w:tcW w:w="549" w:type="pct"/>
            <w:tcBorders>
              <w:top w:val="nil"/>
              <w:left w:val="nil"/>
              <w:bottom w:val="nil"/>
              <w:right w:val="nil"/>
            </w:tcBorders>
          </w:tcPr>
          <w:p w14:paraId="590F97C5"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p>
        </w:tc>
      </w:tr>
      <w:tr w:rsidR="009D3026" w:rsidRPr="00C00EE4" w14:paraId="69026FAF" w14:textId="77777777" w:rsidTr="001953BB">
        <w:tc>
          <w:tcPr>
            <w:tcW w:w="1323" w:type="pct"/>
            <w:tcBorders>
              <w:top w:val="nil"/>
              <w:left w:val="nil"/>
              <w:bottom w:val="nil"/>
              <w:right w:val="nil"/>
            </w:tcBorders>
            <w:hideMark/>
          </w:tcPr>
          <w:p w14:paraId="5F3ED7D4"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Constant</w:t>
            </w:r>
          </w:p>
        </w:tc>
        <w:tc>
          <w:tcPr>
            <w:tcW w:w="516" w:type="pct"/>
            <w:tcBorders>
              <w:top w:val="nil"/>
              <w:left w:val="nil"/>
              <w:bottom w:val="nil"/>
              <w:right w:val="nil"/>
            </w:tcBorders>
            <w:hideMark/>
          </w:tcPr>
          <w:p w14:paraId="08EABC1B"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4.713***</w:t>
            </w:r>
          </w:p>
        </w:tc>
        <w:tc>
          <w:tcPr>
            <w:tcW w:w="1206" w:type="pct"/>
            <w:tcBorders>
              <w:top w:val="nil"/>
              <w:left w:val="nil"/>
              <w:bottom w:val="nil"/>
              <w:right w:val="nil"/>
            </w:tcBorders>
            <w:hideMark/>
          </w:tcPr>
          <w:p w14:paraId="303F145A"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0.970***</w:t>
            </w:r>
          </w:p>
        </w:tc>
        <w:tc>
          <w:tcPr>
            <w:tcW w:w="704" w:type="pct"/>
            <w:tcBorders>
              <w:top w:val="nil"/>
              <w:left w:val="nil"/>
              <w:bottom w:val="nil"/>
              <w:right w:val="nil"/>
            </w:tcBorders>
            <w:hideMark/>
          </w:tcPr>
          <w:p w14:paraId="7EFC918A"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0.843**</w:t>
            </w:r>
          </w:p>
        </w:tc>
        <w:tc>
          <w:tcPr>
            <w:tcW w:w="702" w:type="pct"/>
            <w:tcBorders>
              <w:top w:val="nil"/>
              <w:left w:val="nil"/>
              <w:bottom w:val="nil"/>
              <w:right w:val="nil"/>
            </w:tcBorders>
            <w:hideMark/>
          </w:tcPr>
          <w:p w14:paraId="3A685AF6"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5.154*</w:t>
            </w:r>
          </w:p>
        </w:tc>
        <w:tc>
          <w:tcPr>
            <w:tcW w:w="549" w:type="pct"/>
            <w:tcBorders>
              <w:top w:val="nil"/>
              <w:left w:val="nil"/>
              <w:bottom w:val="nil"/>
              <w:right w:val="nil"/>
            </w:tcBorders>
            <w:hideMark/>
          </w:tcPr>
          <w:p w14:paraId="507664B6"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4.739***</w:t>
            </w:r>
          </w:p>
        </w:tc>
      </w:tr>
    </w:tbl>
    <w:p w14:paraId="62F7AF64" w14:textId="77777777" w:rsidR="003959BE" w:rsidRDefault="003959BE" w:rsidP="003959BE">
      <w:pPr>
        <w:spacing w:line="240" w:lineRule="auto"/>
        <w:rPr>
          <w:b/>
          <w:bCs/>
        </w:rPr>
      </w:pPr>
    </w:p>
    <w:p w14:paraId="3CF4CADD" w14:textId="77777777" w:rsidR="003959BE" w:rsidRDefault="003959BE" w:rsidP="003959BE">
      <w:pPr>
        <w:spacing w:line="240" w:lineRule="auto"/>
        <w:rPr>
          <w:b/>
          <w:bCs/>
        </w:rPr>
      </w:pPr>
    </w:p>
    <w:p w14:paraId="18B2B1C2" w14:textId="77777777" w:rsidR="003959BE" w:rsidRDefault="003959BE" w:rsidP="003959BE">
      <w:pPr>
        <w:spacing w:line="240" w:lineRule="auto"/>
        <w:rPr>
          <w:b/>
          <w:bCs/>
        </w:rPr>
      </w:pPr>
    </w:p>
    <w:p w14:paraId="0CC10A60" w14:textId="77777777" w:rsidR="003959BE" w:rsidRDefault="003959BE" w:rsidP="003959BE">
      <w:pPr>
        <w:spacing w:line="240" w:lineRule="auto"/>
        <w:rPr>
          <w:b/>
          <w:bCs/>
        </w:rPr>
      </w:pPr>
    </w:p>
    <w:p w14:paraId="1FA838C0" w14:textId="1A5A1414" w:rsidR="001953BB" w:rsidRPr="003959BE" w:rsidRDefault="003959BE" w:rsidP="003959BE">
      <w:pPr>
        <w:spacing w:line="240" w:lineRule="auto"/>
        <w:rPr>
          <w:b/>
          <w:bCs/>
        </w:rPr>
      </w:pPr>
      <w:r w:rsidRPr="003959BE">
        <w:rPr>
          <w:b/>
          <w:bCs/>
        </w:rPr>
        <w:lastRenderedPageBreak/>
        <w:t>Table A6: Continued</w:t>
      </w:r>
    </w:p>
    <w:tbl>
      <w:tblPr>
        <w:tblW w:w="5000" w:type="pct"/>
        <w:tblLook w:val="04A0" w:firstRow="1" w:lastRow="0" w:firstColumn="1" w:lastColumn="0" w:noHBand="0" w:noVBand="1"/>
      </w:tblPr>
      <w:tblGrid>
        <w:gridCol w:w="2476"/>
        <w:gridCol w:w="966"/>
        <w:gridCol w:w="2258"/>
        <w:gridCol w:w="1318"/>
        <w:gridCol w:w="1314"/>
        <w:gridCol w:w="1028"/>
      </w:tblGrid>
      <w:tr w:rsidR="003959BE" w:rsidRPr="00C00EE4" w14:paraId="321199AB" w14:textId="77777777" w:rsidTr="00CA1DF9">
        <w:tc>
          <w:tcPr>
            <w:tcW w:w="1323" w:type="pct"/>
            <w:tcBorders>
              <w:top w:val="single" w:sz="4" w:space="0" w:color="auto"/>
              <w:left w:val="nil"/>
              <w:bottom w:val="single" w:sz="4" w:space="0" w:color="auto"/>
              <w:right w:val="nil"/>
            </w:tcBorders>
          </w:tcPr>
          <w:p w14:paraId="5C738996" w14:textId="1B8B0BA6" w:rsidR="003959BE" w:rsidRPr="00CD4846" w:rsidRDefault="003959BE" w:rsidP="003959BE">
            <w:pPr>
              <w:widowControl w:val="0"/>
              <w:autoSpaceDE w:val="0"/>
              <w:autoSpaceDN w:val="0"/>
              <w:adjustRightInd w:val="0"/>
              <w:spacing w:line="240" w:lineRule="auto"/>
              <w:rPr>
                <w:rFonts w:eastAsia="Calibri" w:cs="Times New Roman"/>
                <w:kern w:val="2"/>
                <w:sz w:val="20"/>
                <w:szCs w:val="20"/>
                <w:lang/>
              </w:rPr>
            </w:pPr>
            <w:r w:rsidRPr="00CD4846">
              <w:rPr>
                <w:rFonts w:cs="Times New Roman"/>
                <w:b/>
                <w:bCs/>
                <w:kern w:val="2"/>
                <w:sz w:val="20"/>
                <w:szCs w:val="20"/>
                <w:lang/>
              </w:rPr>
              <w:t>Variable</w:t>
            </w:r>
            <w:r w:rsidRPr="00CD4846">
              <w:rPr>
                <w:rFonts w:eastAsia="Calibri" w:cs="Times New Roman"/>
                <w:kern w:val="2"/>
                <w:sz w:val="20"/>
                <w:szCs w:val="20"/>
                <w:lang/>
              </w:rPr>
              <w:t xml:space="preserve">   </w:t>
            </w:r>
          </w:p>
        </w:tc>
        <w:tc>
          <w:tcPr>
            <w:tcW w:w="516" w:type="pct"/>
            <w:tcBorders>
              <w:top w:val="single" w:sz="4" w:space="0" w:color="auto"/>
              <w:left w:val="nil"/>
              <w:bottom w:val="single" w:sz="4" w:space="0" w:color="auto"/>
              <w:right w:val="nil"/>
            </w:tcBorders>
          </w:tcPr>
          <w:p w14:paraId="577229F7" w14:textId="404AA9C9" w:rsidR="003959BE" w:rsidRPr="00CD4846" w:rsidRDefault="003959BE" w:rsidP="003959BE">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b/>
                <w:kern w:val="2"/>
                <w:sz w:val="20"/>
                <w:szCs w:val="20"/>
                <w:lang/>
              </w:rPr>
              <w:t>Deaths</w:t>
            </w:r>
          </w:p>
        </w:tc>
        <w:tc>
          <w:tcPr>
            <w:tcW w:w="1206" w:type="pct"/>
            <w:tcBorders>
              <w:top w:val="single" w:sz="4" w:space="0" w:color="auto"/>
              <w:left w:val="nil"/>
              <w:bottom w:val="single" w:sz="4" w:space="0" w:color="auto"/>
              <w:right w:val="nil"/>
            </w:tcBorders>
          </w:tcPr>
          <w:p w14:paraId="51C0C6D7" w14:textId="0B604CA1" w:rsidR="003959BE" w:rsidRPr="00CD4846" w:rsidRDefault="003959BE" w:rsidP="003959BE">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b/>
                <w:kern w:val="2"/>
                <w:sz w:val="20"/>
                <w:szCs w:val="20"/>
                <w:lang/>
              </w:rPr>
              <w:t>Outward Relocations</w:t>
            </w:r>
            <w:r w:rsidRPr="00CD4846">
              <w:rPr>
                <w:rFonts w:eastAsia="Calibri" w:cs="Times New Roman"/>
                <w:b/>
                <w:kern w:val="2"/>
                <w:sz w:val="20"/>
                <w:szCs w:val="20"/>
                <w:lang/>
              </w:rPr>
              <w:t xml:space="preserve"> (OR)</w:t>
            </w:r>
          </w:p>
        </w:tc>
        <w:tc>
          <w:tcPr>
            <w:tcW w:w="704" w:type="pct"/>
            <w:tcBorders>
              <w:top w:val="single" w:sz="4" w:space="0" w:color="auto"/>
              <w:left w:val="nil"/>
              <w:bottom w:val="single" w:sz="4" w:space="0" w:color="auto"/>
              <w:right w:val="nil"/>
            </w:tcBorders>
          </w:tcPr>
          <w:p w14:paraId="6B990556" w14:textId="08687058" w:rsidR="003959BE" w:rsidRPr="00CD4846" w:rsidRDefault="003959BE" w:rsidP="003959BE">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b/>
                <w:kern w:val="2"/>
                <w:sz w:val="20"/>
                <w:szCs w:val="20"/>
                <w:lang/>
              </w:rPr>
              <w:t xml:space="preserve">Intra-State </w:t>
            </w:r>
            <w:r w:rsidRPr="00CD4846">
              <w:rPr>
                <w:rFonts w:eastAsia="Calibri" w:cs="Times New Roman"/>
                <w:b/>
                <w:kern w:val="2"/>
                <w:sz w:val="20"/>
                <w:szCs w:val="20"/>
                <w:lang/>
              </w:rPr>
              <w:t>OR</w:t>
            </w:r>
          </w:p>
        </w:tc>
        <w:tc>
          <w:tcPr>
            <w:tcW w:w="702" w:type="pct"/>
            <w:tcBorders>
              <w:top w:val="single" w:sz="4" w:space="0" w:color="auto"/>
              <w:left w:val="nil"/>
              <w:bottom w:val="single" w:sz="4" w:space="0" w:color="auto"/>
              <w:right w:val="nil"/>
            </w:tcBorders>
          </w:tcPr>
          <w:p w14:paraId="686EAF46" w14:textId="29AA87C2" w:rsidR="003959BE" w:rsidRPr="00CD4846" w:rsidRDefault="003959BE" w:rsidP="003959BE">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b/>
                <w:kern w:val="2"/>
                <w:sz w:val="20"/>
                <w:szCs w:val="20"/>
                <w:lang/>
              </w:rPr>
              <w:t xml:space="preserve">Inter-State </w:t>
            </w:r>
            <w:r w:rsidRPr="00CD4846">
              <w:rPr>
                <w:rFonts w:eastAsia="Calibri" w:cs="Times New Roman"/>
                <w:b/>
                <w:kern w:val="2"/>
                <w:sz w:val="20"/>
                <w:szCs w:val="20"/>
                <w:lang/>
              </w:rPr>
              <w:t>OR</w:t>
            </w:r>
          </w:p>
        </w:tc>
        <w:tc>
          <w:tcPr>
            <w:tcW w:w="549" w:type="pct"/>
            <w:tcBorders>
              <w:top w:val="single" w:sz="4" w:space="0" w:color="auto"/>
              <w:left w:val="nil"/>
              <w:bottom w:val="single" w:sz="4" w:space="0" w:color="auto"/>
              <w:right w:val="nil"/>
            </w:tcBorders>
          </w:tcPr>
          <w:p w14:paraId="7946F428" w14:textId="0E26E244" w:rsidR="003959BE" w:rsidRPr="00CD4846" w:rsidRDefault="003959BE" w:rsidP="003959BE">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b/>
                <w:kern w:val="2"/>
                <w:sz w:val="20"/>
                <w:szCs w:val="20"/>
                <w:lang/>
              </w:rPr>
              <w:t>Total Exits</w:t>
            </w:r>
          </w:p>
        </w:tc>
      </w:tr>
      <w:tr w:rsidR="003959BE" w:rsidRPr="00C00EE4" w14:paraId="39EECAE3" w14:textId="77777777" w:rsidTr="001953BB">
        <w:tc>
          <w:tcPr>
            <w:tcW w:w="1323" w:type="pct"/>
            <w:tcBorders>
              <w:top w:val="nil"/>
              <w:left w:val="nil"/>
              <w:right w:val="nil"/>
            </w:tcBorders>
            <w:hideMark/>
          </w:tcPr>
          <w:p w14:paraId="1D83770D" w14:textId="77777777" w:rsidR="003959BE" w:rsidRPr="00CD4846" w:rsidRDefault="003959BE" w:rsidP="003959BE">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 xml:space="preserve">  </w:t>
            </w:r>
          </w:p>
        </w:tc>
        <w:tc>
          <w:tcPr>
            <w:tcW w:w="516" w:type="pct"/>
            <w:tcBorders>
              <w:top w:val="nil"/>
              <w:left w:val="nil"/>
              <w:right w:val="nil"/>
            </w:tcBorders>
            <w:hideMark/>
          </w:tcPr>
          <w:p w14:paraId="577AE578" w14:textId="77777777" w:rsidR="003959BE" w:rsidRPr="00CD4846" w:rsidRDefault="003959BE" w:rsidP="003959BE">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(0.263)</w:t>
            </w:r>
          </w:p>
        </w:tc>
        <w:tc>
          <w:tcPr>
            <w:tcW w:w="1206" w:type="pct"/>
            <w:tcBorders>
              <w:top w:val="nil"/>
              <w:left w:val="nil"/>
              <w:right w:val="nil"/>
            </w:tcBorders>
            <w:hideMark/>
          </w:tcPr>
          <w:p w14:paraId="20C20BD4" w14:textId="77777777" w:rsidR="003959BE" w:rsidRPr="00CD4846" w:rsidRDefault="003959BE" w:rsidP="003959BE">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(0.365)</w:t>
            </w:r>
          </w:p>
        </w:tc>
        <w:tc>
          <w:tcPr>
            <w:tcW w:w="704" w:type="pct"/>
            <w:tcBorders>
              <w:top w:val="nil"/>
              <w:left w:val="nil"/>
              <w:right w:val="nil"/>
            </w:tcBorders>
            <w:hideMark/>
          </w:tcPr>
          <w:p w14:paraId="4F4C98AF" w14:textId="77777777" w:rsidR="003959BE" w:rsidRPr="00CD4846" w:rsidRDefault="003959BE" w:rsidP="003959BE">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(0.369)</w:t>
            </w:r>
          </w:p>
        </w:tc>
        <w:tc>
          <w:tcPr>
            <w:tcW w:w="702" w:type="pct"/>
            <w:tcBorders>
              <w:top w:val="nil"/>
              <w:left w:val="nil"/>
              <w:right w:val="nil"/>
            </w:tcBorders>
            <w:hideMark/>
          </w:tcPr>
          <w:p w14:paraId="488A5527" w14:textId="77777777" w:rsidR="003959BE" w:rsidRPr="00CD4846" w:rsidRDefault="003959BE" w:rsidP="003959BE">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(2.782)</w:t>
            </w:r>
          </w:p>
        </w:tc>
        <w:tc>
          <w:tcPr>
            <w:tcW w:w="549" w:type="pct"/>
            <w:tcBorders>
              <w:top w:val="nil"/>
              <w:left w:val="nil"/>
              <w:right w:val="nil"/>
            </w:tcBorders>
            <w:hideMark/>
          </w:tcPr>
          <w:p w14:paraId="7DF1A25D" w14:textId="77777777" w:rsidR="003959BE" w:rsidRPr="00CD4846" w:rsidRDefault="003959BE" w:rsidP="003959BE">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(0.258)</w:t>
            </w:r>
          </w:p>
        </w:tc>
      </w:tr>
    </w:tbl>
    <w:p w14:paraId="032E6DF2" w14:textId="3EA67D67" w:rsidR="00C00EE4" w:rsidRPr="00C00EE4" w:rsidRDefault="00C00EE4" w:rsidP="00C00EE4">
      <w:pPr>
        <w:spacing w:line="240" w:lineRule="auto"/>
        <w:rPr>
          <w:b/>
          <w:bCs/>
        </w:rPr>
      </w:pPr>
    </w:p>
    <w:tbl>
      <w:tblPr>
        <w:tblW w:w="5000" w:type="pct"/>
        <w:tblLook w:val="04A0" w:firstRow="1" w:lastRow="0" w:firstColumn="1" w:lastColumn="0" w:noHBand="0" w:noVBand="1"/>
      </w:tblPr>
      <w:tblGrid>
        <w:gridCol w:w="2496"/>
        <w:gridCol w:w="870"/>
        <w:gridCol w:w="2276"/>
        <w:gridCol w:w="1337"/>
        <w:gridCol w:w="1333"/>
        <w:gridCol w:w="1048"/>
      </w:tblGrid>
      <w:tr w:rsidR="00C00EE4" w:rsidRPr="00C00EE4" w14:paraId="3FBF677C" w14:textId="77777777" w:rsidTr="00C00EE4">
        <w:tc>
          <w:tcPr>
            <w:tcW w:w="1333" w:type="pct"/>
            <w:tcBorders>
              <w:top w:val="single" w:sz="4" w:space="0" w:color="auto"/>
              <w:left w:val="nil"/>
              <w:bottom w:val="nil"/>
              <w:right w:val="nil"/>
            </w:tcBorders>
            <w:hideMark/>
          </w:tcPr>
          <w:p w14:paraId="18EA3F1C" w14:textId="77777777" w:rsidR="00C00EE4" w:rsidRPr="00CD4846" w:rsidRDefault="00C00EE4"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Observations</w:t>
            </w:r>
          </w:p>
        </w:tc>
        <w:tc>
          <w:tcPr>
            <w:tcW w:w="465" w:type="pct"/>
            <w:tcBorders>
              <w:top w:val="single" w:sz="4" w:space="0" w:color="auto"/>
              <w:left w:val="nil"/>
              <w:bottom w:val="nil"/>
              <w:right w:val="nil"/>
            </w:tcBorders>
            <w:hideMark/>
          </w:tcPr>
          <w:p w14:paraId="6D83C413" w14:textId="77777777" w:rsidR="00C00EE4" w:rsidRPr="00CD4846" w:rsidRDefault="00C00EE4"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78299</w:t>
            </w:r>
          </w:p>
        </w:tc>
        <w:tc>
          <w:tcPr>
            <w:tcW w:w="1216" w:type="pct"/>
            <w:tcBorders>
              <w:top w:val="single" w:sz="4" w:space="0" w:color="auto"/>
              <w:left w:val="nil"/>
              <w:bottom w:val="nil"/>
              <w:right w:val="nil"/>
            </w:tcBorders>
            <w:hideMark/>
          </w:tcPr>
          <w:p w14:paraId="730601DD" w14:textId="77777777" w:rsidR="00C00EE4" w:rsidRPr="00CD4846" w:rsidRDefault="00C00EE4"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71834</w:t>
            </w:r>
          </w:p>
        </w:tc>
        <w:tc>
          <w:tcPr>
            <w:tcW w:w="714" w:type="pct"/>
            <w:tcBorders>
              <w:top w:val="single" w:sz="4" w:space="0" w:color="auto"/>
              <w:left w:val="nil"/>
              <w:bottom w:val="nil"/>
              <w:right w:val="nil"/>
            </w:tcBorders>
            <w:hideMark/>
          </w:tcPr>
          <w:p w14:paraId="488269F4" w14:textId="77777777" w:rsidR="00C00EE4" w:rsidRPr="00CD4846" w:rsidRDefault="00C00EE4"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71166</w:t>
            </w:r>
          </w:p>
        </w:tc>
        <w:tc>
          <w:tcPr>
            <w:tcW w:w="712" w:type="pct"/>
            <w:tcBorders>
              <w:top w:val="single" w:sz="4" w:space="0" w:color="auto"/>
              <w:left w:val="nil"/>
              <w:bottom w:val="nil"/>
              <w:right w:val="nil"/>
            </w:tcBorders>
            <w:hideMark/>
          </w:tcPr>
          <w:p w14:paraId="4E279A6B" w14:textId="77777777" w:rsidR="00C00EE4" w:rsidRPr="00CD4846" w:rsidRDefault="00C00EE4"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15062</w:t>
            </w:r>
          </w:p>
        </w:tc>
        <w:tc>
          <w:tcPr>
            <w:tcW w:w="560" w:type="pct"/>
            <w:tcBorders>
              <w:top w:val="single" w:sz="4" w:space="0" w:color="auto"/>
              <w:left w:val="nil"/>
              <w:bottom w:val="nil"/>
              <w:right w:val="nil"/>
            </w:tcBorders>
            <w:hideMark/>
          </w:tcPr>
          <w:p w14:paraId="605BE079" w14:textId="77777777" w:rsidR="00C00EE4" w:rsidRPr="00CD4846" w:rsidRDefault="00C00EE4"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78299</w:t>
            </w:r>
          </w:p>
        </w:tc>
      </w:tr>
      <w:tr w:rsidR="00C00EE4" w:rsidRPr="00C00EE4" w14:paraId="71840924" w14:textId="77777777" w:rsidTr="00B82EB9">
        <w:tc>
          <w:tcPr>
            <w:tcW w:w="1333" w:type="pct"/>
            <w:tcBorders>
              <w:top w:val="nil"/>
              <w:left w:val="nil"/>
              <w:bottom w:val="nil"/>
              <w:right w:val="nil"/>
            </w:tcBorders>
            <w:hideMark/>
          </w:tcPr>
          <w:p w14:paraId="2CF1DE9C" w14:textId="77777777" w:rsidR="00C00EE4" w:rsidRPr="00CD4846" w:rsidRDefault="00C00EE4"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Pseudo R</w:t>
            </w:r>
            <w:r w:rsidRPr="00CD4846">
              <w:rPr>
                <w:rFonts w:eastAsia="Calibri" w:cs="Times New Roman"/>
                <w:kern w:val="2"/>
                <w:sz w:val="20"/>
                <w:szCs w:val="20"/>
                <w:vertAlign w:val="superscript"/>
                <w:lang/>
              </w:rPr>
              <w:t>2</w:t>
            </w:r>
          </w:p>
        </w:tc>
        <w:tc>
          <w:tcPr>
            <w:tcW w:w="465" w:type="pct"/>
            <w:tcBorders>
              <w:top w:val="nil"/>
              <w:left w:val="nil"/>
              <w:bottom w:val="nil"/>
              <w:right w:val="nil"/>
            </w:tcBorders>
            <w:hideMark/>
          </w:tcPr>
          <w:p w14:paraId="55F5C2FD" w14:textId="77777777" w:rsidR="00C00EE4" w:rsidRPr="00CD4846" w:rsidRDefault="00C00EE4"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0.928</w:t>
            </w:r>
          </w:p>
        </w:tc>
        <w:tc>
          <w:tcPr>
            <w:tcW w:w="1216" w:type="pct"/>
            <w:tcBorders>
              <w:top w:val="nil"/>
              <w:left w:val="nil"/>
              <w:bottom w:val="nil"/>
              <w:right w:val="nil"/>
            </w:tcBorders>
            <w:hideMark/>
          </w:tcPr>
          <w:p w14:paraId="50464637" w14:textId="77777777" w:rsidR="00C00EE4" w:rsidRPr="00CD4846" w:rsidRDefault="00C00EE4"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0.609</w:t>
            </w:r>
          </w:p>
        </w:tc>
        <w:tc>
          <w:tcPr>
            <w:tcW w:w="714" w:type="pct"/>
            <w:tcBorders>
              <w:top w:val="nil"/>
              <w:left w:val="nil"/>
              <w:bottom w:val="nil"/>
              <w:right w:val="nil"/>
            </w:tcBorders>
            <w:hideMark/>
          </w:tcPr>
          <w:p w14:paraId="330091CF" w14:textId="77777777" w:rsidR="00C00EE4" w:rsidRPr="00CD4846" w:rsidRDefault="00C00EE4"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0.609</w:t>
            </w:r>
          </w:p>
        </w:tc>
        <w:tc>
          <w:tcPr>
            <w:tcW w:w="712" w:type="pct"/>
            <w:tcBorders>
              <w:top w:val="nil"/>
              <w:left w:val="nil"/>
              <w:bottom w:val="nil"/>
              <w:right w:val="nil"/>
            </w:tcBorders>
            <w:hideMark/>
          </w:tcPr>
          <w:p w14:paraId="37E68645" w14:textId="77777777" w:rsidR="00C00EE4" w:rsidRPr="00CD4846" w:rsidRDefault="00C00EE4"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0.310</w:t>
            </w:r>
          </w:p>
        </w:tc>
        <w:tc>
          <w:tcPr>
            <w:tcW w:w="560" w:type="pct"/>
            <w:tcBorders>
              <w:top w:val="nil"/>
              <w:left w:val="nil"/>
              <w:bottom w:val="nil"/>
              <w:right w:val="nil"/>
            </w:tcBorders>
            <w:hideMark/>
          </w:tcPr>
          <w:p w14:paraId="21B9D744" w14:textId="77777777" w:rsidR="00C00EE4" w:rsidRPr="00CD4846" w:rsidRDefault="00C00EE4"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0.928</w:t>
            </w:r>
          </w:p>
        </w:tc>
      </w:tr>
      <w:tr w:rsidR="00C00EE4" w:rsidRPr="00C00EE4" w14:paraId="2BFB8F6F" w14:textId="77777777" w:rsidTr="00B82EB9">
        <w:tc>
          <w:tcPr>
            <w:tcW w:w="1333" w:type="pct"/>
            <w:tcBorders>
              <w:top w:val="nil"/>
              <w:left w:val="nil"/>
              <w:bottom w:val="nil"/>
              <w:right w:val="nil"/>
            </w:tcBorders>
            <w:hideMark/>
          </w:tcPr>
          <w:p w14:paraId="715FA82E" w14:textId="77777777" w:rsidR="00C00EE4" w:rsidRPr="00CD4846" w:rsidRDefault="00C00EE4"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Chi</w:t>
            </w:r>
            <w:r w:rsidRPr="00CD4846">
              <w:rPr>
                <w:rFonts w:eastAsia="Calibri" w:cs="Times New Roman"/>
                <w:kern w:val="2"/>
                <w:sz w:val="20"/>
                <w:szCs w:val="20"/>
                <w:vertAlign w:val="superscript"/>
                <w:lang/>
              </w:rPr>
              <w:t>2</w:t>
            </w:r>
          </w:p>
        </w:tc>
        <w:tc>
          <w:tcPr>
            <w:tcW w:w="465" w:type="pct"/>
            <w:tcBorders>
              <w:top w:val="nil"/>
              <w:left w:val="nil"/>
              <w:bottom w:val="nil"/>
              <w:right w:val="nil"/>
            </w:tcBorders>
            <w:hideMark/>
          </w:tcPr>
          <w:p w14:paraId="7DC3E185" w14:textId="77777777" w:rsidR="00C00EE4" w:rsidRPr="00CD4846" w:rsidRDefault="00C00EE4"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565</w:t>
            </w:r>
          </w:p>
        </w:tc>
        <w:tc>
          <w:tcPr>
            <w:tcW w:w="1216" w:type="pct"/>
            <w:tcBorders>
              <w:top w:val="nil"/>
              <w:left w:val="nil"/>
              <w:bottom w:val="nil"/>
              <w:right w:val="nil"/>
            </w:tcBorders>
            <w:hideMark/>
          </w:tcPr>
          <w:p w14:paraId="5EAFB269" w14:textId="77777777" w:rsidR="00C00EE4" w:rsidRPr="00CD4846" w:rsidRDefault="00C00EE4"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193</w:t>
            </w:r>
          </w:p>
        </w:tc>
        <w:tc>
          <w:tcPr>
            <w:tcW w:w="714" w:type="pct"/>
            <w:tcBorders>
              <w:top w:val="nil"/>
              <w:left w:val="nil"/>
              <w:bottom w:val="nil"/>
              <w:right w:val="nil"/>
            </w:tcBorders>
            <w:hideMark/>
          </w:tcPr>
          <w:p w14:paraId="155C532B" w14:textId="77777777" w:rsidR="00C00EE4" w:rsidRPr="00CD4846" w:rsidRDefault="00C00EE4"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222</w:t>
            </w:r>
          </w:p>
        </w:tc>
        <w:tc>
          <w:tcPr>
            <w:tcW w:w="712" w:type="pct"/>
            <w:tcBorders>
              <w:top w:val="nil"/>
              <w:left w:val="nil"/>
              <w:bottom w:val="nil"/>
              <w:right w:val="nil"/>
            </w:tcBorders>
            <w:hideMark/>
          </w:tcPr>
          <w:p w14:paraId="11EF571D" w14:textId="77777777" w:rsidR="00C00EE4" w:rsidRPr="00CD4846" w:rsidRDefault="00C00EE4"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85</w:t>
            </w:r>
          </w:p>
        </w:tc>
        <w:tc>
          <w:tcPr>
            <w:tcW w:w="560" w:type="pct"/>
            <w:tcBorders>
              <w:top w:val="nil"/>
              <w:left w:val="nil"/>
              <w:bottom w:val="nil"/>
              <w:right w:val="nil"/>
            </w:tcBorders>
            <w:hideMark/>
          </w:tcPr>
          <w:p w14:paraId="25EDB9BF" w14:textId="77777777" w:rsidR="00C00EE4" w:rsidRPr="00CD4846" w:rsidRDefault="00C00EE4"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571</w:t>
            </w:r>
          </w:p>
        </w:tc>
      </w:tr>
      <w:tr w:rsidR="00C00EE4" w:rsidRPr="00C00EE4" w14:paraId="12734D61" w14:textId="77777777" w:rsidTr="00B82EB9">
        <w:tc>
          <w:tcPr>
            <w:tcW w:w="1333" w:type="pct"/>
            <w:tcBorders>
              <w:top w:val="nil"/>
              <w:left w:val="nil"/>
              <w:bottom w:val="nil"/>
              <w:right w:val="nil"/>
            </w:tcBorders>
            <w:hideMark/>
          </w:tcPr>
          <w:p w14:paraId="6CBA4DE5" w14:textId="77777777" w:rsidR="00C00EE4" w:rsidRPr="00CD4846" w:rsidRDefault="00C00EE4"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Log Likelihood</w:t>
            </w:r>
          </w:p>
        </w:tc>
        <w:tc>
          <w:tcPr>
            <w:tcW w:w="465" w:type="pct"/>
            <w:tcBorders>
              <w:top w:val="nil"/>
              <w:left w:val="nil"/>
              <w:bottom w:val="nil"/>
              <w:right w:val="nil"/>
            </w:tcBorders>
            <w:hideMark/>
          </w:tcPr>
          <w:p w14:paraId="424B295A" w14:textId="77777777" w:rsidR="00C00EE4" w:rsidRPr="00CD4846" w:rsidRDefault="00C00EE4"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-399154</w:t>
            </w:r>
          </w:p>
        </w:tc>
        <w:tc>
          <w:tcPr>
            <w:tcW w:w="1216" w:type="pct"/>
            <w:tcBorders>
              <w:top w:val="nil"/>
              <w:left w:val="nil"/>
              <w:bottom w:val="nil"/>
              <w:right w:val="nil"/>
            </w:tcBorders>
            <w:hideMark/>
          </w:tcPr>
          <w:p w14:paraId="587E2F8B" w14:textId="77777777" w:rsidR="00C00EE4" w:rsidRPr="00CD4846" w:rsidRDefault="00C00EE4"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-45872</w:t>
            </w:r>
          </w:p>
        </w:tc>
        <w:tc>
          <w:tcPr>
            <w:tcW w:w="714" w:type="pct"/>
            <w:tcBorders>
              <w:top w:val="nil"/>
              <w:left w:val="nil"/>
              <w:bottom w:val="nil"/>
              <w:right w:val="nil"/>
            </w:tcBorders>
            <w:hideMark/>
          </w:tcPr>
          <w:p w14:paraId="7BF2DD21" w14:textId="77777777" w:rsidR="00C00EE4" w:rsidRPr="00CD4846" w:rsidRDefault="00C00EE4"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-44698</w:t>
            </w:r>
          </w:p>
        </w:tc>
        <w:tc>
          <w:tcPr>
            <w:tcW w:w="712" w:type="pct"/>
            <w:tcBorders>
              <w:top w:val="nil"/>
              <w:left w:val="nil"/>
              <w:bottom w:val="nil"/>
              <w:right w:val="nil"/>
            </w:tcBorders>
            <w:hideMark/>
          </w:tcPr>
          <w:p w14:paraId="2F1A41EF" w14:textId="77777777" w:rsidR="00C00EE4" w:rsidRPr="00CD4846" w:rsidRDefault="00C00EE4"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-3620</w:t>
            </w:r>
          </w:p>
        </w:tc>
        <w:tc>
          <w:tcPr>
            <w:tcW w:w="560" w:type="pct"/>
            <w:tcBorders>
              <w:top w:val="nil"/>
              <w:left w:val="nil"/>
              <w:bottom w:val="nil"/>
              <w:right w:val="nil"/>
            </w:tcBorders>
            <w:hideMark/>
          </w:tcPr>
          <w:p w14:paraId="1D604CE9" w14:textId="77777777" w:rsidR="00C00EE4" w:rsidRPr="00CD4846" w:rsidRDefault="00C00EE4"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-400365</w:t>
            </w:r>
          </w:p>
        </w:tc>
      </w:tr>
      <w:tr w:rsidR="00C00EE4" w:rsidRPr="00C00EE4" w14:paraId="5AD4AADE" w14:textId="77777777" w:rsidTr="00B82EB9">
        <w:tc>
          <w:tcPr>
            <w:tcW w:w="1333" w:type="pct"/>
            <w:tcBorders>
              <w:top w:val="nil"/>
              <w:left w:val="nil"/>
              <w:bottom w:val="nil"/>
              <w:right w:val="nil"/>
            </w:tcBorders>
            <w:hideMark/>
          </w:tcPr>
          <w:p w14:paraId="6C6C47B2" w14:textId="77777777" w:rsidR="00C00EE4" w:rsidRPr="00CD4846" w:rsidRDefault="00C00EE4"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Akaike’s Criterion</w:t>
            </w:r>
          </w:p>
        </w:tc>
        <w:tc>
          <w:tcPr>
            <w:tcW w:w="465" w:type="pct"/>
            <w:tcBorders>
              <w:top w:val="nil"/>
              <w:left w:val="nil"/>
              <w:bottom w:val="nil"/>
              <w:right w:val="nil"/>
            </w:tcBorders>
            <w:hideMark/>
          </w:tcPr>
          <w:p w14:paraId="1107601E" w14:textId="77777777" w:rsidR="00C00EE4" w:rsidRPr="00CD4846" w:rsidRDefault="00C00EE4"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798345</w:t>
            </w:r>
          </w:p>
        </w:tc>
        <w:tc>
          <w:tcPr>
            <w:tcW w:w="1216" w:type="pct"/>
            <w:tcBorders>
              <w:top w:val="nil"/>
              <w:left w:val="nil"/>
              <w:bottom w:val="nil"/>
              <w:right w:val="nil"/>
            </w:tcBorders>
            <w:hideMark/>
          </w:tcPr>
          <w:p w14:paraId="62FF1A77" w14:textId="77777777" w:rsidR="00C00EE4" w:rsidRPr="00CD4846" w:rsidRDefault="00C00EE4"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91785</w:t>
            </w:r>
          </w:p>
        </w:tc>
        <w:tc>
          <w:tcPr>
            <w:tcW w:w="714" w:type="pct"/>
            <w:tcBorders>
              <w:top w:val="nil"/>
              <w:left w:val="nil"/>
              <w:bottom w:val="nil"/>
              <w:right w:val="nil"/>
            </w:tcBorders>
            <w:hideMark/>
          </w:tcPr>
          <w:p w14:paraId="6FA73094" w14:textId="77777777" w:rsidR="00C00EE4" w:rsidRPr="00CD4846" w:rsidRDefault="00C00EE4"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89437</w:t>
            </w:r>
          </w:p>
        </w:tc>
        <w:tc>
          <w:tcPr>
            <w:tcW w:w="712" w:type="pct"/>
            <w:tcBorders>
              <w:top w:val="nil"/>
              <w:left w:val="nil"/>
              <w:bottom w:val="nil"/>
              <w:right w:val="nil"/>
            </w:tcBorders>
            <w:hideMark/>
          </w:tcPr>
          <w:p w14:paraId="7BFF8670" w14:textId="77777777" w:rsidR="00C00EE4" w:rsidRPr="00CD4846" w:rsidRDefault="00C00EE4"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7278</w:t>
            </w:r>
          </w:p>
        </w:tc>
        <w:tc>
          <w:tcPr>
            <w:tcW w:w="560" w:type="pct"/>
            <w:tcBorders>
              <w:top w:val="nil"/>
              <w:left w:val="nil"/>
              <w:bottom w:val="nil"/>
              <w:right w:val="nil"/>
            </w:tcBorders>
            <w:hideMark/>
          </w:tcPr>
          <w:p w14:paraId="14D56D74" w14:textId="77777777" w:rsidR="00C00EE4" w:rsidRPr="00CD4846" w:rsidRDefault="00C00EE4"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800766</w:t>
            </w:r>
          </w:p>
        </w:tc>
      </w:tr>
      <w:tr w:rsidR="00C00EE4" w:rsidRPr="00C00EE4" w14:paraId="581491F8" w14:textId="77777777" w:rsidTr="00B82EB9">
        <w:tc>
          <w:tcPr>
            <w:tcW w:w="1333" w:type="pct"/>
            <w:tcBorders>
              <w:top w:val="nil"/>
              <w:left w:val="nil"/>
              <w:bottom w:val="nil"/>
              <w:right w:val="nil"/>
            </w:tcBorders>
            <w:hideMark/>
          </w:tcPr>
          <w:p w14:paraId="2BABFB8A" w14:textId="77777777" w:rsidR="00C00EE4" w:rsidRPr="00CD4846" w:rsidRDefault="00C00EE4"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Bayesian Criterion</w:t>
            </w:r>
          </w:p>
        </w:tc>
        <w:tc>
          <w:tcPr>
            <w:tcW w:w="465" w:type="pct"/>
            <w:tcBorders>
              <w:top w:val="nil"/>
              <w:left w:val="nil"/>
              <w:bottom w:val="nil"/>
              <w:right w:val="nil"/>
            </w:tcBorders>
            <w:hideMark/>
          </w:tcPr>
          <w:p w14:paraId="7FDD9E64" w14:textId="77777777" w:rsidR="00C00EE4" w:rsidRPr="00CD4846" w:rsidRDefault="00C00EE4"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798511</w:t>
            </w:r>
          </w:p>
        </w:tc>
        <w:tc>
          <w:tcPr>
            <w:tcW w:w="1216" w:type="pct"/>
            <w:tcBorders>
              <w:top w:val="nil"/>
              <w:left w:val="nil"/>
              <w:bottom w:val="nil"/>
              <w:right w:val="nil"/>
            </w:tcBorders>
            <w:hideMark/>
          </w:tcPr>
          <w:p w14:paraId="74126A8B" w14:textId="77777777" w:rsidR="00C00EE4" w:rsidRPr="00CD4846" w:rsidRDefault="00C00EE4"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91968</w:t>
            </w:r>
          </w:p>
        </w:tc>
        <w:tc>
          <w:tcPr>
            <w:tcW w:w="714" w:type="pct"/>
            <w:tcBorders>
              <w:top w:val="nil"/>
              <w:left w:val="nil"/>
              <w:bottom w:val="nil"/>
              <w:right w:val="nil"/>
            </w:tcBorders>
            <w:hideMark/>
          </w:tcPr>
          <w:p w14:paraId="018E5F65" w14:textId="77777777" w:rsidR="00C00EE4" w:rsidRPr="00CD4846" w:rsidRDefault="00C00EE4"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89620</w:t>
            </w:r>
          </w:p>
        </w:tc>
        <w:tc>
          <w:tcPr>
            <w:tcW w:w="712" w:type="pct"/>
            <w:tcBorders>
              <w:top w:val="nil"/>
              <w:left w:val="nil"/>
              <w:bottom w:val="nil"/>
              <w:right w:val="nil"/>
            </w:tcBorders>
            <w:hideMark/>
          </w:tcPr>
          <w:p w14:paraId="4DEE53C6" w14:textId="77777777" w:rsidR="00C00EE4" w:rsidRPr="00CD4846" w:rsidRDefault="00C00EE4"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7423</w:t>
            </w:r>
          </w:p>
        </w:tc>
        <w:tc>
          <w:tcPr>
            <w:tcW w:w="560" w:type="pct"/>
            <w:tcBorders>
              <w:top w:val="nil"/>
              <w:left w:val="nil"/>
              <w:bottom w:val="nil"/>
              <w:right w:val="nil"/>
            </w:tcBorders>
            <w:hideMark/>
          </w:tcPr>
          <w:p w14:paraId="4B10A19B" w14:textId="77777777" w:rsidR="00C00EE4" w:rsidRPr="00CD4846" w:rsidRDefault="00C00EE4"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800932</w:t>
            </w:r>
          </w:p>
        </w:tc>
      </w:tr>
      <w:tr w:rsidR="00C00EE4" w:rsidRPr="00C00EE4" w14:paraId="52638DF4" w14:textId="77777777" w:rsidTr="00B82EB9">
        <w:tc>
          <w:tcPr>
            <w:tcW w:w="1333" w:type="pct"/>
            <w:tcBorders>
              <w:top w:val="nil"/>
              <w:left w:val="nil"/>
              <w:bottom w:val="nil"/>
              <w:right w:val="nil"/>
            </w:tcBorders>
            <w:hideMark/>
          </w:tcPr>
          <w:p w14:paraId="2830CF0E" w14:textId="77777777" w:rsidR="00C00EE4" w:rsidRPr="00CD4846" w:rsidRDefault="00C00EE4"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County FE</w:t>
            </w:r>
          </w:p>
        </w:tc>
        <w:tc>
          <w:tcPr>
            <w:tcW w:w="465" w:type="pct"/>
            <w:tcBorders>
              <w:top w:val="nil"/>
              <w:left w:val="nil"/>
              <w:bottom w:val="nil"/>
              <w:right w:val="nil"/>
            </w:tcBorders>
            <w:hideMark/>
          </w:tcPr>
          <w:p w14:paraId="73841E81" w14:textId="77777777" w:rsidR="00C00EE4" w:rsidRPr="00CD4846" w:rsidRDefault="00C00EE4"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Yes</w:t>
            </w:r>
          </w:p>
        </w:tc>
        <w:tc>
          <w:tcPr>
            <w:tcW w:w="1216" w:type="pct"/>
            <w:tcBorders>
              <w:top w:val="nil"/>
              <w:left w:val="nil"/>
              <w:bottom w:val="nil"/>
              <w:right w:val="nil"/>
            </w:tcBorders>
            <w:hideMark/>
          </w:tcPr>
          <w:p w14:paraId="2E933393" w14:textId="77777777" w:rsidR="00C00EE4" w:rsidRPr="00CD4846" w:rsidRDefault="00C00EE4"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Yes</w:t>
            </w:r>
          </w:p>
        </w:tc>
        <w:tc>
          <w:tcPr>
            <w:tcW w:w="714" w:type="pct"/>
            <w:tcBorders>
              <w:top w:val="nil"/>
              <w:left w:val="nil"/>
              <w:bottom w:val="nil"/>
              <w:right w:val="nil"/>
            </w:tcBorders>
            <w:hideMark/>
          </w:tcPr>
          <w:p w14:paraId="602E59DA" w14:textId="77777777" w:rsidR="00C00EE4" w:rsidRPr="00CD4846" w:rsidRDefault="00C00EE4"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Yes</w:t>
            </w:r>
          </w:p>
        </w:tc>
        <w:tc>
          <w:tcPr>
            <w:tcW w:w="712" w:type="pct"/>
            <w:tcBorders>
              <w:top w:val="nil"/>
              <w:left w:val="nil"/>
              <w:bottom w:val="nil"/>
              <w:right w:val="nil"/>
            </w:tcBorders>
            <w:hideMark/>
          </w:tcPr>
          <w:p w14:paraId="6D39FD06" w14:textId="77777777" w:rsidR="00C00EE4" w:rsidRPr="00CD4846" w:rsidRDefault="00C00EE4"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Yes</w:t>
            </w:r>
          </w:p>
        </w:tc>
        <w:tc>
          <w:tcPr>
            <w:tcW w:w="560" w:type="pct"/>
            <w:tcBorders>
              <w:top w:val="nil"/>
              <w:left w:val="nil"/>
              <w:bottom w:val="nil"/>
              <w:right w:val="nil"/>
            </w:tcBorders>
            <w:hideMark/>
          </w:tcPr>
          <w:p w14:paraId="64ACC08B" w14:textId="77777777" w:rsidR="00C00EE4" w:rsidRPr="00CD4846" w:rsidRDefault="00C00EE4"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Yes</w:t>
            </w:r>
          </w:p>
        </w:tc>
      </w:tr>
      <w:tr w:rsidR="00C00EE4" w:rsidRPr="00C00EE4" w14:paraId="77FBD202" w14:textId="77777777" w:rsidTr="00B82EB9">
        <w:tc>
          <w:tcPr>
            <w:tcW w:w="1333" w:type="pct"/>
            <w:tcBorders>
              <w:top w:val="nil"/>
              <w:left w:val="nil"/>
              <w:bottom w:val="nil"/>
              <w:right w:val="nil"/>
            </w:tcBorders>
            <w:hideMark/>
          </w:tcPr>
          <w:p w14:paraId="5049B456" w14:textId="77777777" w:rsidR="00C00EE4" w:rsidRPr="00CD4846" w:rsidRDefault="00C00EE4"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State by Year FE</w:t>
            </w:r>
          </w:p>
        </w:tc>
        <w:tc>
          <w:tcPr>
            <w:tcW w:w="465" w:type="pct"/>
            <w:tcBorders>
              <w:top w:val="nil"/>
              <w:left w:val="nil"/>
              <w:bottom w:val="nil"/>
              <w:right w:val="nil"/>
            </w:tcBorders>
            <w:hideMark/>
          </w:tcPr>
          <w:p w14:paraId="36983A42" w14:textId="77777777" w:rsidR="00C00EE4" w:rsidRPr="00CD4846" w:rsidRDefault="00C00EE4"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Yes</w:t>
            </w:r>
          </w:p>
        </w:tc>
        <w:tc>
          <w:tcPr>
            <w:tcW w:w="1216" w:type="pct"/>
            <w:tcBorders>
              <w:top w:val="nil"/>
              <w:left w:val="nil"/>
              <w:bottom w:val="nil"/>
              <w:right w:val="nil"/>
            </w:tcBorders>
            <w:hideMark/>
          </w:tcPr>
          <w:p w14:paraId="08FFC8DA" w14:textId="77777777" w:rsidR="00C00EE4" w:rsidRPr="00CD4846" w:rsidRDefault="00C00EE4"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Yes</w:t>
            </w:r>
          </w:p>
        </w:tc>
        <w:tc>
          <w:tcPr>
            <w:tcW w:w="714" w:type="pct"/>
            <w:tcBorders>
              <w:top w:val="nil"/>
              <w:left w:val="nil"/>
              <w:bottom w:val="nil"/>
              <w:right w:val="nil"/>
            </w:tcBorders>
            <w:hideMark/>
          </w:tcPr>
          <w:p w14:paraId="57C902A0" w14:textId="77777777" w:rsidR="00C00EE4" w:rsidRPr="00CD4846" w:rsidRDefault="00C00EE4"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Yes</w:t>
            </w:r>
          </w:p>
        </w:tc>
        <w:tc>
          <w:tcPr>
            <w:tcW w:w="712" w:type="pct"/>
            <w:tcBorders>
              <w:top w:val="nil"/>
              <w:left w:val="nil"/>
              <w:bottom w:val="nil"/>
              <w:right w:val="nil"/>
            </w:tcBorders>
            <w:hideMark/>
          </w:tcPr>
          <w:p w14:paraId="55768D24" w14:textId="77777777" w:rsidR="00C00EE4" w:rsidRPr="00CD4846" w:rsidRDefault="00C00EE4"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Yes</w:t>
            </w:r>
          </w:p>
        </w:tc>
        <w:tc>
          <w:tcPr>
            <w:tcW w:w="560" w:type="pct"/>
            <w:tcBorders>
              <w:top w:val="nil"/>
              <w:left w:val="nil"/>
              <w:bottom w:val="nil"/>
              <w:right w:val="nil"/>
            </w:tcBorders>
            <w:hideMark/>
          </w:tcPr>
          <w:p w14:paraId="40116FD3" w14:textId="77777777" w:rsidR="00C00EE4" w:rsidRPr="00CD4846" w:rsidRDefault="00C00EE4"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Yes</w:t>
            </w:r>
          </w:p>
        </w:tc>
      </w:tr>
      <w:tr w:rsidR="00C00EE4" w:rsidRPr="00C00EE4" w14:paraId="1D1DC7F6" w14:textId="77777777" w:rsidTr="002C0F11">
        <w:tc>
          <w:tcPr>
            <w:tcW w:w="1333" w:type="pct"/>
            <w:tcBorders>
              <w:top w:val="nil"/>
              <w:left w:val="nil"/>
              <w:right w:val="nil"/>
            </w:tcBorders>
            <w:hideMark/>
          </w:tcPr>
          <w:p w14:paraId="12B48732" w14:textId="77777777" w:rsidR="00C00EE4" w:rsidRPr="00CD4846" w:rsidRDefault="00C00EE4"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NAICS FE</w:t>
            </w:r>
          </w:p>
        </w:tc>
        <w:tc>
          <w:tcPr>
            <w:tcW w:w="465" w:type="pct"/>
            <w:tcBorders>
              <w:top w:val="nil"/>
              <w:left w:val="nil"/>
              <w:right w:val="nil"/>
            </w:tcBorders>
            <w:hideMark/>
          </w:tcPr>
          <w:p w14:paraId="32B3555E" w14:textId="77777777" w:rsidR="00C00EE4" w:rsidRPr="00CD4846" w:rsidRDefault="00C00EE4"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Yes</w:t>
            </w:r>
          </w:p>
        </w:tc>
        <w:tc>
          <w:tcPr>
            <w:tcW w:w="1216" w:type="pct"/>
            <w:tcBorders>
              <w:top w:val="nil"/>
              <w:left w:val="nil"/>
              <w:right w:val="nil"/>
            </w:tcBorders>
            <w:hideMark/>
          </w:tcPr>
          <w:p w14:paraId="24DEC693" w14:textId="77777777" w:rsidR="00C00EE4" w:rsidRPr="00CD4846" w:rsidRDefault="00C00EE4"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Yes</w:t>
            </w:r>
          </w:p>
        </w:tc>
        <w:tc>
          <w:tcPr>
            <w:tcW w:w="714" w:type="pct"/>
            <w:tcBorders>
              <w:top w:val="nil"/>
              <w:left w:val="nil"/>
              <w:right w:val="nil"/>
            </w:tcBorders>
            <w:hideMark/>
          </w:tcPr>
          <w:p w14:paraId="1174BD90" w14:textId="77777777" w:rsidR="00C00EE4" w:rsidRPr="00CD4846" w:rsidRDefault="00C00EE4"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Yes</w:t>
            </w:r>
          </w:p>
        </w:tc>
        <w:tc>
          <w:tcPr>
            <w:tcW w:w="712" w:type="pct"/>
            <w:tcBorders>
              <w:top w:val="nil"/>
              <w:left w:val="nil"/>
              <w:right w:val="nil"/>
            </w:tcBorders>
            <w:hideMark/>
          </w:tcPr>
          <w:p w14:paraId="4698EDB7" w14:textId="77777777" w:rsidR="00C00EE4" w:rsidRPr="00CD4846" w:rsidRDefault="00C00EE4"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Yes</w:t>
            </w:r>
          </w:p>
        </w:tc>
        <w:tc>
          <w:tcPr>
            <w:tcW w:w="560" w:type="pct"/>
            <w:tcBorders>
              <w:top w:val="nil"/>
              <w:left w:val="nil"/>
              <w:right w:val="nil"/>
            </w:tcBorders>
            <w:hideMark/>
          </w:tcPr>
          <w:p w14:paraId="73E46C5B" w14:textId="77777777" w:rsidR="00C00EE4" w:rsidRPr="00CD4846" w:rsidRDefault="00C00EE4"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Yes</w:t>
            </w:r>
          </w:p>
        </w:tc>
      </w:tr>
      <w:tr w:rsidR="00C00EE4" w:rsidRPr="00C00EE4" w14:paraId="21BE17D2" w14:textId="77777777" w:rsidTr="002C0F11">
        <w:tc>
          <w:tcPr>
            <w:tcW w:w="1333" w:type="pct"/>
            <w:tcBorders>
              <w:top w:val="nil"/>
              <w:left w:val="nil"/>
              <w:bottom w:val="single" w:sz="4" w:space="0" w:color="auto"/>
              <w:right w:val="nil"/>
            </w:tcBorders>
            <w:hideMark/>
          </w:tcPr>
          <w:p w14:paraId="1A8CE73C" w14:textId="77777777" w:rsidR="00C00EE4" w:rsidRPr="00CD4846" w:rsidRDefault="00C00EE4" w:rsidP="00EE502F">
            <w:pPr>
              <w:widowControl w:val="0"/>
              <w:autoSpaceDE w:val="0"/>
              <w:autoSpaceDN w:val="0"/>
              <w:adjustRightInd w:val="0"/>
              <w:spacing w:line="240" w:lineRule="auto"/>
              <w:rPr>
                <w:rFonts w:eastAsia="Calibri" w:cs="Times New Roman"/>
                <w:color w:val="5F6368"/>
                <w:kern w:val="2"/>
                <w:sz w:val="20"/>
                <w:szCs w:val="20"/>
                <w:shd w:val="clear" w:color="auto" w:fill="FFFFFF"/>
                <w:lang/>
              </w:rPr>
            </w:pPr>
            <w:r w:rsidRPr="00CD4846">
              <w:rPr>
                <w:rFonts w:eastAsia="Calibri" w:cs="Times New Roman"/>
                <w:kern w:val="2"/>
                <w:sz w:val="20"/>
                <w:szCs w:val="20"/>
                <w:lang/>
              </w:rPr>
              <w:t>PA-PA</w:t>
            </w:r>
            <w:r w:rsidRPr="00CD4846">
              <w:rPr>
                <w:rFonts w:eastAsia="Calibri" w:cs="Times New Roman"/>
                <w:i/>
                <w:color w:val="5F6368"/>
                <w:kern w:val="2"/>
                <w:sz w:val="20"/>
                <w:szCs w:val="20"/>
                <w:shd w:val="clear" w:color="auto" w:fill="FFFFFF"/>
                <w:lang/>
              </w:rPr>
              <w:t xml:space="preserve">² </w:t>
            </w:r>
            <w:r w:rsidRPr="00CD4846">
              <w:rPr>
                <w:rFonts w:eastAsia="Calibri" w:cs="Times New Roman"/>
                <w:kern w:val="2"/>
                <w:sz w:val="20"/>
                <w:szCs w:val="20"/>
                <w:lang/>
              </w:rPr>
              <w:t>Joint Test p-value</w:t>
            </w:r>
          </w:p>
        </w:tc>
        <w:tc>
          <w:tcPr>
            <w:tcW w:w="465" w:type="pct"/>
            <w:tcBorders>
              <w:top w:val="nil"/>
              <w:left w:val="nil"/>
              <w:bottom w:val="single" w:sz="4" w:space="0" w:color="auto"/>
              <w:right w:val="nil"/>
            </w:tcBorders>
            <w:hideMark/>
          </w:tcPr>
          <w:p w14:paraId="2A8FAB7C" w14:textId="77777777" w:rsidR="00C00EE4" w:rsidRPr="00CD4846" w:rsidRDefault="00C00EE4" w:rsidP="00EE502F">
            <w:pPr>
              <w:widowControl w:val="0"/>
              <w:autoSpaceDE w:val="0"/>
              <w:autoSpaceDN w:val="0"/>
              <w:adjustRightInd w:val="0"/>
              <w:spacing w:line="240" w:lineRule="auto"/>
              <w:rPr>
                <w:rFonts w:eastAsia="Calibri" w:cs="Times New Roman"/>
                <w:bCs/>
                <w:kern w:val="2"/>
                <w:sz w:val="20"/>
                <w:szCs w:val="20"/>
                <w:lang/>
              </w:rPr>
            </w:pPr>
            <w:r w:rsidRPr="00CD4846">
              <w:rPr>
                <w:rFonts w:eastAsia="Calibri" w:cs="Times New Roman"/>
                <w:bCs/>
                <w:kern w:val="2"/>
                <w:sz w:val="20"/>
                <w:szCs w:val="20"/>
                <w:lang/>
              </w:rPr>
              <w:t>0.0220</w:t>
            </w:r>
          </w:p>
        </w:tc>
        <w:tc>
          <w:tcPr>
            <w:tcW w:w="1216" w:type="pct"/>
            <w:tcBorders>
              <w:top w:val="nil"/>
              <w:left w:val="nil"/>
              <w:bottom w:val="single" w:sz="4" w:space="0" w:color="auto"/>
              <w:right w:val="nil"/>
            </w:tcBorders>
            <w:hideMark/>
          </w:tcPr>
          <w:p w14:paraId="64B280D9" w14:textId="77777777" w:rsidR="00C00EE4" w:rsidRPr="00CD4846" w:rsidRDefault="00C00EE4" w:rsidP="00EE502F">
            <w:pPr>
              <w:widowControl w:val="0"/>
              <w:autoSpaceDE w:val="0"/>
              <w:autoSpaceDN w:val="0"/>
              <w:adjustRightInd w:val="0"/>
              <w:spacing w:line="240" w:lineRule="auto"/>
              <w:rPr>
                <w:rFonts w:eastAsia="Calibri" w:cs="Times New Roman"/>
                <w:bCs/>
                <w:kern w:val="2"/>
                <w:sz w:val="20"/>
                <w:szCs w:val="20"/>
                <w:lang/>
              </w:rPr>
            </w:pPr>
            <w:r w:rsidRPr="00CD4846">
              <w:rPr>
                <w:rFonts w:eastAsia="Calibri" w:cs="Times New Roman"/>
                <w:bCs/>
                <w:kern w:val="2"/>
                <w:sz w:val="20"/>
                <w:szCs w:val="20"/>
                <w:lang/>
              </w:rPr>
              <w:t>0.8528</w:t>
            </w:r>
          </w:p>
        </w:tc>
        <w:tc>
          <w:tcPr>
            <w:tcW w:w="714" w:type="pct"/>
            <w:tcBorders>
              <w:top w:val="nil"/>
              <w:left w:val="nil"/>
              <w:bottom w:val="single" w:sz="4" w:space="0" w:color="auto"/>
              <w:right w:val="nil"/>
            </w:tcBorders>
            <w:hideMark/>
          </w:tcPr>
          <w:p w14:paraId="2F05E5A4" w14:textId="77777777" w:rsidR="00C00EE4" w:rsidRPr="00CD4846" w:rsidRDefault="00C00EE4" w:rsidP="00EE502F">
            <w:pPr>
              <w:widowControl w:val="0"/>
              <w:autoSpaceDE w:val="0"/>
              <w:autoSpaceDN w:val="0"/>
              <w:adjustRightInd w:val="0"/>
              <w:spacing w:line="240" w:lineRule="auto"/>
              <w:rPr>
                <w:rFonts w:eastAsia="Calibri" w:cs="Times New Roman"/>
                <w:bCs/>
                <w:kern w:val="2"/>
                <w:sz w:val="20"/>
                <w:szCs w:val="20"/>
                <w:lang/>
              </w:rPr>
            </w:pPr>
            <w:r w:rsidRPr="00CD4846">
              <w:rPr>
                <w:rFonts w:eastAsia="Calibri" w:cs="Times New Roman"/>
                <w:bCs/>
                <w:kern w:val="2"/>
                <w:sz w:val="20"/>
                <w:szCs w:val="20"/>
                <w:lang/>
              </w:rPr>
              <w:t>0.8637</w:t>
            </w:r>
          </w:p>
        </w:tc>
        <w:tc>
          <w:tcPr>
            <w:tcW w:w="712" w:type="pct"/>
            <w:tcBorders>
              <w:top w:val="nil"/>
              <w:left w:val="nil"/>
              <w:bottom w:val="single" w:sz="4" w:space="0" w:color="auto"/>
              <w:right w:val="nil"/>
            </w:tcBorders>
            <w:hideMark/>
          </w:tcPr>
          <w:p w14:paraId="10479222" w14:textId="77777777" w:rsidR="00C00EE4" w:rsidRPr="00CD4846" w:rsidRDefault="00C00EE4" w:rsidP="00EE502F">
            <w:pPr>
              <w:widowControl w:val="0"/>
              <w:autoSpaceDE w:val="0"/>
              <w:autoSpaceDN w:val="0"/>
              <w:adjustRightInd w:val="0"/>
              <w:spacing w:line="240" w:lineRule="auto"/>
              <w:rPr>
                <w:rFonts w:eastAsia="Calibri" w:cs="Times New Roman"/>
                <w:bCs/>
                <w:kern w:val="2"/>
                <w:sz w:val="20"/>
                <w:szCs w:val="20"/>
                <w:lang/>
              </w:rPr>
            </w:pPr>
            <w:r w:rsidRPr="00CD4846">
              <w:rPr>
                <w:rFonts w:eastAsia="Calibri" w:cs="Times New Roman"/>
                <w:bCs/>
                <w:kern w:val="2"/>
                <w:sz w:val="20"/>
                <w:szCs w:val="20"/>
                <w:lang/>
              </w:rPr>
              <w:t>0.0443</w:t>
            </w:r>
          </w:p>
        </w:tc>
        <w:tc>
          <w:tcPr>
            <w:tcW w:w="560" w:type="pct"/>
            <w:tcBorders>
              <w:top w:val="nil"/>
              <w:left w:val="nil"/>
              <w:bottom w:val="single" w:sz="4" w:space="0" w:color="auto"/>
              <w:right w:val="nil"/>
            </w:tcBorders>
            <w:hideMark/>
          </w:tcPr>
          <w:p w14:paraId="24BDD5C1" w14:textId="77777777" w:rsidR="00C00EE4" w:rsidRPr="00CD4846" w:rsidRDefault="00C00EE4" w:rsidP="00EE502F">
            <w:pPr>
              <w:widowControl w:val="0"/>
              <w:autoSpaceDE w:val="0"/>
              <w:autoSpaceDN w:val="0"/>
              <w:adjustRightInd w:val="0"/>
              <w:spacing w:line="240" w:lineRule="auto"/>
              <w:rPr>
                <w:rFonts w:eastAsia="Calibri" w:cs="Times New Roman"/>
                <w:bCs/>
                <w:kern w:val="2"/>
                <w:sz w:val="20"/>
                <w:szCs w:val="20"/>
                <w:lang/>
              </w:rPr>
            </w:pPr>
            <w:r w:rsidRPr="00CD4846">
              <w:rPr>
                <w:rFonts w:eastAsia="Calibri" w:cs="Times New Roman"/>
                <w:bCs/>
                <w:kern w:val="2"/>
                <w:sz w:val="20"/>
                <w:szCs w:val="20"/>
                <w:lang/>
              </w:rPr>
              <w:t>0.0217</w:t>
            </w:r>
          </w:p>
        </w:tc>
      </w:tr>
    </w:tbl>
    <w:p w14:paraId="0C2869DF" w14:textId="5D430122" w:rsidR="00CD4846" w:rsidRPr="005B48E8" w:rsidRDefault="002C0F11" w:rsidP="00C00EE4">
      <w:pPr>
        <w:spacing w:line="240" w:lineRule="auto"/>
        <w:rPr>
          <w:rFonts w:ascii="Calibri" w:eastAsia="DengXian" w:hAnsi="Calibri"/>
          <w:i/>
          <w:iCs/>
          <w:sz w:val="20"/>
          <w:szCs w:val="20"/>
          <w:lang/>
        </w:rPr>
      </w:pPr>
      <w:r>
        <w:rPr>
          <w:rFonts w:cs="Times New Roman"/>
          <w:sz w:val="20"/>
          <w:szCs w:val="20"/>
          <w:lang/>
        </w:rPr>
        <w:t xml:space="preserve">Table A6: </w:t>
      </w:r>
      <w:r w:rsidR="00CD4846" w:rsidRPr="00C00EE4">
        <w:rPr>
          <w:rFonts w:cs="Times New Roman"/>
          <w:sz w:val="20"/>
          <w:szCs w:val="20"/>
          <w:lang/>
        </w:rPr>
        <w:t>PPMLHDFE r</w:t>
      </w:r>
      <w:r w:rsidR="00CD4846" w:rsidRPr="00C00EE4">
        <w:rPr>
          <w:rFonts w:cs="Times New Roman"/>
          <w:sz w:val="20"/>
          <w:szCs w:val="20"/>
          <w:lang/>
        </w:rPr>
        <w:t xml:space="preserve">egression results </w:t>
      </w:r>
      <w:r w:rsidR="00CD4846" w:rsidRPr="00C00EE4">
        <w:rPr>
          <w:rFonts w:cs="Times New Roman"/>
          <w:sz w:val="20"/>
          <w:szCs w:val="20"/>
          <w:lang/>
        </w:rPr>
        <w:t xml:space="preserve">on aggregate LIS under broad PADs (GAP 1-4) are presented above. Column names correspond to specific exit-type location outcomes. </w:t>
      </w:r>
      <w:r w:rsidRPr="00C624DB">
        <w:rPr>
          <w:sz w:val="20"/>
          <w:szCs w:val="20"/>
          <w:lang/>
        </w:rPr>
        <w:t xml:space="preserve">Standard errors are </w:t>
      </w:r>
      <w:r>
        <w:rPr>
          <w:sz w:val="20"/>
          <w:szCs w:val="20"/>
          <w:lang/>
        </w:rPr>
        <w:t xml:space="preserve">in parentheses and are </w:t>
      </w:r>
      <w:r w:rsidRPr="00C624DB">
        <w:rPr>
          <w:sz w:val="20"/>
          <w:szCs w:val="20"/>
          <w:lang/>
        </w:rPr>
        <w:t xml:space="preserve">clustered at the county level. </w:t>
      </w:r>
      <w:r w:rsidRPr="002C0F11">
        <w:rPr>
          <w:sz w:val="20"/>
          <w:szCs w:val="20"/>
          <w:lang/>
        </w:rPr>
        <w:t>Statistically significant impacts are denoted by asterisks. These asterisks denote statistical significance at the following levels: ***p &lt; 0.01, **p &lt; 0.05, *p &lt; 0.1.</w:t>
      </w:r>
      <w:r w:rsidR="00CD4846" w:rsidRPr="00C00EE4">
        <w:rPr>
          <w:rFonts w:cs="Times New Roman"/>
          <w:sz w:val="20"/>
          <w:szCs w:val="20"/>
          <w:lang/>
        </w:rPr>
        <w:t xml:space="preserve"> p-values of joint-tests on linear and quadratic PAD terms are shown in the last row.</w:t>
      </w:r>
      <w:r w:rsidR="00CD4846" w:rsidRPr="005B48E8">
        <w:rPr>
          <w:sz w:val="20"/>
          <w:szCs w:val="20"/>
          <w:lang/>
        </w:rPr>
        <w:t xml:space="preserve"> </w:t>
      </w:r>
    </w:p>
    <w:p w14:paraId="057256BF" w14:textId="77777777" w:rsidR="00CD4846" w:rsidRPr="00CD4846" w:rsidRDefault="00CD4846" w:rsidP="004C39A4">
      <w:pPr>
        <w:spacing w:line="259" w:lineRule="auto"/>
        <w:rPr>
          <w:rFonts w:ascii="DengXian" w:hAnsi="DengXian" w:cs="Times New Roman"/>
          <w:kern w:val="2"/>
          <w:sz w:val="22"/>
          <w:szCs w:val="22"/>
          <w:lang/>
        </w:rPr>
      </w:pPr>
      <w:r w:rsidRPr="00CD4846">
        <w:rPr>
          <w:rFonts w:ascii="DengXian" w:hAnsi="DengXian" w:cs="Times New Roman"/>
          <w:kern w:val="2"/>
          <w:sz w:val="22"/>
          <w:szCs w:val="22"/>
          <w:lang/>
        </w:rPr>
        <w:br w:type="page"/>
      </w:r>
    </w:p>
    <w:p w14:paraId="0E76A2D9" w14:textId="71545D62" w:rsidR="00CD4846" w:rsidRPr="00CD4846" w:rsidRDefault="00CD4846" w:rsidP="00095E25">
      <w:pPr>
        <w:pStyle w:val="Title"/>
      </w:pPr>
      <w:bookmarkStart w:id="217" w:name="_Toc186799411"/>
      <w:bookmarkStart w:id="218" w:name="_Toc188359613"/>
      <w:bookmarkStart w:id="219" w:name="_Toc188359901"/>
      <w:bookmarkStart w:id="220" w:name="_Toc188361137"/>
      <w:bookmarkStart w:id="221" w:name="_Toc188366980"/>
      <w:r w:rsidRPr="00CD4846">
        <w:lastRenderedPageBreak/>
        <w:t>Table A7</w:t>
      </w:r>
      <w:r w:rsidR="005B48E8">
        <w:t>:</w:t>
      </w:r>
      <w:r w:rsidRPr="00CD4846">
        <w:t xml:space="preserve"> Regression Results of Strict PADs on Aggregate LIS Exits</w:t>
      </w:r>
      <w:bookmarkEnd w:id="217"/>
      <w:bookmarkEnd w:id="218"/>
      <w:bookmarkEnd w:id="219"/>
      <w:bookmarkEnd w:id="220"/>
      <w:bookmarkEnd w:id="221"/>
    </w:p>
    <w:tbl>
      <w:tblPr>
        <w:tblW w:w="5000" w:type="pct"/>
        <w:tblLook w:val="04A0" w:firstRow="1" w:lastRow="0" w:firstColumn="1" w:lastColumn="0" w:noHBand="0" w:noVBand="1"/>
      </w:tblPr>
      <w:tblGrid>
        <w:gridCol w:w="2263"/>
        <w:gridCol w:w="966"/>
        <w:gridCol w:w="2228"/>
        <w:gridCol w:w="1342"/>
        <w:gridCol w:w="1466"/>
        <w:gridCol w:w="1095"/>
      </w:tblGrid>
      <w:tr w:rsidR="009D3026" w:rsidRPr="00CD4846" w14:paraId="17A233E3" w14:textId="77777777" w:rsidTr="003959BE">
        <w:tc>
          <w:tcPr>
            <w:tcW w:w="1209" w:type="pct"/>
            <w:tcBorders>
              <w:top w:val="single" w:sz="4" w:space="0" w:color="auto"/>
              <w:left w:val="nil"/>
              <w:bottom w:val="single" w:sz="4" w:space="0" w:color="auto"/>
              <w:right w:val="nil"/>
            </w:tcBorders>
            <w:hideMark/>
          </w:tcPr>
          <w:p w14:paraId="785220EA" w14:textId="77777777" w:rsidR="00CD4846" w:rsidRPr="00CD4846" w:rsidRDefault="00CD4846" w:rsidP="00C00EE4">
            <w:pPr>
              <w:widowControl w:val="0"/>
              <w:autoSpaceDE w:val="0"/>
              <w:autoSpaceDN w:val="0"/>
              <w:adjustRightInd w:val="0"/>
              <w:spacing w:line="240" w:lineRule="auto"/>
              <w:rPr>
                <w:rFonts w:eastAsia="Calibri" w:cs="Times New Roman"/>
                <w:kern w:val="2"/>
                <w:sz w:val="20"/>
                <w:szCs w:val="20"/>
                <w:lang/>
              </w:rPr>
            </w:pPr>
            <w:r w:rsidRPr="00CD4846">
              <w:rPr>
                <w:rFonts w:cs="Times New Roman"/>
                <w:b/>
                <w:bCs/>
                <w:kern w:val="2"/>
                <w:sz w:val="20"/>
                <w:szCs w:val="20"/>
                <w:lang/>
              </w:rPr>
              <w:t>Variable</w:t>
            </w:r>
            <w:r w:rsidRPr="00CD4846">
              <w:rPr>
                <w:rFonts w:eastAsia="Calibri" w:cs="Times New Roman"/>
                <w:kern w:val="2"/>
                <w:sz w:val="20"/>
                <w:szCs w:val="20"/>
                <w:lang/>
              </w:rPr>
              <w:t xml:space="preserve">   </w:t>
            </w:r>
          </w:p>
        </w:tc>
        <w:tc>
          <w:tcPr>
            <w:tcW w:w="516" w:type="pct"/>
            <w:tcBorders>
              <w:top w:val="single" w:sz="4" w:space="0" w:color="auto"/>
              <w:left w:val="nil"/>
              <w:bottom w:val="single" w:sz="4" w:space="0" w:color="auto"/>
              <w:right w:val="nil"/>
            </w:tcBorders>
            <w:hideMark/>
          </w:tcPr>
          <w:p w14:paraId="01C5B928" w14:textId="77777777" w:rsidR="00CD4846" w:rsidRPr="00CD4846" w:rsidRDefault="00CD4846" w:rsidP="00C00EE4">
            <w:pPr>
              <w:widowControl w:val="0"/>
              <w:autoSpaceDE w:val="0"/>
              <w:autoSpaceDN w:val="0"/>
              <w:adjustRightInd w:val="0"/>
              <w:spacing w:line="240" w:lineRule="auto"/>
              <w:rPr>
                <w:rFonts w:eastAsia="Calibri" w:cs="Times New Roman"/>
                <w:b/>
                <w:kern w:val="2"/>
                <w:sz w:val="20"/>
                <w:szCs w:val="20"/>
                <w:lang/>
              </w:rPr>
            </w:pPr>
            <w:r w:rsidRPr="00CD4846">
              <w:rPr>
                <w:rFonts w:eastAsia="Calibri" w:cs="Times New Roman"/>
                <w:b/>
                <w:kern w:val="2"/>
                <w:sz w:val="20"/>
                <w:szCs w:val="20"/>
                <w:lang/>
              </w:rPr>
              <w:t>Deaths</w:t>
            </w:r>
          </w:p>
        </w:tc>
        <w:tc>
          <w:tcPr>
            <w:tcW w:w="1190" w:type="pct"/>
            <w:tcBorders>
              <w:top w:val="single" w:sz="4" w:space="0" w:color="auto"/>
              <w:left w:val="nil"/>
              <w:bottom w:val="single" w:sz="4" w:space="0" w:color="auto"/>
              <w:right w:val="nil"/>
            </w:tcBorders>
            <w:hideMark/>
          </w:tcPr>
          <w:p w14:paraId="195CE8A8" w14:textId="77777777" w:rsidR="00CD4846" w:rsidRPr="00CD4846" w:rsidRDefault="00CD4846" w:rsidP="00C00EE4">
            <w:pPr>
              <w:widowControl w:val="0"/>
              <w:autoSpaceDE w:val="0"/>
              <w:autoSpaceDN w:val="0"/>
              <w:adjustRightInd w:val="0"/>
              <w:spacing w:line="240" w:lineRule="auto"/>
              <w:rPr>
                <w:rFonts w:eastAsia="Calibri" w:cs="Times New Roman"/>
                <w:b/>
                <w:kern w:val="2"/>
                <w:sz w:val="20"/>
                <w:szCs w:val="20"/>
                <w:lang/>
              </w:rPr>
            </w:pPr>
            <w:r w:rsidRPr="00CD4846">
              <w:rPr>
                <w:rFonts w:eastAsia="Calibri" w:cs="Times New Roman"/>
                <w:b/>
                <w:kern w:val="2"/>
                <w:sz w:val="20"/>
                <w:szCs w:val="20"/>
                <w:lang/>
              </w:rPr>
              <w:t>Outward Relocations</w:t>
            </w:r>
            <w:r w:rsidRPr="00CD4846">
              <w:rPr>
                <w:rFonts w:eastAsia="Calibri" w:cs="Times New Roman"/>
                <w:b/>
                <w:kern w:val="2"/>
                <w:sz w:val="20"/>
                <w:szCs w:val="20"/>
                <w:lang/>
              </w:rPr>
              <w:t xml:space="preserve"> (OR)</w:t>
            </w:r>
          </w:p>
        </w:tc>
        <w:tc>
          <w:tcPr>
            <w:tcW w:w="717" w:type="pct"/>
            <w:tcBorders>
              <w:top w:val="single" w:sz="4" w:space="0" w:color="auto"/>
              <w:left w:val="nil"/>
              <w:bottom w:val="single" w:sz="4" w:space="0" w:color="auto"/>
              <w:right w:val="nil"/>
            </w:tcBorders>
            <w:hideMark/>
          </w:tcPr>
          <w:p w14:paraId="1C56468F" w14:textId="77777777" w:rsidR="00CD4846" w:rsidRPr="00CD4846" w:rsidRDefault="00CD4846" w:rsidP="00C00EE4">
            <w:pPr>
              <w:widowControl w:val="0"/>
              <w:autoSpaceDE w:val="0"/>
              <w:autoSpaceDN w:val="0"/>
              <w:adjustRightInd w:val="0"/>
              <w:spacing w:line="240" w:lineRule="auto"/>
              <w:rPr>
                <w:rFonts w:eastAsia="Calibri" w:cs="Times New Roman"/>
                <w:b/>
                <w:kern w:val="2"/>
                <w:sz w:val="20"/>
                <w:szCs w:val="20"/>
                <w:lang/>
              </w:rPr>
            </w:pPr>
            <w:r w:rsidRPr="00CD4846">
              <w:rPr>
                <w:rFonts w:eastAsia="Calibri" w:cs="Times New Roman"/>
                <w:b/>
                <w:kern w:val="2"/>
                <w:sz w:val="20"/>
                <w:szCs w:val="20"/>
                <w:lang/>
              </w:rPr>
              <w:t>Intra-State OR</w:t>
            </w:r>
          </w:p>
        </w:tc>
        <w:tc>
          <w:tcPr>
            <w:tcW w:w="783" w:type="pct"/>
            <w:tcBorders>
              <w:top w:val="single" w:sz="4" w:space="0" w:color="auto"/>
              <w:left w:val="nil"/>
              <w:bottom w:val="single" w:sz="4" w:space="0" w:color="auto"/>
              <w:right w:val="nil"/>
            </w:tcBorders>
            <w:hideMark/>
          </w:tcPr>
          <w:p w14:paraId="34DD980B" w14:textId="77777777" w:rsidR="00CD4846" w:rsidRPr="00CD4846" w:rsidRDefault="00CD4846" w:rsidP="00C00EE4">
            <w:pPr>
              <w:widowControl w:val="0"/>
              <w:autoSpaceDE w:val="0"/>
              <w:autoSpaceDN w:val="0"/>
              <w:adjustRightInd w:val="0"/>
              <w:spacing w:line="240" w:lineRule="auto"/>
              <w:rPr>
                <w:rFonts w:eastAsia="Calibri" w:cs="Times New Roman"/>
                <w:b/>
                <w:kern w:val="2"/>
                <w:sz w:val="20"/>
                <w:szCs w:val="20"/>
                <w:lang/>
              </w:rPr>
            </w:pPr>
            <w:r w:rsidRPr="00CD4846">
              <w:rPr>
                <w:rFonts w:eastAsia="Calibri" w:cs="Times New Roman"/>
                <w:b/>
                <w:kern w:val="2"/>
                <w:sz w:val="20"/>
                <w:szCs w:val="20"/>
                <w:lang/>
              </w:rPr>
              <w:t xml:space="preserve">Inter-State </w:t>
            </w:r>
            <w:r w:rsidRPr="00CD4846">
              <w:rPr>
                <w:rFonts w:eastAsia="Calibri" w:cs="Times New Roman"/>
                <w:b/>
                <w:kern w:val="2"/>
                <w:sz w:val="20"/>
                <w:szCs w:val="20"/>
                <w:lang/>
              </w:rPr>
              <w:t>O</w:t>
            </w:r>
            <w:r w:rsidRPr="00CD4846">
              <w:rPr>
                <w:rFonts w:eastAsia="Calibri" w:cs="Times New Roman"/>
                <w:b/>
                <w:kern w:val="2"/>
                <w:sz w:val="20"/>
                <w:szCs w:val="20"/>
                <w:lang/>
              </w:rPr>
              <w:t>R</w:t>
            </w:r>
          </w:p>
        </w:tc>
        <w:tc>
          <w:tcPr>
            <w:tcW w:w="585" w:type="pct"/>
            <w:tcBorders>
              <w:top w:val="single" w:sz="4" w:space="0" w:color="auto"/>
              <w:left w:val="nil"/>
              <w:bottom w:val="single" w:sz="4" w:space="0" w:color="auto"/>
              <w:right w:val="nil"/>
            </w:tcBorders>
            <w:hideMark/>
          </w:tcPr>
          <w:p w14:paraId="341EAB66" w14:textId="77777777" w:rsidR="00CD4846" w:rsidRPr="00CD4846" w:rsidRDefault="00CD4846" w:rsidP="00C00EE4">
            <w:pPr>
              <w:widowControl w:val="0"/>
              <w:autoSpaceDE w:val="0"/>
              <w:autoSpaceDN w:val="0"/>
              <w:adjustRightInd w:val="0"/>
              <w:spacing w:line="240" w:lineRule="auto"/>
              <w:rPr>
                <w:rFonts w:eastAsia="Calibri" w:cs="Times New Roman"/>
                <w:b/>
                <w:kern w:val="2"/>
                <w:sz w:val="20"/>
                <w:szCs w:val="20"/>
                <w:lang/>
              </w:rPr>
            </w:pPr>
            <w:r w:rsidRPr="00CD4846">
              <w:rPr>
                <w:rFonts w:eastAsia="Calibri" w:cs="Times New Roman"/>
                <w:b/>
                <w:kern w:val="2"/>
                <w:sz w:val="20"/>
                <w:szCs w:val="20"/>
                <w:lang/>
              </w:rPr>
              <w:t>Total Exits</w:t>
            </w:r>
          </w:p>
        </w:tc>
      </w:tr>
      <w:tr w:rsidR="009D3026" w:rsidRPr="00CD4846" w14:paraId="27A1EFB9" w14:textId="77777777" w:rsidTr="003959BE">
        <w:tc>
          <w:tcPr>
            <w:tcW w:w="1209" w:type="pct"/>
            <w:tcBorders>
              <w:top w:val="single" w:sz="4" w:space="0" w:color="auto"/>
              <w:left w:val="nil"/>
              <w:bottom w:val="nil"/>
              <w:right w:val="nil"/>
            </w:tcBorders>
            <w:hideMark/>
          </w:tcPr>
          <w:p w14:paraId="44AD380C"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 xml:space="preserve">Strict </w:t>
            </w:r>
            <w:r w:rsidRPr="00CD4846">
              <w:rPr>
                <w:rFonts w:eastAsia="Calibri" w:cs="Times New Roman"/>
                <w:kern w:val="2"/>
                <w:sz w:val="20"/>
                <w:szCs w:val="20"/>
                <w:lang/>
              </w:rPr>
              <w:t>PA</w:t>
            </w:r>
            <w:r w:rsidRPr="00CD4846">
              <w:rPr>
                <w:rFonts w:eastAsia="Calibri" w:cs="Times New Roman"/>
                <w:kern w:val="2"/>
                <w:sz w:val="20"/>
                <w:szCs w:val="20"/>
                <w:lang/>
              </w:rPr>
              <w:t xml:space="preserve">D </w:t>
            </w:r>
            <w:r w:rsidRPr="00CD4846">
              <w:rPr>
                <w:rFonts w:eastAsia="Calibri" w:cs="Times New Roman"/>
                <w:kern w:val="2"/>
                <w:sz w:val="20"/>
                <w:szCs w:val="20"/>
                <w:lang/>
              </w:rPr>
              <w:t>(t-1)</w:t>
            </w:r>
          </w:p>
        </w:tc>
        <w:tc>
          <w:tcPr>
            <w:tcW w:w="516" w:type="pct"/>
            <w:tcBorders>
              <w:top w:val="single" w:sz="4" w:space="0" w:color="auto"/>
              <w:left w:val="nil"/>
              <w:bottom w:val="nil"/>
              <w:right w:val="nil"/>
            </w:tcBorders>
            <w:hideMark/>
          </w:tcPr>
          <w:p w14:paraId="444C011F"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-1.005**</w:t>
            </w:r>
          </w:p>
        </w:tc>
        <w:tc>
          <w:tcPr>
            <w:tcW w:w="1190" w:type="pct"/>
            <w:tcBorders>
              <w:top w:val="single" w:sz="4" w:space="0" w:color="auto"/>
              <w:left w:val="nil"/>
              <w:bottom w:val="nil"/>
              <w:right w:val="nil"/>
            </w:tcBorders>
            <w:hideMark/>
          </w:tcPr>
          <w:p w14:paraId="32D3D728"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0.846</w:t>
            </w:r>
          </w:p>
        </w:tc>
        <w:tc>
          <w:tcPr>
            <w:tcW w:w="717" w:type="pct"/>
            <w:tcBorders>
              <w:top w:val="single" w:sz="4" w:space="0" w:color="auto"/>
              <w:left w:val="nil"/>
              <w:bottom w:val="nil"/>
              <w:right w:val="nil"/>
            </w:tcBorders>
            <w:hideMark/>
          </w:tcPr>
          <w:p w14:paraId="03F1EBA8"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2.325</w:t>
            </w:r>
          </w:p>
        </w:tc>
        <w:tc>
          <w:tcPr>
            <w:tcW w:w="783" w:type="pct"/>
            <w:tcBorders>
              <w:top w:val="single" w:sz="4" w:space="0" w:color="auto"/>
              <w:left w:val="nil"/>
              <w:bottom w:val="nil"/>
              <w:right w:val="nil"/>
            </w:tcBorders>
            <w:hideMark/>
          </w:tcPr>
          <w:p w14:paraId="72EA4280"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-20.678***</w:t>
            </w:r>
          </w:p>
        </w:tc>
        <w:tc>
          <w:tcPr>
            <w:tcW w:w="585" w:type="pct"/>
            <w:tcBorders>
              <w:top w:val="single" w:sz="4" w:space="0" w:color="auto"/>
              <w:left w:val="nil"/>
              <w:bottom w:val="nil"/>
              <w:right w:val="nil"/>
            </w:tcBorders>
            <w:hideMark/>
          </w:tcPr>
          <w:p w14:paraId="20062ABA"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-0.999**</w:t>
            </w:r>
          </w:p>
        </w:tc>
      </w:tr>
      <w:tr w:rsidR="009D3026" w:rsidRPr="00CD4846" w14:paraId="5EC1D417" w14:textId="77777777" w:rsidTr="003959BE">
        <w:tc>
          <w:tcPr>
            <w:tcW w:w="1209" w:type="pct"/>
            <w:tcBorders>
              <w:top w:val="nil"/>
              <w:left w:val="nil"/>
              <w:bottom w:val="nil"/>
              <w:right w:val="nil"/>
            </w:tcBorders>
          </w:tcPr>
          <w:p w14:paraId="0A7650FF"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p>
        </w:tc>
        <w:tc>
          <w:tcPr>
            <w:tcW w:w="516" w:type="pct"/>
            <w:tcBorders>
              <w:top w:val="nil"/>
              <w:left w:val="nil"/>
              <w:bottom w:val="nil"/>
              <w:right w:val="nil"/>
            </w:tcBorders>
            <w:hideMark/>
          </w:tcPr>
          <w:p w14:paraId="780DF05E"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(0.417)</w:t>
            </w:r>
          </w:p>
        </w:tc>
        <w:tc>
          <w:tcPr>
            <w:tcW w:w="1190" w:type="pct"/>
            <w:tcBorders>
              <w:top w:val="nil"/>
              <w:left w:val="nil"/>
              <w:bottom w:val="nil"/>
              <w:right w:val="nil"/>
            </w:tcBorders>
            <w:hideMark/>
          </w:tcPr>
          <w:p w14:paraId="49CB4D05"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(1.704)</w:t>
            </w:r>
          </w:p>
        </w:tc>
        <w:tc>
          <w:tcPr>
            <w:tcW w:w="717" w:type="pct"/>
            <w:tcBorders>
              <w:top w:val="nil"/>
              <w:left w:val="nil"/>
              <w:bottom w:val="nil"/>
              <w:right w:val="nil"/>
            </w:tcBorders>
            <w:hideMark/>
          </w:tcPr>
          <w:p w14:paraId="175690DC"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(1.565)</w:t>
            </w:r>
          </w:p>
        </w:tc>
        <w:tc>
          <w:tcPr>
            <w:tcW w:w="783" w:type="pct"/>
            <w:tcBorders>
              <w:top w:val="nil"/>
              <w:left w:val="nil"/>
              <w:bottom w:val="nil"/>
              <w:right w:val="nil"/>
            </w:tcBorders>
            <w:hideMark/>
          </w:tcPr>
          <w:p w14:paraId="6F000BCE"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(5.609)</w:t>
            </w:r>
          </w:p>
        </w:tc>
        <w:tc>
          <w:tcPr>
            <w:tcW w:w="585" w:type="pct"/>
            <w:tcBorders>
              <w:top w:val="nil"/>
              <w:left w:val="nil"/>
              <w:bottom w:val="nil"/>
              <w:right w:val="nil"/>
            </w:tcBorders>
            <w:hideMark/>
          </w:tcPr>
          <w:p w14:paraId="6FD1CD67"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(0.416)</w:t>
            </w:r>
          </w:p>
        </w:tc>
      </w:tr>
      <w:tr w:rsidR="009D3026" w:rsidRPr="00CD4846" w14:paraId="616EFEAC" w14:textId="77777777" w:rsidTr="003959BE">
        <w:tc>
          <w:tcPr>
            <w:tcW w:w="1209" w:type="pct"/>
            <w:tcBorders>
              <w:top w:val="nil"/>
              <w:left w:val="nil"/>
              <w:bottom w:val="nil"/>
              <w:right w:val="nil"/>
            </w:tcBorders>
            <w:hideMark/>
          </w:tcPr>
          <w:p w14:paraId="4CF250F1"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 xml:space="preserve">Strict </w:t>
            </w:r>
            <w:r w:rsidRPr="00CD4846">
              <w:rPr>
                <w:rFonts w:eastAsia="Calibri" w:cs="Times New Roman"/>
                <w:kern w:val="2"/>
                <w:sz w:val="20"/>
                <w:szCs w:val="20"/>
                <w:lang/>
              </w:rPr>
              <w:t>PA</w:t>
            </w:r>
            <w:r w:rsidRPr="00CD4846">
              <w:rPr>
                <w:rFonts w:eastAsia="Calibri" w:cs="Times New Roman"/>
                <w:kern w:val="2"/>
                <w:sz w:val="20"/>
                <w:szCs w:val="20"/>
                <w:lang/>
              </w:rPr>
              <w:t xml:space="preserve">D </w:t>
            </w:r>
            <w:r w:rsidRPr="00CD4846">
              <w:rPr>
                <w:rFonts w:eastAsia="Calibri" w:cs="Times New Roman"/>
                <w:kern w:val="2"/>
                <w:sz w:val="20"/>
                <w:szCs w:val="20"/>
                <w:lang/>
              </w:rPr>
              <w:t>Sq</w:t>
            </w:r>
            <w:r w:rsidRPr="00CD4846">
              <w:rPr>
                <w:rFonts w:eastAsia="Calibri" w:cs="Times New Roman"/>
                <w:kern w:val="2"/>
                <w:sz w:val="20"/>
                <w:szCs w:val="20"/>
                <w:lang/>
              </w:rPr>
              <w:t>.</w:t>
            </w:r>
            <w:r w:rsidRPr="00CD4846">
              <w:rPr>
                <w:rFonts w:eastAsia="Calibri" w:cs="Times New Roman"/>
                <w:kern w:val="2"/>
                <w:sz w:val="20"/>
                <w:szCs w:val="20"/>
                <w:lang/>
              </w:rPr>
              <w:t xml:space="preserve"> (t-1)</w:t>
            </w:r>
          </w:p>
        </w:tc>
        <w:tc>
          <w:tcPr>
            <w:tcW w:w="516" w:type="pct"/>
            <w:tcBorders>
              <w:top w:val="nil"/>
              <w:left w:val="nil"/>
              <w:bottom w:val="nil"/>
              <w:right w:val="nil"/>
            </w:tcBorders>
            <w:hideMark/>
          </w:tcPr>
          <w:p w14:paraId="07181E8C"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0.601</w:t>
            </w:r>
          </w:p>
        </w:tc>
        <w:tc>
          <w:tcPr>
            <w:tcW w:w="1190" w:type="pct"/>
            <w:tcBorders>
              <w:top w:val="nil"/>
              <w:left w:val="nil"/>
              <w:bottom w:val="nil"/>
              <w:right w:val="nil"/>
            </w:tcBorders>
            <w:hideMark/>
          </w:tcPr>
          <w:p w14:paraId="4358910A"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-1.257</w:t>
            </w:r>
          </w:p>
        </w:tc>
        <w:tc>
          <w:tcPr>
            <w:tcW w:w="717" w:type="pct"/>
            <w:tcBorders>
              <w:top w:val="nil"/>
              <w:left w:val="nil"/>
              <w:bottom w:val="nil"/>
              <w:right w:val="nil"/>
            </w:tcBorders>
            <w:hideMark/>
          </w:tcPr>
          <w:p w14:paraId="37C0FE9B"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-4.436</w:t>
            </w:r>
          </w:p>
        </w:tc>
        <w:tc>
          <w:tcPr>
            <w:tcW w:w="783" w:type="pct"/>
            <w:tcBorders>
              <w:top w:val="nil"/>
              <w:left w:val="nil"/>
              <w:bottom w:val="nil"/>
              <w:right w:val="nil"/>
            </w:tcBorders>
            <w:hideMark/>
          </w:tcPr>
          <w:p w14:paraId="01F44F36"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40.992**</w:t>
            </w:r>
          </w:p>
        </w:tc>
        <w:tc>
          <w:tcPr>
            <w:tcW w:w="585" w:type="pct"/>
            <w:tcBorders>
              <w:top w:val="nil"/>
              <w:left w:val="nil"/>
              <w:bottom w:val="nil"/>
              <w:right w:val="nil"/>
            </w:tcBorders>
            <w:hideMark/>
          </w:tcPr>
          <w:p w14:paraId="148F885C"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0.609</w:t>
            </w:r>
          </w:p>
        </w:tc>
      </w:tr>
      <w:tr w:rsidR="009D3026" w:rsidRPr="00CD4846" w14:paraId="2D2B8F06" w14:textId="77777777" w:rsidTr="003959BE">
        <w:tc>
          <w:tcPr>
            <w:tcW w:w="1209" w:type="pct"/>
            <w:tcBorders>
              <w:top w:val="nil"/>
              <w:left w:val="nil"/>
              <w:bottom w:val="nil"/>
              <w:right w:val="nil"/>
            </w:tcBorders>
          </w:tcPr>
          <w:p w14:paraId="7A2D07BD"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p>
        </w:tc>
        <w:tc>
          <w:tcPr>
            <w:tcW w:w="516" w:type="pct"/>
            <w:tcBorders>
              <w:top w:val="nil"/>
              <w:left w:val="nil"/>
              <w:bottom w:val="nil"/>
              <w:right w:val="nil"/>
            </w:tcBorders>
            <w:hideMark/>
          </w:tcPr>
          <w:p w14:paraId="2C8ED625"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(0.963)</w:t>
            </w:r>
          </w:p>
        </w:tc>
        <w:tc>
          <w:tcPr>
            <w:tcW w:w="1190" w:type="pct"/>
            <w:tcBorders>
              <w:top w:val="nil"/>
              <w:left w:val="nil"/>
              <w:bottom w:val="nil"/>
              <w:right w:val="nil"/>
            </w:tcBorders>
            <w:hideMark/>
          </w:tcPr>
          <w:p w14:paraId="7EBA2646"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(4.868)</w:t>
            </w:r>
          </w:p>
        </w:tc>
        <w:tc>
          <w:tcPr>
            <w:tcW w:w="717" w:type="pct"/>
            <w:tcBorders>
              <w:top w:val="nil"/>
              <w:left w:val="nil"/>
              <w:bottom w:val="nil"/>
              <w:right w:val="nil"/>
            </w:tcBorders>
            <w:hideMark/>
          </w:tcPr>
          <w:p w14:paraId="465B4DA8"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(4.503)</w:t>
            </w:r>
          </w:p>
        </w:tc>
        <w:tc>
          <w:tcPr>
            <w:tcW w:w="783" w:type="pct"/>
            <w:tcBorders>
              <w:top w:val="nil"/>
              <w:left w:val="nil"/>
              <w:bottom w:val="nil"/>
              <w:right w:val="nil"/>
            </w:tcBorders>
            <w:hideMark/>
          </w:tcPr>
          <w:p w14:paraId="37BEF42F"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(16.941)</w:t>
            </w:r>
          </w:p>
        </w:tc>
        <w:tc>
          <w:tcPr>
            <w:tcW w:w="585" w:type="pct"/>
            <w:tcBorders>
              <w:top w:val="nil"/>
              <w:left w:val="nil"/>
              <w:bottom w:val="nil"/>
              <w:right w:val="nil"/>
            </w:tcBorders>
            <w:hideMark/>
          </w:tcPr>
          <w:p w14:paraId="33AA73DC"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(0.960)</w:t>
            </w:r>
          </w:p>
        </w:tc>
      </w:tr>
      <w:tr w:rsidR="009D3026" w:rsidRPr="00CD4846" w14:paraId="07D5C9A4" w14:textId="77777777" w:rsidTr="003959BE">
        <w:tc>
          <w:tcPr>
            <w:tcW w:w="1209" w:type="pct"/>
            <w:tcBorders>
              <w:top w:val="nil"/>
              <w:left w:val="nil"/>
              <w:bottom w:val="nil"/>
              <w:right w:val="nil"/>
            </w:tcBorders>
            <w:hideMark/>
          </w:tcPr>
          <w:p w14:paraId="7B1A9352"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Loc. Economies (t-1) (10ks)</w:t>
            </w:r>
          </w:p>
        </w:tc>
        <w:tc>
          <w:tcPr>
            <w:tcW w:w="516" w:type="pct"/>
            <w:tcBorders>
              <w:top w:val="nil"/>
              <w:left w:val="nil"/>
              <w:bottom w:val="nil"/>
              <w:right w:val="nil"/>
            </w:tcBorders>
            <w:hideMark/>
          </w:tcPr>
          <w:p w14:paraId="4592AF31"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1.238***</w:t>
            </w:r>
          </w:p>
        </w:tc>
        <w:tc>
          <w:tcPr>
            <w:tcW w:w="1190" w:type="pct"/>
            <w:tcBorders>
              <w:top w:val="nil"/>
              <w:left w:val="nil"/>
              <w:bottom w:val="nil"/>
              <w:right w:val="nil"/>
            </w:tcBorders>
            <w:hideMark/>
          </w:tcPr>
          <w:p w14:paraId="2757D520"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0.718**</w:t>
            </w:r>
          </w:p>
        </w:tc>
        <w:tc>
          <w:tcPr>
            <w:tcW w:w="717" w:type="pct"/>
            <w:tcBorders>
              <w:top w:val="nil"/>
              <w:left w:val="nil"/>
              <w:bottom w:val="nil"/>
              <w:right w:val="nil"/>
            </w:tcBorders>
            <w:hideMark/>
          </w:tcPr>
          <w:p w14:paraId="6F97FCCC"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0.937***</w:t>
            </w:r>
          </w:p>
        </w:tc>
        <w:tc>
          <w:tcPr>
            <w:tcW w:w="783" w:type="pct"/>
            <w:tcBorders>
              <w:top w:val="nil"/>
              <w:left w:val="nil"/>
              <w:bottom w:val="nil"/>
              <w:right w:val="nil"/>
            </w:tcBorders>
            <w:hideMark/>
          </w:tcPr>
          <w:p w14:paraId="34CA0596"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-0.084</w:t>
            </w:r>
          </w:p>
        </w:tc>
        <w:tc>
          <w:tcPr>
            <w:tcW w:w="585" w:type="pct"/>
            <w:tcBorders>
              <w:top w:val="nil"/>
              <w:left w:val="nil"/>
              <w:bottom w:val="nil"/>
              <w:right w:val="nil"/>
            </w:tcBorders>
            <w:hideMark/>
          </w:tcPr>
          <w:p w14:paraId="45451F7D"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1.236***</w:t>
            </w:r>
          </w:p>
        </w:tc>
      </w:tr>
      <w:tr w:rsidR="009D3026" w:rsidRPr="00CD4846" w14:paraId="329242DB" w14:textId="77777777" w:rsidTr="003959BE">
        <w:tc>
          <w:tcPr>
            <w:tcW w:w="1209" w:type="pct"/>
            <w:tcBorders>
              <w:top w:val="nil"/>
              <w:left w:val="nil"/>
              <w:bottom w:val="nil"/>
              <w:right w:val="nil"/>
            </w:tcBorders>
          </w:tcPr>
          <w:p w14:paraId="2FA55A24"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p>
        </w:tc>
        <w:tc>
          <w:tcPr>
            <w:tcW w:w="516" w:type="pct"/>
            <w:tcBorders>
              <w:top w:val="nil"/>
              <w:left w:val="nil"/>
              <w:bottom w:val="nil"/>
              <w:right w:val="nil"/>
            </w:tcBorders>
            <w:hideMark/>
          </w:tcPr>
          <w:p w14:paraId="757FEE71"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(0.117)</w:t>
            </w:r>
          </w:p>
        </w:tc>
        <w:tc>
          <w:tcPr>
            <w:tcW w:w="1190" w:type="pct"/>
            <w:tcBorders>
              <w:top w:val="nil"/>
              <w:left w:val="nil"/>
              <w:bottom w:val="nil"/>
              <w:right w:val="nil"/>
            </w:tcBorders>
            <w:hideMark/>
          </w:tcPr>
          <w:p w14:paraId="47EB5D4F"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(0.333)</w:t>
            </w:r>
          </w:p>
        </w:tc>
        <w:tc>
          <w:tcPr>
            <w:tcW w:w="717" w:type="pct"/>
            <w:tcBorders>
              <w:top w:val="nil"/>
              <w:left w:val="nil"/>
              <w:bottom w:val="nil"/>
              <w:right w:val="nil"/>
            </w:tcBorders>
            <w:hideMark/>
          </w:tcPr>
          <w:p w14:paraId="2B678E12"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(0.322)</w:t>
            </w:r>
          </w:p>
        </w:tc>
        <w:tc>
          <w:tcPr>
            <w:tcW w:w="783" w:type="pct"/>
            <w:tcBorders>
              <w:top w:val="nil"/>
              <w:left w:val="nil"/>
              <w:bottom w:val="nil"/>
              <w:right w:val="nil"/>
            </w:tcBorders>
            <w:hideMark/>
          </w:tcPr>
          <w:p w14:paraId="3EC2115F"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(0.363)</w:t>
            </w:r>
          </w:p>
        </w:tc>
        <w:tc>
          <w:tcPr>
            <w:tcW w:w="585" w:type="pct"/>
            <w:tcBorders>
              <w:top w:val="nil"/>
              <w:left w:val="nil"/>
              <w:bottom w:val="nil"/>
              <w:right w:val="nil"/>
            </w:tcBorders>
            <w:hideMark/>
          </w:tcPr>
          <w:p w14:paraId="36213245"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(0.116)</w:t>
            </w:r>
          </w:p>
        </w:tc>
      </w:tr>
      <w:tr w:rsidR="009D3026" w:rsidRPr="00CD4846" w14:paraId="2757661F" w14:textId="77777777" w:rsidTr="003959BE">
        <w:tc>
          <w:tcPr>
            <w:tcW w:w="1209" w:type="pct"/>
            <w:tcBorders>
              <w:top w:val="nil"/>
              <w:left w:val="nil"/>
              <w:bottom w:val="nil"/>
              <w:right w:val="nil"/>
            </w:tcBorders>
            <w:hideMark/>
          </w:tcPr>
          <w:p w14:paraId="301B9178"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Median HH Income (100ks)</w:t>
            </w:r>
          </w:p>
        </w:tc>
        <w:tc>
          <w:tcPr>
            <w:tcW w:w="516" w:type="pct"/>
            <w:tcBorders>
              <w:top w:val="nil"/>
              <w:left w:val="nil"/>
              <w:bottom w:val="nil"/>
              <w:right w:val="nil"/>
            </w:tcBorders>
            <w:hideMark/>
          </w:tcPr>
          <w:p w14:paraId="2CA86E21"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-0.537***</w:t>
            </w:r>
          </w:p>
        </w:tc>
        <w:tc>
          <w:tcPr>
            <w:tcW w:w="1190" w:type="pct"/>
            <w:tcBorders>
              <w:top w:val="nil"/>
              <w:left w:val="nil"/>
              <w:bottom w:val="nil"/>
              <w:right w:val="nil"/>
            </w:tcBorders>
            <w:hideMark/>
          </w:tcPr>
          <w:p w14:paraId="5495B10B"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-0.242</w:t>
            </w:r>
          </w:p>
        </w:tc>
        <w:tc>
          <w:tcPr>
            <w:tcW w:w="717" w:type="pct"/>
            <w:tcBorders>
              <w:top w:val="nil"/>
              <w:left w:val="nil"/>
              <w:bottom w:val="nil"/>
              <w:right w:val="nil"/>
            </w:tcBorders>
            <w:hideMark/>
          </w:tcPr>
          <w:p w14:paraId="0DB5D0A9"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-0.234</w:t>
            </w:r>
          </w:p>
        </w:tc>
        <w:tc>
          <w:tcPr>
            <w:tcW w:w="783" w:type="pct"/>
            <w:tcBorders>
              <w:top w:val="nil"/>
              <w:left w:val="nil"/>
              <w:bottom w:val="nil"/>
              <w:right w:val="nil"/>
            </w:tcBorders>
            <w:hideMark/>
          </w:tcPr>
          <w:p w14:paraId="131298D2"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0.462</w:t>
            </w:r>
          </w:p>
        </w:tc>
        <w:tc>
          <w:tcPr>
            <w:tcW w:w="585" w:type="pct"/>
            <w:tcBorders>
              <w:top w:val="nil"/>
              <w:left w:val="nil"/>
              <w:bottom w:val="nil"/>
              <w:right w:val="nil"/>
            </w:tcBorders>
            <w:hideMark/>
          </w:tcPr>
          <w:p w14:paraId="4B7D7752"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-0.537***</w:t>
            </w:r>
          </w:p>
        </w:tc>
      </w:tr>
      <w:tr w:rsidR="009D3026" w:rsidRPr="00CD4846" w14:paraId="75EE2BFF" w14:textId="77777777" w:rsidTr="003959BE">
        <w:tc>
          <w:tcPr>
            <w:tcW w:w="1209" w:type="pct"/>
            <w:tcBorders>
              <w:top w:val="nil"/>
              <w:left w:val="nil"/>
              <w:bottom w:val="nil"/>
              <w:right w:val="nil"/>
            </w:tcBorders>
          </w:tcPr>
          <w:p w14:paraId="5EF58B3A"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p>
        </w:tc>
        <w:tc>
          <w:tcPr>
            <w:tcW w:w="516" w:type="pct"/>
            <w:tcBorders>
              <w:top w:val="nil"/>
              <w:left w:val="nil"/>
              <w:bottom w:val="nil"/>
              <w:right w:val="nil"/>
            </w:tcBorders>
            <w:hideMark/>
          </w:tcPr>
          <w:p w14:paraId="0CEB135B"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(0.176)</w:t>
            </w:r>
          </w:p>
        </w:tc>
        <w:tc>
          <w:tcPr>
            <w:tcW w:w="1190" w:type="pct"/>
            <w:tcBorders>
              <w:top w:val="nil"/>
              <w:left w:val="nil"/>
              <w:bottom w:val="nil"/>
              <w:right w:val="nil"/>
            </w:tcBorders>
            <w:hideMark/>
          </w:tcPr>
          <w:p w14:paraId="31523106"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(0.306)</w:t>
            </w:r>
          </w:p>
        </w:tc>
        <w:tc>
          <w:tcPr>
            <w:tcW w:w="717" w:type="pct"/>
            <w:tcBorders>
              <w:top w:val="nil"/>
              <w:left w:val="nil"/>
              <w:bottom w:val="nil"/>
              <w:right w:val="nil"/>
            </w:tcBorders>
            <w:hideMark/>
          </w:tcPr>
          <w:p w14:paraId="392F780A"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(0.303)</w:t>
            </w:r>
          </w:p>
        </w:tc>
        <w:tc>
          <w:tcPr>
            <w:tcW w:w="783" w:type="pct"/>
            <w:tcBorders>
              <w:top w:val="nil"/>
              <w:left w:val="nil"/>
              <w:bottom w:val="nil"/>
              <w:right w:val="nil"/>
            </w:tcBorders>
            <w:hideMark/>
          </w:tcPr>
          <w:p w14:paraId="6D1CEEB2"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(1.745)</w:t>
            </w:r>
          </w:p>
        </w:tc>
        <w:tc>
          <w:tcPr>
            <w:tcW w:w="585" w:type="pct"/>
            <w:tcBorders>
              <w:top w:val="nil"/>
              <w:left w:val="nil"/>
              <w:bottom w:val="nil"/>
              <w:right w:val="nil"/>
            </w:tcBorders>
            <w:hideMark/>
          </w:tcPr>
          <w:p w14:paraId="09FE256B"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(0.173)</w:t>
            </w:r>
          </w:p>
        </w:tc>
      </w:tr>
      <w:tr w:rsidR="009D3026" w:rsidRPr="00CD4846" w14:paraId="2CDE3418" w14:textId="77777777" w:rsidTr="003959BE">
        <w:tc>
          <w:tcPr>
            <w:tcW w:w="1209" w:type="pct"/>
            <w:tcBorders>
              <w:top w:val="nil"/>
              <w:left w:val="nil"/>
              <w:bottom w:val="nil"/>
              <w:right w:val="nil"/>
            </w:tcBorders>
            <w:hideMark/>
          </w:tcPr>
          <w:p w14:paraId="4D1AC355"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Housing Price Index (100s)</w:t>
            </w:r>
          </w:p>
        </w:tc>
        <w:tc>
          <w:tcPr>
            <w:tcW w:w="516" w:type="pct"/>
            <w:tcBorders>
              <w:top w:val="nil"/>
              <w:left w:val="nil"/>
              <w:bottom w:val="nil"/>
              <w:right w:val="nil"/>
            </w:tcBorders>
            <w:hideMark/>
          </w:tcPr>
          <w:p w14:paraId="16C46AB9"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0.041***</w:t>
            </w:r>
          </w:p>
        </w:tc>
        <w:tc>
          <w:tcPr>
            <w:tcW w:w="1190" w:type="pct"/>
            <w:tcBorders>
              <w:top w:val="nil"/>
              <w:left w:val="nil"/>
              <w:bottom w:val="nil"/>
              <w:right w:val="nil"/>
            </w:tcBorders>
            <w:hideMark/>
          </w:tcPr>
          <w:p w14:paraId="083F02B1"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0.045**</w:t>
            </w:r>
          </w:p>
        </w:tc>
        <w:tc>
          <w:tcPr>
            <w:tcW w:w="717" w:type="pct"/>
            <w:tcBorders>
              <w:top w:val="nil"/>
              <w:left w:val="nil"/>
              <w:bottom w:val="nil"/>
              <w:right w:val="nil"/>
            </w:tcBorders>
            <w:hideMark/>
          </w:tcPr>
          <w:p w14:paraId="7456FEB7"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0.047**</w:t>
            </w:r>
          </w:p>
        </w:tc>
        <w:tc>
          <w:tcPr>
            <w:tcW w:w="783" w:type="pct"/>
            <w:tcBorders>
              <w:top w:val="nil"/>
              <w:left w:val="nil"/>
              <w:bottom w:val="nil"/>
              <w:right w:val="nil"/>
            </w:tcBorders>
            <w:hideMark/>
          </w:tcPr>
          <w:p w14:paraId="48769815"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-0.153</w:t>
            </w:r>
          </w:p>
        </w:tc>
        <w:tc>
          <w:tcPr>
            <w:tcW w:w="585" w:type="pct"/>
            <w:tcBorders>
              <w:top w:val="nil"/>
              <w:left w:val="nil"/>
              <w:bottom w:val="nil"/>
              <w:right w:val="nil"/>
            </w:tcBorders>
            <w:hideMark/>
          </w:tcPr>
          <w:p w14:paraId="08B54329"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0.041***</w:t>
            </w:r>
          </w:p>
        </w:tc>
      </w:tr>
      <w:tr w:rsidR="009D3026" w:rsidRPr="00CD4846" w14:paraId="7B703F8E" w14:textId="77777777" w:rsidTr="003959BE">
        <w:tc>
          <w:tcPr>
            <w:tcW w:w="1209" w:type="pct"/>
            <w:tcBorders>
              <w:top w:val="nil"/>
              <w:left w:val="nil"/>
              <w:bottom w:val="nil"/>
              <w:right w:val="nil"/>
            </w:tcBorders>
          </w:tcPr>
          <w:p w14:paraId="63813909"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p>
        </w:tc>
        <w:tc>
          <w:tcPr>
            <w:tcW w:w="516" w:type="pct"/>
            <w:tcBorders>
              <w:top w:val="nil"/>
              <w:left w:val="nil"/>
              <w:bottom w:val="nil"/>
              <w:right w:val="nil"/>
            </w:tcBorders>
            <w:hideMark/>
          </w:tcPr>
          <w:p w14:paraId="6F75F093"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(0.016)</w:t>
            </w:r>
          </w:p>
        </w:tc>
        <w:tc>
          <w:tcPr>
            <w:tcW w:w="1190" w:type="pct"/>
            <w:tcBorders>
              <w:top w:val="nil"/>
              <w:left w:val="nil"/>
              <w:bottom w:val="nil"/>
              <w:right w:val="nil"/>
            </w:tcBorders>
            <w:hideMark/>
          </w:tcPr>
          <w:p w14:paraId="1A9B1D3C"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(0.022)</w:t>
            </w:r>
          </w:p>
        </w:tc>
        <w:tc>
          <w:tcPr>
            <w:tcW w:w="717" w:type="pct"/>
            <w:tcBorders>
              <w:top w:val="nil"/>
              <w:left w:val="nil"/>
              <w:bottom w:val="nil"/>
              <w:right w:val="nil"/>
            </w:tcBorders>
            <w:hideMark/>
          </w:tcPr>
          <w:p w14:paraId="4BBD3494"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(0.022)</w:t>
            </w:r>
          </w:p>
        </w:tc>
        <w:tc>
          <w:tcPr>
            <w:tcW w:w="783" w:type="pct"/>
            <w:tcBorders>
              <w:top w:val="nil"/>
              <w:left w:val="nil"/>
              <w:bottom w:val="nil"/>
              <w:right w:val="nil"/>
            </w:tcBorders>
            <w:hideMark/>
          </w:tcPr>
          <w:p w14:paraId="3496EAEE"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(0.099)</w:t>
            </w:r>
          </w:p>
        </w:tc>
        <w:tc>
          <w:tcPr>
            <w:tcW w:w="585" w:type="pct"/>
            <w:tcBorders>
              <w:top w:val="nil"/>
              <w:left w:val="nil"/>
              <w:bottom w:val="nil"/>
              <w:right w:val="nil"/>
            </w:tcBorders>
            <w:hideMark/>
          </w:tcPr>
          <w:p w14:paraId="1CBF8C26"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(0.016)</w:t>
            </w:r>
          </w:p>
        </w:tc>
      </w:tr>
      <w:tr w:rsidR="009D3026" w:rsidRPr="00CD4846" w14:paraId="544879FC" w14:textId="77777777" w:rsidTr="003959BE">
        <w:tc>
          <w:tcPr>
            <w:tcW w:w="1209" w:type="pct"/>
            <w:tcBorders>
              <w:top w:val="nil"/>
              <w:left w:val="nil"/>
              <w:bottom w:val="nil"/>
              <w:right w:val="nil"/>
            </w:tcBorders>
            <w:hideMark/>
          </w:tcPr>
          <w:p w14:paraId="1C431BCE"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Poverty rate (100s)</w:t>
            </w:r>
          </w:p>
        </w:tc>
        <w:tc>
          <w:tcPr>
            <w:tcW w:w="516" w:type="pct"/>
            <w:tcBorders>
              <w:top w:val="nil"/>
              <w:left w:val="nil"/>
              <w:bottom w:val="nil"/>
              <w:right w:val="nil"/>
            </w:tcBorders>
            <w:hideMark/>
          </w:tcPr>
          <w:p w14:paraId="558E72FE"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-0.523*</w:t>
            </w:r>
          </w:p>
        </w:tc>
        <w:tc>
          <w:tcPr>
            <w:tcW w:w="1190" w:type="pct"/>
            <w:tcBorders>
              <w:top w:val="nil"/>
              <w:left w:val="nil"/>
              <w:bottom w:val="nil"/>
              <w:right w:val="nil"/>
            </w:tcBorders>
            <w:hideMark/>
          </w:tcPr>
          <w:p w14:paraId="54DE6D36"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-1.952***</w:t>
            </w:r>
          </w:p>
        </w:tc>
        <w:tc>
          <w:tcPr>
            <w:tcW w:w="717" w:type="pct"/>
            <w:tcBorders>
              <w:top w:val="nil"/>
              <w:left w:val="nil"/>
              <w:bottom w:val="nil"/>
              <w:right w:val="nil"/>
            </w:tcBorders>
            <w:hideMark/>
          </w:tcPr>
          <w:p w14:paraId="7410A2E1"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-1.871***</w:t>
            </w:r>
          </w:p>
        </w:tc>
        <w:tc>
          <w:tcPr>
            <w:tcW w:w="783" w:type="pct"/>
            <w:tcBorders>
              <w:top w:val="nil"/>
              <w:left w:val="nil"/>
              <w:bottom w:val="nil"/>
              <w:right w:val="nil"/>
            </w:tcBorders>
            <w:hideMark/>
          </w:tcPr>
          <w:p w14:paraId="3D459204"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-4.093</w:t>
            </w:r>
          </w:p>
        </w:tc>
        <w:tc>
          <w:tcPr>
            <w:tcW w:w="585" w:type="pct"/>
            <w:tcBorders>
              <w:top w:val="nil"/>
              <w:left w:val="nil"/>
              <w:bottom w:val="nil"/>
              <w:right w:val="nil"/>
            </w:tcBorders>
            <w:hideMark/>
          </w:tcPr>
          <w:p w14:paraId="30FF7C18"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-0.545*</w:t>
            </w:r>
          </w:p>
        </w:tc>
      </w:tr>
      <w:tr w:rsidR="009D3026" w:rsidRPr="00CD4846" w14:paraId="7200CC07" w14:textId="77777777" w:rsidTr="003959BE">
        <w:tc>
          <w:tcPr>
            <w:tcW w:w="1209" w:type="pct"/>
            <w:tcBorders>
              <w:top w:val="nil"/>
              <w:left w:val="nil"/>
              <w:bottom w:val="nil"/>
              <w:right w:val="nil"/>
            </w:tcBorders>
          </w:tcPr>
          <w:p w14:paraId="7B7CAD82"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p>
        </w:tc>
        <w:tc>
          <w:tcPr>
            <w:tcW w:w="516" w:type="pct"/>
            <w:tcBorders>
              <w:top w:val="nil"/>
              <w:left w:val="nil"/>
              <w:bottom w:val="nil"/>
              <w:right w:val="nil"/>
            </w:tcBorders>
            <w:hideMark/>
          </w:tcPr>
          <w:p w14:paraId="791942D1"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(0.293)</w:t>
            </w:r>
          </w:p>
        </w:tc>
        <w:tc>
          <w:tcPr>
            <w:tcW w:w="1190" w:type="pct"/>
            <w:tcBorders>
              <w:top w:val="nil"/>
              <w:left w:val="nil"/>
              <w:bottom w:val="nil"/>
              <w:right w:val="nil"/>
            </w:tcBorders>
            <w:hideMark/>
          </w:tcPr>
          <w:p w14:paraId="59255006"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(0.579)</w:t>
            </w:r>
          </w:p>
        </w:tc>
        <w:tc>
          <w:tcPr>
            <w:tcW w:w="717" w:type="pct"/>
            <w:tcBorders>
              <w:top w:val="nil"/>
              <w:left w:val="nil"/>
              <w:bottom w:val="nil"/>
              <w:right w:val="nil"/>
            </w:tcBorders>
            <w:hideMark/>
          </w:tcPr>
          <w:p w14:paraId="077BD904"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(0.583)</w:t>
            </w:r>
          </w:p>
        </w:tc>
        <w:tc>
          <w:tcPr>
            <w:tcW w:w="783" w:type="pct"/>
            <w:tcBorders>
              <w:top w:val="nil"/>
              <w:left w:val="nil"/>
              <w:bottom w:val="nil"/>
              <w:right w:val="nil"/>
            </w:tcBorders>
            <w:hideMark/>
          </w:tcPr>
          <w:p w14:paraId="354111F8"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(3.327)</w:t>
            </w:r>
          </w:p>
        </w:tc>
        <w:tc>
          <w:tcPr>
            <w:tcW w:w="585" w:type="pct"/>
            <w:tcBorders>
              <w:top w:val="nil"/>
              <w:left w:val="nil"/>
              <w:bottom w:val="nil"/>
              <w:right w:val="nil"/>
            </w:tcBorders>
            <w:hideMark/>
          </w:tcPr>
          <w:p w14:paraId="1C5B34AF"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(0.289)</w:t>
            </w:r>
          </w:p>
        </w:tc>
      </w:tr>
      <w:tr w:rsidR="009D3026" w:rsidRPr="00CD4846" w14:paraId="3350579B" w14:textId="77777777" w:rsidTr="003959BE">
        <w:tc>
          <w:tcPr>
            <w:tcW w:w="1209" w:type="pct"/>
            <w:tcBorders>
              <w:top w:val="nil"/>
              <w:left w:val="nil"/>
              <w:bottom w:val="nil"/>
              <w:right w:val="nil"/>
            </w:tcBorders>
            <w:hideMark/>
          </w:tcPr>
          <w:p w14:paraId="23A01A10"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Avg annual wages (100k)</w:t>
            </w:r>
          </w:p>
        </w:tc>
        <w:tc>
          <w:tcPr>
            <w:tcW w:w="516" w:type="pct"/>
            <w:tcBorders>
              <w:top w:val="nil"/>
              <w:left w:val="nil"/>
              <w:bottom w:val="nil"/>
              <w:right w:val="nil"/>
            </w:tcBorders>
            <w:hideMark/>
          </w:tcPr>
          <w:p w14:paraId="5014927B"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0.090***</w:t>
            </w:r>
          </w:p>
        </w:tc>
        <w:tc>
          <w:tcPr>
            <w:tcW w:w="1190" w:type="pct"/>
            <w:tcBorders>
              <w:top w:val="nil"/>
              <w:left w:val="nil"/>
              <w:bottom w:val="nil"/>
              <w:right w:val="nil"/>
            </w:tcBorders>
            <w:hideMark/>
          </w:tcPr>
          <w:p w14:paraId="40445B24"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0.085***</w:t>
            </w:r>
          </w:p>
        </w:tc>
        <w:tc>
          <w:tcPr>
            <w:tcW w:w="717" w:type="pct"/>
            <w:tcBorders>
              <w:top w:val="nil"/>
              <w:left w:val="nil"/>
              <w:bottom w:val="nil"/>
              <w:right w:val="nil"/>
            </w:tcBorders>
            <w:hideMark/>
          </w:tcPr>
          <w:p w14:paraId="1969417B"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0.083***</w:t>
            </w:r>
          </w:p>
        </w:tc>
        <w:tc>
          <w:tcPr>
            <w:tcW w:w="783" w:type="pct"/>
            <w:tcBorders>
              <w:top w:val="nil"/>
              <w:left w:val="nil"/>
              <w:bottom w:val="nil"/>
              <w:right w:val="nil"/>
            </w:tcBorders>
            <w:hideMark/>
          </w:tcPr>
          <w:p w14:paraId="7601D782"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0.102***</w:t>
            </w:r>
          </w:p>
        </w:tc>
        <w:tc>
          <w:tcPr>
            <w:tcW w:w="585" w:type="pct"/>
            <w:tcBorders>
              <w:top w:val="nil"/>
              <w:left w:val="nil"/>
              <w:bottom w:val="nil"/>
              <w:right w:val="nil"/>
            </w:tcBorders>
            <w:hideMark/>
          </w:tcPr>
          <w:p w14:paraId="3FB58F89"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0.090***</w:t>
            </w:r>
          </w:p>
        </w:tc>
      </w:tr>
      <w:tr w:rsidR="009D3026" w:rsidRPr="00CD4846" w14:paraId="5E164720" w14:textId="77777777" w:rsidTr="003959BE">
        <w:tc>
          <w:tcPr>
            <w:tcW w:w="1209" w:type="pct"/>
            <w:tcBorders>
              <w:top w:val="nil"/>
              <w:left w:val="nil"/>
              <w:bottom w:val="nil"/>
              <w:right w:val="nil"/>
            </w:tcBorders>
          </w:tcPr>
          <w:p w14:paraId="2C3DB12C"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p>
        </w:tc>
        <w:tc>
          <w:tcPr>
            <w:tcW w:w="516" w:type="pct"/>
            <w:tcBorders>
              <w:top w:val="nil"/>
              <w:left w:val="nil"/>
              <w:bottom w:val="nil"/>
              <w:right w:val="nil"/>
            </w:tcBorders>
            <w:hideMark/>
          </w:tcPr>
          <w:p w14:paraId="55C2B2FC"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(0.010)</w:t>
            </w:r>
          </w:p>
        </w:tc>
        <w:tc>
          <w:tcPr>
            <w:tcW w:w="1190" w:type="pct"/>
            <w:tcBorders>
              <w:top w:val="nil"/>
              <w:left w:val="nil"/>
              <w:bottom w:val="nil"/>
              <w:right w:val="nil"/>
            </w:tcBorders>
            <w:hideMark/>
          </w:tcPr>
          <w:p w14:paraId="29594AC2"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(0.011)</w:t>
            </w:r>
          </w:p>
        </w:tc>
        <w:tc>
          <w:tcPr>
            <w:tcW w:w="717" w:type="pct"/>
            <w:tcBorders>
              <w:top w:val="nil"/>
              <w:left w:val="nil"/>
              <w:bottom w:val="nil"/>
              <w:right w:val="nil"/>
            </w:tcBorders>
            <w:hideMark/>
          </w:tcPr>
          <w:p w14:paraId="6195CCD1"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(0.011)</w:t>
            </w:r>
          </w:p>
        </w:tc>
        <w:tc>
          <w:tcPr>
            <w:tcW w:w="783" w:type="pct"/>
            <w:tcBorders>
              <w:top w:val="nil"/>
              <w:left w:val="nil"/>
              <w:bottom w:val="nil"/>
              <w:right w:val="nil"/>
            </w:tcBorders>
            <w:hideMark/>
          </w:tcPr>
          <w:p w14:paraId="4ADF4DAF"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(0.025)</w:t>
            </w:r>
          </w:p>
        </w:tc>
        <w:tc>
          <w:tcPr>
            <w:tcW w:w="585" w:type="pct"/>
            <w:tcBorders>
              <w:top w:val="nil"/>
              <w:left w:val="nil"/>
              <w:bottom w:val="nil"/>
              <w:right w:val="nil"/>
            </w:tcBorders>
            <w:hideMark/>
          </w:tcPr>
          <w:p w14:paraId="73B411A8"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(0.010)</w:t>
            </w:r>
          </w:p>
        </w:tc>
      </w:tr>
      <w:tr w:rsidR="009D3026" w:rsidRPr="00CD4846" w14:paraId="6D00D8EF" w14:textId="77777777" w:rsidTr="003959BE">
        <w:tc>
          <w:tcPr>
            <w:tcW w:w="1209" w:type="pct"/>
            <w:tcBorders>
              <w:top w:val="nil"/>
              <w:left w:val="nil"/>
              <w:bottom w:val="nil"/>
              <w:right w:val="nil"/>
            </w:tcBorders>
            <w:hideMark/>
          </w:tcPr>
          <w:p w14:paraId="17B38273"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Attainment Status-CO (t-1)</w:t>
            </w:r>
          </w:p>
        </w:tc>
        <w:tc>
          <w:tcPr>
            <w:tcW w:w="516" w:type="pct"/>
            <w:tcBorders>
              <w:top w:val="nil"/>
              <w:left w:val="nil"/>
              <w:bottom w:val="nil"/>
              <w:right w:val="nil"/>
            </w:tcBorders>
            <w:hideMark/>
          </w:tcPr>
          <w:p w14:paraId="5CA037DD"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-0.326**</w:t>
            </w:r>
          </w:p>
        </w:tc>
        <w:tc>
          <w:tcPr>
            <w:tcW w:w="1190" w:type="pct"/>
            <w:tcBorders>
              <w:top w:val="nil"/>
              <w:left w:val="nil"/>
              <w:bottom w:val="nil"/>
              <w:right w:val="nil"/>
            </w:tcBorders>
            <w:hideMark/>
          </w:tcPr>
          <w:p w14:paraId="098BFB12"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0.340</w:t>
            </w:r>
          </w:p>
        </w:tc>
        <w:tc>
          <w:tcPr>
            <w:tcW w:w="717" w:type="pct"/>
            <w:tcBorders>
              <w:top w:val="nil"/>
              <w:left w:val="nil"/>
              <w:bottom w:val="nil"/>
              <w:right w:val="nil"/>
            </w:tcBorders>
            <w:hideMark/>
          </w:tcPr>
          <w:p w14:paraId="5A2B9696"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0.791**</w:t>
            </w:r>
          </w:p>
        </w:tc>
        <w:tc>
          <w:tcPr>
            <w:tcW w:w="783" w:type="pct"/>
            <w:tcBorders>
              <w:top w:val="nil"/>
              <w:left w:val="nil"/>
              <w:bottom w:val="nil"/>
              <w:right w:val="nil"/>
            </w:tcBorders>
            <w:hideMark/>
          </w:tcPr>
          <w:p w14:paraId="553CE968"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-0.406</w:t>
            </w:r>
          </w:p>
        </w:tc>
        <w:tc>
          <w:tcPr>
            <w:tcW w:w="585" w:type="pct"/>
            <w:tcBorders>
              <w:top w:val="nil"/>
              <w:left w:val="nil"/>
              <w:bottom w:val="nil"/>
              <w:right w:val="nil"/>
            </w:tcBorders>
            <w:hideMark/>
          </w:tcPr>
          <w:p w14:paraId="1CD330B9"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-0.316**</w:t>
            </w:r>
          </w:p>
        </w:tc>
      </w:tr>
      <w:tr w:rsidR="009D3026" w:rsidRPr="00CD4846" w14:paraId="448C8E1C" w14:textId="77777777" w:rsidTr="003959BE">
        <w:tc>
          <w:tcPr>
            <w:tcW w:w="1209" w:type="pct"/>
            <w:tcBorders>
              <w:top w:val="nil"/>
              <w:left w:val="nil"/>
              <w:bottom w:val="nil"/>
              <w:right w:val="nil"/>
            </w:tcBorders>
          </w:tcPr>
          <w:p w14:paraId="548F3DB6"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p>
        </w:tc>
        <w:tc>
          <w:tcPr>
            <w:tcW w:w="516" w:type="pct"/>
            <w:tcBorders>
              <w:top w:val="nil"/>
              <w:left w:val="nil"/>
              <w:bottom w:val="nil"/>
              <w:right w:val="nil"/>
            </w:tcBorders>
            <w:hideMark/>
          </w:tcPr>
          <w:p w14:paraId="163F56BF"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(0.130)</w:t>
            </w:r>
          </w:p>
        </w:tc>
        <w:tc>
          <w:tcPr>
            <w:tcW w:w="1190" w:type="pct"/>
            <w:tcBorders>
              <w:top w:val="nil"/>
              <w:left w:val="nil"/>
              <w:bottom w:val="nil"/>
              <w:right w:val="nil"/>
            </w:tcBorders>
            <w:hideMark/>
          </w:tcPr>
          <w:p w14:paraId="16EF98E2"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(0.378)</w:t>
            </w:r>
          </w:p>
        </w:tc>
        <w:tc>
          <w:tcPr>
            <w:tcW w:w="717" w:type="pct"/>
            <w:tcBorders>
              <w:top w:val="nil"/>
              <w:left w:val="nil"/>
              <w:bottom w:val="nil"/>
              <w:right w:val="nil"/>
            </w:tcBorders>
            <w:hideMark/>
          </w:tcPr>
          <w:p w14:paraId="00C8D220"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(0.332)</w:t>
            </w:r>
          </w:p>
        </w:tc>
        <w:tc>
          <w:tcPr>
            <w:tcW w:w="783" w:type="pct"/>
            <w:tcBorders>
              <w:top w:val="nil"/>
              <w:left w:val="nil"/>
              <w:bottom w:val="nil"/>
              <w:right w:val="nil"/>
            </w:tcBorders>
            <w:hideMark/>
          </w:tcPr>
          <w:p w14:paraId="3331B5B2"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(1.189)</w:t>
            </w:r>
          </w:p>
        </w:tc>
        <w:tc>
          <w:tcPr>
            <w:tcW w:w="585" w:type="pct"/>
            <w:tcBorders>
              <w:top w:val="nil"/>
              <w:left w:val="nil"/>
              <w:bottom w:val="nil"/>
              <w:right w:val="nil"/>
            </w:tcBorders>
            <w:hideMark/>
          </w:tcPr>
          <w:p w14:paraId="15143D9E"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(0.129)</w:t>
            </w:r>
          </w:p>
        </w:tc>
      </w:tr>
      <w:tr w:rsidR="009D3026" w:rsidRPr="00CD4846" w14:paraId="2078B898" w14:textId="77777777" w:rsidTr="003959BE">
        <w:tc>
          <w:tcPr>
            <w:tcW w:w="1209" w:type="pct"/>
            <w:tcBorders>
              <w:top w:val="nil"/>
              <w:left w:val="nil"/>
              <w:bottom w:val="nil"/>
              <w:right w:val="nil"/>
            </w:tcBorders>
            <w:hideMark/>
          </w:tcPr>
          <w:p w14:paraId="5F3490BD"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Attainment Status-Pb (t-1)</w:t>
            </w:r>
          </w:p>
        </w:tc>
        <w:tc>
          <w:tcPr>
            <w:tcW w:w="516" w:type="pct"/>
            <w:tcBorders>
              <w:top w:val="nil"/>
              <w:left w:val="nil"/>
              <w:bottom w:val="nil"/>
              <w:right w:val="nil"/>
            </w:tcBorders>
            <w:hideMark/>
          </w:tcPr>
          <w:p w14:paraId="7EA18C9B"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-0.041</w:t>
            </w:r>
          </w:p>
        </w:tc>
        <w:tc>
          <w:tcPr>
            <w:tcW w:w="1190" w:type="pct"/>
            <w:tcBorders>
              <w:top w:val="nil"/>
              <w:left w:val="nil"/>
              <w:bottom w:val="nil"/>
              <w:right w:val="nil"/>
            </w:tcBorders>
            <w:hideMark/>
          </w:tcPr>
          <w:p w14:paraId="169C105F"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0.036</w:t>
            </w:r>
          </w:p>
        </w:tc>
        <w:tc>
          <w:tcPr>
            <w:tcW w:w="717" w:type="pct"/>
            <w:tcBorders>
              <w:top w:val="nil"/>
              <w:left w:val="nil"/>
              <w:bottom w:val="nil"/>
              <w:right w:val="nil"/>
            </w:tcBorders>
            <w:hideMark/>
          </w:tcPr>
          <w:p w14:paraId="7C2CBBF0"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0.010</w:t>
            </w:r>
          </w:p>
        </w:tc>
        <w:tc>
          <w:tcPr>
            <w:tcW w:w="783" w:type="pct"/>
            <w:tcBorders>
              <w:top w:val="nil"/>
              <w:left w:val="nil"/>
              <w:bottom w:val="nil"/>
              <w:right w:val="nil"/>
            </w:tcBorders>
            <w:hideMark/>
          </w:tcPr>
          <w:p w14:paraId="5B32E590"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0.706</w:t>
            </w:r>
          </w:p>
        </w:tc>
        <w:tc>
          <w:tcPr>
            <w:tcW w:w="585" w:type="pct"/>
            <w:tcBorders>
              <w:top w:val="nil"/>
              <w:left w:val="nil"/>
              <w:bottom w:val="nil"/>
              <w:right w:val="nil"/>
            </w:tcBorders>
            <w:hideMark/>
          </w:tcPr>
          <w:p w14:paraId="4A9DBD6C"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-0.040</w:t>
            </w:r>
          </w:p>
        </w:tc>
      </w:tr>
      <w:tr w:rsidR="009D3026" w:rsidRPr="00CD4846" w14:paraId="599E6A46" w14:textId="77777777" w:rsidTr="003959BE">
        <w:tc>
          <w:tcPr>
            <w:tcW w:w="1209" w:type="pct"/>
            <w:tcBorders>
              <w:top w:val="nil"/>
              <w:left w:val="nil"/>
              <w:bottom w:val="nil"/>
              <w:right w:val="nil"/>
            </w:tcBorders>
          </w:tcPr>
          <w:p w14:paraId="524E6952"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p>
        </w:tc>
        <w:tc>
          <w:tcPr>
            <w:tcW w:w="516" w:type="pct"/>
            <w:tcBorders>
              <w:top w:val="nil"/>
              <w:left w:val="nil"/>
              <w:bottom w:val="nil"/>
              <w:right w:val="nil"/>
            </w:tcBorders>
            <w:hideMark/>
          </w:tcPr>
          <w:p w14:paraId="252B6148"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(0.059)</w:t>
            </w:r>
          </w:p>
        </w:tc>
        <w:tc>
          <w:tcPr>
            <w:tcW w:w="1190" w:type="pct"/>
            <w:tcBorders>
              <w:top w:val="nil"/>
              <w:left w:val="nil"/>
              <w:bottom w:val="nil"/>
              <w:right w:val="nil"/>
            </w:tcBorders>
            <w:hideMark/>
          </w:tcPr>
          <w:p w14:paraId="0C3FCF9E"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(0.144)</w:t>
            </w:r>
          </w:p>
        </w:tc>
        <w:tc>
          <w:tcPr>
            <w:tcW w:w="717" w:type="pct"/>
            <w:tcBorders>
              <w:top w:val="nil"/>
              <w:left w:val="nil"/>
              <w:bottom w:val="nil"/>
              <w:right w:val="nil"/>
            </w:tcBorders>
            <w:hideMark/>
          </w:tcPr>
          <w:p w14:paraId="070C8651"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(0.142)</w:t>
            </w:r>
          </w:p>
        </w:tc>
        <w:tc>
          <w:tcPr>
            <w:tcW w:w="783" w:type="pct"/>
            <w:tcBorders>
              <w:top w:val="nil"/>
              <w:left w:val="nil"/>
              <w:bottom w:val="nil"/>
              <w:right w:val="nil"/>
            </w:tcBorders>
            <w:hideMark/>
          </w:tcPr>
          <w:p w14:paraId="06898175"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(0.690)</w:t>
            </w:r>
          </w:p>
        </w:tc>
        <w:tc>
          <w:tcPr>
            <w:tcW w:w="585" w:type="pct"/>
            <w:tcBorders>
              <w:top w:val="nil"/>
              <w:left w:val="nil"/>
              <w:bottom w:val="nil"/>
              <w:right w:val="nil"/>
            </w:tcBorders>
            <w:hideMark/>
          </w:tcPr>
          <w:p w14:paraId="64382989"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(0.058)</w:t>
            </w:r>
          </w:p>
        </w:tc>
      </w:tr>
      <w:tr w:rsidR="009D3026" w:rsidRPr="00CD4846" w14:paraId="66DBA399" w14:textId="77777777" w:rsidTr="003959BE">
        <w:tc>
          <w:tcPr>
            <w:tcW w:w="1209" w:type="pct"/>
            <w:tcBorders>
              <w:top w:val="nil"/>
              <w:left w:val="nil"/>
              <w:bottom w:val="nil"/>
              <w:right w:val="nil"/>
            </w:tcBorders>
            <w:hideMark/>
          </w:tcPr>
          <w:p w14:paraId="2D5FE2C9"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Attainment Status-O3 (t-1)</w:t>
            </w:r>
          </w:p>
        </w:tc>
        <w:tc>
          <w:tcPr>
            <w:tcW w:w="516" w:type="pct"/>
            <w:tcBorders>
              <w:top w:val="nil"/>
              <w:left w:val="nil"/>
              <w:bottom w:val="nil"/>
              <w:right w:val="nil"/>
            </w:tcBorders>
            <w:hideMark/>
          </w:tcPr>
          <w:p w14:paraId="528C0D50"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0.015</w:t>
            </w:r>
          </w:p>
        </w:tc>
        <w:tc>
          <w:tcPr>
            <w:tcW w:w="1190" w:type="pct"/>
            <w:tcBorders>
              <w:top w:val="nil"/>
              <w:left w:val="nil"/>
              <w:bottom w:val="nil"/>
              <w:right w:val="nil"/>
            </w:tcBorders>
            <w:hideMark/>
          </w:tcPr>
          <w:p w14:paraId="61E79D29"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0.047</w:t>
            </w:r>
          </w:p>
        </w:tc>
        <w:tc>
          <w:tcPr>
            <w:tcW w:w="717" w:type="pct"/>
            <w:tcBorders>
              <w:top w:val="nil"/>
              <w:left w:val="nil"/>
              <w:bottom w:val="nil"/>
              <w:right w:val="nil"/>
            </w:tcBorders>
            <w:hideMark/>
          </w:tcPr>
          <w:p w14:paraId="0D852BB4"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0.047</w:t>
            </w:r>
          </w:p>
        </w:tc>
        <w:tc>
          <w:tcPr>
            <w:tcW w:w="783" w:type="pct"/>
            <w:tcBorders>
              <w:top w:val="nil"/>
              <w:left w:val="nil"/>
              <w:bottom w:val="nil"/>
              <w:right w:val="nil"/>
            </w:tcBorders>
            <w:hideMark/>
          </w:tcPr>
          <w:p w14:paraId="48EA4AE4"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0.308**</w:t>
            </w:r>
          </w:p>
        </w:tc>
        <w:tc>
          <w:tcPr>
            <w:tcW w:w="585" w:type="pct"/>
            <w:tcBorders>
              <w:top w:val="nil"/>
              <w:left w:val="nil"/>
              <w:bottom w:val="nil"/>
              <w:right w:val="nil"/>
            </w:tcBorders>
            <w:hideMark/>
          </w:tcPr>
          <w:p w14:paraId="5F47F700"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0.016</w:t>
            </w:r>
          </w:p>
        </w:tc>
      </w:tr>
      <w:tr w:rsidR="009D3026" w:rsidRPr="00CD4846" w14:paraId="2A71CDE5" w14:textId="77777777" w:rsidTr="003959BE">
        <w:tc>
          <w:tcPr>
            <w:tcW w:w="1209" w:type="pct"/>
            <w:tcBorders>
              <w:top w:val="nil"/>
              <w:left w:val="nil"/>
              <w:bottom w:val="nil"/>
              <w:right w:val="nil"/>
            </w:tcBorders>
          </w:tcPr>
          <w:p w14:paraId="1320144E"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p>
        </w:tc>
        <w:tc>
          <w:tcPr>
            <w:tcW w:w="516" w:type="pct"/>
            <w:tcBorders>
              <w:top w:val="nil"/>
              <w:left w:val="nil"/>
              <w:bottom w:val="nil"/>
              <w:right w:val="nil"/>
            </w:tcBorders>
            <w:hideMark/>
          </w:tcPr>
          <w:p w14:paraId="50B7A124"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(0.018)</w:t>
            </w:r>
          </w:p>
        </w:tc>
        <w:tc>
          <w:tcPr>
            <w:tcW w:w="1190" w:type="pct"/>
            <w:tcBorders>
              <w:top w:val="nil"/>
              <w:left w:val="nil"/>
              <w:bottom w:val="nil"/>
              <w:right w:val="nil"/>
            </w:tcBorders>
            <w:hideMark/>
          </w:tcPr>
          <w:p w14:paraId="2FADD3BF"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(0.034)</w:t>
            </w:r>
          </w:p>
        </w:tc>
        <w:tc>
          <w:tcPr>
            <w:tcW w:w="717" w:type="pct"/>
            <w:tcBorders>
              <w:top w:val="nil"/>
              <w:left w:val="nil"/>
              <w:bottom w:val="nil"/>
              <w:right w:val="nil"/>
            </w:tcBorders>
            <w:hideMark/>
          </w:tcPr>
          <w:p w14:paraId="3AA10EEB"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(0.035)</w:t>
            </w:r>
          </w:p>
        </w:tc>
        <w:tc>
          <w:tcPr>
            <w:tcW w:w="783" w:type="pct"/>
            <w:tcBorders>
              <w:top w:val="nil"/>
              <w:left w:val="nil"/>
              <w:bottom w:val="nil"/>
              <w:right w:val="nil"/>
            </w:tcBorders>
            <w:hideMark/>
          </w:tcPr>
          <w:p w14:paraId="4FC6209E"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(0.156)</w:t>
            </w:r>
          </w:p>
        </w:tc>
        <w:tc>
          <w:tcPr>
            <w:tcW w:w="585" w:type="pct"/>
            <w:tcBorders>
              <w:top w:val="nil"/>
              <w:left w:val="nil"/>
              <w:bottom w:val="nil"/>
              <w:right w:val="nil"/>
            </w:tcBorders>
            <w:hideMark/>
          </w:tcPr>
          <w:p w14:paraId="7EDE1FAB"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(0.018)</w:t>
            </w:r>
          </w:p>
        </w:tc>
      </w:tr>
      <w:tr w:rsidR="009D3026" w:rsidRPr="00CD4846" w14:paraId="0E80005D" w14:textId="77777777" w:rsidTr="003959BE">
        <w:tc>
          <w:tcPr>
            <w:tcW w:w="1209" w:type="pct"/>
            <w:tcBorders>
              <w:top w:val="nil"/>
              <w:left w:val="nil"/>
              <w:bottom w:val="nil"/>
              <w:right w:val="nil"/>
            </w:tcBorders>
            <w:hideMark/>
          </w:tcPr>
          <w:p w14:paraId="6AF49DE2"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Attainment Status-PM (t-1)</w:t>
            </w:r>
          </w:p>
        </w:tc>
        <w:tc>
          <w:tcPr>
            <w:tcW w:w="516" w:type="pct"/>
            <w:tcBorders>
              <w:top w:val="nil"/>
              <w:left w:val="nil"/>
              <w:bottom w:val="nil"/>
              <w:right w:val="nil"/>
            </w:tcBorders>
            <w:hideMark/>
          </w:tcPr>
          <w:p w14:paraId="4559E32F"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0.047**</w:t>
            </w:r>
          </w:p>
        </w:tc>
        <w:tc>
          <w:tcPr>
            <w:tcW w:w="1190" w:type="pct"/>
            <w:tcBorders>
              <w:top w:val="nil"/>
              <w:left w:val="nil"/>
              <w:bottom w:val="nil"/>
              <w:right w:val="nil"/>
            </w:tcBorders>
            <w:hideMark/>
          </w:tcPr>
          <w:p w14:paraId="246D541F"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-0.001</w:t>
            </w:r>
          </w:p>
        </w:tc>
        <w:tc>
          <w:tcPr>
            <w:tcW w:w="717" w:type="pct"/>
            <w:tcBorders>
              <w:top w:val="nil"/>
              <w:left w:val="nil"/>
              <w:bottom w:val="nil"/>
              <w:right w:val="nil"/>
            </w:tcBorders>
            <w:hideMark/>
          </w:tcPr>
          <w:p w14:paraId="1140FF22"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0.006</w:t>
            </w:r>
          </w:p>
        </w:tc>
        <w:tc>
          <w:tcPr>
            <w:tcW w:w="783" w:type="pct"/>
            <w:tcBorders>
              <w:top w:val="nil"/>
              <w:left w:val="nil"/>
              <w:bottom w:val="nil"/>
              <w:right w:val="nil"/>
            </w:tcBorders>
            <w:hideMark/>
          </w:tcPr>
          <w:p w14:paraId="058874FA"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-0.128</w:t>
            </w:r>
          </w:p>
        </w:tc>
        <w:tc>
          <w:tcPr>
            <w:tcW w:w="585" w:type="pct"/>
            <w:tcBorders>
              <w:top w:val="nil"/>
              <w:left w:val="nil"/>
              <w:bottom w:val="nil"/>
              <w:right w:val="nil"/>
            </w:tcBorders>
            <w:hideMark/>
          </w:tcPr>
          <w:p w14:paraId="5EFC4215"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0.047**</w:t>
            </w:r>
          </w:p>
        </w:tc>
      </w:tr>
      <w:tr w:rsidR="009D3026" w:rsidRPr="00CD4846" w14:paraId="760DDCA3" w14:textId="77777777" w:rsidTr="003959BE">
        <w:tc>
          <w:tcPr>
            <w:tcW w:w="1209" w:type="pct"/>
            <w:tcBorders>
              <w:top w:val="nil"/>
              <w:left w:val="nil"/>
              <w:bottom w:val="nil"/>
              <w:right w:val="nil"/>
            </w:tcBorders>
          </w:tcPr>
          <w:p w14:paraId="5F9AB65E"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p>
        </w:tc>
        <w:tc>
          <w:tcPr>
            <w:tcW w:w="516" w:type="pct"/>
            <w:tcBorders>
              <w:top w:val="nil"/>
              <w:left w:val="nil"/>
              <w:bottom w:val="nil"/>
              <w:right w:val="nil"/>
            </w:tcBorders>
            <w:hideMark/>
          </w:tcPr>
          <w:p w14:paraId="4D531208"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(0.020)</w:t>
            </w:r>
          </w:p>
        </w:tc>
        <w:tc>
          <w:tcPr>
            <w:tcW w:w="1190" w:type="pct"/>
            <w:tcBorders>
              <w:top w:val="nil"/>
              <w:left w:val="nil"/>
              <w:bottom w:val="nil"/>
              <w:right w:val="nil"/>
            </w:tcBorders>
            <w:hideMark/>
          </w:tcPr>
          <w:p w14:paraId="06E7AD9A"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(0.029)</w:t>
            </w:r>
          </w:p>
        </w:tc>
        <w:tc>
          <w:tcPr>
            <w:tcW w:w="717" w:type="pct"/>
            <w:tcBorders>
              <w:top w:val="nil"/>
              <w:left w:val="nil"/>
              <w:bottom w:val="nil"/>
              <w:right w:val="nil"/>
            </w:tcBorders>
            <w:hideMark/>
          </w:tcPr>
          <w:p w14:paraId="00FBA79E"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(0.029)</w:t>
            </w:r>
          </w:p>
        </w:tc>
        <w:tc>
          <w:tcPr>
            <w:tcW w:w="783" w:type="pct"/>
            <w:tcBorders>
              <w:top w:val="nil"/>
              <w:left w:val="nil"/>
              <w:bottom w:val="nil"/>
              <w:right w:val="nil"/>
            </w:tcBorders>
            <w:hideMark/>
          </w:tcPr>
          <w:p w14:paraId="515A147D"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(0.141)</w:t>
            </w:r>
          </w:p>
        </w:tc>
        <w:tc>
          <w:tcPr>
            <w:tcW w:w="585" w:type="pct"/>
            <w:tcBorders>
              <w:top w:val="nil"/>
              <w:left w:val="nil"/>
              <w:bottom w:val="nil"/>
              <w:right w:val="nil"/>
            </w:tcBorders>
            <w:hideMark/>
          </w:tcPr>
          <w:p w14:paraId="07D0F32E"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(0.020)</w:t>
            </w:r>
          </w:p>
        </w:tc>
      </w:tr>
      <w:tr w:rsidR="009D3026" w:rsidRPr="00CD4846" w14:paraId="20DE54F6" w14:textId="77777777" w:rsidTr="003959BE">
        <w:tc>
          <w:tcPr>
            <w:tcW w:w="1209" w:type="pct"/>
            <w:tcBorders>
              <w:top w:val="nil"/>
              <w:left w:val="nil"/>
              <w:bottom w:val="nil"/>
              <w:right w:val="nil"/>
            </w:tcBorders>
            <w:hideMark/>
          </w:tcPr>
          <w:p w14:paraId="0CD64A83"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Attainment Status-SO2 (t-1)</w:t>
            </w:r>
          </w:p>
        </w:tc>
        <w:tc>
          <w:tcPr>
            <w:tcW w:w="516" w:type="pct"/>
            <w:tcBorders>
              <w:top w:val="nil"/>
              <w:left w:val="nil"/>
              <w:bottom w:val="nil"/>
              <w:right w:val="nil"/>
            </w:tcBorders>
            <w:hideMark/>
          </w:tcPr>
          <w:p w14:paraId="13F52948"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0.125**</w:t>
            </w:r>
          </w:p>
        </w:tc>
        <w:tc>
          <w:tcPr>
            <w:tcW w:w="1190" w:type="pct"/>
            <w:tcBorders>
              <w:top w:val="nil"/>
              <w:left w:val="nil"/>
              <w:bottom w:val="nil"/>
              <w:right w:val="nil"/>
            </w:tcBorders>
            <w:hideMark/>
          </w:tcPr>
          <w:p w14:paraId="3F3D70A5"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0.132</w:t>
            </w:r>
          </w:p>
        </w:tc>
        <w:tc>
          <w:tcPr>
            <w:tcW w:w="717" w:type="pct"/>
            <w:tcBorders>
              <w:top w:val="nil"/>
              <w:left w:val="nil"/>
              <w:bottom w:val="nil"/>
              <w:right w:val="nil"/>
            </w:tcBorders>
            <w:hideMark/>
          </w:tcPr>
          <w:p w14:paraId="33173A57"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0.131</w:t>
            </w:r>
          </w:p>
        </w:tc>
        <w:tc>
          <w:tcPr>
            <w:tcW w:w="783" w:type="pct"/>
            <w:tcBorders>
              <w:top w:val="nil"/>
              <w:left w:val="nil"/>
              <w:bottom w:val="nil"/>
              <w:right w:val="nil"/>
            </w:tcBorders>
            <w:hideMark/>
          </w:tcPr>
          <w:p w14:paraId="1D25F1A0"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-0.043</w:t>
            </w:r>
          </w:p>
        </w:tc>
        <w:tc>
          <w:tcPr>
            <w:tcW w:w="585" w:type="pct"/>
            <w:tcBorders>
              <w:top w:val="nil"/>
              <w:left w:val="nil"/>
              <w:bottom w:val="nil"/>
              <w:right w:val="nil"/>
            </w:tcBorders>
            <w:hideMark/>
          </w:tcPr>
          <w:p w14:paraId="53B34EAE"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0.126**</w:t>
            </w:r>
          </w:p>
        </w:tc>
      </w:tr>
      <w:tr w:rsidR="009D3026" w:rsidRPr="00CD4846" w14:paraId="554B715F" w14:textId="77777777" w:rsidTr="003959BE">
        <w:tc>
          <w:tcPr>
            <w:tcW w:w="1209" w:type="pct"/>
            <w:tcBorders>
              <w:top w:val="nil"/>
              <w:left w:val="nil"/>
              <w:bottom w:val="nil"/>
              <w:right w:val="nil"/>
            </w:tcBorders>
          </w:tcPr>
          <w:p w14:paraId="0C6E1C7D"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p>
        </w:tc>
        <w:tc>
          <w:tcPr>
            <w:tcW w:w="516" w:type="pct"/>
            <w:tcBorders>
              <w:top w:val="nil"/>
              <w:left w:val="nil"/>
              <w:bottom w:val="nil"/>
              <w:right w:val="nil"/>
            </w:tcBorders>
            <w:hideMark/>
          </w:tcPr>
          <w:p w14:paraId="7747A6F2"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(0.059)</w:t>
            </w:r>
          </w:p>
        </w:tc>
        <w:tc>
          <w:tcPr>
            <w:tcW w:w="1190" w:type="pct"/>
            <w:tcBorders>
              <w:top w:val="nil"/>
              <w:left w:val="nil"/>
              <w:bottom w:val="nil"/>
              <w:right w:val="nil"/>
            </w:tcBorders>
            <w:hideMark/>
          </w:tcPr>
          <w:p w14:paraId="12DC9351"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(0.113)</w:t>
            </w:r>
          </w:p>
        </w:tc>
        <w:tc>
          <w:tcPr>
            <w:tcW w:w="717" w:type="pct"/>
            <w:tcBorders>
              <w:top w:val="nil"/>
              <w:left w:val="nil"/>
              <w:bottom w:val="nil"/>
              <w:right w:val="nil"/>
            </w:tcBorders>
            <w:hideMark/>
          </w:tcPr>
          <w:p w14:paraId="330C5894"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(0.115)</w:t>
            </w:r>
          </w:p>
        </w:tc>
        <w:tc>
          <w:tcPr>
            <w:tcW w:w="783" w:type="pct"/>
            <w:tcBorders>
              <w:top w:val="nil"/>
              <w:left w:val="nil"/>
              <w:bottom w:val="nil"/>
              <w:right w:val="nil"/>
            </w:tcBorders>
            <w:hideMark/>
          </w:tcPr>
          <w:p w14:paraId="7BAEEA8C"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(0.605)</w:t>
            </w:r>
          </w:p>
        </w:tc>
        <w:tc>
          <w:tcPr>
            <w:tcW w:w="585" w:type="pct"/>
            <w:tcBorders>
              <w:top w:val="nil"/>
              <w:left w:val="nil"/>
              <w:bottom w:val="nil"/>
              <w:right w:val="nil"/>
            </w:tcBorders>
            <w:hideMark/>
          </w:tcPr>
          <w:p w14:paraId="0068F353"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(0.059)</w:t>
            </w:r>
          </w:p>
        </w:tc>
      </w:tr>
      <w:tr w:rsidR="009D3026" w:rsidRPr="00CD4846" w14:paraId="6F553535" w14:textId="77777777" w:rsidTr="003959BE">
        <w:tc>
          <w:tcPr>
            <w:tcW w:w="1209" w:type="pct"/>
            <w:tcBorders>
              <w:top w:val="nil"/>
              <w:left w:val="nil"/>
              <w:bottom w:val="nil"/>
              <w:right w:val="nil"/>
            </w:tcBorders>
            <w:hideMark/>
          </w:tcPr>
          <w:p w14:paraId="4A492886"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Density Employment</w:t>
            </w:r>
          </w:p>
        </w:tc>
        <w:tc>
          <w:tcPr>
            <w:tcW w:w="516" w:type="pct"/>
            <w:tcBorders>
              <w:top w:val="nil"/>
              <w:left w:val="nil"/>
              <w:bottom w:val="nil"/>
              <w:right w:val="nil"/>
            </w:tcBorders>
            <w:hideMark/>
          </w:tcPr>
          <w:p w14:paraId="73A46AD4"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0.053**</w:t>
            </w:r>
          </w:p>
        </w:tc>
        <w:tc>
          <w:tcPr>
            <w:tcW w:w="1190" w:type="pct"/>
            <w:tcBorders>
              <w:top w:val="nil"/>
              <w:left w:val="nil"/>
              <w:bottom w:val="nil"/>
              <w:right w:val="nil"/>
            </w:tcBorders>
            <w:hideMark/>
          </w:tcPr>
          <w:p w14:paraId="05A3322B"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0.047</w:t>
            </w:r>
          </w:p>
        </w:tc>
        <w:tc>
          <w:tcPr>
            <w:tcW w:w="717" w:type="pct"/>
            <w:tcBorders>
              <w:top w:val="nil"/>
              <w:left w:val="nil"/>
              <w:bottom w:val="nil"/>
              <w:right w:val="nil"/>
            </w:tcBorders>
            <w:hideMark/>
          </w:tcPr>
          <w:p w14:paraId="60C84581"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0.017</w:t>
            </w:r>
          </w:p>
        </w:tc>
        <w:tc>
          <w:tcPr>
            <w:tcW w:w="783" w:type="pct"/>
            <w:tcBorders>
              <w:top w:val="nil"/>
              <w:left w:val="nil"/>
              <w:bottom w:val="nil"/>
              <w:right w:val="nil"/>
            </w:tcBorders>
            <w:hideMark/>
          </w:tcPr>
          <w:p w14:paraId="7E1F544E"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0.222</w:t>
            </w:r>
          </w:p>
        </w:tc>
        <w:tc>
          <w:tcPr>
            <w:tcW w:w="585" w:type="pct"/>
            <w:tcBorders>
              <w:top w:val="nil"/>
              <w:left w:val="nil"/>
              <w:bottom w:val="nil"/>
              <w:right w:val="nil"/>
            </w:tcBorders>
            <w:hideMark/>
          </w:tcPr>
          <w:p w14:paraId="12F22A80"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0.053**</w:t>
            </w:r>
          </w:p>
        </w:tc>
      </w:tr>
      <w:tr w:rsidR="009D3026" w:rsidRPr="00CD4846" w14:paraId="391BA34E" w14:textId="77777777" w:rsidTr="003959BE">
        <w:tc>
          <w:tcPr>
            <w:tcW w:w="1209" w:type="pct"/>
            <w:tcBorders>
              <w:top w:val="nil"/>
              <w:left w:val="nil"/>
              <w:bottom w:val="nil"/>
              <w:right w:val="nil"/>
            </w:tcBorders>
          </w:tcPr>
          <w:p w14:paraId="32E721C0"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p>
        </w:tc>
        <w:tc>
          <w:tcPr>
            <w:tcW w:w="516" w:type="pct"/>
            <w:tcBorders>
              <w:top w:val="nil"/>
              <w:left w:val="nil"/>
              <w:bottom w:val="nil"/>
              <w:right w:val="nil"/>
            </w:tcBorders>
            <w:hideMark/>
          </w:tcPr>
          <w:p w14:paraId="68068103"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(0.025)</w:t>
            </w:r>
          </w:p>
        </w:tc>
        <w:tc>
          <w:tcPr>
            <w:tcW w:w="1190" w:type="pct"/>
            <w:tcBorders>
              <w:top w:val="nil"/>
              <w:left w:val="nil"/>
              <w:bottom w:val="nil"/>
              <w:right w:val="nil"/>
            </w:tcBorders>
            <w:hideMark/>
          </w:tcPr>
          <w:p w14:paraId="5C904E1E"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(0.054)</w:t>
            </w:r>
          </w:p>
        </w:tc>
        <w:tc>
          <w:tcPr>
            <w:tcW w:w="717" w:type="pct"/>
            <w:tcBorders>
              <w:top w:val="nil"/>
              <w:left w:val="nil"/>
              <w:bottom w:val="nil"/>
              <w:right w:val="nil"/>
            </w:tcBorders>
            <w:hideMark/>
          </w:tcPr>
          <w:p w14:paraId="2711C2AC"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(0.047)</w:t>
            </w:r>
          </w:p>
        </w:tc>
        <w:tc>
          <w:tcPr>
            <w:tcW w:w="783" w:type="pct"/>
            <w:tcBorders>
              <w:top w:val="nil"/>
              <w:left w:val="nil"/>
              <w:bottom w:val="nil"/>
              <w:right w:val="nil"/>
            </w:tcBorders>
            <w:hideMark/>
          </w:tcPr>
          <w:p w14:paraId="6F65F7EE"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(0.193)</w:t>
            </w:r>
          </w:p>
        </w:tc>
        <w:tc>
          <w:tcPr>
            <w:tcW w:w="585" w:type="pct"/>
            <w:tcBorders>
              <w:top w:val="nil"/>
              <w:left w:val="nil"/>
              <w:bottom w:val="nil"/>
              <w:right w:val="nil"/>
            </w:tcBorders>
            <w:hideMark/>
          </w:tcPr>
          <w:p w14:paraId="35E54F30"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(0.026)</w:t>
            </w:r>
          </w:p>
        </w:tc>
      </w:tr>
      <w:tr w:rsidR="009D3026" w:rsidRPr="00CD4846" w14:paraId="1750AD7D" w14:textId="77777777" w:rsidTr="003959BE">
        <w:tc>
          <w:tcPr>
            <w:tcW w:w="1209" w:type="pct"/>
            <w:tcBorders>
              <w:top w:val="nil"/>
              <w:left w:val="nil"/>
              <w:bottom w:val="nil"/>
              <w:right w:val="nil"/>
            </w:tcBorders>
            <w:hideMark/>
          </w:tcPr>
          <w:p w14:paraId="7454AA05"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Percent Black (100s)</w:t>
            </w:r>
          </w:p>
        </w:tc>
        <w:tc>
          <w:tcPr>
            <w:tcW w:w="516" w:type="pct"/>
            <w:tcBorders>
              <w:top w:val="nil"/>
              <w:left w:val="nil"/>
              <w:bottom w:val="nil"/>
              <w:right w:val="nil"/>
            </w:tcBorders>
            <w:hideMark/>
          </w:tcPr>
          <w:p w14:paraId="6F0B74FB"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1.465**</w:t>
            </w:r>
          </w:p>
        </w:tc>
        <w:tc>
          <w:tcPr>
            <w:tcW w:w="1190" w:type="pct"/>
            <w:tcBorders>
              <w:top w:val="nil"/>
              <w:left w:val="nil"/>
              <w:bottom w:val="nil"/>
              <w:right w:val="nil"/>
            </w:tcBorders>
            <w:hideMark/>
          </w:tcPr>
          <w:p w14:paraId="2593A211"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0.119</w:t>
            </w:r>
          </w:p>
        </w:tc>
        <w:tc>
          <w:tcPr>
            <w:tcW w:w="717" w:type="pct"/>
            <w:tcBorders>
              <w:top w:val="nil"/>
              <w:left w:val="nil"/>
              <w:bottom w:val="nil"/>
              <w:right w:val="nil"/>
            </w:tcBorders>
            <w:hideMark/>
          </w:tcPr>
          <w:p w14:paraId="2BBD3AC5"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0.704</w:t>
            </w:r>
          </w:p>
        </w:tc>
        <w:tc>
          <w:tcPr>
            <w:tcW w:w="783" w:type="pct"/>
            <w:tcBorders>
              <w:top w:val="nil"/>
              <w:left w:val="nil"/>
              <w:bottom w:val="nil"/>
              <w:right w:val="nil"/>
            </w:tcBorders>
            <w:hideMark/>
          </w:tcPr>
          <w:p w14:paraId="1584742E"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-11.265*</w:t>
            </w:r>
          </w:p>
        </w:tc>
        <w:tc>
          <w:tcPr>
            <w:tcW w:w="585" w:type="pct"/>
            <w:tcBorders>
              <w:top w:val="nil"/>
              <w:left w:val="nil"/>
              <w:bottom w:val="nil"/>
              <w:right w:val="nil"/>
            </w:tcBorders>
            <w:hideMark/>
          </w:tcPr>
          <w:p w14:paraId="1569CFAC"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1.423**</w:t>
            </w:r>
          </w:p>
        </w:tc>
      </w:tr>
      <w:tr w:rsidR="009D3026" w:rsidRPr="00CD4846" w14:paraId="73EBB5B2" w14:textId="77777777" w:rsidTr="003959BE">
        <w:tc>
          <w:tcPr>
            <w:tcW w:w="1209" w:type="pct"/>
            <w:tcBorders>
              <w:top w:val="nil"/>
              <w:left w:val="nil"/>
              <w:bottom w:val="nil"/>
              <w:right w:val="nil"/>
            </w:tcBorders>
          </w:tcPr>
          <w:p w14:paraId="0D1C4A23"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p>
        </w:tc>
        <w:tc>
          <w:tcPr>
            <w:tcW w:w="516" w:type="pct"/>
            <w:tcBorders>
              <w:top w:val="nil"/>
              <w:left w:val="nil"/>
              <w:bottom w:val="nil"/>
              <w:right w:val="nil"/>
            </w:tcBorders>
            <w:hideMark/>
          </w:tcPr>
          <w:p w14:paraId="1154DD43"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(0.709)</w:t>
            </w:r>
          </w:p>
        </w:tc>
        <w:tc>
          <w:tcPr>
            <w:tcW w:w="1190" w:type="pct"/>
            <w:tcBorders>
              <w:top w:val="nil"/>
              <w:left w:val="nil"/>
              <w:bottom w:val="nil"/>
              <w:right w:val="nil"/>
            </w:tcBorders>
            <w:hideMark/>
          </w:tcPr>
          <w:p w14:paraId="7FB8FDD2"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(1.144)</w:t>
            </w:r>
          </w:p>
        </w:tc>
        <w:tc>
          <w:tcPr>
            <w:tcW w:w="717" w:type="pct"/>
            <w:tcBorders>
              <w:top w:val="nil"/>
              <w:left w:val="nil"/>
              <w:bottom w:val="nil"/>
              <w:right w:val="nil"/>
            </w:tcBorders>
            <w:hideMark/>
          </w:tcPr>
          <w:p w14:paraId="76EE611D"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(1.146)</w:t>
            </w:r>
          </w:p>
        </w:tc>
        <w:tc>
          <w:tcPr>
            <w:tcW w:w="783" w:type="pct"/>
            <w:tcBorders>
              <w:top w:val="nil"/>
              <w:left w:val="nil"/>
              <w:bottom w:val="nil"/>
              <w:right w:val="nil"/>
            </w:tcBorders>
            <w:hideMark/>
          </w:tcPr>
          <w:p w14:paraId="3210913E"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(6.754)</w:t>
            </w:r>
          </w:p>
        </w:tc>
        <w:tc>
          <w:tcPr>
            <w:tcW w:w="585" w:type="pct"/>
            <w:tcBorders>
              <w:top w:val="nil"/>
              <w:left w:val="nil"/>
              <w:bottom w:val="nil"/>
              <w:right w:val="nil"/>
            </w:tcBorders>
            <w:hideMark/>
          </w:tcPr>
          <w:p w14:paraId="40A0CD2B"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(0.701)</w:t>
            </w:r>
          </w:p>
        </w:tc>
      </w:tr>
      <w:tr w:rsidR="009D3026" w:rsidRPr="00CD4846" w14:paraId="443DE624" w14:textId="77777777" w:rsidTr="003959BE">
        <w:tc>
          <w:tcPr>
            <w:tcW w:w="1209" w:type="pct"/>
            <w:tcBorders>
              <w:top w:val="nil"/>
              <w:left w:val="nil"/>
              <w:bottom w:val="nil"/>
              <w:right w:val="nil"/>
            </w:tcBorders>
            <w:hideMark/>
          </w:tcPr>
          <w:p w14:paraId="34A66E04"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Population count (1ms)</w:t>
            </w:r>
          </w:p>
        </w:tc>
        <w:tc>
          <w:tcPr>
            <w:tcW w:w="516" w:type="pct"/>
            <w:tcBorders>
              <w:top w:val="nil"/>
              <w:left w:val="nil"/>
              <w:bottom w:val="nil"/>
              <w:right w:val="nil"/>
            </w:tcBorders>
            <w:hideMark/>
          </w:tcPr>
          <w:p w14:paraId="6FD76F22"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-0.623***</w:t>
            </w:r>
          </w:p>
        </w:tc>
        <w:tc>
          <w:tcPr>
            <w:tcW w:w="1190" w:type="pct"/>
            <w:tcBorders>
              <w:top w:val="nil"/>
              <w:left w:val="nil"/>
              <w:bottom w:val="nil"/>
              <w:right w:val="nil"/>
            </w:tcBorders>
            <w:hideMark/>
          </w:tcPr>
          <w:p w14:paraId="36CF69D5"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-0.339</w:t>
            </w:r>
          </w:p>
        </w:tc>
        <w:tc>
          <w:tcPr>
            <w:tcW w:w="717" w:type="pct"/>
            <w:tcBorders>
              <w:top w:val="nil"/>
              <w:left w:val="nil"/>
              <w:bottom w:val="nil"/>
              <w:right w:val="nil"/>
            </w:tcBorders>
            <w:hideMark/>
          </w:tcPr>
          <w:p w14:paraId="4E1BDB3B"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-0.573**</w:t>
            </w:r>
          </w:p>
        </w:tc>
        <w:tc>
          <w:tcPr>
            <w:tcW w:w="783" w:type="pct"/>
            <w:tcBorders>
              <w:top w:val="nil"/>
              <w:left w:val="nil"/>
              <w:bottom w:val="nil"/>
              <w:right w:val="nil"/>
            </w:tcBorders>
            <w:hideMark/>
          </w:tcPr>
          <w:p w14:paraId="1DB651E2"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-1.117</w:t>
            </w:r>
          </w:p>
        </w:tc>
        <w:tc>
          <w:tcPr>
            <w:tcW w:w="585" w:type="pct"/>
            <w:tcBorders>
              <w:top w:val="nil"/>
              <w:left w:val="nil"/>
              <w:bottom w:val="nil"/>
              <w:right w:val="nil"/>
            </w:tcBorders>
            <w:hideMark/>
          </w:tcPr>
          <w:p w14:paraId="767010B5"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-0.613***</w:t>
            </w:r>
          </w:p>
        </w:tc>
      </w:tr>
      <w:tr w:rsidR="009D3026" w:rsidRPr="00CD4846" w14:paraId="5E8BFA93" w14:textId="77777777" w:rsidTr="003959BE">
        <w:tc>
          <w:tcPr>
            <w:tcW w:w="1209" w:type="pct"/>
            <w:tcBorders>
              <w:top w:val="nil"/>
              <w:left w:val="nil"/>
              <w:bottom w:val="nil"/>
              <w:right w:val="nil"/>
            </w:tcBorders>
          </w:tcPr>
          <w:p w14:paraId="15B2CC9F"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p>
        </w:tc>
        <w:tc>
          <w:tcPr>
            <w:tcW w:w="516" w:type="pct"/>
            <w:tcBorders>
              <w:top w:val="nil"/>
              <w:left w:val="nil"/>
              <w:bottom w:val="nil"/>
              <w:right w:val="nil"/>
            </w:tcBorders>
            <w:hideMark/>
          </w:tcPr>
          <w:p w14:paraId="0760A590"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(0.240)</w:t>
            </w:r>
          </w:p>
        </w:tc>
        <w:tc>
          <w:tcPr>
            <w:tcW w:w="1190" w:type="pct"/>
            <w:tcBorders>
              <w:top w:val="nil"/>
              <w:left w:val="nil"/>
              <w:bottom w:val="nil"/>
              <w:right w:val="nil"/>
            </w:tcBorders>
            <w:hideMark/>
          </w:tcPr>
          <w:p w14:paraId="21BC48D3"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(0.218)</w:t>
            </w:r>
          </w:p>
        </w:tc>
        <w:tc>
          <w:tcPr>
            <w:tcW w:w="717" w:type="pct"/>
            <w:tcBorders>
              <w:top w:val="nil"/>
              <w:left w:val="nil"/>
              <w:bottom w:val="nil"/>
              <w:right w:val="nil"/>
            </w:tcBorders>
            <w:hideMark/>
          </w:tcPr>
          <w:p w14:paraId="4F429361"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(0.258)</w:t>
            </w:r>
          </w:p>
        </w:tc>
        <w:tc>
          <w:tcPr>
            <w:tcW w:w="783" w:type="pct"/>
            <w:tcBorders>
              <w:top w:val="nil"/>
              <w:left w:val="nil"/>
              <w:bottom w:val="nil"/>
              <w:right w:val="nil"/>
            </w:tcBorders>
            <w:hideMark/>
          </w:tcPr>
          <w:p w14:paraId="481CCA14"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(0.708)</w:t>
            </w:r>
          </w:p>
        </w:tc>
        <w:tc>
          <w:tcPr>
            <w:tcW w:w="585" w:type="pct"/>
            <w:tcBorders>
              <w:top w:val="nil"/>
              <w:left w:val="nil"/>
              <w:bottom w:val="nil"/>
              <w:right w:val="nil"/>
            </w:tcBorders>
            <w:hideMark/>
          </w:tcPr>
          <w:p w14:paraId="138132F1"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(0.236)</w:t>
            </w:r>
          </w:p>
        </w:tc>
      </w:tr>
      <w:tr w:rsidR="009D3026" w:rsidRPr="00CD4846" w14:paraId="2E04E071" w14:textId="77777777" w:rsidTr="003959BE">
        <w:tc>
          <w:tcPr>
            <w:tcW w:w="1209" w:type="pct"/>
            <w:tcBorders>
              <w:top w:val="nil"/>
              <w:left w:val="nil"/>
              <w:bottom w:val="nil"/>
              <w:right w:val="nil"/>
            </w:tcBorders>
            <w:hideMark/>
          </w:tcPr>
          <w:p w14:paraId="3B18CDFE"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Unemployment rate (100s)</w:t>
            </w:r>
          </w:p>
        </w:tc>
        <w:tc>
          <w:tcPr>
            <w:tcW w:w="516" w:type="pct"/>
            <w:tcBorders>
              <w:top w:val="nil"/>
              <w:left w:val="nil"/>
              <w:bottom w:val="nil"/>
              <w:right w:val="nil"/>
            </w:tcBorders>
            <w:hideMark/>
          </w:tcPr>
          <w:p w14:paraId="41A35507"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4.252***</w:t>
            </w:r>
          </w:p>
        </w:tc>
        <w:tc>
          <w:tcPr>
            <w:tcW w:w="1190" w:type="pct"/>
            <w:tcBorders>
              <w:top w:val="nil"/>
              <w:left w:val="nil"/>
              <w:bottom w:val="nil"/>
              <w:right w:val="nil"/>
            </w:tcBorders>
            <w:hideMark/>
          </w:tcPr>
          <w:p w14:paraId="3201B985"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0.938</w:t>
            </w:r>
          </w:p>
        </w:tc>
        <w:tc>
          <w:tcPr>
            <w:tcW w:w="717" w:type="pct"/>
            <w:tcBorders>
              <w:top w:val="nil"/>
              <w:left w:val="nil"/>
              <w:bottom w:val="nil"/>
              <w:right w:val="nil"/>
            </w:tcBorders>
            <w:hideMark/>
          </w:tcPr>
          <w:p w14:paraId="07370434"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1.243</w:t>
            </w:r>
          </w:p>
        </w:tc>
        <w:tc>
          <w:tcPr>
            <w:tcW w:w="783" w:type="pct"/>
            <w:tcBorders>
              <w:top w:val="nil"/>
              <w:left w:val="nil"/>
              <w:bottom w:val="nil"/>
              <w:right w:val="nil"/>
            </w:tcBorders>
            <w:hideMark/>
          </w:tcPr>
          <w:p w14:paraId="64A8ED0B"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-18.372***</w:t>
            </w:r>
          </w:p>
        </w:tc>
        <w:tc>
          <w:tcPr>
            <w:tcW w:w="585" w:type="pct"/>
            <w:tcBorders>
              <w:top w:val="nil"/>
              <w:left w:val="nil"/>
              <w:bottom w:val="nil"/>
              <w:right w:val="nil"/>
            </w:tcBorders>
            <w:hideMark/>
          </w:tcPr>
          <w:p w14:paraId="3F9ABB01"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4.216***</w:t>
            </w:r>
          </w:p>
        </w:tc>
      </w:tr>
      <w:tr w:rsidR="009D3026" w:rsidRPr="00CD4846" w14:paraId="511BA6B1" w14:textId="77777777" w:rsidTr="003959BE">
        <w:tc>
          <w:tcPr>
            <w:tcW w:w="1209" w:type="pct"/>
            <w:tcBorders>
              <w:top w:val="nil"/>
              <w:left w:val="nil"/>
              <w:bottom w:val="nil"/>
              <w:right w:val="nil"/>
            </w:tcBorders>
          </w:tcPr>
          <w:p w14:paraId="0C23290B"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p>
        </w:tc>
        <w:tc>
          <w:tcPr>
            <w:tcW w:w="516" w:type="pct"/>
            <w:tcBorders>
              <w:top w:val="nil"/>
              <w:left w:val="nil"/>
              <w:bottom w:val="nil"/>
              <w:right w:val="nil"/>
            </w:tcBorders>
            <w:hideMark/>
          </w:tcPr>
          <w:p w14:paraId="3BEA443E"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(0.602)</w:t>
            </w:r>
          </w:p>
        </w:tc>
        <w:tc>
          <w:tcPr>
            <w:tcW w:w="1190" w:type="pct"/>
            <w:tcBorders>
              <w:top w:val="nil"/>
              <w:left w:val="nil"/>
              <w:bottom w:val="nil"/>
              <w:right w:val="nil"/>
            </w:tcBorders>
            <w:hideMark/>
          </w:tcPr>
          <w:p w14:paraId="2548CFAC"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(1.092)</w:t>
            </w:r>
          </w:p>
        </w:tc>
        <w:tc>
          <w:tcPr>
            <w:tcW w:w="717" w:type="pct"/>
            <w:tcBorders>
              <w:top w:val="nil"/>
              <w:left w:val="nil"/>
              <w:bottom w:val="nil"/>
              <w:right w:val="nil"/>
            </w:tcBorders>
            <w:hideMark/>
          </w:tcPr>
          <w:p w14:paraId="7553C875"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(1.096)</w:t>
            </w:r>
          </w:p>
        </w:tc>
        <w:tc>
          <w:tcPr>
            <w:tcW w:w="783" w:type="pct"/>
            <w:tcBorders>
              <w:top w:val="nil"/>
              <w:left w:val="nil"/>
              <w:bottom w:val="nil"/>
              <w:right w:val="nil"/>
            </w:tcBorders>
            <w:hideMark/>
          </w:tcPr>
          <w:p w14:paraId="2A3E1B94"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(6.912)</w:t>
            </w:r>
          </w:p>
        </w:tc>
        <w:tc>
          <w:tcPr>
            <w:tcW w:w="585" w:type="pct"/>
            <w:tcBorders>
              <w:top w:val="nil"/>
              <w:left w:val="nil"/>
              <w:bottom w:val="nil"/>
              <w:right w:val="nil"/>
            </w:tcBorders>
            <w:hideMark/>
          </w:tcPr>
          <w:p w14:paraId="2BB4C5F9"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(0.593)</w:t>
            </w:r>
          </w:p>
        </w:tc>
      </w:tr>
      <w:tr w:rsidR="009D3026" w:rsidRPr="00CD4846" w14:paraId="402C3CC9" w14:textId="77777777" w:rsidTr="003959BE">
        <w:tc>
          <w:tcPr>
            <w:tcW w:w="1209" w:type="pct"/>
            <w:tcBorders>
              <w:top w:val="nil"/>
              <w:left w:val="nil"/>
              <w:bottom w:val="nil"/>
              <w:right w:val="nil"/>
            </w:tcBorders>
            <w:hideMark/>
          </w:tcPr>
          <w:p w14:paraId="2CD6A7D9"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Sales Volume (t-1)</w:t>
            </w:r>
          </w:p>
        </w:tc>
        <w:tc>
          <w:tcPr>
            <w:tcW w:w="516" w:type="pct"/>
            <w:tcBorders>
              <w:top w:val="nil"/>
              <w:left w:val="nil"/>
              <w:bottom w:val="nil"/>
              <w:right w:val="nil"/>
            </w:tcBorders>
            <w:hideMark/>
          </w:tcPr>
          <w:p w14:paraId="41F1F79D"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3.382***</w:t>
            </w:r>
          </w:p>
        </w:tc>
        <w:tc>
          <w:tcPr>
            <w:tcW w:w="1190" w:type="pct"/>
            <w:tcBorders>
              <w:top w:val="nil"/>
              <w:left w:val="nil"/>
              <w:bottom w:val="nil"/>
              <w:right w:val="nil"/>
            </w:tcBorders>
            <w:hideMark/>
          </w:tcPr>
          <w:p w14:paraId="7AB51C52"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2.090</w:t>
            </w:r>
          </w:p>
        </w:tc>
        <w:tc>
          <w:tcPr>
            <w:tcW w:w="717" w:type="pct"/>
            <w:tcBorders>
              <w:top w:val="nil"/>
              <w:left w:val="nil"/>
              <w:bottom w:val="nil"/>
              <w:right w:val="nil"/>
            </w:tcBorders>
            <w:hideMark/>
          </w:tcPr>
          <w:p w14:paraId="110C7146"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2.720</w:t>
            </w:r>
          </w:p>
        </w:tc>
        <w:tc>
          <w:tcPr>
            <w:tcW w:w="783" w:type="pct"/>
            <w:tcBorders>
              <w:top w:val="nil"/>
              <w:left w:val="nil"/>
              <w:bottom w:val="nil"/>
              <w:right w:val="nil"/>
            </w:tcBorders>
            <w:hideMark/>
          </w:tcPr>
          <w:p w14:paraId="25624B18"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-6.047</w:t>
            </w:r>
          </w:p>
        </w:tc>
        <w:tc>
          <w:tcPr>
            <w:tcW w:w="585" w:type="pct"/>
            <w:tcBorders>
              <w:top w:val="nil"/>
              <w:left w:val="nil"/>
              <w:bottom w:val="nil"/>
              <w:right w:val="nil"/>
            </w:tcBorders>
            <w:hideMark/>
          </w:tcPr>
          <w:p w14:paraId="46E7A831"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3.366***</w:t>
            </w:r>
          </w:p>
        </w:tc>
      </w:tr>
      <w:tr w:rsidR="009D3026" w:rsidRPr="00CD4846" w14:paraId="308DBA00" w14:textId="77777777" w:rsidTr="003959BE">
        <w:tc>
          <w:tcPr>
            <w:tcW w:w="1209" w:type="pct"/>
            <w:tcBorders>
              <w:top w:val="nil"/>
              <w:left w:val="nil"/>
              <w:bottom w:val="nil"/>
              <w:right w:val="nil"/>
            </w:tcBorders>
          </w:tcPr>
          <w:p w14:paraId="7C24D4D1"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p>
        </w:tc>
        <w:tc>
          <w:tcPr>
            <w:tcW w:w="516" w:type="pct"/>
            <w:tcBorders>
              <w:top w:val="nil"/>
              <w:left w:val="nil"/>
              <w:bottom w:val="nil"/>
              <w:right w:val="nil"/>
            </w:tcBorders>
            <w:hideMark/>
          </w:tcPr>
          <w:p w14:paraId="2C05420D"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(1.182)</w:t>
            </w:r>
          </w:p>
        </w:tc>
        <w:tc>
          <w:tcPr>
            <w:tcW w:w="1190" w:type="pct"/>
            <w:tcBorders>
              <w:top w:val="nil"/>
              <w:left w:val="nil"/>
              <w:bottom w:val="nil"/>
              <w:right w:val="nil"/>
            </w:tcBorders>
            <w:hideMark/>
          </w:tcPr>
          <w:p w14:paraId="60C3A465"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(1.926)</w:t>
            </w:r>
          </w:p>
        </w:tc>
        <w:tc>
          <w:tcPr>
            <w:tcW w:w="717" w:type="pct"/>
            <w:tcBorders>
              <w:top w:val="nil"/>
              <w:left w:val="nil"/>
              <w:bottom w:val="nil"/>
              <w:right w:val="nil"/>
            </w:tcBorders>
            <w:hideMark/>
          </w:tcPr>
          <w:p w14:paraId="4C868EF5"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(1.659)</w:t>
            </w:r>
          </w:p>
        </w:tc>
        <w:tc>
          <w:tcPr>
            <w:tcW w:w="783" w:type="pct"/>
            <w:tcBorders>
              <w:top w:val="nil"/>
              <w:left w:val="nil"/>
              <w:bottom w:val="nil"/>
              <w:right w:val="nil"/>
            </w:tcBorders>
            <w:hideMark/>
          </w:tcPr>
          <w:p w14:paraId="612725CB"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(5.416)</w:t>
            </w:r>
          </w:p>
        </w:tc>
        <w:tc>
          <w:tcPr>
            <w:tcW w:w="585" w:type="pct"/>
            <w:tcBorders>
              <w:top w:val="nil"/>
              <w:left w:val="nil"/>
              <w:bottom w:val="nil"/>
              <w:right w:val="nil"/>
            </w:tcBorders>
            <w:hideMark/>
          </w:tcPr>
          <w:p w14:paraId="35E1BFF4"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(1.186)</w:t>
            </w:r>
          </w:p>
        </w:tc>
      </w:tr>
      <w:tr w:rsidR="009D3026" w:rsidRPr="00CD4846" w14:paraId="4C8F5D7D" w14:textId="77777777" w:rsidTr="003959BE">
        <w:tc>
          <w:tcPr>
            <w:tcW w:w="1209" w:type="pct"/>
            <w:tcBorders>
              <w:top w:val="nil"/>
              <w:left w:val="nil"/>
              <w:bottom w:val="nil"/>
              <w:right w:val="nil"/>
            </w:tcBorders>
            <w:hideMark/>
          </w:tcPr>
          <w:p w14:paraId="48255AFB"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Total Entries (t-1) (1ks)</w:t>
            </w:r>
          </w:p>
        </w:tc>
        <w:tc>
          <w:tcPr>
            <w:tcW w:w="516" w:type="pct"/>
            <w:tcBorders>
              <w:top w:val="nil"/>
              <w:left w:val="nil"/>
              <w:bottom w:val="nil"/>
              <w:right w:val="nil"/>
            </w:tcBorders>
            <w:hideMark/>
          </w:tcPr>
          <w:p w14:paraId="5C2025E0"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-0.071***</w:t>
            </w:r>
          </w:p>
        </w:tc>
        <w:tc>
          <w:tcPr>
            <w:tcW w:w="1190" w:type="pct"/>
            <w:tcBorders>
              <w:top w:val="nil"/>
              <w:left w:val="nil"/>
              <w:bottom w:val="nil"/>
              <w:right w:val="nil"/>
            </w:tcBorders>
          </w:tcPr>
          <w:p w14:paraId="5859E248"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p>
        </w:tc>
        <w:tc>
          <w:tcPr>
            <w:tcW w:w="717" w:type="pct"/>
            <w:tcBorders>
              <w:top w:val="nil"/>
              <w:left w:val="nil"/>
              <w:bottom w:val="nil"/>
              <w:right w:val="nil"/>
            </w:tcBorders>
          </w:tcPr>
          <w:p w14:paraId="0B4AD12E"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p>
        </w:tc>
        <w:tc>
          <w:tcPr>
            <w:tcW w:w="783" w:type="pct"/>
            <w:tcBorders>
              <w:top w:val="nil"/>
              <w:left w:val="nil"/>
              <w:bottom w:val="nil"/>
              <w:right w:val="nil"/>
            </w:tcBorders>
          </w:tcPr>
          <w:p w14:paraId="50479033"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p>
        </w:tc>
        <w:tc>
          <w:tcPr>
            <w:tcW w:w="585" w:type="pct"/>
            <w:tcBorders>
              <w:top w:val="nil"/>
              <w:left w:val="nil"/>
              <w:bottom w:val="nil"/>
              <w:right w:val="nil"/>
            </w:tcBorders>
            <w:hideMark/>
          </w:tcPr>
          <w:p w14:paraId="6473E119"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-0.070***</w:t>
            </w:r>
          </w:p>
        </w:tc>
      </w:tr>
      <w:tr w:rsidR="009D3026" w:rsidRPr="00CD4846" w14:paraId="2DF80118" w14:textId="77777777" w:rsidTr="003959BE">
        <w:tc>
          <w:tcPr>
            <w:tcW w:w="1209" w:type="pct"/>
            <w:tcBorders>
              <w:top w:val="nil"/>
              <w:left w:val="nil"/>
              <w:bottom w:val="nil"/>
              <w:right w:val="nil"/>
            </w:tcBorders>
          </w:tcPr>
          <w:p w14:paraId="33026358"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p>
        </w:tc>
        <w:tc>
          <w:tcPr>
            <w:tcW w:w="516" w:type="pct"/>
            <w:tcBorders>
              <w:top w:val="nil"/>
              <w:left w:val="nil"/>
              <w:bottom w:val="nil"/>
              <w:right w:val="nil"/>
            </w:tcBorders>
            <w:hideMark/>
          </w:tcPr>
          <w:p w14:paraId="7DAA0620"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(0.006)</w:t>
            </w:r>
          </w:p>
        </w:tc>
        <w:tc>
          <w:tcPr>
            <w:tcW w:w="1190" w:type="pct"/>
            <w:tcBorders>
              <w:top w:val="nil"/>
              <w:left w:val="nil"/>
              <w:bottom w:val="nil"/>
              <w:right w:val="nil"/>
            </w:tcBorders>
          </w:tcPr>
          <w:p w14:paraId="7EB9EDAF"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p>
        </w:tc>
        <w:tc>
          <w:tcPr>
            <w:tcW w:w="717" w:type="pct"/>
            <w:tcBorders>
              <w:top w:val="nil"/>
              <w:left w:val="nil"/>
              <w:bottom w:val="nil"/>
              <w:right w:val="nil"/>
            </w:tcBorders>
          </w:tcPr>
          <w:p w14:paraId="3DE060B7"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p>
        </w:tc>
        <w:tc>
          <w:tcPr>
            <w:tcW w:w="783" w:type="pct"/>
            <w:tcBorders>
              <w:top w:val="nil"/>
              <w:left w:val="nil"/>
              <w:bottom w:val="nil"/>
              <w:right w:val="nil"/>
            </w:tcBorders>
          </w:tcPr>
          <w:p w14:paraId="63EB15FC"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p>
        </w:tc>
        <w:tc>
          <w:tcPr>
            <w:tcW w:w="585" w:type="pct"/>
            <w:tcBorders>
              <w:top w:val="nil"/>
              <w:left w:val="nil"/>
              <w:bottom w:val="nil"/>
              <w:right w:val="nil"/>
            </w:tcBorders>
            <w:hideMark/>
          </w:tcPr>
          <w:p w14:paraId="4CB745A7"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(0.006)</w:t>
            </w:r>
          </w:p>
        </w:tc>
      </w:tr>
      <w:tr w:rsidR="009D3026" w:rsidRPr="00CD4846" w14:paraId="32905AE5" w14:textId="77777777" w:rsidTr="003959BE">
        <w:tc>
          <w:tcPr>
            <w:tcW w:w="1209" w:type="pct"/>
            <w:tcBorders>
              <w:top w:val="nil"/>
              <w:left w:val="nil"/>
              <w:bottom w:val="nil"/>
              <w:right w:val="nil"/>
            </w:tcBorders>
            <w:hideMark/>
          </w:tcPr>
          <w:p w14:paraId="1E4EBF00"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Births (t-1) (1ks)</w:t>
            </w:r>
          </w:p>
        </w:tc>
        <w:tc>
          <w:tcPr>
            <w:tcW w:w="516" w:type="pct"/>
            <w:tcBorders>
              <w:top w:val="nil"/>
              <w:left w:val="nil"/>
              <w:bottom w:val="nil"/>
              <w:right w:val="nil"/>
            </w:tcBorders>
          </w:tcPr>
          <w:p w14:paraId="4E022F34"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p>
        </w:tc>
        <w:tc>
          <w:tcPr>
            <w:tcW w:w="1190" w:type="pct"/>
            <w:tcBorders>
              <w:top w:val="nil"/>
              <w:left w:val="nil"/>
              <w:bottom w:val="nil"/>
              <w:right w:val="nil"/>
            </w:tcBorders>
            <w:hideMark/>
          </w:tcPr>
          <w:p w14:paraId="44D9AD51"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-0.031*</w:t>
            </w:r>
          </w:p>
        </w:tc>
        <w:tc>
          <w:tcPr>
            <w:tcW w:w="717" w:type="pct"/>
            <w:tcBorders>
              <w:top w:val="nil"/>
              <w:left w:val="nil"/>
              <w:bottom w:val="nil"/>
              <w:right w:val="nil"/>
            </w:tcBorders>
            <w:hideMark/>
          </w:tcPr>
          <w:p w14:paraId="6DDAC494"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-0.037***</w:t>
            </w:r>
          </w:p>
        </w:tc>
        <w:tc>
          <w:tcPr>
            <w:tcW w:w="783" w:type="pct"/>
            <w:tcBorders>
              <w:top w:val="nil"/>
              <w:left w:val="nil"/>
              <w:bottom w:val="nil"/>
              <w:right w:val="nil"/>
            </w:tcBorders>
            <w:hideMark/>
          </w:tcPr>
          <w:p w14:paraId="7CB45EE4"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-0.064</w:t>
            </w:r>
          </w:p>
        </w:tc>
        <w:tc>
          <w:tcPr>
            <w:tcW w:w="585" w:type="pct"/>
            <w:tcBorders>
              <w:top w:val="nil"/>
              <w:left w:val="nil"/>
              <w:bottom w:val="nil"/>
              <w:right w:val="nil"/>
            </w:tcBorders>
          </w:tcPr>
          <w:p w14:paraId="2EA95E38"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p>
        </w:tc>
      </w:tr>
    </w:tbl>
    <w:p w14:paraId="1BF0E17E" w14:textId="77777777" w:rsidR="003959BE" w:rsidRDefault="003959BE" w:rsidP="003959BE">
      <w:pPr>
        <w:spacing w:line="240" w:lineRule="auto"/>
        <w:rPr>
          <w:b/>
        </w:rPr>
      </w:pPr>
    </w:p>
    <w:p w14:paraId="4A94F6CD" w14:textId="77777777" w:rsidR="003959BE" w:rsidRDefault="003959BE" w:rsidP="003959BE">
      <w:pPr>
        <w:spacing w:line="240" w:lineRule="auto"/>
        <w:rPr>
          <w:b/>
        </w:rPr>
      </w:pPr>
    </w:p>
    <w:p w14:paraId="056287C6" w14:textId="77777777" w:rsidR="003959BE" w:rsidRDefault="003959BE" w:rsidP="003959BE">
      <w:pPr>
        <w:spacing w:line="240" w:lineRule="auto"/>
        <w:rPr>
          <w:b/>
        </w:rPr>
      </w:pPr>
    </w:p>
    <w:p w14:paraId="757F3F7E" w14:textId="77777777" w:rsidR="003959BE" w:rsidRDefault="003959BE" w:rsidP="003959BE">
      <w:pPr>
        <w:spacing w:line="240" w:lineRule="auto"/>
        <w:rPr>
          <w:b/>
        </w:rPr>
      </w:pPr>
    </w:p>
    <w:p w14:paraId="13264F35" w14:textId="2FFF702D" w:rsidR="003959BE" w:rsidRDefault="003959BE" w:rsidP="003959BE">
      <w:pPr>
        <w:spacing w:line="240" w:lineRule="auto"/>
      </w:pPr>
      <w:r w:rsidRPr="005B48E8">
        <w:rPr>
          <w:b/>
        </w:rPr>
        <w:lastRenderedPageBreak/>
        <w:t>Table A7 Continued</w:t>
      </w:r>
    </w:p>
    <w:tbl>
      <w:tblPr>
        <w:tblW w:w="5058" w:type="pct"/>
        <w:tblInd w:w="-108" w:type="dxa"/>
        <w:tblLook w:val="04A0" w:firstRow="1" w:lastRow="0" w:firstColumn="1" w:lastColumn="0" w:noHBand="0" w:noVBand="1"/>
      </w:tblPr>
      <w:tblGrid>
        <w:gridCol w:w="107"/>
        <w:gridCol w:w="2263"/>
        <w:gridCol w:w="16"/>
        <w:gridCol w:w="901"/>
        <w:gridCol w:w="49"/>
        <w:gridCol w:w="2191"/>
        <w:gridCol w:w="38"/>
        <w:gridCol w:w="1318"/>
        <w:gridCol w:w="25"/>
        <w:gridCol w:w="1453"/>
        <w:gridCol w:w="13"/>
        <w:gridCol w:w="1095"/>
      </w:tblGrid>
      <w:tr w:rsidR="003959BE" w:rsidRPr="00EE502F" w14:paraId="5DB9500B" w14:textId="77777777" w:rsidTr="003959BE">
        <w:tc>
          <w:tcPr>
            <w:tcW w:w="1260" w:type="pct"/>
            <w:gridSpan w:val="3"/>
            <w:tcBorders>
              <w:top w:val="single" w:sz="4" w:space="0" w:color="auto"/>
              <w:left w:val="nil"/>
              <w:bottom w:val="single" w:sz="4" w:space="0" w:color="auto"/>
              <w:right w:val="nil"/>
            </w:tcBorders>
          </w:tcPr>
          <w:p w14:paraId="7BA6068C" w14:textId="77777777" w:rsidR="003959BE" w:rsidRPr="00EE502F" w:rsidRDefault="003959BE" w:rsidP="00AD6FDC">
            <w:pPr>
              <w:widowControl w:val="0"/>
              <w:autoSpaceDE w:val="0"/>
              <w:autoSpaceDN w:val="0"/>
              <w:adjustRightInd w:val="0"/>
              <w:spacing w:line="240" w:lineRule="auto"/>
              <w:rPr>
                <w:rFonts w:eastAsia="Calibri" w:cs="Times New Roman"/>
                <w:kern w:val="2"/>
                <w:sz w:val="20"/>
                <w:szCs w:val="20"/>
                <w:lang/>
              </w:rPr>
            </w:pPr>
            <w:r w:rsidRPr="00CD4846">
              <w:rPr>
                <w:rFonts w:cs="Times New Roman"/>
                <w:b/>
                <w:bCs/>
                <w:kern w:val="2"/>
                <w:sz w:val="20"/>
                <w:szCs w:val="20"/>
                <w:lang/>
              </w:rPr>
              <w:t>Variable</w:t>
            </w:r>
            <w:r w:rsidRPr="00CD4846">
              <w:rPr>
                <w:rFonts w:eastAsia="Calibri" w:cs="Times New Roman"/>
                <w:kern w:val="2"/>
                <w:sz w:val="20"/>
                <w:szCs w:val="20"/>
                <w:lang/>
              </w:rPr>
              <w:t xml:space="preserve">   </w:t>
            </w:r>
          </w:p>
        </w:tc>
        <w:tc>
          <w:tcPr>
            <w:tcW w:w="476" w:type="pct"/>
            <w:tcBorders>
              <w:top w:val="single" w:sz="4" w:space="0" w:color="auto"/>
              <w:left w:val="nil"/>
              <w:bottom w:val="single" w:sz="4" w:space="0" w:color="auto"/>
              <w:right w:val="nil"/>
            </w:tcBorders>
          </w:tcPr>
          <w:p w14:paraId="2B56314E" w14:textId="77777777" w:rsidR="003959BE" w:rsidRPr="00EE502F" w:rsidRDefault="003959BE" w:rsidP="00AD6FDC">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b/>
                <w:kern w:val="2"/>
                <w:sz w:val="20"/>
                <w:szCs w:val="20"/>
                <w:lang/>
              </w:rPr>
              <w:t>Deaths</w:t>
            </w:r>
          </w:p>
        </w:tc>
        <w:tc>
          <w:tcPr>
            <w:tcW w:w="1183" w:type="pct"/>
            <w:gridSpan w:val="2"/>
            <w:tcBorders>
              <w:top w:val="single" w:sz="4" w:space="0" w:color="auto"/>
              <w:left w:val="nil"/>
              <w:bottom w:val="single" w:sz="4" w:space="0" w:color="auto"/>
              <w:right w:val="nil"/>
            </w:tcBorders>
          </w:tcPr>
          <w:p w14:paraId="24AE4E56" w14:textId="77777777" w:rsidR="003959BE" w:rsidRPr="00EE502F" w:rsidRDefault="003959BE" w:rsidP="00AD6FDC">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b/>
                <w:kern w:val="2"/>
                <w:sz w:val="20"/>
                <w:szCs w:val="20"/>
                <w:lang/>
              </w:rPr>
              <w:t>Outward Relocations</w:t>
            </w:r>
            <w:r w:rsidRPr="00CD4846">
              <w:rPr>
                <w:rFonts w:eastAsia="Calibri" w:cs="Times New Roman"/>
                <w:b/>
                <w:kern w:val="2"/>
                <w:sz w:val="20"/>
                <w:szCs w:val="20"/>
                <w:lang/>
              </w:rPr>
              <w:t xml:space="preserve"> (OR)</w:t>
            </w:r>
          </w:p>
        </w:tc>
        <w:tc>
          <w:tcPr>
            <w:tcW w:w="716" w:type="pct"/>
            <w:gridSpan w:val="2"/>
            <w:tcBorders>
              <w:top w:val="single" w:sz="4" w:space="0" w:color="auto"/>
              <w:left w:val="nil"/>
              <w:bottom w:val="single" w:sz="4" w:space="0" w:color="auto"/>
              <w:right w:val="nil"/>
            </w:tcBorders>
          </w:tcPr>
          <w:p w14:paraId="4DFFFA48" w14:textId="77777777" w:rsidR="003959BE" w:rsidRPr="00EE502F" w:rsidRDefault="003959BE" w:rsidP="00AD6FDC">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b/>
                <w:kern w:val="2"/>
                <w:sz w:val="20"/>
                <w:szCs w:val="20"/>
                <w:lang/>
              </w:rPr>
              <w:t>Intra-State OR</w:t>
            </w:r>
          </w:p>
        </w:tc>
        <w:tc>
          <w:tcPr>
            <w:tcW w:w="780" w:type="pct"/>
            <w:gridSpan w:val="2"/>
            <w:tcBorders>
              <w:top w:val="single" w:sz="4" w:space="0" w:color="auto"/>
              <w:left w:val="nil"/>
              <w:bottom w:val="single" w:sz="4" w:space="0" w:color="auto"/>
              <w:right w:val="nil"/>
            </w:tcBorders>
          </w:tcPr>
          <w:p w14:paraId="7031691B" w14:textId="77777777" w:rsidR="003959BE" w:rsidRPr="00EE502F" w:rsidRDefault="003959BE" w:rsidP="00AD6FDC">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b/>
                <w:kern w:val="2"/>
                <w:sz w:val="20"/>
                <w:szCs w:val="20"/>
                <w:lang/>
              </w:rPr>
              <w:t xml:space="preserve">Inter-State </w:t>
            </w:r>
            <w:r w:rsidRPr="00CD4846">
              <w:rPr>
                <w:rFonts w:eastAsia="Calibri" w:cs="Times New Roman"/>
                <w:b/>
                <w:kern w:val="2"/>
                <w:sz w:val="20"/>
                <w:szCs w:val="20"/>
                <w:lang/>
              </w:rPr>
              <w:t>O</w:t>
            </w:r>
            <w:r w:rsidRPr="00CD4846">
              <w:rPr>
                <w:rFonts w:eastAsia="Calibri" w:cs="Times New Roman"/>
                <w:b/>
                <w:kern w:val="2"/>
                <w:sz w:val="20"/>
                <w:szCs w:val="20"/>
                <w:lang/>
              </w:rPr>
              <w:t>R</w:t>
            </w:r>
          </w:p>
        </w:tc>
        <w:tc>
          <w:tcPr>
            <w:tcW w:w="585" w:type="pct"/>
            <w:gridSpan w:val="2"/>
            <w:tcBorders>
              <w:top w:val="single" w:sz="4" w:space="0" w:color="auto"/>
              <w:left w:val="nil"/>
              <w:bottom w:val="single" w:sz="4" w:space="0" w:color="auto"/>
              <w:right w:val="nil"/>
            </w:tcBorders>
          </w:tcPr>
          <w:p w14:paraId="329A1F8E" w14:textId="77777777" w:rsidR="003959BE" w:rsidRPr="00EE502F" w:rsidRDefault="003959BE" w:rsidP="00AD6FDC">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b/>
                <w:kern w:val="2"/>
                <w:sz w:val="20"/>
                <w:szCs w:val="20"/>
                <w:lang/>
              </w:rPr>
              <w:t>Total Exits</w:t>
            </w:r>
          </w:p>
        </w:tc>
      </w:tr>
      <w:tr w:rsidR="009D3026" w:rsidRPr="00CD4846" w14:paraId="519B23CC" w14:textId="77777777" w:rsidTr="003959BE">
        <w:trPr>
          <w:gridBefore w:val="1"/>
          <w:wBefore w:w="57" w:type="pct"/>
        </w:trPr>
        <w:tc>
          <w:tcPr>
            <w:tcW w:w="1195" w:type="pct"/>
            <w:tcBorders>
              <w:top w:val="nil"/>
              <w:left w:val="nil"/>
              <w:bottom w:val="nil"/>
              <w:right w:val="nil"/>
            </w:tcBorders>
          </w:tcPr>
          <w:p w14:paraId="66FBC0C8"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p>
        </w:tc>
        <w:tc>
          <w:tcPr>
            <w:tcW w:w="510" w:type="pct"/>
            <w:gridSpan w:val="3"/>
            <w:tcBorders>
              <w:top w:val="nil"/>
              <w:left w:val="nil"/>
              <w:bottom w:val="nil"/>
              <w:right w:val="nil"/>
            </w:tcBorders>
          </w:tcPr>
          <w:p w14:paraId="631F9E55"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p>
        </w:tc>
        <w:tc>
          <w:tcPr>
            <w:tcW w:w="1177" w:type="pct"/>
            <w:gridSpan w:val="2"/>
            <w:tcBorders>
              <w:top w:val="nil"/>
              <w:left w:val="nil"/>
              <w:bottom w:val="nil"/>
              <w:right w:val="nil"/>
            </w:tcBorders>
            <w:hideMark/>
          </w:tcPr>
          <w:p w14:paraId="4F0A0F60"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(0.016)</w:t>
            </w:r>
          </w:p>
        </w:tc>
        <w:tc>
          <w:tcPr>
            <w:tcW w:w="709" w:type="pct"/>
            <w:gridSpan w:val="2"/>
            <w:tcBorders>
              <w:top w:val="nil"/>
              <w:left w:val="nil"/>
              <w:bottom w:val="nil"/>
              <w:right w:val="nil"/>
            </w:tcBorders>
            <w:hideMark/>
          </w:tcPr>
          <w:p w14:paraId="4FFCB050"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(0.014)</w:t>
            </w:r>
          </w:p>
        </w:tc>
        <w:tc>
          <w:tcPr>
            <w:tcW w:w="774" w:type="pct"/>
            <w:gridSpan w:val="2"/>
            <w:tcBorders>
              <w:top w:val="nil"/>
              <w:left w:val="nil"/>
              <w:bottom w:val="nil"/>
              <w:right w:val="nil"/>
            </w:tcBorders>
            <w:hideMark/>
          </w:tcPr>
          <w:p w14:paraId="2C04D01F"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(0.081)</w:t>
            </w:r>
          </w:p>
        </w:tc>
        <w:tc>
          <w:tcPr>
            <w:tcW w:w="578" w:type="pct"/>
            <w:tcBorders>
              <w:top w:val="nil"/>
              <w:left w:val="nil"/>
              <w:bottom w:val="nil"/>
              <w:right w:val="nil"/>
            </w:tcBorders>
          </w:tcPr>
          <w:p w14:paraId="4FB0EDAF"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p>
        </w:tc>
      </w:tr>
      <w:tr w:rsidR="009D3026" w:rsidRPr="00CD4846" w14:paraId="6554DA18" w14:textId="77777777" w:rsidTr="003959BE">
        <w:trPr>
          <w:gridBefore w:val="1"/>
          <w:wBefore w:w="57" w:type="pct"/>
        </w:trPr>
        <w:tc>
          <w:tcPr>
            <w:tcW w:w="1195" w:type="pct"/>
            <w:tcBorders>
              <w:top w:val="nil"/>
              <w:left w:val="nil"/>
              <w:bottom w:val="nil"/>
              <w:right w:val="nil"/>
            </w:tcBorders>
            <w:hideMark/>
          </w:tcPr>
          <w:p w14:paraId="47B91F0D"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Deaths (t-1) (1ks)</w:t>
            </w:r>
          </w:p>
        </w:tc>
        <w:tc>
          <w:tcPr>
            <w:tcW w:w="510" w:type="pct"/>
            <w:gridSpan w:val="3"/>
            <w:tcBorders>
              <w:top w:val="nil"/>
              <w:left w:val="nil"/>
              <w:bottom w:val="nil"/>
              <w:right w:val="nil"/>
            </w:tcBorders>
          </w:tcPr>
          <w:p w14:paraId="23E91CAD"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p>
        </w:tc>
        <w:tc>
          <w:tcPr>
            <w:tcW w:w="1177" w:type="pct"/>
            <w:gridSpan w:val="2"/>
            <w:tcBorders>
              <w:top w:val="nil"/>
              <w:left w:val="nil"/>
              <w:bottom w:val="nil"/>
              <w:right w:val="nil"/>
            </w:tcBorders>
            <w:hideMark/>
          </w:tcPr>
          <w:p w14:paraId="40FDE25A"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-0.136*</w:t>
            </w:r>
          </w:p>
        </w:tc>
        <w:tc>
          <w:tcPr>
            <w:tcW w:w="709" w:type="pct"/>
            <w:gridSpan w:val="2"/>
            <w:tcBorders>
              <w:top w:val="nil"/>
              <w:left w:val="nil"/>
              <w:bottom w:val="nil"/>
              <w:right w:val="nil"/>
            </w:tcBorders>
            <w:hideMark/>
          </w:tcPr>
          <w:p w14:paraId="66E177CD"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-0.175***</w:t>
            </w:r>
          </w:p>
        </w:tc>
        <w:tc>
          <w:tcPr>
            <w:tcW w:w="774" w:type="pct"/>
            <w:gridSpan w:val="2"/>
            <w:tcBorders>
              <w:top w:val="nil"/>
              <w:left w:val="nil"/>
              <w:bottom w:val="nil"/>
              <w:right w:val="nil"/>
            </w:tcBorders>
            <w:hideMark/>
          </w:tcPr>
          <w:p w14:paraId="72BDDCE5"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0.109</w:t>
            </w:r>
          </w:p>
        </w:tc>
        <w:tc>
          <w:tcPr>
            <w:tcW w:w="578" w:type="pct"/>
            <w:tcBorders>
              <w:top w:val="nil"/>
              <w:left w:val="nil"/>
              <w:bottom w:val="nil"/>
              <w:right w:val="nil"/>
            </w:tcBorders>
          </w:tcPr>
          <w:p w14:paraId="78D02CD5"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p>
        </w:tc>
      </w:tr>
      <w:tr w:rsidR="009D3026" w:rsidRPr="00CD4846" w14:paraId="2D717FE0" w14:textId="77777777" w:rsidTr="003959BE">
        <w:trPr>
          <w:gridBefore w:val="1"/>
          <w:wBefore w:w="57" w:type="pct"/>
        </w:trPr>
        <w:tc>
          <w:tcPr>
            <w:tcW w:w="1195" w:type="pct"/>
            <w:tcBorders>
              <w:top w:val="nil"/>
              <w:left w:val="nil"/>
              <w:bottom w:val="nil"/>
              <w:right w:val="nil"/>
            </w:tcBorders>
          </w:tcPr>
          <w:p w14:paraId="033FA829"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p>
        </w:tc>
        <w:tc>
          <w:tcPr>
            <w:tcW w:w="510" w:type="pct"/>
            <w:gridSpan w:val="3"/>
            <w:tcBorders>
              <w:top w:val="nil"/>
              <w:left w:val="nil"/>
              <w:bottom w:val="nil"/>
              <w:right w:val="nil"/>
            </w:tcBorders>
          </w:tcPr>
          <w:p w14:paraId="3C22CD6A"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p>
        </w:tc>
        <w:tc>
          <w:tcPr>
            <w:tcW w:w="1177" w:type="pct"/>
            <w:gridSpan w:val="2"/>
            <w:tcBorders>
              <w:top w:val="nil"/>
              <w:left w:val="nil"/>
              <w:bottom w:val="nil"/>
              <w:right w:val="nil"/>
            </w:tcBorders>
            <w:hideMark/>
          </w:tcPr>
          <w:p w14:paraId="1E2F2EE8"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(0.074)</w:t>
            </w:r>
          </w:p>
        </w:tc>
        <w:tc>
          <w:tcPr>
            <w:tcW w:w="709" w:type="pct"/>
            <w:gridSpan w:val="2"/>
            <w:tcBorders>
              <w:top w:val="nil"/>
              <w:left w:val="nil"/>
              <w:bottom w:val="nil"/>
              <w:right w:val="nil"/>
            </w:tcBorders>
            <w:hideMark/>
          </w:tcPr>
          <w:p w14:paraId="13274B22"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(0.045)</w:t>
            </w:r>
          </w:p>
        </w:tc>
        <w:tc>
          <w:tcPr>
            <w:tcW w:w="774" w:type="pct"/>
            <w:gridSpan w:val="2"/>
            <w:tcBorders>
              <w:top w:val="nil"/>
              <w:left w:val="nil"/>
              <w:bottom w:val="nil"/>
              <w:right w:val="nil"/>
            </w:tcBorders>
            <w:hideMark/>
          </w:tcPr>
          <w:p w14:paraId="657A0A73"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(0.083)</w:t>
            </w:r>
          </w:p>
        </w:tc>
        <w:tc>
          <w:tcPr>
            <w:tcW w:w="578" w:type="pct"/>
            <w:tcBorders>
              <w:top w:val="nil"/>
              <w:left w:val="nil"/>
              <w:bottom w:val="nil"/>
              <w:right w:val="nil"/>
            </w:tcBorders>
          </w:tcPr>
          <w:p w14:paraId="15EFD956"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p>
        </w:tc>
      </w:tr>
      <w:tr w:rsidR="009D3026" w:rsidRPr="00CD4846" w14:paraId="55362E8D" w14:textId="77777777" w:rsidTr="003959BE">
        <w:trPr>
          <w:gridBefore w:val="1"/>
          <w:wBefore w:w="57" w:type="pct"/>
        </w:trPr>
        <w:tc>
          <w:tcPr>
            <w:tcW w:w="1195" w:type="pct"/>
            <w:tcBorders>
              <w:top w:val="nil"/>
              <w:left w:val="nil"/>
              <w:bottom w:val="nil"/>
              <w:right w:val="nil"/>
            </w:tcBorders>
            <w:hideMark/>
          </w:tcPr>
          <w:p w14:paraId="764380B9"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Inward relocations (t-1) (1ks)</w:t>
            </w:r>
          </w:p>
        </w:tc>
        <w:tc>
          <w:tcPr>
            <w:tcW w:w="510" w:type="pct"/>
            <w:gridSpan w:val="3"/>
            <w:tcBorders>
              <w:top w:val="nil"/>
              <w:left w:val="nil"/>
              <w:bottom w:val="nil"/>
              <w:right w:val="nil"/>
            </w:tcBorders>
          </w:tcPr>
          <w:p w14:paraId="16AE3CEF"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p>
        </w:tc>
        <w:tc>
          <w:tcPr>
            <w:tcW w:w="1177" w:type="pct"/>
            <w:gridSpan w:val="2"/>
            <w:tcBorders>
              <w:top w:val="nil"/>
              <w:left w:val="nil"/>
              <w:bottom w:val="nil"/>
              <w:right w:val="nil"/>
            </w:tcBorders>
            <w:hideMark/>
          </w:tcPr>
          <w:p w14:paraId="35645CE4"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10.457***</w:t>
            </w:r>
          </w:p>
        </w:tc>
        <w:tc>
          <w:tcPr>
            <w:tcW w:w="709" w:type="pct"/>
            <w:gridSpan w:val="2"/>
            <w:tcBorders>
              <w:top w:val="nil"/>
              <w:left w:val="nil"/>
              <w:bottom w:val="nil"/>
              <w:right w:val="nil"/>
            </w:tcBorders>
            <w:hideMark/>
          </w:tcPr>
          <w:p w14:paraId="664C55EA"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9.484***</w:t>
            </w:r>
          </w:p>
        </w:tc>
        <w:tc>
          <w:tcPr>
            <w:tcW w:w="774" w:type="pct"/>
            <w:gridSpan w:val="2"/>
            <w:tcBorders>
              <w:top w:val="nil"/>
              <w:left w:val="nil"/>
              <w:bottom w:val="nil"/>
              <w:right w:val="nil"/>
            </w:tcBorders>
            <w:hideMark/>
          </w:tcPr>
          <w:p w14:paraId="1988EFF7"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5.018</w:t>
            </w:r>
          </w:p>
        </w:tc>
        <w:tc>
          <w:tcPr>
            <w:tcW w:w="578" w:type="pct"/>
            <w:tcBorders>
              <w:top w:val="nil"/>
              <w:left w:val="nil"/>
              <w:bottom w:val="nil"/>
              <w:right w:val="nil"/>
            </w:tcBorders>
          </w:tcPr>
          <w:p w14:paraId="356A972B"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p>
        </w:tc>
      </w:tr>
      <w:tr w:rsidR="009D3026" w:rsidRPr="00CD4846" w14:paraId="47231CAC" w14:textId="77777777" w:rsidTr="003959BE">
        <w:trPr>
          <w:gridBefore w:val="1"/>
          <w:wBefore w:w="57" w:type="pct"/>
        </w:trPr>
        <w:tc>
          <w:tcPr>
            <w:tcW w:w="1195" w:type="pct"/>
            <w:tcBorders>
              <w:top w:val="nil"/>
              <w:left w:val="nil"/>
              <w:bottom w:val="nil"/>
              <w:right w:val="nil"/>
            </w:tcBorders>
          </w:tcPr>
          <w:p w14:paraId="1AA4C093"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p>
        </w:tc>
        <w:tc>
          <w:tcPr>
            <w:tcW w:w="510" w:type="pct"/>
            <w:gridSpan w:val="3"/>
            <w:tcBorders>
              <w:top w:val="nil"/>
              <w:left w:val="nil"/>
              <w:bottom w:val="nil"/>
              <w:right w:val="nil"/>
            </w:tcBorders>
          </w:tcPr>
          <w:p w14:paraId="3D7C89B7"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p>
        </w:tc>
        <w:tc>
          <w:tcPr>
            <w:tcW w:w="1177" w:type="pct"/>
            <w:gridSpan w:val="2"/>
            <w:tcBorders>
              <w:top w:val="nil"/>
              <w:left w:val="nil"/>
              <w:bottom w:val="nil"/>
              <w:right w:val="nil"/>
            </w:tcBorders>
            <w:hideMark/>
          </w:tcPr>
          <w:p w14:paraId="6DBC01CD"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(1.950)</w:t>
            </w:r>
          </w:p>
        </w:tc>
        <w:tc>
          <w:tcPr>
            <w:tcW w:w="709" w:type="pct"/>
            <w:gridSpan w:val="2"/>
            <w:tcBorders>
              <w:top w:val="nil"/>
              <w:left w:val="nil"/>
              <w:bottom w:val="nil"/>
              <w:right w:val="nil"/>
            </w:tcBorders>
            <w:hideMark/>
          </w:tcPr>
          <w:p w14:paraId="609E0AE2"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(1.970)</w:t>
            </w:r>
          </w:p>
        </w:tc>
        <w:tc>
          <w:tcPr>
            <w:tcW w:w="774" w:type="pct"/>
            <w:gridSpan w:val="2"/>
            <w:tcBorders>
              <w:top w:val="nil"/>
              <w:left w:val="nil"/>
              <w:bottom w:val="nil"/>
              <w:right w:val="nil"/>
            </w:tcBorders>
            <w:hideMark/>
          </w:tcPr>
          <w:p w14:paraId="2A147238"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(11.191)</w:t>
            </w:r>
          </w:p>
        </w:tc>
        <w:tc>
          <w:tcPr>
            <w:tcW w:w="578" w:type="pct"/>
            <w:tcBorders>
              <w:top w:val="nil"/>
              <w:left w:val="nil"/>
              <w:bottom w:val="nil"/>
              <w:right w:val="nil"/>
            </w:tcBorders>
          </w:tcPr>
          <w:p w14:paraId="6D6E9A52"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p>
        </w:tc>
      </w:tr>
      <w:tr w:rsidR="009D3026" w:rsidRPr="00CD4846" w14:paraId="27D3E18A" w14:textId="77777777" w:rsidTr="003959BE">
        <w:trPr>
          <w:gridBefore w:val="1"/>
          <w:wBefore w:w="57" w:type="pct"/>
        </w:trPr>
        <w:tc>
          <w:tcPr>
            <w:tcW w:w="1195" w:type="pct"/>
            <w:tcBorders>
              <w:top w:val="nil"/>
              <w:left w:val="nil"/>
              <w:bottom w:val="nil"/>
              <w:right w:val="nil"/>
            </w:tcBorders>
            <w:hideMark/>
          </w:tcPr>
          <w:p w14:paraId="290FC715"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Constant</w:t>
            </w:r>
          </w:p>
        </w:tc>
        <w:tc>
          <w:tcPr>
            <w:tcW w:w="510" w:type="pct"/>
            <w:gridSpan w:val="3"/>
            <w:tcBorders>
              <w:top w:val="nil"/>
              <w:left w:val="nil"/>
              <w:bottom w:val="nil"/>
              <w:right w:val="nil"/>
            </w:tcBorders>
            <w:hideMark/>
          </w:tcPr>
          <w:p w14:paraId="5D5526E0"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4.960***</w:t>
            </w:r>
          </w:p>
        </w:tc>
        <w:tc>
          <w:tcPr>
            <w:tcW w:w="1177" w:type="pct"/>
            <w:gridSpan w:val="2"/>
            <w:tcBorders>
              <w:top w:val="nil"/>
              <w:left w:val="nil"/>
              <w:bottom w:val="nil"/>
              <w:right w:val="nil"/>
            </w:tcBorders>
            <w:hideMark/>
          </w:tcPr>
          <w:p w14:paraId="26C14CB2"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0.743**</w:t>
            </w:r>
          </w:p>
        </w:tc>
        <w:tc>
          <w:tcPr>
            <w:tcW w:w="709" w:type="pct"/>
            <w:gridSpan w:val="2"/>
            <w:tcBorders>
              <w:top w:val="nil"/>
              <w:left w:val="nil"/>
              <w:bottom w:val="nil"/>
              <w:right w:val="nil"/>
            </w:tcBorders>
            <w:hideMark/>
          </w:tcPr>
          <w:p w14:paraId="60A82307"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0.751**</w:t>
            </w:r>
          </w:p>
        </w:tc>
        <w:tc>
          <w:tcPr>
            <w:tcW w:w="774" w:type="pct"/>
            <w:gridSpan w:val="2"/>
            <w:tcBorders>
              <w:top w:val="nil"/>
              <w:left w:val="nil"/>
              <w:bottom w:val="nil"/>
              <w:right w:val="nil"/>
            </w:tcBorders>
            <w:hideMark/>
          </w:tcPr>
          <w:p w14:paraId="2D549FA2"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3.127**</w:t>
            </w:r>
          </w:p>
        </w:tc>
        <w:tc>
          <w:tcPr>
            <w:tcW w:w="578" w:type="pct"/>
            <w:tcBorders>
              <w:top w:val="nil"/>
              <w:left w:val="nil"/>
              <w:bottom w:val="nil"/>
              <w:right w:val="nil"/>
            </w:tcBorders>
            <w:hideMark/>
          </w:tcPr>
          <w:p w14:paraId="227CC665"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4.967***</w:t>
            </w:r>
          </w:p>
        </w:tc>
      </w:tr>
      <w:tr w:rsidR="009D3026" w:rsidRPr="00CD4846" w14:paraId="1ECA503A" w14:textId="77777777" w:rsidTr="003959BE">
        <w:trPr>
          <w:gridBefore w:val="1"/>
          <w:wBefore w:w="57" w:type="pct"/>
        </w:trPr>
        <w:tc>
          <w:tcPr>
            <w:tcW w:w="1195" w:type="pct"/>
            <w:tcBorders>
              <w:top w:val="nil"/>
              <w:left w:val="nil"/>
              <w:bottom w:val="nil"/>
              <w:right w:val="nil"/>
            </w:tcBorders>
          </w:tcPr>
          <w:p w14:paraId="0680449A"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p>
        </w:tc>
        <w:tc>
          <w:tcPr>
            <w:tcW w:w="510" w:type="pct"/>
            <w:gridSpan w:val="3"/>
            <w:tcBorders>
              <w:top w:val="nil"/>
              <w:left w:val="nil"/>
              <w:bottom w:val="nil"/>
              <w:right w:val="nil"/>
            </w:tcBorders>
            <w:hideMark/>
          </w:tcPr>
          <w:p w14:paraId="01D476C8"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(0.252)</w:t>
            </w:r>
          </w:p>
        </w:tc>
        <w:tc>
          <w:tcPr>
            <w:tcW w:w="1177" w:type="pct"/>
            <w:gridSpan w:val="2"/>
            <w:tcBorders>
              <w:top w:val="nil"/>
              <w:left w:val="nil"/>
              <w:bottom w:val="nil"/>
              <w:right w:val="nil"/>
            </w:tcBorders>
            <w:hideMark/>
          </w:tcPr>
          <w:p w14:paraId="4EDD77ED"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(0.292)</w:t>
            </w:r>
          </w:p>
        </w:tc>
        <w:tc>
          <w:tcPr>
            <w:tcW w:w="709" w:type="pct"/>
            <w:gridSpan w:val="2"/>
            <w:tcBorders>
              <w:top w:val="nil"/>
              <w:left w:val="nil"/>
              <w:bottom w:val="nil"/>
              <w:right w:val="nil"/>
            </w:tcBorders>
            <w:hideMark/>
          </w:tcPr>
          <w:p w14:paraId="214E8B74"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(0.307)</w:t>
            </w:r>
          </w:p>
        </w:tc>
        <w:tc>
          <w:tcPr>
            <w:tcW w:w="774" w:type="pct"/>
            <w:gridSpan w:val="2"/>
            <w:tcBorders>
              <w:top w:val="nil"/>
              <w:left w:val="nil"/>
              <w:bottom w:val="nil"/>
              <w:right w:val="nil"/>
            </w:tcBorders>
            <w:hideMark/>
          </w:tcPr>
          <w:p w14:paraId="5D48AF24"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(1.544)</w:t>
            </w:r>
          </w:p>
        </w:tc>
        <w:tc>
          <w:tcPr>
            <w:tcW w:w="578" w:type="pct"/>
            <w:tcBorders>
              <w:top w:val="nil"/>
              <w:left w:val="nil"/>
              <w:bottom w:val="nil"/>
              <w:right w:val="nil"/>
            </w:tcBorders>
            <w:hideMark/>
          </w:tcPr>
          <w:p w14:paraId="4873D54A"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(0.248)</w:t>
            </w:r>
          </w:p>
        </w:tc>
      </w:tr>
      <w:tr w:rsidR="009D3026" w:rsidRPr="00CD4846" w14:paraId="7007761E" w14:textId="77777777" w:rsidTr="003959BE">
        <w:trPr>
          <w:gridBefore w:val="1"/>
          <w:wBefore w:w="57" w:type="pct"/>
        </w:trPr>
        <w:tc>
          <w:tcPr>
            <w:tcW w:w="1195" w:type="pct"/>
            <w:tcBorders>
              <w:top w:val="nil"/>
              <w:left w:val="nil"/>
              <w:bottom w:val="nil"/>
              <w:right w:val="nil"/>
            </w:tcBorders>
            <w:hideMark/>
          </w:tcPr>
          <w:p w14:paraId="52747A77"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Observations</w:t>
            </w:r>
          </w:p>
        </w:tc>
        <w:tc>
          <w:tcPr>
            <w:tcW w:w="510" w:type="pct"/>
            <w:gridSpan w:val="3"/>
            <w:tcBorders>
              <w:top w:val="nil"/>
              <w:left w:val="nil"/>
              <w:bottom w:val="nil"/>
              <w:right w:val="nil"/>
            </w:tcBorders>
            <w:hideMark/>
          </w:tcPr>
          <w:p w14:paraId="598B0650"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77694</w:t>
            </w:r>
          </w:p>
        </w:tc>
        <w:tc>
          <w:tcPr>
            <w:tcW w:w="1177" w:type="pct"/>
            <w:gridSpan w:val="2"/>
            <w:tcBorders>
              <w:top w:val="nil"/>
              <w:left w:val="nil"/>
              <w:bottom w:val="nil"/>
              <w:right w:val="nil"/>
            </w:tcBorders>
            <w:hideMark/>
          </w:tcPr>
          <w:p w14:paraId="457E1828"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71154</w:t>
            </w:r>
          </w:p>
        </w:tc>
        <w:tc>
          <w:tcPr>
            <w:tcW w:w="709" w:type="pct"/>
            <w:gridSpan w:val="2"/>
            <w:tcBorders>
              <w:top w:val="nil"/>
              <w:left w:val="nil"/>
              <w:bottom w:val="nil"/>
              <w:right w:val="nil"/>
            </w:tcBorders>
            <w:hideMark/>
          </w:tcPr>
          <w:p w14:paraId="1171A25B"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70470</w:t>
            </w:r>
          </w:p>
        </w:tc>
        <w:tc>
          <w:tcPr>
            <w:tcW w:w="774" w:type="pct"/>
            <w:gridSpan w:val="2"/>
            <w:tcBorders>
              <w:top w:val="nil"/>
              <w:left w:val="nil"/>
              <w:bottom w:val="nil"/>
              <w:right w:val="nil"/>
            </w:tcBorders>
            <w:hideMark/>
          </w:tcPr>
          <w:p w14:paraId="4F6E3F25"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15639</w:t>
            </w:r>
          </w:p>
        </w:tc>
        <w:tc>
          <w:tcPr>
            <w:tcW w:w="578" w:type="pct"/>
            <w:tcBorders>
              <w:top w:val="nil"/>
              <w:left w:val="nil"/>
              <w:bottom w:val="nil"/>
              <w:right w:val="nil"/>
            </w:tcBorders>
            <w:hideMark/>
          </w:tcPr>
          <w:p w14:paraId="53795039"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77694</w:t>
            </w:r>
          </w:p>
        </w:tc>
      </w:tr>
      <w:tr w:rsidR="009D3026" w:rsidRPr="00CD4846" w14:paraId="7A33632E" w14:textId="77777777" w:rsidTr="003959BE">
        <w:trPr>
          <w:gridBefore w:val="1"/>
          <w:wBefore w:w="57" w:type="pct"/>
        </w:trPr>
        <w:tc>
          <w:tcPr>
            <w:tcW w:w="1195" w:type="pct"/>
            <w:tcBorders>
              <w:top w:val="nil"/>
              <w:left w:val="nil"/>
              <w:bottom w:val="nil"/>
              <w:right w:val="nil"/>
            </w:tcBorders>
            <w:hideMark/>
          </w:tcPr>
          <w:p w14:paraId="694B4DD0"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Pseudo R</w:t>
            </w:r>
            <w:r w:rsidRPr="00CD4846">
              <w:rPr>
                <w:rFonts w:eastAsia="Calibri" w:cs="Times New Roman"/>
                <w:kern w:val="2"/>
                <w:sz w:val="20"/>
                <w:szCs w:val="20"/>
                <w:vertAlign w:val="superscript"/>
                <w:lang/>
              </w:rPr>
              <w:t>2</w:t>
            </w:r>
          </w:p>
        </w:tc>
        <w:tc>
          <w:tcPr>
            <w:tcW w:w="510" w:type="pct"/>
            <w:gridSpan w:val="3"/>
            <w:tcBorders>
              <w:top w:val="nil"/>
              <w:left w:val="nil"/>
              <w:bottom w:val="nil"/>
              <w:right w:val="nil"/>
            </w:tcBorders>
            <w:hideMark/>
          </w:tcPr>
          <w:p w14:paraId="08F51A94"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0.930</w:t>
            </w:r>
          </w:p>
        </w:tc>
        <w:tc>
          <w:tcPr>
            <w:tcW w:w="1177" w:type="pct"/>
            <w:gridSpan w:val="2"/>
            <w:tcBorders>
              <w:top w:val="nil"/>
              <w:left w:val="nil"/>
              <w:bottom w:val="nil"/>
              <w:right w:val="nil"/>
            </w:tcBorders>
            <w:hideMark/>
          </w:tcPr>
          <w:p w14:paraId="3E095677"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0.610</w:t>
            </w:r>
          </w:p>
        </w:tc>
        <w:tc>
          <w:tcPr>
            <w:tcW w:w="709" w:type="pct"/>
            <w:gridSpan w:val="2"/>
            <w:tcBorders>
              <w:top w:val="nil"/>
              <w:left w:val="nil"/>
              <w:bottom w:val="nil"/>
              <w:right w:val="nil"/>
            </w:tcBorders>
            <w:hideMark/>
          </w:tcPr>
          <w:p w14:paraId="0746DDA3"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0.611</w:t>
            </w:r>
          </w:p>
        </w:tc>
        <w:tc>
          <w:tcPr>
            <w:tcW w:w="774" w:type="pct"/>
            <w:gridSpan w:val="2"/>
            <w:tcBorders>
              <w:top w:val="nil"/>
              <w:left w:val="nil"/>
              <w:bottom w:val="nil"/>
              <w:right w:val="nil"/>
            </w:tcBorders>
            <w:hideMark/>
          </w:tcPr>
          <w:p w14:paraId="44B177DA"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0.307</w:t>
            </w:r>
          </w:p>
        </w:tc>
        <w:tc>
          <w:tcPr>
            <w:tcW w:w="578" w:type="pct"/>
            <w:tcBorders>
              <w:top w:val="nil"/>
              <w:left w:val="nil"/>
              <w:bottom w:val="nil"/>
              <w:right w:val="nil"/>
            </w:tcBorders>
            <w:hideMark/>
          </w:tcPr>
          <w:p w14:paraId="674FC487"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0.931</w:t>
            </w:r>
          </w:p>
        </w:tc>
      </w:tr>
      <w:tr w:rsidR="009D3026" w:rsidRPr="00CD4846" w14:paraId="77CDAAC0" w14:textId="77777777" w:rsidTr="003959BE">
        <w:trPr>
          <w:gridBefore w:val="1"/>
          <w:wBefore w:w="57" w:type="pct"/>
        </w:trPr>
        <w:tc>
          <w:tcPr>
            <w:tcW w:w="1195" w:type="pct"/>
            <w:tcBorders>
              <w:top w:val="nil"/>
              <w:left w:val="nil"/>
              <w:bottom w:val="nil"/>
              <w:right w:val="nil"/>
            </w:tcBorders>
            <w:hideMark/>
          </w:tcPr>
          <w:p w14:paraId="2070CA62"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Chi</w:t>
            </w:r>
            <w:r w:rsidRPr="00CD4846">
              <w:rPr>
                <w:rFonts w:eastAsia="Calibri" w:cs="Times New Roman"/>
                <w:kern w:val="2"/>
                <w:sz w:val="20"/>
                <w:szCs w:val="20"/>
                <w:vertAlign w:val="superscript"/>
                <w:lang/>
              </w:rPr>
              <w:t>2</w:t>
            </w:r>
          </w:p>
        </w:tc>
        <w:tc>
          <w:tcPr>
            <w:tcW w:w="510" w:type="pct"/>
            <w:gridSpan w:val="3"/>
            <w:tcBorders>
              <w:top w:val="nil"/>
              <w:left w:val="nil"/>
              <w:bottom w:val="nil"/>
              <w:right w:val="nil"/>
            </w:tcBorders>
            <w:hideMark/>
          </w:tcPr>
          <w:p w14:paraId="2210D005"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591</w:t>
            </w:r>
          </w:p>
        </w:tc>
        <w:tc>
          <w:tcPr>
            <w:tcW w:w="1177" w:type="pct"/>
            <w:gridSpan w:val="2"/>
            <w:tcBorders>
              <w:top w:val="nil"/>
              <w:left w:val="nil"/>
              <w:bottom w:val="nil"/>
              <w:right w:val="nil"/>
            </w:tcBorders>
            <w:hideMark/>
          </w:tcPr>
          <w:p w14:paraId="7A090F0D"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178</w:t>
            </w:r>
          </w:p>
        </w:tc>
        <w:tc>
          <w:tcPr>
            <w:tcW w:w="709" w:type="pct"/>
            <w:gridSpan w:val="2"/>
            <w:tcBorders>
              <w:top w:val="nil"/>
              <w:left w:val="nil"/>
              <w:bottom w:val="nil"/>
              <w:right w:val="nil"/>
            </w:tcBorders>
            <w:hideMark/>
          </w:tcPr>
          <w:p w14:paraId="4893719D"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213</w:t>
            </w:r>
          </w:p>
        </w:tc>
        <w:tc>
          <w:tcPr>
            <w:tcW w:w="774" w:type="pct"/>
            <w:gridSpan w:val="2"/>
            <w:tcBorders>
              <w:top w:val="nil"/>
              <w:left w:val="nil"/>
              <w:bottom w:val="nil"/>
              <w:right w:val="nil"/>
            </w:tcBorders>
            <w:hideMark/>
          </w:tcPr>
          <w:p w14:paraId="5B7A72AB"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91</w:t>
            </w:r>
          </w:p>
        </w:tc>
        <w:tc>
          <w:tcPr>
            <w:tcW w:w="578" w:type="pct"/>
            <w:tcBorders>
              <w:top w:val="nil"/>
              <w:left w:val="nil"/>
              <w:bottom w:val="nil"/>
              <w:right w:val="nil"/>
            </w:tcBorders>
            <w:hideMark/>
          </w:tcPr>
          <w:p w14:paraId="038DF3C6" w14:textId="77777777" w:rsidR="00CD4846" w:rsidRPr="00CD4846" w:rsidRDefault="00CD4846" w:rsidP="00EE502F">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596</w:t>
            </w:r>
          </w:p>
        </w:tc>
      </w:tr>
      <w:tr w:rsidR="003959BE" w:rsidRPr="00CD4846" w14:paraId="7285190F" w14:textId="77777777" w:rsidTr="003959BE">
        <w:trPr>
          <w:gridBefore w:val="1"/>
          <w:wBefore w:w="57" w:type="pct"/>
        </w:trPr>
        <w:tc>
          <w:tcPr>
            <w:tcW w:w="1203" w:type="pct"/>
            <w:gridSpan w:val="2"/>
            <w:tcBorders>
              <w:top w:val="single" w:sz="4" w:space="0" w:color="auto"/>
              <w:left w:val="nil"/>
              <w:bottom w:val="nil"/>
              <w:right w:val="nil"/>
            </w:tcBorders>
            <w:hideMark/>
          </w:tcPr>
          <w:p w14:paraId="4F771248" w14:textId="77777777" w:rsidR="003959BE" w:rsidRPr="00CD4846" w:rsidRDefault="003959BE" w:rsidP="00AD6FDC">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Log Likelihood</w:t>
            </w:r>
          </w:p>
        </w:tc>
        <w:tc>
          <w:tcPr>
            <w:tcW w:w="476" w:type="pct"/>
            <w:tcBorders>
              <w:top w:val="single" w:sz="4" w:space="0" w:color="auto"/>
              <w:left w:val="nil"/>
              <w:bottom w:val="nil"/>
              <w:right w:val="nil"/>
            </w:tcBorders>
            <w:hideMark/>
          </w:tcPr>
          <w:p w14:paraId="2605406E" w14:textId="77777777" w:rsidR="003959BE" w:rsidRPr="00CD4846" w:rsidRDefault="003959BE" w:rsidP="00AD6FDC">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-404787</w:t>
            </w:r>
          </w:p>
        </w:tc>
        <w:tc>
          <w:tcPr>
            <w:tcW w:w="1183" w:type="pct"/>
            <w:gridSpan w:val="2"/>
            <w:tcBorders>
              <w:top w:val="single" w:sz="4" w:space="0" w:color="auto"/>
              <w:left w:val="nil"/>
              <w:bottom w:val="nil"/>
              <w:right w:val="nil"/>
            </w:tcBorders>
            <w:hideMark/>
          </w:tcPr>
          <w:p w14:paraId="3285817F" w14:textId="77777777" w:rsidR="003959BE" w:rsidRPr="00CD4846" w:rsidRDefault="003959BE" w:rsidP="00AD6FDC">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-45998</w:t>
            </w:r>
          </w:p>
        </w:tc>
        <w:tc>
          <w:tcPr>
            <w:tcW w:w="716" w:type="pct"/>
            <w:gridSpan w:val="2"/>
            <w:tcBorders>
              <w:top w:val="single" w:sz="4" w:space="0" w:color="auto"/>
              <w:left w:val="nil"/>
              <w:bottom w:val="nil"/>
              <w:right w:val="nil"/>
            </w:tcBorders>
            <w:hideMark/>
          </w:tcPr>
          <w:p w14:paraId="46C5AE31" w14:textId="77777777" w:rsidR="003959BE" w:rsidRPr="00CD4846" w:rsidRDefault="003959BE" w:rsidP="00AD6FDC">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-44690</w:t>
            </w:r>
          </w:p>
        </w:tc>
        <w:tc>
          <w:tcPr>
            <w:tcW w:w="780" w:type="pct"/>
            <w:gridSpan w:val="2"/>
            <w:tcBorders>
              <w:top w:val="single" w:sz="4" w:space="0" w:color="auto"/>
              <w:left w:val="nil"/>
              <w:bottom w:val="nil"/>
              <w:right w:val="nil"/>
            </w:tcBorders>
            <w:hideMark/>
          </w:tcPr>
          <w:p w14:paraId="28B86B77" w14:textId="77777777" w:rsidR="003959BE" w:rsidRPr="00CD4846" w:rsidRDefault="003959BE" w:rsidP="00AD6FDC">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-3777</w:t>
            </w:r>
          </w:p>
        </w:tc>
        <w:tc>
          <w:tcPr>
            <w:tcW w:w="585" w:type="pct"/>
            <w:gridSpan w:val="2"/>
            <w:tcBorders>
              <w:top w:val="single" w:sz="4" w:space="0" w:color="auto"/>
              <w:left w:val="nil"/>
              <w:bottom w:val="nil"/>
              <w:right w:val="nil"/>
            </w:tcBorders>
            <w:hideMark/>
          </w:tcPr>
          <w:p w14:paraId="45FF69A8" w14:textId="77777777" w:rsidR="003959BE" w:rsidRPr="00CD4846" w:rsidRDefault="003959BE" w:rsidP="00AD6FDC">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-405881</w:t>
            </w:r>
          </w:p>
        </w:tc>
      </w:tr>
      <w:tr w:rsidR="003959BE" w:rsidRPr="00CD4846" w14:paraId="111ED9EE" w14:textId="77777777" w:rsidTr="003959BE">
        <w:trPr>
          <w:gridBefore w:val="1"/>
          <w:wBefore w:w="57" w:type="pct"/>
        </w:trPr>
        <w:tc>
          <w:tcPr>
            <w:tcW w:w="1203" w:type="pct"/>
            <w:gridSpan w:val="2"/>
            <w:tcBorders>
              <w:top w:val="nil"/>
              <w:left w:val="nil"/>
              <w:bottom w:val="nil"/>
              <w:right w:val="nil"/>
            </w:tcBorders>
            <w:hideMark/>
          </w:tcPr>
          <w:p w14:paraId="771F5C24" w14:textId="77777777" w:rsidR="003959BE" w:rsidRPr="00CD4846" w:rsidRDefault="003959BE" w:rsidP="00AD6FDC">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Akaike’s Criterion</w:t>
            </w:r>
          </w:p>
        </w:tc>
        <w:tc>
          <w:tcPr>
            <w:tcW w:w="476" w:type="pct"/>
            <w:tcBorders>
              <w:top w:val="nil"/>
              <w:left w:val="nil"/>
              <w:bottom w:val="nil"/>
              <w:right w:val="nil"/>
            </w:tcBorders>
            <w:hideMark/>
          </w:tcPr>
          <w:p w14:paraId="091ECF7C" w14:textId="77777777" w:rsidR="003959BE" w:rsidRPr="00CD4846" w:rsidRDefault="003959BE" w:rsidP="00AD6FDC">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809611</w:t>
            </w:r>
          </w:p>
        </w:tc>
        <w:tc>
          <w:tcPr>
            <w:tcW w:w="1183" w:type="pct"/>
            <w:gridSpan w:val="2"/>
            <w:tcBorders>
              <w:top w:val="nil"/>
              <w:left w:val="nil"/>
              <w:bottom w:val="nil"/>
              <w:right w:val="nil"/>
            </w:tcBorders>
            <w:hideMark/>
          </w:tcPr>
          <w:p w14:paraId="7E0A8C01" w14:textId="77777777" w:rsidR="003959BE" w:rsidRPr="00CD4846" w:rsidRDefault="003959BE" w:rsidP="00AD6FDC">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92036</w:t>
            </w:r>
          </w:p>
        </w:tc>
        <w:tc>
          <w:tcPr>
            <w:tcW w:w="716" w:type="pct"/>
            <w:gridSpan w:val="2"/>
            <w:tcBorders>
              <w:top w:val="nil"/>
              <w:left w:val="nil"/>
              <w:bottom w:val="nil"/>
              <w:right w:val="nil"/>
            </w:tcBorders>
            <w:hideMark/>
          </w:tcPr>
          <w:p w14:paraId="75A9F8E6" w14:textId="77777777" w:rsidR="003959BE" w:rsidRPr="00CD4846" w:rsidRDefault="003959BE" w:rsidP="00AD6FDC">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89420</w:t>
            </w:r>
          </w:p>
        </w:tc>
        <w:tc>
          <w:tcPr>
            <w:tcW w:w="780" w:type="pct"/>
            <w:gridSpan w:val="2"/>
            <w:tcBorders>
              <w:top w:val="nil"/>
              <w:left w:val="nil"/>
              <w:bottom w:val="nil"/>
              <w:right w:val="nil"/>
            </w:tcBorders>
            <w:hideMark/>
          </w:tcPr>
          <w:p w14:paraId="14BE772F" w14:textId="77777777" w:rsidR="003959BE" w:rsidRPr="00CD4846" w:rsidRDefault="003959BE" w:rsidP="00AD6FDC">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7595</w:t>
            </w:r>
          </w:p>
        </w:tc>
        <w:tc>
          <w:tcPr>
            <w:tcW w:w="585" w:type="pct"/>
            <w:gridSpan w:val="2"/>
            <w:tcBorders>
              <w:top w:val="nil"/>
              <w:left w:val="nil"/>
              <w:bottom w:val="nil"/>
              <w:right w:val="nil"/>
            </w:tcBorders>
            <w:hideMark/>
          </w:tcPr>
          <w:p w14:paraId="69EF01A4" w14:textId="77777777" w:rsidR="003959BE" w:rsidRPr="00CD4846" w:rsidRDefault="003959BE" w:rsidP="00AD6FDC">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811799</w:t>
            </w:r>
          </w:p>
        </w:tc>
      </w:tr>
      <w:tr w:rsidR="003959BE" w:rsidRPr="00CD4846" w14:paraId="4C1AA044" w14:textId="77777777" w:rsidTr="003959BE">
        <w:trPr>
          <w:gridBefore w:val="1"/>
          <w:wBefore w:w="57" w:type="pct"/>
        </w:trPr>
        <w:tc>
          <w:tcPr>
            <w:tcW w:w="1203" w:type="pct"/>
            <w:gridSpan w:val="2"/>
            <w:tcBorders>
              <w:top w:val="nil"/>
              <w:left w:val="nil"/>
              <w:bottom w:val="nil"/>
              <w:right w:val="nil"/>
            </w:tcBorders>
            <w:hideMark/>
          </w:tcPr>
          <w:p w14:paraId="679B41C5" w14:textId="77777777" w:rsidR="003959BE" w:rsidRPr="00CD4846" w:rsidRDefault="003959BE" w:rsidP="00AD6FDC">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Bayesian Criterion</w:t>
            </w:r>
          </w:p>
        </w:tc>
        <w:tc>
          <w:tcPr>
            <w:tcW w:w="476" w:type="pct"/>
            <w:tcBorders>
              <w:top w:val="nil"/>
              <w:left w:val="nil"/>
              <w:bottom w:val="nil"/>
              <w:right w:val="nil"/>
            </w:tcBorders>
            <w:hideMark/>
          </w:tcPr>
          <w:p w14:paraId="4A371941" w14:textId="77777777" w:rsidR="003959BE" w:rsidRPr="00CD4846" w:rsidRDefault="003959BE" w:rsidP="00AD6FDC">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809777</w:t>
            </w:r>
          </w:p>
        </w:tc>
        <w:tc>
          <w:tcPr>
            <w:tcW w:w="1183" w:type="pct"/>
            <w:gridSpan w:val="2"/>
            <w:tcBorders>
              <w:top w:val="nil"/>
              <w:left w:val="nil"/>
              <w:bottom w:val="nil"/>
              <w:right w:val="nil"/>
            </w:tcBorders>
            <w:hideMark/>
          </w:tcPr>
          <w:p w14:paraId="3ED0A1AA" w14:textId="77777777" w:rsidR="003959BE" w:rsidRPr="00CD4846" w:rsidRDefault="003959BE" w:rsidP="00AD6FDC">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92220</w:t>
            </w:r>
          </w:p>
        </w:tc>
        <w:tc>
          <w:tcPr>
            <w:tcW w:w="716" w:type="pct"/>
            <w:gridSpan w:val="2"/>
            <w:tcBorders>
              <w:top w:val="nil"/>
              <w:left w:val="nil"/>
              <w:bottom w:val="nil"/>
              <w:right w:val="nil"/>
            </w:tcBorders>
            <w:hideMark/>
          </w:tcPr>
          <w:p w14:paraId="64D6C26F" w14:textId="77777777" w:rsidR="003959BE" w:rsidRPr="00CD4846" w:rsidRDefault="003959BE" w:rsidP="00AD6FDC">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89604</w:t>
            </w:r>
          </w:p>
        </w:tc>
        <w:tc>
          <w:tcPr>
            <w:tcW w:w="780" w:type="pct"/>
            <w:gridSpan w:val="2"/>
            <w:tcBorders>
              <w:top w:val="nil"/>
              <w:left w:val="nil"/>
              <w:bottom w:val="nil"/>
              <w:right w:val="nil"/>
            </w:tcBorders>
            <w:hideMark/>
          </w:tcPr>
          <w:p w14:paraId="1DEE07B3" w14:textId="77777777" w:rsidR="003959BE" w:rsidRPr="00CD4846" w:rsidRDefault="003959BE" w:rsidP="00AD6FDC">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7748</w:t>
            </w:r>
          </w:p>
        </w:tc>
        <w:tc>
          <w:tcPr>
            <w:tcW w:w="585" w:type="pct"/>
            <w:gridSpan w:val="2"/>
            <w:tcBorders>
              <w:top w:val="nil"/>
              <w:left w:val="nil"/>
              <w:bottom w:val="nil"/>
              <w:right w:val="nil"/>
            </w:tcBorders>
            <w:hideMark/>
          </w:tcPr>
          <w:p w14:paraId="4FAA1CAB" w14:textId="77777777" w:rsidR="003959BE" w:rsidRPr="00CD4846" w:rsidRDefault="003959BE" w:rsidP="00AD6FDC">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811966</w:t>
            </w:r>
          </w:p>
        </w:tc>
      </w:tr>
      <w:tr w:rsidR="003959BE" w:rsidRPr="00CD4846" w14:paraId="57F5C852" w14:textId="77777777" w:rsidTr="003959BE">
        <w:trPr>
          <w:gridBefore w:val="1"/>
          <w:wBefore w:w="57" w:type="pct"/>
        </w:trPr>
        <w:tc>
          <w:tcPr>
            <w:tcW w:w="1203" w:type="pct"/>
            <w:gridSpan w:val="2"/>
            <w:tcBorders>
              <w:top w:val="nil"/>
              <w:left w:val="nil"/>
              <w:bottom w:val="nil"/>
              <w:right w:val="nil"/>
            </w:tcBorders>
            <w:hideMark/>
          </w:tcPr>
          <w:p w14:paraId="348329DE" w14:textId="77777777" w:rsidR="003959BE" w:rsidRPr="00CD4846" w:rsidRDefault="003959BE" w:rsidP="00AD6FDC">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County FE</w:t>
            </w:r>
          </w:p>
        </w:tc>
        <w:tc>
          <w:tcPr>
            <w:tcW w:w="476" w:type="pct"/>
            <w:tcBorders>
              <w:top w:val="nil"/>
              <w:left w:val="nil"/>
              <w:bottom w:val="nil"/>
              <w:right w:val="nil"/>
            </w:tcBorders>
            <w:hideMark/>
          </w:tcPr>
          <w:p w14:paraId="26EA0955" w14:textId="77777777" w:rsidR="003959BE" w:rsidRPr="00CD4846" w:rsidRDefault="003959BE" w:rsidP="00AD6FDC">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Yes</w:t>
            </w:r>
          </w:p>
        </w:tc>
        <w:tc>
          <w:tcPr>
            <w:tcW w:w="1183" w:type="pct"/>
            <w:gridSpan w:val="2"/>
            <w:tcBorders>
              <w:top w:val="nil"/>
              <w:left w:val="nil"/>
              <w:bottom w:val="nil"/>
              <w:right w:val="nil"/>
            </w:tcBorders>
            <w:hideMark/>
          </w:tcPr>
          <w:p w14:paraId="7B74D9FE" w14:textId="77777777" w:rsidR="003959BE" w:rsidRPr="00CD4846" w:rsidRDefault="003959BE" w:rsidP="00AD6FDC">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Yes</w:t>
            </w:r>
          </w:p>
        </w:tc>
        <w:tc>
          <w:tcPr>
            <w:tcW w:w="716" w:type="pct"/>
            <w:gridSpan w:val="2"/>
            <w:tcBorders>
              <w:top w:val="nil"/>
              <w:left w:val="nil"/>
              <w:bottom w:val="nil"/>
              <w:right w:val="nil"/>
            </w:tcBorders>
            <w:hideMark/>
          </w:tcPr>
          <w:p w14:paraId="4CDBD67D" w14:textId="77777777" w:rsidR="003959BE" w:rsidRPr="00CD4846" w:rsidRDefault="003959BE" w:rsidP="00AD6FDC">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Yes</w:t>
            </w:r>
          </w:p>
        </w:tc>
        <w:tc>
          <w:tcPr>
            <w:tcW w:w="780" w:type="pct"/>
            <w:gridSpan w:val="2"/>
            <w:tcBorders>
              <w:top w:val="nil"/>
              <w:left w:val="nil"/>
              <w:bottom w:val="nil"/>
              <w:right w:val="nil"/>
            </w:tcBorders>
            <w:hideMark/>
          </w:tcPr>
          <w:p w14:paraId="28C064EF" w14:textId="77777777" w:rsidR="003959BE" w:rsidRPr="00CD4846" w:rsidRDefault="003959BE" w:rsidP="00AD6FDC">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Yes</w:t>
            </w:r>
          </w:p>
        </w:tc>
        <w:tc>
          <w:tcPr>
            <w:tcW w:w="585" w:type="pct"/>
            <w:gridSpan w:val="2"/>
            <w:tcBorders>
              <w:top w:val="nil"/>
              <w:left w:val="nil"/>
              <w:bottom w:val="nil"/>
              <w:right w:val="nil"/>
            </w:tcBorders>
            <w:hideMark/>
          </w:tcPr>
          <w:p w14:paraId="77ECF166" w14:textId="77777777" w:rsidR="003959BE" w:rsidRPr="00CD4846" w:rsidRDefault="003959BE" w:rsidP="00AD6FDC">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Yes</w:t>
            </w:r>
          </w:p>
        </w:tc>
      </w:tr>
      <w:tr w:rsidR="003959BE" w:rsidRPr="00CD4846" w14:paraId="16368B7C" w14:textId="77777777" w:rsidTr="003959BE">
        <w:trPr>
          <w:gridBefore w:val="1"/>
          <w:wBefore w:w="57" w:type="pct"/>
        </w:trPr>
        <w:tc>
          <w:tcPr>
            <w:tcW w:w="1203" w:type="pct"/>
            <w:gridSpan w:val="2"/>
            <w:tcBorders>
              <w:top w:val="nil"/>
              <w:left w:val="nil"/>
              <w:bottom w:val="nil"/>
              <w:right w:val="nil"/>
            </w:tcBorders>
            <w:hideMark/>
          </w:tcPr>
          <w:p w14:paraId="0B12CBC8" w14:textId="77777777" w:rsidR="003959BE" w:rsidRPr="00CD4846" w:rsidRDefault="003959BE" w:rsidP="00AD6FDC">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State by Year FE</w:t>
            </w:r>
          </w:p>
        </w:tc>
        <w:tc>
          <w:tcPr>
            <w:tcW w:w="476" w:type="pct"/>
            <w:tcBorders>
              <w:top w:val="nil"/>
              <w:left w:val="nil"/>
              <w:bottom w:val="nil"/>
              <w:right w:val="nil"/>
            </w:tcBorders>
            <w:hideMark/>
          </w:tcPr>
          <w:p w14:paraId="6B2070E6" w14:textId="77777777" w:rsidR="003959BE" w:rsidRPr="00CD4846" w:rsidRDefault="003959BE" w:rsidP="00AD6FDC">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Yes</w:t>
            </w:r>
          </w:p>
        </w:tc>
        <w:tc>
          <w:tcPr>
            <w:tcW w:w="1183" w:type="pct"/>
            <w:gridSpan w:val="2"/>
            <w:tcBorders>
              <w:top w:val="nil"/>
              <w:left w:val="nil"/>
              <w:bottom w:val="nil"/>
              <w:right w:val="nil"/>
            </w:tcBorders>
            <w:hideMark/>
          </w:tcPr>
          <w:p w14:paraId="56981F10" w14:textId="77777777" w:rsidR="003959BE" w:rsidRPr="00CD4846" w:rsidRDefault="003959BE" w:rsidP="00AD6FDC">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Yes</w:t>
            </w:r>
          </w:p>
        </w:tc>
        <w:tc>
          <w:tcPr>
            <w:tcW w:w="716" w:type="pct"/>
            <w:gridSpan w:val="2"/>
            <w:tcBorders>
              <w:top w:val="nil"/>
              <w:left w:val="nil"/>
              <w:bottom w:val="nil"/>
              <w:right w:val="nil"/>
            </w:tcBorders>
            <w:hideMark/>
          </w:tcPr>
          <w:p w14:paraId="24EC9E3A" w14:textId="77777777" w:rsidR="003959BE" w:rsidRPr="00CD4846" w:rsidRDefault="003959BE" w:rsidP="00AD6FDC">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Yes</w:t>
            </w:r>
          </w:p>
        </w:tc>
        <w:tc>
          <w:tcPr>
            <w:tcW w:w="780" w:type="pct"/>
            <w:gridSpan w:val="2"/>
            <w:tcBorders>
              <w:top w:val="nil"/>
              <w:left w:val="nil"/>
              <w:bottom w:val="nil"/>
              <w:right w:val="nil"/>
            </w:tcBorders>
            <w:hideMark/>
          </w:tcPr>
          <w:p w14:paraId="247EE2C0" w14:textId="77777777" w:rsidR="003959BE" w:rsidRPr="00CD4846" w:rsidRDefault="003959BE" w:rsidP="00AD6FDC">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Yes</w:t>
            </w:r>
          </w:p>
        </w:tc>
        <w:tc>
          <w:tcPr>
            <w:tcW w:w="585" w:type="pct"/>
            <w:gridSpan w:val="2"/>
            <w:tcBorders>
              <w:top w:val="nil"/>
              <w:left w:val="nil"/>
              <w:bottom w:val="nil"/>
              <w:right w:val="nil"/>
            </w:tcBorders>
            <w:hideMark/>
          </w:tcPr>
          <w:p w14:paraId="32CDA4C3" w14:textId="77777777" w:rsidR="003959BE" w:rsidRPr="00CD4846" w:rsidRDefault="003959BE" w:rsidP="00AD6FDC">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Yes</w:t>
            </w:r>
          </w:p>
        </w:tc>
      </w:tr>
      <w:tr w:rsidR="003959BE" w:rsidRPr="00CD4846" w14:paraId="4FA15898" w14:textId="77777777" w:rsidTr="003959BE">
        <w:trPr>
          <w:gridBefore w:val="1"/>
          <w:wBefore w:w="57" w:type="pct"/>
        </w:trPr>
        <w:tc>
          <w:tcPr>
            <w:tcW w:w="1203" w:type="pct"/>
            <w:gridSpan w:val="2"/>
            <w:tcBorders>
              <w:top w:val="nil"/>
              <w:left w:val="nil"/>
              <w:right w:val="nil"/>
            </w:tcBorders>
            <w:hideMark/>
          </w:tcPr>
          <w:p w14:paraId="4591C1D4" w14:textId="77777777" w:rsidR="003959BE" w:rsidRPr="00CD4846" w:rsidRDefault="003959BE" w:rsidP="00AD6FDC">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NAICS FE</w:t>
            </w:r>
          </w:p>
        </w:tc>
        <w:tc>
          <w:tcPr>
            <w:tcW w:w="476" w:type="pct"/>
            <w:tcBorders>
              <w:top w:val="nil"/>
              <w:left w:val="nil"/>
              <w:right w:val="nil"/>
            </w:tcBorders>
            <w:hideMark/>
          </w:tcPr>
          <w:p w14:paraId="03C5BB2F" w14:textId="77777777" w:rsidR="003959BE" w:rsidRPr="00CD4846" w:rsidRDefault="003959BE" w:rsidP="00AD6FDC">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Yes</w:t>
            </w:r>
          </w:p>
        </w:tc>
        <w:tc>
          <w:tcPr>
            <w:tcW w:w="1183" w:type="pct"/>
            <w:gridSpan w:val="2"/>
            <w:tcBorders>
              <w:top w:val="nil"/>
              <w:left w:val="nil"/>
              <w:right w:val="nil"/>
            </w:tcBorders>
            <w:hideMark/>
          </w:tcPr>
          <w:p w14:paraId="53AAB365" w14:textId="77777777" w:rsidR="003959BE" w:rsidRPr="00CD4846" w:rsidRDefault="003959BE" w:rsidP="00AD6FDC">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Yes</w:t>
            </w:r>
          </w:p>
        </w:tc>
        <w:tc>
          <w:tcPr>
            <w:tcW w:w="716" w:type="pct"/>
            <w:gridSpan w:val="2"/>
            <w:tcBorders>
              <w:top w:val="nil"/>
              <w:left w:val="nil"/>
              <w:right w:val="nil"/>
            </w:tcBorders>
            <w:hideMark/>
          </w:tcPr>
          <w:p w14:paraId="56B101CE" w14:textId="77777777" w:rsidR="003959BE" w:rsidRPr="00CD4846" w:rsidRDefault="003959BE" w:rsidP="00AD6FDC">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Yes</w:t>
            </w:r>
          </w:p>
        </w:tc>
        <w:tc>
          <w:tcPr>
            <w:tcW w:w="780" w:type="pct"/>
            <w:gridSpan w:val="2"/>
            <w:tcBorders>
              <w:top w:val="nil"/>
              <w:left w:val="nil"/>
              <w:right w:val="nil"/>
            </w:tcBorders>
            <w:hideMark/>
          </w:tcPr>
          <w:p w14:paraId="5F9F2D0D" w14:textId="77777777" w:rsidR="003959BE" w:rsidRPr="00CD4846" w:rsidRDefault="003959BE" w:rsidP="00AD6FDC">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Yes</w:t>
            </w:r>
          </w:p>
        </w:tc>
        <w:tc>
          <w:tcPr>
            <w:tcW w:w="585" w:type="pct"/>
            <w:gridSpan w:val="2"/>
            <w:tcBorders>
              <w:top w:val="nil"/>
              <w:left w:val="nil"/>
              <w:right w:val="nil"/>
            </w:tcBorders>
            <w:hideMark/>
          </w:tcPr>
          <w:p w14:paraId="7890372B" w14:textId="77777777" w:rsidR="003959BE" w:rsidRPr="00CD4846" w:rsidRDefault="003959BE" w:rsidP="00AD6FDC">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Yes</w:t>
            </w:r>
          </w:p>
        </w:tc>
      </w:tr>
      <w:tr w:rsidR="003959BE" w:rsidRPr="00CD4846" w14:paraId="37CF96A2" w14:textId="77777777" w:rsidTr="003959BE">
        <w:trPr>
          <w:gridBefore w:val="1"/>
          <w:wBefore w:w="57" w:type="pct"/>
        </w:trPr>
        <w:tc>
          <w:tcPr>
            <w:tcW w:w="1203" w:type="pct"/>
            <w:gridSpan w:val="2"/>
            <w:tcBorders>
              <w:top w:val="nil"/>
              <w:left w:val="nil"/>
              <w:bottom w:val="single" w:sz="4" w:space="0" w:color="auto"/>
              <w:right w:val="nil"/>
            </w:tcBorders>
            <w:hideMark/>
          </w:tcPr>
          <w:p w14:paraId="7BD08F50" w14:textId="77777777" w:rsidR="003959BE" w:rsidRPr="00CD4846" w:rsidRDefault="003959BE" w:rsidP="00AD6FDC">
            <w:pPr>
              <w:widowControl w:val="0"/>
              <w:autoSpaceDE w:val="0"/>
              <w:autoSpaceDN w:val="0"/>
              <w:adjustRightInd w:val="0"/>
              <w:spacing w:line="240" w:lineRule="auto"/>
              <w:rPr>
                <w:rFonts w:eastAsia="Calibri" w:cs="Times New Roman"/>
                <w:kern w:val="2"/>
                <w:sz w:val="20"/>
                <w:szCs w:val="20"/>
                <w:lang/>
              </w:rPr>
            </w:pPr>
            <w:r w:rsidRPr="00CD4846">
              <w:rPr>
                <w:rFonts w:eastAsia="Calibri" w:cs="Times New Roman"/>
                <w:kern w:val="2"/>
                <w:sz w:val="20"/>
                <w:szCs w:val="20"/>
                <w:lang/>
              </w:rPr>
              <w:t>PA-PA</w:t>
            </w:r>
            <w:r w:rsidRPr="00CD4846">
              <w:rPr>
                <w:rFonts w:eastAsia="Calibri" w:cs="Times New Roman"/>
                <w:b/>
                <w:bCs/>
                <w:i/>
                <w:color w:val="5F6368"/>
                <w:kern w:val="2"/>
                <w:sz w:val="20"/>
                <w:szCs w:val="20"/>
                <w:shd w:val="clear" w:color="auto" w:fill="FFFFFF"/>
                <w:lang/>
              </w:rPr>
              <w:t xml:space="preserve">² </w:t>
            </w:r>
            <w:r w:rsidRPr="00CD4846">
              <w:rPr>
                <w:rFonts w:eastAsia="Calibri" w:cs="Times New Roman"/>
                <w:kern w:val="2"/>
                <w:sz w:val="20"/>
                <w:szCs w:val="20"/>
                <w:lang/>
              </w:rPr>
              <w:t xml:space="preserve">Joint Test p-value </w:t>
            </w:r>
          </w:p>
        </w:tc>
        <w:tc>
          <w:tcPr>
            <w:tcW w:w="476" w:type="pct"/>
            <w:tcBorders>
              <w:top w:val="nil"/>
              <w:left w:val="nil"/>
              <w:bottom w:val="single" w:sz="4" w:space="0" w:color="auto"/>
              <w:right w:val="nil"/>
            </w:tcBorders>
            <w:hideMark/>
          </w:tcPr>
          <w:p w14:paraId="0B16F6F0" w14:textId="77777777" w:rsidR="003959BE" w:rsidRPr="00CD4846" w:rsidRDefault="003959BE" w:rsidP="00AD6FDC">
            <w:pPr>
              <w:widowControl w:val="0"/>
              <w:autoSpaceDE w:val="0"/>
              <w:autoSpaceDN w:val="0"/>
              <w:adjustRightInd w:val="0"/>
              <w:spacing w:line="240" w:lineRule="auto"/>
              <w:rPr>
                <w:rFonts w:eastAsia="Calibri" w:cs="Times New Roman"/>
                <w:bCs/>
                <w:kern w:val="2"/>
                <w:sz w:val="20"/>
                <w:szCs w:val="20"/>
                <w:lang/>
              </w:rPr>
            </w:pPr>
            <w:r w:rsidRPr="00CD4846">
              <w:rPr>
                <w:rFonts w:eastAsia="Calibri" w:cs="Times New Roman"/>
                <w:bCs/>
                <w:kern w:val="2"/>
                <w:sz w:val="20"/>
                <w:szCs w:val="20"/>
                <w:lang/>
              </w:rPr>
              <w:t>0.0022</w:t>
            </w:r>
          </w:p>
        </w:tc>
        <w:tc>
          <w:tcPr>
            <w:tcW w:w="1183" w:type="pct"/>
            <w:gridSpan w:val="2"/>
            <w:tcBorders>
              <w:top w:val="nil"/>
              <w:left w:val="nil"/>
              <w:bottom w:val="single" w:sz="4" w:space="0" w:color="auto"/>
              <w:right w:val="nil"/>
            </w:tcBorders>
            <w:hideMark/>
          </w:tcPr>
          <w:p w14:paraId="0B0C06DE" w14:textId="77777777" w:rsidR="003959BE" w:rsidRPr="00CD4846" w:rsidRDefault="003959BE" w:rsidP="00AD6FDC">
            <w:pPr>
              <w:widowControl w:val="0"/>
              <w:autoSpaceDE w:val="0"/>
              <w:autoSpaceDN w:val="0"/>
              <w:adjustRightInd w:val="0"/>
              <w:spacing w:line="240" w:lineRule="auto"/>
              <w:rPr>
                <w:rFonts w:eastAsia="Calibri" w:cs="Times New Roman"/>
                <w:bCs/>
                <w:kern w:val="2"/>
                <w:sz w:val="20"/>
                <w:szCs w:val="20"/>
                <w:lang/>
              </w:rPr>
            </w:pPr>
            <w:r w:rsidRPr="00CD4846">
              <w:rPr>
                <w:rFonts w:eastAsia="Calibri" w:cs="Times New Roman"/>
                <w:bCs/>
                <w:kern w:val="2"/>
                <w:sz w:val="20"/>
                <w:szCs w:val="20"/>
                <w:lang/>
              </w:rPr>
              <w:t>0.8158</w:t>
            </w:r>
          </w:p>
        </w:tc>
        <w:tc>
          <w:tcPr>
            <w:tcW w:w="716" w:type="pct"/>
            <w:gridSpan w:val="2"/>
            <w:tcBorders>
              <w:top w:val="nil"/>
              <w:left w:val="nil"/>
              <w:bottom w:val="single" w:sz="4" w:space="0" w:color="auto"/>
              <w:right w:val="nil"/>
            </w:tcBorders>
            <w:hideMark/>
          </w:tcPr>
          <w:p w14:paraId="67703688" w14:textId="77777777" w:rsidR="003959BE" w:rsidRPr="00CD4846" w:rsidRDefault="003959BE" w:rsidP="00AD6FDC">
            <w:pPr>
              <w:widowControl w:val="0"/>
              <w:autoSpaceDE w:val="0"/>
              <w:autoSpaceDN w:val="0"/>
              <w:adjustRightInd w:val="0"/>
              <w:spacing w:line="240" w:lineRule="auto"/>
              <w:rPr>
                <w:rFonts w:eastAsia="Calibri" w:cs="Times New Roman"/>
                <w:bCs/>
                <w:kern w:val="2"/>
                <w:sz w:val="20"/>
                <w:szCs w:val="20"/>
                <w:lang/>
              </w:rPr>
            </w:pPr>
            <w:r w:rsidRPr="00CD4846">
              <w:rPr>
                <w:rFonts w:eastAsia="Calibri" w:cs="Times New Roman"/>
                <w:bCs/>
                <w:kern w:val="2"/>
                <w:sz w:val="20"/>
                <w:szCs w:val="20"/>
                <w:lang/>
              </w:rPr>
              <w:t>0.2507</w:t>
            </w:r>
          </w:p>
        </w:tc>
        <w:tc>
          <w:tcPr>
            <w:tcW w:w="780" w:type="pct"/>
            <w:gridSpan w:val="2"/>
            <w:tcBorders>
              <w:top w:val="nil"/>
              <w:left w:val="nil"/>
              <w:bottom w:val="single" w:sz="4" w:space="0" w:color="auto"/>
              <w:right w:val="nil"/>
            </w:tcBorders>
            <w:hideMark/>
          </w:tcPr>
          <w:p w14:paraId="56E8EEF9" w14:textId="77777777" w:rsidR="003959BE" w:rsidRPr="00CD4846" w:rsidRDefault="003959BE" w:rsidP="00AD6FDC">
            <w:pPr>
              <w:widowControl w:val="0"/>
              <w:autoSpaceDE w:val="0"/>
              <w:autoSpaceDN w:val="0"/>
              <w:adjustRightInd w:val="0"/>
              <w:spacing w:line="240" w:lineRule="auto"/>
              <w:rPr>
                <w:rFonts w:eastAsia="Calibri" w:cs="Times New Roman"/>
                <w:bCs/>
                <w:kern w:val="2"/>
                <w:sz w:val="20"/>
                <w:szCs w:val="20"/>
                <w:lang/>
              </w:rPr>
            </w:pPr>
            <w:r w:rsidRPr="00CD4846">
              <w:rPr>
                <w:rFonts w:eastAsia="Calibri" w:cs="Times New Roman"/>
                <w:bCs/>
                <w:kern w:val="2"/>
                <w:sz w:val="20"/>
                <w:szCs w:val="20"/>
                <w:lang/>
              </w:rPr>
              <w:t>0.0001</w:t>
            </w:r>
          </w:p>
        </w:tc>
        <w:tc>
          <w:tcPr>
            <w:tcW w:w="585" w:type="pct"/>
            <w:gridSpan w:val="2"/>
            <w:tcBorders>
              <w:top w:val="nil"/>
              <w:left w:val="nil"/>
              <w:bottom w:val="single" w:sz="4" w:space="0" w:color="auto"/>
              <w:right w:val="nil"/>
            </w:tcBorders>
            <w:hideMark/>
          </w:tcPr>
          <w:p w14:paraId="4124B20E" w14:textId="77777777" w:rsidR="003959BE" w:rsidRPr="00CD4846" w:rsidRDefault="003959BE" w:rsidP="00AD6FDC">
            <w:pPr>
              <w:widowControl w:val="0"/>
              <w:autoSpaceDE w:val="0"/>
              <w:autoSpaceDN w:val="0"/>
              <w:adjustRightInd w:val="0"/>
              <w:spacing w:line="240" w:lineRule="auto"/>
              <w:rPr>
                <w:rFonts w:eastAsia="Calibri" w:cs="Times New Roman"/>
                <w:bCs/>
                <w:kern w:val="2"/>
                <w:sz w:val="20"/>
                <w:szCs w:val="20"/>
                <w:lang/>
              </w:rPr>
            </w:pPr>
            <w:r w:rsidRPr="00CD4846">
              <w:rPr>
                <w:rFonts w:eastAsia="Calibri" w:cs="Times New Roman"/>
                <w:bCs/>
                <w:kern w:val="2"/>
                <w:sz w:val="20"/>
                <w:szCs w:val="20"/>
                <w:lang/>
              </w:rPr>
              <w:t>0.0022</w:t>
            </w:r>
          </w:p>
        </w:tc>
      </w:tr>
    </w:tbl>
    <w:p w14:paraId="31D28CA2" w14:textId="77777777" w:rsidR="003959BE" w:rsidRPr="00EE502F" w:rsidRDefault="003959BE" w:rsidP="003959BE">
      <w:pPr>
        <w:spacing w:line="240" w:lineRule="auto"/>
        <w:jc w:val="both"/>
        <w:rPr>
          <w:rFonts w:eastAsia="DengXian" w:cs="Times New Roman"/>
          <w:i/>
          <w:iCs/>
          <w:sz w:val="20"/>
          <w:szCs w:val="20"/>
          <w:lang/>
        </w:rPr>
      </w:pPr>
      <w:r w:rsidRPr="00EE502F">
        <w:rPr>
          <w:rFonts w:cs="Times New Roman"/>
          <w:sz w:val="20"/>
          <w:szCs w:val="20"/>
          <w:lang/>
        </w:rPr>
        <w:t xml:space="preserve">Table </w:t>
      </w:r>
      <w:r w:rsidRPr="00EE502F">
        <w:rPr>
          <w:rFonts w:cs="Times New Roman"/>
          <w:sz w:val="20"/>
          <w:szCs w:val="20"/>
          <w:lang/>
        </w:rPr>
        <w:t>A7</w:t>
      </w:r>
      <w:r w:rsidRPr="00EE502F">
        <w:rPr>
          <w:rFonts w:cs="Times New Roman"/>
          <w:sz w:val="20"/>
          <w:szCs w:val="20"/>
          <w:lang/>
        </w:rPr>
        <w:t xml:space="preserve">: </w:t>
      </w:r>
      <w:r w:rsidRPr="00EE502F">
        <w:rPr>
          <w:rFonts w:cs="Times New Roman"/>
          <w:sz w:val="20"/>
          <w:szCs w:val="20"/>
          <w:lang/>
        </w:rPr>
        <w:t>PPMLHDFE r</w:t>
      </w:r>
      <w:r w:rsidRPr="00EE502F">
        <w:rPr>
          <w:rFonts w:cs="Times New Roman"/>
          <w:sz w:val="20"/>
          <w:szCs w:val="20"/>
          <w:lang/>
        </w:rPr>
        <w:t xml:space="preserve">egression results </w:t>
      </w:r>
      <w:r w:rsidRPr="00EE502F">
        <w:rPr>
          <w:rFonts w:cs="Times New Roman"/>
          <w:sz w:val="20"/>
          <w:szCs w:val="20"/>
          <w:lang/>
        </w:rPr>
        <w:t xml:space="preserve">on aggregate LIS under strict PADs (GAP 1-2) are presented above. Column names correspond to specific exit-type location outcomes. </w:t>
      </w:r>
      <w:r w:rsidRPr="00C624DB">
        <w:rPr>
          <w:sz w:val="20"/>
          <w:szCs w:val="20"/>
          <w:lang/>
        </w:rPr>
        <w:t xml:space="preserve">Standard errors are </w:t>
      </w:r>
      <w:r>
        <w:rPr>
          <w:sz w:val="20"/>
          <w:szCs w:val="20"/>
          <w:lang/>
        </w:rPr>
        <w:t xml:space="preserve">in parentheses and are </w:t>
      </w:r>
      <w:r w:rsidRPr="00C624DB">
        <w:rPr>
          <w:sz w:val="20"/>
          <w:szCs w:val="20"/>
          <w:lang/>
        </w:rPr>
        <w:t xml:space="preserve">clustered at the county level. </w:t>
      </w:r>
      <w:r w:rsidRPr="002C0F11">
        <w:rPr>
          <w:sz w:val="20"/>
          <w:szCs w:val="20"/>
          <w:lang/>
        </w:rPr>
        <w:t>Statistically significant impacts are denoted by asterisks. These asterisks denote statistical significance at the following levels: ***p &lt; 0.01, **p &lt; 0.05, *p &lt; 0.1.</w:t>
      </w:r>
      <w:r>
        <w:rPr>
          <w:sz w:val="20"/>
          <w:szCs w:val="20"/>
          <w:lang/>
        </w:rPr>
        <w:t xml:space="preserve"> </w:t>
      </w:r>
      <w:r w:rsidRPr="00EE502F">
        <w:rPr>
          <w:rFonts w:cs="Times New Roman"/>
          <w:sz w:val="20"/>
          <w:szCs w:val="20"/>
          <w:lang/>
        </w:rPr>
        <w:t xml:space="preserve">p-values of joint-tests on linear and quadratic PAD terms are shown in the last row. </w:t>
      </w:r>
    </w:p>
    <w:p w14:paraId="32504D4F" w14:textId="77777777" w:rsidR="00EE502F" w:rsidRDefault="00EE502F" w:rsidP="004C39A4">
      <w:pPr>
        <w:spacing w:line="240" w:lineRule="auto"/>
        <w:rPr>
          <w:b/>
        </w:rPr>
      </w:pPr>
    </w:p>
    <w:p w14:paraId="44DF73B2" w14:textId="46284D32" w:rsidR="005B48E8" w:rsidRPr="005B48E8" w:rsidRDefault="00EE502F" w:rsidP="004C39A4">
      <w:pPr>
        <w:spacing w:line="240" w:lineRule="auto"/>
        <w:rPr>
          <w:b/>
        </w:rPr>
      </w:pPr>
      <w:r>
        <w:rPr>
          <w:b/>
        </w:rPr>
        <w:br w:type="page"/>
      </w:r>
    </w:p>
    <w:p w14:paraId="7E4786E3" w14:textId="77777777" w:rsidR="00CD4846" w:rsidRPr="00CD4846" w:rsidRDefault="00CD4846" w:rsidP="00095E25">
      <w:pPr>
        <w:pStyle w:val="Title"/>
      </w:pPr>
      <w:bookmarkStart w:id="222" w:name="_Toc186799412"/>
      <w:bookmarkStart w:id="223" w:name="_Toc188359614"/>
      <w:bookmarkStart w:id="224" w:name="_Toc188359902"/>
      <w:bookmarkStart w:id="225" w:name="_Toc188361138"/>
      <w:bookmarkStart w:id="226" w:name="_Toc188366981"/>
      <w:r w:rsidRPr="00CD4846">
        <w:lastRenderedPageBreak/>
        <w:t>Table A8: Regression Results of Broad PADs on Entries by Sector</w:t>
      </w:r>
      <w:bookmarkEnd w:id="222"/>
      <w:bookmarkEnd w:id="223"/>
      <w:bookmarkEnd w:id="224"/>
      <w:bookmarkEnd w:id="225"/>
      <w:bookmarkEnd w:id="226"/>
    </w:p>
    <w:tbl>
      <w:tblPr>
        <w:tblW w:w="5000" w:type="pct"/>
        <w:tblLook w:val="04A0" w:firstRow="1" w:lastRow="0" w:firstColumn="1" w:lastColumn="0" w:noHBand="0" w:noVBand="1"/>
      </w:tblPr>
      <w:tblGrid>
        <w:gridCol w:w="2717"/>
        <w:gridCol w:w="1275"/>
        <w:gridCol w:w="1275"/>
        <w:gridCol w:w="1275"/>
        <w:gridCol w:w="1275"/>
        <w:gridCol w:w="1543"/>
      </w:tblGrid>
      <w:tr w:rsidR="00CD4846" w:rsidRPr="00CD4846" w14:paraId="6D7F3B2E" w14:textId="77777777" w:rsidTr="003959BE">
        <w:tc>
          <w:tcPr>
            <w:tcW w:w="1451" w:type="pct"/>
            <w:tcBorders>
              <w:top w:val="single" w:sz="4" w:space="0" w:color="auto"/>
              <w:left w:val="nil"/>
              <w:bottom w:val="single" w:sz="4" w:space="0" w:color="auto"/>
              <w:right w:val="nil"/>
            </w:tcBorders>
          </w:tcPr>
          <w:p w14:paraId="190EB7B1" w14:textId="0AD449D2" w:rsidR="00CD4846" w:rsidRPr="00CD4846" w:rsidRDefault="00CD4846" w:rsidP="003959BE">
            <w:pPr>
              <w:widowControl w:val="0"/>
              <w:tabs>
                <w:tab w:val="left" w:pos="1358"/>
              </w:tabs>
              <w:autoSpaceDE w:val="0"/>
              <w:autoSpaceDN w:val="0"/>
              <w:adjustRightInd w:val="0"/>
              <w:spacing w:line="240" w:lineRule="auto"/>
              <w:rPr>
                <w:rFonts w:cs="Times New Roman"/>
                <w:b/>
                <w:bCs/>
                <w:kern w:val="2"/>
                <w:sz w:val="20"/>
                <w:szCs w:val="20"/>
                <w:lang/>
              </w:rPr>
            </w:pPr>
            <w:r w:rsidRPr="00CD4846">
              <w:rPr>
                <w:rFonts w:cs="Times New Roman"/>
                <w:b/>
                <w:bCs/>
                <w:kern w:val="2"/>
                <w:sz w:val="20"/>
                <w:szCs w:val="20"/>
                <w:lang/>
              </w:rPr>
              <w:t>Variable</w:t>
            </w:r>
            <w:r w:rsidR="003959BE">
              <w:rPr>
                <w:rFonts w:cs="Times New Roman"/>
                <w:b/>
                <w:bCs/>
                <w:kern w:val="2"/>
                <w:sz w:val="20"/>
                <w:szCs w:val="20"/>
                <w:lang/>
              </w:rPr>
              <w:tab/>
            </w:r>
          </w:p>
        </w:tc>
        <w:tc>
          <w:tcPr>
            <w:tcW w:w="681" w:type="pct"/>
            <w:tcBorders>
              <w:top w:val="single" w:sz="4" w:space="0" w:color="auto"/>
              <w:left w:val="nil"/>
              <w:bottom w:val="single" w:sz="4" w:space="0" w:color="auto"/>
              <w:right w:val="nil"/>
            </w:tcBorders>
          </w:tcPr>
          <w:p w14:paraId="64A9B347" w14:textId="6ED61614" w:rsidR="00CD4846" w:rsidRPr="00CD4846" w:rsidRDefault="00CD4846" w:rsidP="00EE502F">
            <w:pPr>
              <w:widowControl w:val="0"/>
              <w:autoSpaceDE w:val="0"/>
              <w:autoSpaceDN w:val="0"/>
              <w:adjustRightInd w:val="0"/>
              <w:spacing w:line="240" w:lineRule="auto"/>
              <w:rPr>
                <w:rFonts w:cs="Times New Roman"/>
                <w:b/>
                <w:bCs/>
                <w:kern w:val="2"/>
                <w:sz w:val="20"/>
                <w:szCs w:val="20"/>
                <w:lang/>
              </w:rPr>
            </w:pPr>
            <w:r w:rsidRPr="00CD4846">
              <w:rPr>
                <w:rFonts w:cs="Times New Roman"/>
                <w:b/>
                <w:bCs/>
                <w:kern w:val="2"/>
                <w:sz w:val="20"/>
                <w:szCs w:val="20"/>
                <w:lang/>
              </w:rPr>
              <w:t>NAICS 11</w:t>
            </w:r>
          </w:p>
        </w:tc>
        <w:tc>
          <w:tcPr>
            <w:tcW w:w="681" w:type="pct"/>
            <w:tcBorders>
              <w:top w:val="single" w:sz="4" w:space="0" w:color="auto"/>
              <w:left w:val="nil"/>
              <w:bottom w:val="single" w:sz="4" w:space="0" w:color="auto"/>
              <w:right w:val="nil"/>
            </w:tcBorders>
          </w:tcPr>
          <w:p w14:paraId="5D4F8A8D" w14:textId="2619FA3F" w:rsidR="00CD4846" w:rsidRPr="00CD4846" w:rsidRDefault="00CD4846" w:rsidP="00EE502F">
            <w:pPr>
              <w:widowControl w:val="0"/>
              <w:autoSpaceDE w:val="0"/>
              <w:autoSpaceDN w:val="0"/>
              <w:adjustRightInd w:val="0"/>
              <w:spacing w:line="240" w:lineRule="auto"/>
              <w:rPr>
                <w:rFonts w:cs="Times New Roman"/>
                <w:b/>
                <w:bCs/>
                <w:kern w:val="2"/>
                <w:sz w:val="20"/>
                <w:szCs w:val="20"/>
                <w:lang/>
              </w:rPr>
            </w:pPr>
            <w:r w:rsidRPr="00CD4846">
              <w:rPr>
                <w:rFonts w:cs="Times New Roman"/>
                <w:b/>
                <w:bCs/>
                <w:kern w:val="2"/>
                <w:sz w:val="20"/>
                <w:szCs w:val="20"/>
                <w:lang/>
              </w:rPr>
              <w:t>NAICS 21</w:t>
            </w:r>
          </w:p>
        </w:tc>
        <w:tc>
          <w:tcPr>
            <w:tcW w:w="681" w:type="pct"/>
            <w:tcBorders>
              <w:top w:val="single" w:sz="4" w:space="0" w:color="auto"/>
              <w:left w:val="nil"/>
              <w:bottom w:val="single" w:sz="4" w:space="0" w:color="auto"/>
              <w:right w:val="nil"/>
            </w:tcBorders>
          </w:tcPr>
          <w:p w14:paraId="4F83224E" w14:textId="4DA21BD3" w:rsidR="00CD4846" w:rsidRPr="00CD4846" w:rsidRDefault="00CD4846" w:rsidP="00EE502F">
            <w:pPr>
              <w:widowControl w:val="0"/>
              <w:autoSpaceDE w:val="0"/>
              <w:autoSpaceDN w:val="0"/>
              <w:adjustRightInd w:val="0"/>
              <w:spacing w:line="240" w:lineRule="auto"/>
              <w:rPr>
                <w:rFonts w:cs="Times New Roman"/>
                <w:b/>
                <w:bCs/>
                <w:kern w:val="2"/>
                <w:sz w:val="20"/>
                <w:szCs w:val="20"/>
                <w:lang/>
              </w:rPr>
            </w:pPr>
            <w:r w:rsidRPr="00CD4846">
              <w:rPr>
                <w:rFonts w:cs="Times New Roman"/>
                <w:b/>
                <w:bCs/>
                <w:kern w:val="2"/>
                <w:sz w:val="20"/>
                <w:szCs w:val="20"/>
                <w:lang/>
              </w:rPr>
              <w:t>NAICS 22</w:t>
            </w:r>
          </w:p>
        </w:tc>
        <w:tc>
          <w:tcPr>
            <w:tcW w:w="681" w:type="pct"/>
            <w:tcBorders>
              <w:top w:val="single" w:sz="4" w:space="0" w:color="auto"/>
              <w:left w:val="nil"/>
              <w:bottom w:val="single" w:sz="4" w:space="0" w:color="auto"/>
              <w:right w:val="nil"/>
            </w:tcBorders>
          </w:tcPr>
          <w:p w14:paraId="74C7F76E" w14:textId="5F125ECB" w:rsidR="00CD4846" w:rsidRPr="00CD4846" w:rsidRDefault="00CD4846" w:rsidP="00EE502F">
            <w:pPr>
              <w:widowControl w:val="0"/>
              <w:autoSpaceDE w:val="0"/>
              <w:autoSpaceDN w:val="0"/>
              <w:adjustRightInd w:val="0"/>
              <w:spacing w:line="240" w:lineRule="auto"/>
              <w:rPr>
                <w:rFonts w:cs="Times New Roman"/>
                <w:b/>
                <w:bCs/>
                <w:kern w:val="2"/>
                <w:sz w:val="20"/>
                <w:szCs w:val="20"/>
                <w:lang/>
              </w:rPr>
            </w:pPr>
            <w:r w:rsidRPr="00CD4846">
              <w:rPr>
                <w:rFonts w:cs="Times New Roman"/>
                <w:b/>
                <w:bCs/>
                <w:kern w:val="2"/>
                <w:sz w:val="20"/>
                <w:szCs w:val="20"/>
                <w:lang/>
              </w:rPr>
              <w:t>NAICS 23</w:t>
            </w:r>
          </w:p>
        </w:tc>
        <w:tc>
          <w:tcPr>
            <w:tcW w:w="824" w:type="pct"/>
            <w:tcBorders>
              <w:top w:val="single" w:sz="4" w:space="0" w:color="auto"/>
              <w:left w:val="nil"/>
              <w:bottom w:val="single" w:sz="4" w:space="0" w:color="auto"/>
              <w:right w:val="nil"/>
            </w:tcBorders>
          </w:tcPr>
          <w:p w14:paraId="366C22C9" w14:textId="5ECB7639" w:rsidR="00CD4846" w:rsidRPr="00CD4846" w:rsidRDefault="00CD4846" w:rsidP="00EE502F">
            <w:pPr>
              <w:widowControl w:val="0"/>
              <w:autoSpaceDE w:val="0"/>
              <w:autoSpaceDN w:val="0"/>
              <w:adjustRightInd w:val="0"/>
              <w:spacing w:line="240" w:lineRule="auto"/>
              <w:rPr>
                <w:rFonts w:cs="Times New Roman"/>
                <w:b/>
                <w:bCs/>
                <w:kern w:val="2"/>
                <w:sz w:val="20"/>
                <w:szCs w:val="20"/>
                <w:lang/>
              </w:rPr>
            </w:pPr>
            <w:r w:rsidRPr="00CD4846">
              <w:rPr>
                <w:rFonts w:cs="Times New Roman"/>
                <w:b/>
                <w:bCs/>
                <w:kern w:val="2"/>
                <w:sz w:val="20"/>
                <w:szCs w:val="20"/>
                <w:lang/>
              </w:rPr>
              <w:t>NAICS 31-33</w:t>
            </w:r>
          </w:p>
        </w:tc>
      </w:tr>
      <w:tr w:rsidR="00CD4846" w:rsidRPr="00CD4846" w14:paraId="21AD5975" w14:textId="77777777" w:rsidTr="003959BE">
        <w:tc>
          <w:tcPr>
            <w:tcW w:w="1451" w:type="pct"/>
            <w:tcBorders>
              <w:top w:val="single" w:sz="4" w:space="0" w:color="auto"/>
              <w:left w:val="nil"/>
              <w:bottom w:val="nil"/>
              <w:right w:val="nil"/>
            </w:tcBorders>
          </w:tcPr>
          <w:p w14:paraId="450E3C76"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Broad PAD (t-1)</w:t>
            </w:r>
          </w:p>
        </w:tc>
        <w:tc>
          <w:tcPr>
            <w:tcW w:w="681" w:type="pct"/>
            <w:tcBorders>
              <w:top w:val="single" w:sz="4" w:space="0" w:color="auto"/>
              <w:left w:val="nil"/>
              <w:bottom w:val="nil"/>
              <w:right w:val="nil"/>
            </w:tcBorders>
          </w:tcPr>
          <w:p w14:paraId="4E32524F"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6.666***</w:t>
            </w:r>
          </w:p>
        </w:tc>
        <w:tc>
          <w:tcPr>
            <w:tcW w:w="681" w:type="pct"/>
            <w:tcBorders>
              <w:top w:val="single" w:sz="4" w:space="0" w:color="auto"/>
              <w:left w:val="nil"/>
              <w:bottom w:val="nil"/>
              <w:right w:val="nil"/>
            </w:tcBorders>
          </w:tcPr>
          <w:p w14:paraId="7B8C7990"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0.476</w:t>
            </w:r>
          </w:p>
        </w:tc>
        <w:tc>
          <w:tcPr>
            <w:tcW w:w="681" w:type="pct"/>
            <w:tcBorders>
              <w:top w:val="single" w:sz="4" w:space="0" w:color="auto"/>
              <w:left w:val="nil"/>
              <w:bottom w:val="nil"/>
              <w:right w:val="nil"/>
            </w:tcBorders>
          </w:tcPr>
          <w:p w14:paraId="5720737C"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-10.448***</w:t>
            </w:r>
          </w:p>
        </w:tc>
        <w:tc>
          <w:tcPr>
            <w:tcW w:w="681" w:type="pct"/>
            <w:tcBorders>
              <w:top w:val="single" w:sz="4" w:space="0" w:color="auto"/>
              <w:left w:val="nil"/>
              <w:bottom w:val="nil"/>
              <w:right w:val="nil"/>
            </w:tcBorders>
          </w:tcPr>
          <w:p w14:paraId="12FB44BA"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-0.089</w:t>
            </w:r>
          </w:p>
        </w:tc>
        <w:tc>
          <w:tcPr>
            <w:tcW w:w="824" w:type="pct"/>
            <w:tcBorders>
              <w:top w:val="single" w:sz="4" w:space="0" w:color="auto"/>
              <w:left w:val="nil"/>
              <w:bottom w:val="nil"/>
              <w:right w:val="nil"/>
            </w:tcBorders>
          </w:tcPr>
          <w:p w14:paraId="4C883D88"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1.204</w:t>
            </w:r>
          </w:p>
        </w:tc>
      </w:tr>
      <w:tr w:rsidR="00CD4846" w:rsidRPr="00CD4846" w14:paraId="1CC792A6" w14:textId="77777777" w:rsidTr="003959BE">
        <w:tc>
          <w:tcPr>
            <w:tcW w:w="1451" w:type="pct"/>
            <w:tcBorders>
              <w:top w:val="nil"/>
              <w:left w:val="nil"/>
              <w:bottom w:val="nil"/>
              <w:right w:val="nil"/>
            </w:tcBorders>
          </w:tcPr>
          <w:p w14:paraId="124DA92F"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p>
        </w:tc>
        <w:tc>
          <w:tcPr>
            <w:tcW w:w="681" w:type="pct"/>
            <w:tcBorders>
              <w:top w:val="nil"/>
              <w:left w:val="nil"/>
              <w:bottom w:val="nil"/>
              <w:right w:val="nil"/>
            </w:tcBorders>
          </w:tcPr>
          <w:p w14:paraId="48603515"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(2.001)</w:t>
            </w:r>
          </w:p>
        </w:tc>
        <w:tc>
          <w:tcPr>
            <w:tcW w:w="681" w:type="pct"/>
            <w:tcBorders>
              <w:top w:val="nil"/>
              <w:left w:val="nil"/>
              <w:bottom w:val="nil"/>
              <w:right w:val="nil"/>
            </w:tcBorders>
          </w:tcPr>
          <w:p w14:paraId="2DE14BA2"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(4.033)</w:t>
            </w:r>
          </w:p>
        </w:tc>
        <w:tc>
          <w:tcPr>
            <w:tcW w:w="681" w:type="pct"/>
            <w:tcBorders>
              <w:top w:val="nil"/>
              <w:left w:val="nil"/>
              <w:bottom w:val="nil"/>
              <w:right w:val="nil"/>
            </w:tcBorders>
          </w:tcPr>
          <w:p w14:paraId="371F59FF"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(3.450)</w:t>
            </w:r>
          </w:p>
        </w:tc>
        <w:tc>
          <w:tcPr>
            <w:tcW w:w="681" w:type="pct"/>
            <w:tcBorders>
              <w:top w:val="nil"/>
              <w:left w:val="nil"/>
              <w:bottom w:val="nil"/>
              <w:right w:val="nil"/>
            </w:tcBorders>
          </w:tcPr>
          <w:p w14:paraId="48CC64CD"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(1.208)</w:t>
            </w:r>
          </w:p>
        </w:tc>
        <w:tc>
          <w:tcPr>
            <w:tcW w:w="824" w:type="pct"/>
            <w:tcBorders>
              <w:top w:val="nil"/>
              <w:left w:val="nil"/>
              <w:bottom w:val="nil"/>
              <w:right w:val="nil"/>
            </w:tcBorders>
          </w:tcPr>
          <w:p w14:paraId="6443EC27"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(1.176)</w:t>
            </w:r>
          </w:p>
        </w:tc>
      </w:tr>
      <w:tr w:rsidR="00CD4846" w:rsidRPr="00CD4846" w14:paraId="787C712B" w14:textId="77777777" w:rsidTr="003959BE">
        <w:tc>
          <w:tcPr>
            <w:tcW w:w="1451" w:type="pct"/>
            <w:tcBorders>
              <w:top w:val="nil"/>
              <w:left w:val="nil"/>
              <w:bottom w:val="nil"/>
              <w:right w:val="nil"/>
            </w:tcBorders>
          </w:tcPr>
          <w:p w14:paraId="2F51B529"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Broad PAD Sq.(t-1)</w:t>
            </w:r>
          </w:p>
        </w:tc>
        <w:tc>
          <w:tcPr>
            <w:tcW w:w="681" w:type="pct"/>
            <w:tcBorders>
              <w:top w:val="nil"/>
              <w:left w:val="nil"/>
              <w:bottom w:val="nil"/>
              <w:right w:val="nil"/>
            </w:tcBorders>
          </w:tcPr>
          <w:p w14:paraId="6C9FAAFA"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-4.933**</w:t>
            </w:r>
          </w:p>
        </w:tc>
        <w:tc>
          <w:tcPr>
            <w:tcW w:w="681" w:type="pct"/>
            <w:tcBorders>
              <w:top w:val="nil"/>
              <w:left w:val="nil"/>
              <w:bottom w:val="nil"/>
              <w:right w:val="nil"/>
            </w:tcBorders>
          </w:tcPr>
          <w:p w14:paraId="446F24CB"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0.604</w:t>
            </w:r>
          </w:p>
        </w:tc>
        <w:tc>
          <w:tcPr>
            <w:tcW w:w="681" w:type="pct"/>
            <w:tcBorders>
              <w:top w:val="nil"/>
              <w:left w:val="nil"/>
              <w:bottom w:val="nil"/>
              <w:right w:val="nil"/>
            </w:tcBorders>
          </w:tcPr>
          <w:p w14:paraId="76E34FD7"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10.536***</w:t>
            </w:r>
          </w:p>
        </w:tc>
        <w:tc>
          <w:tcPr>
            <w:tcW w:w="681" w:type="pct"/>
            <w:tcBorders>
              <w:top w:val="nil"/>
              <w:left w:val="nil"/>
              <w:bottom w:val="nil"/>
              <w:right w:val="nil"/>
            </w:tcBorders>
          </w:tcPr>
          <w:p w14:paraId="097AF1FB"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0.350</w:t>
            </w:r>
          </w:p>
        </w:tc>
        <w:tc>
          <w:tcPr>
            <w:tcW w:w="824" w:type="pct"/>
            <w:tcBorders>
              <w:top w:val="nil"/>
              <w:left w:val="nil"/>
              <w:bottom w:val="nil"/>
              <w:right w:val="nil"/>
            </w:tcBorders>
          </w:tcPr>
          <w:p w14:paraId="4CA1DBDC"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-2.044*</w:t>
            </w:r>
          </w:p>
        </w:tc>
      </w:tr>
      <w:tr w:rsidR="00CD4846" w:rsidRPr="00CD4846" w14:paraId="394F7B8B" w14:textId="77777777" w:rsidTr="003959BE">
        <w:tc>
          <w:tcPr>
            <w:tcW w:w="1451" w:type="pct"/>
            <w:tcBorders>
              <w:top w:val="nil"/>
              <w:left w:val="nil"/>
              <w:bottom w:val="nil"/>
              <w:right w:val="nil"/>
            </w:tcBorders>
          </w:tcPr>
          <w:p w14:paraId="590E6E30"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p>
        </w:tc>
        <w:tc>
          <w:tcPr>
            <w:tcW w:w="681" w:type="pct"/>
            <w:tcBorders>
              <w:top w:val="nil"/>
              <w:left w:val="nil"/>
              <w:bottom w:val="nil"/>
              <w:right w:val="nil"/>
            </w:tcBorders>
          </w:tcPr>
          <w:p w14:paraId="19A6131D"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(2.048)</w:t>
            </w:r>
          </w:p>
        </w:tc>
        <w:tc>
          <w:tcPr>
            <w:tcW w:w="681" w:type="pct"/>
            <w:tcBorders>
              <w:top w:val="nil"/>
              <w:left w:val="nil"/>
              <w:bottom w:val="nil"/>
              <w:right w:val="nil"/>
            </w:tcBorders>
          </w:tcPr>
          <w:p w14:paraId="1337F3B0"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(3.661)</w:t>
            </w:r>
          </w:p>
        </w:tc>
        <w:tc>
          <w:tcPr>
            <w:tcW w:w="681" w:type="pct"/>
            <w:tcBorders>
              <w:top w:val="nil"/>
              <w:left w:val="nil"/>
              <w:bottom w:val="nil"/>
              <w:right w:val="nil"/>
            </w:tcBorders>
          </w:tcPr>
          <w:p w14:paraId="648C6A99"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(3.026)</w:t>
            </w:r>
          </w:p>
        </w:tc>
        <w:tc>
          <w:tcPr>
            <w:tcW w:w="681" w:type="pct"/>
            <w:tcBorders>
              <w:top w:val="nil"/>
              <w:left w:val="nil"/>
              <w:bottom w:val="nil"/>
              <w:right w:val="nil"/>
            </w:tcBorders>
          </w:tcPr>
          <w:p w14:paraId="79E24A3E"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(1.159)</w:t>
            </w:r>
          </w:p>
        </w:tc>
        <w:tc>
          <w:tcPr>
            <w:tcW w:w="824" w:type="pct"/>
            <w:tcBorders>
              <w:top w:val="nil"/>
              <w:left w:val="nil"/>
              <w:bottom w:val="nil"/>
              <w:right w:val="nil"/>
            </w:tcBorders>
          </w:tcPr>
          <w:p w14:paraId="7947247B"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(1.059)</w:t>
            </w:r>
          </w:p>
        </w:tc>
      </w:tr>
      <w:tr w:rsidR="00CD4846" w:rsidRPr="00CD4846" w14:paraId="22716497" w14:textId="77777777" w:rsidTr="003959BE">
        <w:tc>
          <w:tcPr>
            <w:tcW w:w="1451" w:type="pct"/>
            <w:tcBorders>
              <w:top w:val="nil"/>
              <w:left w:val="nil"/>
              <w:bottom w:val="nil"/>
              <w:right w:val="nil"/>
            </w:tcBorders>
          </w:tcPr>
          <w:p w14:paraId="39435CE3"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Loc. Economies (t-1) (10ks)</w:t>
            </w:r>
          </w:p>
        </w:tc>
        <w:tc>
          <w:tcPr>
            <w:tcW w:w="681" w:type="pct"/>
            <w:tcBorders>
              <w:top w:val="nil"/>
              <w:left w:val="nil"/>
              <w:bottom w:val="nil"/>
              <w:right w:val="nil"/>
            </w:tcBorders>
          </w:tcPr>
          <w:p w14:paraId="684F3EB0"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-43.446***</w:t>
            </w:r>
          </w:p>
        </w:tc>
        <w:tc>
          <w:tcPr>
            <w:tcW w:w="681" w:type="pct"/>
            <w:tcBorders>
              <w:top w:val="nil"/>
              <w:left w:val="nil"/>
              <w:bottom w:val="nil"/>
              <w:right w:val="nil"/>
            </w:tcBorders>
          </w:tcPr>
          <w:p w14:paraId="4324D80E"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-9.471**</w:t>
            </w:r>
          </w:p>
        </w:tc>
        <w:tc>
          <w:tcPr>
            <w:tcW w:w="681" w:type="pct"/>
            <w:tcBorders>
              <w:top w:val="nil"/>
              <w:left w:val="nil"/>
              <w:bottom w:val="nil"/>
              <w:right w:val="nil"/>
            </w:tcBorders>
          </w:tcPr>
          <w:p w14:paraId="77815D0F"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-132.327***</w:t>
            </w:r>
          </w:p>
        </w:tc>
        <w:tc>
          <w:tcPr>
            <w:tcW w:w="681" w:type="pct"/>
            <w:tcBorders>
              <w:top w:val="nil"/>
              <w:left w:val="nil"/>
              <w:bottom w:val="nil"/>
              <w:right w:val="nil"/>
            </w:tcBorders>
          </w:tcPr>
          <w:p w14:paraId="38DC0FB2"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-0.466***</w:t>
            </w:r>
          </w:p>
        </w:tc>
        <w:tc>
          <w:tcPr>
            <w:tcW w:w="824" w:type="pct"/>
            <w:tcBorders>
              <w:top w:val="nil"/>
              <w:left w:val="nil"/>
              <w:bottom w:val="nil"/>
              <w:right w:val="nil"/>
            </w:tcBorders>
          </w:tcPr>
          <w:p w14:paraId="6D52F441"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-0.653</w:t>
            </w:r>
          </w:p>
        </w:tc>
      </w:tr>
      <w:tr w:rsidR="00CD4846" w:rsidRPr="00CD4846" w14:paraId="4EFF3339" w14:textId="77777777" w:rsidTr="003959BE">
        <w:tc>
          <w:tcPr>
            <w:tcW w:w="1451" w:type="pct"/>
            <w:tcBorders>
              <w:top w:val="nil"/>
              <w:left w:val="nil"/>
              <w:bottom w:val="nil"/>
              <w:right w:val="nil"/>
            </w:tcBorders>
          </w:tcPr>
          <w:p w14:paraId="732CBBCF"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p>
        </w:tc>
        <w:tc>
          <w:tcPr>
            <w:tcW w:w="681" w:type="pct"/>
            <w:tcBorders>
              <w:top w:val="nil"/>
              <w:left w:val="nil"/>
              <w:bottom w:val="nil"/>
              <w:right w:val="nil"/>
            </w:tcBorders>
          </w:tcPr>
          <w:p w14:paraId="162DF4EE"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(7.102)</w:t>
            </w:r>
          </w:p>
        </w:tc>
        <w:tc>
          <w:tcPr>
            <w:tcW w:w="681" w:type="pct"/>
            <w:tcBorders>
              <w:top w:val="nil"/>
              <w:left w:val="nil"/>
              <w:bottom w:val="nil"/>
              <w:right w:val="nil"/>
            </w:tcBorders>
          </w:tcPr>
          <w:p w14:paraId="7C1A0455"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(4.666)</w:t>
            </w:r>
          </w:p>
        </w:tc>
        <w:tc>
          <w:tcPr>
            <w:tcW w:w="681" w:type="pct"/>
            <w:tcBorders>
              <w:top w:val="nil"/>
              <w:left w:val="nil"/>
              <w:bottom w:val="nil"/>
              <w:right w:val="nil"/>
            </w:tcBorders>
          </w:tcPr>
          <w:p w14:paraId="0D2521B9"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(39.101)</w:t>
            </w:r>
          </w:p>
        </w:tc>
        <w:tc>
          <w:tcPr>
            <w:tcW w:w="681" w:type="pct"/>
            <w:tcBorders>
              <w:top w:val="nil"/>
              <w:left w:val="nil"/>
              <w:bottom w:val="nil"/>
              <w:right w:val="nil"/>
            </w:tcBorders>
          </w:tcPr>
          <w:p w14:paraId="648B7EF6"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(0.164)</w:t>
            </w:r>
          </w:p>
        </w:tc>
        <w:tc>
          <w:tcPr>
            <w:tcW w:w="824" w:type="pct"/>
            <w:tcBorders>
              <w:top w:val="nil"/>
              <w:left w:val="nil"/>
              <w:bottom w:val="nil"/>
              <w:right w:val="nil"/>
            </w:tcBorders>
          </w:tcPr>
          <w:p w14:paraId="56928B84"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(0.472)</w:t>
            </w:r>
          </w:p>
        </w:tc>
      </w:tr>
      <w:tr w:rsidR="00CD4846" w:rsidRPr="00CD4846" w14:paraId="198CAE25" w14:textId="77777777" w:rsidTr="003959BE">
        <w:tc>
          <w:tcPr>
            <w:tcW w:w="1451" w:type="pct"/>
            <w:tcBorders>
              <w:top w:val="nil"/>
              <w:left w:val="nil"/>
              <w:bottom w:val="nil"/>
              <w:right w:val="nil"/>
            </w:tcBorders>
          </w:tcPr>
          <w:p w14:paraId="2F5CFD9B"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Median HH Income (100ks)</w:t>
            </w:r>
          </w:p>
        </w:tc>
        <w:tc>
          <w:tcPr>
            <w:tcW w:w="681" w:type="pct"/>
            <w:tcBorders>
              <w:top w:val="nil"/>
              <w:left w:val="nil"/>
              <w:bottom w:val="nil"/>
              <w:right w:val="nil"/>
            </w:tcBorders>
          </w:tcPr>
          <w:p w14:paraId="1D79EC5E"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-0.142</w:t>
            </w:r>
          </w:p>
        </w:tc>
        <w:tc>
          <w:tcPr>
            <w:tcW w:w="681" w:type="pct"/>
            <w:tcBorders>
              <w:top w:val="nil"/>
              <w:left w:val="nil"/>
              <w:bottom w:val="nil"/>
              <w:right w:val="nil"/>
            </w:tcBorders>
          </w:tcPr>
          <w:p w14:paraId="696D8971"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1.112***</w:t>
            </w:r>
          </w:p>
        </w:tc>
        <w:tc>
          <w:tcPr>
            <w:tcW w:w="681" w:type="pct"/>
            <w:tcBorders>
              <w:top w:val="nil"/>
              <w:left w:val="nil"/>
              <w:bottom w:val="nil"/>
              <w:right w:val="nil"/>
            </w:tcBorders>
          </w:tcPr>
          <w:p w14:paraId="2A3EB634"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0.291</w:t>
            </w:r>
          </w:p>
        </w:tc>
        <w:tc>
          <w:tcPr>
            <w:tcW w:w="681" w:type="pct"/>
            <w:tcBorders>
              <w:top w:val="nil"/>
              <w:left w:val="nil"/>
              <w:bottom w:val="nil"/>
              <w:right w:val="nil"/>
            </w:tcBorders>
          </w:tcPr>
          <w:p w14:paraId="42E0AFEC"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0.275*</w:t>
            </w:r>
          </w:p>
        </w:tc>
        <w:tc>
          <w:tcPr>
            <w:tcW w:w="824" w:type="pct"/>
            <w:tcBorders>
              <w:top w:val="nil"/>
              <w:left w:val="nil"/>
              <w:bottom w:val="nil"/>
              <w:right w:val="nil"/>
            </w:tcBorders>
          </w:tcPr>
          <w:p w14:paraId="40C9D211"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-0.248</w:t>
            </w:r>
          </w:p>
        </w:tc>
      </w:tr>
      <w:tr w:rsidR="00CD4846" w:rsidRPr="00CD4846" w14:paraId="2E43F6A8" w14:textId="77777777" w:rsidTr="003959BE">
        <w:tc>
          <w:tcPr>
            <w:tcW w:w="1451" w:type="pct"/>
            <w:tcBorders>
              <w:top w:val="nil"/>
              <w:left w:val="nil"/>
              <w:bottom w:val="nil"/>
              <w:right w:val="nil"/>
            </w:tcBorders>
          </w:tcPr>
          <w:p w14:paraId="45017E5C"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p>
        </w:tc>
        <w:tc>
          <w:tcPr>
            <w:tcW w:w="681" w:type="pct"/>
            <w:tcBorders>
              <w:top w:val="nil"/>
              <w:left w:val="nil"/>
              <w:bottom w:val="nil"/>
              <w:right w:val="nil"/>
            </w:tcBorders>
          </w:tcPr>
          <w:p w14:paraId="65595CBF"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(0.315)</w:t>
            </w:r>
          </w:p>
        </w:tc>
        <w:tc>
          <w:tcPr>
            <w:tcW w:w="681" w:type="pct"/>
            <w:tcBorders>
              <w:top w:val="nil"/>
              <w:left w:val="nil"/>
              <w:bottom w:val="nil"/>
              <w:right w:val="nil"/>
            </w:tcBorders>
          </w:tcPr>
          <w:p w14:paraId="3047F69C"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(0.401)</w:t>
            </w:r>
          </w:p>
        </w:tc>
        <w:tc>
          <w:tcPr>
            <w:tcW w:w="681" w:type="pct"/>
            <w:tcBorders>
              <w:top w:val="nil"/>
              <w:left w:val="nil"/>
              <w:bottom w:val="nil"/>
              <w:right w:val="nil"/>
            </w:tcBorders>
          </w:tcPr>
          <w:p w14:paraId="53CC95BD"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(0.441)</w:t>
            </w:r>
          </w:p>
        </w:tc>
        <w:tc>
          <w:tcPr>
            <w:tcW w:w="681" w:type="pct"/>
            <w:tcBorders>
              <w:top w:val="nil"/>
              <w:left w:val="nil"/>
              <w:bottom w:val="nil"/>
              <w:right w:val="nil"/>
            </w:tcBorders>
          </w:tcPr>
          <w:p w14:paraId="6A99500B"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(0.165)</w:t>
            </w:r>
          </w:p>
        </w:tc>
        <w:tc>
          <w:tcPr>
            <w:tcW w:w="824" w:type="pct"/>
            <w:tcBorders>
              <w:top w:val="nil"/>
              <w:left w:val="nil"/>
              <w:bottom w:val="nil"/>
              <w:right w:val="nil"/>
            </w:tcBorders>
          </w:tcPr>
          <w:p w14:paraId="16A0B4C7"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(0.195)</w:t>
            </w:r>
          </w:p>
        </w:tc>
      </w:tr>
      <w:tr w:rsidR="00CD4846" w:rsidRPr="00CD4846" w14:paraId="6030E529" w14:textId="77777777" w:rsidTr="003959BE">
        <w:tc>
          <w:tcPr>
            <w:tcW w:w="1451" w:type="pct"/>
            <w:tcBorders>
              <w:top w:val="nil"/>
              <w:left w:val="nil"/>
              <w:bottom w:val="nil"/>
              <w:right w:val="nil"/>
            </w:tcBorders>
          </w:tcPr>
          <w:p w14:paraId="005A6600"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Housing Price Index (100s)</w:t>
            </w:r>
          </w:p>
        </w:tc>
        <w:tc>
          <w:tcPr>
            <w:tcW w:w="681" w:type="pct"/>
            <w:tcBorders>
              <w:top w:val="nil"/>
              <w:left w:val="nil"/>
              <w:bottom w:val="nil"/>
              <w:right w:val="nil"/>
            </w:tcBorders>
          </w:tcPr>
          <w:p w14:paraId="2707AEBF"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0.100***</w:t>
            </w:r>
          </w:p>
        </w:tc>
        <w:tc>
          <w:tcPr>
            <w:tcW w:w="681" w:type="pct"/>
            <w:tcBorders>
              <w:top w:val="nil"/>
              <w:left w:val="nil"/>
              <w:bottom w:val="nil"/>
              <w:right w:val="nil"/>
            </w:tcBorders>
          </w:tcPr>
          <w:p w14:paraId="6CC79753"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0.073**</w:t>
            </w:r>
          </w:p>
        </w:tc>
        <w:tc>
          <w:tcPr>
            <w:tcW w:w="681" w:type="pct"/>
            <w:tcBorders>
              <w:top w:val="nil"/>
              <w:left w:val="nil"/>
              <w:bottom w:val="nil"/>
              <w:right w:val="nil"/>
            </w:tcBorders>
          </w:tcPr>
          <w:p w14:paraId="40052D62"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-0.050</w:t>
            </w:r>
          </w:p>
        </w:tc>
        <w:tc>
          <w:tcPr>
            <w:tcW w:w="681" w:type="pct"/>
            <w:tcBorders>
              <w:top w:val="nil"/>
              <w:left w:val="nil"/>
              <w:bottom w:val="nil"/>
              <w:right w:val="nil"/>
            </w:tcBorders>
          </w:tcPr>
          <w:p w14:paraId="21AAE78A"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0.015</w:t>
            </w:r>
          </w:p>
        </w:tc>
        <w:tc>
          <w:tcPr>
            <w:tcW w:w="824" w:type="pct"/>
            <w:tcBorders>
              <w:top w:val="nil"/>
              <w:left w:val="nil"/>
              <w:bottom w:val="nil"/>
              <w:right w:val="nil"/>
            </w:tcBorders>
          </w:tcPr>
          <w:p w14:paraId="348151EE"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0.034***</w:t>
            </w:r>
          </w:p>
        </w:tc>
      </w:tr>
      <w:tr w:rsidR="00CD4846" w:rsidRPr="00CD4846" w14:paraId="53FF4E2E" w14:textId="77777777" w:rsidTr="003959BE">
        <w:tc>
          <w:tcPr>
            <w:tcW w:w="1451" w:type="pct"/>
            <w:tcBorders>
              <w:top w:val="nil"/>
              <w:left w:val="nil"/>
              <w:bottom w:val="nil"/>
              <w:right w:val="nil"/>
            </w:tcBorders>
          </w:tcPr>
          <w:p w14:paraId="4ED43D98"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p>
        </w:tc>
        <w:tc>
          <w:tcPr>
            <w:tcW w:w="681" w:type="pct"/>
            <w:tcBorders>
              <w:top w:val="nil"/>
              <w:left w:val="nil"/>
              <w:bottom w:val="nil"/>
              <w:right w:val="nil"/>
            </w:tcBorders>
          </w:tcPr>
          <w:p w14:paraId="3F4BD90B"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(0.030)</w:t>
            </w:r>
          </w:p>
        </w:tc>
        <w:tc>
          <w:tcPr>
            <w:tcW w:w="681" w:type="pct"/>
            <w:tcBorders>
              <w:top w:val="nil"/>
              <w:left w:val="nil"/>
              <w:bottom w:val="nil"/>
              <w:right w:val="nil"/>
            </w:tcBorders>
          </w:tcPr>
          <w:p w14:paraId="5BD25941"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(0.034)</w:t>
            </w:r>
          </w:p>
        </w:tc>
        <w:tc>
          <w:tcPr>
            <w:tcW w:w="681" w:type="pct"/>
            <w:tcBorders>
              <w:top w:val="nil"/>
              <w:left w:val="nil"/>
              <w:bottom w:val="nil"/>
              <w:right w:val="nil"/>
            </w:tcBorders>
          </w:tcPr>
          <w:p w14:paraId="2FB6FFC9"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(0.032)</w:t>
            </w:r>
          </w:p>
        </w:tc>
        <w:tc>
          <w:tcPr>
            <w:tcW w:w="681" w:type="pct"/>
            <w:tcBorders>
              <w:top w:val="nil"/>
              <w:left w:val="nil"/>
              <w:bottom w:val="nil"/>
              <w:right w:val="nil"/>
            </w:tcBorders>
          </w:tcPr>
          <w:p w14:paraId="1A7F8E73"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(0.013)</w:t>
            </w:r>
          </w:p>
        </w:tc>
        <w:tc>
          <w:tcPr>
            <w:tcW w:w="824" w:type="pct"/>
            <w:tcBorders>
              <w:top w:val="nil"/>
              <w:left w:val="nil"/>
              <w:bottom w:val="nil"/>
              <w:right w:val="nil"/>
            </w:tcBorders>
          </w:tcPr>
          <w:p w14:paraId="2A888FBF"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(0.012)</w:t>
            </w:r>
          </w:p>
        </w:tc>
      </w:tr>
      <w:tr w:rsidR="00CD4846" w:rsidRPr="00CD4846" w14:paraId="4BD15F45" w14:textId="77777777" w:rsidTr="003959BE">
        <w:tc>
          <w:tcPr>
            <w:tcW w:w="1451" w:type="pct"/>
            <w:tcBorders>
              <w:top w:val="nil"/>
              <w:left w:val="nil"/>
              <w:bottom w:val="nil"/>
              <w:right w:val="nil"/>
            </w:tcBorders>
          </w:tcPr>
          <w:p w14:paraId="0467129B"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Poverty rate (100s)</w:t>
            </w:r>
          </w:p>
        </w:tc>
        <w:tc>
          <w:tcPr>
            <w:tcW w:w="681" w:type="pct"/>
            <w:tcBorders>
              <w:top w:val="nil"/>
              <w:left w:val="nil"/>
              <w:bottom w:val="nil"/>
              <w:right w:val="nil"/>
            </w:tcBorders>
          </w:tcPr>
          <w:p w14:paraId="01417A43"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-0.391</w:t>
            </w:r>
          </w:p>
        </w:tc>
        <w:tc>
          <w:tcPr>
            <w:tcW w:w="681" w:type="pct"/>
            <w:tcBorders>
              <w:top w:val="nil"/>
              <w:left w:val="nil"/>
              <w:bottom w:val="nil"/>
              <w:right w:val="nil"/>
            </w:tcBorders>
          </w:tcPr>
          <w:p w14:paraId="47FC076C"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-1.303*</w:t>
            </w:r>
          </w:p>
        </w:tc>
        <w:tc>
          <w:tcPr>
            <w:tcW w:w="681" w:type="pct"/>
            <w:tcBorders>
              <w:top w:val="nil"/>
              <w:left w:val="nil"/>
              <w:bottom w:val="nil"/>
              <w:right w:val="nil"/>
            </w:tcBorders>
          </w:tcPr>
          <w:p w14:paraId="2AB5A516"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0.995</w:t>
            </w:r>
          </w:p>
        </w:tc>
        <w:tc>
          <w:tcPr>
            <w:tcW w:w="681" w:type="pct"/>
            <w:tcBorders>
              <w:top w:val="nil"/>
              <w:left w:val="nil"/>
              <w:bottom w:val="nil"/>
              <w:right w:val="nil"/>
            </w:tcBorders>
          </w:tcPr>
          <w:p w14:paraId="158AFCAF"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-0.075</w:t>
            </w:r>
          </w:p>
        </w:tc>
        <w:tc>
          <w:tcPr>
            <w:tcW w:w="824" w:type="pct"/>
            <w:tcBorders>
              <w:top w:val="nil"/>
              <w:left w:val="nil"/>
              <w:bottom w:val="nil"/>
              <w:right w:val="nil"/>
            </w:tcBorders>
          </w:tcPr>
          <w:p w14:paraId="100C8830"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-0.480*</w:t>
            </w:r>
          </w:p>
        </w:tc>
      </w:tr>
      <w:tr w:rsidR="00CD4846" w:rsidRPr="00CD4846" w14:paraId="6DD830C2" w14:textId="77777777" w:rsidTr="003959BE">
        <w:tc>
          <w:tcPr>
            <w:tcW w:w="1451" w:type="pct"/>
            <w:tcBorders>
              <w:top w:val="nil"/>
              <w:left w:val="nil"/>
              <w:bottom w:val="nil"/>
              <w:right w:val="nil"/>
            </w:tcBorders>
          </w:tcPr>
          <w:p w14:paraId="3A40BEFF"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p>
        </w:tc>
        <w:tc>
          <w:tcPr>
            <w:tcW w:w="681" w:type="pct"/>
            <w:tcBorders>
              <w:top w:val="nil"/>
              <w:left w:val="nil"/>
              <w:bottom w:val="nil"/>
              <w:right w:val="nil"/>
            </w:tcBorders>
          </w:tcPr>
          <w:p w14:paraId="60EC09D0"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(0.510)</w:t>
            </w:r>
          </w:p>
        </w:tc>
        <w:tc>
          <w:tcPr>
            <w:tcW w:w="681" w:type="pct"/>
            <w:tcBorders>
              <w:top w:val="nil"/>
              <w:left w:val="nil"/>
              <w:bottom w:val="nil"/>
              <w:right w:val="nil"/>
            </w:tcBorders>
          </w:tcPr>
          <w:p w14:paraId="5A414DD9"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(0.666)</w:t>
            </w:r>
          </w:p>
        </w:tc>
        <w:tc>
          <w:tcPr>
            <w:tcW w:w="681" w:type="pct"/>
            <w:tcBorders>
              <w:top w:val="nil"/>
              <w:left w:val="nil"/>
              <w:bottom w:val="nil"/>
              <w:right w:val="nil"/>
            </w:tcBorders>
          </w:tcPr>
          <w:p w14:paraId="16545D25"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(0.705)</w:t>
            </w:r>
          </w:p>
        </w:tc>
        <w:tc>
          <w:tcPr>
            <w:tcW w:w="681" w:type="pct"/>
            <w:tcBorders>
              <w:top w:val="nil"/>
              <w:left w:val="nil"/>
              <w:bottom w:val="nil"/>
              <w:right w:val="nil"/>
            </w:tcBorders>
          </w:tcPr>
          <w:p w14:paraId="3D8609B7"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(0.296)</w:t>
            </w:r>
          </w:p>
        </w:tc>
        <w:tc>
          <w:tcPr>
            <w:tcW w:w="824" w:type="pct"/>
            <w:tcBorders>
              <w:top w:val="nil"/>
              <w:left w:val="nil"/>
              <w:bottom w:val="nil"/>
              <w:right w:val="nil"/>
            </w:tcBorders>
          </w:tcPr>
          <w:p w14:paraId="5A2F90F0"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(0.256)</w:t>
            </w:r>
          </w:p>
        </w:tc>
      </w:tr>
      <w:tr w:rsidR="00CD4846" w:rsidRPr="00CD4846" w14:paraId="4437E5D5" w14:textId="77777777" w:rsidTr="003959BE">
        <w:tc>
          <w:tcPr>
            <w:tcW w:w="1451" w:type="pct"/>
            <w:tcBorders>
              <w:top w:val="nil"/>
              <w:left w:val="nil"/>
              <w:bottom w:val="nil"/>
              <w:right w:val="nil"/>
            </w:tcBorders>
          </w:tcPr>
          <w:p w14:paraId="19D3800F"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Avg annual wages (100k)</w:t>
            </w:r>
          </w:p>
        </w:tc>
        <w:tc>
          <w:tcPr>
            <w:tcW w:w="681" w:type="pct"/>
            <w:tcBorders>
              <w:top w:val="nil"/>
              <w:left w:val="nil"/>
              <w:bottom w:val="nil"/>
              <w:right w:val="nil"/>
            </w:tcBorders>
          </w:tcPr>
          <w:p w14:paraId="61E48368"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0.020</w:t>
            </w:r>
          </w:p>
        </w:tc>
        <w:tc>
          <w:tcPr>
            <w:tcW w:w="681" w:type="pct"/>
            <w:tcBorders>
              <w:top w:val="nil"/>
              <w:left w:val="nil"/>
              <w:bottom w:val="nil"/>
              <w:right w:val="nil"/>
            </w:tcBorders>
          </w:tcPr>
          <w:p w14:paraId="16922352"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0.002</w:t>
            </w:r>
          </w:p>
        </w:tc>
        <w:tc>
          <w:tcPr>
            <w:tcW w:w="681" w:type="pct"/>
            <w:tcBorders>
              <w:top w:val="nil"/>
              <w:left w:val="nil"/>
              <w:bottom w:val="nil"/>
              <w:right w:val="nil"/>
            </w:tcBorders>
          </w:tcPr>
          <w:p w14:paraId="7F61C1E6"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-0.008</w:t>
            </w:r>
          </w:p>
        </w:tc>
        <w:tc>
          <w:tcPr>
            <w:tcW w:w="681" w:type="pct"/>
            <w:tcBorders>
              <w:top w:val="nil"/>
              <w:left w:val="nil"/>
              <w:bottom w:val="nil"/>
              <w:right w:val="nil"/>
            </w:tcBorders>
          </w:tcPr>
          <w:p w14:paraId="64588ED6"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0.002</w:t>
            </w:r>
          </w:p>
        </w:tc>
        <w:tc>
          <w:tcPr>
            <w:tcW w:w="824" w:type="pct"/>
            <w:tcBorders>
              <w:top w:val="nil"/>
              <w:left w:val="nil"/>
              <w:bottom w:val="nil"/>
              <w:right w:val="nil"/>
            </w:tcBorders>
          </w:tcPr>
          <w:p w14:paraId="346C925E"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-0.012</w:t>
            </w:r>
          </w:p>
        </w:tc>
      </w:tr>
      <w:tr w:rsidR="00CD4846" w:rsidRPr="00CD4846" w14:paraId="5CB40DD8" w14:textId="77777777" w:rsidTr="003959BE">
        <w:tc>
          <w:tcPr>
            <w:tcW w:w="1451" w:type="pct"/>
            <w:tcBorders>
              <w:top w:val="nil"/>
              <w:left w:val="nil"/>
              <w:bottom w:val="nil"/>
              <w:right w:val="nil"/>
            </w:tcBorders>
          </w:tcPr>
          <w:p w14:paraId="2F78F35F"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p>
        </w:tc>
        <w:tc>
          <w:tcPr>
            <w:tcW w:w="681" w:type="pct"/>
            <w:tcBorders>
              <w:top w:val="nil"/>
              <w:left w:val="nil"/>
              <w:bottom w:val="nil"/>
              <w:right w:val="nil"/>
            </w:tcBorders>
          </w:tcPr>
          <w:p w14:paraId="4E1D58EE"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(0.013)</w:t>
            </w:r>
          </w:p>
        </w:tc>
        <w:tc>
          <w:tcPr>
            <w:tcW w:w="681" w:type="pct"/>
            <w:tcBorders>
              <w:top w:val="nil"/>
              <w:left w:val="nil"/>
              <w:bottom w:val="nil"/>
              <w:right w:val="nil"/>
            </w:tcBorders>
          </w:tcPr>
          <w:p w14:paraId="56E97EFF"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(0.006)</w:t>
            </w:r>
          </w:p>
        </w:tc>
        <w:tc>
          <w:tcPr>
            <w:tcW w:w="681" w:type="pct"/>
            <w:tcBorders>
              <w:top w:val="nil"/>
              <w:left w:val="nil"/>
              <w:bottom w:val="nil"/>
              <w:right w:val="nil"/>
            </w:tcBorders>
          </w:tcPr>
          <w:p w14:paraId="56B9E2FD"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(0.012)</w:t>
            </w:r>
          </w:p>
        </w:tc>
        <w:tc>
          <w:tcPr>
            <w:tcW w:w="681" w:type="pct"/>
            <w:tcBorders>
              <w:top w:val="nil"/>
              <w:left w:val="nil"/>
              <w:bottom w:val="nil"/>
              <w:right w:val="nil"/>
            </w:tcBorders>
          </w:tcPr>
          <w:p w14:paraId="3445E265"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(0.011)</w:t>
            </w:r>
          </w:p>
        </w:tc>
        <w:tc>
          <w:tcPr>
            <w:tcW w:w="824" w:type="pct"/>
            <w:tcBorders>
              <w:top w:val="nil"/>
              <w:left w:val="nil"/>
              <w:bottom w:val="nil"/>
              <w:right w:val="nil"/>
            </w:tcBorders>
          </w:tcPr>
          <w:p w14:paraId="780B1867"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(0.008)</w:t>
            </w:r>
          </w:p>
        </w:tc>
      </w:tr>
      <w:tr w:rsidR="00CD4846" w:rsidRPr="00CD4846" w14:paraId="67B34B74" w14:textId="77777777" w:rsidTr="003959BE">
        <w:tc>
          <w:tcPr>
            <w:tcW w:w="1451" w:type="pct"/>
            <w:tcBorders>
              <w:top w:val="nil"/>
              <w:left w:val="nil"/>
              <w:bottom w:val="nil"/>
              <w:right w:val="nil"/>
            </w:tcBorders>
          </w:tcPr>
          <w:p w14:paraId="0283FD00"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Attain. Status - CO (t-1)</w:t>
            </w:r>
          </w:p>
        </w:tc>
        <w:tc>
          <w:tcPr>
            <w:tcW w:w="681" w:type="pct"/>
            <w:tcBorders>
              <w:top w:val="nil"/>
              <w:left w:val="nil"/>
              <w:bottom w:val="nil"/>
              <w:right w:val="nil"/>
            </w:tcBorders>
          </w:tcPr>
          <w:p w14:paraId="1C8DA133"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-0.020</w:t>
            </w:r>
          </w:p>
        </w:tc>
        <w:tc>
          <w:tcPr>
            <w:tcW w:w="681" w:type="pct"/>
            <w:tcBorders>
              <w:top w:val="nil"/>
              <w:left w:val="nil"/>
              <w:bottom w:val="nil"/>
              <w:right w:val="nil"/>
            </w:tcBorders>
          </w:tcPr>
          <w:p w14:paraId="006DDDDA"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0.591</w:t>
            </w:r>
          </w:p>
        </w:tc>
        <w:tc>
          <w:tcPr>
            <w:tcW w:w="681" w:type="pct"/>
            <w:tcBorders>
              <w:top w:val="nil"/>
              <w:left w:val="nil"/>
              <w:bottom w:val="nil"/>
              <w:right w:val="nil"/>
            </w:tcBorders>
          </w:tcPr>
          <w:p w14:paraId="11E4A0C8"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1.939***</w:t>
            </w:r>
          </w:p>
        </w:tc>
        <w:tc>
          <w:tcPr>
            <w:tcW w:w="681" w:type="pct"/>
            <w:tcBorders>
              <w:top w:val="nil"/>
              <w:left w:val="nil"/>
              <w:bottom w:val="nil"/>
              <w:right w:val="nil"/>
            </w:tcBorders>
          </w:tcPr>
          <w:p w14:paraId="0AF8CF0F"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0.682**</w:t>
            </w:r>
          </w:p>
        </w:tc>
        <w:tc>
          <w:tcPr>
            <w:tcW w:w="824" w:type="pct"/>
            <w:tcBorders>
              <w:top w:val="nil"/>
              <w:left w:val="nil"/>
              <w:bottom w:val="nil"/>
              <w:right w:val="nil"/>
            </w:tcBorders>
          </w:tcPr>
          <w:p w14:paraId="062C2C7C"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0.028</w:t>
            </w:r>
          </w:p>
        </w:tc>
      </w:tr>
      <w:tr w:rsidR="00CD4846" w:rsidRPr="00CD4846" w14:paraId="6A27433C" w14:textId="77777777" w:rsidTr="003959BE">
        <w:tc>
          <w:tcPr>
            <w:tcW w:w="1451" w:type="pct"/>
            <w:tcBorders>
              <w:top w:val="nil"/>
              <w:left w:val="nil"/>
              <w:bottom w:val="nil"/>
              <w:right w:val="nil"/>
            </w:tcBorders>
          </w:tcPr>
          <w:p w14:paraId="64627E63"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p>
        </w:tc>
        <w:tc>
          <w:tcPr>
            <w:tcW w:w="681" w:type="pct"/>
            <w:tcBorders>
              <w:top w:val="nil"/>
              <w:left w:val="nil"/>
              <w:bottom w:val="nil"/>
              <w:right w:val="nil"/>
            </w:tcBorders>
          </w:tcPr>
          <w:p w14:paraId="31978B03"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(0.320)</w:t>
            </w:r>
          </w:p>
        </w:tc>
        <w:tc>
          <w:tcPr>
            <w:tcW w:w="681" w:type="pct"/>
            <w:tcBorders>
              <w:top w:val="nil"/>
              <w:left w:val="nil"/>
              <w:bottom w:val="nil"/>
              <w:right w:val="nil"/>
            </w:tcBorders>
          </w:tcPr>
          <w:p w14:paraId="1DBCACE9"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(0.752)</w:t>
            </w:r>
          </w:p>
        </w:tc>
        <w:tc>
          <w:tcPr>
            <w:tcW w:w="681" w:type="pct"/>
            <w:tcBorders>
              <w:top w:val="nil"/>
              <w:left w:val="nil"/>
              <w:bottom w:val="nil"/>
              <w:right w:val="nil"/>
            </w:tcBorders>
          </w:tcPr>
          <w:p w14:paraId="6A4230AC"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(0.699)</w:t>
            </w:r>
          </w:p>
        </w:tc>
        <w:tc>
          <w:tcPr>
            <w:tcW w:w="681" w:type="pct"/>
            <w:tcBorders>
              <w:top w:val="nil"/>
              <w:left w:val="nil"/>
              <w:bottom w:val="nil"/>
              <w:right w:val="nil"/>
            </w:tcBorders>
          </w:tcPr>
          <w:p w14:paraId="08522203"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(0.313)</w:t>
            </w:r>
          </w:p>
        </w:tc>
        <w:tc>
          <w:tcPr>
            <w:tcW w:w="824" w:type="pct"/>
            <w:tcBorders>
              <w:top w:val="nil"/>
              <w:left w:val="nil"/>
              <w:bottom w:val="nil"/>
              <w:right w:val="nil"/>
            </w:tcBorders>
          </w:tcPr>
          <w:p w14:paraId="51EF734D"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(0.214)</w:t>
            </w:r>
          </w:p>
        </w:tc>
      </w:tr>
      <w:tr w:rsidR="00CD4846" w:rsidRPr="00CD4846" w14:paraId="79F3ECC4" w14:textId="77777777" w:rsidTr="003959BE">
        <w:tc>
          <w:tcPr>
            <w:tcW w:w="1451" w:type="pct"/>
            <w:tcBorders>
              <w:top w:val="nil"/>
              <w:left w:val="nil"/>
              <w:bottom w:val="nil"/>
              <w:right w:val="nil"/>
            </w:tcBorders>
          </w:tcPr>
          <w:p w14:paraId="7F4B5512"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Attain. Status - Pb (t-1)</w:t>
            </w:r>
          </w:p>
        </w:tc>
        <w:tc>
          <w:tcPr>
            <w:tcW w:w="681" w:type="pct"/>
            <w:tcBorders>
              <w:top w:val="nil"/>
              <w:left w:val="nil"/>
              <w:bottom w:val="nil"/>
              <w:right w:val="nil"/>
            </w:tcBorders>
          </w:tcPr>
          <w:p w14:paraId="080B928C"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0.014</w:t>
            </w:r>
          </w:p>
        </w:tc>
        <w:tc>
          <w:tcPr>
            <w:tcW w:w="681" w:type="pct"/>
            <w:tcBorders>
              <w:top w:val="nil"/>
              <w:left w:val="nil"/>
              <w:bottom w:val="nil"/>
              <w:right w:val="nil"/>
            </w:tcBorders>
          </w:tcPr>
          <w:p w14:paraId="3F01B3D7"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0.044</w:t>
            </w:r>
          </w:p>
        </w:tc>
        <w:tc>
          <w:tcPr>
            <w:tcW w:w="681" w:type="pct"/>
            <w:tcBorders>
              <w:top w:val="nil"/>
              <w:left w:val="nil"/>
              <w:bottom w:val="nil"/>
              <w:right w:val="nil"/>
            </w:tcBorders>
          </w:tcPr>
          <w:p w14:paraId="3F5D14AD"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-0.150</w:t>
            </w:r>
          </w:p>
        </w:tc>
        <w:tc>
          <w:tcPr>
            <w:tcW w:w="681" w:type="pct"/>
            <w:tcBorders>
              <w:top w:val="nil"/>
              <w:left w:val="nil"/>
              <w:bottom w:val="nil"/>
              <w:right w:val="nil"/>
            </w:tcBorders>
          </w:tcPr>
          <w:p w14:paraId="70EEF4F4"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0.065</w:t>
            </w:r>
          </w:p>
        </w:tc>
        <w:tc>
          <w:tcPr>
            <w:tcW w:w="824" w:type="pct"/>
            <w:tcBorders>
              <w:top w:val="nil"/>
              <w:left w:val="nil"/>
              <w:bottom w:val="nil"/>
              <w:right w:val="nil"/>
            </w:tcBorders>
          </w:tcPr>
          <w:p w14:paraId="1A38391E"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-0.082</w:t>
            </w:r>
          </w:p>
        </w:tc>
      </w:tr>
      <w:tr w:rsidR="00CD4846" w:rsidRPr="00CD4846" w14:paraId="5C8DF08E" w14:textId="77777777" w:rsidTr="003959BE">
        <w:tc>
          <w:tcPr>
            <w:tcW w:w="1451" w:type="pct"/>
            <w:tcBorders>
              <w:top w:val="nil"/>
              <w:left w:val="nil"/>
              <w:bottom w:val="nil"/>
              <w:right w:val="nil"/>
            </w:tcBorders>
          </w:tcPr>
          <w:p w14:paraId="1DCF163D"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p>
        </w:tc>
        <w:tc>
          <w:tcPr>
            <w:tcW w:w="681" w:type="pct"/>
            <w:tcBorders>
              <w:top w:val="nil"/>
              <w:left w:val="nil"/>
              <w:bottom w:val="nil"/>
              <w:right w:val="nil"/>
            </w:tcBorders>
          </w:tcPr>
          <w:p w14:paraId="2C94DF87"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(0.111)</w:t>
            </w:r>
          </w:p>
        </w:tc>
        <w:tc>
          <w:tcPr>
            <w:tcW w:w="681" w:type="pct"/>
            <w:tcBorders>
              <w:top w:val="nil"/>
              <w:left w:val="nil"/>
              <w:bottom w:val="nil"/>
              <w:right w:val="nil"/>
            </w:tcBorders>
          </w:tcPr>
          <w:p w14:paraId="66500ED0"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(0.124)</w:t>
            </w:r>
          </w:p>
        </w:tc>
        <w:tc>
          <w:tcPr>
            <w:tcW w:w="681" w:type="pct"/>
            <w:tcBorders>
              <w:top w:val="nil"/>
              <w:left w:val="nil"/>
              <w:bottom w:val="nil"/>
              <w:right w:val="nil"/>
            </w:tcBorders>
          </w:tcPr>
          <w:p w14:paraId="28553A6C"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(0.155)</w:t>
            </w:r>
          </w:p>
        </w:tc>
        <w:tc>
          <w:tcPr>
            <w:tcW w:w="681" w:type="pct"/>
            <w:tcBorders>
              <w:top w:val="nil"/>
              <w:left w:val="nil"/>
              <w:bottom w:val="nil"/>
              <w:right w:val="nil"/>
            </w:tcBorders>
          </w:tcPr>
          <w:p w14:paraId="68AF1A8C"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(0.063)</w:t>
            </w:r>
          </w:p>
        </w:tc>
        <w:tc>
          <w:tcPr>
            <w:tcW w:w="824" w:type="pct"/>
            <w:tcBorders>
              <w:top w:val="nil"/>
              <w:left w:val="nil"/>
              <w:bottom w:val="nil"/>
              <w:right w:val="nil"/>
            </w:tcBorders>
          </w:tcPr>
          <w:p w14:paraId="209A5A7B"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(0.053)</w:t>
            </w:r>
          </w:p>
        </w:tc>
      </w:tr>
      <w:tr w:rsidR="00CD4846" w:rsidRPr="00CD4846" w14:paraId="7BC0549E" w14:textId="77777777" w:rsidTr="003959BE">
        <w:tc>
          <w:tcPr>
            <w:tcW w:w="1451" w:type="pct"/>
            <w:tcBorders>
              <w:top w:val="nil"/>
              <w:left w:val="nil"/>
              <w:bottom w:val="nil"/>
              <w:right w:val="nil"/>
            </w:tcBorders>
          </w:tcPr>
          <w:p w14:paraId="4C52698D"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Attain. Status - O3 (t-1)</w:t>
            </w:r>
          </w:p>
        </w:tc>
        <w:tc>
          <w:tcPr>
            <w:tcW w:w="681" w:type="pct"/>
            <w:tcBorders>
              <w:top w:val="nil"/>
              <w:left w:val="nil"/>
              <w:bottom w:val="nil"/>
              <w:right w:val="nil"/>
            </w:tcBorders>
          </w:tcPr>
          <w:p w14:paraId="10A82AA1"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0.126***</w:t>
            </w:r>
          </w:p>
        </w:tc>
        <w:tc>
          <w:tcPr>
            <w:tcW w:w="681" w:type="pct"/>
            <w:tcBorders>
              <w:top w:val="nil"/>
              <w:left w:val="nil"/>
              <w:bottom w:val="nil"/>
              <w:right w:val="nil"/>
            </w:tcBorders>
          </w:tcPr>
          <w:p w14:paraId="1E782540"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0.146***</w:t>
            </w:r>
          </w:p>
        </w:tc>
        <w:tc>
          <w:tcPr>
            <w:tcW w:w="681" w:type="pct"/>
            <w:tcBorders>
              <w:top w:val="nil"/>
              <w:left w:val="nil"/>
              <w:bottom w:val="nil"/>
              <w:right w:val="nil"/>
            </w:tcBorders>
          </w:tcPr>
          <w:p w14:paraId="0239DC06"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0.131***</w:t>
            </w:r>
          </w:p>
        </w:tc>
        <w:tc>
          <w:tcPr>
            <w:tcW w:w="681" w:type="pct"/>
            <w:tcBorders>
              <w:top w:val="nil"/>
              <w:left w:val="nil"/>
              <w:bottom w:val="nil"/>
              <w:right w:val="nil"/>
            </w:tcBorders>
          </w:tcPr>
          <w:p w14:paraId="00BA8882"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0.113***</w:t>
            </w:r>
          </w:p>
        </w:tc>
        <w:tc>
          <w:tcPr>
            <w:tcW w:w="824" w:type="pct"/>
            <w:tcBorders>
              <w:top w:val="nil"/>
              <w:left w:val="nil"/>
              <w:bottom w:val="nil"/>
              <w:right w:val="nil"/>
            </w:tcBorders>
          </w:tcPr>
          <w:p w14:paraId="0F138ACB"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0.099***</w:t>
            </w:r>
          </w:p>
        </w:tc>
      </w:tr>
      <w:tr w:rsidR="00CD4846" w:rsidRPr="00CD4846" w14:paraId="3BC0FE4B" w14:textId="77777777" w:rsidTr="003959BE">
        <w:tc>
          <w:tcPr>
            <w:tcW w:w="1451" w:type="pct"/>
            <w:tcBorders>
              <w:top w:val="nil"/>
              <w:left w:val="nil"/>
              <w:bottom w:val="nil"/>
              <w:right w:val="nil"/>
            </w:tcBorders>
          </w:tcPr>
          <w:p w14:paraId="1C7B3E66"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p>
        </w:tc>
        <w:tc>
          <w:tcPr>
            <w:tcW w:w="681" w:type="pct"/>
            <w:tcBorders>
              <w:top w:val="nil"/>
              <w:left w:val="nil"/>
              <w:bottom w:val="nil"/>
              <w:right w:val="nil"/>
            </w:tcBorders>
          </w:tcPr>
          <w:p w14:paraId="3F1584A1"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(0.037)</w:t>
            </w:r>
          </w:p>
        </w:tc>
        <w:tc>
          <w:tcPr>
            <w:tcW w:w="681" w:type="pct"/>
            <w:tcBorders>
              <w:top w:val="nil"/>
              <w:left w:val="nil"/>
              <w:bottom w:val="nil"/>
              <w:right w:val="nil"/>
            </w:tcBorders>
          </w:tcPr>
          <w:p w14:paraId="378DE975"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(0.038)</w:t>
            </w:r>
          </w:p>
        </w:tc>
        <w:tc>
          <w:tcPr>
            <w:tcW w:w="681" w:type="pct"/>
            <w:tcBorders>
              <w:top w:val="nil"/>
              <w:left w:val="nil"/>
              <w:bottom w:val="nil"/>
              <w:right w:val="nil"/>
            </w:tcBorders>
          </w:tcPr>
          <w:p w14:paraId="5A420698"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(0.047)</w:t>
            </w:r>
          </w:p>
        </w:tc>
        <w:tc>
          <w:tcPr>
            <w:tcW w:w="681" w:type="pct"/>
            <w:tcBorders>
              <w:top w:val="nil"/>
              <w:left w:val="nil"/>
              <w:bottom w:val="nil"/>
              <w:right w:val="nil"/>
            </w:tcBorders>
          </w:tcPr>
          <w:p w14:paraId="3203CDEF"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(0.029)</w:t>
            </w:r>
          </w:p>
        </w:tc>
        <w:tc>
          <w:tcPr>
            <w:tcW w:w="824" w:type="pct"/>
            <w:tcBorders>
              <w:top w:val="nil"/>
              <w:left w:val="nil"/>
              <w:bottom w:val="nil"/>
              <w:right w:val="nil"/>
            </w:tcBorders>
          </w:tcPr>
          <w:p w14:paraId="5700260F"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(0.024)</w:t>
            </w:r>
          </w:p>
        </w:tc>
      </w:tr>
      <w:tr w:rsidR="00CD4846" w:rsidRPr="00CD4846" w14:paraId="4E416BD0" w14:textId="77777777" w:rsidTr="003959BE">
        <w:tc>
          <w:tcPr>
            <w:tcW w:w="1451" w:type="pct"/>
            <w:tcBorders>
              <w:top w:val="nil"/>
              <w:left w:val="nil"/>
              <w:bottom w:val="nil"/>
              <w:right w:val="nil"/>
            </w:tcBorders>
          </w:tcPr>
          <w:p w14:paraId="75E84BD9"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Attain. Status - PM (t-1)</w:t>
            </w:r>
          </w:p>
        </w:tc>
        <w:tc>
          <w:tcPr>
            <w:tcW w:w="681" w:type="pct"/>
            <w:tcBorders>
              <w:top w:val="nil"/>
              <w:left w:val="nil"/>
              <w:bottom w:val="nil"/>
              <w:right w:val="nil"/>
            </w:tcBorders>
          </w:tcPr>
          <w:p w14:paraId="6BB2C468"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-0.030</w:t>
            </w:r>
          </w:p>
        </w:tc>
        <w:tc>
          <w:tcPr>
            <w:tcW w:w="681" w:type="pct"/>
            <w:tcBorders>
              <w:top w:val="nil"/>
              <w:left w:val="nil"/>
              <w:bottom w:val="nil"/>
              <w:right w:val="nil"/>
            </w:tcBorders>
          </w:tcPr>
          <w:p w14:paraId="4425BE4B"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-0.048</w:t>
            </w:r>
          </w:p>
        </w:tc>
        <w:tc>
          <w:tcPr>
            <w:tcW w:w="681" w:type="pct"/>
            <w:tcBorders>
              <w:top w:val="nil"/>
              <w:left w:val="nil"/>
              <w:bottom w:val="nil"/>
              <w:right w:val="nil"/>
            </w:tcBorders>
          </w:tcPr>
          <w:p w14:paraId="77022E77"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0.123***</w:t>
            </w:r>
          </w:p>
        </w:tc>
        <w:tc>
          <w:tcPr>
            <w:tcW w:w="681" w:type="pct"/>
            <w:tcBorders>
              <w:top w:val="nil"/>
              <w:left w:val="nil"/>
              <w:bottom w:val="nil"/>
              <w:right w:val="nil"/>
            </w:tcBorders>
          </w:tcPr>
          <w:p w14:paraId="29BD88AA"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-0.035***</w:t>
            </w:r>
          </w:p>
        </w:tc>
        <w:tc>
          <w:tcPr>
            <w:tcW w:w="824" w:type="pct"/>
            <w:tcBorders>
              <w:top w:val="nil"/>
              <w:left w:val="nil"/>
              <w:bottom w:val="nil"/>
              <w:right w:val="nil"/>
            </w:tcBorders>
          </w:tcPr>
          <w:p w14:paraId="673097EE"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-0.011</w:t>
            </w:r>
          </w:p>
        </w:tc>
      </w:tr>
      <w:tr w:rsidR="00CD4846" w:rsidRPr="00CD4846" w14:paraId="64726FC0" w14:textId="77777777" w:rsidTr="003959BE">
        <w:tc>
          <w:tcPr>
            <w:tcW w:w="1451" w:type="pct"/>
            <w:tcBorders>
              <w:top w:val="nil"/>
              <w:left w:val="nil"/>
              <w:bottom w:val="nil"/>
              <w:right w:val="nil"/>
            </w:tcBorders>
          </w:tcPr>
          <w:p w14:paraId="3ED1E90C"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p>
        </w:tc>
        <w:tc>
          <w:tcPr>
            <w:tcW w:w="681" w:type="pct"/>
            <w:tcBorders>
              <w:top w:val="nil"/>
              <w:left w:val="nil"/>
              <w:bottom w:val="nil"/>
              <w:right w:val="nil"/>
            </w:tcBorders>
          </w:tcPr>
          <w:p w14:paraId="15E64D13"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(0.022)</w:t>
            </w:r>
          </w:p>
        </w:tc>
        <w:tc>
          <w:tcPr>
            <w:tcW w:w="681" w:type="pct"/>
            <w:tcBorders>
              <w:top w:val="nil"/>
              <w:left w:val="nil"/>
              <w:bottom w:val="nil"/>
              <w:right w:val="nil"/>
            </w:tcBorders>
          </w:tcPr>
          <w:p w14:paraId="3F2791F7"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(0.031)</w:t>
            </w:r>
          </w:p>
        </w:tc>
        <w:tc>
          <w:tcPr>
            <w:tcW w:w="681" w:type="pct"/>
            <w:tcBorders>
              <w:top w:val="nil"/>
              <w:left w:val="nil"/>
              <w:bottom w:val="nil"/>
              <w:right w:val="nil"/>
            </w:tcBorders>
          </w:tcPr>
          <w:p w14:paraId="6C17962E"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(0.034)</w:t>
            </w:r>
          </w:p>
        </w:tc>
        <w:tc>
          <w:tcPr>
            <w:tcW w:w="681" w:type="pct"/>
            <w:tcBorders>
              <w:top w:val="nil"/>
              <w:left w:val="nil"/>
              <w:bottom w:val="nil"/>
              <w:right w:val="nil"/>
            </w:tcBorders>
          </w:tcPr>
          <w:p w14:paraId="5FE960AA"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(0.014)</w:t>
            </w:r>
          </w:p>
        </w:tc>
        <w:tc>
          <w:tcPr>
            <w:tcW w:w="824" w:type="pct"/>
            <w:tcBorders>
              <w:top w:val="nil"/>
              <w:left w:val="nil"/>
              <w:bottom w:val="nil"/>
              <w:right w:val="nil"/>
            </w:tcBorders>
          </w:tcPr>
          <w:p w14:paraId="172E40A3"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(0.016)</w:t>
            </w:r>
          </w:p>
        </w:tc>
      </w:tr>
      <w:tr w:rsidR="00CD4846" w:rsidRPr="00CD4846" w14:paraId="03F78079" w14:textId="77777777" w:rsidTr="003959BE">
        <w:tc>
          <w:tcPr>
            <w:tcW w:w="1451" w:type="pct"/>
            <w:tcBorders>
              <w:top w:val="nil"/>
              <w:left w:val="nil"/>
              <w:bottom w:val="nil"/>
              <w:right w:val="nil"/>
            </w:tcBorders>
          </w:tcPr>
          <w:p w14:paraId="1535FDFB"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Attain. Status - SO2 (t-1)</w:t>
            </w:r>
          </w:p>
        </w:tc>
        <w:tc>
          <w:tcPr>
            <w:tcW w:w="681" w:type="pct"/>
            <w:tcBorders>
              <w:top w:val="nil"/>
              <w:left w:val="nil"/>
              <w:bottom w:val="nil"/>
              <w:right w:val="nil"/>
            </w:tcBorders>
          </w:tcPr>
          <w:p w14:paraId="535D48DE"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0.062</w:t>
            </w:r>
          </w:p>
        </w:tc>
        <w:tc>
          <w:tcPr>
            <w:tcW w:w="681" w:type="pct"/>
            <w:tcBorders>
              <w:top w:val="nil"/>
              <w:left w:val="nil"/>
              <w:bottom w:val="nil"/>
              <w:right w:val="nil"/>
            </w:tcBorders>
          </w:tcPr>
          <w:p w14:paraId="3CC15FD0"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-0.126</w:t>
            </w:r>
          </w:p>
        </w:tc>
        <w:tc>
          <w:tcPr>
            <w:tcW w:w="681" w:type="pct"/>
            <w:tcBorders>
              <w:top w:val="nil"/>
              <w:left w:val="nil"/>
              <w:bottom w:val="nil"/>
              <w:right w:val="nil"/>
            </w:tcBorders>
          </w:tcPr>
          <w:p w14:paraId="61858F5E"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0.100</w:t>
            </w:r>
          </w:p>
        </w:tc>
        <w:tc>
          <w:tcPr>
            <w:tcW w:w="681" w:type="pct"/>
            <w:tcBorders>
              <w:top w:val="nil"/>
              <w:left w:val="nil"/>
              <w:bottom w:val="nil"/>
              <w:right w:val="nil"/>
            </w:tcBorders>
          </w:tcPr>
          <w:p w14:paraId="5BD9FD10"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0.057</w:t>
            </w:r>
          </w:p>
        </w:tc>
        <w:tc>
          <w:tcPr>
            <w:tcW w:w="824" w:type="pct"/>
            <w:tcBorders>
              <w:top w:val="nil"/>
              <w:left w:val="nil"/>
              <w:bottom w:val="nil"/>
              <w:right w:val="nil"/>
            </w:tcBorders>
          </w:tcPr>
          <w:p w14:paraId="54CE2893"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-0.005</w:t>
            </w:r>
          </w:p>
        </w:tc>
      </w:tr>
      <w:tr w:rsidR="00CD4846" w:rsidRPr="00CD4846" w14:paraId="78B157A7" w14:textId="77777777" w:rsidTr="003959BE">
        <w:tc>
          <w:tcPr>
            <w:tcW w:w="1451" w:type="pct"/>
            <w:tcBorders>
              <w:top w:val="nil"/>
              <w:left w:val="nil"/>
              <w:bottom w:val="nil"/>
              <w:right w:val="nil"/>
            </w:tcBorders>
          </w:tcPr>
          <w:p w14:paraId="4908591B"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p>
        </w:tc>
        <w:tc>
          <w:tcPr>
            <w:tcW w:w="681" w:type="pct"/>
            <w:tcBorders>
              <w:top w:val="nil"/>
              <w:left w:val="nil"/>
              <w:bottom w:val="nil"/>
              <w:right w:val="nil"/>
            </w:tcBorders>
          </w:tcPr>
          <w:p w14:paraId="604F2EA8"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(0.119)</w:t>
            </w:r>
          </w:p>
        </w:tc>
        <w:tc>
          <w:tcPr>
            <w:tcW w:w="681" w:type="pct"/>
            <w:tcBorders>
              <w:top w:val="nil"/>
              <w:left w:val="nil"/>
              <w:bottom w:val="nil"/>
              <w:right w:val="nil"/>
            </w:tcBorders>
          </w:tcPr>
          <w:p w14:paraId="58BDD8AB"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(0.136)</w:t>
            </w:r>
          </w:p>
        </w:tc>
        <w:tc>
          <w:tcPr>
            <w:tcW w:w="681" w:type="pct"/>
            <w:tcBorders>
              <w:top w:val="nil"/>
              <w:left w:val="nil"/>
              <w:bottom w:val="nil"/>
              <w:right w:val="nil"/>
            </w:tcBorders>
          </w:tcPr>
          <w:p w14:paraId="062DF8B5"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(0.151)</w:t>
            </w:r>
          </w:p>
        </w:tc>
        <w:tc>
          <w:tcPr>
            <w:tcW w:w="681" w:type="pct"/>
            <w:tcBorders>
              <w:top w:val="nil"/>
              <w:left w:val="nil"/>
              <w:bottom w:val="nil"/>
              <w:right w:val="nil"/>
            </w:tcBorders>
          </w:tcPr>
          <w:p w14:paraId="2CAAF067"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(0.044)</w:t>
            </w:r>
          </w:p>
        </w:tc>
        <w:tc>
          <w:tcPr>
            <w:tcW w:w="824" w:type="pct"/>
            <w:tcBorders>
              <w:top w:val="nil"/>
              <w:left w:val="nil"/>
              <w:bottom w:val="nil"/>
              <w:right w:val="nil"/>
            </w:tcBorders>
          </w:tcPr>
          <w:p w14:paraId="34D55F2F"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(0.032)</w:t>
            </w:r>
          </w:p>
        </w:tc>
      </w:tr>
      <w:tr w:rsidR="00CD4846" w:rsidRPr="00CD4846" w14:paraId="16AB9832" w14:textId="77777777" w:rsidTr="003959BE">
        <w:tc>
          <w:tcPr>
            <w:tcW w:w="1451" w:type="pct"/>
            <w:tcBorders>
              <w:top w:val="nil"/>
              <w:left w:val="nil"/>
              <w:bottom w:val="nil"/>
              <w:right w:val="nil"/>
            </w:tcBorders>
          </w:tcPr>
          <w:p w14:paraId="467C89BE"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Density Employment</w:t>
            </w:r>
          </w:p>
        </w:tc>
        <w:tc>
          <w:tcPr>
            <w:tcW w:w="681" w:type="pct"/>
            <w:tcBorders>
              <w:top w:val="nil"/>
              <w:left w:val="nil"/>
              <w:bottom w:val="nil"/>
              <w:right w:val="nil"/>
            </w:tcBorders>
          </w:tcPr>
          <w:p w14:paraId="32BD2367"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0.322</w:t>
            </w:r>
          </w:p>
        </w:tc>
        <w:tc>
          <w:tcPr>
            <w:tcW w:w="681" w:type="pct"/>
            <w:tcBorders>
              <w:top w:val="nil"/>
              <w:left w:val="nil"/>
              <w:bottom w:val="nil"/>
              <w:right w:val="nil"/>
            </w:tcBorders>
          </w:tcPr>
          <w:p w14:paraId="1D03F70B"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-0.054</w:t>
            </w:r>
          </w:p>
        </w:tc>
        <w:tc>
          <w:tcPr>
            <w:tcW w:w="681" w:type="pct"/>
            <w:tcBorders>
              <w:top w:val="nil"/>
              <w:left w:val="nil"/>
              <w:bottom w:val="nil"/>
              <w:right w:val="nil"/>
            </w:tcBorders>
          </w:tcPr>
          <w:p w14:paraId="3C29258E"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-0.224</w:t>
            </w:r>
          </w:p>
        </w:tc>
        <w:tc>
          <w:tcPr>
            <w:tcW w:w="681" w:type="pct"/>
            <w:tcBorders>
              <w:top w:val="nil"/>
              <w:left w:val="nil"/>
              <w:bottom w:val="nil"/>
              <w:right w:val="nil"/>
            </w:tcBorders>
          </w:tcPr>
          <w:p w14:paraId="11929A25"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0.023</w:t>
            </w:r>
          </w:p>
        </w:tc>
        <w:tc>
          <w:tcPr>
            <w:tcW w:w="824" w:type="pct"/>
            <w:tcBorders>
              <w:top w:val="nil"/>
              <w:left w:val="nil"/>
              <w:bottom w:val="nil"/>
              <w:right w:val="nil"/>
            </w:tcBorders>
          </w:tcPr>
          <w:p w14:paraId="403043F3"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0.017</w:t>
            </w:r>
          </w:p>
        </w:tc>
      </w:tr>
      <w:tr w:rsidR="00CD4846" w:rsidRPr="00CD4846" w14:paraId="1881B0BD" w14:textId="77777777" w:rsidTr="003959BE">
        <w:tc>
          <w:tcPr>
            <w:tcW w:w="1451" w:type="pct"/>
            <w:tcBorders>
              <w:top w:val="nil"/>
              <w:left w:val="nil"/>
              <w:bottom w:val="nil"/>
              <w:right w:val="nil"/>
            </w:tcBorders>
          </w:tcPr>
          <w:p w14:paraId="4FFA849D"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p>
        </w:tc>
        <w:tc>
          <w:tcPr>
            <w:tcW w:w="681" w:type="pct"/>
            <w:tcBorders>
              <w:top w:val="nil"/>
              <w:left w:val="nil"/>
              <w:bottom w:val="nil"/>
              <w:right w:val="nil"/>
            </w:tcBorders>
          </w:tcPr>
          <w:p w14:paraId="58BE5BB1"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(0.219)</w:t>
            </w:r>
          </w:p>
        </w:tc>
        <w:tc>
          <w:tcPr>
            <w:tcW w:w="681" w:type="pct"/>
            <w:tcBorders>
              <w:top w:val="nil"/>
              <w:left w:val="nil"/>
              <w:bottom w:val="nil"/>
              <w:right w:val="nil"/>
            </w:tcBorders>
          </w:tcPr>
          <w:p w14:paraId="19D07B48"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(0.071)</w:t>
            </w:r>
          </w:p>
        </w:tc>
        <w:tc>
          <w:tcPr>
            <w:tcW w:w="681" w:type="pct"/>
            <w:tcBorders>
              <w:top w:val="nil"/>
              <w:left w:val="nil"/>
              <w:bottom w:val="nil"/>
              <w:right w:val="nil"/>
            </w:tcBorders>
          </w:tcPr>
          <w:p w14:paraId="6E1634CC"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(0.181)</w:t>
            </w:r>
          </w:p>
        </w:tc>
        <w:tc>
          <w:tcPr>
            <w:tcW w:w="681" w:type="pct"/>
            <w:tcBorders>
              <w:top w:val="nil"/>
              <w:left w:val="nil"/>
              <w:bottom w:val="nil"/>
              <w:right w:val="nil"/>
            </w:tcBorders>
          </w:tcPr>
          <w:p w14:paraId="64F4666D"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(0.024)</w:t>
            </w:r>
          </w:p>
        </w:tc>
        <w:tc>
          <w:tcPr>
            <w:tcW w:w="824" w:type="pct"/>
            <w:tcBorders>
              <w:top w:val="nil"/>
              <w:left w:val="nil"/>
              <w:bottom w:val="nil"/>
              <w:right w:val="nil"/>
            </w:tcBorders>
          </w:tcPr>
          <w:p w14:paraId="0F0A483B"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(0.020)</w:t>
            </w:r>
          </w:p>
        </w:tc>
      </w:tr>
      <w:tr w:rsidR="00CD4846" w:rsidRPr="00CD4846" w14:paraId="27832AC0" w14:textId="77777777" w:rsidTr="003959BE">
        <w:tc>
          <w:tcPr>
            <w:tcW w:w="1451" w:type="pct"/>
            <w:tcBorders>
              <w:top w:val="nil"/>
              <w:left w:val="nil"/>
              <w:bottom w:val="nil"/>
              <w:right w:val="nil"/>
            </w:tcBorders>
          </w:tcPr>
          <w:p w14:paraId="42660A11"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Percent Black (100s)</w:t>
            </w:r>
          </w:p>
        </w:tc>
        <w:tc>
          <w:tcPr>
            <w:tcW w:w="681" w:type="pct"/>
            <w:tcBorders>
              <w:top w:val="nil"/>
              <w:left w:val="nil"/>
              <w:bottom w:val="nil"/>
              <w:right w:val="nil"/>
            </w:tcBorders>
          </w:tcPr>
          <w:p w14:paraId="5F9D0BFC"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-0.751</w:t>
            </w:r>
          </w:p>
        </w:tc>
        <w:tc>
          <w:tcPr>
            <w:tcW w:w="681" w:type="pct"/>
            <w:tcBorders>
              <w:top w:val="nil"/>
              <w:left w:val="nil"/>
              <w:bottom w:val="nil"/>
              <w:right w:val="nil"/>
            </w:tcBorders>
          </w:tcPr>
          <w:p w14:paraId="26E1AC46"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0.514</w:t>
            </w:r>
          </w:p>
        </w:tc>
        <w:tc>
          <w:tcPr>
            <w:tcW w:w="681" w:type="pct"/>
            <w:tcBorders>
              <w:top w:val="nil"/>
              <w:left w:val="nil"/>
              <w:bottom w:val="nil"/>
              <w:right w:val="nil"/>
            </w:tcBorders>
          </w:tcPr>
          <w:p w14:paraId="3A9AB838"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-2.332</w:t>
            </w:r>
          </w:p>
        </w:tc>
        <w:tc>
          <w:tcPr>
            <w:tcW w:w="681" w:type="pct"/>
            <w:tcBorders>
              <w:top w:val="nil"/>
              <w:left w:val="nil"/>
              <w:bottom w:val="nil"/>
              <w:right w:val="nil"/>
            </w:tcBorders>
          </w:tcPr>
          <w:p w14:paraId="5C9A1E6C"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2.690***</w:t>
            </w:r>
          </w:p>
        </w:tc>
        <w:tc>
          <w:tcPr>
            <w:tcW w:w="824" w:type="pct"/>
            <w:tcBorders>
              <w:top w:val="nil"/>
              <w:left w:val="nil"/>
              <w:bottom w:val="nil"/>
              <w:right w:val="nil"/>
            </w:tcBorders>
          </w:tcPr>
          <w:p w14:paraId="1F8E0C86"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1.474**</w:t>
            </w:r>
          </w:p>
        </w:tc>
      </w:tr>
      <w:tr w:rsidR="00CD4846" w:rsidRPr="00CD4846" w14:paraId="5FDEC54A" w14:textId="77777777" w:rsidTr="003959BE">
        <w:tc>
          <w:tcPr>
            <w:tcW w:w="1451" w:type="pct"/>
            <w:tcBorders>
              <w:top w:val="nil"/>
              <w:left w:val="nil"/>
              <w:bottom w:val="nil"/>
              <w:right w:val="nil"/>
            </w:tcBorders>
          </w:tcPr>
          <w:p w14:paraId="6E0BD8D2"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p>
        </w:tc>
        <w:tc>
          <w:tcPr>
            <w:tcW w:w="681" w:type="pct"/>
            <w:tcBorders>
              <w:top w:val="nil"/>
              <w:left w:val="nil"/>
              <w:bottom w:val="nil"/>
              <w:right w:val="nil"/>
            </w:tcBorders>
          </w:tcPr>
          <w:p w14:paraId="5789DEA8"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(1.664)</w:t>
            </w:r>
          </w:p>
        </w:tc>
        <w:tc>
          <w:tcPr>
            <w:tcW w:w="681" w:type="pct"/>
            <w:tcBorders>
              <w:top w:val="nil"/>
              <w:left w:val="nil"/>
              <w:bottom w:val="nil"/>
              <w:right w:val="nil"/>
            </w:tcBorders>
          </w:tcPr>
          <w:p w14:paraId="5F2FC24C"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(2.610)</w:t>
            </w:r>
          </w:p>
        </w:tc>
        <w:tc>
          <w:tcPr>
            <w:tcW w:w="681" w:type="pct"/>
            <w:tcBorders>
              <w:top w:val="nil"/>
              <w:left w:val="nil"/>
              <w:bottom w:val="nil"/>
              <w:right w:val="nil"/>
            </w:tcBorders>
          </w:tcPr>
          <w:p w14:paraId="463DD3B2"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(2.242)</w:t>
            </w:r>
          </w:p>
        </w:tc>
        <w:tc>
          <w:tcPr>
            <w:tcW w:w="681" w:type="pct"/>
            <w:tcBorders>
              <w:top w:val="nil"/>
              <w:left w:val="nil"/>
              <w:bottom w:val="nil"/>
              <w:right w:val="nil"/>
            </w:tcBorders>
          </w:tcPr>
          <w:p w14:paraId="4CEF37B1"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(0.720)</w:t>
            </w:r>
          </w:p>
        </w:tc>
        <w:tc>
          <w:tcPr>
            <w:tcW w:w="824" w:type="pct"/>
            <w:tcBorders>
              <w:top w:val="nil"/>
              <w:left w:val="nil"/>
              <w:bottom w:val="nil"/>
              <w:right w:val="nil"/>
            </w:tcBorders>
          </w:tcPr>
          <w:p w14:paraId="10386DF3"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(0.655)</w:t>
            </w:r>
          </w:p>
        </w:tc>
      </w:tr>
      <w:tr w:rsidR="00CD4846" w:rsidRPr="00CD4846" w14:paraId="1637EC41" w14:textId="77777777" w:rsidTr="003959BE">
        <w:tc>
          <w:tcPr>
            <w:tcW w:w="1451" w:type="pct"/>
            <w:tcBorders>
              <w:top w:val="nil"/>
              <w:left w:val="nil"/>
              <w:bottom w:val="nil"/>
              <w:right w:val="nil"/>
            </w:tcBorders>
          </w:tcPr>
          <w:p w14:paraId="004382B3"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Population count (1ms)</w:t>
            </w:r>
          </w:p>
        </w:tc>
        <w:tc>
          <w:tcPr>
            <w:tcW w:w="681" w:type="pct"/>
            <w:tcBorders>
              <w:top w:val="nil"/>
              <w:left w:val="nil"/>
              <w:bottom w:val="nil"/>
              <w:right w:val="nil"/>
            </w:tcBorders>
          </w:tcPr>
          <w:p w14:paraId="38F9C633"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0.766*</w:t>
            </w:r>
          </w:p>
        </w:tc>
        <w:tc>
          <w:tcPr>
            <w:tcW w:w="681" w:type="pct"/>
            <w:tcBorders>
              <w:top w:val="nil"/>
              <w:left w:val="nil"/>
              <w:bottom w:val="nil"/>
              <w:right w:val="nil"/>
            </w:tcBorders>
          </w:tcPr>
          <w:p w14:paraId="61355CB5"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0.230*</w:t>
            </w:r>
          </w:p>
        </w:tc>
        <w:tc>
          <w:tcPr>
            <w:tcW w:w="681" w:type="pct"/>
            <w:tcBorders>
              <w:top w:val="nil"/>
              <w:left w:val="nil"/>
              <w:bottom w:val="nil"/>
              <w:right w:val="nil"/>
            </w:tcBorders>
          </w:tcPr>
          <w:p w14:paraId="57326D3C"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-0.017</w:t>
            </w:r>
          </w:p>
        </w:tc>
        <w:tc>
          <w:tcPr>
            <w:tcW w:w="681" w:type="pct"/>
            <w:tcBorders>
              <w:top w:val="nil"/>
              <w:left w:val="nil"/>
              <w:bottom w:val="nil"/>
              <w:right w:val="nil"/>
            </w:tcBorders>
          </w:tcPr>
          <w:p w14:paraId="44957CB3"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0.835***</w:t>
            </w:r>
          </w:p>
        </w:tc>
        <w:tc>
          <w:tcPr>
            <w:tcW w:w="824" w:type="pct"/>
            <w:tcBorders>
              <w:top w:val="nil"/>
              <w:left w:val="nil"/>
              <w:bottom w:val="nil"/>
              <w:right w:val="nil"/>
            </w:tcBorders>
          </w:tcPr>
          <w:p w14:paraId="35DDBA11"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0.211</w:t>
            </w:r>
          </w:p>
        </w:tc>
      </w:tr>
      <w:tr w:rsidR="00CD4846" w:rsidRPr="00CD4846" w14:paraId="0F73B4CF" w14:textId="77777777" w:rsidTr="003959BE">
        <w:tc>
          <w:tcPr>
            <w:tcW w:w="1451" w:type="pct"/>
            <w:tcBorders>
              <w:top w:val="nil"/>
              <w:left w:val="nil"/>
              <w:bottom w:val="nil"/>
              <w:right w:val="nil"/>
            </w:tcBorders>
          </w:tcPr>
          <w:p w14:paraId="7A6F376D"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p>
        </w:tc>
        <w:tc>
          <w:tcPr>
            <w:tcW w:w="681" w:type="pct"/>
            <w:tcBorders>
              <w:top w:val="nil"/>
              <w:left w:val="nil"/>
              <w:bottom w:val="nil"/>
              <w:right w:val="nil"/>
            </w:tcBorders>
          </w:tcPr>
          <w:p w14:paraId="17AE4B2F"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(0.420)</w:t>
            </w:r>
          </w:p>
        </w:tc>
        <w:tc>
          <w:tcPr>
            <w:tcW w:w="681" w:type="pct"/>
            <w:tcBorders>
              <w:top w:val="nil"/>
              <w:left w:val="nil"/>
              <w:bottom w:val="nil"/>
              <w:right w:val="nil"/>
            </w:tcBorders>
          </w:tcPr>
          <w:p w14:paraId="148703D9"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(0.134)</w:t>
            </w:r>
          </w:p>
        </w:tc>
        <w:tc>
          <w:tcPr>
            <w:tcW w:w="681" w:type="pct"/>
            <w:tcBorders>
              <w:top w:val="nil"/>
              <w:left w:val="nil"/>
              <w:bottom w:val="nil"/>
              <w:right w:val="nil"/>
            </w:tcBorders>
          </w:tcPr>
          <w:p w14:paraId="1AAB5109"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(0.248)</w:t>
            </w:r>
          </w:p>
        </w:tc>
        <w:tc>
          <w:tcPr>
            <w:tcW w:w="681" w:type="pct"/>
            <w:tcBorders>
              <w:top w:val="nil"/>
              <w:left w:val="nil"/>
              <w:bottom w:val="nil"/>
              <w:right w:val="nil"/>
            </w:tcBorders>
          </w:tcPr>
          <w:p w14:paraId="39507866"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(0.186)</w:t>
            </w:r>
          </w:p>
        </w:tc>
        <w:tc>
          <w:tcPr>
            <w:tcW w:w="824" w:type="pct"/>
            <w:tcBorders>
              <w:top w:val="nil"/>
              <w:left w:val="nil"/>
              <w:bottom w:val="nil"/>
              <w:right w:val="nil"/>
            </w:tcBorders>
          </w:tcPr>
          <w:p w14:paraId="5F27A863"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(0.134)</w:t>
            </w:r>
          </w:p>
        </w:tc>
      </w:tr>
      <w:tr w:rsidR="00CD4846" w:rsidRPr="00CD4846" w14:paraId="7EB98E1E" w14:textId="77777777" w:rsidTr="003959BE">
        <w:tc>
          <w:tcPr>
            <w:tcW w:w="1451" w:type="pct"/>
            <w:tcBorders>
              <w:top w:val="nil"/>
              <w:left w:val="nil"/>
              <w:bottom w:val="nil"/>
              <w:right w:val="nil"/>
            </w:tcBorders>
          </w:tcPr>
          <w:p w14:paraId="64EC30AE"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Unemployment rate (100s)</w:t>
            </w:r>
          </w:p>
        </w:tc>
        <w:tc>
          <w:tcPr>
            <w:tcW w:w="681" w:type="pct"/>
            <w:tcBorders>
              <w:top w:val="nil"/>
              <w:left w:val="nil"/>
              <w:bottom w:val="nil"/>
              <w:right w:val="nil"/>
            </w:tcBorders>
          </w:tcPr>
          <w:p w14:paraId="541467FD"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1.951**</w:t>
            </w:r>
          </w:p>
        </w:tc>
        <w:tc>
          <w:tcPr>
            <w:tcW w:w="681" w:type="pct"/>
            <w:tcBorders>
              <w:top w:val="nil"/>
              <w:left w:val="nil"/>
              <w:bottom w:val="nil"/>
              <w:right w:val="nil"/>
            </w:tcBorders>
          </w:tcPr>
          <w:p w14:paraId="2DE63A84"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0.100</w:t>
            </w:r>
          </w:p>
        </w:tc>
        <w:tc>
          <w:tcPr>
            <w:tcW w:w="681" w:type="pct"/>
            <w:tcBorders>
              <w:top w:val="nil"/>
              <w:left w:val="nil"/>
              <w:bottom w:val="nil"/>
              <w:right w:val="nil"/>
            </w:tcBorders>
          </w:tcPr>
          <w:p w14:paraId="745F991D"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-2.243*</w:t>
            </w:r>
          </w:p>
        </w:tc>
        <w:tc>
          <w:tcPr>
            <w:tcW w:w="681" w:type="pct"/>
            <w:tcBorders>
              <w:top w:val="nil"/>
              <w:left w:val="nil"/>
              <w:bottom w:val="nil"/>
              <w:right w:val="nil"/>
            </w:tcBorders>
          </w:tcPr>
          <w:p w14:paraId="1281F276"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1.578***</w:t>
            </w:r>
          </w:p>
        </w:tc>
        <w:tc>
          <w:tcPr>
            <w:tcW w:w="824" w:type="pct"/>
            <w:tcBorders>
              <w:top w:val="nil"/>
              <w:left w:val="nil"/>
              <w:bottom w:val="nil"/>
              <w:right w:val="nil"/>
            </w:tcBorders>
          </w:tcPr>
          <w:p w14:paraId="1E3F5556"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2.489***</w:t>
            </w:r>
          </w:p>
        </w:tc>
      </w:tr>
      <w:tr w:rsidR="00CD4846" w:rsidRPr="00CD4846" w14:paraId="42D3C228" w14:textId="77777777" w:rsidTr="003959BE">
        <w:tc>
          <w:tcPr>
            <w:tcW w:w="1451" w:type="pct"/>
            <w:tcBorders>
              <w:top w:val="nil"/>
              <w:left w:val="nil"/>
              <w:bottom w:val="nil"/>
              <w:right w:val="nil"/>
            </w:tcBorders>
          </w:tcPr>
          <w:p w14:paraId="2F8E18D9"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p>
        </w:tc>
        <w:tc>
          <w:tcPr>
            <w:tcW w:w="681" w:type="pct"/>
            <w:tcBorders>
              <w:top w:val="nil"/>
              <w:left w:val="nil"/>
              <w:bottom w:val="nil"/>
              <w:right w:val="nil"/>
            </w:tcBorders>
          </w:tcPr>
          <w:p w14:paraId="795C11B9"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(0.844)</w:t>
            </w:r>
          </w:p>
        </w:tc>
        <w:tc>
          <w:tcPr>
            <w:tcW w:w="681" w:type="pct"/>
            <w:tcBorders>
              <w:top w:val="nil"/>
              <w:left w:val="nil"/>
              <w:bottom w:val="nil"/>
              <w:right w:val="nil"/>
            </w:tcBorders>
          </w:tcPr>
          <w:p w14:paraId="5C20DEB1"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(1.472)</w:t>
            </w:r>
          </w:p>
        </w:tc>
        <w:tc>
          <w:tcPr>
            <w:tcW w:w="681" w:type="pct"/>
            <w:tcBorders>
              <w:top w:val="nil"/>
              <w:left w:val="nil"/>
              <w:bottom w:val="nil"/>
              <w:right w:val="nil"/>
            </w:tcBorders>
          </w:tcPr>
          <w:p w14:paraId="740C0922"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(1.359)</w:t>
            </w:r>
          </w:p>
        </w:tc>
        <w:tc>
          <w:tcPr>
            <w:tcW w:w="681" w:type="pct"/>
            <w:tcBorders>
              <w:top w:val="nil"/>
              <w:left w:val="nil"/>
              <w:bottom w:val="nil"/>
              <w:right w:val="nil"/>
            </w:tcBorders>
          </w:tcPr>
          <w:p w14:paraId="0CC75F95"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(0.528)</w:t>
            </w:r>
          </w:p>
        </w:tc>
        <w:tc>
          <w:tcPr>
            <w:tcW w:w="824" w:type="pct"/>
            <w:tcBorders>
              <w:top w:val="nil"/>
              <w:left w:val="nil"/>
              <w:bottom w:val="nil"/>
              <w:right w:val="nil"/>
            </w:tcBorders>
          </w:tcPr>
          <w:p w14:paraId="57AA7EEA"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(0.561)</w:t>
            </w:r>
          </w:p>
        </w:tc>
      </w:tr>
      <w:tr w:rsidR="00CD4846" w:rsidRPr="00CD4846" w14:paraId="6E128339" w14:textId="77777777" w:rsidTr="003959BE">
        <w:tc>
          <w:tcPr>
            <w:tcW w:w="1451" w:type="pct"/>
            <w:tcBorders>
              <w:top w:val="nil"/>
              <w:left w:val="nil"/>
              <w:bottom w:val="nil"/>
              <w:right w:val="nil"/>
            </w:tcBorders>
          </w:tcPr>
          <w:p w14:paraId="50CC48A1"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Sales Volume (t-1)</w:t>
            </w:r>
          </w:p>
        </w:tc>
        <w:tc>
          <w:tcPr>
            <w:tcW w:w="681" w:type="pct"/>
            <w:tcBorders>
              <w:top w:val="nil"/>
              <w:left w:val="nil"/>
              <w:bottom w:val="nil"/>
              <w:right w:val="nil"/>
            </w:tcBorders>
          </w:tcPr>
          <w:p w14:paraId="480B28FF"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-4.402</w:t>
            </w:r>
          </w:p>
        </w:tc>
        <w:tc>
          <w:tcPr>
            <w:tcW w:w="681" w:type="pct"/>
            <w:tcBorders>
              <w:top w:val="nil"/>
              <w:left w:val="nil"/>
              <w:bottom w:val="nil"/>
              <w:right w:val="nil"/>
            </w:tcBorders>
          </w:tcPr>
          <w:p w14:paraId="6F3096AD"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0.705</w:t>
            </w:r>
          </w:p>
        </w:tc>
        <w:tc>
          <w:tcPr>
            <w:tcW w:w="681" w:type="pct"/>
            <w:tcBorders>
              <w:top w:val="nil"/>
              <w:left w:val="nil"/>
              <w:bottom w:val="nil"/>
              <w:right w:val="nil"/>
            </w:tcBorders>
          </w:tcPr>
          <w:p w14:paraId="36115519"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-0.289</w:t>
            </w:r>
          </w:p>
        </w:tc>
        <w:tc>
          <w:tcPr>
            <w:tcW w:w="681" w:type="pct"/>
            <w:tcBorders>
              <w:top w:val="nil"/>
              <w:left w:val="nil"/>
              <w:bottom w:val="nil"/>
              <w:right w:val="nil"/>
            </w:tcBorders>
          </w:tcPr>
          <w:p w14:paraId="51FA6970"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-22.076*</w:t>
            </w:r>
          </w:p>
        </w:tc>
        <w:tc>
          <w:tcPr>
            <w:tcW w:w="824" w:type="pct"/>
            <w:tcBorders>
              <w:top w:val="nil"/>
              <w:left w:val="nil"/>
              <w:bottom w:val="nil"/>
              <w:right w:val="nil"/>
            </w:tcBorders>
          </w:tcPr>
          <w:p w14:paraId="0EABC0DC"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0.092</w:t>
            </w:r>
          </w:p>
        </w:tc>
      </w:tr>
      <w:tr w:rsidR="00CD4846" w:rsidRPr="00CD4846" w14:paraId="5DA8E4B9" w14:textId="77777777" w:rsidTr="003959BE">
        <w:tc>
          <w:tcPr>
            <w:tcW w:w="1451" w:type="pct"/>
            <w:tcBorders>
              <w:top w:val="nil"/>
              <w:left w:val="nil"/>
              <w:bottom w:val="nil"/>
              <w:right w:val="nil"/>
            </w:tcBorders>
          </w:tcPr>
          <w:p w14:paraId="5741109A"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p>
        </w:tc>
        <w:tc>
          <w:tcPr>
            <w:tcW w:w="681" w:type="pct"/>
            <w:tcBorders>
              <w:top w:val="nil"/>
              <w:left w:val="nil"/>
              <w:bottom w:val="nil"/>
              <w:right w:val="nil"/>
            </w:tcBorders>
          </w:tcPr>
          <w:p w14:paraId="7626B730"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(3.742)</w:t>
            </w:r>
          </w:p>
        </w:tc>
        <w:tc>
          <w:tcPr>
            <w:tcW w:w="681" w:type="pct"/>
            <w:tcBorders>
              <w:top w:val="nil"/>
              <w:left w:val="nil"/>
              <w:bottom w:val="nil"/>
              <w:right w:val="nil"/>
            </w:tcBorders>
          </w:tcPr>
          <w:p w14:paraId="464EA512"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(0.434)</w:t>
            </w:r>
          </w:p>
        </w:tc>
        <w:tc>
          <w:tcPr>
            <w:tcW w:w="681" w:type="pct"/>
            <w:tcBorders>
              <w:top w:val="nil"/>
              <w:left w:val="nil"/>
              <w:bottom w:val="nil"/>
              <w:right w:val="nil"/>
            </w:tcBorders>
          </w:tcPr>
          <w:p w14:paraId="521F8E76"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(0.341)</w:t>
            </w:r>
          </w:p>
        </w:tc>
        <w:tc>
          <w:tcPr>
            <w:tcW w:w="681" w:type="pct"/>
            <w:tcBorders>
              <w:top w:val="nil"/>
              <w:left w:val="nil"/>
              <w:bottom w:val="nil"/>
              <w:right w:val="nil"/>
            </w:tcBorders>
          </w:tcPr>
          <w:p w14:paraId="1FA9266D"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(12.269)</w:t>
            </w:r>
          </w:p>
        </w:tc>
        <w:tc>
          <w:tcPr>
            <w:tcW w:w="824" w:type="pct"/>
            <w:tcBorders>
              <w:top w:val="nil"/>
              <w:left w:val="nil"/>
              <w:bottom w:val="nil"/>
              <w:right w:val="nil"/>
            </w:tcBorders>
          </w:tcPr>
          <w:p w14:paraId="3733EA1B"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(0.099)</w:t>
            </w:r>
          </w:p>
        </w:tc>
      </w:tr>
      <w:tr w:rsidR="00CD4846" w:rsidRPr="00CD4846" w14:paraId="21E41006" w14:textId="77777777" w:rsidTr="003959BE">
        <w:tc>
          <w:tcPr>
            <w:tcW w:w="1451" w:type="pct"/>
            <w:tcBorders>
              <w:top w:val="nil"/>
              <w:left w:val="nil"/>
              <w:bottom w:val="nil"/>
              <w:right w:val="nil"/>
            </w:tcBorders>
          </w:tcPr>
          <w:p w14:paraId="335B8205"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Prior Total Exits (1ks)</w:t>
            </w:r>
          </w:p>
        </w:tc>
        <w:tc>
          <w:tcPr>
            <w:tcW w:w="681" w:type="pct"/>
            <w:tcBorders>
              <w:top w:val="nil"/>
              <w:left w:val="nil"/>
              <w:bottom w:val="nil"/>
              <w:right w:val="nil"/>
            </w:tcBorders>
          </w:tcPr>
          <w:p w14:paraId="5897DA79"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0.941</w:t>
            </w:r>
          </w:p>
        </w:tc>
        <w:tc>
          <w:tcPr>
            <w:tcW w:w="681" w:type="pct"/>
            <w:tcBorders>
              <w:top w:val="nil"/>
              <w:left w:val="nil"/>
              <w:bottom w:val="nil"/>
              <w:right w:val="nil"/>
            </w:tcBorders>
          </w:tcPr>
          <w:p w14:paraId="54A539EF"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2.961***</w:t>
            </w:r>
          </w:p>
        </w:tc>
        <w:tc>
          <w:tcPr>
            <w:tcW w:w="681" w:type="pct"/>
            <w:tcBorders>
              <w:top w:val="nil"/>
              <w:left w:val="nil"/>
              <w:bottom w:val="nil"/>
              <w:right w:val="nil"/>
            </w:tcBorders>
          </w:tcPr>
          <w:p w14:paraId="61AC67D4"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6.624**</w:t>
            </w:r>
          </w:p>
        </w:tc>
        <w:tc>
          <w:tcPr>
            <w:tcW w:w="681" w:type="pct"/>
            <w:tcBorders>
              <w:top w:val="nil"/>
              <w:left w:val="nil"/>
              <w:bottom w:val="nil"/>
              <w:right w:val="nil"/>
            </w:tcBorders>
          </w:tcPr>
          <w:p w14:paraId="2E182056"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0.061</w:t>
            </w:r>
          </w:p>
        </w:tc>
        <w:tc>
          <w:tcPr>
            <w:tcW w:w="824" w:type="pct"/>
            <w:tcBorders>
              <w:top w:val="nil"/>
              <w:left w:val="nil"/>
              <w:bottom w:val="nil"/>
              <w:right w:val="nil"/>
            </w:tcBorders>
          </w:tcPr>
          <w:p w14:paraId="6E9D416E"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0.107</w:t>
            </w:r>
          </w:p>
        </w:tc>
      </w:tr>
      <w:tr w:rsidR="00CD4846" w:rsidRPr="00CD4846" w14:paraId="0A068B64" w14:textId="77777777" w:rsidTr="003959BE">
        <w:tc>
          <w:tcPr>
            <w:tcW w:w="1451" w:type="pct"/>
            <w:tcBorders>
              <w:top w:val="nil"/>
              <w:left w:val="nil"/>
              <w:bottom w:val="nil"/>
              <w:right w:val="nil"/>
            </w:tcBorders>
          </w:tcPr>
          <w:p w14:paraId="454781C8"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p>
        </w:tc>
        <w:tc>
          <w:tcPr>
            <w:tcW w:w="681" w:type="pct"/>
            <w:tcBorders>
              <w:top w:val="nil"/>
              <w:left w:val="nil"/>
              <w:bottom w:val="nil"/>
              <w:right w:val="nil"/>
            </w:tcBorders>
          </w:tcPr>
          <w:p w14:paraId="634ABA0F"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(0.862)</w:t>
            </w:r>
          </w:p>
        </w:tc>
        <w:tc>
          <w:tcPr>
            <w:tcW w:w="681" w:type="pct"/>
            <w:tcBorders>
              <w:top w:val="nil"/>
              <w:left w:val="nil"/>
              <w:bottom w:val="nil"/>
              <w:right w:val="nil"/>
            </w:tcBorders>
          </w:tcPr>
          <w:p w14:paraId="44D0BA93"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(0.483)</w:t>
            </w:r>
          </w:p>
        </w:tc>
        <w:tc>
          <w:tcPr>
            <w:tcW w:w="681" w:type="pct"/>
            <w:tcBorders>
              <w:top w:val="nil"/>
              <w:left w:val="nil"/>
              <w:bottom w:val="nil"/>
              <w:right w:val="nil"/>
            </w:tcBorders>
          </w:tcPr>
          <w:p w14:paraId="16926D2D"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(3.096)</w:t>
            </w:r>
          </w:p>
        </w:tc>
        <w:tc>
          <w:tcPr>
            <w:tcW w:w="681" w:type="pct"/>
            <w:tcBorders>
              <w:top w:val="nil"/>
              <w:left w:val="nil"/>
              <w:bottom w:val="nil"/>
              <w:right w:val="nil"/>
            </w:tcBorders>
          </w:tcPr>
          <w:p w14:paraId="0A730DAD"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(0.047)</w:t>
            </w:r>
          </w:p>
        </w:tc>
        <w:tc>
          <w:tcPr>
            <w:tcW w:w="824" w:type="pct"/>
            <w:tcBorders>
              <w:top w:val="nil"/>
              <w:left w:val="nil"/>
              <w:bottom w:val="nil"/>
              <w:right w:val="nil"/>
            </w:tcBorders>
          </w:tcPr>
          <w:p w14:paraId="7AE04D68"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(0.088)</w:t>
            </w:r>
          </w:p>
        </w:tc>
      </w:tr>
      <w:tr w:rsidR="00CD4846" w:rsidRPr="00CD4846" w14:paraId="780A501F" w14:textId="77777777" w:rsidTr="003959BE">
        <w:tc>
          <w:tcPr>
            <w:tcW w:w="1451" w:type="pct"/>
            <w:tcBorders>
              <w:top w:val="nil"/>
              <w:left w:val="nil"/>
              <w:bottom w:val="nil"/>
              <w:right w:val="nil"/>
            </w:tcBorders>
          </w:tcPr>
          <w:p w14:paraId="381E3181"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Constant</w:t>
            </w:r>
          </w:p>
        </w:tc>
        <w:tc>
          <w:tcPr>
            <w:tcW w:w="681" w:type="pct"/>
            <w:tcBorders>
              <w:top w:val="nil"/>
              <w:left w:val="nil"/>
              <w:bottom w:val="nil"/>
              <w:right w:val="nil"/>
            </w:tcBorders>
          </w:tcPr>
          <w:p w14:paraId="795DE1D9"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1.100***</w:t>
            </w:r>
          </w:p>
        </w:tc>
        <w:tc>
          <w:tcPr>
            <w:tcW w:w="681" w:type="pct"/>
            <w:tcBorders>
              <w:top w:val="nil"/>
              <w:left w:val="nil"/>
              <w:bottom w:val="nil"/>
              <w:right w:val="nil"/>
            </w:tcBorders>
          </w:tcPr>
          <w:p w14:paraId="21AE46AF"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0.911</w:t>
            </w:r>
          </w:p>
        </w:tc>
        <w:tc>
          <w:tcPr>
            <w:tcW w:w="681" w:type="pct"/>
            <w:tcBorders>
              <w:top w:val="nil"/>
              <w:left w:val="nil"/>
              <w:bottom w:val="nil"/>
              <w:right w:val="nil"/>
            </w:tcBorders>
          </w:tcPr>
          <w:p w14:paraId="35DA5D00"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3.555***</w:t>
            </w:r>
          </w:p>
        </w:tc>
        <w:tc>
          <w:tcPr>
            <w:tcW w:w="681" w:type="pct"/>
            <w:tcBorders>
              <w:top w:val="nil"/>
              <w:left w:val="nil"/>
              <w:bottom w:val="nil"/>
              <w:right w:val="nil"/>
            </w:tcBorders>
          </w:tcPr>
          <w:p w14:paraId="152E9009"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3.873***</w:t>
            </w:r>
          </w:p>
        </w:tc>
        <w:tc>
          <w:tcPr>
            <w:tcW w:w="824" w:type="pct"/>
            <w:tcBorders>
              <w:top w:val="nil"/>
              <w:left w:val="nil"/>
              <w:bottom w:val="nil"/>
              <w:right w:val="nil"/>
            </w:tcBorders>
          </w:tcPr>
          <w:p w14:paraId="3658643D"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3.938***</w:t>
            </w:r>
          </w:p>
        </w:tc>
      </w:tr>
      <w:tr w:rsidR="00CD4846" w:rsidRPr="00CD4846" w14:paraId="5967BF88" w14:textId="77777777" w:rsidTr="003959BE">
        <w:tc>
          <w:tcPr>
            <w:tcW w:w="1451" w:type="pct"/>
            <w:tcBorders>
              <w:top w:val="nil"/>
              <w:left w:val="nil"/>
              <w:bottom w:val="nil"/>
              <w:right w:val="nil"/>
            </w:tcBorders>
          </w:tcPr>
          <w:p w14:paraId="3EB0BEE8"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p>
        </w:tc>
        <w:tc>
          <w:tcPr>
            <w:tcW w:w="681" w:type="pct"/>
            <w:tcBorders>
              <w:top w:val="nil"/>
              <w:left w:val="nil"/>
              <w:bottom w:val="nil"/>
              <w:right w:val="nil"/>
            </w:tcBorders>
          </w:tcPr>
          <w:p w14:paraId="1D9897AF"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(0.367)</w:t>
            </w:r>
          </w:p>
        </w:tc>
        <w:tc>
          <w:tcPr>
            <w:tcW w:w="681" w:type="pct"/>
            <w:tcBorders>
              <w:top w:val="nil"/>
              <w:left w:val="nil"/>
              <w:bottom w:val="nil"/>
              <w:right w:val="nil"/>
            </w:tcBorders>
          </w:tcPr>
          <w:p w14:paraId="01FFE068"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(0.619)</w:t>
            </w:r>
          </w:p>
        </w:tc>
        <w:tc>
          <w:tcPr>
            <w:tcW w:w="681" w:type="pct"/>
            <w:tcBorders>
              <w:top w:val="nil"/>
              <w:left w:val="nil"/>
              <w:bottom w:val="nil"/>
              <w:right w:val="nil"/>
            </w:tcBorders>
          </w:tcPr>
          <w:p w14:paraId="5050A25D"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(0.618)</w:t>
            </w:r>
          </w:p>
        </w:tc>
        <w:tc>
          <w:tcPr>
            <w:tcW w:w="681" w:type="pct"/>
            <w:tcBorders>
              <w:top w:val="nil"/>
              <w:left w:val="nil"/>
              <w:bottom w:val="nil"/>
              <w:right w:val="nil"/>
            </w:tcBorders>
          </w:tcPr>
          <w:p w14:paraId="4071A68D"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(0.305)</w:t>
            </w:r>
          </w:p>
        </w:tc>
        <w:tc>
          <w:tcPr>
            <w:tcW w:w="824" w:type="pct"/>
            <w:tcBorders>
              <w:top w:val="nil"/>
              <w:left w:val="nil"/>
              <w:bottom w:val="nil"/>
              <w:right w:val="nil"/>
            </w:tcBorders>
          </w:tcPr>
          <w:p w14:paraId="630F34C1"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(0.251)</w:t>
            </w:r>
          </w:p>
        </w:tc>
      </w:tr>
      <w:tr w:rsidR="00CD4846" w:rsidRPr="00CD4846" w14:paraId="3326CBA5" w14:textId="77777777" w:rsidTr="003959BE">
        <w:tc>
          <w:tcPr>
            <w:tcW w:w="1451" w:type="pct"/>
            <w:tcBorders>
              <w:top w:val="nil"/>
              <w:left w:val="nil"/>
              <w:bottom w:val="nil"/>
              <w:right w:val="nil"/>
            </w:tcBorders>
          </w:tcPr>
          <w:p w14:paraId="7C2BA210"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Observations</w:t>
            </w:r>
          </w:p>
        </w:tc>
        <w:tc>
          <w:tcPr>
            <w:tcW w:w="681" w:type="pct"/>
            <w:tcBorders>
              <w:top w:val="nil"/>
              <w:left w:val="nil"/>
              <w:bottom w:val="nil"/>
              <w:right w:val="nil"/>
            </w:tcBorders>
          </w:tcPr>
          <w:p w14:paraId="30F541F7"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15357</w:t>
            </w:r>
          </w:p>
        </w:tc>
        <w:tc>
          <w:tcPr>
            <w:tcW w:w="681" w:type="pct"/>
            <w:tcBorders>
              <w:top w:val="nil"/>
              <w:left w:val="nil"/>
              <w:bottom w:val="nil"/>
              <w:right w:val="nil"/>
            </w:tcBorders>
          </w:tcPr>
          <w:p w14:paraId="4BF067D6"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10049</w:t>
            </w:r>
          </w:p>
        </w:tc>
        <w:tc>
          <w:tcPr>
            <w:tcW w:w="681" w:type="pct"/>
            <w:tcBorders>
              <w:top w:val="nil"/>
              <w:left w:val="nil"/>
              <w:bottom w:val="nil"/>
              <w:right w:val="nil"/>
            </w:tcBorders>
          </w:tcPr>
          <w:p w14:paraId="60CC650A"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14425</w:t>
            </w:r>
          </w:p>
        </w:tc>
        <w:tc>
          <w:tcPr>
            <w:tcW w:w="681" w:type="pct"/>
            <w:tcBorders>
              <w:top w:val="nil"/>
              <w:left w:val="nil"/>
              <w:bottom w:val="nil"/>
              <w:right w:val="nil"/>
            </w:tcBorders>
          </w:tcPr>
          <w:p w14:paraId="1C4D2AD8"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26430</w:t>
            </w:r>
          </w:p>
        </w:tc>
        <w:tc>
          <w:tcPr>
            <w:tcW w:w="824" w:type="pct"/>
            <w:tcBorders>
              <w:top w:val="nil"/>
              <w:left w:val="nil"/>
              <w:bottom w:val="nil"/>
              <w:right w:val="nil"/>
            </w:tcBorders>
          </w:tcPr>
          <w:p w14:paraId="57715DC2"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26355</w:t>
            </w:r>
          </w:p>
        </w:tc>
      </w:tr>
      <w:tr w:rsidR="00CD4846" w:rsidRPr="00CD4846" w14:paraId="06712E82" w14:textId="77777777" w:rsidTr="003959BE">
        <w:tc>
          <w:tcPr>
            <w:tcW w:w="1451" w:type="pct"/>
            <w:tcBorders>
              <w:top w:val="nil"/>
              <w:left w:val="nil"/>
              <w:bottom w:val="nil"/>
              <w:right w:val="nil"/>
            </w:tcBorders>
          </w:tcPr>
          <w:p w14:paraId="725F4F8E"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Pseudo R</w:t>
            </w:r>
            <w:r w:rsidRPr="00CD4846">
              <w:rPr>
                <w:rFonts w:cs="Times New Roman"/>
                <w:kern w:val="2"/>
                <w:sz w:val="20"/>
                <w:szCs w:val="20"/>
                <w:vertAlign w:val="superscript"/>
                <w:lang/>
              </w:rPr>
              <w:t>2</w:t>
            </w:r>
          </w:p>
        </w:tc>
        <w:tc>
          <w:tcPr>
            <w:tcW w:w="681" w:type="pct"/>
            <w:tcBorders>
              <w:top w:val="nil"/>
              <w:left w:val="nil"/>
              <w:bottom w:val="nil"/>
              <w:right w:val="nil"/>
            </w:tcBorders>
          </w:tcPr>
          <w:p w14:paraId="4D7BF9E3"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0.653</w:t>
            </w:r>
          </w:p>
        </w:tc>
        <w:tc>
          <w:tcPr>
            <w:tcW w:w="681" w:type="pct"/>
            <w:tcBorders>
              <w:top w:val="nil"/>
              <w:left w:val="nil"/>
              <w:bottom w:val="nil"/>
              <w:right w:val="nil"/>
            </w:tcBorders>
          </w:tcPr>
          <w:p w14:paraId="282E6AAF"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0.648</w:t>
            </w:r>
          </w:p>
        </w:tc>
        <w:tc>
          <w:tcPr>
            <w:tcW w:w="681" w:type="pct"/>
            <w:tcBorders>
              <w:top w:val="nil"/>
              <w:left w:val="nil"/>
              <w:bottom w:val="nil"/>
              <w:right w:val="nil"/>
            </w:tcBorders>
          </w:tcPr>
          <w:p w14:paraId="17BF80A9"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0.482</w:t>
            </w:r>
          </w:p>
        </w:tc>
        <w:tc>
          <w:tcPr>
            <w:tcW w:w="681" w:type="pct"/>
            <w:tcBorders>
              <w:top w:val="nil"/>
              <w:left w:val="nil"/>
              <w:bottom w:val="nil"/>
              <w:right w:val="nil"/>
            </w:tcBorders>
          </w:tcPr>
          <w:p w14:paraId="28B79901"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0.948</w:t>
            </w:r>
          </w:p>
        </w:tc>
        <w:tc>
          <w:tcPr>
            <w:tcW w:w="824" w:type="pct"/>
            <w:tcBorders>
              <w:top w:val="nil"/>
              <w:left w:val="nil"/>
              <w:bottom w:val="nil"/>
              <w:right w:val="nil"/>
            </w:tcBorders>
          </w:tcPr>
          <w:p w14:paraId="26758B63"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0.923</w:t>
            </w:r>
          </w:p>
        </w:tc>
      </w:tr>
      <w:tr w:rsidR="00CD4846" w:rsidRPr="00CD4846" w14:paraId="076BE2B1" w14:textId="77777777" w:rsidTr="003959BE">
        <w:tc>
          <w:tcPr>
            <w:tcW w:w="1451" w:type="pct"/>
            <w:tcBorders>
              <w:top w:val="nil"/>
              <w:left w:val="nil"/>
              <w:bottom w:val="nil"/>
              <w:right w:val="nil"/>
            </w:tcBorders>
          </w:tcPr>
          <w:p w14:paraId="3F11E707"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Chi</w:t>
            </w:r>
            <w:r w:rsidRPr="00CD4846">
              <w:rPr>
                <w:rFonts w:cs="Times New Roman"/>
                <w:kern w:val="2"/>
                <w:sz w:val="20"/>
                <w:szCs w:val="20"/>
                <w:vertAlign w:val="superscript"/>
                <w:lang/>
              </w:rPr>
              <w:t>2</w:t>
            </w:r>
          </w:p>
        </w:tc>
        <w:tc>
          <w:tcPr>
            <w:tcW w:w="681" w:type="pct"/>
            <w:tcBorders>
              <w:top w:val="nil"/>
              <w:left w:val="nil"/>
              <w:bottom w:val="nil"/>
              <w:right w:val="nil"/>
            </w:tcBorders>
          </w:tcPr>
          <w:p w14:paraId="2CD8BB0E"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184</w:t>
            </w:r>
          </w:p>
        </w:tc>
        <w:tc>
          <w:tcPr>
            <w:tcW w:w="681" w:type="pct"/>
            <w:tcBorders>
              <w:top w:val="nil"/>
              <w:left w:val="nil"/>
              <w:bottom w:val="nil"/>
              <w:right w:val="nil"/>
            </w:tcBorders>
          </w:tcPr>
          <w:p w14:paraId="118CD4D1"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158</w:t>
            </w:r>
          </w:p>
        </w:tc>
        <w:tc>
          <w:tcPr>
            <w:tcW w:w="681" w:type="pct"/>
            <w:tcBorders>
              <w:top w:val="nil"/>
              <w:left w:val="nil"/>
              <w:bottom w:val="nil"/>
              <w:right w:val="nil"/>
            </w:tcBorders>
          </w:tcPr>
          <w:p w14:paraId="62CD0966"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99</w:t>
            </w:r>
          </w:p>
        </w:tc>
        <w:tc>
          <w:tcPr>
            <w:tcW w:w="681" w:type="pct"/>
            <w:tcBorders>
              <w:top w:val="nil"/>
              <w:left w:val="nil"/>
              <w:bottom w:val="nil"/>
              <w:right w:val="nil"/>
            </w:tcBorders>
          </w:tcPr>
          <w:p w14:paraId="6EEE8616"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139</w:t>
            </w:r>
          </w:p>
        </w:tc>
        <w:tc>
          <w:tcPr>
            <w:tcW w:w="824" w:type="pct"/>
            <w:tcBorders>
              <w:top w:val="nil"/>
              <w:left w:val="nil"/>
              <w:bottom w:val="nil"/>
              <w:right w:val="nil"/>
            </w:tcBorders>
          </w:tcPr>
          <w:p w14:paraId="4F9AF9BF"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114</w:t>
            </w:r>
          </w:p>
        </w:tc>
      </w:tr>
      <w:tr w:rsidR="00CD4846" w:rsidRPr="00CD4846" w14:paraId="03E09802" w14:textId="77777777" w:rsidTr="003959BE">
        <w:tc>
          <w:tcPr>
            <w:tcW w:w="1451" w:type="pct"/>
            <w:tcBorders>
              <w:top w:val="nil"/>
              <w:left w:val="nil"/>
              <w:bottom w:val="nil"/>
              <w:right w:val="nil"/>
            </w:tcBorders>
          </w:tcPr>
          <w:p w14:paraId="50E44CA8"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Log Likelihood</w:t>
            </w:r>
          </w:p>
        </w:tc>
        <w:tc>
          <w:tcPr>
            <w:tcW w:w="681" w:type="pct"/>
            <w:tcBorders>
              <w:top w:val="nil"/>
              <w:left w:val="nil"/>
              <w:bottom w:val="nil"/>
              <w:right w:val="nil"/>
            </w:tcBorders>
          </w:tcPr>
          <w:p w14:paraId="615DB740"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-34774</w:t>
            </w:r>
          </w:p>
        </w:tc>
        <w:tc>
          <w:tcPr>
            <w:tcW w:w="681" w:type="pct"/>
            <w:tcBorders>
              <w:top w:val="nil"/>
              <w:left w:val="nil"/>
              <w:bottom w:val="nil"/>
              <w:right w:val="nil"/>
            </w:tcBorders>
          </w:tcPr>
          <w:p w14:paraId="634BF381"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-14852</w:t>
            </w:r>
          </w:p>
        </w:tc>
        <w:tc>
          <w:tcPr>
            <w:tcW w:w="681" w:type="pct"/>
            <w:tcBorders>
              <w:top w:val="nil"/>
              <w:left w:val="nil"/>
              <w:bottom w:val="nil"/>
              <w:right w:val="nil"/>
            </w:tcBorders>
          </w:tcPr>
          <w:p w14:paraId="73C99339"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-19853</w:t>
            </w:r>
          </w:p>
        </w:tc>
        <w:tc>
          <w:tcPr>
            <w:tcW w:w="681" w:type="pct"/>
            <w:tcBorders>
              <w:top w:val="nil"/>
              <w:left w:val="nil"/>
              <w:bottom w:val="nil"/>
              <w:right w:val="nil"/>
            </w:tcBorders>
          </w:tcPr>
          <w:p w14:paraId="1721D91C"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-114632</w:t>
            </w:r>
          </w:p>
        </w:tc>
        <w:tc>
          <w:tcPr>
            <w:tcW w:w="824" w:type="pct"/>
            <w:tcBorders>
              <w:top w:val="nil"/>
              <w:left w:val="nil"/>
              <w:bottom w:val="nil"/>
              <w:right w:val="nil"/>
            </w:tcBorders>
          </w:tcPr>
          <w:p w14:paraId="0892D420"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-69021</w:t>
            </w:r>
          </w:p>
        </w:tc>
      </w:tr>
      <w:tr w:rsidR="00CD4846" w:rsidRPr="00CD4846" w14:paraId="78E56A15" w14:textId="77777777" w:rsidTr="003959BE">
        <w:tc>
          <w:tcPr>
            <w:tcW w:w="1451" w:type="pct"/>
            <w:tcBorders>
              <w:top w:val="nil"/>
              <w:left w:val="nil"/>
              <w:bottom w:val="nil"/>
              <w:right w:val="nil"/>
            </w:tcBorders>
          </w:tcPr>
          <w:p w14:paraId="5A344A09"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Akaike’s Criterion</w:t>
            </w:r>
          </w:p>
        </w:tc>
        <w:tc>
          <w:tcPr>
            <w:tcW w:w="681" w:type="pct"/>
            <w:tcBorders>
              <w:top w:val="nil"/>
              <w:left w:val="nil"/>
              <w:bottom w:val="nil"/>
              <w:right w:val="nil"/>
            </w:tcBorders>
          </w:tcPr>
          <w:p w14:paraId="230915C9"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69585</w:t>
            </w:r>
          </w:p>
        </w:tc>
        <w:tc>
          <w:tcPr>
            <w:tcW w:w="681" w:type="pct"/>
            <w:tcBorders>
              <w:top w:val="nil"/>
              <w:left w:val="nil"/>
              <w:bottom w:val="nil"/>
              <w:right w:val="nil"/>
            </w:tcBorders>
          </w:tcPr>
          <w:p w14:paraId="2E9583AE"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29740</w:t>
            </w:r>
          </w:p>
        </w:tc>
        <w:tc>
          <w:tcPr>
            <w:tcW w:w="681" w:type="pct"/>
            <w:tcBorders>
              <w:top w:val="nil"/>
              <w:left w:val="nil"/>
              <w:bottom w:val="nil"/>
              <w:right w:val="nil"/>
            </w:tcBorders>
          </w:tcPr>
          <w:p w14:paraId="38E984E0"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39742</w:t>
            </w:r>
          </w:p>
        </w:tc>
        <w:tc>
          <w:tcPr>
            <w:tcW w:w="681" w:type="pct"/>
            <w:tcBorders>
              <w:top w:val="nil"/>
              <w:left w:val="nil"/>
              <w:bottom w:val="nil"/>
              <w:right w:val="nil"/>
            </w:tcBorders>
          </w:tcPr>
          <w:p w14:paraId="719B56F8"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229301</w:t>
            </w:r>
          </w:p>
        </w:tc>
        <w:tc>
          <w:tcPr>
            <w:tcW w:w="824" w:type="pct"/>
            <w:tcBorders>
              <w:top w:val="nil"/>
              <w:left w:val="nil"/>
              <w:bottom w:val="nil"/>
              <w:right w:val="nil"/>
            </w:tcBorders>
          </w:tcPr>
          <w:p w14:paraId="6F6460E0"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138078</w:t>
            </w:r>
          </w:p>
        </w:tc>
      </w:tr>
      <w:tr w:rsidR="00CD4846" w:rsidRPr="00CD4846" w14:paraId="022AA14D" w14:textId="77777777" w:rsidTr="003959BE">
        <w:tc>
          <w:tcPr>
            <w:tcW w:w="1451" w:type="pct"/>
            <w:tcBorders>
              <w:top w:val="nil"/>
              <w:left w:val="nil"/>
              <w:bottom w:val="nil"/>
              <w:right w:val="nil"/>
            </w:tcBorders>
          </w:tcPr>
          <w:p w14:paraId="14239973"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Bayesian Criterion</w:t>
            </w:r>
          </w:p>
        </w:tc>
        <w:tc>
          <w:tcPr>
            <w:tcW w:w="681" w:type="pct"/>
            <w:tcBorders>
              <w:top w:val="nil"/>
              <w:left w:val="nil"/>
              <w:bottom w:val="nil"/>
              <w:right w:val="nil"/>
            </w:tcBorders>
          </w:tcPr>
          <w:p w14:paraId="34C280F5"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69722</w:t>
            </w:r>
          </w:p>
        </w:tc>
        <w:tc>
          <w:tcPr>
            <w:tcW w:w="681" w:type="pct"/>
            <w:tcBorders>
              <w:top w:val="nil"/>
              <w:left w:val="nil"/>
              <w:bottom w:val="nil"/>
              <w:right w:val="nil"/>
            </w:tcBorders>
          </w:tcPr>
          <w:p w14:paraId="24DA08FA"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29870</w:t>
            </w:r>
          </w:p>
        </w:tc>
        <w:tc>
          <w:tcPr>
            <w:tcW w:w="681" w:type="pct"/>
            <w:tcBorders>
              <w:top w:val="nil"/>
              <w:left w:val="nil"/>
              <w:bottom w:val="nil"/>
              <w:right w:val="nil"/>
            </w:tcBorders>
          </w:tcPr>
          <w:p w14:paraId="5B972DB8"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39878</w:t>
            </w:r>
          </w:p>
        </w:tc>
        <w:tc>
          <w:tcPr>
            <w:tcW w:w="681" w:type="pct"/>
            <w:tcBorders>
              <w:top w:val="nil"/>
              <w:left w:val="nil"/>
              <w:bottom w:val="nil"/>
              <w:right w:val="nil"/>
            </w:tcBorders>
          </w:tcPr>
          <w:p w14:paraId="51C1CFF2"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229448</w:t>
            </w:r>
          </w:p>
        </w:tc>
        <w:tc>
          <w:tcPr>
            <w:tcW w:w="824" w:type="pct"/>
            <w:tcBorders>
              <w:top w:val="nil"/>
              <w:left w:val="nil"/>
              <w:bottom w:val="nil"/>
              <w:right w:val="nil"/>
            </w:tcBorders>
          </w:tcPr>
          <w:p w14:paraId="13536A88"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138226</w:t>
            </w:r>
          </w:p>
        </w:tc>
      </w:tr>
      <w:tr w:rsidR="00CD4846" w:rsidRPr="00CD4846" w14:paraId="0363768B" w14:textId="77777777" w:rsidTr="003959BE">
        <w:tc>
          <w:tcPr>
            <w:tcW w:w="1451" w:type="pct"/>
            <w:tcBorders>
              <w:top w:val="nil"/>
              <w:left w:val="nil"/>
              <w:bottom w:val="nil"/>
              <w:right w:val="nil"/>
            </w:tcBorders>
          </w:tcPr>
          <w:p w14:paraId="387ABBCC"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County FE</w:t>
            </w:r>
          </w:p>
        </w:tc>
        <w:tc>
          <w:tcPr>
            <w:tcW w:w="681" w:type="pct"/>
            <w:tcBorders>
              <w:top w:val="nil"/>
              <w:left w:val="nil"/>
              <w:bottom w:val="nil"/>
              <w:right w:val="nil"/>
            </w:tcBorders>
          </w:tcPr>
          <w:p w14:paraId="57835D1F"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681" w:type="pct"/>
            <w:tcBorders>
              <w:top w:val="nil"/>
              <w:left w:val="nil"/>
              <w:bottom w:val="nil"/>
              <w:right w:val="nil"/>
            </w:tcBorders>
          </w:tcPr>
          <w:p w14:paraId="65986133"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681" w:type="pct"/>
            <w:tcBorders>
              <w:top w:val="nil"/>
              <w:left w:val="nil"/>
              <w:bottom w:val="nil"/>
              <w:right w:val="nil"/>
            </w:tcBorders>
          </w:tcPr>
          <w:p w14:paraId="21D5D3CC"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681" w:type="pct"/>
            <w:tcBorders>
              <w:top w:val="nil"/>
              <w:left w:val="nil"/>
              <w:bottom w:val="nil"/>
              <w:right w:val="nil"/>
            </w:tcBorders>
          </w:tcPr>
          <w:p w14:paraId="232AECAA"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824" w:type="pct"/>
            <w:tcBorders>
              <w:top w:val="nil"/>
              <w:left w:val="nil"/>
              <w:bottom w:val="nil"/>
              <w:right w:val="nil"/>
            </w:tcBorders>
          </w:tcPr>
          <w:p w14:paraId="40C5E809"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r>
      <w:tr w:rsidR="00CD4846" w:rsidRPr="00CD4846" w14:paraId="7B5AB664" w14:textId="77777777" w:rsidTr="003959BE">
        <w:tc>
          <w:tcPr>
            <w:tcW w:w="1451" w:type="pct"/>
            <w:tcBorders>
              <w:top w:val="nil"/>
              <w:left w:val="nil"/>
              <w:bottom w:val="nil"/>
              <w:right w:val="nil"/>
            </w:tcBorders>
          </w:tcPr>
          <w:p w14:paraId="19C75ABC"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State by Year FE</w:t>
            </w:r>
          </w:p>
        </w:tc>
        <w:tc>
          <w:tcPr>
            <w:tcW w:w="681" w:type="pct"/>
            <w:tcBorders>
              <w:top w:val="nil"/>
              <w:left w:val="nil"/>
              <w:bottom w:val="nil"/>
              <w:right w:val="nil"/>
            </w:tcBorders>
          </w:tcPr>
          <w:p w14:paraId="0FF0A688"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681" w:type="pct"/>
            <w:tcBorders>
              <w:top w:val="nil"/>
              <w:left w:val="nil"/>
              <w:bottom w:val="nil"/>
              <w:right w:val="nil"/>
            </w:tcBorders>
          </w:tcPr>
          <w:p w14:paraId="1E3166C8"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681" w:type="pct"/>
            <w:tcBorders>
              <w:top w:val="nil"/>
              <w:left w:val="nil"/>
              <w:bottom w:val="nil"/>
              <w:right w:val="nil"/>
            </w:tcBorders>
          </w:tcPr>
          <w:p w14:paraId="6840C30C"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681" w:type="pct"/>
            <w:tcBorders>
              <w:top w:val="nil"/>
              <w:left w:val="nil"/>
              <w:bottom w:val="nil"/>
              <w:right w:val="nil"/>
            </w:tcBorders>
          </w:tcPr>
          <w:p w14:paraId="17878CA3"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824" w:type="pct"/>
            <w:tcBorders>
              <w:top w:val="nil"/>
              <w:left w:val="nil"/>
              <w:bottom w:val="nil"/>
              <w:right w:val="nil"/>
            </w:tcBorders>
          </w:tcPr>
          <w:p w14:paraId="462B048F" w14:textId="77777777" w:rsidR="00CD4846" w:rsidRPr="00CD4846" w:rsidRDefault="00CD4846"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r>
    </w:tbl>
    <w:p w14:paraId="518A6F4E" w14:textId="77777777" w:rsidR="00EE502F" w:rsidRDefault="00EE502F">
      <w:r>
        <w:br w:type="page"/>
      </w:r>
    </w:p>
    <w:p w14:paraId="46DCE917" w14:textId="2EE7FF20" w:rsidR="00EE502F" w:rsidRPr="00EE502F" w:rsidRDefault="00EE502F" w:rsidP="00EE502F">
      <w:pPr>
        <w:spacing w:line="240" w:lineRule="auto"/>
        <w:rPr>
          <w:b/>
          <w:bCs/>
        </w:rPr>
      </w:pPr>
      <w:r w:rsidRPr="00EE502F">
        <w:rPr>
          <w:b/>
          <w:bCs/>
        </w:rPr>
        <w:lastRenderedPageBreak/>
        <w:t>Table A8 Continued</w:t>
      </w:r>
    </w:p>
    <w:tbl>
      <w:tblPr>
        <w:tblW w:w="5000" w:type="pct"/>
        <w:tblLook w:val="04A0" w:firstRow="1" w:lastRow="0" w:firstColumn="1" w:lastColumn="0" w:noHBand="0" w:noVBand="1"/>
      </w:tblPr>
      <w:tblGrid>
        <w:gridCol w:w="2717"/>
        <w:gridCol w:w="1275"/>
        <w:gridCol w:w="1275"/>
        <w:gridCol w:w="1275"/>
        <w:gridCol w:w="1275"/>
        <w:gridCol w:w="1543"/>
      </w:tblGrid>
      <w:tr w:rsidR="00EE502F" w:rsidRPr="00CD4846" w14:paraId="3F928817" w14:textId="77777777" w:rsidTr="00EE502F">
        <w:tc>
          <w:tcPr>
            <w:tcW w:w="1452" w:type="pct"/>
            <w:tcBorders>
              <w:top w:val="single" w:sz="4" w:space="0" w:color="auto"/>
              <w:left w:val="nil"/>
              <w:bottom w:val="single" w:sz="4" w:space="0" w:color="auto"/>
              <w:right w:val="nil"/>
            </w:tcBorders>
          </w:tcPr>
          <w:p w14:paraId="44973CBB" w14:textId="00517102" w:rsidR="00EE502F" w:rsidRPr="00CD4846" w:rsidRDefault="00EE502F" w:rsidP="00EE502F">
            <w:pPr>
              <w:widowControl w:val="0"/>
              <w:autoSpaceDE w:val="0"/>
              <w:autoSpaceDN w:val="0"/>
              <w:adjustRightInd w:val="0"/>
              <w:spacing w:line="240" w:lineRule="auto"/>
              <w:rPr>
                <w:rFonts w:cs="Times New Roman"/>
                <w:kern w:val="2"/>
                <w:sz w:val="20"/>
                <w:szCs w:val="20"/>
                <w:lang/>
              </w:rPr>
            </w:pPr>
            <w:r w:rsidRPr="00CD4846">
              <w:rPr>
                <w:rFonts w:cs="Times New Roman"/>
                <w:b/>
                <w:bCs/>
                <w:kern w:val="2"/>
                <w:sz w:val="20"/>
                <w:szCs w:val="20"/>
                <w:lang/>
              </w:rPr>
              <w:t>Variable</w:t>
            </w:r>
          </w:p>
        </w:tc>
        <w:tc>
          <w:tcPr>
            <w:tcW w:w="681" w:type="pct"/>
            <w:tcBorders>
              <w:top w:val="single" w:sz="4" w:space="0" w:color="auto"/>
              <w:left w:val="nil"/>
              <w:bottom w:val="single" w:sz="4" w:space="0" w:color="auto"/>
              <w:right w:val="nil"/>
            </w:tcBorders>
          </w:tcPr>
          <w:p w14:paraId="7901A5B3" w14:textId="4F690BB4" w:rsidR="00EE502F" w:rsidRPr="00CD4846" w:rsidRDefault="00EE502F" w:rsidP="00EE502F">
            <w:pPr>
              <w:widowControl w:val="0"/>
              <w:autoSpaceDE w:val="0"/>
              <w:autoSpaceDN w:val="0"/>
              <w:adjustRightInd w:val="0"/>
              <w:spacing w:line="240" w:lineRule="auto"/>
              <w:rPr>
                <w:rFonts w:cs="Times New Roman"/>
                <w:kern w:val="2"/>
                <w:sz w:val="20"/>
                <w:szCs w:val="20"/>
                <w:lang/>
              </w:rPr>
            </w:pPr>
            <w:r w:rsidRPr="00CD4846">
              <w:rPr>
                <w:rFonts w:cs="Times New Roman"/>
                <w:b/>
                <w:bCs/>
                <w:kern w:val="2"/>
                <w:sz w:val="20"/>
                <w:szCs w:val="20"/>
                <w:lang/>
              </w:rPr>
              <w:t>NAICS 11</w:t>
            </w:r>
          </w:p>
        </w:tc>
        <w:tc>
          <w:tcPr>
            <w:tcW w:w="681" w:type="pct"/>
            <w:tcBorders>
              <w:top w:val="single" w:sz="4" w:space="0" w:color="auto"/>
              <w:left w:val="nil"/>
              <w:bottom w:val="single" w:sz="4" w:space="0" w:color="auto"/>
              <w:right w:val="nil"/>
            </w:tcBorders>
          </w:tcPr>
          <w:p w14:paraId="4F3EC714" w14:textId="0BF2D827" w:rsidR="00EE502F" w:rsidRPr="00CD4846" w:rsidRDefault="00EE502F" w:rsidP="00EE502F">
            <w:pPr>
              <w:widowControl w:val="0"/>
              <w:autoSpaceDE w:val="0"/>
              <w:autoSpaceDN w:val="0"/>
              <w:adjustRightInd w:val="0"/>
              <w:spacing w:line="240" w:lineRule="auto"/>
              <w:rPr>
                <w:rFonts w:cs="Times New Roman"/>
                <w:kern w:val="2"/>
                <w:sz w:val="20"/>
                <w:szCs w:val="20"/>
                <w:lang/>
              </w:rPr>
            </w:pPr>
            <w:r w:rsidRPr="00CD4846">
              <w:rPr>
                <w:rFonts w:cs="Times New Roman"/>
                <w:b/>
                <w:bCs/>
                <w:kern w:val="2"/>
                <w:sz w:val="20"/>
                <w:szCs w:val="20"/>
                <w:lang/>
              </w:rPr>
              <w:t>NAICS 21</w:t>
            </w:r>
          </w:p>
        </w:tc>
        <w:tc>
          <w:tcPr>
            <w:tcW w:w="681" w:type="pct"/>
            <w:tcBorders>
              <w:top w:val="single" w:sz="4" w:space="0" w:color="auto"/>
              <w:left w:val="nil"/>
              <w:bottom w:val="single" w:sz="4" w:space="0" w:color="auto"/>
              <w:right w:val="nil"/>
            </w:tcBorders>
          </w:tcPr>
          <w:p w14:paraId="36681844" w14:textId="7E5B1745" w:rsidR="00EE502F" w:rsidRPr="00CD4846" w:rsidRDefault="00EE502F" w:rsidP="00EE502F">
            <w:pPr>
              <w:widowControl w:val="0"/>
              <w:autoSpaceDE w:val="0"/>
              <w:autoSpaceDN w:val="0"/>
              <w:adjustRightInd w:val="0"/>
              <w:spacing w:line="240" w:lineRule="auto"/>
              <w:rPr>
                <w:rFonts w:cs="Times New Roman"/>
                <w:kern w:val="2"/>
                <w:sz w:val="20"/>
                <w:szCs w:val="20"/>
                <w:lang/>
              </w:rPr>
            </w:pPr>
            <w:r w:rsidRPr="00CD4846">
              <w:rPr>
                <w:rFonts w:cs="Times New Roman"/>
                <w:b/>
                <w:bCs/>
                <w:kern w:val="2"/>
                <w:sz w:val="20"/>
                <w:szCs w:val="20"/>
                <w:lang/>
              </w:rPr>
              <w:t>NAICS 22</w:t>
            </w:r>
          </w:p>
        </w:tc>
        <w:tc>
          <w:tcPr>
            <w:tcW w:w="681" w:type="pct"/>
            <w:tcBorders>
              <w:top w:val="single" w:sz="4" w:space="0" w:color="auto"/>
              <w:left w:val="nil"/>
              <w:bottom w:val="single" w:sz="4" w:space="0" w:color="auto"/>
              <w:right w:val="nil"/>
            </w:tcBorders>
          </w:tcPr>
          <w:p w14:paraId="5277C5EA" w14:textId="0798C0BC" w:rsidR="00EE502F" w:rsidRPr="00CD4846" w:rsidRDefault="00EE502F" w:rsidP="00EE502F">
            <w:pPr>
              <w:widowControl w:val="0"/>
              <w:autoSpaceDE w:val="0"/>
              <w:autoSpaceDN w:val="0"/>
              <w:adjustRightInd w:val="0"/>
              <w:spacing w:line="240" w:lineRule="auto"/>
              <w:rPr>
                <w:rFonts w:cs="Times New Roman"/>
                <w:kern w:val="2"/>
                <w:sz w:val="20"/>
                <w:szCs w:val="20"/>
                <w:lang/>
              </w:rPr>
            </w:pPr>
            <w:r w:rsidRPr="00CD4846">
              <w:rPr>
                <w:rFonts w:cs="Times New Roman"/>
                <w:b/>
                <w:bCs/>
                <w:kern w:val="2"/>
                <w:sz w:val="20"/>
                <w:szCs w:val="20"/>
                <w:lang/>
              </w:rPr>
              <w:t>NAICS 23</w:t>
            </w:r>
          </w:p>
        </w:tc>
        <w:tc>
          <w:tcPr>
            <w:tcW w:w="824" w:type="pct"/>
            <w:tcBorders>
              <w:top w:val="single" w:sz="4" w:space="0" w:color="auto"/>
              <w:left w:val="nil"/>
              <w:bottom w:val="single" w:sz="4" w:space="0" w:color="auto"/>
              <w:right w:val="nil"/>
            </w:tcBorders>
          </w:tcPr>
          <w:p w14:paraId="57F07A59" w14:textId="0A2699C8" w:rsidR="00EE502F" w:rsidRPr="00CD4846" w:rsidRDefault="00EE502F" w:rsidP="00EE502F">
            <w:pPr>
              <w:widowControl w:val="0"/>
              <w:autoSpaceDE w:val="0"/>
              <w:autoSpaceDN w:val="0"/>
              <w:adjustRightInd w:val="0"/>
              <w:spacing w:line="240" w:lineRule="auto"/>
              <w:rPr>
                <w:rFonts w:cs="Times New Roman"/>
                <w:kern w:val="2"/>
                <w:sz w:val="20"/>
                <w:szCs w:val="20"/>
                <w:lang/>
              </w:rPr>
            </w:pPr>
            <w:r w:rsidRPr="00CD4846">
              <w:rPr>
                <w:rFonts w:cs="Times New Roman"/>
                <w:b/>
                <w:bCs/>
                <w:kern w:val="2"/>
                <w:sz w:val="20"/>
                <w:szCs w:val="20"/>
                <w:lang/>
              </w:rPr>
              <w:t>NAICS 31-33</w:t>
            </w:r>
          </w:p>
        </w:tc>
      </w:tr>
      <w:tr w:rsidR="00EE502F" w:rsidRPr="00CD4846" w14:paraId="19FF3838" w14:textId="77777777" w:rsidTr="00EE502F">
        <w:tc>
          <w:tcPr>
            <w:tcW w:w="1452" w:type="pct"/>
            <w:tcBorders>
              <w:top w:val="single" w:sz="4" w:space="0" w:color="auto"/>
              <w:left w:val="nil"/>
              <w:right w:val="nil"/>
            </w:tcBorders>
          </w:tcPr>
          <w:p w14:paraId="62140F5D" w14:textId="52B70011" w:rsidR="00EE502F" w:rsidRPr="00CD4846" w:rsidRDefault="00EE502F"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NAICS FE</w:t>
            </w:r>
          </w:p>
        </w:tc>
        <w:tc>
          <w:tcPr>
            <w:tcW w:w="681" w:type="pct"/>
            <w:tcBorders>
              <w:top w:val="single" w:sz="4" w:space="0" w:color="auto"/>
              <w:left w:val="nil"/>
              <w:right w:val="nil"/>
            </w:tcBorders>
          </w:tcPr>
          <w:p w14:paraId="369E5880" w14:textId="77777777" w:rsidR="00EE502F" w:rsidRPr="00CD4846" w:rsidRDefault="00EE502F"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681" w:type="pct"/>
            <w:tcBorders>
              <w:top w:val="single" w:sz="4" w:space="0" w:color="auto"/>
              <w:left w:val="nil"/>
              <w:right w:val="nil"/>
            </w:tcBorders>
          </w:tcPr>
          <w:p w14:paraId="73B5E7AF" w14:textId="77777777" w:rsidR="00EE502F" w:rsidRPr="00CD4846" w:rsidRDefault="00EE502F"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681" w:type="pct"/>
            <w:tcBorders>
              <w:top w:val="single" w:sz="4" w:space="0" w:color="auto"/>
              <w:left w:val="nil"/>
              <w:right w:val="nil"/>
            </w:tcBorders>
          </w:tcPr>
          <w:p w14:paraId="248625D4" w14:textId="77777777" w:rsidR="00EE502F" w:rsidRPr="00CD4846" w:rsidRDefault="00EE502F"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681" w:type="pct"/>
            <w:tcBorders>
              <w:top w:val="single" w:sz="4" w:space="0" w:color="auto"/>
              <w:left w:val="nil"/>
              <w:right w:val="nil"/>
            </w:tcBorders>
          </w:tcPr>
          <w:p w14:paraId="4965F63B" w14:textId="77777777" w:rsidR="00EE502F" w:rsidRPr="00CD4846" w:rsidRDefault="00EE502F"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824" w:type="pct"/>
            <w:tcBorders>
              <w:top w:val="single" w:sz="4" w:space="0" w:color="auto"/>
              <w:left w:val="nil"/>
              <w:right w:val="nil"/>
            </w:tcBorders>
          </w:tcPr>
          <w:p w14:paraId="67A40275" w14:textId="77777777" w:rsidR="00EE502F" w:rsidRPr="00CD4846" w:rsidRDefault="00EE502F" w:rsidP="00EE502F">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r>
      <w:tr w:rsidR="00EE502F" w:rsidRPr="00CD4846" w14:paraId="1304C764" w14:textId="77777777" w:rsidTr="00B82EB9">
        <w:tc>
          <w:tcPr>
            <w:tcW w:w="1452" w:type="pct"/>
            <w:tcBorders>
              <w:top w:val="nil"/>
              <w:left w:val="nil"/>
              <w:bottom w:val="single" w:sz="4" w:space="0" w:color="auto"/>
              <w:right w:val="nil"/>
            </w:tcBorders>
          </w:tcPr>
          <w:p w14:paraId="6F1C7D87" w14:textId="77777777" w:rsidR="00EE502F" w:rsidRPr="00CD4846" w:rsidRDefault="00EE502F" w:rsidP="00EE502F">
            <w:pPr>
              <w:widowControl w:val="0"/>
              <w:autoSpaceDE w:val="0"/>
              <w:autoSpaceDN w:val="0"/>
              <w:adjustRightInd w:val="0"/>
              <w:spacing w:line="240" w:lineRule="auto"/>
              <w:rPr>
                <w:rFonts w:eastAsia="Times New Roman" w:cs="Times New Roman"/>
                <w:b/>
                <w:bCs/>
                <w:color w:val="5F6368"/>
                <w:kern w:val="2"/>
                <w:sz w:val="20"/>
                <w:szCs w:val="20"/>
                <w:shd w:val="clear" w:color="auto" w:fill="FFFFFF"/>
                <w:lang/>
              </w:rPr>
            </w:pPr>
            <w:r w:rsidRPr="00CD4846">
              <w:rPr>
                <w:rFonts w:eastAsia="Times New Roman" w:cs="Times New Roman"/>
                <w:kern w:val="2"/>
                <w:sz w:val="20"/>
                <w:szCs w:val="20"/>
                <w:lang/>
              </w:rPr>
              <w:t>PA-PA</w:t>
            </w:r>
            <w:r w:rsidRPr="00CD4846">
              <w:rPr>
                <w:rFonts w:eastAsia="Times New Roman" w:cs="Times New Roman"/>
                <w:b/>
                <w:bCs/>
                <w:i/>
                <w:color w:val="5F6368"/>
                <w:kern w:val="2"/>
                <w:sz w:val="20"/>
                <w:szCs w:val="20"/>
                <w:shd w:val="clear" w:color="auto" w:fill="FFFFFF"/>
                <w:lang/>
              </w:rPr>
              <w:t>²</w:t>
            </w:r>
            <w:r w:rsidRPr="00CD4846">
              <w:rPr>
                <w:rFonts w:cs="Times New Roman"/>
                <w:b/>
                <w:bCs/>
                <w:i/>
                <w:color w:val="5F6368"/>
                <w:kern w:val="2"/>
                <w:sz w:val="20"/>
                <w:szCs w:val="20"/>
                <w:shd w:val="clear" w:color="auto" w:fill="FFFFFF"/>
                <w:lang/>
              </w:rPr>
              <w:t xml:space="preserve"> </w:t>
            </w:r>
            <w:r w:rsidRPr="00CD4846">
              <w:rPr>
                <w:rFonts w:eastAsia="Times New Roman" w:cs="Times New Roman"/>
                <w:kern w:val="2"/>
                <w:sz w:val="20"/>
                <w:szCs w:val="20"/>
                <w:lang/>
              </w:rPr>
              <w:t xml:space="preserve">Joint Test </w:t>
            </w:r>
            <w:r w:rsidRPr="00CD4846">
              <w:rPr>
                <w:rFonts w:cs="Times New Roman"/>
                <w:kern w:val="2"/>
                <w:sz w:val="20"/>
                <w:szCs w:val="20"/>
                <w:lang/>
              </w:rPr>
              <w:t>p-value</w:t>
            </w:r>
          </w:p>
        </w:tc>
        <w:tc>
          <w:tcPr>
            <w:tcW w:w="681" w:type="pct"/>
            <w:tcBorders>
              <w:top w:val="nil"/>
              <w:left w:val="nil"/>
              <w:bottom w:val="single" w:sz="4" w:space="0" w:color="auto"/>
              <w:right w:val="nil"/>
            </w:tcBorders>
          </w:tcPr>
          <w:p w14:paraId="3308A54C" w14:textId="77777777" w:rsidR="00EE502F" w:rsidRPr="00CD4846" w:rsidRDefault="00EE502F" w:rsidP="00EE502F">
            <w:pPr>
              <w:widowControl w:val="0"/>
              <w:autoSpaceDE w:val="0"/>
              <w:autoSpaceDN w:val="0"/>
              <w:adjustRightInd w:val="0"/>
              <w:spacing w:line="240" w:lineRule="auto"/>
              <w:rPr>
                <w:rFonts w:cs="Times New Roman"/>
                <w:bCs/>
                <w:kern w:val="2"/>
                <w:sz w:val="20"/>
                <w:szCs w:val="20"/>
                <w:lang/>
              </w:rPr>
            </w:pPr>
            <w:r w:rsidRPr="00CD4846">
              <w:rPr>
                <w:rFonts w:cs="Times New Roman"/>
                <w:bCs/>
                <w:kern w:val="2"/>
                <w:sz w:val="20"/>
                <w:szCs w:val="20"/>
                <w:lang/>
              </w:rPr>
              <w:t>0.0001</w:t>
            </w:r>
          </w:p>
        </w:tc>
        <w:tc>
          <w:tcPr>
            <w:tcW w:w="681" w:type="pct"/>
            <w:tcBorders>
              <w:top w:val="nil"/>
              <w:left w:val="nil"/>
              <w:bottom w:val="single" w:sz="4" w:space="0" w:color="auto"/>
              <w:right w:val="nil"/>
            </w:tcBorders>
          </w:tcPr>
          <w:p w14:paraId="6DBA14D2" w14:textId="77777777" w:rsidR="00EE502F" w:rsidRPr="00CD4846" w:rsidRDefault="00EE502F" w:rsidP="00EE502F">
            <w:pPr>
              <w:widowControl w:val="0"/>
              <w:autoSpaceDE w:val="0"/>
              <w:autoSpaceDN w:val="0"/>
              <w:adjustRightInd w:val="0"/>
              <w:spacing w:line="240" w:lineRule="auto"/>
              <w:rPr>
                <w:rFonts w:cs="Times New Roman"/>
                <w:bCs/>
                <w:kern w:val="2"/>
                <w:sz w:val="20"/>
                <w:szCs w:val="20"/>
                <w:lang/>
              </w:rPr>
            </w:pPr>
            <w:r w:rsidRPr="00CD4846">
              <w:rPr>
                <w:rFonts w:cs="Times New Roman"/>
                <w:bCs/>
                <w:kern w:val="2"/>
                <w:sz w:val="20"/>
                <w:szCs w:val="20"/>
                <w:lang/>
              </w:rPr>
              <w:t>0.3887</w:t>
            </w:r>
          </w:p>
        </w:tc>
        <w:tc>
          <w:tcPr>
            <w:tcW w:w="681" w:type="pct"/>
            <w:tcBorders>
              <w:top w:val="nil"/>
              <w:left w:val="nil"/>
              <w:bottom w:val="single" w:sz="4" w:space="0" w:color="auto"/>
              <w:right w:val="nil"/>
            </w:tcBorders>
          </w:tcPr>
          <w:p w14:paraId="16BDAFAE" w14:textId="77777777" w:rsidR="00EE502F" w:rsidRPr="00CD4846" w:rsidRDefault="00EE502F" w:rsidP="00EE502F">
            <w:pPr>
              <w:widowControl w:val="0"/>
              <w:autoSpaceDE w:val="0"/>
              <w:autoSpaceDN w:val="0"/>
              <w:adjustRightInd w:val="0"/>
              <w:spacing w:line="240" w:lineRule="auto"/>
              <w:rPr>
                <w:rFonts w:cs="Times New Roman"/>
                <w:bCs/>
                <w:kern w:val="2"/>
                <w:sz w:val="20"/>
                <w:szCs w:val="20"/>
                <w:lang/>
              </w:rPr>
            </w:pPr>
            <w:r w:rsidRPr="00CD4846">
              <w:rPr>
                <w:rFonts w:cs="Times New Roman"/>
                <w:bCs/>
                <w:kern w:val="2"/>
                <w:sz w:val="20"/>
                <w:szCs w:val="20"/>
                <w:lang/>
              </w:rPr>
              <w:t>0.0007</w:t>
            </w:r>
          </w:p>
        </w:tc>
        <w:tc>
          <w:tcPr>
            <w:tcW w:w="681" w:type="pct"/>
            <w:tcBorders>
              <w:top w:val="nil"/>
              <w:left w:val="nil"/>
              <w:bottom w:val="single" w:sz="4" w:space="0" w:color="auto"/>
              <w:right w:val="nil"/>
            </w:tcBorders>
          </w:tcPr>
          <w:p w14:paraId="06097590" w14:textId="77777777" w:rsidR="00EE502F" w:rsidRPr="00CD4846" w:rsidRDefault="00EE502F" w:rsidP="00EE502F">
            <w:pPr>
              <w:widowControl w:val="0"/>
              <w:autoSpaceDE w:val="0"/>
              <w:autoSpaceDN w:val="0"/>
              <w:adjustRightInd w:val="0"/>
              <w:spacing w:line="240" w:lineRule="auto"/>
              <w:rPr>
                <w:rFonts w:cs="Times New Roman"/>
                <w:bCs/>
                <w:kern w:val="2"/>
                <w:sz w:val="20"/>
                <w:szCs w:val="20"/>
                <w:lang/>
              </w:rPr>
            </w:pPr>
            <w:r w:rsidRPr="00CD4846">
              <w:rPr>
                <w:rFonts w:cs="Times New Roman"/>
                <w:bCs/>
                <w:kern w:val="2"/>
                <w:sz w:val="20"/>
                <w:szCs w:val="20"/>
                <w:lang/>
              </w:rPr>
              <w:t>0.6688</w:t>
            </w:r>
          </w:p>
        </w:tc>
        <w:tc>
          <w:tcPr>
            <w:tcW w:w="824" w:type="pct"/>
            <w:tcBorders>
              <w:top w:val="nil"/>
              <w:left w:val="nil"/>
              <w:bottom w:val="single" w:sz="4" w:space="0" w:color="auto"/>
              <w:right w:val="nil"/>
            </w:tcBorders>
          </w:tcPr>
          <w:p w14:paraId="33EFD680" w14:textId="77777777" w:rsidR="00EE502F" w:rsidRPr="00CD4846" w:rsidRDefault="00EE502F" w:rsidP="00EE502F">
            <w:pPr>
              <w:widowControl w:val="0"/>
              <w:autoSpaceDE w:val="0"/>
              <w:autoSpaceDN w:val="0"/>
              <w:adjustRightInd w:val="0"/>
              <w:spacing w:line="240" w:lineRule="auto"/>
              <w:rPr>
                <w:rFonts w:cs="Times New Roman"/>
                <w:bCs/>
                <w:kern w:val="2"/>
                <w:sz w:val="20"/>
                <w:szCs w:val="20"/>
                <w:lang/>
              </w:rPr>
            </w:pPr>
            <w:r w:rsidRPr="00CD4846">
              <w:rPr>
                <w:rFonts w:cs="Times New Roman"/>
                <w:bCs/>
                <w:kern w:val="2"/>
                <w:sz w:val="20"/>
                <w:szCs w:val="20"/>
                <w:lang/>
              </w:rPr>
              <w:t>0.0173</w:t>
            </w:r>
          </w:p>
        </w:tc>
      </w:tr>
    </w:tbl>
    <w:p w14:paraId="39620778" w14:textId="7595B695" w:rsidR="00CD4846" w:rsidRPr="00EE502F" w:rsidRDefault="00CD4846" w:rsidP="00EE502F">
      <w:pPr>
        <w:spacing w:line="240" w:lineRule="auto"/>
        <w:rPr>
          <w:rFonts w:ascii="Calibri" w:eastAsia="DengXian" w:hAnsi="Calibri"/>
          <w:i/>
          <w:iCs/>
          <w:sz w:val="20"/>
          <w:szCs w:val="20"/>
          <w:lang/>
        </w:rPr>
      </w:pPr>
      <w:r w:rsidRPr="00EE502F">
        <w:rPr>
          <w:rFonts w:hint="eastAsia"/>
          <w:sz w:val="20"/>
          <w:szCs w:val="20"/>
          <w:lang/>
        </w:rPr>
        <w:t>Table</w:t>
      </w:r>
      <w:r w:rsidR="002A78A3">
        <w:rPr>
          <w:sz w:val="20"/>
          <w:szCs w:val="20"/>
          <w:lang/>
        </w:rPr>
        <w:t xml:space="preserve"> A8:</w:t>
      </w:r>
      <w:r w:rsidRPr="00EE502F">
        <w:rPr>
          <w:rFonts w:hint="eastAsia"/>
          <w:sz w:val="20"/>
          <w:szCs w:val="20"/>
          <w:lang/>
        </w:rPr>
        <w:t xml:space="preserve"> </w:t>
      </w:r>
      <w:r w:rsidRPr="00EE502F">
        <w:rPr>
          <w:sz w:val="20"/>
          <w:szCs w:val="20"/>
          <w:lang/>
        </w:rPr>
        <w:t>PPMLHDFE r</w:t>
      </w:r>
      <w:r w:rsidRPr="00EE502F">
        <w:rPr>
          <w:rFonts w:hint="eastAsia"/>
          <w:sz w:val="20"/>
          <w:szCs w:val="20"/>
          <w:lang/>
        </w:rPr>
        <w:t xml:space="preserve">egression results </w:t>
      </w:r>
      <w:r w:rsidRPr="00EE502F">
        <w:rPr>
          <w:sz w:val="20"/>
          <w:szCs w:val="20"/>
          <w:lang/>
        </w:rPr>
        <w:t xml:space="preserve">on establishment births under broad PADs (GAP 1-4) are presented above. Column names correspond to a specific NAICS sector. </w:t>
      </w:r>
      <w:r w:rsidR="002A78A3" w:rsidRPr="00C624DB">
        <w:rPr>
          <w:sz w:val="20"/>
          <w:szCs w:val="20"/>
          <w:lang/>
        </w:rPr>
        <w:t xml:space="preserve">Standard errors are </w:t>
      </w:r>
      <w:r w:rsidR="002A78A3">
        <w:rPr>
          <w:sz w:val="20"/>
          <w:szCs w:val="20"/>
          <w:lang/>
        </w:rPr>
        <w:t xml:space="preserve">in parentheses and are </w:t>
      </w:r>
      <w:r w:rsidR="002A78A3" w:rsidRPr="00C624DB">
        <w:rPr>
          <w:sz w:val="20"/>
          <w:szCs w:val="20"/>
          <w:lang/>
        </w:rPr>
        <w:t xml:space="preserve">clustered at the county level. </w:t>
      </w:r>
      <w:r w:rsidR="002A78A3" w:rsidRPr="002C0F11">
        <w:rPr>
          <w:sz w:val="20"/>
          <w:szCs w:val="20"/>
          <w:lang/>
        </w:rPr>
        <w:t>Statistically significant impacts are denoted by asterisks. These asterisks denote statistical significance at the following levels: ***p &lt; 0.01, **p &lt; 0.05, *p &lt; 0.1.</w:t>
      </w:r>
      <w:r w:rsidR="002A78A3">
        <w:rPr>
          <w:sz w:val="20"/>
          <w:szCs w:val="20"/>
          <w:lang/>
        </w:rPr>
        <w:t xml:space="preserve"> </w:t>
      </w:r>
      <w:r w:rsidRPr="00EE502F">
        <w:rPr>
          <w:sz w:val="20"/>
          <w:szCs w:val="20"/>
          <w:lang/>
        </w:rPr>
        <w:t xml:space="preserve">p-values of joint-tests on linear and quadratic PAD terms are shown in the last row. </w:t>
      </w:r>
    </w:p>
    <w:p w14:paraId="00C54CA8" w14:textId="77777777" w:rsidR="00CD4846" w:rsidRPr="00CD4846" w:rsidRDefault="00CD4846" w:rsidP="00095E25">
      <w:pPr>
        <w:pStyle w:val="Title"/>
        <w:rPr>
          <w:sz w:val="32"/>
          <w:szCs w:val="32"/>
        </w:rPr>
      </w:pPr>
      <w:r w:rsidRPr="00CD4846">
        <w:rPr>
          <w:sz w:val="32"/>
          <w:szCs w:val="32"/>
        </w:rPr>
        <w:br w:type="page"/>
      </w:r>
      <w:bookmarkStart w:id="227" w:name="_Toc186799413"/>
      <w:bookmarkStart w:id="228" w:name="_Toc188359615"/>
      <w:bookmarkStart w:id="229" w:name="_Toc188359903"/>
      <w:bookmarkStart w:id="230" w:name="_Toc188361139"/>
      <w:bookmarkStart w:id="231" w:name="_Toc188366982"/>
      <w:r w:rsidRPr="00CD4846">
        <w:lastRenderedPageBreak/>
        <w:t>Table A9: Regression Results of Broad PADs on Entries by Sector</w:t>
      </w:r>
      <w:bookmarkEnd w:id="227"/>
      <w:bookmarkEnd w:id="228"/>
      <w:bookmarkEnd w:id="229"/>
      <w:bookmarkEnd w:id="230"/>
      <w:bookmarkEnd w:id="231"/>
    </w:p>
    <w:tbl>
      <w:tblPr>
        <w:tblW w:w="5000" w:type="pct"/>
        <w:tblLook w:val="04A0" w:firstRow="1" w:lastRow="0" w:firstColumn="1" w:lastColumn="0" w:noHBand="0" w:noVBand="1"/>
      </w:tblPr>
      <w:tblGrid>
        <w:gridCol w:w="2693"/>
        <w:gridCol w:w="1281"/>
        <w:gridCol w:w="1280"/>
        <w:gridCol w:w="1280"/>
        <w:gridCol w:w="1280"/>
        <w:gridCol w:w="1546"/>
      </w:tblGrid>
      <w:tr w:rsidR="00CD4846" w:rsidRPr="00CD4846" w14:paraId="19CD5BE7" w14:textId="77777777" w:rsidTr="003959BE">
        <w:tc>
          <w:tcPr>
            <w:tcW w:w="1438" w:type="pct"/>
            <w:tcBorders>
              <w:top w:val="single" w:sz="4" w:space="0" w:color="auto"/>
              <w:left w:val="nil"/>
              <w:bottom w:val="single" w:sz="4" w:space="0" w:color="auto"/>
              <w:right w:val="nil"/>
            </w:tcBorders>
          </w:tcPr>
          <w:p w14:paraId="2C1A7624" w14:textId="3B4B0C71" w:rsidR="00CD4846" w:rsidRPr="00CD4846" w:rsidRDefault="00CD4846" w:rsidP="00FF1F0E">
            <w:pPr>
              <w:widowControl w:val="0"/>
              <w:autoSpaceDE w:val="0"/>
              <w:autoSpaceDN w:val="0"/>
              <w:adjustRightInd w:val="0"/>
              <w:spacing w:line="240" w:lineRule="auto"/>
              <w:jc w:val="both"/>
              <w:rPr>
                <w:rFonts w:cs="Times New Roman"/>
                <w:b/>
                <w:bCs/>
                <w:kern w:val="2"/>
                <w:sz w:val="20"/>
                <w:szCs w:val="20"/>
                <w:lang/>
              </w:rPr>
            </w:pPr>
            <w:r w:rsidRPr="00CD4846">
              <w:rPr>
                <w:rFonts w:cs="Times New Roman"/>
                <w:b/>
                <w:bCs/>
                <w:kern w:val="2"/>
                <w:sz w:val="20"/>
                <w:szCs w:val="20"/>
                <w:lang/>
              </w:rPr>
              <w:t>Variable</w:t>
            </w:r>
          </w:p>
        </w:tc>
        <w:tc>
          <w:tcPr>
            <w:tcW w:w="684" w:type="pct"/>
            <w:tcBorders>
              <w:top w:val="single" w:sz="4" w:space="0" w:color="auto"/>
              <w:left w:val="nil"/>
              <w:bottom w:val="single" w:sz="4" w:space="0" w:color="auto"/>
              <w:right w:val="nil"/>
            </w:tcBorders>
          </w:tcPr>
          <w:p w14:paraId="0E3303E5" w14:textId="49292FE7" w:rsidR="00CD4846" w:rsidRPr="00CD4846" w:rsidRDefault="00CD4846" w:rsidP="00FF1F0E">
            <w:pPr>
              <w:widowControl w:val="0"/>
              <w:autoSpaceDE w:val="0"/>
              <w:autoSpaceDN w:val="0"/>
              <w:adjustRightInd w:val="0"/>
              <w:spacing w:line="240" w:lineRule="auto"/>
              <w:jc w:val="both"/>
              <w:rPr>
                <w:rFonts w:cs="Times New Roman"/>
                <w:b/>
                <w:bCs/>
                <w:kern w:val="2"/>
                <w:sz w:val="20"/>
                <w:szCs w:val="20"/>
                <w:lang/>
              </w:rPr>
            </w:pPr>
            <w:r w:rsidRPr="00CD4846">
              <w:rPr>
                <w:rFonts w:cs="Times New Roman"/>
                <w:b/>
                <w:bCs/>
                <w:kern w:val="2"/>
                <w:sz w:val="20"/>
                <w:szCs w:val="20"/>
                <w:lang/>
              </w:rPr>
              <w:t>NAICS 11</w:t>
            </w:r>
          </w:p>
        </w:tc>
        <w:tc>
          <w:tcPr>
            <w:tcW w:w="684" w:type="pct"/>
            <w:tcBorders>
              <w:top w:val="single" w:sz="4" w:space="0" w:color="auto"/>
              <w:left w:val="nil"/>
              <w:bottom w:val="single" w:sz="4" w:space="0" w:color="auto"/>
              <w:right w:val="nil"/>
            </w:tcBorders>
          </w:tcPr>
          <w:p w14:paraId="56292BBD" w14:textId="4C1F9D7D" w:rsidR="00CD4846" w:rsidRPr="00CD4846" w:rsidRDefault="00CD4846" w:rsidP="00FF1F0E">
            <w:pPr>
              <w:widowControl w:val="0"/>
              <w:autoSpaceDE w:val="0"/>
              <w:autoSpaceDN w:val="0"/>
              <w:adjustRightInd w:val="0"/>
              <w:spacing w:line="240" w:lineRule="auto"/>
              <w:jc w:val="both"/>
              <w:rPr>
                <w:rFonts w:cs="Times New Roman"/>
                <w:b/>
                <w:bCs/>
                <w:kern w:val="2"/>
                <w:sz w:val="20"/>
                <w:szCs w:val="20"/>
                <w:lang/>
              </w:rPr>
            </w:pPr>
            <w:r w:rsidRPr="00CD4846">
              <w:rPr>
                <w:rFonts w:cs="Times New Roman"/>
                <w:b/>
                <w:bCs/>
                <w:kern w:val="2"/>
                <w:sz w:val="20"/>
                <w:szCs w:val="20"/>
                <w:lang/>
              </w:rPr>
              <w:t>NAICS 21</w:t>
            </w:r>
          </w:p>
        </w:tc>
        <w:tc>
          <w:tcPr>
            <w:tcW w:w="684" w:type="pct"/>
            <w:tcBorders>
              <w:top w:val="single" w:sz="4" w:space="0" w:color="auto"/>
              <w:left w:val="nil"/>
              <w:bottom w:val="single" w:sz="4" w:space="0" w:color="auto"/>
              <w:right w:val="nil"/>
            </w:tcBorders>
          </w:tcPr>
          <w:p w14:paraId="047FD50E" w14:textId="73E9A5D0" w:rsidR="00CD4846" w:rsidRPr="00CD4846" w:rsidRDefault="00CD4846" w:rsidP="00FF1F0E">
            <w:pPr>
              <w:widowControl w:val="0"/>
              <w:autoSpaceDE w:val="0"/>
              <w:autoSpaceDN w:val="0"/>
              <w:adjustRightInd w:val="0"/>
              <w:spacing w:line="240" w:lineRule="auto"/>
              <w:jc w:val="both"/>
              <w:rPr>
                <w:rFonts w:cs="Times New Roman"/>
                <w:b/>
                <w:bCs/>
                <w:kern w:val="2"/>
                <w:sz w:val="20"/>
                <w:szCs w:val="20"/>
                <w:lang/>
              </w:rPr>
            </w:pPr>
            <w:r w:rsidRPr="00CD4846">
              <w:rPr>
                <w:rFonts w:cs="Times New Roman"/>
                <w:b/>
                <w:bCs/>
                <w:kern w:val="2"/>
                <w:sz w:val="20"/>
                <w:szCs w:val="20"/>
                <w:lang/>
              </w:rPr>
              <w:t>NAICS 22</w:t>
            </w:r>
          </w:p>
        </w:tc>
        <w:tc>
          <w:tcPr>
            <w:tcW w:w="684" w:type="pct"/>
            <w:tcBorders>
              <w:top w:val="single" w:sz="4" w:space="0" w:color="auto"/>
              <w:left w:val="nil"/>
              <w:bottom w:val="single" w:sz="4" w:space="0" w:color="auto"/>
              <w:right w:val="nil"/>
            </w:tcBorders>
          </w:tcPr>
          <w:p w14:paraId="371D3EB9" w14:textId="658B21DC" w:rsidR="00CD4846" w:rsidRPr="00CD4846" w:rsidRDefault="00CD4846" w:rsidP="00FF1F0E">
            <w:pPr>
              <w:widowControl w:val="0"/>
              <w:autoSpaceDE w:val="0"/>
              <w:autoSpaceDN w:val="0"/>
              <w:adjustRightInd w:val="0"/>
              <w:spacing w:line="240" w:lineRule="auto"/>
              <w:jc w:val="both"/>
              <w:rPr>
                <w:rFonts w:cs="Times New Roman"/>
                <w:b/>
                <w:bCs/>
                <w:kern w:val="2"/>
                <w:sz w:val="20"/>
                <w:szCs w:val="20"/>
                <w:lang/>
              </w:rPr>
            </w:pPr>
            <w:r w:rsidRPr="00CD4846">
              <w:rPr>
                <w:rFonts w:cs="Times New Roman"/>
                <w:b/>
                <w:bCs/>
                <w:kern w:val="2"/>
                <w:sz w:val="20"/>
                <w:szCs w:val="20"/>
                <w:lang/>
              </w:rPr>
              <w:t>NAICS 23</w:t>
            </w:r>
          </w:p>
        </w:tc>
        <w:tc>
          <w:tcPr>
            <w:tcW w:w="827" w:type="pct"/>
            <w:tcBorders>
              <w:top w:val="single" w:sz="4" w:space="0" w:color="auto"/>
              <w:left w:val="nil"/>
              <w:bottom w:val="single" w:sz="4" w:space="0" w:color="auto"/>
              <w:right w:val="nil"/>
            </w:tcBorders>
          </w:tcPr>
          <w:p w14:paraId="77FC015E" w14:textId="259ED428" w:rsidR="00CD4846" w:rsidRPr="00CD4846" w:rsidRDefault="00CD4846" w:rsidP="00FF1F0E">
            <w:pPr>
              <w:widowControl w:val="0"/>
              <w:autoSpaceDE w:val="0"/>
              <w:autoSpaceDN w:val="0"/>
              <w:adjustRightInd w:val="0"/>
              <w:spacing w:line="240" w:lineRule="auto"/>
              <w:jc w:val="both"/>
              <w:rPr>
                <w:rFonts w:cs="Times New Roman"/>
                <w:b/>
                <w:bCs/>
                <w:kern w:val="2"/>
                <w:sz w:val="20"/>
                <w:szCs w:val="20"/>
                <w:lang/>
              </w:rPr>
            </w:pPr>
            <w:r w:rsidRPr="00CD4846">
              <w:rPr>
                <w:rFonts w:cs="Times New Roman"/>
                <w:b/>
                <w:bCs/>
                <w:kern w:val="2"/>
                <w:sz w:val="20"/>
                <w:szCs w:val="20"/>
                <w:lang/>
              </w:rPr>
              <w:t>NAICS 31-33</w:t>
            </w:r>
          </w:p>
        </w:tc>
      </w:tr>
      <w:tr w:rsidR="00CD4846" w:rsidRPr="00CD4846" w14:paraId="0F30FFB0" w14:textId="77777777" w:rsidTr="003959BE">
        <w:tc>
          <w:tcPr>
            <w:tcW w:w="1438" w:type="pct"/>
            <w:tcBorders>
              <w:top w:val="single" w:sz="4" w:space="0" w:color="auto"/>
              <w:left w:val="nil"/>
              <w:bottom w:val="nil"/>
              <w:right w:val="nil"/>
            </w:tcBorders>
          </w:tcPr>
          <w:p w14:paraId="764B5DFE"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Broad PADs (t-1)</w:t>
            </w:r>
          </w:p>
        </w:tc>
        <w:tc>
          <w:tcPr>
            <w:tcW w:w="684" w:type="pct"/>
            <w:tcBorders>
              <w:top w:val="single" w:sz="4" w:space="0" w:color="auto"/>
              <w:left w:val="nil"/>
              <w:bottom w:val="nil"/>
              <w:right w:val="nil"/>
            </w:tcBorders>
          </w:tcPr>
          <w:p w14:paraId="4461D880"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3.724</w:t>
            </w:r>
          </w:p>
        </w:tc>
        <w:tc>
          <w:tcPr>
            <w:tcW w:w="684" w:type="pct"/>
            <w:tcBorders>
              <w:top w:val="single" w:sz="4" w:space="0" w:color="auto"/>
              <w:left w:val="nil"/>
              <w:bottom w:val="nil"/>
              <w:right w:val="nil"/>
            </w:tcBorders>
          </w:tcPr>
          <w:p w14:paraId="78BB90D2"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-1.781</w:t>
            </w:r>
          </w:p>
        </w:tc>
        <w:tc>
          <w:tcPr>
            <w:tcW w:w="684" w:type="pct"/>
            <w:tcBorders>
              <w:top w:val="single" w:sz="4" w:space="0" w:color="auto"/>
              <w:left w:val="nil"/>
              <w:bottom w:val="nil"/>
              <w:right w:val="nil"/>
            </w:tcBorders>
          </w:tcPr>
          <w:p w14:paraId="4EAFBED3"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-56.040</w:t>
            </w:r>
          </w:p>
        </w:tc>
        <w:tc>
          <w:tcPr>
            <w:tcW w:w="684" w:type="pct"/>
            <w:tcBorders>
              <w:top w:val="single" w:sz="4" w:space="0" w:color="auto"/>
              <w:left w:val="nil"/>
              <w:bottom w:val="nil"/>
              <w:right w:val="nil"/>
            </w:tcBorders>
          </w:tcPr>
          <w:p w14:paraId="47388C47"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-0.687</w:t>
            </w:r>
          </w:p>
        </w:tc>
        <w:tc>
          <w:tcPr>
            <w:tcW w:w="827" w:type="pct"/>
            <w:tcBorders>
              <w:top w:val="single" w:sz="4" w:space="0" w:color="auto"/>
              <w:left w:val="nil"/>
              <w:bottom w:val="nil"/>
              <w:right w:val="nil"/>
            </w:tcBorders>
          </w:tcPr>
          <w:p w14:paraId="5F6A61A6"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4.837</w:t>
            </w:r>
          </w:p>
        </w:tc>
      </w:tr>
      <w:tr w:rsidR="00CD4846" w:rsidRPr="00CD4846" w14:paraId="21B3DFAE" w14:textId="77777777" w:rsidTr="003959BE">
        <w:tc>
          <w:tcPr>
            <w:tcW w:w="1438" w:type="pct"/>
            <w:tcBorders>
              <w:top w:val="nil"/>
              <w:left w:val="nil"/>
              <w:bottom w:val="nil"/>
              <w:right w:val="nil"/>
            </w:tcBorders>
          </w:tcPr>
          <w:p w14:paraId="65CDC95E"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p>
        </w:tc>
        <w:tc>
          <w:tcPr>
            <w:tcW w:w="684" w:type="pct"/>
            <w:tcBorders>
              <w:top w:val="nil"/>
              <w:left w:val="nil"/>
              <w:bottom w:val="nil"/>
              <w:right w:val="nil"/>
            </w:tcBorders>
          </w:tcPr>
          <w:p w14:paraId="22B31176"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(13.699)</w:t>
            </w:r>
          </w:p>
        </w:tc>
        <w:tc>
          <w:tcPr>
            <w:tcW w:w="684" w:type="pct"/>
            <w:tcBorders>
              <w:top w:val="nil"/>
              <w:left w:val="nil"/>
              <w:bottom w:val="nil"/>
              <w:right w:val="nil"/>
            </w:tcBorders>
          </w:tcPr>
          <w:p w14:paraId="4AB1AE70"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(17.286)</w:t>
            </w:r>
          </w:p>
        </w:tc>
        <w:tc>
          <w:tcPr>
            <w:tcW w:w="684" w:type="pct"/>
            <w:tcBorders>
              <w:top w:val="nil"/>
              <w:left w:val="nil"/>
              <w:bottom w:val="nil"/>
              <w:right w:val="nil"/>
            </w:tcBorders>
          </w:tcPr>
          <w:p w14:paraId="1D7DDEF9"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(37.882)</w:t>
            </w:r>
          </w:p>
        </w:tc>
        <w:tc>
          <w:tcPr>
            <w:tcW w:w="684" w:type="pct"/>
            <w:tcBorders>
              <w:top w:val="nil"/>
              <w:left w:val="nil"/>
              <w:bottom w:val="nil"/>
              <w:right w:val="nil"/>
            </w:tcBorders>
          </w:tcPr>
          <w:p w14:paraId="00DFB999"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(3.337)</w:t>
            </w:r>
          </w:p>
        </w:tc>
        <w:tc>
          <w:tcPr>
            <w:tcW w:w="827" w:type="pct"/>
            <w:tcBorders>
              <w:top w:val="nil"/>
              <w:left w:val="nil"/>
              <w:bottom w:val="nil"/>
              <w:right w:val="nil"/>
            </w:tcBorders>
          </w:tcPr>
          <w:p w14:paraId="21DFCC78"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(4.271)</w:t>
            </w:r>
          </w:p>
        </w:tc>
      </w:tr>
      <w:tr w:rsidR="00CD4846" w:rsidRPr="00CD4846" w14:paraId="34CB657E" w14:textId="77777777" w:rsidTr="003959BE">
        <w:tc>
          <w:tcPr>
            <w:tcW w:w="1438" w:type="pct"/>
            <w:tcBorders>
              <w:top w:val="nil"/>
              <w:left w:val="nil"/>
              <w:bottom w:val="nil"/>
              <w:right w:val="nil"/>
            </w:tcBorders>
          </w:tcPr>
          <w:p w14:paraId="0C98CB27"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Broad PADs Sq. (t-1)</w:t>
            </w:r>
          </w:p>
        </w:tc>
        <w:tc>
          <w:tcPr>
            <w:tcW w:w="684" w:type="pct"/>
            <w:tcBorders>
              <w:top w:val="nil"/>
              <w:left w:val="nil"/>
              <w:bottom w:val="nil"/>
              <w:right w:val="nil"/>
            </w:tcBorders>
          </w:tcPr>
          <w:p w14:paraId="5CB64416"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4.049</w:t>
            </w:r>
          </w:p>
        </w:tc>
        <w:tc>
          <w:tcPr>
            <w:tcW w:w="684" w:type="pct"/>
            <w:tcBorders>
              <w:top w:val="nil"/>
              <w:left w:val="nil"/>
              <w:bottom w:val="nil"/>
              <w:right w:val="nil"/>
            </w:tcBorders>
          </w:tcPr>
          <w:p w14:paraId="575EE8EE"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6.155</w:t>
            </w:r>
          </w:p>
        </w:tc>
        <w:tc>
          <w:tcPr>
            <w:tcW w:w="684" w:type="pct"/>
            <w:tcBorders>
              <w:top w:val="nil"/>
              <w:left w:val="nil"/>
              <w:bottom w:val="nil"/>
              <w:right w:val="nil"/>
            </w:tcBorders>
          </w:tcPr>
          <w:p w14:paraId="6F1AC807"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64.222*</w:t>
            </w:r>
          </w:p>
        </w:tc>
        <w:tc>
          <w:tcPr>
            <w:tcW w:w="684" w:type="pct"/>
            <w:tcBorders>
              <w:top w:val="nil"/>
              <w:left w:val="nil"/>
              <w:bottom w:val="nil"/>
              <w:right w:val="nil"/>
            </w:tcBorders>
          </w:tcPr>
          <w:p w14:paraId="71789F03"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-0.462</w:t>
            </w:r>
          </w:p>
        </w:tc>
        <w:tc>
          <w:tcPr>
            <w:tcW w:w="827" w:type="pct"/>
            <w:tcBorders>
              <w:top w:val="nil"/>
              <w:left w:val="nil"/>
              <w:bottom w:val="nil"/>
              <w:right w:val="nil"/>
            </w:tcBorders>
          </w:tcPr>
          <w:p w14:paraId="3B793AA3"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-6.663</w:t>
            </w:r>
          </w:p>
        </w:tc>
      </w:tr>
      <w:tr w:rsidR="00CD4846" w:rsidRPr="00CD4846" w14:paraId="437199F1" w14:textId="77777777" w:rsidTr="003959BE">
        <w:tc>
          <w:tcPr>
            <w:tcW w:w="1438" w:type="pct"/>
            <w:tcBorders>
              <w:top w:val="nil"/>
              <w:left w:val="nil"/>
              <w:bottom w:val="nil"/>
              <w:right w:val="nil"/>
            </w:tcBorders>
          </w:tcPr>
          <w:p w14:paraId="7A016A49"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p>
        </w:tc>
        <w:tc>
          <w:tcPr>
            <w:tcW w:w="684" w:type="pct"/>
            <w:tcBorders>
              <w:top w:val="nil"/>
              <w:left w:val="nil"/>
              <w:bottom w:val="nil"/>
              <w:right w:val="nil"/>
            </w:tcBorders>
          </w:tcPr>
          <w:p w14:paraId="235778B8"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(12.931)</w:t>
            </w:r>
          </w:p>
        </w:tc>
        <w:tc>
          <w:tcPr>
            <w:tcW w:w="684" w:type="pct"/>
            <w:tcBorders>
              <w:top w:val="nil"/>
              <w:left w:val="nil"/>
              <w:bottom w:val="nil"/>
              <w:right w:val="nil"/>
            </w:tcBorders>
          </w:tcPr>
          <w:p w14:paraId="6DBEEA9B"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(15.637)</w:t>
            </w:r>
          </w:p>
        </w:tc>
        <w:tc>
          <w:tcPr>
            <w:tcW w:w="684" w:type="pct"/>
            <w:tcBorders>
              <w:top w:val="nil"/>
              <w:left w:val="nil"/>
              <w:bottom w:val="nil"/>
              <w:right w:val="nil"/>
            </w:tcBorders>
          </w:tcPr>
          <w:p w14:paraId="503B2C40"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(34.569)</w:t>
            </w:r>
          </w:p>
        </w:tc>
        <w:tc>
          <w:tcPr>
            <w:tcW w:w="684" w:type="pct"/>
            <w:tcBorders>
              <w:top w:val="nil"/>
              <w:left w:val="nil"/>
              <w:bottom w:val="nil"/>
              <w:right w:val="nil"/>
            </w:tcBorders>
          </w:tcPr>
          <w:p w14:paraId="091D7B7B"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(3.111)</w:t>
            </w:r>
          </w:p>
        </w:tc>
        <w:tc>
          <w:tcPr>
            <w:tcW w:w="827" w:type="pct"/>
            <w:tcBorders>
              <w:top w:val="nil"/>
              <w:left w:val="nil"/>
              <w:bottom w:val="nil"/>
              <w:right w:val="nil"/>
            </w:tcBorders>
          </w:tcPr>
          <w:p w14:paraId="4B16C432"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(4.065)</w:t>
            </w:r>
          </w:p>
        </w:tc>
      </w:tr>
      <w:tr w:rsidR="00CD4846" w:rsidRPr="00CD4846" w14:paraId="25F9738E" w14:textId="77777777" w:rsidTr="003959BE">
        <w:tc>
          <w:tcPr>
            <w:tcW w:w="1438" w:type="pct"/>
            <w:tcBorders>
              <w:top w:val="nil"/>
              <w:left w:val="nil"/>
              <w:bottom w:val="nil"/>
              <w:right w:val="nil"/>
            </w:tcBorders>
          </w:tcPr>
          <w:p w14:paraId="782B7BFA"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Loc. Economies (t-1) (10ks)</w:t>
            </w:r>
          </w:p>
        </w:tc>
        <w:tc>
          <w:tcPr>
            <w:tcW w:w="684" w:type="pct"/>
            <w:tcBorders>
              <w:top w:val="nil"/>
              <w:left w:val="nil"/>
              <w:bottom w:val="nil"/>
              <w:right w:val="nil"/>
            </w:tcBorders>
          </w:tcPr>
          <w:p w14:paraId="37402653"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-16.322</w:t>
            </w:r>
          </w:p>
        </w:tc>
        <w:tc>
          <w:tcPr>
            <w:tcW w:w="684" w:type="pct"/>
            <w:tcBorders>
              <w:top w:val="nil"/>
              <w:left w:val="nil"/>
              <w:bottom w:val="nil"/>
              <w:right w:val="nil"/>
            </w:tcBorders>
          </w:tcPr>
          <w:p w14:paraId="330B0569"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-12.050</w:t>
            </w:r>
          </w:p>
        </w:tc>
        <w:tc>
          <w:tcPr>
            <w:tcW w:w="684" w:type="pct"/>
            <w:tcBorders>
              <w:top w:val="nil"/>
              <w:left w:val="nil"/>
              <w:bottom w:val="nil"/>
              <w:right w:val="nil"/>
            </w:tcBorders>
          </w:tcPr>
          <w:p w14:paraId="48DB5D05"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-372.402***</w:t>
            </w:r>
          </w:p>
        </w:tc>
        <w:tc>
          <w:tcPr>
            <w:tcW w:w="684" w:type="pct"/>
            <w:tcBorders>
              <w:top w:val="nil"/>
              <w:left w:val="nil"/>
              <w:bottom w:val="nil"/>
              <w:right w:val="nil"/>
            </w:tcBorders>
          </w:tcPr>
          <w:p w14:paraId="228C546C"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0.041</w:t>
            </w:r>
          </w:p>
        </w:tc>
        <w:tc>
          <w:tcPr>
            <w:tcW w:w="827" w:type="pct"/>
            <w:tcBorders>
              <w:top w:val="nil"/>
              <w:left w:val="nil"/>
              <w:bottom w:val="nil"/>
              <w:right w:val="nil"/>
            </w:tcBorders>
          </w:tcPr>
          <w:p w14:paraId="7C8F7146"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-0.615</w:t>
            </w:r>
          </w:p>
        </w:tc>
      </w:tr>
      <w:tr w:rsidR="00CD4846" w:rsidRPr="00CD4846" w14:paraId="75AAED45" w14:textId="77777777" w:rsidTr="003959BE">
        <w:tc>
          <w:tcPr>
            <w:tcW w:w="1438" w:type="pct"/>
            <w:tcBorders>
              <w:top w:val="nil"/>
              <w:left w:val="nil"/>
              <w:bottom w:val="nil"/>
              <w:right w:val="nil"/>
            </w:tcBorders>
          </w:tcPr>
          <w:p w14:paraId="6DD2E26E"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p>
        </w:tc>
        <w:tc>
          <w:tcPr>
            <w:tcW w:w="684" w:type="pct"/>
            <w:tcBorders>
              <w:top w:val="nil"/>
              <w:left w:val="nil"/>
              <w:bottom w:val="nil"/>
              <w:right w:val="nil"/>
            </w:tcBorders>
          </w:tcPr>
          <w:p w14:paraId="4E45799D"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(44.389)</w:t>
            </w:r>
          </w:p>
        </w:tc>
        <w:tc>
          <w:tcPr>
            <w:tcW w:w="684" w:type="pct"/>
            <w:tcBorders>
              <w:top w:val="nil"/>
              <w:left w:val="nil"/>
              <w:bottom w:val="nil"/>
              <w:right w:val="nil"/>
            </w:tcBorders>
          </w:tcPr>
          <w:p w14:paraId="5A576C5A"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(16.579)</w:t>
            </w:r>
          </w:p>
        </w:tc>
        <w:tc>
          <w:tcPr>
            <w:tcW w:w="684" w:type="pct"/>
            <w:tcBorders>
              <w:top w:val="nil"/>
              <w:left w:val="nil"/>
              <w:bottom w:val="nil"/>
              <w:right w:val="nil"/>
            </w:tcBorders>
          </w:tcPr>
          <w:p w14:paraId="66E49D3F"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(112.264)</w:t>
            </w:r>
          </w:p>
        </w:tc>
        <w:tc>
          <w:tcPr>
            <w:tcW w:w="684" w:type="pct"/>
            <w:tcBorders>
              <w:top w:val="nil"/>
              <w:left w:val="nil"/>
              <w:bottom w:val="nil"/>
              <w:right w:val="nil"/>
            </w:tcBorders>
          </w:tcPr>
          <w:p w14:paraId="6B7170F2"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(0.314)</w:t>
            </w:r>
          </w:p>
        </w:tc>
        <w:tc>
          <w:tcPr>
            <w:tcW w:w="827" w:type="pct"/>
            <w:tcBorders>
              <w:top w:val="nil"/>
              <w:left w:val="nil"/>
              <w:bottom w:val="nil"/>
              <w:right w:val="nil"/>
            </w:tcBorders>
          </w:tcPr>
          <w:p w14:paraId="7A06E5CD"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(0.765)</w:t>
            </w:r>
          </w:p>
        </w:tc>
      </w:tr>
      <w:tr w:rsidR="00CD4846" w:rsidRPr="00CD4846" w14:paraId="0F4394DC" w14:textId="77777777" w:rsidTr="003959BE">
        <w:tc>
          <w:tcPr>
            <w:tcW w:w="1438" w:type="pct"/>
            <w:tcBorders>
              <w:top w:val="nil"/>
              <w:left w:val="nil"/>
              <w:bottom w:val="nil"/>
              <w:right w:val="nil"/>
            </w:tcBorders>
          </w:tcPr>
          <w:p w14:paraId="395D5D63"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Median HH Income (100ks)</w:t>
            </w:r>
          </w:p>
        </w:tc>
        <w:tc>
          <w:tcPr>
            <w:tcW w:w="684" w:type="pct"/>
            <w:tcBorders>
              <w:top w:val="nil"/>
              <w:left w:val="nil"/>
              <w:bottom w:val="nil"/>
              <w:right w:val="nil"/>
            </w:tcBorders>
          </w:tcPr>
          <w:p w14:paraId="4DD47967"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-1.860</w:t>
            </w:r>
          </w:p>
        </w:tc>
        <w:tc>
          <w:tcPr>
            <w:tcW w:w="684" w:type="pct"/>
            <w:tcBorders>
              <w:top w:val="nil"/>
              <w:left w:val="nil"/>
              <w:bottom w:val="nil"/>
              <w:right w:val="nil"/>
            </w:tcBorders>
          </w:tcPr>
          <w:p w14:paraId="6B424779"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-0.315</w:t>
            </w:r>
          </w:p>
        </w:tc>
        <w:tc>
          <w:tcPr>
            <w:tcW w:w="684" w:type="pct"/>
            <w:tcBorders>
              <w:top w:val="nil"/>
              <w:left w:val="nil"/>
              <w:bottom w:val="nil"/>
              <w:right w:val="nil"/>
            </w:tcBorders>
          </w:tcPr>
          <w:p w14:paraId="68BCCBBD"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0.151</w:t>
            </w:r>
          </w:p>
        </w:tc>
        <w:tc>
          <w:tcPr>
            <w:tcW w:w="684" w:type="pct"/>
            <w:tcBorders>
              <w:top w:val="nil"/>
              <w:left w:val="nil"/>
              <w:bottom w:val="nil"/>
              <w:right w:val="nil"/>
            </w:tcBorders>
          </w:tcPr>
          <w:p w14:paraId="2DE10952"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-0.024</w:t>
            </w:r>
          </w:p>
        </w:tc>
        <w:tc>
          <w:tcPr>
            <w:tcW w:w="827" w:type="pct"/>
            <w:tcBorders>
              <w:top w:val="nil"/>
              <w:left w:val="nil"/>
              <w:bottom w:val="nil"/>
              <w:right w:val="nil"/>
            </w:tcBorders>
          </w:tcPr>
          <w:p w14:paraId="2D2F6BB4"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-0.153</w:t>
            </w:r>
          </w:p>
        </w:tc>
      </w:tr>
      <w:tr w:rsidR="00CD4846" w:rsidRPr="00CD4846" w14:paraId="1EFD3777" w14:textId="77777777" w:rsidTr="003959BE">
        <w:tc>
          <w:tcPr>
            <w:tcW w:w="1438" w:type="pct"/>
            <w:tcBorders>
              <w:top w:val="nil"/>
              <w:left w:val="nil"/>
              <w:bottom w:val="nil"/>
              <w:right w:val="nil"/>
            </w:tcBorders>
          </w:tcPr>
          <w:p w14:paraId="2EB285CD"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p>
        </w:tc>
        <w:tc>
          <w:tcPr>
            <w:tcW w:w="684" w:type="pct"/>
            <w:tcBorders>
              <w:top w:val="nil"/>
              <w:left w:val="nil"/>
              <w:bottom w:val="nil"/>
              <w:right w:val="nil"/>
            </w:tcBorders>
          </w:tcPr>
          <w:p w14:paraId="11C3E710"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(2.048)</w:t>
            </w:r>
          </w:p>
        </w:tc>
        <w:tc>
          <w:tcPr>
            <w:tcW w:w="684" w:type="pct"/>
            <w:tcBorders>
              <w:top w:val="nil"/>
              <w:left w:val="nil"/>
              <w:bottom w:val="nil"/>
              <w:right w:val="nil"/>
            </w:tcBorders>
          </w:tcPr>
          <w:p w14:paraId="2383FF45"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(2.280)</w:t>
            </w:r>
          </w:p>
        </w:tc>
        <w:tc>
          <w:tcPr>
            <w:tcW w:w="684" w:type="pct"/>
            <w:tcBorders>
              <w:top w:val="nil"/>
              <w:left w:val="nil"/>
              <w:bottom w:val="nil"/>
              <w:right w:val="nil"/>
            </w:tcBorders>
          </w:tcPr>
          <w:p w14:paraId="19E4C539"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(2.791)</w:t>
            </w:r>
          </w:p>
        </w:tc>
        <w:tc>
          <w:tcPr>
            <w:tcW w:w="684" w:type="pct"/>
            <w:tcBorders>
              <w:top w:val="nil"/>
              <w:left w:val="nil"/>
              <w:bottom w:val="nil"/>
              <w:right w:val="nil"/>
            </w:tcBorders>
          </w:tcPr>
          <w:p w14:paraId="786ED64C"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(0.354)</w:t>
            </w:r>
          </w:p>
        </w:tc>
        <w:tc>
          <w:tcPr>
            <w:tcW w:w="827" w:type="pct"/>
            <w:tcBorders>
              <w:top w:val="nil"/>
              <w:left w:val="nil"/>
              <w:bottom w:val="nil"/>
              <w:right w:val="nil"/>
            </w:tcBorders>
          </w:tcPr>
          <w:p w14:paraId="4F202376"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(0.540)</w:t>
            </w:r>
          </w:p>
        </w:tc>
      </w:tr>
      <w:tr w:rsidR="00CD4846" w:rsidRPr="00CD4846" w14:paraId="28C3CC15" w14:textId="77777777" w:rsidTr="003959BE">
        <w:tc>
          <w:tcPr>
            <w:tcW w:w="1438" w:type="pct"/>
            <w:tcBorders>
              <w:top w:val="nil"/>
              <w:left w:val="nil"/>
              <w:bottom w:val="nil"/>
              <w:right w:val="nil"/>
            </w:tcBorders>
          </w:tcPr>
          <w:p w14:paraId="7345A2A6"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Housing Price Index (100s)</w:t>
            </w:r>
          </w:p>
        </w:tc>
        <w:tc>
          <w:tcPr>
            <w:tcW w:w="684" w:type="pct"/>
            <w:tcBorders>
              <w:top w:val="nil"/>
              <w:left w:val="nil"/>
              <w:bottom w:val="nil"/>
              <w:right w:val="nil"/>
            </w:tcBorders>
          </w:tcPr>
          <w:p w14:paraId="517DB303"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0.224</w:t>
            </w:r>
          </w:p>
        </w:tc>
        <w:tc>
          <w:tcPr>
            <w:tcW w:w="684" w:type="pct"/>
            <w:tcBorders>
              <w:top w:val="nil"/>
              <w:left w:val="nil"/>
              <w:bottom w:val="nil"/>
              <w:right w:val="nil"/>
            </w:tcBorders>
          </w:tcPr>
          <w:p w14:paraId="5E496BE8"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-0.225</w:t>
            </w:r>
          </w:p>
        </w:tc>
        <w:tc>
          <w:tcPr>
            <w:tcW w:w="684" w:type="pct"/>
            <w:tcBorders>
              <w:top w:val="nil"/>
              <w:left w:val="nil"/>
              <w:bottom w:val="nil"/>
              <w:right w:val="nil"/>
            </w:tcBorders>
          </w:tcPr>
          <w:p w14:paraId="41BD79C0"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-0.008</w:t>
            </w:r>
          </w:p>
        </w:tc>
        <w:tc>
          <w:tcPr>
            <w:tcW w:w="684" w:type="pct"/>
            <w:tcBorders>
              <w:top w:val="nil"/>
              <w:left w:val="nil"/>
              <w:bottom w:val="nil"/>
              <w:right w:val="nil"/>
            </w:tcBorders>
          </w:tcPr>
          <w:p w14:paraId="1CF485C1"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-0.007</w:t>
            </w:r>
          </w:p>
        </w:tc>
        <w:tc>
          <w:tcPr>
            <w:tcW w:w="827" w:type="pct"/>
            <w:tcBorders>
              <w:top w:val="nil"/>
              <w:left w:val="nil"/>
              <w:bottom w:val="nil"/>
              <w:right w:val="nil"/>
            </w:tcBorders>
          </w:tcPr>
          <w:p w14:paraId="6BBC1022"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-0.030</w:t>
            </w:r>
          </w:p>
        </w:tc>
      </w:tr>
      <w:tr w:rsidR="00CD4846" w:rsidRPr="00CD4846" w14:paraId="48D7D32B" w14:textId="77777777" w:rsidTr="003959BE">
        <w:tc>
          <w:tcPr>
            <w:tcW w:w="1438" w:type="pct"/>
            <w:tcBorders>
              <w:top w:val="nil"/>
              <w:left w:val="nil"/>
              <w:bottom w:val="nil"/>
              <w:right w:val="nil"/>
            </w:tcBorders>
          </w:tcPr>
          <w:p w14:paraId="7A791279"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p>
        </w:tc>
        <w:tc>
          <w:tcPr>
            <w:tcW w:w="684" w:type="pct"/>
            <w:tcBorders>
              <w:top w:val="nil"/>
              <w:left w:val="nil"/>
              <w:bottom w:val="nil"/>
              <w:right w:val="nil"/>
            </w:tcBorders>
          </w:tcPr>
          <w:p w14:paraId="11C6ABCA"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(0.142)</w:t>
            </w:r>
          </w:p>
        </w:tc>
        <w:tc>
          <w:tcPr>
            <w:tcW w:w="684" w:type="pct"/>
            <w:tcBorders>
              <w:top w:val="nil"/>
              <w:left w:val="nil"/>
              <w:bottom w:val="nil"/>
              <w:right w:val="nil"/>
            </w:tcBorders>
          </w:tcPr>
          <w:p w14:paraId="0DB9135E"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(0.184)</w:t>
            </w:r>
          </w:p>
        </w:tc>
        <w:tc>
          <w:tcPr>
            <w:tcW w:w="684" w:type="pct"/>
            <w:tcBorders>
              <w:top w:val="nil"/>
              <w:left w:val="nil"/>
              <w:bottom w:val="nil"/>
              <w:right w:val="nil"/>
            </w:tcBorders>
          </w:tcPr>
          <w:p w14:paraId="1028AC5B"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(0.223)</w:t>
            </w:r>
          </w:p>
        </w:tc>
        <w:tc>
          <w:tcPr>
            <w:tcW w:w="684" w:type="pct"/>
            <w:tcBorders>
              <w:top w:val="nil"/>
              <w:left w:val="nil"/>
              <w:bottom w:val="nil"/>
              <w:right w:val="nil"/>
            </w:tcBorders>
          </w:tcPr>
          <w:p w14:paraId="0368E32C"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(0.028)</w:t>
            </w:r>
          </w:p>
        </w:tc>
        <w:tc>
          <w:tcPr>
            <w:tcW w:w="827" w:type="pct"/>
            <w:tcBorders>
              <w:top w:val="nil"/>
              <w:left w:val="nil"/>
              <w:bottom w:val="nil"/>
              <w:right w:val="nil"/>
            </w:tcBorders>
          </w:tcPr>
          <w:p w14:paraId="69DFC6BB"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(0.041)</w:t>
            </w:r>
          </w:p>
        </w:tc>
      </w:tr>
      <w:tr w:rsidR="00CD4846" w:rsidRPr="00CD4846" w14:paraId="21928ADB" w14:textId="77777777" w:rsidTr="003959BE">
        <w:tc>
          <w:tcPr>
            <w:tcW w:w="1438" w:type="pct"/>
            <w:tcBorders>
              <w:top w:val="nil"/>
              <w:left w:val="nil"/>
              <w:bottom w:val="nil"/>
              <w:right w:val="nil"/>
            </w:tcBorders>
          </w:tcPr>
          <w:p w14:paraId="1ACCED4B"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Poverty rate (100s)</w:t>
            </w:r>
          </w:p>
        </w:tc>
        <w:tc>
          <w:tcPr>
            <w:tcW w:w="684" w:type="pct"/>
            <w:tcBorders>
              <w:top w:val="nil"/>
              <w:left w:val="nil"/>
              <w:bottom w:val="nil"/>
              <w:right w:val="nil"/>
            </w:tcBorders>
          </w:tcPr>
          <w:p w14:paraId="42B81376"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5.396</w:t>
            </w:r>
          </w:p>
        </w:tc>
        <w:tc>
          <w:tcPr>
            <w:tcW w:w="684" w:type="pct"/>
            <w:tcBorders>
              <w:top w:val="nil"/>
              <w:left w:val="nil"/>
              <w:bottom w:val="nil"/>
              <w:right w:val="nil"/>
            </w:tcBorders>
          </w:tcPr>
          <w:p w14:paraId="2ACF7F11"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0.275</w:t>
            </w:r>
          </w:p>
        </w:tc>
        <w:tc>
          <w:tcPr>
            <w:tcW w:w="684" w:type="pct"/>
            <w:tcBorders>
              <w:top w:val="nil"/>
              <w:left w:val="nil"/>
              <w:bottom w:val="nil"/>
              <w:right w:val="nil"/>
            </w:tcBorders>
          </w:tcPr>
          <w:p w14:paraId="754A89E9"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1.686</w:t>
            </w:r>
          </w:p>
        </w:tc>
        <w:tc>
          <w:tcPr>
            <w:tcW w:w="684" w:type="pct"/>
            <w:tcBorders>
              <w:top w:val="nil"/>
              <w:left w:val="nil"/>
              <w:bottom w:val="nil"/>
              <w:right w:val="nil"/>
            </w:tcBorders>
          </w:tcPr>
          <w:p w14:paraId="4799AE93"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-0.994</w:t>
            </w:r>
          </w:p>
        </w:tc>
        <w:tc>
          <w:tcPr>
            <w:tcW w:w="827" w:type="pct"/>
            <w:tcBorders>
              <w:top w:val="nil"/>
              <w:left w:val="nil"/>
              <w:bottom w:val="nil"/>
              <w:right w:val="nil"/>
            </w:tcBorders>
          </w:tcPr>
          <w:p w14:paraId="6DCB0BDA"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1.499</w:t>
            </w:r>
          </w:p>
        </w:tc>
      </w:tr>
      <w:tr w:rsidR="00CD4846" w:rsidRPr="00CD4846" w14:paraId="6BEFC174" w14:textId="77777777" w:rsidTr="003959BE">
        <w:tc>
          <w:tcPr>
            <w:tcW w:w="1438" w:type="pct"/>
            <w:tcBorders>
              <w:top w:val="nil"/>
              <w:left w:val="nil"/>
              <w:bottom w:val="nil"/>
              <w:right w:val="nil"/>
            </w:tcBorders>
          </w:tcPr>
          <w:p w14:paraId="0DE5B353"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p>
        </w:tc>
        <w:tc>
          <w:tcPr>
            <w:tcW w:w="684" w:type="pct"/>
            <w:tcBorders>
              <w:top w:val="nil"/>
              <w:left w:val="nil"/>
              <w:bottom w:val="nil"/>
              <w:right w:val="nil"/>
            </w:tcBorders>
          </w:tcPr>
          <w:p w14:paraId="401D40BB"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(3.335)</w:t>
            </w:r>
          </w:p>
        </w:tc>
        <w:tc>
          <w:tcPr>
            <w:tcW w:w="684" w:type="pct"/>
            <w:tcBorders>
              <w:top w:val="nil"/>
              <w:left w:val="nil"/>
              <w:bottom w:val="nil"/>
              <w:right w:val="nil"/>
            </w:tcBorders>
          </w:tcPr>
          <w:p w14:paraId="3D492E02"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(4.361)</w:t>
            </w:r>
          </w:p>
        </w:tc>
        <w:tc>
          <w:tcPr>
            <w:tcW w:w="684" w:type="pct"/>
            <w:tcBorders>
              <w:top w:val="nil"/>
              <w:left w:val="nil"/>
              <w:bottom w:val="nil"/>
              <w:right w:val="nil"/>
            </w:tcBorders>
          </w:tcPr>
          <w:p w14:paraId="3B76E808"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(5.731)</w:t>
            </w:r>
          </w:p>
        </w:tc>
        <w:tc>
          <w:tcPr>
            <w:tcW w:w="684" w:type="pct"/>
            <w:tcBorders>
              <w:top w:val="nil"/>
              <w:left w:val="nil"/>
              <w:bottom w:val="nil"/>
              <w:right w:val="nil"/>
            </w:tcBorders>
          </w:tcPr>
          <w:p w14:paraId="5BB0448F"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(0.668)</w:t>
            </w:r>
          </w:p>
        </w:tc>
        <w:tc>
          <w:tcPr>
            <w:tcW w:w="827" w:type="pct"/>
            <w:tcBorders>
              <w:top w:val="nil"/>
              <w:left w:val="nil"/>
              <w:bottom w:val="nil"/>
              <w:right w:val="nil"/>
            </w:tcBorders>
          </w:tcPr>
          <w:p w14:paraId="144310FF"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(1.015)</w:t>
            </w:r>
          </w:p>
        </w:tc>
      </w:tr>
      <w:tr w:rsidR="00CD4846" w:rsidRPr="00CD4846" w14:paraId="1E899753" w14:textId="77777777" w:rsidTr="003959BE">
        <w:tc>
          <w:tcPr>
            <w:tcW w:w="1438" w:type="pct"/>
            <w:tcBorders>
              <w:top w:val="nil"/>
              <w:left w:val="nil"/>
              <w:bottom w:val="nil"/>
              <w:right w:val="nil"/>
            </w:tcBorders>
          </w:tcPr>
          <w:p w14:paraId="67DD6F88"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Avg annual wages (100k)</w:t>
            </w:r>
          </w:p>
        </w:tc>
        <w:tc>
          <w:tcPr>
            <w:tcW w:w="684" w:type="pct"/>
            <w:tcBorders>
              <w:top w:val="nil"/>
              <w:left w:val="nil"/>
              <w:bottom w:val="nil"/>
              <w:right w:val="nil"/>
            </w:tcBorders>
          </w:tcPr>
          <w:p w14:paraId="350C9FEE"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0.172*</w:t>
            </w:r>
          </w:p>
        </w:tc>
        <w:tc>
          <w:tcPr>
            <w:tcW w:w="684" w:type="pct"/>
            <w:tcBorders>
              <w:top w:val="nil"/>
              <w:left w:val="nil"/>
              <w:bottom w:val="nil"/>
              <w:right w:val="nil"/>
            </w:tcBorders>
          </w:tcPr>
          <w:p w14:paraId="40603A0A"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0.057***</w:t>
            </w:r>
          </w:p>
        </w:tc>
        <w:tc>
          <w:tcPr>
            <w:tcW w:w="684" w:type="pct"/>
            <w:tcBorders>
              <w:top w:val="nil"/>
              <w:left w:val="nil"/>
              <w:bottom w:val="nil"/>
              <w:right w:val="nil"/>
            </w:tcBorders>
          </w:tcPr>
          <w:p w14:paraId="469F5D89"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-0.068</w:t>
            </w:r>
          </w:p>
        </w:tc>
        <w:tc>
          <w:tcPr>
            <w:tcW w:w="684" w:type="pct"/>
            <w:tcBorders>
              <w:top w:val="nil"/>
              <w:left w:val="nil"/>
              <w:bottom w:val="nil"/>
              <w:right w:val="nil"/>
            </w:tcBorders>
          </w:tcPr>
          <w:p w14:paraId="6AD42AAE"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0.036</w:t>
            </w:r>
          </w:p>
        </w:tc>
        <w:tc>
          <w:tcPr>
            <w:tcW w:w="827" w:type="pct"/>
            <w:tcBorders>
              <w:top w:val="nil"/>
              <w:left w:val="nil"/>
              <w:bottom w:val="nil"/>
              <w:right w:val="nil"/>
            </w:tcBorders>
          </w:tcPr>
          <w:p w14:paraId="68765436"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-0.011</w:t>
            </w:r>
          </w:p>
        </w:tc>
      </w:tr>
      <w:tr w:rsidR="00CD4846" w:rsidRPr="00CD4846" w14:paraId="33EC8615" w14:textId="77777777" w:rsidTr="003959BE">
        <w:tc>
          <w:tcPr>
            <w:tcW w:w="1438" w:type="pct"/>
            <w:tcBorders>
              <w:top w:val="nil"/>
              <w:left w:val="nil"/>
              <w:bottom w:val="nil"/>
              <w:right w:val="nil"/>
            </w:tcBorders>
          </w:tcPr>
          <w:p w14:paraId="1F7F20B9"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p>
        </w:tc>
        <w:tc>
          <w:tcPr>
            <w:tcW w:w="684" w:type="pct"/>
            <w:tcBorders>
              <w:top w:val="nil"/>
              <w:left w:val="nil"/>
              <w:bottom w:val="nil"/>
              <w:right w:val="nil"/>
            </w:tcBorders>
          </w:tcPr>
          <w:p w14:paraId="6B171D51"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(0.099)</w:t>
            </w:r>
          </w:p>
        </w:tc>
        <w:tc>
          <w:tcPr>
            <w:tcW w:w="684" w:type="pct"/>
            <w:tcBorders>
              <w:top w:val="nil"/>
              <w:left w:val="nil"/>
              <w:bottom w:val="nil"/>
              <w:right w:val="nil"/>
            </w:tcBorders>
          </w:tcPr>
          <w:p w14:paraId="70CC8A88"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(0.017)</w:t>
            </w:r>
          </w:p>
        </w:tc>
        <w:tc>
          <w:tcPr>
            <w:tcW w:w="684" w:type="pct"/>
            <w:tcBorders>
              <w:top w:val="nil"/>
              <w:left w:val="nil"/>
              <w:bottom w:val="nil"/>
              <w:right w:val="nil"/>
            </w:tcBorders>
          </w:tcPr>
          <w:p w14:paraId="71EB8900"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(0.088)</w:t>
            </w:r>
          </w:p>
        </w:tc>
        <w:tc>
          <w:tcPr>
            <w:tcW w:w="684" w:type="pct"/>
            <w:tcBorders>
              <w:top w:val="nil"/>
              <w:left w:val="nil"/>
              <w:bottom w:val="nil"/>
              <w:right w:val="nil"/>
            </w:tcBorders>
          </w:tcPr>
          <w:p w14:paraId="73F3C01B"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(0.026)</w:t>
            </w:r>
          </w:p>
        </w:tc>
        <w:tc>
          <w:tcPr>
            <w:tcW w:w="827" w:type="pct"/>
            <w:tcBorders>
              <w:top w:val="nil"/>
              <w:left w:val="nil"/>
              <w:bottom w:val="nil"/>
              <w:right w:val="nil"/>
            </w:tcBorders>
          </w:tcPr>
          <w:p w14:paraId="691DB66E"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(0.022)</w:t>
            </w:r>
          </w:p>
        </w:tc>
      </w:tr>
      <w:tr w:rsidR="00CD4846" w:rsidRPr="00CD4846" w14:paraId="5A82C175" w14:textId="77777777" w:rsidTr="003959BE">
        <w:tc>
          <w:tcPr>
            <w:tcW w:w="1438" w:type="pct"/>
            <w:tcBorders>
              <w:top w:val="nil"/>
              <w:left w:val="nil"/>
              <w:bottom w:val="nil"/>
              <w:right w:val="nil"/>
            </w:tcBorders>
          </w:tcPr>
          <w:p w14:paraId="13E0B198"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Attain. Status - CO (t-1)</w:t>
            </w:r>
          </w:p>
        </w:tc>
        <w:tc>
          <w:tcPr>
            <w:tcW w:w="684" w:type="pct"/>
            <w:tcBorders>
              <w:top w:val="nil"/>
              <w:left w:val="nil"/>
              <w:bottom w:val="nil"/>
              <w:right w:val="nil"/>
            </w:tcBorders>
          </w:tcPr>
          <w:p w14:paraId="2E09BF27"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4.219</w:t>
            </w:r>
          </w:p>
        </w:tc>
        <w:tc>
          <w:tcPr>
            <w:tcW w:w="684" w:type="pct"/>
            <w:tcBorders>
              <w:top w:val="nil"/>
              <w:left w:val="nil"/>
              <w:bottom w:val="nil"/>
              <w:right w:val="nil"/>
            </w:tcBorders>
          </w:tcPr>
          <w:p w14:paraId="46F71814"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p>
        </w:tc>
        <w:tc>
          <w:tcPr>
            <w:tcW w:w="684" w:type="pct"/>
            <w:tcBorders>
              <w:top w:val="nil"/>
              <w:left w:val="nil"/>
              <w:bottom w:val="nil"/>
              <w:right w:val="nil"/>
            </w:tcBorders>
          </w:tcPr>
          <w:p w14:paraId="10639A19"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p>
        </w:tc>
        <w:tc>
          <w:tcPr>
            <w:tcW w:w="684" w:type="pct"/>
            <w:tcBorders>
              <w:top w:val="nil"/>
              <w:left w:val="nil"/>
              <w:bottom w:val="nil"/>
              <w:right w:val="nil"/>
            </w:tcBorders>
          </w:tcPr>
          <w:p w14:paraId="581B7AF6"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-0.822</w:t>
            </w:r>
          </w:p>
        </w:tc>
        <w:tc>
          <w:tcPr>
            <w:tcW w:w="827" w:type="pct"/>
            <w:tcBorders>
              <w:top w:val="nil"/>
              <w:left w:val="nil"/>
              <w:bottom w:val="nil"/>
              <w:right w:val="nil"/>
            </w:tcBorders>
          </w:tcPr>
          <w:p w14:paraId="31490CF4"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-1.519</w:t>
            </w:r>
          </w:p>
        </w:tc>
      </w:tr>
      <w:tr w:rsidR="00CD4846" w:rsidRPr="00CD4846" w14:paraId="6D530884" w14:textId="77777777" w:rsidTr="003959BE">
        <w:tc>
          <w:tcPr>
            <w:tcW w:w="1438" w:type="pct"/>
            <w:tcBorders>
              <w:top w:val="nil"/>
              <w:left w:val="nil"/>
              <w:bottom w:val="nil"/>
              <w:right w:val="nil"/>
            </w:tcBorders>
          </w:tcPr>
          <w:p w14:paraId="65449705"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p>
        </w:tc>
        <w:tc>
          <w:tcPr>
            <w:tcW w:w="684" w:type="pct"/>
            <w:tcBorders>
              <w:top w:val="nil"/>
              <w:left w:val="nil"/>
              <w:bottom w:val="nil"/>
              <w:right w:val="nil"/>
            </w:tcBorders>
          </w:tcPr>
          <w:p w14:paraId="13627BC7"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(2.738)</w:t>
            </w:r>
          </w:p>
        </w:tc>
        <w:tc>
          <w:tcPr>
            <w:tcW w:w="684" w:type="pct"/>
            <w:tcBorders>
              <w:top w:val="nil"/>
              <w:left w:val="nil"/>
              <w:bottom w:val="nil"/>
              <w:right w:val="nil"/>
            </w:tcBorders>
          </w:tcPr>
          <w:p w14:paraId="4433366B"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p>
        </w:tc>
        <w:tc>
          <w:tcPr>
            <w:tcW w:w="684" w:type="pct"/>
            <w:tcBorders>
              <w:top w:val="nil"/>
              <w:left w:val="nil"/>
              <w:bottom w:val="nil"/>
              <w:right w:val="nil"/>
            </w:tcBorders>
          </w:tcPr>
          <w:p w14:paraId="7BBB7864"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p>
        </w:tc>
        <w:tc>
          <w:tcPr>
            <w:tcW w:w="684" w:type="pct"/>
            <w:tcBorders>
              <w:top w:val="nil"/>
              <w:left w:val="nil"/>
              <w:bottom w:val="nil"/>
              <w:right w:val="nil"/>
            </w:tcBorders>
          </w:tcPr>
          <w:p w14:paraId="62068624"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(0.755)</w:t>
            </w:r>
          </w:p>
        </w:tc>
        <w:tc>
          <w:tcPr>
            <w:tcW w:w="827" w:type="pct"/>
            <w:tcBorders>
              <w:top w:val="nil"/>
              <w:left w:val="nil"/>
              <w:bottom w:val="nil"/>
              <w:right w:val="nil"/>
            </w:tcBorders>
          </w:tcPr>
          <w:p w14:paraId="2F550FFC"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(1.892)</w:t>
            </w:r>
          </w:p>
        </w:tc>
      </w:tr>
      <w:tr w:rsidR="00CD4846" w:rsidRPr="00CD4846" w14:paraId="7F476881" w14:textId="77777777" w:rsidTr="003959BE">
        <w:tc>
          <w:tcPr>
            <w:tcW w:w="1438" w:type="pct"/>
            <w:tcBorders>
              <w:top w:val="nil"/>
              <w:left w:val="nil"/>
              <w:bottom w:val="nil"/>
              <w:right w:val="nil"/>
            </w:tcBorders>
          </w:tcPr>
          <w:p w14:paraId="257AA538"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Attain. Status - Pb (t-1)</w:t>
            </w:r>
          </w:p>
        </w:tc>
        <w:tc>
          <w:tcPr>
            <w:tcW w:w="684" w:type="pct"/>
            <w:tcBorders>
              <w:top w:val="nil"/>
              <w:left w:val="nil"/>
              <w:bottom w:val="nil"/>
              <w:right w:val="nil"/>
            </w:tcBorders>
          </w:tcPr>
          <w:p w14:paraId="6D211328"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-2.996**</w:t>
            </w:r>
          </w:p>
        </w:tc>
        <w:tc>
          <w:tcPr>
            <w:tcW w:w="684" w:type="pct"/>
            <w:tcBorders>
              <w:top w:val="nil"/>
              <w:left w:val="nil"/>
              <w:bottom w:val="nil"/>
              <w:right w:val="nil"/>
            </w:tcBorders>
          </w:tcPr>
          <w:p w14:paraId="28E8E01E"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-0.814</w:t>
            </w:r>
          </w:p>
        </w:tc>
        <w:tc>
          <w:tcPr>
            <w:tcW w:w="684" w:type="pct"/>
            <w:tcBorders>
              <w:top w:val="nil"/>
              <w:left w:val="nil"/>
              <w:bottom w:val="nil"/>
              <w:right w:val="nil"/>
            </w:tcBorders>
          </w:tcPr>
          <w:p w14:paraId="08EA98AC"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-2.111</w:t>
            </w:r>
          </w:p>
        </w:tc>
        <w:tc>
          <w:tcPr>
            <w:tcW w:w="684" w:type="pct"/>
            <w:tcBorders>
              <w:top w:val="nil"/>
              <w:left w:val="nil"/>
              <w:bottom w:val="nil"/>
              <w:right w:val="nil"/>
            </w:tcBorders>
          </w:tcPr>
          <w:p w14:paraId="2AEFB3AF"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-0.043</w:t>
            </w:r>
          </w:p>
        </w:tc>
        <w:tc>
          <w:tcPr>
            <w:tcW w:w="827" w:type="pct"/>
            <w:tcBorders>
              <w:top w:val="nil"/>
              <w:left w:val="nil"/>
              <w:bottom w:val="nil"/>
              <w:right w:val="nil"/>
            </w:tcBorders>
          </w:tcPr>
          <w:p w14:paraId="48CD1910"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-0.080</w:t>
            </w:r>
          </w:p>
        </w:tc>
      </w:tr>
      <w:tr w:rsidR="00CD4846" w:rsidRPr="00CD4846" w14:paraId="01E34130" w14:textId="77777777" w:rsidTr="003959BE">
        <w:tc>
          <w:tcPr>
            <w:tcW w:w="1438" w:type="pct"/>
            <w:tcBorders>
              <w:top w:val="nil"/>
              <w:left w:val="nil"/>
              <w:bottom w:val="nil"/>
              <w:right w:val="nil"/>
            </w:tcBorders>
          </w:tcPr>
          <w:p w14:paraId="71811A11"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p>
        </w:tc>
        <w:tc>
          <w:tcPr>
            <w:tcW w:w="684" w:type="pct"/>
            <w:tcBorders>
              <w:top w:val="nil"/>
              <w:left w:val="nil"/>
              <w:bottom w:val="nil"/>
              <w:right w:val="nil"/>
            </w:tcBorders>
          </w:tcPr>
          <w:p w14:paraId="00D1EC1A"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(1.324)</w:t>
            </w:r>
          </w:p>
        </w:tc>
        <w:tc>
          <w:tcPr>
            <w:tcW w:w="684" w:type="pct"/>
            <w:tcBorders>
              <w:top w:val="nil"/>
              <w:left w:val="nil"/>
              <w:bottom w:val="nil"/>
              <w:right w:val="nil"/>
            </w:tcBorders>
          </w:tcPr>
          <w:p w14:paraId="105B408B"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(0.639)</w:t>
            </w:r>
          </w:p>
        </w:tc>
        <w:tc>
          <w:tcPr>
            <w:tcW w:w="684" w:type="pct"/>
            <w:tcBorders>
              <w:top w:val="nil"/>
              <w:left w:val="nil"/>
              <w:bottom w:val="nil"/>
              <w:right w:val="nil"/>
            </w:tcBorders>
          </w:tcPr>
          <w:p w14:paraId="17C7D696"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(1.332)</w:t>
            </w:r>
          </w:p>
        </w:tc>
        <w:tc>
          <w:tcPr>
            <w:tcW w:w="684" w:type="pct"/>
            <w:tcBorders>
              <w:top w:val="nil"/>
              <w:left w:val="nil"/>
              <w:bottom w:val="nil"/>
              <w:right w:val="nil"/>
            </w:tcBorders>
          </w:tcPr>
          <w:p w14:paraId="687FFF69"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(0.160)</w:t>
            </w:r>
          </w:p>
        </w:tc>
        <w:tc>
          <w:tcPr>
            <w:tcW w:w="827" w:type="pct"/>
            <w:tcBorders>
              <w:top w:val="nil"/>
              <w:left w:val="nil"/>
              <w:bottom w:val="nil"/>
              <w:right w:val="nil"/>
            </w:tcBorders>
          </w:tcPr>
          <w:p w14:paraId="11764935"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(0.160)</w:t>
            </w:r>
          </w:p>
        </w:tc>
      </w:tr>
      <w:tr w:rsidR="00CD4846" w:rsidRPr="00CD4846" w14:paraId="1496E127" w14:textId="77777777" w:rsidTr="003959BE">
        <w:tc>
          <w:tcPr>
            <w:tcW w:w="1438" w:type="pct"/>
            <w:tcBorders>
              <w:top w:val="nil"/>
              <w:left w:val="nil"/>
              <w:bottom w:val="nil"/>
              <w:right w:val="nil"/>
            </w:tcBorders>
          </w:tcPr>
          <w:p w14:paraId="06487421"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Attain. Status - O3 (t-1)</w:t>
            </w:r>
          </w:p>
        </w:tc>
        <w:tc>
          <w:tcPr>
            <w:tcW w:w="684" w:type="pct"/>
            <w:tcBorders>
              <w:top w:val="nil"/>
              <w:left w:val="nil"/>
              <w:bottom w:val="nil"/>
              <w:right w:val="nil"/>
            </w:tcBorders>
          </w:tcPr>
          <w:p w14:paraId="249BD77B"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0.168</w:t>
            </w:r>
          </w:p>
        </w:tc>
        <w:tc>
          <w:tcPr>
            <w:tcW w:w="684" w:type="pct"/>
            <w:tcBorders>
              <w:top w:val="nil"/>
              <w:left w:val="nil"/>
              <w:bottom w:val="nil"/>
              <w:right w:val="nil"/>
            </w:tcBorders>
          </w:tcPr>
          <w:p w14:paraId="09A64AB7"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0.273</w:t>
            </w:r>
          </w:p>
        </w:tc>
        <w:tc>
          <w:tcPr>
            <w:tcW w:w="684" w:type="pct"/>
            <w:tcBorders>
              <w:top w:val="nil"/>
              <w:left w:val="nil"/>
              <w:bottom w:val="nil"/>
              <w:right w:val="nil"/>
            </w:tcBorders>
          </w:tcPr>
          <w:p w14:paraId="4B8D0C2F"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0.184</w:t>
            </w:r>
          </w:p>
        </w:tc>
        <w:tc>
          <w:tcPr>
            <w:tcW w:w="684" w:type="pct"/>
            <w:tcBorders>
              <w:top w:val="nil"/>
              <w:left w:val="nil"/>
              <w:bottom w:val="nil"/>
              <w:right w:val="nil"/>
            </w:tcBorders>
          </w:tcPr>
          <w:p w14:paraId="7D194405"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0.032</w:t>
            </w:r>
          </w:p>
        </w:tc>
        <w:tc>
          <w:tcPr>
            <w:tcW w:w="827" w:type="pct"/>
            <w:tcBorders>
              <w:top w:val="nil"/>
              <w:left w:val="nil"/>
              <w:bottom w:val="nil"/>
              <w:right w:val="nil"/>
            </w:tcBorders>
          </w:tcPr>
          <w:p w14:paraId="4D536D5A"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0.030</w:t>
            </w:r>
          </w:p>
        </w:tc>
      </w:tr>
      <w:tr w:rsidR="00CD4846" w:rsidRPr="00CD4846" w14:paraId="0E9C40EE" w14:textId="77777777" w:rsidTr="003959BE">
        <w:tc>
          <w:tcPr>
            <w:tcW w:w="1438" w:type="pct"/>
            <w:tcBorders>
              <w:top w:val="nil"/>
              <w:left w:val="nil"/>
              <w:bottom w:val="nil"/>
              <w:right w:val="nil"/>
            </w:tcBorders>
          </w:tcPr>
          <w:p w14:paraId="7B484545"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p>
        </w:tc>
        <w:tc>
          <w:tcPr>
            <w:tcW w:w="684" w:type="pct"/>
            <w:tcBorders>
              <w:top w:val="nil"/>
              <w:left w:val="nil"/>
              <w:bottom w:val="nil"/>
              <w:right w:val="nil"/>
            </w:tcBorders>
          </w:tcPr>
          <w:p w14:paraId="1E96596F"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(0.246)</w:t>
            </w:r>
          </w:p>
        </w:tc>
        <w:tc>
          <w:tcPr>
            <w:tcW w:w="684" w:type="pct"/>
            <w:tcBorders>
              <w:top w:val="nil"/>
              <w:left w:val="nil"/>
              <w:bottom w:val="nil"/>
              <w:right w:val="nil"/>
            </w:tcBorders>
          </w:tcPr>
          <w:p w14:paraId="08F1CA6C"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(0.231)</w:t>
            </w:r>
          </w:p>
        </w:tc>
        <w:tc>
          <w:tcPr>
            <w:tcW w:w="684" w:type="pct"/>
            <w:tcBorders>
              <w:top w:val="nil"/>
              <w:left w:val="nil"/>
              <w:bottom w:val="nil"/>
              <w:right w:val="nil"/>
            </w:tcBorders>
          </w:tcPr>
          <w:p w14:paraId="3EEF5592"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(0.313)</w:t>
            </w:r>
          </w:p>
        </w:tc>
        <w:tc>
          <w:tcPr>
            <w:tcW w:w="684" w:type="pct"/>
            <w:tcBorders>
              <w:top w:val="nil"/>
              <w:left w:val="nil"/>
              <w:bottom w:val="nil"/>
              <w:right w:val="nil"/>
            </w:tcBorders>
          </w:tcPr>
          <w:p w14:paraId="7EB28EB0"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(0.034)</w:t>
            </w:r>
          </w:p>
        </w:tc>
        <w:tc>
          <w:tcPr>
            <w:tcW w:w="827" w:type="pct"/>
            <w:tcBorders>
              <w:top w:val="nil"/>
              <w:left w:val="nil"/>
              <w:bottom w:val="nil"/>
              <w:right w:val="nil"/>
            </w:tcBorders>
          </w:tcPr>
          <w:p w14:paraId="2318EF2C"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(0.048)</w:t>
            </w:r>
          </w:p>
        </w:tc>
      </w:tr>
      <w:tr w:rsidR="00CD4846" w:rsidRPr="00CD4846" w14:paraId="3B4FCFB7" w14:textId="77777777" w:rsidTr="003959BE">
        <w:tc>
          <w:tcPr>
            <w:tcW w:w="1438" w:type="pct"/>
            <w:tcBorders>
              <w:top w:val="nil"/>
              <w:left w:val="nil"/>
              <w:bottom w:val="nil"/>
              <w:right w:val="nil"/>
            </w:tcBorders>
          </w:tcPr>
          <w:p w14:paraId="1B73AB0D"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Attain. Status - PM (t-1)</w:t>
            </w:r>
          </w:p>
        </w:tc>
        <w:tc>
          <w:tcPr>
            <w:tcW w:w="684" w:type="pct"/>
            <w:tcBorders>
              <w:top w:val="nil"/>
              <w:left w:val="nil"/>
              <w:bottom w:val="nil"/>
              <w:right w:val="nil"/>
            </w:tcBorders>
          </w:tcPr>
          <w:p w14:paraId="3F75DB3A"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-0.272</w:t>
            </w:r>
          </w:p>
        </w:tc>
        <w:tc>
          <w:tcPr>
            <w:tcW w:w="684" w:type="pct"/>
            <w:tcBorders>
              <w:top w:val="nil"/>
              <w:left w:val="nil"/>
              <w:bottom w:val="nil"/>
              <w:right w:val="nil"/>
            </w:tcBorders>
          </w:tcPr>
          <w:p w14:paraId="2768212E"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0.351</w:t>
            </w:r>
          </w:p>
        </w:tc>
        <w:tc>
          <w:tcPr>
            <w:tcW w:w="684" w:type="pct"/>
            <w:tcBorders>
              <w:top w:val="nil"/>
              <w:left w:val="nil"/>
              <w:bottom w:val="nil"/>
              <w:right w:val="nil"/>
            </w:tcBorders>
          </w:tcPr>
          <w:p w14:paraId="60CDA4C5"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0.412</w:t>
            </w:r>
          </w:p>
        </w:tc>
        <w:tc>
          <w:tcPr>
            <w:tcW w:w="684" w:type="pct"/>
            <w:tcBorders>
              <w:top w:val="nil"/>
              <w:left w:val="nil"/>
              <w:bottom w:val="nil"/>
              <w:right w:val="nil"/>
            </w:tcBorders>
          </w:tcPr>
          <w:p w14:paraId="4C370936"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-0.007</w:t>
            </w:r>
          </w:p>
        </w:tc>
        <w:tc>
          <w:tcPr>
            <w:tcW w:w="827" w:type="pct"/>
            <w:tcBorders>
              <w:top w:val="nil"/>
              <w:left w:val="nil"/>
              <w:bottom w:val="nil"/>
              <w:right w:val="nil"/>
            </w:tcBorders>
          </w:tcPr>
          <w:p w14:paraId="766928D1"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0.025</w:t>
            </w:r>
          </w:p>
        </w:tc>
      </w:tr>
      <w:tr w:rsidR="00CD4846" w:rsidRPr="00CD4846" w14:paraId="5D98EAD2" w14:textId="77777777" w:rsidTr="003959BE">
        <w:tc>
          <w:tcPr>
            <w:tcW w:w="1438" w:type="pct"/>
            <w:tcBorders>
              <w:top w:val="nil"/>
              <w:left w:val="nil"/>
              <w:bottom w:val="nil"/>
              <w:right w:val="nil"/>
            </w:tcBorders>
          </w:tcPr>
          <w:p w14:paraId="7FE067A2"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p>
        </w:tc>
        <w:tc>
          <w:tcPr>
            <w:tcW w:w="684" w:type="pct"/>
            <w:tcBorders>
              <w:top w:val="nil"/>
              <w:left w:val="nil"/>
              <w:bottom w:val="nil"/>
              <w:right w:val="nil"/>
            </w:tcBorders>
          </w:tcPr>
          <w:p w14:paraId="5EF4AEFB"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(0.210)</w:t>
            </w:r>
          </w:p>
        </w:tc>
        <w:tc>
          <w:tcPr>
            <w:tcW w:w="684" w:type="pct"/>
            <w:tcBorders>
              <w:top w:val="nil"/>
              <w:left w:val="nil"/>
              <w:bottom w:val="nil"/>
              <w:right w:val="nil"/>
            </w:tcBorders>
          </w:tcPr>
          <w:p w14:paraId="6BE9BA35"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(0.281)</w:t>
            </w:r>
          </w:p>
        </w:tc>
        <w:tc>
          <w:tcPr>
            <w:tcW w:w="684" w:type="pct"/>
            <w:tcBorders>
              <w:top w:val="nil"/>
              <w:left w:val="nil"/>
              <w:bottom w:val="nil"/>
              <w:right w:val="nil"/>
            </w:tcBorders>
          </w:tcPr>
          <w:p w14:paraId="00997A18"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(0.286)</w:t>
            </w:r>
          </w:p>
        </w:tc>
        <w:tc>
          <w:tcPr>
            <w:tcW w:w="684" w:type="pct"/>
            <w:tcBorders>
              <w:top w:val="nil"/>
              <w:left w:val="nil"/>
              <w:bottom w:val="nil"/>
              <w:right w:val="nil"/>
            </w:tcBorders>
          </w:tcPr>
          <w:p w14:paraId="1AEDA17E"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(0.028)</w:t>
            </w:r>
          </w:p>
        </w:tc>
        <w:tc>
          <w:tcPr>
            <w:tcW w:w="827" w:type="pct"/>
            <w:tcBorders>
              <w:top w:val="nil"/>
              <w:left w:val="nil"/>
              <w:bottom w:val="nil"/>
              <w:right w:val="nil"/>
            </w:tcBorders>
          </w:tcPr>
          <w:p w14:paraId="29593026" w14:textId="77777777" w:rsidR="00CD4846" w:rsidRPr="00CD4846" w:rsidRDefault="00CD4846" w:rsidP="00FF1F0E">
            <w:pPr>
              <w:widowControl w:val="0"/>
              <w:autoSpaceDE w:val="0"/>
              <w:autoSpaceDN w:val="0"/>
              <w:adjustRightInd w:val="0"/>
              <w:spacing w:line="240" w:lineRule="auto"/>
              <w:jc w:val="both"/>
              <w:rPr>
                <w:rFonts w:cs="Times New Roman"/>
                <w:kern w:val="2"/>
                <w:sz w:val="20"/>
                <w:szCs w:val="20"/>
                <w:lang/>
              </w:rPr>
            </w:pPr>
            <w:r w:rsidRPr="00CD4846">
              <w:rPr>
                <w:rFonts w:cs="Times New Roman"/>
                <w:kern w:val="2"/>
                <w:sz w:val="20"/>
                <w:szCs w:val="20"/>
                <w:lang/>
              </w:rPr>
              <w:t>(0.041)</w:t>
            </w:r>
          </w:p>
        </w:tc>
      </w:tr>
      <w:tr w:rsidR="00CD4846" w:rsidRPr="00CD4846" w14:paraId="45327640" w14:textId="77777777" w:rsidTr="003959BE">
        <w:tc>
          <w:tcPr>
            <w:tcW w:w="1438" w:type="pct"/>
            <w:tcBorders>
              <w:top w:val="nil"/>
              <w:left w:val="nil"/>
              <w:bottom w:val="nil"/>
              <w:right w:val="nil"/>
            </w:tcBorders>
          </w:tcPr>
          <w:p w14:paraId="4E7567A5"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Attain. Status - SO2 (t-1)</w:t>
            </w:r>
          </w:p>
        </w:tc>
        <w:tc>
          <w:tcPr>
            <w:tcW w:w="684" w:type="pct"/>
            <w:tcBorders>
              <w:top w:val="nil"/>
              <w:left w:val="nil"/>
              <w:bottom w:val="nil"/>
              <w:right w:val="nil"/>
            </w:tcBorders>
          </w:tcPr>
          <w:p w14:paraId="091615F0"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-0.854</w:t>
            </w:r>
          </w:p>
        </w:tc>
        <w:tc>
          <w:tcPr>
            <w:tcW w:w="684" w:type="pct"/>
            <w:tcBorders>
              <w:top w:val="nil"/>
              <w:left w:val="nil"/>
              <w:bottom w:val="nil"/>
              <w:right w:val="nil"/>
            </w:tcBorders>
          </w:tcPr>
          <w:p w14:paraId="2F54485E"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-1.191</w:t>
            </w:r>
          </w:p>
        </w:tc>
        <w:tc>
          <w:tcPr>
            <w:tcW w:w="684" w:type="pct"/>
            <w:tcBorders>
              <w:top w:val="nil"/>
              <w:left w:val="nil"/>
              <w:bottom w:val="nil"/>
              <w:right w:val="nil"/>
            </w:tcBorders>
          </w:tcPr>
          <w:p w14:paraId="4F69101F"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0.234</w:t>
            </w:r>
          </w:p>
        </w:tc>
        <w:tc>
          <w:tcPr>
            <w:tcW w:w="684" w:type="pct"/>
            <w:tcBorders>
              <w:top w:val="nil"/>
              <w:left w:val="nil"/>
              <w:bottom w:val="nil"/>
              <w:right w:val="nil"/>
            </w:tcBorders>
          </w:tcPr>
          <w:p w14:paraId="0C9C442A"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-0.243</w:t>
            </w:r>
          </w:p>
        </w:tc>
        <w:tc>
          <w:tcPr>
            <w:tcW w:w="827" w:type="pct"/>
            <w:tcBorders>
              <w:top w:val="nil"/>
              <w:left w:val="nil"/>
              <w:bottom w:val="nil"/>
              <w:right w:val="nil"/>
            </w:tcBorders>
          </w:tcPr>
          <w:p w14:paraId="61EFBCFF"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-0.234</w:t>
            </w:r>
          </w:p>
        </w:tc>
      </w:tr>
      <w:tr w:rsidR="00CD4846" w:rsidRPr="00CD4846" w14:paraId="35ABC6F6" w14:textId="77777777" w:rsidTr="003959BE">
        <w:tc>
          <w:tcPr>
            <w:tcW w:w="1438" w:type="pct"/>
            <w:tcBorders>
              <w:top w:val="nil"/>
              <w:left w:val="nil"/>
              <w:bottom w:val="nil"/>
              <w:right w:val="nil"/>
            </w:tcBorders>
          </w:tcPr>
          <w:p w14:paraId="3BEF5981"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p>
        </w:tc>
        <w:tc>
          <w:tcPr>
            <w:tcW w:w="684" w:type="pct"/>
            <w:tcBorders>
              <w:top w:val="nil"/>
              <w:left w:val="nil"/>
              <w:bottom w:val="nil"/>
              <w:right w:val="nil"/>
            </w:tcBorders>
          </w:tcPr>
          <w:p w14:paraId="6849850D"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(0.944)</w:t>
            </w:r>
          </w:p>
        </w:tc>
        <w:tc>
          <w:tcPr>
            <w:tcW w:w="684" w:type="pct"/>
            <w:tcBorders>
              <w:top w:val="nil"/>
              <w:left w:val="nil"/>
              <w:bottom w:val="nil"/>
              <w:right w:val="nil"/>
            </w:tcBorders>
          </w:tcPr>
          <w:p w14:paraId="67821FBC"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(0.847)</w:t>
            </w:r>
          </w:p>
        </w:tc>
        <w:tc>
          <w:tcPr>
            <w:tcW w:w="684" w:type="pct"/>
            <w:tcBorders>
              <w:top w:val="nil"/>
              <w:left w:val="nil"/>
              <w:bottom w:val="nil"/>
              <w:right w:val="nil"/>
            </w:tcBorders>
          </w:tcPr>
          <w:p w14:paraId="06084B3D"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(0.855)</w:t>
            </w:r>
          </w:p>
        </w:tc>
        <w:tc>
          <w:tcPr>
            <w:tcW w:w="684" w:type="pct"/>
            <w:tcBorders>
              <w:top w:val="nil"/>
              <w:left w:val="nil"/>
              <w:bottom w:val="nil"/>
              <w:right w:val="nil"/>
            </w:tcBorders>
          </w:tcPr>
          <w:p w14:paraId="073B11C5"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(0.157)</w:t>
            </w:r>
          </w:p>
        </w:tc>
        <w:tc>
          <w:tcPr>
            <w:tcW w:w="827" w:type="pct"/>
            <w:tcBorders>
              <w:top w:val="nil"/>
              <w:left w:val="nil"/>
              <w:bottom w:val="nil"/>
              <w:right w:val="nil"/>
            </w:tcBorders>
          </w:tcPr>
          <w:p w14:paraId="0025654C"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(0.180)</w:t>
            </w:r>
          </w:p>
        </w:tc>
      </w:tr>
      <w:tr w:rsidR="00CD4846" w:rsidRPr="00CD4846" w14:paraId="3B904D46" w14:textId="77777777" w:rsidTr="003959BE">
        <w:tc>
          <w:tcPr>
            <w:tcW w:w="1438" w:type="pct"/>
            <w:tcBorders>
              <w:top w:val="nil"/>
              <w:left w:val="nil"/>
              <w:bottom w:val="nil"/>
              <w:right w:val="nil"/>
            </w:tcBorders>
          </w:tcPr>
          <w:p w14:paraId="19FCA79C"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Density Employment</w:t>
            </w:r>
          </w:p>
        </w:tc>
        <w:tc>
          <w:tcPr>
            <w:tcW w:w="684" w:type="pct"/>
            <w:tcBorders>
              <w:top w:val="nil"/>
              <w:left w:val="nil"/>
              <w:bottom w:val="nil"/>
              <w:right w:val="nil"/>
            </w:tcBorders>
          </w:tcPr>
          <w:p w14:paraId="0CB6BE2D"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1.015</w:t>
            </w:r>
          </w:p>
        </w:tc>
        <w:tc>
          <w:tcPr>
            <w:tcW w:w="684" w:type="pct"/>
            <w:tcBorders>
              <w:top w:val="nil"/>
              <w:left w:val="nil"/>
              <w:bottom w:val="nil"/>
              <w:right w:val="nil"/>
            </w:tcBorders>
          </w:tcPr>
          <w:p w14:paraId="59AA8828"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0.909**</w:t>
            </w:r>
          </w:p>
        </w:tc>
        <w:tc>
          <w:tcPr>
            <w:tcW w:w="684" w:type="pct"/>
            <w:tcBorders>
              <w:top w:val="nil"/>
              <w:left w:val="nil"/>
              <w:bottom w:val="nil"/>
              <w:right w:val="nil"/>
            </w:tcBorders>
          </w:tcPr>
          <w:p w14:paraId="7E364F21"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-1.682</w:t>
            </w:r>
          </w:p>
        </w:tc>
        <w:tc>
          <w:tcPr>
            <w:tcW w:w="684" w:type="pct"/>
            <w:tcBorders>
              <w:top w:val="nil"/>
              <w:left w:val="nil"/>
              <w:bottom w:val="nil"/>
              <w:right w:val="nil"/>
            </w:tcBorders>
          </w:tcPr>
          <w:p w14:paraId="048694B6"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-0.152***</w:t>
            </w:r>
          </w:p>
        </w:tc>
        <w:tc>
          <w:tcPr>
            <w:tcW w:w="827" w:type="pct"/>
            <w:tcBorders>
              <w:top w:val="nil"/>
              <w:left w:val="nil"/>
              <w:bottom w:val="nil"/>
              <w:right w:val="nil"/>
            </w:tcBorders>
          </w:tcPr>
          <w:p w14:paraId="3A03B700"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0.005</w:t>
            </w:r>
          </w:p>
        </w:tc>
      </w:tr>
      <w:tr w:rsidR="00CD4846" w:rsidRPr="00CD4846" w14:paraId="60D31697" w14:textId="77777777" w:rsidTr="003959BE">
        <w:tc>
          <w:tcPr>
            <w:tcW w:w="1438" w:type="pct"/>
            <w:tcBorders>
              <w:top w:val="nil"/>
              <w:left w:val="nil"/>
              <w:bottom w:val="nil"/>
              <w:right w:val="nil"/>
            </w:tcBorders>
          </w:tcPr>
          <w:p w14:paraId="29F13AD7"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p>
        </w:tc>
        <w:tc>
          <w:tcPr>
            <w:tcW w:w="684" w:type="pct"/>
            <w:tcBorders>
              <w:top w:val="nil"/>
              <w:left w:val="nil"/>
              <w:bottom w:val="nil"/>
              <w:right w:val="nil"/>
            </w:tcBorders>
          </w:tcPr>
          <w:p w14:paraId="266B1DBA"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(1.094)</w:t>
            </w:r>
          </w:p>
        </w:tc>
        <w:tc>
          <w:tcPr>
            <w:tcW w:w="684" w:type="pct"/>
            <w:tcBorders>
              <w:top w:val="nil"/>
              <w:left w:val="nil"/>
              <w:bottom w:val="nil"/>
              <w:right w:val="nil"/>
            </w:tcBorders>
          </w:tcPr>
          <w:p w14:paraId="76603751"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(0.374)</w:t>
            </w:r>
          </w:p>
        </w:tc>
        <w:tc>
          <w:tcPr>
            <w:tcW w:w="684" w:type="pct"/>
            <w:tcBorders>
              <w:top w:val="nil"/>
              <w:left w:val="nil"/>
              <w:bottom w:val="nil"/>
              <w:right w:val="nil"/>
            </w:tcBorders>
          </w:tcPr>
          <w:p w14:paraId="64371AF4"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(1.356)</w:t>
            </w:r>
          </w:p>
        </w:tc>
        <w:tc>
          <w:tcPr>
            <w:tcW w:w="684" w:type="pct"/>
            <w:tcBorders>
              <w:top w:val="nil"/>
              <w:left w:val="nil"/>
              <w:bottom w:val="nil"/>
              <w:right w:val="nil"/>
            </w:tcBorders>
          </w:tcPr>
          <w:p w14:paraId="3111FEA6"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(0.043)</w:t>
            </w:r>
          </w:p>
        </w:tc>
        <w:tc>
          <w:tcPr>
            <w:tcW w:w="827" w:type="pct"/>
            <w:tcBorders>
              <w:top w:val="nil"/>
              <w:left w:val="nil"/>
              <w:bottom w:val="nil"/>
              <w:right w:val="nil"/>
            </w:tcBorders>
          </w:tcPr>
          <w:p w14:paraId="1A62F163"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(0.071)</w:t>
            </w:r>
          </w:p>
        </w:tc>
      </w:tr>
      <w:tr w:rsidR="00CD4846" w:rsidRPr="00CD4846" w14:paraId="153E39F5" w14:textId="77777777" w:rsidTr="003959BE">
        <w:tc>
          <w:tcPr>
            <w:tcW w:w="1438" w:type="pct"/>
            <w:tcBorders>
              <w:top w:val="nil"/>
              <w:left w:val="nil"/>
              <w:bottom w:val="nil"/>
              <w:right w:val="nil"/>
            </w:tcBorders>
          </w:tcPr>
          <w:p w14:paraId="1D167E77"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Percent Black (100s)</w:t>
            </w:r>
          </w:p>
        </w:tc>
        <w:tc>
          <w:tcPr>
            <w:tcW w:w="684" w:type="pct"/>
            <w:tcBorders>
              <w:top w:val="nil"/>
              <w:left w:val="nil"/>
              <w:bottom w:val="nil"/>
              <w:right w:val="nil"/>
            </w:tcBorders>
          </w:tcPr>
          <w:p w14:paraId="02FE6C62"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-5.070</w:t>
            </w:r>
          </w:p>
        </w:tc>
        <w:tc>
          <w:tcPr>
            <w:tcW w:w="684" w:type="pct"/>
            <w:tcBorders>
              <w:top w:val="nil"/>
              <w:left w:val="nil"/>
              <w:bottom w:val="nil"/>
              <w:right w:val="nil"/>
            </w:tcBorders>
          </w:tcPr>
          <w:p w14:paraId="75909436"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-6.068</w:t>
            </w:r>
          </w:p>
        </w:tc>
        <w:tc>
          <w:tcPr>
            <w:tcW w:w="684" w:type="pct"/>
            <w:tcBorders>
              <w:top w:val="nil"/>
              <w:left w:val="nil"/>
              <w:bottom w:val="nil"/>
              <w:right w:val="nil"/>
            </w:tcBorders>
          </w:tcPr>
          <w:p w14:paraId="4692C6B1"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-13.044</w:t>
            </w:r>
          </w:p>
        </w:tc>
        <w:tc>
          <w:tcPr>
            <w:tcW w:w="684" w:type="pct"/>
            <w:tcBorders>
              <w:top w:val="nil"/>
              <w:left w:val="nil"/>
              <w:bottom w:val="nil"/>
              <w:right w:val="nil"/>
            </w:tcBorders>
          </w:tcPr>
          <w:p w14:paraId="07DD5470"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0.052</w:t>
            </w:r>
          </w:p>
        </w:tc>
        <w:tc>
          <w:tcPr>
            <w:tcW w:w="827" w:type="pct"/>
            <w:tcBorders>
              <w:top w:val="nil"/>
              <w:left w:val="nil"/>
              <w:bottom w:val="nil"/>
              <w:right w:val="nil"/>
            </w:tcBorders>
          </w:tcPr>
          <w:p w14:paraId="50FD01E3"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-0.375</w:t>
            </w:r>
          </w:p>
        </w:tc>
      </w:tr>
      <w:tr w:rsidR="00CD4846" w:rsidRPr="00CD4846" w14:paraId="30DC5456" w14:textId="77777777" w:rsidTr="003959BE">
        <w:tc>
          <w:tcPr>
            <w:tcW w:w="1438" w:type="pct"/>
            <w:tcBorders>
              <w:top w:val="nil"/>
              <w:left w:val="nil"/>
              <w:bottom w:val="nil"/>
              <w:right w:val="nil"/>
            </w:tcBorders>
          </w:tcPr>
          <w:p w14:paraId="0F423357"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p>
        </w:tc>
        <w:tc>
          <w:tcPr>
            <w:tcW w:w="684" w:type="pct"/>
            <w:tcBorders>
              <w:top w:val="nil"/>
              <w:left w:val="nil"/>
              <w:bottom w:val="nil"/>
              <w:right w:val="nil"/>
            </w:tcBorders>
          </w:tcPr>
          <w:p w14:paraId="79B84115"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(9.258)</w:t>
            </w:r>
          </w:p>
        </w:tc>
        <w:tc>
          <w:tcPr>
            <w:tcW w:w="684" w:type="pct"/>
            <w:tcBorders>
              <w:top w:val="nil"/>
              <w:left w:val="nil"/>
              <w:bottom w:val="nil"/>
              <w:right w:val="nil"/>
            </w:tcBorders>
          </w:tcPr>
          <w:p w14:paraId="2CA5B07A"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(11.106)</w:t>
            </w:r>
          </w:p>
        </w:tc>
        <w:tc>
          <w:tcPr>
            <w:tcW w:w="684" w:type="pct"/>
            <w:tcBorders>
              <w:top w:val="nil"/>
              <w:left w:val="nil"/>
              <w:bottom w:val="nil"/>
              <w:right w:val="nil"/>
            </w:tcBorders>
          </w:tcPr>
          <w:p w14:paraId="6B6FF6E2"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(14.498)</w:t>
            </w:r>
          </w:p>
        </w:tc>
        <w:tc>
          <w:tcPr>
            <w:tcW w:w="684" w:type="pct"/>
            <w:tcBorders>
              <w:top w:val="nil"/>
              <w:left w:val="nil"/>
              <w:bottom w:val="nil"/>
              <w:right w:val="nil"/>
            </w:tcBorders>
          </w:tcPr>
          <w:p w14:paraId="415F2FA4"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(1.370)</w:t>
            </w:r>
          </w:p>
        </w:tc>
        <w:tc>
          <w:tcPr>
            <w:tcW w:w="827" w:type="pct"/>
            <w:tcBorders>
              <w:top w:val="nil"/>
              <w:left w:val="nil"/>
              <w:bottom w:val="nil"/>
              <w:right w:val="nil"/>
            </w:tcBorders>
          </w:tcPr>
          <w:p w14:paraId="7BB38403"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(2.005)</w:t>
            </w:r>
          </w:p>
        </w:tc>
      </w:tr>
      <w:tr w:rsidR="00CD4846" w:rsidRPr="00CD4846" w14:paraId="535CB686" w14:textId="77777777" w:rsidTr="003959BE">
        <w:tc>
          <w:tcPr>
            <w:tcW w:w="1438" w:type="pct"/>
            <w:tcBorders>
              <w:top w:val="nil"/>
              <w:left w:val="nil"/>
              <w:bottom w:val="nil"/>
              <w:right w:val="nil"/>
            </w:tcBorders>
          </w:tcPr>
          <w:p w14:paraId="0F9C3ACA"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Population count (1ms)</w:t>
            </w:r>
          </w:p>
        </w:tc>
        <w:tc>
          <w:tcPr>
            <w:tcW w:w="684" w:type="pct"/>
            <w:tcBorders>
              <w:top w:val="nil"/>
              <w:left w:val="nil"/>
              <w:bottom w:val="nil"/>
              <w:right w:val="nil"/>
            </w:tcBorders>
          </w:tcPr>
          <w:p w14:paraId="77881F29"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-1.327</w:t>
            </w:r>
          </w:p>
        </w:tc>
        <w:tc>
          <w:tcPr>
            <w:tcW w:w="684" w:type="pct"/>
            <w:tcBorders>
              <w:top w:val="nil"/>
              <w:left w:val="nil"/>
              <w:bottom w:val="nil"/>
              <w:right w:val="nil"/>
            </w:tcBorders>
          </w:tcPr>
          <w:p w14:paraId="3C20688C"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0.427</w:t>
            </w:r>
          </w:p>
        </w:tc>
        <w:tc>
          <w:tcPr>
            <w:tcW w:w="684" w:type="pct"/>
            <w:tcBorders>
              <w:top w:val="nil"/>
              <w:left w:val="nil"/>
              <w:bottom w:val="nil"/>
              <w:right w:val="nil"/>
            </w:tcBorders>
          </w:tcPr>
          <w:p w14:paraId="4257980E"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2.334</w:t>
            </w:r>
          </w:p>
        </w:tc>
        <w:tc>
          <w:tcPr>
            <w:tcW w:w="684" w:type="pct"/>
            <w:tcBorders>
              <w:top w:val="nil"/>
              <w:left w:val="nil"/>
              <w:bottom w:val="nil"/>
              <w:right w:val="nil"/>
            </w:tcBorders>
          </w:tcPr>
          <w:p w14:paraId="357118B8"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1.145***</w:t>
            </w:r>
          </w:p>
        </w:tc>
        <w:tc>
          <w:tcPr>
            <w:tcW w:w="827" w:type="pct"/>
            <w:tcBorders>
              <w:top w:val="nil"/>
              <w:left w:val="nil"/>
              <w:bottom w:val="nil"/>
              <w:right w:val="nil"/>
            </w:tcBorders>
          </w:tcPr>
          <w:p w14:paraId="4ECE1732"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0.660**</w:t>
            </w:r>
          </w:p>
        </w:tc>
      </w:tr>
      <w:tr w:rsidR="00CD4846" w:rsidRPr="00CD4846" w14:paraId="3D28EAE0" w14:textId="77777777" w:rsidTr="003959BE">
        <w:tc>
          <w:tcPr>
            <w:tcW w:w="1438" w:type="pct"/>
            <w:tcBorders>
              <w:top w:val="nil"/>
              <w:left w:val="nil"/>
              <w:bottom w:val="nil"/>
              <w:right w:val="nil"/>
            </w:tcBorders>
          </w:tcPr>
          <w:p w14:paraId="26D318F5"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p>
        </w:tc>
        <w:tc>
          <w:tcPr>
            <w:tcW w:w="684" w:type="pct"/>
            <w:tcBorders>
              <w:top w:val="nil"/>
              <w:left w:val="nil"/>
              <w:bottom w:val="nil"/>
              <w:right w:val="nil"/>
            </w:tcBorders>
          </w:tcPr>
          <w:p w14:paraId="0B714686"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(1.611)</w:t>
            </w:r>
          </w:p>
        </w:tc>
        <w:tc>
          <w:tcPr>
            <w:tcW w:w="684" w:type="pct"/>
            <w:tcBorders>
              <w:top w:val="nil"/>
              <w:left w:val="nil"/>
              <w:bottom w:val="nil"/>
              <w:right w:val="nil"/>
            </w:tcBorders>
          </w:tcPr>
          <w:p w14:paraId="13AB3C27"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(0.768)</w:t>
            </w:r>
          </w:p>
        </w:tc>
        <w:tc>
          <w:tcPr>
            <w:tcW w:w="684" w:type="pct"/>
            <w:tcBorders>
              <w:top w:val="nil"/>
              <w:left w:val="nil"/>
              <w:bottom w:val="nil"/>
              <w:right w:val="nil"/>
            </w:tcBorders>
          </w:tcPr>
          <w:p w14:paraId="2B2F63DC"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(1.712)</w:t>
            </w:r>
          </w:p>
        </w:tc>
        <w:tc>
          <w:tcPr>
            <w:tcW w:w="684" w:type="pct"/>
            <w:tcBorders>
              <w:top w:val="nil"/>
              <w:left w:val="nil"/>
              <w:bottom w:val="nil"/>
              <w:right w:val="nil"/>
            </w:tcBorders>
          </w:tcPr>
          <w:p w14:paraId="5416B188"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(0.417)</w:t>
            </w:r>
          </w:p>
        </w:tc>
        <w:tc>
          <w:tcPr>
            <w:tcW w:w="827" w:type="pct"/>
            <w:tcBorders>
              <w:top w:val="nil"/>
              <w:left w:val="nil"/>
              <w:bottom w:val="nil"/>
              <w:right w:val="nil"/>
            </w:tcBorders>
          </w:tcPr>
          <w:p w14:paraId="05A59A9B"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(0.332)</w:t>
            </w:r>
          </w:p>
        </w:tc>
      </w:tr>
      <w:tr w:rsidR="00CD4846" w:rsidRPr="00CD4846" w14:paraId="75E98896" w14:textId="77777777" w:rsidTr="003959BE">
        <w:tc>
          <w:tcPr>
            <w:tcW w:w="1438" w:type="pct"/>
            <w:tcBorders>
              <w:top w:val="nil"/>
              <w:left w:val="nil"/>
              <w:bottom w:val="nil"/>
              <w:right w:val="nil"/>
            </w:tcBorders>
          </w:tcPr>
          <w:p w14:paraId="65C7608D"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Unemployment rate (100s)</w:t>
            </w:r>
          </w:p>
        </w:tc>
        <w:tc>
          <w:tcPr>
            <w:tcW w:w="684" w:type="pct"/>
            <w:tcBorders>
              <w:top w:val="nil"/>
              <w:left w:val="nil"/>
              <w:bottom w:val="nil"/>
              <w:right w:val="nil"/>
            </w:tcBorders>
          </w:tcPr>
          <w:p w14:paraId="2CCFDE83"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1.023</w:t>
            </w:r>
          </w:p>
        </w:tc>
        <w:tc>
          <w:tcPr>
            <w:tcW w:w="684" w:type="pct"/>
            <w:tcBorders>
              <w:top w:val="nil"/>
              <w:left w:val="nil"/>
              <w:bottom w:val="nil"/>
              <w:right w:val="nil"/>
            </w:tcBorders>
          </w:tcPr>
          <w:p w14:paraId="3D980089"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2.809</w:t>
            </w:r>
          </w:p>
        </w:tc>
        <w:tc>
          <w:tcPr>
            <w:tcW w:w="684" w:type="pct"/>
            <w:tcBorders>
              <w:top w:val="nil"/>
              <w:left w:val="nil"/>
              <w:bottom w:val="nil"/>
              <w:right w:val="nil"/>
            </w:tcBorders>
          </w:tcPr>
          <w:p w14:paraId="0B596369"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13.463</w:t>
            </w:r>
          </w:p>
        </w:tc>
        <w:tc>
          <w:tcPr>
            <w:tcW w:w="684" w:type="pct"/>
            <w:tcBorders>
              <w:top w:val="nil"/>
              <w:left w:val="nil"/>
              <w:bottom w:val="nil"/>
              <w:right w:val="nil"/>
            </w:tcBorders>
          </w:tcPr>
          <w:p w14:paraId="7F476C3D"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2.196</w:t>
            </w:r>
          </w:p>
        </w:tc>
        <w:tc>
          <w:tcPr>
            <w:tcW w:w="827" w:type="pct"/>
            <w:tcBorders>
              <w:top w:val="nil"/>
              <w:left w:val="nil"/>
              <w:bottom w:val="nil"/>
              <w:right w:val="nil"/>
            </w:tcBorders>
          </w:tcPr>
          <w:p w14:paraId="721049BB"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2.205</w:t>
            </w:r>
          </w:p>
        </w:tc>
      </w:tr>
      <w:tr w:rsidR="00CD4846" w:rsidRPr="00CD4846" w14:paraId="0FEE6FF5" w14:textId="77777777" w:rsidTr="003959BE">
        <w:tc>
          <w:tcPr>
            <w:tcW w:w="1438" w:type="pct"/>
            <w:tcBorders>
              <w:top w:val="nil"/>
              <w:left w:val="nil"/>
              <w:bottom w:val="nil"/>
              <w:right w:val="nil"/>
            </w:tcBorders>
          </w:tcPr>
          <w:p w14:paraId="1B29D3DC"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p>
        </w:tc>
        <w:tc>
          <w:tcPr>
            <w:tcW w:w="684" w:type="pct"/>
            <w:tcBorders>
              <w:top w:val="nil"/>
              <w:left w:val="nil"/>
              <w:bottom w:val="nil"/>
              <w:right w:val="nil"/>
            </w:tcBorders>
          </w:tcPr>
          <w:p w14:paraId="2EB17205"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(6.089)</w:t>
            </w:r>
          </w:p>
        </w:tc>
        <w:tc>
          <w:tcPr>
            <w:tcW w:w="684" w:type="pct"/>
            <w:tcBorders>
              <w:top w:val="nil"/>
              <w:left w:val="nil"/>
              <w:bottom w:val="nil"/>
              <w:right w:val="nil"/>
            </w:tcBorders>
          </w:tcPr>
          <w:p w14:paraId="686FEE26"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(9.064)</w:t>
            </w:r>
          </w:p>
        </w:tc>
        <w:tc>
          <w:tcPr>
            <w:tcW w:w="684" w:type="pct"/>
            <w:tcBorders>
              <w:top w:val="nil"/>
              <w:left w:val="nil"/>
              <w:bottom w:val="nil"/>
              <w:right w:val="nil"/>
            </w:tcBorders>
          </w:tcPr>
          <w:p w14:paraId="29101AD2"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(11.520)</w:t>
            </w:r>
          </w:p>
        </w:tc>
        <w:tc>
          <w:tcPr>
            <w:tcW w:w="684" w:type="pct"/>
            <w:tcBorders>
              <w:top w:val="nil"/>
              <w:left w:val="nil"/>
              <w:bottom w:val="nil"/>
              <w:right w:val="nil"/>
            </w:tcBorders>
          </w:tcPr>
          <w:p w14:paraId="69E1BD28"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(1.463)</w:t>
            </w:r>
          </w:p>
        </w:tc>
        <w:tc>
          <w:tcPr>
            <w:tcW w:w="827" w:type="pct"/>
            <w:tcBorders>
              <w:top w:val="nil"/>
              <w:left w:val="nil"/>
              <w:bottom w:val="nil"/>
              <w:right w:val="nil"/>
            </w:tcBorders>
          </w:tcPr>
          <w:p w14:paraId="1422A3B1"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(1.875)</w:t>
            </w:r>
          </w:p>
        </w:tc>
      </w:tr>
      <w:tr w:rsidR="00CD4846" w:rsidRPr="00CD4846" w14:paraId="46234872" w14:textId="77777777" w:rsidTr="003959BE">
        <w:tc>
          <w:tcPr>
            <w:tcW w:w="1438" w:type="pct"/>
            <w:tcBorders>
              <w:top w:val="nil"/>
              <w:left w:val="nil"/>
              <w:bottom w:val="nil"/>
              <w:right w:val="nil"/>
            </w:tcBorders>
          </w:tcPr>
          <w:p w14:paraId="4949B563"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Sales Volume (t-1)</w:t>
            </w:r>
          </w:p>
        </w:tc>
        <w:tc>
          <w:tcPr>
            <w:tcW w:w="684" w:type="pct"/>
            <w:tcBorders>
              <w:top w:val="nil"/>
              <w:left w:val="nil"/>
              <w:bottom w:val="nil"/>
              <w:right w:val="nil"/>
            </w:tcBorders>
          </w:tcPr>
          <w:p w14:paraId="2BC07753"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5.009</w:t>
            </w:r>
          </w:p>
        </w:tc>
        <w:tc>
          <w:tcPr>
            <w:tcW w:w="684" w:type="pct"/>
            <w:tcBorders>
              <w:top w:val="nil"/>
              <w:left w:val="nil"/>
              <w:bottom w:val="nil"/>
              <w:right w:val="nil"/>
            </w:tcBorders>
          </w:tcPr>
          <w:p w14:paraId="11AE7542"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-16.218**</w:t>
            </w:r>
          </w:p>
        </w:tc>
        <w:tc>
          <w:tcPr>
            <w:tcW w:w="684" w:type="pct"/>
            <w:tcBorders>
              <w:top w:val="nil"/>
              <w:left w:val="nil"/>
              <w:bottom w:val="nil"/>
              <w:right w:val="nil"/>
            </w:tcBorders>
          </w:tcPr>
          <w:p w14:paraId="6CD5311A"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5.966</w:t>
            </w:r>
          </w:p>
        </w:tc>
        <w:tc>
          <w:tcPr>
            <w:tcW w:w="684" w:type="pct"/>
            <w:tcBorders>
              <w:top w:val="nil"/>
              <w:left w:val="nil"/>
              <w:bottom w:val="nil"/>
              <w:right w:val="nil"/>
            </w:tcBorders>
          </w:tcPr>
          <w:p w14:paraId="49C9A144"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26.724</w:t>
            </w:r>
          </w:p>
        </w:tc>
        <w:tc>
          <w:tcPr>
            <w:tcW w:w="827" w:type="pct"/>
            <w:tcBorders>
              <w:top w:val="nil"/>
              <w:left w:val="nil"/>
              <w:bottom w:val="nil"/>
              <w:right w:val="nil"/>
            </w:tcBorders>
          </w:tcPr>
          <w:p w14:paraId="573C7A0E"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0.995</w:t>
            </w:r>
          </w:p>
        </w:tc>
      </w:tr>
      <w:tr w:rsidR="00CD4846" w:rsidRPr="00CD4846" w14:paraId="307AB73C" w14:textId="77777777" w:rsidTr="003959BE">
        <w:tc>
          <w:tcPr>
            <w:tcW w:w="1438" w:type="pct"/>
            <w:tcBorders>
              <w:top w:val="nil"/>
              <w:left w:val="nil"/>
              <w:bottom w:val="nil"/>
              <w:right w:val="nil"/>
            </w:tcBorders>
          </w:tcPr>
          <w:p w14:paraId="529F23B1"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p>
        </w:tc>
        <w:tc>
          <w:tcPr>
            <w:tcW w:w="684" w:type="pct"/>
            <w:tcBorders>
              <w:top w:val="nil"/>
              <w:left w:val="nil"/>
              <w:bottom w:val="nil"/>
              <w:right w:val="nil"/>
            </w:tcBorders>
          </w:tcPr>
          <w:p w14:paraId="3E2914D1"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(16.958)</w:t>
            </w:r>
          </w:p>
        </w:tc>
        <w:tc>
          <w:tcPr>
            <w:tcW w:w="684" w:type="pct"/>
            <w:tcBorders>
              <w:top w:val="nil"/>
              <w:left w:val="nil"/>
              <w:bottom w:val="nil"/>
              <w:right w:val="nil"/>
            </w:tcBorders>
          </w:tcPr>
          <w:p w14:paraId="491075C2"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(7.349)</w:t>
            </w:r>
          </w:p>
        </w:tc>
        <w:tc>
          <w:tcPr>
            <w:tcW w:w="684" w:type="pct"/>
            <w:tcBorders>
              <w:top w:val="nil"/>
              <w:left w:val="nil"/>
              <w:bottom w:val="nil"/>
              <w:right w:val="nil"/>
            </w:tcBorders>
          </w:tcPr>
          <w:p w14:paraId="17827988"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(4.699)</w:t>
            </w:r>
          </w:p>
        </w:tc>
        <w:tc>
          <w:tcPr>
            <w:tcW w:w="684" w:type="pct"/>
            <w:tcBorders>
              <w:top w:val="nil"/>
              <w:left w:val="nil"/>
              <w:bottom w:val="nil"/>
              <w:right w:val="nil"/>
            </w:tcBorders>
          </w:tcPr>
          <w:p w14:paraId="037D1906"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(17.110)</w:t>
            </w:r>
          </w:p>
        </w:tc>
        <w:tc>
          <w:tcPr>
            <w:tcW w:w="827" w:type="pct"/>
            <w:tcBorders>
              <w:top w:val="nil"/>
              <w:left w:val="nil"/>
              <w:bottom w:val="nil"/>
              <w:right w:val="nil"/>
            </w:tcBorders>
          </w:tcPr>
          <w:p w14:paraId="71359AA6"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(0.679)</w:t>
            </w:r>
          </w:p>
        </w:tc>
      </w:tr>
      <w:tr w:rsidR="00CD4846" w:rsidRPr="00CD4846" w14:paraId="1C08FEE7" w14:textId="77777777" w:rsidTr="003959BE">
        <w:tc>
          <w:tcPr>
            <w:tcW w:w="1438" w:type="pct"/>
            <w:tcBorders>
              <w:top w:val="nil"/>
              <w:left w:val="nil"/>
              <w:bottom w:val="nil"/>
              <w:right w:val="nil"/>
            </w:tcBorders>
          </w:tcPr>
          <w:p w14:paraId="6ED4460C"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Prior Births (1ks)</w:t>
            </w:r>
          </w:p>
        </w:tc>
        <w:tc>
          <w:tcPr>
            <w:tcW w:w="684" w:type="pct"/>
            <w:tcBorders>
              <w:top w:val="nil"/>
              <w:left w:val="nil"/>
              <w:bottom w:val="nil"/>
              <w:right w:val="nil"/>
            </w:tcBorders>
          </w:tcPr>
          <w:p w14:paraId="60901E9D"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0.944</w:t>
            </w:r>
          </w:p>
        </w:tc>
        <w:tc>
          <w:tcPr>
            <w:tcW w:w="684" w:type="pct"/>
            <w:tcBorders>
              <w:top w:val="nil"/>
              <w:left w:val="nil"/>
              <w:bottom w:val="nil"/>
              <w:right w:val="nil"/>
            </w:tcBorders>
          </w:tcPr>
          <w:p w14:paraId="13F34860"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1.400*</w:t>
            </w:r>
          </w:p>
        </w:tc>
        <w:tc>
          <w:tcPr>
            <w:tcW w:w="684" w:type="pct"/>
            <w:tcBorders>
              <w:top w:val="nil"/>
              <w:left w:val="nil"/>
              <w:bottom w:val="nil"/>
              <w:right w:val="nil"/>
            </w:tcBorders>
          </w:tcPr>
          <w:p w14:paraId="772C4E75"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54.551***</w:t>
            </w:r>
          </w:p>
        </w:tc>
        <w:tc>
          <w:tcPr>
            <w:tcW w:w="684" w:type="pct"/>
            <w:tcBorders>
              <w:top w:val="nil"/>
              <w:left w:val="nil"/>
              <w:bottom w:val="nil"/>
              <w:right w:val="nil"/>
            </w:tcBorders>
          </w:tcPr>
          <w:p w14:paraId="79CAD88F"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0.004</w:t>
            </w:r>
          </w:p>
        </w:tc>
        <w:tc>
          <w:tcPr>
            <w:tcW w:w="827" w:type="pct"/>
            <w:tcBorders>
              <w:top w:val="nil"/>
              <w:left w:val="nil"/>
              <w:bottom w:val="nil"/>
              <w:right w:val="nil"/>
            </w:tcBorders>
          </w:tcPr>
          <w:p w14:paraId="75E2E21A"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-0.050</w:t>
            </w:r>
          </w:p>
        </w:tc>
      </w:tr>
      <w:tr w:rsidR="00CD4846" w:rsidRPr="00CD4846" w14:paraId="63095EF2" w14:textId="77777777" w:rsidTr="003959BE">
        <w:tc>
          <w:tcPr>
            <w:tcW w:w="1438" w:type="pct"/>
            <w:tcBorders>
              <w:top w:val="nil"/>
              <w:left w:val="nil"/>
              <w:bottom w:val="nil"/>
              <w:right w:val="nil"/>
            </w:tcBorders>
          </w:tcPr>
          <w:p w14:paraId="20279659"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p>
        </w:tc>
        <w:tc>
          <w:tcPr>
            <w:tcW w:w="684" w:type="pct"/>
            <w:tcBorders>
              <w:top w:val="nil"/>
              <w:left w:val="nil"/>
              <w:bottom w:val="nil"/>
              <w:right w:val="nil"/>
            </w:tcBorders>
          </w:tcPr>
          <w:p w14:paraId="29BF912D"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(4.740)</w:t>
            </w:r>
          </w:p>
        </w:tc>
        <w:tc>
          <w:tcPr>
            <w:tcW w:w="684" w:type="pct"/>
            <w:tcBorders>
              <w:top w:val="nil"/>
              <w:left w:val="nil"/>
              <w:bottom w:val="nil"/>
              <w:right w:val="nil"/>
            </w:tcBorders>
          </w:tcPr>
          <w:p w14:paraId="353131B5"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(0.723)</w:t>
            </w:r>
          </w:p>
        </w:tc>
        <w:tc>
          <w:tcPr>
            <w:tcW w:w="684" w:type="pct"/>
            <w:tcBorders>
              <w:top w:val="nil"/>
              <w:left w:val="nil"/>
              <w:bottom w:val="nil"/>
              <w:right w:val="nil"/>
            </w:tcBorders>
          </w:tcPr>
          <w:p w14:paraId="3B4CB5BC"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(17.005)</w:t>
            </w:r>
          </w:p>
        </w:tc>
        <w:tc>
          <w:tcPr>
            <w:tcW w:w="684" w:type="pct"/>
            <w:tcBorders>
              <w:top w:val="nil"/>
              <w:left w:val="nil"/>
              <w:bottom w:val="nil"/>
              <w:right w:val="nil"/>
            </w:tcBorders>
          </w:tcPr>
          <w:p w14:paraId="08E4C3FE"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(0.034)</w:t>
            </w:r>
          </w:p>
        </w:tc>
        <w:tc>
          <w:tcPr>
            <w:tcW w:w="827" w:type="pct"/>
            <w:tcBorders>
              <w:top w:val="nil"/>
              <w:left w:val="nil"/>
              <w:bottom w:val="nil"/>
              <w:right w:val="nil"/>
            </w:tcBorders>
          </w:tcPr>
          <w:p w14:paraId="4B3FA0D1"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(0.123)</w:t>
            </w:r>
          </w:p>
        </w:tc>
      </w:tr>
      <w:tr w:rsidR="00CD4846" w:rsidRPr="00CD4846" w14:paraId="3462A451" w14:textId="77777777" w:rsidTr="003959BE">
        <w:tc>
          <w:tcPr>
            <w:tcW w:w="1438" w:type="pct"/>
            <w:tcBorders>
              <w:top w:val="nil"/>
              <w:left w:val="nil"/>
              <w:bottom w:val="nil"/>
              <w:right w:val="nil"/>
            </w:tcBorders>
          </w:tcPr>
          <w:p w14:paraId="798C4EC4"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Prior Deaths (1ks)</w:t>
            </w:r>
          </w:p>
        </w:tc>
        <w:tc>
          <w:tcPr>
            <w:tcW w:w="684" w:type="pct"/>
            <w:tcBorders>
              <w:top w:val="nil"/>
              <w:left w:val="nil"/>
              <w:bottom w:val="nil"/>
              <w:right w:val="nil"/>
            </w:tcBorders>
          </w:tcPr>
          <w:p w14:paraId="16B6A1C7"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3.830</w:t>
            </w:r>
          </w:p>
        </w:tc>
        <w:tc>
          <w:tcPr>
            <w:tcW w:w="684" w:type="pct"/>
            <w:tcBorders>
              <w:top w:val="nil"/>
              <w:left w:val="nil"/>
              <w:bottom w:val="nil"/>
              <w:right w:val="nil"/>
            </w:tcBorders>
          </w:tcPr>
          <w:p w14:paraId="77690A69"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0.885</w:t>
            </w:r>
          </w:p>
        </w:tc>
        <w:tc>
          <w:tcPr>
            <w:tcW w:w="684" w:type="pct"/>
            <w:tcBorders>
              <w:top w:val="nil"/>
              <w:left w:val="nil"/>
              <w:bottom w:val="nil"/>
              <w:right w:val="nil"/>
            </w:tcBorders>
          </w:tcPr>
          <w:p w14:paraId="13C1440D"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-16.626</w:t>
            </w:r>
          </w:p>
        </w:tc>
        <w:tc>
          <w:tcPr>
            <w:tcW w:w="684" w:type="pct"/>
            <w:tcBorders>
              <w:top w:val="nil"/>
              <w:left w:val="nil"/>
              <w:bottom w:val="nil"/>
              <w:right w:val="nil"/>
            </w:tcBorders>
          </w:tcPr>
          <w:p w14:paraId="785C5B65"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-0.165**</w:t>
            </w:r>
          </w:p>
        </w:tc>
        <w:tc>
          <w:tcPr>
            <w:tcW w:w="827" w:type="pct"/>
            <w:tcBorders>
              <w:top w:val="nil"/>
              <w:left w:val="nil"/>
              <w:bottom w:val="nil"/>
              <w:right w:val="nil"/>
            </w:tcBorders>
          </w:tcPr>
          <w:p w14:paraId="0A2B2622"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-0.210**</w:t>
            </w:r>
          </w:p>
        </w:tc>
      </w:tr>
      <w:tr w:rsidR="00CD4846" w:rsidRPr="00CD4846" w14:paraId="6C5832EB" w14:textId="77777777" w:rsidTr="003959BE">
        <w:tc>
          <w:tcPr>
            <w:tcW w:w="1438" w:type="pct"/>
            <w:tcBorders>
              <w:top w:val="nil"/>
              <w:left w:val="nil"/>
              <w:bottom w:val="nil"/>
              <w:right w:val="nil"/>
            </w:tcBorders>
          </w:tcPr>
          <w:p w14:paraId="47469995"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p>
        </w:tc>
        <w:tc>
          <w:tcPr>
            <w:tcW w:w="684" w:type="pct"/>
            <w:tcBorders>
              <w:top w:val="nil"/>
              <w:left w:val="nil"/>
              <w:bottom w:val="nil"/>
              <w:right w:val="nil"/>
            </w:tcBorders>
          </w:tcPr>
          <w:p w14:paraId="7A7EC104"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(6.404)</w:t>
            </w:r>
          </w:p>
        </w:tc>
        <w:tc>
          <w:tcPr>
            <w:tcW w:w="684" w:type="pct"/>
            <w:tcBorders>
              <w:top w:val="nil"/>
              <w:left w:val="nil"/>
              <w:bottom w:val="nil"/>
              <w:right w:val="nil"/>
            </w:tcBorders>
          </w:tcPr>
          <w:p w14:paraId="6BBFB920"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(1.848)</w:t>
            </w:r>
          </w:p>
        </w:tc>
        <w:tc>
          <w:tcPr>
            <w:tcW w:w="684" w:type="pct"/>
            <w:tcBorders>
              <w:top w:val="nil"/>
              <w:left w:val="nil"/>
              <w:bottom w:val="nil"/>
              <w:right w:val="nil"/>
            </w:tcBorders>
          </w:tcPr>
          <w:p w14:paraId="352DF870"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(12.233)</w:t>
            </w:r>
          </w:p>
        </w:tc>
        <w:tc>
          <w:tcPr>
            <w:tcW w:w="684" w:type="pct"/>
            <w:tcBorders>
              <w:top w:val="nil"/>
              <w:left w:val="nil"/>
              <w:bottom w:val="nil"/>
              <w:right w:val="nil"/>
            </w:tcBorders>
          </w:tcPr>
          <w:p w14:paraId="3FA0A53F"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(0.072)</w:t>
            </w:r>
          </w:p>
        </w:tc>
        <w:tc>
          <w:tcPr>
            <w:tcW w:w="827" w:type="pct"/>
            <w:tcBorders>
              <w:top w:val="nil"/>
              <w:left w:val="nil"/>
              <w:bottom w:val="nil"/>
              <w:right w:val="nil"/>
            </w:tcBorders>
          </w:tcPr>
          <w:p w14:paraId="10F04372"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(0.101)</w:t>
            </w:r>
          </w:p>
        </w:tc>
      </w:tr>
      <w:tr w:rsidR="00CD4846" w:rsidRPr="00CD4846" w14:paraId="5E8FB993" w14:textId="77777777" w:rsidTr="003959BE">
        <w:tc>
          <w:tcPr>
            <w:tcW w:w="1438" w:type="pct"/>
            <w:tcBorders>
              <w:top w:val="nil"/>
              <w:left w:val="nil"/>
              <w:bottom w:val="nil"/>
              <w:right w:val="nil"/>
            </w:tcBorders>
          </w:tcPr>
          <w:p w14:paraId="0EA65EA8"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O</w:t>
            </w:r>
            <w:r w:rsidRPr="00CD4846">
              <w:rPr>
                <w:rFonts w:cs="Times New Roman"/>
                <w:kern w:val="2"/>
                <w:sz w:val="20"/>
                <w:szCs w:val="20"/>
                <w:lang/>
              </w:rPr>
              <w:t xml:space="preserve">utward </w:t>
            </w:r>
            <w:r w:rsidRPr="00CD4846">
              <w:rPr>
                <w:rFonts w:cs="Times New Roman"/>
                <w:kern w:val="2"/>
                <w:sz w:val="20"/>
                <w:szCs w:val="20"/>
                <w:lang/>
              </w:rPr>
              <w:t>R</w:t>
            </w:r>
            <w:r w:rsidRPr="00CD4846">
              <w:rPr>
                <w:rFonts w:cs="Times New Roman"/>
                <w:kern w:val="2"/>
                <w:sz w:val="20"/>
                <w:szCs w:val="20"/>
                <w:lang/>
              </w:rPr>
              <w:t>eloc</w:t>
            </w:r>
            <w:r w:rsidRPr="00CD4846">
              <w:rPr>
                <w:rFonts w:cs="Times New Roman"/>
                <w:kern w:val="2"/>
                <w:sz w:val="20"/>
                <w:szCs w:val="20"/>
                <w:lang/>
              </w:rPr>
              <w:t>. (t-1)</w:t>
            </w:r>
            <w:r w:rsidRPr="00CD4846">
              <w:rPr>
                <w:rFonts w:cs="Times New Roman"/>
                <w:kern w:val="2"/>
                <w:sz w:val="20"/>
                <w:szCs w:val="20"/>
                <w:lang/>
              </w:rPr>
              <w:t xml:space="preserve"> (1ks)</w:t>
            </w:r>
          </w:p>
        </w:tc>
        <w:tc>
          <w:tcPr>
            <w:tcW w:w="684" w:type="pct"/>
            <w:tcBorders>
              <w:top w:val="nil"/>
              <w:left w:val="nil"/>
              <w:bottom w:val="nil"/>
              <w:right w:val="nil"/>
            </w:tcBorders>
          </w:tcPr>
          <w:p w14:paraId="1F89FB1F"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65.735</w:t>
            </w:r>
          </w:p>
        </w:tc>
        <w:tc>
          <w:tcPr>
            <w:tcW w:w="684" w:type="pct"/>
            <w:tcBorders>
              <w:top w:val="nil"/>
              <w:left w:val="nil"/>
              <w:bottom w:val="nil"/>
              <w:right w:val="nil"/>
            </w:tcBorders>
          </w:tcPr>
          <w:p w14:paraId="0B738E8F"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86.987***</w:t>
            </w:r>
          </w:p>
        </w:tc>
        <w:tc>
          <w:tcPr>
            <w:tcW w:w="684" w:type="pct"/>
            <w:tcBorders>
              <w:top w:val="nil"/>
              <w:left w:val="nil"/>
              <w:bottom w:val="nil"/>
              <w:right w:val="nil"/>
            </w:tcBorders>
          </w:tcPr>
          <w:p w14:paraId="6B30C390"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-23.187</w:t>
            </w:r>
          </w:p>
        </w:tc>
        <w:tc>
          <w:tcPr>
            <w:tcW w:w="684" w:type="pct"/>
            <w:tcBorders>
              <w:top w:val="nil"/>
              <w:left w:val="nil"/>
              <w:bottom w:val="nil"/>
              <w:right w:val="nil"/>
            </w:tcBorders>
          </w:tcPr>
          <w:p w14:paraId="48CB4D52"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3.435*</w:t>
            </w:r>
          </w:p>
        </w:tc>
        <w:tc>
          <w:tcPr>
            <w:tcW w:w="827" w:type="pct"/>
            <w:tcBorders>
              <w:top w:val="nil"/>
              <w:left w:val="nil"/>
              <w:bottom w:val="nil"/>
              <w:right w:val="nil"/>
            </w:tcBorders>
          </w:tcPr>
          <w:p w14:paraId="3A620CBE"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3.191</w:t>
            </w:r>
          </w:p>
        </w:tc>
      </w:tr>
      <w:tr w:rsidR="00CD4846" w:rsidRPr="00CD4846" w14:paraId="33F1508A" w14:textId="77777777" w:rsidTr="003959BE">
        <w:tc>
          <w:tcPr>
            <w:tcW w:w="1438" w:type="pct"/>
            <w:tcBorders>
              <w:top w:val="nil"/>
              <w:left w:val="nil"/>
              <w:bottom w:val="nil"/>
              <w:right w:val="nil"/>
            </w:tcBorders>
          </w:tcPr>
          <w:p w14:paraId="4ACF3377"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p>
        </w:tc>
        <w:tc>
          <w:tcPr>
            <w:tcW w:w="684" w:type="pct"/>
            <w:tcBorders>
              <w:top w:val="nil"/>
              <w:left w:val="nil"/>
              <w:bottom w:val="nil"/>
              <w:right w:val="nil"/>
            </w:tcBorders>
          </w:tcPr>
          <w:p w14:paraId="09F627C3"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(57.144)</w:t>
            </w:r>
          </w:p>
        </w:tc>
        <w:tc>
          <w:tcPr>
            <w:tcW w:w="684" w:type="pct"/>
            <w:tcBorders>
              <w:top w:val="nil"/>
              <w:left w:val="nil"/>
              <w:bottom w:val="nil"/>
              <w:right w:val="nil"/>
            </w:tcBorders>
          </w:tcPr>
          <w:p w14:paraId="43601AEA"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(33.378)</w:t>
            </w:r>
          </w:p>
        </w:tc>
        <w:tc>
          <w:tcPr>
            <w:tcW w:w="684" w:type="pct"/>
            <w:tcBorders>
              <w:top w:val="nil"/>
              <w:left w:val="nil"/>
              <w:bottom w:val="nil"/>
              <w:right w:val="nil"/>
            </w:tcBorders>
          </w:tcPr>
          <w:p w14:paraId="58F549E4"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(237.946)</w:t>
            </w:r>
          </w:p>
        </w:tc>
        <w:tc>
          <w:tcPr>
            <w:tcW w:w="684" w:type="pct"/>
            <w:tcBorders>
              <w:top w:val="nil"/>
              <w:left w:val="nil"/>
              <w:bottom w:val="nil"/>
              <w:right w:val="nil"/>
            </w:tcBorders>
          </w:tcPr>
          <w:p w14:paraId="55208339"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(1.999)</w:t>
            </w:r>
          </w:p>
        </w:tc>
        <w:tc>
          <w:tcPr>
            <w:tcW w:w="827" w:type="pct"/>
            <w:tcBorders>
              <w:top w:val="nil"/>
              <w:left w:val="nil"/>
              <w:bottom w:val="nil"/>
              <w:right w:val="nil"/>
            </w:tcBorders>
          </w:tcPr>
          <w:p w14:paraId="5B5701EA"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(4.329)</w:t>
            </w:r>
          </w:p>
        </w:tc>
      </w:tr>
      <w:tr w:rsidR="00CD4846" w:rsidRPr="00CD4846" w14:paraId="42816449" w14:textId="77777777" w:rsidTr="003959BE">
        <w:tc>
          <w:tcPr>
            <w:tcW w:w="1438" w:type="pct"/>
            <w:tcBorders>
              <w:top w:val="nil"/>
              <w:left w:val="nil"/>
              <w:bottom w:val="nil"/>
              <w:right w:val="nil"/>
            </w:tcBorders>
          </w:tcPr>
          <w:p w14:paraId="4BAB9280"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Constant</w:t>
            </w:r>
          </w:p>
        </w:tc>
        <w:tc>
          <w:tcPr>
            <w:tcW w:w="684" w:type="pct"/>
            <w:tcBorders>
              <w:top w:val="nil"/>
              <w:left w:val="nil"/>
              <w:bottom w:val="nil"/>
              <w:right w:val="nil"/>
            </w:tcBorders>
          </w:tcPr>
          <w:p w14:paraId="10202693"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-2.877</w:t>
            </w:r>
          </w:p>
        </w:tc>
        <w:tc>
          <w:tcPr>
            <w:tcW w:w="684" w:type="pct"/>
            <w:tcBorders>
              <w:top w:val="nil"/>
              <w:left w:val="nil"/>
              <w:bottom w:val="nil"/>
              <w:right w:val="nil"/>
            </w:tcBorders>
          </w:tcPr>
          <w:p w14:paraId="3C74825C"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-1.162</w:t>
            </w:r>
          </w:p>
        </w:tc>
        <w:tc>
          <w:tcPr>
            <w:tcW w:w="684" w:type="pct"/>
            <w:tcBorders>
              <w:top w:val="nil"/>
              <w:left w:val="nil"/>
              <w:bottom w:val="nil"/>
              <w:right w:val="nil"/>
            </w:tcBorders>
          </w:tcPr>
          <w:p w14:paraId="5CB9DCA9"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5.634</w:t>
            </w:r>
          </w:p>
        </w:tc>
        <w:tc>
          <w:tcPr>
            <w:tcW w:w="684" w:type="pct"/>
            <w:tcBorders>
              <w:top w:val="nil"/>
              <w:left w:val="nil"/>
              <w:bottom w:val="nil"/>
              <w:right w:val="nil"/>
            </w:tcBorders>
          </w:tcPr>
          <w:p w14:paraId="6153260B"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0.769</w:t>
            </w:r>
          </w:p>
        </w:tc>
        <w:tc>
          <w:tcPr>
            <w:tcW w:w="827" w:type="pct"/>
            <w:tcBorders>
              <w:top w:val="nil"/>
              <w:left w:val="nil"/>
              <w:bottom w:val="nil"/>
              <w:right w:val="nil"/>
            </w:tcBorders>
          </w:tcPr>
          <w:p w14:paraId="4DE76E5A"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-0.161</w:t>
            </w:r>
          </w:p>
        </w:tc>
      </w:tr>
      <w:tr w:rsidR="00CD4846" w:rsidRPr="00CD4846" w14:paraId="6A548B01" w14:textId="77777777" w:rsidTr="003959BE">
        <w:tc>
          <w:tcPr>
            <w:tcW w:w="1438" w:type="pct"/>
            <w:tcBorders>
              <w:top w:val="nil"/>
              <w:left w:val="nil"/>
              <w:bottom w:val="nil"/>
              <w:right w:val="nil"/>
            </w:tcBorders>
          </w:tcPr>
          <w:p w14:paraId="78F12C71"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p>
        </w:tc>
        <w:tc>
          <w:tcPr>
            <w:tcW w:w="684" w:type="pct"/>
            <w:tcBorders>
              <w:top w:val="nil"/>
              <w:left w:val="nil"/>
              <w:bottom w:val="nil"/>
              <w:right w:val="nil"/>
            </w:tcBorders>
          </w:tcPr>
          <w:p w14:paraId="5742E8C8"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(2.357)</w:t>
            </w:r>
          </w:p>
        </w:tc>
        <w:tc>
          <w:tcPr>
            <w:tcW w:w="684" w:type="pct"/>
            <w:tcBorders>
              <w:top w:val="nil"/>
              <w:left w:val="nil"/>
              <w:bottom w:val="nil"/>
              <w:right w:val="nil"/>
            </w:tcBorders>
          </w:tcPr>
          <w:p w14:paraId="3CE912B4"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(2.916)</w:t>
            </w:r>
          </w:p>
        </w:tc>
        <w:tc>
          <w:tcPr>
            <w:tcW w:w="684" w:type="pct"/>
            <w:tcBorders>
              <w:top w:val="nil"/>
              <w:left w:val="nil"/>
              <w:bottom w:val="nil"/>
              <w:right w:val="nil"/>
            </w:tcBorders>
          </w:tcPr>
          <w:p w14:paraId="547F5942"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(5.196)</w:t>
            </w:r>
          </w:p>
        </w:tc>
        <w:tc>
          <w:tcPr>
            <w:tcW w:w="684" w:type="pct"/>
            <w:tcBorders>
              <w:top w:val="nil"/>
              <w:left w:val="nil"/>
              <w:bottom w:val="nil"/>
              <w:right w:val="nil"/>
            </w:tcBorders>
          </w:tcPr>
          <w:p w14:paraId="349018F6"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(0.550)</w:t>
            </w:r>
          </w:p>
        </w:tc>
        <w:tc>
          <w:tcPr>
            <w:tcW w:w="827" w:type="pct"/>
            <w:tcBorders>
              <w:top w:val="nil"/>
              <w:left w:val="nil"/>
              <w:bottom w:val="nil"/>
              <w:right w:val="nil"/>
            </w:tcBorders>
          </w:tcPr>
          <w:p w14:paraId="171A62FF"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(0.728)</w:t>
            </w:r>
          </w:p>
        </w:tc>
      </w:tr>
      <w:tr w:rsidR="00CD4846" w:rsidRPr="00CD4846" w14:paraId="54C61BB6" w14:textId="77777777" w:rsidTr="003959BE">
        <w:tc>
          <w:tcPr>
            <w:tcW w:w="1438" w:type="pct"/>
            <w:tcBorders>
              <w:top w:val="nil"/>
              <w:left w:val="nil"/>
              <w:bottom w:val="nil"/>
              <w:right w:val="nil"/>
            </w:tcBorders>
          </w:tcPr>
          <w:p w14:paraId="4865924F"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Observations</w:t>
            </w:r>
          </w:p>
        </w:tc>
        <w:tc>
          <w:tcPr>
            <w:tcW w:w="684" w:type="pct"/>
            <w:tcBorders>
              <w:top w:val="nil"/>
              <w:left w:val="nil"/>
              <w:bottom w:val="nil"/>
              <w:right w:val="nil"/>
            </w:tcBorders>
          </w:tcPr>
          <w:p w14:paraId="7BAABE95"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4756</w:t>
            </w:r>
          </w:p>
        </w:tc>
        <w:tc>
          <w:tcPr>
            <w:tcW w:w="684" w:type="pct"/>
            <w:tcBorders>
              <w:top w:val="nil"/>
              <w:left w:val="nil"/>
              <w:bottom w:val="nil"/>
              <w:right w:val="nil"/>
            </w:tcBorders>
          </w:tcPr>
          <w:p w14:paraId="605E4AD2"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2310</w:t>
            </w:r>
          </w:p>
        </w:tc>
        <w:tc>
          <w:tcPr>
            <w:tcW w:w="684" w:type="pct"/>
            <w:tcBorders>
              <w:top w:val="nil"/>
              <w:left w:val="nil"/>
              <w:bottom w:val="nil"/>
              <w:right w:val="nil"/>
            </w:tcBorders>
          </w:tcPr>
          <w:p w14:paraId="1C693B53"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1911</w:t>
            </w:r>
          </w:p>
        </w:tc>
        <w:tc>
          <w:tcPr>
            <w:tcW w:w="684" w:type="pct"/>
            <w:tcBorders>
              <w:top w:val="nil"/>
              <w:left w:val="nil"/>
              <w:bottom w:val="nil"/>
              <w:right w:val="nil"/>
            </w:tcBorders>
          </w:tcPr>
          <w:p w14:paraId="0C159B40"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22529</w:t>
            </w:r>
          </w:p>
        </w:tc>
        <w:tc>
          <w:tcPr>
            <w:tcW w:w="827" w:type="pct"/>
            <w:tcBorders>
              <w:top w:val="nil"/>
              <w:left w:val="nil"/>
              <w:bottom w:val="nil"/>
              <w:right w:val="nil"/>
            </w:tcBorders>
          </w:tcPr>
          <w:p w14:paraId="33F18D4A"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17082</w:t>
            </w:r>
          </w:p>
        </w:tc>
      </w:tr>
      <w:tr w:rsidR="00CD4846" w:rsidRPr="00CD4846" w14:paraId="1E1E5FF7" w14:textId="77777777" w:rsidTr="003959BE">
        <w:tc>
          <w:tcPr>
            <w:tcW w:w="1438" w:type="pct"/>
            <w:tcBorders>
              <w:top w:val="nil"/>
              <w:left w:val="nil"/>
              <w:bottom w:val="nil"/>
              <w:right w:val="nil"/>
            </w:tcBorders>
          </w:tcPr>
          <w:p w14:paraId="4F21E810"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Pseudo R</w:t>
            </w:r>
            <w:r w:rsidRPr="00CD4846">
              <w:rPr>
                <w:rFonts w:cs="Times New Roman"/>
                <w:kern w:val="2"/>
                <w:sz w:val="20"/>
                <w:szCs w:val="20"/>
                <w:vertAlign w:val="superscript"/>
                <w:lang/>
              </w:rPr>
              <w:t>2</w:t>
            </w:r>
          </w:p>
        </w:tc>
        <w:tc>
          <w:tcPr>
            <w:tcW w:w="684" w:type="pct"/>
            <w:tcBorders>
              <w:top w:val="nil"/>
              <w:left w:val="nil"/>
              <w:bottom w:val="nil"/>
              <w:right w:val="nil"/>
            </w:tcBorders>
          </w:tcPr>
          <w:p w14:paraId="62D08A92"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0.147</w:t>
            </w:r>
          </w:p>
        </w:tc>
        <w:tc>
          <w:tcPr>
            <w:tcW w:w="684" w:type="pct"/>
            <w:tcBorders>
              <w:top w:val="nil"/>
              <w:left w:val="nil"/>
              <w:bottom w:val="nil"/>
              <w:right w:val="nil"/>
            </w:tcBorders>
          </w:tcPr>
          <w:p w14:paraId="7560FE4B"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0.328</w:t>
            </w:r>
          </w:p>
        </w:tc>
        <w:tc>
          <w:tcPr>
            <w:tcW w:w="684" w:type="pct"/>
            <w:tcBorders>
              <w:top w:val="nil"/>
              <w:left w:val="nil"/>
              <w:bottom w:val="nil"/>
              <w:right w:val="nil"/>
            </w:tcBorders>
          </w:tcPr>
          <w:p w14:paraId="25087BBC"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0.141</w:t>
            </w:r>
          </w:p>
        </w:tc>
        <w:tc>
          <w:tcPr>
            <w:tcW w:w="684" w:type="pct"/>
            <w:tcBorders>
              <w:top w:val="nil"/>
              <w:left w:val="nil"/>
              <w:bottom w:val="nil"/>
              <w:right w:val="nil"/>
            </w:tcBorders>
          </w:tcPr>
          <w:p w14:paraId="517F91C5"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0.579</w:t>
            </w:r>
          </w:p>
        </w:tc>
        <w:tc>
          <w:tcPr>
            <w:tcW w:w="827" w:type="pct"/>
            <w:tcBorders>
              <w:top w:val="nil"/>
              <w:left w:val="nil"/>
              <w:bottom w:val="nil"/>
              <w:right w:val="nil"/>
            </w:tcBorders>
          </w:tcPr>
          <w:p w14:paraId="26080E6E"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0.500</w:t>
            </w:r>
          </w:p>
        </w:tc>
      </w:tr>
      <w:tr w:rsidR="00CD4846" w:rsidRPr="00CD4846" w14:paraId="1D868E60" w14:textId="77777777" w:rsidTr="003959BE">
        <w:tc>
          <w:tcPr>
            <w:tcW w:w="1438" w:type="pct"/>
            <w:tcBorders>
              <w:top w:val="nil"/>
              <w:left w:val="nil"/>
              <w:bottom w:val="nil"/>
              <w:right w:val="nil"/>
            </w:tcBorders>
          </w:tcPr>
          <w:p w14:paraId="0E543D95"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Chi</w:t>
            </w:r>
            <w:r w:rsidRPr="00CD4846">
              <w:rPr>
                <w:rFonts w:cs="Times New Roman"/>
                <w:kern w:val="2"/>
                <w:sz w:val="20"/>
                <w:szCs w:val="20"/>
                <w:vertAlign w:val="superscript"/>
                <w:lang/>
              </w:rPr>
              <w:t>2</w:t>
            </w:r>
          </w:p>
        </w:tc>
        <w:tc>
          <w:tcPr>
            <w:tcW w:w="684" w:type="pct"/>
            <w:tcBorders>
              <w:top w:val="nil"/>
              <w:left w:val="nil"/>
              <w:bottom w:val="nil"/>
              <w:right w:val="nil"/>
            </w:tcBorders>
          </w:tcPr>
          <w:p w14:paraId="50CB2F1B"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26</w:t>
            </w:r>
          </w:p>
        </w:tc>
        <w:tc>
          <w:tcPr>
            <w:tcW w:w="684" w:type="pct"/>
            <w:tcBorders>
              <w:top w:val="nil"/>
              <w:left w:val="nil"/>
              <w:bottom w:val="nil"/>
              <w:right w:val="nil"/>
            </w:tcBorders>
          </w:tcPr>
          <w:p w14:paraId="1DDAFE92"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29</w:t>
            </w:r>
          </w:p>
        </w:tc>
        <w:tc>
          <w:tcPr>
            <w:tcW w:w="684" w:type="pct"/>
            <w:tcBorders>
              <w:top w:val="nil"/>
              <w:left w:val="nil"/>
              <w:bottom w:val="nil"/>
              <w:right w:val="nil"/>
            </w:tcBorders>
          </w:tcPr>
          <w:p w14:paraId="7564DFC2"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25.</w:t>
            </w:r>
          </w:p>
        </w:tc>
        <w:tc>
          <w:tcPr>
            <w:tcW w:w="684" w:type="pct"/>
            <w:tcBorders>
              <w:top w:val="nil"/>
              <w:left w:val="nil"/>
              <w:bottom w:val="nil"/>
              <w:right w:val="nil"/>
            </w:tcBorders>
          </w:tcPr>
          <w:p w14:paraId="39E90293"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46</w:t>
            </w:r>
          </w:p>
        </w:tc>
        <w:tc>
          <w:tcPr>
            <w:tcW w:w="827" w:type="pct"/>
            <w:tcBorders>
              <w:top w:val="nil"/>
              <w:left w:val="nil"/>
              <w:bottom w:val="nil"/>
              <w:right w:val="nil"/>
            </w:tcBorders>
          </w:tcPr>
          <w:p w14:paraId="3B1486DD"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38</w:t>
            </w:r>
          </w:p>
        </w:tc>
      </w:tr>
      <w:tr w:rsidR="00CD4846" w:rsidRPr="00CD4846" w14:paraId="026947A8" w14:textId="77777777" w:rsidTr="003959BE">
        <w:tc>
          <w:tcPr>
            <w:tcW w:w="1438" w:type="pct"/>
            <w:tcBorders>
              <w:top w:val="nil"/>
              <w:left w:val="nil"/>
              <w:bottom w:val="nil"/>
              <w:right w:val="nil"/>
            </w:tcBorders>
          </w:tcPr>
          <w:p w14:paraId="4E10B44B"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Log Likelihood</w:t>
            </w:r>
          </w:p>
        </w:tc>
        <w:tc>
          <w:tcPr>
            <w:tcW w:w="684" w:type="pct"/>
            <w:tcBorders>
              <w:top w:val="nil"/>
              <w:left w:val="nil"/>
              <w:bottom w:val="nil"/>
              <w:right w:val="nil"/>
            </w:tcBorders>
          </w:tcPr>
          <w:p w14:paraId="71E17CA8"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-2256</w:t>
            </w:r>
          </w:p>
        </w:tc>
        <w:tc>
          <w:tcPr>
            <w:tcW w:w="684" w:type="pct"/>
            <w:tcBorders>
              <w:top w:val="nil"/>
              <w:left w:val="nil"/>
              <w:bottom w:val="nil"/>
              <w:right w:val="nil"/>
            </w:tcBorders>
          </w:tcPr>
          <w:p w14:paraId="727829F2"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-1290</w:t>
            </w:r>
          </w:p>
        </w:tc>
        <w:tc>
          <w:tcPr>
            <w:tcW w:w="684" w:type="pct"/>
            <w:tcBorders>
              <w:top w:val="nil"/>
              <w:left w:val="nil"/>
              <w:bottom w:val="nil"/>
              <w:right w:val="nil"/>
            </w:tcBorders>
          </w:tcPr>
          <w:p w14:paraId="06EE1EEE"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-912</w:t>
            </w:r>
          </w:p>
        </w:tc>
        <w:tc>
          <w:tcPr>
            <w:tcW w:w="684" w:type="pct"/>
            <w:tcBorders>
              <w:top w:val="nil"/>
              <w:left w:val="nil"/>
              <w:bottom w:val="nil"/>
              <w:right w:val="nil"/>
            </w:tcBorders>
          </w:tcPr>
          <w:p w14:paraId="7825473B"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-24152</w:t>
            </w:r>
          </w:p>
        </w:tc>
        <w:tc>
          <w:tcPr>
            <w:tcW w:w="827" w:type="pct"/>
            <w:tcBorders>
              <w:top w:val="nil"/>
              <w:left w:val="nil"/>
              <w:bottom w:val="nil"/>
              <w:right w:val="nil"/>
            </w:tcBorders>
          </w:tcPr>
          <w:p w14:paraId="492A9A2B"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-13087</w:t>
            </w:r>
          </w:p>
        </w:tc>
      </w:tr>
      <w:tr w:rsidR="00CD4846" w:rsidRPr="00CD4846" w14:paraId="7AC2A5C7" w14:textId="77777777" w:rsidTr="003959BE">
        <w:tc>
          <w:tcPr>
            <w:tcW w:w="1438" w:type="pct"/>
            <w:tcBorders>
              <w:top w:val="nil"/>
              <w:left w:val="nil"/>
              <w:bottom w:val="nil"/>
              <w:right w:val="nil"/>
            </w:tcBorders>
          </w:tcPr>
          <w:p w14:paraId="1BEE97F4"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Akaike’s Criterion</w:t>
            </w:r>
          </w:p>
        </w:tc>
        <w:tc>
          <w:tcPr>
            <w:tcW w:w="684" w:type="pct"/>
            <w:tcBorders>
              <w:top w:val="nil"/>
              <w:left w:val="nil"/>
              <w:bottom w:val="nil"/>
              <w:right w:val="nil"/>
            </w:tcBorders>
          </w:tcPr>
          <w:p w14:paraId="2B482DA8"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4552</w:t>
            </w:r>
          </w:p>
        </w:tc>
        <w:tc>
          <w:tcPr>
            <w:tcW w:w="684" w:type="pct"/>
            <w:tcBorders>
              <w:top w:val="nil"/>
              <w:left w:val="nil"/>
              <w:bottom w:val="nil"/>
              <w:right w:val="nil"/>
            </w:tcBorders>
          </w:tcPr>
          <w:p w14:paraId="0B0C517D"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2618</w:t>
            </w:r>
          </w:p>
        </w:tc>
        <w:tc>
          <w:tcPr>
            <w:tcW w:w="684" w:type="pct"/>
            <w:tcBorders>
              <w:top w:val="nil"/>
              <w:left w:val="nil"/>
              <w:bottom w:val="nil"/>
              <w:right w:val="nil"/>
            </w:tcBorders>
          </w:tcPr>
          <w:p w14:paraId="729ED883"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1863</w:t>
            </w:r>
          </w:p>
        </w:tc>
        <w:tc>
          <w:tcPr>
            <w:tcW w:w="684" w:type="pct"/>
            <w:tcBorders>
              <w:top w:val="nil"/>
              <w:left w:val="nil"/>
              <w:bottom w:val="nil"/>
              <w:right w:val="nil"/>
            </w:tcBorders>
          </w:tcPr>
          <w:p w14:paraId="52E50AF5"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48345</w:t>
            </w:r>
          </w:p>
        </w:tc>
        <w:tc>
          <w:tcPr>
            <w:tcW w:w="827" w:type="pct"/>
            <w:tcBorders>
              <w:top w:val="nil"/>
              <w:left w:val="nil"/>
              <w:bottom w:val="nil"/>
              <w:right w:val="nil"/>
            </w:tcBorders>
          </w:tcPr>
          <w:p w14:paraId="37E22C1A"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26214</w:t>
            </w:r>
          </w:p>
        </w:tc>
      </w:tr>
      <w:tr w:rsidR="00CD4846" w:rsidRPr="00CD4846" w14:paraId="694EE142" w14:textId="77777777" w:rsidTr="003959BE">
        <w:tc>
          <w:tcPr>
            <w:tcW w:w="1438" w:type="pct"/>
            <w:tcBorders>
              <w:top w:val="nil"/>
              <w:left w:val="nil"/>
              <w:bottom w:val="nil"/>
              <w:right w:val="nil"/>
            </w:tcBorders>
          </w:tcPr>
          <w:p w14:paraId="185EB650"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Bayesian Criterion</w:t>
            </w:r>
          </w:p>
        </w:tc>
        <w:tc>
          <w:tcPr>
            <w:tcW w:w="684" w:type="pct"/>
            <w:tcBorders>
              <w:top w:val="nil"/>
              <w:left w:val="nil"/>
              <w:bottom w:val="nil"/>
              <w:right w:val="nil"/>
            </w:tcBorders>
          </w:tcPr>
          <w:p w14:paraId="0484C7A6"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4682</w:t>
            </w:r>
          </w:p>
        </w:tc>
        <w:tc>
          <w:tcPr>
            <w:tcW w:w="684" w:type="pct"/>
            <w:tcBorders>
              <w:top w:val="nil"/>
              <w:left w:val="nil"/>
              <w:bottom w:val="nil"/>
              <w:right w:val="nil"/>
            </w:tcBorders>
          </w:tcPr>
          <w:p w14:paraId="74EBE1B3"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2728</w:t>
            </w:r>
          </w:p>
        </w:tc>
        <w:tc>
          <w:tcPr>
            <w:tcW w:w="684" w:type="pct"/>
            <w:tcBorders>
              <w:top w:val="nil"/>
              <w:left w:val="nil"/>
              <w:bottom w:val="nil"/>
              <w:right w:val="nil"/>
            </w:tcBorders>
          </w:tcPr>
          <w:p w14:paraId="183E8B4A"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1968</w:t>
            </w:r>
          </w:p>
        </w:tc>
        <w:tc>
          <w:tcPr>
            <w:tcW w:w="684" w:type="pct"/>
            <w:tcBorders>
              <w:top w:val="nil"/>
              <w:left w:val="nil"/>
              <w:bottom w:val="nil"/>
              <w:right w:val="nil"/>
            </w:tcBorders>
          </w:tcPr>
          <w:p w14:paraId="327241B8"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48505</w:t>
            </w:r>
          </w:p>
        </w:tc>
        <w:tc>
          <w:tcPr>
            <w:tcW w:w="827" w:type="pct"/>
            <w:tcBorders>
              <w:top w:val="nil"/>
              <w:left w:val="nil"/>
              <w:bottom w:val="nil"/>
              <w:right w:val="nil"/>
            </w:tcBorders>
          </w:tcPr>
          <w:p w14:paraId="644FED48"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26369</w:t>
            </w:r>
          </w:p>
        </w:tc>
      </w:tr>
      <w:tr w:rsidR="00CD4846" w:rsidRPr="00CD4846" w14:paraId="09DB4E1C" w14:textId="77777777" w:rsidTr="003959BE">
        <w:tc>
          <w:tcPr>
            <w:tcW w:w="1438" w:type="pct"/>
            <w:tcBorders>
              <w:top w:val="nil"/>
              <w:left w:val="nil"/>
              <w:bottom w:val="nil"/>
              <w:right w:val="nil"/>
            </w:tcBorders>
          </w:tcPr>
          <w:p w14:paraId="122495B8"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County FE</w:t>
            </w:r>
          </w:p>
        </w:tc>
        <w:tc>
          <w:tcPr>
            <w:tcW w:w="684" w:type="pct"/>
            <w:tcBorders>
              <w:top w:val="nil"/>
              <w:left w:val="nil"/>
              <w:bottom w:val="nil"/>
              <w:right w:val="nil"/>
            </w:tcBorders>
          </w:tcPr>
          <w:p w14:paraId="2090672C"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684" w:type="pct"/>
            <w:tcBorders>
              <w:top w:val="nil"/>
              <w:left w:val="nil"/>
              <w:bottom w:val="nil"/>
              <w:right w:val="nil"/>
            </w:tcBorders>
          </w:tcPr>
          <w:p w14:paraId="5ED2C6B8"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684" w:type="pct"/>
            <w:tcBorders>
              <w:top w:val="nil"/>
              <w:left w:val="nil"/>
              <w:bottom w:val="nil"/>
              <w:right w:val="nil"/>
            </w:tcBorders>
          </w:tcPr>
          <w:p w14:paraId="571E6279"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684" w:type="pct"/>
            <w:tcBorders>
              <w:top w:val="nil"/>
              <w:left w:val="nil"/>
              <w:bottom w:val="nil"/>
              <w:right w:val="nil"/>
            </w:tcBorders>
          </w:tcPr>
          <w:p w14:paraId="43B4AFCC"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827" w:type="pct"/>
            <w:tcBorders>
              <w:top w:val="nil"/>
              <w:left w:val="nil"/>
              <w:bottom w:val="nil"/>
              <w:right w:val="nil"/>
            </w:tcBorders>
          </w:tcPr>
          <w:p w14:paraId="05C8F7E9" w14:textId="77777777" w:rsidR="00CD4846" w:rsidRPr="00CD4846" w:rsidRDefault="00CD4846" w:rsidP="00116ED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r>
    </w:tbl>
    <w:p w14:paraId="48515B27" w14:textId="77777777" w:rsidR="003959BE" w:rsidRDefault="003959BE" w:rsidP="004C39A4">
      <w:pPr>
        <w:spacing w:line="240" w:lineRule="auto"/>
        <w:rPr>
          <w:b/>
          <w:bCs/>
        </w:rPr>
      </w:pPr>
    </w:p>
    <w:p w14:paraId="7586CD8F" w14:textId="77777777" w:rsidR="003959BE" w:rsidRDefault="003959BE" w:rsidP="004C39A4">
      <w:pPr>
        <w:spacing w:line="240" w:lineRule="auto"/>
        <w:rPr>
          <w:b/>
          <w:bCs/>
        </w:rPr>
      </w:pPr>
    </w:p>
    <w:p w14:paraId="4F32F648" w14:textId="77777777" w:rsidR="003959BE" w:rsidRDefault="003959BE" w:rsidP="004C39A4">
      <w:pPr>
        <w:spacing w:line="240" w:lineRule="auto"/>
        <w:rPr>
          <w:b/>
          <w:bCs/>
        </w:rPr>
      </w:pPr>
    </w:p>
    <w:p w14:paraId="4CF2CCF0" w14:textId="77777777" w:rsidR="003959BE" w:rsidRDefault="003959BE" w:rsidP="004C39A4">
      <w:pPr>
        <w:spacing w:line="240" w:lineRule="auto"/>
        <w:rPr>
          <w:b/>
          <w:bCs/>
        </w:rPr>
      </w:pPr>
    </w:p>
    <w:p w14:paraId="4D3232A0" w14:textId="711EFD92" w:rsidR="005B48E8" w:rsidRPr="00116ED5" w:rsidRDefault="005B48E8" w:rsidP="004C39A4">
      <w:pPr>
        <w:spacing w:line="240" w:lineRule="auto"/>
        <w:rPr>
          <w:b/>
          <w:bCs/>
        </w:rPr>
      </w:pPr>
      <w:r w:rsidRPr="00116ED5">
        <w:rPr>
          <w:b/>
          <w:bCs/>
        </w:rPr>
        <w:lastRenderedPageBreak/>
        <w:t>Table A9 Continued</w:t>
      </w:r>
    </w:p>
    <w:tbl>
      <w:tblPr>
        <w:tblW w:w="5000" w:type="pct"/>
        <w:tblLook w:val="04A0" w:firstRow="1" w:lastRow="0" w:firstColumn="1" w:lastColumn="0" w:noHBand="0" w:noVBand="1"/>
      </w:tblPr>
      <w:tblGrid>
        <w:gridCol w:w="2693"/>
        <w:gridCol w:w="1281"/>
        <w:gridCol w:w="1280"/>
        <w:gridCol w:w="1280"/>
        <w:gridCol w:w="1280"/>
        <w:gridCol w:w="1546"/>
      </w:tblGrid>
      <w:tr w:rsidR="005B48E8" w:rsidRPr="00FF1F0E" w14:paraId="4390C89C" w14:textId="77777777" w:rsidTr="00116ED5">
        <w:tc>
          <w:tcPr>
            <w:tcW w:w="1438" w:type="pct"/>
            <w:tcBorders>
              <w:top w:val="single" w:sz="4" w:space="0" w:color="auto"/>
              <w:left w:val="nil"/>
              <w:bottom w:val="single" w:sz="4" w:space="0" w:color="auto"/>
              <w:right w:val="nil"/>
            </w:tcBorders>
          </w:tcPr>
          <w:p w14:paraId="54D260CB" w14:textId="593DD733" w:rsidR="005B48E8" w:rsidRPr="00FF1F0E" w:rsidRDefault="005B48E8" w:rsidP="00FF1F0E">
            <w:pPr>
              <w:widowControl w:val="0"/>
              <w:autoSpaceDE w:val="0"/>
              <w:autoSpaceDN w:val="0"/>
              <w:adjustRightInd w:val="0"/>
              <w:spacing w:line="240" w:lineRule="auto"/>
              <w:rPr>
                <w:rFonts w:cs="Times New Roman"/>
                <w:kern w:val="2"/>
                <w:sz w:val="20"/>
                <w:szCs w:val="20"/>
                <w:lang/>
              </w:rPr>
            </w:pPr>
            <w:r w:rsidRPr="00CD4846">
              <w:rPr>
                <w:rFonts w:cs="Times New Roman"/>
                <w:b/>
                <w:bCs/>
                <w:kern w:val="2"/>
                <w:sz w:val="20"/>
                <w:szCs w:val="20"/>
                <w:lang/>
              </w:rPr>
              <w:t>Variable</w:t>
            </w:r>
          </w:p>
        </w:tc>
        <w:tc>
          <w:tcPr>
            <w:tcW w:w="684" w:type="pct"/>
            <w:tcBorders>
              <w:top w:val="single" w:sz="4" w:space="0" w:color="auto"/>
              <w:left w:val="nil"/>
              <w:bottom w:val="single" w:sz="4" w:space="0" w:color="auto"/>
              <w:right w:val="nil"/>
            </w:tcBorders>
          </w:tcPr>
          <w:p w14:paraId="25D82D01" w14:textId="3475A31C" w:rsidR="005B48E8" w:rsidRPr="00FF1F0E" w:rsidRDefault="005B48E8" w:rsidP="00FF1F0E">
            <w:pPr>
              <w:widowControl w:val="0"/>
              <w:autoSpaceDE w:val="0"/>
              <w:autoSpaceDN w:val="0"/>
              <w:adjustRightInd w:val="0"/>
              <w:spacing w:line="240" w:lineRule="auto"/>
              <w:rPr>
                <w:rFonts w:cs="Times New Roman"/>
                <w:kern w:val="2"/>
                <w:sz w:val="20"/>
                <w:szCs w:val="20"/>
                <w:lang/>
              </w:rPr>
            </w:pPr>
            <w:r w:rsidRPr="00CD4846">
              <w:rPr>
                <w:rFonts w:cs="Times New Roman"/>
                <w:b/>
                <w:bCs/>
                <w:kern w:val="2"/>
                <w:sz w:val="20"/>
                <w:szCs w:val="20"/>
                <w:lang/>
              </w:rPr>
              <w:t>NAICS 11</w:t>
            </w:r>
          </w:p>
        </w:tc>
        <w:tc>
          <w:tcPr>
            <w:tcW w:w="684" w:type="pct"/>
            <w:tcBorders>
              <w:top w:val="single" w:sz="4" w:space="0" w:color="auto"/>
              <w:left w:val="nil"/>
              <w:bottom w:val="single" w:sz="4" w:space="0" w:color="auto"/>
              <w:right w:val="nil"/>
            </w:tcBorders>
          </w:tcPr>
          <w:p w14:paraId="7143505C" w14:textId="1FFF2C03" w:rsidR="005B48E8" w:rsidRPr="00FF1F0E" w:rsidRDefault="005B48E8" w:rsidP="00FF1F0E">
            <w:pPr>
              <w:widowControl w:val="0"/>
              <w:autoSpaceDE w:val="0"/>
              <w:autoSpaceDN w:val="0"/>
              <w:adjustRightInd w:val="0"/>
              <w:spacing w:line="240" w:lineRule="auto"/>
              <w:rPr>
                <w:rFonts w:cs="Times New Roman"/>
                <w:kern w:val="2"/>
                <w:sz w:val="20"/>
                <w:szCs w:val="20"/>
                <w:lang/>
              </w:rPr>
            </w:pPr>
            <w:r w:rsidRPr="00CD4846">
              <w:rPr>
                <w:rFonts w:cs="Times New Roman"/>
                <w:b/>
                <w:bCs/>
                <w:kern w:val="2"/>
                <w:sz w:val="20"/>
                <w:szCs w:val="20"/>
                <w:lang/>
              </w:rPr>
              <w:t>NAICS 21</w:t>
            </w:r>
          </w:p>
        </w:tc>
        <w:tc>
          <w:tcPr>
            <w:tcW w:w="684" w:type="pct"/>
            <w:tcBorders>
              <w:top w:val="single" w:sz="4" w:space="0" w:color="auto"/>
              <w:left w:val="nil"/>
              <w:bottom w:val="single" w:sz="4" w:space="0" w:color="auto"/>
              <w:right w:val="nil"/>
            </w:tcBorders>
          </w:tcPr>
          <w:p w14:paraId="3E6EC0D3" w14:textId="1B482378" w:rsidR="005B48E8" w:rsidRPr="00FF1F0E" w:rsidRDefault="005B48E8" w:rsidP="00FF1F0E">
            <w:pPr>
              <w:widowControl w:val="0"/>
              <w:autoSpaceDE w:val="0"/>
              <w:autoSpaceDN w:val="0"/>
              <w:adjustRightInd w:val="0"/>
              <w:spacing w:line="240" w:lineRule="auto"/>
              <w:rPr>
                <w:rFonts w:cs="Times New Roman"/>
                <w:kern w:val="2"/>
                <w:sz w:val="20"/>
                <w:szCs w:val="20"/>
                <w:lang/>
              </w:rPr>
            </w:pPr>
            <w:r w:rsidRPr="00CD4846">
              <w:rPr>
                <w:rFonts w:cs="Times New Roman"/>
                <w:b/>
                <w:bCs/>
                <w:kern w:val="2"/>
                <w:sz w:val="20"/>
                <w:szCs w:val="20"/>
                <w:lang/>
              </w:rPr>
              <w:t>NAICS 22</w:t>
            </w:r>
          </w:p>
        </w:tc>
        <w:tc>
          <w:tcPr>
            <w:tcW w:w="684" w:type="pct"/>
            <w:tcBorders>
              <w:top w:val="single" w:sz="4" w:space="0" w:color="auto"/>
              <w:left w:val="nil"/>
              <w:bottom w:val="single" w:sz="4" w:space="0" w:color="auto"/>
              <w:right w:val="nil"/>
            </w:tcBorders>
          </w:tcPr>
          <w:p w14:paraId="39E82B9B" w14:textId="398564CC" w:rsidR="005B48E8" w:rsidRPr="00FF1F0E" w:rsidRDefault="005B48E8" w:rsidP="00FF1F0E">
            <w:pPr>
              <w:widowControl w:val="0"/>
              <w:autoSpaceDE w:val="0"/>
              <w:autoSpaceDN w:val="0"/>
              <w:adjustRightInd w:val="0"/>
              <w:spacing w:line="240" w:lineRule="auto"/>
              <w:rPr>
                <w:rFonts w:cs="Times New Roman"/>
                <w:kern w:val="2"/>
                <w:sz w:val="20"/>
                <w:szCs w:val="20"/>
                <w:lang/>
              </w:rPr>
            </w:pPr>
            <w:r w:rsidRPr="00CD4846">
              <w:rPr>
                <w:rFonts w:cs="Times New Roman"/>
                <w:b/>
                <w:bCs/>
                <w:kern w:val="2"/>
                <w:sz w:val="20"/>
                <w:szCs w:val="20"/>
                <w:lang/>
              </w:rPr>
              <w:t>NAICS 23</w:t>
            </w:r>
          </w:p>
        </w:tc>
        <w:tc>
          <w:tcPr>
            <w:tcW w:w="826" w:type="pct"/>
            <w:tcBorders>
              <w:top w:val="single" w:sz="4" w:space="0" w:color="auto"/>
              <w:left w:val="nil"/>
              <w:bottom w:val="single" w:sz="4" w:space="0" w:color="auto"/>
              <w:right w:val="nil"/>
            </w:tcBorders>
          </w:tcPr>
          <w:p w14:paraId="1ADDA1B1" w14:textId="4D78B469" w:rsidR="005B48E8" w:rsidRPr="00FF1F0E" w:rsidRDefault="005B48E8" w:rsidP="00FF1F0E">
            <w:pPr>
              <w:widowControl w:val="0"/>
              <w:autoSpaceDE w:val="0"/>
              <w:autoSpaceDN w:val="0"/>
              <w:adjustRightInd w:val="0"/>
              <w:spacing w:line="240" w:lineRule="auto"/>
              <w:rPr>
                <w:rFonts w:cs="Times New Roman"/>
                <w:kern w:val="2"/>
                <w:sz w:val="20"/>
                <w:szCs w:val="20"/>
                <w:lang/>
              </w:rPr>
            </w:pPr>
            <w:r w:rsidRPr="00CD4846">
              <w:rPr>
                <w:rFonts w:cs="Times New Roman"/>
                <w:b/>
                <w:bCs/>
                <w:kern w:val="2"/>
                <w:sz w:val="20"/>
                <w:szCs w:val="20"/>
                <w:lang/>
              </w:rPr>
              <w:t>NAICS 31-33</w:t>
            </w:r>
          </w:p>
        </w:tc>
      </w:tr>
      <w:tr w:rsidR="00116ED5" w:rsidRPr="00FF1F0E" w14:paraId="1C282029" w14:textId="77777777" w:rsidTr="00116ED5">
        <w:tc>
          <w:tcPr>
            <w:tcW w:w="1438" w:type="pct"/>
            <w:tcBorders>
              <w:top w:val="single" w:sz="4" w:space="0" w:color="auto"/>
              <w:left w:val="nil"/>
              <w:right w:val="nil"/>
            </w:tcBorders>
          </w:tcPr>
          <w:p w14:paraId="4BC0E6A6" w14:textId="7AD4C5C5" w:rsidR="00116ED5" w:rsidRPr="00FF1F0E" w:rsidRDefault="00116ED5"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State by Year FE</w:t>
            </w:r>
          </w:p>
        </w:tc>
        <w:tc>
          <w:tcPr>
            <w:tcW w:w="684" w:type="pct"/>
            <w:tcBorders>
              <w:top w:val="single" w:sz="4" w:space="0" w:color="auto"/>
              <w:left w:val="nil"/>
              <w:right w:val="nil"/>
            </w:tcBorders>
          </w:tcPr>
          <w:p w14:paraId="425D3902" w14:textId="4FB4059C" w:rsidR="00116ED5" w:rsidRPr="00FF1F0E" w:rsidRDefault="00116ED5"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684" w:type="pct"/>
            <w:tcBorders>
              <w:top w:val="single" w:sz="4" w:space="0" w:color="auto"/>
              <w:left w:val="nil"/>
              <w:right w:val="nil"/>
            </w:tcBorders>
          </w:tcPr>
          <w:p w14:paraId="0D60DF3E" w14:textId="48481301" w:rsidR="00116ED5" w:rsidRPr="00FF1F0E" w:rsidRDefault="00116ED5"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684" w:type="pct"/>
            <w:tcBorders>
              <w:top w:val="single" w:sz="4" w:space="0" w:color="auto"/>
              <w:left w:val="nil"/>
              <w:right w:val="nil"/>
            </w:tcBorders>
          </w:tcPr>
          <w:p w14:paraId="5860F502" w14:textId="100DE555" w:rsidR="00116ED5" w:rsidRPr="00FF1F0E" w:rsidRDefault="00116ED5"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684" w:type="pct"/>
            <w:tcBorders>
              <w:top w:val="single" w:sz="4" w:space="0" w:color="auto"/>
              <w:left w:val="nil"/>
              <w:right w:val="nil"/>
            </w:tcBorders>
          </w:tcPr>
          <w:p w14:paraId="1AA4435E" w14:textId="0023AACD" w:rsidR="00116ED5" w:rsidRPr="00FF1F0E" w:rsidRDefault="00116ED5"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826" w:type="pct"/>
            <w:tcBorders>
              <w:top w:val="single" w:sz="4" w:space="0" w:color="auto"/>
              <w:left w:val="nil"/>
              <w:right w:val="nil"/>
            </w:tcBorders>
          </w:tcPr>
          <w:p w14:paraId="2AB9275F" w14:textId="735C216F" w:rsidR="00116ED5" w:rsidRPr="00FF1F0E" w:rsidRDefault="00116ED5"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r>
      <w:tr w:rsidR="00116ED5" w:rsidRPr="00FF1F0E" w14:paraId="1BB1D361" w14:textId="77777777" w:rsidTr="00116ED5">
        <w:tc>
          <w:tcPr>
            <w:tcW w:w="1438" w:type="pct"/>
            <w:tcBorders>
              <w:left w:val="nil"/>
              <w:right w:val="nil"/>
            </w:tcBorders>
          </w:tcPr>
          <w:p w14:paraId="73A4C461" w14:textId="77777777" w:rsidR="005B48E8" w:rsidRPr="00CD4846" w:rsidRDefault="005B48E8"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NAICS FE</w:t>
            </w:r>
          </w:p>
        </w:tc>
        <w:tc>
          <w:tcPr>
            <w:tcW w:w="684" w:type="pct"/>
            <w:tcBorders>
              <w:left w:val="nil"/>
              <w:right w:val="nil"/>
            </w:tcBorders>
          </w:tcPr>
          <w:p w14:paraId="130EAAB6" w14:textId="77777777" w:rsidR="005B48E8" w:rsidRPr="00CD4846" w:rsidRDefault="005B48E8"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684" w:type="pct"/>
            <w:tcBorders>
              <w:left w:val="nil"/>
              <w:right w:val="nil"/>
            </w:tcBorders>
          </w:tcPr>
          <w:p w14:paraId="34B7CA21" w14:textId="77777777" w:rsidR="005B48E8" w:rsidRPr="00CD4846" w:rsidRDefault="005B48E8"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684" w:type="pct"/>
            <w:tcBorders>
              <w:left w:val="nil"/>
              <w:right w:val="nil"/>
            </w:tcBorders>
          </w:tcPr>
          <w:p w14:paraId="09D22ECE" w14:textId="77777777" w:rsidR="005B48E8" w:rsidRPr="00CD4846" w:rsidRDefault="005B48E8"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684" w:type="pct"/>
            <w:tcBorders>
              <w:left w:val="nil"/>
              <w:right w:val="nil"/>
            </w:tcBorders>
          </w:tcPr>
          <w:p w14:paraId="5F5A4E01" w14:textId="77777777" w:rsidR="005B48E8" w:rsidRPr="00CD4846" w:rsidRDefault="005B48E8"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826" w:type="pct"/>
            <w:tcBorders>
              <w:left w:val="nil"/>
              <w:right w:val="nil"/>
            </w:tcBorders>
          </w:tcPr>
          <w:p w14:paraId="266F6CE8" w14:textId="77777777" w:rsidR="005B48E8" w:rsidRPr="00CD4846" w:rsidRDefault="005B48E8"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r>
      <w:tr w:rsidR="00116ED5" w:rsidRPr="00FF1F0E" w14:paraId="2B6C7847" w14:textId="77777777" w:rsidTr="00116ED5">
        <w:tc>
          <w:tcPr>
            <w:tcW w:w="1438" w:type="pct"/>
            <w:tcBorders>
              <w:top w:val="nil"/>
              <w:left w:val="nil"/>
              <w:bottom w:val="single" w:sz="4" w:space="0" w:color="auto"/>
              <w:right w:val="nil"/>
            </w:tcBorders>
          </w:tcPr>
          <w:p w14:paraId="1006F493" w14:textId="77777777" w:rsidR="005B48E8" w:rsidRPr="00CD4846" w:rsidRDefault="005B48E8" w:rsidP="00FF1F0E">
            <w:pPr>
              <w:widowControl w:val="0"/>
              <w:autoSpaceDE w:val="0"/>
              <w:autoSpaceDN w:val="0"/>
              <w:adjustRightInd w:val="0"/>
              <w:spacing w:line="240" w:lineRule="auto"/>
              <w:rPr>
                <w:rFonts w:eastAsia="Times New Roman" w:cs="Times New Roman"/>
                <w:b/>
                <w:bCs/>
                <w:color w:val="5F6368"/>
                <w:kern w:val="2"/>
                <w:sz w:val="20"/>
                <w:szCs w:val="20"/>
                <w:shd w:val="clear" w:color="auto" w:fill="FFFFFF"/>
                <w:lang/>
              </w:rPr>
            </w:pPr>
            <w:r w:rsidRPr="00CD4846">
              <w:rPr>
                <w:rFonts w:eastAsia="Times New Roman" w:cs="Times New Roman"/>
                <w:kern w:val="2"/>
                <w:sz w:val="20"/>
                <w:szCs w:val="20"/>
                <w:lang/>
              </w:rPr>
              <w:t>PA-PA</w:t>
            </w:r>
            <w:r w:rsidRPr="00CD4846">
              <w:rPr>
                <w:rFonts w:eastAsia="Times New Roman" w:cs="Times New Roman"/>
                <w:b/>
                <w:bCs/>
                <w:i/>
                <w:color w:val="5F6368"/>
                <w:kern w:val="2"/>
                <w:sz w:val="20"/>
                <w:szCs w:val="20"/>
                <w:shd w:val="clear" w:color="auto" w:fill="FFFFFF"/>
                <w:lang/>
              </w:rPr>
              <w:t>²</w:t>
            </w:r>
            <w:r w:rsidRPr="00CD4846">
              <w:rPr>
                <w:rFonts w:cs="Times New Roman"/>
                <w:b/>
                <w:bCs/>
                <w:i/>
                <w:color w:val="5F6368"/>
                <w:kern w:val="2"/>
                <w:sz w:val="20"/>
                <w:szCs w:val="20"/>
                <w:shd w:val="clear" w:color="auto" w:fill="FFFFFF"/>
                <w:lang/>
              </w:rPr>
              <w:t xml:space="preserve"> </w:t>
            </w:r>
            <w:r w:rsidRPr="00CD4846">
              <w:rPr>
                <w:rFonts w:eastAsia="Times New Roman" w:cs="Times New Roman"/>
                <w:kern w:val="2"/>
                <w:sz w:val="20"/>
                <w:szCs w:val="20"/>
                <w:lang/>
              </w:rPr>
              <w:t xml:space="preserve">Joint Test </w:t>
            </w:r>
            <w:r w:rsidRPr="00CD4846">
              <w:rPr>
                <w:rFonts w:cs="Times New Roman"/>
                <w:kern w:val="2"/>
                <w:sz w:val="20"/>
                <w:szCs w:val="20"/>
                <w:lang/>
              </w:rPr>
              <w:t>p-value</w:t>
            </w:r>
          </w:p>
        </w:tc>
        <w:tc>
          <w:tcPr>
            <w:tcW w:w="684" w:type="pct"/>
            <w:tcBorders>
              <w:top w:val="nil"/>
              <w:left w:val="nil"/>
              <w:bottom w:val="single" w:sz="4" w:space="0" w:color="auto"/>
              <w:right w:val="nil"/>
            </w:tcBorders>
          </w:tcPr>
          <w:p w14:paraId="75E1780D" w14:textId="77777777" w:rsidR="005B48E8" w:rsidRPr="00CD4846" w:rsidRDefault="005B48E8"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0.2679</w:t>
            </w:r>
          </w:p>
        </w:tc>
        <w:tc>
          <w:tcPr>
            <w:tcW w:w="684" w:type="pct"/>
            <w:tcBorders>
              <w:top w:val="nil"/>
              <w:left w:val="nil"/>
              <w:bottom w:val="single" w:sz="4" w:space="0" w:color="auto"/>
              <w:right w:val="nil"/>
            </w:tcBorders>
          </w:tcPr>
          <w:p w14:paraId="65C783F4" w14:textId="77777777" w:rsidR="005B48E8" w:rsidRPr="00CD4846" w:rsidRDefault="005B48E8"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0.6095</w:t>
            </w:r>
          </w:p>
        </w:tc>
        <w:tc>
          <w:tcPr>
            <w:tcW w:w="684" w:type="pct"/>
            <w:tcBorders>
              <w:top w:val="nil"/>
              <w:left w:val="nil"/>
              <w:bottom w:val="single" w:sz="4" w:space="0" w:color="auto"/>
              <w:right w:val="nil"/>
            </w:tcBorders>
          </w:tcPr>
          <w:p w14:paraId="321E23F3" w14:textId="77777777" w:rsidR="005B48E8" w:rsidRPr="00CD4846" w:rsidRDefault="005B48E8" w:rsidP="00FF1F0E">
            <w:pPr>
              <w:widowControl w:val="0"/>
              <w:autoSpaceDE w:val="0"/>
              <w:autoSpaceDN w:val="0"/>
              <w:adjustRightInd w:val="0"/>
              <w:spacing w:line="240" w:lineRule="auto"/>
              <w:rPr>
                <w:rFonts w:cs="Times New Roman"/>
                <w:bCs/>
                <w:kern w:val="2"/>
                <w:sz w:val="20"/>
                <w:szCs w:val="20"/>
                <w:lang/>
              </w:rPr>
            </w:pPr>
            <w:r w:rsidRPr="00CD4846">
              <w:rPr>
                <w:rFonts w:cs="Times New Roman"/>
                <w:bCs/>
                <w:kern w:val="2"/>
                <w:sz w:val="20"/>
                <w:szCs w:val="20"/>
                <w:lang/>
              </w:rPr>
              <w:t>0.0068</w:t>
            </w:r>
          </w:p>
        </w:tc>
        <w:tc>
          <w:tcPr>
            <w:tcW w:w="684" w:type="pct"/>
            <w:tcBorders>
              <w:top w:val="nil"/>
              <w:left w:val="nil"/>
              <w:bottom w:val="single" w:sz="4" w:space="0" w:color="auto"/>
              <w:right w:val="nil"/>
            </w:tcBorders>
          </w:tcPr>
          <w:p w14:paraId="4955E1DE" w14:textId="77777777" w:rsidR="005B48E8" w:rsidRPr="00CD4846" w:rsidRDefault="005B48E8" w:rsidP="00FF1F0E">
            <w:pPr>
              <w:widowControl w:val="0"/>
              <w:autoSpaceDE w:val="0"/>
              <w:autoSpaceDN w:val="0"/>
              <w:adjustRightInd w:val="0"/>
              <w:spacing w:line="240" w:lineRule="auto"/>
              <w:rPr>
                <w:rFonts w:cs="Times New Roman"/>
                <w:bCs/>
                <w:kern w:val="2"/>
                <w:sz w:val="20"/>
                <w:szCs w:val="20"/>
                <w:lang/>
              </w:rPr>
            </w:pPr>
            <w:r w:rsidRPr="00CD4846">
              <w:rPr>
                <w:rFonts w:cs="Times New Roman"/>
                <w:bCs/>
                <w:kern w:val="2"/>
                <w:sz w:val="20"/>
                <w:szCs w:val="20"/>
                <w:lang/>
              </w:rPr>
              <w:t>0.4438</w:t>
            </w:r>
          </w:p>
        </w:tc>
        <w:tc>
          <w:tcPr>
            <w:tcW w:w="826" w:type="pct"/>
            <w:tcBorders>
              <w:top w:val="nil"/>
              <w:left w:val="nil"/>
              <w:bottom w:val="single" w:sz="4" w:space="0" w:color="auto"/>
              <w:right w:val="nil"/>
            </w:tcBorders>
          </w:tcPr>
          <w:p w14:paraId="7EC6CB26" w14:textId="77777777" w:rsidR="005B48E8" w:rsidRPr="00CD4846" w:rsidRDefault="005B48E8" w:rsidP="00FF1F0E">
            <w:pPr>
              <w:widowControl w:val="0"/>
              <w:autoSpaceDE w:val="0"/>
              <w:autoSpaceDN w:val="0"/>
              <w:adjustRightInd w:val="0"/>
              <w:spacing w:line="240" w:lineRule="auto"/>
              <w:rPr>
                <w:rFonts w:cs="Times New Roman"/>
                <w:bCs/>
                <w:kern w:val="2"/>
                <w:sz w:val="20"/>
                <w:szCs w:val="20"/>
                <w:lang/>
              </w:rPr>
            </w:pPr>
            <w:r w:rsidRPr="00CD4846">
              <w:rPr>
                <w:rFonts w:cs="Times New Roman"/>
                <w:bCs/>
                <w:kern w:val="2"/>
                <w:sz w:val="20"/>
                <w:szCs w:val="20"/>
                <w:lang/>
              </w:rPr>
              <w:t>0.0856</w:t>
            </w:r>
          </w:p>
        </w:tc>
      </w:tr>
    </w:tbl>
    <w:p w14:paraId="7B4EFEDA" w14:textId="494769FC" w:rsidR="00CD4846" w:rsidRPr="00FF1F0E" w:rsidRDefault="00CD4846" w:rsidP="00FF1F0E">
      <w:pPr>
        <w:spacing w:line="240" w:lineRule="auto"/>
        <w:rPr>
          <w:rFonts w:eastAsia="DengXian" w:cs="Times New Roman"/>
          <w:i/>
          <w:iCs/>
          <w:sz w:val="20"/>
          <w:szCs w:val="20"/>
          <w:lang/>
        </w:rPr>
      </w:pPr>
      <w:r w:rsidRPr="00FF1F0E">
        <w:rPr>
          <w:rFonts w:cs="Times New Roman"/>
          <w:sz w:val="20"/>
          <w:szCs w:val="20"/>
          <w:lang/>
        </w:rPr>
        <w:t xml:space="preserve">Table </w:t>
      </w:r>
      <w:r w:rsidR="002A78A3">
        <w:rPr>
          <w:rFonts w:cs="Times New Roman"/>
          <w:sz w:val="20"/>
          <w:szCs w:val="20"/>
          <w:lang/>
        </w:rPr>
        <w:t xml:space="preserve">A9: </w:t>
      </w:r>
      <w:r w:rsidRPr="00FF1F0E">
        <w:rPr>
          <w:rFonts w:cs="Times New Roman"/>
          <w:sz w:val="20"/>
          <w:szCs w:val="20"/>
          <w:lang/>
        </w:rPr>
        <w:t>PPMLHDFE r</w:t>
      </w:r>
      <w:r w:rsidRPr="00FF1F0E">
        <w:rPr>
          <w:rFonts w:cs="Times New Roman"/>
          <w:sz w:val="20"/>
          <w:szCs w:val="20"/>
          <w:lang/>
        </w:rPr>
        <w:t xml:space="preserve">egression results </w:t>
      </w:r>
      <w:r w:rsidRPr="00FF1F0E">
        <w:rPr>
          <w:rFonts w:cs="Times New Roman"/>
          <w:sz w:val="20"/>
          <w:szCs w:val="20"/>
          <w:lang/>
        </w:rPr>
        <w:t xml:space="preserve">on establishment inward relocations under broad PADs (GAP 1-4) are presented above. Column names correspond to a specific NAICS sector. </w:t>
      </w:r>
      <w:r w:rsidR="002A78A3" w:rsidRPr="00C624DB">
        <w:rPr>
          <w:sz w:val="20"/>
          <w:szCs w:val="20"/>
          <w:lang/>
        </w:rPr>
        <w:t xml:space="preserve">Standard errors are </w:t>
      </w:r>
      <w:r w:rsidR="002A78A3">
        <w:rPr>
          <w:sz w:val="20"/>
          <w:szCs w:val="20"/>
          <w:lang/>
        </w:rPr>
        <w:t xml:space="preserve">in parentheses and are </w:t>
      </w:r>
      <w:r w:rsidR="002A78A3" w:rsidRPr="00C624DB">
        <w:rPr>
          <w:sz w:val="20"/>
          <w:szCs w:val="20"/>
          <w:lang/>
        </w:rPr>
        <w:t xml:space="preserve">clustered at the county level. </w:t>
      </w:r>
      <w:r w:rsidR="002A78A3" w:rsidRPr="002C0F11">
        <w:rPr>
          <w:sz w:val="20"/>
          <w:szCs w:val="20"/>
          <w:lang/>
        </w:rPr>
        <w:t>Statistically significant impacts are denoted by asterisks. These asterisks denote statistical significance at the following levels: ***p &lt; 0.01, **p &lt; 0.05, *p &lt; 0.1.</w:t>
      </w:r>
      <w:r w:rsidR="002A78A3">
        <w:rPr>
          <w:sz w:val="20"/>
          <w:szCs w:val="20"/>
          <w:lang/>
        </w:rPr>
        <w:t xml:space="preserve"> </w:t>
      </w:r>
      <w:r w:rsidRPr="00FF1F0E">
        <w:rPr>
          <w:rFonts w:cs="Times New Roman"/>
          <w:sz w:val="20"/>
          <w:szCs w:val="20"/>
          <w:lang/>
        </w:rPr>
        <w:t xml:space="preserve">p-values of joint-tests on linear and quadratic PAD terms are shown in the last row. </w:t>
      </w:r>
    </w:p>
    <w:p w14:paraId="2093E0D7" w14:textId="77777777" w:rsidR="00CD4846" w:rsidRPr="00CD4846" w:rsidRDefault="00CD4846" w:rsidP="00FF1F0E">
      <w:pPr>
        <w:spacing w:line="240" w:lineRule="auto"/>
        <w:rPr>
          <w:rFonts w:cs="Times New Roman"/>
          <w:i/>
          <w:iCs/>
          <w:color w:val="44546A"/>
          <w:kern w:val="2"/>
          <w:sz w:val="20"/>
          <w:szCs w:val="20"/>
          <w:lang/>
        </w:rPr>
      </w:pPr>
      <w:r w:rsidRPr="00CD4846">
        <w:rPr>
          <w:rFonts w:cs="Times New Roman"/>
          <w:i/>
          <w:iCs/>
          <w:color w:val="44546A"/>
          <w:kern w:val="2"/>
          <w:sz w:val="20"/>
          <w:szCs w:val="20"/>
          <w:lang/>
        </w:rPr>
        <w:br w:type="page"/>
      </w:r>
    </w:p>
    <w:p w14:paraId="64256475" w14:textId="77777777" w:rsidR="00CD4846" w:rsidRPr="00CD4846" w:rsidRDefault="00CD4846" w:rsidP="00095E25">
      <w:pPr>
        <w:pStyle w:val="Title"/>
        <w:rPr>
          <w:sz w:val="32"/>
          <w:szCs w:val="32"/>
        </w:rPr>
      </w:pPr>
      <w:bookmarkStart w:id="232" w:name="_Toc186799414"/>
      <w:bookmarkStart w:id="233" w:name="_Toc188359616"/>
      <w:bookmarkStart w:id="234" w:name="_Toc188359904"/>
      <w:bookmarkStart w:id="235" w:name="_Toc188361140"/>
      <w:bookmarkStart w:id="236" w:name="_Toc188366983"/>
      <w:r w:rsidRPr="00CD4846">
        <w:lastRenderedPageBreak/>
        <w:t>Table A10: Regression Results of Broad PADs on Exits by Sector</w:t>
      </w:r>
      <w:bookmarkEnd w:id="232"/>
      <w:bookmarkEnd w:id="233"/>
      <w:bookmarkEnd w:id="234"/>
      <w:bookmarkEnd w:id="235"/>
      <w:bookmarkEnd w:id="236"/>
    </w:p>
    <w:tbl>
      <w:tblPr>
        <w:tblW w:w="5000" w:type="pct"/>
        <w:tblLook w:val="04A0" w:firstRow="1" w:lastRow="0" w:firstColumn="1" w:lastColumn="0" w:noHBand="0" w:noVBand="1"/>
      </w:tblPr>
      <w:tblGrid>
        <w:gridCol w:w="2670"/>
        <w:gridCol w:w="1285"/>
        <w:gridCol w:w="1285"/>
        <w:gridCol w:w="1284"/>
        <w:gridCol w:w="1284"/>
        <w:gridCol w:w="1552"/>
      </w:tblGrid>
      <w:tr w:rsidR="00CD4846" w:rsidRPr="00CD4846" w14:paraId="016D07FE" w14:textId="77777777" w:rsidTr="005B48E8">
        <w:tc>
          <w:tcPr>
            <w:tcW w:w="1426" w:type="pct"/>
            <w:tcBorders>
              <w:top w:val="single" w:sz="4" w:space="0" w:color="auto"/>
              <w:left w:val="nil"/>
              <w:bottom w:val="single" w:sz="4" w:space="0" w:color="auto"/>
              <w:right w:val="nil"/>
            </w:tcBorders>
          </w:tcPr>
          <w:p w14:paraId="098BB9DE" w14:textId="77777777" w:rsidR="00CD4846" w:rsidRPr="00CD4846" w:rsidRDefault="00CD4846" w:rsidP="00FF1F0E">
            <w:pPr>
              <w:widowControl w:val="0"/>
              <w:autoSpaceDE w:val="0"/>
              <w:autoSpaceDN w:val="0"/>
              <w:adjustRightInd w:val="0"/>
              <w:spacing w:line="240" w:lineRule="auto"/>
              <w:rPr>
                <w:rFonts w:cs="Times New Roman"/>
                <w:b/>
                <w:bCs/>
                <w:kern w:val="2"/>
                <w:sz w:val="20"/>
                <w:szCs w:val="20"/>
                <w:lang/>
              </w:rPr>
            </w:pPr>
            <w:r w:rsidRPr="00CD4846">
              <w:rPr>
                <w:rFonts w:cs="Times New Roman"/>
                <w:b/>
                <w:bCs/>
                <w:kern w:val="2"/>
                <w:sz w:val="20"/>
                <w:szCs w:val="20"/>
                <w:lang/>
              </w:rPr>
              <w:t>Variable</w:t>
            </w:r>
          </w:p>
        </w:tc>
        <w:tc>
          <w:tcPr>
            <w:tcW w:w="686" w:type="pct"/>
            <w:tcBorders>
              <w:top w:val="single" w:sz="4" w:space="0" w:color="auto"/>
              <w:left w:val="nil"/>
              <w:bottom w:val="single" w:sz="4" w:space="0" w:color="auto"/>
              <w:right w:val="nil"/>
            </w:tcBorders>
          </w:tcPr>
          <w:p w14:paraId="50663990" w14:textId="0350DAEF" w:rsidR="00CD4846" w:rsidRPr="00CD4846" w:rsidRDefault="00CD4846" w:rsidP="00FF1F0E">
            <w:pPr>
              <w:widowControl w:val="0"/>
              <w:autoSpaceDE w:val="0"/>
              <w:autoSpaceDN w:val="0"/>
              <w:adjustRightInd w:val="0"/>
              <w:spacing w:line="240" w:lineRule="auto"/>
              <w:rPr>
                <w:rFonts w:cs="Times New Roman"/>
                <w:b/>
                <w:bCs/>
                <w:kern w:val="2"/>
                <w:sz w:val="20"/>
                <w:szCs w:val="20"/>
                <w:lang/>
              </w:rPr>
            </w:pPr>
            <w:r w:rsidRPr="00CD4846">
              <w:rPr>
                <w:rFonts w:cs="Times New Roman"/>
                <w:b/>
                <w:bCs/>
                <w:kern w:val="2"/>
                <w:sz w:val="20"/>
                <w:szCs w:val="20"/>
                <w:lang/>
              </w:rPr>
              <w:t>NAICS 11</w:t>
            </w:r>
          </w:p>
        </w:tc>
        <w:tc>
          <w:tcPr>
            <w:tcW w:w="686" w:type="pct"/>
            <w:tcBorders>
              <w:top w:val="single" w:sz="4" w:space="0" w:color="auto"/>
              <w:left w:val="nil"/>
              <w:bottom w:val="single" w:sz="4" w:space="0" w:color="auto"/>
              <w:right w:val="nil"/>
            </w:tcBorders>
          </w:tcPr>
          <w:p w14:paraId="7CBB20D3" w14:textId="4FEBA3DE" w:rsidR="00CD4846" w:rsidRPr="00CD4846" w:rsidRDefault="00CD4846" w:rsidP="00FF1F0E">
            <w:pPr>
              <w:widowControl w:val="0"/>
              <w:autoSpaceDE w:val="0"/>
              <w:autoSpaceDN w:val="0"/>
              <w:adjustRightInd w:val="0"/>
              <w:spacing w:line="240" w:lineRule="auto"/>
              <w:rPr>
                <w:rFonts w:cs="Times New Roman"/>
                <w:b/>
                <w:bCs/>
                <w:kern w:val="2"/>
                <w:sz w:val="20"/>
                <w:szCs w:val="20"/>
                <w:lang/>
              </w:rPr>
            </w:pPr>
            <w:r w:rsidRPr="00CD4846">
              <w:rPr>
                <w:rFonts w:cs="Times New Roman"/>
                <w:b/>
                <w:bCs/>
                <w:kern w:val="2"/>
                <w:sz w:val="20"/>
                <w:szCs w:val="20"/>
                <w:lang/>
              </w:rPr>
              <w:t>NAICS 21</w:t>
            </w:r>
          </w:p>
        </w:tc>
        <w:tc>
          <w:tcPr>
            <w:tcW w:w="686" w:type="pct"/>
            <w:tcBorders>
              <w:top w:val="single" w:sz="4" w:space="0" w:color="auto"/>
              <w:left w:val="nil"/>
              <w:bottom w:val="single" w:sz="4" w:space="0" w:color="auto"/>
              <w:right w:val="nil"/>
            </w:tcBorders>
          </w:tcPr>
          <w:p w14:paraId="31E744DA" w14:textId="1DFA5977" w:rsidR="00CD4846" w:rsidRPr="00CD4846" w:rsidRDefault="00CD4846" w:rsidP="00FF1F0E">
            <w:pPr>
              <w:widowControl w:val="0"/>
              <w:autoSpaceDE w:val="0"/>
              <w:autoSpaceDN w:val="0"/>
              <w:adjustRightInd w:val="0"/>
              <w:spacing w:line="240" w:lineRule="auto"/>
              <w:rPr>
                <w:rFonts w:cs="Times New Roman"/>
                <w:b/>
                <w:bCs/>
                <w:kern w:val="2"/>
                <w:sz w:val="20"/>
                <w:szCs w:val="20"/>
                <w:lang/>
              </w:rPr>
            </w:pPr>
            <w:r w:rsidRPr="00CD4846">
              <w:rPr>
                <w:rFonts w:cs="Times New Roman"/>
                <w:b/>
                <w:bCs/>
                <w:kern w:val="2"/>
                <w:sz w:val="20"/>
                <w:szCs w:val="20"/>
                <w:lang/>
              </w:rPr>
              <w:t>NAICS 22</w:t>
            </w:r>
          </w:p>
        </w:tc>
        <w:tc>
          <w:tcPr>
            <w:tcW w:w="686" w:type="pct"/>
            <w:tcBorders>
              <w:top w:val="single" w:sz="4" w:space="0" w:color="auto"/>
              <w:left w:val="nil"/>
              <w:bottom w:val="single" w:sz="4" w:space="0" w:color="auto"/>
              <w:right w:val="nil"/>
            </w:tcBorders>
          </w:tcPr>
          <w:p w14:paraId="10491EF6" w14:textId="2846DE3C" w:rsidR="00CD4846" w:rsidRPr="00CD4846" w:rsidRDefault="00CD4846" w:rsidP="00FF1F0E">
            <w:pPr>
              <w:widowControl w:val="0"/>
              <w:autoSpaceDE w:val="0"/>
              <w:autoSpaceDN w:val="0"/>
              <w:adjustRightInd w:val="0"/>
              <w:spacing w:line="240" w:lineRule="auto"/>
              <w:rPr>
                <w:rFonts w:cs="Times New Roman"/>
                <w:b/>
                <w:bCs/>
                <w:kern w:val="2"/>
                <w:sz w:val="20"/>
                <w:szCs w:val="20"/>
                <w:lang/>
              </w:rPr>
            </w:pPr>
            <w:r w:rsidRPr="00CD4846">
              <w:rPr>
                <w:rFonts w:cs="Times New Roman"/>
                <w:b/>
                <w:bCs/>
                <w:kern w:val="2"/>
                <w:sz w:val="20"/>
                <w:szCs w:val="20"/>
                <w:lang/>
              </w:rPr>
              <w:t>NAICS 23</w:t>
            </w:r>
          </w:p>
        </w:tc>
        <w:tc>
          <w:tcPr>
            <w:tcW w:w="829" w:type="pct"/>
            <w:tcBorders>
              <w:top w:val="single" w:sz="4" w:space="0" w:color="auto"/>
              <w:left w:val="nil"/>
              <w:bottom w:val="single" w:sz="4" w:space="0" w:color="auto"/>
              <w:right w:val="nil"/>
            </w:tcBorders>
          </w:tcPr>
          <w:p w14:paraId="60358CF2" w14:textId="41C85985" w:rsidR="00CD4846" w:rsidRPr="00CD4846" w:rsidRDefault="00CD4846" w:rsidP="00FF1F0E">
            <w:pPr>
              <w:widowControl w:val="0"/>
              <w:autoSpaceDE w:val="0"/>
              <w:autoSpaceDN w:val="0"/>
              <w:adjustRightInd w:val="0"/>
              <w:spacing w:line="240" w:lineRule="auto"/>
              <w:rPr>
                <w:rFonts w:cs="Times New Roman"/>
                <w:b/>
                <w:bCs/>
                <w:kern w:val="2"/>
                <w:sz w:val="20"/>
                <w:szCs w:val="20"/>
                <w:lang/>
              </w:rPr>
            </w:pPr>
            <w:r w:rsidRPr="00CD4846">
              <w:rPr>
                <w:rFonts w:cs="Times New Roman"/>
                <w:b/>
                <w:bCs/>
                <w:kern w:val="2"/>
                <w:sz w:val="20"/>
                <w:szCs w:val="20"/>
                <w:lang/>
              </w:rPr>
              <w:t>NAICS 31-33</w:t>
            </w:r>
          </w:p>
        </w:tc>
      </w:tr>
      <w:tr w:rsidR="00CD4846" w:rsidRPr="00CD4846" w14:paraId="0E364816" w14:textId="77777777" w:rsidTr="005B48E8">
        <w:tc>
          <w:tcPr>
            <w:tcW w:w="1426" w:type="pct"/>
            <w:tcBorders>
              <w:top w:val="single" w:sz="4" w:space="0" w:color="auto"/>
              <w:left w:val="nil"/>
              <w:bottom w:val="nil"/>
              <w:right w:val="nil"/>
            </w:tcBorders>
          </w:tcPr>
          <w:p w14:paraId="4ED85A36" w14:textId="3E1F2639"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Broad PADs (t-1)</w:t>
            </w:r>
          </w:p>
        </w:tc>
        <w:tc>
          <w:tcPr>
            <w:tcW w:w="686" w:type="pct"/>
            <w:tcBorders>
              <w:top w:val="single" w:sz="4" w:space="0" w:color="auto"/>
              <w:left w:val="nil"/>
              <w:bottom w:val="nil"/>
              <w:right w:val="nil"/>
            </w:tcBorders>
          </w:tcPr>
          <w:p w14:paraId="5D09B9A2"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5.683</w:t>
            </w:r>
          </w:p>
        </w:tc>
        <w:tc>
          <w:tcPr>
            <w:tcW w:w="686" w:type="pct"/>
            <w:tcBorders>
              <w:top w:val="single" w:sz="4" w:space="0" w:color="auto"/>
              <w:left w:val="nil"/>
              <w:bottom w:val="nil"/>
              <w:right w:val="nil"/>
            </w:tcBorders>
          </w:tcPr>
          <w:p w14:paraId="5923765C"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10.270</w:t>
            </w:r>
          </w:p>
        </w:tc>
        <w:tc>
          <w:tcPr>
            <w:tcW w:w="686" w:type="pct"/>
            <w:tcBorders>
              <w:top w:val="single" w:sz="4" w:space="0" w:color="auto"/>
              <w:left w:val="nil"/>
              <w:bottom w:val="nil"/>
              <w:right w:val="nil"/>
            </w:tcBorders>
          </w:tcPr>
          <w:p w14:paraId="40808096"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-66.631</w:t>
            </w:r>
          </w:p>
        </w:tc>
        <w:tc>
          <w:tcPr>
            <w:tcW w:w="686" w:type="pct"/>
            <w:tcBorders>
              <w:top w:val="single" w:sz="4" w:space="0" w:color="auto"/>
              <w:left w:val="nil"/>
              <w:bottom w:val="nil"/>
              <w:right w:val="nil"/>
            </w:tcBorders>
          </w:tcPr>
          <w:p w14:paraId="1CD1DA2E"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-0.343</w:t>
            </w:r>
          </w:p>
        </w:tc>
        <w:tc>
          <w:tcPr>
            <w:tcW w:w="829" w:type="pct"/>
            <w:tcBorders>
              <w:top w:val="single" w:sz="4" w:space="0" w:color="auto"/>
              <w:left w:val="nil"/>
              <w:bottom w:val="nil"/>
              <w:right w:val="nil"/>
            </w:tcBorders>
          </w:tcPr>
          <w:p w14:paraId="39ABC877"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6.515</w:t>
            </w:r>
          </w:p>
        </w:tc>
      </w:tr>
      <w:tr w:rsidR="00CD4846" w:rsidRPr="00CD4846" w14:paraId="1004C744" w14:textId="77777777" w:rsidTr="005B48E8">
        <w:tc>
          <w:tcPr>
            <w:tcW w:w="1426" w:type="pct"/>
            <w:tcBorders>
              <w:top w:val="nil"/>
              <w:left w:val="nil"/>
              <w:bottom w:val="nil"/>
              <w:right w:val="nil"/>
            </w:tcBorders>
          </w:tcPr>
          <w:p w14:paraId="53783913" w14:textId="4C0A298E" w:rsidR="00CD4846" w:rsidRPr="00CD4846" w:rsidRDefault="00CD4846" w:rsidP="00FF1F0E">
            <w:pPr>
              <w:widowControl w:val="0"/>
              <w:autoSpaceDE w:val="0"/>
              <w:autoSpaceDN w:val="0"/>
              <w:adjustRightInd w:val="0"/>
              <w:spacing w:line="240" w:lineRule="auto"/>
              <w:rPr>
                <w:rFonts w:cs="Times New Roman"/>
                <w:kern w:val="2"/>
                <w:sz w:val="20"/>
                <w:szCs w:val="20"/>
                <w:lang/>
              </w:rPr>
            </w:pPr>
          </w:p>
        </w:tc>
        <w:tc>
          <w:tcPr>
            <w:tcW w:w="686" w:type="pct"/>
            <w:tcBorders>
              <w:top w:val="nil"/>
              <w:left w:val="nil"/>
              <w:bottom w:val="nil"/>
              <w:right w:val="nil"/>
            </w:tcBorders>
          </w:tcPr>
          <w:p w14:paraId="463279E0"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(13.678)</w:t>
            </w:r>
          </w:p>
        </w:tc>
        <w:tc>
          <w:tcPr>
            <w:tcW w:w="686" w:type="pct"/>
            <w:tcBorders>
              <w:top w:val="nil"/>
              <w:left w:val="nil"/>
              <w:bottom w:val="nil"/>
              <w:right w:val="nil"/>
            </w:tcBorders>
          </w:tcPr>
          <w:p w14:paraId="197A5667"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(33.273)</w:t>
            </w:r>
          </w:p>
        </w:tc>
        <w:tc>
          <w:tcPr>
            <w:tcW w:w="686" w:type="pct"/>
            <w:tcBorders>
              <w:top w:val="nil"/>
              <w:left w:val="nil"/>
              <w:bottom w:val="nil"/>
              <w:right w:val="nil"/>
            </w:tcBorders>
          </w:tcPr>
          <w:p w14:paraId="05516099"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(41.837)</w:t>
            </w:r>
          </w:p>
        </w:tc>
        <w:tc>
          <w:tcPr>
            <w:tcW w:w="686" w:type="pct"/>
            <w:tcBorders>
              <w:top w:val="nil"/>
              <w:left w:val="nil"/>
              <w:bottom w:val="nil"/>
              <w:right w:val="nil"/>
            </w:tcBorders>
          </w:tcPr>
          <w:p w14:paraId="1DF38362"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(3.345)</w:t>
            </w:r>
          </w:p>
        </w:tc>
        <w:tc>
          <w:tcPr>
            <w:tcW w:w="829" w:type="pct"/>
            <w:tcBorders>
              <w:top w:val="nil"/>
              <w:left w:val="nil"/>
              <w:bottom w:val="nil"/>
              <w:right w:val="nil"/>
            </w:tcBorders>
          </w:tcPr>
          <w:p w14:paraId="22040A1D"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(4.917)</w:t>
            </w:r>
          </w:p>
        </w:tc>
      </w:tr>
      <w:tr w:rsidR="00CD4846" w:rsidRPr="00CD4846" w14:paraId="6B745403" w14:textId="77777777" w:rsidTr="005B48E8">
        <w:tc>
          <w:tcPr>
            <w:tcW w:w="1426" w:type="pct"/>
            <w:tcBorders>
              <w:top w:val="nil"/>
              <w:left w:val="nil"/>
              <w:bottom w:val="nil"/>
              <w:right w:val="nil"/>
            </w:tcBorders>
          </w:tcPr>
          <w:p w14:paraId="225D2F2E" w14:textId="3CE9060D"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Broad PADs Sq. (t-1)</w:t>
            </w:r>
          </w:p>
        </w:tc>
        <w:tc>
          <w:tcPr>
            <w:tcW w:w="686" w:type="pct"/>
            <w:tcBorders>
              <w:top w:val="nil"/>
              <w:left w:val="nil"/>
              <w:bottom w:val="nil"/>
              <w:right w:val="nil"/>
            </w:tcBorders>
          </w:tcPr>
          <w:p w14:paraId="6BE7C961"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2.461</w:t>
            </w:r>
          </w:p>
        </w:tc>
        <w:tc>
          <w:tcPr>
            <w:tcW w:w="686" w:type="pct"/>
            <w:tcBorders>
              <w:top w:val="nil"/>
              <w:left w:val="nil"/>
              <w:bottom w:val="nil"/>
              <w:right w:val="nil"/>
            </w:tcBorders>
          </w:tcPr>
          <w:p w14:paraId="36258DFE"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-1.319</w:t>
            </w:r>
          </w:p>
        </w:tc>
        <w:tc>
          <w:tcPr>
            <w:tcW w:w="686" w:type="pct"/>
            <w:tcBorders>
              <w:top w:val="nil"/>
              <w:left w:val="nil"/>
              <w:bottom w:val="nil"/>
              <w:right w:val="nil"/>
            </w:tcBorders>
          </w:tcPr>
          <w:p w14:paraId="59C51792"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71.929*</w:t>
            </w:r>
          </w:p>
        </w:tc>
        <w:tc>
          <w:tcPr>
            <w:tcW w:w="686" w:type="pct"/>
            <w:tcBorders>
              <w:top w:val="nil"/>
              <w:left w:val="nil"/>
              <w:bottom w:val="nil"/>
              <w:right w:val="nil"/>
            </w:tcBorders>
          </w:tcPr>
          <w:p w14:paraId="7926351F"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-0.754</w:t>
            </w:r>
          </w:p>
        </w:tc>
        <w:tc>
          <w:tcPr>
            <w:tcW w:w="829" w:type="pct"/>
            <w:tcBorders>
              <w:top w:val="nil"/>
              <w:left w:val="nil"/>
              <w:bottom w:val="nil"/>
              <w:right w:val="nil"/>
            </w:tcBorders>
          </w:tcPr>
          <w:p w14:paraId="49D0D47B"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-8.441*</w:t>
            </w:r>
          </w:p>
        </w:tc>
      </w:tr>
      <w:tr w:rsidR="00CD4846" w:rsidRPr="00CD4846" w14:paraId="184D2A49" w14:textId="77777777" w:rsidTr="005B48E8">
        <w:tc>
          <w:tcPr>
            <w:tcW w:w="1426" w:type="pct"/>
            <w:tcBorders>
              <w:top w:val="nil"/>
              <w:left w:val="nil"/>
              <w:bottom w:val="nil"/>
              <w:right w:val="nil"/>
            </w:tcBorders>
          </w:tcPr>
          <w:p w14:paraId="68C7F56B" w14:textId="5299F5EA" w:rsidR="00CD4846" w:rsidRPr="00CD4846" w:rsidRDefault="00CD4846" w:rsidP="00FF1F0E">
            <w:pPr>
              <w:widowControl w:val="0"/>
              <w:autoSpaceDE w:val="0"/>
              <w:autoSpaceDN w:val="0"/>
              <w:adjustRightInd w:val="0"/>
              <w:spacing w:line="240" w:lineRule="auto"/>
              <w:rPr>
                <w:rFonts w:cs="Times New Roman"/>
                <w:kern w:val="2"/>
                <w:sz w:val="20"/>
                <w:szCs w:val="20"/>
                <w:lang/>
              </w:rPr>
            </w:pPr>
          </w:p>
        </w:tc>
        <w:tc>
          <w:tcPr>
            <w:tcW w:w="686" w:type="pct"/>
            <w:tcBorders>
              <w:top w:val="nil"/>
              <w:left w:val="nil"/>
              <w:bottom w:val="nil"/>
              <w:right w:val="nil"/>
            </w:tcBorders>
          </w:tcPr>
          <w:p w14:paraId="5A1EED4D"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(12.932)</w:t>
            </w:r>
          </w:p>
        </w:tc>
        <w:tc>
          <w:tcPr>
            <w:tcW w:w="686" w:type="pct"/>
            <w:tcBorders>
              <w:top w:val="nil"/>
              <w:left w:val="nil"/>
              <w:bottom w:val="nil"/>
              <w:right w:val="nil"/>
            </w:tcBorders>
          </w:tcPr>
          <w:p w14:paraId="6F827E3C"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(27.466)</w:t>
            </w:r>
          </w:p>
        </w:tc>
        <w:tc>
          <w:tcPr>
            <w:tcW w:w="686" w:type="pct"/>
            <w:tcBorders>
              <w:top w:val="nil"/>
              <w:left w:val="nil"/>
              <w:bottom w:val="nil"/>
              <w:right w:val="nil"/>
            </w:tcBorders>
          </w:tcPr>
          <w:p w14:paraId="7C31A6C6"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(38.516)</w:t>
            </w:r>
          </w:p>
        </w:tc>
        <w:tc>
          <w:tcPr>
            <w:tcW w:w="686" w:type="pct"/>
            <w:tcBorders>
              <w:top w:val="nil"/>
              <w:left w:val="nil"/>
              <w:bottom w:val="nil"/>
              <w:right w:val="nil"/>
            </w:tcBorders>
          </w:tcPr>
          <w:p w14:paraId="17D7F830"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(3.114)</w:t>
            </w:r>
          </w:p>
        </w:tc>
        <w:tc>
          <w:tcPr>
            <w:tcW w:w="829" w:type="pct"/>
            <w:tcBorders>
              <w:top w:val="nil"/>
              <w:left w:val="nil"/>
              <w:bottom w:val="nil"/>
              <w:right w:val="nil"/>
            </w:tcBorders>
          </w:tcPr>
          <w:p w14:paraId="5358FF76"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(4.543)</w:t>
            </w:r>
          </w:p>
        </w:tc>
      </w:tr>
      <w:tr w:rsidR="00CD4846" w:rsidRPr="00CD4846" w14:paraId="6E17C8B6" w14:textId="77777777" w:rsidTr="005B48E8">
        <w:tc>
          <w:tcPr>
            <w:tcW w:w="1426" w:type="pct"/>
            <w:tcBorders>
              <w:top w:val="nil"/>
              <w:left w:val="nil"/>
              <w:bottom w:val="nil"/>
              <w:right w:val="nil"/>
            </w:tcBorders>
          </w:tcPr>
          <w:p w14:paraId="635BF2E2" w14:textId="777C0000"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Loc. Economies (t-1) (10ks)</w:t>
            </w:r>
          </w:p>
        </w:tc>
        <w:tc>
          <w:tcPr>
            <w:tcW w:w="686" w:type="pct"/>
            <w:tcBorders>
              <w:top w:val="nil"/>
              <w:left w:val="nil"/>
              <w:bottom w:val="nil"/>
              <w:right w:val="nil"/>
            </w:tcBorders>
          </w:tcPr>
          <w:p w14:paraId="5981A310"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-14.555</w:t>
            </w:r>
          </w:p>
        </w:tc>
        <w:tc>
          <w:tcPr>
            <w:tcW w:w="686" w:type="pct"/>
            <w:tcBorders>
              <w:top w:val="nil"/>
              <w:left w:val="nil"/>
              <w:bottom w:val="nil"/>
              <w:right w:val="nil"/>
            </w:tcBorders>
          </w:tcPr>
          <w:p w14:paraId="5D598A48"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5.561</w:t>
            </w:r>
          </w:p>
        </w:tc>
        <w:tc>
          <w:tcPr>
            <w:tcW w:w="686" w:type="pct"/>
            <w:tcBorders>
              <w:top w:val="nil"/>
              <w:left w:val="nil"/>
              <w:bottom w:val="nil"/>
              <w:right w:val="nil"/>
            </w:tcBorders>
          </w:tcPr>
          <w:p w14:paraId="4F1AD475"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-378.470***</w:t>
            </w:r>
          </w:p>
        </w:tc>
        <w:tc>
          <w:tcPr>
            <w:tcW w:w="686" w:type="pct"/>
            <w:tcBorders>
              <w:top w:val="nil"/>
              <w:left w:val="nil"/>
              <w:bottom w:val="nil"/>
              <w:right w:val="nil"/>
            </w:tcBorders>
          </w:tcPr>
          <w:p w14:paraId="53556059"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0.251</w:t>
            </w:r>
          </w:p>
        </w:tc>
        <w:tc>
          <w:tcPr>
            <w:tcW w:w="829" w:type="pct"/>
            <w:tcBorders>
              <w:top w:val="nil"/>
              <w:left w:val="nil"/>
              <w:bottom w:val="nil"/>
              <w:right w:val="nil"/>
            </w:tcBorders>
          </w:tcPr>
          <w:p w14:paraId="0D5E19FD"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-1.313</w:t>
            </w:r>
          </w:p>
        </w:tc>
      </w:tr>
      <w:tr w:rsidR="00CD4846" w:rsidRPr="00CD4846" w14:paraId="221FC3E6" w14:textId="77777777" w:rsidTr="005B48E8">
        <w:tc>
          <w:tcPr>
            <w:tcW w:w="1426" w:type="pct"/>
            <w:tcBorders>
              <w:top w:val="nil"/>
              <w:left w:val="nil"/>
              <w:bottom w:val="nil"/>
              <w:right w:val="nil"/>
            </w:tcBorders>
          </w:tcPr>
          <w:p w14:paraId="217BEB1A" w14:textId="6B18F2B7" w:rsidR="00CD4846" w:rsidRPr="00CD4846" w:rsidRDefault="00CD4846" w:rsidP="00FF1F0E">
            <w:pPr>
              <w:widowControl w:val="0"/>
              <w:autoSpaceDE w:val="0"/>
              <w:autoSpaceDN w:val="0"/>
              <w:adjustRightInd w:val="0"/>
              <w:spacing w:line="240" w:lineRule="auto"/>
              <w:rPr>
                <w:rFonts w:cs="Times New Roman"/>
                <w:kern w:val="2"/>
                <w:sz w:val="20"/>
                <w:szCs w:val="20"/>
                <w:lang/>
              </w:rPr>
            </w:pPr>
          </w:p>
        </w:tc>
        <w:tc>
          <w:tcPr>
            <w:tcW w:w="686" w:type="pct"/>
            <w:tcBorders>
              <w:top w:val="nil"/>
              <w:left w:val="nil"/>
              <w:bottom w:val="nil"/>
              <w:right w:val="nil"/>
            </w:tcBorders>
          </w:tcPr>
          <w:p w14:paraId="29F6F706"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(46.318)</w:t>
            </w:r>
          </w:p>
        </w:tc>
        <w:tc>
          <w:tcPr>
            <w:tcW w:w="686" w:type="pct"/>
            <w:tcBorders>
              <w:top w:val="nil"/>
              <w:left w:val="nil"/>
              <w:bottom w:val="nil"/>
              <w:right w:val="nil"/>
            </w:tcBorders>
          </w:tcPr>
          <w:p w14:paraId="026F6BF6"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(22.651)</w:t>
            </w:r>
          </w:p>
        </w:tc>
        <w:tc>
          <w:tcPr>
            <w:tcW w:w="686" w:type="pct"/>
            <w:tcBorders>
              <w:top w:val="nil"/>
              <w:left w:val="nil"/>
              <w:bottom w:val="nil"/>
              <w:right w:val="nil"/>
            </w:tcBorders>
          </w:tcPr>
          <w:p w14:paraId="078D7A7D"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(128.112)</w:t>
            </w:r>
          </w:p>
        </w:tc>
        <w:tc>
          <w:tcPr>
            <w:tcW w:w="686" w:type="pct"/>
            <w:tcBorders>
              <w:top w:val="nil"/>
              <w:left w:val="nil"/>
              <w:bottom w:val="nil"/>
              <w:right w:val="nil"/>
            </w:tcBorders>
          </w:tcPr>
          <w:p w14:paraId="59A0B0C7"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(0.334)</w:t>
            </w:r>
          </w:p>
        </w:tc>
        <w:tc>
          <w:tcPr>
            <w:tcW w:w="829" w:type="pct"/>
            <w:tcBorders>
              <w:top w:val="nil"/>
              <w:left w:val="nil"/>
              <w:bottom w:val="nil"/>
              <w:right w:val="nil"/>
            </w:tcBorders>
          </w:tcPr>
          <w:p w14:paraId="04AAA8F0"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(1.092)</w:t>
            </w:r>
          </w:p>
        </w:tc>
      </w:tr>
      <w:tr w:rsidR="00CD4846" w:rsidRPr="00CD4846" w14:paraId="5C08118E" w14:textId="77777777" w:rsidTr="005B48E8">
        <w:tc>
          <w:tcPr>
            <w:tcW w:w="1426" w:type="pct"/>
            <w:tcBorders>
              <w:top w:val="nil"/>
              <w:left w:val="nil"/>
              <w:bottom w:val="nil"/>
              <w:right w:val="nil"/>
            </w:tcBorders>
          </w:tcPr>
          <w:p w14:paraId="37AB17AF" w14:textId="372433EB"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Median HH Income (100ks)</w:t>
            </w:r>
          </w:p>
        </w:tc>
        <w:tc>
          <w:tcPr>
            <w:tcW w:w="686" w:type="pct"/>
            <w:tcBorders>
              <w:top w:val="nil"/>
              <w:left w:val="nil"/>
              <w:bottom w:val="nil"/>
              <w:right w:val="nil"/>
            </w:tcBorders>
          </w:tcPr>
          <w:p w14:paraId="39B87934"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-1.654</w:t>
            </w:r>
          </w:p>
        </w:tc>
        <w:tc>
          <w:tcPr>
            <w:tcW w:w="686" w:type="pct"/>
            <w:tcBorders>
              <w:top w:val="nil"/>
              <w:left w:val="nil"/>
              <w:bottom w:val="nil"/>
              <w:right w:val="nil"/>
            </w:tcBorders>
          </w:tcPr>
          <w:p w14:paraId="750E978E"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1.169</w:t>
            </w:r>
          </w:p>
        </w:tc>
        <w:tc>
          <w:tcPr>
            <w:tcW w:w="686" w:type="pct"/>
            <w:tcBorders>
              <w:top w:val="nil"/>
              <w:left w:val="nil"/>
              <w:bottom w:val="nil"/>
              <w:right w:val="nil"/>
            </w:tcBorders>
          </w:tcPr>
          <w:p w14:paraId="4BD9105B"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0.685</w:t>
            </w:r>
          </w:p>
        </w:tc>
        <w:tc>
          <w:tcPr>
            <w:tcW w:w="686" w:type="pct"/>
            <w:tcBorders>
              <w:top w:val="nil"/>
              <w:left w:val="nil"/>
              <w:bottom w:val="nil"/>
              <w:right w:val="nil"/>
            </w:tcBorders>
          </w:tcPr>
          <w:p w14:paraId="615550F1"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0.171</w:t>
            </w:r>
          </w:p>
        </w:tc>
        <w:tc>
          <w:tcPr>
            <w:tcW w:w="829" w:type="pct"/>
            <w:tcBorders>
              <w:top w:val="nil"/>
              <w:left w:val="nil"/>
              <w:bottom w:val="nil"/>
              <w:right w:val="nil"/>
            </w:tcBorders>
          </w:tcPr>
          <w:p w14:paraId="210F1E3F"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-0.101</w:t>
            </w:r>
          </w:p>
        </w:tc>
      </w:tr>
      <w:tr w:rsidR="00CD4846" w:rsidRPr="00CD4846" w14:paraId="1B2C92A8" w14:textId="77777777" w:rsidTr="005B48E8">
        <w:tc>
          <w:tcPr>
            <w:tcW w:w="1426" w:type="pct"/>
            <w:tcBorders>
              <w:top w:val="nil"/>
              <w:left w:val="nil"/>
              <w:bottom w:val="nil"/>
              <w:right w:val="nil"/>
            </w:tcBorders>
          </w:tcPr>
          <w:p w14:paraId="3C96570B" w14:textId="02E88555" w:rsidR="00CD4846" w:rsidRPr="00CD4846" w:rsidRDefault="00CD4846" w:rsidP="00FF1F0E">
            <w:pPr>
              <w:widowControl w:val="0"/>
              <w:autoSpaceDE w:val="0"/>
              <w:autoSpaceDN w:val="0"/>
              <w:adjustRightInd w:val="0"/>
              <w:spacing w:line="240" w:lineRule="auto"/>
              <w:rPr>
                <w:rFonts w:cs="Times New Roman"/>
                <w:kern w:val="2"/>
                <w:sz w:val="20"/>
                <w:szCs w:val="20"/>
                <w:lang/>
              </w:rPr>
            </w:pPr>
          </w:p>
        </w:tc>
        <w:tc>
          <w:tcPr>
            <w:tcW w:w="686" w:type="pct"/>
            <w:tcBorders>
              <w:top w:val="nil"/>
              <w:left w:val="nil"/>
              <w:bottom w:val="nil"/>
              <w:right w:val="nil"/>
            </w:tcBorders>
          </w:tcPr>
          <w:p w14:paraId="6E960E65"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(2.061)</w:t>
            </w:r>
          </w:p>
        </w:tc>
        <w:tc>
          <w:tcPr>
            <w:tcW w:w="686" w:type="pct"/>
            <w:tcBorders>
              <w:top w:val="nil"/>
              <w:left w:val="nil"/>
              <w:bottom w:val="nil"/>
              <w:right w:val="nil"/>
            </w:tcBorders>
          </w:tcPr>
          <w:p w14:paraId="0DB32AE3"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(2.493)</w:t>
            </w:r>
          </w:p>
        </w:tc>
        <w:tc>
          <w:tcPr>
            <w:tcW w:w="686" w:type="pct"/>
            <w:tcBorders>
              <w:top w:val="nil"/>
              <w:left w:val="nil"/>
              <w:bottom w:val="nil"/>
              <w:right w:val="nil"/>
            </w:tcBorders>
          </w:tcPr>
          <w:p w14:paraId="2D80F30C"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(3.150)</w:t>
            </w:r>
          </w:p>
        </w:tc>
        <w:tc>
          <w:tcPr>
            <w:tcW w:w="686" w:type="pct"/>
            <w:tcBorders>
              <w:top w:val="nil"/>
              <w:left w:val="nil"/>
              <w:bottom w:val="nil"/>
              <w:right w:val="nil"/>
            </w:tcBorders>
          </w:tcPr>
          <w:p w14:paraId="46F8F01F"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(0.356)</w:t>
            </w:r>
          </w:p>
        </w:tc>
        <w:tc>
          <w:tcPr>
            <w:tcW w:w="829" w:type="pct"/>
            <w:tcBorders>
              <w:top w:val="nil"/>
              <w:left w:val="nil"/>
              <w:bottom w:val="nil"/>
              <w:right w:val="nil"/>
            </w:tcBorders>
          </w:tcPr>
          <w:p w14:paraId="5720AA28"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(0.588)</w:t>
            </w:r>
          </w:p>
        </w:tc>
      </w:tr>
      <w:tr w:rsidR="00CD4846" w:rsidRPr="00CD4846" w14:paraId="0B7074FE" w14:textId="77777777" w:rsidTr="005B48E8">
        <w:tc>
          <w:tcPr>
            <w:tcW w:w="1426" w:type="pct"/>
            <w:tcBorders>
              <w:top w:val="nil"/>
              <w:left w:val="nil"/>
              <w:bottom w:val="nil"/>
              <w:right w:val="nil"/>
            </w:tcBorders>
          </w:tcPr>
          <w:p w14:paraId="1802ED82" w14:textId="2D4FC1E1"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Housing Price Index (100s)</w:t>
            </w:r>
          </w:p>
        </w:tc>
        <w:tc>
          <w:tcPr>
            <w:tcW w:w="686" w:type="pct"/>
            <w:tcBorders>
              <w:top w:val="nil"/>
              <w:left w:val="nil"/>
              <w:bottom w:val="nil"/>
              <w:right w:val="nil"/>
            </w:tcBorders>
          </w:tcPr>
          <w:p w14:paraId="435E49BA"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0.193</w:t>
            </w:r>
          </w:p>
        </w:tc>
        <w:tc>
          <w:tcPr>
            <w:tcW w:w="686" w:type="pct"/>
            <w:tcBorders>
              <w:top w:val="nil"/>
              <w:left w:val="nil"/>
              <w:bottom w:val="nil"/>
              <w:right w:val="nil"/>
            </w:tcBorders>
          </w:tcPr>
          <w:p w14:paraId="133F3293"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-0.288</w:t>
            </w:r>
          </w:p>
        </w:tc>
        <w:tc>
          <w:tcPr>
            <w:tcW w:w="686" w:type="pct"/>
            <w:tcBorders>
              <w:top w:val="nil"/>
              <w:left w:val="nil"/>
              <w:bottom w:val="nil"/>
              <w:right w:val="nil"/>
            </w:tcBorders>
          </w:tcPr>
          <w:p w14:paraId="7A83E83F"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-0.036</w:t>
            </w:r>
          </w:p>
        </w:tc>
        <w:tc>
          <w:tcPr>
            <w:tcW w:w="686" w:type="pct"/>
            <w:tcBorders>
              <w:top w:val="nil"/>
              <w:left w:val="nil"/>
              <w:bottom w:val="nil"/>
              <w:right w:val="nil"/>
            </w:tcBorders>
          </w:tcPr>
          <w:p w14:paraId="3171B797"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-0.010</w:t>
            </w:r>
          </w:p>
        </w:tc>
        <w:tc>
          <w:tcPr>
            <w:tcW w:w="829" w:type="pct"/>
            <w:tcBorders>
              <w:top w:val="nil"/>
              <w:left w:val="nil"/>
              <w:bottom w:val="nil"/>
              <w:right w:val="nil"/>
            </w:tcBorders>
          </w:tcPr>
          <w:p w14:paraId="729CFBB0"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-0.011</w:t>
            </w:r>
          </w:p>
        </w:tc>
      </w:tr>
      <w:tr w:rsidR="00CD4846" w:rsidRPr="00CD4846" w14:paraId="0B64783F" w14:textId="77777777" w:rsidTr="005B48E8">
        <w:tc>
          <w:tcPr>
            <w:tcW w:w="1426" w:type="pct"/>
            <w:tcBorders>
              <w:top w:val="nil"/>
              <w:left w:val="nil"/>
              <w:bottom w:val="nil"/>
              <w:right w:val="nil"/>
            </w:tcBorders>
          </w:tcPr>
          <w:p w14:paraId="7444F708" w14:textId="67CDB0D3" w:rsidR="00CD4846" w:rsidRPr="00CD4846" w:rsidRDefault="00CD4846" w:rsidP="00FF1F0E">
            <w:pPr>
              <w:widowControl w:val="0"/>
              <w:autoSpaceDE w:val="0"/>
              <w:autoSpaceDN w:val="0"/>
              <w:adjustRightInd w:val="0"/>
              <w:spacing w:line="240" w:lineRule="auto"/>
              <w:rPr>
                <w:rFonts w:cs="Times New Roman"/>
                <w:kern w:val="2"/>
                <w:sz w:val="20"/>
                <w:szCs w:val="20"/>
                <w:lang/>
              </w:rPr>
            </w:pPr>
          </w:p>
        </w:tc>
        <w:tc>
          <w:tcPr>
            <w:tcW w:w="686" w:type="pct"/>
            <w:tcBorders>
              <w:top w:val="nil"/>
              <w:left w:val="nil"/>
              <w:bottom w:val="nil"/>
              <w:right w:val="nil"/>
            </w:tcBorders>
          </w:tcPr>
          <w:p w14:paraId="14C5E80B"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(0.146)</w:t>
            </w:r>
          </w:p>
        </w:tc>
        <w:tc>
          <w:tcPr>
            <w:tcW w:w="686" w:type="pct"/>
            <w:tcBorders>
              <w:top w:val="nil"/>
              <w:left w:val="nil"/>
              <w:bottom w:val="nil"/>
              <w:right w:val="nil"/>
            </w:tcBorders>
          </w:tcPr>
          <w:p w14:paraId="0763A479"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(0.249)</w:t>
            </w:r>
          </w:p>
        </w:tc>
        <w:tc>
          <w:tcPr>
            <w:tcW w:w="686" w:type="pct"/>
            <w:tcBorders>
              <w:top w:val="nil"/>
              <w:left w:val="nil"/>
              <w:bottom w:val="nil"/>
              <w:right w:val="nil"/>
            </w:tcBorders>
          </w:tcPr>
          <w:p w14:paraId="14A96B75"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(0.241)</w:t>
            </w:r>
          </w:p>
        </w:tc>
        <w:tc>
          <w:tcPr>
            <w:tcW w:w="686" w:type="pct"/>
            <w:tcBorders>
              <w:top w:val="nil"/>
              <w:left w:val="nil"/>
              <w:bottom w:val="nil"/>
              <w:right w:val="nil"/>
            </w:tcBorders>
          </w:tcPr>
          <w:p w14:paraId="428C3581"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(0.029)</w:t>
            </w:r>
          </w:p>
        </w:tc>
        <w:tc>
          <w:tcPr>
            <w:tcW w:w="829" w:type="pct"/>
            <w:tcBorders>
              <w:top w:val="nil"/>
              <w:left w:val="nil"/>
              <w:bottom w:val="nil"/>
              <w:right w:val="nil"/>
            </w:tcBorders>
          </w:tcPr>
          <w:p w14:paraId="17ED7314"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(0.043)</w:t>
            </w:r>
          </w:p>
        </w:tc>
      </w:tr>
      <w:tr w:rsidR="00CD4846" w:rsidRPr="00CD4846" w14:paraId="3A864988" w14:textId="77777777" w:rsidTr="005B48E8">
        <w:tc>
          <w:tcPr>
            <w:tcW w:w="1426" w:type="pct"/>
            <w:tcBorders>
              <w:top w:val="nil"/>
              <w:left w:val="nil"/>
              <w:bottom w:val="nil"/>
              <w:right w:val="nil"/>
            </w:tcBorders>
          </w:tcPr>
          <w:p w14:paraId="2865C249" w14:textId="5905888F"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Poverty rate (100s)</w:t>
            </w:r>
          </w:p>
        </w:tc>
        <w:tc>
          <w:tcPr>
            <w:tcW w:w="686" w:type="pct"/>
            <w:tcBorders>
              <w:top w:val="nil"/>
              <w:left w:val="nil"/>
              <w:bottom w:val="nil"/>
              <w:right w:val="nil"/>
            </w:tcBorders>
          </w:tcPr>
          <w:p w14:paraId="62DB233D"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5.510</w:t>
            </w:r>
          </w:p>
        </w:tc>
        <w:tc>
          <w:tcPr>
            <w:tcW w:w="686" w:type="pct"/>
            <w:tcBorders>
              <w:top w:val="nil"/>
              <w:left w:val="nil"/>
              <w:bottom w:val="nil"/>
              <w:right w:val="nil"/>
            </w:tcBorders>
          </w:tcPr>
          <w:p w14:paraId="0BE3C842"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-0.306</w:t>
            </w:r>
          </w:p>
        </w:tc>
        <w:tc>
          <w:tcPr>
            <w:tcW w:w="686" w:type="pct"/>
            <w:tcBorders>
              <w:top w:val="nil"/>
              <w:left w:val="nil"/>
              <w:bottom w:val="nil"/>
              <w:right w:val="nil"/>
            </w:tcBorders>
          </w:tcPr>
          <w:p w14:paraId="3C865170"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1.515</w:t>
            </w:r>
          </w:p>
        </w:tc>
        <w:tc>
          <w:tcPr>
            <w:tcW w:w="686" w:type="pct"/>
            <w:tcBorders>
              <w:top w:val="nil"/>
              <w:left w:val="nil"/>
              <w:bottom w:val="nil"/>
              <w:right w:val="nil"/>
            </w:tcBorders>
          </w:tcPr>
          <w:p w14:paraId="07EEF7C7"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-0.772</w:t>
            </w:r>
          </w:p>
        </w:tc>
        <w:tc>
          <w:tcPr>
            <w:tcW w:w="829" w:type="pct"/>
            <w:tcBorders>
              <w:top w:val="nil"/>
              <w:left w:val="nil"/>
              <w:bottom w:val="nil"/>
              <w:right w:val="nil"/>
            </w:tcBorders>
          </w:tcPr>
          <w:p w14:paraId="75A448B5"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1.559</w:t>
            </w:r>
          </w:p>
        </w:tc>
      </w:tr>
      <w:tr w:rsidR="00CD4846" w:rsidRPr="00CD4846" w14:paraId="688778DA" w14:textId="77777777" w:rsidTr="005B48E8">
        <w:tc>
          <w:tcPr>
            <w:tcW w:w="1426" w:type="pct"/>
            <w:tcBorders>
              <w:top w:val="nil"/>
              <w:left w:val="nil"/>
              <w:bottom w:val="nil"/>
              <w:right w:val="nil"/>
            </w:tcBorders>
          </w:tcPr>
          <w:p w14:paraId="4CBFB0F6" w14:textId="4454C418" w:rsidR="00CD4846" w:rsidRPr="00CD4846" w:rsidRDefault="00CD4846" w:rsidP="00FF1F0E">
            <w:pPr>
              <w:widowControl w:val="0"/>
              <w:autoSpaceDE w:val="0"/>
              <w:autoSpaceDN w:val="0"/>
              <w:adjustRightInd w:val="0"/>
              <w:spacing w:line="240" w:lineRule="auto"/>
              <w:rPr>
                <w:rFonts w:cs="Times New Roman"/>
                <w:kern w:val="2"/>
                <w:sz w:val="20"/>
                <w:szCs w:val="20"/>
                <w:lang/>
              </w:rPr>
            </w:pPr>
          </w:p>
        </w:tc>
        <w:tc>
          <w:tcPr>
            <w:tcW w:w="686" w:type="pct"/>
            <w:tcBorders>
              <w:top w:val="nil"/>
              <w:left w:val="nil"/>
              <w:bottom w:val="nil"/>
              <w:right w:val="nil"/>
            </w:tcBorders>
          </w:tcPr>
          <w:p w14:paraId="70F49CF0"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(3.351)</w:t>
            </w:r>
          </w:p>
        </w:tc>
        <w:tc>
          <w:tcPr>
            <w:tcW w:w="686" w:type="pct"/>
            <w:tcBorders>
              <w:top w:val="nil"/>
              <w:left w:val="nil"/>
              <w:bottom w:val="nil"/>
              <w:right w:val="nil"/>
            </w:tcBorders>
          </w:tcPr>
          <w:p w14:paraId="73359FA4"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(5.033)</w:t>
            </w:r>
          </w:p>
        </w:tc>
        <w:tc>
          <w:tcPr>
            <w:tcW w:w="686" w:type="pct"/>
            <w:tcBorders>
              <w:top w:val="nil"/>
              <w:left w:val="nil"/>
              <w:bottom w:val="nil"/>
              <w:right w:val="nil"/>
            </w:tcBorders>
          </w:tcPr>
          <w:p w14:paraId="6B3A4B8A"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(5.934)</w:t>
            </w:r>
          </w:p>
        </w:tc>
        <w:tc>
          <w:tcPr>
            <w:tcW w:w="686" w:type="pct"/>
            <w:tcBorders>
              <w:top w:val="nil"/>
              <w:left w:val="nil"/>
              <w:bottom w:val="nil"/>
              <w:right w:val="nil"/>
            </w:tcBorders>
          </w:tcPr>
          <w:p w14:paraId="3670DBCE"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(0.673)</w:t>
            </w:r>
          </w:p>
        </w:tc>
        <w:tc>
          <w:tcPr>
            <w:tcW w:w="829" w:type="pct"/>
            <w:tcBorders>
              <w:top w:val="nil"/>
              <w:left w:val="nil"/>
              <w:bottom w:val="nil"/>
              <w:right w:val="nil"/>
            </w:tcBorders>
          </w:tcPr>
          <w:p w14:paraId="22AD2C41"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(1.092)</w:t>
            </w:r>
          </w:p>
        </w:tc>
      </w:tr>
      <w:tr w:rsidR="00CD4846" w:rsidRPr="00CD4846" w14:paraId="7AD3465E" w14:textId="77777777" w:rsidTr="005B48E8">
        <w:tc>
          <w:tcPr>
            <w:tcW w:w="1426" w:type="pct"/>
            <w:tcBorders>
              <w:top w:val="nil"/>
              <w:left w:val="nil"/>
              <w:bottom w:val="nil"/>
              <w:right w:val="nil"/>
            </w:tcBorders>
          </w:tcPr>
          <w:p w14:paraId="303428B9" w14:textId="02F3A703"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Avg annual wages (100k)</w:t>
            </w:r>
          </w:p>
        </w:tc>
        <w:tc>
          <w:tcPr>
            <w:tcW w:w="686" w:type="pct"/>
            <w:tcBorders>
              <w:top w:val="nil"/>
              <w:left w:val="nil"/>
              <w:bottom w:val="nil"/>
              <w:right w:val="nil"/>
            </w:tcBorders>
          </w:tcPr>
          <w:p w14:paraId="5C0B1FC4"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0.167*</w:t>
            </w:r>
          </w:p>
        </w:tc>
        <w:tc>
          <w:tcPr>
            <w:tcW w:w="686" w:type="pct"/>
            <w:tcBorders>
              <w:top w:val="nil"/>
              <w:left w:val="nil"/>
              <w:bottom w:val="nil"/>
              <w:right w:val="nil"/>
            </w:tcBorders>
          </w:tcPr>
          <w:p w14:paraId="31CE84E3"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0.067***</w:t>
            </w:r>
          </w:p>
        </w:tc>
        <w:tc>
          <w:tcPr>
            <w:tcW w:w="686" w:type="pct"/>
            <w:tcBorders>
              <w:top w:val="nil"/>
              <w:left w:val="nil"/>
              <w:bottom w:val="nil"/>
              <w:right w:val="nil"/>
            </w:tcBorders>
          </w:tcPr>
          <w:p w14:paraId="5ACCB468"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-0.054</w:t>
            </w:r>
          </w:p>
        </w:tc>
        <w:tc>
          <w:tcPr>
            <w:tcW w:w="686" w:type="pct"/>
            <w:tcBorders>
              <w:top w:val="nil"/>
              <w:left w:val="nil"/>
              <w:bottom w:val="nil"/>
              <w:right w:val="nil"/>
            </w:tcBorders>
          </w:tcPr>
          <w:p w14:paraId="7A31DF9B"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0.033</w:t>
            </w:r>
          </w:p>
        </w:tc>
        <w:tc>
          <w:tcPr>
            <w:tcW w:w="829" w:type="pct"/>
            <w:tcBorders>
              <w:top w:val="nil"/>
              <w:left w:val="nil"/>
              <w:bottom w:val="nil"/>
              <w:right w:val="nil"/>
            </w:tcBorders>
          </w:tcPr>
          <w:p w14:paraId="665C37BD"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-0.008</w:t>
            </w:r>
          </w:p>
        </w:tc>
      </w:tr>
      <w:tr w:rsidR="00CD4846" w:rsidRPr="00CD4846" w14:paraId="3479BD0A" w14:textId="77777777" w:rsidTr="005B48E8">
        <w:tc>
          <w:tcPr>
            <w:tcW w:w="1426" w:type="pct"/>
            <w:tcBorders>
              <w:top w:val="nil"/>
              <w:left w:val="nil"/>
              <w:bottom w:val="nil"/>
              <w:right w:val="nil"/>
            </w:tcBorders>
          </w:tcPr>
          <w:p w14:paraId="163F75E4" w14:textId="585ACCD8" w:rsidR="00CD4846" w:rsidRPr="00CD4846" w:rsidRDefault="00CD4846" w:rsidP="00FF1F0E">
            <w:pPr>
              <w:widowControl w:val="0"/>
              <w:autoSpaceDE w:val="0"/>
              <w:autoSpaceDN w:val="0"/>
              <w:adjustRightInd w:val="0"/>
              <w:spacing w:line="240" w:lineRule="auto"/>
              <w:rPr>
                <w:rFonts w:cs="Times New Roman"/>
                <w:kern w:val="2"/>
                <w:sz w:val="20"/>
                <w:szCs w:val="20"/>
                <w:lang/>
              </w:rPr>
            </w:pPr>
          </w:p>
        </w:tc>
        <w:tc>
          <w:tcPr>
            <w:tcW w:w="686" w:type="pct"/>
            <w:tcBorders>
              <w:top w:val="nil"/>
              <w:left w:val="nil"/>
              <w:bottom w:val="nil"/>
              <w:right w:val="nil"/>
            </w:tcBorders>
          </w:tcPr>
          <w:p w14:paraId="1B9A7B7B"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(0.100)</w:t>
            </w:r>
          </w:p>
        </w:tc>
        <w:tc>
          <w:tcPr>
            <w:tcW w:w="686" w:type="pct"/>
            <w:tcBorders>
              <w:top w:val="nil"/>
              <w:left w:val="nil"/>
              <w:bottom w:val="nil"/>
              <w:right w:val="nil"/>
            </w:tcBorders>
          </w:tcPr>
          <w:p w14:paraId="107FD462"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(0.018)</w:t>
            </w:r>
          </w:p>
        </w:tc>
        <w:tc>
          <w:tcPr>
            <w:tcW w:w="686" w:type="pct"/>
            <w:tcBorders>
              <w:top w:val="nil"/>
              <w:left w:val="nil"/>
              <w:bottom w:val="nil"/>
              <w:right w:val="nil"/>
            </w:tcBorders>
          </w:tcPr>
          <w:p w14:paraId="13037E02"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(0.096)</w:t>
            </w:r>
          </w:p>
        </w:tc>
        <w:tc>
          <w:tcPr>
            <w:tcW w:w="686" w:type="pct"/>
            <w:tcBorders>
              <w:top w:val="nil"/>
              <w:left w:val="nil"/>
              <w:bottom w:val="nil"/>
              <w:right w:val="nil"/>
            </w:tcBorders>
          </w:tcPr>
          <w:p w14:paraId="0805D45E"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(0.026)</w:t>
            </w:r>
          </w:p>
        </w:tc>
        <w:tc>
          <w:tcPr>
            <w:tcW w:w="829" w:type="pct"/>
            <w:tcBorders>
              <w:top w:val="nil"/>
              <w:left w:val="nil"/>
              <w:bottom w:val="nil"/>
              <w:right w:val="nil"/>
            </w:tcBorders>
          </w:tcPr>
          <w:p w14:paraId="62B0D21E"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(0.025)</w:t>
            </w:r>
          </w:p>
        </w:tc>
      </w:tr>
      <w:tr w:rsidR="00CD4846" w:rsidRPr="00CD4846" w14:paraId="3F23D1CA" w14:textId="77777777" w:rsidTr="005B48E8">
        <w:tc>
          <w:tcPr>
            <w:tcW w:w="1426" w:type="pct"/>
            <w:tcBorders>
              <w:top w:val="nil"/>
              <w:left w:val="nil"/>
              <w:bottom w:val="nil"/>
              <w:right w:val="nil"/>
            </w:tcBorders>
          </w:tcPr>
          <w:p w14:paraId="3D55F0F0" w14:textId="2E716180"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Attain. Status - CO (t-1)</w:t>
            </w:r>
          </w:p>
        </w:tc>
        <w:tc>
          <w:tcPr>
            <w:tcW w:w="686" w:type="pct"/>
            <w:tcBorders>
              <w:top w:val="nil"/>
              <w:left w:val="nil"/>
              <w:bottom w:val="nil"/>
              <w:right w:val="nil"/>
            </w:tcBorders>
          </w:tcPr>
          <w:p w14:paraId="25090BE5"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4.146</w:t>
            </w:r>
          </w:p>
        </w:tc>
        <w:tc>
          <w:tcPr>
            <w:tcW w:w="686" w:type="pct"/>
            <w:tcBorders>
              <w:top w:val="nil"/>
              <w:left w:val="nil"/>
              <w:bottom w:val="nil"/>
              <w:right w:val="nil"/>
            </w:tcBorders>
          </w:tcPr>
          <w:p w14:paraId="671A0876"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p>
        </w:tc>
        <w:tc>
          <w:tcPr>
            <w:tcW w:w="686" w:type="pct"/>
            <w:tcBorders>
              <w:top w:val="nil"/>
              <w:left w:val="nil"/>
              <w:bottom w:val="nil"/>
              <w:right w:val="nil"/>
            </w:tcBorders>
          </w:tcPr>
          <w:p w14:paraId="6CC38083"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p>
        </w:tc>
        <w:tc>
          <w:tcPr>
            <w:tcW w:w="686" w:type="pct"/>
            <w:tcBorders>
              <w:top w:val="nil"/>
              <w:left w:val="nil"/>
              <w:bottom w:val="nil"/>
              <w:right w:val="nil"/>
            </w:tcBorders>
          </w:tcPr>
          <w:p w14:paraId="23262624"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-0.876</w:t>
            </w:r>
          </w:p>
        </w:tc>
        <w:tc>
          <w:tcPr>
            <w:tcW w:w="829" w:type="pct"/>
            <w:tcBorders>
              <w:top w:val="nil"/>
              <w:left w:val="nil"/>
              <w:bottom w:val="nil"/>
              <w:right w:val="nil"/>
            </w:tcBorders>
          </w:tcPr>
          <w:p w14:paraId="0991F2FF"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-1.481</w:t>
            </w:r>
          </w:p>
        </w:tc>
      </w:tr>
      <w:tr w:rsidR="00CD4846" w:rsidRPr="00CD4846" w14:paraId="32EF962B" w14:textId="77777777" w:rsidTr="005B48E8">
        <w:tc>
          <w:tcPr>
            <w:tcW w:w="1426" w:type="pct"/>
            <w:tcBorders>
              <w:top w:val="nil"/>
              <w:left w:val="nil"/>
              <w:bottom w:val="nil"/>
              <w:right w:val="nil"/>
            </w:tcBorders>
          </w:tcPr>
          <w:p w14:paraId="5C341237" w14:textId="4EB62C9D" w:rsidR="00CD4846" w:rsidRPr="00CD4846" w:rsidRDefault="00CD4846" w:rsidP="00FF1F0E">
            <w:pPr>
              <w:widowControl w:val="0"/>
              <w:autoSpaceDE w:val="0"/>
              <w:autoSpaceDN w:val="0"/>
              <w:adjustRightInd w:val="0"/>
              <w:spacing w:line="240" w:lineRule="auto"/>
              <w:rPr>
                <w:rFonts w:cs="Times New Roman"/>
                <w:kern w:val="2"/>
                <w:sz w:val="20"/>
                <w:szCs w:val="20"/>
                <w:lang/>
              </w:rPr>
            </w:pPr>
          </w:p>
        </w:tc>
        <w:tc>
          <w:tcPr>
            <w:tcW w:w="686" w:type="pct"/>
            <w:tcBorders>
              <w:top w:val="nil"/>
              <w:left w:val="nil"/>
              <w:bottom w:val="nil"/>
              <w:right w:val="nil"/>
            </w:tcBorders>
          </w:tcPr>
          <w:p w14:paraId="54ABAE08"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(2.762)</w:t>
            </w:r>
          </w:p>
        </w:tc>
        <w:tc>
          <w:tcPr>
            <w:tcW w:w="686" w:type="pct"/>
            <w:tcBorders>
              <w:top w:val="nil"/>
              <w:left w:val="nil"/>
              <w:bottom w:val="nil"/>
              <w:right w:val="nil"/>
            </w:tcBorders>
          </w:tcPr>
          <w:p w14:paraId="594051E1"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p>
        </w:tc>
        <w:tc>
          <w:tcPr>
            <w:tcW w:w="686" w:type="pct"/>
            <w:tcBorders>
              <w:top w:val="nil"/>
              <w:left w:val="nil"/>
              <w:bottom w:val="nil"/>
              <w:right w:val="nil"/>
            </w:tcBorders>
          </w:tcPr>
          <w:p w14:paraId="139210F0"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p>
        </w:tc>
        <w:tc>
          <w:tcPr>
            <w:tcW w:w="686" w:type="pct"/>
            <w:tcBorders>
              <w:top w:val="nil"/>
              <w:left w:val="nil"/>
              <w:bottom w:val="nil"/>
              <w:right w:val="nil"/>
            </w:tcBorders>
          </w:tcPr>
          <w:p w14:paraId="65A085C0"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(0.760)</w:t>
            </w:r>
          </w:p>
        </w:tc>
        <w:tc>
          <w:tcPr>
            <w:tcW w:w="829" w:type="pct"/>
            <w:tcBorders>
              <w:top w:val="nil"/>
              <w:left w:val="nil"/>
              <w:bottom w:val="nil"/>
              <w:right w:val="nil"/>
            </w:tcBorders>
          </w:tcPr>
          <w:p w14:paraId="5A380A4A"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(1.907)</w:t>
            </w:r>
          </w:p>
        </w:tc>
      </w:tr>
      <w:tr w:rsidR="00CD4846" w:rsidRPr="00CD4846" w14:paraId="702F600B" w14:textId="77777777" w:rsidTr="005B48E8">
        <w:tc>
          <w:tcPr>
            <w:tcW w:w="1426" w:type="pct"/>
            <w:tcBorders>
              <w:top w:val="nil"/>
              <w:left w:val="nil"/>
              <w:bottom w:val="nil"/>
              <w:right w:val="nil"/>
            </w:tcBorders>
          </w:tcPr>
          <w:p w14:paraId="2C60CEEE" w14:textId="3DDA56F5"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Attain. Status - Pb (t-1)</w:t>
            </w:r>
          </w:p>
        </w:tc>
        <w:tc>
          <w:tcPr>
            <w:tcW w:w="686" w:type="pct"/>
            <w:tcBorders>
              <w:top w:val="nil"/>
              <w:left w:val="nil"/>
              <w:bottom w:val="nil"/>
              <w:right w:val="nil"/>
            </w:tcBorders>
          </w:tcPr>
          <w:p w14:paraId="18EF5C1A"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-2.867**</w:t>
            </w:r>
          </w:p>
        </w:tc>
        <w:tc>
          <w:tcPr>
            <w:tcW w:w="686" w:type="pct"/>
            <w:tcBorders>
              <w:top w:val="nil"/>
              <w:left w:val="nil"/>
              <w:bottom w:val="nil"/>
              <w:right w:val="nil"/>
            </w:tcBorders>
          </w:tcPr>
          <w:p w14:paraId="31AD0A8B"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-0.898</w:t>
            </w:r>
          </w:p>
        </w:tc>
        <w:tc>
          <w:tcPr>
            <w:tcW w:w="686" w:type="pct"/>
            <w:tcBorders>
              <w:top w:val="nil"/>
              <w:left w:val="nil"/>
              <w:bottom w:val="nil"/>
              <w:right w:val="nil"/>
            </w:tcBorders>
          </w:tcPr>
          <w:p w14:paraId="567A39B5"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-2.170</w:t>
            </w:r>
          </w:p>
        </w:tc>
        <w:tc>
          <w:tcPr>
            <w:tcW w:w="686" w:type="pct"/>
            <w:tcBorders>
              <w:top w:val="nil"/>
              <w:left w:val="nil"/>
              <w:bottom w:val="nil"/>
              <w:right w:val="nil"/>
            </w:tcBorders>
          </w:tcPr>
          <w:p w14:paraId="2A04ABF9"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-0.075</w:t>
            </w:r>
          </w:p>
        </w:tc>
        <w:tc>
          <w:tcPr>
            <w:tcW w:w="829" w:type="pct"/>
            <w:tcBorders>
              <w:top w:val="nil"/>
              <w:left w:val="nil"/>
              <w:bottom w:val="nil"/>
              <w:right w:val="nil"/>
            </w:tcBorders>
          </w:tcPr>
          <w:p w14:paraId="1046336C"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-0.146</w:t>
            </w:r>
          </w:p>
        </w:tc>
      </w:tr>
      <w:tr w:rsidR="00CD4846" w:rsidRPr="00CD4846" w14:paraId="25F3232A" w14:textId="77777777" w:rsidTr="005B48E8">
        <w:tc>
          <w:tcPr>
            <w:tcW w:w="1426" w:type="pct"/>
            <w:tcBorders>
              <w:top w:val="nil"/>
              <w:left w:val="nil"/>
              <w:bottom w:val="nil"/>
              <w:right w:val="nil"/>
            </w:tcBorders>
          </w:tcPr>
          <w:p w14:paraId="64846D78" w14:textId="7C46B943" w:rsidR="00CD4846" w:rsidRPr="00CD4846" w:rsidRDefault="00CD4846" w:rsidP="00FF1F0E">
            <w:pPr>
              <w:widowControl w:val="0"/>
              <w:autoSpaceDE w:val="0"/>
              <w:autoSpaceDN w:val="0"/>
              <w:adjustRightInd w:val="0"/>
              <w:spacing w:line="240" w:lineRule="auto"/>
              <w:rPr>
                <w:rFonts w:cs="Times New Roman"/>
                <w:kern w:val="2"/>
                <w:sz w:val="20"/>
                <w:szCs w:val="20"/>
                <w:lang/>
              </w:rPr>
            </w:pPr>
          </w:p>
        </w:tc>
        <w:tc>
          <w:tcPr>
            <w:tcW w:w="686" w:type="pct"/>
            <w:tcBorders>
              <w:top w:val="nil"/>
              <w:left w:val="nil"/>
              <w:bottom w:val="nil"/>
              <w:right w:val="nil"/>
            </w:tcBorders>
          </w:tcPr>
          <w:p w14:paraId="47688EF4"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(1.321)</w:t>
            </w:r>
          </w:p>
        </w:tc>
        <w:tc>
          <w:tcPr>
            <w:tcW w:w="686" w:type="pct"/>
            <w:tcBorders>
              <w:top w:val="nil"/>
              <w:left w:val="nil"/>
              <w:bottom w:val="nil"/>
              <w:right w:val="nil"/>
            </w:tcBorders>
          </w:tcPr>
          <w:p w14:paraId="1140F1DF"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(0.833)</w:t>
            </w:r>
          </w:p>
        </w:tc>
        <w:tc>
          <w:tcPr>
            <w:tcW w:w="686" w:type="pct"/>
            <w:tcBorders>
              <w:top w:val="nil"/>
              <w:left w:val="nil"/>
              <w:bottom w:val="nil"/>
              <w:right w:val="nil"/>
            </w:tcBorders>
          </w:tcPr>
          <w:p w14:paraId="038BB994"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(1.401)</w:t>
            </w:r>
          </w:p>
        </w:tc>
        <w:tc>
          <w:tcPr>
            <w:tcW w:w="686" w:type="pct"/>
            <w:tcBorders>
              <w:top w:val="nil"/>
              <w:left w:val="nil"/>
              <w:bottom w:val="nil"/>
              <w:right w:val="nil"/>
            </w:tcBorders>
          </w:tcPr>
          <w:p w14:paraId="225B13C5"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(0.160)</w:t>
            </w:r>
          </w:p>
        </w:tc>
        <w:tc>
          <w:tcPr>
            <w:tcW w:w="829" w:type="pct"/>
            <w:tcBorders>
              <w:top w:val="nil"/>
              <w:left w:val="nil"/>
              <w:bottom w:val="nil"/>
              <w:right w:val="nil"/>
            </w:tcBorders>
          </w:tcPr>
          <w:p w14:paraId="1B123E77"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(0.162)</w:t>
            </w:r>
          </w:p>
        </w:tc>
      </w:tr>
      <w:tr w:rsidR="00CD4846" w:rsidRPr="00CD4846" w14:paraId="68E353FF" w14:textId="77777777" w:rsidTr="005B48E8">
        <w:tc>
          <w:tcPr>
            <w:tcW w:w="1426" w:type="pct"/>
            <w:tcBorders>
              <w:top w:val="nil"/>
              <w:left w:val="nil"/>
              <w:bottom w:val="nil"/>
              <w:right w:val="nil"/>
            </w:tcBorders>
          </w:tcPr>
          <w:p w14:paraId="7B98C41E" w14:textId="403E2B63"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Attain. Status - O3 (t-1)</w:t>
            </w:r>
          </w:p>
        </w:tc>
        <w:tc>
          <w:tcPr>
            <w:tcW w:w="686" w:type="pct"/>
            <w:tcBorders>
              <w:top w:val="nil"/>
              <w:left w:val="nil"/>
              <w:bottom w:val="nil"/>
              <w:right w:val="nil"/>
            </w:tcBorders>
          </w:tcPr>
          <w:p w14:paraId="2EA8A624"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0.147</w:t>
            </w:r>
          </w:p>
        </w:tc>
        <w:tc>
          <w:tcPr>
            <w:tcW w:w="686" w:type="pct"/>
            <w:tcBorders>
              <w:top w:val="nil"/>
              <w:left w:val="nil"/>
              <w:bottom w:val="nil"/>
              <w:right w:val="nil"/>
            </w:tcBorders>
          </w:tcPr>
          <w:p w14:paraId="16FA74A5"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0.464*</w:t>
            </w:r>
          </w:p>
        </w:tc>
        <w:tc>
          <w:tcPr>
            <w:tcW w:w="686" w:type="pct"/>
            <w:tcBorders>
              <w:top w:val="nil"/>
              <w:left w:val="nil"/>
              <w:bottom w:val="nil"/>
              <w:right w:val="nil"/>
            </w:tcBorders>
          </w:tcPr>
          <w:p w14:paraId="21598EF2"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0.294</w:t>
            </w:r>
          </w:p>
        </w:tc>
        <w:tc>
          <w:tcPr>
            <w:tcW w:w="686" w:type="pct"/>
            <w:tcBorders>
              <w:top w:val="nil"/>
              <w:left w:val="nil"/>
              <w:bottom w:val="nil"/>
              <w:right w:val="nil"/>
            </w:tcBorders>
          </w:tcPr>
          <w:p w14:paraId="03CDABD1"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0.042</w:t>
            </w:r>
          </w:p>
        </w:tc>
        <w:tc>
          <w:tcPr>
            <w:tcW w:w="829" w:type="pct"/>
            <w:tcBorders>
              <w:top w:val="nil"/>
              <w:left w:val="nil"/>
              <w:bottom w:val="nil"/>
              <w:right w:val="nil"/>
            </w:tcBorders>
          </w:tcPr>
          <w:p w14:paraId="0445127F"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0.055</w:t>
            </w:r>
          </w:p>
        </w:tc>
      </w:tr>
      <w:tr w:rsidR="00CD4846" w:rsidRPr="00CD4846" w14:paraId="5CF2DEE3" w14:textId="77777777" w:rsidTr="005B48E8">
        <w:tc>
          <w:tcPr>
            <w:tcW w:w="1426" w:type="pct"/>
            <w:tcBorders>
              <w:top w:val="nil"/>
              <w:left w:val="nil"/>
              <w:bottom w:val="nil"/>
              <w:right w:val="nil"/>
            </w:tcBorders>
          </w:tcPr>
          <w:p w14:paraId="741A50E0" w14:textId="2C134C1C" w:rsidR="00CD4846" w:rsidRPr="00CD4846" w:rsidRDefault="00CD4846" w:rsidP="00FF1F0E">
            <w:pPr>
              <w:widowControl w:val="0"/>
              <w:autoSpaceDE w:val="0"/>
              <w:autoSpaceDN w:val="0"/>
              <w:adjustRightInd w:val="0"/>
              <w:spacing w:line="240" w:lineRule="auto"/>
              <w:rPr>
                <w:rFonts w:cs="Times New Roman"/>
                <w:kern w:val="2"/>
                <w:sz w:val="20"/>
                <w:szCs w:val="20"/>
                <w:lang/>
              </w:rPr>
            </w:pPr>
          </w:p>
        </w:tc>
        <w:tc>
          <w:tcPr>
            <w:tcW w:w="686" w:type="pct"/>
            <w:tcBorders>
              <w:top w:val="nil"/>
              <w:left w:val="nil"/>
              <w:bottom w:val="nil"/>
              <w:right w:val="nil"/>
            </w:tcBorders>
          </w:tcPr>
          <w:p w14:paraId="309D8927"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(0.247)</w:t>
            </w:r>
          </w:p>
        </w:tc>
        <w:tc>
          <w:tcPr>
            <w:tcW w:w="686" w:type="pct"/>
            <w:tcBorders>
              <w:top w:val="nil"/>
              <w:left w:val="nil"/>
              <w:bottom w:val="nil"/>
              <w:right w:val="nil"/>
            </w:tcBorders>
          </w:tcPr>
          <w:p w14:paraId="26A366AD"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(0.263)</w:t>
            </w:r>
          </w:p>
        </w:tc>
        <w:tc>
          <w:tcPr>
            <w:tcW w:w="686" w:type="pct"/>
            <w:tcBorders>
              <w:top w:val="nil"/>
              <w:left w:val="nil"/>
              <w:bottom w:val="nil"/>
              <w:right w:val="nil"/>
            </w:tcBorders>
          </w:tcPr>
          <w:p w14:paraId="65A6B597"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(0.323)</w:t>
            </w:r>
          </w:p>
        </w:tc>
        <w:tc>
          <w:tcPr>
            <w:tcW w:w="686" w:type="pct"/>
            <w:tcBorders>
              <w:top w:val="nil"/>
              <w:left w:val="nil"/>
              <w:bottom w:val="nil"/>
              <w:right w:val="nil"/>
            </w:tcBorders>
          </w:tcPr>
          <w:p w14:paraId="47914B48"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(0.036)</w:t>
            </w:r>
          </w:p>
        </w:tc>
        <w:tc>
          <w:tcPr>
            <w:tcW w:w="829" w:type="pct"/>
            <w:tcBorders>
              <w:top w:val="nil"/>
              <w:left w:val="nil"/>
              <w:bottom w:val="nil"/>
              <w:right w:val="nil"/>
            </w:tcBorders>
          </w:tcPr>
          <w:p w14:paraId="2C01D270"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(0.052)</w:t>
            </w:r>
          </w:p>
        </w:tc>
      </w:tr>
      <w:tr w:rsidR="00CD4846" w:rsidRPr="00CD4846" w14:paraId="7CD724D7" w14:textId="77777777" w:rsidTr="005B48E8">
        <w:tc>
          <w:tcPr>
            <w:tcW w:w="1426" w:type="pct"/>
            <w:tcBorders>
              <w:top w:val="nil"/>
              <w:left w:val="nil"/>
              <w:bottom w:val="nil"/>
              <w:right w:val="nil"/>
            </w:tcBorders>
          </w:tcPr>
          <w:p w14:paraId="6C5DA040" w14:textId="7B5B8B29"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Attain. Status - PM (t-1)</w:t>
            </w:r>
          </w:p>
        </w:tc>
        <w:tc>
          <w:tcPr>
            <w:tcW w:w="686" w:type="pct"/>
            <w:tcBorders>
              <w:top w:val="nil"/>
              <w:left w:val="nil"/>
              <w:bottom w:val="nil"/>
              <w:right w:val="nil"/>
            </w:tcBorders>
          </w:tcPr>
          <w:p w14:paraId="5ED9A5C5"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-0.280</w:t>
            </w:r>
          </w:p>
        </w:tc>
        <w:tc>
          <w:tcPr>
            <w:tcW w:w="686" w:type="pct"/>
            <w:tcBorders>
              <w:top w:val="nil"/>
              <w:left w:val="nil"/>
              <w:bottom w:val="nil"/>
              <w:right w:val="nil"/>
            </w:tcBorders>
          </w:tcPr>
          <w:p w14:paraId="5EB94D68"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0.626**</w:t>
            </w:r>
          </w:p>
        </w:tc>
        <w:tc>
          <w:tcPr>
            <w:tcW w:w="686" w:type="pct"/>
            <w:tcBorders>
              <w:top w:val="nil"/>
              <w:left w:val="nil"/>
              <w:bottom w:val="nil"/>
              <w:right w:val="nil"/>
            </w:tcBorders>
          </w:tcPr>
          <w:p w14:paraId="05DB7CA1"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0.516</w:t>
            </w:r>
          </w:p>
        </w:tc>
        <w:tc>
          <w:tcPr>
            <w:tcW w:w="686" w:type="pct"/>
            <w:tcBorders>
              <w:top w:val="nil"/>
              <w:left w:val="nil"/>
              <w:bottom w:val="nil"/>
              <w:right w:val="nil"/>
            </w:tcBorders>
          </w:tcPr>
          <w:p w14:paraId="5048EAE7"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-0.003</w:t>
            </w:r>
          </w:p>
        </w:tc>
        <w:tc>
          <w:tcPr>
            <w:tcW w:w="829" w:type="pct"/>
            <w:tcBorders>
              <w:top w:val="nil"/>
              <w:left w:val="nil"/>
              <w:bottom w:val="nil"/>
              <w:right w:val="nil"/>
            </w:tcBorders>
          </w:tcPr>
          <w:p w14:paraId="18688586"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0.033</w:t>
            </w:r>
          </w:p>
        </w:tc>
      </w:tr>
      <w:tr w:rsidR="00CD4846" w:rsidRPr="00CD4846" w14:paraId="30FBC544" w14:textId="77777777" w:rsidTr="005B48E8">
        <w:tc>
          <w:tcPr>
            <w:tcW w:w="1426" w:type="pct"/>
            <w:tcBorders>
              <w:top w:val="nil"/>
              <w:left w:val="nil"/>
              <w:bottom w:val="nil"/>
              <w:right w:val="nil"/>
            </w:tcBorders>
          </w:tcPr>
          <w:p w14:paraId="64AD5107" w14:textId="01F69E8E" w:rsidR="00CD4846" w:rsidRPr="00CD4846" w:rsidRDefault="00CD4846" w:rsidP="00FF1F0E">
            <w:pPr>
              <w:widowControl w:val="0"/>
              <w:autoSpaceDE w:val="0"/>
              <w:autoSpaceDN w:val="0"/>
              <w:adjustRightInd w:val="0"/>
              <w:spacing w:line="240" w:lineRule="auto"/>
              <w:rPr>
                <w:rFonts w:cs="Times New Roman"/>
                <w:kern w:val="2"/>
                <w:sz w:val="20"/>
                <w:szCs w:val="20"/>
                <w:lang/>
              </w:rPr>
            </w:pPr>
          </w:p>
        </w:tc>
        <w:tc>
          <w:tcPr>
            <w:tcW w:w="686" w:type="pct"/>
            <w:tcBorders>
              <w:top w:val="nil"/>
              <w:left w:val="nil"/>
              <w:bottom w:val="nil"/>
              <w:right w:val="nil"/>
            </w:tcBorders>
          </w:tcPr>
          <w:p w14:paraId="680A5C5F"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(0.213)</w:t>
            </w:r>
          </w:p>
        </w:tc>
        <w:tc>
          <w:tcPr>
            <w:tcW w:w="686" w:type="pct"/>
            <w:tcBorders>
              <w:top w:val="nil"/>
              <w:left w:val="nil"/>
              <w:bottom w:val="nil"/>
              <w:right w:val="nil"/>
            </w:tcBorders>
          </w:tcPr>
          <w:p w14:paraId="708698C0"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(0.311)</w:t>
            </w:r>
          </w:p>
        </w:tc>
        <w:tc>
          <w:tcPr>
            <w:tcW w:w="686" w:type="pct"/>
            <w:tcBorders>
              <w:top w:val="nil"/>
              <w:left w:val="nil"/>
              <w:bottom w:val="nil"/>
              <w:right w:val="nil"/>
            </w:tcBorders>
          </w:tcPr>
          <w:p w14:paraId="769F01B2"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(0.324)</w:t>
            </w:r>
          </w:p>
        </w:tc>
        <w:tc>
          <w:tcPr>
            <w:tcW w:w="686" w:type="pct"/>
            <w:tcBorders>
              <w:top w:val="nil"/>
              <w:left w:val="nil"/>
              <w:bottom w:val="nil"/>
              <w:right w:val="nil"/>
            </w:tcBorders>
          </w:tcPr>
          <w:p w14:paraId="4D1104EC"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(0.029)</w:t>
            </w:r>
          </w:p>
        </w:tc>
        <w:tc>
          <w:tcPr>
            <w:tcW w:w="829" w:type="pct"/>
            <w:tcBorders>
              <w:top w:val="nil"/>
              <w:left w:val="nil"/>
              <w:bottom w:val="nil"/>
              <w:right w:val="nil"/>
            </w:tcBorders>
          </w:tcPr>
          <w:p w14:paraId="20F6A3EF"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(0.044)</w:t>
            </w:r>
          </w:p>
        </w:tc>
      </w:tr>
      <w:tr w:rsidR="00CD4846" w:rsidRPr="00CD4846" w14:paraId="08082480" w14:textId="77777777" w:rsidTr="005B48E8">
        <w:tc>
          <w:tcPr>
            <w:tcW w:w="1426" w:type="pct"/>
            <w:tcBorders>
              <w:top w:val="nil"/>
              <w:left w:val="nil"/>
              <w:bottom w:val="nil"/>
              <w:right w:val="nil"/>
            </w:tcBorders>
          </w:tcPr>
          <w:p w14:paraId="45CB9972"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Attain. Status - SO2 (t-1)</w:t>
            </w:r>
          </w:p>
        </w:tc>
        <w:tc>
          <w:tcPr>
            <w:tcW w:w="686" w:type="pct"/>
            <w:tcBorders>
              <w:top w:val="nil"/>
              <w:left w:val="nil"/>
              <w:bottom w:val="nil"/>
              <w:right w:val="nil"/>
            </w:tcBorders>
          </w:tcPr>
          <w:p w14:paraId="2ECA78CA"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-0.968</w:t>
            </w:r>
          </w:p>
        </w:tc>
        <w:tc>
          <w:tcPr>
            <w:tcW w:w="686" w:type="pct"/>
            <w:tcBorders>
              <w:top w:val="nil"/>
              <w:left w:val="nil"/>
              <w:bottom w:val="nil"/>
              <w:right w:val="nil"/>
            </w:tcBorders>
          </w:tcPr>
          <w:p w14:paraId="2888B713"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-2.549**</w:t>
            </w:r>
          </w:p>
        </w:tc>
        <w:tc>
          <w:tcPr>
            <w:tcW w:w="686" w:type="pct"/>
            <w:tcBorders>
              <w:top w:val="nil"/>
              <w:left w:val="nil"/>
              <w:bottom w:val="nil"/>
              <w:right w:val="nil"/>
            </w:tcBorders>
          </w:tcPr>
          <w:p w14:paraId="1FE417A4"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0.076</w:t>
            </w:r>
          </w:p>
        </w:tc>
        <w:tc>
          <w:tcPr>
            <w:tcW w:w="686" w:type="pct"/>
            <w:tcBorders>
              <w:top w:val="nil"/>
              <w:left w:val="nil"/>
              <w:bottom w:val="nil"/>
              <w:right w:val="nil"/>
            </w:tcBorders>
          </w:tcPr>
          <w:p w14:paraId="0C6BA9DA"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-0.255</w:t>
            </w:r>
          </w:p>
        </w:tc>
        <w:tc>
          <w:tcPr>
            <w:tcW w:w="829" w:type="pct"/>
            <w:tcBorders>
              <w:top w:val="nil"/>
              <w:left w:val="nil"/>
              <w:bottom w:val="nil"/>
              <w:right w:val="nil"/>
            </w:tcBorders>
          </w:tcPr>
          <w:p w14:paraId="195FB750"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-0.345*</w:t>
            </w:r>
          </w:p>
        </w:tc>
      </w:tr>
      <w:tr w:rsidR="00CD4846" w:rsidRPr="00CD4846" w14:paraId="5749D6F4" w14:textId="77777777" w:rsidTr="005B48E8">
        <w:tc>
          <w:tcPr>
            <w:tcW w:w="1426" w:type="pct"/>
            <w:tcBorders>
              <w:top w:val="nil"/>
              <w:left w:val="nil"/>
              <w:bottom w:val="nil"/>
              <w:right w:val="nil"/>
            </w:tcBorders>
          </w:tcPr>
          <w:p w14:paraId="3B6CEAF6" w14:textId="6D2D6E65" w:rsidR="00CD4846" w:rsidRPr="00CD4846" w:rsidRDefault="00CD4846" w:rsidP="00FF1F0E">
            <w:pPr>
              <w:widowControl w:val="0"/>
              <w:autoSpaceDE w:val="0"/>
              <w:autoSpaceDN w:val="0"/>
              <w:adjustRightInd w:val="0"/>
              <w:spacing w:line="240" w:lineRule="auto"/>
              <w:rPr>
                <w:rFonts w:cs="Times New Roman"/>
                <w:kern w:val="2"/>
                <w:sz w:val="20"/>
                <w:szCs w:val="20"/>
                <w:lang/>
              </w:rPr>
            </w:pPr>
          </w:p>
        </w:tc>
        <w:tc>
          <w:tcPr>
            <w:tcW w:w="686" w:type="pct"/>
            <w:tcBorders>
              <w:top w:val="nil"/>
              <w:left w:val="nil"/>
              <w:bottom w:val="nil"/>
              <w:right w:val="nil"/>
            </w:tcBorders>
          </w:tcPr>
          <w:p w14:paraId="5C7EBC80"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(0.996)</w:t>
            </w:r>
          </w:p>
        </w:tc>
        <w:tc>
          <w:tcPr>
            <w:tcW w:w="686" w:type="pct"/>
            <w:tcBorders>
              <w:top w:val="nil"/>
              <w:left w:val="nil"/>
              <w:bottom w:val="nil"/>
              <w:right w:val="nil"/>
            </w:tcBorders>
          </w:tcPr>
          <w:p w14:paraId="0512723D"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(1.155)</w:t>
            </w:r>
          </w:p>
        </w:tc>
        <w:tc>
          <w:tcPr>
            <w:tcW w:w="686" w:type="pct"/>
            <w:tcBorders>
              <w:top w:val="nil"/>
              <w:left w:val="nil"/>
              <w:bottom w:val="nil"/>
              <w:right w:val="nil"/>
            </w:tcBorders>
          </w:tcPr>
          <w:p w14:paraId="2FB54BAD"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(1.075)</w:t>
            </w:r>
          </w:p>
        </w:tc>
        <w:tc>
          <w:tcPr>
            <w:tcW w:w="686" w:type="pct"/>
            <w:tcBorders>
              <w:top w:val="nil"/>
              <w:left w:val="nil"/>
              <w:bottom w:val="nil"/>
              <w:right w:val="nil"/>
            </w:tcBorders>
          </w:tcPr>
          <w:p w14:paraId="59250A8E"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(0.155)</w:t>
            </w:r>
          </w:p>
        </w:tc>
        <w:tc>
          <w:tcPr>
            <w:tcW w:w="829" w:type="pct"/>
            <w:tcBorders>
              <w:top w:val="nil"/>
              <w:left w:val="nil"/>
              <w:bottom w:val="nil"/>
              <w:right w:val="nil"/>
            </w:tcBorders>
          </w:tcPr>
          <w:p w14:paraId="7D12DA33"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(0.180)</w:t>
            </w:r>
          </w:p>
        </w:tc>
      </w:tr>
      <w:tr w:rsidR="00CD4846" w:rsidRPr="00CD4846" w14:paraId="741DE6B1" w14:textId="77777777" w:rsidTr="005B48E8">
        <w:tc>
          <w:tcPr>
            <w:tcW w:w="1426" w:type="pct"/>
            <w:tcBorders>
              <w:top w:val="nil"/>
              <w:left w:val="nil"/>
              <w:bottom w:val="nil"/>
              <w:right w:val="nil"/>
            </w:tcBorders>
          </w:tcPr>
          <w:p w14:paraId="46C8355E" w14:textId="02F11D79"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Density Employment</w:t>
            </w:r>
          </w:p>
        </w:tc>
        <w:tc>
          <w:tcPr>
            <w:tcW w:w="686" w:type="pct"/>
            <w:tcBorders>
              <w:top w:val="nil"/>
              <w:left w:val="nil"/>
              <w:bottom w:val="nil"/>
              <w:right w:val="nil"/>
            </w:tcBorders>
          </w:tcPr>
          <w:p w14:paraId="09B4321D"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1.064</w:t>
            </w:r>
          </w:p>
        </w:tc>
        <w:tc>
          <w:tcPr>
            <w:tcW w:w="686" w:type="pct"/>
            <w:tcBorders>
              <w:top w:val="nil"/>
              <w:left w:val="nil"/>
              <w:bottom w:val="nil"/>
              <w:right w:val="nil"/>
            </w:tcBorders>
          </w:tcPr>
          <w:p w14:paraId="60F349A4"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1.131</w:t>
            </w:r>
          </w:p>
        </w:tc>
        <w:tc>
          <w:tcPr>
            <w:tcW w:w="686" w:type="pct"/>
            <w:tcBorders>
              <w:top w:val="nil"/>
              <w:left w:val="nil"/>
              <w:bottom w:val="nil"/>
              <w:right w:val="nil"/>
            </w:tcBorders>
          </w:tcPr>
          <w:p w14:paraId="705D00E0"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-2.035</w:t>
            </w:r>
          </w:p>
        </w:tc>
        <w:tc>
          <w:tcPr>
            <w:tcW w:w="686" w:type="pct"/>
            <w:tcBorders>
              <w:top w:val="nil"/>
              <w:left w:val="nil"/>
              <w:bottom w:val="nil"/>
              <w:right w:val="nil"/>
            </w:tcBorders>
          </w:tcPr>
          <w:p w14:paraId="3AF78B95"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-0.160***</w:t>
            </w:r>
          </w:p>
        </w:tc>
        <w:tc>
          <w:tcPr>
            <w:tcW w:w="829" w:type="pct"/>
            <w:tcBorders>
              <w:top w:val="nil"/>
              <w:left w:val="nil"/>
              <w:bottom w:val="nil"/>
              <w:right w:val="nil"/>
            </w:tcBorders>
          </w:tcPr>
          <w:p w14:paraId="45B2B6DC"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-0.109*</w:t>
            </w:r>
          </w:p>
        </w:tc>
      </w:tr>
      <w:tr w:rsidR="00CD4846" w:rsidRPr="00CD4846" w14:paraId="07DF8C9E" w14:textId="77777777" w:rsidTr="005B48E8">
        <w:tc>
          <w:tcPr>
            <w:tcW w:w="1426" w:type="pct"/>
            <w:tcBorders>
              <w:top w:val="nil"/>
              <w:left w:val="nil"/>
              <w:bottom w:val="nil"/>
              <w:right w:val="nil"/>
            </w:tcBorders>
          </w:tcPr>
          <w:p w14:paraId="3A280D29" w14:textId="77044A0D" w:rsidR="00CD4846" w:rsidRPr="00CD4846" w:rsidRDefault="00CD4846" w:rsidP="00FF1F0E">
            <w:pPr>
              <w:widowControl w:val="0"/>
              <w:autoSpaceDE w:val="0"/>
              <w:autoSpaceDN w:val="0"/>
              <w:adjustRightInd w:val="0"/>
              <w:spacing w:line="240" w:lineRule="auto"/>
              <w:rPr>
                <w:rFonts w:cs="Times New Roman"/>
                <w:kern w:val="2"/>
                <w:sz w:val="20"/>
                <w:szCs w:val="20"/>
                <w:lang/>
              </w:rPr>
            </w:pPr>
          </w:p>
        </w:tc>
        <w:tc>
          <w:tcPr>
            <w:tcW w:w="686" w:type="pct"/>
            <w:tcBorders>
              <w:top w:val="nil"/>
              <w:left w:val="nil"/>
              <w:bottom w:val="nil"/>
              <w:right w:val="nil"/>
            </w:tcBorders>
          </w:tcPr>
          <w:p w14:paraId="2D8DB749"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(1.097)</w:t>
            </w:r>
          </w:p>
        </w:tc>
        <w:tc>
          <w:tcPr>
            <w:tcW w:w="686" w:type="pct"/>
            <w:tcBorders>
              <w:top w:val="nil"/>
              <w:left w:val="nil"/>
              <w:bottom w:val="nil"/>
              <w:right w:val="nil"/>
            </w:tcBorders>
          </w:tcPr>
          <w:p w14:paraId="30BD39BF"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(0.701)</w:t>
            </w:r>
          </w:p>
        </w:tc>
        <w:tc>
          <w:tcPr>
            <w:tcW w:w="686" w:type="pct"/>
            <w:tcBorders>
              <w:top w:val="nil"/>
              <w:left w:val="nil"/>
              <w:bottom w:val="nil"/>
              <w:right w:val="nil"/>
            </w:tcBorders>
          </w:tcPr>
          <w:p w14:paraId="665D2023"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(1.626)</w:t>
            </w:r>
          </w:p>
        </w:tc>
        <w:tc>
          <w:tcPr>
            <w:tcW w:w="686" w:type="pct"/>
            <w:tcBorders>
              <w:top w:val="nil"/>
              <w:left w:val="nil"/>
              <w:bottom w:val="nil"/>
              <w:right w:val="nil"/>
            </w:tcBorders>
          </w:tcPr>
          <w:p w14:paraId="1DA6D10F"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(0.041)</w:t>
            </w:r>
          </w:p>
        </w:tc>
        <w:tc>
          <w:tcPr>
            <w:tcW w:w="829" w:type="pct"/>
            <w:tcBorders>
              <w:top w:val="nil"/>
              <w:left w:val="nil"/>
              <w:bottom w:val="nil"/>
              <w:right w:val="nil"/>
            </w:tcBorders>
          </w:tcPr>
          <w:p w14:paraId="23AEE6F8"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(0.056)</w:t>
            </w:r>
          </w:p>
        </w:tc>
      </w:tr>
      <w:tr w:rsidR="00CD4846" w:rsidRPr="00CD4846" w14:paraId="6A76F178" w14:textId="77777777" w:rsidTr="005B48E8">
        <w:tc>
          <w:tcPr>
            <w:tcW w:w="1426" w:type="pct"/>
            <w:tcBorders>
              <w:top w:val="nil"/>
              <w:left w:val="nil"/>
              <w:bottom w:val="nil"/>
              <w:right w:val="nil"/>
            </w:tcBorders>
          </w:tcPr>
          <w:p w14:paraId="262238AE"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Percent Black (100s)</w:t>
            </w:r>
          </w:p>
        </w:tc>
        <w:tc>
          <w:tcPr>
            <w:tcW w:w="686" w:type="pct"/>
            <w:tcBorders>
              <w:top w:val="nil"/>
              <w:left w:val="nil"/>
              <w:bottom w:val="nil"/>
              <w:right w:val="nil"/>
            </w:tcBorders>
          </w:tcPr>
          <w:p w14:paraId="09E5364B"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-2.939</w:t>
            </w:r>
          </w:p>
        </w:tc>
        <w:tc>
          <w:tcPr>
            <w:tcW w:w="686" w:type="pct"/>
            <w:tcBorders>
              <w:top w:val="nil"/>
              <w:left w:val="nil"/>
              <w:bottom w:val="nil"/>
              <w:right w:val="nil"/>
            </w:tcBorders>
          </w:tcPr>
          <w:p w14:paraId="39608EDF"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-8.640</w:t>
            </w:r>
          </w:p>
        </w:tc>
        <w:tc>
          <w:tcPr>
            <w:tcW w:w="686" w:type="pct"/>
            <w:tcBorders>
              <w:top w:val="nil"/>
              <w:left w:val="nil"/>
              <w:bottom w:val="nil"/>
              <w:right w:val="nil"/>
            </w:tcBorders>
          </w:tcPr>
          <w:p w14:paraId="4855E09F"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-14.508</w:t>
            </w:r>
          </w:p>
        </w:tc>
        <w:tc>
          <w:tcPr>
            <w:tcW w:w="686" w:type="pct"/>
            <w:tcBorders>
              <w:top w:val="nil"/>
              <w:left w:val="nil"/>
              <w:bottom w:val="nil"/>
              <w:right w:val="nil"/>
            </w:tcBorders>
          </w:tcPr>
          <w:p w14:paraId="219704E9"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0.156</w:t>
            </w:r>
          </w:p>
        </w:tc>
        <w:tc>
          <w:tcPr>
            <w:tcW w:w="829" w:type="pct"/>
            <w:tcBorders>
              <w:top w:val="nil"/>
              <w:left w:val="nil"/>
              <w:bottom w:val="nil"/>
              <w:right w:val="nil"/>
            </w:tcBorders>
          </w:tcPr>
          <w:p w14:paraId="39A42D9F"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-0.295</w:t>
            </w:r>
          </w:p>
        </w:tc>
      </w:tr>
      <w:tr w:rsidR="00CD4846" w:rsidRPr="00CD4846" w14:paraId="7BA66CDF" w14:textId="77777777" w:rsidTr="005B48E8">
        <w:tc>
          <w:tcPr>
            <w:tcW w:w="1426" w:type="pct"/>
            <w:tcBorders>
              <w:top w:val="nil"/>
              <w:left w:val="nil"/>
              <w:bottom w:val="nil"/>
              <w:right w:val="nil"/>
            </w:tcBorders>
          </w:tcPr>
          <w:p w14:paraId="701A7816" w14:textId="7A99BD2C" w:rsidR="00CD4846" w:rsidRPr="00CD4846" w:rsidRDefault="00CD4846" w:rsidP="00FF1F0E">
            <w:pPr>
              <w:widowControl w:val="0"/>
              <w:autoSpaceDE w:val="0"/>
              <w:autoSpaceDN w:val="0"/>
              <w:adjustRightInd w:val="0"/>
              <w:spacing w:line="240" w:lineRule="auto"/>
              <w:rPr>
                <w:rFonts w:cs="Times New Roman"/>
                <w:kern w:val="2"/>
                <w:sz w:val="20"/>
                <w:szCs w:val="20"/>
                <w:lang/>
              </w:rPr>
            </w:pPr>
          </w:p>
        </w:tc>
        <w:tc>
          <w:tcPr>
            <w:tcW w:w="686" w:type="pct"/>
            <w:tcBorders>
              <w:top w:val="nil"/>
              <w:left w:val="nil"/>
              <w:bottom w:val="nil"/>
              <w:right w:val="nil"/>
            </w:tcBorders>
          </w:tcPr>
          <w:p w14:paraId="427DC89F"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(9.385)</w:t>
            </w:r>
          </w:p>
        </w:tc>
        <w:tc>
          <w:tcPr>
            <w:tcW w:w="686" w:type="pct"/>
            <w:tcBorders>
              <w:top w:val="nil"/>
              <w:left w:val="nil"/>
              <w:bottom w:val="nil"/>
              <w:right w:val="nil"/>
            </w:tcBorders>
          </w:tcPr>
          <w:p w14:paraId="6E865380"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(12.360)</w:t>
            </w:r>
          </w:p>
        </w:tc>
        <w:tc>
          <w:tcPr>
            <w:tcW w:w="686" w:type="pct"/>
            <w:tcBorders>
              <w:top w:val="nil"/>
              <w:left w:val="nil"/>
              <w:bottom w:val="nil"/>
              <w:right w:val="nil"/>
            </w:tcBorders>
          </w:tcPr>
          <w:p w14:paraId="323E4A3D"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(17.654)</w:t>
            </w:r>
          </w:p>
        </w:tc>
        <w:tc>
          <w:tcPr>
            <w:tcW w:w="686" w:type="pct"/>
            <w:tcBorders>
              <w:top w:val="nil"/>
              <w:left w:val="nil"/>
              <w:bottom w:val="nil"/>
              <w:right w:val="nil"/>
            </w:tcBorders>
          </w:tcPr>
          <w:p w14:paraId="1AB2E000"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(1.425)</w:t>
            </w:r>
          </w:p>
        </w:tc>
        <w:tc>
          <w:tcPr>
            <w:tcW w:w="829" w:type="pct"/>
            <w:tcBorders>
              <w:top w:val="nil"/>
              <w:left w:val="nil"/>
              <w:bottom w:val="nil"/>
              <w:right w:val="nil"/>
            </w:tcBorders>
          </w:tcPr>
          <w:p w14:paraId="5B4831AC"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(2.037)</w:t>
            </w:r>
          </w:p>
        </w:tc>
      </w:tr>
      <w:tr w:rsidR="00CD4846" w:rsidRPr="00CD4846" w14:paraId="0C75B4AE" w14:textId="77777777" w:rsidTr="005B48E8">
        <w:tc>
          <w:tcPr>
            <w:tcW w:w="1426" w:type="pct"/>
            <w:tcBorders>
              <w:top w:val="nil"/>
              <w:left w:val="nil"/>
              <w:bottom w:val="nil"/>
              <w:right w:val="nil"/>
            </w:tcBorders>
          </w:tcPr>
          <w:p w14:paraId="3AAB9B9A" w14:textId="76FB39D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Population count (1ms)</w:t>
            </w:r>
          </w:p>
        </w:tc>
        <w:tc>
          <w:tcPr>
            <w:tcW w:w="686" w:type="pct"/>
            <w:tcBorders>
              <w:top w:val="nil"/>
              <w:left w:val="nil"/>
              <w:bottom w:val="nil"/>
              <w:right w:val="nil"/>
            </w:tcBorders>
          </w:tcPr>
          <w:p w14:paraId="647D2EB2"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-1.722</w:t>
            </w:r>
          </w:p>
        </w:tc>
        <w:tc>
          <w:tcPr>
            <w:tcW w:w="686" w:type="pct"/>
            <w:tcBorders>
              <w:top w:val="nil"/>
              <w:left w:val="nil"/>
              <w:bottom w:val="nil"/>
              <w:right w:val="nil"/>
            </w:tcBorders>
          </w:tcPr>
          <w:p w14:paraId="31755501"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0.671</w:t>
            </w:r>
          </w:p>
        </w:tc>
        <w:tc>
          <w:tcPr>
            <w:tcW w:w="686" w:type="pct"/>
            <w:tcBorders>
              <w:top w:val="nil"/>
              <w:left w:val="nil"/>
              <w:bottom w:val="nil"/>
              <w:right w:val="nil"/>
            </w:tcBorders>
          </w:tcPr>
          <w:p w14:paraId="7D4AE83E"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5.458***</w:t>
            </w:r>
          </w:p>
        </w:tc>
        <w:tc>
          <w:tcPr>
            <w:tcW w:w="686" w:type="pct"/>
            <w:tcBorders>
              <w:top w:val="nil"/>
              <w:left w:val="nil"/>
              <w:bottom w:val="nil"/>
              <w:right w:val="nil"/>
            </w:tcBorders>
          </w:tcPr>
          <w:p w14:paraId="3DBC8D68"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1.015**</w:t>
            </w:r>
          </w:p>
        </w:tc>
        <w:tc>
          <w:tcPr>
            <w:tcW w:w="829" w:type="pct"/>
            <w:tcBorders>
              <w:top w:val="nil"/>
              <w:left w:val="nil"/>
              <w:bottom w:val="nil"/>
              <w:right w:val="nil"/>
            </w:tcBorders>
          </w:tcPr>
          <w:p w14:paraId="0589A46E"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0.294</w:t>
            </w:r>
          </w:p>
        </w:tc>
      </w:tr>
      <w:tr w:rsidR="00CD4846" w:rsidRPr="00CD4846" w14:paraId="1BD8B3BF" w14:textId="77777777" w:rsidTr="005B48E8">
        <w:tc>
          <w:tcPr>
            <w:tcW w:w="1426" w:type="pct"/>
            <w:tcBorders>
              <w:top w:val="nil"/>
              <w:left w:val="nil"/>
              <w:bottom w:val="nil"/>
              <w:right w:val="nil"/>
            </w:tcBorders>
          </w:tcPr>
          <w:p w14:paraId="1AA12AD7" w14:textId="1EE6ECDC" w:rsidR="00CD4846" w:rsidRPr="00CD4846" w:rsidRDefault="00CD4846" w:rsidP="00FF1F0E">
            <w:pPr>
              <w:widowControl w:val="0"/>
              <w:autoSpaceDE w:val="0"/>
              <w:autoSpaceDN w:val="0"/>
              <w:adjustRightInd w:val="0"/>
              <w:spacing w:line="240" w:lineRule="auto"/>
              <w:rPr>
                <w:rFonts w:cs="Times New Roman"/>
                <w:kern w:val="2"/>
                <w:sz w:val="20"/>
                <w:szCs w:val="20"/>
                <w:lang/>
              </w:rPr>
            </w:pPr>
          </w:p>
        </w:tc>
        <w:tc>
          <w:tcPr>
            <w:tcW w:w="686" w:type="pct"/>
            <w:tcBorders>
              <w:top w:val="nil"/>
              <w:left w:val="nil"/>
              <w:bottom w:val="nil"/>
              <w:right w:val="nil"/>
            </w:tcBorders>
          </w:tcPr>
          <w:p w14:paraId="33F5335A"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(1.879)</w:t>
            </w:r>
          </w:p>
        </w:tc>
        <w:tc>
          <w:tcPr>
            <w:tcW w:w="686" w:type="pct"/>
            <w:tcBorders>
              <w:top w:val="nil"/>
              <w:left w:val="nil"/>
              <w:bottom w:val="nil"/>
              <w:right w:val="nil"/>
            </w:tcBorders>
          </w:tcPr>
          <w:p w14:paraId="60BFD4D7"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(1.160)</w:t>
            </w:r>
          </w:p>
        </w:tc>
        <w:tc>
          <w:tcPr>
            <w:tcW w:w="686" w:type="pct"/>
            <w:tcBorders>
              <w:top w:val="nil"/>
              <w:left w:val="nil"/>
              <w:bottom w:val="nil"/>
              <w:right w:val="nil"/>
            </w:tcBorders>
          </w:tcPr>
          <w:p w14:paraId="3A553172"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(1.964)</w:t>
            </w:r>
          </w:p>
        </w:tc>
        <w:tc>
          <w:tcPr>
            <w:tcW w:w="686" w:type="pct"/>
            <w:tcBorders>
              <w:top w:val="nil"/>
              <w:left w:val="nil"/>
              <w:bottom w:val="nil"/>
              <w:right w:val="nil"/>
            </w:tcBorders>
          </w:tcPr>
          <w:p w14:paraId="7156A71F"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(0.461)</w:t>
            </w:r>
          </w:p>
        </w:tc>
        <w:tc>
          <w:tcPr>
            <w:tcW w:w="829" w:type="pct"/>
            <w:tcBorders>
              <w:top w:val="nil"/>
              <w:left w:val="nil"/>
              <w:bottom w:val="nil"/>
              <w:right w:val="nil"/>
            </w:tcBorders>
          </w:tcPr>
          <w:p w14:paraId="24563FC2"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(0.327)</w:t>
            </w:r>
          </w:p>
        </w:tc>
      </w:tr>
      <w:tr w:rsidR="00CD4846" w:rsidRPr="00CD4846" w14:paraId="64E1A8A1" w14:textId="77777777" w:rsidTr="005B48E8">
        <w:tc>
          <w:tcPr>
            <w:tcW w:w="1426" w:type="pct"/>
            <w:tcBorders>
              <w:top w:val="nil"/>
              <w:left w:val="nil"/>
              <w:bottom w:val="nil"/>
              <w:right w:val="nil"/>
            </w:tcBorders>
          </w:tcPr>
          <w:p w14:paraId="637457B0" w14:textId="1C198239"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Unemployment rate (100s)</w:t>
            </w:r>
          </w:p>
        </w:tc>
        <w:tc>
          <w:tcPr>
            <w:tcW w:w="686" w:type="pct"/>
            <w:tcBorders>
              <w:top w:val="nil"/>
              <w:left w:val="nil"/>
              <w:bottom w:val="nil"/>
              <w:right w:val="nil"/>
            </w:tcBorders>
          </w:tcPr>
          <w:p w14:paraId="0154E8B6"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1.396</w:t>
            </w:r>
          </w:p>
        </w:tc>
        <w:tc>
          <w:tcPr>
            <w:tcW w:w="686" w:type="pct"/>
            <w:tcBorders>
              <w:top w:val="nil"/>
              <w:left w:val="nil"/>
              <w:bottom w:val="nil"/>
              <w:right w:val="nil"/>
            </w:tcBorders>
          </w:tcPr>
          <w:p w14:paraId="31704591"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2.796</w:t>
            </w:r>
          </w:p>
        </w:tc>
        <w:tc>
          <w:tcPr>
            <w:tcW w:w="686" w:type="pct"/>
            <w:tcBorders>
              <w:top w:val="nil"/>
              <w:left w:val="nil"/>
              <w:bottom w:val="nil"/>
              <w:right w:val="nil"/>
            </w:tcBorders>
          </w:tcPr>
          <w:p w14:paraId="3B298F0A"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14.549</w:t>
            </w:r>
          </w:p>
        </w:tc>
        <w:tc>
          <w:tcPr>
            <w:tcW w:w="686" w:type="pct"/>
            <w:tcBorders>
              <w:top w:val="nil"/>
              <w:left w:val="nil"/>
              <w:bottom w:val="nil"/>
              <w:right w:val="nil"/>
            </w:tcBorders>
          </w:tcPr>
          <w:p w14:paraId="44613CED"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1.967</w:t>
            </w:r>
          </w:p>
        </w:tc>
        <w:tc>
          <w:tcPr>
            <w:tcW w:w="829" w:type="pct"/>
            <w:tcBorders>
              <w:top w:val="nil"/>
              <w:left w:val="nil"/>
              <w:bottom w:val="nil"/>
              <w:right w:val="nil"/>
            </w:tcBorders>
          </w:tcPr>
          <w:p w14:paraId="616B1A6D"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3.479*</w:t>
            </w:r>
          </w:p>
        </w:tc>
      </w:tr>
      <w:tr w:rsidR="00CD4846" w:rsidRPr="00CD4846" w14:paraId="0F24D437" w14:textId="77777777" w:rsidTr="005B48E8">
        <w:tc>
          <w:tcPr>
            <w:tcW w:w="1426" w:type="pct"/>
            <w:tcBorders>
              <w:top w:val="nil"/>
              <w:left w:val="nil"/>
              <w:bottom w:val="nil"/>
              <w:right w:val="nil"/>
            </w:tcBorders>
          </w:tcPr>
          <w:p w14:paraId="400F0AF2" w14:textId="19A5976E" w:rsidR="00CD4846" w:rsidRPr="00CD4846" w:rsidRDefault="00CD4846" w:rsidP="00FF1F0E">
            <w:pPr>
              <w:widowControl w:val="0"/>
              <w:autoSpaceDE w:val="0"/>
              <w:autoSpaceDN w:val="0"/>
              <w:adjustRightInd w:val="0"/>
              <w:spacing w:line="240" w:lineRule="auto"/>
              <w:rPr>
                <w:rFonts w:cs="Times New Roman"/>
                <w:kern w:val="2"/>
                <w:sz w:val="20"/>
                <w:szCs w:val="20"/>
                <w:lang/>
              </w:rPr>
            </w:pPr>
          </w:p>
        </w:tc>
        <w:tc>
          <w:tcPr>
            <w:tcW w:w="686" w:type="pct"/>
            <w:tcBorders>
              <w:top w:val="nil"/>
              <w:left w:val="nil"/>
              <w:bottom w:val="nil"/>
              <w:right w:val="nil"/>
            </w:tcBorders>
          </w:tcPr>
          <w:p w14:paraId="1C23B351"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(6.155)</w:t>
            </w:r>
          </w:p>
        </w:tc>
        <w:tc>
          <w:tcPr>
            <w:tcW w:w="686" w:type="pct"/>
            <w:tcBorders>
              <w:top w:val="nil"/>
              <w:left w:val="nil"/>
              <w:bottom w:val="nil"/>
              <w:right w:val="nil"/>
            </w:tcBorders>
          </w:tcPr>
          <w:p w14:paraId="20A2F641"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(9.635)</w:t>
            </w:r>
          </w:p>
        </w:tc>
        <w:tc>
          <w:tcPr>
            <w:tcW w:w="686" w:type="pct"/>
            <w:tcBorders>
              <w:top w:val="nil"/>
              <w:left w:val="nil"/>
              <w:bottom w:val="nil"/>
              <w:right w:val="nil"/>
            </w:tcBorders>
          </w:tcPr>
          <w:p w14:paraId="26CDEE90"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(11.825)</w:t>
            </w:r>
          </w:p>
        </w:tc>
        <w:tc>
          <w:tcPr>
            <w:tcW w:w="686" w:type="pct"/>
            <w:tcBorders>
              <w:top w:val="nil"/>
              <w:left w:val="nil"/>
              <w:bottom w:val="nil"/>
              <w:right w:val="nil"/>
            </w:tcBorders>
          </w:tcPr>
          <w:p w14:paraId="4545C0B6"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(1.494)</w:t>
            </w:r>
          </w:p>
        </w:tc>
        <w:tc>
          <w:tcPr>
            <w:tcW w:w="829" w:type="pct"/>
            <w:tcBorders>
              <w:top w:val="nil"/>
              <w:left w:val="nil"/>
              <w:bottom w:val="nil"/>
              <w:right w:val="nil"/>
            </w:tcBorders>
          </w:tcPr>
          <w:p w14:paraId="1FFEDB03"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(2.026)</w:t>
            </w:r>
          </w:p>
        </w:tc>
      </w:tr>
      <w:tr w:rsidR="00CD4846" w:rsidRPr="00CD4846" w14:paraId="5988F6B8" w14:textId="77777777" w:rsidTr="005B48E8">
        <w:tc>
          <w:tcPr>
            <w:tcW w:w="1426" w:type="pct"/>
            <w:tcBorders>
              <w:top w:val="nil"/>
              <w:left w:val="nil"/>
              <w:bottom w:val="nil"/>
              <w:right w:val="nil"/>
            </w:tcBorders>
          </w:tcPr>
          <w:p w14:paraId="12EDF875" w14:textId="00AF1ED2"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Sales Volume (t-1)</w:t>
            </w:r>
          </w:p>
        </w:tc>
        <w:tc>
          <w:tcPr>
            <w:tcW w:w="686" w:type="pct"/>
            <w:tcBorders>
              <w:top w:val="nil"/>
              <w:left w:val="nil"/>
              <w:bottom w:val="nil"/>
              <w:right w:val="nil"/>
            </w:tcBorders>
          </w:tcPr>
          <w:p w14:paraId="4E615601"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4.732</w:t>
            </w:r>
          </w:p>
        </w:tc>
        <w:tc>
          <w:tcPr>
            <w:tcW w:w="686" w:type="pct"/>
            <w:tcBorders>
              <w:top w:val="nil"/>
              <w:left w:val="nil"/>
              <w:bottom w:val="nil"/>
              <w:right w:val="nil"/>
            </w:tcBorders>
          </w:tcPr>
          <w:p w14:paraId="072D325E"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-24.027**</w:t>
            </w:r>
          </w:p>
        </w:tc>
        <w:tc>
          <w:tcPr>
            <w:tcW w:w="686" w:type="pct"/>
            <w:tcBorders>
              <w:top w:val="nil"/>
              <w:left w:val="nil"/>
              <w:bottom w:val="nil"/>
              <w:right w:val="nil"/>
            </w:tcBorders>
          </w:tcPr>
          <w:p w14:paraId="6BF1F6FE"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7.318</w:t>
            </w:r>
          </w:p>
        </w:tc>
        <w:tc>
          <w:tcPr>
            <w:tcW w:w="686" w:type="pct"/>
            <w:tcBorders>
              <w:top w:val="nil"/>
              <w:left w:val="nil"/>
              <w:bottom w:val="nil"/>
              <w:right w:val="nil"/>
            </w:tcBorders>
          </w:tcPr>
          <w:p w14:paraId="3C9D6CFA"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21.128</w:t>
            </w:r>
          </w:p>
        </w:tc>
        <w:tc>
          <w:tcPr>
            <w:tcW w:w="829" w:type="pct"/>
            <w:tcBorders>
              <w:top w:val="nil"/>
              <w:left w:val="nil"/>
              <w:bottom w:val="nil"/>
              <w:right w:val="nil"/>
            </w:tcBorders>
          </w:tcPr>
          <w:p w14:paraId="7E6A92A6"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0.975</w:t>
            </w:r>
          </w:p>
        </w:tc>
      </w:tr>
      <w:tr w:rsidR="00CD4846" w:rsidRPr="00CD4846" w14:paraId="573C21C9" w14:textId="77777777" w:rsidTr="005B48E8">
        <w:tc>
          <w:tcPr>
            <w:tcW w:w="1426" w:type="pct"/>
            <w:tcBorders>
              <w:top w:val="nil"/>
              <w:left w:val="nil"/>
              <w:bottom w:val="nil"/>
              <w:right w:val="nil"/>
            </w:tcBorders>
          </w:tcPr>
          <w:p w14:paraId="766DD9F7" w14:textId="593E192E" w:rsidR="00CD4846" w:rsidRPr="00CD4846" w:rsidRDefault="00CD4846" w:rsidP="00FF1F0E">
            <w:pPr>
              <w:widowControl w:val="0"/>
              <w:autoSpaceDE w:val="0"/>
              <w:autoSpaceDN w:val="0"/>
              <w:adjustRightInd w:val="0"/>
              <w:spacing w:line="240" w:lineRule="auto"/>
              <w:rPr>
                <w:rFonts w:cs="Times New Roman"/>
                <w:kern w:val="2"/>
                <w:sz w:val="20"/>
                <w:szCs w:val="20"/>
                <w:lang/>
              </w:rPr>
            </w:pPr>
          </w:p>
        </w:tc>
        <w:tc>
          <w:tcPr>
            <w:tcW w:w="686" w:type="pct"/>
            <w:tcBorders>
              <w:top w:val="nil"/>
              <w:left w:val="nil"/>
              <w:bottom w:val="nil"/>
              <w:right w:val="nil"/>
            </w:tcBorders>
          </w:tcPr>
          <w:p w14:paraId="6F4FD2DC"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(17.156)</w:t>
            </w:r>
          </w:p>
        </w:tc>
        <w:tc>
          <w:tcPr>
            <w:tcW w:w="686" w:type="pct"/>
            <w:tcBorders>
              <w:top w:val="nil"/>
              <w:left w:val="nil"/>
              <w:bottom w:val="nil"/>
              <w:right w:val="nil"/>
            </w:tcBorders>
          </w:tcPr>
          <w:p w14:paraId="6459451F"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(9.381)</w:t>
            </w:r>
          </w:p>
        </w:tc>
        <w:tc>
          <w:tcPr>
            <w:tcW w:w="686" w:type="pct"/>
            <w:tcBorders>
              <w:top w:val="nil"/>
              <w:left w:val="nil"/>
              <w:bottom w:val="nil"/>
              <w:right w:val="nil"/>
            </w:tcBorders>
          </w:tcPr>
          <w:p w14:paraId="4FBD9233"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(4.676)</w:t>
            </w:r>
          </w:p>
        </w:tc>
        <w:tc>
          <w:tcPr>
            <w:tcW w:w="686" w:type="pct"/>
            <w:tcBorders>
              <w:top w:val="nil"/>
              <w:left w:val="nil"/>
              <w:bottom w:val="nil"/>
              <w:right w:val="nil"/>
            </w:tcBorders>
          </w:tcPr>
          <w:p w14:paraId="369E837F"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(16.160)</w:t>
            </w:r>
          </w:p>
        </w:tc>
        <w:tc>
          <w:tcPr>
            <w:tcW w:w="829" w:type="pct"/>
            <w:tcBorders>
              <w:top w:val="nil"/>
              <w:left w:val="nil"/>
              <w:bottom w:val="nil"/>
              <w:right w:val="nil"/>
            </w:tcBorders>
          </w:tcPr>
          <w:p w14:paraId="7A277839"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(0.713)</w:t>
            </w:r>
          </w:p>
        </w:tc>
      </w:tr>
      <w:tr w:rsidR="00CD4846" w:rsidRPr="00CD4846" w14:paraId="7039CFD2" w14:textId="77777777" w:rsidTr="005B48E8">
        <w:tc>
          <w:tcPr>
            <w:tcW w:w="1426" w:type="pct"/>
            <w:tcBorders>
              <w:top w:val="nil"/>
              <w:left w:val="nil"/>
              <w:bottom w:val="nil"/>
              <w:right w:val="nil"/>
            </w:tcBorders>
          </w:tcPr>
          <w:p w14:paraId="38E8F842" w14:textId="3E58F113"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Prior Births (1ks)</w:t>
            </w:r>
          </w:p>
        </w:tc>
        <w:tc>
          <w:tcPr>
            <w:tcW w:w="686" w:type="pct"/>
            <w:tcBorders>
              <w:top w:val="nil"/>
              <w:left w:val="nil"/>
              <w:bottom w:val="nil"/>
              <w:right w:val="nil"/>
            </w:tcBorders>
          </w:tcPr>
          <w:p w14:paraId="5C88C674"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2.274</w:t>
            </w:r>
          </w:p>
        </w:tc>
        <w:tc>
          <w:tcPr>
            <w:tcW w:w="686" w:type="pct"/>
            <w:tcBorders>
              <w:top w:val="nil"/>
              <w:left w:val="nil"/>
              <w:bottom w:val="nil"/>
              <w:right w:val="nil"/>
            </w:tcBorders>
          </w:tcPr>
          <w:p w14:paraId="06323F1D"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0.648</w:t>
            </w:r>
          </w:p>
        </w:tc>
        <w:tc>
          <w:tcPr>
            <w:tcW w:w="686" w:type="pct"/>
            <w:tcBorders>
              <w:top w:val="nil"/>
              <w:left w:val="nil"/>
              <w:bottom w:val="nil"/>
              <w:right w:val="nil"/>
            </w:tcBorders>
          </w:tcPr>
          <w:p w14:paraId="50ABEF63"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59.373***</w:t>
            </w:r>
          </w:p>
        </w:tc>
        <w:tc>
          <w:tcPr>
            <w:tcW w:w="686" w:type="pct"/>
            <w:tcBorders>
              <w:top w:val="nil"/>
              <w:left w:val="nil"/>
              <w:bottom w:val="nil"/>
              <w:right w:val="nil"/>
            </w:tcBorders>
          </w:tcPr>
          <w:p w14:paraId="6F0B771D"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-0.010</w:t>
            </w:r>
          </w:p>
        </w:tc>
        <w:tc>
          <w:tcPr>
            <w:tcW w:w="829" w:type="pct"/>
            <w:tcBorders>
              <w:top w:val="nil"/>
              <w:left w:val="nil"/>
              <w:bottom w:val="nil"/>
              <w:right w:val="nil"/>
            </w:tcBorders>
          </w:tcPr>
          <w:p w14:paraId="25E57EAF"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0.160</w:t>
            </w:r>
          </w:p>
        </w:tc>
      </w:tr>
      <w:tr w:rsidR="00CD4846" w:rsidRPr="00CD4846" w14:paraId="275DA021" w14:textId="77777777" w:rsidTr="005B48E8">
        <w:tc>
          <w:tcPr>
            <w:tcW w:w="1426" w:type="pct"/>
            <w:tcBorders>
              <w:top w:val="nil"/>
              <w:left w:val="nil"/>
              <w:bottom w:val="nil"/>
              <w:right w:val="nil"/>
            </w:tcBorders>
          </w:tcPr>
          <w:p w14:paraId="74E699BB" w14:textId="75253267" w:rsidR="00CD4846" w:rsidRPr="00CD4846" w:rsidRDefault="00CD4846" w:rsidP="00FF1F0E">
            <w:pPr>
              <w:widowControl w:val="0"/>
              <w:autoSpaceDE w:val="0"/>
              <w:autoSpaceDN w:val="0"/>
              <w:adjustRightInd w:val="0"/>
              <w:spacing w:line="240" w:lineRule="auto"/>
              <w:rPr>
                <w:rFonts w:cs="Times New Roman"/>
                <w:kern w:val="2"/>
                <w:sz w:val="20"/>
                <w:szCs w:val="20"/>
                <w:lang/>
              </w:rPr>
            </w:pPr>
          </w:p>
        </w:tc>
        <w:tc>
          <w:tcPr>
            <w:tcW w:w="686" w:type="pct"/>
            <w:tcBorders>
              <w:top w:val="nil"/>
              <w:left w:val="nil"/>
              <w:bottom w:val="nil"/>
              <w:right w:val="nil"/>
            </w:tcBorders>
          </w:tcPr>
          <w:p w14:paraId="4DA4913F"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(4.828)</w:t>
            </w:r>
          </w:p>
        </w:tc>
        <w:tc>
          <w:tcPr>
            <w:tcW w:w="686" w:type="pct"/>
            <w:tcBorders>
              <w:top w:val="nil"/>
              <w:left w:val="nil"/>
              <w:bottom w:val="nil"/>
              <w:right w:val="nil"/>
            </w:tcBorders>
          </w:tcPr>
          <w:p w14:paraId="3D64F088"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(0.819)</w:t>
            </w:r>
          </w:p>
        </w:tc>
        <w:tc>
          <w:tcPr>
            <w:tcW w:w="686" w:type="pct"/>
            <w:tcBorders>
              <w:top w:val="nil"/>
              <w:left w:val="nil"/>
              <w:bottom w:val="nil"/>
              <w:right w:val="nil"/>
            </w:tcBorders>
          </w:tcPr>
          <w:p w14:paraId="646C78A8"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(20.650)</w:t>
            </w:r>
          </w:p>
        </w:tc>
        <w:tc>
          <w:tcPr>
            <w:tcW w:w="686" w:type="pct"/>
            <w:tcBorders>
              <w:top w:val="nil"/>
              <w:left w:val="nil"/>
              <w:bottom w:val="nil"/>
              <w:right w:val="nil"/>
            </w:tcBorders>
          </w:tcPr>
          <w:p w14:paraId="305DAA69"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(0.035)</w:t>
            </w:r>
          </w:p>
        </w:tc>
        <w:tc>
          <w:tcPr>
            <w:tcW w:w="829" w:type="pct"/>
            <w:tcBorders>
              <w:top w:val="nil"/>
              <w:left w:val="nil"/>
              <w:bottom w:val="nil"/>
              <w:right w:val="nil"/>
            </w:tcBorders>
          </w:tcPr>
          <w:p w14:paraId="145F4EC5"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(0.120)</w:t>
            </w:r>
          </w:p>
        </w:tc>
      </w:tr>
      <w:tr w:rsidR="00CD4846" w:rsidRPr="00CD4846" w14:paraId="163750C7" w14:textId="77777777" w:rsidTr="005B48E8">
        <w:tc>
          <w:tcPr>
            <w:tcW w:w="1426" w:type="pct"/>
            <w:tcBorders>
              <w:top w:val="nil"/>
              <w:left w:val="nil"/>
              <w:bottom w:val="nil"/>
              <w:right w:val="nil"/>
            </w:tcBorders>
          </w:tcPr>
          <w:p w14:paraId="4DD4CD2E" w14:textId="2F0B84B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Prior Deaths (1ks)</w:t>
            </w:r>
          </w:p>
        </w:tc>
        <w:tc>
          <w:tcPr>
            <w:tcW w:w="686" w:type="pct"/>
            <w:tcBorders>
              <w:top w:val="nil"/>
              <w:left w:val="nil"/>
              <w:bottom w:val="nil"/>
              <w:right w:val="nil"/>
            </w:tcBorders>
          </w:tcPr>
          <w:p w14:paraId="77D04A94"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3.951</w:t>
            </w:r>
          </w:p>
        </w:tc>
        <w:tc>
          <w:tcPr>
            <w:tcW w:w="686" w:type="pct"/>
            <w:tcBorders>
              <w:top w:val="nil"/>
              <w:left w:val="nil"/>
              <w:bottom w:val="nil"/>
              <w:right w:val="nil"/>
            </w:tcBorders>
          </w:tcPr>
          <w:p w14:paraId="0CCA0D0D"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2.200</w:t>
            </w:r>
          </w:p>
        </w:tc>
        <w:tc>
          <w:tcPr>
            <w:tcW w:w="686" w:type="pct"/>
            <w:tcBorders>
              <w:top w:val="nil"/>
              <w:left w:val="nil"/>
              <w:bottom w:val="nil"/>
              <w:right w:val="nil"/>
            </w:tcBorders>
          </w:tcPr>
          <w:p w14:paraId="3E6353CF"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-22.316</w:t>
            </w:r>
          </w:p>
        </w:tc>
        <w:tc>
          <w:tcPr>
            <w:tcW w:w="686" w:type="pct"/>
            <w:tcBorders>
              <w:top w:val="nil"/>
              <w:left w:val="nil"/>
              <w:bottom w:val="nil"/>
              <w:right w:val="nil"/>
            </w:tcBorders>
          </w:tcPr>
          <w:p w14:paraId="03930CDC"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-0.177**</w:t>
            </w:r>
          </w:p>
        </w:tc>
        <w:tc>
          <w:tcPr>
            <w:tcW w:w="829" w:type="pct"/>
            <w:tcBorders>
              <w:top w:val="nil"/>
              <w:left w:val="nil"/>
              <w:bottom w:val="nil"/>
              <w:right w:val="nil"/>
            </w:tcBorders>
          </w:tcPr>
          <w:p w14:paraId="3B611389"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-0.297**</w:t>
            </w:r>
          </w:p>
        </w:tc>
      </w:tr>
      <w:tr w:rsidR="00CD4846" w:rsidRPr="00CD4846" w14:paraId="7B8DE6D1" w14:textId="77777777" w:rsidTr="005B48E8">
        <w:tc>
          <w:tcPr>
            <w:tcW w:w="1426" w:type="pct"/>
            <w:tcBorders>
              <w:top w:val="nil"/>
              <w:left w:val="nil"/>
              <w:bottom w:val="nil"/>
              <w:right w:val="nil"/>
            </w:tcBorders>
          </w:tcPr>
          <w:p w14:paraId="6322AC3F" w14:textId="67EF3E83" w:rsidR="00CD4846" w:rsidRPr="00CD4846" w:rsidRDefault="00CD4846" w:rsidP="00FF1F0E">
            <w:pPr>
              <w:widowControl w:val="0"/>
              <w:autoSpaceDE w:val="0"/>
              <w:autoSpaceDN w:val="0"/>
              <w:adjustRightInd w:val="0"/>
              <w:spacing w:line="240" w:lineRule="auto"/>
              <w:rPr>
                <w:rFonts w:cs="Times New Roman"/>
                <w:kern w:val="2"/>
                <w:sz w:val="20"/>
                <w:szCs w:val="20"/>
                <w:lang/>
              </w:rPr>
            </w:pPr>
          </w:p>
        </w:tc>
        <w:tc>
          <w:tcPr>
            <w:tcW w:w="686" w:type="pct"/>
            <w:tcBorders>
              <w:top w:val="nil"/>
              <w:left w:val="nil"/>
              <w:bottom w:val="nil"/>
              <w:right w:val="nil"/>
            </w:tcBorders>
          </w:tcPr>
          <w:p w14:paraId="4436D171"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(6.754)</w:t>
            </w:r>
          </w:p>
        </w:tc>
        <w:tc>
          <w:tcPr>
            <w:tcW w:w="686" w:type="pct"/>
            <w:tcBorders>
              <w:top w:val="nil"/>
              <w:left w:val="nil"/>
              <w:bottom w:val="nil"/>
              <w:right w:val="nil"/>
            </w:tcBorders>
          </w:tcPr>
          <w:p w14:paraId="060DACC1"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(2.481)</w:t>
            </w:r>
          </w:p>
        </w:tc>
        <w:tc>
          <w:tcPr>
            <w:tcW w:w="686" w:type="pct"/>
            <w:tcBorders>
              <w:top w:val="nil"/>
              <w:left w:val="nil"/>
              <w:bottom w:val="nil"/>
              <w:right w:val="nil"/>
            </w:tcBorders>
          </w:tcPr>
          <w:p w14:paraId="55A90D47"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(14.666)</w:t>
            </w:r>
          </w:p>
        </w:tc>
        <w:tc>
          <w:tcPr>
            <w:tcW w:w="686" w:type="pct"/>
            <w:tcBorders>
              <w:top w:val="nil"/>
              <w:left w:val="nil"/>
              <w:bottom w:val="nil"/>
              <w:right w:val="nil"/>
            </w:tcBorders>
          </w:tcPr>
          <w:p w14:paraId="516F3A3A"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(0.074)</w:t>
            </w:r>
          </w:p>
        </w:tc>
        <w:tc>
          <w:tcPr>
            <w:tcW w:w="829" w:type="pct"/>
            <w:tcBorders>
              <w:top w:val="nil"/>
              <w:left w:val="nil"/>
              <w:bottom w:val="nil"/>
              <w:right w:val="nil"/>
            </w:tcBorders>
          </w:tcPr>
          <w:p w14:paraId="3319B051"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(0.130)</w:t>
            </w:r>
          </w:p>
        </w:tc>
      </w:tr>
      <w:tr w:rsidR="00CD4846" w:rsidRPr="00CD4846" w14:paraId="1E212901" w14:textId="77777777" w:rsidTr="005B48E8">
        <w:tc>
          <w:tcPr>
            <w:tcW w:w="1426" w:type="pct"/>
            <w:tcBorders>
              <w:top w:val="nil"/>
              <w:left w:val="nil"/>
              <w:bottom w:val="nil"/>
              <w:right w:val="nil"/>
            </w:tcBorders>
          </w:tcPr>
          <w:p w14:paraId="0DDCE680" w14:textId="603E2638"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O</w:t>
            </w:r>
            <w:r w:rsidRPr="00CD4846">
              <w:rPr>
                <w:rFonts w:cs="Times New Roman"/>
                <w:kern w:val="2"/>
                <w:sz w:val="20"/>
                <w:szCs w:val="20"/>
                <w:lang/>
              </w:rPr>
              <w:t xml:space="preserve">utward </w:t>
            </w:r>
            <w:r w:rsidRPr="00CD4846">
              <w:rPr>
                <w:rFonts w:cs="Times New Roman"/>
                <w:kern w:val="2"/>
                <w:sz w:val="20"/>
                <w:szCs w:val="20"/>
                <w:lang/>
              </w:rPr>
              <w:t>R</w:t>
            </w:r>
            <w:r w:rsidRPr="00CD4846">
              <w:rPr>
                <w:rFonts w:cs="Times New Roman"/>
                <w:kern w:val="2"/>
                <w:sz w:val="20"/>
                <w:szCs w:val="20"/>
                <w:lang/>
              </w:rPr>
              <w:t>eloc</w:t>
            </w:r>
            <w:r w:rsidRPr="00CD4846">
              <w:rPr>
                <w:rFonts w:cs="Times New Roman"/>
                <w:kern w:val="2"/>
                <w:sz w:val="20"/>
                <w:szCs w:val="20"/>
                <w:lang/>
              </w:rPr>
              <w:t>.</w:t>
            </w:r>
            <w:r w:rsidRPr="00CD4846">
              <w:rPr>
                <w:rFonts w:cs="Times New Roman"/>
                <w:kern w:val="2"/>
                <w:sz w:val="20"/>
                <w:szCs w:val="20"/>
                <w:lang/>
              </w:rPr>
              <w:t xml:space="preserve"> </w:t>
            </w:r>
            <w:r w:rsidRPr="00CD4846">
              <w:rPr>
                <w:rFonts w:cs="Times New Roman"/>
                <w:kern w:val="2"/>
                <w:sz w:val="20"/>
                <w:szCs w:val="20"/>
                <w:lang/>
              </w:rPr>
              <w:t xml:space="preserve">(t-1) </w:t>
            </w:r>
            <w:r w:rsidRPr="00CD4846">
              <w:rPr>
                <w:rFonts w:cs="Times New Roman"/>
                <w:kern w:val="2"/>
                <w:sz w:val="20"/>
                <w:szCs w:val="20"/>
                <w:lang/>
              </w:rPr>
              <w:t>(1ks)</w:t>
            </w:r>
          </w:p>
        </w:tc>
        <w:tc>
          <w:tcPr>
            <w:tcW w:w="686" w:type="pct"/>
            <w:tcBorders>
              <w:top w:val="nil"/>
              <w:left w:val="nil"/>
              <w:bottom w:val="nil"/>
              <w:right w:val="nil"/>
            </w:tcBorders>
          </w:tcPr>
          <w:p w14:paraId="6E8378AA"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45.110</w:t>
            </w:r>
          </w:p>
        </w:tc>
        <w:tc>
          <w:tcPr>
            <w:tcW w:w="686" w:type="pct"/>
            <w:tcBorders>
              <w:top w:val="nil"/>
              <w:left w:val="nil"/>
              <w:bottom w:val="nil"/>
              <w:right w:val="nil"/>
            </w:tcBorders>
          </w:tcPr>
          <w:p w14:paraId="44B90C7E"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134.179**</w:t>
            </w:r>
          </w:p>
        </w:tc>
        <w:tc>
          <w:tcPr>
            <w:tcW w:w="686" w:type="pct"/>
            <w:tcBorders>
              <w:top w:val="nil"/>
              <w:left w:val="nil"/>
              <w:bottom w:val="nil"/>
              <w:right w:val="nil"/>
            </w:tcBorders>
          </w:tcPr>
          <w:p w14:paraId="0A2105A2"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5.638</w:t>
            </w:r>
          </w:p>
        </w:tc>
        <w:tc>
          <w:tcPr>
            <w:tcW w:w="686" w:type="pct"/>
            <w:tcBorders>
              <w:top w:val="nil"/>
              <w:left w:val="nil"/>
              <w:bottom w:val="nil"/>
              <w:right w:val="nil"/>
            </w:tcBorders>
          </w:tcPr>
          <w:p w14:paraId="2FE1D2BF"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2.875</w:t>
            </w:r>
          </w:p>
        </w:tc>
        <w:tc>
          <w:tcPr>
            <w:tcW w:w="829" w:type="pct"/>
            <w:tcBorders>
              <w:top w:val="nil"/>
              <w:left w:val="nil"/>
              <w:bottom w:val="nil"/>
              <w:right w:val="nil"/>
            </w:tcBorders>
          </w:tcPr>
          <w:p w14:paraId="055EBA63"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7.203*</w:t>
            </w:r>
          </w:p>
        </w:tc>
      </w:tr>
      <w:tr w:rsidR="00CD4846" w:rsidRPr="00CD4846" w14:paraId="7AF91E70" w14:textId="77777777" w:rsidTr="005B48E8">
        <w:tc>
          <w:tcPr>
            <w:tcW w:w="1426" w:type="pct"/>
            <w:tcBorders>
              <w:top w:val="nil"/>
              <w:left w:val="nil"/>
              <w:bottom w:val="nil"/>
              <w:right w:val="nil"/>
            </w:tcBorders>
          </w:tcPr>
          <w:p w14:paraId="792ED850" w14:textId="4B4D0B22" w:rsidR="00CD4846" w:rsidRPr="00CD4846" w:rsidRDefault="00CD4846" w:rsidP="00FF1F0E">
            <w:pPr>
              <w:widowControl w:val="0"/>
              <w:autoSpaceDE w:val="0"/>
              <w:autoSpaceDN w:val="0"/>
              <w:adjustRightInd w:val="0"/>
              <w:spacing w:line="240" w:lineRule="auto"/>
              <w:rPr>
                <w:rFonts w:cs="Times New Roman"/>
                <w:kern w:val="2"/>
                <w:sz w:val="20"/>
                <w:szCs w:val="20"/>
                <w:lang/>
              </w:rPr>
            </w:pPr>
          </w:p>
        </w:tc>
        <w:tc>
          <w:tcPr>
            <w:tcW w:w="686" w:type="pct"/>
            <w:tcBorders>
              <w:top w:val="nil"/>
              <w:left w:val="nil"/>
              <w:bottom w:val="nil"/>
              <w:right w:val="nil"/>
            </w:tcBorders>
          </w:tcPr>
          <w:p w14:paraId="152D63CF"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(58.866)</w:t>
            </w:r>
          </w:p>
        </w:tc>
        <w:tc>
          <w:tcPr>
            <w:tcW w:w="686" w:type="pct"/>
            <w:tcBorders>
              <w:top w:val="nil"/>
              <w:left w:val="nil"/>
              <w:bottom w:val="nil"/>
              <w:right w:val="nil"/>
            </w:tcBorders>
          </w:tcPr>
          <w:p w14:paraId="095AC1A9"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(55.445)</w:t>
            </w:r>
          </w:p>
        </w:tc>
        <w:tc>
          <w:tcPr>
            <w:tcW w:w="686" w:type="pct"/>
            <w:tcBorders>
              <w:top w:val="nil"/>
              <w:left w:val="nil"/>
              <w:bottom w:val="nil"/>
              <w:right w:val="nil"/>
            </w:tcBorders>
          </w:tcPr>
          <w:p w14:paraId="79C4327A"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(242.931)</w:t>
            </w:r>
          </w:p>
        </w:tc>
        <w:tc>
          <w:tcPr>
            <w:tcW w:w="686" w:type="pct"/>
            <w:tcBorders>
              <w:top w:val="nil"/>
              <w:left w:val="nil"/>
              <w:bottom w:val="nil"/>
              <w:right w:val="nil"/>
            </w:tcBorders>
          </w:tcPr>
          <w:p w14:paraId="76D17A76"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(2.035)</w:t>
            </w:r>
          </w:p>
        </w:tc>
        <w:tc>
          <w:tcPr>
            <w:tcW w:w="829" w:type="pct"/>
            <w:tcBorders>
              <w:top w:val="nil"/>
              <w:left w:val="nil"/>
              <w:bottom w:val="nil"/>
              <w:right w:val="nil"/>
            </w:tcBorders>
          </w:tcPr>
          <w:p w14:paraId="5D5402B7"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(4.315)</w:t>
            </w:r>
          </w:p>
        </w:tc>
      </w:tr>
      <w:tr w:rsidR="00CD4846" w:rsidRPr="00CD4846" w14:paraId="711418AE" w14:textId="77777777" w:rsidTr="005B48E8">
        <w:tc>
          <w:tcPr>
            <w:tcW w:w="1426" w:type="pct"/>
            <w:tcBorders>
              <w:top w:val="nil"/>
              <w:left w:val="nil"/>
              <w:bottom w:val="nil"/>
              <w:right w:val="nil"/>
            </w:tcBorders>
          </w:tcPr>
          <w:p w14:paraId="4211A779"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Constant</w:t>
            </w:r>
          </w:p>
        </w:tc>
        <w:tc>
          <w:tcPr>
            <w:tcW w:w="686" w:type="pct"/>
            <w:tcBorders>
              <w:top w:val="nil"/>
              <w:left w:val="nil"/>
              <w:bottom w:val="nil"/>
              <w:right w:val="nil"/>
            </w:tcBorders>
          </w:tcPr>
          <w:p w14:paraId="3A529F4E"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-3.231</w:t>
            </w:r>
          </w:p>
        </w:tc>
        <w:tc>
          <w:tcPr>
            <w:tcW w:w="686" w:type="pct"/>
            <w:tcBorders>
              <w:top w:val="nil"/>
              <w:left w:val="nil"/>
              <w:bottom w:val="nil"/>
              <w:right w:val="nil"/>
            </w:tcBorders>
          </w:tcPr>
          <w:p w14:paraId="0EB63EB8"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-3.094</w:t>
            </w:r>
          </w:p>
        </w:tc>
        <w:tc>
          <w:tcPr>
            <w:tcW w:w="686" w:type="pct"/>
            <w:tcBorders>
              <w:top w:val="nil"/>
              <w:left w:val="nil"/>
              <w:bottom w:val="nil"/>
              <w:right w:val="nil"/>
            </w:tcBorders>
          </w:tcPr>
          <w:p w14:paraId="0090C1FC"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4.556</w:t>
            </w:r>
          </w:p>
        </w:tc>
        <w:tc>
          <w:tcPr>
            <w:tcW w:w="686" w:type="pct"/>
            <w:tcBorders>
              <w:top w:val="nil"/>
              <w:left w:val="nil"/>
              <w:bottom w:val="nil"/>
              <w:right w:val="nil"/>
            </w:tcBorders>
          </w:tcPr>
          <w:p w14:paraId="4C6E894F"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0.665</w:t>
            </w:r>
          </w:p>
        </w:tc>
        <w:tc>
          <w:tcPr>
            <w:tcW w:w="829" w:type="pct"/>
            <w:tcBorders>
              <w:top w:val="nil"/>
              <w:left w:val="nil"/>
              <w:bottom w:val="nil"/>
              <w:right w:val="nil"/>
            </w:tcBorders>
          </w:tcPr>
          <w:p w14:paraId="47966E59"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-0.235</w:t>
            </w:r>
          </w:p>
        </w:tc>
      </w:tr>
      <w:tr w:rsidR="00CD4846" w:rsidRPr="00CD4846" w14:paraId="326C3C90" w14:textId="77777777" w:rsidTr="005B48E8">
        <w:tc>
          <w:tcPr>
            <w:tcW w:w="1426" w:type="pct"/>
            <w:tcBorders>
              <w:top w:val="nil"/>
              <w:left w:val="nil"/>
              <w:bottom w:val="nil"/>
              <w:right w:val="nil"/>
            </w:tcBorders>
          </w:tcPr>
          <w:p w14:paraId="2B03CEF0" w14:textId="65B0FA8E" w:rsidR="00CD4846" w:rsidRPr="00CD4846" w:rsidRDefault="00CD4846" w:rsidP="00FF1F0E">
            <w:pPr>
              <w:widowControl w:val="0"/>
              <w:autoSpaceDE w:val="0"/>
              <w:autoSpaceDN w:val="0"/>
              <w:adjustRightInd w:val="0"/>
              <w:spacing w:line="240" w:lineRule="auto"/>
              <w:rPr>
                <w:rFonts w:cs="Times New Roman"/>
                <w:kern w:val="2"/>
                <w:sz w:val="20"/>
                <w:szCs w:val="20"/>
                <w:lang/>
              </w:rPr>
            </w:pPr>
          </w:p>
        </w:tc>
        <w:tc>
          <w:tcPr>
            <w:tcW w:w="686" w:type="pct"/>
            <w:tcBorders>
              <w:top w:val="nil"/>
              <w:left w:val="nil"/>
              <w:bottom w:val="nil"/>
              <w:right w:val="nil"/>
            </w:tcBorders>
          </w:tcPr>
          <w:p w14:paraId="4C268D40"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(2.338)</w:t>
            </w:r>
          </w:p>
        </w:tc>
        <w:tc>
          <w:tcPr>
            <w:tcW w:w="686" w:type="pct"/>
            <w:tcBorders>
              <w:top w:val="nil"/>
              <w:left w:val="nil"/>
              <w:bottom w:val="nil"/>
              <w:right w:val="nil"/>
            </w:tcBorders>
          </w:tcPr>
          <w:p w14:paraId="7E05B5B3"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(3.758)</w:t>
            </w:r>
          </w:p>
        </w:tc>
        <w:tc>
          <w:tcPr>
            <w:tcW w:w="686" w:type="pct"/>
            <w:tcBorders>
              <w:top w:val="nil"/>
              <w:left w:val="nil"/>
              <w:bottom w:val="nil"/>
              <w:right w:val="nil"/>
            </w:tcBorders>
          </w:tcPr>
          <w:p w14:paraId="3C1891FB"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(5.680)</w:t>
            </w:r>
          </w:p>
        </w:tc>
        <w:tc>
          <w:tcPr>
            <w:tcW w:w="686" w:type="pct"/>
            <w:tcBorders>
              <w:top w:val="nil"/>
              <w:left w:val="nil"/>
              <w:bottom w:val="nil"/>
              <w:right w:val="nil"/>
            </w:tcBorders>
          </w:tcPr>
          <w:p w14:paraId="15A53110"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(0.558)</w:t>
            </w:r>
          </w:p>
        </w:tc>
        <w:tc>
          <w:tcPr>
            <w:tcW w:w="829" w:type="pct"/>
            <w:tcBorders>
              <w:top w:val="nil"/>
              <w:left w:val="nil"/>
              <w:bottom w:val="nil"/>
              <w:right w:val="nil"/>
            </w:tcBorders>
          </w:tcPr>
          <w:p w14:paraId="7D57F558"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(0.793)</w:t>
            </w:r>
          </w:p>
        </w:tc>
      </w:tr>
      <w:tr w:rsidR="00CD4846" w:rsidRPr="00CD4846" w14:paraId="1BA1E539" w14:textId="77777777" w:rsidTr="005B48E8">
        <w:tc>
          <w:tcPr>
            <w:tcW w:w="1426" w:type="pct"/>
            <w:tcBorders>
              <w:top w:val="nil"/>
              <w:left w:val="nil"/>
              <w:bottom w:val="nil"/>
              <w:right w:val="nil"/>
            </w:tcBorders>
          </w:tcPr>
          <w:p w14:paraId="7D5C2312" w14:textId="5189064E"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Observations</w:t>
            </w:r>
          </w:p>
        </w:tc>
        <w:tc>
          <w:tcPr>
            <w:tcW w:w="686" w:type="pct"/>
            <w:tcBorders>
              <w:top w:val="nil"/>
              <w:left w:val="nil"/>
              <w:bottom w:val="nil"/>
              <w:right w:val="nil"/>
            </w:tcBorders>
          </w:tcPr>
          <w:p w14:paraId="52BA63AC"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4694</w:t>
            </w:r>
          </w:p>
        </w:tc>
        <w:tc>
          <w:tcPr>
            <w:tcW w:w="686" w:type="pct"/>
            <w:tcBorders>
              <w:top w:val="nil"/>
              <w:left w:val="nil"/>
              <w:bottom w:val="nil"/>
              <w:right w:val="nil"/>
            </w:tcBorders>
          </w:tcPr>
          <w:p w14:paraId="538E9A52"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1941</w:t>
            </w:r>
          </w:p>
        </w:tc>
        <w:tc>
          <w:tcPr>
            <w:tcW w:w="686" w:type="pct"/>
            <w:tcBorders>
              <w:top w:val="nil"/>
              <w:left w:val="nil"/>
              <w:bottom w:val="nil"/>
              <w:right w:val="nil"/>
            </w:tcBorders>
          </w:tcPr>
          <w:p w14:paraId="20C317A7"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1740</w:t>
            </w:r>
          </w:p>
        </w:tc>
        <w:tc>
          <w:tcPr>
            <w:tcW w:w="686" w:type="pct"/>
            <w:tcBorders>
              <w:top w:val="nil"/>
              <w:left w:val="nil"/>
              <w:bottom w:val="nil"/>
              <w:right w:val="nil"/>
            </w:tcBorders>
          </w:tcPr>
          <w:p w14:paraId="776F2FAA"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22344</w:t>
            </w:r>
          </w:p>
        </w:tc>
        <w:tc>
          <w:tcPr>
            <w:tcW w:w="829" w:type="pct"/>
            <w:tcBorders>
              <w:top w:val="nil"/>
              <w:left w:val="nil"/>
              <w:bottom w:val="nil"/>
              <w:right w:val="nil"/>
            </w:tcBorders>
          </w:tcPr>
          <w:p w14:paraId="7F849054"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16503</w:t>
            </w:r>
          </w:p>
        </w:tc>
      </w:tr>
      <w:tr w:rsidR="00CD4846" w:rsidRPr="00CD4846" w14:paraId="06462032" w14:textId="77777777" w:rsidTr="005B48E8">
        <w:tc>
          <w:tcPr>
            <w:tcW w:w="1426" w:type="pct"/>
            <w:tcBorders>
              <w:top w:val="nil"/>
              <w:left w:val="nil"/>
              <w:bottom w:val="nil"/>
              <w:right w:val="nil"/>
            </w:tcBorders>
          </w:tcPr>
          <w:p w14:paraId="2CE3752E" w14:textId="10C3CDAF"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Pseudo R</w:t>
            </w:r>
            <w:r w:rsidRPr="00CD4846">
              <w:rPr>
                <w:rFonts w:cs="Times New Roman"/>
                <w:kern w:val="2"/>
                <w:sz w:val="20"/>
                <w:szCs w:val="20"/>
                <w:vertAlign w:val="superscript"/>
                <w:lang/>
              </w:rPr>
              <w:t>2</w:t>
            </w:r>
          </w:p>
        </w:tc>
        <w:tc>
          <w:tcPr>
            <w:tcW w:w="686" w:type="pct"/>
            <w:tcBorders>
              <w:top w:val="nil"/>
              <w:left w:val="nil"/>
              <w:bottom w:val="nil"/>
              <w:right w:val="nil"/>
            </w:tcBorders>
          </w:tcPr>
          <w:p w14:paraId="2D132567"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0.147</w:t>
            </w:r>
          </w:p>
        </w:tc>
        <w:tc>
          <w:tcPr>
            <w:tcW w:w="686" w:type="pct"/>
            <w:tcBorders>
              <w:top w:val="nil"/>
              <w:left w:val="nil"/>
              <w:bottom w:val="nil"/>
              <w:right w:val="nil"/>
            </w:tcBorders>
          </w:tcPr>
          <w:p w14:paraId="528EA307"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0.256</w:t>
            </w:r>
          </w:p>
        </w:tc>
        <w:tc>
          <w:tcPr>
            <w:tcW w:w="686" w:type="pct"/>
            <w:tcBorders>
              <w:top w:val="nil"/>
              <w:left w:val="nil"/>
              <w:bottom w:val="nil"/>
              <w:right w:val="nil"/>
            </w:tcBorders>
          </w:tcPr>
          <w:p w14:paraId="45112FBD"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0.130</w:t>
            </w:r>
          </w:p>
        </w:tc>
        <w:tc>
          <w:tcPr>
            <w:tcW w:w="686" w:type="pct"/>
            <w:tcBorders>
              <w:top w:val="nil"/>
              <w:left w:val="nil"/>
              <w:bottom w:val="nil"/>
              <w:right w:val="nil"/>
            </w:tcBorders>
          </w:tcPr>
          <w:p w14:paraId="3F614A97"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0.577</w:t>
            </w:r>
          </w:p>
        </w:tc>
        <w:tc>
          <w:tcPr>
            <w:tcW w:w="829" w:type="pct"/>
            <w:tcBorders>
              <w:top w:val="nil"/>
              <w:left w:val="nil"/>
              <w:bottom w:val="nil"/>
              <w:right w:val="nil"/>
            </w:tcBorders>
          </w:tcPr>
          <w:p w14:paraId="12775009"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0.476</w:t>
            </w:r>
          </w:p>
        </w:tc>
      </w:tr>
      <w:tr w:rsidR="00CD4846" w:rsidRPr="00CD4846" w14:paraId="6226F66D" w14:textId="77777777" w:rsidTr="005B48E8">
        <w:tc>
          <w:tcPr>
            <w:tcW w:w="1426" w:type="pct"/>
            <w:tcBorders>
              <w:top w:val="nil"/>
              <w:left w:val="nil"/>
              <w:bottom w:val="nil"/>
              <w:right w:val="nil"/>
            </w:tcBorders>
          </w:tcPr>
          <w:p w14:paraId="4B4DD71C" w14:textId="42B662E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Chi</w:t>
            </w:r>
            <w:r w:rsidRPr="00CD4846">
              <w:rPr>
                <w:rFonts w:cs="Times New Roman"/>
                <w:kern w:val="2"/>
                <w:sz w:val="20"/>
                <w:szCs w:val="20"/>
                <w:vertAlign w:val="superscript"/>
                <w:lang/>
              </w:rPr>
              <w:t>2</w:t>
            </w:r>
          </w:p>
        </w:tc>
        <w:tc>
          <w:tcPr>
            <w:tcW w:w="686" w:type="pct"/>
            <w:tcBorders>
              <w:top w:val="nil"/>
              <w:left w:val="nil"/>
              <w:bottom w:val="nil"/>
              <w:right w:val="nil"/>
            </w:tcBorders>
          </w:tcPr>
          <w:p w14:paraId="044228D0"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24</w:t>
            </w:r>
          </w:p>
        </w:tc>
        <w:tc>
          <w:tcPr>
            <w:tcW w:w="686" w:type="pct"/>
            <w:tcBorders>
              <w:top w:val="nil"/>
              <w:left w:val="nil"/>
              <w:bottom w:val="nil"/>
              <w:right w:val="nil"/>
            </w:tcBorders>
          </w:tcPr>
          <w:p w14:paraId="79246CA8"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45</w:t>
            </w:r>
          </w:p>
        </w:tc>
        <w:tc>
          <w:tcPr>
            <w:tcW w:w="686" w:type="pct"/>
            <w:tcBorders>
              <w:top w:val="nil"/>
              <w:left w:val="nil"/>
              <w:bottom w:val="nil"/>
              <w:right w:val="nil"/>
            </w:tcBorders>
          </w:tcPr>
          <w:p w14:paraId="0569529C"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23</w:t>
            </w:r>
          </w:p>
        </w:tc>
        <w:tc>
          <w:tcPr>
            <w:tcW w:w="686" w:type="pct"/>
            <w:tcBorders>
              <w:top w:val="nil"/>
              <w:left w:val="nil"/>
              <w:bottom w:val="nil"/>
              <w:right w:val="nil"/>
            </w:tcBorders>
          </w:tcPr>
          <w:p w14:paraId="3492DB9A"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50</w:t>
            </w:r>
          </w:p>
        </w:tc>
        <w:tc>
          <w:tcPr>
            <w:tcW w:w="829" w:type="pct"/>
            <w:tcBorders>
              <w:top w:val="nil"/>
              <w:left w:val="nil"/>
              <w:bottom w:val="nil"/>
              <w:right w:val="nil"/>
            </w:tcBorders>
          </w:tcPr>
          <w:p w14:paraId="00FF6DE1"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51</w:t>
            </w:r>
          </w:p>
        </w:tc>
      </w:tr>
      <w:tr w:rsidR="00CD4846" w:rsidRPr="00CD4846" w14:paraId="2DCA31C1" w14:textId="77777777" w:rsidTr="005B48E8">
        <w:tc>
          <w:tcPr>
            <w:tcW w:w="1426" w:type="pct"/>
            <w:tcBorders>
              <w:top w:val="nil"/>
              <w:left w:val="nil"/>
              <w:bottom w:val="nil"/>
              <w:right w:val="nil"/>
            </w:tcBorders>
          </w:tcPr>
          <w:p w14:paraId="0BC89B74" w14:textId="69FD17D3"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Log Likelihood</w:t>
            </w:r>
          </w:p>
        </w:tc>
        <w:tc>
          <w:tcPr>
            <w:tcW w:w="686" w:type="pct"/>
            <w:tcBorders>
              <w:top w:val="nil"/>
              <w:left w:val="nil"/>
              <w:bottom w:val="nil"/>
              <w:right w:val="nil"/>
            </w:tcBorders>
          </w:tcPr>
          <w:p w14:paraId="2A0066A4"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-2215</w:t>
            </w:r>
          </w:p>
        </w:tc>
        <w:tc>
          <w:tcPr>
            <w:tcW w:w="686" w:type="pct"/>
            <w:tcBorders>
              <w:top w:val="nil"/>
              <w:left w:val="nil"/>
              <w:bottom w:val="nil"/>
              <w:right w:val="nil"/>
            </w:tcBorders>
          </w:tcPr>
          <w:p w14:paraId="6C6E6F93"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-1042</w:t>
            </w:r>
          </w:p>
        </w:tc>
        <w:tc>
          <w:tcPr>
            <w:tcW w:w="686" w:type="pct"/>
            <w:tcBorders>
              <w:top w:val="nil"/>
              <w:left w:val="nil"/>
              <w:bottom w:val="nil"/>
              <w:right w:val="nil"/>
            </w:tcBorders>
          </w:tcPr>
          <w:p w14:paraId="63BB5DF9"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-825</w:t>
            </w:r>
          </w:p>
        </w:tc>
        <w:tc>
          <w:tcPr>
            <w:tcW w:w="686" w:type="pct"/>
            <w:tcBorders>
              <w:top w:val="nil"/>
              <w:left w:val="nil"/>
              <w:bottom w:val="nil"/>
              <w:right w:val="nil"/>
            </w:tcBorders>
          </w:tcPr>
          <w:p w14:paraId="2611182A"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-23821</w:t>
            </w:r>
          </w:p>
        </w:tc>
        <w:tc>
          <w:tcPr>
            <w:tcW w:w="829" w:type="pct"/>
            <w:tcBorders>
              <w:top w:val="nil"/>
              <w:left w:val="nil"/>
              <w:bottom w:val="nil"/>
              <w:right w:val="nil"/>
            </w:tcBorders>
          </w:tcPr>
          <w:p w14:paraId="78D8BCA6"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-12141</w:t>
            </w:r>
          </w:p>
        </w:tc>
      </w:tr>
      <w:tr w:rsidR="00CD4846" w:rsidRPr="00CD4846" w14:paraId="16EC4B0C" w14:textId="77777777" w:rsidTr="005B48E8">
        <w:tc>
          <w:tcPr>
            <w:tcW w:w="1426" w:type="pct"/>
            <w:tcBorders>
              <w:top w:val="nil"/>
              <w:left w:val="nil"/>
              <w:bottom w:val="nil"/>
              <w:right w:val="nil"/>
            </w:tcBorders>
          </w:tcPr>
          <w:p w14:paraId="40E37FEC" w14:textId="2D87E6AD"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Akaike’s Criterion</w:t>
            </w:r>
          </w:p>
        </w:tc>
        <w:tc>
          <w:tcPr>
            <w:tcW w:w="686" w:type="pct"/>
            <w:tcBorders>
              <w:top w:val="nil"/>
              <w:left w:val="nil"/>
              <w:bottom w:val="nil"/>
              <w:right w:val="nil"/>
            </w:tcBorders>
          </w:tcPr>
          <w:p w14:paraId="72AF4D29"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4470</w:t>
            </w:r>
          </w:p>
        </w:tc>
        <w:tc>
          <w:tcPr>
            <w:tcW w:w="686" w:type="pct"/>
            <w:tcBorders>
              <w:top w:val="nil"/>
              <w:left w:val="nil"/>
              <w:bottom w:val="nil"/>
              <w:right w:val="nil"/>
            </w:tcBorders>
          </w:tcPr>
          <w:p w14:paraId="4A300239"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2123</w:t>
            </w:r>
          </w:p>
        </w:tc>
        <w:tc>
          <w:tcPr>
            <w:tcW w:w="686" w:type="pct"/>
            <w:tcBorders>
              <w:top w:val="nil"/>
              <w:left w:val="nil"/>
              <w:bottom w:val="nil"/>
              <w:right w:val="nil"/>
            </w:tcBorders>
          </w:tcPr>
          <w:p w14:paraId="2ED226F0"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1688</w:t>
            </w:r>
          </w:p>
        </w:tc>
        <w:tc>
          <w:tcPr>
            <w:tcW w:w="686" w:type="pct"/>
            <w:tcBorders>
              <w:top w:val="nil"/>
              <w:left w:val="nil"/>
              <w:bottom w:val="nil"/>
              <w:right w:val="nil"/>
            </w:tcBorders>
          </w:tcPr>
          <w:p w14:paraId="4F2CA40C"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47682</w:t>
            </w:r>
          </w:p>
        </w:tc>
        <w:tc>
          <w:tcPr>
            <w:tcW w:w="829" w:type="pct"/>
            <w:tcBorders>
              <w:top w:val="nil"/>
              <w:left w:val="nil"/>
              <w:bottom w:val="nil"/>
              <w:right w:val="nil"/>
            </w:tcBorders>
          </w:tcPr>
          <w:p w14:paraId="7E9E388C"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24323</w:t>
            </w:r>
          </w:p>
        </w:tc>
      </w:tr>
      <w:tr w:rsidR="00CD4846" w:rsidRPr="00CD4846" w14:paraId="4F684AE7" w14:textId="77777777" w:rsidTr="005B48E8">
        <w:tc>
          <w:tcPr>
            <w:tcW w:w="1426" w:type="pct"/>
            <w:tcBorders>
              <w:top w:val="nil"/>
              <w:left w:val="nil"/>
              <w:bottom w:val="nil"/>
              <w:right w:val="nil"/>
            </w:tcBorders>
          </w:tcPr>
          <w:p w14:paraId="0207CC54" w14:textId="51A93956"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Bayesian Criterion</w:t>
            </w:r>
          </w:p>
        </w:tc>
        <w:tc>
          <w:tcPr>
            <w:tcW w:w="686" w:type="pct"/>
            <w:tcBorders>
              <w:top w:val="nil"/>
              <w:left w:val="nil"/>
              <w:bottom w:val="nil"/>
              <w:right w:val="nil"/>
            </w:tcBorders>
          </w:tcPr>
          <w:p w14:paraId="00365224"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4599</w:t>
            </w:r>
          </w:p>
        </w:tc>
        <w:tc>
          <w:tcPr>
            <w:tcW w:w="686" w:type="pct"/>
            <w:tcBorders>
              <w:top w:val="nil"/>
              <w:left w:val="nil"/>
              <w:bottom w:val="nil"/>
              <w:right w:val="nil"/>
            </w:tcBorders>
          </w:tcPr>
          <w:p w14:paraId="3EF9D538"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2229</w:t>
            </w:r>
          </w:p>
        </w:tc>
        <w:tc>
          <w:tcPr>
            <w:tcW w:w="686" w:type="pct"/>
            <w:tcBorders>
              <w:top w:val="nil"/>
              <w:left w:val="nil"/>
              <w:bottom w:val="nil"/>
              <w:right w:val="nil"/>
            </w:tcBorders>
          </w:tcPr>
          <w:p w14:paraId="1175A147"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1792</w:t>
            </w:r>
          </w:p>
        </w:tc>
        <w:tc>
          <w:tcPr>
            <w:tcW w:w="686" w:type="pct"/>
            <w:tcBorders>
              <w:top w:val="nil"/>
              <w:left w:val="nil"/>
              <w:bottom w:val="nil"/>
              <w:right w:val="nil"/>
            </w:tcBorders>
          </w:tcPr>
          <w:p w14:paraId="68B8E580"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47843</w:t>
            </w:r>
          </w:p>
        </w:tc>
        <w:tc>
          <w:tcPr>
            <w:tcW w:w="829" w:type="pct"/>
            <w:tcBorders>
              <w:top w:val="nil"/>
              <w:left w:val="nil"/>
              <w:bottom w:val="nil"/>
              <w:right w:val="nil"/>
            </w:tcBorders>
          </w:tcPr>
          <w:p w14:paraId="18494EFF"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24477</w:t>
            </w:r>
          </w:p>
        </w:tc>
      </w:tr>
      <w:tr w:rsidR="00CD4846" w:rsidRPr="00CD4846" w14:paraId="7C3B5EF3" w14:textId="77777777" w:rsidTr="005B48E8">
        <w:tc>
          <w:tcPr>
            <w:tcW w:w="1426" w:type="pct"/>
            <w:tcBorders>
              <w:top w:val="nil"/>
              <w:left w:val="nil"/>
              <w:bottom w:val="nil"/>
              <w:right w:val="nil"/>
            </w:tcBorders>
          </w:tcPr>
          <w:p w14:paraId="6F0E5795"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County FE</w:t>
            </w:r>
          </w:p>
        </w:tc>
        <w:tc>
          <w:tcPr>
            <w:tcW w:w="686" w:type="pct"/>
            <w:tcBorders>
              <w:top w:val="nil"/>
              <w:left w:val="nil"/>
              <w:bottom w:val="nil"/>
              <w:right w:val="nil"/>
            </w:tcBorders>
          </w:tcPr>
          <w:p w14:paraId="1442DCE7"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686" w:type="pct"/>
            <w:tcBorders>
              <w:top w:val="nil"/>
              <w:left w:val="nil"/>
              <w:bottom w:val="nil"/>
              <w:right w:val="nil"/>
            </w:tcBorders>
          </w:tcPr>
          <w:p w14:paraId="64214170"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686" w:type="pct"/>
            <w:tcBorders>
              <w:top w:val="nil"/>
              <w:left w:val="nil"/>
              <w:bottom w:val="nil"/>
              <w:right w:val="nil"/>
            </w:tcBorders>
          </w:tcPr>
          <w:p w14:paraId="6AD85661"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686" w:type="pct"/>
            <w:tcBorders>
              <w:top w:val="nil"/>
              <w:left w:val="nil"/>
              <w:bottom w:val="nil"/>
              <w:right w:val="nil"/>
            </w:tcBorders>
          </w:tcPr>
          <w:p w14:paraId="0876A846"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829" w:type="pct"/>
            <w:tcBorders>
              <w:top w:val="nil"/>
              <w:left w:val="nil"/>
              <w:bottom w:val="nil"/>
              <w:right w:val="nil"/>
            </w:tcBorders>
          </w:tcPr>
          <w:p w14:paraId="4B224199"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r>
    </w:tbl>
    <w:p w14:paraId="46CC2559" w14:textId="77777777" w:rsidR="003959BE" w:rsidRDefault="003959BE" w:rsidP="004C39A4">
      <w:pPr>
        <w:spacing w:line="240" w:lineRule="auto"/>
        <w:rPr>
          <w:b/>
          <w:bCs/>
        </w:rPr>
      </w:pPr>
    </w:p>
    <w:p w14:paraId="400E9E1F" w14:textId="77777777" w:rsidR="003959BE" w:rsidRDefault="003959BE" w:rsidP="004C39A4">
      <w:pPr>
        <w:spacing w:line="240" w:lineRule="auto"/>
        <w:rPr>
          <w:b/>
          <w:bCs/>
        </w:rPr>
      </w:pPr>
    </w:p>
    <w:p w14:paraId="00D06ED9" w14:textId="77777777" w:rsidR="003959BE" w:rsidRDefault="003959BE" w:rsidP="004C39A4">
      <w:pPr>
        <w:spacing w:line="240" w:lineRule="auto"/>
        <w:rPr>
          <w:b/>
          <w:bCs/>
        </w:rPr>
      </w:pPr>
    </w:p>
    <w:p w14:paraId="453FBA91" w14:textId="77777777" w:rsidR="003959BE" w:rsidRDefault="003959BE" w:rsidP="004C39A4">
      <w:pPr>
        <w:spacing w:line="240" w:lineRule="auto"/>
        <w:rPr>
          <w:b/>
          <w:bCs/>
        </w:rPr>
      </w:pPr>
    </w:p>
    <w:p w14:paraId="5BCAD045" w14:textId="57391DF9" w:rsidR="005B48E8" w:rsidRPr="00BA2684" w:rsidRDefault="005B48E8" w:rsidP="004C39A4">
      <w:pPr>
        <w:spacing w:line="240" w:lineRule="auto"/>
        <w:rPr>
          <w:b/>
          <w:bCs/>
        </w:rPr>
      </w:pPr>
      <w:r w:rsidRPr="00BA2684">
        <w:rPr>
          <w:b/>
          <w:bCs/>
        </w:rPr>
        <w:lastRenderedPageBreak/>
        <w:t>Table A10 Continued</w:t>
      </w:r>
    </w:p>
    <w:tbl>
      <w:tblPr>
        <w:tblW w:w="5000" w:type="pct"/>
        <w:tblLook w:val="04A0" w:firstRow="1" w:lastRow="0" w:firstColumn="1" w:lastColumn="0" w:noHBand="0" w:noVBand="1"/>
      </w:tblPr>
      <w:tblGrid>
        <w:gridCol w:w="2669"/>
        <w:gridCol w:w="1285"/>
        <w:gridCol w:w="1284"/>
        <w:gridCol w:w="1284"/>
        <w:gridCol w:w="1284"/>
        <w:gridCol w:w="1554"/>
      </w:tblGrid>
      <w:tr w:rsidR="00BA2684" w:rsidRPr="00FF1F0E" w14:paraId="3E354F15" w14:textId="77777777" w:rsidTr="002A78A3">
        <w:tc>
          <w:tcPr>
            <w:tcW w:w="1425" w:type="pct"/>
            <w:tcBorders>
              <w:top w:val="single" w:sz="4" w:space="0" w:color="auto"/>
              <w:left w:val="nil"/>
              <w:bottom w:val="single" w:sz="4" w:space="0" w:color="auto"/>
              <w:right w:val="nil"/>
            </w:tcBorders>
          </w:tcPr>
          <w:p w14:paraId="2162D3FF" w14:textId="14E96CB9" w:rsidR="00BA2684" w:rsidRPr="00FF1F0E" w:rsidRDefault="00BA2684" w:rsidP="00FF1F0E">
            <w:pPr>
              <w:widowControl w:val="0"/>
              <w:autoSpaceDE w:val="0"/>
              <w:autoSpaceDN w:val="0"/>
              <w:adjustRightInd w:val="0"/>
              <w:spacing w:line="240" w:lineRule="auto"/>
              <w:rPr>
                <w:rFonts w:cs="Times New Roman"/>
                <w:kern w:val="2"/>
                <w:sz w:val="20"/>
                <w:szCs w:val="20"/>
                <w:lang/>
              </w:rPr>
            </w:pPr>
            <w:r w:rsidRPr="00CD4846">
              <w:rPr>
                <w:rFonts w:cs="Times New Roman"/>
                <w:b/>
                <w:bCs/>
                <w:kern w:val="2"/>
                <w:sz w:val="20"/>
                <w:szCs w:val="20"/>
                <w:lang/>
              </w:rPr>
              <w:t>Variable</w:t>
            </w:r>
          </w:p>
        </w:tc>
        <w:tc>
          <w:tcPr>
            <w:tcW w:w="686" w:type="pct"/>
            <w:tcBorders>
              <w:top w:val="single" w:sz="4" w:space="0" w:color="auto"/>
              <w:left w:val="nil"/>
              <w:bottom w:val="single" w:sz="4" w:space="0" w:color="auto"/>
              <w:right w:val="nil"/>
            </w:tcBorders>
          </w:tcPr>
          <w:p w14:paraId="676BAE8F" w14:textId="4D149C64" w:rsidR="00BA2684" w:rsidRPr="00FF1F0E" w:rsidRDefault="00BA2684" w:rsidP="00FF1F0E">
            <w:pPr>
              <w:widowControl w:val="0"/>
              <w:autoSpaceDE w:val="0"/>
              <w:autoSpaceDN w:val="0"/>
              <w:adjustRightInd w:val="0"/>
              <w:spacing w:line="240" w:lineRule="auto"/>
              <w:rPr>
                <w:rFonts w:cs="Times New Roman"/>
                <w:kern w:val="2"/>
                <w:sz w:val="20"/>
                <w:szCs w:val="20"/>
                <w:lang/>
              </w:rPr>
            </w:pPr>
            <w:r w:rsidRPr="00CD4846">
              <w:rPr>
                <w:rFonts w:cs="Times New Roman"/>
                <w:b/>
                <w:bCs/>
                <w:kern w:val="2"/>
                <w:sz w:val="20"/>
                <w:szCs w:val="20"/>
                <w:lang/>
              </w:rPr>
              <w:t>NAICS 11</w:t>
            </w:r>
          </w:p>
        </w:tc>
        <w:tc>
          <w:tcPr>
            <w:tcW w:w="686" w:type="pct"/>
            <w:tcBorders>
              <w:top w:val="single" w:sz="4" w:space="0" w:color="auto"/>
              <w:left w:val="nil"/>
              <w:bottom w:val="single" w:sz="4" w:space="0" w:color="auto"/>
              <w:right w:val="nil"/>
            </w:tcBorders>
          </w:tcPr>
          <w:p w14:paraId="29148462" w14:textId="2AC07847" w:rsidR="00BA2684" w:rsidRPr="00FF1F0E" w:rsidRDefault="00BA2684" w:rsidP="00FF1F0E">
            <w:pPr>
              <w:widowControl w:val="0"/>
              <w:autoSpaceDE w:val="0"/>
              <w:autoSpaceDN w:val="0"/>
              <w:adjustRightInd w:val="0"/>
              <w:spacing w:line="240" w:lineRule="auto"/>
              <w:rPr>
                <w:rFonts w:cs="Times New Roman"/>
                <w:kern w:val="2"/>
                <w:sz w:val="20"/>
                <w:szCs w:val="20"/>
                <w:lang/>
              </w:rPr>
            </w:pPr>
            <w:r w:rsidRPr="00CD4846">
              <w:rPr>
                <w:rFonts w:cs="Times New Roman"/>
                <w:b/>
                <w:bCs/>
                <w:kern w:val="2"/>
                <w:sz w:val="20"/>
                <w:szCs w:val="20"/>
                <w:lang/>
              </w:rPr>
              <w:t>NAICS 21</w:t>
            </w:r>
          </w:p>
        </w:tc>
        <w:tc>
          <w:tcPr>
            <w:tcW w:w="686" w:type="pct"/>
            <w:tcBorders>
              <w:top w:val="single" w:sz="4" w:space="0" w:color="auto"/>
              <w:left w:val="nil"/>
              <w:bottom w:val="single" w:sz="4" w:space="0" w:color="auto"/>
              <w:right w:val="nil"/>
            </w:tcBorders>
          </w:tcPr>
          <w:p w14:paraId="132774AD" w14:textId="34D30E5D" w:rsidR="00BA2684" w:rsidRPr="00FF1F0E" w:rsidRDefault="00BA2684" w:rsidP="00FF1F0E">
            <w:pPr>
              <w:widowControl w:val="0"/>
              <w:autoSpaceDE w:val="0"/>
              <w:autoSpaceDN w:val="0"/>
              <w:adjustRightInd w:val="0"/>
              <w:spacing w:line="240" w:lineRule="auto"/>
              <w:rPr>
                <w:rFonts w:cs="Times New Roman"/>
                <w:kern w:val="2"/>
                <w:sz w:val="20"/>
                <w:szCs w:val="20"/>
                <w:lang/>
              </w:rPr>
            </w:pPr>
            <w:r w:rsidRPr="00CD4846">
              <w:rPr>
                <w:rFonts w:cs="Times New Roman"/>
                <w:b/>
                <w:bCs/>
                <w:kern w:val="2"/>
                <w:sz w:val="20"/>
                <w:szCs w:val="20"/>
                <w:lang/>
              </w:rPr>
              <w:t>NAICS 22</w:t>
            </w:r>
          </w:p>
        </w:tc>
        <w:tc>
          <w:tcPr>
            <w:tcW w:w="686" w:type="pct"/>
            <w:tcBorders>
              <w:top w:val="single" w:sz="4" w:space="0" w:color="auto"/>
              <w:left w:val="nil"/>
              <w:bottom w:val="single" w:sz="4" w:space="0" w:color="auto"/>
              <w:right w:val="nil"/>
            </w:tcBorders>
          </w:tcPr>
          <w:p w14:paraId="6BB3D8DA" w14:textId="1FDAE612" w:rsidR="00BA2684" w:rsidRPr="00FF1F0E" w:rsidRDefault="00BA2684" w:rsidP="00FF1F0E">
            <w:pPr>
              <w:widowControl w:val="0"/>
              <w:autoSpaceDE w:val="0"/>
              <w:autoSpaceDN w:val="0"/>
              <w:adjustRightInd w:val="0"/>
              <w:spacing w:line="240" w:lineRule="auto"/>
              <w:rPr>
                <w:rFonts w:cs="Times New Roman"/>
                <w:kern w:val="2"/>
                <w:sz w:val="20"/>
                <w:szCs w:val="20"/>
                <w:lang/>
              </w:rPr>
            </w:pPr>
            <w:r w:rsidRPr="00CD4846">
              <w:rPr>
                <w:rFonts w:cs="Times New Roman"/>
                <w:b/>
                <w:bCs/>
                <w:kern w:val="2"/>
                <w:sz w:val="20"/>
                <w:szCs w:val="20"/>
                <w:lang/>
              </w:rPr>
              <w:t>NAICS 23</w:t>
            </w:r>
          </w:p>
        </w:tc>
        <w:tc>
          <w:tcPr>
            <w:tcW w:w="830" w:type="pct"/>
            <w:tcBorders>
              <w:top w:val="single" w:sz="4" w:space="0" w:color="auto"/>
              <w:left w:val="nil"/>
              <w:bottom w:val="single" w:sz="4" w:space="0" w:color="auto"/>
              <w:right w:val="nil"/>
            </w:tcBorders>
          </w:tcPr>
          <w:p w14:paraId="6D931263" w14:textId="2BB903AD" w:rsidR="00BA2684" w:rsidRPr="00FF1F0E" w:rsidRDefault="00BA2684" w:rsidP="00FF1F0E">
            <w:pPr>
              <w:widowControl w:val="0"/>
              <w:autoSpaceDE w:val="0"/>
              <w:autoSpaceDN w:val="0"/>
              <w:adjustRightInd w:val="0"/>
              <w:spacing w:line="240" w:lineRule="auto"/>
              <w:rPr>
                <w:rFonts w:cs="Times New Roman"/>
                <w:kern w:val="2"/>
                <w:sz w:val="20"/>
                <w:szCs w:val="20"/>
                <w:lang/>
              </w:rPr>
            </w:pPr>
            <w:r w:rsidRPr="00CD4846">
              <w:rPr>
                <w:rFonts w:cs="Times New Roman"/>
                <w:b/>
                <w:bCs/>
                <w:kern w:val="2"/>
                <w:sz w:val="20"/>
                <w:szCs w:val="20"/>
                <w:lang/>
              </w:rPr>
              <w:t>NAICS 31-33</w:t>
            </w:r>
          </w:p>
        </w:tc>
      </w:tr>
      <w:tr w:rsidR="00FF1F0E" w:rsidRPr="00FF1F0E" w14:paraId="521D6785" w14:textId="77777777" w:rsidTr="002A78A3">
        <w:tc>
          <w:tcPr>
            <w:tcW w:w="1425" w:type="pct"/>
            <w:tcBorders>
              <w:top w:val="single" w:sz="4" w:space="0" w:color="auto"/>
              <w:left w:val="nil"/>
              <w:right w:val="nil"/>
            </w:tcBorders>
          </w:tcPr>
          <w:p w14:paraId="0CD78D0A" w14:textId="751D01B8" w:rsidR="00FF1F0E" w:rsidRPr="00FF1F0E" w:rsidRDefault="00FF1F0E"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State by Year FE</w:t>
            </w:r>
          </w:p>
        </w:tc>
        <w:tc>
          <w:tcPr>
            <w:tcW w:w="686" w:type="pct"/>
            <w:tcBorders>
              <w:top w:val="single" w:sz="4" w:space="0" w:color="auto"/>
              <w:left w:val="nil"/>
              <w:right w:val="nil"/>
            </w:tcBorders>
          </w:tcPr>
          <w:p w14:paraId="444A71F4" w14:textId="74D7F3F0" w:rsidR="00FF1F0E" w:rsidRPr="00FF1F0E" w:rsidRDefault="00FF1F0E"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686" w:type="pct"/>
            <w:tcBorders>
              <w:top w:val="single" w:sz="4" w:space="0" w:color="auto"/>
              <w:left w:val="nil"/>
              <w:right w:val="nil"/>
            </w:tcBorders>
          </w:tcPr>
          <w:p w14:paraId="770275C1" w14:textId="1BB64762" w:rsidR="00FF1F0E" w:rsidRPr="00FF1F0E" w:rsidRDefault="00FF1F0E"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686" w:type="pct"/>
            <w:tcBorders>
              <w:top w:val="single" w:sz="4" w:space="0" w:color="auto"/>
              <w:left w:val="nil"/>
              <w:right w:val="nil"/>
            </w:tcBorders>
          </w:tcPr>
          <w:p w14:paraId="346C5E55" w14:textId="3ADD448E" w:rsidR="00FF1F0E" w:rsidRPr="00FF1F0E" w:rsidRDefault="00FF1F0E"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686" w:type="pct"/>
            <w:tcBorders>
              <w:top w:val="single" w:sz="4" w:space="0" w:color="auto"/>
              <w:left w:val="nil"/>
              <w:right w:val="nil"/>
            </w:tcBorders>
          </w:tcPr>
          <w:p w14:paraId="3C6BA80A" w14:textId="559BE024" w:rsidR="00FF1F0E" w:rsidRPr="00FF1F0E" w:rsidRDefault="00FF1F0E"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830" w:type="pct"/>
            <w:tcBorders>
              <w:top w:val="single" w:sz="4" w:space="0" w:color="auto"/>
              <w:left w:val="nil"/>
              <w:right w:val="nil"/>
            </w:tcBorders>
          </w:tcPr>
          <w:p w14:paraId="091A5437" w14:textId="57F295C6" w:rsidR="00FF1F0E" w:rsidRPr="00FF1F0E" w:rsidRDefault="00FF1F0E"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r>
      <w:tr w:rsidR="00BA2684" w:rsidRPr="00CD4846" w14:paraId="7FCD997E" w14:textId="77777777" w:rsidTr="002A78A3">
        <w:tc>
          <w:tcPr>
            <w:tcW w:w="1425" w:type="pct"/>
            <w:tcBorders>
              <w:left w:val="nil"/>
              <w:right w:val="nil"/>
            </w:tcBorders>
          </w:tcPr>
          <w:p w14:paraId="32434543" w14:textId="77777777" w:rsidR="00BA2684" w:rsidRPr="00CD4846" w:rsidRDefault="00BA2684"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NAICS FE</w:t>
            </w:r>
          </w:p>
        </w:tc>
        <w:tc>
          <w:tcPr>
            <w:tcW w:w="686" w:type="pct"/>
            <w:tcBorders>
              <w:left w:val="nil"/>
              <w:right w:val="nil"/>
            </w:tcBorders>
          </w:tcPr>
          <w:p w14:paraId="59C4DBA1" w14:textId="77777777" w:rsidR="00BA2684" w:rsidRPr="00CD4846" w:rsidRDefault="00BA2684"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686" w:type="pct"/>
            <w:tcBorders>
              <w:left w:val="nil"/>
              <w:right w:val="nil"/>
            </w:tcBorders>
          </w:tcPr>
          <w:p w14:paraId="702A837B" w14:textId="77777777" w:rsidR="00BA2684" w:rsidRPr="00CD4846" w:rsidRDefault="00BA2684"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686" w:type="pct"/>
            <w:tcBorders>
              <w:left w:val="nil"/>
              <w:right w:val="nil"/>
            </w:tcBorders>
          </w:tcPr>
          <w:p w14:paraId="2A02F747" w14:textId="77777777" w:rsidR="00BA2684" w:rsidRPr="00CD4846" w:rsidRDefault="00BA2684"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686" w:type="pct"/>
            <w:tcBorders>
              <w:left w:val="nil"/>
              <w:right w:val="nil"/>
            </w:tcBorders>
          </w:tcPr>
          <w:p w14:paraId="4ED5205B" w14:textId="77777777" w:rsidR="00BA2684" w:rsidRPr="00CD4846" w:rsidRDefault="00BA2684"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830" w:type="pct"/>
            <w:tcBorders>
              <w:left w:val="nil"/>
              <w:right w:val="nil"/>
            </w:tcBorders>
          </w:tcPr>
          <w:p w14:paraId="61471A6C" w14:textId="77777777" w:rsidR="00BA2684" w:rsidRPr="00CD4846" w:rsidRDefault="00BA2684"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r>
      <w:tr w:rsidR="00BA2684" w:rsidRPr="00CD4846" w14:paraId="53016C0A" w14:textId="77777777" w:rsidTr="002A78A3">
        <w:tc>
          <w:tcPr>
            <w:tcW w:w="1425" w:type="pct"/>
            <w:tcBorders>
              <w:top w:val="nil"/>
              <w:left w:val="nil"/>
              <w:bottom w:val="single" w:sz="4" w:space="0" w:color="auto"/>
              <w:right w:val="nil"/>
            </w:tcBorders>
          </w:tcPr>
          <w:p w14:paraId="0D866512" w14:textId="77777777" w:rsidR="00BA2684" w:rsidRPr="00CD4846" w:rsidRDefault="00BA2684" w:rsidP="00FF1F0E">
            <w:pPr>
              <w:widowControl w:val="0"/>
              <w:autoSpaceDE w:val="0"/>
              <w:autoSpaceDN w:val="0"/>
              <w:adjustRightInd w:val="0"/>
              <w:spacing w:line="240" w:lineRule="auto"/>
              <w:rPr>
                <w:rFonts w:eastAsia="Times New Roman" w:cs="Times New Roman"/>
                <w:b/>
                <w:bCs/>
                <w:color w:val="5F6368"/>
                <w:kern w:val="2"/>
                <w:sz w:val="20"/>
                <w:szCs w:val="20"/>
                <w:shd w:val="clear" w:color="auto" w:fill="FFFFFF"/>
                <w:lang/>
              </w:rPr>
            </w:pPr>
            <w:r w:rsidRPr="00CD4846">
              <w:rPr>
                <w:rFonts w:eastAsia="Times New Roman" w:cs="Times New Roman"/>
                <w:kern w:val="2"/>
                <w:sz w:val="20"/>
                <w:szCs w:val="20"/>
                <w:lang/>
              </w:rPr>
              <w:t>PA-PA</w:t>
            </w:r>
            <w:r w:rsidRPr="00CD4846">
              <w:rPr>
                <w:rFonts w:eastAsia="Times New Roman" w:cs="Times New Roman"/>
                <w:b/>
                <w:bCs/>
                <w:i/>
                <w:color w:val="5F6368"/>
                <w:kern w:val="2"/>
                <w:sz w:val="20"/>
                <w:szCs w:val="20"/>
                <w:shd w:val="clear" w:color="auto" w:fill="FFFFFF"/>
                <w:lang/>
              </w:rPr>
              <w:t>²</w:t>
            </w:r>
            <w:r w:rsidRPr="00CD4846">
              <w:rPr>
                <w:rFonts w:cs="Times New Roman"/>
                <w:b/>
                <w:bCs/>
                <w:i/>
                <w:color w:val="5F6368"/>
                <w:kern w:val="2"/>
                <w:sz w:val="20"/>
                <w:szCs w:val="20"/>
                <w:shd w:val="clear" w:color="auto" w:fill="FFFFFF"/>
                <w:lang/>
              </w:rPr>
              <w:t xml:space="preserve"> </w:t>
            </w:r>
            <w:r w:rsidRPr="00CD4846">
              <w:rPr>
                <w:rFonts w:eastAsia="Times New Roman" w:cs="Times New Roman"/>
                <w:kern w:val="2"/>
                <w:sz w:val="20"/>
                <w:szCs w:val="20"/>
                <w:lang/>
              </w:rPr>
              <w:t xml:space="preserve">Joint Test </w:t>
            </w:r>
            <w:r w:rsidRPr="00CD4846">
              <w:rPr>
                <w:rFonts w:cs="Times New Roman"/>
                <w:kern w:val="2"/>
                <w:sz w:val="20"/>
                <w:szCs w:val="20"/>
                <w:lang/>
              </w:rPr>
              <w:t>p-value</w:t>
            </w:r>
          </w:p>
        </w:tc>
        <w:tc>
          <w:tcPr>
            <w:tcW w:w="686" w:type="pct"/>
            <w:tcBorders>
              <w:top w:val="nil"/>
              <w:left w:val="nil"/>
              <w:bottom w:val="single" w:sz="4" w:space="0" w:color="auto"/>
              <w:right w:val="nil"/>
            </w:tcBorders>
          </w:tcPr>
          <w:p w14:paraId="77E02566" w14:textId="77777777" w:rsidR="00BA2684" w:rsidRPr="00CD4846" w:rsidRDefault="00BA2684"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0.2403</w:t>
            </w:r>
          </w:p>
        </w:tc>
        <w:tc>
          <w:tcPr>
            <w:tcW w:w="686" w:type="pct"/>
            <w:tcBorders>
              <w:top w:val="nil"/>
              <w:left w:val="nil"/>
              <w:bottom w:val="single" w:sz="4" w:space="0" w:color="auto"/>
              <w:right w:val="nil"/>
            </w:tcBorders>
          </w:tcPr>
          <w:p w14:paraId="6D07AD4B" w14:textId="77777777" w:rsidR="00BA2684" w:rsidRPr="00CD4846" w:rsidRDefault="00BA2684"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0.6176</w:t>
            </w:r>
          </w:p>
        </w:tc>
        <w:tc>
          <w:tcPr>
            <w:tcW w:w="686" w:type="pct"/>
            <w:tcBorders>
              <w:top w:val="nil"/>
              <w:left w:val="nil"/>
              <w:bottom w:val="single" w:sz="4" w:space="0" w:color="auto"/>
              <w:right w:val="nil"/>
            </w:tcBorders>
          </w:tcPr>
          <w:p w14:paraId="5A8FFE2C" w14:textId="77777777" w:rsidR="00BA2684" w:rsidRPr="00CD4846" w:rsidRDefault="00BA2684" w:rsidP="00FF1F0E">
            <w:pPr>
              <w:widowControl w:val="0"/>
              <w:autoSpaceDE w:val="0"/>
              <w:autoSpaceDN w:val="0"/>
              <w:adjustRightInd w:val="0"/>
              <w:spacing w:line="240" w:lineRule="auto"/>
              <w:rPr>
                <w:rFonts w:cs="Times New Roman"/>
                <w:bCs/>
                <w:kern w:val="2"/>
                <w:sz w:val="20"/>
                <w:szCs w:val="20"/>
                <w:lang/>
              </w:rPr>
            </w:pPr>
            <w:r w:rsidRPr="00CD4846">
              <w:rPr>
                <w:rFonts w:cs="Times New Roman"/>
                <w:bCs/>
                <w:kern w:val="2"/>
                <w:sz w:val="20"/>
                <w:szCs w:val="20"/>
                <w:lang/>
              </w:rPr>
              <w:t>0.0324</w:t>
            </w:r>
          </w:p>
        </w:tc>
        <w:tc>
          <w:tcPr>
            <w:tcW w:w="686" w:type="pct"/>
            <w:tcBorders>
              <w:top w:val="nil"/>
              <w:left w:val="nil"/>
              <w:bottom w:val="single" w:sz="4" w:space="0" w:color="auto"/>
              <w:right w:val="nil"/>
            </w:tcBorders>
          </w:tcPr>
          <w:p w14:paraId="6116B56D" w14:textId="77777777" w:rsidR="00BA2684" w:rsidRPr="00CD4846" w:rsidRDefault="00BA2684" w:rsidP="00FF1F0E">
            <w:pPr>
              <w:widowControl w:val="0"/>
              <w:autoSpaceDE w:val="0"/>
              <w:autoSpaceDN w:val="0"/>
              <w:adjustRightInd w:val="0"/>
              <w:spacing w:line="240" w:lineRule="auto"/>
              <w:rPr>
                <w:rFonts w:cs="Times New Roman"/>
                <w:bCs/>
                <w:kern w:val="2"/>
                <w:sz w:val="20"/>
                <w:szCs w:val="20"/>
                <w:lang/>
              </w:rPr>
            </w:pPr>
            <w:r w:rsidRPr="00CD4846">
              <w:rPr>
                <w:rFonts w:cs="Times New Roman"/>
                <w:bCs/>
                <w:kern w:val="2"/>
                <w:sz w:val="20"/>
                <w:szCs w:val="20"/>
                <w:lang/>
              </w:rPr>
              <w:t>0.4779</w:t>
            </w:r>
          </w:p>
        </w:tc>
        <w:tc>
          <w:tcPr>
            <w:tcW w:w="830" w:type="pct"/>
            <w:tcBorders>
              <w:top w:val="nil"/>
              <w:left w:val="nil"/>
              <w:bottom w:val="single" w:sz="4" w:space="0" w:color="auto"/>
              <w:right w:val="nil"/>
            </w:tcBorders>
          </w:tcPr>
          <w:p w14:paraId="3F3AEF77" w14:textId="77777777" w:rsidR="00BA2684" w:rsidRPr="00CD4846" w:rsidRDefault="00BA2684" w:rsidP="00FF1F0E">
            <w:pPr>
              <w:widowControl w:val="0"/>
              <w:autoSpaceDE w:val="0"/>
              <w:autoSpaceDN w:val="0"/>
              <w:adjustRightInd w:val="0"/>
              <w:spacing w:line="240" w:lineRule="auto"/>
              <w:rPr>
                <w:rFonts w:cs="Times New Roman"/>
                <w:bCs/>
                <w:kern w:val="2"/>
                <w:sz w:val="20"/>
                <w:szCs w:val="20"/>
                <w:lang/>
              </w:rPr>
            </w:pPr>
            <w:r w:rsidRPr="00CD4846">
              <w:rPr>
                <w:rFonts w:cs="Times New Roman"/>
                <w:bCs/>
                <w:kern w:val="2"/>
                <w:sz w:val="20"/>
                <w:szCs w:val="20"/>
                <w:lang/>
              </w:rPr>
              <w:t>0.0434</w:t>
            </w:r>
          </w:p>
        </w:tc>
      </w:tr>
    </w:tbl>
    <w:p w14:paraId="789AA43B" w14:textId="124F3576" w:rsidR="00CD4846" w:rsidRPr="00FF1F0E" w:rsidRDefault="00CD4846" w:rsidP="00FF1F0E">
      <w:pPr>
        <w:spacing w:line="240" w:lineRule="auto"/>
        <w:rPr>
          <w:rFonts w:eastAsia="DengXian" w:cs="Times New Roman"/>
          <w:i/>
          <w:iCs/>
          <w:sz w:val="20"/>
          <w:szCs w:val="20"/>
          <w:lang/>
        </w:rPr>
      </w:pPr>
      <w:r w:rsidRPr="00FF1F0E">
        <w:rPr>
          <w:rFonts w:cs="Times New Roman"/>
          <w:sz w:val="20"/>
          <w:szCs w:val="20"/>
          <w:lang/>
        </w:rPr>
        <w:t xml:space="preserve">Table </w:t>
      </w:r>
      <w:r w:rsidR="002A78A3">
        <w:rPr>
          <w:rFonts w:cs="Times New Roman"/>
          <w:sz w:val="20"/>
          <w:szCs w:val="20"/>
          <w:lang/>
        </w:rPr>
        <w:t xml:space="preserve">A10: </w:t>
      </w:r>
      <w:r w:rsidRPr="00FF1F0E">
        <w:rPr>
          <w:rFonts w:cs="Times New Roman"/>
          <w:sz w:val="20"/>
          <w:szCs w:val="20"/>
          <w:lang/>
        </w:rPr>
        <w:t>PPMLHDFE r</w:t>
      </w:r>
      <w:r w:rsidRPr="00FF1F0E">
        <w:rPr>
          <w:rFonts w:cs="Times New Roman"/>
          <w:sz w:val="20"/>
          <w:szCs w:val="20"/>
          <w:lang/>
        </w:rPr>
        <w:t xml:space="preserve">egression results </w:t>
      </w:r>
      <w:r w:rsidRPr="00FF1F0E">
        <w:rPr>
          <w:rFonts w:cs="Times New Roman"/>
          <w:sz w:val="20"/>
          <w:szCs w:val="20"/>
          <w:lang/>
        </w:rPr>
        <w:t xml:space="preserve">on establishment intra-state inward relocations under broad PADs (GAP 1-4) are presented above. Column names correspond to a specific NAICS sector. </w:t>
      </w:r>
      <w:r w:rsidR="002A78A3" w:rsidRPr="00C624DB">
        <w:rPr>
          <w:sz w:val="20"/>
          <w:szCs w:val="20"/>
          <w:lang/>
        </w:rPr>
        <w:t xml:space="preserve">Standard errors are </w:t>
      </w:r>
      <w:r w:rsidR="002A78A3">
        <w:rPr>
          <w:sz w:val="20"/>
          <w:szCs w:val="20"/>
          <w:lang/>
        </w:rPr>
        <w:t xml:space="preserve">in parentheses and are </w:t>
      </w:r>
      <w:r w:rsidR="002A78A3" w:rsidRPr="00C624DB">
        <w:rPr>
          <w:sz w:val="20"/>
          <w:szCs w:val="20"/>
          <w:lang/>
        </w:rPr>
        <w:t xml:space="preserve">clustered at the county level. </w:t>
      </w:r>
      <w:r w:rsidR="002A78A3" w:rsidRPr="002C0F11">
        <w:rPr>
          <w:sz w:val="20"/>
          <w:szCs w:val="20"/>
          <w:lang/>
        </w:rPr>
        <w:t>Statistically significant impacts are denoted by asterisks. These asterisks denote statistical significance at the following levels: ***p &lt; 0.01, **p &lt; 0.05, *p &lt; 0.1.</w:t>
      </w:r>
      <w:r w:rsidR="002A78A3">
        <w:rPr>
          <w:sz w:val="20"/>
          <w:szCs w:val="20"/>
          <w:lang/>
        </w:rPr>
        <w:t xml:space="preserve"> </w:t>
      </w:r>
      <w:r w:rsidRPr="00FF1F0E">
        <w:rPr>
          <w:rFonts w:cs="Times New Roman"/>
          <w:sz w:val="20"/>
          <w:szCs w:val="20"/>
          <w:lang/>
        </w:rPr>
        <w:t>p-values of joint-tests on linear and quadratic PAD terms are shown in the last row.</w:t>
      </w:r>
    </w:p>
    <w:p w14:paraId="5F9B5B26" w14:textId="77777777" w:rsidR="00CD4846" w:rsidRPr="00CD4846" w:rsidRDefault="00CD4846" w:rsidP="004C39A4">
      <w:pPr>
        <w:spacing w:line="240" w:lineRule="auto"/>
        <w:rPr>
          <w:rFonts w:ascii="DengXian" w:hAnsi="DengXian" w:cs="Times New Roman"/>
          <w:i/>
          <w:iCs/>
          <w:color w:val="44546A"/>
          <w:kern w:val="2"/>
          <w:sz w:val="18"/>
          <w:szCs w:val="18"/>
          <w:lang/>
        </w:rPr>
      </w:pPr>
      <w:r w:rsidRPr="00CD4846">
        <w:rPr>
          <w:rFonts w:ascii="DengXian" w:hAnsi="DengXian" w:cs="Times New Roman"/>
          <w:i/>
          <w:iCs/>
          <w:color w:val="44546A"/>
          <w:kern w:val="2"/>
          <w:sz w:val="18"/>
          <w:szCs w:val="18"/>
          <w:lang/>
        </w:rPr>
        <w:br w:type="page"/>
      </w:r>
    </w:p>
    <w:tbl>
      <w:tblPr>
        <w:tblpPr w:leftFromText="180" w:rightFromText="180" w:vertAnchor="text" w:horzAnchor="margin" w:tblpY="296"/>
        <w:tblW w:w="5000" w:type="pct"/>
        <w:tblLook w:val="04A0" w:firstRow="1" w:lastRow="0" w:firstColumn="1" w:lastColumn="0" w:noHBand="0" w:noVBand="1"/>
      </w:tblPr>
      <w:tblGrid>
        <w:gridCol w:w="3987"/>
        <w:gridCol w:w="1675"/>
        <w:gridCol w:w="1674"/>
        <w:gridCol w:w="2024"/>
      </w:tblGrid>
      <w:tr w:rsidR="00CD4846" w:rsidRPr="00CD4846" w14:paraId="1BB51C18" w14:textId="77777777" w:rsidTr="00B82EB9">
        <w:tc>
          <w:tcPr>
            <w:tcW w:w="2130" w:type="pct"/>
            <w:tcBorders>
              <w:top w:val="single" w:sz="4" w:space="0" w:color="auto"/>
              <w:left w:val="nil"/>
              <w:bottom w:val="single" w:sz="4" w:space="0" w:color="auto"/>
              <w:right w:val="nil"/>
            </w:tcBorders>
          </w:tcPr>
          <w:p w14:paraId="5E7046C7" w14:textId="77777777" w:rsidR="00CD4846" w:rsidRPr="00CD4846" w:rsidRDefault="00CD4846" w:rsidP="00FF1F0E">
            <w:pPr>
              <w:spacing w:line="240" w:lineRule="auto"/>
              <w:rPr>
                <w:rFonts w:cs="Times New Roman"/>
                <w:b/>
                <w:bCs/>
                <w:kern w:val="2"/>
                <w:sz w:val="20"/>
                <w:szCs w:val="20"/>
                <w:lang/>
              </w:rPr>
            </w:pPr>
            <w:r w:rsidRPr="00CD4846">
              <w:rPr>
                <w:rFonts w:cs="Times New Roman"/>
                <w:b/>
                <w:bCs/>
                <w:kern w:val="2"/>
                <w:sz w:val="20"/>
                <w:szCs w:val="20"/>
                <w:lang/>
              </w:rPr>
              <w:lastRenderedPageBreak/>
              <w:t>Variable</w:t>
            </w:r>
          </w:p>
        </w:tc>
        <w:tc>
          <w:tcPr>
            <w:tcW w:w="895" w:type="pct"/>
            <w:tcBorders>
              <w:top w:val="single" w:sz="4" w:space="0" w:color="auto"/>
              <w:left w:val="nil"/>
              <w:bottom w:val="single" w:sz="4" w:space="0" w:color="auto"/>
              <w:right w:val="nil"/>
            </w:tcBorders>
          </w:tcPr>
          <w:p w14:paraId="14582B12" w14:textId="5F829E16" w:rsidR="00CD4846" w:rsidRPr="00CD4846" w:rsidRDefault="00CD4846" w:rsidP="00FF1F0E">
            <w:pPr>
              <w:widowControl w:val="0"/>
              <w:autoSpaceDE w:val="0"/>
              <w:autoSpaceDN w:val="0"/>
              <w:adjustRightInd w:val="0"/>
              <w:spacing w:line="240" w:lineRule="auto"/>
              <w:rPr>
                <w:rFonts w:cs="Times New Roman"/>
                <w:b/>
                <w:bCs/>
                <w:kern w:val="2"/>
                <w:sz w:val="20"/>
                <w:szCs w:val="20"/>
                <w:lang/>
              </w:rPr>
            </w:pPr>
            <w:r w:rsidRPr="00CD4846">
              <w:rPr>
                <w:rFonts w:cs="Times New Roman"/>
                <w:b/>
                <w:bCs/>
                <w:kern w:val="2"/>
                <w:sz w:val="20"/>
                <w:szCs w:val="20"/>
                <w:lang/>
              </w:rPr>
              <w:t>NAICS 21</w:t>
            </w:r>
          </w:p>
        </w:tc>
        <w:tc>
          <w:tcPr>
            <w:tcW w:w="894" w:type="pct"/>
            <w:tcBorders>
              <w:top w:val="single" w:sz="4" w:space="0" w:color="auto"/>
              <w:left w:val="nil"/>
              <w:bottom w:val="single" w:sz="4" w:space="0" w:color="auto"/>
              <w:right w:val="nil"/>
            </w:tcBorders>
          </w:tcPr>
          <w:p w14:paraId="1578FECC" w14:textId="30F79054" w:rsidR="00CD4846" w:rsidRPr="00CD4846" w:rsidRDefault="00CD4846" w:rsidP="00FF1F0E">
            <w:pPr>
              <w:widowControl w:val="0"/>
              <w:autoSpaceDE w:val="0"/>
              <w:autoSpaceDN w:val="0"/>
              <w:adjustRightInd w:val="0"/>
              <w:spacing w:line="240" w:lineRule="auto"/>
              <w:rPr>
                <w:rFonts w:cs="Times New Roman"/>
                <w:b/>
                <w:bCs/>
                <w:kern w:val="2"/>
                <w:sz w:val="20"/>
                <w:szCs w:val="20"/>
                <w:lang/>
              </w:rPr>
            </w:pPr>
            <w:r w:rsidRPr="00CD4846">
              <w:rPr>
                <w:rFonts w:cs="Times New Roman"/>
                <w:b/>
                <w:bCs/>
                <w:kern w:val="2"/>
                <w:sz w:val="20"/>
                <w:szCs w:val="20"/>
                <w:lang/>
              </w:rPr>
              <w:t>NAICS 23</w:t>
            </w:r>
          </w:p>
        </w:tc>
        <w:tc>
          <w:tcPr>
            <w:tcW w:w="1081" w:type="pct"/>
            <w:tcBorders>
              <w:top w:val="single" w:sz="4" w:space="0" w:color="auto"/>
              <w:left w:val="nil"/>
              <w:bottom w:val="single" w:sz="4" w:space="0" w:color="auto"/>
              <w:right w:val="nil"/>
            </w:tcBorders>
          </w:tcPr>
          <w:p w14:paraId="5DD3A6DC" w14:textId="2468B44B" w:rsidR="00CD4846" w:rsidRPr="00CD4846" w:rsidRDefault="00CD4846" w:rsidP="00FF1F0E">
            <w:pPr>
              <w:widowControl w:val="0"/>
              <w:autoSpaceDE w:val="0"/>
              <w:autoSpaceDN w:val="0"/>
              <w:adjustRightInd w:val="0"/>
              <w:spacing w:line="240" w:lineRule="auto"/>
              <w:rPr>
                <w:rFonts w:cs="Times New Roman"/>
                <w:b/>
                <w:bCs/>
                <w:kern w:val="2"/>
                <w:sz w:val="20"/>
                <w:szCs w:val="20"/>
                <w:lang/>
              </w:rPr>
            </w:pPr>
            <w:r w:rsidRPr="00CD4846">
              <w:rPr>
                <w:rFonts w:cs="Times New Roman"/>
                <w:b/>
                <w:bCs/>
                <w:kern w:val="2"/>
                <w:sz w:val="20"/>
                <w:szCs w:val="20"/>
                <w:lang/>
              </w:rPr>
              <w:t>NAICS 31-33</w:t>
            </w:r>
          </w:p>
        </w:tc>
      </w:tr>
      <w:tr w:rsidR="00CD4846" w:rsidRPr="00CD4846" w14:paraId="4554C21E" w14:textId="77777777" w:rsidTr="00B82EB9">
        <w:tc>
          <w:tcPr>
            <w:tcW w:w="2130" w:type="pct"/>
            <w:tcBorders>
              <w:top w:val="single" w:sz="4" w:space="0" w:color="auto"/>
              <w:left w:val="nil"/>
              <w:bottom w:val="nil"/>
              <w:right w:val="nil"/>
            </w:tcBorders>
          </w:tcPr>
          <w:p w14:paraId="0E0373DA" w14:textId="5FD9698D"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Broad PADs (t-1)</w:t>
            </w:r>
          </w:p>
        </w:tc>
        <w:tc>
          <w:tcPr>
            <w:tcW w:w="895" w:type="pct"/>
            <w:tcBorders>
              <w:top w:val="single" w:sz="4" w:space="0" w:color="auto"/>
              <w:left w:val="nil"/>
              <w:bottom w:val="nil"/>
              <w:right w:val="nil"/>
            </w:tcBorders>
          </w:tcPr>
          <w:p w14:paraId="35802F56"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68.224</w:t>
            </w:r>
          </w:p>
        </w:tc>
        <w:tc>
          <w:tcPr>
            <w:tcW w:w="894" w:type="pct"/>
            <w:tcBorders>
              <w:top w:val="single" w:sz="4" w:space="0" w:color="auto"/>
              <w:left w:val="nil"/>
              <w:bottom w:val="nil"/>
              <w:right w:val="nil"/>
            </w:tcBorders>
          </w:tcPr>
          <w:p w14:paraId="11A4D87A"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-1.863</w:t>
            </w:r>
          </w:p>
        </w:tc>
        <w:tc>
          <w:tcPr>
            <w:tcW w:w="1081" w:type="pct"/>
            <w:tcBorders>
              <w:top w:val="single" w:sz="4" w:space="0" w:color="auto"/>
              <w:left w:val="nil"/>
              <w:bottom w:val="nil"/>
              <w:right w:val="nil"/>
            </w:tcBorders>
          </w:tcPr>
          <w:p w14:paraId="7C1178D0"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2.109</w:t>
            </w:r>
          </w:p>
        </w:tc>
      </w:tr>
      <w:tr w:rsidR="00CD4846" w:rsidRPr="00CD4846" w14:paraId="6DA838E2" w14:textId="77777777" w:rsidTr="00B82EB9">
        <w:tc>
          <w:tcPr>
            <w:tcW w:w="2130" w:type="pct"/>
            <w:tcBorders>
              <w:top w:val="nil"/>
              <w:left w:val="nil"/>
              <w:bottom w:val="nil"/>
              <w:right w:val="nil"/>
            </w:tcBorders>
          </w:tcPr>
          <w:p w14:paraId="5FA7CACB" w14:textId="32B32AED" w:rsidR="00CD4846" w:rsidRPr="00CD4846" w:rsidRDefault="00CD4846" w:rsidP="00FF1F0E">
            <w:pPr>
              <w:widowControl w:val="0"/>
              <w:autoSpaceDE w:val="0"/>
              <w:autoSpaceDN w:val="0"/>
              <w:adjustRightInd w:val="0"/>
              <w:spacing w:line="240" w:lineRule="auto"/>
              <w:rPr>
                <w:rFonts w:cs="Times New Roman"/>
                <w:kern w:val="2"/>
                <w:sz w:val="20"/>
                <w:szCs w:val="20"/>
                <w:lang/>
              </w:rPr>
            </w:pPr>
          </w:p>
        </w:tc>
        <w:tc>
          <w:tcPr>
            <w:tcW w:w="895" w:type="pct"/>
            <w:tcBorders>
              <w:top w:val="nil"/>
              <w:left w:val="nil"/>
              <w:bottom w:val="nil"/>
              <w:right w:val="nil"/>
            </w:tcBorders>
          </w:tcPr>
          <w:p w14:paraId="431BBC0A"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(66.050)</w:t>
            </w:r>
          </w:p>
        </w:tc>
        <w:tc>
          <w:tcPr>
            <w:tcW w:w="894" w:type="pct"/>
            <w:tcBorders>
              <w:top w:val="nil"/>
              <w:left w:val="nil"/>
              <w:bottom w:val="nil"/>
              <w:right w:val="nil"/>
            </w:tcBorders>
          </w:tcPr>
          <w:p w14:paraId="1A09B3DC"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(19.950)</w:t>
            </w:r>
          </w:p>
        </w:tc>
        <w:tc>
          <w:tcPr>
            <w:tcW w:w="1081" w:type="pct"/>
            <w:tcBorders>
              <w:top w:val="nil"/>
              <w:left w:val="nil"/>
              <w:bottom w:val="nil"/>
              <w:right w:val="nil"/>
            </w:tcBorders>
          </w:tcPr>
          <w:p w14:paraId="0145CBCD"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(15.256)</w:t>
            </w:r>
          </w:p>
        </w:tc>
      </w:tr>
      <w:tr w:rsidR="00CD4846" w:rsidRPr="00CD4846" w14:paraId="5BF51573" w14:textId="77777777" w:rsidTr="00B82EB9">
        <w:tc>
          <w:tcPr>
            <w:tcW w:w="2130" w:type="pct"/>
            <w:tcBorders>
              <w:top w:val="nil"/>
              <w:left w:val="nil"/>
              <w:bottom w:val="nil"/>
              <w:right w:val="nil"/>
            </w:tcBorders>
          </w:tcPr>
          <w:p w14:paraId="699B25E5" w14:textId="1E82A4BC"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Broad PADs Sq. (t-1)</w:t>
            </w:r>
          </w:p>
        </w:tc>
        <w:tc>
          <w:tcPr>
            <w:tcW w:w="895" w:type="pct"/>
            <w:tcBorders>
              <w:top w:val="nil"/>
              <w:left w:val="nil"/>
              <w:bottom w:val="nil"/>
              <w:right w:val="nil"/>
            </w:tcBorders>
          </w:tcPr>
          <w:p w14:paraId="0009A7E0"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-61.981</w:t>
            </w:r>
          </w:p>
        </w:tc>
        <w:tc>
          <w:tcPr>
            <w:tcW w:w="894" w:type="pct"/>
            <w:tcBorders>
              <w:top w:val="nil"/>
              <w:left w:val="nil"/>
              <w:bottom w:val="nil"/>
              <w:right w:val="nil"/>
            </w:tcBorders>
          </w:tcPr>
          <w:p w14:paraId="0D79DC26"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1.963</w:t>
            </w:r>
          </w:p>
        </w:tc>
        <w:tc>
          <w:tcPr>
            <w:tcW w:w="1081" w:type="pct"/>
            <w:tcBorders>
              <w:top w:val="nil"/>
              <w:left w:val="nil"/>
              <w:bottom w:val="nil"/>
              <w:right w:val="nil"/>
            </w:tcBorders>
          </w:tcPr>
          <w:p w14:paraId="16FF51E2"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-3.372</w:t>
            </w:r>
          </w:p>
        </w:tc>
      </w:tr>
      <w:tr w:rsidR="00CD4846" w:rsidRPr="00CD4846" w14:paraId="79D48728" w14:textId="77777777" w:rsidTr="00B82EB9">
        <w:tc>
          <w:tcPr>
            <w:tcW w:w="2130" w:type="pct"/>
            <w:tcBorders>
              <w:top w:val="nil"/>
              <w:left w:val="nil"/>
              <w:bottom w:val="nil"/>
              <w:right w:val="nil"/>
            </w:tcBorders>
          </w:tcPr>
          <w:p w14:paraId="6444B5F5" w14:textId="14F68396" w:rsidR="00CD4846" w:rsidRPr="00CD4846" w:rsidRDefault="00CD4846" w:rsidP="00FF1F0E">
            <w:pPr>
              <w:widowControl w:val="0"/>
              <w:autoSpaceDE w:val="0"/>
              <w:autoSpaceDN w:val="0"/>
              <w:adjustRightInd w:val="0"/>
              <w:spacing w:line="240" w:lineRule="auto"/>
              <w:rPr>
                <w:rFonts w:cs="Times New Roman"/>
                <w:kern w:val="2"/>
                <w:sz w:val="20"/>
                <w:szCs w:val="20"/>
                <w:lang/>
              </w:rPr>
            </w:pPr>
          </w:p>
        </w:tc>
        <w:tc>
          <w:tcPr>
            <w:tcW w:w="895" w:type="pct"/>
            <w:tcBorders>
              <w:top w:val="nil"/>
              <w:left w:val="nil"/>
              <w:bottom w:val="nil"/>
              <w:right w:val="nil"/>
            </w:tcBorders>
          </w:tcPr>
          <w:p w14:paraId="3B05762F"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(61.862)</w:t>
            </w:r>
          </w:p>
        </w:tc>
        <w:tc>
          <w:tcPr>
            <w:tcW w:w="894" w:type="pct"/>
            <w:tcBorders>
              <w:top w:val="nil"/>
              <w:left w:val="nil"/>
              <w:bottom w:val="nil"/>
              <w:right w:val="nil"/>
            </w:tcBorders>
          </w:tcPr>
          <w:p w14:paraId="5B93BE6B"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(17.774)</w:t>
            </w:r>
          </w:p>
        </w:tc>
        <w:tc>
          <w:tcPr>
            <w:tcW w:w="1081" w:type="pct"/>
            <w:tcBorders>
              <w:top w:val="nil"/>
              <w:left w:val="nil"/>
              <w:bottom w:val="nil"/>
              <w:right w:val="nil"/>
            </w:tcBorders>
          </w:tcPr>
          <w:p w14:paraId="4DFCE470"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(14.448)</w:t>
            </w:r>
          </w:p>
        </w:tc>
      </w:tr>
      <w:tr w:rsidR="00CD4846" w:rsidRPr="00CD4846" w14:paraId="4D88D937" w14:textId="77777777" w:rsidTr="00B82EB9">
        <w:tc>
          <w:tcPr>
            <w:tcW w:w="2130" w:type="pct"/>
            <w:tcBorders>
              <w:top w:val="nil"/>
              <w:left w:val="nil"/>
              <w:bottom w:val="nil"/>
              <w:right w:val="nil"/>
            </w:tcBorders>
          </w:tcPr>
          <w:p w14:paraId="69520E01" w14:textId="5022C950"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Loc. Economies (t-1) (10ks)</w:t>
            </w:r>
          </w:p>
        </w:tc>
        <w:tc>
          <w:tcPr>
            <w:tcW w:w="895" w:type="pct"/>
            <w:tcBorders>
              <w:top w:val="nil"/>
              <w:left w:val="nil"/>
              <w:bottom w:val="nil"/>
              <w:right w:val="nil"/>
            </w:tcBorders>
          </w:tcPr>
          <w:p w14:paraId="0BF01B9A"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-70.277*</w:t>
            </w:r>
          </w:p>
        </w:tc>
        <w:tc>
          <w:tcPr>
            <w:tcW w:w="894" w:type="pct"/>
            <w:tcBorders>
              <w:top w:val="nil"/>
              <w:left w:val="nil"/>
              <w:bottom w:val="nil"/>
              <w:right w:val="nil"/>
            </w:tcBorders>
          </w:tcPr>
          <w:p w14:paraId="155F9141"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-3.993**</w:t>
            </w:r>
          </w:p>
        </w:tc>
        <w:tc>
          <w:tcPr>
            <w:tcW w:w="1081" w:type="pct"/>
            <w:tcBorders>
              <w:top w:val="nil"/>
              <w:left w:val="nil"/>
              <w:bottom w:val="nil"/>
              <w:right w:val="nil"/>
            </w:tcBorders>
          </w:tcPr>
          <w:p w14:paraId="0E5427D5"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2.121</w:t>
            </w:r>
          </w:p>
        </w:tc>
      </w:tr>
      <w:tr w:rsidR="00CD4846" w:rsidRPr="00CD4846" w14:paraId="60F93C92" w14:textId="77777777" w:rsidTr="00B82EB9">
        <w:tc>
          <w:tcPr>
            <w:tcW w:w="2130" w:type="pct"/>
            <w:tcBorders>
              <w:top w:val="nil"/>
              <w:left w:val="nil"/>
              <w:bottom w:val="nil"/>
              <w:right w:val="nil"/>
            </w:tcBorders>
          </w:tcPr>
          <w:p w14:paraId="1601EDB9" w14:textId="6191E843" w:rsidR="00CD4846" w:rsidRPr="00CD4846" w:rsidRDefault="00CD4846" w:rsidP="00FF1F0E">
            <w:pPr>
              <w:widowControl w:val="0"/>
              <w:autoSpaceDE w:val="0"/>
              <w:autoSpaceDN w:val="0"/>
              <w:adjustRightInd w:val="0"/>
              <w:spacing w:line="240" w:lineRule="auto"/>
              <w:rPr>
                <w:rFonts w:cs="Times New Roman"/>
                <w:kern w:val="2"/>
                <w:sz w:val="20"/>
                <w:szCs w:val="20"/>
                <w:lang/>
              </w:rPr>
            </w:pPr>
          </w:p>
        </w:tc>
        <w:tc>
          <w:tcPr>
            <w:tcW w:w="895" w:type="pct"/>
            <w:tcBorders>
              <w:top w:val="nil"/>
              <w:left w:val="nil"/>
              <w:bottom w:val="nil"/>
              <w:right w:val="nil"/>
            </w:tcBorders>
          </w:tcPr>
          <w:p w14:paraId="63098468"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(38.677)</w:t>
            </w:r>
          </w:p>
        </w:tc>
        <w:tc>
          <w:tcPr>
            <w:tcW w:w="894" w:type="pct"/>
            <w:tcBorders>
              <w:top w:val="nil"/>
              <w:left w:val="nil"/>
              <w:bottom w:val="nil"/>
              <w:right w:val="nil"/>
            </w:tcBorders>
          </w:tcPr>
          <w:p w14:paraId="7F297E71"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(1.666)</w:t>
            </w:r>
          </w:p>
        </w:tc>
        <w:tc>
          <w:tcPr>
            <w:tcW w:w="1081" w:type="pct"/>
            <w:tcBorders>
              <w:top w:val="nil"/>
              <w:left w:val="nil"/>
              <w:bottom w:val="nil"/>
              <w:right w:val="nil"/>
            </w:tcBorders>
          </w:tcPr>
          <w:p w14:paraId="75E4AE22"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(1.328)</w:t>
            </w:r>
          </w:p>
        </w:tc>
      </w:tr>
      <w:tr w:rsidR="00CD4846" w:rsidRPr="00CD4846" w14:paraId="5320144A" w14:textId="77777777" w:rsidTr="00B82EB9">
        <w:tc>
          <w:tcPr>
            <w:tcW w:w="2130" w:type="pct"/>
            <w:tcBorders>
              <w:top w:val="nil"/>
              <w:left w:val="nil"/>
              <w:bottom w:val="nil"/>
              <w:right w:val="nil"/>
            </w:tcBorders>
          </w:tcPr>
          <w:p w14:paraId="54958E5F" w14:textId="35884941"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Median HH Income (100ks)</w:t>
            </w:r>
          </w:p>
        </w:tc>
        <w:tc>
          <w:tcPr>
            <w:tcW w:w="895" w:type="pct"/>
            <w:tcBorders>
              <w:top w:val="nil"/>
              <w:left w:val="nil"/>
              <w:bottom w:val="nil"/>
              <w:right w:val="nil"/>
            </w:tcBorders>
          </w:tcPr>
          <w:p w14:paraId="0883AA7B"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-10.713**</w:t>
            </w:r>
          </w:p>
        </w:tc>
        <w:tc>
          <w:tcPr>
            <w:tcW w:w="894" w:type="pct"/>
            <w:tcBorders>
              <w:top w:val="nil"/>
              <w:left w:val="nil"/>
              <w:bottom w:val="nil"/>
              <w:right w:val="nil"/>
            </w:tcBorders>
          </w:tcPr>
          <w:p w14:paraId="3E2FED9A"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-5.975**</w:t>
            </w:r>
          </w:p>
        </w:tc>
        <w:tc>
          <w:tcPr>
            <w:tcW w:w="1081" w:type="pct"/>
            <w:tcBorders>
              <w:top w:val="nil"/>
              <w:left w:val="nil"/>
              <w:bottom w:val="nil"/>
              <w:right w:val="nil"/>
            </w:tcBorders>
          </w:tcPr>
          <w:p w14:paraId="4FBAFA45"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-0.507</w:t>
            </w:r>
          </w:p>
        </w:tc>
      </w:tr>
      <w:tr w:rsidR="00CD4846" w:rsidRPr="00CD4846" w14:paraId="527DA814" w14:textId="77777777" w:rsidTr="00B82EB9">
        <w:tc>
          <w:tcPr>
            <w:tcW w:w="2130" w:type="pct"/>
            <w:tcBorders>
              <w:top w:val="nil"/>
              <w:left w:val="nil"/>
              <w:bottom w:val="nil"/>
              <w:right w:val="nil"/>
            </w:tcBorders>
          </w:tcPr>
          <w:p w14:paraId="10B731F4" w14:textId="486F0034" w:rsidR="00CD4846" w:rsidRPr="00CD4846" w:rsidRDefault="00CD4846" w:rsidP="00FF1F0E">
            <w:pPr>
              <w:widowControl w:val="0"/>
              <w:autoSpaceDE w:val="0"/>
              <w:autoSpaceDN w:val="0"/>
              <w:adjustRightInd w:val="0"/>
              <w:spacing w:line="240" w:lineRule="auto"/>
              <w:rPr>
                <w:rFonts w:cs="Times New Roman"/>
                <w:kern w:val="2"/>
                <w:sz w:val="20"/>
                <w:szCs w:val="20"/>
                <w:lang/>
              </w:rPr>
            </w:pPr>
          </w:p>
        </w:tc>
        <w:tc>
          <w:tcPr>
            <w:tcW w:w="895" w:type="pct"/>
            <w:tcBorders>
              <w:top w:val="nil"/>
              <w:left w:val="nil"/>
              <w:bottom w:val="nil"/>
              <w:right w:val="nil"/>
            </w:tcBorders>
          </w:tcPr>
          <w:p w14:paraId="5F0413AA"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(5.302)</w:t>
            </w:r>
          </w:p>
        </w:tc>
        <w:tc>
          <w:tcPr>
            <w:tcW w:w="894" w:type="pct"/>
            <w:tcBorders>
              <w:top w:val="nil"/>
              <w:left w:val="nil"/>
              <w:bottom w:val="nil"/>
              <w:right w:val="nil"/>
            </w:tcBorders>
          </w:tcPr>
          <w:p w14:paraId="3A73392D"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(2.516)</w:t>
            </w:r>
          </w:p>
        </w:tc>
        <w:tc>
          <w:tcPr>
            <w:tcW w:w="1081" w:type="pct"/>
            <w:tcBorders>
              <w:top w:val="nil"/>
              <w:left w:val="nil"/>
              <w:bottom w:val="nil"/>
              <w:right w:val="nil"/>
            </w:tcBorders>
          </w:tcPr>
          <w:p w14:paraId="716533B5"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(1.460)</w:t>
            </w:r>
          </w:p>
        </w:tc>
      </w:tr>
      <w:tr w:rsidR="00CD4846" w:rsidRPr="00CD4846" w14:paraId="7D110C27" w14:textId="77777777" w:rsidTr="00B82EB9">
        <w:tc>
          <w:tcPr>
            <w:tcW w:w="2130" w:type="pct"/>
            <w:tcBorders>
              <w:top w:val="nil"/>
              <w:left w:val="nil"/>
              <w:bottom w:val="nil"/>
              <w:right w:val="nil"/>
            </w:tcBorders>
          </w:tcPr>
          <w:p w14:paraId="39A5F4E3" w14:textId="6567B091"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Housing Price Index (100s)</w:t>
            </w:r>
          </w:p>
        </w:tc>
        <w:tc>
          <w:tcPr>
            <w:tcW w:w="895" w:type="pct"/>
            <w:tcBorders>
              <w:top w:val="nil"/>
              <w:left w:val="nil"/>
              <w:bottom w:val="nil"/>
              <w:right w:val="nil"/>
            </w:tcBorders>
          </w:tcPr>
          <w:p w14:paraId="2EB07857"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0.506*</w:t>
            </w:r>
          </w:p>
        </w:tc>
        <w:tc>
          <w:tcPr>
            <w:tcW w:w="894" w:type="pct"/>
            <w:tcBorders>
              <w:top w:val="nil"/>
              <w:left w:val="nil"/>
              <w:bottom w:val="nil"/>
              <w:right w:val="nil"/>
            </w:tcBorders>
          </w:tcPr>
          <w:p w14:paraId="43056D35"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0.037</w:t>
            </w:r>
          </w:p>
        </w:tc>
        <w:tc>
          <w:tcPr>
            <w:tcW w:w="1081" w:type="pct"/>
            <w:tcBorders>
              <w:top w:val="nil"/>
              <w:left w:val="nil"/>
              <w:bottom w:val="nil"/>
              <w:right w:val="nil"/>
            </w:tcBorders>
          </w:tcPr>
          <w:p w14:paraId="423B6EA8"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-0.010</w:t>
            </w:r>
          </w:p>
        </w:tc>
      </w:tr>
      <w:tr w:rsidR="00CD4846" w:rsidRPr="00CD4846" w14:paraId="56778483" w14:textId="77777777" w:rsidTr="00B82EB9">
        <w:tc>
          <w:tcPr>
            <w:tcW w:w="2130" w:type="pct"/>
            <w:tcBorders>
              <w:top w:val="nil"/>
              <w:left w:val="nil"/>
              <w:bottom w:val="nil"/>
              <w:right w:val="nil"/>
            </w:tcBorders>
          </w:tcPr>
          <w:p w14:paraId="120C2E4E" w14:textId="55ED972C" w:rsidR="00CD4846" w:rsidRPr="00CD4846" w:rsidRDefault="00CD4846" w:rsidP="00FF1F0E">
            <w:pPr>
              <w:widowControl w:val="0"/>
              <w:autoSpaceDE w:val="0"/>
              <w:autoSpaceDN w:val="0"/>
              <w:adjustRightInd w:val="0"/>
              <w:spacing w:line="240" w:lineRule="auto"/>
              <w:rPr>
                <w:rFonts w:cs="Times New Roman"/>
                <w:kern w:val="2"/>
                <w:sz w:val="20"/>
                <w:szCs w:val="20"/>
                <w:lang/>
              </w:rPr>
            </w:pPr>
          </w:p>
        </w:tc>
        <w:tc>
          <w:tcPr>
            <w:tcW w:w="895" w:type="pct"/>
            <w:tcBorders>
              <w:top w:val="nil"/>
              <w:left w:val="nil"/>
              <w:bottom w:val="nil"/>
              <w:right w:val="nil"/>
            </w:tcBorders>
          </w:tcPr>
          <w:p w14:paraId="78591CCE"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(0.307)</w:t>
            </w:r>
          </w:p>
        </w:tc>
        <w:tc>
          <w:tcPr>
            <w:tcW w:w="894" w:type="pct"/>
            <w:tcBorders>
              <w:top w:val="nil"/>
              <w:left w:val="nil"/>
              <w:bottom w:val="nil"/>
              <w:right w:val="nil"/>
            </w:tcBorders>
          </w:tcPr>
          <w:p w14:paraId="0DB30D11"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(0.191)</w:t>
            </w:r>
          </w:p>
        </w:tc>
        <w:tc>
          <w:tcPr>
            <w:tcW w:w="1081" w:type="pct"/>
            <w:tcBorders>
              <w:top w:val="nil"/>
              <w:left w:val="nil"/>
              <w:bottom w:val="nil"/>
              <w:right w:val="nil"/>
            </w:tcBorders>
          </w:tcPr>
          <w:p w14:paraId="2908ECF7"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(0.102)</w:t>
            </w:r>
          </w:p>
        </w:tc>
      </w:tr>
      <w:tr w:rsidR="00CD4846" w:rsidRPr="00CD4846" w14:paraId="39D8E876" w14:textId="77777777" w:rsidTr="00B82EB9">
        <w:tc>
          <w:tcPr>
            <w:tcW w:w="2130" w:type="pct"/>
            <w:tcBorders>
              <w:top w:val="nil"/>
              <w:left w:val="nil"/>
              <w:bottom w:val="nil"/>
              <w:right w:val="nil"/>
            </w:tcBorders>
          </w:tcPr>
          <w:p w14:paraId="42238C0D" w14:textId="16CD4D6D"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Poverty rate (100s)</w:t>
            </w:r>
          </w:p>
        </w:tc>
        <w:tc>
          <w:tcPr>
            <w:tcW w:w="895" w:type="pct"/>
            <w:tcBorders>
              <w:top w:val="nil"/>
              <w:left w:val="nil"/>
              <w:bottom w:val="nil"/>
              <w:right w:val="nil"/>
            </w:tcBorders>
          </w:tcPr>
          <w:p w14:paraId="68C0AF3A"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6.576</w:t>
            </w:r>
          </w:p>
        </w:tc>
        <w:tc>
          <w:tcPr>
            <w:tcW w:w="894" w:type="pct"/>
            <w:tcBorders>
              <w:top w:val="nil"/>
              <w:left w:val="nil"/>
              <w:bottom w:val="nil"/>
              <w:right w:val="nil"/>
            </w:tcBorders>
          </w:tcPr>
          <w:p w14:paraId="430F4279"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-4.894</w:t>
            </w:r>
          </w:p>
        </w:tc>
        <w:tc>
          <w:tcPr>
            <w:tcW w:w="1081" w:type="pct"/>
            <w:tcBorders>
              <w:top w:val="nil"/>
              <w:left w:val="nil"/>
              <w:bottom w:val="nil"/>
              <w:right w:val="nil"/>
            </w:tcBorders>
          </w:tcPr>
          <w:p w14:paraId="3B760635"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3.010</w:t>
            </w:r>
          </w:p>
        </w:tc>
      </w:tr>
      <w:tr w:rsidR="00CD4846" w:rsidRPr="00CD4846" w14:paraId="5FCA2AFE" w14:textId="77777777" w:rsidTr="00B82EB9">
        <w:tc>
          <w:tcPr>
            <w:tcW w:w="2130" w:type="pct"/>
            <w:tcBorders>
              <w:top w:val="nil"/>
              <w:left w:val="nil"/>
              <w:bottom w:val="nil"/>
              <w:right w:val="nil"/>
            </w:tcBorders>
          </w:tcPr>
          <w:p w14:paraId="515ABC1A" w14:textId="5D200B4A" w:rsidR="00CD4846" w:rsidRPr="00CD4846" w:rsidRDefault="00CD4846" w:rsidP="00FF1F0E">
            <w:pPr>
              <w:widowControl w:val="0"/>
              <w:autoSpaceDE w:val="0"/>
              <w:autoSpaceDN w:val="0"/>
              <w:adjustRightInd w:val="0"/>
              <w:spacing w:line="240" w:lineRule="auto"/>
              <w:rPr>
                <w:rFonts w:cs="Times New Roman"/>
                <w:kern w:val="2"/>
                <w:sz w:val="20"/>
                <w:szCs w:val="20"/>
                <w:lang/>
              </w:rPr>
            </w:pPr>
          </w:p>
        </w:tc>
        <w:tc>
          <w:tcPr>
            <w:tcW w:w="895" w:type="pct"/>
            <w:tcBorders>
              <w:top w:val="nil"/>
              <w:left w:val="nil"/>
              <w:bottom w:val="nil"/>
              <w:right w:val="nil"/>
            </w:tcBorders>
          </w:tcPr>
          <w:p w14:paraId="20EF04FE"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(11.617)</w:t>
            </w:r>
          </w:p>
        </w:tc>
        <w:tc>
          <w:tcPr>
            <w:tcW w:w="894" w:type="pct"/>
            <w:tcBorders>
              <w:top w:val="nil"/>
              <w:left w:val="nil"/>
              <w:bottom w:val="nil"/>
              <w:right w:val="nil"/>
            </w:tcBorders>
          </w:tcPr>
          <w:p w14:paraId="0C9F4C0F"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(6.523)</w:t>
            </w:r>
          </w:p>
        </w:tc>
        <w:tc>
          <w:tcPr>
            <w:tcW w:w="1081" w:type="pct"/>
            <w:tcBorders>
              <w:top w:val="nil"/>
              <w:left w:val="nil"/>
              <w:bottom w:val="nil"/>
              <w:right w:val="nil"/>
            </w:tcBorders>
          </w:tcPr>
          <w:p w14:paraId="56358F60"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(3.100)</w:t>
            </w:r>
          </w:p>
        </w:tc>
      </w:tr>
      <w:tr w:rsidR="00CD4846" w:rsidRPr="00CD4846" w14:paraId="1ACC0E52" w14:textId="77777777" w:rsidTr="00B82EB9">
        <w:tc>
          <w:tcPr>
            <w:tcW w:w="2130" w:type="pct"/>
            <w:tcBorders>
              <w:top w:val="nil"/>
              <w:left w:val="nil"/>
              <w:bottom w:val="nil"/>
              <w:right w:val="nil"/>
            </w:tcBorders>
          </w:tcPr>
          <w:p w14:paraId="69E0394C" w14:textId="315DF4AB"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Avg annual wages (100k)</w:t>
            </w:r>
          </w:p>
        </w:tc>
        <w:tc>
          <w:tcPr>
            <w:tcW w:w="895" w:type="pct"/>
            <w:tcBorders>
              <w:top w:val="nil"/>
              <w:left w:val="nil"/>
              <w:bottom w:val="nil"/>
              <w:right w:val="nil"/>
            </w:tcBorders>
          </w:tcPr>
          <w:p w14:paraId="5A030F72"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0.060</w:t>
            </w:r>
          </w:p>
        </w:tc>
        <w:tc>
          <w:tcPr>
            <w:tcW w:w="894" w:type="pct"/>
            <w:tcBorders>
              <w:top w:val="nil"/>
              <w:left w:val="nil"/>
              <w:bottom w:val="nil"/>
              <w:right w:val="nil"/>
            </w:tcBorders>
          </w:tcPr>
          <w:p w14:paraId="42746566"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0.318</w:t>
            </w:r>
          </w:p>
        </w:tc>
        <w:tc>
          <w:tcPr>
            <w:tcW w:w="1081" w:type="pct"/>
            <w:tcBorders>
              <w:top w:val="nil"/>
              <w:left w:val="nil"/>
              <w:bottom w:val="nil"/>
              <w:right w:val="nil"/>
            </w:tcBorders>
          </w:tcPr>
          <w:p w14:paraId="0662E3DB"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-0.071</w:t>
            </w:r>
          </w:p>
        </w:tc>
      </w:tr>
      <w:tr w:rsidR="00CD4846" w:rsidRPr="00CD4846" w14:paraId="11E0AA83" w14:textId="77777777" w:rsidTr="00B82EB9">
        <w:tc>
          <w:tcPr>
            <w:tcW w:w="2130" w:type="pct"/>
            <w:tcBorders>
              <w:top w:val="nil"/>
              <w:left w:val="nil"/>
              <w:bottom w:val="nil"/>
              <w:right w:val="nil"/>
            </w:tcBorders>
          </w:tcPr>
          <w:p w14:paraId="214E1763" w14:textId="7C801557" w:rsidR="00CD4846" w:rsidRPr="00CD4846" w:rsidRDefault="00CD4846" w:rsidP="00FF1F0E">
            <w:pPr>
              <w:widowControl w:val="0"/>
              <w:autoSpaceDE w:val="0"/>
              <w:autoSpaceDN w:val="0"/>
              <w:adjustRightInd w:val="0"/>
              <w:spacing w:line="240" w:lineRule="auto"/>
              <w:rPr>
                <w:rFonts w:cs="Times New Roman"/>
                <w:kern w:val="2"/>
                <w:sz w:val="20"/>
                <w:szCs w:val="20"/>
                <w:lang/>
              </w:rPr>
            </w:pPr>
          </w:p>
        </w:tc>
        <w:tc>
          <w:tcPr>
            <w:tcW w:w="895" w:type="pct"/>
            <w:tcBorders>
              <w:top w:val="nil"/>
              <w:left w:val="nil"/>
              <w:bottom w:val="nil"/>
              <w:right w:val="nil"/>
            </w:tcBorders>
          </w:tcPr>
          <w:p w14:paraId="4BE40243"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(0.069)</w:t>
            </w:r>
          </w:p>
        </w:tc>
        <w:tc>
          <w:tcPr>
            <w:tcW w:w="894" w:type="pct"/>
            <w:tcBorders>
              <w:top w:val="nil"/>
              <w:left w:val="nil"/>
              <w:bottom w:val="nil"/>
              <w:right w:val="nil"/>
            </w:tcBorders>
          </w:tcPr>
          <w:p w14:paraId="0537A141"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(0.260)</w:t>
            </w:r>
          </w:p>
        </w:tc>
        <w:tc>
          <w:tcPr>
            <w:tcW w:w="1081" w:type="pct"/>
            <w:tcBorders>
              <w:top w:val="nil"/>
              <w:left w:val="nil"/>
              <w:bottom w:val="nil"/>
              <w:right w:val="nil"/>
            </w:tcBorders>
          </w:tcPr>
          <w:p w14:paraId="4231F715"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(0.070)</w:t>
            </w:r>
          </w:p>
        </w:tc>
      </w:tr>
      <w:tr w:rsidR="00CD4846" w:rsidRPr="00CD4846" w14:paraId="6BD5EAE5" w14:textId="77777777" w:rsidTr="00B82EB9">
        <w:tc>
          <w:tcPr>
            <w:tcW w:w="2130" w:type="pct"/>
            <w:tcBorders>
              <w:top w:val="nil"/>
              <w:left w:val="nil"/>
              <w:bottom w:val="nil"/>
              <w:right w:val="nil"/>
            </w:tcBorders>
          </w:tcPr>
          <w:p w14:paraId="72FA1ACF" w14:textId="58BFA6E9"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Attain. Status - Pb (t-1)</w:t>
            </w:r>
          </w:p>
        </w:tc>
        <w:tc>
          <w:tcPr>
            <w:tcW w:w="895" w:type="pct"/>
            <w:tcBorders>
              <w:top w:val="nil"/>
              <w:left w:val="nil"/>
              <w:bottom w:val="nil"/>
              <w:right w:val="nil"/>
            </w:tcBorders>
          </w:tcPr>
          <w:p w14:paraId="7FE37261"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0.184</w:t>
            </w:r>
          </w:p>
        </w:tc>
        <w:tc>
          <w:tcPr>
            <w:tcW w:w="894" w:type="pct"/>
            <w:tcBorders>
              <w:top w:val="nil"/>
              <w:left w:val="nil"/>
              <w:bottom w:val="nil"/>
              <w:right w:val="nil"/>
            </w:tcBorders>
          </w:tcPr>
          <w:p w14:paraId="53A7E4C1"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1.882**</w:t>
            </w:r>
          </w:p>
        </w:tc>
        <w:tc>
          <w:tcPr>
            <w:tcW w:w="1081" w:type="pct"/>
            <w:tcBorders>
              <w:top w:val="nil"/>
              <w:left w:val="nil"/>
              <w:bottom w:val="nil"/>
              <w:right w:val="nil"/>
            </w:tcBorders>
          </w:tcPr>
          <w:p w14:paraId="6AFFA125"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0.722**</w:t>
            </w:r>
          </w:p>
        </w:tc>
      </w:tr>
      <w:tr w:rsidR="00CD4846" w:rsidRPr="00CD4846" w14:paraId="6FF95ED7" w14:textId="77777777" w:rsidTr="00B82EB9">
        <w:tc>
          <w:tcPr>
            <w:tcW w:w="2130" w:type="pct"/>
            <w:tcBorders>
              <w:top w:val="nil"/>
              <w:left w:val="nil"/>
              <w:bottom w:val="nil"/>
              <w:right w:val="nil"/>
            </w:tcBorders>
          </w:tcPr>
          <w:p w14:paraId="08A1471C" w14:textId="4B731FAC" w:rsidR="00CD4846" w:rsidRPr="00CD4846" w:rsidRDefault="00CD4846" w:rsidP="00FF1F0E">
            <w:pPr>
              <w:widowControl w:val="0"/>
              <w:autoSpaceDE w:val="0"/>
              <w:autoSpaceDN w:val="0"/>
              <w:adjustRightInd w:val="0"/>
              <w:spacing w:line="240" w:lineRule="auto"/>
              <w:rPr>
                <w:rFonts w:cs="Times New Roman"/>
                <w:kern w:val="2"/>
                <w:sz w:val="20"/>
                <w:szCs w:val="20"/>
                <w:lang/>
              </w:rPr>
            </w:pPr>
          </w:p>
        </w:tc>
        <w:tc>
          <w:tcPr>
            <w:tcW w:w="895" w:type="pct"/>
            <w:tcBorders>
              <w:top w:val="nil"/>
              <w:left w:val="nil"/>
              <w:bottom w:val="nil"/>
              <w:right w:val="nil"/>
            </w:tcBorders>
          </w:tcPr>
          <w:p w14:paraId="2E31B0A6"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(1.088)</w:t>
            </w:r>
          </w:p>
        </w:tc>
        <w:tc>
          <w:tcPr>
            <w:tcW w:w="894" w:type="pct"/>
            <w:tcBorders>
              <w:top w:val="nil"/>
              <w:left w:val="nil"/>
              <w:bottom w:val="nil"/>
              <w:right w:val="nil"/>
            </w:tcBorders>
          </w:tcPr>
          <w:p w14:paraId="4352A1FA"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(0.951)</w:t>
            </w:r>
          </w:p>
        </w:tc>
        <w:tc>
          <w:tcPr>
            <w:tcW w:w="1081" w:type="pct"/>
            <w:tcBorders>
              <w:top w:val="nil"/>
              <w:left w:val="nil"/>
              <w:bottom w:val="nil"/>
              <w:right w:val="nil"/>
            </w:tcBorders>
          </w:tcPr>
          <w:p w14:paraId="541CCD35"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(0.347)</w:t>
            </w:r>
          </w:p>
        </w:tc>
      </w:tr>
      <w:tr w:rsidR="00CD4846" w:rsidRPr="00CD4846" w14:paraId="6F593D06" w14:textId="77777777" w:rsidTr="00B82EB9">
        <w:tc>
          <w:tcPr>
            <w:tcW w:w="2130" w:type="pct"/>
            <w:tcBorders>
              <w:top w:val="nil"/>
              <w:left w:val="nil"/>
              <w:bottom w:val="nil"/>
              <w:right w:val="nil"/>
            </w:tcBorders>
          </w:tcPr>
          <w:p w14:paraId="4CB85039" w14:textId="1A92D9F6"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Attain. Status - O3 (t-1)</w:t>
            </w:r>
          </w:p>
        </w:tc>
        <w:tc>
          <w:tcPr>
            <w:tcW w:w="895" w:type="pct"/>
            <w:tcBorders>
              <w:top w:val="nil"/>
              <w:left w:val="nil"/>
              <w:bottom w:val="nil"/>
              <w:right w:val="nil"/>
            </w:tcBorders>
          </w:tcPr>
          <w:p w14:paraId="55EA66C2"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-0.746</w:t>
            </w:r>
          </w:p>
        </w:tc>
        <w:tc>
          <w:tcPr>
            <w:tcW w:w="894" w:type="pct"/>
            <w:tcBorders>
              <w:top w:val="nil"/>
              <w:left w:val="nil"/>
              <w:bottom w:val="nil"/>
              <w:right w:val="nil"/>
            </w:tcBorders>
          </w:tcPr>
          <w:p w14:paraId="1C750854"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-0.107</w:t>
            </w:r>
          </w:p>
        </w:tc>
        <w:tc>
          <w:tcPr>
            <w:tcW w:w="1081" w:type="pct"/>
            <w:tcBorders>
              <w:top w:val="nil"/>
              <w:left w:val="nil"/>
              <w:bottom w:val="nil"/>
              <w:right w:val="nil"/>
            </w:tcBorders>
          </w:tcPr>
          <w:p w14:paraId="50CD4EEA"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0.001</w:t>
            </w:r>
          </w:p>
        </w:tc>
      </w:tr>
      <w:tr w:rsidR="00CD4846" w:rsidRPr="00CD4846" w14:paraId="420755E0" w14:textId="77777777" w:rsidTr="00B82EB9">
        <w:tc>
          <w:tcPr>
            <w:tcW w:w="2130" w:type="pct"/>
            <w:tcBorders>
              <w:top w:val="nil"/>
              <w:left w:val="nil"/>
              <w:bottom w:val="nil"/>
              <w:right w:val="nil"/>
            </w:tcBorders>
          </w:tcPr>
          <w:p w14:paraId="4D86FD19" w14:textId="0EC068FE" w:rsidR="00CD4846" w:rsidRPr="00CD4846" w:rsidRDefault="00CD4846" w:rsidP="00FF1F0E">
            <w:pPr>
              <w:widowControl w:val="0"/>
              <w:autoSpaceDE w:val="0"/>
              <w:autoSpaceDN w:val="0"/>
              <w:adjustRightInd w:val="0"/>
              <w:spacing w:line="240" w:lineRule="auto"/>
              <w:rPr>
                <w:rFonts w:cs="Times New Roman"/>
                <w:kern w:val="2"/>
                <w:sz w:val="20"/>
                <w:szCs w:val="20"/>
                <w:lang/>
              </w:rPr>
            </w:pPr>
          </w:p>
        </w:tc>
        <w:tc>
          <w:tcPr>
            <w:tcW w:w="895" w:type="pct"/>
            <w:tcBorders>
              <w:top w:val="nil"/>
              <w:left w:val="nil"/>
              <w:bottom w:val="nil"/>
              <w:right w:val="nil"/>
            </w:tcBorders>
          </w:tcPr>
          <w:p w14:paraId="4EA893E7"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(0.731)</w:t>
            </w:r>
          </w:p>
        </w:tc>
        <w:tc>
          <w:tcPr>
            <w:tcW w:w="894" w:type="pct"/>
            <w:tcBorders>
              <w:top w:val="nil"/>
              <w:left w:val="nil"/>
              <w:bottom w:val="nil"/>
              <w:right w:val="nil"/>
            </w:tcBorders>
          </w:tcPr>
          <w:p w14:paraId="343EED5E"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(0.207)</w:t>
            </w:r>
          </w:p>
        </w:tc>
        <w:tc>
          <w:tcPr>
            <w:tcW w:w="1081" w:type="pct"/>
            <w:tcBorders>
              <w:top w:val="nil"/>
              <w:left w:val="nil"/>
              <w:bottom w:val="nil"/>
              <w:right w:val="nil"/>
            </w:tcBorders>
          </w:tcPr>
          <w:p w14:paraId="6D2510ED"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(0.146)</w:t>
            </w:r>
          </w:p>
        </w:tc>
      </w:tr>
      <w:tr w:rsidR="00CD4846" w:rsidRPr="00CD4846" w14:paraId="29C70954" w14:textId="77777777" w:rsidTr="00B82EB9">
        <w:tc>
          <w:tcPr>
            <w:tcW w:w="2130" w:type="pct"/>
            <w:tcBorders>
              <w:top w:val="nil"/>
              <w:left w:val="nil"/>
              <w:bottom w:val="nil"/>
              <w:right w:val="nil"/>
            </w:tcBorders>
          </w:tcPr>
          <w:p w14:paraId="2E763CEE" w14:textId="06889BB6"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Attain. Status - PM (t-1)</w:t>
            </w:r>
          </w:p>
        </w:tc>
        <w:tc>
          <w:tcPr>
            <w:tcW w:w="895" w:type="pct"/>
            <w:tcBorders>
              <w:top w:val="nil"/>
              <w:left w:val="nil"/>
              <w:bottom w:val="nil"/>
              <w:right w:val="nil"/>
            </w:tcBorders>
          </w:tcPr>
          <w:p w14:paraId="090C460A"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0.025</w:t>
            </w:r>
          </w:p>
        </w:tc>
        <w:tc>
          <w:tcPr>
            <w:tcW w:w="894" w:type="pct"/>
            <w:tcBorders>
              <w:top w:val="nil"/>
              <w:left w:val="nil"/>
              <w:bottom w:val="nil"/>
              <w:right w:val="nil"/>
            </w:tcBorders>
          </w:tcPr>
          <w:p w14:paraId="36E79D5D"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0.023</w:t>
            </w:r>
          </w:p>
        </w:tc>
        <w:tc>
          <w:tcPr>
            <w:tcW w:w="1081" w:type="pct"/>
            <w:tcBorders>
              <w:top w:val="nil"/>
              <w:left w:val="nil"/>
              <w:bottom w:val="nil"/>
              <w:right w:val="nil"/>
            </w:tcBorders>
          </w:tcPr>
          <w:p w14:paraId="6E8CC74F"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-0.033</w:t>
            </w:r>
          </w:p>
        </w:tc>
      </w:tr>
      <w:tr w:rsidR="00CD4846" w:rsidRPr="00CD4846" w14:paraId="3D3919EB" w14:textId="77777777" w:rsidTr="00B82EB9">
        <w:tc>
          <w:tcPr>
            <w:tcW w:w="2130" w:type="pct"/>
            <w:tcBorders>
              <w:top w:val="nil"/>
              <w:left w:val="nil"/>
              <w:bottom w:val="nil"/>
              <w:right w:val="nil"/>
            </w:tcBorders>
          </w:tcPr>
          <w:p w14:paraId="53BD9715" w14:textId="41CA5AE0" w:rsidR="00CD4846" w:rsidRPr="00CD4846" w:rsidRDefault="00CD4846" w:rsidP="00FF1F0E">
            <w:pPr>
              <w:widowControl w:val="0"/>
              <w:autoSpaceDE w:val="0"/>
              <w:autoSpaceDN w:val="0"/>
              <w:adjustRightInd w:val="0"/>
              <w:spacing w:line="240" w:lineRule="auto"/>
              <w:rPr>
                <w:rFonts w:cs="Times New Roman"/>
                <w:kern w:val="2"/>
                <w:sz w:val="20"/>
                <w:szCs w:val="20"/>
                <w:lang/>
              </w:rPr>
            </w:pPr>
          </w:p>
        </w:tc>
        <w:tc>
          <w:tcPr>
            <w:tcW w:w="895" w:type="pct"/>
            <w:tcBorders>
              <w:top w:val="nil"/>
              <w:left w:val="nil"/>
              <w:bottom w:val="nil"/>
              <w:right w:val="nil"/>
            </w:tcBorders>
          </w:tcPr>
          <w:p w14:paraId="2B59E9FB"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(0.628)</w:t>
            </w:r>
          </w:p>
        </w:tc>
        <w:tc>
          <w:tcPr>
            <w:tcW w:w="894" w:type="pct"/>
            <w:tcBorders>
              <w:top w:val="nil"/>
              <w:left w:val="nil"/>
              <w:bottom w:val="nil"/>
              <w:right w:val="nil"/>
            </w:tcBorders>
          </w:tcPr>
          <w:p w14:paraId="3372047F"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(0.145)</w:t>
            </w:r>
          </w:p>
        </w:tc>
        <w:tc>
          <w:tcPr>
            <w:tcW w:w="1081" w:type="pct"/>
            <w:tcBorders>
              <w:top w:val="nil"/>
              <w:left w:val="nil"/>
              <w:bottom w:val="nil"/>
              <w:right w:val="nil"/>
            </w:tcBorders>
          </w:tcPr>
          <w:p w14:paraId="38234C76"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(0.109)</w:t>
            </w:r>
          </w:p>
        </w:tc>
      </w:tr>
      <w:tr w:rsidR="00CD4846" w:rsidRPr="00CD4846" w14:paraId="30B83A0B" w14:textId="77777777" w:rsidTr="00B82EB9">
        <w:tc>
          <w:tcPr>
            <w:tcW w:w="2130" w:type="pct"/>
            <w:tcBorders>
              <w:top w:val="nil"/>
              <w:left w:val="nil"/>
              <w:bottom w:val="nil"/>
              <w:right w:val="nil"/>
            </w:tcBorders>
          </w:tcPr>
          <w:p w14:paraId="52A4180C"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Attain. Status - SO2 (t-1)</w:t>
            </w:r>
          </w:p>
        </w:tc>
        <w:tc>
          <w:tcPr>
            <w:tcW w:w="895" w:type="pct"/>
            <w:tcBorders>
              <w:top w:val="nil"/>
              <w:left w:val="nil"/>
              <w:bottom w:val="nil"/>
              <w:right w:val="nil"/>
            </w:tcBorders>
          </w:tcPr>
          <w:p w14:paraId="7C3B6FBA"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2.535</w:t>
            </w:r>
          </w:p>
        </w:tc>
        <w:tc>
          <w:tcPr>
            <w:tcW w:w="894" w:type="pct"/>
            <w:tcBorders>
              <w:top w:val="nil"/>
              <w:left w:val="nil"/>
              <w:bottom w:val="nil"/>
              <w:right w:val="nil"/>
            </w:tcBorders>
          </w:tcPr>
          <w:p w14:paraId="0F3A3DF1"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-0.602</w:t>
            </w:r>
          </w:p>
        </w:tc>
        <w:tc>
          <w:tcPr>
            <w:tcW w:w="1081" w:type="pct"/>
            <w:tcBorders>
              <w:top w:val="nil"/>
              <w:left w:val="nil"/>
              <w:bottom w:val="nil"/>
              <w:right w:val="nil"/>
            </w:tcBorders>
          </w:tcPr>
          <w:p w14:paraId="4866F455"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0.338</w:t>
            </w:r>
          </w:p>
        </w:tc>
      </w:tr>
      <w:tr w:rsidR="00CD4846" w:rsidRPr="00CD4846" w14:paraId="58811730" w14:textId="77777777" w:rsidTr="00B82EB9">
        <w:tc>
          <w:tcPr>
            <w:tcW w:w="2130" w:type="pct"/>
            <w:tcBorders>
              <w:top w:val="nil"/>
              <w:left w:val="nil"/>
              <w:bottom w:val="nil"/>
              <w:right w:val="nil"/>
            </w:tcBorders>
          </w:tcPr>
          <w:p w14:paraId="269797AE" w14:textId="0B0D2157" w:rsidR="00CD4846" w:rsidRPr="00CD4846" w:rsidRDefault="00CD4846" w:rsidP="00FF1F0E">
            <w:pPr>
              <w:widowControl w:val="0"/>
              <w:autoSpaceDE w:val="0"/>
              <w:autoSpaceDN w:val="0"/>
              <w:adjustRightInd w:val="0"/>
              <w:spacing w:line="240" w:lineRule="auto"/>
              <w:rPr>
                <w:rFonts w:cs="Times New Roman"/>
                <w:kern w:val="2"/>
                <w:sz w:val="20"/>
                <w:szCs w:val="20"/>
                <w:lang/>
              </w:rPr>
            </w:pPr>
          </w:p>
        </w:tc>
        <w:tc>
          <w:tcPr>
            <w:tcW w:w="895" w:type="pct"/>
            <w:tcBorders>
              <w:top w:val="nil"/>
              <w:left w:val="nil"/>
              <w:bottom w:val="nil"/>
              <w:right w:val="nil"/>
            </w:tcBorders>
          </w:tcPr>
          <w:p w14:paraId="20A2C654"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(2.681)</w:t>
            </w:r>
          </w:p>
        </w:tc>
        <w:tc>
          <w:tcPr>
            <w:tcW w:w="894" w:type="pct"/>
            <w:tcBorders>
              <w:top w:val="nil"/>
              <w:left w:val="nil"/>
              <w:bottom w:val="nil"/>
              <w:right w:val="nil"/>
            </w:tcBorders>
          </w:tcPr>
          <w:p w14:paraId="1F9F4F5F"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(0.593)</w:t>
            </w:r>
          </w:p>
        </w:tc>
        <w:tc>
          <w:tcPr>
            <w:tcW w:w="1081" w:type="pct"/>
            <w:tcBorders>
              <w:top w:val="nil"/>
              <w:left w:val="nil"/>
              <w:bottom w:val="nil"/>
              <w:right w:val="nil"/>
            </w:tcBorders>
          </w:tcPr>
          <w:p w14:paraId="3DB4B499"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(0.475)</w:t>
            </w:r>
          </w:p>
        </w:tc>
      </w:tr>
      <w:tr w:rsidR="00CD4846" w:rsidRPr="00CD4846" w14:paraId="2AA85124" w14:textId="77777777" w:rsidTr="00B82EB9">
        <w:tc>
          <w:tcPr>
            <w:tcW w:w="2130" w:type="pct"/>
            <w:tcBorders>
              <w:top w:val="nil"/>
              <w:left w:val="nil"/>
              <w:bottom w:val="nil"/>
              <w:right w:val="nil"/>
            </w:tcBorders>
          </w:tcPr>
          <w:p w14:paraId="6B6382D2" w14:textId="11C4B18B"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Density Employment</w:t>
            </w:r>
          </w:p>
        </w:tc>
        <w:tc>
          <w:tcPr>
            <w:tcW w:w="895" w:type="pct"/>
            <w:tcBorders>
              <w:top w:val="nil"/>
              <w:left w:val="nil"/>
              <w:bottom w:val="nil"/>
              <w:right w:val="nil"/>
            </w:tcBorders>
          </w:tcPr>
          <w:p w14:paraId="639EB231"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0.540</w:t>
            </w:r>
          </w:p>
        </w:tc>
        <w:tc>
          <w:tcPr>
            <w:tcW w:w="894" w:type="pct"/>
            <w:tcBorders>
              <w:top w:val="nil"/>
              <w:left w:val="nil"/>
              <w:bottom w:val="nil"/>
              <w:right w:val="nil"/>
            </w:tcBorders>
          </w:tcPr>
          <w:p w14:paraId="5A26DE09"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0.178</w:t>
            </w:r>
          </w:p>
        </w:tc>
        <w:tc>
          <w:tcPr>
            <w:tcW w:w="1081" w:type="pct"/>
            <w:tcBorders>
              <w:top w:val="nil"/>
              <w:left w:val="nil"/>
              <w:bottom w:val="nil"/>
              <w:right w:val="nil"/>
            </w:tcBorders>
          </w:tcPr>
          <w:p w14:paraId="2020F01D"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0.315**</w:t>
            </w:r>
          </w:p>
        </w:tc>
      </w:tr>
      <w:tr w:rsidR="00CD4846" w:rsidRPr="00CD4846" w14:paraId="34DD6B66" w14:textId="77777777" w:rsidTr="00B82EB9">
        <w:tc>
          <w:tcPr>
            <w:tcW w:w="2130" w:type="pct"/>
            <w:tcBorders>
              <w:top w:val="nil"/>
              <w:left w:val="nil"/>
              <w:bottom w:val="nil"/>
              <w:right w:val="nil"/>
            </w:tcBorders>
          </w:tcPr>
          <w:p w14:paraId="163DAC4B" w14:textId="41DBD80B" w:rsidR="00CD4846" w:rsidRPr="00CD4846" w:rsidRDefault="00CD4846" w:rsidP="00FF1F0E">
            <w:pPr>
              <w:widowControl w:val="0"/>
              <w:autoSpaceDE w:val="0"/>
              <w:autoSpaceDN w:val="0"/>
              <w:adjustRightInd w:val="0"/>
              <w:spacing w:line="240" w:lineRule="auto"/>
              <w:rPr>
                <w:rFonts w:cs="Times New Roman"/>
                <w:kern w:val="2"/>
                <w:sz w:val="20"/>
                <w:szCs w:val="20"/>
                <w:lang/>
              </w:rPr>
            </w:pPr>
          </w:p>
        </w:tc>
        <w:tc>
          <w:tcPr>
            <w:tcW w:w="895" w:type="pct"/>
            <w:tcBorders>
              <w:top w:val="nil"/>
              <w:left w:val="nil"/>
              <w:bottom w:val="nil"/>
              <w:right w:val="nil"/>
            </w:tcBorders>
          </w:tcPr>
          <w:p w14:paraId="57078765"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(0.541)</w:t>
            </w:r>
          </w:p>
        </w:tc>
        <w:tc>
          <w:tcPr>
            <w:tcW w:w="894" w:type="pct"/>
            <w:tcBorders>
              <w:top w:val="nil"/>
              <w:left w:val="nil"/>
              <w:bottom w:val="nil"/>
              <w:right w:val="nil"/>
            </w:tcBorders>
          </w:tcPr>
          <w:p w14:paraId="56E218D6"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(0.281)</w:t>
            </w:r>
          </w:p>
        </w:tc>
        <w:tc>
          <w:tcPr>
            <w:tcW w:w="1081" w:type="pct"/>
            <w:tcBorders>
              <w:top w:val="nil"/>
              <w:left w:val="nil"/>
              <w:bottom w:val="nil"/>
              <w:right w:val="nil"/>
            </w:tcBorders>
          </w:tcPr>
          <w:p w14:paraId="3ADFC034"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(0.151)</w:t>
            </w:r>
          </w:p>
        </w:tc>
      </w:tr>
      <w:tr w:rsidR="00CD4846" w:rsidRPr="00CD4846" w14:paraId="01F5ACAC" w14:textId="77777777" w:rsidTr="00B82EB9">
        <w:tc>
          <w:tcPr>
            <w:tcW w:w="2130" w:type="pct"/>
            <w:tcBorders>
              <w:top w:val="nil"/>
              <w:left w:val="nil"/>
              <w:bottom w:val="nil"/>
              <w:right w:val="nil"/>
            </w:tcBorders>
          </w:tcPr>
          <w:p w14:paraId="2D6E0019"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Percent Black (100s)</w:t>
            </w:r>
          </w:p>
        </w:tc>
        <w:tc>
          <w:tcPr>
            <w:tcW w:w="895" w:type="pct"/>
            <w:tcBorders>
              <w:top w:val="nil"/>
              <w:left w:val="nil"/>
              <w:bottom w:val="nil"/>
              <w:right w:val="nil"/>
            </w:tcBorders>
          </w:tcPr>
          <w:p w14:paraId="700682F7"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82.873**</w:t>
            </w:r>
          </w:p>
        </w:tc>
        <w:tc>
          <w:tcPr>
            <w:tcW w:w="894" w:type="pct"/>
            <w:tcBorders>
              <w:top w:val="nil"/>
              <w:left w:val="nil"/>
              <w:bottom w:val="nil"/>
              <w:right w:val="nil"/>
            </w:tcBorders>
          </w:tcPr>
          <w:p w14:paraId="44DB2D4C"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-1.972</w:t>
            </w:r>
          </w:p>
        </w:tc>
        <w:tc>
          <w:tcPr>
            <w:tcW w:w="1081" w:type="pct"/>
            <w:tcBorders>
              <w:top w:val="nil"/>
              <w:left w:val="nil"/>
              <w:bottom w:val="nil"/>
              <w:right w:val="nil"/>
            </w:tcBorders>
          </w:tcPr>
          <w:p w14:paraId="2765A848"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-3.339</w:t>
            </w:r>
          </w:p>
        </w:tc>
      </w:tr>
      <w:tr w:rsidR="00CD4846" w:rsidRPr="00CD4846" w14:paraId="0876CAAD" w14:textId="77777777" w:rsidTr="00B82EB9">
        <w:tc>
          <w:tcPr>
            <w:tcW w:w="2130" w:type="pct"/>
            <w:tcBorders>
              <w:top w:val="nil"/>
              <w:left w:val="nil"/>
              <w:bottom w:val="nil"/>
              <w:right w:val="nil"/>
            </w:tcBorders>
          </w:tcPr>
          <w:p w14:paraId="48EE0625" w14:textId="29FC00D4" w:rsidR="00CD4846" w:rsidRPr="00CD4846" w:rsidRDefault="00CD4846" w:rsidP="00FF1F0E">
            <w:pPr>
              <w:widowControl w:val="0"/>
              <w:autoSpaceDE w:val="0"/>
              <w:autoSpaceDN w:val="0"/>
              <w:adjustRightInd w:val="0"/>
              <w:spacing w:line="240" w:lineRule="auto"/>
              <w:rPr>
                <w:rFonts w:cs="Times New Roman"/>
                <w:kern w:val="2"/>
                <w:sz w:val="20"/>
                <w:szCs w:val="20"/>
                <w:lang/>
              </w:rPr>
            </w:pPr>
          </w:p>
        </w:tc>
        <w:tc>
          <w:tcPr>
            <w:tcW w:w="895" w:type="pct"/>
            <w:tcBorders>
              <w:top w:val="nil"/>
              <w:left w:val="nil"/>
              <w:bottom w:val="nil"/>
              <w:right w:val="nil"/>
            </w:tcBorders>
          </w:tcPr>
          <w:p w14:paraId="6E6E941B"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(41.007)</w:t>
            </w:r>
          </w:p>
        </w:tc>
        <w:tc>
          <w:tcPr>
            <w:tcW w:w="894" w:type="pct"/>
            <w:tcBorders>
              <w:top w:val="nil"/>
              <w:left w:val="nil"/>
              <w:bottom w:val="nil"/>
              <w:right w:val="nil"/>
            </w:tcBorders>
          </w:tcPr>
          <w:p w14:paraId="2334B869"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(10.571)</w:t>
            </w:r>
          </w:p>
        </w:tc>
        <w:tc>
          <w:tcPr>
            <w:tcW w:w="1081" w:type="pct"/>
            <w:tcBorders>
              <w:top w:val="nil"/>
              <w:left w:val="nil"/>
              <w:bottom w:val="nil"/>
              <w:right w:val="nil"/>
            </w:tcBorders>
          </w:tcPr>
          <w:p w14:paraId="38935D80"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(4.846)</w:t>
            </w:r>
          </w:p>
        </w:tc>
      </w:tr>
      <w:tr w:rsidR="00CD4846" w:rsidRPr="00CD4846" w14:paraId="29AC63E0" w14:textId="77777777" w:rsidTr="00B82EB9">
        <w:tc>
          <w:tcPr>
            <w:tcW w:w="2130" w:type="pct"/>
            <w:tcBorders>
              <w:top w:val="nil"/>
              <w:left w:val="nil"/>
              <w:bottom w:val="nil"/>
              <w:right w:val="nil"/>
            </w:tcBorders>
          </w:tcPr>
          <w:p w14:paraId="5049F3C9" w14:textId="43B88EE5"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Population count (1ms)</w:t>
            </w:r>
          </w:p>
        </w:tc>
        <w:tc>
          <w:tcPr>
            <w:tcW w:w="895" w:type="pct"/>
            <w:tcBorders>
              <w:top w:val="nil"/>
              <w:left w:val="nil"/>
              <w:bottom w:val="nil"/>
              <w:right w:val="nil"/>
            </w:tcBorders>
          </w:tcPr>
          <w:p w14:paraId="401A54EA"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-3.411**</w:t>
            </w:r>
          </w:p>
        </w:tc>
        <w:tc>
          <w:tcPr>
            <w:tcW w:w="894" w:type="pct"/>
            <w:tcBorders>
              <w:top w:val="nil"/>
              <w:left w:val="nil"/>
              <w:bottom w:val="nil"/>
              <w:right w:val="nil"/>
            </w:tcBorders>
          </w:tcPr>
          <w:p w14:paraId="4D386841"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-0.945</w:t>
            </w:r>
          </w:p>
        </w:tc>
        <w:tc>
          <w:tcPr>
            <w:tcW w:w="1081" w:type="pct"/>
            <w:tcBorders>
              <w:top w:val="nil"/>
              <w:left w:val="nil"/>
              <w:bottom w:val="nil"/>
              <w:right w:val="nil"/>
            </w:tcBorders>
          </w:tcPr>
          <w:p w14:paraId="080457E3"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-1.710**</w:t>
            </w:r>
          </w:p>
        </w:tc>
      </w:tr>
      <w:tr w:rsidR="00CD4846" w:rsidRPr="00CD4846" w14:paraId="79E2CAF8" w14:textId="77777777" w:rsidTr="00B82EB9">
        <w:tc>
          <w:tcPr>
            <w:tcW w:w="2130" w:type="pct"/>
            <w:tcBorders>
              <w:top w:val="nil"/>
              <w:left w:val="nil"/>
              <w:bottom w:val="nil"/>
              <w:right w:val="nil"/>
            </w:tcBorders>
          </w:tcPr>
          <w:p w14:paraId="55805BFE" w14:textId="1A4EC4C8" w:rsidR="00CD4846" w:rsidRPr="00CD4846" w:rsidRDefault="00CD4846" w:rsidP="00FF1F0E">
            <w:pPr>
              <w:widowControl w:val="0"/>
              <w:autoSpaceDE w:val="0"/>
              <w:autoSpaceDN w:val="0"/>
              <w:adjustRightInd w:val="0"/>
              <w:spacing w:line="240" w:lineRule="auto"/>
              <w:rPr>
                <w:rFonts w:cs="Times New Roman"/>
                <w:kern w:val="2"/>
                <w:sz w:val="20"/>
                <w:szCs w:val="20"/>
                <w:lang/>
              </w:rPr>
            </w:pPr>
          </w:p>
        </w:tc>
        <w:tc>
          <w:tcPr>
            <w:tcW w:w="895" w:type="pct"/>
            <w:tcBorders>
              <w:top w:val="nil"/>
              <w:left w:val="nil"/>
              <w:bottom w:val="nil"/>
              <w:right w:val="nil"/>
            </w:tcBorders>
          </w:tcPr>
          <w:p w14:paraId="38561463"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(1.693)</w:t>
            </w:r>
          </w:p>
        </w:tc>
        <w:tc>
          <w:tcPr>
            <w:tcW w:w="894" w:type="pct"/>
            <w:tcBorders>
              <w:top w:val="nil"/>
              <w:left w:val="nil"/>
              <w:bottom w:val="nil"/>
              <w:right w:val="nil"/>
            </w:tcBorders>
          </w:tcPr>
          <w:p w14:paraId="5958F022"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(1.480)</w:t>
            </w:r>
          </w:p>
        </w:tc>
        <w:tc>
          <w:tcPr>
            <w:tcW w:w="1081" w:type="pct"/>
            <w:tcBorders>
              <w:top w:val="nil"/>
              <w:left w:val="nil"/>
              <w:bottom w:val="nil"/>
              <w:right w:val="nil"/>
            </w:tcBorders>
          </w:tcPr>
          <w:p w14:paraId="44011DD8"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(0.705)</w:t>
            </w:r>
          </w:p>
        </w:tc>
      </w:tr>
      <w:tr w:rsidR="00CD4846" w:rsidRPr="00CD4846" w14:paraId="2BC4F647" w14:textId="77777777" w:rsidTr="00B82EB9">
        <w:tc>
          <w:tcPr>
            <w:tcW w:w="2130" w:type="pct"/>
            <w:tcBorders>
              <w:top w:val="nil"/>
              <w:left w:val="nil"/>
              <w:bottom w:val="nil"/>
              <w:right w:val="nil"/>
            </w:tcBorders>
          </w:tcPr>
          <w:p w14:paraId="0C9194B1" w14:textId="5ADFDB1C"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Unemployment rate (100s)</w:t>
            </w:r>
          </w:p>
        </w:tc>
        <w:tc>
          <w:tcPr>
            <w:tcW w:w="895" w:type="pct"/>
            <w:tcBorders>
              <w:top w:val="nil"/>
              <w:left w:val="nil"/>
              <w:bottom w:val="nil"/>
              <w:right w:val="nil"/>
            </w:tcBorders>
          </w:tcPr>
          <w:p w14:paraId="480202DF"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8.901</w:t>
            </w:r>
          </w:p>
        </w:tc>
        <w:tc>
          <w:tcPr>
            <w:tcW w:w="894" w:type="pct"/>
            <w:tcBorders>
              <w:top w:val="nil"/>
              <w:left w:val="nil"/>
              <w:bottom w:val="nil"/>
              <w:right w:val="nil"/>
            </w:tcBorders>
          </w:tcPr>
          <w:p w14:paraId="1035042D"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8.517</w:t>
            </w:r>
          </w:p>
        </w:tc>
        <w:tc>
          <w:tcPr>
            <w:tcW w:w="1081" w:type="pct"/>
            <w:tcBorders>
              <w:top w:val="nil"/>
              <w:left w:val="nil"/>
              <w:bottom w:val="nil"/>
              <w:right w:val="nil"/>
            </w:tcBorders>
          </w:tcPr>
          <w:p w14:paraId="5CEDD9AF"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-10.264*</w:t>
            </w:r>
          </w:p>
        </w:tc>
      </w:tr>
      <w:tr w:rsidR="00CD4846" w:rsidRPr="00CD4846" w14:paraId="314750D5" w14:textId="77777777" w:rsidTr="00B82EB9">
        <w:tc>
          <w:tcPr>
            <w:tcW w:w="2130" w:type="pct"/>
            <w:tcBorders>
              <w:top w:val="nil"/>
              <w:left w:val="nil"/>
              <w:bottom w:val="nil"/>
              <w:right w:val="nil"/>
            </w:tcBorders>
          </w:tcPr>
          <w:p w14:paraId="3E28C441" w14:textId="58E5B2B0" w:rsidR="00CD4846" w:rsidRPr="00CD4846" w:rsidRDefault="00CD4846" w:rsidP="00FF1F0E">
            <w:pPr>
              <w:widowControl w:val="0"/>
              <w:autoSpaceDE w:val="0"/>
              <w:autoSpaceDN w:val="0"/>
              <w:adjustRightInd w:val="0"/>
              <w:spacing w:line="240" w:lineRule="auto"/>
              <w:rPr>
                <w:rFonts w:cs="Times New Roman"/>
                <w:kern w:val="2"/>
                <w:sz w:val="20"/>
                <w:szCs w:val="20"/>
                <w:lang/>
              </w:rPr>
            </w:pPr>
          </w:p>
        </w:tc>
        <w:tc>
          <w:tcPr>
            <w:tcW w:w="895" w:type="pct"/>
            <w:tcBorders>
              <w:top w:val="nil"/>
              <w:left w:val="nil"/>
              <w:bottom w:val="nil"/>
              <w:right w:val="nil"/>
            </w:tcBorders>
          </w:tcPr>
          <w:p w14:paraId="3CFDCFE0"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(41.819)</w:t>
            </w:r>
          </w:p>
        </w:tc>
        <w:tc>
          <w:tcPr>
            <w:tcW w:w="894" w:type="pct"/>
            <w:tcBorders>
              <w:top w:val="nil"/>
              <w:left w:val="nil"/>
              <w:bottom w:val="nil"/>
              <w:right w:val="nil"/>
            </w:tcBorders>
          </w:tcPr>
          <w:p w14:paraId="701C8B2E"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(14.644)</w:t>
            </w:r>
          </w:p>
        </w:tc>
        <w:tc>
          <w:tcPr>
            <w:tcW w:w="1081" w:type="pct"/>
            <w:tcBorders>
              <w:top w:val="nil"/>
              <w:left w:val="nil"/>
              <w:bottom w:val="nil"/>
              <w:right w:val="nil"/>
            </w:tcBorders>
          </w:tcPr>
          <w:p w14:paraId="12145681"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(5.294)</w:t>
            </w:r>
          </w:p>
        </w:tc>
      </w:tr>
      <w:tr w:rsidR="00CD4846" w:rsidRPr="00CD4846" w14:paraId="520E8E73" w14:textId="77777777" w:rsidTr="00B82EB9">
        <w:tc>
          <w:tcPr>
            <w:tcW w:w="2130" w:type="pct"/>
            <w:tcBorders>
              <w:top w:val="nil"/>
              <w:left w:val="nil"/>
              <w:bottom w:val="nil"/>
              <w:right w:val="nil"/>
            </w:tcBorders>
          </w:tcPr>
          <w:p w14:paraId="17F4B72D" w14:textId="7F04EAE4"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Sales Volume (t-1)</w:t>
            </w:r>
          </w:p>
        </w:tc>
        <w:tc>
          <w:tcPr>
            <w:tcW w:w="895" w:type="pct"/>
            <w:tcBorders>
              <w:top w:val="nil"/>
              <w:left w:val="nil"/>
              <w:bottom w:val="nil"/>
              <w:right w:val="nil"/>
            </w:tcBorders>
          </w:tcPr>
          <w:p w14:paraId="2223EAE1"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23.157</w:t>
            </w:r>
          </w:p>
        </w:tc>
        <w:tc>
          <w:tcPr>
            <w:tcW w:w="894" w:type="pct"/>
            <w:tcBorders>
              <w:top w:val="nil"/>
              <w:left w:val="nil"/>
              <w:bottom w:val="nil"/>
              <w:right w:val="nil"/>
            </w:tcBorders>
          </w:tcPr>
          <w:p w14:paraId="56F66FB0"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107.989</w:t>
            </w:r>
          </w:p>
        </w:tc>
        <w:tc>
          <w:tcPr>
            <w:tcW w:w="1081" w:type="pct"/>
            <w:tcBorders>
              <w:top w:val="nil"/>
              <w:left w:val="nil"/>
              <w:bottom w:val="nil"/>
              <w:right w:val="nil"/>
            </w:tcBorders>
          </w:tcPr>
          <w:p w14:paraId="47278462"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-0.054</w:t>
            </w:r>
          </w:p>
        </w:tc>
      </w:tr>
      <w:tr w:rsidR="00CD4846" w:rsidRPr="00CD4846" w14:paraId="1F606662" w14:textId="77777777" w:rsidTr="00B82EB9">
        <w:tc>
          <w:tcPr>
            <w:tcW w:w="2130" w:type="pct"/>
            <w:tcBorders>
              <w:top w:val="nil"/>
              <w:left w:val="nil"/>
              <w:bottom w:val="nil"/>
              <w:right w:val="nil"/>
            </w:tcBorders>
          </w:tcPr>
          <w:p w14:paraId="137BAC5E" w14:textId="7AB42EAD" w:rsidR="00CD4846" w:rsidRPr="00CD4846" w:rsidRDefault="00CD4846" w:rsidP="00FF1F0E">
            <w:pPr>
              <w:widowControl w:val="0"/>
              <w:autoSpaceDE w:val="0"/>
              <w:autoSpaceDN w:val="0"/>
              <w:adjustRightInd w:val="0"/>
              <w:spacing w:line="240" w:lineRule="auto"/>
              <w:rPr>
                <w:rFonts w:cs="Times New Roman"/>
                <w:kern w:val="2"/>
                <w:sz w:val="20"/>
                <w:szCs w:val="20"/>
                <w:lang/>
              </w:rPr>
            </w:pPr>
          </w:p>
        </w:tc>
        <w:tc>
          <w:tcPr>
            <w:tcW w:w="895" w:type="pct"/>
            <w:tcBorders>
              <w:top w:val="nil"/>
              <w:left w:val="nil"/>
              <w:bottom w:val="nil"/>
              <w:right w:val="nil"/>
            </w:tcBorders>
          </w:tcPr>
          <w:p w14:paraId="0A905CC8"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(16.284)</w:t>
            </w:r>
          </w:p>
        </w:tc>
        <w:tc>
          <w:tcPr>
            <w:tcW w:w="894" w:type="pct"/>
            <w:tcBorders>
              <w:top w:val="nil"/>
              <w:left w:val="nil"/>
              <w:bottom w:val="nil"/>
              <w:right w:val="nil"/>
            </w:tcBorders>
          </w:tcPr>
          <w:p w14:paraId="5F4414D5"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(106.539)</w:t>
            </w:r>
          </w:p>
        </w:tc>
        <w:tc>
          <w:tcPr>
            <w:tcW w:w="1081" w:type="pct"/>
            <w:tcBorders>
              <w:top w:val="nil"/>
              <w:left w:val="nil"/>
              <w:bottom w:val="nil"/>
              <w:right w:val="nil"/>
            </w:tcBorders>
          </w:tcPr>
          <w:p w14:paraId="51E027B7"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(5.916)</w:t>
            </w:r>
          </w:p>
        </w:tc>
      </w:tr>
      <w:tr w:rsidR="00CD4846" w:rsidRPr="00CD4846" w14:paraId="4A4CAD52" w14:textId="77777777" w:rsidTr="00B82EB9">
        <w:tc>
          <w:tcPr>
            <w:tcW w:w="2130" w:type="pct"/>
            <w:tcBorders>
              <w:top w:val="nil"/>
              <w:left w:val="nil"/>
              <w:bottom w:val="nil"/>
              <w:right w:val="nil"/>
            </w:tcBorders>
          </w:tcPr>
          <w:p w14:paraId="50447B58" w14:textId="6D6F9ACE"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Prior Births (1ks)</w:t>
            </w:r>
          </w:p>
        </w:tc>
        <w:tc>
          <w:tcPr>
            <w:tcW w:w="895" w:type="pct"/>
            <w:tcBorders>
              <w:top w:val="nil"/>
              <w:left w:val="nil"/>
              <w:bottom w:val="nil"/>
              <w:right w:val="nil"/>
            </w:tcBorders>
          </w:tcPr>
          <w:p w14:paraId="6E3CAC38"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14.311**</w:t>
            </w:r>
          </w:p>
        </w:tc>
        <w:tc>
          <w:tcPr>
            <w:tcW w:w="894" w:type="pct"/>
            <w:tcBorders>
              <w:top w:val="nil"/>
              <w:left w:val="nil"/>
              <w:bottom w:val="nil"/>
              <w:right w:val="nil"/>
            </w:tcBorders>
          </w:tcPr>
          <w:p w14:paraId="28A7C499"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0.236</w:t>
            </w:r>
          </w:p>
        </w:tc>
        <w:tc>
          <w:tcPr>
            <w:tcW w:w="1081" w:type="pct"/>
            <w:tcBorders>
              <w:top w:val="nil"/>
              <w:left w:val="nil"/>
              <w:bottom w:val="nil"/>
              <w:right w:val="nil"/>
            </w:tcBorders>
          </w:tcPr>
          <w:p w14:paraId="472DFCEB"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-0.648**</w:t>
            </w:r>
          </w:p>
        </w:tc>
      </w:tr>
      <w:tr w:rsidR="00CD4846" w:rsidRPr="00CD4846" w14:paraId="485358E2" w14:textId="77777777" w:rsidTr="00B82EB9">
        <w:tc>
          <w:tcPr>
            <w:tcW w:w="2130" w:type="pct"/>
            <w:tcBorders>
              <w:top w:val="nil"/>
              <w:left w:val="nil"/>
              <w:bottom w:val="nil"/>
              <w:right w:val="nil"/>
            </w:tcBorders>
          </w:tcPr>
          <w:p w14:paraId="7AA1F67B" w14:textId="6D92C9B1" w:rsidR="00CD4846" w:rsidRPr="00CD4846" w:rsidRDefault="00CD4846" w:rsidP="00FF1F0E">
            <w:pPr>
              <w:widowControl w:val="0"/>
              <w:autoSpaceDE w:val="0"/>
              <w:autoSpaceDN w:val="0"/>
              <w:adjustRightInd w:val="0"/>
              <w:spacing w:line="240" w:lineRule="auto"/>
              <w:rPr>
                <w:rFonts w:cs="Times New Roman"/>
                <w:kern w:val="2"/>
                <w:sz w:val="20"/>
                <w:szCs w:val="20"/>
                <w:lang/>
              </w:rPr>
            </w:pPr>
          </w:p>
        </w:tc>
        <w:tc>
          <w:tcPr>
            <w:tcW w:w="895" w:type="pct"/>
            <w:tcBorders>
              <w:top w:val="nil"/>
              <w:left w:val="nil"/>
              <w:bottom w:val="nil"/>
              <w:right w:val="nil"/>
            </w:tcBorders>
          </w:tcPr>
          <w:p w14:paraId="3279C8C4"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(6.234)</w:t>
            </w:r>
          </w:p>
        </w:tc>
        <w:tc>
          <w:tcPr>
            <w:tcW w:w="894" w:type="pct"/>
            <w:tcBorders>
              <w:top w:val="nil"/>
              <w:left w:val="nil"/>
              <w:bottom w:val="nil"/>
              <w:right w:val="nil"/>
            </w:tcBorders>
          </w:tcPr>
          <w:p w14:paraId="0517D941"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(0.144)</w:t>
            </w:r>
          </w:p>
        </w:tc>
        <w:tc>
          <w:tcPr>
            <w:tcW w:w="1081" w:type="pct"/>
            <w:tcBorders>
              <w:top w:val="nil"/>
              <w:left w:val="nil"/>
              <w:bottom w:val="nil"/>
              <w:right w:val="nil"/>
            </w:tcBorders>
          </w:tcPr>
          <w:p w14:paraId="7EF6421D"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(0.310)</w:t>
            </w:r>
          </w:p>
        </w:tc>
      </w:tr>
      <w:tr w:rsidR="00CD4846" w:rsidRPr="00CD4846" w14:paraId="741A9FAC" w14:textId="77777777" w:rsidTr="00B82EB9">
        <w:tc>
          <w:tcPr>
            <w:tcW w:w="2130" w:type="pct"/>
            <w:tcBorders>
              <w:top w:val="nil"/>
              <w:left w:val="nil"/>
              <w:bottom w:val="nil"/>
              <w:right w:val="nil"/>
            </w:tcBorders>
          </w:tcPr>
          <w:p w14:paraId="4085A3CD" w14:textId="33508B0E"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Prior Deaths (1ks)</w:t>
            </w:r>
          </w:p>
        </w:tc>
        <w:tc>
          <w:tcPr>
            <w:tcW w:w="895" w:type="pct"/>
            <w:tcBorders>
              <w:top w:val="nil"/>
              <w:left w:val="nil"/>
              <w:bottom w:val="nil"/>
              <w:right w:val="nil"/>
            </w:tcBorders>
          </w:tcPr>
          <w:p w14:paraId="61E9D72C"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-2.731</w:t>
            </w:r>
          </w:p>
        </w:tc>
        <w:tc>
          <w:tcPr>
            <w:tcW w:w="894" w:type="pct"/>
            <w:tcBorders>
              <w:top w:val="nil"/>
              <w:left w:val="nil"/>
              <w:bottom w:val="nil"/>
              <w:right w:val="nil"/>
            </w:tcBorders>
          </w:tcPr>
          <w:p w14:paraId="62F09BCF"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0.310</w:t>
            </w:r>
          </w:p>
        </w:tc>
        <w:tc>
          <w:tcPr>
            <w:tcW w:w="1081" w:type="pct"/>
            <w:tcBorders>
              <w:top w:val="nil"/>
              <w:left w:val="nil"/>
              <w:bottom w:val="nil"/>
              <w:right w:val="nil"/>
            </w:tcBorders>
          </w:tcPr>
          <w:p w14:paraId="43963276"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0.146</w:t>
            </w:r>
          </w:p>
        </w:tc>
      </w:tr>
      <w:tr w:rsidR="00CD4846" w:rsidRPr="00CD4846" w14:paraId="0BDFF06A" w14:textId="77777777" w:rsidTr="00B82EB9">
        <w:tc>
          <w:tcPr>
            <w:tcW w:w="2130" w:type="pct"/>
            <w:tcBorders>
              <w:top w:val="nil"/>
              <w:left w:val="nil"/>
              <w:bottom w:val="nil"/>
              <w:right w:val="nil"/>
            </w:tcBorders>
          </w:tcPr>
          <w:p w14:paraId="3C6C7C46" w14:textId="33F36663" w:rsidR="00CD4846" w:rsidRPr="00CD4846" w:rsidRDefault="00CD4846" w:rsidP="00FF1F0E">
            <w:pPr>
              <w:widowControl w:val="0"/>
              <w:autoSpaceDE w:val="0"/>
              <w:autoSpaceDN w:val="0"/>
              <w:adjustRightInd w:val="0"/>
              <w:spacing w:line="240" w:lineRule="auto"/>
              <w:rPr>
                <w:rFonts w:cs="Times New Roman"/>
                <w:kern w:val="2"/>
                <w:sz w:val="20"/>
                <w:szCs w:val="20"/>
                <w:lang/>
              </w:rPr>
            </w:pPr>
          </w:p>
        </w:tc>
        <w:tc>
          <w:tcPr>
            <w:tcW w:w="895" w:type="pct"/>
            <w:tcBorders>
              <w:top w:val="nil"/>
              <w:left w:val="nil"/>
              <w:bottom w:val="nil"/>
              <w:right w:val="nil"/>
            </w:tcBorders>
          </w:tcPr>
          <w:p w14:paraId="28E86DC3"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(3.627)</w:t>
            </w:r>
          </w:p>
        </w:tc>
        <w:tc>
          <w:tcPr>
            <w:tcW w:w="894" w:type="pct"/>
            <w:tcBorders>
              <w:top w:val="nil"/>
              <w:left w:val="nil"/>
              <w:bottom w:val="nil"/>
              <w:right w:val="nil"/>
            </w:tcBorders>
          </w:tcPr>
          <w:p w14:paraId="77C78DA1"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(0.411)</w:t>
            </w:r>
          </w:p>
        </w:tc>
        <w:tc>
          <w:tcPr>
            <w:tcW w:w="1081" w:type="pct"/>
            <w:tcBorders>
              <w:top w:val="nil"/>
              <w:left w:val="nil"/>
              <w:bottom w:val="nil"/>
              <w:right w:val="nil"/>
            </w:tcBorders>
          </w:tcPr>
          <w:p w14:paraId="3D9157BE"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(0.254)</w:t>
            </w:r>
          </w:p>
        </w:tc>
      </w:tr>
      <w:tr w:rsidR="00CD4846" w:rsidRPr="00CD4846" w14:paraId="3524596C" w14:textId="77777777" w:rsidTr="00B82EB9">
        <w:tc>
          <w:tcPr>
            <w:tcW w:w="2130" w:type="pct"/>
            <w:tcBorders>
              <w:top w:val="nil"/>
              <w:left w:val="nil"/>
              <w:bottom w:val="nil"/>
              <w:right w:val="nil"/>
            </w:tcBorders>
          </w:tcPr>
          <w:p w14:paraId="2916C490" w14:textId="1BABB6B0"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Prior outward relocations (1ks)</w:t>
            </w:r>
          </w:p>
        </w:tc>
        <w:tc>
          <w:tcPr>
            <w:tcW w:w="895" w:type="pct"/>
            <w:tcBorders>
              <w:top w:val="nil"/>
              <w:left w:val="nil"/>
              <w:bottom w:val="nil"/>
              <w:right w:val="nil"/>
            </w:tcBorders>
          </w:tcPr>
          <w:p w14:paraId="697F88AC"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-85.248</w:t>
            </w:r>
          </w:p>
        </w:tc>
        <w:tc>
          <w:tcPr>
            <w:tcW w:w="894" w:type="pct"/>
            <w:tcBorders>
              <w:top w:val="nil"/>
              <w:left w:val="nil"/>
              <w:bottom w:val="nil"/>
              <w:right w:val="nil"/>
            </w:tcBorders>
          </w:tcPr>
          <w:p w14:paraId="5CAB2FCF"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20.366*</w:t>
            </w:r>
          </w:p>
        </w:tc>
        <w:tc>
          <w:tcPr>
            <w:tcW w:w="1081" w:type="pct"/>
            <w:tcBorders>
              <w:top w:val="nil"/>
              <w:left w:val="nil"/>
              <w:bottom w:val="nil"/>
              <w:right w:val="nil"/>
            </w:tcBorders>
          </w:tcPr>
          <w:p w14:paraId="2E5605AC"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-8.567</w:t>
            </w:r>
          </w:p>
        </w:tc>
      </w:tr>
      <w:tr w:rsidR="00CD4846" w:rsidRPr="00CD4846" w14:paraId="354E73B1" w14:textId="77777777" w:rsidTr="00B82EB9">
        <w:tc>
          <w:tcPr>
            <w:tcW w:w="2130" w:type="pct"/>
            <w:tcBorders>
              <w:top w:val="nil"/>
              <w:left w:val="nil"/>
              <w:bottom w:val="nil"/>
              <w:right w:val="nil"/>
            </w:tcBorders>
          </w:tcPr>
          <w:p w14:paraId="4E875814" w14:textId="258C45CC" w:rsidR="00CD4846" w:rsidRPr="00CD4846" w:rsidRDefault="00CD4846" w:rsidP="00FF1F0E">
            <w:pPr>
              <w:widowControl w:val="0"/>
              <w:autoSpaceDE w:val="0"/>
              <w:autoSpaceDN w:val="0"/>
              <w:adjustRightInd w:val="0"/>
              <w:spacing w:line="240" w:lineRule="auto"/>
              <w:rPr>
                <w:rFonts w:cs="Times New Roman"/>
                <w:kern w:val="2"/>
                <w:sz w:val="20"/>
                <w:szCs w:val="20"/>
                <w:lang/>
              </w:rPr>
            </w:pPr>
          </w:p>
        </w:tc>
        <w:tc>
          <w:tcPr>
            <w:tcW w:w="895" w:type="pct"/>
            <w:tcBorders>
              <w:top w:val="nil"/>
              <w:left w:val="nil"/>
              <w:bottom w:val="nil"/>
              <w:right w:val="nil"/>
            </w:tcBorders>
          </w:tcPr>
          <w:p w14:paraId="394ADAEC"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(66.685)</w:t>
            </w:r>
          </w:p>
        </w:tc>
        <w:tc>
          <w:tcPr>
            <w:tcW w:w="894" w:type="pct"/>
            <w:tcBorders>
              <w:top w:val="nil"/>
              <w:left w:val="nil"/>
              <w:bottom w:val="nil"/>
              <w:right w:val="nil"/>
            </w:tcBorders>
          </w:tcPr>
          <w:p w14:paraId="07BD598B"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(11.058)</w:t>
            </w:r>
          </w:p>
        </w:tc>
        <w:tc>
          <w:tcPr>
            <w:tcW w:w="1081" w:type="pct"/>
            <w:tcBorders>
              <w:top w:val="nil"/>
              <w:left w:val="nil"/>
              <w:bottom w:val="nil"/>
              <w:right w:val="nil"/>
            </w:tcBorders>
          </w:tcPr>
          <w:p w14:paraId="0620D9C1"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(10.186)</w:t>
            </w:r>
          </w:p>
        </w:tc>
      </w:tr>
      <w:tr w:rsidR="00CD4846" w:rsidRPr="00CD4846" w14:paraId="0573A5ED" w14:textId="77777777" w:rsidTr="00B82EB9">
        <w:tc>
          <w:tcPr>
            <w:tcW w:w="2130" w:type="pct"/>
            <w:tcBorders>
              <w:top w:val="nil"/>
              <w:left w:val="nil"/>
              <w:bottom w:val="nil"/>
              <w:right w:val="nil"/>
            </w:tcBorders>
          </w:tcPr>
          <w:p w14:paraId="1DB91815"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Constant</w:t>
            </w:r>
          </w:p>
        </w:tc>
        <w:tc>
          <w:tcPr>
            <w:tcW w:w="895" w:type="pct"/>
            <w:tcBorders>
              <w:top w:val="nil"/>
              <w:left w:val="nil"/>
              <w:bottom w:val="nil"/>
              <w:right w:val="nil"/>
            </w:tcBorders>
          </w:tcPr>
          <w:p w14:paraId="60DD9BBE"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-11.303</w:t>
            </w:r>
          </w:p>
        </w:tc>
        <w:tc>
          <w:tcPr>
            <w:tcW w:w="894" w:type="pct"/>
            <w:tcBorders>
              <w:top w:val="nil"/>
              <w:left w:val="nil"/>
              <w:bottom w:val="nil"/>
              <w:right w:val="nil"/>
            </w:tcBorders>
          </w:tcPr>
          <w:p w14:paraId="30ACB81E"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2.787</w:t>
            </w:r>
          </w:p>
        </w:tc>
        <w:tc>
          <w:tcPr>
            <w:tcW w:w="1081" w:type="pct"/>
            <w:tcBorders>
              <w:top w:val="nil"/>
              <w:left w:val="nil"/>
              <w:bottom w:val="nil"/>
              <w:right w:val="nil"/>
            </w:tcBorders>
          </w:tcPr>
          <w:p w14:paraId="6D20268B"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2.080</w:t>
            </w:r>
          </w:p>
        </w:tc>
      </w:tr>
      <w:tr w:rsidR="00CD4846" w:rsidRPr="00CD4846" w14:paraId="13FDF470" w14:textId="77777777" w:rsidTr="00B82EB9">
        <w:tc>
          <w:tcPr>
            <w:tcW w:w="2130" w:type="pct"/>
            <w:tcBorders>
              <w:top w:val="nil"/>
              <w:left w:val="nil"/>
              <w:bottom w:val="nil"/>
              <w:right w:val="nil"/>
            </w:tcBorders>
          </w:tcPr>
          <w:p w14:paraId="40B1194A" w14:textId="115E5E02" w:rsidR="00CD4846" w:rsidRPr="00CD4846" w:rsidRDefault="00CD4846" w:rsidP="00FF1F0E">
            <w:pPr>
              <w:widowControl w:val="0"/>
              <w:autoSpaceDE w:val="0"/>
              <w:autoSpaceDN w:val="0"/>
              <w:adjustRightInd w:val="0"/>
              <w:spacing w:line="240" w:lineRule="auto"/>
              <w:rPr>
                <w:rFonts w:cs="Times New Roman"/>
                <w:kern w:val="2"/>
                <w:sz w:val="20"/>
                <w:szCs w:val="20"/>
                <w:lang/>
              </w:rPr>
            </w:pPr>
          </w:p>
        </w:tc>
        <w:tc>
          <w:tcPr>
            <w:tcW w:w="895" w:type="pct"/>
            <w:tcBorders>
              <w:top w:val="nil"/>
              <w:left w:val="nil"/>
              <w:bottom w:val="nil"/>
              <w:right w:val="nil"/>
            </w:tcBorders>
          </w:tcPr>
          <w:p w14:paraId="6523FB74"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(14.655)</w:t>
            </w:r>
          </w:p>
        </w:tc>
        <w:tc>
          <w:tcPr>
            <w:tcW w:w="894" w:type="pct"/>
            <w:tcBorders>
              <w:top w:val="nil"/>
              <w:left w:val="nil"/>
              <w:bottom w:val="nil"/>
              <w:right w:val="nil"/>
            </w:tcBorders>
          </w:tcPr>
          <w:p w14:paraId="30728D99"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(3.696)</w:t>
            </w:r>
          </w:p>
        </w:tc>
        <w:tc>
          <w:tcPr>
            <w:tcW w:w="1081" w:type="pct"/>
            <w:tcBorders>
              <w:top w:val="nil"/>
              <w:left w:val="nil"/>
              <w:bottom w:val="nil"/>
              <w:right w:val="nil"/>
            </w:tcBorders>
          </w:tcPr>
          <w:p w14:paraId="35AEF51C"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(2.471)</w:t>
            </w:r>
          </w:p>
        </w:tc>
      </w:tr>
      <w:tr w:rsidR="00CD4846" w:rsidRPr="00CD4846" w14:paraId="49207B78" w14:textId="77777777" w:rsidTr="00B82EB9">
        <w:tc>
          <w:tcPr>
            <w:tcW w:w="2130" w:type="pct"/>
            <w:tcBorders>
              <w:top w:val="nil"/>
              <w:left w:val="nil"/>
              <w:bottom w:val="nil"/>
              <w:right w:val="nil"/>
            </w:tcBorders>
          </w:tcPr>
          <w:p w14:paraId="1097282F" w14:textId="6C491D5C"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Observations</w:t>
            </w:r>
          </w:p>
        </w:tc>
        <w:tc>
          <w:tcPr>
            <w:tcW w:w="895" w:type="pct"/>
            <w:tcBorders>
              <w:top w:val="nil"/>
              <w:left w:val="nil"/>
              <w:bottom w:val="nil"/>
              <w:right w:val="nil"/>
            </w:tcBorders>
          </w:tcPr>
          <w:p w14:paraId="11ED4F18"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425</w:t>
            </w:r>
          </w:p>
        </w:tc>
        <w:tc>
          <w:tcPr>
            <w:tcW w:w="894" w:type="pct"/>
            <w:tcBorders>
              <w:top w:val="nil"/>
              <w:left w:val="nil"/>
              <w:bottom w:val="nil"/>
              <w:right w:val="nil"/>
            </w:tcBorders>
          </w:tcPr>
          <w:p w14:paraId="58001226"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2581</w:t>
            </w:r>
          </w:p>
        </w:tc>
        <w:tc>
          <w:tcPr>
            <w:tcW w:w="1081" w:type="pct"/>
            <w:tcBorders>
              <w:top w:val="nil"/>
              <w:left w:val="nil"/>
              <w:bottom w:val="nil"/>
              <w:right w:val="nil"/>
            </w:tcBorders>
          </w:tcPr>
          <w:p w14:paraId="15C5321F"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4905</w:t>
            </w:r>
          </w:p>
        </w:tc>
      </w:tr>
      <w:tr w:rsidR="00CD4846" w:rsidRPr="00CD4846" w14:paraId="5B2E700D" w14:textId="77777777" w:rsidTr="00B82EB9">
        <w:tc>
          <w:tcPr>
            <w:tcW w:w="2130" w:type="pct"/>
            <w:tcBorders>
              <w:top w:val="nil"/>
              <w:left w:val="nil"/>
              <w:bottom w:val="nil"/>
              <w:right w:val="nil"/>
            </w:tcBorders>
          </w:tcPr>
          <w:p w14:paraId="7E2D8AE0" w14:textId="4BF839D3"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Pseudo R</w:t>
            </w:r>
            <w:r w:rsidRPr="00CD4846">
              <w:rPr>
                <w:rFonts w:cs="Times New Roman"/>
                <w:kern w:val="2"/>
                <w:sz w:val="20"/>
                <w:szCs w:val="20"/>
                <w:vertAlign w:val="superscript"/>
                <w:lang/>
              </w:rPr>
              <w:t>2</w:t>
            </w:r>
          </w:p>
        </w:tc>
        <w:tc>
          <w:tcPr>
            <w:tcW w:w="895" w:type="pct"/>
            <w:tcBorders>
              <w:top w:val="nil"/>
              <w:left w:val="nil"/>
              <w:bottom w:val="nil"/>
              <w:right w:val="nil"/>
            </w:tcBorders>
          </w:tcPr>
          <w:p w14:paraId="34359CE0"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0.325</w:t>
            </w:r>
          </w:p>
        </w:tc>
        <w:tc>
          <w:tcPr>
            <w:tcW w:w="894" w:type="pct"/>
            <w:tcBorders>
              <w:top w:val="nil"/>
              <w:left w:val="nil"/>
              <w:bottom w:val="nil"/>
              <w:right w:val="nil"/>
            </w:tcBorders>
          </w:tcPr>
          <w:p w14:paraId="07D00DA1"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0.270</w:t>
            </w:r>
          </w:p>
        </w:tc>
        <w:tc>
          <w:tcPr>
            <w:tcW w:w="1081" w:type="pct"/>
            <w:tcBorders>
              <w:top w:val="nil"/>
              <w:left w:val="nil"/>
              <w:bottom w:val="nil"/>
              <w:right w:val="nil"/>
            </w:tcBorders>
          </w:tcPr>
          <w:p w14:paraId="53A77B35"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0.302</w:t>
            </w:r>
          </w:p>
        </w:tc>
      </w:tr>
      <w:tr w:rsidR="00CD4846" w:rsidRPr="00CD4846" w14:paraId="17D597D7" w14:textId="77777777" w:rsidTr="00B82EB9">
        <w:tc>
          <w:tcPr>
            <w:tcW w:w="2130" w:type="pct"/>
            <w:tcBorders>
              <w:top w:val="nil"/>
              <w:left w:val="nil"/>
              <w:bottom w:val="nil"/>
              <w:right w:val="nil"/>
            </w:tcBorders>
          </w:tcPr>
          <w:p w14:paraId="1F8D8DB9" w14:textId="0CCF209B"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Chi</w:t>
            </w:r>
            <w:r w:rsidRPr="00CD4846">
              <w:rPr>
                <w:rFonts w:cs="Times New Roman"/>
                <w:kern w:val="2"/>
                <w:sz w:val="20"/>
                <w:szCs w:val="20"/>
                <w:vertAlign w:val="superscript"/>
                <w:lang/>
              </w:rPr>
              <w:t>2</w:t>
            </w:r>
          </w:p>
        </w:tc>
        <w:tc>
          <w:tcPr>
            <w:tcW w:w="895" w:type="pct"/>
            <w:tcBorders>
              <w:top w:val="nil"/>
              <w:left w:val="nil"/>
              <w:bottom w:val="nil"/>
              <w:right w:val="nil"/>
            </w:tcBorders>
          </w:tcPr>
          <w:p w14:paraId="1482B45F"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41</w:t>
            </w:r>
          </w:p>
        </w:tc>
        <w:tc>
          <w:tcPr>
            <w:tcW w:w="894" w:type="pct"/>
            <w:tcBorders>
              <w:top w:val="nil"/>
              <w:left w:val="nil"/>
              <w:bottom w:val="nil"/>
              <w:right w:val="nil"/>
            </w:tcBorders>
          </w:tcPr>
          <w:p w14:paraId="754E62E5"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28</w:t>
            </w:r>
          </w:p>
        </w:tc>
        <w:tc>
          <w:tcPr>
            <w:tcW w:w="1081" w:type="pct"/>
            <w:tcBorders>
              <w:top w:val="nil"/>
              <w:left w:val="nil"/>
              <w:bottom w:val="nil"/>
              <w:right w:val="nil"/>
            </w:tcBorders>
          </w:tcPr>
          <w:p w14:paraId="5B34E8D8"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32</w:t>
            </w:r>
          </w:p>
        </w:tc>
      </w:tr>
      <w:tr w:rsidR="00CD4846" w:rsidRPr="00CD4846" w14:paraId="38A43CA8" w14:textId="77777777" w:rsidTr="00B82EB9">
        <w:tc>
          <w:tcPr>
            <w:tcW w:w="2130" w:type="pct"/>
            <w:tcBorders>
              <w:top w:val="nil"/>
              <w:left w:val="nil"/>
              <w:bottom w:val="nil"/>
              <w:right w:val="nil"/>
            </w:tcBorders>
          </w:tcPr>
          <w:p w14:paraId="782EBFC2" w14:textId="0122A2B2"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Log Likelihood</w:t>
            </w:r>
          </w:p>
        </w:tc>
        <w:tc>
          <w:tcPr>
            <w:tcW w:w="895" w:type="pct"/>
            <w:tcBorders>
              <w:top w:val="nil"/>
              <w:left w:val="nil"/>
              <w:bottom w:val="nil"/>
              <w:right w:val="nil"/>
            </w:tcBorders>
          </w:tcPr>
          <w:p w14:paraId="347F7F92"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-279</w:t>
            </w:r>
          </w:p>
        </w:tc>
        <w:tc>
          <w:tcPr>
            <w:tcW w:w="894" w:type="pct"/>
            <w:tcBorders>
              <w:top w:val="nil"/>
              <w:left w:val="nil"/>
              <w:bottom w:val="nil"/>
              <w:right w:val="nil"/>
            </w:tcBorders>
          </w:tcPr>
          <w:p w14:paraId="1A4DD4E4"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-1360</w:t>
            </w:r>
          </w:p>
        </w:tc>
        <w:tc>
          <w:tcPr>
            <w:tcW w:w="1081" w:type="pct"/>
            <w:tcBorders>
              <w:top w:val="nil"/>
              <w:left w:val="nil"/>
              <w:bottom w:val="nil"/>
              <w:right w:val="nil"/>
            </w:tcBorders>
          </w:tcPr>
          <w:p w14:paraId="36ECE1EE"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-2742</w:t>
            </w:r>
          </w:p>
        </w:tc>
      </w:tr>
      <w:tr w:rsidR="00CD4846" w:rsidRPr="00CD4846" w14:paraId="53F2C117" w14:textId="77777777" w:rsidTr="00B82EB9">
        <w:tc>
          <w:tcPr>
            <w:tcW w:w="2130" w:type="pct"/>
            <w:tcBorders>
              <w:top w:val="nil"/>
              <w:left w:val="nil"/>
              <w:bottom w:val="nil"/>
              <w:right w:val="nil"/>
            </w:tcBorders>
          </w:tcPr>
          <w:p w14:paraId="0FB7C0AA" w14:textId="28C8259C"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Akaike’s Criterion</w:t>
            </w:r>
          </w:p>
        </w:tc>
        <w:tc>
          <w:tcPr>
            <w:tcW w:w="895" w:type="pct"/>
            <w:tcBorders>
              <w:top w:val="nil"/>
              <w:left w:val="nil"/>
              <w:bottom w:val="nil"/>
              <w:right w:val="nil"/>
            </w:tcBorders>
          </w:tcPr>
          <w:p w14:paraId="1767061D"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597</w:t>
            </w:r>
          </w:p>
        </w:tc>
        <w:tc>
          <w:tcPr>
            <w:tcW w:w="894" w:type="pct"/>
            <w:tcBorders>
              <w:top w:val="nil"/>
              <w:left w:val="nil"/>
              <w:bottom w:val="nil"/>
              <w:right w:val="nil"/>
            </w:tcBorders>
          </w:tcPr>
          <w:p w14:paraId="66623D88"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2759</w:t>
            </w:r>
          </w:p>
        </w:tc>
        <w:tc>
          <w:tcPr>
            <w:tcW w:w="1081" w:type="pct"/>
            <w:tcBorders>
              <w:top w:val="nil"/>
              <w:left w:val="nil"/>
              <w:bottom w:val="nil"/>
              <w:right w:val="nil"/>
            </w:tcBorders>
          </w:tcPr>
          <w:p w14:paraId="61DF70AE"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5523</w:t>
            </w:r>
          </w:p>
        </w:tc>
      </w:tr>
      <w:tr w:rsidR="00CD4846" w:rsidRPr="00CD4846" w14:paraId="54497BE8" w14:textId="77777777" w:rsidTr="00B82EB9">
        <w:tc>
          <w:tcPr>
            <w:tcW w:w="2130" w:type="pct"/>
            <w:tcBorders>
              <w:top w:val="nil"/>
              <w:left w:val="nil"/>
              <w:bottom w:val="nil"/>
              <w:right w:val="nil"/>
            </w:tcBorders>
          </w:tcPr>
          <w:p w14:paraId="22E66F31" w14:textId="2157AC30"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Bayesian Criterion</w:t>
            </w:r>
          </w:p>
        </w:tc>
        <w:tc>
          <w:tcPr>
            <w:tcW w:w="895" w:type="pct"/>
            <w:tcBorders>
              <w:top w:val="nil"/>
              <w:left w:val="nil"/>
              <w:bottom w:val="nil"/>
              <w:right w:val="nil"/>
            </w:tcBorders>
          </w:tcPr>
          <w:p w14:paraId="7D446A7D"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674</w:t>
            </w:r>
          </w:p>
        </w:tc>
        <w:tc>
          <w:tcPr>
            <w:tcW w:w="894" w:type="pct"/>
            <w:tcBorders>
              <w:top w:val="nil"/>
              <w:left w:val="nil"/>
              <w:bottom w:val="nil"/>
              <w:right w:val="nil"/>
            </w:tcBorders>
          </w:tcPr>
          <w:p w14:paraId="44B62662"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2870</w:t>
            </w:r>
          </w:p>
        </w:tc>
        <w:tc>
          <w:tcPr>
            <w:tcW w:w="1081" w:type="pct"/>
            <w:tcBorders>
              <w:top w:val="nil"/>
              <w:left w:val="nil"/>
              <w:bottom w:val="nil"/>
              <w:right w:val="nil"/>
            </w:tcBorders>
          </w:tcPr>
          <w:p w14:paraId="1AEB69E0"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5646</w:t>
            </w:r>
          </w:p>
        </w:tc>
      </w:tr>
      <w:tr w:rsidR="00CD4846" w:rsidRPr="00CD4846" w14:paraId="43800847" w14:textId="77777777" w:rsidTr="00B82EB9">
        <w:tc>
          <w:tcPr>
            <w:tcW w:w="2130" w:type="pct"/>
            <w:tcBorders>
              <w:top w:val="nil"/>
              <w:left w:val="nil"/>
              <w:bottom w:val="nil"/>
              <w:right w:val="nil"/>
            </w:tcBorders>
          </w:tcPr>
          <w:p w14:paraId="222362B4"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County FE</w:t>
            </w:r>
          </w:p>
        </w:tc>
        <w:tc>
          <w:tcPr>
            <w:tcW w:w="895" w:type="pct"/>
            <w:tcBorders>
              <w:top w:val="nil"/>
              <w:left w:val="nil"/>
              <w:bottom w:val="nil"/>
              <w:right w:val="nil"/>
            </w:tcBorders>
          </w:tcPr>
          <w:p w14:paraId="428E4AB0"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894" w:type="pct"/>
            <w:tcBorders>
              <w:top w:val="nil"/>
              <w:left w:val="nil"/>
              <w:bottom w:val="nil"/>
              <w:right w:val="nil"/>
            </w:tcBorders>
          </w:tcPr>
          <w:p w14:paraId="67D41DB9"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1081" w:type="pct"/>
            <w:tcBorders>
              <w:top w:val="nil"/>
              <w:left w:val="nil"/>
              <w:bottom w:val="nil"/>
              <w:right w:val="nil"/>
            </w:tcBorders>
          </w:tcPr>
          <w:p w14:paraId="4F852F9A"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r>
      <w:tr w:rsidR="00CD4846" w:rsidRPr="00CD4846" w14:paraId="35006DBB" w14:textId="77777777" w:rsidTr="00FF1F0E">
        <w:tc>
          <w:tcPr>
            <w:tcW w:w="2130" w:type="pct"/>
            <w:tcBorders>
              <w:top w:val="nil"/>
              <w:left w:val="nil"/>
              <w:right w:val="nil"/>
            </w:tcBorders>
          </w:tcPr>
          <w:p w14:paraId="21CA63C3"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State by Year FE</w:t>
            </w:r>
          </w:p>
        </w:tc>
        <w:tc>
          <w:tcPr>
            <w:tcW w:w="895" w:type="pct"/>
            <w:tcBorders>
              <w:top w:val="nil"/>
              <w:left w:val="nil"/>
              <w:right w:val="nil"/>
            </w:tcBorders>
          </w:tcPr>
          <w:p w14:paraId="6C61ECC1"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894" w:type="pct"/>
            <w:tcBorders>
              <w:top w:val="nil"/>
              <w:left w:val="nil"/>
              <w:right w:val="nil"/>
            </w:tcBorders>
          </w:tcPr>
          <w:p w14:paraId="03C49BCE"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1081" w:type="pct"/>
            <w:tcBorders>
              <w:top w:val="nil"/>
              <w:left w:val="nil"/>
              <w:right w:val="nil"/>
            </w:tcBorders>
          </w:tcPr>
          <w:p w14:paraId="2899F2B2" w14:textId="77777777" w:rsidR="00CD4846" w:rsidRPr="00CD4846" w:rsidRDefault="00CD4846"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r>
    </w:tbl>
    <w:p w14:paraId="31723028" w14:textId="7C6E8609" w:rsidR="00BA2684" w:rsidRDefault="00A31D06" w:rsidP="00095E25">
      <w:pPr>
        <w:pStyle w:val="Title"/>
      </w:pPr>
      <w:bookmarkStart w:id="237" w:name="_Toc186799415"/>
      <w:bookmarkStart w:id="238" w:name="_Toc188366984"/>
      <w:r w:rsidRPr="00CD4846">
        <w:t>Table A11: Regression Results of Broad PADs on Exits by Sector</w:t>
      </w:r>
      <w:bookmarkEnd w:id="237"/>
      <w:bookmarkEnd w:id="238"/>
    </w:p>
    <w:p w14:paraId="6AE5AED5" w14:textId="77777777" w:rsidR="002833B6" w:rsidRDefault="002833B6" w:rsidP="003959BE">
      <w:pPr>
        <w:widowControl w:val="0"/>
        <w:spacing w:line="240" w:lineRule="auto"/>
      </w:pPr>
    </w:p>
    <w:p w14:paraId="0BE5978D" w14:textId="77777777" w:rsidR="003959BE" w:rsidRDefault="003959BE" w:rsidP="003959BE">
      <w:pPr>
        <w:widowControl w:val="0"/>
        <w:spacing w:line="240" w:lineRule="auto"/>
      </w:pPr>
    </w:p>
    <w:p w14:paraId="53CBBC13" w14:textId="77777777" w:rsidR="003959BE" w:rsidRDefault="003959BE" w:rsidP="003959BE">
      <w:pPr>
        <w:widowControl w:val="0"/>
        <w:spacing w:line="240" w:lineRule="auto"/>
      </w:pPr>
    </w:p>
    <w:p w14:paraId="3ED1BC43" w14:textId="77777777" w:rsidR="003959BE" w:rsidRDefault="003959BE" w:rsidP="003959BE">
      <w:pPr>
        <w:widowControl w:val="0"/>
        <w:spacing w:line="240" w:lineRule="auto"/>
      </w:pPr>
    </w:p>
    <w:tbl>
      <w:tblPr>
        <w:tblpPr w:leftFromText="180" w:rightFromText="180" w:vertAnchor="text" w:horzAnchor="margin" w:tblpY="296"/>
        <w:tblW w:w="5000" w:type="pct"/>
        <w:tblLook w:val="04A0" w:firstRow="1" w:lastRow="0" w:firstColumn="1" w:lastColumn="0" w:noHBand="0" w:noVBand="1"/>
      </w:tblPr>
      <w:tblGrid>
        <w:gridCol w:w="3987"/>
        <w:gridCol w:w="1675"/>
        <w:gridCol w:w="1674"/>
        <w:gridCol w:w="2024"/>
      </w:tblGrid>
      <w:tr w:rsidR="00BA2684" w:rsidRPr="00CD4846" w14:paraId="34C93CE0" w14:textId="77777777" w:rsidTr="00BA2684">
        <w:tc>
          <w:tcPr>
            <w:tcW w:w="2130" w:type="pct"/>
            <w:tcBorders>
              <w:top w:val="single" w:sz="4" w:space="0" w:color="auto"/>
              <w:left w:val="nil"/>
              <w:bottom w:val="single" w:sz="4" w:space="0" w:color="auto"/>
              <w:right w:val="nil"/>
            </w:tcBorders>
          </w:tcPr>
          <w:p w14:paraId="21B92D78" w14:textId="356CB289" w:rsidR="00BA2684" w:rsidRPr="00FF1F0E" w:rsidRDefault="00BA2684" w:rsidP="00FF1F0E">
            <w:pPr>
              <w:widowControl w:val="0"/>
              <w:autoSpaceDE w:val="0"/>
              <w:autoSpaceDN w:val="0"/>
              <w:adjustRightInd w:val="0"/>
              <w:spacing w:line="240" w:lineRule="auto"/>
              <w:rPr>
                <w:rFonts w:cs="Times New Roman"/>
                <w:kern w:val="2"/>
                <w:sz w:val="20"/>
                <w:szCs w:val="20"/>
                <w:lang/>
              </w:rPr>
            </w:pPr>
            <w:r w:rsidRPr="00CD4846">
              <w:rPr>
                <w:rFonts w:cs="Times New Roman"/>
                <w:b/>
                <w:bCs/>
                <w:kern w:val="2"/>
                <w:sz w:val="20"/>
                <w:szCs w:val="20"/>
                <w:lang/>
              </w:rPr>
              <w:lastRenderedPageBreak/>
              <w:t>Variable</w:t>
            </w:r>
          </w:p>
        </w:tc>
        <w:tc>
          <w:tcPr>
            <w:tcW w:w="895" w:type="pct"/>
            <w:tcBorders>
              <w:top w:val="single" w:sz="4" w:space="0" w:color="auto"/>
              <w:left w:val="nil"/>
              <w:bottom w:val="single" w:sz="4" w:space="0" w:color="auto"/>
              <w:right w:val="nil"/>
            </w:tcBorders>
          </w:tcPr>
          <w:p w14:paraId="58120B5D" w14:textId="6F7FAA93" w:rsidR="00BA2684" w:rsidRPr="00FF1F0E" w:rsidRDefault="00BA2684" w:rsidP="00FF1F0E">
            <w:pPr>
              <w:widowControl w:val="0"/>
              <w:autoSpaceDE w:val="0"/>
              <w:autoSpaceDN w:val="0"/>
              <w:adjustRightInd w:val="0"/>
              <w:spacing w:line="240" w:lineRule="auto"/>
              <w:rPr>
                <w:rFonts w:cs="Times New Roman"/>
                <w:kern w:val="2"/>
                <w:sz w:val="20"/>
                <w:szCs w:val="20"/>
                <w:lang/>
              </w:rPr>
            </w:pPr>
            <w:r w:rsidRPr="00CD4846">
              <w:rPr>
                <w:rFonts w:cs="Times New Roman"/>
                <w:b/>
                <w:bCs/>
                <w:kern w:val="2"/>
                <w:sz w:val="20"/>
                <w:szCs w:val="20"/>
                <w:lang/>
              </w:rPr>
              <w:t>NAICS 21</w:t>
            </w:r>
          </w:p>
        </w:tc>
        <w:tc>
          <w:tcPr>
            <w:tcW w:w="894" w:type="pct"/>
            <w:tcBorders>
              <w:top w:val="single" w:sz="4" w:space="0" w:color="auto"/>
              <w:left w:val="nil"/>
              <w:bottom w:val="single" w:sz="4" w:space="0" w:color="auto"/>
              <w:right w:val="nil"/>
            </w:tcBorders>
          </w:tcPr>
          <w:p w14:paraId="474AE685" w14:textId="0FBFC350" w:rsidR="00BA2684" w:rsidRPr="00FF1F0E" w:rsidRDefault="00BA2684" w:rsidP="00FF1F0E">
            <w:pPr>
              <w:widowControl w:val="0"/>
              <w:autoSpaceDE w:val="0"/>
              <w:autoSpaceDN w:val="0"/>
              <w:adjustRightInd w:val="0"/>
              <w:spacing w:line="240" w:lineRule="auto"/>
              <w:rPr>
                <w:rFonts w:cs="Times New Roman"/>
                <w:kern w:val="2"/>
                <w:sz w:val="20"/>
                <w:szCs w:val="20"/>
                <w:lang/>
              </w:rPr>
            </w:pPr>
            <w:r w:rsidRPr="00CD4846">
              <w:rPr>
                <w:rFonts w:cs="Times New Roman"/>
                <w:b/>
                <w:bCs/>
                <w:kern w:val="2"/>
                <w:sz w:val="20"/>
                <w:szCs w:val="20"/>
                <w:lang/>
              </w:rPr>
              <w:t>NAICS 23</w:t>
            </w:r>
          </w:p>
        </w:tc>
        <w:tc>
          <w:tcPr>
            <w:tcW w:w="1081" w:type="pct"/>
            <w:tcBorders>
              <w:top w:val="single" w:sz="4" w:space="0" w:color="auto"/>
              <w:left w:val="nil"/>
              <w:bottom w:val="single" w:sz="4" w:space="0" w:color="auto"/>
              <w:right w:val="nil"/>
            </w:tcBorders>
          </w:tcPr>
          <w:p w14:paraId="1F7A6033" w14:textId="4AB49BEB" w:rsidR="00BA2684" w:rsidRPr="00FF1F0E" w:rsidRDefault="00BA2684" w:rsidP="00FF1F0E">
            <w:pPr>
              <w:widowControl w:val="0"/>
              <w:autoSpaceDE w:val="0"/>
              <w:autoSpaceDN w:val="0"/>
              <w:adjustRightInd w:val="0"/>
              <w:spacing w:line="240" w:lineRule="auto"/>
              <w:rPr>
                <w:rFonts w:cs="Times New Roman"/>
                <w:kern w:val="2"/>
                <w:sz w:val="20"/>
                <w:szCs w:val="20"/>
                <w:lang/>
              </w:rPr>
            </w:pPr>
            <w:r w:rsidRPr="00CD4846">
              <w:rPr>
                <w:rFonts w:cs="Times New Roman"/>
                <w:b/>
                <w:bCs/>
                <w:kern w:val="2"/>
                <w:sz w:val="20"/>
                <w:szCs w:val="20"/>
                <w:lang/>
              </w:rPr>
              <w:t>NAICS 31-33</w:t>
            </w:r>
          </w:p>
        </w:tc>
      </w:tr>
      <w:tr w:rsidR="009D3026" w:rsidRPr="00CD4846" w14:paraId="03492CE5" w14:textId="77777777" w:rsidTr="002A78A3">
        <w:tc>
          <w:tcPr>
            <w:tcW w:w="2130" w:type="pct"/>
            <w:tcBorders>
              <w:top w:val="single" w:sz="4" w:space="0" w:color="auto"/>
              <w:left w:val="nil"/>
              <w:right w:val="nil"/>
            </w:tcBorders>
          </w:tcPr>
          <w:p w14:paraId="6C7E7B51" w14:textId="77777777" w:rsidR="00BA2684" w:rsidRPr="00CD4846" w:rsidRDefault="00BA2684"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NAICS FE</w:t>
            </w:r>
          </w:p>
        </w:tc>
        <w:tc>
          <w:tcPr>
            <w:tcW w:w="895" w:type="pct"/>
            <w:tcBorders>
              <w:top w:val="single" w:sz="4" w:space="0" w:color="auto"/>
              <w:left w:val="nil"/>
              <w:right w:val="nil"/>
            </w:tcBorders>
          </w:tcPr>
          <w:p w14:paraId="4B4DD134" w14:textId="77777777" w:rsidR="00BA2684" w:rsidRPr="00CD4846" w:rsidRDefault="00BA2684"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894" w:type="pct"/>
            <w:tcBorders>
              <w:top w:val="single" w:sz="4" w:space="0" w:color="auto"/>
              <w:left w:val="nil"/>
              <w:right w:val="nil"/>
            </w:tcBorders>
          </w:tcPr>
          <w:p w14:paraId="035F9E9F" w14:textId="77777777" w:rsidR="00BA2684" w:rsidRPr="00CD4846" w:rsidRDefault="00BA2684"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1081" w:type="pct"/>
            <w:tcBorders>
              <w:top w:val="single" w:sz="4" w:space="0" w:color="auto"/>
              <w:left w:val="nil"/>
              <w:right w:val="nil"/>
            </w:tcBorders>
          </w:tcPr>
          <w:p w14:paraId="0654EE5D" w14:textId="77777777" w:rsidR="00BA2684" w:rsidRPr="00CD4846" w:rsidRDefault="00BA2684"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r>
      <w:tr w:rsidR="00FD1BBF" w:rsidRPr="00CD4846" w14:paraId="1C3901F5" w14:textId="77777777" w:rsidTr="002A78A3">
        <w:tc>
          <w:tcPr>
            <w:tcW w:w="2130" w:type="pct"/>
            <w:tcBorders>
              <w:top w:val="nil"/>
              <w:left w:val="nil"/>
              <w:bottom w:val="single" w:sz="4" w:space="0" w:color="auto"/>
              <w:right w:val="nil"/>
            </w:tcBorders>
          </w:tcPr>
          <w:p w14:paraId="294C0F21" w14:textId="77777777" w:rsidR="00BA2684" w:rsidRPr="00CD4846" w:rsidRDefault="00BA2684" w:rsidP="00FF1F0E">
            <w:pPr>
              <w:widowControl w:val="0"/>
              <w:autoSpaceDE w:val="0"/>
              <w:autoSpaceDN w:val="0"/>
              <w:adjustRightInd w:val="0"/>
              <w:spacing w:line="240" w:lineRule="auto"/>
              <w:rPr>
                <w:rFonts w:eastAsia="Times New Roman" w:cs="Times New Roman"/>
                <w:b/>
                <w:bCs/>
                <w:color w:val="5F6368"/>
                <w:kern w:val="2"/>
                <w:sz w:val="20"/>
                <w:szCs w:val="20"/>
                <w:shd w:val="clear" w:color="auto" w:fill="FFFFFF"/>
                <w:lang/>
              </w:rPr>
            </w:pPr>
            <w:r w:rsidRPr="00CD4846">
              <w:rPr>
                <w:rFonts w:eastAsia="Times New Roman" w:cs="Times New Roman"/>
                <w:kern w:val="2"/>
                <w:sz w:val="20"/>
                <w:szCs w:val="20"/>
                <w:lang/>
              </w:rPr>
              <w:t>PA-PA</w:t>
            </w:r>
            <w:r w:rsidRPr="00CD4846">
              <w:rPr>
                <w:rFonts w:eastAsia="Times New Roman" w:cs="Times New Roman"/>
                <w:b/>
                <w:bCs/>
                <w:i/>
                <w:color w:val="5F6368"/>
                <w:kern w:val="2"/>
                <w:sz w:val="20"/>
                <w:szCs w:val="20"/>
                <w:shd w:val="clear" w:color="auto" w:fill="FFFFFF"/>
                <w:lang/>
              </w:rPr>
              <w:t>²</w:t>
            </w:r>
            <w:r w:rsidRPr="00CD4846">
              <w:rPr>
                <w:rFonts w:cs="Times New Roman"/>
                <w:b/>
                <w:bCs/>
                <w:i/>
                <w:color w:val="5F6368"/>
                <w:kern w:val="2"/>
                <w:sz w:val="20"/>
                <w:szCs w:val="20"/>
                <w:shd w:val="clear" w:color="auto" w:fill="FFFFFF"/>
                <w:lang/>
              </w:rPr>
              <w:t xml:space="preserve"> </w:t>
            </w:r>
            <w:r w:rsidRPr="00CD4846">
              <w:rPr>
                <w:rFonts w:eastAsia="Times New Roman" w:cs="Times New Roman"/>
                <w:kern w:val="2"/>
                <w:sz w:val="20"/>
                <w:szCs w:val="20"/>
                <w:lang/>
              </w:rPr>
              <w:t xml:space="preserve">Joint Test </w:t>
            </w:r>
            <w:r w:rsidRPr="00CD4846">
              <w:rPr>
                <w:rFonts w:cs="Times New Roman"/>
                <w:kern w:val="2"/>
                <w:sz w:val="20"/>
                <w:szCs w:val="20"/>
                <w:lang/>
              </w:rPr>
              <w:t>p-value</w:t>
            </w:r>
          </w:p>
        </w:tc>
        <w:tc>
          <w:tcPr>
            <w:tcW w:w="895" w:type="pct"/>
            <w:tcBorders>
              <w:top w:val="nil"/>
              <w:left w:val="nil"/>
              <w:bottom w:val="single" w:sz="4" w:space="0" w:color="auto"/>
              <w:right w:val="nil"/>
            </w:tcBorders>
          </w:tcPr>
          <w:p w14:paraId="65ED38D5" w14:textId="77777777" w:rsidR="00BA2684" w:rsidRPr="00CD4846" w:rsidRDefault="00BA2684"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0.5823</w:t>
            </w:r>
          </w:p>
        </w:tc>
        <w:tc>
          <w:tcPr>
            <w:tcW w:w="894" w:type="pct"/>
            <w:tcBorders>
              <w:top w:val="nil"/>
              <w:left w:val="nil"/>
              <w:bottom w:val="single" w:sz="4" w:space="0" w:color="auto"/>
              <w:right w:val="nil"/>
            </w:tcBorders>
          </w:tcPr>
          <w:p w14:paraId="58AA3E09" w14:textId="77777777" w:rsidR="00BA2684" w:rsidRPr="00CD4846" w:rsidRDefault="00BA2684"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0.9927</w:t>
            </w:r>
          </w:p>
        </w:tc>
        <w:tc>
          <w:tcPr>
            <w:tcW w:w="1081" w:type="pct"/>
            <w:tcBorders>
              <w:top w:val="nil"/>
              <w:left w:val="nil"/>
              <w:bottom w:val="single" w:sz="4" w:space="0" w:color="auto"/>
              <w:right w:val="nil"/>
            </w:tcBorders>
          </w:tcPr>
          <w:p w14:paraId="161AC660" w14:textId="77777777" w:rsidR="00BA2684" w:rsidRPr="00CD4846" w:rsidRDefault="00BA2684"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0.8402</w:t>
            </w:r>
          </w:p>
        </w:tc>
      </w:tr>
    </w:tbl>
    <w:p w14:paraId="4F282D09" w14:textId="0EF27CBB" w:rsidR="00CD4846" w:rsidRPr="00F929D1" w:rsidRDefault="00CD4846" w:rsidP="004C39A4">
      <w:pPr>
        <w:rPr>
          <w:rFonts w:ascii="Calibri" w:eastAsia="DengXian" w:hAnsi="Calibri"/>
          <w:b/>
          <w:bCs/>
          <w:i/>
          <w:iCs/>
          <w:lang/>
        </w:rPr>
      </w:pPr>
      <w:r w:rsidRPr="00F929D1">
        <w:rPr>
          <w:rFonts w:hint="eastAsia"/>
          <w:b/>
          <w:bCs/>
          <w:lang/>
        </w:rPr>
        <w:t xml:space="preserve">Table </w:t>
      </w:r>
      <w:r w:rsidRPr="00F929D1">
        <w:rPr>
          <w:b/>
          <w:bCs/>
          <w:lang/>
        </w:rPr>
        <w:t>A11</w:t>
      </w:r>
      <w:r w:rsidR="00BA2684" w:rsidRPr="00F929D1">
        <w:rPr>
          <w:b/>
          <w:bCs/>
          <w:lang/>
        </w:rPr>
        <w:t xml:space="preserve"> Continued</w:t>
      </w:r>
      <w:r w:rsidRPr="00F929D1">
        <w:rPr>
          <w:b/>
          <w:bCs/>
          <w:lang/>
        </w:rPr>
        <w:t xml:space="preserve"> </w:t>
      </w:r>
    </w:p>
    <w:p w14:paraId="53549ADE" w14:textId="23F536D1" w:rsidR="00CD4846" w:rsidRPr="00FF1F0E" w:rsidRDefault="002A78A3" w:rsidP="00FF1F0E">
      <w:pPr>
        <w:spacing w:line="240" w:lineRule="auto"/>
        <w:rPr>
          <w:sz w:val="20"/>
          <w:szCs w:val="20"/>
          <w:lang/>
        </w:rPr>
      </w:pPr>
      <w:r>
        <w:rPr>
          <w:sz w:val="20"/>
          <w:szCs w:val="20"/>
          <w:lang/>
        </w:rPr>
        <w:t>T</w:t>
      </w:r>
      <w:r w:rsidR="00FF1F0E" w:rsidRPr="00FF1F0E">
        <w:rPr>
          <w:sz w:val="20"/>
          <w:szCs w:val="20"/>
          <w:lang/>
        </w:rPr>
        <w:t xml:space="preserve">able </w:t>
      </w:r>
      <w:r>
        <w:rPr>
          <w:sz w:val="20"/>
          <w:szCs w:val="20"/>
          <w:lang/>
        </w:rPr>
        <w:t xml:space="preserve">A11: </w:t>
      </w:r>
      <w:r w:rsidR="00715FCB" w:rsidRPr="00FF1F0E">
        <w:rPr>
          <w:sz w:val="20"/>
          <w:szCs w:val="20"/>
          <w:lang/>
        </w:rPr>
        <w:t>PPMLHDFE r</w:t>
      </w:r>
      <w:r w:rsidR="00715FCB" w:rsidRPr="00FF1F0E">
        <w:rPr>
          <w:sz w:val="20"/>
          <w:szCs w:val="20"/>
          <w:lang/>
        </w:rPr>
        <w:t xml:space="preserve">egression results </w:t>
      </w:r>
      <w:r w:rsidR="00715FCB" w:rsidRPr="00FF1F0E">
        <w:rPr>
          <w:sz w:val="20"/>
          <w:szCs w:val="20"/>
          <w:lang/>
        </w:rPr>
        <w:t xml:space="preserve">on establishment inter-state inward relocations under broad PADs (GAP 1-4) are presented above. Column names correspond to a specific NAICS sector. </w:t>
      </w:r>
      <w:r w:rsidRPr="00C624DB">
        <w:rPr>
          <w:sz w:val="20"/>
          <w:szCs w:val="20"/>
          <w:lang/>
        </w:rPr>
        <w:t xml:space="preserve">Standard errors are </w:t>
      </w:r>
      <w:r>
        <w:rPr>
          <w:sz w:val="20"/>
          <w:szCs w:val="20"/>
          <w:lang/>
        </w:rPr>
        <w:t xml:space="preserve">in parentheses and are </w:t>
      </w:r>
      <w:r w:rsidRPr="00C624DB">
        <w:rPr>
          <w:sz w:val="20"/>
          <w:szCs w:val="20"/>
          <w:lang/>
        </w:rPr>
        <w:t xml:space="preserve">clustered at the county level. </w:t>
      </w:r>
      <w:r w:rsidRPr="002C0F11">
        <w:rPr>
          <w:sz w:val="20"/>
          <w:szCs w:val="20"/>
          <w:lang/>
        </w:rPr>
        <w:t>Statistically significant impacts are denoted by asterisks. These asterisks denote statistical significance at the following levels: ***p &lt; 0.01, **p &lt; 0.05, *p &lt; 0.1.</w:t>
      </w:r>
      <w:r>
        <w:rPr>
          <w:sz w:val="20"/>
          <w:szCs w:val="20"/>
          <w:lang/>
        </w:rPr>
        <w:t xml:space="preserve"> </w:t>
      </w:r>
      <w:r w:rsidR="00715FCB" w:rsidRPr="00FF1F0E">
        <w:rPr>
          <w:sz w:val="20"/>
          <w:szCs w:val="20"/>
          <w:lang/>
        </w:rPr>
        <w:t>p-values of joint-tests on linear and quadratic PAD terms are shown in the last row.</w:t>
      </w:r>
    </w:p>
    <w:p w14:paraId="6FC6265D" w14:textId="77777777" w:rsidR="00CD4846" w:rsidRPr="00CD4846" w:rsidRDefault="00CD4846" w:rsidP="004C39A4">
      <w:pPr>
        <w:spacing w:line="256" w:lineRule="auto"/>
        <w:rPr>
          <w:rFonts w:ascii="DengXian" w:hAnsi="DengXian" w:cs="Times New Roman"/>
          <w:kern w:val="2"/>
          <w:sz w:val="22"/>
          <w:szCs w:val="22"/>
          <w:lang/>
        </w:rPr>
      </w:pPr>
      <w:r w:rsidRPr="00CD4846">
        <w:rPr>
          <w:rFonts w:ascii="DengXian" w:hAnsi="DengXian" w:cs="Times New Roman"/>
          <w:kern w:val="2"/>
          <w:sz w:val="22"/>
          <w:szCs w:val="22"/>
          <w:lang/>
        </w:rPr>
        <w:br w:type="page"/>
      </w:r>
    </w:p>
    <w:tbl>
      <w:tblPr>
        <w:tblpPr w:leftFromText="180" w:rightFromText="180" w:vertAnchor="text" w:horzAnchor="margin" w:tblpY="316"/>
        <w:tblW w:w="5000" w:type="pct"/>
        <w:tblLook w:val="04A0" w:firstRow="1" w:lastRow="0" w:firstColumn="1" w:lastColumn="0" w:noHBand="0" w:noVBand="1"/>
      </w:tblPr>
      <w:tblGrid>
        <w:gridCol w:w="2664"/>
        <w:gridCol w:w="1286"/>
        <w:gridCol w:w="1286"/>
        <w:gridCol w:w="1286"/>
        <w:gridCol w:w="1286"/>
        <w:gridCol w:w="1552"/>
      </w:tblGrid>
      <w:tr w:rsidR="00715FCB" w:rsidRPr="00CD4846" w14:paraId="78F9DB93" w14:textId="77777777" w:rsidTr="00715FCB">
        <w:tc>
          <w:tcPr>
            <w:tcW w:w="1423" w:type="pct"/>
            <w:tcBorders>
              <w:top w:val="single" w:sz="4" w:space="0" w:color="auto"/>
              <w:left w:val="nil"/>
              <w:bottom w:val="single" w:sz="4" w:space="0" w:color="auto"/>
              <w:right w:val="nil"/>
            </w:tcBorders>
          </w:tcPr>
          <w:p w14:paraId="546932BF" w14:textId="2D4E54C7" w:rsidR="00715FCB" w:rsidRPr="00CD4846" w:rsidRDefault="00715FCB" w:rsidP="00FF1F0E">
            <w:pPr>
              <w:widowControl w:val="0"/>
              <w:autoSpaceDE w:val="0"/>
              <w:autoSpaceDN w:val="0"/>
              <w:adjustRightInd w:val="0"/>
              <w:spacing w:line="240" w:lineRule="auto"/>
              <w:rPr>
                <w:rFonts w:cs="Times New Roman"/>
                <w:b/>
                <w:bCs/>
                <w:kern w:val="2"/>
                <w:sz w:val="20"/>
                <w:szCs w:val="20"/>
                <w:lang/>
              </w:rPr>
            </w:pPr>
            <w:bookmarkStart w:id="239" w:name="_Toc186799416"/>
            <w:r w:rsidRPr="00CD4846">
              <w:rPr>
                <w:rFonts w:cs="Times New Roman"/>
                <w:b/>
                <w:bCs/>
                <w:kern w:val="2"/>
                <w:sz w:val="20"/>
                <w:szCs w:val="20"/>
                <w:lang/>
              </w:rPr>
              <w:lastRenderedPageBreak/>
              <w:t>Variable</w:t>
            </w:r>
          </w:p>
        </w:tc>
        <w:tc>
          <w:tcPr>
            <w:tcW w:w="687" w:type="pct"/>
            <w:tcBorders>
              <w:top w:val="single" w:sz="4" w:space="0" w:color="auto"/>
              <w:left w:val="nil"/>
              <w:bottom w:val="single" w:sz="4" w:space="0" w:color="auto"/>
              <w:right w:val="nil"/>
            </w:tcBorders>
          </w:tcPr>
          <w:p w14:paraId="62CCA45A" w14:textId="311720D9" w:rsidR="00715FCB" w:rsidRPr="00CD4846" w:rsidRDefault="00715FCB" w:rsidP="00FF1F0E">
            <w:pPr>
              <w:widowControl w:val="0"/>
              <w:autoSpaceDE w:val="0"/>
              <w:autoSpaceDN w:val="0"/>
              <w:adjustRightInd w:val="0"/>
              <w:spacing w:line="240" w:lineRule="auto"/>
              <w:rPr>
                <w:rFonts w:cs="Times New Roman"/>
                <w:b/>
                <w:bCs/>
                <w:kern w:val="2"/>
                <w:sz w:val="20"/>
                <w:szCs w:val="20"/>
                <w:lang/>
              </w:rPr>
            </w:pPr>
            <w:r w:rsidRPr="00CD4846">
              <w:rPr>
                <w:rFonts w:cs="Times New Roman"/>
                <w:b/>
                <w:bCs/>
                <w:kern w:val="2"/>
                <w:sz w:val="20"/>
                <w:szCs w:val="20"/>
                <w:lang/>
              </w:rPr>
              <w:t>NAICS 11</w:t>
            </w:r>
          </w:p>
        </w:tc>
        <w:tc>
          <w:tcPr>
            <w:tcW w:w="687" w:type="pct"/>
            <w:tcBorders>
              <w:top w:val="single" w:sz="4" w:space="0" w:color="auto"/>
              <w:left w:val="nil"/>
              <w:bottom w:val="single" w:sz="4" w:space="0" w:color="auto"/>
              <w:right w:val="nil"/>
            </w:tcBorders>
          </w:tcPr>
          <w:p w14:paraId="5FC9EECE" w14:textId="5F53F467" w:rsidR="00715FCB" w:rsidRPr="00CD4846" w:rsidRDefault="00715FCB" w:rsidP="00FF1F0E">
            <w:pPr>
              <w:widowControl w:val="0"/>
              <w:autoSpaceDE w:val="0"/>
              <w:autoSpaceDN w:val="0"/>
              <w:adjustRightInd w:val="0"/>
              <w:spacing w:line="240" w:lineRule="auto"/>
              <w:rPr>
                <w:rFonts w:cs="Times New Roman"/>
                <w:b/>
                <w:bCs/>
                <w:kern w:val="2"/>
                <w:sz w:val="20"/>
                <w:szCs w:val="20"/>
                <w:lang/>
              </w:rPr>
            </w:pPr>
            <w:r w:rsidRPr="00CD4846">
              <w:rPr>
                <w:rFonts w:cs="Times New Roman"/>
                <w:b/>
                <w:bCs/>
                <w:kern w:val="2"/>
                <w:sz w:val="20"/>
                <w:szCs w:val="20"/>
                <w:lang/>
              </w:rPr>
              <w:t>NAICS 21</w:t>
            </w:r>
          </w:p>
        </w:tc>
        <w:tc>
          <w:tcPr>
            <w:tcW w:w="687" w:type="pct"/>
            <w:tcBorders>
              <w:top w:val="single" w:sz="4" w:space="0" w:color="auto"/>
              <w:left w:val="nil"/>
              <w:bottom w:val="single" w:sz="4" w:space="0" w:color="auto"/>
              <w:right w:val="nil"/>
            </w:tcBorders>
          </w:tcPr>
          <w:p w14:paraId="60DB3411" w14:textId="32D40FE0" w:rsidR="00715FCB" w:rsidRPr="00CD4846" w:rsidRDefault="00715FCB" w:rsidP="00FF1F0E">
            <w:pPr>
              <w:widowControl w:val="0"/>
              <w:autoSpaceDE w:val="0"/>
              <w:autoSpaceDN w:val="0"/>
              <w:adjustRightInd w:val="0"/>
              <w:spacing w:line="240" w:lineRule="auto"/>
              <w:rPr>
                <w:rFonts w:cs="Times New Roman"/>
                <w:b/>
                <w:bCs/>
                <w:kern w:val="2"/>
                <w:sz w:val="20"/>
                <w:szCs w:val="20"/>
                <w:lang/>
              </w:rPr>
            </w:pPr>
            <w:r w:rsidRPr="00CD4846">
              <w:rPr>
                <w:rFonts w:cs="Times New Roman"/>
                <w:b/>
                <w:bCs/>
                <w:kern w:val="2"/>
                <w:sz w:val="20"/>
                <w:szCs w:val="20"/>
                <w:lang/>
              </w:rPr>
              <w:t>NAICS 22</w:t>
            </w:r>
          </w:p>
        </w:tc>
        <w:tc>
          <w:tcPr>
            <w:tcW w:w="687" w:type="pct"/>
            <w:tcBorders>
              <w:top w:val="single" w:sz="4" w:space="0" w:color="auto"/>
              <w:left w:val="nil"/>
              <w:bottom w:val="single" w:sz="4" w:space="0" w:color="auto"/>
              <w:right w:val="nil"/>
            </w:tcBorders>
          </w:tcPr>
          <w:p w14:paraId="54696B35" w14:textId="0C71D2E7" w:rsidR="00715FCB" w:rsidRPr="00CD4846" w:rsidRDefault="00715FCB" w:rsidP="00FF1F0E">
            <w:pPr>
              <w:widowControl w:val="0"/>
              <w:autoSpaceDE w:val="0"/>
              <w:autoSpaceDN w:val="0"/>
              <w:adjustRightInd w:val="0"/>
              <w:spacing w:line="240" w:lineRule="auto"/>
              <w:rPr>
                <w:rFonts w:cs="Times New Roman"/>
                <w:b/>
                <w:bCs/>
                <w:kern w:val="2"/>
                <w:sz w:val="20"/>
                <w:szCs w:val="20"/>
                <w:lang/>
              </w:rPr>
            </w:pPr>
            <w:r w:rsidRPr="00CD4846">
              <w:rPr>
                <w:rFonts w:cs="Times New Roman"/>
                <w:b/>
                <w:bCs/>
                <w:kern w:val="2"/>
                <w:sz w:val="20"/>
                <w:szCs w:val="20"/>
                <w:lang/>
              </w:rPr>
              <w:t>NAICS 23</w:t>
            </w:r>
          </w:p>
        </w:tc>
        <w:tc>
          <w:tcPr>
            <w:tcW w:w="829" w:type="pct"/>
            <w:tcBorders>
              <w:top w:val="single" w:sz="4" w:space="0" w:color="auto"/>
              <w:left w:val="nil"/>
              <w:bottom w:val="single" w:sz="4" w:space="0" w:color="auto"/>
              <w:right w:val="nil"/>
            </w:tcBorders>
          </w:tcPr>
          <w:p w14:paraId="6B42B3D5" w14:textId="05B4A92F" w:rsidR="00715FCB" w:rsidRPr="00CD4846" w:rsidRDefault="00715FCB" w:rsidP="00FF1F0E">
            <w:pPr>
              <w:widowControl w:val="0"/>
              <w:autoSpaceDE w:val="0"/>
              <w:autoSpaceDN w:val="0"/>
              <w:adjustRightInd w:val="0"/>
              <w:spacing w:line="240" w:lineRule="auto"/>
              <w:rPr>
                <w:rFonts w:cs="Times New Roman"/>
                <w:b/>
                <w:bCs/>
                <w:kern w:val="2"/>
                <w:sz w:val="20"/>
                <w:szCs w:val="20"/>
                <w:lang/>
              </w:rPr>
            </w:pPr>
            <w:r w:rsidRPr="00CD4846">
              <w:rPr>
                <w:rFonts w:cs="Times New Roman"/>
                <w:b/>
                <w:bCs/>
                <w:kern w:val="2"/>
                <w:sz w:val="20"/>
                <w:szCs w:val="20"/>
                <w:lang/>
              </w:rPr>
              <w:t>NAICS 31-33</w:t>
            </w:r>
          </w:p>
        </w:tc>
      </w:tr>
      <w:tr w:rsidR="00715FCB" w:rsidRPr="00CD4846" w14:paraId="12D7EE94" w14:textId="77777777" w:rsidTr="00715FCB">
        <w:tc>
          <w:tcPr>
            <w:tcW w:w="1423" w:type="pct"/>
            <w:tcBorders>
              <w:top w:val="single" w:sz="4" w:space="0" w:color="auto"/>
              <w:left w:val="nil"/>
              <w:bottom w:val="nil"/>
              <w:right w:val="nil"/>
            </w:tcBorders>
          </w:tcPr>
          <w:p w14:paraId="24699781" w14:textId="7ECB2B90"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Broad PADs (t-1)</w:t>
            </w:r>
          </w:p>
        </w:tc>
        <w:tc>
          <w:tcPr>
            <w:tcW w:w="687" w:type="pct"/>
            <w:tcBorders>
              <w:top w:val="single" w:sz="4" w:space="0" w:color="auto"/>
              <w:left w:val="nil"/>
              <w:bottom w:val="nil"/>
              <w:right w:val="nil"/>
            </w:tcBorders>
          </w:tcPr>
          <w:p w14:paraId="01E60882"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6.376***</w:t>
            </w:r>
          </w:p>
        </w:tc>
        <w:tc>
          <w:tcPr>
            <w:tcW w:w="687" w:type="pct"/>
            <w:tcBorders>
              <w:top w:val="single" w:sz="4" w:space="0" w:color="auto"/>
              <w:left w:val="nil"/>
              <w:bottom w:val="nil"/>
              <w:right w:val="nil"/>
            </w:tcBorders>
          </w:tcPr>
          <w:p w14:paraId="70E11221"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0.250</w:t>
            </w:r>
          </w:p>
        </w:tc>
        <w:tc>
          <w:tcPr>
            <w:tcW w:w="687" w:type="pct"/>
            <w:tcBorders>
              <w:top w:val="single" w:sz="4" w:space="0" w:color="auto"/>
              <w:left w:val="nil"/>
              <w:bottom w:val="nil"/>
              <w:right w:val="nil"/>
            </w:tcBorders>
          </w:tcPr>
          <w:p w14:paraId="058170F5"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-10.505***</w:t>
            </w:r>
          </w:p>
        </w:tc>
        <w:tc>
          <w:tcPr>
            <w:tcW w:w="687" w:type="pct"/>
            <w:tcBorders>
              <w:top w:val="single" w:sz="4" w:space="0" w:color="auto"/>
              <w:left w:val="nil"/>
              <w:bottom w:val="nil"/>
              <w:right w:val="nil"/>
            </w:tcBorders>
          </w:tcPr>
          <w:p w14:paraId="51D71FE0"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-0.240</w:t>
            </w:r>
          </w:p>
        </w:tc>
        <w:tc>
          <w:tcPr>
            <w:tcW w:w="829" w:type="pct"/>
            <w:tcBorders>
              <w:top w:val="single" w:sz="4" w:space="0" w:color="auto"/>
              <w:left w:val="nil"/>
              <w:bottom w:val="nil"/>
              <w:right w:val="nil"/>
            </w:tcBorders>
          </w:tcPr>
          <w:p w14:paraId="44EEA90B"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1.208</w:t>
            </w:r>
          </w:p>
        </w:tc>
      </w:tr>
      <w:tr w:rsidR="00715FCB" w:rsidRPr="00CD4846" w14:paraId="50220C31" w14:textId="77777777" w:rsidTr="00715FCB">
        <w:tc>
          <w:tcPr>
            <w:tcW w:w="1423" w:type="pct"/>
            <w:tcBorders>
              <w:top w:val="nil"/>
              <w:left w:val="nil"/>
              <w:bottom w:val="nil"/>
              <w:right w:val="nil"/>
            </w:tcBorders>
          </w:tcPr>
          <w:p w14:paraId="00E8669B" w14:textId="53533C0E" w:rsidR="00715FCB" w:rsidRPr="00CD4846" w:rsidRDefault="00715FCB" w:rsidP="00FF1F0E">
            <w:pPr>
              <w:widowControl w:val="0"/>
              <w:autoSpaceDE w:val="0"/>
              <w:autoSpaceDN w:val="0"/>
              <w:adjustRightInd w:val="0"/>
              <w:spacing w:line="240" w:lineRule="auto"/>
              <w:rPr>
                <w:rFonts w:cs="Times New Roman"/>
                <w:kern w:val="2"/>
                <w:sz w:val="20"/>
                <w:szCs w:val="20"/>
                <w:lang/>
              </w:rPr>
            </w:pPr>
          </w:p>
        </w:tc>
        <w:tc>
          <w:tcPr>
            <w:tcW w:w="687" w:type="pct"/>
            <w:tcBorders>
              <w:top w:val="nil"/>
              <w:left w:val="nil"/>
              <w:bottom w:val="nil"/>
              <w:right w:val="nil"/>
            </w:tcBorders>
          </w:tcPr>
          <w:p w14:paraId="6EB4FCAE"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(2.042)</w:t>
            </w:r>
          </w:p>
        </w:tc>
        <w:tc>
          <w:tcPr>
            <w:tcW w:w="687" w:type="pct"/>
            <w:tcBorders>
              <w:top w:val="nil"/>
              <w:left w:val="nil"/>
              <w:bottom w:val="nil"/>
              <w:right w:val="nil"/>
            </w:tcBorders>
          </w:tcPr>
          <w:p w14:paraId="304E9E24"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(4.045)</w:t>
            </w:r>
          </w:p>
        </w:tc>
        <w:tc>
          <w:tcPr>
            <w:tcW w:w="687" w:type="pct"/>
            <w:tcBorders>
              <w:top w:val="nil"/>
              <w:left w:val="nil"/>
              <w:bottom w:val="nil"/>
              <w:right w:val="nil"/>
            </w:tcBorders>
          </w:tcPr>
          <w:p w14:paraId="5315A4EB"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(3.411)</w:t>
            </w:r>
          </w:p>
        </w:tc>
        <w:tc>
          <w:tcPr>
            <w:tcW w:w="687" w:type="pct"/>
            <w:tcBorders>
              <w:top w:val="nil"/>
              <w:left w:val="nil"/>
              <w:bottom w:val="nil"/>
              <w:right w:val="nil"/>
            </w:tcBorders>
          </w:tcPr>
          <w:p w14:paraId="00649D0C"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(1.216)</w:t>
            </w:r>
          </w:p>
        </w:tc>
        <w:tc>
          <w:tcPr>
            <w:tcW w:w="829" w:type="pct"/>
            <w:tcBorders>
              <w:top w:val="nil"/>
              <w:left w:val="nil"/>
              <w:bottom w:val="nil"/>
              <w:right w:val="nil"/>
            </w:tcBorders>
          </w:tcPr>
          <w:p w14:paraId="2EE98863"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(1.153)</w:t>
            </w:r>
          </w:p>
        </w:tc>
      </w:tr>
      <w:tr w:rsidR="00715FCB" w:rsidRPr="00CD4846" w14:paraId="37736E15" w14:textId="77777777" w:rsidTr="00715FCB">
        <w:tc>
          <w:tcPr>
            <w:tcW w:w="1423" w:type="pct"/>
            <w:tcBorders>
              <w:top w:val="nil"/>
              <w:left w:val="nil"/>
              <w:bottom w:val="nil"/>
              <w:right w:val="nil"/>
            </w:tcBorders>
          </w:tcPr>
          <w:p w14:paraId="453A8DF1" w14:textId="3B33D1F5"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Broad PADs Sq. (t-1)</w:t>
            </w:r>
          </w:p>
        </w:tc>
        <w:tc>
          <w:tcPr>
            <w:tcW w:w="687" w:type="pct"/>
            <w:tcBorders>
              <w:top w:val="nil"/>
              <w:left w:val="nil"/>
              <w:bottom w:val="nil"/>
              <w:right w:val="nil"/>
            </w:tcBorders>
          </w:tcPr>
          <w:p w14:paraId="72641DBB"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-4.603**</w:t>
            </w:r>
          </w:p>
        </w:tc>
        <w:tc>
          <w:tcPr>
            <w:tcW w:w="687" w:type="pct"/>
            <w:tcBorders>
              <w:top w:val="nil"/>
              <w:left w:val="nil"/>
              <w:bottom w:val="nil"/>
              <w:right w:val="nil"/>
            </w:tcBorders>
          </w:tcPr>
          <w:p w14:paraId="05D57E35"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0.775</w:t>
            </w:r>
          </w:p>
        </w:tc>
        <w:tc>
          <w:tcPr>
            <w:tcW w:w="687" w:type="pct"/>
            <w:tcBorders>
              <w:top w:val="nil"/>
              <w:left w:val="nil"/>
              <w:bottom w:val="nil"/>
              <w:right w:val="nil"/>
            </w:tcBorders>
          </w:tcPr>
          <w:p w14:paraId="6A5760B0"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10.603***</w:t>
            </w:r>
          </w:p>
        </w:tc>
        <w:tc>
          <w:tcPr>
            <w:tcW w:w="687" w:type="pct"/>
            <w:tcBorders>
              <w:top w:val="nil"/>
              <w:left w:val="nil"/>
              <w:bottom w:val="nil"/>
              <w:right w:val="nil"/>
            </w:tcBorders>
          </w:tcPr>
          <w:p w14:paraId="35252AF0"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0.507</w:t>
            </w:r>
          </w:p>
        </w:tc>
        <w:tc>
          <w:tcPr>
            <w:tcW w:w="829" w:type="pct"/>
            <w:tcBorders>
              <w:top w:val="nil"/>
              <w:left w:val="nil"/>
              <w:bottom w:val="nil"/>
              <w:right w:val="nil"/>
            </w:tcBorders>
          </w:tcPr>
          <w:p w14:paraId="6DECFB59"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-2.077**</w:t>
            </w:r>
          </w:p>
        </w:tc>
      </w:tr>
      <w:tr w:rsidR="00715FCB" w:rsidRPr="00CD4846" w14:paraId="721E7C05" w14:textId="77777777" w:rsidTr="00715FCB">
        <w:tc>
          <w:tcPr>
            <w:tcW w:w="1423" w:type="pct"/>
            <w:tcBorders>
              <w:top w:val="nil"/>
              <w:left w:val="nil"/>
              <w:bottom w:val="nil"/>
              <w:right w:val="nil"/>
            </w:tcBorders>
          </w:tcPr>
          <w:p w14:paraId="6252F312" w14:textId="4E0A7AEC" w:rsidR="00715FCB" w:rsidRPr="00CD4846" w:rsidRDefault="00715FCB" w:rsidP="00FF1F0E">
            <w:pPr>
              <w:widowControl w:val="0"/>
              <w:autoSpaceDE w:val="0"/>
              <w:autoSpaceDN w:val="0"/>
              <w:adjustRightInd w:val="0"/>
              <w:spacing w:line="240" w:lineRule="auto"/>
              <w:rPr>
                <w:rFonts w:cs="Times New Roman"/>
                <w:kern w:val="2"/>
                <w:sz w:val="20"/>
                <w:szCs w:val="20"/>
                <w:lang/>
              </w:rPr>
            </w:pPr>
          </w:p>
        </w:tc>
        <w:tc>
          <w:tcPr>
            <w:tcW w:w="687" w:type="pct"/>
            <w:tcBorders>
              <w:top w:val="nil"/>
              <w:left w:val="nil"/>
              <w:bottom w:val="nil"/>
              <w:right w:val="nil"/>
            </w:tcBorders>
          </w:tcPr>
          <w:p w14:paraId="2343D268"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(2.087)</w:t>
            </w:r>
          </w:p>
        </w:tc>
        <w:tc>
          <w:tcPr>
            <w:tcW w:w="687" w:type="pct"/>
            <w:tcBorders>
              <w:top w:val="nil"/>
              <w:left w:val="nil"/>
              <w:bottom w:val="nil"/>
              <w:right w:val="nil"/>
            </w:tcBorders>
          </w:tcPr>
          <w:p w14:paraId="7BEBA397"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(3.668)</w:t>
            </w:r>
          </w:p>
        </w:tc>
        <w:tc>
          <w:tcPr>
            <w:tcW w:w="687" w:type="pct"/>
            <w:tcBorders>
              <w:top w:val="nil"/>
              <w:left w:val="nil"/>
              <w:bottom w:val="nil"/>
              <w:right w:val="nil"/>
            </w:tcBorders>
          </w:tcPr>
          <w:p w14:paraId="19EFC075"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(2.965)</w:t>
            </w:r>
          </w:p>
        </w:tc>
        <w:tc>
          <w:tcPr>
            <w:tcW w:w="687" w:type="pct"/>
            <w:tcBorders>
              <w:top w:val="nil"/>
              <w:left w:val="nil"/>
              <w:bottom w:val="nil"/>
              <w:right w:val="nil"/>
            </w:tcBorders>
          </w:tcPr>
          <w:p w14:paraId="1DB711DC"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(1.177)</w:t>
            </w:r>
          </w:p>
        </w:tc>
        <w:tc>
          <w:tcPr>
            <w:tcW w:w="829" w:type="pct"/>
            <w:tcBorders>
              <w:top w:val="nil"/>
              <w:left w:val="nil"/>
              <w:bottom w:val="nil"/>
              <w:right w:val="nil"/>
            </w:tcBorders>
          </w:tcPr>
          <w:p w14:paraId="1334F818"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(1.037)</w:t>
            </w:r>
          </w:p>
        </w:tc>
      </w:tr>
      <w:tr w:rsidR="00715FCB" w:rsidRPr="00CD4846" w14:paraId="6FD2A10D" w14:textId="77777777" w:rsidTr="00715FCB">
        <w:tc>
          <w:tcPr>
            <w:tcW w:w="1423" w:type="pct"/>
            <w:tcBorders>
              <w:top w:val="nil"/>
              <w:left w:val="nil"/>
              <w:bottom w:val="nil"/>
              <w:right w:val="nil"/>
            </w:tcBorders>
          </w:tcPr>
          <w:p w14:paraId="1688BAB7" w14:textId="031A7E30"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Loc. Economies (t-1) (10ks)</w:t>
            </w:r>
          </w:p>
        </w:tc>
        <w:tc>
          <w:tcPr>
            <w:tcW w:w="687" w:type="pct"/>
            <w:tcBorders>
              <w:top w:val="nil"/>
              <w:left w:val="nil"/>
              <w:bottom w:val="nil"/>
              <w:right w:val="nil"/>
            </w:tcBorders>
          </w:tcPr>
          <w:p w14:paraId="166FAB5E"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-43.350***</w:t>
            </w:r>
          </w:p>
        </w:tc>
        <w:tc>
          <w:tcPr>
            <w:tcW w:w="687" w:type="pct"/>
            <w:tcBorders>
              <w:top w:val="nil"/>
              <w:left w:val="nil"/>
              <w:bottom w:val="nil"/>
              <w:right w:val="nil"/>
            </w:tcBorders>
          </w:tcPr>
          <w:p w14:paraId="550DE10E"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-9.450**</w:t>
            </w:r>
          </w:p>
        </w:tc>
        <w:tc>
          <w:tcPr>
            <w:tcW w:w="687" w:type="pct"/>
            <w:tcBorders>
              <w:top w:val="nil"/>
              <w:left w:val="nil"/>
              <w:bottom w:val="nil"/>
              <w:right w:val="nil"/>
            </w:tcBorders>
          </w:tcPr>
          <w:p w14:paraId="107FC0DD"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-131.002***</w:t>
            </w:r>
          </w:p>
        </w:tc>
        <w:tc>
          <w:tcPr>
            <w:tcW w:w="687" w:type="pct"/>
            <w:tcBorders>
              <w:top w:val="nil"/>
              <w:left w:val="nil"/>
              <w:bottom w:val="nil"/>
              <w:right w:val="nil"/>
            </w:tcBorders>
          </w:tcPr>
          <w:p w14:paraId="10168B8C"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-0.470***</w:t>
            </w:r>
          </w:p>
        </w:tc>
        <w:tc>
          <w:tcPr>
            <w:tcW w:w="829" w:type="pct"/>
            <w:tcBorders>
              <w:top w:val="nil"/>
              <w:left w:val="nil"/>
              <w:bottom w:val="nil"/>
              <w:right w:val="nil"/>
            </w:tcBorders>
          </w:tcPr>
          <w:p w14:paraId="4BF4223F"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-0.680</w:t>
            </w:r>
          </w:p>
        </w:tc>
      </w:tr>
      <w:tr w:rsidR="00715FCB" w:rsidRPr="00CD4846" w14:paraId="1F1417B6" w14:textId="77777777" w:rsidTr="00715FCB">
        <w:tc>
          <w:tcPr>
            <w:tcW w:w="1423" w:type="pct"/>
            <w:tcBorders>
              <w:top w:val="nil"/>
              <w:left w:val="nil"/>
              <w:bottom w:val="nil"/>
              <w:right w:val="nil"/>
            </w:tcBorders>
          </w:tcPr>
          <w:p w14:paraId="7E796B93" w14:textId="2A67B1BC" w:rsidR="00715FCB" w:rsidRPr="00CD4846" w:rsidRDefault="00715FCB" w:rsidP="00FF1F0E">
            <w:pPr>
              <w:widowControl w:val="0"/>
              <w:autoSpaceDE w:val="0"/>
              <w:autoSpaceDN w:val="0"/>
              <w:adjustRightInd w:val="0"/>
              <w:spacing w:line="240" w:lineRule="auto"/>
              <w:rPr>
                <w:rFonts w:cs="Times New Roman"/>
                <w:kern w:val="2"/>
                <w:sz w:val="20"/>
                <w:szCs w:val="20"/>
                <w:lang/>
              </w:rPr>
            </w:pPr>
          </w:p>
        </w:tc>
        <w:tc>
          <w:tcPr>
            <w:tcW w:w="687" w:type="pct"/>
            <w:tcBorders>
              <w:top w:val="nil"/>
              <w:left w:val="nil"/>
              <w:bottom w:val="nil"/>
              <w:right w:val="nil"/>
            </w:tcBorders>
          </w:tcPr>
          <w:p w14:paraId="1320F059"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(7.003)</w:t>
            </w:r>
          </w:p>
        </w:tc>
        <w:tc>
          <w:tcPr>
            <w:tcW w:w="687" w:type="pct"/>
            <w:tcBorders>
              <w:top w:val="nil"/>
              <w:left w:val="nil"/>
              <w:bottom w:val="nil"/>
              <w:right w:val="nil"/>
            </w:tcBorders>
          </w:tcPr>
          <w:p w14:paraId="71B1493E"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(4.787)</w:t>
            </w:r>
          </w:p>
        </w:tc>
        <w:tc>
          <w:tcPr>
            <w:tcW w:w="687" w:type="pct"/>
            <w:tcBorders>
              <w:top w:val="nil"/>
              <w:left w:val="nil"/>
              <w:bottom w:val="nil"/>
              <w:right w:val="nil"/>
            </w:tcBorders>
          </w:tcPr>
          <w:p w14:paraId="3953B13B"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(38.821)</w:t>
            </w:r>
          </w:p>
        </w:tc>
        <w:tc>
          <w:tcPr>
            <w:tcW w:w="687" w:type="pct"/>
            <w:tcBorders>
              <w:top w:val="nil"/>
              <w:left w:val="nil"/>
              <w:bottom w:val="nil"/>
              <w:right w:val="nil"/>
            </w:tcBorders>
          </w:tcPr>
          <w:p w14:paraId="5AC2F8E0"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(0.163)</w:t>
            </w:r>
          </w:p>
        </w:tc>
        <w:tc>
          <w:tcPr>
            <w:tcW w:w="829" w:type="pct"/>
            <w:tcBorders>
              <w:top w:val="nil"/>
              <w:left w:val="nil"/>
              <w:bottom w:val="nil"/>
              <w:right w:val="nil"/>
            </w:tcBorders>
          </w:tcPr>
          <w:p w14:paraId="04D29E6B"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(0.471)</w:t>
            </w:r>
          </w:p>
        </w:tc>
      </w:tr>
      <w:tr w:rsidR="00715FCB" w:rsidRPr="00CD4846" w14:paraId="67FE8AA0" w14:textId="77777777" w:rsidTr="00715FCB">
        <w:tc>
          <w:tcPr>
            <w:tcW w:w="1423" w:type="pct"/>
            <w:tcBorders>
              <w:top w:val="nil"/>
              <w:left w:val="nil"/>
              <w:bottom w:val="nil"/>
              <w:right w:val="nil"/>
            </w:tcBorders>
          </w:tcPr>
          <w:p w14:paraId="60DE545E" w14:textId="671A38E9"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Median HH Income (100ks)</w:t>
            </w:r>
          </w:p>
        </w:tc>
        <w:tc>
          <w:tcPr>
            <w:tcW w:w="687" w:type="pct"/>
            <w:tcBorders>
              <w:top w:val="nil"/>
              <w:left w:val="nil"/>
              <w:bottom w:val="nil"/>
              <w:right w:val="nil"/>
            </w:tcBorders>
          </w:tcPr>
          <w:p w14:paraId="4C577D47"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-0.173</w:t>
            </w:r>
          </w:p>
        </w:tc>
        <w:tc>
          <w:tcPr>
            <w:tcW w:w="687" w:type="pct"/>
            <w:tcBorders>
              <w:top w:val="nil"/>
              <w:left w:val="nil"/>
              <w:bottom w:val="nil"/>
              <w:right w:val="nil"/>
            </w:tcBorders>
          </w:tcPr>
          <w:p w14:paraId="536DF28B"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1.074***</w:t>
            </w:r>
          </w:p>
        </w:tc>
        <w:tc>
          <w:tcPr>
            <w:tcW w:w="687" w:type="pct"/>
            <w:tcBorders>
              <w:top w:val="nil"/>
              <w:left w:val="nil"/>
              <w:bottom w:val="nil"/>
              <w:right w:val="nil"/>
            </w:tcBorders>
          </w:tcPr>
          <w:p w14:paraId="3BFEB1F6"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0.310</w:t>
            </w:r>
          </w:p>
        </w:tc>
        <w:tc>
          <w:tcPr>
            <w:tcW w:w="687" w:type="pct"/>
            <w:tcBorders>
              <w:top w:val="nil"/>
              <w:left w:val="nil"/>
              <w:bottom w:val="nil"/>
              <w:right w:val="nil"/>
            </w:tcBorders>
          </w:tcPr>
          <w:p w14:paraId="34FE00B0"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0.283*</w:t>
            </w:r>
          </w:p>
        </w:tc>
        <w:tc>
          <w:tcPr>
            <w:tcW w:w="829" w:type="pct"/>
            <w:tcBorders>
              <w:top w:val="nil"/>
              <w:left w:val="nil"/>
              <w:bottom w:val="nil"/>
              <w:right w:val="nil"/>
            </w:tcBorders>
          </w:tcPr>
          <w:p w14:paraId="0F6D1D02"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-0.254</w:t>
            </w:r>
          </w:p>
        </w:tc>
      </w:tr>
      <w:tr w:rsidR="00715FCB" w:rsidRPr="00CD4846" w14:paraId="5FE50A4D" w14:textId="77777777" w:rsidTr="00715FCB">
        <w:tc>
          <w:tcPr>
            <w:tcW w:w="1423" w:type="pct"/>
            <w:tcBorders>
              <w:top w:val="nil"/>
              <w:left w:val="nil"/>
              <w:bottom w:val="nil"/>
              <w:right w:val="nil"/>
            </w:tcBorders>
          </w:tcPr>
          <w:p w14:paraId="2B18FF1B" w14:textId="74063BA7" w:rsidR="00715FCB" w:rsidRPr="00CD4846" w:rsidRDefault="00715FCB" w:rsidP="00FF1F0E">
            <w:pPr>
              <w:widowControl w:val="0"/>
              <w:autoSpaceDE w:val="0"/>
              <w:autoSpaceDN w:val="0"/>
              <w:adjustRightInd w:val="0"/>
              <w:spacing w:line="240" w:lineRule="auto"/>
              <w:rPr>
                <w:rFonts w:cs="Times New Roman"/>
                <w:kern w:val="2"/>
                <w:sz w:val="20"/>
                <w:szCs w:val="20"/>
                <w:lang/>
              </w:rPr>
            </w:pPr>
          </w:p>
        </w:tc>
        <w:tc>
          <w:tcPr>
            <w:tcW w:w="687" w:type="pct"/>
            <w:tcBorders>
              <w:top w:val="nil"/>
              <w:left w:val="nil"/>
              <w:bottom w:val="nil"/>
              <w:right w:val="nil"/>
            </w:tcBorders>
          </w:tcPr>
          <w:p w14:paraId="78FF869F"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(0.315)</w:t>
            </w:r>
          </w:p>
        </w:tc>
        <w:tc>
          <w:tcPr>
            <w:tcW w:w="687" w:type="pct"/>
            <w:tcBorders>
              <w:top w:val="nil"/>
              <w:left w:val="nil"/>
              <w:bottom w:val="nil"/>
              <w:right w:val="nil"/>
            </w:tcBorders>
          </w:tcPr>
          <w:p w14:paraId="7DDC7D77"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(0.404)</w:t>
            </w:r>
          </w:p>
        </w:tc>
        <w:tc>
          <w:tcPr>
            <w:tcW w:w="687" w:type="pct"/>
            <w:tcBorders>
              <w:top w:val="nil"/>
              <w:left w:val="nil"/>
              <w:bottom w:val="nil"/>
              <w:right w:val="nil"/>
            </w:tcBorders>
          </w:tcPr>
          <w:p w14:paraId="0EC63A3D"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(0.433)</w:t>
            </w:r>
          </w:p>
        </w:tc>
        <w:tc>
          <w:tcPr>
            <w:tcW w:w="687" w:type="pct"/>
            <w:tcBorders>
              <w:top w:val="nil"/>
              <w:left w:val="nil"/>
              <w:bottom w:val="nil"/>
              <w:right w:val="nil"/>
            </w:tcBorders>
          </w:tcPr>
          <w:p w14:paraId="65B50150"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(0.161)</w:t>
            </w:r>
          </w:p>
        </w:tc>
        <w:tc>
          <w:tcPr>
            <w:tcW w:w="829" w:type="pct"/>
            <w:tcBorders>
              <w:top w:val="nil"/>
              <w:left w:val="nil"/>
              <w:bottom w:val="nil"/>
              <w:right w:val="nil"/>
            </w:tcBorders>
          </w:tcPr>
          <w:p w14:paraId="6C003B04"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(0.190)</w:t>
            </w:r>
          </w:p>
        </w:tc>
      </w:tr>
      <w:tr w:rsidR="00715FCB" w:rsidRPr="00CD4846" w14:paraId="131FA7DB" w14:textId="77777777" w:rsidTr="00715FCB">
        <w:tc>
          <w:tcPr>
            <w:tcW w:w="1423" w:type="pct"/>
            <w:tcBorders>
              <w:top w:val="nil"/>
              <w:left w:val="nil"/>
              <w:bottom w:val="nil"/>
              <w:right w:val="nil"/>
            </w:tcBorders>
          </w:tcPr>
          <w:p w14:paraId="70C923EE" w14:textId="2E2B5CEC"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Housing Price Index (100s)</w:t>
            </w:r>
          </w:p>
        </w:tc>
        <w:tc>
          <w:tcPr>
            <w:tcW w:w="687" w:type="pct"/>
            <w:tcBorders>
              <w:top w:val="nil"/>
              <w:left w:val="nil"/>
              <w:bottom w:val="nil"/>
              <w:right w:val="nil"/>
            </w:tcBorders>
          </w:tcPr>
          <w:p w14:paraId="6F745A3E"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0.099***</w:t>
            </w:r>
          </w:p>
        </w:tc>
        <w:tc>
          <w:tcPr>
            <w:tcW w:w="687" w:type="pct"/>
            <w:tcBorders>
              <w:top w:val="nil"/>
              <w:left w:val="nil"/>
              <w:bottom w:val="nil"/>
              <w:right w:val="nil"/>
            </w:tcBorders>
          </w:tcPr>
          <w:p w14:paraId="5DB6F53B"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0.067**</w:t>
            </w:r>
          </w:p>
        </w:tc>
        <w:tc>
          <w:tcPr>
            <w:tcW w:w="687" w:type="pct"/>
            <w:tcBorders>
              <w:top w:val="nil"/>
              <w:left w:val="nil"/>
              <w:bottom w:val="nil"/>
              <w:right w:val="nil"/>
            </w:tcBorders>
          </w:tcPr>
          <w:p w14:paraId="4EEACA40"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-0.053*</w:t>
            </w:r>
          </w:p>
        </w:tc>
        <w:tc>
          <w:tcPr>
            <w:tcW w:w="687" w:type="pct"/>
            <w:tcBorders>
              <w:top w:val="nil"/>
              <w:left w:val="nil"/>
              <w:bottom w:val="nil"/>
              <w:right w:val="nil"/>
            </w:tcBorders>
          </w:tcPr>
          <w:p w14:paraId="205DCFB8"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0.013</w:t>
            </w:r>
          </w:p>
        </w:tc>
        <w:tc>
          <w:tcPr>
            <w:tcW w:w="829" w:type="pct"/>
            <w:tcBorders>
              <w:top w:val="nil"/>
              <w:left w:val="nil"/>
              <w:bottom w:val="nil"/>
              <w:right w:val="nil"/>
            </w:tcBorders>
          </w:tcPr>
          <w:p w14:paraId="49F690D9"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0.032***</w:t>
            </w:r>
          </w:p>
        </w:tc>
      </w:tr>
      <w:tr w:rsidR="00715FCB" w:rsidRPr="00CD4846" w14:paraId="65E0FD75" w14:textId="77777777" w:rsidTr="00715FCB">
        <w:tc>
          <w:tcPr>
            <w:tcW w:w="1423" w:type="pct"/>
            <w:tcBorders>
              <w:top w:val="nil"/>
              <w:left w:val="nil"/>
              <w:bottom w:val="nil"/>
              <w:right w:val="nil"/>
            </w:tcBorders>
          </w:tcPr>
          <w:p w14:paraId="407739ED" w14:textId="509888E6" w:rsidR="00715FCB" w:rsidRPr="00CD4846" w:rsidRDefault="00715FCB" w:rsidP="00FF1F0E">
            <w:pPr>
              <w:widowControl w:val="0"/>
              <w:autoSpaceDE w:val="0"/>
              <w:autoSpaceDN w:val="0"/>
              <w:adjustRightInd w:val="0"/>
              <w:spacing w:line="240" w:lineRule="auto"/>
              <w:rPr>
                <w:rFonts w:cs="Times New Roman"/>
                <w:kern w:val="2"/>
                <w:sz w:val="20"/>
                <w:szCs w:val="20"/>
                <w:lang/>
              </w:rPr>
            </w:pPr>
          </w:p>
        </w:tc>
        <w:tc>
          <w:tcPr>
            <w:tcW w:w="687" w:type="pct"/>
            <w:tcBorders>
              <w:top w:val="nil"/>
              <w:left w:val="nil"/>
              <w:bottom w:val="nil"/>
              <w:right w:val="nil"/>
            </w:tcBorders>
          </w:tcPr>
          <w:p w14:paraId="38F609DF"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(0.030)</w:t>
            </w:r>
          </w:p>
        </w:tc>
        <w:tc>
          <w:tcPr>
            <w:tcW w:w="687" w:type="pct"/>
            <w:tcBorders>
              <w:top w:val="nil"/>
              <w:left w:val="nil"/>
              <w:bottom w:val="nil"/>
              <w:right w:val="nil"/>
            </w:tcBorders>
          </w:tcPr>
          <w:p w14:paraId="51E58282"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(0.033)</w:t>
            </w:r>
          </w:p>
        </w:tc>
        <w:tc>
          <w:tcPr>
            <w:tcW w:w="687" w:type="pct"/>
            <w:tcBorders>
              <w:top w:val="nil"/>
              <w:left w:val="nil"/>
              <w:bottom w:val="nil"/>
              <w:right w:val="nil"/>
            </w:tcBorders>
          </w:tcPr>
          <w:p w14:paraId="6CCC8E8A"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(0.032)</w:t>
            </w:r>
          </w:p>
        </w:tc>
        <w:tc>
          <w:tcPr>
            <w:tcW w:w="687" w:type="pct"/>
            <w:tcBorders>
              <w:top w:val="nil"/>
              <w:left w:val="nil"/>
              <w:bottom w:val="nil"/>
              <w:right w:val="nil"/>
            </w:tcBorders>
          </w:tcPr>
          <w:p w14:paraId="7E8531C0"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(0.013)</w:t>
            </w:r>
          </w:p>
        </w:tc>
        <w:tc>
          <w:tcPr>
            <w:tcW w:w="829" w:type="pct"/>
            <w:tcBorders>
              <w:top w:val="nil"/>
              <w:left w:val="nil"/>
              <w:bottom w:val="nil"/>
              <w:right w:val="nil"/>
            </w:tcBorders>
          </w:tcPr>
          <w:p w14:paraId="56D28910"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(0.012)</w:t>
            </w:r>
          </w:p>
        </w:tc>
      </w:tr>
      <w:tr w:rsidR="00715FCB" w:rsidRPr="00CD4846" w14:paraId="12743F7E" w14:textId="77777777" w:rsidTr="00715FCB">
        <w:tc>
          <w:tcPr>
            <w:tcW w:w="1423" w:type="pct"/>
            <w:tcBorders>
              <w:top w:val="nil"/>
              <w:left w:val="nil"/>
              <w:bottom w:val="nil"/>
              <w:right w:val="nil"/>
            </w:tcBorders>
          </w:tcPr>
          <w:p w14:paraId="036858C2" w14:textId="06C8BE1E"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Poverty rate (100s)</w:t>
            </w:r>
          </w:p>
        </w:tc>
        <w:tc>
          <w:tcPr>
            <w:tcW w:w="687" w:type="pct"/>
            <w:tcBorders>
              <w:top w:val="nil"/>
              <w:left w:val="nil"/>
              <w:bottom w:val="nil"/>
              <w:right w:val="nil"/>
            </w:tcBorders>
          </w:tcPr>
          <w:p w14:paraId="5521C97E"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-0.363</w:t>
            </w:r>
          </w:p>
        </w:tc>
        <w:tc>
          <w:tcPr>
            <w:tcW w:w="687" w:type="pct"/>
            <w:tcBorders>
              <w:top w:val="nil"/>
              <w:left w:val="nil"/>
              <w:bottom w:val="nil"/>
              <w:right w:val="nil"/>
            </w:tcBorders>
          </w:tcPr>
          <w:p w14:paraId="0C3BB766"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-1.211*</w:t>
            </w:r>
          </w:p>
        </w:tc>
        <w:tc>
          <w:tcPr>
            <w:tcW w:w="687" w:type="pct"/>
            <w:tcBorders>
              <w:top w:val="nil"/>
              <w:left w:val="nil"/>
              <w:bottom w:val="nil"/>
              <w:right w:val="nil"/>
            </w:tcBorders>
          </w:tcPr>
          <w:p w14:paraId="69F7889D"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1.004</w:t>
            </w:r>
          </w:p>
        </w:tc>
        <w:tc>
          <w:tcPr>
            <w:tcW w:w="687" w:type="pct"/>
            <w:tcBorders>
              <w:top w:val="nil"/>
              <w:left w:val="nil"/>
              <w:bottom w:val="nil"/>
              <w:right w:val="nil"/>
            </w:tcBorders>
          </w:tcPr>
          <w:p w14:paraId="5840D097"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-0.069</w:t>
            </w:r>
          </w:p>
        </w:tc>
        <w:tc>
          <w:tcPr>
            <w:tcW w:w="829" w:type="pct"/>
            <w:tcBorders>
              <w:top w:val="nil"/>
              <w:left w:val="nil"/>
              <w:bottom w:val="nil"/>
              <w:right w:val="nil"/>
            </w:tcBorders>
          </w:tcPr>
          <w:p w14:paraId="498F1DBA"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-0.444*</w:t>
            </w:r>
          </w:p>
        </w:tc>
      </w:tr>
      <w:tr w:rsidR="00715FCB" w:rsidRPr="00CD4846" w14:paraId="5760FF38" w14:textId="77777777" w:rsidTr="00715FCB">
        <w:tc>
          <w:tcPr>
            <w:tcW w:w="1423" w:type="pct"/>
            <w:tcBorders>
              <w:top w:val="nil"/>
              <w:left w:val="nil"/>
              <w:bottom w:val="nil"/>
              <w:right w:val="nil"/>
            </w:tcBorders>
          </w:tcPr>
          <w:p w14:paraId="10B46CDD" w14:textId="5E324137" w:rsidR="00715FCB" w:rsidRPr="00CD4846" w:rsidRDefault="00715FCB" w:rsidP="00FF1F0E">
            <w:pPr>
              <w:widowControl w:val="0"/>
              <w:autoSpaceDE w:val="0"/>
              <w:autoSpaceDN w:val="0"/>
              <w:adjustRightInd w:val="0"/>
              <w:spacing w:line="240" w:lineRule="auto"/>
              <w:rPr>
                <w:rFonts w:cs="Times New Roman"/>
                <w:kern w:val="2"/>
                <w:sz w:val="20"/>
                <w:szCs w:val="20"/>
                <w:lang/>
              </w:rPr>
            </w:pPr>
          </w:p>
        </w:tc>
        <w:tc>
          <w:tcPr>
            <w:tcW w:w="687" w:type="pct"/>
            <w:tcBorders>
              <w:top w:val="nil"/>
              <w:left w:val="nil"/>
              <w:bottom w:val="nil"/>
              <w:right w:val="nil"/>
            </w:tcBorders>
          </w:tcPr>
          <w:p w14:paraId="74C11494"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(0.512)</w:t>
            </w:r>
          </w:p>
        </w:tc>
        <w:tc>
          <w:tcPr>
            <w:tcW w:w="687" w:type="pct"/>
            <w:tcBorders>
              <w:top w:val="nil"/>
              <w:left w:val="nil"/>
              <w:bottom w:val="nil"/>
              <w:right w:val="nil"/>
            </w:tcBorders>
          </w:tcPr>
          <w:p w14:paraId="2E3F57BF"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(0.662)</w:t>
            </w:r>
          </w:p>
        </w:tc>
        <w:tc>
          <w:tcPr>
            <w:tcW w:w="687" w:type="pct"/>
            <w:tcBorders>
              <w:top w:val="nil"/>
              <w:left w:val="nil"/>
              <w:bottom w:val="nil"/>
              <w:right w:val="nil"/>
            </w:tcBorders>
          </w:tcPr>
          <w:p w14:paraId="4F15F61B"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(0.693)</w:t>
            </w:r>
          </w:p>
        </w:tc>
        <w:tc>
          <w:tcPr>
            <w:tcW w:w="687" w:type="pct"/>
            <w:tcBorders>
              <w:top w:val="nil"/>
              <w:left w:val="nil"/>
              <w:bottom w:val="nil"/>
              <w:right w:val="nil"/>
            </w:tcBorders>
          </w:tcPr>
          <w:p w14:paraId="188F3ABC"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(0.293)</w:t>
            </w:r>
          </w:p>
        </w:tc>
        <w:tc>
          <w:tcPr>
            <w:tcW w:w="829" w:type="pct"/>
            <w:tcBorders>
              <w:top w:val="nil"/>
              <w:left w:val="nil"/>
              <w:bottom w:val="nil"/>
              <w:right w:val="nil"/>
            </w:tcBorders>
          </w:tcPr>
          <w:p w14:paraId="49CCF85E"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(0.253)</w:t>
            </w:r>
          </w:p>
        </w:tc>
      </w:tr>
      <w:tr w:rsidR="00715FCB" w:rsidRPr="00CD4846" w14:paraId="2BB2E029" w14:textId="77777777" w:rsidTr="00715FCB">
        <w:tc>
          <w:tcPr>
            <w:tcW w:w="1423" w:type="pct"/>
            <w:tcBorders>
              <w:top w:val="nil"/>
              <w:left w:val="nil"/>
              <w:bottom w:val="nil"/>
              <w:right w:val="nil"/>
            </w:tcBorders>
          </w:tcPr>
          <w:p w14:paraId="3F2BF5B7" w14:textId="48FCBD49"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Avg annual wages (100k)</w:t>
            </w:r>
          </w:p>
        </w:tc>
        <w:tc>
          <w:tcPr>
            <w:tcW w:w="687" w:type="pct"/>
            <w:tcBorders>
              <w:top w:val="nil"/>
              <w:left w:val="nil"/>
              <w:bottom w:val="nil"/>
              <w:right w:val="nil"/>
            </w:tcBorders>
          </w:tcPr>
          <w:p w14:paraId="147E3650"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0.022*</w:t>
            </w:r>
          </w:p>
        </w:tc>
        <w:tc>
          <w:tcPr>
            <w:tcW w:w="687" w:type="pct"/>
            <w:tcBorders>
              <w:top w:val="nil"/>
              <w:left w:val="nil"/>
              <w:bottom w:val="nil"/>
              <w:right w:val="nil"/>
            </w:tcBorders>
          </w:tcPr>
          <w:p w14:paraId="48F663D1"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0.005</w:t>
            </w:r>
          </w:p>
        </w:tc>
        <w:tc>
          <w:tcPr>
            <w:tcW w:w="687" w:type="pct"/>
            <w:tcBorders>
              <w:top w:val="nil"/>
              <w:left w:val="nil"/>
              <w:bottom w:val="nil"/>
              <w:right w:val="nil"/>
            </w:tcBorders>
          </w:tcPr>
          <w:p w14:paraId="2F603114"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-0.009</w:t>
            </w:r>
          </w:p>
        </w:tc>
        <w:tc>
          <w:tcPr>
            <w:tcW w:w="687" w:type="pct"/>
            <w:tcBorders>
              <w:top w:val="nil"/>
              <w:left w:val="nil"/>
              <w:bottom w:val="nil"/>
              <w:right w:val="nil"/>
            </w:tcBorders>
          </w:tcPr>
          <w:p w14:paraId="1847922D"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0.003</w:t>
            </w:r>
          </w:p>
        </w:tc>
        <w:tc>
          <w:tcPr>
            <w:tcW w:w="829" w:type="pct"/>
            <w:tcBorders>
              <w:top w:val="nil"/>
              <w:left w:val="nil"/>
              <w:bottom w:val="nil"/>
              <w:right w:val="nil"/>
            </w:tcBorders>
          </w:tcPr>
          <w:p w14:paraId="0CBF8DE2"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-0.012</w:t>
            </w:r>
          </w:p>
        </w:tc>
      </w:tr>
      <w:tr w:rsidR="00715FCB" w:rsidRPr="00CD4846" w14:paraId="7A076B4A" w14:textId="77777777" w:rsidTr="00715FCB">
        <w:tc>
          <w:tcPr>
            <w:tcW w:w="1423" w:type="pct"/>
            <w:tcBorders>
              <w:top w:val="nil"/>
              <w:left w:val="nil"/>
              <w:bottom w:val="nil"/>
              <w:right w:val="nil"/>
            </w:tcBorders>
          </w:tcPr>
          <w:p w14:paraId="084E3C32" w14:textId="22F67F59" w:rsidR="00715FCB" w:rsidRPr="00CD4846" w:rsidRDefault="00715FCB" w:rsidP="00FF1F0E">
            <w:pPr>
              <w:widowControl w:val="0"/>
              <w:autoSpaceDE w:val="0"/>
              <w:autoSpaceDN w:val="0"/>
              <w:adjustRightInd w:val="0"/>
              <w:spacing w:line="240" w:lineRule="auto"/>
              <w:rPr>
                <w:rFonts w:cs="Times New Roman"/>
                <w:kern w:val="2"/>
                <w:sz w:val="20"/>
                <w:szCs w:val="20"/>
                <w:lang/>
              </w:rPr>
            </w:pPr>
          </w:p>
        </w:tc>
        <w:tc>
          <w:tcPr>
            <w:tcW w:w="687" w:type="pct"/>
            <w:tcBorders>
              <w:top w:val="nil"/>
              <w:left w:val="nil"/>
              <w:bottom w:val="nil"/>
              <w:right w:val="nil"/>
            </w:tcBorders>
          </w:tcPr>
          <w:p w14:paraId="3C67FF97"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(0.013)</w:t>
            </w:r>
          </w:p>
        </w:tc>
        <w:tc>
          <w:tcPr>
            <w:tcW w:w="687" w:type="pct"/>
            <w:tcBorders>
              <w:top w:val="nil"/>
              <w:left w:val="nil"/>
              <w:bottom w:val="nil"/>
              <w:right w:val="nil"/>
            </w:tcBorders>
          </w:tcPr>
          <w:p w14:paraId="7CC50AE2"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(0.006)</w:t>
            </w:r>
          </w:p>
        </w:tc>
        <w:tc>
          <w:tcPr>
            <w:tcW w:w="687" w:type="pct"/>
            <w:tcBorders>
              <w:top w:val="nil"/>
              <w:left w:val="nil"/>
              <w:bottom w:val="nil"/>
              <w:right w:val="nil"/>
            </w:tcBorders>
          </w:tcPr>
          <w:p w14:paraId="2E3F87CC"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(0.012)</w:t>
            </w:r>
          </w:p>
        </w:tc>
        <w:tc>
          <w:tcPr>
            <w:tcW w:w="687" w:type="pct"/>
            <w:tcBorders>
              <w:top w:val="nil"/>
              <w:left w:val="nil"/>
              <w:bottom w:val="nil"/>
              <w:right w:val="nil"/>
            </w:tcBorders>
          </w:tcPr>
          <w:p w14:paraId="56497526"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(0.010)</w:t>
            </w:r>
          </w:p>
        </w:tc>
        <w:tc>
          <w:tcPr>
            <w:tcW w:w="829" w:type="pct"/>
            <w:tcBorders>
              <w:top w:val="nil"/>
              <w:left w:val="nil"/>
              <w:bottom w:val="nil"/>
              <w:right w:val="nil"/>
            </w:tcBorders>
          </w:tcPr>
          <w:p w14:paraId="5B201D0D"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(0.008)</w:t>
            </w:r>
          </w:p>
        </w:tc>
      </w:tr>
      <w:tr w:rsidR="00715FCB" w:rsidRPr="00CD4846" w14:paraId="6DF9EFCE" w14:textId="77777777" w:rsidTr="00715FCB">
        <w:tc>
          <w:tcPr>
            <w:tcW w:w="1423" w:type="pct"/>
            <w:tcBorders>
              <w:top w:val="nil"/>
              <w:left w:val="nil"/>
              <w:bottom w:val="nil"/>
              <w:right w:val="nil"/>
            </w:tcBorders>
          </w:tcPr>
          <w:p w14:paraId="09ABE17C" w14:textId="65804D66"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Attain. Status - CO (t-1)</w:t>
            </w:r>
          </w:p>
        </w:tc>
        <w:tc>
          <w:tcPr>
            <w:tcW w:w="687" w:type="pct"/>
            <w:tcBorders>
              <w:top w:val="nil"/>
              <w:left w:val="nil"/>
              <w:bottom w:val="nil"/>
              <w:right w:val="nil"/>
            </w:tcBorders>
          </w:tcPr>
          <w:p w14:paraId="21F5FF3B"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0.089</w:t>
            </w:r>
          </w:p>
        </w:tc>
        <w:tc>
          <w:tcPr>
            <w:tcW w:w="687" w:type="pct"/>
            <w:tcBorders>
              <w:top w:val="nil"/>
              <w:left w:val="nil"/>
              <w:bottom w:val="nil"/>
              <w:right w:val="nil"/>
            </w:tcBorders>
          </w:tcPr>
          <w:p w14:paraId="754D4236"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0.602</w:t>
            </w:r>
          </w:p>
        </w:tc>
        <w:tc>
          <w:tcPr>
            <w:tcW w:w="687" w:type="pct"/>
            <w:tcBorders>
              <w:top w:val="nil"/>
              <w:left w:val="nil"/>
              <w:bottom w:val="nil"/>
              <w:right w:val="nil"/>
            </w:tcBorders>
          </w:tcPr>
          <w:p w14:paraId="2FF21245"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1.648***</w:t>
            </w:r>
          </w:p>
        </w:tc>
        <w:tc>
          <w:tcPr>
            <w:tcW w:w="687" w:type="pct"/>
            <w:tcBorders>
              <w:top w:val="nil"/>
              <w:left w:val="nil"/>
              <w:bottom w:val="nil"/>
              <w:right w:val="nil"/>
            </w:tcBorders>
          </w:tcPr>
          <w:p w14:paraId="74B3B642"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0.632**</w:t>
            </w:r>
          </w:p>
        </w:tc>
        <w:tc>
          <w:tcPr>
            <w:tcW w:w="829" w:type="pct"/>
            <w:tcBorders>
              <w:top w:val="nil"/>
              <w:left w:val="nil"/>
              <w:bottom w:val="nil"/>
              <w:right w:val="nil"/>
            </w:tcBorders>
          </w:tcPr>
          <w:p w14:paraId="2D63EFF9"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-0.007</w:t>
            </w:r>
          </w:p>
        </w:tc>
      </w:tr>
      <w:tr w:rsidR="00715FCB" w:rsidRPr="00CD4846" w14:paraId="2063584C" w14:textId="77777777" w:rsidTr="00715FCB">
        <w:tc>
          <w:tcPr>
            <w:tcW w:w="1423" w:type="pct"/>
            <w:tcBorders>
              <w:top w:val="nil"/>
              <w:left w:val="nil"/>
              <w:bottom w:val="nil"/>
              <w:right w:val="nil"/>
            </w:tcBorders>
          </w:tcPr>
          <w:p w14:paraId="2871B590" w14:textId="06263A9E" w:rsidR="00715FCB" w:rsidRPr="00CD4846" w:rsidRDefault="00715FCB" w:rsidP="00FF1F0E">
            <w:pPr>
              <w:widowControl w:val="0"/>
              <w:autoSpaceDE w:val="0"/>
              <w:autoSpaceDN w:val="0"/>
              <w:adjustRightInd w:val="0"/>
              <w:spacing w:line="240" w:lineRule="auto"/>
              <w:rPr>
                <w:rFonts w:cs="Times New Roman"/>
                <w:kern w:val="2"/>
                <w:sz w:val="20"/>
                <w:szCs w:val="20"/>
                <w:lang/>
              </w:rPr>
            </w:pPr>
          </w:p>
        </w:tc>
        <w:tc>
          <w:tcPr>
            <w:tcW w:w="687" w:type="pct"/>
            <w:tcBorders>
              <w:top w:val="nil"/>
              <w:left w:val="nil"/>
              <w:bottom w:val="nil"/>
              <w:right w:val="nil"/>
            </w:tcBorders>
          </w:tcPr>
          <w:p w14:paraId="2D4F1561"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(0.323)</w:t>
            </w:r>
          </w:p>
        </w:tc>
        <w:tc>
          <w:tcPr>
            <w:tcW w:w="687" w:type="pct"/>
            <w:tcBorders>
              <w:top w:val="nil"/>
              <w:left w:val="nil"/>
              <w:bottom w:val="nil"/>
              <w:right w:val="nil"/>
            </w:tcBorders>
          </w:tcPr>
          <w:p w14:paraId="4DF3E954"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(0.756)</w:t>
            </w:r>
          </w:p>
        </w:tc>
        <w:tc>
          <w:tcPr>
            <w:tcW w:w="687" w:type="pct"/>
            <w:tcBorders>
              <w:top w:val="nil"/>
              <w:left w:val="nil"/>
              <w:bottom w:val="nil"/>
              <w:right w:val="nil"/>
            </w:tcBorders>
          </w:tcPr>
          <w:p w14:paraId="214B131C"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(0.635)</w:t>
            </w:r>
          </w:p>
        </w:tc>
        <w:tc>
          <w:tcPr>
            <w:tcW w:w="687" w:type="pct"/>
            <w:tcBorders>
              <w:top w:val="nil"/>
              <w:left w:val="nil"/>
              <w:bottom w:val="nil"/>
              <w:right w:val="nil"/>
            </w:tcBorders>
          </w:tcPr>
          <w:p w14:paraId="5828D99C"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(0.288)</w:t>
            </w:r>
          </w:p>
        </w:tc>
        <w:tc>
          <w:tcPr>
            <w:tcW w:w="829" w:type="pct"/>
            <w:tcBorders>
              <w:top w:val="nil"/>
              <w:left w:val="nil"/>
              <w:bottom w:val="nil"/>
              <w:right w:val="nil"/>
            </w:tcBorders>
          </w:tcPr>
          <w:p w14:paraId="3231179B"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(0.196)</w:t>
            </w:r>
          </w:p>
        </w:tc>
      </w:tr>
      <w:tr w:rsidR="00715FCB" w:rsidRPr="00CD4846" w14:paraId="7004502D" w14:textId="77777777" w:rsidTr="00715FCB">
        <w:tc>
          <w:tcPr>
            <w:tcW w:w="1423" w:type="pct"/>
            <w:tcBorders>
              <w:top w:val="nil"/>
              <w:left w:val="nil"/>
              <w:bottom w:val="nil"/>
              <w:right w:val="nil"/>
            </w:tcBorders>
          </w:tcPr>
          <w:p w14:paraId="1E3F1DEC" w14:textId="03A37CD8"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Attain. Status - Pb (t-1)</w:t>
            </w:r>
          </w:p>
        </w:tc>
        <w:tc>
          <w:tcPr>
            <w:tcW w:w="687" w:type="pct"/>
            <w:tcBorders>
              <w:top w:val="nil"/>
              <w:left w:val="nil"/>
              <w:bottom w:val="nil"/>
              <w:right w:val="nil"/>
            </w:tcBorders>
          </w:tcPr>
          <w:p w14:paraId="766BB70E"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-0.048</w:t>
            </w:r>
          </w:p>
        </w:tc>
        <w:tc>
          <w:tcPr>
            <w:tcW w:w="687" w:type="pct"/>
            <w:tcBorders>
              <w:top w:val="nil"/>
              <w:left w:val="nil"/>
              <w:bottom w:val="nil"/>
              <w:right w:val="nil"/>
            </w:tcBorders>
          </w:tcPr>
          <w:p w14:paraId="1D5A8980"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-0.032</w:t>
            </w:r>
          </w:p>
        </w:tc>
        <w:tc>
          <w:tcPr>
            <w:tcW w:w="687" w:type="pct"/>
            <w:tcBorders>
              <w:top w:val="nil"/>
              <w:left w:val="nil"/>
              <w:bottom w:val="nil"/>
              <w:right w:val="nil"/>
            </w:tcBorders>
          </w:tcPr>
          <w:p w14:paraId="3559BF41"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-0.187</w:t>
            </w:r>
          </w:p>
        </w:tc>
        <w:tc>
          <w:tcPr>
            <w:tcW w:w="687" w:type="pct"/>
            <w:tcBorders>
              <w:top w:val="nil"/>
              <w:left w:val="nil"/>
              <w:bottom w:val="nil"/>
              <w:right w:val="nil"/>
            </w:tcBorders>
          </w:tcPr>
          <w:p w14:paraId="4F0AEC97"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0.066</w:t>
            </w:r>
          </w:p>
        </w:tc>
        <w:tc>
          <w:tcPr>
            <w:tcW w:w="829" w:type="pct"/>
            <w:tcBorders>
              <w:top w:val="nil"/>
              <w:left w:val="nil"/>
              <w:bottom w:val="nil"/>
              <w:right w:val="nil"/>
            </w:tcBorders>
          </w:tcPr>
          <w:p w14:paraId="71233DBC"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-0.083</w:t>
            </w:r>
          </w:p>
        </w:tc>
      </w:tr>
      <w:tr w:rsidR="00715FCB" w:rsidRPr="00CD4846" w14:paraId="7AE8A96B" w14:textId="77777777" w:rsidTr="00715FCB">
        <w:tc>
          <w:tcPr>
            <w:tcW w:w="1423" w:type="pct"/>
            <w:tcBorders>
              <w:top w:val="nil"/>
              <w:left w:val="nil"/>
              <w:bottom w:val="nil"/>
              <w:right w:val="nil"/>
            </w:tcBorders>
          </w:tcPr>
          <w:p w14:paraId="7084CA5A" w14:textId="31F91BD9" w:rsidR="00715FCB" w:rsidRPr="00CD4846" w:rsidRDefault="00715FCB" w:rsidP="00FF1F0E">
            <w:pPr>
              <w:widowControl w:val="0"/>
              <w:autoSpaceDE w:val="0"/>
              <w:autoSpaceDN w:val="0"/>
              <w:adjustRightInd w:val="0"/>
              <w:spacing w:line="240" w:lineRule="auto"/>
              <w:rPr>
                <w:rFonts w:cs="Times New Roman"/>
                <w:kern w:val="2"/>
                <w:sz w:val="20"/>
                <w:szCs w:val="20"/>
                <w:lang/>
              </w:rPr>
            </w:pPr>
          </w:p>
        </w:tc>
        <w:tc>
          <w:tcPr>
            <w:tcW w:w="687" w:type="pct"/>
            <w:tcBorders>
              <w:top w:val="nil"/>
              <w:left w:val="nil"/>
              <w:bottom w:val="nil"/>
              <w:right w:val="nil"/>
            </w:tcBorders>
          </w:tcPr>
          <w:p w14:paraId="3153D037"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(0.120)</w:t>
            </w:r>
          </w:p>
        </w:tc>
        <w:tc>
          <w:tcPr>
            <w:tcW w:w="687" w:type="pct"/>
            <w:tcBorders>
              <w:top w:val="nil"/>
              <w:left w:val="nil"/>
              <w:bottom w:val="nil"/>
              <w:right w:val="nil"/>
            </w:tcBorders>
          </w:tcPr>
          <w:p w14:paraId="776788A5"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(0.124)</w:t>
            </w:r>
          </w:p>
        </w:tc>
        <w:tc>
          <w:tcPr>
            <w:tcW w:w="687" w:type="pct"/>
            <w:tcBorders>
              <w:top w:val="nil"/>
              <w:left w:val="nil"/>
              <w:bottom w:val="nil"/>
              <w:right w:val="nil"/>
            </w:tcBorders>
          </w:tcPr>
          <w:p w14:paraId="59F22AC2"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(0.149)</w:t>
            </w:r>
          </w:p>
        </w:tc>
        <w:tc>
          <w:tcPr>
            <w:tcW w:w="687" w:type="pct"/>
            <w:tcBorders>
              <w:top w:val="nil"/>
              <w:left w:val="nil"/>
              <w:bottom w:val="nil"/>
              <w:right w:val="nil"/>
            </w:tcBorders>
          </w:tcPr>
          <w:p w14:paraId="3A5F4864"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(0.062)</w:t>
            </w:r>
          </w:p>
        </w:tc>
        <w:tc>
          <w:tcPr>
            <w:tcW w:w="829" w:type="pct"/>
            <w:tcBorders>
              <w:top w:val="nil"/>
              <w:left w:val="nil"/>
              <w:bottom w:val="nil"/>
              <w:right w:val="nil"/>
            </w:tcBorders>
          </w:tcPr>
          <w:p w14:paraId="7468FE17"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(0.052)</w:t>
            </w:r>
          </w:p>
        </w:tc>
      </w:tr>
      <w:tr w:rsidR="00715FCB" w:rsidRPr="00CD4846" w14:paraId="779802BA" w14:textId="77777777" w:rsidTr="00715FCB">
        <w:tc>
          <w:tcPr>
            <w:tcW w:w="1423" w:type="pct"/>
            <w:tcBorders>
              <w:top w:val="nil"/>
              <w:left w:val="nil"/>
              <w:bottom w:val="nil"/>
              <w:right w:val="nil"/>
            </w:tcBorders>
          </w:tcPr>
          <w:p w14:paraId="4AB871D2" w14:textId="3CAE2235"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Attain. Status - O3 (t-1)</w:t>
            </w:r>
          </w:p>
        </w:tc>
        <w:tc>
          <w:tcPr>
            <w:tcW w:w="687" w:type="pct"/>
            <w:tcBorders>
              <w:top w:val="nil"/>
              <w:left w:val="nil"/>
              <w:bottom w:val="nil"/>
              <w:right w:val="nil"/>
            </w:tcBorders>
          </w:tcPr>
          <w:p w14:paraId="20F35A2F"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0.125***</w:t>
            </w:r>
          </w:p>
        </w:tc>
        <w:tc>
          <w:tcPr>
            <w:tcW w:w="687" w:type="pct"/>
            <w:tcBorders>
              <w:top w:val="nil"/>
              <w:left w:val="nil"/>
              <w:bottom w:val="nil"/>
              <w:right w:val="nil"/>
            </w:tcBorders>
          </w:tcPr>
          <w:p w14:paraId="32D78F32"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0.147***</w:t>
            </w:r>
          </w:p>
        </w:tc>
        <w:tc>
          <w:tcPr>
            <w:tcW w:w="687" w:type="pct"/>
            <w:tcBorders>
              <w:top w:val="nil"/>
              <w:left w:val="nil"/>
              <w:bottom w:val="nil"/>
              <w:right w:val="nil"/>
            </w:tcBorders>
          </w:tcPr>
          <w:p w14:paraId="129D4E01"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0.131***</w:t>
            </w:r>
          </w:p>
        </w:tc>
        <w:tc>
          <w:tcPr>
            <w:tcW w:w="687" w:type="pct"/>
            <w:tcBorders>
              <w:top w:val="nil"/>
              <w:left w:val="nil"/>
              <w:bottom w:val="nil"/>
              <w:right w:val="nil"/>
            </w:tcBorders>
          </w:tcPr>
          <w:p w14:paraId="37C631DD"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0.111***</w:t>
            </w:r>
          </w:p>
        </w:tc>
        <w:tc>
          <w:tcPr>
            <w:tcW w:w="829" w:type="pct"/>
            <w:tcBorders>
              <w:top w:val="nil"/>
              <w:left w:val="nil"/>
              <w:bottom w:val="nil"/>
              <w:right w:val="nil"/>
            </w:tcBorders>
          </w:tcPr>
          <w:p w14:paraId="4973B949"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0.097***</w:t>
            </w:r>
          </w:p>
        </w:tc>
      </w:tr>
      <w:tr w:rsidR="00715FCB" w:rsidRPr="00CD4846" w14:paraId="755D2C65" w14:textId="77777777" w:rsidTr="00715FCB">
        <w:tc>
          <w:tcPr>
            <w:tcW w:w="1423" w:type="pct"/>
            <w:tcBorders>
              <w:top w:val="nil"/>
              <w:left w:val="nil"/>
              <w:bottom w:val="nil"/>
              <w:right w:val="nil"/>
            </w:tcBorders>
          </w:tcPr>
          <w:p w14:paraId="1DAD9847" w14:textId="7F6324F1" w:rsidR="00715FCB" w:rsidRPr="00CD4846" w:rsidRDefault="00715FCB" w:rsidP="00FF1F0E">
            <w:pPr>
              <w:widowControl w:val="0"/>
              <w:autoSpaceDE w:val="0"/>
              <w:autoSpaceDN w:val="0"/>
              <w:adjustRightInd w:val="0"/>
              <w:spacing w:line="240" w:lineRule="auto"/>
              <w:rPr>
                <w:rFonts w:cs="Times New Roman"/>
                <w:kern w:val="2"/>
                <w:sz w:val="20"/>
                <w:szCs w:val="20"/>
                <w:lang/>
              </w:rPr>
            </w:pPr>
          </w:p>
        </w:tc>
        <w:tc>
          <w:tcPr>
            <w:tcW w:w="687" w:type="pct"/>
            <w:tcBorders>
              <w:top w:val="nil"/>
              <w:left w:val="nil"/>
              <w:bottom w:val="nil"/>
              <w:right w:val="nil"/>
            </w:tcBorders>
          </w:tcPr>
          <w:p w14:paraId="27B79544"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(0.037)</w:t>
            </w:r>
          </w:p>
        </w:tc>
        <w:tc>
          <w:tcPr>
            <w:tcW w:w="687" w:type="pct"/>
            <w:tcBorders>
              <w:top w:val="nil"/>
              <w:left w:val="nil"/>
              <w:bottom w:val="nil"/>
              <w:right w:val="nil"/>
            </w:tcBorders>
          </w:tcPr>
          <w:p w14:paraId="48E61164"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(0.037)</w:t>
            </w:r>
          </w:p>
        </w:tc>
        <w:tc>
          <w:tcPr>
            <w:tcW w:w="687" w:type="pct"/>
            <w:tcBorders>
              <w:top w:val="nil"/>
              <w:left w:val="nil"/>
              <w:bottom w:val="nil"/>
              <w:right w:val="nil"/>
            </w:tcBorders>
          </w:tcPr>
          <w:p w14:paraId="3D36124E"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(0.046)</w:t>
            </w:r>
          </w:p>
        </w:tc>
        <w:tc>
          <w:tcPr>
            <w:tcW w:w="687" w:type="pct"/>
            <w:tcBorders>
              <w:top w:val="nil"/>
              <w:left w:val="nil"/>
              <w:bottom w:val="nil"/>
              <w:right w:val="nil"/>
            </w:tcBorders>
          </w:tcPr>
          <w:p w14:paraId="5E69002B"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(0.029)</w:t>
            </w:r>
          </w:p>
        </w:tc>
        <w:tc>
          <w:tcPr>
            <w:tcW w:w="829" w:type="pct"/>
            <w:tcBorders>
              <w:top w:val="nil"/>
              <w:left w:val="nil"/>
              <w:bottom w:val="nil"/>
              <w:right w:val="nil"/>
            </w:tcBorders>
          </w:tcPr>
          <w:p w14:paraId="7D38568C"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(0.024)</w:t>
            </w:r>
          </w:p>
        </w:tc>
      </w:tr>
      <w:tr w:rsidR="00715FCB" w:rsidRPr="00CD4846" w14:paraId="76AED0D1" w14:textId="77777777" w:rsidTr="00715FCB">
        <w:tc>
          <w:tcPr>
            <w:tcW w:w="1423" w:type="pct"/>
            <w:tcBorders>
              <w:top w:val="nil"/>
              <w:left w:val="nil"/>
              <w:bottom w:val="nil"/>
              <w:right w:val="nil"/>
            </w:tcBorders>
          </w:tcPr>
          <w:p w14:paraId="127D227E" w14:textId="198D1BA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Attain. Status - PM (t-1)</w:t>
            </w:r>
          </w:p>
        </w:tc>
        <w:tc>
          <w:tcPr>
            <w:tcW w:w="687" w:type="pct"/>
            <w:tcBorders>
              <w:top w:val="nil"/>
              <w:left w:val="nil"/>
              <w:bottom w:val="nil"/>
              <w:right w:val="nil"/>
            </w:tcBorders>
          </w:tcPr>
          <w:p w14:paraId="65A102BB"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-0.033</w:t>
            </w:r>
          </w:p>
        </w:tc>
        <w:tc>
          <w:tcPr>
            <w:tcW w:w="687" w:type="pct"/>
            <w:tcBorders>
              <w:top w:val="nil"/>
              <w:left w:val="nil"/>
              <w:bottom w:val="nil"/>
              <w:right w:val="nil"/>
            </w:tcBorders>
          </w:tcPr>
          <w:p w14:paraId="6CF29A4B"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-0.045</w:t>
            </w:r>
          </w:p>
        </w:tc>
        <w:tc>
          <w:tcPr>
            <w:tcW w:w="687" w:type="pct"/>
            <w:tcBorders>
              <w:top w:val="nil"/>
              <w:left w:val="nil"/>
              <w:bottom w:val="nil"/>
              <w:right w:val="nil"/>
            </w:tcBorders>
          </w:tcPr>
          <w:p w14:paraId="321631B3"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0.126***</w:t>
            </w:r>
          </w:p>
        </w:tc>
        <w:tc>
          <w:tcPr>
            <w:tcW w:w="687" w:type="pct"/>
            <w:tcBorders>
              <w:top w:val="nil"/>
              <w:left w:val="nil"/>
              <w:bottom w:val="nil"/>
              <w:right w:val="nil"/>
            </w:tcBorders>
          </w:tcPr>
          <w:p w14:paraId="187D5CA6"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-0.035***</w:t>
            </w:r>
          </w:p>
        </w:tc>
        <w:tc>
          <w:tcPr>
            <w:tcW w:w="829" w:type="pct"/>
            <w:tcBorders>
              <w:top w:val="nil"/>
              <w:left w:val="nil"/>
              <w:bottom w:val="nil"/>
              <w:right w:val="nil"/>
            </w:tcBorders>
          </w:tcPr>
          <w:p w14:paraId="1C57FDC3"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-0.011</w:t>
            </w:r>
          </w:p>
        </w:tc>
      </w:tr>
      <w:tr w:rsidR="00715FCB" w:rsidRPr="00CD4846" w14:paraId="2B544AE2" w14:textId="77777777" w:rsidTr="00715FCB">
        <w:tc>
          <w:tcPr>
            <w:tcW w:w="1423" w:type="pct"/>
            <w:tcBorders>
              <w:top w:val="nil"/>
              <w:left w:val="nil"/>
              <w:bottom w:val="nil"/>
              <w:right w:val="nil"/>
            </w:tcBorders>
          </w:tcPr>
          <w:p w14:paraId="2B8DDDDC" w14:textId="556A90EF" w:rsidR="00715FCB" w:rsidRPr="00CD4846" w:rsidRDefault="00715FCB" w:rsidP="00FF1F0E">
            <w:pPr>
              <w:widowControl w:val="0"/>
              <w:autoSpaceDE w:val="0"/>
              <w:autoSpaceDN w:val="0"/>
              <w:adjustRightInd w:val="0"/>
              <w:spacing w:line="240" w:lineRule="auto"/>
              <w:rPr>
                <w:rFonts w:cs="Times New Roman"/>
                <w:kern w:val="2"/>
                <w:sz w:val="20"/>
                <w:szCs w:val="20"/>
                <w:lang/>
              </w:rPr>
            </w:pPr>
          </w:p>
        </w:tc>
        <w:tc>
          <w:tcPr>
            <w:tcW w:w="687" w:type="pct"/>
            <w:tcBorders>
              <w:top w:val="nil"/>
              <w:left w:val="nil"/>
              <w:bottom w:val="nil"/>
              <w:right w:val="nil"/>
            </w:tcBorders>
          </w:tcPr>
          <w:p w14:paraId="7C85052E"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(0.023)</w:t>
            </w:r>
          </w:p>
        </w:tc>
        <w:tc>
          <w:tcPr>
            <w:tcW w:w="687" w:type="pct"/>
            <w:tcBorders>
              <w:top w:val="nil"/>
              <w:left w:val="nil"/>
              <w:bottom w:val="nil"/>
              <w:right w:val="nil"/>
            </w:tcBorders>
          </w:tcPr>
          <w:p w14:paraId="1624A1C3"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(0.031)</w:t>
            </w:r>
          </w:p>
        </w:tc>
        <w:tc>
          <w:tcPr>
            <w:tcW w:w="687" w:type="pct"/>
            <w:tcBorders>
              <w:top w:val="nil"/>
              <w:left w:val="nil"/>
              <w:bottom w:val="nil"/>
              <w:right w:val="nil"/>
            </w:tcBorders>
          </w:tcPr>
          <w:p w14:paraId="165E669F"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(0.033)</w:t>
            </w:r>
          </w:p>
        </w:tc>
        <w:tc>
          <w:tcPr>
            <w:tcW w:w="687" w:type="pct"/>
            <w:tcBorders>
              <w:top w:val="nil"/>
              <w:left w:val="nil"/>
              <w:bottom w:val="nil"/>
              <w:right w:val="nil"/>
            </w:tcBorders>
          </w:tcPr>
          <w:p w14:paraId="3E939EC1"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(0.013)</w:t>
            </w:r>
          </w:p>
        </w:tc>
        <w:tc>
          <w:tcPr>
            <w:tcW w:w="829" w:type="pct"/>
            <w:tcBorders>
              <w:top w:val="nil"/>
              <w:left w:val="nil"/>
              <w:bottom w:val="nil"/>
              <w:right w:val="nil"/>
            </w:tcBorders>
          </w:tcPr>
          <w:p w14:paraId="403E2668"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(0.016)</w:t>
            </w:r>
          </w:p>
        </w:tc>
      </w:tr>
      <w:tr w:rsidR="00715FCB" w:rsidRPr="00CD4846" w14:paraId="1333DBD7" w14:textId="77777777" w:rsidTr="00715FCB">
        <w:tc>
          <w:tcPr>
            <w:tcW w:w="1423" w:type="pct"/>
            <w:tcBorders>
              <w:top w:val="nil"/>
              <w:left w:val="nil"/>
              <w:bottom w:val="nil"/>
              <w:right w:val="nil"/>
            </w:tcBorders>
          </w:tcPr>
          <w:p w14:paraId="5BC9978B"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Attain. Status - SO2 (t-1)</w:t>
            </w:r>
          </w:p>
        </w:tc>
        <w:tc>
          <w:tcPr>
            <w:tcW w:w="687" w:type="pct"/>
            <w:tcBorders>
              <w:top w:val="nil"/>
              <w:left w:val="nil"/>
              <w:bottom w:val="nil"/>
              <w:right w:val="nil"/>
            </w:tcBorders>
          </w:tcPr>
          <w:p w14:paraId="5FC7885C"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0.026</w:t>
            </w:r>
          </w:p>
        </w:tc>
        <w:tc>
          <w:tcPr>
            <w:tcW w:w="687" w:type="pct"/>
            <w:tcBorders>
              <w:top w:val="nil"/>
              <w:left w:val="nil"/>
              <w:bottom w:val="nil"/>
              <w:right w:val="nil"/>
            </w:tcBorders>
          </w:tcPr>
          <w:p w14:paraId="04C71B99"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-0.131</w:t>
            </w:r>
          </w:p>
        </w:tc>
        <w:tc>
          <w:tcPr>
            <w:tcW w:w="687" w:type="pct"/>
            <w:tcBorders>
              <w:top w:val="nil"/>
              <w:left w:val="nil"/>
              <w:bottom w:val="nil"/>
              <w:right w:val="nil"/>
            </w:tcBorders>
          </w:tcPr>
          <w:p w14:paraId="657A7ED1"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0.091</w:t>
            </w:r>
          </w:p>
        </w:tc>
        <w:tc>
          <w:tcPr>
            <w:tcW w:w="687" w:type="pct"/>
            <w:tcBorders>
              <w:top w:val="nil"/>
              <w:left w:val="nil"/>
              <w:bottom w:val="nil"/>
              <w:right w:val="nil"/>
            </w:tcBorders>
          </w:tcPr>
          <w:p w14:paraId="276007A5"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0.048</w:t>
            </w:r>
          </w:p>
        </w:tc>
        <w:tc>
          <w:tcPr>
            <w:tcW w:w="829" w:type="pct"/>
            <w:tcBorders>
              <w:top w:val="nil"/>
              <w:left w:val="nil"/>
              <w:bottom w:val="nil"/>
              <w:right w:val="nil"/>
            </w:tcBorders>
          </w:tcPr>
          <w:p w14:paraId="2A12181D"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-0.010</w:t>
            </w:r>
          </w:p>
        </w:tc>
      </w:tr>
      <w:tr w:rsidR="00715FCB" w:rsidRPr="00CD4846" w14:paraId="0EEB6618" w14:textId="77777777" w:rsidTr="00715FCB">
        <w:tc>
          <w:tcPr>
            <w:tcW w:w="1423" w:type="pct"/>
            <w:tcBorders>
              <w:top w:val="nil"/>
              <w:left w:val="nil"/>
              <w:bottom w:val="nil"/>
              <w:right w:val="nil"/>
            </w:tcBorders>
          </w:tcPr>
          <w:p w14:paraId="47858FA3" w14:textId="744714A9" w:rsidR="00715FCB" w:rsidRPr="00CD4846" w:rsidRDefault="00715FCB" w:rsidP="00FF1F0E">
            <w:pPr>
              <w:widowControl w:val="0"/>
              <w:autoSpaceDE w:val="0"/>
              <w:autoSpaceDN w:val="0"/>
              <w:adjustRightInd w:val="0"/>
              <w:spacing w:line="240" w:lineRule="auto"/>
              <w:rPr>
                <w:rFonts w:cs="Times New Roman"/>
                <w:kern w:val="2"/>
                <w:sz w:val="20"/>
                <w:szCs w:val="20"/>
                <w:lang/>
              </w:rPr>
            </w:pPr>
          </w:p>
        </w:tc>
        <w:tc>
          <w:tcPr>
            <w:tcW w:w="687" w:type="pct"/>
            <w:tcBorders>
              <w:top w:val="nil"/>
              <w:left w:val="nil"/>
              <w:bottom w:val="nil"/>
              <w:right w:val="nil"/>
            </w:tcBorders>
          </w:tcPr>
          <w:p w14:paraId="69E43375"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(0.132)</w:t>
            </w:r>
          </w:p>
        </w:tc>
        <w:tc>
          <w:tcPr>
            <w:tcW w:w="687" w:type="pct"/>
            <w:tcBorders>
              <w:top w:val="nil"/>
              <w:left w:val="nil"/>
              <w:bottom w:val="nil"/>
              <w:right w:val="nil"/>
            </w:tcBorders>
          </w:tcPr>
          <w:p w14:paraId="72970823"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(0.130)</w:t>
            </w:r>
          </w:p>
        </w:tc>
        <w:tc>
          <w:tcPr>
            <w:tcW w:w="687" w:type="pct"/>
            <w:tcBorders>
              <w:top w:val="nil"/>
              <w:left w:val="nil"/>
              <w:bottom w:val="nil"/>
              <w:right w:val="nil"/>
            </w:tcBorders>
          </w:tcPr>
          <w:p w14:paraId="2720117D"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(0.145)</w:t>
            </w:r>
          </w:p>
        </w:tc>
        <w:tc>
          <w:tcPr>
            <w:tcW w:w="687" w:type="pct"/>
            <w:tcBorders>
              <w:top w:val="nil"/>
              <w:left w:val="nil"/>
              <w:bottom w:val="nil"/>
              <w:right w:val="nil"/>
            </w:tcBorders>
          </w:tcPr>
          <w:p w14:paraId="144BBC1C"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(0.043)</w:t>
            </w:r>
          </w:p>
        </w:tc>
        <w:tc>
          <w:tcPr>
            <w:tcW w:w="829" w:type="pct"/>
            <w:tcBorders>
              <w:top w:val="nil"/>
              <w:left w:val="nil"/>
              <w:bottom w:val="nil"/>
              <w:right w:val="nil"/>
            </w:tcBorders>
          </w:tcPr>
          <w:p w14:paraId="387C2D87"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(0.032)</w:t>
            </w:r>
          </w:p>
        </w:tc>
      </w:tr>
      <w:tr w:rsidR="00715FCB" w:rsidRPr="00CD4846" w14:paraId="68B7D683" w14:textId="77777777" w:rsidTr="00715FCB">
        <w:tc>
          <w:tcPr>
            <w:tcW w:w="1423" w:type="pct"/>
            <w:tcBorders>
              <w:top w:val="nil"/>
              <w:left w:val="nil"/>
              <w:bottom w:val="nil"/>
              <w:right w:val="nil"/>
            </w:tcBorders>
          </w:tcPr>
          <w:p w14:paraId="77B85638" w14:textId="65F0908D"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Density Employment</w:t>
            </w:r>
          </w:p>
        </w:tc>
        <w:tc>
          <w:tcPr>
            <w:tcW w:w="687" w:type="pct"/>
            <w:tcBorders>
              <w:top w:val="nil"/>
              <w:left w:val="nil"/>
              <w:bottom w:val="nil"/>
              <w:right w:val="nil"/>
            </w:tcBorders>
          </w:tcPr>
          <w:p w14:paraId="75D0A8B0"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0.327</w:t>
            </w:r>
          </w:p>
        </w:tc>
        <w:tc>
          <w:tcPr>
            <w:tcW w:w="687" w:type="pct"/>
            <w:tcBorders>
              <w:top w:val="nil"/>
              <w:left w:val="nil"/>
              <w:bottom w:val="nil"/>
              <w:right w:val="nil"/>
            </w:tcBorders>
          </w:tcPr>
          <w:p w14:paraId="60E45C00"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-0.045</w:t>
            </w:r>
          </w:p>
        </w:tc>
        <w:tc>
          <w:tcPr>
            <w:tcW w:w="687" w:type="pct"/>
            <w:tcBorders>
              <w:top w:val="nil"/>
              <w:left w:val="nil"/>
              <w:bottom w:val="nil"/>
              <w:right w:val="nil"/>
            </w:tcBorders>
          </w:tcPr>
          <w:p w14:paraId="33AA53C7"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-0.221</w:t>
            </w:r>
          </w:p>
        </w:tc>
        <w:tc>
          <w:tcPr>
            <w:tcW w:w="687" w:type="pct"/>
            <w:tcBorders>
              <w:top w:val="nil"/>
              <w:left w:val="nil"/>
              <w:bottom w:val="nil"/>
              <w:right w:val="nil"/>
            </w:tcBorders>
          </w:tcPr>
          <w:p w14:paraId="285CC2B9"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0.020</w:t>
            </w:r>
          </w:p>
        </w:tc>
        <w:tc>
          <w:tcPr>
            <w:tcW w:w="829" w:type="pct"/>
            <w:tcBorders>
              <w:top w:val="nil"/>
              <w:left w:val="nil"/>
              <w:bottom w:val="nil"/>
              <w:right w:val="nil"/>
            </w:tcBorders>
          </w:tcPr>
          <w:p w14:paraId="09A70D59"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0.017</w:t>
            </w:r>
          </w:p>
        </w:tc>
      </w:tr>
      <w:tr w:rsidR="00715FCB" w:rsidRPr="00CD4846" w14:paraId="51BBB029" w14:textId="77777777" w:rsidTr="00715FCB">
        <w:tc>
          <w:tcPr>
            <w:tcW w:w="1423" w:type="pct"/>
            <w:tcBorders>
              <w:top w:val="nil"/>
              <w:left w:val="nil"/>
              <w:bottom w:val="nil"/>
              <w:right w:val="nil"/>
            </w:tcBorders>
          </w:tcPr>
          <w:p w14:paraId="6FAD4EDB" w14:textId="58E6667C" w:rsidR="00715FCB" w:rsidRPr="00CD4846" w:rsidRDefault="00715FCB" w:rsidP="00FF1F0E">
            <w:pPr>
              <w:widowControl w:val="0"/>
              <w:autoSpaceDE w:val="0"/>
              <w:autoSpaceDN w:val="0"/>
              <w:adjustRightInd w:val="0"/>
              <w:spacing w:line="240" w:lineRule="auto"/>
              <w:rPr>
                <w:rFonts w:cs="Times New Roman"/>
                <w:kern w:val="2"/>
                <w:sz w:val="20"/>
                <w:szCs w:val="20"/>
                <w:lang/>
              </w:rPr>
            </w:pPr>
          </w:p>
        </w:tc>
        <w:tc>
          <w:tcPr>
            <w:tcW w:w="687" w:type="pct"/>
            <w:tcBorders>
              <w:top w:val="nil"/>
              <w:left w:val="nil"/>
              <w:bottom w:val="nil"/>
              <w:right w:val="nil"/>
            </w:tcBorders>
          </w:tcPr>
          <w:p w14:paraId="66B71DA5"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(0.220)</w:t>
            </w:r>
          </w:p>
        </w:tc>
        <w:tc>
          <w:tcPr>
            <w:tcW w:w="687" w:type="pct"/>
            <w:tcBorders>
              <w:top w:val="nil"/>
              <w:left w:val="nil"/>
              <w:bottom w:val="nil"/>
              <w:right w:val="nil"/>
            </w:tcBorders>
          </w:tcPr>
          <w:p w14:paraId="19F926F9"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(0.066)</w:t>
            </w:r>
          </w:p>
        </w:tc>
        <w:tc>
          <w:tcPr>
            <w:tcW w:w="687" w:type="pct"/>
            <w:tcBorders>
              <w:top w:val="nil"/>
              <w:left w:val="nil"/>
              <w:bottom w:val="nil"/>
              <w:right w:val="nil"/>
            </w:tcBorders>
          </w:tcPr>
          <w:p w14:paraId="0658E4BE"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(0.179)</w:t>
            </w:r>
          </w:p>
        </w:tc>
        <w:tc>
          <w:tcPr>
            <w:tcW w:w="687" w:type="pct"/>
            <w:tcBorders>
              <w:top w:val="nil"/>
              <w:left w:val="nil"/>
              <w:bottom w:val="nil"/>
              <w:right w:val="nil"/>
            </w:tcBorders>
          </w:tcPr>
          <w:p w14:paraId="1B4C0F0A"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(0.023)</w:t>
            </w:r>
          </w:p>
        </w:tc>
        <w:tc>
          <w:tcPr>
            <w:tcW w:w="829" w:type="pct"/>
            <w:tcBorders>
              <w:top w:val="nil"/>
              <w:left w:val="nil"/>
              <w:bottom w:val="nil"/>
              <w:right w:val="nil"/>
            </w:tcBorders>
          </w:tcPr>
          <w:p w14:paraId="4FE9A715"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(0.019)</w:t>
            </w:r>
          </w:p>
        </w:tc>
      </w:tr>
      <w:tr w:rsidR="00715FCB" w:rsidRPr="00CD4846" w14:paraId="34978768" w14:textId="77777777" w:rsidTr="00715FCB">
        <w:tc>
          <w:tcPr>
            <w:tcW w:w="1423" w:type="pct"/>
            <w:tcBorders>
              <w:top w:val="nil"/>
              <w:left w:val="nil"/>
              <w:bottom w:val="nil"/>
              <w:right w:val="nil"/>
            </w:tcBorders>
          </w:tcPr>
          <w:p w14:paraId="28620570"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Percent Black (100s)</w:t>
            </w:r>
          </w:p>
        </w:tc>
        <w:tc>
          <w:tcPr>
            <w:tcW w:w="687" w:type="pct"/>
            <w:tcBorders>
              <w:top w:val="nil"/>
              <w:left w:val="nil"/>
              <w:bottom w:val="nil"/>
              <w:right w:val="nil"/>
            </w:tcBorders>
          </w:tcPr>
          <w:p w14:paraId="53776CC8"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-0.907</w:t>
            </w:r>
          </w:p>
        </w:tc>
        <w:tc>
          <w:tcPr>
            <w:tcW w:w="687" w:type="pct"/>
            <w:tcBorders>
              <w:top w:val="nil"/>
              <w:left w:val="nil"/>
              <w:bottom w:val="nil"/>
              <w:right w:val="nil"/>
            </w:tcBorders>
          </w:tcPr>
          <w:p w14:paraId="27951F5B"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0.104</w:t>
            </w:r>
          </w:p>
        </w:tc>
        <w:tc>
          <w:tcPr>
            <w:tcW w:w="687" w:type="pct"/>
            <w:tcBorders>
              <w:top w:val="nil"/>
              <w:left w:val="nil"/>
              <w:bottom w:val="nil"/>
              <w:right w:val="nil"/>
            </w:tcBorders>
          </w:tcPr>
          <w:p w14:paraId="1EE0B2B6"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-2.401</w:t>
            </w:r>
          </w:p>
        </w:tc>
        <w:tc>
          <w:tcPr>
            <w:tcW w:w="687" w:type="pct"/>
            <w:tcBorders>
              <w:top w:val="nil"/>
              <w:left w:val="nil"/>
              <w:bottom w:val="nil"/>
              <w:right w:val="nil"/>
            </w:tcBorders>
          </w:tcPr>
          <w:p w14:paraId="2D34C2FD"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2.607***</w:t>
            </w:r>
          </w:p>
        </w:tc>
        <w:tc>
          <w:tcPr>
            <w:tcW w:w="829" w:type="pct"/>
            <w:tcBorders>
              <w:top w:val="nil"/>
              <w:left w:val="nil"/>
              <w:bottom w:val="nil"/>
              <w:right w:val="nil"/>
            </w:tcBorders>
          </w:tcPr>
          <w:p w14:paraId="5C2939B4"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1.411**</w:t>
            </w:r>
          </w:p>
        </w:tc>
      </w:tr>
      <w:tr w:rsidR="00715FCB" w:rsidRPr="00CD4846" w14:paraId="443F00F6" w14:textId="77777777" w:rsidTr="00715FCB">
        <w:tc>
          <w:tcPr>
            <w:tcW w:w="1423" w:type="pct"/>
            <w:tcBorders>
              <w:top w:val="nil"/>
              <w:left w:val="nil"/>
              <w:bottom w:val="nil"/>
              <w:right w:val="nil"/>
            </w:tcBorders>
          </w:tcPr>
          <w:p w14:paraId="34327287" w14:textId="19F68727" w:rsidR="00715FCB" w:rsidRPr="00CD4846" w:rsidRDefault="00715FCB" w:rsidP="00FF1F0E">
            <w:pPr>
              <w:widowControl w:val="0"/>
              <w:autoSpaceDE w:val="0"/>
              <w:autoSpaceDN w:val="0"/>
              <w:adjustRightInd w:val="0"/>
              <w:spacing w:line="240" w:lineRule="auto"/>
              <w:rPr>
                <w:rFonts w:cs="Times New Roman"/>
                <w:kern w:val="2"/>
                <w:sz w:val="20"/>
                <w:szCs w:val="20"/>
                <w:lang/>
              </w:rPr>
            </w:pPr>
          </w:p>
        </w:tc>
        <w:tc>
          <w:tcPr>
            <w:tcW w:w="687" w:type="pct"/>
            <w:tcBorders>
              <w:top w:val="nil"/>
              <w:left w:val="nil"/>
              <w:bottom w:val="nil"/>
              <w:right w:val="nil"/>
            </w:tcBorders>
          </w:tcPr>
          <w:p w14:paraId="0E608567"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(1.655)</w:t>
            </w:r>
          </w:p>
        </w:tc>
        <w:tc>
          <w:tcPr>
            <w:tcW w:w="687" w:type="pct"/>
            <w:tcBorders>
              <w:top w:val="nil"/>
              <w:left w:val="nil"/>
              <w:bottom w:val="nil"/>
              <w:right w:val="nil"/>
            </w:tcBorders>
          </w:tcPr>
          <w:p w14:paraId="27EA8A86"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(2.518)</w:t>
            </w:r>
          </w:p>
        </w:tc>
        <w:tc>
          <w:tcPr>
            <w:tcW w:w="687" w:type="pct"/>
            <w:tcBorders>
              <w:top w:val="nil"/>
              <w:left w:val="nil"/>
              <w:bottom w:val="nil"/>
              <w:right w:val="nil"/>
            </w:tcBorders>
          </w:tcPr>
          <w:p w14:paraId="6BD102CE"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(2.195)</w:t>
            </w:r>
          </w:p>
        </w:tc>
        <w:tc>
          <w:tcPr>
            <w:tcW w:w="687" w:type="pct"/>
            <w:tcBorders>
              <w:top w:val="nil"/>
              <w:left w:val="nil"/>
              <w:bottom w:val="nil"/>
              <w:right w:val="nil"/>
            </w:tcBorders>
          </w:tcPr>
          <w:p w14:paraId="4C6587A8"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(0.703)</w:t>
            </w:r>
          </w:p>
        </w:tc>
        <w:tc>
          <w:tcPr>
            <w:tcW w:w="829" w:type="pct"/>
            <w:tcBorders>
              <w:top w:val="nil"/>
              <w:left w:val="nil"/>
              <w:bottom w:val="nil"/>
              <w:right w:val="nil"/>
            </w:tcBorders>
          </w:tcPr>
          <w:p w14:paraId="6E120461"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(0.630)</w:t>
            </w:r>
          </w:p>
        </w:tc>
      </w:tr>
      <w:tr w:rsidR="00715FCB" w:rsidRPr="00CD4846" w14:paraId="76276692" w14:textId="77777777" w:rsidTr="00715FCB">
        <w:tc>
          <w:tcPr>
            <w:tcW w:w="1423" w:type="pct"/>
            <w:tcBorders>
              <w:top w:val="nil"/>
              <w:left w:val="nil"/>
              <w:bottom w:val="nil"/>
              <w:right w:val="nil"/>
            </w:tcBorders>
          </w:tcPr>
          <w:p w14:paraId="4014C3CB" w14:textId="21ABB06C"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Population count (1ms)</w:t>
            </w:r>
          </w:p>
        </w:tc>
        <w:tc>
          <w:tcPr>
            <w:tcW w:w="687" w:type="pct"/>
            <w:tcBorders>
              <w:top w:val="nil"/>
              <w:left w:val="nil"/>
              <w:bottom w:val="nil"/>
              <w:right w:val="nil"/>
            </w:tcBorders>
          </w:tcPr>
          <w:p w14:paraId="77A82832"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0.787*</w:t>
            </w:r>
          </w:p>
        </w:tc>
        <w:tc>
          <w:tcPr>
            <w:tcW w:w="687" w:type="pct"/>
            <w:tcBorders>
              <w:top w:val="nil"/>
              <w:left w:val="nil"/>
              <w:bottom w:val="nil"/>
              <w:right w:val="nil"/>
            </w:tcBorders>
          </w:tcPr>
          <w:p w14:paraId="091B041F"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0.211</w:t>
            </w:r>
          </w:p>
        </w:tc>
        <w:tc>
          <w:tcPr>
            <w:tcW w:w="687" w:type="pct"/>
            <w:tcBorders>
              <w:top w:val="nil"/>
              <w:left w:val="nil"/>
              <w:bottom w:val="nil"/>
              <w:right w:val="nil"/>
            </w:tcBorders>
          </w:tcPr>
          <w:p w14:paraId="6C79D9C6"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-0.009</w:t>
            </w:r>
          </w:p>
        </w:tc>
        <w:tc>
          <w:tcPr>
            <w:tcW w:w="687" w:type="pct"/>
            <w:tcBorders>
              <w:top w:val="nil"/>
              <w:left w:val="nil"/>
              <w:bottom w:val="nil"/>
              <w:right w:val="nil"/>
            </w:tcBorders>
          </w:tcPr>
          <w:p w14:paraId="19A469D5"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0.858***</w:t>
            </w:r>
          </w:p>
        </w:tc>
        <w:tc>
          <w:tcPr>
            <w:tcW w:w="829" w:type="pct"/>
            <w:tcBorders>
              <w:top w:val="nil"/>
              <w:left w:val="nil"/>
              <w:bottom w:val="nil"/>
              <w:right w:val="nil"/>
            </w:tcBorders>
          </w:tcPr>
          <w:p w14:paraId="537CCF3E"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0.231*</w:t>
            </w:r>
          </w:p>
        </w:tc>
      </w:tr>
      <w:tr w:rsidR="00715FCB" w:rsidRPr="00CD4846" w14:paraId="107A2D13" w14:textId="77777777" w:rsidTr="00715FCB">
        <w:tc>
          <w:tcPr>
            <w:tcW w:w="1423" w:type="pct"/>
            <w:tcBorders>
              <w:top w:val="nil"/>
              <w:left w:val="nil"/>
              <w:bottom w:val="nil"/>
              <w:right w:val="nil"/>
            </w:tcBorders>
          </w:tcPr>
          <w:p w14:paraId="6096E234" w14:textId="529BDD20" w:rsidR="00715FCB" w:rsidRPr="00CD4846" w:rsidRDefault="00715FCB" w:rsidP="00FF1F0E">
            <w:pPr>
              <w:widowControl w:val="0"/>
              <w:autoSpaceDE w:val="0"/>
              <w:autoSpaceDN w:val="0"/>
              <w:adjustRightInd w:val="0"/>
              <w:spacing w:line="240" w:lineRule="auto"/>
              <w:rPr>
                <w:rFonts w:cs="Times New Roman"/>
                <w:kern w:val="2"/>
                <w:sz w:val="20"/>
                <w:szCs w:val="20"/>
                <w:lang/>
              </w:rPr>
            </w:pPr>
          </w:p>
        </w:tc>
        <w:tc>
          <w:tcPr>
            <w:tcW w:w="687" w:type="pct"/>
            <w:tcBorders>
              <w:top w:val="nil"/>
              <w:left w:val="nil"/>
              <w:bottom w:val="nil"/>
              <w:right w:val="nil"/>
            </w:tcBorders>
          </w:tcPr>
          <w:p w14:paraId="1770C5C7"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(0.412)</w:t>
            </w:r>
          </w:p>
        </w:tc>
        <w:tc>
          <w:tcPr>
            <w:tcW w:w="687" w:type="pct"/>
            <w:tcBorders>
              <w:top w:val="nil"/>
              <w:left w:val="nil"/>
              <w:bottom w:val="nil"/>
              <w:right w:val="nil"/>
            </w:tcBorders>
          </w:tcPr>
          <w:p w14:paraId="5C601173"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(0.135)</w:t>
            </w:r>
          </w:p>
        </w:tc>
        <w:tc>
          <w:tcPr>
            <w:tcW w:w="687" w:type="pct"/>
            <w:tcBorders>
              <w:top w:val="nil"/>
              <w:left w:val="nil"/>
              <w:bottom w:val="nil"/>
              <w:right w:val="nil"/>
            </w:tcBorders>
          </w:tcPr>
          <w:p w14:paraId="6C8A3E6B"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(0.258)</w:t>
            </w:r>
          </w:p>
        </w:tc>
        <w:tc>
          <w:tcPr>
            <w:tcW w:w="687" w:type="pct"/>
            <w:tcBorders>
              <w:top w:val="nil"/>
              <w:left w:val="nil"/>
              <w:bottom w:val="nil"/>
              <w:right w:val="nil"/>
            </w:tcBorders>
          </w:tcPr>
          <w:p w14:paraId="0E898051"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(0.185)</w:t>
            </w:r>
          </w:p>
        </w:tc>
        <w:tc>
          <w:tcPr>
            <w:tcW w:w="829" w:type="pct"/>
            <w:tcBorders>
              <w:top w:val="nil"/>
              <w:left w:val="nil"/>
              <w:bottom w:val="nil"/>
              <w:right w:val="nil"/>
            </w:tcBorders>
          </w:tcPr>
          <w:p w14:paraId="4C0C5733"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(0.132)</w:t>
            </w:r>
          </w:p>
        </w:tc>
      </w:tr>
      <w:tr w:rsidR="00715FCB" w:rsidRPr="00CD4846" w14:paraId="3F2F3B19" w14:textId="77777777" w:rsidTr="00715FCB">
        <w:tc>
          <w:tcPr>
            <w:tcW w:w="1423" w:type="pct"/>
            <w:tcBorders>
              <w:top w:val="nil"/>
              <w:left w:val="nil"/>
              <w:bottom w:val="nil"/>
              <w:right w:val="nil"/>
            </w:tcBorders>
          </w:tcPr>
          <w:p w14:paraId="3A1FFACF" w14:textId="407EEFD0"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Unemployment rate (100s)</w:t>
            </w:r>
          </w:p>
        </w:tc>
        <w:tc>
          <w:tcPr>
            <w:tcW w:w="687" w:type="pct"/>
            <w:tcBorders>
              <w:top w:val="nil"/>
              <w:left w:val="nil"/>
              <w:bottom w:val="nil"/>
              <w:right w:val="nil"/>
            </w:tcBorders>
          </w:tcPr>
          <w:p w14:paraId="77E5A6EB"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2.117**</w:t>
            </w:r>
          </w:p>
        </w:tc>
        <w:tc>
          <w:tcPr>
            <w:tcW w:w="687" w:type="pct"/>
            <w:tcBorders>
              <w:top w:val="nil"/>
              <w:left w:val="nil"/>
              <w:bottom w:val="nil"/>
              <w:right w:val="nil"/>
            </w:tcBorders>
          </w:tcPr>
          <w:p w14:paraId="40418FC4"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0.129</w:t>
            </w:r>
          </w:p>
        </w:tc>
        <w:tc>
          <w:tcPr>
            <w:tcW w:w="687" w:type="pct"/>
            <w:tcBorders>
              <w:top w:val="nil"/>
              <w:left w:val="nil"/>
              <w:bottom w:val="nil"/>
              <w:right w:val="nil"/>
            </w:tcBorders>
          </w:tcPr>
          <w:p w14:paraId="2E351890"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-1.657</w:t>
            </w:r>
          </w:p>
        </w:tc>
        <w:tc>
          <w:tcPr>
            <w:tcW w:w="687" w:type="pct"/>
            <w:tcBorders>
              <w:top w:val="nil"/>
              <w:left w:val="nil"/>
              <w:bottom w:val="nil"/>
              <w:right w:val="nil"/>
            </w:tcBorders>
          </w:tcPr>
          <w:p w14:paraId="45FC154B"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1.644***</w:t>
            </w:r>
          </w:p>
        </w:tc>
        <w:tc>
          <w:tcPr>
            <w:tcW w:w="829" w:type="pct"/>
            <w:tcBorders>
              <w:top w:val="nil"/>
              <w:left w:val="nil"/>
              <w:bottom w:val="nil"/>
              <w:right w:val="nil"/>
            </w:tcBorders>
          </w:tcPr>
          <w:p w14:paraId="72C9B4EF"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2.532***</w:t>
            </w:r>
          </w:p>
        </w:tc>
      </w:tr>
      <w:tr w:rsidR="00715FCB" w:rsidRPr="00CD4846" w14:paraId="7CA266BF" w14:textId="77777777" w:rsidTr="00715FCB">
        <w:tc>
          <w:tcPr>
            <w:tcW w:w="1423" w:type="pct"/>
            <w:tcBorders>
              <w:top w:val="nil"/>
              <w:left w:val="nil"/>
              <w:bottom w:val="nil"/>
              <w:right w:val="nil"/>
            </w:tcBorders>
          </w:tcPr>
          <w:p w14:paraId="11FAF4BE" w14:textId="60C2DA93" w:rsidR="00715FCB" w:rsidRPr="00CD4846" w:rsidRDefault="00715FCB" w:rsidP="00FF1F0E">
            <w:pPr>
              <w:widowControl w:val="0"/>
              <w:autoSpaceDE w:val="0"/>
              <w:autoSpaceDN w:val="0"/>
              <w:adjustRightInd w:val="0"/>
              <w:spacing w:line="240" w:lineRule="auto"/>
              <w:rPr>
                <w:rFonts w:cs="Times New Roman"/>
                <w:kern w:val="2"/>
                <w:sz w:val="20"/>
                <w:szCs w:val="20"/>
                <w:lang/>
              </w:rPr>
            </w:pPr>
          </w:p>
        </w:tc>
        <w:tc>
          <w:tcPr>
            <w:tcW w:w="687" w:type="pct"/>
            <w:tcBorders>
              <w:top w:val="nil"/>
              <w:left w:val="nil"/>
              <w:bottom w:val="nil"/>
              <w:right w:val="nil"/>
            </w:tcBorders>
          </w:tcPr>
          <w:p w14:paraId="638BDB83"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(0.864)</w:t>
            </w:r>
          </w:p>
        </w:tc>
        <w:tc>
          <w:tcPr>
            <w:tcW w:w="687" w:type="pct"/>
            <w:tcBorders>
              <w:top w:val="nil"/>
              <w:left w:val="nil"/>
              <w:bottom w:val="nil"/>
              <w:right w:val="nil"/>
            </w:tcBorders>
          </w:tcPr>
          <w:p w14:paraId="07711D2A"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(1.463)</w:t>
            </w:r>
          </w:p>
        </w:tc>
        <w:tc>
          <w:tcPr>
            <w:tcW w:w="687" w:type="pct"/>
            <w:tcBorders>
              <w:top w:val="nil"/>
              <w:left w:val="nil"/>
              <w:bottom w:val="nil"/>
              <w:right w:val="nil"/>
            </w:tcBorders>
          </w:tcPr>
          <w:p w14:paraId="19788F4E"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(1.331)</w:t>
            </w:r>
          </w:p>
        </w:tc>
        <w:tc>
          <w:tcPr>
            <w:tcW w:w="687" w:type="pct"/>
            <w:tcBorders>
              <w:top w:val="nil"/>
              <w:left w:val="nil"/>
              <w:bottom w:val="nil"/>
              <w:right w:val="nil"/>
            </w:tcBorders>
          </w:tcPr>
          <w:p w14:paraId="411E5BE8"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(0.518)</w:t>
            </w:r>
          </w:p>
        </w:tc>
        <w:tc>
          <w:tcPr>
            <w:tcW w:w="829" w:type="pct"/>
            <w:tcBorders>
              <w:top w:val="nil"/>
              <w:left w:val="nil"/>
              <w:bottom w:val="nil"/>
              <w:right w:val="nil"/>
            </w:tcBorders>
          </w:tcPr>
          <w:p w14:paraId="44B8B271"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(0.548)</w:t>
            </w:r>
          </w:p>
        </w:tc>
      </w:tr>
      <w:tr w:rsidR="00715FCB" w:rsidRPr="00CD4846" w14:paraId="0DFA33B8" w14:textId="77777777" w:rsidTr="00715FCB">
        <w:tc>
          <w:tcPr>
            <w:tcW w:w="1423" w:type="pct"/>
            <w:tcBorders>
              <w:top w:val="nil"/>
              <w:left w:val="nil"/>
              <w:bottom w:val="nil"/>
              <w:right w:val="nil"/>
            </w:tcBorders>
          </w:tcPr>
          <w:p w14:paraId="7D4CBB73" w14:textId="2E48155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Sales Volume (t-1)</w:t>
            </w:r>
          </w:p>
        </w:tc>
        <w:tc>
          <w:tcPr>
            <w:tcW w:w="687" w:type="pct"/>
            <w:tcBorders>
              <w:top w:val="nil"/>
              <w:left w:val="nil"/>
              <w:bottom w:val="nil"/>
              <w:right w:val="nil"/>
            </w:tcBorders>
          </w:tcPr>
          <w:p w14:paraId="03C0139B"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-4.448</w:t>
            </w:r>
          </w:p>
        </w:tc>
        <w:tc>
          <w:tcPr>
            <w:tcW w:w="687" w:type="pct"/>
            <w:tcBorders>
              <w:top w:val="nil"/>
              <w:left w:val="nil"/>
              <w:bottom w:val="nil"/>
              <w:right w:val="nil"/>
            </w:tcBorders>
          </w:tcPr>
          <w:p w14:paraId="7ABCD947"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0.645</w:t>
            </w:r>
          </w:p>
        </w:tc>
        <w:tc>
          <w:tcPr>
            <w:tcW w:w="687" w:type="pct"/>
            <w:tcBorders>
              <w:top w:val="nil"/>
              <w:left w:val="nil"/>
              <w:bottom w:val="nil"/>
              <w:right w:val="nil"/>
            </w:tcBorders>
          </w:tcPr>
          <w:p w14:paraId="39E86CEF"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-0.218</w:t>
            </w:r>
          </w:p>
        </w:tc>
        <w:tc>
          <w:tcPr>
            <w:tcW w:w="687" w:type="pct"/>
            <w:tcBorders>
              <w:top w:val="nil"/>
              <w:left w:val="nil"/>
              <w:bottom w:val="nil"/>
              <w:right w:val="nil"/>
            </w:tcBorders>
          </w:tcPr>
          <w:p w14:paraId="24A7D548"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-21.775*</w:t>
            </w:r>
          </w:p>
        </w:tc>
        <w:tc>
          <w:tcPr>
            <w:tcW w:w="829" w:type="pct"/>
            <w:tcBorders>
              <w:top w:val="nil"/>
              <w:left w:val="nil"/>
              <w:bottom w:val="nil"/>
              <w:right w:val="nil"/>
            </w:tcBorders>
          </w:tcPr>
          <w:p w14:paraId="55ADF76F"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0.102</w:t>
            </w:r>
          </w:p>
        </w:tc>
      </w:tr>
      <w:tr w:rsidR="00715FCB" w:rsidRPr="00CD4846" w14:paraId="76F4E126" w14:textId="77777777" w:rsidTr="00715FCB">
        <w:tc>
          <w:tcPr>
            <w:tcW w:w="1423" w:type="pct"/>
            <w:tcBorders>
              <w:top w:val="nil"/>
              <w:left w:val="nil"/>
              <w:bottom w:val="nil"/>
              <w:right w:val="nil"/>
            </w:tcBorders>
          </w:tcPr>
          <w:p w14:paraId="529EDDE1" w14:textId="1E677F94" w:rsidR="00715FCB" w:rsidRPr="00CD4846" w:rsidRDefault="00715FCB" w:rsidP="00FF1F0E">
            <w:pPr>
              <w:widowControl w:val="0"/>
              <w:autoSpaceDE w:val="0"/>
              <w:autoSpaceDN w:val="0"/>
              <w:adjustRightInd w:val="0"/>
              <w:spacing w:line="240" w:lineRule="auto"/>
              <w:rPr>
                <w:rFonts w:cs="Times New Roman"/>
                <w:kern w:val="2"/>
                <w:sz w:val="20"/>
                <w:szCs w:val="20"/>
                <w:lang/>
              </w:rPr>
            </w:pPr>
          </w:p>
        </w:tc>
        <w:tc>
          <w:tcPr>
            <w:tcW w:w="687" w:type="pct"/>
            <w:tcBorders>
              <w:top w:val="nil"/>
              <w:left w:val="nil"/>
              <w:bottom w:val="nil"/>
              <w:right w:val="nil"/>
            </w:tcBorders>
          </w:tcPr>
          <w:p w14:paraId="33B2D7E2"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(3.543)</w:t>
            </w:r>
          </w:p>
        </w:tc>
        <w:tc>
          <w:tcPr>
            <w:tcW w:w="687" w:type="pct"/>
            <w:tcBorders>
              <w:top w:val="nil"/>
              <w:left w:val="nil"/>
              <w:bottom w:val="nil"/>
              <w:right w:val="nil"/>
            </w:tcBorders>
          </w:tcPr>
          <w:p w14:paraId="6F10B617"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(0.408)</w:t>
            </w:r>
          </w:p>
        </w:tc>
        <w:tc>
          <w:tcPr>
            <w:tcW w:w="687" w:type="pct"/>
            <w:tcBorders>
              <w:top w:val="nil"/>
              <w:left w:val="nil"/>
              <w:bottom w:val="nil"/>
              <w:right w:val="nil"/>
            </w:tcBorders>
          </w:tcPr>
          <w:p w14:paraId="6F268B03"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(0.318)</w:t>
            </w:r>
          </w:p>
        </w:tc>
        <w:tc>
          <w:tcPr>
            <w:tcW w:w="687" w:type="pct"/>
            <w:tcBorders>
              <w:top w:val="nil"/>
              <w:left w:val="nil"/>
              <w:bottom w:val="nil"/>
              <w:right w:val="nil"/>
            </w:tcBorders>
          </w:tcPr>
          <w:p w14:paraId="34AFD944"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(12.004)</w:t>
            </w:r>
          </w:p>
        </w:tc>
        <w:tc>
          <w:tcPr>
            <w:tcW w:w="829" w:type="pct"/>
            <w:tcBorders>
              <w:top w:val="nil"/>
              <w:left w:val="nil"/>
              <w:bottom w:val="nil"/>
              <w:right w:val="nil"/>
            </w:tcBorders>
          </w:tcPr>
          <w:p w14:paraId="592EE430"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(0.103)</w:t>
            </w:r>
          </w:p>
        </w:tc>
      </w:tr>
      <w:tr w:rsidR="00715FCB" w:rsidRPr="00CD4846" w14:paraId="4C5B8D37" w14:textId="77777777" w:rsidTr="00715FCB">
        <w:tc>
          <w:tcPr>
            <w:tcW w:w="1423" w:type="pct"/>
            <w:tcBorders>
              <w:top w:val="nil"/>
              <w:left w:val="nil"/>
              <w:bottom w:val="nil"/>
              <w:right w:val="nil"/>
            </w:tcBorders>
          </w:tcPr>
          <w:p w14:paraId="2B6E553C" w14:textId="0396037F"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Prior Total Exits (1ks)</w:t>
            </w:r>
          </w:p>
        </w:tc>
        <w:tc>
          <w:tcPr>
            <w:tcW w:w="687" w:type="pct"/>
            <w:tcBorders>
              <w:top w:val="nil"/>
              <w:left w:val="nil"/>
              <w:bottom w:val="nil"/>
              <w:right w:val="nil"/>
            </w:tcBorders>
          </w:tcPr>
          <w:p w14:paraId="42C89DF6"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0.933</w:t>
            </w:r>
          </w:p>
        </w:tc>
        <w:tc>
          <w:tcPr>
            <w:tcW w:w="687" w:type="pct"/>
            <w:tcBorders>
              <w:top w:val="nil"/>
              <w:left w:val="nil"/>
              <w:bottom w:val="nil"/>
              <w:right w:val="nil"/>
            </w:tcBorders>
          </w:tcPr>
          <w:p w14:paraId="2560C4EE"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2.894***</w:t>
            </w:r>
          </w:p>
        </w:tc>
        <w:tc>
          <w:tcPr>
            <w:tcW w:w="687" w:type="pct"/>
            <w:tcBorders>
              <w:top w:val="nil"/>
              <w:left w:val="nil"/>
              <w:bottom w:val="nil"/>
              <w:right w:val="nil"/>
            </w:tcBorders>
          </w:tcPr>
          <w:p w14:paraId="0C6F9AC8"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6.397**</w:t>
            </w:r>
          </w:p>
        </w:tc>
        <w:tc>
          <w:tcPr>
            <w:tcW w:w="687" w:type="pct"/>
            <w:tcBorders>
              <w:top w:val="nil"/>
              <w:left w:val="nil"/>
              <w:bottom w:val="nil"/>
              <w:right w:val="nil"/>
            </w:tcBorders>
          </w:tcPr>
          <w:p w14:paraId="3091A69A"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0.057</w:t>
            </w:r>
          </w:p>
        </w:tc>
        <w:tc>
          <w:tcPr>
            <w:tcW w:w="829" w:type="pct"/>
            <w:tcBorders>
              <w:top w:val="nil"/>
              <w:left w:val="nil"/>
              <w:bottom w:val="nil"/>
              <w:right w:val="nil"/>
            </w:tcBorders>
          </w:tcPr>
          <w:p w14:paraId="5EB12168"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0.106</w:t>
            </w:r>
          </w:p>
        </w:tc>
      </w:tr>
      <w:tr w:rsidR="00715FCB" w:rsidRPr="00CD4846" w14:paraId="2617FD00" w14:textId="77777777" w:rsidTr="00715FCB">
        <w:tc>
          <w:tcPr>
            <w:tcW w:w="1423" w:type="pct"/>
            <w:tcBorders>
              <w:top w:val="nil"/>
              <w:left w:val="nil"/>
              <w:bottom w:val="nil"/>
              <w:right w:val="nil"/>
            </w:tcBorders>
          </w:tcPr>
          <w:p w14:paraId="6F45492D" w14:textId="2D10D17D" w:rsidR="00715FCB" w:rsidRPr="00CD4846" w:rsidRDefault="00715FCB" w:rsidP="00FF1F0E">
            <w:pPr>
              <w:widowControl w:val="0"/>
              <w:autoSpaceDE w:val="0"/>
              <w:autoSpaceDN w:val="0"/>
              <w:adjustRightInd w:val="0"/>
              <w:spacing w:line="240" w:lineRule="auto"/>
              <w:rPr>
                <w:rFonts w:cs="Times New Roman"/>
                <w:kern w:val="2"/>
                <w:sz w:val="20"/>
                <w:szCs w:val="20"/>
                <w:lang/>
              </w:rPr>
            </w:pPr>
          </w:p>
        </w:tc>
        <w:tc>
          <w:tcPr>
            <w:tcW w:w="687" w:type="pct"/>
            <w:tcBorders>
              <w:top w:val="nil"/>
              <w:left w:val="nil"/>
              <w:bottom w:val="nil"/>
              <w:right w:val="nil"/>
            </w:tcBorders>
          </w:tcPr>
          <w:p w14:paraId="50152727"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(0.860)</w:t>
            </w:r>
          </w:p>
        </w:tc>
        <w:tc>
          <w:tcPr>
            <w:tcW w:w="687" w:type="pct"/>
            <w:tcBorders>
              <w:top w:val="nil"/>
              <w:left w:val="nil"/>
              <w:bottom w:val="nil"/>
              <w:right w:val="nil"/>
            </w:tcBorders>
          </w:tcPr>
          <w:p w14:paraId="568BDAE8"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(0.484)</w:t>
            </w:r>
          </w:p>
        </w:tc>
        <w:tc>
          <w:tcPr>
            <w:tcW w:w="687" w:type="pct"/>
            <w:tcBorders>
              <w:top w:val="nil"/>
              <w:left w:val="nil"/>
              <w:bottom w:val="nil"/>
              <w:right w:val="nil"/>
            </w:tcBorders>
          </w:tcPr>
          <w:p w14:paraId="4E59EB05"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(3.072)</w:t>
            </w:r>
          </w:p>
        </w:tc>
        <w:tc>
          <w:tcPr>
            <w:tcW w:w="687" w:type="pct"/>
            <w:tcBorders>
              <w:top w:val="nil"/>
              <w:left w:val="nil"/>
              <w:bottom w:val="nil"/>
              <w:right w:val="nil"/>
            </w:tcBorders>
          </w:tcPr>
          <w:p w14:paraId="6A99F881"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(0.047)</w:t>
            </w:r>
          </w:p>
        </w:tc>
        <w:tc>
          <w:tcPr>
            <w:tcW w:w="829" w:type="pct"/>
            <w:tcBorders>
              <w:top w:val="nil"/>
              <w:left w:val="nil"/>
              <w:bottom w:val="nil"/>
              <w:right w:val="nil"/>
            </w:tcBorders>
          </w:tcPr>
          <w:p w14:paraId="2FDF56F7"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(0.087)</w:t>
            </w:r>
          </w:p>
        </w:tc>
      </w:tr>
      <w:tr w:rsidR="00715FCB" w:rsidRPr="00CD4846" w14:paraId="6D0CD4C7" w14:textId="77777777" w:rsidTr="00715FCB">
        <w:tc>
          <w:tcPr>
            <w:tcW w:w="1423" w:type="pct"/>
            <w:tcBorders>
              <w:top w:val="nil"/>
              <w:left w:val="nil"/>
              <w:bottom w:val="nil"/>
              <w:right w:val="nil"/>
            </w:tcBorders>
          </w:tcPr>
          <w:p w14:paraId="0151B67B"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Constant</w:t>
            </w:r>
          </w:p>
        </w:tc>
        <w:tc>
          <w:tcPr>
            <w:tcW w:w="687" w:type="pct"/>
            <w:tcBorders>
              <w:top w:val="nil"/>
              <w:left w:val="nil"/>
              <w:bottom w:val="nil"/>
              <w:right w:val="nil"/>
            </w:tcBorders>
          </w:tcPr>
          <w:p w14:paraId="36D2391E"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1.134***</w:t>
            </w:r>
          </w:p>
        </w:tc>
        <w:tc>
          <w:tcPr>
            <w:tcW w:w="687" w:type="pct"/>
            <w:tcBorders>
              <w:top w:val="nil"/>
              <w:left w:val="nil"/>
              <w:bottom w:val="nil"/>
              <w:right w:val="nil"/>
            </w:tcBorders>
          </w:tcPr>
          <w:p w14:paraId="39E602BA"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1.041*</w:t>
            </w:r>
          </w:p>
        </w:tc>
        <w:tc>
          <w:tcPr>
            <w:tcW w:w="687" w:type="pct"/>
            <w:tcBorders>
              <w:top w:val="nil"/>
              <w:left w:val="nil"/>
              <w:bottom w:val="nil"/>
              <w:right w:val="nil"/>
            </w:tcBorders>
          </w:tcPr>
          <w:p w14:paraId="48035BCF"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3.526***</w:t>
            </w:r>
          </w:p>
        </w:tc>
        <w:tc>
          <w:tcPr>
            <w:tcW w:w="687" w:type="pct"/>
            <w:tcBorders>
              <w:top w:val="nil"/>
              <w:left w:val="nil"/>
              <w:bottom w:val="nil"/>
              <w:right w:val="nil"/>
            </w:tcBorders>
          </w:tcPr>
          <w:p w14:paraId="43E5DD8E"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3.896***</w:t>
            </w:r>
          </w:p>
        </w:tc>
        <w:tc>
          <w:tcPr>
            <w:tcW w:w="829" w:type="pct"/>
            <w:tcBorders>
              <w:top w:val="nil"/>
              <w:left w:val="nil"/>
              <w:bottom w:val="nil"/>
              <w:right w:val="nil"/>
            </w:tcBorders>
          </w:tcPr>
          <w:p w14:paraId="647163C1"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3.950***</w:t>
            </w:r>
          </w:p>
        </w:tc>
      </w:tr>
      <w:tr w:rsidR="00715FCB" w:rsidRPr="00CD4846" w14:paraId="05C3C70C" w14:textId="77777777" w:rsidTr="00715FCB">
        <w:tc>
          <w:tcPr>
            <w:tcW w:w="1423" w:type="pct"/>
            <w:tcBorders>
              <w:top w:val="nil"/>
              <w:left w:val="nil"/>
              <w:bottom w:val="nil"/>
              <w:right w:val="nil"/>
            </w:tcBorders>
          </w:tcPr>
          <w:p w14:paraId="204BC530" w14:textId="794184A5" w:rsidR="00715FCB" w:rsidRPr="00CD4846" w:rsidRDefault="00715FCB" w:rsidP="00FF1F0E">
            <w:pPr>
              <w:widowControl w:val="0"/>
              <w:autoSpaceDE w:val="0"/>
              <w:autoSpaceDN w:val="0"/>
              <w:adjustRightInd w:val="0"/>
              <w:spacing w:line="240" w:lineRule="auto"/>
              <w:rPr>
                <w:rFonts w:cs="Times New Roman"/>
                <w:kern w:val="2"/>
                <w:sz w:val="20"/>
                <w:szCs w:val="20"/>
                <w:lang/>
              </w:rPr>
            </w:pPr>
          </w:p>
        </w:tc>
        <w:tc>
          <w:tcPr>
            <w:tcW w:w="687" w:type="pct"/>
            <w:tcBorders>
              <w:top w:val="nil"/>
              <w:left w:val="nil"/>
              <w:bottom w:val="nil"/>
              <w:right w:val="nil"/>
            </w:tcBorders>
          </w:tcPr>
          <w:p w14:paraId="15D895B0"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(0.369)</w:t>
            </w:r>
          </w:p>
        </w:tc>
        <w:tc>
          <w:tcPr>
            <w:tcW w:w="687" w:type="pct"/>
            <w:tcBorders>
              <w:top w:val="nil"/>
              <w:left w:val="nil"/>
              <w:bottom w:val="nil"/>
              <w:right w:val="nil"/>
            </w:tcBorders>
          </w:tcPr>
          <w:p w14:paraId="30F32CD9"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(0.612)</w:t>
            </w:r>
          </w:p>
        </w:tc>
        <w:tc>
          <w:tcPr>
            <w:tcW w:w="687" w:type="pct"/>
            <w:tcBorders>
              <w:top w:val="nil"/>
              <w:left w:val="nil"/>
              <w:bottom w:val="nil"/>
              <w:right w:val="nil"/>
            </w:tcBorders>
          </w:tcPr>
          <w:p w14:paraId="7C0C453D"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(0.608)</w:t>
            </w:r>
          </w:p>
        </w:tc>
        <w:tc>
          <w:tcPr>
            <w:tcW w:w="687" w:type="pct"/>
            <w:tcBorders>
              <w:top w:val="nil"/>
              <w:left w:val="nil"/>
              <w:bottom w:val="nil"/>
              <w:right w:val="nil"/>
            </w:tcBorders>
          </w:tcPr>
          <w:p w14:paraId="7DC92F24"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(0.304)</w:t>
            </w:r>
          </w:p>
        </w:tc>
        <w:tc>
          <w:tcPr>
            <w:tcW w:w="829" w:type="pct"/>
            <w:tcBorders>
              <w:top w:val="nil"/>
              <w:left w:val="nil"/>
              <w:bottom w:val="nil"/>
              <w:right w:val="nil"/>
            </w:tcBorders>
          </w:tcPr>
          <w:p w14:paraId="2A226D31"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(0.246)</w:t>
            </w:r>
          </w:p>
        </w:tc>
      </w:tr>
      <w:tr w:rsidR="00715FCB" w:rsidRPr="00CD4846" w14:paraId="43BFE3B8" w14:textId="77777777" w:rsidTr="00715FCB">
        <w:tc>
          <w:tcPr>
            <w:tcW w:w="1423" w:type="pct"/>
            <w:tcBorders>
              <w:top w:val="nil"/>
              <w:left w:val="nil"/>
              <w:bottom w:val="nil"/>
              <w:right w:val="nil"/>
            </w:tcBorders>
          </w:tcPr>
          <w:p w14:paraId="42B7CD75" w14:textId="618A9EC8"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Observations</w:t>
            </w:r>
          </w:p>
        </w:tc>
        <w:tc>
          <w:tcPr>
            <w:tcW w:w="687" w:type="pct"/>
            <w:tcBorders>
              <w:top w:val="nil"/>
              <w:left w:val="nil"/>
              <w:bottom w:val="nil"/>
              <w:right w:val="nil"/>
            </w:tcBorders>
          </w:tcPr>
          <w:p w14:paraId="2051E0E4"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15357</w:t>
            </w:r>
          </w:p>
        </w:tc>
        <w:tc>
          <w:tcPr>
            <w:tcW w:w="687" w:type="pct"/>
            <w:tcBorders>
              <w:top w:val="nil"/>
              <w:left w:val="nil"/>
              <w:bottom w:val="nil"/>
              <w:right w:val="nil"/>
            </w:tcBorders>
          </w:tcPr>
          <w:p w14:paraId="002D4713"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10054</w:t>
            </w:r>
          </w:p>
        </w:tc>
        <w:tc>
          <w:tcPr>
            <w:tcW w:w="687" w:type="pct"/>
            <w:tcBorders>
              <w:top w:val="nil"/>
              <w:left w:val="nil"/>
              <w:bottom w:val="nil"/>
              <w:right w:val="nil"/>
            </w:tcBorders>
          </w:tcPr>
          <w:p w14:paraId="640C58E0"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14433</w:t>
            </w:r>
          </w:p>
        </w:tc>
        <w:tc>
          <w:tcPr>
            <w:tcW w:w="687" w:type="pct"/>
            <w:tcBorders>
              <w:top w:val="nil"/>
              <w:left w:val="nil"/>
              <w:bottom w:val="nil"/>
              <w:right w:val="nil"/>
            </w:tcBorders>
          </w:tcPr>
          <w:p w14:paraId="48BA7353"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26430</w:t>
            </w:r>
          </w:p>
        </w:tc>
        <w:tc>
          <w:tcPr>
            <w:tcW w:w="829" w:type="pct"/>
            <w:tcBorders>
              <w:top w:val="nil"/>
              <w:left w:val="nil"/>
              <w:bottom w:val="nil"/>
              <w:right w:val="nil"/>
            </w:tcBorders>
          </w:tcPr>
          <w:p w14:paraId="33E7193C"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26355</w:t>
            </w:r>
          </w:p>
        </w:tc>
      </w:tr>
      <w:tr w:rsidR="00715FCB" w:rsidRPr="00CD4846" w14:paraId="2AEB81EE" w14:textId="77777777" w:rsidTr="00715FCB">
        <w:tc>
          <w:tcPr>
            <w:tcW w:w="1423" w:type="pct"/>
            <w:tcBorders>
              <w:top w:val="nil"/>
              <w:left w:val="nil"/>
              <w:bottom w:val="nil"/>
              <w:right w:val="nil"/>
            </w:tcBorders>
          </w:tcPr>
          <w:p w14:paraId="338FEA47" w14:textId="1DFA4DC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Pseudo R</w:t>
            </w:r>
            <w:r w:rsidRPr="00CD4846">
              <w:rPr>
                <w:rFonts w:cs="Times New Roman"/>
                <w:kern w:val="2"/>
                <w:sz w:val="20"/>
                <w:szCs w:val="20"/>
                <w:vertAlign w:val="superscript"/>
                <w:lang/>
              </w:rPr>
              <w:t>2</w:t>
            </w:r>
          </w:p>
        </w:tc>
        <w:tc>
          <w:tcPr>
            <w:tcW w:w="687" w:type="pct"/>
            <w:tcBorders>
              <w:top w:val="nil"/>
              <w:left w:val="nil"/>
              <w:bottom w:val="nil"/>
              <w:right w:val="nil"/>
            </w:tcBorders>
          </w:tcPr>
          <w:p w14:paraId="331B76DE"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0.652</w:t>
            </w:r>
          </w:p>
        </w:tc>
        <w:tc>
          <w:tcPr>
            <w:tcW w:w="687" w:type="pct"/>
            <w:tcBorders>
              <w:top w:val="nil"/>
              <w:left w:val="nil"/>
              <w:bottom w:val="nil"/>
              <w:right w:val="nil"/>
            </w:tcBorders>
          </w:tcPr>
          <w:p w14:paraId="3FABEAA8"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0.654</w:t>
            </w:r>
          </w:p>
        </w:tc>
        <w:tc>
          <w:tcPr>
            <w:tcW w:w="687" w:type="pct"/>
            <w:tcBorders>
              <w:top w:val="nil"/>
              <w:left w:val="nil"/>
              <w:bottom w:val="nil"/>
              <w:right w:val="nil"/>
            </w:tcBorders>
          </w:tcPr>
          <w:p w14:paraId="4155F7DD"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0.482</w:t>
            </w:r>
          </w:p>
        </w:tc>
        <w:tc>
          <w:tcPr>
            <w:tcW w:w="687" w:type="pct"/>
            <w:tcBorders>
              <w:top w:val="nil"/>
              <w:left w:val="nil"/>
              <w:bottom w:val="nil"/>
              <w:right w:val="nil"/>
            </w:tcBorders>
          </w:tcPr>
          <w:p w14:paraId="1A12A20B"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0.949</w:t>
            </w:r>
          </w:p>
        </w:tc>
        <w:tc>
          <w:tcPr>
            <w:tcW w:w="829" w:type="pct"/>
            <w:tcBorders>
              <w:top w:val="nil"/>
              <w:left w:val="nil"/>
              <w:bottom w:val="nil"/>
              <w:right w:val="nil"/>
            </w:tcBorders>
          </w:tcPr>
          <w:p w14:paraId="57DF41C8"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0.924</w:t>
            </w:r>
          </w:p>
        </w:tc>
      </w:tr>
      <w:tr w:rsidR="00715FCB" w:rsidRPr="00CD4846" w14:paraId="44D14F50" w14:textId="77777777" w:rsidTr="00715FCB">
        <w:tc>
          <w:tcPr>
            <w:tcW w:w="1423" w:type="pct"/>
            <w:tcBorders>
              <w:top w:val="nil"/>
              <w:left w:val="nil"/>
              <w:bottom w:val="nil"/>
              <w:right w:val="nil"/>
            </w:tcBorders>
          </w:tcPr>
          <w:p w14:paraId="27E44CFF" w14:textId="26868D15"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Chi</w:t>
            </w:r>
            <w:r w:rsidRPr="00CD4846">
              <w:rPr>
                <w:rFonts w:cs="Times New Roman"/>
                <w:kern w:val="2"/>
                <w:sz w:val="20"/>
                <w:szCs w:val="20"/>
                <w:vertAlign w:val="superscript"/>
                <w:lang/>
              </w:rPr>
              <w:t>2</w:t>
            </w:r>
          </w:p>
        </w:tc>
        <w:tc>
          <w:tcPr>
            <w:tcW w:w="687" w:type="pct"/>
            <w:tcBorders>
              <w:top w:val="nil"/>
              <w:left w:val="nil"/>
              <w:bottom w:val="nil"/>
              <w:right w:val="nil"/>
            </w:tcBorders>
          </w:tcPr>
          <w:p w14:paraId="7C6A9BB0"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187</w:t>
            </w:r>
          </w:p>
        </w:tc>
        <w:tc>
          <w:tcPr>
            <w:tcW w:w="687" w:type="pct"/>
            <w:tcBorders>
              <w:top w:val="nil"/>
              <w:left w:val="nil"/>
              <w:bottom w:val="nil"/>
              <w:right w:val="nil"/>
            </w:tcBorders>
          </w:tcPr>
          <w:p w14:paraId="20E3B2F7"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141</w:t>
            </w:r>
          </w:p>
        </w:tc>
        <w:tc>
          <w:tcPr>
            <w:tcW w:w="687" w:type="pct"/>
            <w:tcBorders>
              <w:top w:val="nil"/>
              <w:left w:val="nil"/>
              <w:bottom w:val="nil"/>
              <w:right w:val="nil"/>
            </w:tcBorders>
          </w:tcPr>
          <w:p w14:paraId="5A55634E"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102</w:t>
            </w:r>
          </w:p>
        </w:tc>
        <w:tc>
          <w:tcPr>
            <w:tcW w:w="687" w:type="pct"/>
            <w:tcBorders>
              <w:top w:val="nil"/>
              <w:left w:val="nil"/>
              <w:bottom w:val="nil"/>
              <w:right w:val="nil"/>
            </w:tcBorders>
          </w:tcPr>
          <w:p w14:paraId="18CF7C4F"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143</w:t>
            </w:r>
          </w:p>
        </w:tc>
        <w:tc>
          <w:tcPr>
            <w:tcW w:w="829" w:type="pct"/>
            <w:tcBorders>
              <w:top w:val="nil"/>
              <w:left w:val="nil"/>
              <w:bottom w:val="nil"/>
              <w:right w:val="nil"/>
            </w:tcBorders>
          </w:tcPr>
          <w:p w14:paraId="6AE0956C"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111</w:t>
            </w:r>
          </w:p>
        </w:tc>
      </w:tr>
      <w:tr w:rsidR="00715FCB" w:rsidRPr="00CD4846" w14:paraId="590334BF" w14:textId="77777777" w:rsidTr="00715FCB">
        <w:tc>
          <w:tcPr>
            <w:tcW w:w="1423" w:type="pct"/>
            <w:tcBorders>
              <w:top w:val="nil"/>
              <w:left w:val="nil"/>
              <w:bottom w:val="nil"/>
              <w:right w:val="nil"/>
            </w:tcBorders>
          </w:tcPr>
          <w:p w14:paraId="2CDC8C4D" w14:textId="12DF248A"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Log Likelihood</w:t>
            </w:r>
          </w:p>
        </w:tc>
        <w:tc>
          <w:tcPr>
            <w:tcW w:w="687" w:type="pct"/>
            <w:tcBorders>
              <w:top w:val="nil"/>
              <w:left w:val="nil"/>
              <w:bottom w:val="nil"/>
              <w:right w:val="nil"/>
            </w:tcBorders>
          </w:tcPr>
          <w:p w14:paraId="23FF3074"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-34910</w:t>
            </w:r>
          </w:p>
        </w:tc>
        <w:tc>
          <w:tcPr>
            <w:tcW w:w="687" w:type="pct"/>
            <w:tcBorders>
              <w:top w:val="nil"/>
              <w:left w:val="nil"/>
              <w:bottom w:val="nil"/>
              <w:right w:val="nil"/>
            </w:tcBorders>
          </w:tcPr>
          <w:p w14:paraId="0FF29AC0"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-14987</w:t>
            </w:r>
          </w:p>
        </w:tc>
        <w:tc>
          <w:tcPr>
            <w:tcW w:w="687" w:type="pct"/>
            <w:tcBorders>
              <w:top w:val="nil"/>
              <w:left w:val="nil"/>
              <w:bottom w:val="nil"/>
              <w:right w:val="nil"/>
            </w:tcBorders>
          </w:tcPr>
          <w:p w14:paraId="69276B99"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-19983</w:t>
            </w:r>
          </w:p>
        </w:tc>
        <w:tc>
          <w:tcPr>
            <w:tcW w:w="687" w:type="pct"/>
            <w:tcBorders>
              <w:top w:val="nil"/>
              <w:left w:val="nil"/>
              <w:bottom w:val="nil"/>
              <w:right w:val="nil"/>
            </w:tcBorders>
          </w:tcPr>
          <w:p w14:paraId="2857C119"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-115116</w:t>
            </w:r>
          </w:p>
        </w:tc>
        <w:tc>
          <w:tcPr>
            <w:tcW w:w="829" w:type="pct"/>
            <w:tcBorders>
              <w:top w:val="nil"/>
              <w:left w:val="nil"/>
              <w:bottom w:val="nil"/>
              <w:right w:val="nil"/>
            </w:tcBorders>
          </w:tcPr>
          <w:p w14:paraId="4997A0DE"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-69329</w:t>
            </w:r>
          </w:p>
        </w:tc>
      </w:tr>
      <w:tr w:rsidR="00715FCB" w:rsidRPr="00CD4846" w14:paraId="53A7FF05" w14:textId="77777777" w:rsidTr="00715FCB">
        <w:tc>
          <w:tcPr>
            <w:tcW w:w="1423" w:type="pct"/>
            <w:tcBorders>
              <w:top w:val="nil"/>
              <w:left w:val="nil"/>
              <w:bottom w:val="nil"/>
              <w:right w:val="nil"/>
            </w:tcBorders>
          </w:tcPr>
          <w:p w14:paraId="6B0B63E4" w14:textId="158987AB"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Akaike’s Criterion</w:t>
            </w:r>
          </w:p>
        </w:tc>
        <w:tc>
          <w:tcPr>
            <w:tcW w:w="687" w:type="pct"/>
            <w:tcBorders>
              <w:top w:val="nil"/>
              <w:left w:val="nil"/>
              <w:bottom w:val="nil"/>
              <w:right w:val="nil"/>
            </w:tcBorders>
          </w:tcPr>
          <w:p w14:paraId="2F04203C"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69857</w:t>
            </w:r>
          </w:p>
        </w:tc>
        <w:tc>
          <w:tcPr>
            <w:tcW w:w="687" w:type="pct"/>
            <w:tcBorders>
              <w:top w:val="nil"/>
              <w:left w:val="nil"/>
              <w:bottom w:val="nil"/>
              <w:right w:val="nil"/>
            </w:tcBorders>
          </w:tcPr>
          <w:p w14:paraId="4C5561C2"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30011</w:t>
            </w:r>
          </w:p>
        </w:tc>
        <w:tc>
          <w:tcPr>
            <w:tcW w:w="687" w:type="pct"/>
            <w:tcBorders>
              <w:top w:val="nil"/>
              <w:left w:val="nil"/>
              <w:bottom w:val="nil"/>
              <w:right w:val="nil"/>
            </w:tcBorders>
          </w:tcPr>
          <w:p w14:paraId="02941FA7"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40003</w:t>
            </w:r>
          </w:p>
        </w:tc>
        <w:tc>
          <w:tcPr>
            <w:tcW w:w="687" w:type="pct"/>
            <w:tcBorders>
              <w:top w:val="nil"/>
              <w:left w:val="nil"/>
              <w:bottom w:val="nil"/>
              <w:right w:val="nil"/>
            </w:tcBorders>
          </w:tcPr>
          <w:p w14:paraId="078F0AC9"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230269</w:t>
            </w:r>
          </w:p>
        </w:tc>
        <w:tc>
          <w:tcPr>
            <w:tcW w:w="829" w:type="pct"/>
            <w:tcBorders>
              <w:top w:val="nil"/>
              <w:left w:val="nil"/>
              <w:bottom w:val="nil"/>
              <w:right w:val="nil"/>
            </w:tcBorders>
          </w:tcPr>
          <w:p w14:paraId="159D6E95"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138695</w:t>
            </w:r>
          </w:p>
        </w:tc>
      </w:tr>
      <w:tr w:rsidR="00715FCB" w:rsidRPr="00CD4846" w14:paraId="5C40A921" w14:textId="77777777" w:rsidTr="00715FCB">
        <w:tc>
          <w:tcPr>
            <w:tcW w:w="1423" w:type="pct"/>
            <w:tcBorders>
              <w:top w:val="nil"/>
              <w:left w:val="nil"/>
              <w:bottom w:val="nil"/>
              <w:right w:val="nil"/>
            </w:tcBorders>
          </w:tcPr>
          <w:p w14:paraId="6EEF368C" w14:textId="5826742D"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Bayesian Criterion</w:t>
            </w:r>
          </w:p>
        </w:tc>
        <w:tc>
          <w:tcPr>
            <w:tcW w:w="687" w:type="pct"/>
            <w:tcBorders>
              <w:top w:val="nil"/>
              <w:left w:val="nil"/>
              <w:bottom w:val="nil"/>
              <w:right w:val="nil"/>
            </w:tcBorders>
          </w:tcPr>
          <w:p w14:paraId="6A0C8534"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69994</w:t>
            </w:r>
          </w:p>
        </w:tc>
        <w:tc>
          <w:tcPr>
            <w:tcW w:w="687" w:type="pct"/>
            <w:tcBorders>
              <w:top w:val="nil"/>
              <w:left w:val="nil"/>
              <w:bottom w:val="nil"/>
              <w:right w:val="nil"/>
            </w:tcBorders>
          </w:tcPr>
          <w:p w14:paraId="7D5F0EE7"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30141</w:t>
            </w:r>
          </w:p>
        </w:tc>
        <w:tc>
          <w:tcPr>
            <w:tcW w:w="687" w:type="pct"/>
            <w:tcBorders>
              <w:top w:val="nil"/>
              <w:left w:val="nil"/>
              <w:bottom w:val="nil"/>
              <w:right w:val="nil"/>
            </w:tcBorders>
          </w:tcPr>
          <w:p w14:paraId="42CBAD27"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40139</w:t>
            </w:r>
          </w:p>
        </w:tc>
        <w:tc>
          <w:tcPr>
            <w:tcW w:w="687" w:type="pct"/>
            <w:tcBorders>
              <w:top w:val="nil"/>
              <w:left w:val="nil"/>
              <w:bottom w:val="nil"/>
              <w:right w:val="nil"/>
            </w:tcBorders>
          </w:tcPr>
          <w:p w14:paraId="1ABE871D"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230416</w:t>
            </w:r>
          </w:p>
        </w:tc>
        <w:tc>
          <w:tcPr>
            <w:tcW w:w="829" w:type="pct"/>
            <w:tcBorders>
              <w:top w:val="nil"/>
              <w:left w:val="nil"/>
              <w:bottom w:val="nil"/>
              <w:right w:val="nil"/>
            </w:tcBorders>
          </w:tcPr>
          <w:p w14:paraId="1A522420"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138842</w:t>
            </w:r>
          </w:p>
        </w:tc>
      </w:tr>
      <w:tr w:rsidR="00715FCB" w:rsidRPr="00CD4846" w14:paraId="43A1DC02" w14:textId="77777777" w:rsidTr="00715FCB">
        <w:tc>
          <w:tcPr>
            <w:tcW w:w="1423" w:type="pct"/>
            <w:tcBorders>
              <w:top w:val="nil"/>
              <w:left w:val="nil"/>
              <w:bottom w:val="nil"/>
              <w:right w:val="nil"/>
            </w:tcBorders>
          </w:tcPr>
          <w:p w14:paraId="37A53819"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County FE</w:t>
            </w:r>
          </w:p>
        </w:tc>
        <w:tc>
          <w:tcPr>
            <w:tcW w:w="687" w:type="pct"/>
            <w:tcBorders>
              <w:top w:val="nil"/>
              <w:left w:val="nil"/>
              <w:bottom w:val="nil"/>
              <w:right w:val="nil"/>
            </w:tcBorders>
          </w:tcPr>
          <w:p w14:paraId="5865DA24"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687" w:type="pct"/>
            <w:tcBorders>
              <w:top w:val="nil"/>
              <w:left w:val="nil"/>
              <w:bottom w:val="nil"/>
              <w:right w:val="nil"/>
            </w:tcBorders>
          </w:tcPr>
          <w:p w14:paraId="566E86B8"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687" w:type="pct"/>
            <w:tcBorders>
              <w:top w:val="nil"/>
              <w:left w:val="nil"/>
              <w:bottom w:val="nil"/>
              <w:right w:val="nil"/>
            </w:tcBorders>
          </w:tcPr>
          <w:p w14:paraId="69333368"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687" w:type="pct"/>
            <w:tcBorders>
              <w:top w:val="nil"/>
              <w:left w:val="nil"/>
              <w:bottom w:val="nil"/>
              <w:right w:val="nil"/>
            </w:tcBorders>
          </w:tcPr>
          <w:p w14:paraId="6C481291"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829" w:type="pct"/>
            <w:tcBorders>
              <w:top w:val="nil"/>
              <w:left w:val="nil"/>
              <w:bottom w:val="nil"/>
              <w:right w:val="nil"/>
            </w:tcBorders>
          </w:tcPr>
          <w:p w14:paraId="23FD3332"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r>
      <w:tr w:rsidR="00715FCB" w:rsidRPr="00CD4846" w14:paraId="375C2C75" w14:textId="77777777" w:rsidTr="00715FCB">
        <w:tc>
          <w:tcPr>
            <w:tcW w:w="1423" w:type="pct"/>
            <w:tcBorders>
              <w:top w:val="nil"/>
              <w:left w:val="nil"/>
              <w:bottom w:val="nil"/>
              <w:right w:val="nil"/>
            </w:tcBorders>
          </w:tcPr>
          <w:p w14:paraId="33820036"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State by Year FE</w:t>
            </w:r>
          </w:p>
        </w:tc>
        <w:tc>
          <w:tcPr>
            <w:tcW w:w="687" w:type="pct"/>
            <w:tcBorders>
              <w:top w:val="nil"/>
              <w:left w:val="nil"/>
              <w:bottom w:val="nil"/>
              <w:right w:val="nil"/>
            </w:tcBorders>
          </w:tcPr>
          <w:p w14:paraId="1D4ED609"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687" w:type="pct"/>
            <w:tcBorders>
              <w:top w:val="nil"/>
              <w:left w:val="nil"/>
              <w:bottom w:val="nil"/>
              <w:right w:val="nil"/>
            </w:tcBorders>
          </w:tcPr>
          <w:p w14:paraId="7475D682"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687" w:type="pct"/>
            <w:tcBorders>
              <w:top w:val="nil"/>
              <w:left w:val="nil"/>
              <w:bottom w:val="nil"/>
              <w:right w:val="nil"/>
            </w:tcBorders>
          </w:tcPr>
          <w:p w14:paraId="67B31EC1"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687" w:type="pct"/>
            <w:tcBorders>
              <w:top w:val="nil"/>
              <w:left w:val="nil"/>
              <w:bottom w:val="nil"/>
              <w:right w:val="nil"/>
            </w:tcBorders>
          </w:tcPr>
          <w:p w14:paraId="5DAFB0BF"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829" w:type="pct"/>
            <w:tcBorders>
              <w:top w:val="nil"/>
              <w:left w:val="nil"/>
              <w:bottom w:val="nil"/>
              <w:right w:val="nil"/>
            </w:tcBorders>
          </w:tcPr>
          <w:p w14:paraId="381C7909"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r>
    </w:tbl>
    <w:p w14:paraId="19168080" w14:textId="77777777" w:rsidR="00715FCB" w:rsidRPr="00CD4846" w:rsidRDefault="00715FCB" w:rsidP="00095E25">
      <w:pPr>
        <w:pStyle w:val="Title"/>
      </w:pPr>
      <w:bookmarkStart w:id="240" w:name="_Toc188359617"/>
      <w:bookmarkStart w:id="241" w:name="_Toc188359905"/>
      <w:bookmarkStart w:id="242" w:name="_Toc188361141"/>
      <w:bookmarkStart w:id="243" w:name="_Toc188366985"/>
      <w:r w:rsidRPr="00CD4846">
        <w:t xml:space="preserve">Table A12: Regression Results of Broad </w:t>
      </w:r>
      <w:r w:rsidRPr="00CD4846">
        <w:rPr>
          <w:rFonts w:ascii="SimSun" w:hAnsi="SimSun" w:cs="SimSun"/>
        </w:rPr>
        <w:t xml:space="preserve">PADs on </w:t>
      </w:r>
      <w:r w:rsidRPr="00CD4846">
        <w:t>Total Entries</w:t>
      </w:r>
      <w:bookmarkEnd w:id="240"/>
      <w:bookmarkEnd w:id="241"/>
      <w:bookmarkEnd w:id="242"/>
      <w:bookmarkEnd w:id="243"/>
    </w:p>
    <w:p w14:paraId="75E27268" w14:textId="77777777" w:rsidR="00715FCB" w:rsidRDefault="00715FCB" w:rsidP="00FD1BBF">
      <w:pPr>
        <w:spacing w:line="240" w:lineRule="auto"/>
      </w:pPr>
    </w:p>
    <w:p w14:paraId="078E5B81" w14:textId="77777777" w:rsidR="003959BE" w:rsidRDefault="003959BE" w:rsidP="00FD1BBF">
      <w:pPr>
        <w:spacing w:line="240" w:lineRule="auto"/>
      </w:pPr>
    </w:p>
    <w:p w14:paraId="219C9067" w14:textId="77777777" w:rsidR="003959BE" w:rsidRDefault="003959BE" w:rsidP="00FD1BBF">
      <w:pPr>
        <w:spacing w:line="240" w:lineRule="auto"/>
      </w:pPr>
    </w:p>
    <w:p w14:paraId="0FA45F58" w14:textId="77777777" w:rsidR="003959BE" w:rsidRDefault="003959BE" w:rsidP="00FD1BBF">
      <w:pPr>
        <w:spacing w:line="240" w:lineRule="auto"/>
      </w:pPr>
    </w:p>
    <w:p w14:paraId="4F6BA972" w14:textId="77777777" w:rsidR="003959BE" w:rsidRDefault="003959BE" w:rsidP="00FD1BBF">
      <w:pPr>
        <w:spacing w:line="240" w:lineRule="auto"/>
      </w:pPr>
    </w:p>
    <w:p w14:paraId="640DC9DD" w14:textId="77777777" w:rsidR="003959BE" w:rsidRDefault="003959BE" w:rsidP="00FD1BBF">
      <w:pPr>
        <w:spacing w:line="240" w:lineRule="auto"/>
      </w:pPr>
    </w:p>
    <w:tbl>
      <w:tblPr>
        <w:tblpPr w:leftFromText="180" w:rightFromText="180" w:vertAnchor="text" w:horzAnchor="margin" w:tblpY="316"/>
        <w:tblW w:w="5000" w:type="pct"/>
        <w:tblLook w:val="04A0" w:firstRow="1" w:lastRow="0" w:firstColumn="1" w:lastColumn="0" w:noHBand="0" w:noVBand="1"/>
      </w:tblPr>
      <w:tblGrid>
        <w:gridCol w:w="2664"/>
        <w:gridCol w:w="1286"/>
        <w:gridCol w:w="1286"/>
        <w:gridCol w:w="1286"/>
        <w:gridCol w:w="1286"/>
        <w:gridCol w:w="1552"/>
      </w:tblGrid>
      <w:tr w:rsidR="00715FCB" w:rsidRPr="00CD4846" w14:paraId="00BFC917" w14:textId="77777777" w:rsidTr="00715FCB">
        <w:tc>
          <w:tcPr>
            <w:tcW w:w="1423" w:type="pct"/>
            <w:tcBorders>
              <w:top w:val="single" w:sz="4" w:space="0" w:color="auto"/>
              <w:left w:val="nil"/>
              <w:bottom w:val="single" w:sz="4" w:space="0" w:color="auto"/>
              <w:right w:val="nil"/>
            </w:tcBorders>
          </w:tcPr>
          <w:p w14:paraId="473013E5" w14:textId="1A149641" w:rsidR="00715FCB" w:rsidRPr="00FF1F0E"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b/>
                <w:bCs/>
                <w:kern w:val="2"/>
                <w:sz w:val="20"/>
                <w:szCs w:val="20"/>
                <w:lang/>
              </w:rPr>
              <w:lastRenderedPageBreak/>
              <w:t>Variable</w:t>
            </w:r>
          </w:p>
        </w:tc>
        <w:tc>
          <w:tcPr>
            <w:tcW w:w="687" w:type="pct"/>
            <w:tcBorders>
              <w:top w:val="single" w:sz="4" w:space="0" w:color="auto"/>
              <w:left w:val="nil"/>
              <w:bottom w:val="single" w:sz="4" w:space="0" w:color="auto"/>
              <w:right w:val="nil"/>
            </w:tcBorders>
          </w:tcPr>
          <w:p w14:paraId="1A7818B4" w14:textId="22D50ABD" w:rsidR="00715FCB" w:rsidRPr="00FF1F0E"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b/>
                <w:bCs/>
                <w:kern w:val="2"/>
                <w:sz w:val="20"/>
                <w:szCs w:val="20"/>
                <w:lang/>
              </w:rPr>
              <w:t>NAICS 11</w:t>
            </w:r>
          </w:p>
        </w:tc>
        <w:tc>
          <w:tcPr>
            <w:tcW w:w="687" w:type="pct"/>
            <w:tcBorders>
              <w:top w:val="single" w:sz="4" w:space="0" w:color="auto"/>
              <w:left w:val="nil"/>
              <w:bottom w:val="single" w:sz="4" w:space="0" w:color="auto"/>
              <w:right w:val="nil"/>
            </w:tcBorders>
          </w:tcPr>
          <w:p w14:paraId="0C586312" w14:textId="6209C74E" w:rsidR="00715FCB" w:rsidRPr="00FF1F0E"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b/>
                <w:bCs/>
                <w:kern w:val="2"/>
                <w:sz w:val="20"/>
                <w:szCs w:val="20"/>
                <w:lang/>
              </w:rPr>
              <w:t>NAICS 21</w:t>
            </w:r>
          </w:p>
        </w:tc>
        <w:tc>
          <w:tcPr>
            <w:tcW w:w="687" w:type="pct"/>
            <w:tcBorders>
              <w:top w:val="single" w:sz="4" w:space="0" w:color="auto"/>
              <w:left w:val="nil"/>
              <w:bottom w:val="single" w:sz="4" w:space="0" w:color="auto"/>
              <w:right w:val="nil"/>
            </w:tcBorders>
          </w:tcPr>
          <w:p w14:paraId="35DD6D6D" w14:textId="2C2FE297" w:rsidR="00715FCB" w:rsidRPr="00FF1F0E"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b/>
                <w:bCs/>
                <w:kern w:val="2"/>
                <w:sz w:val="20"/>
                <w:szCs w:val="20"/>
                <w:lang/>
              </w:rPr>
              <w:t>NAICS 22</w:t>
            </w:r>
          </w:p>
        </w:tc>
        <w:tc>
          <w:tcPr>
            <w:tcW w:w="687" w:type="pct"/>
            <w:tcBorders>
              <w:top w:val="single" w:sz="4" w:space="0" w:color="auto"/>
              <w:left w:val="nil"/>
              <w:bottom w:val="single" w:sz="4" w:space="0" w:color="auto"/>
              <w:right w:val="nil"/>
            </w:tcBorders>
          </w:tcPr>
          <w:p w14:paraId="0ABBB7CE" w14:textId="441479DF" w:rsidR="00715FCB" w:rsidRPr="00FF1F0E"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b/>
                <w:bCs/>
                <w:kern w:val="2"/>
                <w:sz w:val="20"/>
                <w:szCs w:val="20"/>
                <w:lang/>
              </w:rPr>
              <w:t>NAICS 23</w:t>
            </w:r>
          </w:p>
        </w:tc>
        <w:tc>
          <w:tcPr>
            <w:tcW w:w="829" w:type="pct"/>
            <w:tcBorders>
              <w:top w:val="single" w:sz="4" w:space="0" w:color="auto"/>
              <w:left w:val="nil"/>
              <w:bottom w:val="single" w:sz="4" w:space="0" w:color="auto"/>
              <w:right w:val="nil"/>
            </w:tcBorders>
          </w:tcPr>
          <w:p w14:paraId="5E871F11" w14:textId="609430A2" w:rsidR="00715FCB" w:rsidRPr="00FF1F0E"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b/>
                <w:bCs/>
                <w:kern w:val="2"/>
                <w:sz w:val="20"/>
                <w:szCs w:val="20"/>
                <w:lang/>
              </w:rPr>
              <w:t>NAICS 31-33</w:t>
            </w:r>
          </w:p>
        </w:tc>
      </w:tr>
      <w:tr w:rsidR="00FD1BBF" w:rsidRPr="00CD4846" w14:paraId="606D493E" w14:textId="77777777" w:rsidTr="002A78A3">
        <w:tc>
          <w:tcPr>
            <w:tcW w:w="1423" w:type="pct"/>
            <w:tcBorders>
              <w:top w:val="single" w:sz="4" w:space="0" w:color="auto"/>
              <w:left w:val="nil"/>
              <w:right w:val="nil"/>
            </w:tcBorders>
          </w:tcPr>
          <w:p w14:paraId="66224457" w14:textId="465D2FD2"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NAICS FE</w:t>
            </w:r>
          </w:p>
        </w:tc>
        <w:tc>
          <w:tcPr>
            <w:tcW w:w="687" w:type="pct"/>
            <w:tcBorders>
              <w:top w:val="single" w:sz="4" w:space="0" w:color="auto"/>
              <w:left w:val="nil"/>
              <w:right w:val="nil"/>
            </w:tcBorders>
          </w:tcPr>
          <w:p w14:paraId="4BA4B484" w14:textId="7701DEE2"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687" w:type="pct"/>
            <w:tcBorders>
              <w:top w:val="single" w:sz="4" w:space="0" w:color="auto"/>
              <w:left w:val="nil"/>
              <w:right w:val="nil"/>
            </w:tcBorders>
          </w:tcPr>
          <w:p w14:paraId="08AE0FE9" w14:textId="1DD06DD4"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687" w:type="pct"/>
            <w:tcBorders>
              <w:top w:val="single" w:sz="4" w:space="0" w:color="auto"/>
              <w:left w:val="nil"/>
              <w:right w:val="nil"/>
            </w:tcBorders>
          </w:tcPr>
          <w:p w14:paraId="18A51CF6" w14:textId="60121CE1"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687" w:type="pct"/>
            <w:tcBorders>
              <w:top w:val="single" w:sz="4" w:space="0" w:color="auto"/>
              <w:left w:val="nil"/>
              <w:right w:val="nil"/>
            </w:tcBorders>
          </w:tcPr>
          <w:p w14:paraId="1154CF81" w14:textId="31EACCCA"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829" w:type="pct"/>
            <w:tcBorders>
              <w:top w:val="single" w:sz="4" w:space="0" w:color="auto"/>
              <w:left w:val="nil"/>
              <w:right w:val="nil"/>
            </w:tcBorders>
          </w:tcPr>
          <w:p w14:paraId="7DA93BEF" w14:textId="17BF2E30"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r>
      <w:tr w:rsidR="00715FCB" w:rsidRPr="00CD4846" w14:paraId="22DA2CFC" w14:textId="77777777" w:rsidTr="002A78A3">
        <w:tc>
          <w:tcPr>
            <w:tcW w:w="1423" w:type="pct"/>
            <w:tcBorders>
              <w:top w:val="nil"/>
              <w:left w:val="nil"/>
              <w:bottom w:val="single" w:sz="4" w:space="0" w:color="auto"/>
              <w:right w:val="nil"/>
            </w:tcBorders>
          </w:tcPr>
          <w:p w14:paraId="5B9FAE75" w14:textId="77777777" w:rsidR="00715FCB" w:rsidRPr="00CD4846" w:rsidRDefault="00715FCB" w:rsidP="00FF1F0E">
            <w:pPr>
              <w:widowControl w:val="0"/>
              <w:autoSpaceDE w:val="0"/>
              <w:autoSpaceDN w:val="0"/>
              <w:adjustRightInd w:val="0"/>
              <w:spacing w:line="240" w:lineRule="auto"/>
              <w:rPr>
                <w:rFonts w:eastAsia="Times New Roman" w:cs="Times New Roman"/>
                <w:color w:val="5F6368"/>
                <w:kern w:val="2"/>
                <w:sz w:val="20"/>
                <w:szCs w:val="20"/>
                <w:shd w:val="clear" w:color="auto" w:fill="FFFFFF"/>
                <w:lang/>
              </w:rPr>
            </w:pPr>
            <w:r w:rsidRPr="00CD4846">
              <w:rPr>
                <w:rFonts w:eastAsia="Times New Roman" w:cs="Times New Roman"/>
                <w:kern w:val="2"/>
                <w:sz w:val="20"/>
                <w:szCs w:val="20"/>
                <w:lang/>
              </w:rPr>
              <w:t>PA-PA</w:t>
            </w:r>
            <w:r w:rsidRPr="00CD4846">
              <w:rPr>
                <w:rFonts w:eastAsia="Times New Roman" w:cs="Times New Roman"/>
                <w:i/>
                <w:color w:val="5F6368"/>
                <w:kern w:val="2"/>
                <w:sz w:val="20"/>
                <w:szCs w:val="20"/>
                <w:shd w:val="clear" w:color="auto" w:fill="FFFFFF"/>
                <w:lang/>
              </w:rPr>
              <w:t>²</w:t>
            </w:r>
            <w:r w:rsidRPr="00CD4846">
              <w:rPr>
                <w:rFonts w:cs="Times New Roman"/>
                <w:i/>
                <w:color w:val="5F6368"/>
                <w:kern w:val="2"/>
                <w:sz w:val="20"/>
                <w:szCs w:val="20"/>
                <w:shd w:val="clear" w:color="auto" w:fill="FFFFFF"/>
                <w:lang/>
              </w:rPr>
              <w:t xml:space="preserve"> </w:t>
            </w:r>
            <w:r w:rsidRPr="00CD4846">
              <w:rPr>
                <w:rFonts w:eastAsia="Times New Roman" w:cs="Times New Roman"/>
                <w:kern w:val="2"/>
                <w:sz w:val="20"/>
                <w:szCs w:val="20"/>
                <w:lang/>
              </w:rPr>
              <w:t xml:space="preserve">Joint Test </w:t>
            </w:r>
            <w:r w:rsidRPr="00CD4846">
              <w:rPr>
                <w:rFonts w:cs="Times New Roman"/>
                <w:kern w:val="2"/>
                <w:sz w:val="20"/>
                <w:szCs w:val="20"/>
                <w:lang/>
              </w:rPr>
              <w:t>p-value</w:t>
            </w:r>
          </w:p>
        </w:tc>
        <w:tc>
          <w:tcPr>
            <w:tcW w:w="687" w:type="pct"/>
            <w:tcBorders>
              <w:top w:val="nil"/>
              <w:left w:val="nil"/>
              <w:bottom w:val="single" w:sz="4" w:space="0" w:color="auto"/>
              <w:right w:val="nil"/>
            </w:tcBorders>
          </w:tcPr>
          <w:p w14:paraId="17F49DAA"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0.0001</w:t>
            </w:r>
          </w:p>
        </w:tc>
        <w:tc>
          <w:tcPr>
            <w:tcW w:w="687" w:type="pct"/>
            <w:tcBorders>
              <w:top w:val="nil"/>
              <w:left w:val="nil"/>
              <w:bottom w:val="single" w:sz="4" w:space="0" w:color="auto"/>
              <w:right w:val="nil"/>
            </w:tcBorders>
          </w:tcPr>
          <w:p w14:paraId="1E515076"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0.4328</w:t>
            </w:r>
          </w:p>
        </w:tc>
        <w:tc>
          <w:tcPr>
            <w:tcW w:w="687" w:type="pct"/>
            <w:tcBorders>
              <w:top w:val="nil"/>
              <w:left w:val="nil"/>
              <w:bottom w:val="single" w:sz="4" w:space="0" w:color="auto"/>
              <w:right w:val="nil"/>
            </w:tcBorders>
          </w:tcPr>
          <w:p w14:paraId="30888035"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0.0004</w:t>
            </w:r>
          </w:p>
        </w:tc>
        <w:tc>
          <w:tcPr>
            <w:tcW w:w="687" w:type="pct"/>
            <w:tcBorders>
              <w:top w:val="nil"/>
              <w:left w:val="nil"/>
              <w:bottom w:val="single" w:sz="4" w:space="0" w:color="auto"/>
              <w:right w:val="nil"/>
            </w:tcBorders>
          </w:tcPr>
          <w:p w14:paraId="7FAB33B6"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0.6279</w:t>
            </w:r>
          </w:p>
        </w:tc>
        <w:tc>
          <w:tcPr>
            <w:tcW w:w="829" w:type="pct"/>
            <w:tcBorders>
              <w:top w:val="nil"/>
              <w:left w:val="nil"/>
              <w:bottom w:val="single" w:sz="4" w:space="0" w:color="auto"/>
              <w:right w:val="nil"/>
            </w:tcBorders>
          </w:tcPr>
          <w:p w14:paraId="65EBD1BD" w14:textId="77777777" w:rsidR="00715FCB" w:rsidRPr="00CD4846" w:rsidRDefault="00715FCB" w:rsidP="00FF1F0E">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0.0127</w:t>
            </w:r>
          </w:p>
        </w:tc>
      </w:tr>
    </w:tbl>
    <w:p w14:paraId="1FBAB752" w14:textId="6E52FC02" w:rsidR="00CD4846" w:rsidRPr="00715FCB" w:rsidRDefault="00715FCB" w:rsidP="004C39A4">
      <w:pPr>
        <w:rPr>
          <w:b/>
          <w:bCs/>
        </w:rPr>
      </w:pPr>
      <w:r w:rsidRPr="00715FCB">
        <w:rPr>
          <w:b/>
          <w:bCs/>
        </w:rPr>
        <w:t>Table A12</w:t>
      </w:r>
      <w:bookmarkEnd w:id="239"/>
      <w:r w:rsidRPr="00715FCB">
        <w:rPr>
          <w:b/>
          <w:bCs/>
        </w:rPr>
        <w:t xml:space="preserve"> Continued</w:t>
      </w:r>
    </w:p>
    <w:p w14:paraId="4646D492" w14:textId="2943A039" w:rsidR="00CD4846" w:rsidRPr="00715FCB" w:rsidRDefault="00CD4846" w:rsidP="004C39A4">
      <w:pPr>
        <w:spacing w:line="240" w:lineRule="auto"/>
        <w:rPr>
          <w:rFonts w:ascii="Calibri" w:eastAsia="DengXian" w:hAnsi="Calibri"/>
          <w:i/>
          <w:iCs/>
          <w:sz w:val="20"/>
          <w:szCs w:val="20"/>
          <w:lang/>
        </w:rPr>
      </w:pPr>
      <w:r w:rsidRPr="00715FCB">
        <w:rPr>
          <w:rFonts w:hint="eastAsia"/>
          <w:sz w:val="20"/>
          <w:szCs w:val="20"/>
          <w:lang/>
        </w:rPr>
        <w:t xml:space="preserve">Table </w:t>
      </w:r>
      <w:r w:rsidRPr="00715FCB">
        <w:rPr>
          <w:sz w:val="20"/>
          <w:szCs w:val="20"/>
          <w:lang/>
        </w:rPr>
        <w:t>A12</w:t>
      </w:r>
      <w:r w:rsidRPr="00715FCB">
        <w:rPr>
          <w:rFonts w:hint="eastAsia"/>
          <w:sz w:val="20"/>
          <w:szCs w:val="20"/>
          <w:lang/>
        </w:rPr>
        <w:t xml:space="preserve">: </w:t>
      </w:r>
      <w:r w:rsidRPr="00715FCB">
        <w:rPr>
          <w:sz w:val="20"/>
          <w:szCs w:val="20"/>
          <w:lang/>
        </w:rPr>
        <w:t>PPMLHDFE r</w:t>
      </w:r>
      <w:r w:rsidRPr="00715FCB">
        <w:rPr>
          <w:rFonts w:hint="eastAsia"/>
          <w:sz w:val="20"/>
          <w:szCs w:val="20"/>
          <w:lang/>
        </w:rPr>
        <w:t xml:space="preserve">egression results </w:t>
      </w:r>
      <w:r w:rsidRPr="00715FCB">
        <w:rPr>
          <w:sz w:val="20"/>
          <w:szCs w:val="20"/>
          <w:lang/>
        </w:rPr>
        <w:t xml:space="preserve">on total establishment entries under broad PADs (GAP 1-4) are presented above. Column names correspond to a specific NAICS sector. </w:t>
      </w:r>
      <w:r w:rsidR="002A78A3" w:rsidRPr="00C624DB">
        <w:rPr>
          <w:sz w:val="20"/>
          <w:szCs w:val="20"/>
          <w:lang/>
        </w:rPr>
        <w:t xml:space="preserve">Standard errors are </w:t>
      </w:r>
      <w:r w:rsidR="002A78A3">
        <w:rPr>
          <w:sz w:val="20"/>
          <w:szCs w:val="20"/>
          <w:lang/>
        </w:rPr>
        <w:t xml:space="preserve">in parentheses and are </w:t>
      </w:r>
      <w:r w:rsidR="002A78A3" w:rsidRPr="00C624DB">
        <w:rPr>
          <w:sz w:val="20"/>
          <w:szCs w:val="20"/>
          <w:lang/>
        </w:rPr>
        <w:t xml:space="preserve">clustered at the county level. </w:t>
      </w:r>
      <w:r w:rsidR="002A78A3" w:rsidRPr="002C0F11">
        <w:rPr>
          <w:sz w:val="20"/>
          <w:szCs w:val="20"/>
          <w:lang/>
        </w:rPr>
        <w:t>Statistically significant impacts are denoted by asterisks. These asterisks denote statistical significance at the following levels: ***p &lt; 0.01, **p &lt; 0.05, *p &lt; 0.1.</w:t>
      </w:r>
      <w:r w:rsidR="002A78A3">
        <w:rPr>
          <w:sz w:val="20"/>
          <w:szCs w:val="20"/>
          <w:lang/>
        </w:rPr>
        <w:t xml:space="preserve"> </w:t>
      </w:r>
      <w:r w:rsidRPr="00715FCB">
        <w:rPr>
          <w:sz w:val="20"/>
          <w:szCs w:val="20"/>
          <w:lang/>
        </w:rPr>
        <w:t xml:space="preserve">p-values of joint-tests on linear and quadratic PAD terms are shown in the last row. </w:t>
      </w:r>
    </w:p>
    <w:p w14:paraId="2655B42A" w14:textId="77777777" w:rsidR="00CD4846" w:rsidRPr="00CD4846" w:rsidRDefault="00CD4846" w:rsidP="004C39A4">
      <w:pPr>
        <w:spacing w:line="256" w:lineRule="auto"/>
        <w:rPr>
          <w:rFonts w:ascii="DengXian" w:hAnsi="DengXian" w:cs="Times New Roman"/>
          <w:kern w:val="2"/>
          <w:sz w:val="22"/>
          <w:szCs w:val="22"/>
          <w:lang/>
        </w:rPr>
      </w:pPr>
    </w:p>
    <w:p w14:paraId="40ED81E7" w14:textId="77777777" w:rsidR="00CD4846" w:rsidRPr="00CD4846" w:rsidRDefault="00CD4846" w:rsidP="004C39A4">
      <w:pPr>
        <w:widowControl w:val="0"/>
        <w:autoSpaceDE w:val="0"/>
        <w:autoSpaceDN w:val="0"/>
        <w:adjustRightInd w:val="0"/>
        <w:spacing w:line="240" w:lineRule="auto"/>
        <w:rPr>
          <w:rFonts w:ascii="Garamond" w:hAnsi="Garamond" w:cs="Times New Roman"/>
          <w:b/>
          <w:bCs/>
          <w:kern w:val="2"/>
          <w:sz w:val="20"/>
          <w:szCs w:val="20"/>
          <w:lang/>
        </w:rPr>
      </w:pPr>
    </w:p>
    <w:p w14:paraId="729D622B" w14:textId="77777777" w:rsidR="00CD4846" w:rsidRPr="00CD4846" w:rsidRDefault="00CD4846" w:rsidP="004C39A4">
      <w:pPr>
        <w:spacing w:line="256" w:lineRule="auto"/>
        <w:rPr>
          <w:rFonts w:ascii="Garamond" w:hAnsi="Garamond" w:cs="Times New Roman"/>
          <w:b/>
          <w:bCs/>
          <w:kern w:val="2"/>
          <w:sz w:val="20"/>
          <w:szCs w:val="20"/>
          <w:lang/>
        </w:rPr>
      </w:pPr>
      <w:r w:rsidRPr="00CD4846">
        <w:rPr>
          <w:rFonts w:ascii="Garamond" w:hAnsi="Garamond" w:cs="Times New Roman"/>
          <w:b/>
          <w:bCs/>
          <w:kern w:val="2"/>
          <w:sz w:val="20"/>
          <w:szCs w:val="20"/>
          <w:lang/>
        </w:rPr>
        <w:br w:type="page"/>
      </w:r>
    </w:p>
    <w:p w14:paraId="1ACBF100" w14:textId="77777777" w:rsidR="00CD4846" w:rsidRPr="00CD4846" w:rsidRDefault="00CD4846" w:rsidP="00095E25">
      <w:pPr>
        <w:pStyle w:val="Title"/>
      </w:pPr>
      <w:bookmarkStart w:id="244" w:name="_Toc186799417"/>
      <w:bookmarkStart w:id="245" w:name="_Toc188359618"/>
      <w:bookmarkStart w:id="246" w:name="_Toc188359906"/>
      <w:bookmarkStart w:id="247" w:name="_Toc188361142"/>
      <w:bookmarkStart w:id="248" w:name="_Toc188366986"/>
      <w:r w:rsidRPr="00CD4846">
        <w:lastRenderedPageBreak/>
        <w:t>Table A13: Regression Results of Broad PADs on Establishment Deaths</w:t>
      </w:r>
      <w:bookmarkEnd w:id="244"/>
      <w:bookmarkEnd w:id="245"/>
      <w:bookmarkEnd w:id="246"/>
      <w:bookmarkEnd w:id="247"/>
      <w:bookmarkEnd w:id="248"/>
    </w:p>
    <w:tbl>
      <w:tblPr>
        <w:tblW w:w="5000" w:type="pct"/>
        <w:tblLook w:val="04A0" w:firstRow="1" w:lastRow="0" w:firstColumn="1" w:lastColumn="0" w:noHBand="0" w:noVBand="1"/>
      </w:tblPr>
      <w:tblGrid>
        <w:gridCol w:w="2664"/>
        <w:gridCol w:w="1286"/>
        <w:gridCol w:w="1286"/>
        <w:gridCol w:w="1286"/>
        <w:gridCol w:w="1286"/>
        <w:gridCol w:w="1552"/>
      </w:tblGrid>
      <w:tr w:rsidR="00CD4846" w:rsidRPr="00CD4846" w14:paraId="3BFC3066" w14:textId="77777777" w:rsidTr="00B82EB9">
        <w:tc>
          <w:tcPr>
            <w:tcW w:w="1423" w:type="pct"/>
            <w:tcBorders>
              <w:top w:val="single" w:sz="4" w:space="0" w:color="auto"/>
              <w:left w:val="nil"/>
              <w:bottom w:val="single" w:sz="4" w:space="0" w:color="auto"/>
              <w:right w:val="nil"/>
            </w:tcBorders>
          </w:tcPr>
          <w:p w14:paraId="1CE95DB3" w14:textId="6AD55E32" w:rsidR="00CD4846" w:rsidRPr="00CD4846" w:rsidRDefault="00CD4846" w:rsidP="0058540A">
            <w:pPr>
              <w:widowControl w:val="0"/>
              <w:autoSpaceDE w:val="0"/>
              <w:autoSpaceDN w:val="0"/>
              <w:adjustRightInd w:val="0"/>
              <w:spacing w:line="240" w:lineRule="auto"/>
              <w:rPr>
                <w:rFonts w:cs="Times New Roman"/>
                <w:b/>
                <w:bCs/>
                <w:kern w:val="2"/>
                <w:sz w:val="20"/>
                <w:szCs w:val="20"/>
                <w:lang/>
              </w:rPr>
            </w:pPr>
            <w:r w:rsidRPr="00CD4846">
              <w:rPr>
                <w:rFonts w:cs="Times New Roman"/>
                <w:b/>
                <w:bCs/>
                <w:kern w:val="2"/>
                <w:sz w:val="20"/>
                <w:szCs w:val="20"/>
                <w:lang/>
              </w:rPr>
              <w:t>Variable</w:t>
            </w:r>
          </w:p>
        </w:tc>
        <w:tc>
          <w:tcPr>
            <w:tcW w:w="687" w:type="pct"/>
            <w:tcBorders>
              <w:top w:val="single" w:sz="4" w:space="0" w:color="auto"/>
              <w:left w:val="nil"/>
              <w:bottom w:val="single" w:sz="4" w:space="0" w:color="auto"/>
              <w:right w:val="nil"/>
            </w:tcBorders>
          </w:tcPr>
          <w:p w14:paraId="3FBC678E" w14:textId="168B99BB" w:rsidR="00CD4846" w:rsidRPr="00CD4846" w:rsidRDefault="00CD4846" w:rsidP="0058540A">
            <w:pPr>
              <w:widowControl w:val="0"/>
              <w:autoSpaceDE w:val="0"/>
              <w:autoSpaceDN w:val="0"/>
              <w:adjustRightInd w:val="0"/>
              <w:spacing w:line="240" w:lineRule="auto"/>
              <w:rPr>
                <w:rFonts w:cs="Times New Roman"/>
                <w:b/>
                <w:bCs/>
                <w:kern w:val="2"/>
                <w:sz w:val="20"/>
                <w:szCs w:val="20"/>
                <w:lang/>
              </w:rPr>
            </w:pPr>
            <w:r w:rsidRPr="00CD4846">
              <w:rPr>
                <w:rFonts w:cs="Times New Roman"/>
                <w:b/>
                <w:bCs/>
                <w:kern w:val="2"/>
                <w:sz w:val="20"/>
                <w:szCs w:val="20"/>
                <w:lang/>
              </w:rPr>
              <w:t>NAICS 11</w:t>
            </w:r>
          </w:p>
        </w:tc>
        <w:tc>
          <w:tcPr>
            <w:tcW w:w="687" w:type="pct"/>
            <w:tcBorders>
              <w:top w:val="single" w:sz="4" w:space="0" w:color="auto"/>
              <w:left w:val="nil"/>
              <w:bottom w:val="single" w:sz="4" w:space="0" w:color="auto"/>
              <w:right w:val="nil"/>
            </w:tcBorders>
          </w:tcPr>
          <w:p w14:paraId="39DD9006" w14:textId="04954E43" w:rsidR="00CD4846" w:rsidRPr="00CD4846" w:rsidRDefault="00CD4846" w:rsidP="0058540A">
            <w:pPr>
              <w:widowControl w:val="0"/>
              <w:autoSpaceDE w:val="0"/>
              <w:autoSpaceDN w:val="0"/>
              <w:adjustRightInd w:val="0"/>
              <w:spacing w:line="240" w:lineRule="auto"/>
              <w:rPr>
                <w:rFonts w:cs="Times New Roman"/>
                <w:b/>
                <w:bCs/>
                <w:kern w:val="2"/>
                <w:sz w:val="20"/>
                <w:szCs w:val="20"/>
                <w:lang/>
              </w:rPr>
            </w:pPr>
            <w:r w:rsidRPr="00CD4846">
              <w:rPr>
                <w:rFonts w:cs="Times New Roman"/>
                <w:b/>
                <w:bCs/>
                <w:kern w:val="2"/>
                <w:sz w:val="20"/>
                <w:szCs w:val="20"/>
                <w:lang/>
              </w:rPr>
              <w:t>NAICS 21</w:t>
            </w:r>
          </w:p>
        </w:tc>
        <w:tc>
          <w:tcPr>
            <w:tcW w:w="687" w:type="pct"/>
            <w:tcBorders>
              <w:top w:val="single" w:sz="4" w:space="0" w:color="auto"/>
              <w:left w:val="nil"/>
              <w:bottom w:val="single" w:sz="4" w:space="0" w:color="auto"/>
              <w:right w:val="nil"/>
            </w:tcBorders>
          </w:tcPr>
          <w:p w14:paraId="03EAFD11" w14:textId="6EE82413" w:rsidR="00CD4846" w:rsidRPr="00CD4846" w:rsidRDefault="00CD4846" w:rsidP="0058540A">
            <w:pPr>
              <w:widowControl w:val="0"/>
              <w:autoSpaceDE w:val="0"/>
              <w:autoSpaceDN w:val="0"/>
              <w:adjustRightInd w:val="0"/>
              <w:spacing w:line="240" w:lineRule="auto"/>
              <w:rPr>
                <w:rFonts w:cs="Times New Roman"/>
                <w:b/>
                <w:bCs/>
                <w:kern w:val="2"/>
                <w:sz w:val="20"/>
                <w:szCs w:val="20"/>
                <w:lang/>
              </w:rPr>
            </w:pPr>
            <w:r w:rsidRPr="00CD4846">
              <w:rPr>
                <w:rFonts w:cs="Times New Roman"/>
                <w:b/>
                <w:bCs/>
                <w:kern w:val="2"/>
                <w:sz w:val="20"/>
                <w:szCs w:val="20"/>
                <w:lang/>
              </w:rPr>
              <w:t>NAICS 22</w:t>
            </w:r>
          </w:p>
        </w:tc>
        <w:tc>
          <w:tcPr>
            <w:tcW w:w="687" w:type="pct"/>
            <w:tcBorders>
              <w:top w:val="single" w:sz="4" w:space="0" w:color="auto"/>
              <w:left w:val="nil"/>
              <w:bottom w:val="single" w:sz="4" w:space="0" w:color="auto"/>
              <w:right w:val="nil"/>
            </w:tcBorders>
          </w:tcPr>
          <w:p w14:paraId="68FB2235" w14:textId="5ABCCE88" w:rsidR="00CD4846" w:rsidRPr="00CD4846" w:rsidRDefault="00CD4846" w:rsidP="0058540A">
            <w:pPr>
              <w:widowControl w:val="0"/>
              <w:autoSpaceDE w:val="0"/>
              <w:autoSpaceDN w:val="0"/>
              <w:adjustRightInd w:val="0"/>
              <w:spacing w:line="240" w:lineRule="auto"/>
              <w:rPr>
                <w:rFonts w:cs="Times New Roman"/>
                <w:b/>
                <w:bCs/>
                <w:kern w:val="2"/>
                <w:sz w:val="20"/>
                <w:szCs w:val="20"/>
                <w:lang/>
              </w:rPr>
            </w:pPr>
            <w:r w:rsidRPr="00CD4846">
              <w:rPr>
                <w:rFonts w:cs="Times New Roman"/>
                <w:b/>
                <w:bCs/>
                <w:kern w:val="2"/>
                <w:sz w:val="20"/>
                <w:szCs w:val="20"/>
                <w:lang/>
              </w:rPr>
              <w:t>NAICS 23</w:t>
            </w:r>
          </w:p>
        </w:tc>
        <w:tc>
          <w:tcPr>
            <w:tcW w:w="829" w:type="pct"/>
            <w:tcBorders>
              <w:top w:val="single" w:sz="4" w:space="0" w:color="auto"/>
              <w:left w:val="nil"/>
              <w:bottom w:val="single" w:sz="4" w:space="0" w:color="auto"/>
              <w:right w:val="nil"/>
            </w:tcBorders>
          </w:tcPr>
          <w:p w14:paraId="055C2B77" w14:textId="184C2B53" w:rsidR="00CD4846" w:rsidRPr="00CD4846" w:rsidRDefault="00CD4846" w:rsidP="0058540A">
            <w:pPr>
              <w:widowControl w:val="0"/>
              <w:autoSpaceDE w:val="0"/>
              <w:autoSpaceDN w:val="0"/>
              <w:adjustRightInd w:val="0"/>
              <w:spacing w:line="240" w:lineRule="auto"/>
              <w:rPr>
                <w:rFonts w:cs="Times New Roman"/>
                <w:b/>
                <w:bCs/>
                <w:kern w:val="2"/>
                <w:sz w:val="20"/>
                <w:szCs w:val="20"/>
                <w:lang/>
              </w:rPr>
            </w:pPr>
            <w:r w:rsidRPr="00CD4846">
              <w:rPr>
                <w:rFonts w:cs="Times New Roman"/>
                <w:b/>
                <w:bCs/>
                <w:kern w:val="2"/>
                <w:sz w:val="20"/>
                <w:szCs w:val="20"/>
                <w:lang/>
              </w:rPr>
              <w:t>NAICS 31-33</w:t>
            </w:r>
          </w:p>
        </w:tc>
      </w:tr>
      <w:tr w:rsidR="00CD4846" w:rsidRPr="00CD4846" w14:paraId="707AA555" w14:textId="77777777" w:rsidTr="00B82EB9">
        <w:tc>
          <w:tcPr>
            <w:tcW w:w="1423" w:type="pct"/>
            <w:tcBorders>
              <w:top w:val="single" w:sz="4" w:space="0" w:color="auto"/>
              <w:left w:val="nil"/>
              <w:bottom w:val="nil"/>
              <w:right w:val="nil"/>
            </w:tcBorders>
          </w:tcPr>
          <w:p w14:paraId="54D98D6C" w14:textId="3D26C28E"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Broad PADs (t-1)</w:t>
            </w:r>
          </w:p>
        </w:tc>
        <w:tc>
          <w:tcPr>
            <w:tcW w:w="687" w:type="pct"/>
            <w:tcBorders>
              <w:top w:val="single" w:sz="4" w:space="0" w:color="auto"/>
              <w:left w:val="nil"/>
              <w:bottom w:val="nil"/>
              <w:right w:val="nil"/>
            </w:tcBorders>
          </w:tcPr>
          <w:p w14:paraId="3913564E"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-0.491</w:t>
            </w:r>
          </w:p>
        </w:tc>
        <w:tc>
          <w:tcPr>
            <w:tcW w:w="687" w:type="pct"/>
            <w:tcBorders>
              <w:top w:val="single" w:sz="4" w:space="0" w:color="auto"/>
              <w:left w:val="nil"/>
              <w:bottom w:val="nil"/>
              <w:right w:val="nil"/>
            </w:tcBorders>
          </w:tcPr>
          <w:p w14:paraId="35E2C1A8"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5.628</w:t>
            </w:r>
          </w:p>
        </w:tc>
        <w:tc>
          <w:tcPr>
            <w:tcW w:w="687" w:type="pct"/>
            <w:tcBorders>
              <w:top w:val="single" w:sz="4" w:space="0" w:color="auto"/>
              <w:left w:val="nil"/>
              <w:bottom w:val="nil"/>
              <w:right w:val="nil"/>
            </w:tcBorders>
          </w:tcPr>
          <w:p w14:paraId="572C2345"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1.368</w:t>
            </w:r>
          </w:p>
        </w:tc>
        <w:tc>
          <w:tcPr>
            <w:tcW w:w="687" w:type="pct"/>
            <w:tcBorders>
              <w:top w:val="single" w:sz="4" w:space="0" w:color="auto"/>
              <w:left w:val="nil"/>
              <w:bottom w:val="nil"/>
              <w:right w:val="nil"/>
            </w:tcBorders>
          </w:tcPr>
          <w:p w14:paraId="5351F4B8"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0.933</w:t>
            </w:r>
          </w:p>
        </w:tc>
        <w:tc>
          <w:tcPr>
            <w:tcW w:w="829" w:type="pct"/>
            <w:tcBorders>
              <w:top w:val="single" w:sz="4" w:space="0" w:color="auto"/>
              <w:left w:val="nil"/>
              <w:bottom w:val="nil"/>
              <w:right w:val="nil"/>
            </w:tcBorders>
          </w:tcPr>
          <w:p w14:paraId="0A260AD8"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-1.639</w:t>
            </w:r>
          </w:p>
        </w:tc>
      </w:tr>
      <w:tr w:rsidR="00CD4846" w:rsidRPr="00CD4846" w14:paraId="47FE2929" w14:textId="77777777" w:rsidTr="00B82EB9">
        <w:tc>
          <w:tcPr>
            <w:tcW w:w="1423" w:type="pct"/>
            <w:tcBorders>
              <w:top w:val="nil"/>
              <w:left w:val="nil"/>
              <w:bottom w:val="nil"/>
              <w:right w:val="nil"/>
            </w:tcBorders>
          </w:tcPr>
          <w:p w14:paraId="2C2595CE" w14:textId="13028C4B"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87" w:type="pct"/>
            <w:tcBorders>
              <w:top w:val="nil"/>
              <w:left w:val="nil"/>
              <w:bottom w:val="nil"/>
              <w:right w:val="nil"/>
            </w:tcBorders>
          </w:tcPr>
          <w:p w14:paraId="38F0D747"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(2.034)</w:t>
            </w:r>
          </w:p>
        </w:tc>
        <w:tc>
          <w:tcPr>
            <w:tcW w:w="687" w:type="pct"/>
            <w:tcBorders>
              <w:top w:val="nil"/>
              <w:left w:val="nil"/>
              <w:bottom w:val="nil"/>
              <w:right w:val="nil"/>
            </w:tcBorders>
          </w:tcPr>
          <w:p w14:paraId="0A7F97A9"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(5.294)</w:t>
            </w:r>
          </w:p>
        </w:tc>
        <w:tc>
          <w:tcPr>
            <w:tcW w:w="687" w:type="pct"/>
            <w:tcBorders>
              <w:top w:val="nil"/>
              <w:left w:val="nil"/>
              <w:bottom w:val="nil"/>
              <w:right w:val="nil"/>
            </w:tcBorders>
          </w:tcPr>
          <w:p w14:paraId="5BE9F234"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(3.763)</w:t>
            </w:r>
          </w:p>
        </w:tc>
        <w:tc>
          <w:tcPr>
            <w:tcW w:w="687" w:type="pct"/>
            <w:tcBorders>
              <w:top w:val="nil"/>
              <w:left w:val="nil"/>
              <w:bottom w:val="nil"/>
              <w:right w:val="nil"/>
            </w:tcBorders>
          </w:tcPr>
          <w:p w14:paraId="38FD9D7E"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(1.533)</w:t>
            </w:r>
          </w:p>
        </w:tc>
        <w:tc>
          <w:tcPr>
            <w:tcW w:w="829" w:type="pct"/>
            <w:tcBorders>
              <w:top w:val="nil"/>
              <w:left w:val="nil"/>
              <w:bottom w:val="nil"/>
              <w:right w:val="nil"/>
            </w:tcBorders>
          </w:tcPr>
          <w:p w14:paraId="748FB420"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(1.152)</w:t>
            </w:r>
          </w:p>
        </w:tc>
      </w:tr>
      <w:tr w:rsidR="00CD4846" w:rsidRPr="00CD4846" w14:paraId="39F5931F" w14:textId="77777777" w:rsidTr="00B82EB9">
        <w:tc>
          <w:tcPr>
            <w:tcW w:w="1423" w:type="pct"/>
            <w:tcBorders>
              <w:top w:val="nil"/>
              <w:left w:val="nil"/>
              <w:bottom w:val="nil"/>
              <w:right w:val="nil"/>
            </w:tcBorders>
          </w:tcPr>
          <w:p w14:paraId="7C7DD558" w14:textId="63CCD064"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Broad PADs Sq. (t-1)</w:t>
            </w:r>
          </w:p>
        </w:tc>
        <w:tc>
          <w:tcPr>
            <w:tcW w:w="687" w:type="pct"/>
            <w:tcBorders>
              <w:top w:val="nil"/>
              <w:left w:val="nil"/>
              <w:bottom w:val="nil"/>
              <w:right w:val="nil"/>
            </w:tcBorders>
          </w:tcPr>
          <w:p w14:paraId="026E8DCE"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-0.267</w:t>
            </w:r>
          </w:p>
        </w:tc>
        <w:tc>
          <w:tcPr>
            <w:tcW w:w="687" w:type="pct"/>
            <w:tcBorders>
              <w:top w:val="nil"/>
              <w:left w:val="nil"/>
              <w:bottom w:val="nil"/>
              <w:right w:val="nil"/>
            </w:tcBorders>
          </w:tcPr>
          <w:p w14:paraId="6642BCA0"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-4.707</w:t>
            </w:r>
          </w:p>
        </w:tc>
        <w:tc>
          <w:tcPr>
            <w:tcW w:w="687" w:type="pct"/>
            <w:tcBorders>
              <w:top w:val="nil"/>
              <w:left w:val="nil"/>
              <w:bottom w:val="nil"/>
              <w:right w:val="nil"/>
            </w:tcBorders>
          </w:tcPr>
          <w:p w14:paraId="294B2716"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-3.570</w:t>
            </w:r>
          </w:p>
        </w:tc>
        <w:tc>
          <w:tcPr>
            <w:tcW w:w="687" w:type="pct"/>
            <w:tcBorders>
              <w:top w:val="nil"/>
              <w:left w:val="nil"/>
              <w:bottom w:val="nil"/>
              <w:right w:val="nil"/>
            </w:tcBorders>
          </w:tcPr>
          <w:p w14:paraId="4327431F"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-2.127</w:t>
            </w:r>
          </w:p>
        </w:tc>
        <w:tc>
          <w:tcPr>
            <w:tcW w:w="829" w:type="pct"/>
            <w:tcBorders>
              <w:top w:val="nil"/>
              <w:left w:val="nil"/>
              <w:bottom w:val="nil"/>
              <w:right w:val="nil"/>
            </w:tcBorders>
          </w:tcPr>
          <w:p w14:paraId="5446C4B7"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2.677**</w:t>
            </w:r>
          </w:p>
        </w:tc>
      </w:tr>
      <w:tr w:rsidR="00CD4846" w:rsidRPr="00CD4846" w14:paraId="3419F98D" w14:textId="77777777" w:rsidTr="00B82EB9">
        <w:tc>
          <w:tcPr>
            <w:tcW w:w="1423" w:type="pct"/>
            <w:tcBorders>
              <w:top w:val="nil"/>
              <w:left w:val="nil"/>
              <w:bottom w:val="nil"/>
              <w:right w:val="nil"/>
            </w:tcBorders>
          </w:tcPr>
          <w:p w14:paraId="1D19E2A8" w14:textId="4363808B"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87" w:type="pct"/>
            <w:tcBorders>
              <w:top w:val="nil"/>
              <w:left w:val="nil"/>
              <w:bottom w:val="nil"/>
              <w:right w:val="nil"/>
            </w:tcBorders>
          </w:tcPr>
          <w:p w14:paraId="05190B12"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(1.773)</w:t>
            </w:r>
          </w:p>
        </w:tc>
        <w:tc>
          <w:tcPr>
            <w:tcW w:w="687" w:type="pct"/>
            <w:tcBorders>
              <w:top w:val="nil"/>
              <w:left w:val="nil"/>
              <w:bottom w:val="nil"/>
              <w:right w:val="nil"/>
            </w:tcBorders>
          </w:tcPr>
          <w:p w14:paraId="2CCA6252"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(5.416)</w:t>
            </w:r>
          </w:p>
        </w:tc>
        <w:tc>
          <w:tcPr>
            <w:tcW w:w="687" w:type="pct"/>
            <w:tcBorders>
              <w:top w:val="nil"/>
              <w:left w:val="nil"/>
              <w:bottom w:val="nil"/>
              <w:right w:val="nil"/>
            </w:tcBorders>
          </w:tcPr>
          <w:p w14:paraId="6B2AA0C7"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(3.539)</w:t>
            </w:r>
          </w:p>
        </w:tc>
        <w:tc>
          <w:tcPr>
            <w:tcW w:w="687" w:type="pct"/>
            <w:tcBorders>
              <w:top w:val="nil"/>
              <w:left w:val="nil"/>
              <w:bottom w:val="nil"/>
              <w:right w:val="nil"/>
            </w:tcBorders>
          </w:tcPr>
          <w:p w14:paraId="5D66ECF3"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(1.665)</w:t>
            </w:r>
          </w:p>
        </w:tc>
        <w:tc>
          <w:tcPr>
            <w:tcW w:w="829" w:type="pct"/>
            <w:tcBorders>
              <w:top w:val="nil"/>
              <w:left w:val="nil"/>
              <w:bottom w:val="nil"/>
              <w:right w:val="nil"/>
            </w:tcBorders>
          </w:tcPr>
          <w:p w14:paraId="509D0D74"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(1.088)</w:t>
            </w:r>
          </w:p>
        </w:tc>
      </w:tr>
      <w:tr w:rsidR="00CD4846" w:rsidRPr="00CD4846" w14:paraId="35E6EF4E" w14:textId="77777777" w:rsidTr="00B82EB9">
        <w:tc>
          <w:tcPr>
            <w:tcW w:w="1423" w:type="pct"/>
            <w:tcBorders>
              <w:top w:val="nil"/>
              <w:left w:val="nil"/>
              <w:bottom w:val="nil"/>
              <w:right w:val="nil"/>
            </w:tcBorders>
          </w:tcPr>
          <w:p w14:paraId="63876AF7" w14:textId="5B4723C5"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Loc. Economies (t-1) (10ks)</w:t>
            </w:r>
          </w:p>
        </w:tc>
        <w:tc>
          <w:tcPr>
            <w:tcW w:w="687" w:type="pct"/>
            <w:tcBorders>
              <w:top w:val="nil"/>
              <w:left w:val="nil"/>
              <w:bottom w:val="nil"/>
              <w:right w:val="nil"/>
            </w:tcBorders>
          </w:tcPr>
          <w:p w14:paraId="5D1F7047"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81.567***</w:t>
            </w:r>
          </w:p>
        </w:tc>
        <w:tc>
          <w:tcPr>
            <w:tcW w:w="687" w:type="pct"/>
            <w:tcBorders>
              <w:top w:val="nil"/>
              <w:left w:val="nil"/>
              <w:bottom w:val="nil"/>
              <w:right w:val="nil"/>
            </w:tcBorders>
          </w:tcPr>
          <w:p w14:paraId="1A2338E0"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49.349***</w:t>
            </w:r>
          </w:p>
        </w:tc>
        <w:tc>
          <w:tcPr>
            <w:tcW w:w="687" w:type="pct"/>
            <w:tcBorders>
              <w:top w:val="nil"/>
              <w:left w:val="nil"/>
              <w:bottom w:val="nil"/>
              <w:right w:val="nil"/>
            </w:tcBorders>
          </w:tcPr>
          <w:p w14:paraId="54499E20"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269.946***</w:t>
            </w:r>
          </w:p>
        </w:tc>
        <w:tc>
          <w:tcPr>
            <w:tcW w:w="687" w:type="pct"/>
            <w:tcBorders>
              <w:top w:val="nil"/>
              <w:left w:val="nil"/>
              <w:bottom w:val="nil"/>
              <w:right w:val="nil"/>
            </w:tcBorders>
          </w:tcPr>
          <w:p w14:paraId="274406AC"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1.381***</w:t>
            </w:r>
          </w:p>
        </w:tc>
        <w:tc>
          <w:tcPr>
            <w:tcW w:w="829" w:type="pct"/>
            <w:tcBorders>
              <w:top w:val="nil"/>
              <w:left w:val="nil"/>
              <w:bottom w:val="nil"/>
              <w:right w:val="nil"/>
            </w:tcBorders>
          </w:tcPr>
          <w:p w14:paraId="77C0AE2D"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1.810***</w:t>
            </w:r>
          </w:p>
        </w:tc>
      </w:tr>
      <w:tr w:rsidR="00CD4846" w:rsidRPr="00CD4846" w14:paraId="5BA53782" w14:textId="77777777" w:rsidTr="00B82EB9">
        <w:tc>
          <w:tcPr>
            <w:tcW w:w="1423" w:type="pct"/>
            <w:tcBorders>
              <w:top w:val="nil"/>
              <w:left w:val="nil"/>
              <w:bottom w:val="nil"/>
              <w:right w:val="nil"/>
            </w:tcBorders>
          </w:tcPr>
          <w:p w14:paraId="77776005" w14:textId="53341D26"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87" w:type="pct"/>
            <w:tcBorders>
              <w:top w:val="nil"/>
              <w:left w:val="nil"/>
              <w:bottom w:val="nil"/>
              <w:right w:val="nil"/>
            </w:tcBorders>
          </w:tcPr>
          <w:p w14:paraId="39AB941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(11.166)</w:t>
            </w:r>
          </w:p>
        </w:tc>
        <w:tc>
          <w:tcPr>
            <w:tcW w:w="687" w:type="pct"/>
            <w:tcBorders>
              <w:top w:val="nil"/>
              <w:left w:val="nil"/>
              <w:bottom w:val="nil"/>
              <w:right w:val="nil"/>
            </w:tcBorders>
          </w:tcPr>
          <w:p w14:paraId="065DA60E"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(7.224)</w:t>
            </w:r>
          </w:p>
        </w:tc>
        <w:tc>
          <w:tcPr>
            <w:tcW w:w="687" w:type="pct"/>
            <w:tcBorders>
              <w:top w:val="nil"/>
              <w:left w:val="nil"/>
              <w:bottom w:val="nil"/>
              <w:right w:val="nil"/>
            </w:tcBorders>
          </w:tcPr>
          <w:p w14:paraId="51B81D2F"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(50.494)</w:t>
            </w:r>
          </w:p>
        </w:tc>
        <w:tc>
          <w:tcPr>
            <w:tcW w:w="687" w:type="pct"/>
            <w:tcBorders>
              <w:top w:val="nil"/>
              <w:left w:val="nil"/>
              <w:bottom w:val="nil"/>
              <w:right w:val="nil"/>
            </w:tcBorders>
          </w:tcPr>
          <w:p w14:paraId="1F447376"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(0.303)</w:t>
            </w:r>
          </w:p>
        </w:tc>
        <w:tc>
          <w:tcPr>
            <w:tcW w:w="829" w:type="pct"/>
            <w:tcBorders>
              <w:top w:val="nil"/>
              <w:left w:val="nil"/>
              <w:bottom w:val="nil"/>
              <w:right w:val="nil"/>
            </w:tcBorders>
          </w:tcPr>
          <w:p w14:paraId="200E321D"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(0.540)</w:t>
            </w:r>
          </w:p>
        </w:tc>
      </w:tr>
      <w:tr w:rsidR="00CD4846" w:rsidRPr="00CD4846" w14:paraId="3A85C25B" w14:textId="77777777" w:rsidTr="00B82EB9">
        <w:tc>
          <w:tcPr>
            <w:tcW w:w="1423" w:type="pct"/>
            <w:tcBorders>
              <w:top w:val="nil"/>
              <w:left w:val="nil"/>
              <w:bottom w:val="nil"/>
              <w:right w:val="nil"/>
            </w:tcBorders>
          </w:tcPr>
          <w:p w14:paraId="6C4F602C" w14:textId="114F19D1"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Median HH Income (100ks)</w:t>
            </w:r>
          </w:p>
        </w:tc>
        <w:tc>
          <w:tcPr>
            <w:tcW w:w="687" w:type="pct"/>
            <w:tcBorders>
              <w:top w:val="nil"/>
              <w:left w:val="nil"/>
              <w:bottom w:val="nil"/>
              <w:right w:val="nil"/>
            </w:tcBorders>
          </w:tcPr>
          <w:p w14:paraId="3C29720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-0.007</w:t>
            </w:r>
          </w:p>
        </w:tc>
        <w:tc>
          <w:tcPr>
            <w:tcW w:w="687" w:type="pct"/>
            <w:tcBorders>
              <w:top w:val="nil"/>
              <w:left w:val="nil"/>
              <w:bottom w:val="nil"/>
              <w:right w:val="nil"/>
            </w:tcBorders>
          </w:tcPr>
          <w:p w14:paraId="1D08E5C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-2.051**</w:t>
            </w:r>
          </w:p>
        </w:tc>
        <w:tc>
          <w:tcPr>
            <w:tcW w:w="687" w:type="pct"/>
            <w:tcBorders>
              <w:top w:val="nil"/>
              <w:left w:val="nil"/>
              <w:bottom w:val="nil"/>
              <w:right w:val="nil"/>
            </w:tcBorders>
          </w:tcPr>
          <w:p w14:paraId="79644F65"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0.266</w:t>
            </w:r>
          </w:p>
        </w:tc>
        <w:tc>
          <w:tcPr>
            <w:tcW w:w="687" w:type="pct"/>
            <w:tcBorders>
              <w:top w:val="nil"/>
              <w:left w:val="nil"/>
              <w:bottom w:val="nil"/>
              <w:right w:val="nil"/>
            </w:tcBorders>
          </w:tcPr>
          <w:p w14:paraId="1846CDCE"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-0.222</w:t>
            </w:r>
          </w:p>
        </w:tc>
        <w:tc>
          <w:tcPr>
            <w:tcW w:w="829" w:type="pct"/>
            <w:tcBorders>
              <w:top w:val="nil"/>
              <w:left w:val="nil"/>
              <w:bottom w:val="nil"/>
              <w:right w:val="nil"/>
            </w:tcBorders>
          </w:tcPr>
          <w:p w14:paraId="6F5211E7"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-0.393**</w:t>
            </w:r>
          </w:p>
        </w:tc>
      </w:tr>
      <w:tr w:rsidR="00CD4846" w:rsidRPr="00CD4846" w14:paraId="1F17E042" w14:textId="77777777" w:rsidTr="00B82EB9">
        <w:tc>
          <w:tcPr>
            <w:tcW w:w="1423" w:type="pct"/>
            <w:tcBorders>
              <w:top w:val="nil"/>
              <w:left w:val="nil"/>
              <w:bottom w:val="nil"/>
              <w:right w:val="nil"/>
            </w:tcBorders>
          </w:tcPr>
          <w:p w14:paraId="387DE537" w14:textId="229E26B1"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87" w:type="pct"/>
            <w:tcBorders>
              <w:top w:val="nil"/>
              <w:left w:val="nil"/>
              <w:bottom w:val="nil"/>
              <w:right w:val="nil"/>
            </w:tcBorders>
          </w:tcPr>
          <w:p w14:paraId="50CF45BF"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(0.247)</w:t>
            </w:r>
          </w:p>
        </w:tc>
        <w:tc>
          <w:tcPr>
            <w:tcW w:w="687" w:type="pct"/>
            <w:tcBorders>
              <w:top w:val="nil"/>
              <w:left w:val="nil"/>
              <w:bottom w:val="nil"/>
              <w:right w:val="nil"/>
            </w:tcBorders>
          </w:tcPr>
          <w:p w14:paraId="3AB39744"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(0.920)</w:t>
            </w:r>
          </w:p>
        </w:tc>
        <w:tc>
          <w:tcPr>
            <w:tcW w:w="687" w:type="pct"/>
            <w:tcBorders>
              <w:top w:val="nil"/>
              <w:left w:val="nil"/>
              <w:bottom w:val="nil"/>
              <w:right w:val="nil"/>
            </w:tcBorders>
          </w:tcPr>
          <w:p w14:paraId="16BECE3E"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(0.422)</w:t>
            </w:r>
          </w:p>
        </w:tc>
        <w:tc>
          <w:tcPr>
            <w:tcW w:w="687" w:type="pct"/>
            <w:tcBorders>
              <w:top w:val="nil"/>
              <w:left w:val="nil"/>
              <w:bottom w:val="nil"/>
              <w:right w:val="nil"/>
            </w:tcBorders>
          </w:tcPr>
          <w:p w14:paraId="30FADF64"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(0.182)</w:t>
            </w:r>
          </w:p>
        </w:tc>
        <w:tc>
          <w:tcPr>
            <w:tcW w:w="829" w:type="pct"/>
            <w:tcBorders>
              <w:top w:val="nil"/>
              <w:left w:val="nil"/>
              <w:bottom w:val="nil"/>
              <w:right w:val="nil"/>
            </w:tcBorders>
          </w:tcPr>
          <w:p w14:paraId="2358C204"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(0.173)</w:t>
            </w:r>
          </w:p>
        </w:tc>
      </w:tr>
      <w:tr w:rsidR="00CD4846" w:rsidRPr="00CD4846" w14:paraId="652FB245" w14:textId="77777777" w:rsidTr="00B82EB9">
        <w:tc>
          <w:tcPr>
            <w:tcW w:w="1423" w:type="pct"/>
            <w:tcBorders>
              <w:top w:val="nil"/>
              <w:left w:val="nil"/>
              <w:bottom w:val="nil"/>
              <w:right w:val="nil"/>
            </w:tcBorders>
          </w:tcPr>
          <w:p w14:paraId="7202FE6B" w14:textId="283F1DE2"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Housing Price Index (100s)</w:t>
            </w:r>
          </w:p>
        </w:tc>
        <w:tc>
          <w:tcPr>
            <w:tcW w:w="687" w:type="pct"/>
            <w:tcBorders>
              <w:top w:val="nil"/>
              <w:left w:val="nil"/>
              <w:bottom w:val="nil"/>
              <w:right w:val="nil"/>
            </w:tcBorders>
          </w:tcPr>
          <w:p w14:paraId="77E742C8"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-0.021</w:t>
            </w:r>
          </w:p>
        </w:tc>
        <w:tc>
          <w:tcPr>
            <w:tcW w:w="687" w:type="pct"/>
            <w:tcBorders>
              <w:top w:val="nil"/>
              <w:left w:val="nil"/>
              <w:bottom w:val="nil"/>
              <w:right w:val="nil"/>
            </w:tcBorders>
          </w:tcPr>
          <w:p w14:paraId="7DF9F2D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0.011</w:t>
            </w:r>
          </w:p>
        </w:tc>
        <w:tc>
          <w:tcPr>
            <w:tcW w:w="687" w:type="pct"/>
            <w:tcBorders>
              <w:top w:val="nil"/>
              <w:left w:val="nil"/>
              <w:bottom w:val="nil"/>
              <w:right w:val="nil"/>
            </w:tcBorders>
          </w:tcPr>
          <w:p w14:paraId="78E6B3AA"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-0.072**</w:t>
            </w:r>
          </w:p>
        </w:tc>
        <w:tc>
          <w:tcPr>
            <w:tcW w:w="687" w:type="pct"/>
            <w:tcBorders>
              <w:top w:val="nil"/>
              <w:left w:val="nil"/>
              <w:bottom w:val="nil"/>
              <w:right w:val="nil"/>
            </w:tcBorders>
          </w:tcPr>
          <w:p w14:paraId="4587878E"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0.035*</w:t>
            </w:r>
          </w:p>
        </w:tc>
        <w:tc>
          <w:tcPr>
            <w:tcW w:w="829" w:type="pct"/>
            <w:tcBorders>
              <w:top w:val="nil"/>
              <w:left w:val="nil"/>
              <w:bottom w:val="nil"/>
              <w:right w:val="nil"/>
            </w:tcBorders>
          </w:tcPr>
          <w:p w14:paraId="7B6823B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0.048***</w:t>
            </w:r>
          </w:p>
        </w:tc>
      </w:tr>
      <w:tr w:rsidR="00CD4846" w:rsidRPr="00CD4846" w14:paraId="0E42BB7A" w14:textId="77777777" w:rsidTr="00B82EB9">
        <w:tc>
          <w:tcPr>
            <w:tcW w:w="1423" w:type="pct"/>
            <w:tcBorders>
              <w:top w:val="nil"/>
              <w:left w:val="nil"/>
              <w:bottom w:val="nil"/>
              <w:right w:val="nil"/>
            </w:tcBorders>
          </w:tcPr>
          <w:p w14:paraId="71D6EC49" w14:textId="186A28D1"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87" w:type="pct"/>
            <w:tcBorders>
              <w:top w:val="nil"/>
              <w:left w:val="nil"/>
              <w:bottom w:val="nil"/>
              <w:right w:val="nil"/>
            </w:tcBorders>
          </w:tcPr>
          <w:p w14:paraId="5D33A9F3"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(0.021)</w:t>
            </w:r>
          </w:p>
        </w:tc>
        <w:tc>
          <w:tcPr>
            <w:tcW w:w="687" w:type="pct"/>
            <w:tcBorders>
              <w:top w:val="nil"/>
              <w:left w:val="nil"/>
              <w:bottom w:val="nil"/>
              <w:right w:val="nil"/>
            </w:tcBorders>
          </w:tcPr>
          <w:p w14:paraId="220BABD1"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(0.060)</w:t>
            </w:r>
          </w:p>
        </w:tc>
        <w:tc>
          <w:tcPr>
            <w:tcW w:w="687" w:type="pct"/>
            <w:tcBorders>
              <w:top w:val="nil"/>
              <w:left w:val="nil"/>
              <w:bottom w:val="nil"/>
              <w:right w:val="nil"/>
            </w:tcBorders>
          </w:tcPr>
          <w:p w14:paraId="34CB30EA"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(0.030)</w:t>
            </w:r>
          </w:p>
        </w:tc>
        <w:tc>
          <w:tcPr>
            <w:tcW w:w="687" w:type="pct"/>
            <w:tcBorders>
              <w:top w:val="nil"/>
              <w:left w:val="nil"/>
              <w:bottom w:val="nil"/>
              <w:right w:val="nil"/>
            </w:tcBorders>
          </w:tcPr>
          <w:p w14:paraId="72205F7D"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(0.019)</w:t>
            </w:r>
          </w:p>
        </w:tc>
        <w:tc>
          <w:tcPr>
            <w:tcW w:w="829" w:type="pct"/>
            <w:tcBorders>
              <w:top w:val="nil"/>
              <w:left w:val="nil"/>
              <w:bottom w:val="nil"/>
              <w:right w:val="nil"/>
            </w:tcBorders>
          </w:tcPr>
          <w:p w14:paraId="5EFC407C"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(0.014)</w:t>
            </w:r>
          </w:p>
        </w:tc>
      </w:tr>
      <w:tr w:rsidR="00CD4846" w:rsidRPr="00CD4846" w14:paraId="282A0E1C" w14:textId="77777777" w:rsidTr="00B82EB9">
        <w:tc>
          <w:tcPr>
            <w:tcW w:w="1423" w:type="pct"/>
            <w:tcBorders>
              <w:top w:val="nil"/>
              <w:left w:val="nil"/>
              <w:bottom w:val="nil"/>
              <w:right w:val="nil"/>
            </w:tcBorders>
          </w:tcPr>
          <w:p w14:paraId="311EF669" w14:textId="3BAC98DE"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Poverty rate (100s)</w:t>
            </w:r>
          </w:p>
        </w:tc>
        <w:tc>
          <w:tcPr>
            <w:tcW w:w="687" w:type="pct"/>
            <w:tcBorders>
              <w:top w:val="nil"/>
              <w:left w:val="nil"/>
              <w:bottom w:val="nil"/>
              <w:right w:val="nil"/>
            </w:tcBorders>
          </w:tcPr>
          <w:p w14:paraId="0BDFF1BD"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0.197</w:t>
            </w:r>
          </w:p>
        </w:tc>
        <w:tc>
          <w:tcPr>
            <w:tcW w:w="687" w:type="pct"/>
            <w:tcBorders>
              <w:top w:val="nil"/>
              <w:left w:val="nil"/>
              <w:bottom w:val="nil"/>
              <w:right w:val="nil"/>
            </w:tcBorders>
          </w:tcPr>
          <w:p w14:paraId="2949A01A"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-0.683</w:t>
            </w:r>
          </w:p>
        </w:tc>
        <w:tc>
          <w:tcPr>
            <w:tcW w:w="687" w:type="pct"/>
            <w:tcBorders>
              <w:top w:val="nil"/>
              <w:left w:val="nil"/>
              <w:bottom w:val="nil"/>
              <w:right w:val="nil"/>
            </w:tcBorders>
          </w:tcPr>
          <w:p w14:paraId="088FC104"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0.257</w:t>
            </w:r>
          </w:p>
        </w:tc>
        <w:tc>
          <w:tcPr>
            <w:tcW w:w="687" w:type="pct"/>
            <w:tcBorders>
              <w:top w:val="nil"/>
              <w:left w:val="nil"/>
              <w:bottom w:val="nil"/>
              <w:right w:val="nil"/>
            </w:tcBorders>
          </w:tcPr>
          <w:p w14:paraId="0DEC7971"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-0.408</w:t>
            </w:r>
          </w:p>
        </w:tc>
        <w:tc>
          <w:tcPr>
            <w:tcW w:w="829" w:type="pct"/>
            <w:tcBorders>
              <w:top w:val="nil"/>
              <w:left w:val="nil"/>
              <w:bottom w:val="nil"/>
              <w:right w:val="nil"/>
            </w:tcBorders>
          </w:tcPr>
          <w:p w14:paraId="43FBA65D"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-0.202</w:t>
            </w:r>
          </w:p>
        </w:tc>
      </w:tr>
      <w:tr w:rsidR="00CD4846" w:rsidRPr="00CD4846" w14:paraId="6675B33C" w14:textId="77777777" w:rsidTr="00B82EB9">
        <w:tc>
          <w:tcPr>
            <w:tcW w:w="1423" w:type="pct"/>
            <w:tcBorders>
              <w:top w:val="nil"/>
              <w:left w:val="nil"/>
              <w:bottom w:val="nil"/>
              <w:right w:val="nil"/>
            </w:tcBorders>
          </w:tcPr>
          <w:p w14:paraId="706C1738" w14:textId="6771464D"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87" w:type="pct"/>
            <w:tcBorders>
              <w:top w:val="nil"/>
              <w:left w:val="nil"/>
              <w:bottom w:val="nil"/>
              <w:right w:val="nil"/>
            </w:tcBorders>
          </w:tcPr>
          <w:p w14:paraId="7DC3B162"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(0.396)</w:t>
            </w:r>
          </w:p>
        </w:tc>
        <w:tc>
          <w:tcPr>
            <w:tcW w:w="687" w:type="pct"/>
            <w:tcBorders>
              <w:top w:val="nil"/>
              <w:left w:val="nil"/>
              <w:bottom w:val="nil"/>
              <w:right w:val="nil"/>
            </w:tcBorders>
          </w:tcPr>
          <w:p w14:paraId="5778E81F"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(1.068)</w:t>
            </w:r>
          </w:p>
        </w:tc>
        <w:tc>
          <w:tcPr>
            <w:tcW w:w="687" w:type="pct"/>
            <w:tcBorders>
              <w:top w:val="nil"/>
              <w:left w:val="nil"/>
              <w:bottom w:val="nil"/>
              <w:right w:val="nil"/>
            </w:tcBorders>
          </w:tcPr>
          <w:p w14:paraId="546DE047"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(0.682)</w:t>
            </w:r>
          </w:p>
        </w:tc>
        <w:tc>
          <w:tcPr>
            <w:tcW w:w="687" w:type="pct"/>
            <w:tcBorders>
              <w:top w:val="nil"/>
              <w:left w:val="nil"/>
              <w:bottom w:val="nil"/>
              <w:right w:val="nil"/>
            </w:tcBorders>
          </w:tcPr>
          <w:p w14:paraId="1641D6A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(0.372)</w:t>
            </w:r>
          </w:p>
        </w:tc>
        <w:tc>
          <w:tcPr>
            <w:tcW w:w="829" w:type="pct"/>
            <w:tcBorders>
              <w:top w:val="nil"/>
              <w:left w:val="nil"/>
              <w:bottom w:val="nil"/>
              <w:right w:val="nil"/>
            </w:tcBorders>
          </w:tcPr>
          <w:p w14:paraId="76D50D8C"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(0.264)</w:t>
            </w:r>
          </w:p>
        </w:tc>
      </w:tr>
      <w:tr w:rsidR="00CD4846" w:rsidRPr="00CD4846" w14:paraId="727C74B6" w14:textId="77777777" w:rsidTr="00B82EB9">
        <w:tc>
          <w:tcPr>
            <w:tcW w:w="1423" w:type="pct"/>
            <w:tcBorders>
              <w:top w:val="nil"/>
              <w:left w:val="nil"/>
              <w:bottom w:val="nil"/>
              <w:right w:val="nil"/>
            </w:tcBorders>
          </w:tcPr>
          <w:p w14:paraId="4C69FCE8" w14:textId="7FA2E703"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Avg annual wages (100k)</w:t>
            </w:r>
          </w:p>
        </w:tc>
        <w:tc>
          <w:tcPr>
            <w:tcW w:w="687" w:type="pct"/>
            <w:tcBorders>
              <w:top w:val="nil"/>
              <w:left w:val="nil"/>
              <w:bottom w:val="nil"/>
              <w:right w:val="nil"/>
            </w:tcBorders>
          </w:tcPr>
          <w:p w14:paraId="191830A4"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-0.017</w:t>
            </w:r>
          </w:p>
        </w:tc>
        <w:tc>
          <w:tcPr>
            <w:tcW w:w="687" w:type="pct"/>
            <w:tcBorders>
              <w:top w:val="nil"/>
              <w:left w:val="nil"/>
              <w:bottom w:val="nil"/>
              <w:right w:val="nil"/>
            </w:tcBorders>
          </w:tcPr>
          <w:p w14:paraId="500ECDAE"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0.001</w:t>
            </w:r>
          </w:p>
        </w:tc>
        <w:tc>
          <w:tcPr>
            <w:tcW w:w="687" w:type="pct"/>
            <w:tcBorders>
              <w:top w:val="nil"/>
              <w:left w:val="nil"/>
              <w:bottom w:val="nil"/>
              <w:right w:val="nil"/>
            </w:tcBorders>
          </w:tcPr>
          <w:p w14:paraId="62F57EB3"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0.014</w:t>
            </w:r>
          </w:p>
        </w:tc>
        <w:tc>
          <w:tcPr>
            <w:tcW w:w="687" w:type="pct"/>
            <w:tcBorders>
              <w:top w:val="nil"/>
              <w:left w:val="nil"/>
              <w:bottom w:val="nil"/>
              <w:right w:val="nil"/>
            </w:tcBorders>
          </w:tcPr>
          <w:p w14:paraId="7F0A87D8"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0.005</w:t>
            </w:r>
          </w:p>
        </w:tc>
        <w:tc>
          <w:tcPr>
            <w:tcW w:w="829" w:type="pct"/>
            <w:tcBorders>
              <w:top w:val="nil"/>
              <w:left w:val="nil"/>
              <w:bottom w:val="nil"/>
              <w:right w:val="nil"/>
            </w:tcBorders>
          </w:tcPr>
          <w:p w14:paraId="520A5C1C"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-0.023***</w:t>
            </w:r>
          </w:p>
        </w:tc>
      </w:tr>
      <w:tr w:rsidR="00CD4846" w:rsidRPr="00CD4846" w14:paraId="4DC9BFD9" w14:textId="77777777" w:rsidTr="00B82EB9">
        <w:tc>
          <w:tcPr>
            <w:tcW w:w="1423" w:type="pct"/>
            <w:tcBorders>
              <w:top w:val="nil"/>
              <w:left w:val="nil"/>
              <w:bottom w:val="nil"/>
              <w:right w:val="nil"/>
            </w:tcBorders>
          </w:tcPr>
          <w:p w14:paraId="2B966274" w14:textId="278565A3"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87" w:type="pct"/>
            <w:tcBorders>
              <w:top w:val="nil"/>
              <w:left w:val="nil"/>
              <w:bottom w:val="nil"/>
              <w:right w:val="nil"/>
            </w:tcBorders>
          </w:tcPr>
          <w:p w14:paraId="434BCB31"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(0.014)</w:t>
            </w:r>
          </w:p>
        </w:tc>
        <w:tc>
          <w:tcPr>
            <w:tcW w:w="687" w:type="pct"/>
            <w:tcBorders>
              <w:top w:val="nil"/>
              <w:left w:val="nil"/>
              <w:bottom w:val="nil"/>
              <w:right w:val="nil"/>
            </w:tcBorders>
          </w:tcPr>
          <w:p w14:paraId="4DBEE27A"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(0.016)</w:t>
            </w:r>
          </w:p>
        </w:tc>
        <w:tc>
          <w:tcPr>
            <w:tcW w:w="687" w:type="pct"/>
            <w:tcBorders>
              <w:top w:val="nil"/>
              <w:left w:val="nil"/>
              <w:bottom w:val="nil"/>
              <w:right w:val="nil"/>
            </w:tcBorders>
          </w:tcPr>
          <w:p w14:paraId="2F034DB2"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(0.010)</w:t>
            </w:r>
          </w:p>
        </w:tc>
        <w:tc>
          <w:tcPr>
            <w:tcW w:w="687" w:type="pct"/>
            <w:tcBorders>
              <w:top w:val="nil"/>
              <w:left w:val="nil"/>
              <w:bottom w:val="nil"/>
              <w:right w:val="nil"/>
            </w:tcBorders>
          </w:tcPr>
          <w:p w14:paraId="2CC8644E"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(0.011)</w:t>
            </w:r>
          </w:p>
        </w:tc>
        <w:tc>
          <w:tcPr>
            <w:tcW w:w="829" w:type="pct"/>
            <w:tcBorders>
              <w:top w:val="nil"/>
              <w:left w:val="nil"/>
              <w:bottom w:val="nil"/>
              <w:right w:val="nil"/>
            </w:tcBorders>
          </w:tcPr>
          <w:p w14:paraId="1EBCD87C"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(0.009)</w:t>
            </w:r>
          </w:p>
        </w:tc>
      </w:tr>
      <w:tr w:rsidR="00CD4846" w:rsidRPr="00CD4846" w14:paraId="135C1DF7" w14:textId="77777777" w:rsidTr="00B82EB9">
        <w:tc>
          <w:tcPr>
            <w:tcW w:w="1423" w:type="pct"/>
            <w:tcBorders>
              <w:top w:val="nil"/>
              <w:left w:val="nil"/>
              <w:bottom w:val="nil"/>
              <w:right w:val="nil"/>
            </w:tcBorders>
          </w:tcPr>
          <w:p w14:paraId="4FD1C784" w14:textId="4398E852"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Attain. Status - CO (t-1)</w:t>
            </w:r>
          </w:p>
        </w:tc>
        <w:tc>
          <w:tcPr>
            <w:tcW w:w="687" w:type="pct"/>
            <w:tcBorders>
              <w:top w:val="nil"/>
              <w:left w:val="nil"/>
              <w:bottom w:val="nil"/>
              <w:right w:val="nil"/>
            </w:tcBorders>
          </w:tcPr>
          <w:p w14:paraId="3DDFEB12"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0.107</w:t>
            </w:r>
          </w:p>
        </w:tc>
        <w:tc>
          <w:tcPr>
            <w:tcW w:w="687" w:type="pct"/>
            <w:tcBorders>
              <w:top w:val="nil"/>
              <w:left w:val="nil"/>
              <w:bottom w:val="nil"/>
              <w:right w:val="nil"/>
            </w:tcBorders>
          </w:tcPr>
          <w:p w14:paraId="5249DC64"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-0.560</w:t>
            </w:r>
          </w:p>
        </w:tc>
        <w:tc>
          <w:tcPr>
            <w:tcW w:w="687" w:type="pct"/>
            <w:tcBorders>
              <w:top w:val="nil"/>
              <w:left w:val="nil"/>
              <w:bottom w:val="nil"/>
              <w:right w:val="nil"/>
            </w:tcBorders>
          </w:tcPr>
          <w:p w14:paraId="7698D3C6"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0.330</w:t>
            </w:r>
          </w:p>
        </w:tc>
        <w:tc>
          <w:tcPr>
            <w:tcW w:w="687" w:type="pct"/>
            <w:tcBorders>
              <w:top w:val="nil"/>
              <w:left w:val="nil"/>
              <w:bottom w:val="nil"/>
              <w:right w:val="nil"/>
            </w:tcBorders>
          </w:tcPr>
          <w:p w14:paraId="60013EE6"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0.241**</w:t>
            </w:r>
          </w:p>
        </w:tc>
        <w:tc>
          <w:tcPr>
            <w:tcW w:w="829" w:type="pct"/>
            <w:tcBorders>
              <w:top w:val="nil"/>
              <w:left w:val="nil"/>
              <w:bottom w:val="nil"/>
              <w:right w:val="nil"/>
            </w:tcBorders>
          </w:tcPr>
          <w:p w14:paraId="2AD6F405"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-0.356**</w:t>
            </w:r>
          </w:p>
        </w:tc>
      </w:tr>
      <w:tr w:rsidR="00CD4846" w:rsidRPr="00CD4846" w14:paraId="1CA159DE" w14:textId="77777777" w:rsidTr="00B82EB9">
        <w:tc>
          <w:tcPr>
            <w:tcW w:w="1423" w:type="pct"/>
            <w:tcBorders>
              <w:top w:val="nil"/>
              <w:left w:val="nil"/>
              <w:bottom w:val="nil"/>
              <w:right w:val="nil"/>
            </w:tcBorders>
          </w:tcPr>
          <w:p w14:paraId="4FF63E68" w14:textId="5C155DEA"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87" w:type="pct"/>
            <w:tcBorders>
              <w:top w:val="nil"/>
              <w:left w:val="nil"/>
              <w:bottom w:val="nil"/>
              <w:right w:val="nil"/>
            </w:tcBorders>
          </w:tcPr>
          <w:p w14:paraId="34C50608"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(0.142)</w:t>
            </w:r>
          </w:p>
        </w:tc>
        <w:tc>
          <w:tcPr>
            <w:tcW w:w="687" w:type="pct"/>
            <w:tcBorders>
              <w:top w:val="nil"/>
              <w:left w:val="nil"/>
              <w:bottom w:val="nil"/>
              <w:right w:val="nil"/>
            </w:tcBorders>
          </w:tcPr>
          <w:p w14:paraId="05852A1D"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(0.682)</w:t>
            </w:r>
          </w:p>
        </w:tc>
        <w:tc>
          <w:tcPr>
            <w:tcW w:w="687" w:type="pct"/>
            <w:tcBorders>
              <w:top w:val="nil"/>
              <w:left w:val="nil"/>
              <w:bottom w:val="nil"/>
              <w:right w:val="nil"/>
            </w:tcBorders>
          </w:tcPr>
          <w:p w14:paraId="60AD5FC4"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(0.449)</w:t>
            </w:r>
          </w:p>
        </w:tc>
        <w:tc>
          <w:tcPr>
            <w:tcW w:w="687" w:type="pct"/>
            <w:tcBorders>
              <w:top w:val="nil"/>
              <w:left w:val="nil"/>
              <w:bottom w:val="nil"/>
              <w:right w:val="nil"/>
            </w:tcBorders>
          </w:tcPr>
          <w:p w14:paraId="763FDC1C"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(0.115)</w:t>
            </w:r>
          </w:p>
        </w:tc>
        <w:tc>
          <w:tcPr>
            <w:tcW w:w="829" w:type="pct"/>
            <w:tcBorders>
              <w:top w:val="nil"/>
              <w:left w:val="nil"/>
              <w:bottom w:val="nil"/>
              <w:right w:val="nil"/>
            </w:tcBorders>
          </w:tcPr>
          <w:p w14:paraId="0AEC0C52"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(0.170)</w:t>
            </w:r>
          </w:p>
        </w:tc>
      </w:tr>
      <w:tr w:rsidR="00CD4846" w:rsidRPr="00CD4846" w14:paraId="62D6BAE3" w14:textId="77777777" w:rsidTr="00B82EB9">
        <w:tc>
          <w:tcPr>
            <w:tcW w:w="1423" w:type="pct"/>
            <w:tcBorders>
              <w:top w:val="nil"/>
              <w:left w:val="nil"/>
              <w:bottom w:val="nil"/>
              <w:right w:val="nil"/>
            </w:tcBorders>
          </w:tcPr>
          <w:p w14:paraId="75015656" w14:textId="3AC0C8D4"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Attain. Status - Pb (t-1)</w:t>
            </w:r>
          </w:p>
        </w:tc>
        <w:tc>
          <w:tcPr>
            <w:tcW w:w="687" w:type="pct"/>
            <w:tcBorders>
              <w:top w:val="nil"/>
              <w:left w:val="nil"/>
              <w:bottom w:val="nil"/>
              <w:right w:val="nil"/>
            </w:tcBorders>
          </w:tcPr>
          <w:p w14:paraId="4F5A2664"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-0.071</w:t>
            </w:r>
          </w:p>
        </w:tc>
        <w:tc>
          <w:tcPr>
            <w:tcW w:w="687" w:type="pct"/>
            <w:tcBorders>
              <w:top w:val="nil"/>
              <w:left w:val="nil"/>
              <w:bottom w:val="nil"/>
              <w:right w:val="nil"/>
            </w:tcBorders>
          </w:tcPr>
          <w:p w14:paraId="507F9BA0"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-0.008</w:t>
            </w:r>
          </w:p>
        </w:tc>
        <w:tc>
          <w:tcPr>
            <w:tcW w:w="687" w:type="pct"/>
            <w:tcBorders>
              <w:top w:val="nil"/>
              <w:left w:val="nil"/>
              <w:bottom w:val="nil"/>
              <w:right w:val="nil"/>
            </w:tcBorders>
          </w:tcPr>
          <w:p w14:paraId="4A822609"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-0.273**</w:t>
            </w:r>
          </w:p>
        </w:tc>
        <w:tc>
          <w:tcPr>
            <w:tcW w:w="687" w:type="pct"/>
            <w:tcBorders>
              <w:top w:val="nil"/>
              <w:left w:val="nil"/>
              <w:bottom w:val="nil"/>
              <w:right w:val="nil"/>
            </w:tcBorders>
          </w:tcPr>
          <w:p w14:paraId="7DFA0A19"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-0.174***</w:t>
            </w:r>
          </w:p>
        </w:tc>
        <w:tc>
          <w:tcPr>
            <w:tcW w:w="829" w:type="pct"/>
            <w:tcBorders>
              <w:top w:val="nil"/>
              <w:left w:val="nil"/>
              <w:bottom w:val="nil"/>
              <w:right w:val="nil"/>
            </w:tcBorders>
          </w:tcPr>
          <w:p w14:paraId="7C625152"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0.096</w:t>
            </w:r>
          </w:p>
        </w:tc>
      </w:tr>
      <w:tr w:rsidR="00CD4846" w:rsidRPr="00CD4846" w14:paraId="1F497266" w14:textId="77777777" w:rsidTr="00B82EB9">
        <w:tc>
          <w:tcPr>
            <w:tcW w:w="1423" w:type="pct"/>
            <w:tcBorders>
              <w:top w:val="nil"/>
              <w:left w:val="nil"/>
              <w:bottom w:val="nil"/>
              <w:right w:val="nil"/>
            </w:tcBorders>
          </w:tcPr>
          <w:p w14:paraId="62CC794B" w14:textId="10E5394C"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87" w:type="pct"/>
            <w:tcBorders>
              <w:top w:val="nil"/>
              <w:left w:val="nil"/>
              <w:bottom w:val="nil"/>
              <w:right w:val="nil"/>
            </w:tcBorders>
          </w:tcPr>
          <w:p w14:paraId="5956227D"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(0.116)</w:t>
            </w:r>
          </w:p>
        </w:tc>
        <w:tc>
          <w:tcPr>
            <w:tcW w:w="687" w:type="pct"/>
            <w:tcBorders>
              <w:top w:val="nil"/>
              <w:left w:val="nil"/>
              <w:bottom w:val="nil"/>
              <w:right w:val="nil"/>
            </w:tcBorders>
          </w:tcPr>
          <w:p w14:paraId="5875F2FF"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(0.220)</w:t>
            </w:r>
          </w:p>
        </w:tc>
        <w:tc>
          <w:tcPr>
            <w:tcW w:w="687" w:type="pct"/>
            <w:tcBorders>
              <w:top w:val="nil"/>
              <w:left w:val="nil"/>
              <w:bottom w:val="nil"/>
              <w:right w:val="nil"/>
            </w:tcBorders>
          </w:tcPr>
          <w:p w14:paraId="3FF7F575"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(0.130)</w:t>
            </w:r>
          </w:p>
        </w:tc>
        <w:tc>
          <w:tcPr>
            <w:tcW w:w="687" w:type="pct"/>
            <w:tcBorders>
              <w:top w:val="nil"/>
              <w:left w:val="nil"/>
              <w:bottom w:val="nil"/>
              <w:right w:val="nil"/>
            </w:tcBorders>
          </w:tcPr>
          <w:p w14:paraId="269054A9"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(0.065)</w:t>
            </w:r>
          </w:p>
        </w:tc>
        <w:tc>
          <w:tcPr>
            <w:tcW w:w="829" w:type="pct"/>
            <w:tcBorders>
              <w:top w:val="nil"/>
              <w:left w:val="nil"/>
              <w:bottom w:val="nil"/>
              <w:right w:val="nil"/>
            </w:tcBorders>
          </w:tcPr>
          <w:p w14:paraId="0A0C91FE"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(0.074)</w:t>
            </w:r>
          </w:p>
        </w:tc>
      </w:tr>
      <w:tr w:rsidR="00CD4846" w:rsidRPr="00CD4846" w14:paraId="2EB329DF" w14:textId="77777777" w:rsidTr="00B82EB9">
        <w:tc>
          <w:tcPr>
            <w:tcW w:w="1423" w:type="pct"/>
            <w:tcBorders>
              <w:top w:val="nil"/>
              <w:left w:val="nil"/>
              <w:bottom w:val="nil"/>
              <w:right w:val="nil"/>
            </w:tcBorders>
          </w:tcPr>
          <w:p w14:paraId="5FB68493" w14:textId="44D3C8A3"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Attain. Status - O3 (t-1)</w:t>
            </w:r>
          </w:p>
        </w:tc>
        <w:tc>
          <w:tcPr>
            <w:tcW w:w="687" w:type="pct"/>
            <w:tcBorders>
              <w:top w:val="nil"/>
              <w:left w:val="nil"/>
              <w:bottom w:val="nil"/>
              <w:right w:val="nil"/>
            </w:tcBorders>
          </w:tcPr>
          <w:p w14:paraId="7808ED37"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-0.043</w:t>
            </w:r>
          </w:p>
        </w:tc>
        <w:tc>
          <w:tcPr>
            <w:tcW w:w="687" w:type="pct"/>
            <w:tcBorders>
              <w:top w:val="nil"/>
              <w:left w:val="nil"/>
              <w:bottom w:val="nil"/>
              <w:right w:val="nil"/>
            </w:tcBorders>
          </w:tcPr>
          <w:p w14:paraId="098153D1"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0.152***</w:t>
            </w:r>
          </w:p>
        </w:tc>
        <w:tc>
          <w:tcPr>
            <w:tcW w:w="687" w:type="pct"/>
            <w:tcBorders>
              <w:top w:val="nil"/>
              <w:left w:val="nil"/>
              <w:bottom w:val="nil"/>
              <w:right w:val="nil"/>
            </w:tcBorders>
          </w:tcPr>
          <w:p w14:paraId="41791DB7"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0.023</w:t>
            </w:r>
          </w:p>
        </w:tc>
        <w:tc>
          <w:tcPr>
            <w:tcW w:w="687" w:type="pct"/>
            <w:tcBorders>
              <w:top w:val="nil"/>
              <w:left w:val="nil"/>
              <w:bottom w:val="nil"/>
              <w:right w:val="nil"/>
            </w:tcBorders>
          </w:tcPr>
          <w:p w14:paraId="5E75D670"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0.016</w:t>
            </w:r>
          </w:p>
        </w:tc>
        <w:tc>
          <w:tcPr>
            <w:tcW w:w="829" w:type="pct"/>
            <w:tcBorders>
              <w:top w:val="nil"/>
              <w:left w:val="nil"/>
              <w:bottom w:val="nil"/>
              <w:right w:val="nil"/>
            </w:tcBorders>
          </w:tcPr>
          <w:p w14:paraId="69B0622C"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-0.044**</w:t>
            </w:r>
          </w:p>
        </w:tc>
      </w:tr>
      <w:tr w:rsidR="00CD4846" w:rsidRPr="00CD4846" w14:paraId="375420E1" w14:textId="77777777" w:rsidTr="00B82EB9">
        <w:tc>
          <w:tcPr>
            <w:tcW w:w="1423" w:type="pct"/>
            <w:tcBorders>
              <w:top w:val="nil"/>
              <w:left w:val="nil"/>
              <w:bottom w:val="nil"/>
              <w:right w:val="nil"/>
            </w:tcBorders>
          </w:tcPr>
          <w:p w14:paraId="2A5A1B77" w14:textId="0BC4FF9E"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87" w:type="pct"/>
            <w:tcBorders>
              <w:top w:val="nil"/>
              <w:left w:val="nil"/>
              <w:bottom w:val="nil"/>
              <w:right w:val="nil"/>
            </w:tcBorders>
          </w:tcPr>
          <w:p w14:paraId="5DDC7AB2"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(0.032)</w:t>
            </w:r>
          </w:p>
        </w:tc>
        <w:tc>
          <w:tcPr>
            <w:tcW w:w="687" w:type="pct"/>
            <w:tcBorders>
              <w:top w:val="nil"/>
              <w:left w:val="nil"/>
              <w:bottom w:val="nil"/>
              <w:right w:val="nil"/>
            </w:tcBorders>
          </w:tcPr>
          <w:p w14:paraId="6E5BF007"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(0.047)</w:t>
            </w:r>
          </w:p>
        </w:tc>
        <w:tc>
          <w:tcPr>
            <w:tcW w:w="687" w:type="pct"/>
            <w:tcBorders>
              <w:top w:val="nil"/>
              <w:left w:val="nil"/>
              <w:bottom w:val="nil"/>
              <w:right w:val="nil"/>
            </w:tcBorders>
          </w:tcPr>
          <w:p w14:paraId="581435ED"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(0.043)</w:t>
            </w:r>
          </w:p>
        </w:tc>
        <w:tc>
          <w:tcPr>
            <w:tcW w:w="687" w:type="pct"/>
            <w:tcBorders>
              <w:top w:val="nil"/>
              <w:left w:val="nil"/>
              <w:bottom w:val="nil"/>
              <w:right w:val="nil"/>
            </w:tcBorders>
          </w:tcPr>
          <w:p w14:paraId="1A65A8D4"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(0.022)</w:t>
            </w:r>
          </w:p>
        </w:tc>
        <w:tc>
          <w:tcPr>
            <w:tcW w:w="829" w:type="pct"/>
            <w:tcBorders>
              <w:top w:val="nil"/>
              <w:left w:val="nil"/>
              <w:bottom w:val="nil"/>
              <w:right w:val="nil"/>
            </w:tcBorders>
          </w:tcPr>
          <w:p w14:paraId="490A9DCA"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(0.019)</w:t>
            </w:r>
          </w:p>
        </w:tc>
      </w:tr>
      <w:tr w:rsidR="00CD4846" w:rsidRPr="00CD4846" w14:paraId="5DC0DEB1" w14:textId="77777777" w:rsidTr="00B82EB9">
        <w:tc>
          <w:tcPr>
            <w:tcW w:w="1423" w:type="pct"/>
            <w:tcBorders>
              <w:top w:val="nil"/>
              <w:left w:val="nil"/>
              <w:bottom w:val="nil"/>
              <w:right w:val="nil"/>
            </w:tcBorders>
          </w:tcPr>
          <w:p w14:paraId="317E310E" w14:textId="1F8F012E"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Attain. Status - PM (t-1)</w:t>
            </w:r>
          </w:p>
        </w:tc>
        <w:tc>
          <w:tcPr>
            <w:tcW w:w="687" w:type="pct"/>
            <w:tcBorders>
              <w:top w:val="nil"/>
              <w:left w:val="nil"/>
              <w:bottom w:val="nil"/>
              <w:right w:val="nil"/>
            </w:tcBorders>
          </w:tcPr>
          <w:p w14:paraId="512CAD58"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0.129***</w:t>
            </w:r>
          </w:p>
        </w:tc>
        <w:tc>
          <w:tcPr>
            <w:tcW w:w="687" w:type="pct"/>
            <w:tcBorders>
              <w:top w:val="nil"/>
              <w:left w:val="nil"/>
              <w:bottom w:val="nil"/>
              <w:right w:val="nil"/>
            </w:tcBorders>
          </w:tcPr>
          <w:p w14:paraId="3A02D8D8"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0.067*</w:t>
            </w:r>
          </w:p>
        </w:tc>
        <w:tc>
          <w:tcPr>
            <w:tcW w:w="687" w:type="pct"/>
            <w:tcBorders>
              <w:top w:val="nil"/>
              <w:left w:val="nil"/>
              <w:bottom w:val="nil"/>
              <w:right w:val="nil"/>
            </w:tcBorders>
          </w:tcPr>
          <w:p w14:paraId="1A45A213"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0.081***</w:t>
            </w:r>
          </w:p>
        </w:tc>
        <w:tc>
          <w:tcPr>
            <w:tcW w:w="687" w:type="pct"/>
            <w:tcBorders>
              <w:top w:val="nil"/>
              <w:left w:val="nil"/>
              <w:bottom w:val="nil"/>
              <w:right w:val="nil"/>
            </w:tcBorders>
          </w:tcPr>
          <w:p w14:paraId="7C6770F1"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0.044**</w:t>
            </w:r>
          </w:p>
        </w:tc>
        <w:tc>
          <w:tcPr>
            <w:tcW w:w="829" w:type="pct"/>
            <w:tcBorders>
              <w:top w:val="nil"/>
              <w:left w:val="nil"/>
              <w:bottom w:val="nil"/>
              <w:right w:val="nil"/>
            </w:tcBorders>
          </w:tcPr>
          <w:p w14:paraId="2764B6AD"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0.052**</w:t>
            </w:r>
          </w:p>
        </w:tc>
      </w:tr>
      <w:tr w:rsidR="00CD4846" w:rsidRPr="00CD4846" w14:paraId="246F35FF" w14:textId="77777777" w:rsidTr="00B82EB9">
        <w:tc>
          <w:tcPr>
            <w:tcW w:w="1423" w:type="pct"/>
            <w:tcBorders>
              <w:top w:val="nil"/>
              <w:left w:val="nil"/>
              <w:bottom w:val="nil"/>
              <w:right w:val="nil"/>
            </w:tcBorders>
          </w:tcPr>
          <w:p w14:paraId="4B2C0FF4" w14:textId="4C2CFEB4"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87" w:type="pct"/>
            <w:tcBorders>
              <w:top w:val="nil"/>
              <w:left w:val="nil"/>
              <w:bottom w:val="nil"/>
              <w:right w:val="nil"/>
            </w:tcBorders>
          </w:tcPr>
          <w:p w14:paraId="746CF3CE"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(0.032)</w:t>
            </w:r>
          </w:p>
        </w:tc>
        <w:tc>
          <w:tcPr>
            <w:tcW w:w="687" w:type="pct"/>
            <w:tcBorders>
              <w:top w:val="nil"/>
              <w:left w:val="nil"/>
              <w:bottom w:val="nil"/>
              <w:right w:val="nil"/>
            </w:tcBorders>
          </w:tcPr>
          <w:p w14:paraId="12D222D2"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(0.038)</w:t>
            </w:r>
          </w:p>
        </w:tc>
        <w:tc>
          <w:tcPr>
            <w:tcW w:w="687" w:type="pct"/>
            <w:tcBorders>
              <w:top w:val="nil"/>
              <w:left w:val="nil"/>
              <w:bottom w:val="nil"/>
              <w:right w:val="nil"/>
            </w:tcBorders>
          </w:tcPr>
          <w:p w14:paraId="228E84DE"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(0.030)</w:t>
            </w:r>
          </w:p>
        </w:tc>
        <w:tc>
          <w:tcPr>
            <w:tcW w:w="687" w:type="pct"/>
            <w:tcBorders>
              <w:top w:val="nil"/>
              <w:left w:val="nil"/>
              <w:bottom w:val="nil"/>
              <w:right w:val="nil"/>
            </w:tcBorders>
          </w:tcPr>
          <w:p w14:paraId="508C036D"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(0.020)</w:t>
            </w:r>
          </w:p>
        </w:tc>
        <w:tc>
          <w:tcPr>
            <w:tcW w:w="829" w:type="pct"/>
            <w:tcBorders>
              <w:top w:val="nil"/>
              <w:left w:val="nil"/>
              <w:bottom w:val="nil"/>
              <w:right w:val="nil"/>
            </w:tcBorders>
          </w:tcPr>
          <w:p w14:paraId="266C5114"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(0.021)</w:t>
            </w:r>
          </w:p>
        </w:tc>
      </w:tr>
      <w:tr w:rsidR="00CD4846" w:rsidRPr="00CD4846" w14:paraId="040BE808" w14:textId="77777777" w:rsidTr="00B82EB9">
        <w:tc>
          <w:tcPr>
            <w:tcW w:w="1423" w:type="pct"/>
            <w:tcBorders>
              <w:top w:val="nil"/>
              <w:left w:val="nil"/>
              <w:bottom w:val="nil"/>
              <w:right w:val="nil"/>
            </w:tcBorders>
          </w:tcPr>
          <w:p w14:paraId="59774749"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Attain. Status - SO2 (t-1)</w:t>
            </w:r>
          </w:p>
        </w:tc>
        <w:tc>
          <w:tcPr>
            <w:tcW w:w="687" w:type="pct"/>
            <w:tcBorders>
              <w:top w:val="nil"/>
              <w:left w:val="nil"/>
              <w:bottom w:val="nil"/>
              <w:right w:val="nil"/>
            </w:tcBorders>
          </w:tcPr>
          <w:p w14:paraId="4FF69894"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-0.236**</w:t>
            </w:r>
          </w:p>
        </w:tc>
        <w:tc>
          <w:tcPr>
            <w:tcW w:w="687" w:type="pct"/>
            <w:tcBorders>
              <w:top w:val="nil"/>
              <w:left w:val="nil"/>
              <w:bottom w:val="nil"/>
              <w:right w:val="nil"/>
            </w:tcBorders>
          </w:tcPr>
          <w:p w14:paraId="42485688"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0.123</w:t>
            </w:r>
          </w:p>
        </w:tc>
        <w:tc>
          <w:tcPr>
            <w:tcW w:w="687" w:type="pct"/>
            <w:tcBorders>
              <w:top w:val="nil"/>
              <w:left w:val="nil"/>
              <w:bottom w:val="nil"/>
              <w:right w:val="nil"/>
            </w:tcBorders>
          </w:tcPr>
          <w:p w14:paraId="6C2C8768"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0.005</w:t>
            </w:r>
          </w:p>
        </w:tc>
        <w:tc>
          <w:tcPr>
            <w:tcW w:w="687" w:type="pct"/>
            <w:tcBorders>
              <w:top w:val="nil"/>
              <w:left w:val="nil"/>
              <w:bottom w:val="nil"/>
              <w:right w:val="nil"/>
            </w:tcBorders>
          </w:tcPr>
          <w:p w14:paraId="03537F1F"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0.101</w:t>
            </w:r>
          </w:p>
        </w:tc>
        <w:tc>
          <w:tcPr>
            <w:tcW w:w="829" w:type="pct"/>
            <w:tcBorders>
              <w:top w:val="nil"/>
              <w:left w:val="nil"/>
              <w:bottom w:val="nil"/>
              <w:right w:val="nil"/>
            </w:tcBorders>
          </w:tcPr>
          <w:p w14:paraId="35406FC0"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0.125***</w:t>
            </w:r>
          </w:p>
        </w:tc>
      </w:tr>
      <w:tr w:rsidR="00CD4846" w:rsidRPr="00CD4846" w14:paraId="1B87DE0E" w14:textId="77777777" w:rsidTr="00B82EB9">
        <w:tc>
          <w:tcPr>
            <w:tcW w:w="1423" w:type="pct"/>
            <w:tcBorders>
              <w:top w:val="nil"/>
              <w:left w:val="nil"/>
              <w:bottom w:val="nil"/>
              <w:right w:val="nil"/>
            </w:tcBorders>
          </w:tcPr>
          <w:p w14:paraId="57D125C4" w14:textId="753413AF"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87" w:type="pct"/>
            <w:tcBorders>
              <w:top w:val="nil"/>
              <w:left w:val="nil"/>
              <w:bottom w:val="nil"/>
              <w:right w:val="nil"/>
            </w:tcBorders>
          </w:tcPr>
          <w:p w14:paraId="0DA2A626"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(0.099)</w:t>
            </w:r>
          </w:p>
        </w:tc>
        <w:tc>
          <w:tcPr>
            <w:tcW w:w="687" w:type="pct"/>
            <w:tcBorders>
              <w:top w:val="nil"/>
              <w:left w:val="nil"/>
              <w:bottom w:val="nil"/>
              <w:right w:val="nil"/>
            </w:tcBorders>
          </w:tcPr>
          <w:p w14:paraId="33CCC065"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(0.154)</w:t>
            </w:r>
          </w:p>
        </w:tc>
        <w:tc>
          <w:tcPr>
            <w:tcW w:w="687" w:type="pct"/>
            <w:tcBorders>
              <w:top w:val="nil"/>
              <w:left w:val="nil"/>
              <w:bottom w:val="nil"/>
              <w:right w:val="nil"/>
            </w:tcBorders>
          </w:tcPr>
          <w:p w14:paraId="50FDAC32"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(0.138)</w:t>
            </w:r>
          </w:p>
        </w:tc>
        <w:tc>
          <w:tcPr>
            <w:tcW w:w="687" w:type="pct"/>
            <w:tcBorders>
              <w:top w:val="nil"/>
              <w:left w:val="nil"/>
              <w:bottom w:val="nil"/>
              <w:right w:val="nil"/>
            </w:tcBorders>
          </w:tcPr>
          <w:p w14:paraId="2EC3DB46"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(0.063)</w:t>
            </w:r>
          </w:p>
        </w:tc>
        <w:tc>
          <w:tcPr>
            <w:tcW w:w="829" w:type="pct"/>
            <w:tcBorders>
              <w:top w:val="nil"/>
              <w:left w:val="nil"/>
              <w:bottom w:val="nil"/>
              <w:right w:val="nil"/>
            </w:tcBorders>
          </w:tcPr>
          <w:p w14:paraId="2ABFCF7E"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(0.041)</w:t>
            </w:r>
          </w:p>
        </w:tc>
      </w:tr>
      <w:tr w:rsidR="00CD4846" w:rsidRPr="00CD4846" w14:paraId="35B3CB27" w14:textId="77777777" w:rsidTr="00B82EB9">
        <w:tc>
          <w:tcPr>
            <w:tcW w:w="1423" w:type="pct"/>
            <w:tcBorders>
              <w:top w:val="nil"/>
              <w:left w:val="nil"/>
              <w:bottom w:val="nil"/>
              <w:right w:val="nil"/>
            </w:tcBorders>
          </w:tcPr>
          <w:p w14:paraId="465E8B4A" w14:textId="69E407AC"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Density Employment</w:t>
            </w:r>
          </w:p>
        </w:tc>
        <w:tc>
          <w:tcPr>
            <w:tcW w:w="687" w:type="pct"/>
            <w:tcBorders>
              <w:top w:val="nil"/>
              <w:left w:val="nil"/>
              <w:bottom w:val="nil"/>
              <w:right w:val="nil"/>
            </w:tcBorders>
          </w:tcPr>
          <w:p w14:paraId="3412654F"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-0.076</w:t>
            </w:r>
          </w:p>
        </w:tc>
        <w:tc>
          <w:tcPr>
            <w:tcW w:w="687" w:type="pct"/>
            <w:tcBorders>
              <w:top w:val="nil"/>
              <w:left w:val="nil"/>
              <w:bottom w:val="nil"/>
              <w:right w:val="nil"/>
            </w:tcBorders>
          </w:tcPr>
          <w:p w14:paraId="40C54FD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0.216***</w:t>
            </w:r>
          </w:p>
        </w:tc>
        <w:tc>
          <w:tcPr>
            <w:tcW w:w="687" w:type="pct"/>
            <w:tcBorders>
              <w:top w:val="nil"/>
              <w:left w:val="nil"/>
              <w:bottom w:val="nil"/>
              <w:right w:val="nil"/>
            </w:tcBorders>
          </w:tcPr>
          <w:p w14:paraId="6C955B53"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0.161</w:t>
            </w:r>
          </w:p>
        </w:tc>
        <w:tc>
          <w:tcPr>
            <w:tcW w:w="687" w:type="pct"/>
            <w:tcBorders>
              <w:top w:val="nil"/>
              <w:left w:val="nil"/>
              <w:bottom w:val="nil"/>
              <w:right w:val="nil"/>
            </w:tcBorders>
          </w:tcPr>
          <w:p w14:paraId="38DD6608"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0.042**</w:t>
            </w:r>
          </w:p>
        </w:tc>
        <w:tc>
          <w:tcPr>
            <w:tcW w:w="829" w:type="pct"/>
            <w:tcBorders>
              <w:top w:val="nil"/>
              <w:left w:val="nil"/>
              <w:bottom w:val="nil"/>
              <w:right w:val="nil"/>
            </w:tcBorders>
          </w:tcPr>
          <w:p w14:paraId="20A00385"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0.017</w:t>
            </w:r>
          </w:p>
        </w:tc>
      </w:tr>
      <w:tr w:rsidR="00CD4846" w:rsidRPr="00CD4846" w14:paraId="7635795E" w14:textId="77777777" w:rsidTr="00B82EB9">
        <w:tc>
          <w:tcPr>
            <w:tcW w:w="1423" w:type="pct"/>
            <w:tcBorders>
              <w:top w:val="nil"/>
              <w:left w:val="nil"/>
              <w:bottom w:val="nil"/>
              <w:right w:val="nil"/>
            </w:tcBorders>
          </w:tcPr>
          <w:p w14:paraId="4D8555BC" w14:textId="6C074F49"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87" w:type="pct"/>
            <w:tcBorders>
              <w:top w:val="nil"/>
              <w:left w:val="nil"/>
              <w:bottom w:val="nil"/>
              <w:right w:val="nil"/>
            </w:tcBorders>
          </w:tcPr>
          <w:p w14:paraId="0F36DA7A"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(0.056)</w:t>
            </w:r>
          </w:p>
        </w:tc>
        <w:tc>
          <w:tcPr>
            <w:tcW w:w="687" w:type="pct"/>
            <w:tcBorders>
              <w:top w:val="nil"/>
              <w:left w:val="nil"/>
              <w:bottom w:val="nil"/>
              <w:right w:val="nil"/>
            </w:tcBorders>
          </w:tcPr>
          <w:p w14:paraId="4668313E"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(0.067)</w:t>
            </w:r>
          </w:p>
        </w:tc>
        <w:tc>
          <w:tcPr>
            <w:tcW w:w="687" w:type="pct"/>
            <w:tcBorders>
              <w:top w:val="nil"/>
              <w:left w:val="nil"/>
              <w:bottom w:val="nil"/>
              <w:right w:val="nil"/>
            </w:tcBorders>
          </w:tcPr>
          <w:p w14:paraId="2635F6D6"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(0.108)</w:t>
            </w:r>
          </w:p>
        </w:tc>
        <w:tc>
          <w:tcPr>
            <w:tcW w:w="687" w:type="pct"/>
            <w:tcBorders>
              <w:top w:val="nil"/>
              <w:left w:val="nil"/>
              <w:bottom w:val="nil"/>
              <w:right w:val="nil"/>
            </w:tcBorders>
          </w:tcPr>
          <w:p w14:paraId="7F4B2503"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(0.021)</w:t>
            </w:r>
          </w:p>
        </w:tc>
        <w:tc>
          <w:tcPr>
            <w:tcW w:w="829" w:type="pct"/>
            <w:tcBorders>
              <w:top w:val="nil"/>
              <w:left w:val="nil"/>
              <w:bottom w:val="nil"/>
              <w:right w:val="nil"/>
            </w:tcBorders>
          </w:tcPr>
          <w:p w14:paraId="00D7E9EA"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(0.024)</w:t>
            </w:r>
          </w:p>
        </w:tc>
      </w:tr>
      <w:tr w:rsidR="00CD4846" w:rsidRPr="00CD4846" w14:paraId="5EFF6EBD" w14:textId="77777777" w:rsidTr="00B82EB9">
        <w:tc>
          <w:tcPr>
            <w:tcW w:w="1423" w:type="pct"/>
            <w:tcBorders>
              <w:top w:val="nil"/>
              <w:left w:val="nil"/>
              <w:bottom w:val="nil"/>
              <w:right w:val="nil"/>
            </w:tcBorders>
          </w:tcPr>
          <w:p w14:paraId="7C7DF04D"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Percent Black (100s)</w:t>
            </w:r>
          </w:p>
        </w:tc>
        <w:tc>
          <w:tcPr>
            <w:tcW w:w="687" w:type="pct"/>
            <w:tcBorders>
              <w:top w:val="nil"/>
              <w:left w:val="nil"/>
              <w:bottom w:val="nil"/>
              <w:right w:val="nil"/>
            </w:tcBorders>
          </w:tcPr>
          <w:p w14:paraId="0678A799"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-2.831*</w:t>
            </w:r>
          </w:p>
        </w:tc>
        <w:tc>
          <w:tcPr>
            <w:tcW w:w="687" w:type="pct"/>
            <w:tcBorders>
              <w:top w:val="nil"/>
              <w:left w:val="nil"/>
              <w:bottom w:val="nil"/>
              <w:right w:val="nil"/>
            </w:tcBorders>
          </w:tcPr>
          <w:p w14:paraId="5DC2422A"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0.599</w:t>
            </w:r>
          </w:p>
        </w:tc>
        <w:tc>
          <w:tcPr>
            <w:tcW w:w="687" w:type="pct"/>
            <w:tcBorders>
              <w:top w:val="nil"/>
              <w:left w:val="nil"/>
              <w:bottom w:val="nil"/>
              <w:right w:val="nil"/>
            </w:tcBorders>
          </w:tcPr>
          <w:p w14:paraId="00713E32"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-3.274</w:t>
            </w:r>
          </w:p>
        </w:tc>
        <w:tc>
          <w:tcPr>
            <w:tcW w:w="687" w:type="pct"/>
            <w:tcBorders>
              <w:top w:val="nil"/>
              <w:left w:val="nil"/>
              <w:bottom w:val="nil"/>
              <w:right w:val="nil"/>
            </w:tcBorders>
          </w:tcPr>
          <w:p w14:paraId="136BBE16"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2.229***</w:t>
            </w:r>
          </w:p>
        </w:tc>
        <w:tc>
          <w:tcPr>
            <w:tcW w:w="829" w:type="pct"/>
            <w:tcBorders>
              <w:top w:val="nil"/>
              <w:left w:val="nil"/>
              <w:bottom w:val="nil"/>
              <w:right w:val="nil"/>
            </w:tcBorders>
          </w:tcPr>
          <w:p w14:paraId="27681522"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0.300</w:t>
            </w:r>
          </w:p>
        </w:tc>
      </w:tr>
      <w:tr w:rsidR="00CD4846" w:rsidRPr="00CD4846" w14:paraId="6B561EE1" w14:textId="77777777" w:rsidTr="00B82EB9">
        <w:tc>
          <w:tcPr>
            <w:tcW w:w="1423" w:type="pct"/>
            <w:tcBorders>
              <w:top w:val="nil"/>
              <w:left w:val="nil"/>
              <w:bottom w:val="nil"/>
              <w:right w:val="nil"/>
            </w:tcBorders>
          </w:tcPr>
          <w:p w14:paraId="08481F65" w14:textId="6F79A2BF"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87" w:type="pct"/>
            <w:tcBorders>
              <w:top w:val="nil"/>
              <w:left w:val="nil"/>
              <w:bottom w:val="nil"/>
              <w:right w:val="nil"/>
            </w:tcBorders>
          </w:tcPr>
          <w:p w14:paraId="51E90F80"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(1.569)</w:t>
            </w:r>
          </w:p>
        </w:tc>
        <w:tc>
          <w:tcPr>
            <w:tcW w:w="687" w:type="pct"/>
            <w:tcBorders>
              <w:top w:val="nil"/>
              <w:left w:val="nil"/>
              <w:bottom w:val="nil"/>
              <w:right w:val="nil"/>
            </w:tcBorders>
          </w:tcPr>
          <w:p w14:paraId="750488F9"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(2.792)</w:t>
            </w:r>
          </w:p>
        </w:tc>
        <w:tc>
          <w:tcPr>
            <w:tcW w:w="687" w:type="pct"/>
            <w:tcBorders>
              <w:top w:val="nil"/>
              <w:left w:val="nil"/>
              <w:bottom w:val="nil"/>
              <w:right w:val="nil"/>
            </w:tcBorders>
          </w:tcPr>
          <w:p w14:paraId="4A07B2BD"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(2.029)</w:t>
            </w:r>
          </w:p>
        </w:tc>
        <w:tc>
          <w:tcPr>
            <w:tcW w:w="687" w:type="pct"/>
            <w:tcBorders>
              <w:top w:val="nil"/>
              <w:left w:val="nil"/>
              <w:bottom w:val="nil"/>
              <w:right w:val="nil"/>
            </w:tcBorders>
          </w:tcPr>
          <w:p w14:paraId="2460E749"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(0.764)</w:t>
            </w:r>
          </w:p>
        </w:tc>
        <w:tc>
          <w:tcPr>
            <w:tcW w:w="829" w:type="pct"/>
            <w:tcBorders>
              <w:top w:val="nil"/>
              <w:left w:val="nil"/>
              <w:bottom w:val="nil"/>
              <w:right w:val="nil"/>
            </w:tcBorders>
          </w:tcPr>
          <w:p w14:paraId="3495A134"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(0.632)</w:t>
            </w:r>
          </w:p>
        </w:tc>
      </w:tr>
      <w:tr w:rsidR="00CD4846" w:rsidRPr="00CD4846" w14:paraId="6895FBAA" w14:textId="77777777" w:rsidTr="00B82EB9">
        <w:tc>
          <w:tcPr>
            <w:tcW w:w="1423" w:type="pct"/>
            <w:tcBorders>
              <w:top w:val="nil"/>
              <w:left w:val="nil"/>
              <w:bottom w:val="nil"/>
              <w:right w:val="nil"/>
            </w:tcBorders>
          </w:tcPr>
          <w:p w14:paraId="61EB9985" w14:textId="286563B6"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Population count (1ms)</w:t>
            </w:r>
          </w:p>
        </w:tc>
        <w:tc>
          <w:tcPr>
            <w:tcW w:w="687" w:type="pct"/>
            <w:tcBorders>
              <w:top w:val="nil"/>
              <w:left w:val="nil"/>
              <w:bottom w:val="nil"/>
              <w:right w:val="nil"/>
            </w:tcBorders>
          </w:tcPr>
          <w:p w14:paraId="266D5FD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-0.554**</w:t>
            </w:r>
          </w:p>
        </w:tc>
        <w:tc>
          <w:tcPr>
            <w:tcW w:w="687" w:type="pct"/>
            <w:tcBorders>
              <w:top w:val="nil"/>
              <w:left w:val="nil"/>
              <w:bottom w:val="nil"/>
              <w:right w:val="nil"/>
            </w:tcBorders>
          </w:tcPr>
          <w:p w14:paraId="4D03148C"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-0.169</w:t>
            </w:r>
          </w:p>
        </w:tc>
        <w:tc>
          <w:tcPr>
            <w:tcW w:w="687" w:type="pct"/>
            <w:tcBorders>
              <w:top w:val="nil"/>
              <w:left w:val="nil"/>
              <w:bottom w:val="nil"/>
              <w:right w:val="nil"/>
            </w:tcBorders>
          </w:tcPr>
          <w:p w14:paraId="0A381D59"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-1.627***</w:t>
            </w:r>
          </w:p>
        </w:tc>
        <w:tc>
          <w:tcPr>
            <w:tcW w:w="687" w:type="pct"/>
            <w:tcBorders>
              <w:top w:val="nil"/>
              <w:left w:val="nil"/>
              <w:bottom w:val="nil"/>
              <w:right w:val="nil"/>
            </w:tcBorders>
          </w:tcPr>
          <w:p w14:paraId="25CA94AF"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-0.113</w:t>
            </w:r>
          </w:p>
        </w:tc>
        <w:tc>
          <w:tcPr>
            <w:tcW w:w="829" w:type="pct"/>
            <w:tcBorders>
              <w:top w:val="nil"/>
              <w:left w:val="nil"/>
              <w:bottom w:val="nil"/>
              <w:right w:val="nil"/>
            </w:tcBorders>
          </w:tcPr>
          <w:p w14:paraId="67B6BDA3"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-0.137*</w:t>
            </w:r>
          </w:p>
        </w:tc>
      </w:tr>
      <w:tr w:rsidR="00CD4846" w:rsidRPr="00CD4846" w14:paraId="6ACEE3A2" w14:textId="77777777" w:rsidTr="00B82EB9">
        <w:tc>
          <w:tcPr>
            <w:tcW w:w="1423" w:type="pct"/>
            <w:tcBorders>
              <w:top w:val="nil"/>
              <w:left w:val="nil"/>
              <w:bottom w:val="nil"/>
              <w:right w:val="nil"/>
            </w:tcBorders>
          </w:tcPr>
          <w:p w14:paraId="5CE4A6B6" w14:textId="54AF0D5D"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87" w:type="pct"/>
            <w:tcBorders>
              <w:top w:val="nil"/>
              <w:left w:val="nil"/>
              <w:bottom w:val="nil"/>
              <w:right w:val="nil"/>
            </w:tcBorders>
          </w:tcPr>
          <w:p w14:paraId="4ADC7AE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(0.235)</w:t>
            </w:r>
          </w:p>
        </w:tc>
        <w:tc>
          <w:tcPr>
            <w:tcW w:w="687" w:type="pct"/>
            <w:tcBorders>
              <w:top w:val="nil"/>
              <w:left w:val="nil"/>
              <w:bottom w:val="nil"/>
              <w:right w:val="nil"/>
            </w:tcBorders>
          </w:tcPr>
          <w:p w14:paraId="07646B4E"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(0.243)</w:t>
            </w:r>
          </w:p>
        </w:tc>
        <w:tc>
          <w:tcPr>
            <w:tcW w:w="687" w:type="pct"/>
            <w:tcBorders>
              <w:top w:val="nil"/>
              <w:left w:val="nil"/>
              <w:bottom w:val="nil"/>
              <w:right w:val="nil"/>
            </w:tcBorders>
          </w:tcPr>
          <w:p w14:paraId="32755253"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(0.451)</w:t>
            </w:r>
          </w:p>
        </w:tc>
        <w:tc>
          <w:tcPr>
            <w:tcW w:w="687" w:type="pct"/>
            <w:tcBorders>
              <w:top w:val="nil"/>
              <w:left w:val="nil"/>
              <w:bottom w:val="nil"/>
              <w:right w:val="nil"/>
            </w:tcBorders>
          </w:tcPr>
          <w:p w14:paraId="59E3FC76"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(0.184)</w:t>
            </w:r>
          </w:p>
        </w:tc>
        <w:tc>
          <w:tcPr>
            <w:tcW w:w="829" w:type="pct"/>
            <w:tcBorders>
              <w:top w:val="nil"/>
              <w:left w:val="nil"/>
              <w:bottom w:val="nil"/>
              <w:right w:val="nil"/>
            </w:tcBorders>
          </w:tcPr>
          <w:p w14:paraId="1A59318E"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(0.083)</w:t>
            </w:r>
          </w:p>
        </w:tc>
      </w:tr>
      <w:tr w:rsidR="00CD4846" w:rsidRPr="00CD4846" w14:paraId="02970062" w14:textId="77777777" w:rsidTr="00B82EB9">
        <w:tc>
          <w:tcPr>
            <w:tcW w:w="1423" w:type="pct"/>
            <w:tcBorders>
              <w:top w:val="nil"/>
              <w:left w:val="nil"/>
              <w:bottom w:val="nil"/>
              <w:right w:val="nil"/>
            </w:tcBorders>
          </w:tcPr>
          <w:p w14:paraId="1DFFAFE5" w14:textId="5AA0973A"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Unemployment rate (100s)</w:t>
            </w:r>
          </w:p>
        </w:tc>
        <w:tc>
          <w:tcPr>
            <w:tcW w:w="687" w:type="pct"/>
            <w:tcBorders>
              <w:top w:val="nil"/>
              <w:left w:val="nil"/>
              <w:bottom w:val="nil"/>
              <w:right w:val="nil"/>
            </w:tcBorders>
          </w:tcPr>
          <w:p w14:paraId="750BA959"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2.205***</w:t>
            </w:r>
          </w:p>
        </w:tc>
        <w:tc>
          <w:tcPr>
            <w:tcW w:w="687" w:type="pct"/>
            <w:tcBorders>
              <w:top w:val="nil"/>
              <w:left w:val="nil"/>
              <w:bottom w:val="nil"/>
              <w:right w:val="nil"/>
            </w:tcBorders>
          </w:tcPr>
          <w:p w14:paraId="5B6CAE45"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-3.286</w:t>
            </w:r>
          </w:p>
        </w:tc>
        <w:tc>
          <w:tcPr>
            <w:tcW w:w="687" w:type="pct"/>
            <w:tcBorders>
              <w:top w:val="nil"/>
              <w:left w:val="nil"/>
              <w:bottom w:val="nil"/>
              <w:right w:val="nil"/>
            </w:tcBorders>
          </w:tcPr>
          <w:p w14:paraId="73667F7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3.653***</w:t>
            </w:r>
          </w:p>
        </w:tc>
        <w:tc>
          <w:tcPr>
            <w:tcW w:w="687" w:type="pct"/>
            <w:tcBorders>
              <w:top w:val="nil"/>
              <w:left w:val="nil"/>
              <w:bottom w:val="nil"/>
              <w:right w:val="nil"/>
            </w:tcBorders>
          </w:tcPr>
          <w:p w14:paraId="3E357989"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4.474***</w:t>
            </w:r>
          </w:p>
        </w:tc>
        <w:tc>
          <w:tcPr>
            <w:tcW w:w="829" w:type="pct"/>
            <w:tcBorders>
              <w:top w:val="nil"/>
              <w:left w:val="nil"/>
              <w:bottom w:val="nil"/>
              <w:right w:val="nil"/>
            </w:tcBorders>
          </w:tcPr>
          <w:p w14:paraId="24844D52"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3.713***</w:t>
            </w:r>
          </w:p>
        </w:tc>
      </w:tr>
      <w:tr w:rsidR="00CD4846" w:rsidRPr="00CD4846" w14:paraId="3B18AB41" w14:textId="77777777" w:rsidTr="00B82EB9">
        <w:tc>
          <w:tcPr>
            <w:tcW w:w="1423" w:type="pct"/>
            <w:tcBorders>
              <w:top w:val="nil"/>
              <w:left w:val="nil"/>
              <w:bottom w:val="nil"/>
              <w:right w:val="nil"/>
            </w:tcBorders>
          </w:tcPr>
          <w:p w14:paraId="75F66EEA" w14:textId="5DD6823B"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87" w:type="pct"/>
            <w:tcBorders>
              <w:top w:val="nil"/>
              <w:left w:val="nil"/>
              <w:bottom w:val="nil"/>
              <w:right w:val="nil"/>
            </w:tcBorders>
          </w:tcPr>
          <w:p w14:paraId="0A09F383"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(0.855)</w:t>
            </w:r>
          </w:p>
        </w:tc>
        <w:tc>
          <w:tcPr>
            <w:tcW w:w="687" w:type="pct"/>
            <w:tcBorders>
              <w:top w:val="nil"/>
              <w:left w:val="nil"/>
              <w:bottom w:val="nil"/>
              <w:right w:val="nil"/>
            </w:tcBorders>
          </w:tcPr>
          <w:p w14:paraId="3ACF8D61"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(2.475)</w:t>
            </w:r>
          </w:p>
        </w:tc>
        <w:tc>
          <w:tcPr>
            <w:tcW w:w="687" w:type="pct"/>
            <w:tcBorders>
              <w:top w:val="nil"/>
              <w:left w:val="nil"/>
              <w:bottom w:val="nil"/>
              <w:right w:val="nil"/>
            </w:tcBorders>
          </w:tcPr>
          <w:p w14:paraId="476FA332"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(1.338)</w:t>
            </w:r>
          </w:p>
        </w:tc>
        <w:tc>
          <w:tcPr>
            <w:tcW w:w="687" w:type="pct"/>
            <w:tcBorders>
              <w:top w:val="nil"/>
              <w:left w:val="nil"/>
              <w:bottom w:val="nil"/>
              <w:right w:val="nil"/>
            </w:tcBorders>
          </w:tcPr>
          <w:p w14:paraId="20D490A7"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(0.686)</w:t>
            </w:r>
          </w:p>
        </w:tc>
        <w:tc>
          <w:tcPr>
            <w:tcW w:w="829" w:type="pct"/>
            <w:tcBorders>
              <w:top w:val="nil"/>
              <w:left w:val="nil"/>
              <w:bottom w:val="nil"/>
              <w:right w:val="nil"/>
            </w:tcBorders>
          </w:tcPr>
          <w:p w14:paraId="15BE2831"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(0.579)</w:t>
            </w:r>
          </w:p>
        </w:tc>
      </w:tr>
      <w:tr w:rsidR="00CD4846" w:rsidRPr="00CD4846" w14:paraId="1E7F52A0" w14:textId="77777777" w:rsidTr="00B82EB9">
        <w:tc>
          <w:tcPr>
            <w:tcW w:w="1423" w:type="pct"/>
            <w:tcBorders>
              <w:top w:val="nil"/>
              <w:left w:val="nil"/>
              <w:bottom w:val="nil"/>
              <w:right w:val="nil"/>
            </w:tcBorders>
          </w:tcPr>
          <w:p w14:paraId="3C6EB315" w14:textId="094EFC6F"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Sales Volume (t-1)</w:t>
            </w:r>
          </w:p>
        </w:tc>
        <w:tc>
          <w:tcPr>
            <w:tcW w:w="687" w:type="pct"/>
            <w:tcBorders>
              <w:top w:val="nil"/>
              <w:left w:val="nil"/>
              <w:bottom w:val="nil"/>
              <w:right w:val="nil"/>
            </w:tcBorders>
          </w:tcPr>
          <w:p w14:paraId="7DD8F7A1"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3.916</w:t>
            </w:r>
          </w:p>
        </w:tc>
        <w:tc>
          <w:tcPr>
            <w:tcW w:w="687" w:type="pct"/>
            <w:tcBorders>
              <w:top w:val="nil"/>
              <w:left w:val="nil"/>
              <w:bottom w:val="nil"/>
              <w:right w:val="nil"/>
            </w:tcBorders>
          </w:tcPr>
          <w:p w14:paraId="07A0D4E0"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-0.024</w:t>
            </w:r>
          </w:p>
        </w:tc>
        <w:tc>
          <w:tcPr>
            <w:tcW w:w="687" w:type="pct"/>
            <w:tcBorders>
              <w:top w:val="nil"/>
              <w:left w:val="nil"/>
              <w:bottom w:val="nil"/>
              <w:right w:val="nil"/>
            </w:tcBorders>
          </w:tcPr>
          <w:p w14:paraId="401352BE"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-0.293</w:t>
            </w:r>
          </w:p>
        </w:tc>
        <w:tc>
          <w:tcPr>
            <w:tcW w:w="687" w:type="pct"/>
            <w:tcBorders>
              <w:top w:val="nil"/>
              <w:left w:val="nil"/>
              <w:bottom w:val="nil"/>
              <w:right w:val="nil"/>
            </w:tcBorders>
          </w:tcPr>
          <w:p w14:paraId="405A13CC"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-36.536**</w:t>
            </w:r>
          </w:p>
        </w:tc>
        <w:tc>
          <w:tcPr>
            <w:tcW w:w="829" w:type="pct"/>
            <w:tcBorders>
              <w:top w:val="nil"/>
              <w:left w:val="nil"/>
              <w:bottom w:val="nil"/>
              <w:right w:val="nil"/>
            </w:tcBorders>
          </w:tcPr>
          <w:p w14:paraId="5AB64B9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-0.134</w:t>
            </w:r>
          </w:p>
        </w:tc>
      </w:tr>
      <w:tr w:rsidR="00CD4846" w:rsidRPr="00CD4846" w14:paraId="409CFF10" w14:textId="77777777" w:rsidTr="00B82EB9">
        <w:tc>
          <w:tcPr>
            <w:tcW w:w="1423" w:type="pct"/>
            <w:tcBorders>
              <w:top w:val="nil"/>
              <w:left w:val="nil"/>
              <w:bottom w:val="nil"/>
              <w:right w:val="nil"/>
            </w:tcBorders>
          </w:tcPr>
          <w:p w14:paraId="15918B62" w14:textId="3636F07D"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87" w:type="pct"/>
            <w:tcBorders>
              <w:top w:val="nil"/>
              <w:left w:val="nil"/>
              <w:bottom w:val="nil"/>
              <w:right w:val="nil"/>
            </w:tcBorders>
          </w:tcPr>
          <w:p w14:paraId="0B9CFE7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(2.925)</w:t>
            </w:r>
          </w:p>
        </w:tc>
        <w:tc>
          <w:tcPr>
            <w:tcW w:w="687" w:type="pct"/>
            <w:tcBorders>
              <w:top w:val="nil"/>
              <w:left w:val="nil"/>
              <w:bottom w:val="nil"/>
              <w:right w:val="nil"/>
            </w:tcBorders>
          </w:tcPr>
          <w:p w14:paraId="20DB59ED"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(0.799)</w:t>
            </w:r>
          </w:p>
        </w:tc>
        <w:tc>
          <w:tcPr>
            <w:tcW w:w="687" w:type="pct"/>
            <w:tcBorders>
              <w:top w:val="nil"/>
              <w:left w:val="nil"/>
              <w:bottom w:val="nil"/>
              <w:right w:val="nil"/>
            </w:tcBorders>
          </w:tcPr>
          <w:p w14:paraId="1A159724"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(0.283)</w:t>
            </w:r>
          </w:p>
        </w:tc>
        <w:tc>
          <w:tcPr>
            <w:tcW w:w="687" w:type="pct"/>
            <w:tcBorders>
              <w:top w:val="nil"/>
              <w:left w:val="nil"/>
              <w:bottom w:val="nil"/>
              <w:right w:val="nil"/>
            </w:tcBorders>
          </w:tcPr>
          <w:p w14:paraId="495402D7"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(16.439)</w:t>
            </w:r>
          </w:p>
        </w:tc>
        <w:tc>
          <w:tcPr>
            <w:tcW w:w="829" w:type="pct"/>
            <w:tcBorders>
              <w:top w:val="nil"/>
              <w:left w:val="nil"/>
              <w:bottom w:val="nil"/>
              <w:right w:val="nil"/>
            </w:tcBorders>
          </w:tcPr>
          <w:p w14:paraId="36FDC5E0"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(0.087)</w:t>
            </w:r>
          </w:p>
        </w:tc>
      </w:tr>
      <w:tr w:rsidR="00CD4846" w:rsidRPr="00CD4846" w14:paraId="277981FF" w14:textId="77777777" w:rsidTr="00B82EB9">
        <w:tc>
          <w:tcPr>
            <w:tcW w:w="1423" w:type="pct"/>
            <w:tcBorders>
              <w:top w:val="nil"/>
              <w:left w:val="nil"/>
              <w:bottom w:val="nil"/>
              <w:right w:val="nil"/>
            </w:tcBorders>
          </w:tcPr>
          <w:p w14:paraId="61F1D6BC" w14:textId="74B4ADCB"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Prior Total Entries (1ks)</w:t>
            </w:r>
          </w:p>
        </w:tc>
        <w:tc>
          <w:tcPr>
            <w:tcW w:w="687" w:type="pct"/>
            <w:tcBorders>
              <w:top w:val="nil"/>
              <w:left w:val="nil"/>
              <w:bottom w:val="nil"/>
              <w:right w:val="nil"/>
            </w:tcBorders>
          </w:tcPr>
          <w:p w14:paraId="15C7E6E8"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-1.741**</w:t>
            </w:r>
          </w:p>
        </w:tc>
        <w:tc>
          <w:tcPr>
            <w:tcW w:w="687" w:type="pct"/>
            <w:tcBorders>
              <w:top w:val="nil"/>
              <w:left w:val="nil"/>
              <w:bottom w:val="nil"/>
              <w:right w:val="nil"/>
            </w:tcBorders>
          </w:tcPr>
          <w:p w14:paraId="30F20861"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-0.766**</w:t>
            </w:r>
          </w:p>
        </w:tc>
        <w:tc>
          <w:tcPr>
            <w:tcW w:w="687" w:type="pct"/>
            <w:tcBorders>
              <w:top w:val="nil"/>
              <w:left w:val="nil"/>
              <w:bottom w:val="nil"/>
              <w:right w:val="nil"/>
            </w:tcBorders>
          </w:tcPr>
          <w:p w14:paraId="5038509F"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-4.962***</w:t>
            </w:r>
          </w:p>
        </w:tc>
        <w:tc>
          <w:tcPr>
            <w:tcW w:w="687" w:type="pct"/>
            <w:tcBorders>
              <w:top w:val="nil"/>
              <w:left w:val="nil"/>
              <w:bottom w:val="nil"/>
              <w:right w:val="nil"/>
            </w:tcBorders>
          </w:tcPr>
          <w:p w14:paraId="1B79C65F"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-0.049***</w:t>
            </w:r>
          </w:p>
        </w:tc>
        <w:tc>
          <w:tcPr>
            <w:tcW w:w="829" w:type="pct"/>
            <w:tcBorders>
              <w:top w:val="nil"/>
              <w:left w:val="nil"/>
              <w:bottom w:val="nil"/>
              <w:right w:val="nil"/>
            </w:tcBorders>
          </w:tcPr>
          <w:p w14:paraId="29BBDF7D"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0.004</w:t>
            </w:r>
          </w:p>
        </w:tc>
      </w:tr>
      <w:tr w:rsidR="00CD4846" w:rsidRPr="00CD4846" w14:paraId="2626C901" w14:textId="77777777" w:rsidTr="00B82EB9">
        <w:tc>
          <w:tcPr>
            <w:tcW w:w="1423" w:type="pct"/>
            <w:tcBorders>
              <w:top w:val="nil"/>
              <w:left w:val="nil"/>
              <w:bottom w:val="nil"/>
              <w:right w:val="nil"/>
            </w:tcBorders>
          </w:tcPr>
          <w:p w14:paraId="7B7CE754" w14:textId="527C4266"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87" w:type="pct"/>
            <w:tcBorders>
              <w:top w:val="nil"/>
              <w:left w:val="nil"/>
              <w:bottom w:val="nil"/>
              <w:right w:val="nil"/>
            </w:tcBorders>
          </w:tcPr>
          <w:p w14:paraId="01C37D9A"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(0.761)</w:t>
            </w:r>
          </w:p>
        </w:tc>
        <w:tc>
          <w:tcPr>
            <w:tcW w:w="687" w:type="pct"/>
            <w:tcBorders>
              <w:top w:val="nil"/>
              <w:left w:val="nil"/>
              <w:bottom w:val="nil"/>
              <w:right w:val="nil"/>
            </w:tcBorders>
          </w:tcPr>
          <w:p w14:paraId="43B628A1"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(0.319)</w:t>
            </w:r>
          </w:p>
        </w:tc>
        <w:tc>
          <w:tcPr>
            <w:tcW w:w="687" w:type="pct"/>
            <w:tcBorders>
              <w:top w:val="nil"/>
              <w:left w:val="nil"/>
              <w:bottom w:val="nil"/>
              <w:right w:val="nil"/>
            </w:tcBorders>
          </w:tcPr>
          <w:p w14:paraId="3E417E5C"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(1.828)</w:t>
            </w:r>
          </w:p>
        </w:tc>
        <w:tc>
          <w:tcPr>
            <w:tcW w:w="687" w:type="pct"/>
            <w:tcBorders>
              <w:top w:val="nil"/>
              <w:left w:val="nil"/>
              <w:bottom w:val="nil"/>
              <w:right w:val="nil"/>
            </w:tcBorders>
          </w:tcPr>
          <w:p w14:paraId="7199600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(0.009)</w:t>
            </w:r>
          </w:p>
        </w:tc>
        <w:tc>
          <w:tcPr>
            <w:tcW w:w="829" w:type="pct"/>
            <w:tcBorders>
              <w:top w:val="nil"/>
              <w:left w:val="nil"/>
              <w:bottom w:val="nil"/>
              <w:right w:val="nil"/>
            </w:tcBorders>
          </w:tcPr>
          <w:p w14:paraId="240670EC"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(0.039)</w:t>
            </w:r>
          </w:p>
        </w:tc>
      </w:tr>
      <w:tr w:rsidR="00CD4846" w:rsidRPr="00CD4846" w14:paraId="1E625ABB" w14:textId="77777777" w:rsidTr="00B82EB9">
        <w:tc>
          <w:tcPr>
            <w:tcW w:w="1423" w:type="pct"/>
            <w:tcBorders>
              <w:top w:val="nil"/>
              <w:left w:val="nil"/>
              <w:bottom w:val="nil"/>
              <w:right w:val="nil"/>
            </w:tcBorders>
          </w:tcPr>
          <w:p w14:paraId="38F9F8D7"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Constant</w:t>
            </w:r>
          </w:p>
        </w:tc>
        <w:tc>
          <w:tcPr>
            <w:tcW w:w="687" w:type="pct"/>
            <w:tcBorders>
              <w:top w:val="nil"/>
              <w:left w:val="nil"/>
              <w:bottom w:val="nil"/>
              <w:right w:val="nil"/>
            </w:tcBorders>
          </w:tcPr>
          <w:p w14:paraId="68CC22E6"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2.359***</w:t>
            </w:r>
          </w:p>
        </w:tc>
        <w:tc>
          <w:tcPr>
            <w:tcW w:w="687" w:type="pct"/>
            <w:tcBorders>
              <w:top w:val="nil"/>
              <w:left w:val="nil"/>
              <w:bottom w:val="nil"/>
              <w:right w:val="nil"/>
            </w:tcBorders>
          </w:tcPr>
          <w:p w14:paraId="7A63C6BD"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2.059**</w:t>
            </w:r>
          </w:p>
        </w:tc>
        <w:tc>
          <w:tcPr>
            <w:tcW w:w="687" w:type="pct"/>
            <w:tcBorders>
              <w:top w:val="nil"/>
              <w:left w:val="nil"/>
              <w:bottom w:val="nil"/>
              <w:right w:val="nil"/>
            </w:tcBorders>
          </w:tcPr>
          <w:p w14:paraId="60CC4428"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1.771***</w:t>
            </w:r>
          </w:p>
        </w:tc>
        <w:tc>
          <w:tcPr>
            <w:tcW w:w="687" w:type="pct"/>
            <w:tcBorders>
              <w:top w:val="nil"/>
              <w:left w:val="nil"/>
              <w:bottom w:val="nil"/>
              <w:right w:val="nil"/>
            </w:tcBorders>
          </w:tcPr>
          <w:p w14:paraId="175FAA58"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4.734***</w:t>
            </w:r>
          </w:p>
        </w:tc>
        <w:tc>
          <w:tcPr>
            <w:tcW w:w="829" w:type="pct"/>
            <w:tcBorders>
              <w:top w:val="nil"/>
              <w:left w:val="nil"/>
              <w:bottom w:val="nil"/>
              <w:right w:val="nil"/>
            </w:tcBorders>
          </w:tcPr>
          <w:p w14:paraId="4C16B674"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4.504***</w:t>
            </w:r>
          </w:p>
        </w:tc>
      </w:tr>
      <w:tr w:rsidR="00CD4846" w:rsidRPr="00CD4846" w14:paraId="50E2C54D" w14:textId="77777777" w:rsidTr="00B82EB9">
        <w:tc>
          <w:tcPr>
            <w:tcW w:w="1423" w:type="pct"/>
            <w:tcBorders>
              <w:top w:val="nil"/>
              <w:left w:val="nil"/>
              <w:bottom w:val="nil"/>
              <w:right w:val="nil"/>
            </w:tcBorders>
          </w:tcPr>
          <w:p w14:paraId="3E3F8290" w14:textId="040C346D"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87" w:type="pct"/>
            <w:tcBorders>
              <w:top w:val="nil"/>
              <w:left w:val="nil"/>
              <w:bottom w:val="nil"/>
              <w:right w:val="nil"/>
            </w:tcBorders>
          </w:tcPr>
          <w:p w14:paraId="2580A4D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(0.333)</w:t>
            </w:r>
          </w:p>
        </w:tc>
        <w:tc>
          <w:tcPr>
            <w:tcW w:w="687" w:type="pct"/>
            <w:tcBorders>
              <w:top w:val="nil"/>
              <w:left w:val="nil"/>
              <w:bottom w:val="nil"/>
              <w:right w:val="nil"/>
            </w:tcBorders>
          </w:tcPr>
          <w:p w14:paraId="53413787"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(0.927)</w:t>
            </w:r>
          </w:p>
        </w:tc>
        <w:tc>
          <w:tcPr>
            <w:tcW w:w="687" w:type="pct"/>
            <w:tcBorders>
              <w:top w:val="nil"/>
              <w:left w:val="nil"/>
              <w:bottom w:val="nil"/>
              <w:right w:val="nil"/>
            </w:tcBorders>
          </w:tcPr>
          <w:p w14:paraId="07FC2B4F"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(0.631)</w:t>
            </w:r>
          </w:p>
        </w:tc>
        <w:tc>
          <w:tcPr>
            <w:tcW w:w="687" w:type="pct"/>
            <w:tcBorders>
              <w:top w:val="nil"/>
              <w:left w:val="nil"/>
              <w:bottom w:val="nil"/>
              <w:right w:val="nil"/>
            </w:tcBorders>
          </w:tcPr>
          <w:p w14:paraId="70163370"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(0.266)</w:t>
            </w:r>
          </w:p>
        </w:tc>
        <w:tc>
          <w:tcPr>
            <w:tcW w:w="829" w:type="pct"/>
            <w:tcBorders>
              <w:top w:val="nil"/>
              <w:left w:val="nil"/>
              <w:bottom w:val="nil"/>
              <w:right w:val="nil"/>
            </w:tcBorders>
          </w:tcPr>
          <w:p w14:paraId="1EC0434E"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(0.294)</w:t>
            </w:r>
          </w:p>
        </w:tc>
      </w:tr>
      <w:tr w:rsidR="00CD4846" w:rsidRPr="00CD4846" w14:paraId="38C241B4" w14:textId="77777777" w:rsidTr="00B82EB9">
        <w:tc>
          <w:tcPr>
            <w:tcW w:w="1423" w:type="pct"/>
            <w:tcBorders>
              <w:top w:val="nil"/>
              <w:left w:val="nil"/>
              <w:bottom w:val="nil"/>
              <w:right w:val="nil"/>
            </w:tcBorders>
          </w:tcPr>
          <w:p w14:paraId="26B7FD21" w14:textId="6343E641"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Observations</w:t>
            </w:r>
          </w:p>
        </w:tc>
        <w:tc>
          <w:tcPr>
            <w:tcW w:w="687" w:type="pct"/>
            <w:tcBorders>
              <w:top w:val="nil"/>
              <w:left w:val="nil"/>
              <w:bottom w:val="nil"/>
              <w:right w:val="nil"/>
            </w:tcBorders>
          </w:tcPr>
          <w:p w14:paraId="7B76B2E0"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15414</w:t>
            </w:r>
          </w:p>
        </w:tc>
        <w:tc>
          <w:tcPr>
            <w:tcW w:w="687" w:type="pct"/>
            <w:tcBorders>
              <w:top w:val="nil"/>
              <w:left w:val="nil"/>
              <w:bottom w:val="nil"/>
              <w:right w:val="nil"/>
            </w:tcBorders>
          </w:tcPr>
          <w:p w14:paraId="13B93E0E"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10283</w:t>
            </w:r>
          </w:p>
        </w:tc>
        <w:tc>
          <w:tcPr>
            <w:tcW w:w="687" w:type="pct"/>
            <w:tcBorders>
              <w:top w:val="nil"/>
              <w:left w:val="nil"/>
              <w:bottom w:val="nil"/>
              <w:right w:val="nil"/>
            </w:tcBorders>
          </w:tcPr>
          <w:p w14:paraId="448E4A2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15163</w:t>
            </w:r>
          </w:p>
        </w:tc>
        <w:tc>
          <w:tcPr>
            <w:tcW w:w="687" w:type="pct"/>
            <w:tcBorders>
              <w:top w:val="nil"/>
              <w:left w:val="nil"/>
              <w:bottom w:val="nil"/>
              <w:right w:val="nil"/>
            </w:tcBorders>
          </w:tcPr>
          <w:p w14:paraId="21C03E79"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26638</w:t>
            </w:r>
          </w:p>
        </w:tc>
        <w:tc>
          <w:tcPr>
            <w:tcW w:w="829" w:type="pct"/>
            <w:tcBorders>
              <w:top w:val="nil"/>
              <w:left w:val="nil"/>
              <w:bottom w:val="nil"/>
              <w:right w:val="nil"/>
            </w:tcBorders>
          </w:tcPr>
          <w:p w14:paraId="67295C2E"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26791</w:t>
            </w:r>
          </w:p>
        </w:tc>
      </w:tr>
      <w:tr w:rsidR="00CD4846" w:rsidRPr="00CD4846" w14:paraId="626AE736" w14:textId="77777777" w:rsidTr="00B82EB9">
        <w:tc>
          <w:tcPr>
            <w:tcW w:w="1423" w:type="pct"/>
            <w:tcBorders>
              <w:top w:val="nil"/>
              <w:left w:val="nil"/>
              <w:bottom w:val="nil"/>
              <w:right w:val="nil"/>
            </w:tcBorders>
          </w:tcPr>
          <w:p w14:paraId="0F5F6CF0" w14:textId="3EE52F58"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Pseudo R</w:t>
            </w:r>
            <w:r w:rsidRPr="00CD4846">
              <w:rPr>
                <w:rFonts w:cs="Times New Roman"/>
                <w:kern w:val="2"/>
                <w:sz w:val="20"/>
                <w:szCs w:val="20"/>
                <w:vertAlign w:val="superscript"/>
                <w:lang/>
              </w:rPr>
              <w:t>2</w:t>
            </w:r>
          </w:p>
        </w:tc>
        <w:tc>
          <w:tcPr>
            <w:tcW w:w="687" w:type="pct"/>
            <w:tcBorders>
              <w:top w:val="nil"/>
              <w:left w:val="nil"/>
              <w:bottom w:val="nil"/>
              <w:right w:val="nil"/>
            </w:tcBorders>
          </w:tcPr>
          <w:p w14:paraId="5AE2DEC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0.635</w:t>
            </w:r>
          </w:p>
        </w:tc>
        <w:tc>
          <w:tcPr>
            <w:tcW w:w="687" w:type="pct"/>
            <w:tcBorders>
              <w:top w:val="nil"/>
              <w:left w:val="nil"/>
              <w:bottom w:val="nil"/>
              <w:right w:val="nil"/>
            </w:tcBorders>
          </w:tcPr>
          <w:p w14:paraId="4C8A0702"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0.700</w:t>
            </w:r>
          </w:p>
        </w:tc>
        <w:tc>
          <w:tcPr>
            <w:tcW w:w="687" w:type="pct"/>
            <w:tcBorders>
              <w:top w:val="nil"/>
              <w:left w:val="nil"/>
              <w:bottom w:val="nil"/>
              <w:right w:val="nil"/>
            </w:tcBorders>
          </w:tcPr>
          <w:p w14:paraId="663BBBD4"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0.550</w:t>
            </w:r>
          </w:p>
        </w:tc>
        <w:tc>
          <w:tcPr>
            <w:tcW w:w="687" w:type="pct"/>
            <w:tcBorders>
              <w:top w:val="nil"/>
              <w:left w:val="nil"/>
              <w:bottom w:val="nil"/>
              <w:right w:val="nil"/>
            </w:tcBorders>
          </w:tcPr>
          <w:p w14:paraId="1CA1A7A2"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0.956</w:t>
            </w:r>
          </w:p>
        </w:tc>
        <w:tc>
          <w:tcPr>
            <w:tcW w:w="829" w:type="pct"/>
            <w:tcBorders>
              <w:top w:val="nil"/>
              <w:left w:val="nil"/>
              <w:bottom w:val="nil"/>
              <w:right w:val="nil"/>
            </w:tcBorders>
          </w:tcPr>
          <w:p w14:paraId="00A8AFBF"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0.935</w:t>
            </w:r>
          </w:p>
        </w:tc>
      </w:tr>
      <w:tr w:rsidR="00CD4846" w:rsidRPr="00CD4846" w14:paraId="495C60D6" w14:textId="77777777" w:rsidTr="00B82EB9">
        <w:tc>
          <w:tcPr>
            <w:tcW w:w="1423" w:type="pct"/>
            <w:tcBorders>
              <w:top w:val="nil"/>
              <w:left w:val="nil"/>
              <w:bottom w:val="nil"/>
              <w:right w:val="nil"/>
            </w:tcBorders>
          </w:tcPr>
          <w:p w14:paraId="3A34DEA2" w14:textId="795613BD"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Chi</w:t>
            </w:r>
            <w:r w:rsidRPr="00CD4846">
              <w:rPr>
                <w:rFonts w:cs="Times New Roman"/>
                <w:kern w:val="2"/>
                <w:sz w:val="20"/>
                <w:szCs w:val="20"/>
                <w:vertAlign w:val="superscript"/>
                <w:lang/>
              </w:rPr>
              <w:t>2</w:t>
            </w:r>
          </w:p>
        </w:tc>
        <w:tc>
          <w:tcPr>
            <w:tcW w:w="687" w:type="pct"/>
            <w:tcBorders>
              <w:top w:val="nil"/>
              <w:left w:val="nil"/>
              <w:bottom w:val="nil"/>
              <w:right w:val="nil"/>
            </w:tcBorders>
          </w:tcPr>
          <w:p w14:paraId="194DADE4"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153</w:t>
            </w:r>
          </w:p>
        </w:tc>
        <w:tc>
          <w:tcPr>
            <w:tcW w:w="687" w:type="pct"/>
            <w:tcBorders>
              <w:top w:val="nil"/>
              <w:left w:val="nil"/>
              <w:bottom w:val="nil"/>
              <w:right w:val="nil"/>
            </w:tcBorders>
          </w:tcPr>
          <w:p w14:paraId="5414D0C7"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197</w:t>
            </w:r>
          </w:p>
        </w:tc>
        <w:tc>
          <w:tcPr>
            <w:tcW w:w="687" w:type="pct"/>
            <w:tcBorders>
              <w:top w:val="nil"/>
              <w:left w:val="nil"/>
              <w:bottom w:val="nil"/>
              <w:right w:val="nil"/>
            </w:tcBorders>
          </w:tcPr>
          <w:p w14:paraId="3D9A510A"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103</w:t>
            </w:r>
          </w:p>
        </w:tc>
        <w:tc>
          <w:tcPr>
            <w:tcW w:w="687" w:type="pct"/>
            <w:tcBorders>
              <w:top w:val="nil"/>
              <w:left w:val="nil"/>
              <w:bottom w:val="nil"/>
              <w:right w:val="nil"/>
            </w:tcBorders>
          </w:tcPr>
          <w:p w14:paraId="6423B1F1"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143</w:t>
            </w:r>
          </w:p>
        </w:tc>
        <w:tc>
          <w:tcPr>
            <w:tcW w:w="829" w:type="pct"/>
            <w:tcBorders>
              <w:top w:val="nil"/>
              <w:left w:val="nil"/>
              <w:bottom w:val="nil"/>
              <w:right w:val="nil"/>
            </w:tcBorders>
          </w:tcPr>
          <w:p w14:paraId="486E4510"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115</w:t>
            </w:r>
          </w:p>
        </w:tc>
      </w:tr>
      <w:tr w:rsidR="00CD4846" w:rsidRPr="00CD4846" w14:paraId="49C112DD" w14:textId="77777777" w:rsidTr="00B82EB9">
        <w:tc>
          <w:tcPr>
            <w:tcW w:w="1423" w:type="pct"/>
            <w:tcBorders>
              <w:top w:val="nil"/>
              <w:left w:val="nil"/>
              <w:bottom w:val="nil"/>
              <w:right w:val="nil"/>
            </w:tcBorders>
          </w:tcPr>
          <w:p w14:paraId="77FBCC67" w14:textId="76403284"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Log Likelihood</w:t>
            </w:r>
          </w:p>
        </w:tc>
        <w:tc>
          <w:tcPr>
            <w:tcW w:w="687" w:type="pct"/>
            <w:tcBorders>
              <w:top w:val="nil"/>
              <w:left w:val="nil"/>
              <w:bottom w:val="nil"/>
              <w:right w:val="nil"/>
            </w:tcBorders>
          </w:tcPr>
          <w:p w14:paraId="11DD8362"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-32727</w:t>
            </w:r>
          </w:p>
        </w:tc>
        <w:tc>
          <w:tcPr>
            <w:tcW w:w="687" w:type="pct"/>
            <w:tcBorders>
              <w:top w:val="nil"/>
              <w:left w:val="nil"/>
              <w:bottom w:val="nil"/>
              <w:right w:val="nil"/>
            </w:tcBorders>
          </w:tcPr>
          <w:p w14:paraId="7A05F2B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-16763</w:t>
            </w:r>
          </w:p>
        </w:tc>
        <w:tc>
          <w:tcPr>
            <w:tcW w:w="687" w:type="pct"/>
            <w:tcBorders>
              <w:top w:val="nil"/>
              <w:left w:val="nil"/>
              <w:bottom w:val="nil"/>
              <w:right w:val="nil"/>
            </w:tcBorders>
          </w:tcPr>
          <w:p w14:paraId="513DEF9C"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-21486</w:t>
            </w:r>
          </w:p>
        </w:tc>
        <w:tc>
          <w:tcPr>
            <w:tcW w:w="687" w:type="pct"/>
            <w:tcBorders>
              <w:top w:val="nil"/>
              <w:left w:val="nil"/>
              <w:bottom w:val="nil"/>
              <w:right w:val="nil"/>
            </w:tcBorders>
          </w:tcPr>
          <w:p w14:paraId="501E214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-116388</w:t>
            </w:r>
          </w:p>
        </w:tc>
        <w:tc>
          <w:tcPr>
            <w:tcW w:w="829" w:type="pct"/>
            <w:tcBorders>
              <w:top w:val="nil"/>
              <w:left w:val="nil"/>
              <w:bottom w:val="nil"/>
              <w:right w:val="nil"/>
            </w:tcBorders>
          </w:tcPr>
          <w:p w14:paraId="2EF00A1F"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-72174</w:t>
            </w:r>
          </w:p>
        </w:tc>
      </w:tr>
      <w:tr w:rsidR="00CD4846" w:rsidRPr="00CD4846" w14:paraId="015C9327" w14:textId="77777777" w:rsidTr="00B82EB9">
        <w:tc>
          <w:tcPr>
            <w:tcW w:w="1423" w:type="pct"/>
            <w:tcBorders>
              <w:top w:val="nil"/>
              <w:left w:val="nil"/>
              <w:bottom w:val="nil"/>
              <w:right w:val="nil"/>
            </w:tcBorders>
          </w:tcPr>
          <w:p w14:paraId="0EFD8CB1" w14:textId="17DEF1B5"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Akaike’s Criterion</w:t>
            </w:r>
          </w:p>
        </w:tc>
        <w:tc>
          <w:tcPr>
            <w:tcW w:w="687" w:type="pct"/>
            <w:tcBorders>
              <w:top w:val="nil"/>
              <w:left w:val="nil"/>
              <w:bottom w:val="nil"/>
              <w:right w:val="nil"/>
            </w:tcBorders>
          </w:tcPr>
          <w:p w14:paraId="300B2510"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65491</w:t>
            </w:r>
          </w:p>
        </w:tc>
        <w:tc>
          <w:tcPr>
            <w:tcW w:w="687" w:type="pct"/>
            <w:tcBorders>
              <w:top w:val="nil"/>
              <w:left w:val="nil"/>
              <w:bottom w:val="nil"/>
              <w:right w:val="nil"/>
            </w:tcBorders>
          </w:tcPr>
          <w:p w14:paraId="3699AA95"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33562</w:t>
            </w:r>
          </w:p>
        </w:tc>
        <w:tc>
          <w:tcPr>
            <w:tcW w:w="687" w:type="pct"/>
            <w:tcBorders>
              <w:top w:val="nil"/>
              <w:left w:val="nil"/>
              <w:bottom w:val="nil"/>
              <w:right w:val="nil"/>
            </w:tcBorders>
          </w:tcPr>
          <w:p w14:paraId="4031F2D1"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43009</w:t>
            </w:r>
          </w:p>
        </w:tc>
        <w:tc>
          <w:tcPr>
            <w:tcW w:w="687" w:type="pct"/>
            <w:tcBorders>
              <w:top w:val="nil"/>
              <w:left w:val="nil"/>
              <w:bottom w:val="nil"/>
              <w:right w:val="nil"/>
            </w:tcBorders>
          </w:tcPr>
          <w:p w14:paraId="573D09DA"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232813</w:t>
            </w:r>
          </w:p>
        </w:tc>
        <w:tc>
          <w:tcPr>
            <w:tcW w:w="829" w:type="pct"/>
            <w:tcBorders>
              <w:top w:val="nil"/>
              <w:left w:val="nil"/>
              <w:bottom w:val="nil"/>
              <w:right w:val="nil"/>
            </w:tcBorders>
          </w:tcPr>
          <w:p w14:paraId="5BAFC670"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144384</w:t>
            </w:r>
          </w:p>
        </w:tc>
      </w:tr>
      <w:tr w:rsidR="00CD4846" w:rsidRPr="00CD4846" w14:paraId="22E70D52" w14:textId="77777777" w:rsidTr="00B82EB9">
        <w:tc>
          <w:tcPr>
            <w:tcW w:w="1423" w:type="pct"/>
            <w:tcBorders>
              <w:top w:val="nil"/>
              <w:left w:val="nil"/>
              <w:bottom w:val="nil"/>
              <w:right w:val="nil"/>
            </w:tcBorders>
          </w:tcPr>
          <w:p w14:paraId="5785F830" w14:textId="5EEB7B0D"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Bayesian Criterion</w:t>
            </w:r>
          </w:p>
        </w:tc>
        <w:tc>
          <w:tcPr>
            <w:tcW w:w="687" w:type="pct"/>
            <w:tcBorders>
              <w:top w:val="nil"/>
              <w:left w:val="nil"/>
              <w:bottom w:val="nil"/>
              <w:right w:val="nil"/>
            </w:tcBorders>
          </w:tcPr>
          <w:p w14:paraId="498F2C0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65629</w:t>
            </w:r>
          </w:p>
        </w:tc>
        <w:tc>
          <w:tcPr>
            <w:tcW w:w="687" w:type="pct"/>
            <w:tcBorders>
              <w:top w:val="nil"/>
              <w:left w:val="nil"/>
              <w:bottom w:val="nil"/>
              <w:right w:val="nil"/>
            </w:tcBorders>
          </w:tcPr>
          <w:p w14:paraId="149988CD"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33692</w:t>
            </w:r>
          </w:p>
        </w:tc>
        <w:tc>
          <w:tcPr>
            <w:tcW w:w="687" w:type="pct"/>
            <w:tcBorders>
              <w:top w:val="nil"/>
              <w:left w:val="nil"/>
              <w:bottom w:val="nil"/>
              <w:right w:val="nil"/>
            </w:tcBorders>
          </w:tcPr>
          <w:p w14:paraId="6121DC0A"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43146</w:t>
            </w:r>
          </w:p>
        </w:tc>
        <w:tc>
          <w:tcPr>
            <w:tcW w:w="687" w:type="pct"/>
            <w:tcBorders>
              <w:top w:val="nil"/>
              <w:left w:val="nil"/>
              <w:bottom w:val="nil"/>
              <w:right w:val="nil"/>
            </w:tcBorders>
          </w:tcPr>
          <w:p w14:paraId="6B0354F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232961</w:t>
            </w:r>
          </w:p>
        </w:tc>
        <w:tc>
          <w:tcPr>
            <w:tcW w:w="829" w:type="pct"/>
            <w:tcBorders>
              <w:top w:val="nil"/>
              <w:left w:val="nil"/>
              <w:bottom w:val="nil"/>
              <w:right w:val="nil"/>
            </w:tcBorders>
          </w:tcPr>
          <w:p w14:paraId="79E009D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144531</w:t>
            </w:r>
          </w:p>
        </w:tc>
      </w:tr>
      <w:tr w:rsidR="00CD4846" w:rsidRPr="00CD4846" w14:paraId="2CC8DC3F" w14:textId="77777777" w:rsidTr="00B82EB9">
        <w:tc>
          <w:tcPr>
            <w:tcW w:w="1423" w:type="pct"/>
            <w:tcBorders>
              <w:top w:val="nil"/>
              <w:left w:val="nil"/>
              <w:bottom w:val="nil"/>
              <w:right w:val="nil"/>
            </w:tcBorders>
          </w:tcPr>
          <w:p w14:paraId="14F6D8E2"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County FE</w:t>
            </w:r>
          </w:p>
        </w:tc>
        <w:tc>
          <w:tcPr>
            <w:tcW w:w="687" w:type="pct"/>
            <w:tcBorders>
              <w:top w:val="nil"/>
              <w:left w:val="nil"/>
              <w:bottom w:val="nil"/>
              <w:right w:val="nil"/>
            </w:tcBorders>
          </w:tcPr>
          <w:p w14:paraId="5CEB24A0"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687" w:type="pct"/>
            <w:tcBorders>
              <w:top w:val="nil"/>
              <w:left w:val="nil"/>
              <w:bottom w:val="nil"/>
              <w:right w:val="nil"/>
            </w:tcBorders>
          </w:tcPr>
          <w:p w14:paraId="43E8F5C0"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687" w:type="pct"/>
            <w:tcBorders>
              <w:top w:val="nil"/>
              <w:left w:val="nil"/>
              <w:bottom w:val="nil"/>
              <w:right w:val="nil"/>
            </w:tcBorders>
          </w:tcPr>
          <w:p w14:paraId="5B28A89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687" w:type="pct"/>
            <w:tcBorders>
              <w:top w:val="nil"/>
              <w:left w:val="nil"/>
              <w:bottom w:val="nil"/>
              <w:right w:val="nil"/>
            </w:tcBorders>
          </w:tcPr>
          <w:p w14:paraId="41D924B1"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829" w:type="pct"/>
            <w:tcBorders>
              <w:top w:val="nil"/>
              <w:left w:val="nil"/>
              <w:bottom w:val="nil"/>
              <w:right w:val="nil"/>
            </w:tcBorders>
          </w:tcPr>
          <w:p w14:paraId="426160BC"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r>
      <w:tr w:rsidR="00CD4846" w:rsidRPr="00CD4846" w14:paraId="7DDAB16D" w14:textId="77777777" w:rsidTr="00B82EB9">
        <w:tc>
          <w:tcPr>
            <w:tcW w:w="1423" w:type="pct"/>
            <w:tcBorders>
              <w:top w:val="nil"/>
              <w:left w:val="nil"/>
              <w:bottom w:val="nil"/>
              <w:right w:val="nil"/>
            </w:tcBorders>
          </w:tcPr>
          <w:p w14:paraId="30B62F75"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State by Year FE</w:t>
            </w:r>
          </w:p>
        </w:tc>
        <w:tc>
          <w:tcPr>
            <w:tcW w:w="687" w:type="pct"/>
            <w:tcBorders>
              <w:top w:val="nil"/>
              <w:left w:val="nil"/>
              <w:bottom w:val="nil"/>
              <w:right w:val="nil"/>
            </w:tcBorders>
          </w:tcPr>
          <w:p w14:paraId="58477BC9"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687" w:type="pct"/>
            <w:tcBorders>
              <w:top w:val="nil"/>
              <w:left w:val="nil"/>
              <w:bottom w:val="nil"/>
              <w:right w:val="nil"/>
            </w:tcBorders>
          </w:tcPr>
          <w:p w14:paraId="4964B785"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687" w:type="pct"/>
            <w:tcBorders>
              <w:top w:val="nil"/>
              <w:left w:val="nil"/>
              <w:bottom w:val="nil"/>
              <w:right w:val="nil"/>
            </w:tcBorders>
          </w:tcPr>
          <w:p w14:paraId="37E13991"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687" w:type="pct"/>
            <w:tcBorders>
              <w:top w:val="nil"/>
              <w:left w:val="nil"/>
              <w:bottom w:val="nil"/>
              <w:right w:val="nil"/>
            </w:tcBorders>
          </w:tcPr>
          <w:p w14:paraId="566A37C1"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829" w:type="pct"/>
            <w:tcBorders>
              <w:top w:val="nil"/>
              <w:left w:val="nil"/>
              <w:bottom w:val="nil"/>
              <w:right w:val="nil"/>
            </w:tcBorders>
          </w:tcPr>
          <w:p w14:paraId="43E9DD46"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r>
    </w:tbl>
    <w:p w14:paraId="4E099CA7" w14:textId="77777777" w:rsidR="00715FCB" w:rsidRDefault="00715FCB" w:rsidP="004C39A4">
      <w:r>
        <w:br w:type="page"/>
      </w:r>
    </w:p>
    <w:p w14:paraId="61CB9D5D" w14:textId="4BF23FD5" w:rsidR="00715FCB" w:rsidRPr="00475D06" w:rsidRDefault="00715FCB" w:rsidP="004C39A4">
      <w:pPr>
        <w:spacing w:line="240" w:lineRule="auto"/>
        <w:rPr>
          <w:b/>
          <w:bCs/>
        </w:rPr>
      </w:pPr>
      <w:r w:rsidRPr="00475D06">
        <w:rPr>
          <w:b/>
          <w:bCs/>
        </w:rPr>
        <w:lastRenderedPageBreak/>
        <w:t>Table A13 Continued</w:t>
      </w:r>
    </w:p>
    <w:tbl>
      <w:tblPr>
        <w:tblW w:w="5000" w:type="pct"/>
        <w:tblLook w:val="04A0" w:firstRow="1" w:lastRow="0" w:firstColumn="1" w:lastColumn="0" w:noHBand="0" w:noVBand="1"/>
      </w:tblPr>
      <w:tblGrid>
        <w:gridCol w:w="2664"/>
        <w:gridCol w:w="1286"/>
        <w:gridCol w:w="1286"/>
        <w:gridCol w:w="1286"/>
        <w:gridCol w:w="1286"/>
        <w:gridCol w:w="1552"/>
      </w:tblGrid>
      <w:tr w:rsidR="00E7131D" w:rsidRPr="0058540A" w14:paraId="671162BC" w14:textId="77777777" w:rsidTr="00E7131D">
        <w:tc>
          <w:tcPr>
            <w:tcW w:w="1423" w:type="pct"/>
            <w:tcBorders>
              <w:top w:val="single" w:sz="4" w:space="0" w:color="auto"/>
              <w:left w:val="nil"/>
              <w:bottom w:val="single" w:sz="4" w:space="0" w:color="auto"/>
              <w:right w:val="nil"/>
            </w:tcBorders>
          </w:tcPr>
          <w:p w14:paraId="00C36FD9" w14:textId="33733196" w:rsidR="00E7131D" w:rsidRPr="0058540A"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b/>
                <w:bCs/>
                <w:kern w:val="2"/>
                <w:sz w:val="20"/>
                <w:szCs w:val="20"/>
                <w:lang/>
              </w:rPr>
              <w:t>Variable</w:t>
            </w:r>
          </w:p>
        </w:tc>
        <w:tc>
          <w:tcPr>
            <w:tcW w:w="687" w:type="pct"/>
            <w:tcBorders>
              <w:top w:val="single" w:sz="4" w:space="0" w:color="auto"/>
              <w:left w:val="nil"/>
              <w:bottom w:val="single" w:sz="4" w:space="0" w:color="auto"/>
              <w:right w:val="nil"/>
            </w:tcBorders>
          </w:tcPr>
          <w:p w14:paraId="64A696EB" w14:textId="65421DBC" w:rsidR="00E7131D" w:rsidRPr="0058540A"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b/>
                <w:bCs/>
                <w:kern w:val="2"/>
                <w:sz w:val="20"/>
                <w:szCs w:val="20"/>
                <w:lang/>
              </w:rPr>
              <w:t>NAICS 11</w:t>
            </w:r>
          </w:p>
        </w:tc>
        <w:tc>
          <w:tcPr>
            <w:tcW w:w="687" w:type="pct"/>
            <w:tcBorders>
              <w:top w:val="single" w:sz="4" w:space="0" w:color="auto"/>
              <w:left w:val="nil"/>
              <w:bottom w:val="single" w:sz="4" w:space="0" w:color="auto"/>
              <w:right w:val="nil"/>
            </w:tcBorders>
          </w:tcPr>
          <w:p w14:paraId="65F8B353" w14:textId="347B91C2" w:rsidR="00E7131D" w:rsidRPr="0058540A"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b/>
                <w:bCs/>
                <w:kern w:val="2"/>
                <w:sz w:val="20"/>
                <w:szCs w:val="20"/>
                <w:lang/>
              </w:rPr>
              <w:t>NAICS 21</w:t>
            </w:r>
          </w:p>
        </w:tc>
        <w:tc>
          <w:tcPr>
            <w:tcW w:w="687" w:type="pct"/>
            <w:tcBorders>
              <w:top w:val="single" w:sz="4" w:space="0" w:color="auto"/>
              <w:left w:val="nil"/>
              <w:bottom w:val="single" w:sz="4" w:space="0" w:color="auto"/>
              <w:right w:val="nil"/>
            </w:tcBorders>
          </w:tcPr>
          <w:p w14:paraId="1104696C" w14:textId="03939EDD" w:rsidR="00E7131D" w:rsidRPr="0058540A"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b/>
                <w:bCs/>
                <w:kern w:val="2"/>
                <w:sz w:val="20"/>
                <w:szCs w:val="20"/>
                <w:lang/>
              </w:rPr>
              <w:t>NAICS 22</w:t>
            </w:r>
          </w:p>
        </w:tc>
        <w:tc>
          <w:tcPr>
            <w:tcW w:w="687" w:type="pct"/>
            <w:tcBorders>
              <w:top w:val="single" w:sz="4" w:space="0" w:color="auto"/>
              <w:left w:val="nil"/>
              <w:bottom w:val="single" w:sz="4" w:space="0" w:color="auto"/>
              <w:right w:val="nil"/>
            </w:tcBorders>
          </w:tcPr>
          <w:p w14:paraId="714D07C8" w14:textId="51424087" w:rsidR="00E7131D" w:rsidRPr="0058540A"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b/>
                <w:bCs/>
                <w:kern w:val="2"/>
                <w:sz w:val="20"/>
                <w:szCs w:val="20"/>
                <w:lang/>
              </w:rPr>
              <w:t>NAICS 23</w:t>
            </w:r>
          </w:p>
        </w:tc>
        <w:tc>
          <w:tcPr>
            <w:tcW w:w="829" w:type="pct"/>
            <w:tcBorders>
              <w:top w:val="single" w:sz="4" w:space="0" w:color="auto"/>
              <w:left w:val="nil"/>
              <w:bottom w:val="single" w:sz="4" w:space="0" w:color="auto"/>
              <w:right w:val="nil"/>
            </w:tcBorders>
          </w:tcPr>
          <w:p w14:paraId="333082A9" w14:textId="75B25661" w:rsidR="00E7131D" w:rsidRPr="0058540A"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b/>
                <w:bCs/>
                <w:kern w:val="2"/>
                <w:sz w:val="20"/>
                <w:szCs w:val="20"/>
                <w:lang/>
              </w:rPr>
              <w:t>NAICS 31-33</w:t>
            </w:r>
          </w:p>
        </w:tc>
      </w:tr>
      <w:tr w:rsidR="00E7131D" w:rsidRPr="00CD4846" w14:paraId="4140905D" w14:textId="77777777" w:rsidTr="00E7131D">
        <w:tc>
          <w:tcPr>
            <w:tcW w:w="1423" w:type="pct"/>
            <w:tcBorders>
              <w:top w:val="single" w:sz="4" w:space="0" w:color="auto"/>
              <w:left w:val="nil"/>
              <w:right w:val="nil"/>
            </w:tcBorders>
          </w:tcPr>
          <w:p w14:paraId="49D58B1F" w14:textId="099C58DC"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NAICS FE</w:t>
            </w:r>
          </w:p>
        </w:tc>
        <w:tc>
          <w:tcPr>
            <w:tcW w:w="687" w:type="pct"/>
            <w:tcBorders>
              <w:top w:val="single" w:sz="4" w:space="0" w:color="auto"/>
              <w:left w:val="nil"/>
              <w:right w:val="nil"/>
            </w:tcBorders>
          </w:tcPr>
          <w:p w14:paraId="20470D17"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687" w:type="pct"/>
            <w:tcBorders>
              <w:top w:val="single" w:sz="4" w:space="0" w:color="auto"/>
              <w:left w:val="nil"/>
              <w:right w:val="nil"/>
            </w:tcBorders>
          </w:tcPr>
          <w:p w14:paraId="60CDE340"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687" w:type="pct"/>
            <w:tcBorders>
              <w:top w:val="single" w:sz="4" w:space="0" w:color="auto"/>
              <w:left w:val="nil"/>
              <w:right w:val="nil"/>
            </w:tcBorders>
          </w:tcPr>
          <w:p w14:paraId="5593FB6B"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687" w:type="pct"/>
            <w:tcBorders>
              <w:top w:val="single" w:sz="4" w:space="0" w:color="auto"/>
              <w:left w:val="nil"/>
              <w:right w:val="nil"/>
            </w:tcBorders>
          </w:tcPr>
          <w:p w14:paraId="29212AAA"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829" w:type="pct"/>
            <w:tcBorders>
              <w:top w:val="single" w:sz="4" w:space="0" w:color="auto"/>
              <w:left w:val="nil"/>
              <w:right w:val="nil"/>
            </w:tcBorders>
          </w:tcPr>
          <w:p w14:paraId="786E79B8"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r>
      <w:tr w:rsidR="00E7131D" w:rsidRPr="00CD4846" w14:paraId="159EFD77" w14:textId="77777777" w:rsidTr="00B82EB9">
        <w:tc>
          <w:tcPr>
            <w:tcW w:w="1423" w:type="pct"/>
            <w:tcBorders>
              <w:top w:val="nil"/>
              <w:left w:val="nil"/>
              <w:bottom w:val="single" w:sz="4" w:space="0" w:color="auto"/>
              <w:right w:val="nil"/>
            </w:tcBorders>
          </w:tcPr>
          <w:p w14:paraId="64EF17D3" w14:textId="77777777" w:rsidR="00E7131D" w:rsidRPr="00CD4846" w:rsidRDefault="00E7131D" w:rsidP="0058540A">
            <w:pPr>
              <w:widowControl w:val="0"/>
              <w:autoSpaceDE w:val="0"/>
              <w:autoSpaceDN w:val="0"/>
              <w:adjustRightInd w:val="0"/>
              <w:spacing w:line="240" w:lineRule="auto"/>
              <w:rPr>
                <w:rFonts w:eastAsia="Times New Roman" w:cs="Times New Roman"/>
                <w:b/>
                <w:bCs/>
                <w:color w:val="5F6368"/>
                <w:kern w:val="2"/>
                <w:sz w:val="20"/>
                <w:szCs w:val="20"/>
                <w:shd w:val="clear" w:color="auto" w:fill="FFFFFF"/>
                <w:lang/>
              </w:rPr>
            </w:pPr>
            <w:r w:rsidRPr="00CD4846">
              <w:rPr>
                <w:rFonts w:eastAsia="Times New Roman" w:cs="Times New Roman"/>
                <w:kern w:val="2"/>
                <w:sz w:val="20"/>
                <w:szCs w:val="20"/>
                <w:lang/>
              </w:rPr>
              <w:t>PA-PA</w:t>
            </w:r>
            <w:r w:rsidRPr="00CD4846">
              <w:rPr>
                <w:rFonts w:eastAsia="Times New Roman" w:cs="Times New Roman"/>
                <w:b/>
                <w:bCs/>
                <w:i/>
                <w:color w:val="5F6368"/>
                <w:kern w:val="2"/>
                <w:sz w:val="20"/>
                <w:szCs w:val="20"/>
                <w:shd w:val="clear" w:color="auto" w:fill="FFFFFF"/>
                <w:lang/>
              </w:rPr>
              <w:t>²</w:t>
            </w:r>
            <w:r w:rsidRPr="00CD4846">
              <w:rPr>
                <w:rFonts w:cs="Times New Roman"/>
                <w:b/>
                <w:bCs/>
                <w:i/>
                <w:color w:val="5F6368"/>
                <w:kern w:val="2"/>
                <w:sz w:val="20"/>
                <w:szCs w:val="20"/>
                <w:shd w:val="clear" w:color="auto" w:fill="FFFFFF"/>
                <w:lang/>
              </w:rPr>
              <w:t xml:space="preserve"> </w:t>
            </w:r>
            <w:r w:rsidRPr="00CD4846">
              <w:rPr>
                <w:rFonts w:eastAsia="Times New Roman" w:cs="Times New Roman"/>
                <w:kern w:val="2"/>
                <w:sz w:val="20"/>
                <w:szCs w:val="20"/>
                <w:lang/>
              </w:rPr>
              <w:t xml:space="preserve">Joint Test </w:t>
            </w:r>
            <w:r w:rsidRPr="00CD4846">
              <w:rPr>
                <w:rFonts w:cs="Times New Roman"/>
                <w:kern w:val="2"/>
                <w:sz w:val="20"/>
                <w:szCs w:val="20"/>
                <w:lang/>
              </w:rPr>
              <w:t>p-value</w:t>
            </w:r>
          </w:p>
        </w:tc>
        <w:tc>
          <w:tcPr>
            <w:tcW w:w="687" w:type="pct"/>
            <w:tcBorders>
              <w:top w:val="nil"/>
              <w:left w:val="nil"/>
              <w:bottom w:val="single" w:sz="4" w:space="0" w:color="auto"/>
              <w:right w:val="nil"/>
            </w:tcBorders>
          </w:tcPr>
          <w:p w14:paraId="4371E3E7"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0.3910</w:t>
            </w:r>
          </w:p>
        </w:tc>
        <w:tc>
          <w:tcPr>
            <w:tcW w:w="687" w:type="pct"/>
            <w:tcBorders>
              <w:top w:val="nil"/>
              <w:left w:val="nil"/>
              <w:bottom w:val="single" w:sz="4" w:space="0" w:color="auto"/>
              <w:right w:val="nil"/>
            </w:tcBorders>
          </w:tcPr>
          <w:p w14:paraId="0340DE20"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0.3420</w:t>
            </w:r>
          </w:p>
        </w:tc>
        <w:tc>
          <w:tcPr>
            <w:tcW w:w="687" w:type="pct"/>
            <w:tcBorders>
              <w:top w:val="nil"/>
              <w:left w:val="nil"/>
              <w:bottom w:val="single" w:sz="4" w:space="0" w:color="auto"/>
              <w:right w:val="nil"/>
            </w:tcBorders>
          </w:tcPr>
          <w:p w14:paraId="6A9636DB"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0.0160</w:t>
            </w:r>
          </w:p>
        </w:tc>
        <w:tc>
          <w:tcPr>
            <w:tcW w:w="687" w:type="pct"/>
            <w:tcBorders>
              <w:top w:val="nil"/>
              <w:left w:val="nil"/>
              <w:bottom w:val="single" w:sz="4" w:space="0" w:color="auto"/>
              <w:right w:val="nil"/>
            </w:tcBorders>
          </w:tcPr>
          <w:p w14:paraId="1FC36979"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0.0938</w:t>
            </w:r>
          </w:p>
        </w:tc>
        <w:tc>
          <w:tcPr>
            <w:tcW w:w="829" w:type="pct"/>
            <w:tcBorders>
              <w:top w:val="nil"/>
              <w:left w:val="nil"/>
              <w:bottom w:val="single" w:sz="4" w:space="0" w:color="auto"/>
              <w:right w:val="nil"/>
            </w:tcBorders>
          </w:tcPr>
          <w:p w14:paraId="26B1FF61"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0.0050</w:t>
            </w:r>
          </w:p>
        </w:tc>
      </w:tr>
    </w:tbl>
    <w:p w14:paraId="0F6E6DD0" w14:textId="4CB39D2F" w:rsidR="00CD4846" w:rsidRPr="0058540A" w:rsidRDefault="00CD4846" w:rsidP="0058540A">
      <w:pPr>
        <w:spacing w:line="240" w:lineRule="auto"/>
        <w:rPr>
          <w:rFonts w:eastAsia="DengXian" w:cs="Times New Roman"/>
          <w:i/>
          <w:iCs/>
          <w:sz w:val="20"/>
          <w:szCs w:val="20"/>
          <w:lang/>
        </w:rPr>
      </w:pPr>
      <w:r w:rsidRPr="0058540A">
        <w:rPr>
          <w:rFonts w:cs="Times New Roman"/>
          <w:sz w:val="20"/>
          <w:szCs w:val="20"/>
          <w:lang/>
        </w:rPr>
        <w:t xml:space="preserve">Table </w:t>
      </w:r>
      <w:r w:rsidRPr="0058540A">
        <w:rPr>
          <w:rFonts w:cs="Times New Roman"/>
          <w:sz w:val="20"/>
          <w:szCs w:val="20"/>
          <w:lang/>
        </w:rPr>
        <w:t>A13</w:t>
      </w:r>
      <w:r w:rsidRPr="0058540A">
        <w:rPr>
          <w:rFonts w:cs="Times New Roman"/>
          <w:sz w:val="20"/>
          <w:szCs w:val="20"/>
          <w:lang/>
        </w:rPr>
        <w:t xml:space="preserve">: </w:t>
      </w:r>
      <w:r w:rsidRPr="0058540A">
        <w:rPr>
          <w:rFonts w:cs="Times New Roman"/>
          <w:sz w:val="20"/>
          <w:szCs w:val="20"/>
          <w:lang/>
        </w:rPr>
        <w:t>PPMLHDFE r</w:t>
      </w:r>
      <w:r w:rsidRPr="0058540A">
        <w:rPr>
          <w:rFonts w:cs="Times New Roman"/>
          <w:sz w:val="20"/>
          <w:szCs w:val="20"/>
          <w:lang/>
        </w:rPr>
        <w:t xml:space="preserve">egression results </w:t>
      </w:r>
      <w:r w:rsidRPr="0058540A">
        <w:rPr>
          <w:rFonts w:cs="Times New Roman"/>
          <w:sz w:val="20"/>
          <w:szCs w:val="20"/>
          <w:lang/>
        </w:rPr>
        <w:t xml:space="preserve">on establishment deaths under broad PADs (GAP 1-4) are presented above. Column names correspond to a specific NAICS sector. </w:t>
      </w:r>
      <w:r w:rsidR="002A78A3" w:rsidRPr="00C624DB">
        <w:rPr>
          <w:sz w:val="20"/>
          <w:szCs w:val="20"/>
          <w:lang/>
        </w:rPr>
        <w:t xml:space="preserve">Standard errors are </w:t>
      </w:r>
      <w:r w:rsidR="002A78A3">
        <w:rPr>
          <w:sz w:val="20"/>
          <w:szCs w:val="20"/>
          <w:lang/>
        </w:rPr>
        <w:t xml:space="preserve">in parentheses and are </w:t>
      </w:r>
      <w:r w:rsidR="002A78A3" w:rsidRPr="00C624DB">
        <w:rPr>
          <w:sz w:val="20"/>
          <w:szCs w:val="20"/>
          <w:lang/>
        </w:rPr>
        <w:t xml:space="preserve">clustered at the county level. </w:t>
      </w:r>
      <w:r w:rsidR="002A78A3" w:rsidRPr="002C0F11">
        <w:rPr>
          <w:sz w:val="20"/>
          <w:szCs w:val="20"/>
          <w:lang/>
        </w:rPr>
        <w:t>Statistically significant impacts are denoted by asterisks. These asterisks denote statistical significance at the following levels: ***p &lt; 0.01, **p &lt; 0.05, *p &lt; 0.1.</w:t>
      </w:r>
      <w:r w:rsidRPr="0058540A">
        <w:rPr>
          <w:rFonts w:cs="Times New Roman"/>
          <w:sz w:val="20"/>
          <w:szCs w:val="20"/>
          <w:lang/>
        </w:rPr>
        <w:t xml:space="preserve"> p-values of joint-tests on linear and quadratic PAD terms are shown in the last row.</w:t>
      </w:r>
    </w:p>
    <w:p w14:paraId="1A778527" w14:textId="77777777" w:rsidR="00CD4846" w:rsidRPr="00CD4846" w:rsidRDefault="00CD4846" w:rsidP="004C39A4">
      <w:pPr>
        <w:widowControl w:val="0"/>
        <w:autoSpaceDE w:val="0"/>
        <w:autoSpaceDN w:val="0"/>
        <w:adjustRightInd w:val="0"/>
        <w:spacing w:line="240" w:lineRule="auto"/>
        <w:rPr>
          <w:rFonts w:ascii="Garamond" w:hAnsi="Garamond" w:cs="Times New Roman"/>
          <w:b/>
          <w:bCs/>
          <w:kern w:val="2"/>
          <w:sz w:val="20"/>
          <w:szCs w:val="20"/>
          <w:lang/>
        </w:rPr>
      </w:pPr>
    </w:p>
    <w:p w14:paraId="763BF2AB" w14:textId="77777777" w:rsidR="00CD4846" w:rsidRPr="00CD4846" w:rsidRDefault="00CD4846" w:rsidP="004C39A4">
      <w:pPr>
        <w:widowControl w:val="0"/>
        <w:autoSpaceDE w:val="0"/>
        <w:autoSpaceDN w:val="0"/>
        <w:adjustRightInd w:val="0"/>
        <w:spacing w:line="240" w:lineRule="auto"/>
        <w:rPr>
          <w:rFonts w:ascii="Garamond" w:hAnsi="Garamond" w:cs="Times New Roman"/>
          <w:b/>
          <w:bCs/>
          <w:kern w:val="2"/>
          <w:sz w:val="20"/>
          <w:szCs w:val="20"/>
          <w:lang/>
        </w:rPr>
      </w:pPr>
    </w:p>
    <w:p w14:paraId="74D99197" w14:textId="77777777" w:rsidR="00CD4846" w:rsidRPr="00CD4846" w:rsidRDefault="00CD4846" w:rsidP="004C39A4">
      <w:pPr>
        <w:widowControl w:val="0"/>
        <w:autoSpaceDE w:val="0"/>
        <w:autoSpaceDN w:val="0"/>
        <w:adjustRightInd w:val="0"/>
        <w:spacing w:line="240" w:lineRule="auto"/>
        <w:rPr>
          <w:rFonts w:ascii="Garamond" w:hAnsi="Garamond" w:cs="Times New Roman"/>
          <w:b/>
          <w:bCs/>
          <w:kern w:val="2"/>
          <w:sz w:val="20"/>
          <w:szCs w:val="20"/>
          <w:lang/>
        </w:rPr>
      </w:pPr>
    </w:p>
    <w:p w14:paraId="59B33747" w14:textId="77777777" w:rsidR="00CD4846" w:rsidRPr="00CD4846" w:rsidRDefault="00CD4846" w:rsidP="004C39A4">
      <w:pPr>
        <w:spacing w:line="259" w:lineRule="auto"/>
        <w:rPr>
          <w:rFonts w:ascii="Calibri Light" w:eastAsia="Times New Roman" w:hAnsi="Calibri Light" w:cs="Times New Roman"/>
          <w:b/>
          <w:bCs/>
          <w:color w:val="2F5496"/>
          <w:kern w:val="2"/>
          <w14:ligatures w14:val="standardContextual"/>
        </w:rPr>
      </w:pPr>
      <w:r w:rsidRPr="00CD4846">
        <w:rPr>
          <w:rFonts w:ascii="DengXian" w:hAnsi="DengXian" w:cs="Times New Roman"/>
          <w:b/>
          <w:bCs/>
          <w:kern w:val="2"/>
          <w:lang/>
        </w:rPr>
        <w:br w:type="page"/>
      </w:r>
    </w:p>
    <w:p w14:paraId="4B5C8E83" w14:textId="77777777" w:rsidR="00CD4846" w:rsidRPr="00CD4846" w:rsidRDefault="00CD4846" w:rsidP="00095E25">
      <w:pPr>
        <w:pStyle w:val="Title"/>
      </w:pPr>
      <w:bookmarkStart w:id="249" w:name="_Toc186799418"/>
      <w:bookmarkStart w:id="250" w:name="_Toc188359619"/>
      <w:bookmarkStart w:id="251" w:name="_Toc188359907"/>
      <w:bookmarkStart w:id="252" w:name="_Toc188361143"/>
      <w:bookmarkStart w:id="253" w:name="_Toc188366987"/>
      <w:r w:rsidRPr="00CD4846">
        <w:lastRenderedPageBreak/>
        <w:t>Table A14: Regression Results of Broad PADs on Outward Relocations</w:t>
      </w:r>
      <w:bookmarkEnd w:id="249"/>
      <w:bookmarkEnd w:id="250"/>
      <w:bookmarkEnd w:id="251"/>
      <w:bookmarkEnd w:id="252"/>
      <w:bookmarkEnd w:id="253"/>
    </w:p>
    <w:tbl>
      <w:tblPr>
        <w:tblW w:w="4933" w:type="pct"/>
        <w:tblLook w:val="04A0" w:firstRow="1" w:lastRow="0" w:firstColumn="1" w:lastColumn="0" w:noHBand="0" w:noVBand="1"/>
      </w:tblPr>
      <w:tblGrid>
        <w:gridCol w:w="2707"/>
        <w:gridCol w:w="1277"/>
        <w:gridCol w:w="1276"/>
        <w:gridCol w:w="1276"/>
        <w:gridCol w:w="1153"/>
        <w:gridCol w:w="1546"/>
      </w:tblGrid>
      <w:tr w:rsidR="00CD4846" w:rsidRPr="00CD4846" w14:paraId="72A15BE0" w14:textId="77777777" w:rsidTr="003959BE">
        <w:tc>
          <w:tcPr>
            <w:tcW w:w="1465" w:type="pct"/>
            <w:tcBorders>
              <w:top w:val="single" w:sz="4" w:space="0" w:color="auto"/>
              <w:left w:val="nil"/>
              <w:bottom w:val="single" w:sz="4" w:space="0" w:color="auto"/>
              <w:right w:val="nil"/>
            </w:tcBorders>
          </w:tcPr>
          <w:p w14:paraId="38D40AC3" w14:textId="0D1F0A20" w:rsidR="00CD4846" w:rsidRPr="00CD4846" w:rsidRDefault="00CD4846" w:rsidP="0058540A">
            <w:pPr>
              <w:widowControl w:val="0"/>
              <w:autoSpaceDE w:val="0"/>
              <w:autoSpaceDN w:val="0"/>
              <w:adjustRightInd w:val="0"/>
              <w:spacing w:line="240" w:lineRule="auto"/>
              <w:rPr>
                <w:rFonts w:cs="Times New Roman"/>
                <w:b/>
                <w:bCs/>
                <w:kern w:val="2"/>
                <w:sz w:val="20"/>
                <w:szCs w:val="20"/>
                <w:lang/>
              </w:rPr>
            </w:pPr>
            <w:r w:rsidRPr="00CD4846">
              <w:rPr>
                <w:rFonts w:cs="Times New Roman"/>
                <w:b/>
                <w:bCs/>
                <w:kern w:val="2"/>
                <w:sz w:val="20"/>
                <w:szCs w:val="20"/>
                <w:lang/>
              </w:rPr>
              <w:t>Variable</w:t>
            </w:r>
          </w:p>
        </w:tc>
        <w:tc>
          <w:tcPr>
            <w:tcW w:w="691" w:type="pct"/>
            <w:tcBorders>
              <w:top w:val="single" w:sz="4" w:space="0" w:color="auto"/>
              <w:left w:val="nil"/>
              <w:bottom w:val="single" w:sz="4" w:space="0" w:color="auto"/>
              <w:right w:val="nil"/>
            </w:tcBorders>
          </w:tcPr>
          <w:p w14:paraId="39ADA625" w14:textId="7AD43507" w:rsidR="00CD4846" w:rsidRPr="00CD4846" w:rsidRDefault="00CD4846" w:rsidP="0058540A">
            <w:pPr>
              <w:widowControl w:val="0"/>
              <w:autoSpaceDE w:val="0"/>
              <w:autoSpaceDN w:val="0"/>
              <w:adjustRightInd w:val="0"/>
              <w:spacing w:line="240" w:lineRule="auto"/>
              <w:rPr>
                <w:rFonts w:cs="Times New Roman"/>
                <w:b/>
                <w:bCs/>
                <w:kern w:val="2"/>
                <w:sz w:val="20"/>
                <w:szCs w:val="20"/>
                <w:lang/>
              </w:rPr>
            </w:pPr>
            <w:r w:rsidRPr="00CD4846">
              <w:rPr>
                <w:rFonts w:cs="Times New Roman"/>
                <w:b/>
                <w:bCs/>
                <w:kern w:val="2"/>
                <w:sz w:val="20"/>
                <w:szCs w:val="20"/>
                <w:lang/>
              </w:rPr>
              <w:t>NAICS 11</w:t>
            </w:r>
          </w:p>
        </w:tc>
        <w:tc>
          <w:tcPr>
            <w:tcW w:w="691" w:type="pct"/>
            <w:tcBorders>
              <w:top w:val="single" w:sz="4" w:space="0" w:color="auto"/>
              <w:left w:val="nil"/>
              <w:bottom w:val="single" w:sz="4" w:space="0" w:color="auto"/>
              <w:right w:val="nil"/>
            </w:tcBorders>
          </w:tcPr>
          <w:p w14:paraId="55CBA1F9" w14:textId="3A0351B8" w:rsidR="00CD4846" w:rsidRPr="00CD4846" w:rsidRDefault="00CD4846" w:rsidP="0058540A">
            <w:pPr>
              <w:widowControl w:val="0"/>
              <w:autoSpaceDE w:val="0"/>
              <w:autoSpaceDN w:val="0"/>
              <w:adjustRightInd w:val="0"/>
              <w:spacing w:line="240" w:lineRule="auto"/>
              <w:rPr>
                <w:rFonts w:cs="Times New Roman"/>
                <w:b/>
                <w:bCs/>
                <w:kern w:val="2"/>
                <w:sz w:val="20"/>
                <w:szCs w:val="20"/>
                <w:lang/>
              </w:rPr>
            </w:pPr>
            <w:r w:rsidRPr="00CD4846">
              <w:rPr>
                <w:rFonts w:cs="Times New Roman"/>
                <w:b/>
                <w:bCs/>
                <w:kern w:val="2"/>
                <w:sz w:val="20"/>
                <w:szCs w:val="20"/>
                <w:lang/>
              </w:rPr>
              <w:t>NAICS 21</w:t>
            </w:r>
          </w:p>
        </w:tc>
        <w:tc>
          <w:tcPr>
            <w:tcW w:w="691" w:type="pct"/>
            <w:tcBorders>
              <w:top w:val="single" w:sz="4" w:space="0" w:color="auto"/>
              <w:left w:val="nil"/>
              <w:bottom w:val="single" w:sz="4" w:space="0" w:color="auto"/>
              <w:right w:val="nil"/>
            </w:tcBorders>
          </w:tcPr>
          <w:p w14:paraId="0011A0B5" w14:textId="2C62C335" w:rsidR="00CD4846" w:rsidRPr="00CD4846" w:rsidRDefault="00CD4846" w:rsidP="0058540A">
            <w:pPr>
              <w:widowControl w:val="0"/>
              <w:autoSpaceDE w:val="0"/>
              <w:autoSpaceDN w:val="0"/>
              <w:adjustRightInd w:val="0"/>
              <w:spacing w:line="240" w:lineRule="auto"/>
              <w:rPr>
                <w:rFonts w:cs="Times New Roman"/>
                <w:b/>
                <w:bCs/>
                <w:kern w:val="2"/>
                <w:sz w:val="20"/>
                <w:szCs w:val="20"/>
                <w:lang/>
              </w:rPr>
            </w:pPr>
            <w:r w:rsidRPr="00CD4846">
              <w:rPr>
                <w:rFonts w:cs="Times New Roman"/>
                <w:b/>
                <w:bCs/>
                <w:kern w:val="2"/>
                <w:sz w:val="20"/>
                <w:szCs w:val="20"/>
                <w:lang/>
              </w:rPr>
              <w:t>NAICS 22</w:t>
            </w:r>
          </w:p>
        </w:tc>
        <w:tc>
          <w:tcPr>
            <w:tcW w:w="624" w:type="pct"/>
            <w:tcBorders>
              <w:top w:val="single" w:sz="4" w:space="0" w:color="auto"/>
              <w:left w:val="nil"/>
              <w:bottom w:val="single" w:sz="4" w:space="0" w:color="auto"/>
              <w:right w:val="nil"/>
            </w:tcBorders>
          </w:tcPr>
          <w:p w14:paraId="3F4EEBAA" w14:textId="63E7870B" w:rsidR="00CD4846" w:rsidRPr="00CD4846" w:rsidRDefault="00CD4846" w:rsidP="0058540A">
            <w:pPr>
              <w:widowControl w:val="0"/>
              <w:autoSpaceDE w:val="0"/>
              <w:autoSpaceDN w:val="0"/>
              <w:adjustRightInd w:val="0"/>
              <w:spacing w:line="240" w:lineRule="auto"/>
              <w:rPr>
                <w:rFonts w:cs="Times New Roman"/>
                <w:b/>
                <w:bCs/>
                <w:kern w:val="2"/>
                <w:sz w:val="20"/>
                <w:szCs w:val="20"/>
                <w:lang/>
              </w:rPr>
            </w:pPr>
            <w:r w:rsidRPr="00CD4846">
              <w:rPr>
                <w:rFonts w:cs="Times New Roman"/>
                <w:b/>
                <w:bCs/>
                <w:kern w:val="2"/>
                <w:sz w:val="20"/>
                <w:szCs w:val="20"/>
                <w:lang/>
              </w:rPr>
              <w:t>NAICS 23</w:t>
            </w:r>
          </w:p>
        </w:tc>
        <w:tc>
          <w:tcPr>
            <w:tcW w:w="837" w:type="pct"/>
            <w:tcBorders>
              <w:top w:val="single" w:sz="4" w:space="0" w:color="auto"/>
              <w:left w:val="nil"/>
              <w:bottom w:val="single" w:sz="4" w:space="0" w:color="auto"/>
              <w:right w:val="nil"/>
            </w:tcBorders>
          </w:tcPr>
          <w:p w14:paraId="51B39D2B" w14:textId="44349314" w:rsidR="00CD4846" w:rsidRPr="00CD4846" w:rsidRDefault="00CD4846" w:rsidP="0058540A">
            <w:pPr>
              <w:widowControl w:val="0"/>
              <w:autoSpaceDE w:val="0"/>
              <w:autoSpaceDN w:val="0"/>
              <w:adjustRightInd w:val="0"/>
              <w:spacing w:line="240" w:lineRule="auto"/>
              <w:rPr>
                <w:rFonts w:cs="Times New Roman"/>
                <w:b/>
                <w:bCs/>
                <w:kern w:val="2"/>
                <w:sz w:val="20"/>
                <w:szCs w:val="20"/>
                <w:lang/>
              </w:rPr>
            </w:pPr>
            <w:r w:rsidRPr="00CD4846">
              <w:rPr>
                <w:rFonts w:cs="Times New Roman"/>
                <w:b/>
                <w:bCs/>
                <w:kern w:val="2"/>
                <w:sz w:val="20"/>
                <w:szCs w:val="20"/>
                <w:lang/>
              </w:rPr>
              <w:t>NAICS 31-33</w:t>
            </w:r>
          </w:p>
        </w:tc>
      </w:tr>
      <w:tr w:rsidR="00CD4846" w:rsidRPr="00CD4846" w14:paraId="7AB8671E" w14:textId="77777777" w:rsidTr="003959BE">
        <w:tc>
          <w:tcPr>
            <w:tcW w:w="1465" w:type="pct"/>
            <w:tcBorders>
              <w:top w:val="single" w:sz="4" w:space="0" w:color="auto"/>
              <w:left w:val="nil"/>
              <w:bottom w:val="nil"/>
              <w:right w:val="nil"/>
            </w:tcBorders>
          </w:tcPr>
          <w:p w14:paraId="334E97BD" w14:textId="2FFB3731"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Broad PADs (t-1)</w:t>
            </w:r>
          </w:p>
        </w:tc>
        <w:tc>
          <w:tcPr>
            <w:tcW w:w="691" w:type="pct"/>
            <w:tcBorders>
              <w:top w:val="single" w:sz="4" w:space="0" w:color="auto"/>
              <w:left w:val="nil"/>
              <w:bottom w:val="nil"/>
              <w:right w:val="nil"/>
            </w:tcBorders>
          </w:tcPr>
          <w:p w14:paraId="691FEEC5"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42.013*</w:t>
            </w:r>
          </w:p>
        </w:tc>
        <w:tc>
          <w:tcPr>
            <w:tcW w:w="691" w:type="pct"/>
            <w:tcBorders>
              <w:top w:val="single" w:sz="4" w:space="0" w:color="auto"/>
              <w:left w:val="nil"/>
              <w:bottom w:val="nil"/>
              <w:right w:val="nil"/>
            </w:tcBorders>
          </w:tcPr>
          <w:p w14:paraId="0917F5DA"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-13.858</w:t>
            </w:r>
          </w:p>
        </w:tc>
        <w:tc>
          <w:tcPr>
            <w:tcW w:w="691" w:type="pct"/>
            <w:tcBorders>
              <w:top w:val="single" w:sz="4" w:space="0" w:color="auto"/>
              <w:left w:val="nil"/>
              <w:bottom w:val="nil"/>
              <w:right w:val="nil"/>
            </w:tcBorders>
          </w:tcPr>
          <w:p w14:paraId="773F7074"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7.712</w:t>
            </w:r>
          </w:p>
        </w:tc>
        <w:tc>
          <w:tcPr>
            <w:tcW w:w="624" w:type="pct"/>
            <w:tcBorders>
              <w:top w:val="single" w:sz="4" w:space="0" w:color="auto"/>
              <w:left w:val="nil"/>
              <w:bottom w:val="nil"/>
              <w:right w:val="nil"/>
            </w:tcBorders>
          </w:tcPr>
          <w:p w14:paraId="57C9FE30"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1.200</w:t>
            </w:r>
          </w:p>
        </w:tc>
        <w:tc>
          <w:tcPr>
            <w:tcW w:w="837" w:type="pct"/>
            <w:tcBorders>
              <w:top w:val="single" w:sz="4" w:space="0" w:color="auto"/>
              <w:left w:val="nil"/>
              <w:bottom w:val="nil"/>
              <w:right w:val="nil"/>
            </w:tcBorders>
          </w:tcPr>
          <w:p w14:paraId="7B294E93"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12.576**</w:t>
            </w:r>
          </w:p>
        </w:tc>
      </w:tr>
      <w:tr w:rsidR="00CD4846" w:rsidRPr="00CD4846" w14:paraId="6BC93C91" w14:textId="77777777" w:rsidTr="003959BE">
        <w:tc>
          <w:tcPr>
            <w:tcW w:w="1465" w:type="pct"/>
            <w:tcBorders>
              <w:top w:val="nil"/>
              <w:left w:val="nil"/>
              <w:bottom w:val="nil"/>
              <w:right w:val="nil"/>
            </w:tcBorders>
          </w:tcPr>
          <w:p w14:paraId="0F58E4B6" w14:textId="53810CDF"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91" w:type="pct"/>
            <w:tcBorders>
              <w:top w:val="nil"/>
              <w:left w:val="nil"/>
              <w:bottom w:val="nil"/>
              <w:right w:val="nil"/>
            </w:tcBorders>
          </w:tcPr>
          <w:p w14:paraId="604AC280"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(23.619)</w:t>
            </w:r>
          </w:p>
        </w:tc>
        <w:tc>
          <w:tcPr>
            <w:tcW w:w="691" w:type="pct"/>
            <w:tcBorders>
              <w:top w:val="nil"/>
              <w:left w:val="nil"/>
              <w:bottom w:val="nil"/>
              <w:right w:val="nil"/>
            </w:tcBorders>
          </w:tcPr>
          <w:p w14:paraId="2F14A508"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(32.655)</w:t>
            </w:r>
          </w:p>
        </w:tc>
        <w:tc>
          <w:tcPr>
            <w:tcW w:w="691" w:type="pct"/>
            <w:tcBorders>
              <w:top w:val="nil"/>
              <w:left w:val="nil"/>
              <w:bottom w:val="nil"/>
              <w:right w:val="nil"/>
            </w:tcBorders>
          </w:tcPr>
          <w:p w14:paraId="460BF966"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(26.760)</w:t>
            </w:r>
          </w:p>
        </w:tc>
        <w:tc>
          <w:tcPr>
            <w:tcW w:w="624" w:type="pct"/>
            <w:tcBorders>
              <w:top w:val="nil"/>
              <w:left w:val="nil"/>
              <w:bottom w:val="nil"/>
              <w:right w:val="nil"/>
            </w:tcBorders>
          </w:tcPr>
          <w:p w14:paraId="546BA18F"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(2.728)</w:t>
            </w:r>
          </w:p>
        </w:tc>
        <w:tc>
          <w:tcPr>
            <w:tcW w:w="837" w:type="pct"/>
            <w:tcBorders>
              <w:top w:val="nil"/>
              <w:left w:val="nil"/>
              <w:bottom w:val="nil"/>
              <w:right w:val="nil"/>
            </w:tcBorders>
          </w:tcPr>
          <w:p w14:paraId="4021CD2E"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(4.990)</w:t>
            </w:r>
          </w:p>
        </w:tc>
      </w:tr>
      <w:tr w:rsidR="00CD4846" w:rsidRPr="00CD4846" w14:paraId="1296C3CE" w14:textId="77777777" w:rsidTr="003959BE">
        <w:tc>
          <w:tcPr>
            <w:tcW w:w="1465" w:type="pct"/>
            <w:tcBorders>
              <w:top w:val="nil"/>
              <w:left w:val="nil"/>
              <w:bottom w:val="nil"/>
              <w:right w:val="nil"/>
            </w:tcBorders>
          </w:tcPr>
          <w:p w14:paraId="2225853B" w14:textId="18D79816"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Broad PADs Sq. (t-1)</w:t>
            </w:r>
          </w:p>
        </w:tc>
        <w:tc>
          <w:tcPr>
            <w:tcW w:w="691" w:type="pct"/>
            <w:tcBorders>
              <w:top w:val="nil"/>
              <w:left w:val="nil"/>
              <w:bottom w:val="nil"/>
              <w:right w:val="nil"/>
            </w:tcBorders>
          </w:tcPr>
          <w:p w14:paraId="1474FA55"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-40.751*</w:t>
            </w:r>
          </w:p>
        </w:tc>
        <w:tc>
          <w:tcPr>
            <w:tcW w:w="691" w:type="pct"/>
            <w:tcBorders>
              <w:top w:val="nil"/>
              <w:left w:val="nil"/>
              <w:bottom w:val="nil"/>
              <w:right w:val="nil"/>
            </w:tcBorders>
          </w:tcPr>
          <w:p w14:paraId="66B456CF"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10.742</w:t>
            </w:r>
          </w:p>
        </w:tc>
        <w:tc>
          <w:tcPr>
            <w:tcW w:w="691" w:type="pct"/>
            <w:tcBorders>
              <w:top w:val="nil"/>
              <w:left w:val="nil"/>
              <w:bottom w:val="nil"/>
              <w:right w:val="nil"/>
            </w:tcBorders>
          </w:tcPr>
          <w:p w14:paraId="2F732B6D"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-14.048</w:t>
            </w:r>
          </w:p>
        </w:tc>
        <w:tc>
          <w:tcPr>
            <w:tcW w:w="624" w:type="pct"/>
            <w:tcBorders>
              <w:top w:val="nil"/>
              <w:left w:val="nil"/>
              <w:bottom w:val="nil"/>
              <w:right w:val="nil"/>
            </w:tcBorders>
          </w:tcPr>
          <w:p w14:paraId="7055C179"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-0.782</w:t>
            </w:r>
          </w:p>
        </w:tc>
        <w:tc>
          <w:tcPr>
            <w:tcW w:w="837" w:type="pct"/>
            <w:tcBorders>
              <w:top w:val="nil"/>
              <w:left w:val="nil"/>
              <w:bottom w:val="nil"/>
              <w:right w:val="nil"/>
            </w:tcBorders>
          </w:tcPr>
          <w:p w14:paraId="24EC26BC"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-9.799**</w:t>
            </w:r>
          </w:p>
        </w:tc>
      </w:tr>
      <w:tr w:rsidR="00CD4846" w:rsidRPr="00CD4846" w14:paraId="2CED200B" w14:textId="77777777" w:rsidTr="003959BE">
        <w:tc>
          <w:tcPr>
            <w:tcW w:w="1465" w:type="pct"/>
            <w:tcBorders>
              <w:top w:val="nil"/>
              <w:left w:val="nil"/>
              <w:bottom w:val="nil"/>
              <w:right w:val="nil"/>
            </w:tcBorders>
          </w:tcPr>
          <w:p w14:paraId="3CE27095" w14:textId="21F24C00"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91" w:type="pct"/>
            <w:tcBorders>
              <w:top w:val="nil"/>
              <w:left w:val="nil"/>
              <w:bottom w:val="nil"/>
              <w:right w:val="nil"/>
            </w:tcBorders>
          </w:tcPr>
          <w:p w14:paraId="5605C730"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(21.845)</w:t>
            </w:r>
          </w:p>
        </w:tc>
        <w:tc>
          <w:tcPr>
            <w:tcW w:w="691" w:type="pct"/>
            <w:tcBorders>
              <w:top w:val="nil"/>
              <w:left w:val="nil"/>
              <w:bottom w:val="nil"/>
              <w:right w:val="nil"/>
            </w:tcBorders>
          </w:tcPr>
          <w:p w14:paraId="36B76C15"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(29.064)</w:t>
            </w:r>
          </w:p>
        </w:tc>
        <w:tc>
          <w:tcPr>
            <w:tcW w:w="691" w:type="pct"/>
            <w:tcBorders>
              <w:top w:val="nil"/>
              <w:left w:val="nil"/>
              <w:bottom w:val="nil"/>
              <w:right w:val="nil"/>
            </w:tcBorders>
          </w:tcPr>
          <w:p w14:paraId="35BA2DD5"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(25.849)</w:t>
            </w:r>
          </w:p>
        </w:tc>
        <w:tc>
          <w:tcPr>
            <w:tcW w:w="624" w:type="pct"/>
            <w:tcBorders>
              <w:top w:val="nil"/>
              <w:left w:val="nil"/>
              <w:bottom w:val="nil"/>
              <w:right w:val="nil"/>
            </w:tcBorders>
          </w:tcPr>
          <w:p w14:paraId="427D13CE"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(3.101)</w:t>
            </w:r>
          </w:p>
        </w:tc>
        <w:tc>
          <w:tcPr>
            <w:tcW w:w="837" w:type="pct"/>
            <w:tcBorders>
              <w:top w:val="nil"/>
              <w:left w:val="nil"/>
              <w:bottom w:val="nil"/>
              <w:right w:val="nil"/>
            </w:tcBorders>
          </w:tcPr>
          <w:p w14:paraId="536D8DFE"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(4.825)</w:t>
            </w:r>
          </w:p>
        </w:tc>
      </w:tr>
      <w:tr w:rsidR="00CD4846" w:rsidRPr="00CD4846" w14:paraId="65374FF0" w14:textId="77777777" w:rsidTr="003959BE">
        <w:tc>
          <w:tcPr>
            <w:tcW w:w="1465" w:type="pct"/>
            <w:tcBorders>
              <w:top w:val="nil"/>
              <w:left w:val="nil"/>
              <w:bottom w:val="nil"/>
              <w:right w:val="nil"/>
            </w:tcBorders>
          </w:tcPr>
          <w:p w14:paraId="1FF30683" w14:textId="675A64D4"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Loc. Economies (t-1) (10ks)</w:t>
            </w:r>
          </w:p>
        </w:tc>
        <w:tc>
          <w:tcPr>
            <w:tcW w:w="691" w:type="pct"/>
            <w:tcBorders>
              <w:top w:val="nil"/>
              <w:left w:val="nil"/>
              <w:bottom w:val="nil"/>
              <w:right w:val="nil"/>
            </w:tcBorders>
          </w:tcPr>
          <w:p w14:paraId="494D9220"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60.746*</w:t>
            </w:r>
          </w:p>
        </w:tc>
        <w:tc>
          <w:tcPr>
            <w:tcW w:w="691" w:type="pct"/>
            <w:tcBorders>
              <w:top w:val="nil"/>
              <w:left w:val="nil"/>
              <w:bottom w:val="nil"/>
              <w:right w:val="nil"/>
            </w:tcBorders>
          </w:tcPr>
          <w:p w14:paraId="3FEBBADA"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5.484</w:t>
            </w:r>
          </w:p>
        </w:tc>
        <w:tc>
          <w:tcPr>
            <w:tcW w:w="691" w:type="pct"/>
            <w:tcBorders>
              <w:top w:val="nil"/>
              <w:left w:val="nil"/>
              <w:bottom w:val="nil"/>
              <w:right w:val="nil"/>
            </w:tcBorders>
          </w:tcPr>
          <w:p w14:paraId="516C263E"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493.152**</w:t>
            </w:r>
          </w:p>
        </w:tc>
        <w:tc>
          <w:tcPr>
            <w:tcW w:w="624" w:type="pct"/>
            <w:tcBorders>
              <w:top w:val="nil"/>
              <w:left w:val="nil"/>
              <w:bottom w:val="nil"/>
              <w:right w:val="nil"/>
            </w:tcBorders>
          </w:tcPr>
          <w:p w14:paraId="3D040BB0"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0.983***</w:t>
            </w:r>
          </w:p>
        </w:tc>
        <w:tc>
          <w:tcPr>
            <w:tcW w:w="837" w:type="pct"/>
            <w:tcBorders>
              <w:top w:val="nil"/>
              <w:left w:val="nil"/>
              <w:bottom w:val="nil"/>
              <w:right w:val="nil"/>
            </w:tcBorders>
          </w:tcPr>
          <w:p w14:paraId="5F413FBE"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0.514</w:t>
            </w:r>
          </w:p>
        </w:tc>
      </w:tr>
      <w:tr w:rsidR="00CD4846" w:rsidRPr="00CD4846" w14:paraId="0DE5DCC7" w14:textId="77777777" w:rsidTr="003959BE">
        <w:tc>
          <w:tcPr>
            <w:tcW w:w="1465" w:type="pct"/>
            <w:tcBorders>
              <w:top w:val="nil"/>
              <w:left w:val="nil"/>
              <w:bottom w:val="nil"/>
              <w:right w:val="nil"/>
            </w:tcBorders>
          </w:tcPr>
          <w:p w14:paraId="160283F4" w14:textId="11DB0823"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91" w:type="pct"/>
            <w:tcBorders>
              <w:top w:val="nil"/>
              <w:left w:val="nil"/>
              <w:bottom w:val="nil"/>
              <w:right w:val="nil"/>
            </w:tcBorders>
          </w:tcPr>
          <w:p w14:paraId="798CF257"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(32.306)</w:t>
            </w:r>
          </w:p>
        </w:tc>
        <w:tc>
          <w:tcPr>
            <w:tcW w:w="691" w:type="pct"/>
            <w:tcBorders>
              <w:top w:val="nil"/>
              <w:left w:val="nil"/>
              <w:bottom w:val="nil"/>
              <w:right w:val="nil"/>
            </w:tcBorders>
          </w:tcPr>
          <w:p w14:paraId="2F39F77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(11.920)</w:t>
            </w:r>
          </w:p>
        </w:tc>
        <w:tc>
          <w:tcPr>
            <w:tcW w:w="691" w:type="pct"/>
            <w:tcBorders>
              <w:top w:val="nil"/>
              <w:left w:val="nil"/>
              <w:bottom w:val="nil"/>
              <w:right w:val="nil"/>
            </w:tcBorders>
          </w:tcPr>
          <w:p w14:paraId="5DD7F788"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(229.731)</w:t>
            </w:r>
          </w:p>
        </w:tc>
        <w:tc>
          <w:tcPr>
            <w:tcW w:w="624" w:type="pct"/>
            <w:tcBorders>
              <w:top w:val="nil"/>
              <w:left w:val="nil"/>
              <w:bottom w:val="nil"/>
              <w:right w:val="nil"/>
            </w:tcBorders>
          </w:tcPr>
          <w:p w14:paraId="4140120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(0.274)</w:t>
            </w:r>
          </w:p>
        </w:tc>
        <w:tc>
          <w:tcPr>
            <w:tcW w:w="837" w:type="pct"/>
            <w:tcBorders>
              <w:top w:val="nil"/>
              <w:left w:val="nil"/>
              <w:bottom w:val="nil"/>
              <w:right w:val="nil"/>
            </w:tcBorders>
          </w:tcPr>
          <w:p w14:paraId="52011094"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(0.760)</w:t>
            </w:r>
          </w:p>
        </w:tc>
      </w:tr>
      <w:tr w:rsidR="00CD4846" w:rsidRPr="00CD4846" w14:paraId="470D4DF7" w14:textId="77777777" w:rsidTr="003959BE">
        <w:tc>
          <w:tcPr>
            <w:tcW w:w="1465" w:type="pct"/>
            <w:tcBorders>
              <w:top w:val="nil"/>
              <w:left w:val="nil"/>
              <w:bottom w:val="nil"/>
              <w:right w:val="nil"/>
            </w:tcBorders>
          </w:tcPr>
          <w:p w14:paraId="46537E0F" w14:textId="1AD3E881"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Median HH Income (100ks)</w:t>
            </w:r>
          </w:p>
        </w:tc>
        <w:tc>
          <w:tcPr>
            <w:tcW w:w="691" w:type="pct"/>
            <w:tcBorders>
              <w:top w:val="nil"/>
              <w:left w:val="nil"/>
              <w:bottom w:val="nil"/>
              <w:right w:val="nil"/>
            </w:tcBorders>
          </w:tcPr>
          <w:p w14:paraId="0C17CF08"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3.963*</w:t>
            </w:r>
          </w:p>
        </w:tc>
        <w:tc>
          <w:tcPr>
            <w:tcW w:w="691" w:type="pct"/>
            <w:tcBorders>
              <w:top w:val="nil"/>
              <w:left w:val="nil"/>
              <w:bottom w:val="nil"/>
              <w:right w:val="nil"/>
            </w:tcBorders>
          </w:tcPr>
          <w:p w14:paraId="086E279F"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-2.837</w:t>
            </w:r>
          </w:p>
        </w:tc>
        <w:tc>
          <w:tcPr>
            <w:tcW w:w="691" w:type="pct"/>
            <w:tcBorders>
              <w:top w:val="nil"/>
              <w:left w:val="nil"/>
              <w:bottom w:val="nil"/>
              <w:right w:val="nil"/>
            </w:tcBorders>
          </w:tcPr>
          <w:p w14:paraId="04F2BDB5"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1.718</w:t>
            </w:r>
          </w:p>
        </w:tc>
        <w:tc>
          <w:tcPr>
            <w:tcW w:w="624" w:type="pct"/>
            <w:tcBorders>
              <w:top w:val="nil"/>
              <w:left w:val="nil"/>
              <w:bottom w:val="nil"/>
              <w:right w:val="nil"/>
            </w:tcBorders>
          </w:tcPr>
          <w:p w14:paraId="6F646C0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-0.504</w:t>
            </w:r>
          </w:p>
        </w:tc>
        <w:tc>
          <w:tcPr>
            <w:tcW w:w="837" w:type="pct"/>
            <w:tcBorders>
              <w:top w:val="nil"/>
              <w:left w:val="nil"/>
              <w:bottom w:val="nil"/>
              <w:right w:val="nil"/>
            </w:tcBorders>
          </w:tcPr>
          <w:p w14:paraId="7A91D109"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-0.071</w:t>
            </w:r>
          </w:p>
        </w:tc>
      </w:tr>
      <w:tr w:rsidR="00CD4846" w:rsidRPr="00CD4846" w14:paraId="34C6E900" w14:textId="77777777" w:rsidTr="003959BE">
        <w:tc>
          <w:tcPr>
            <w:tcW w:w="1465" w:type="pct"/>
            <w:tcBorders>
              <w:top w:val="nil"/>
              <w:left w:val="nil"/>
              <w:bottom w:val="nil"/>
              <w:right w:val="nil"/>
            </w:tcBorders>
          </w:tcPr>
          <w:p w14:paraId="6474D4C5" w14:textId="4E8B62C5"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91" w:type="pct"/>
            <w:tcBorders>
              <w:top w:val="nil"/>
              <w:left w:val="nil"/>
              <w:bottom w:val="nil"/>
              <w:right w:val="nil"/>
            </w:tcBorders>
          </w:tcPr>
          <w:p w14:paraId="711373D0"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(2.161)</w:t>
            </w:r>
          </w:p>
        </w:tc>
        <w:tc>
          <w:tcPr>
            <w:tcW w:w="691" w:type="pct"/>
            <w:tcBorders>
              <w:top w:val="nil"/>
              <w:left w:val="nil"/>
              <w:bottom w:val="nil"/>
              <w:right w:val="nil"/>
            </w:tcBorders>
          </w:tcPr>
          <w:p w14:paraId="124EE222"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(2.361)</w:t>
            </w:r>
          </w:p>
        </w:tc>
        <w:tc>
          <w:tcPr>
            <w:tcW w:w="691" w:type="pct"/>
            <w:tcBorders>
              <w:top w:val="nil"/>
              <w:left w:val="nil"/>
              <w:bottom w:val="nil"/>
              <w:right w:val="nil"/>
            </w:tcBorders>
          </w:tcPr>
          <w:p w14:paraId="7745F7A8"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(3.137)</w:t>
            </w:r>
          </w:p>
        </w:tc>
        <w:tc>
          <w:tcPr>
            <w:tcW w:w="624" w:type="pct"/>
            <w:tcBorders>
              <w:top w:val="nil"/>
              <w:left w:val="nil"/>
              <w:bottom w:val="nil"/>
              <w:right w:val="nil"/>
            </w:tcBorders>
          </w:tcPr>
          <w:p w14:paraId="523AE8E8"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(0.331)</w:t>
            </w:r>
          </w:p>
        </w:tc>
        <w:tc>
          <w:tcPr>
            <w:tcW w:w="837" w:type="pct"/>
            <w:tcBorders>
              <w:top w:val="nil"/>
              <w:left w:val="nil"/>
              <w:bottom w:val="nil"/>
              <w:right w:val="nil"/>
            </w:tcBorders>
          </w:tcPr>
          <w:p w14:paraId="3905F64E"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(0.543)</w:t>
            </w:r>
          </w:p>
        </w:tc>
      </w:tr>
      <w:tr w:rsidR="00CD4846" w:rsidRPr="00CD4846" w14:paraId="185FDA75" w14:textId="77777777" w:rsidTr="003959BE">
        <w:tc>
          <w:tcPr>
            <w:tcW w:w="1465" w:type="pct"/>
            <w:tcBorders>
              <w:top w:val="nil"/>
              <w:left w:val="nil"/>
              <w:bottom w:val="nil"/>
              <w:right w:val="nil"/>
            </w:tcBorders>
          </w:tcPr>
          <w:p w14:paraId="4DE57699" w14:textId="54590B76"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Housing Price Index (100s)</w:t>
            </w:r>
          </w:p>
        </w:tc>
        <w:tc>
          <w:tcPr>
            <w:tcW w:w="691" w:type="pct"/>
            <w:tcBorders>
              <w:top w:val="nil"/>
              <w:left w:val="nil"/>
              <w:bottom w:val="nil"/>
              <w:right w:val="nil"/>
            </w:tcBorders>
          </w:tcPr>
          <w:p w14:paraId="77039E00"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-0.207</w:t>
            </w:r>
          </w:p>
        </w:tc>
        <w:tc>
          <w:tcPr>
            <w:tcW w:w="691" w:type="pct"/>
            <w:tcBorders>
              <w:top w:val="nil"/>
              <w:left w:val="nil"/>
              <w:bottom w:val="nil"/>
              <w:right w:val="nil"/>
            </w:tcBorders>
          </w:tcPr>
          <w:p w14:paraId="60D15EB5"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-0.095</w:t>
            </w:r>
          </w:p>
        </w:tc>
        <w:tc>
          <w:tcPr>
            <w:tcW w:w="691" w:type="pct"/>
            <w:tcBorders>
              <w:top w:val="nil"/>
              <w:left w:val="nil"/>
              <w:bottom w:val="nil"/>
              <w:right w:val="nil"/>
            </w:tcBorders>
          </w:tcPr>
          <w:p w14:paraId="5B2B3792"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-0.318</w:t>
            </w:r>
          </w:p>
        </w:tc>
        <w:tc>
          <w:tcPr>
            <w:tcW w:w="624" w:type="pct"/>
            <w:tcBorders>
              <w:top w:val="nil"/>
              <w:left w:val="nil"/>
              <w:bottom w:val="nil"/>
              <w:right w:val="nil"/>
            </w:tcBorders>
          </w:tcPr>
          <w:p w14:paraId="23FFB282"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0.082***</w:t>
            </w:r>
          </w:p>
        </w:tc>
        <w:tc>
          <w:tcPr>
            <w:tcW w:w="837" w:type="pct"/>
            <w:tcBorders>
              <w:top w:val="nil"/>
              <w:left w:val="nil"/>
              <w:bottom w:val="nil"/>
              <w:right w:val="nil"/>
            </w:tcBorders>
          </w:tcPr>
          <w:p w14:paraId="236FF03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-0.021</w:t>
            </w:r>
          </w:p>
        </w:tc>
      </w:tr>
      <w:tr w:rsidR="00CD4846" w:rsidRPr="00CD4846" w14:paraId="3685D02E" w14:textId="77777777" w:rsidTr="003959BE">
        <w:tc>
          <w:tcPr>
            <w:tcW w:w="1465" w:type="pct"/>
            <w:tcBorders>
              <w:top w:val="nil"/>
              <w:left w:val="nil"/>
              <w:bottom w:val="nil"/>
              <w:right w:val="nil"/>
            </w:tcBorders>
          </w:tcPr>
          <w:p w14:paraId="304C77DF" w14:textId="77199D48"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91" w:type="pct"/>
            <w:tcBorders>
              <w:top w:val="nil"/>
              <w:left w:val="nil"/>
              <w:bottom w:val="nil"/>
              <w:right w:val="nil"/>
            </w:tcBorders>
          </w:tcPr>
          <w:p w14:paraId="009F76CA"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(0.140)</w:t>
            </w:r>
          </w:p>
        </w:tc>
        <w:tc>
          <w:tcPr>
            <w:tcW w:w="691" w:type="pct"/>
            <w:tcBorders>
              <w:top w:val="nil"/>
              <w:left w:val="nil"/>
              <w:bottom w:val="nil"/>
              <w:right w:val="nil"/>
            </w:tcBorders>
          </w:tcPr>
          <w:p w14:paraId="009CCF85"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(0.177)</w:t>
            </w:r>
          </w:p>
        </w:tc>
        <w:tc>
          <w:tcPr>
            <w:tcW w:w="691" w:type="pct"/>
            <w:tcBorders>
              <w:top w:val="nil"/>
              <w:left w:val="nil"/>
              <w:bottom w:val="nil"/>
              <w:right w:val="nil"/>
            </w:tcBorders>
          </w:tcPr>
          <w:p w14:paraId="1AD1D445"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(0.213)</w:t>
            </w:r>
          </w:p>
        </w:tc>
        <w:tc>
          <w:tcPr>
            <w:tcW w:w="624" w:type="pct"/>
            <w:tcBorders>
              <w:top w:val="nil"/>
              <w:left w:val="nil"/>
              <w:bottom w:val="nil"/>
              <w:right w:val="nil"/>
            </w:tcBorders>
          </w:tcPr>
          <w:p w14:paraId="7EC92DD2"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(0.024)</w:t>
            </w:r>
          </w:p>
        </w:tc>
        <w:tc>
          <w:tcPr>
            <w:tcW w:w="837" w:type="pct"/>
            <w:tcBorders>
              <w:top w:val="nil"/>
              <w:left w:val="nil"/>
              <w:bottom w:val="nil"/>
              <w:right w:val="nil"/>
            </w:tcBorders>
          </w:tcPr>
          <w:p w14:paraId="06EFBF2D"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(0.036)</w:t>
            </w:r>
          </w:p>
        </w:tc>
      </w:tr>
      <w:tr w:rsidR="00CD4846" w:rsidRPr="00CD4846" w14:paraId="14924860" w14:textId="77777777" w:rsidTr="003959BE">
        <w:tc>
          <w:tcPr>
            <w:tcW w:w="1465" w:type="pct"/>
            <w:tcBorders>
              <w:top w:val="nil"/>
              <w:left w:val="nil"/>
              <w:bottom w:val="nil"/>
              <w:right w:val="nil"/>
            </w:tcBorders>
          </w:tcPr>
          <w:p w14:paraId="46903C58" w14:textId="2CB3D72E"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Poverty rate (100s)</w:t>
            </w:r>
          </w:p>
        </w:tc>
        <w:tc>
          <w:tcPr>
            <w:tcW w:w="691" w:type="pct"/>
            <w:tcBorders>
              <w:top w:val="nil"/>
              <w:left w:val="nil"/>
              <w:bottom w:val="nil"/>
              <w:right w:val="nil"/>
            </w:tcBorders>
          </w:tcPr>
          <w:p w14:paraId="2667C853"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-5.315</w:t>
            </w:r>
          </w:p>
        </w:tc>
        <w:tc>
          <w:tcPr>
            <w:tcW w:w="691" w:type="pct"/>
            <w:tcBorders>
              <w:top w:val="nil"/>
              <w:left w:val="nil"/>
              <w:bottom w:val="nil"/>
              <w:right w:val="nil"/>
            </w:tcBorders>
          </w:tcPr>
          <w:p w14:paraId="767CCF26"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-5.526</w:t>
            </w:r>
          </w:p>
        </w:tc>
        <w:tc>
          <w:tcPr>
            <w:tcW w:w="691" w:type="pct"/>
            <w:tcBorders>
              <w:top w:val="nil"/>
              <w:left w:val="nil"/>
              <w:bottom w:val="nil"/>
              <w:right w:val="nil"/>
            </w:tcBorders>
          </w:tcPr>
          <w:p w14:paraId="2D23CB15"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-7.803</w:t>
            </w:r>
          </w:p>
        </w:tc>
        <w:tc>
          <w:tcPr>
            <w:tcW w:w="624" w:type="pct"/>
            <w:tcBorders>
              <w:top w:val="nil"/>
              <w:left w:val="nil"/>
              <w:bottom w:val="nil"/>
              <w:right w:val="nil"/>
            </w:tcBorders>
          </w:tcPr>
          <w:p w14:paraId="5132BC38"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-1.922***</w:t>
            </w:r>
          </w:p>
        </w:tc>
        <w:tc>
          <w:tcPr>
            <w:tcW w:w="837" w:type="pct"/>
            <w:tcBorders>
              <w:top w:val="nil"/>
              <w:left w:val="nil"/>
              <w:bottom w:val="nil"/>
              <w:right w:val="nil"/>
            </w:tcBorders>
          </w:tcPr>
          <w:p w14:paraId="226B9726"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-0.292</w:t>
            </w:r>
          </w:p>
        </w:tc>
      </w:tr>
      <w:tr w:rsidR="00CD4846" w:rsidRPr="00CD4846" w14:paraId="02685EC1" w14:textId="77777777" w:rsidTr="003959BE">
        <w:tc>
          <w:tcPr>
            <w:tcW w:w="1465" w:type="pct"/>
            <w:tcBorders>
              <w:top w:val="nil"/>
              <w:left w:val="nil"/>
              <w:bottom w:val="nil"/>
              <w:right w:val="nil"/>
            </w:tcBorders>
          </w:tcPr>
          <w:p w14:paraId="4AEF4DDC" w14:textId="0A52DBA7"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91" w:type="pct"/>
            <w:tcBorders>
              <w:top w:val="nil"/>
              <w:left w:val="nil"/>
              <w:bottom w:val="nil"/>
              <w:right w:val="nil"/>
            </w:tcBorders>
          </w:tcPr>
          <w:p w14:paraId="598AD998"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(3.707)</w:t>
            </w:r>
          </w:p>
        </w:tc>
        <w:tc>
          <w:tcPr>
            <w:tcW w:w="691" w:type="pct"/>
            <w:tcBorders>
              <w:top w:val="nil"/>
              <w:left w:val="nil"/>
              <w:bottom w:val="nil"/>
              <w:right w:val="nil"/>
            </w:tcBorders>
          </w:tcPr>
          <w:p w14:paraId="3ECA92E8"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(3.985)</w:t>
            </w:r>
          </w:p>
        </w:tc>
        <w:tc>
          <w:tcPr>
            <w:tcW w:w="691" w:type="pct"/>
            <w:tcBorders>
              <w:top w:val="nil"/>
              <w:left w:val="nil"/>
              <w:bottom w:val="nil"/>
              <w:right w:val="nil"/>
            </w:tcBorders>
          </w:tcPr>
          <w:p w14:paraId="7C729D54"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(5.148)</w:t>
            </w:r>
          </w:p>
        </w:tc>
        <w:tc>
          <w:tcPr>
            <w:tcW w:w="624" w:type="pct"/>
            <w:tcBorders>
              <w:top w:val="nil"/>
              <w:left w:val="nil"/>
              <w:bottom w:val="nil"/>
              <w:right w:val="nil"/>
            </w:tcBorders>
          </w:tcPr>
          <w:p w14:paraId="540A918E"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(0.646)</w:t>
            </w:r>
          </w:p>
        </w:tc>
        <w:tc>
          <w:tcPr>
            <w:tcW w:w="837" w:type="pct"/>
            <w:tcBorders>
              <w:top w:val="nil"/>
              <w:left w:val="nil"/>
              <w:bottom w:val="nil"/>
              <w:right w:val="nil"/>
            </w:tcBorders>
          </w:tcPr>
          <w:p w14:paraId="347EE01C"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(1.032)</w:t>
            </w:r>
          </w:p>
        </w:tc>
      </w:tr>
      <w:tr w:rsidR="00CD4846" w:rsidRPr="00CD4846" w14:paraId="560284EA" w14:textId="77777777" w:rsidTr="003959BE">
        <w:tc>
          <w:tcPr>
            <w:tcW w:w="1465" w:type="pct"/>
            <w:tcBorders>
              <w:top w:val="nil"/>
              <w:left w:val="nil"/>
              <w:bottom w:val="nil"/>
              <w:right w:val="nil"/>
            </w:tcBorders>
          </w:tcPr>
          <w:p w14:paraId="7907B7A6" w14:textId="27C14446"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Avg annual wages (100k)</w:t>
            </w:r>
          </w:p>
        </w:tc>
        <w:tc>
          <w:tcPr>
            <w:tcW w:w="691" w:type="pct"/>
            <w:tcBorders>
              <w:top w:val="nil"/>
              <w:left w:val="nil"/>
              <w:bottom w:val="nil"/>
              <w:right w:val="nil"/>
            </w:tcBorders>
          </w:tcPr>
          <w:p w14:paraId="381D5B96"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-0.062</w:t>
            </w:r>
          </w:p>
        </w:tc>
        <w:tc>
          <w:tcPr>
            <w:tcW w:w="691" w:type="pct"/>
            <w:tcBorders>
              <w:top w:val="nil"/>
              <w:left w:val="nil"/>
              <w:bottom w:val="nil"/>
              <w:right w:val="nil"/>
            </w:tcBorders>
          </w:tcPr>
          <w:p w14:paraId="594F52D9"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-0.010</w:t>
            </w:r>
          </w:p>
        </w:tc>
        <w:tc>
          <w:tcPr>
            <w:tcW w:w="691" w:type="pct"/>
            <w:tcBorders>
              <w:top w:val="nil"/>
              <w:left w:val="nil"/>
              <w:bottom w:val="nil"/>
              <w:right w:val="nil"/>
            </w:tcBorders>
          </w:tcPr>
          <w:p w14:paraId="532A2200"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0.084</w:t>
            </w:r>
          </w:p>
        </w:tc>
        <w:tc>
          <w:tcPr>
            <w:tcW w:w="624" w:type="pct"/>
            <w:tcBorders>
              <w:top w:val="nil"/>
              <w:left w:val="nil"/>
              <w:bottom w:val="nil"/>
              <w:right w:val="nil"/>
            </w:tcBorders>
          </w:tcPr>
          <w:p w14:paraId="12674BA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0.007</w:t>
            </w:r>
          </w:p>
        </w:tc>
        <w:tc>
          <w:tcPr>
            <w:tcW w:w="837" w:type="pct"/>
            <w:tcBorders>
              <w:top w:val="nil"/>
              <w:left w:val="nil"/>
              <w:bottom w:val="nil"/>
              <w:right w:val="nil"/>
            </w:tcBorders>
          </w:tcPr>
          <w:p w14:paraId="1FCEA7A7"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-0.018</w:t>
            </w:r>
          </w:p>
        </w:tc>
      </w:tr>
      <w:tr w:rsidR="00CD4846" w:rsidRPr="00CD4846" w14:paraId="65189599" w14:textId="77777777" w:rsidTr="003959BE">
        <w:tc>
          <w:tcPr>
            <w:tcW w:w="1465" w:type="pct"/>
            <w:tcBorders>
              <w:top w:val="nil"/>
              <w:left w:val="nil"/>
              <w:bottom w:val="nil"/>
              <w:right w:val="nil"/>
            </w:tcBorders>
          </w:tcPr>
          <w:p w14:paraId="39B1D748" w14:textId="3C650A85"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91" w:type="pct"/>
            <w:tcBorders>
              <w:top w:val="nil"/>
              <w:left w:val="nil"/>
              <w:bottom w:val="nil"/>
              <w:right w:val="nil"/>
            </w:tcBorders>
          </w:tcPr>
          <w:p w14:paraId="769CA990"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(0.117)</w:t>
            </w:r>
          </w:p>
        </w:tc>
        <w:tc>
          <w:tcPr>
            <w:tcW w:w="691" w:type="pct"/>
            <w:tcBorders>
              <w:top w:val="nil"/>
              <w:left w:val="nil"/>
              <w:bottom w:val="nil"/>
              <w:right w:val="nil"/>
            </w:tcBorders>
          </w:tcPr>
          <w:p w14:paraId="7321F34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(0.021)</w:t>
            </w:r>
          </w:p>
        </w:tc>
        <w:tc>
          <w:tcPr>
            <w:tcW w:w="691" w:type="pct"/>
            <w:tcBorders>
              <w:top w:val="nil"/>
              <w:left w:val="nil"/>
              <w:bottom w:val="nil"/>
              <w:right w:val="nil"/>
            </w:tcBorders>
          </w:tcPr>
          <w:p w14:paraId="787F795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(0.087)</w:t>
            </w:r>
          </w:p>
        </w:tc>
        <w:tc>
          <w:tcPr>
            <w:tcW w:w="624" w:type="pct"/>
            <w:tcBorders>
              <w:top w:val="nil"/>
              <w:left w:val="nil"/>
              <w:bottom w:val="nil"/>
              <w:right w:val="nil"/>
            </w:tcBorders>
          </w:tcPr>
          <w:p w14:paraId="4D5F94AA"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(0.024)</w:t>
            </w:r>
          </w:p>
        </w:tc>
        <w:tc>
          <w:tcPr>
            <w:tcW w:w="837" w:type="pct"/>
            <w:tcBorders>
              <w:top w:val="nil"/>
              <w:left w:val="nil"/>
              <w:bottom w:val="nil"/>
              <w:right w:val="nil"/>
            </w:tcBorders>
          </w:tcPr>
          <w:p w14:paraId="66D71A4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(0.022)</w:t>
            </w:r>
          </w:p>
        </w:tc>
      </w:tr>
      <w:tr w:rsidR="00CD4846" w:rsidRPr="00CD4846" w14:paraId="42C754A6" w14:textId="77777777" w:rsidTr="003959BE">
        <w:tc>
          <w:tcPr>
            <w:tcW w:w="1465" w:type="pct"/>
            <w:tcBorders>
              <w:top w:val="nil"/>
              <w:left w:val="nil"/>
              <w:bottom w:val="nil"/>
              <w:right w:val="nil"/>
            </w:tcBorders>
          </w:tcPr>
          <w:p w14:paraId="7B2FED10" w14:textId="0B516909"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Attain. Status - CO (t-1)</w:t>
            </w:r>
          </w:p>
        </w:tc>
        <w:tc>
          <w:tcPr>
            <w:tcW w:w="691" w:type="pct"/>
            <w:tcBorders>
              <w:top w:val="nil"/>
              <w:left w:val="nil"/>
              <w:bottom w:val="nil"/>
              <w:right w:val="nil"/>
            </w:tcBorders>
          </w:tcPr>
          <w:p w14:paraId="78A680E3"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3.398</w:t>
            </w:r>
          </w:p>
        </w:tc>
        <w:tc>
          <w:tcPr>
            <w:tcW w:w="691" w:type="pct"/>
            <w:tcBorders>
              <w:top w:val="nil"/>
              <w:left w:val="nil"/>
              <w:bottom w:val="nil"/>
              <w:right w:val="nil"/>
            </w:tcBorders>
          </w:tcPr>
          <w:p w14:paraId="26AB6AE5"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91" w:type="pct"/>
            <w:tcBorders>
              <w:top w:val="nil"/>
              <w:left w:val="nil"/>
              <w:bottom w:val="nil"/>
              <w:right w:val="nil"/>
            </w:tcBorders>
          </w:tcPr>
          <w:p w14:paraId="1930925C"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24" w:type="pct"/>
            <w:tcBorders>
              <w:top w:val="nil"/>
              <w:left w:val="nil"/>
              <w:bottom w:val="nil"/>
              <w:right w:val="nil"/>
            </w:tcBorders>
          </w:tcPr>
          <w:p w14:paraId="776B8B9D"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0.449</w:t>
            </w:r>
          </w:p>
        </w:tc>
        <w:tc>
          <w:tcPr>
            <w:tcW w:w="837" w:type="pct"/>
            <w:tcBorders>
              <w:top w:val="nil"/>
              <w:left w:val="nil"/>
              <w:bottom w:val="nil"/>
              <w:right w:val="nil"/>
            </w:tcBorders>
          </w:tcPr>
          <w:p w14:paraId="73D80F13"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1.077*</w:t>
            </w:r>
          </w:p>
        </w:tc>
      </w:tr>
      <w:tr w:rsidR="00CD4846" w:rsidRPr="00CD4846" w14:paraId="1D558203" w14:textId="77777777" w:rsidTr="003959BE">
        <w:tc>
          <w:tcPr>
            <w:tcW w:w="1465" w:type="pct"/>
            <w:tcBorders>
              <w:top w:val="nil"/>
              <w:left w:val="nil"/>
              <w:bottom w:val="nil"/>
              <w:right w:val="nil"/>
            </w:tcBorders>
          </w:tcPr>
          <w:p w14:paraId="74072ACF" w14:textId="4D373424"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91" w:type="pct"/>
            <w:tcBorders>
              <w:top w:val="nil"/>
              <w:left w:val="nil"/>
              <w:bottom w:val="nil"/>
              <w:right w:val="nil"/>
            </w:tcBorders>
          </w:tcPr>
          <w:p w14:paraId="5202447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(2.340)</w:t>
            </w:r>
          </w:p>
        </w:tc>
        <w:tc>
          <w:tcPr>
            <w:tcW w:w="691" w:type="pct"/>
            <w:tcBorders>
              <w:top w:val="nil"/>
              <w:left w:val="nil"/>
              <w:bottom w:val="nil"/>
              <w:right w:val="nil"/>
            </w:tcBorders>
          </w:tcPr>
          <w:p w14:paraId="3C09F122"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91" w:type="pct"/>
            <w:tcBorders>
              <w:top w:val="nil"/>
              <w:left w:val="nil"/>
              <w:bottom w:val="nil"/>
              <w:right w:val="nil"/>
            </w:tcBorders>
          </w:tcPr>
          <w:p w14:paraId="64748602"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24" w:type="pct"/>
            <w:tcBorders>
              <w:top w:val="nil"/>
              <w:left w:val="nil"/>
              <w:bottom w:val="nil"/>
              <w:right w:val="nil"/>
            </w:tcBorders>
          </w:tcPr>
          <w:p w14:paraId="6545E0B4"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(0.429)</w:t>
            </w:r>
          </w:p>
        </w:tc>
        <w:tc>
          <w:tcPr>
            <w:tcW w:w="837" w:type="pct"/>
            <w:tcBorders>
              <w:top w:val="nil"/>
              <w:left w:val="nil"/>
              <w:bottom w:val="nil"/>
              <w:right w:val="nil"/>
            </w:tcBorders>
          </w:tcPr>
          <w:p w14:paraId="44CA3B66"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(0.592)</w:t>
            </w:r>
          </w:p>
        </w:tc>
      </w:tr>
      <w:tr w:rsidR="00CD4846" w:rsidRPr="00CD4846" w14:paraId="272073DD" w14:textId="77777777" w:rsidTr="003959BE">
        <w:tc>
          <w:tcPr>
            <w:tcW w:w="1465" w:type="pct"/>
            <w:tcBorders>
              <w:top w:val="nil"/>
              <w:left w:val="nil"/>
              <w:bottom w:val="nil"/>
              <w:right w:val="nil"/>
            </w:tcBorders>
          </w:tcPr>
          <w:p w14:paraId="74696B47" w14:textId="59D839EB"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Attain. Status - Pb (t-1)</w:t>
            </w:r>
          </w:p>
        </w:tc>
        <w:tc>
          <w:tcPr>
            <w:tcW w:w="691" w:type="pct"/>
            <w:tcBorders>
              <w:top w:val="nil"/>
              <w:left w:val="nil"/>
              <w:bottom w:val="nil"/>
              <w:right w:val="nil"/>
            </w:tcBorders>
          </w:tcPr>
          <w:p w14:paraId="0B4579DC"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1.136</w:t>
            </w:r>
          </w:p>
        </w:tc>
        <w:tc>
          <w:tcPr>
            <w:tcW w:w="691" w:type="pct"/>
            <w:tcBorders>
              <w:top w:val="nil"/>
              <w:left w:val="nil"/>
              <w:bottom w:val="nil"/>
              <w:right w:val="nil"/>
            </w:tcBorders>
          </w:tcPr>
          <w:p w14:paraId="0360922A"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-0.529</w:t>
            </w:r>
          </w:p>
        </w:tc>
        <w:tc>
          <w:tcPr>
            <w:tcW w:w="691" w:type="pct"/>
            <w:tcBorders>
              <w:top w:val="nil"/>
              <w:left w:val="nil"/>
              <w:bottom w:val="nil"/>
              <w:right w:val="nil"/>
            </w:tcBorders>
          </w:tcPr>
          <w:p w14:paraId="2AD4134D"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2.920</w:t>
            </w:r>
          </w:p>
        </w:tc>
        <w:tc>
          <w:tcPr>
            <w:tcW w:w="624" w:type="pct"/>
            <w:tcBorders>
              <w:top w:val="nil"/>
              <w:left w:val="nil"/>
              <w:bottom w:val="nil"/>
              <w:right w:val="nil"/>
            </w:tcBorders>
          </w:tcPr>
          <w:p w14:paraId="24F533BC"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0.006</w:t>
            </w:r>
          </w:p>
        </w:tc>
        <w:tc>
          <w:tcPr>
            <w:tcW w:w="837" w:type="pct"/>
            <w:tcBorders>
              <w:top w:val="nil"/>
              <w:left w:val="nil"/>
              <w:bottom w:val="nil"/>
              <w:right w:val="nil"/>
            </w:tcBorders>
          </w:tcPr>
          <w:p w14:paraId="6DCE8710"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0.057</w:t>
            </w:r>
          </w:p>
        </w:tc>
      </w:tr>
      <w:tr w:rsidR="00CD4846" w:rsidRPr="00CD4846" w14:paraId="57E219F7" w14:textId="77777777" w:rsidTr="003959BE">
        <w:tc>
          <w:tcPr>
            <w:tcW w:w="1465" w:type="pct"/>
            <w:tcBorders>
              <w:top w:val="nil"/>
              <w:left w:val="nil"/>
              <w:bottom w:val="nil"/>
              <w:right w:val="nil"/>
            </w:tcBorders>
          </w:tcPr>
          <w:p w14:paraId="2309B34A" w14:textId="5732DB57"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91" w:type="pct"/>
            <w:tcBorders>
              <w:top w:val="nil"/>
              <w:left w:val="nil"/>
              <w:bottom w:val="nil"/>
              <w:right w:val="nil"/>
            </w:tcBorders>
          </w:tcPr>
          <w:p w14:paraId="462FD4B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(0.966)</w:t>
            </w:r>
          </w:p>
        </w:tc>
        <w:tc>
          <w:tcPr>
            <w:tcW w:w="691" w:type="pct"/>
            <w:tcBorders>
              <w:top w:val="nil"/>
              <w:left w:val="nil"/>
              <w:bottom w:val="nil"/>
              <w:right w:val="nil"/>
            </w:tcBorders>
          </w:tcPr>
          <w:p w14:paraId="3400E246"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(0.752)</w:t>
            </w:r>
          </w:p>
        </w:tc>
        <w:tc>
          <w:tcPr>
            <w:tcW w:w="691" w:type="pct"/>
            <w:tcBorders>
              <w:top w:val="nil"/>
              <w:left w:val="nil"/>
              <w:bottom w:val="nil"/>
              <w:right w:val="nil"/>
            </w:tcBorders>
          </w:tcPr>
          <w:p w14:paraId="20F57731"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(1.778)</w:t>
            </w:r>
          </w:p>
        </w:tc>
        <w:tc>
          <w:tcPr>
            <w:tcW w:w="624" w:type="pct"/>
            <w:tcBorders>
              <w:top w:val="nil"/>
              <w:left w:val="nil"/>
              <w:bottom w:val="nil"/>
              <w:right w:val="nil"/>
            </w:tcBorders>
          </w:tcPr>
          <w:p w14:paraId="03EA4B87"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(0.142)</w:t>
            </w:r>
          </w:p>
        </w:tc>
        <w:tc>
          <w:tcPr>
            <w:tcW w:w="837" w:type="pct"/>
            <w:tcBorders>
              <w:top w:val="nil"/>
              <w:left w:val="nil"/>
              <w:bottom w:val="nil"/>
              <w:right w:val="nil"/>
            </w:tcBorders>
          </w:tcPr>
          <w:p w14:paraId="4E601A69"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(0.177)</w:t>
            </w:r>
          </w:p>
        </w:tc>
      </w:tr>
      <w:tr w:rsidR="00CD4846" w:rsidRPr="00CD4846" w14:paraId="08A3B6A1" w14:textId="77777777" w:rsidTr="003959BE">
        <w:tc>
          <w:tcPr>
            <w:tcW w:w="1465" w:type="pct"/>
            <w:tcBorders>
              <w:top w:val="nil"/>
              <w:left w:val="nil"/>
              <w:bottom w:val="nil"/>
              <w:right w:val="nil"/>
            </w:tcBorders>
          </w:tcPr>
          <w:p w14:paraId="180B012F" w14:textId="551572D1"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Attain. Status - O3 (t-1)</w:t>
            </w:r>
          </w:p>
        </w:tc>
        <w:tc>
          <w:tcPr>
            <w:tcW w:w="691" w:type="pct"/>
            <w:tcBorders>
              <w:top w:val="nil"/>
              <w:left w:val="nil"/>
              <w:bottom w:val="nil"/>
              <w:right w:val="nil"/>
            </w:tcBorders>
          </w:tcPr>
          <w:p w14:paraId="7939237D"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0.258</w:t>
            </w:r>
          </w:p>
        </w:tc>
        <w:tc>
          <w:tcPr>
            <w:tcW w:w="691" w:type="pct"/>
            <w:tcBorders>
              <w:top w:val="nil"/>
              <w:left w:val="nil"/>
              <w:bottom w:val="nil"/>
              <w:right w:val="nil"/>
            </w:tcBorders>
          </w:tcPr>
          <w:p w14:paraId="20137430"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0.252</w:t>
            </w:r>
          </w:p>
        </w:tc>
        <w:tc>
          <w:tcPr>
            <w:tcW w:w="691" w:type="pct"/>
            <w:tcBorders>
              <w:top w:val="nil"/>
              <w:left w:val="nil"/>
              <w:bottom w:val="nil"/>
              <w:right w:val="nil"/>
            </w:tcBorders>
          </w:tcPr>
          <w:p w14:paraId="255D1FFE"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0.319</w:t>
            </w:r>
          </w:p>
        </w:tc>
        <w:tc>
          <w:tcPr>
            <w:tcW w:w="624" w:type="pct"/>
            <w:tcBorders>
              <w:top w:val="nil"/>
              <w:left w:val="nil"/>
              <w:bottom w:val="nil"/>
              <w:right w:val="nil"/>
            </w:tcBorders>
          </w:tcPr>
          <w:p w14:paraId="00A122DA"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0.041</w:t>
            </w:r>
          </w:p>
        </w:tc>
        <w:tc>
          <w:tcPr>
            <w:tcW w:w="837" w:type="pct"/>
            <w:tcBorders>
              <w:top w:val="nil"/>
              <w:left w:val="nil"/>
              <w:bottom w:val="nil"/>
              <w:right w:val="nil"/>
            </w:tcBorders>
          </w:tcPr>
          <w:p w14:paraId="40C2B4ED"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0.072</w:t>
            </w:r>
          </w:p>
        </w:tc>
      </w:tr>
      <w:tr w:rsidR="00CD4846" w:rsidRPr="00CD4846" w14:paraId="37A6683A" w14:textId="77777777" w:rsidTr="003959BE">
        <w:tc>
          <w:tcPr>
            <w:tcW w:w="1465" w:type="pct"/>
            <w:tcBorders>
              <w:top w:val="nil"/>
              <w:left w:val="nil"/>
              <w:bottom w:val="nil"/>
              <w:right w:val="nil"/>
            </w:tcBorders>
          </w:tcPr>
          <w:p w14:paraId="0BA1E4DB" w14:textId="32E2B071"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91" w:type="pct"/>
            <w:tcBorders>
              <w:top w:val="nil"/>
              <w:left w:val="nil"/>
              <w:bottom w:val="nil"/>
              <w:right w:val="nil"/>
            </w:tcBorders>
          </w:tcPr>
          <w:p w14:paraId="5CD55908"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(0.205)</w:t>
            </w:r>
          </w:p>
        </w:tc>
        <w:tc>
          <w:tcPr>
            <w:tcW w:w="691" w:type="pct"/>
            <w:tcBorders>
              <w:top w:val="nil"/>
              <w:left w:val="nil"/>
              <w:bottom w:val="nil"/>
              <w:right w:val="nil"/>
            </w:tcBorders>
          </w:tcPr>
          <w:p w14:paraId="7FC57FF0"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(0.204)</w:t>
            </w:r>
          </w:p>
        </w:tc>
        <w:tc>
          <w:tcPr>
            <w:tcW w:w="691" w:type="pct"/>
            <w:tcBorders>
              <w:top w:val="nil"/>
              <w:left w:val="nil"/>
              <w:bottom w:val="nil"/>
              <w:right w:val="nil"/>
            </w:tcBorders>
          </w:tcPr>
          <w:p w14:paraId="56CA19F0"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(0.296)</w:t>
            </w:r>
          </w:p>
        </w:tc>
        <w:tc>
          <w:tcPr>
            <w:tcW w:w="624" w:type="pct"/>
            <w:tcBorders>
              <w:top w:val="nil"/>
              <w:left w:val="nil"/>
              <w:bottom w:val="nil"/>
              <w:right w:val="nil"/>
            </w:tcBorders>
          </w:tcPr>
          <w:p w14:paraId="225200DA"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(0.037)</w:t>
            </w:r>
          </w:p>
        </w:tc>
        <w:tc>
          <w:tcPr>
            <w:tcW w:w="837" w:type="pct"/>
            <w:tcBorders>
              <w:top w:val="nil"/>
              <w:left w:val="nil"/>
              <w:bottom w:val="nil"/>
              <w:right w:val="nil"/>
            </w:tcBorders>
          </w:tcPr>
          <w:p w14:paraId="3EF77DE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(0.059)</w:t>
            </w:r>
          </w:p>
        </w:tc>
      </w:tr>
      <w:tr w:rsidR="00CD4846" w:rsidRPr="00CD4846" w14:paraId="2C9CC04B" w14:textId="77777777" w:rsidTr="003959BE">
        <w:tc>
          <w:tcPr>
            <w:tcW w:w="1465" w:type="pct"/>
            <w:tcBorders>
              <w:top w:val="nil"/>
              <w:left w:val="nil"/>
              <w:bottom w:val="nil"/>
              <w:right w:val="nil"/>
            </w:tcBorders>
          </w:tcPr>
          <w:p w14:paraId="05F95A55" w14:textId="3D97A3D6"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Attain. Status - PM (t-1)</w:t>
            </w:r>
          </w:p>
        </w:tc>
        <w:tc>
          <w:tcPr>
            <w:tcW w:w="691" w:type="pct"/>
            <w:tcBorders>
              <w:top w:val="nil"/>
              <w:left w:val="nil"/>
              <w:bottom w:val="nil"/>
              <w:right w:val="nil"/>
            </w:tcBorders>
          </w:tcPr>
          <w:p w14:paraId="4A0B1983"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0.205</w:t>
            </w:r>
          </w:p>
        </w:tc>
        <w:tc>
          <w:tcPr>
            <w:tcW w:w="691" w:type="pct"/>
            <w:tcBorders>
              <w:top w:val="nil"/>
              <w:left w:val="nil"/>
              <w:bottom w:val="nil"/>
              <w:right w:val="nil"/>
            </w:tcBorders>
          </w:tcPr>
          <w:p w14:paraId="26DE9DFE"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0.232</w:t>
            </w:r>
          </w:p>
        </w:tc>
        <w:tc>
          <w:tcPr>
            <w:tcW w:w="691" w:type="pct"/>
            <w:tcBorders>
              <w:top w:val="nil"/>
              <w:left w:val="nil"/>
              <w:bottom w:val="nil"/>
              <w:right w:val="nil"/>
            </w:tcBorders>
          </w:tcPr>
          <w:p w14:paraId="455FE63A"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0.062</w:t>
            </w:r>
          </w:p>
        </w:tc>
        <w:tc>
          <w:tcPr>
            <w:tcW w:w="624" w:type="pct"/>
            <w:tcBorders>
              <w:top w:val="nil"/>
              <w:left w:val="nil"/>
              <w:bottom w:val="nil"/>
              <w:right w:val="nil"/>
            </w:tcBorders>
          </w:tcPr>
          <w:p w14:paraId="0B100774"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0.013</w:t>
            </w:r>
          </w:p>
        </w:tc>
        <w:tc>
          <w:tcPr>
            <w:tcW w:w="837" w:type="pct"/>
            <w:tcBorders>
              <w:top w:val="nil"/>
              <w:left w:val="nil"/>
              <w:bottom w:val="nil"/>
              <w:right w:val="nil"/>
            </w:tcBorders>
          </w:tcPr>
          <w:p w14:paraId="00FAB274"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0.007</w:t>
            </w:r>
          </w:p>
        </w:tc>
      </w:tr>
      <w:tr w:rsidR="00CD4846" w:rsidRPr="00CD4846" w14:paraId="0BCBD9C8" w14:textId="77777777" w:rsidTr="003959BE">
        <w:tc>
          <w:tcPr>
            <w:tcW w:w="1465" w:type="pct"/>
            <w:tcBorders>
              <w:top w:val="nil"/>
              <w:left w:val="nil"/>
              <w:bottom w:val="nil"/>
              <w:right w:val="nil"/>
            </w:tcBorders>
          </w:tcPr>
          <w:p w14:paraId="1489C0E9" w14:textId="7D7518D6"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91" w:type="pct"/>
            <w:tcBorders>
              <w:top w:val="nil"/>
              <w:left w:val="nil"/>
              <w:bottom w:val="nil"/>
              <w:right w:val="nil"/>
            </w:tcBorders>
          </w:tcPr>
          <w:p w14:paraId="03BA6A73"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(0.182)</w:t>
            </w:r>
          </w:p>
        </w:tc>
        <w:tc>
          <w:tcPr>
            <w:tcW w:w="691" w:type="pct"/>
            <w:tcBorders>
              <w:top w:val="nil"/>
              <w:left w:val="nil"/>
              <w:bottom w:val="nil"/>
              <w:right w:val="nil"/>
            </w:tcBorders>
          </w:tcPr>
          <w:p w14:paraId="219277A9"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(0.183)</w:t>
            </w:r>
          </w:p>
        </w:tc>
        <w:tc>
          <w:tcPr>
            <w:tcW w:w="691" w:type="pct"/>
            <w:tcBorders>
              <w:top w:val="nil"/>
              <w:left w:val="nil"/>
              <w:bottom w:val="nil"/>
              <w:right w:val="nil"/>
            </w:tcBorders>
          </w:tcPr>
          <w:p w14:paraId="0B05613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(0.253)</w:t>
            </w:r>
          </w:p>
        </w:tc>
        <w:tc>
          <w:tcPr>
            <w:tcW w:w="624" w:type="pct"/>
            <w:tcBorders>
              <w:top w:val="nil"/>
              <w:left w:val="nil"/>
              <w:bottom w:val="nil"/>
              <w:right w:val="nil"/>
            </w:tcBorders>
          </w:tcPr>
          <w:p w14:paraId="686FD38F"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(0.029)</w:t>
            </w:r>
          </w:p>
        </w:tc>
        <w:tc>
          <w:tcPr>
            <w:tcW w:w="837" w:type="pct"/>
            <w:tcBorders>
              <w:top w:val="nil"/>
              <w:left w:val="nil"/>
              <w:bottom w:val="nil"/>
              <w:right w:val="nil"/>
            </w:tcBorders>
          </w:tcPr>
          <w:p w14:paraId="25140335"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(0.038)</w:t>
            </w:r>
          </w:p>
        </w:tc>
      </w:tr>
      <w:tr w:rsidR="00CD4846" w:rsidRPr="00CD4846" w14:paraId="17EF771E" w14:textId="77777777" w:rsidTr="003959BE">
        <w:tc>
          <w:tcPr>
            <w:tcW w:w="1465" w:type="pct"/>
            <w:tcBorders>
              <w:top w:val="nil"/>
              <w:left w:val="nil"/>
              <w:bottom w:val="nil"/>
              <w:right w:val="nil"/>
            </w:tcBorders>
          </w:tcPr>
          <w:p w14:paraId="266E72BF"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Attain. Status - SO2 (t-1)</w:t>
            </w:r>
          </w:p>
        </w:tc>
        <w:tc>
          <w:tcPr>
            <w:tcW w:w="691" w:type="pct"/>
            <w:tcBorders>
              <w:top w:val="nil"/>
              <w:left w:val="nil"/>
              <w:bottom w:val="nil"/>
              <w:right w:val="nil"/>
            </w:tcBorders>
          </w:tcPr>
          <w:p w14:paraId="7634DFDA"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0.076</w:t>
            </w:r>
          </w:p>
        </w:tc>
        <w:tc>
          <w:tcPr>
            <w:tcW w:w="691" w:type="pct"/>
            <w:tcBorders>
              <w:top w:val="nil"/>
              <w:left w:val="nil"/>
              <w:bottom w:val="nil"/>
              <w:right w:val="nil"/>
            </w:tcBorders>
          </w:tcPr>
          <w:p w14:paraId="657C9F8F"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0.273</w:t>
            </w:r>
          </w:p>
        </w:tc>
        <w:tc>
          <w:tcPr>
            <w:tcW w:w="691" w:type="pct"/>
            <w:tcBorders>
              <w:top w:val="nil"/>
              <w:left w:val="nil"/>
              <w:bottom w:val="nil"/>
              <w:right w:val="nil"/>
            </w:tcBorders>
          </w:tcPr>
          <w:p w14:paraId="79022A68"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-0.022</w:t>
            </w:r>
          </w:p>
        </w:tc>
        <w:tc>
          <w:tcPr>
            <w:tcW w:w="624" w:type="pct"/>
            <w:tcBorders>
              <w:top w:val="nil"/>
              <w:left w:val="nil"/>
              <w:bottom w:val="nil"/>
              <w:right w:val="nil"/>
            </w:tcBorders>
          </w:tcPr>
          <w:p w14:paraId="6321C27A"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0.160</w:t>
            </w:r>
          </w:p>
        </w:tc>
        <w:tc>
          <w:tcPr>
            <w:tcW w:w="837" w:type="pct"/>
            <w:tcBorders>
              <w:top w:val="nil"/>
              <w:left w:val="nil"/>
              <w:bottom w:val="nil"/>
              <w:right w:val="nil"/>
            </w:tcBorders>
          </w:tcPr>
          <w:p w14:paraId="212EB556"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-0.163</w:t>
            </w:r>
          </w:p>
        </w:tc>
      </w:tr>
      <w:tr w:rsidR="00CD4846" w:rsidRPr="00CD4846" w14:paraId="5B4C2E47" w14:textId="77777777" w:rsidTr="003959BE">
        <w:tc>
          <w:tcPr>
            <w:tcW w:w="1465" w:type="pct"/>
            <w:tcBorders>
              <w:top w:val="nil"/>
              <w:left w:val="nil"/>
              <w:bottom w:val="nil"/>
              <w:right w:val="nil"/>
            </w:tcBorders>
          </w:tcPr>
          <w:p w14:paraId="58B96954" w14:textId="1046D09E"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91" w:type="pct"/>
            <w:tcBorders>
              <w:top w:val="nil"/>
              <w:left w:val="nil"/>
              <w:bottom w:val="nil"/>
              <w:right w:val="nil"/>
            </w:tcBorders>
          </w:tcPr>
          <w:p w14:paraId="5C0A9487"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(0.765)</w:t>
            </w:r>
          </w:p>
        </w:tc>
        <w:tc>
          <w:tcPr>
            <w:tcW w:w="691" w:type="pct"/>
            <w:tcBorders>
              <w:top w:val="nil"/>
              <w:left w:val="nil"/>
              <w:bottom w:val="nil"/>
              <w:right w:val="nil"/>
            </w:tcBorders>
          </w:tcPr>
          <w:p w14:paraId="1CF0F728"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(0.699)</w:t>
            </w:r>
          </w:p>
        </w:tc>
        <w:tc>
          <w:tcPr>
            <w:tcW w:w="691" w:type="pct"/>
            <w:tcBorders>
              <w:top w:val="nil"/>
              <w:left w:val="nil"/>
              <w:bottom w:val="nil"/>
              <w:right w:val="nil"/>
            </w:tcBorders>
          </w:tcPr>
          <w:p w14:paraId="63467386"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(1.085)</w:t>
            </w:r>
          </w:p>
        </w:tc>
        <w:tc>
          <w:tcPr>
            <w:tcW w:w="624" w:type="pct"/>
            <w:tcBorders>
              <w:top w:val="nil"/>
              <w:left w:val="nil"/>
              <w:bottom w:val="nil"/>
              <w:right w:val="nil"/>
            </w:tcBorders>
          </w:tcPr>
          <w:p w14:paraId="20CACC26"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(0.129)</w:t>
            </w:r>
          </w:p>
        </w:tc>
        <w:tc>
          <w:tcPr>
            <w:tcW w:w="837" w:type="pct"/>
            <w:tcBorders>
              <w:top w:val="nil"/>
              <w:left w:val="nil"/>
              <w:bottom w:val="nil"/>
              <w:right w:val="nil"/>
            </w:tcBorders>
          </w:tcPr>
          <w:p w14:paraId="1F0699EF"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(0.183)</w:t>
            </w:r>
          </w:p>
        </w:tc>
      </w:tr>
      <w:tr w:rsidR="00CD4846" w:rsidRPr="00CD4846" w14:paraId="67A22630" w14:textId="77777777" w:rsidTr="003959BE">
        <w:tc>
          <w:tcPr>
            <w:tcW w:w="1465" w:type="pct"/>
            <w:tcBorders>
              <w:top w:val="nil"/>
              <w:left w:val="nil"/>
              <w:bottom w:val="nil"/>
              <w:right w:val="nil"/>
            </w:tcBorders>
          </w:tcPr>
          <w:p w14:paraId="14984C70" w14:textId="07BDEF14"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Density Employment</w:t>
            </w:r>
          </w:p>
        </w:tc>
        <w:tc>
          <w:tcPr>
            <w:tcW w:w="691" w:type="pct"/>
            <w:tcBorders>
              <w:top w:val="nil"/>
              <w:left w:val="nil"/>
              <w:bottom w:val="nil"/>
              <w:right w:val="nil"/>
            </w:tcBorders>
          </w:tcPr>
          <w:p w14:paraId="31B914B8"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0.514</w:t>
            </w:r>
          </w:p>
        </w:tc>
        <w:tc>
          <w:tcPr>
            <w:tcW w:w="691" w:type="pct"/>
            <w:tcBorders>
              <w:top w:val="nil"/>
              <w:left w:val="nil"/>
              <w:bottom w:val="nil"/>
              <w:right w:val="nil"/>
            </w:tcBorders>
          </w:tcPr>
          <w:p w14:paraId="245C9AE1"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0.674</w:t>
            </w:r>
          </w:p>
        </w:tc>
        <w:tc>
          <w:tcPr>
            <w:tcW w:w="691" w:type="pct"/>
            <w:tcBorders>
              <w:top w:val="nil"/>
              <w:left w:val="nil"/>
              <w:bottom w:val="nil"/>
              <w:right w:val="nil"/>
            </w:tcBorders>
          </w:tcPr>
          <w:p w14:paraId="0FAE80E2"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0.442</w:t>
            </w:r>
          </w:p>
        </w:tc>
        <w:tc>
          <w:tcPr>
            <w:tcW w:w="624" w:type="pct"/>
            <w:tcBorders>
              <w:top w:val="nil"/>
              <w:left w:val="nil"/>
              <w:bottom w:val="nil"/>
              <w:right w:val="nil"/>
            </w:tcBorders>
          </w:tcPr>
          <w:p w14:paraId="34931B18"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0.049</w:t>
            </w:r>
          </w:p>
        </w:tc>
        <w:tc>
          <w:tcPr>
            <w:tcW w:w="837" w:type="pct"/>
            <w:tcBorders>
              <w:top w:val="nil"/>
              <w:left w:val="nil"/>
              <w:bottom w:val="nil"/>
              <w:right w:val="nil"/>
            </w:tcBorders>
          </w:tcPr>
          <w:p w14:paraId="0A833C04"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0.058</w:t>
            </w:r>
          </w:p>
        </w:tc>
      </w:tr>
      <w:tr w:rsidR="00CD4846" w:rsidRPr="00CD4846" w14:paraId="5AC71A30" w14:textId="77777777" w:rsidTr="003959BE">
        <w:tc>
          <w:tcPr>
            <w:tcW w:w="1465" w:type="pct"/>
            <w:tcBorders>
              <w:top w:val="nil"/>
              <w:left w:val="nil"/>
              <w:bottom w:val="nil"/>
              <w:right w:val="nil"/>
            </w:tcBorders>
          </w:tcPr>
          <w:p w14:paraId="529FFD3E" w14:textId="1C899627"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91" w:type="pct"/>
            <w:tcBorders>
              <w:top w:val="nil"/>
              <w:left w:val="nil"/>
              <w:bottom w:val="nil"/>
              <w:right w:val="nil"/>
            </w:tcBorders>
          </w:tcPr>
          <w:p w14:paraId="5EC30C63"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(0.431)</w:t>
            </w:r>
          </w:p>
        </w:tc>
        <w:tc>
          <w:tcPr>
            <w:tcW w:w="691" w:type="pct"/>
            <w:tcBorders>
              <w:top w:val="nil"/>
              <w:left w:val="nil"/>
              <w:bottom w:val="nil"/>
              <w:right w:val="nil"/>
            </w:tcBorders>
          </w:tcPr>
          <w:p w14:paraId="7BBF1C23"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(0.430)</w:t>
            </w:r>
          </w:p>
        </w:tc>
        <w:tc>
          <w:tcPr>
            <w:tcW w:w="691" w:type="pct"/>
            <w:tcBorders>
              <w:top w:val="nil"/>
              <w:left w:val="nil"/>
              <w:bottom w:val="nil"/>
              <w:right w:val="nil"/>
            </w:tcBorders>
          </w:tcPr>
          <w:p w14:paraId="6DA75350"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(0.708)</w:t>
            </w:r>
          </w:p>
        </w:tc>
        <w:tc>
          <w:tcPr>
            <w:tcW w:w="624" w:type="pct"/>
            <w:tcBorders>
              <w:top w:val="nil"/>
              <w:left w:val="nil"/>
              <w:bottom w:val="nil"/>
              <w:right w:val="nil"/>
            </w:tcBorders>
          </w:tcPr>
          <w:p w14:paraId="473413C8"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(0.054)</w:t>
            </w:r>
          </w:p>
        </w:tc>
        <w:tc>
          <w:tcPr>
            <w:tcW w:w="837" w:type="pct"/>
            <w:tcBorders>
              <w:top w:val="nil"/>
              <w:left w:val="nil"/>
              <w:bottom w:val="nil"/>
              <w:right w:val="nil"/>
            </w:tcBorders>
          </w:tcPr>
          <w:p w14:paraId="33E7B2E7"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(0.050)</w:t>
            </w:r>
          </w:p>
        </w:tc>
      </w:tr>
      <w:tr w:rsidR="00CD4846" w:rsidRPr="00CD4846" w14:paraId="15819717" w14:textId="77777777" w:rsidTr="003959BE">
        <w:tc>
          <w:tcPr>
            <w:tcW w:w="1465" w:type="pct"/>
            <w:tcBorders>
              <w:top w:val="nil"/>
              <w:left w:val="nil"/>
              <w:bottom w:val="nil"/>
              <w:right w:val="nil"/>
            </w:tcBorders>
          </w:tcPr>
          <w:p w14:paraId="23448E36"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Percent Black (100s)</w:t>
            </w:r>
          </w:p>
        </w:tc>
        <w:tc>
          <w:tcPr>
            <w:tcW w:w="691" w:type="pct"/>
            <w:tcBorders>
              <w:top w:val="nil"/>
              <w:left w:val="nil"/>
              <w:bottom w:val="nil"/>
              <w:right w:val="nil"/>
            </w:tcBorders>
          </w:tcPr>
          <w:p w14:paraId="1810813D"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-6.465</w:t>
            </w:r>
          </w:p>
        </w:tc>
        <w:tc>
          <w:tcPr>
            <w:tcW w:w="691" w:type="pct"/>
            <w:tcBorders>
              <w:top w:val="nil"/>
              <w:left w:val="nil"/>
              <w:bottom w:val="nil"/>
              <w:right w:val="nil"/>
            </w:tcBorders>
          </w:tcPr>
          <w:p w14:paraId="4C3ACFE9"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-4.694</w:t>
            </w:r>
          </w:p>
        </w:tc>
        <w:tc>
          <w:tcPr>
            <w:tcW w:w="691" w:type="pct"/>
            <w:tcBorders>
              <w:top w:val="nil"/>
              <w:left w:val="nil"/>
              <w:bottom w:val="nil"/>
              <w:right w:val="nil"/>
            </w:tcBorders>
          </w:tcPr>
          <w:p w14:paraId="0746F3D1"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1.280</w:t>
            </w:r>
          </w:p>
        </w:tc>
        <w:tc>
          <w:tcPr>
            <w:tcW w:w="624" w:type="pct"/>
            <w:tcBorders>
              <w:top w:val="nil"/>
              <w:left w:val="nil"/>
              <w:bottom w:val="nil"/>
              <w:right w:val="nil"/>
            </w:tcBorders>
          </w:tcPr>
          <w:p w14:paraId="4804480E"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0.374</w:t>
            </w:r>
          </w:p>
        </w:tc>
        <w:tc>
          <w:tcPr>
            <w:tcW w:w="837" w:type="pct"/>
            <w:tcBorders>
              <w:top w:val="nil"/>
              <w:left w:val="nil"/>
              <w:bottom w:val="nil"/>
              <w:right w:val="nil"/>
            </w:tcBorders>
          </w:tcPr>
          <w:p w14:paraId="674D2497"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-0.337</w:t>
            </w:r>
          </w:p>
        </w:tc>
      </w:tr>
      <w:tr w:rsidR="00CD4846" w:rsidRPr="00CD4846" w14:paraId="4A757765" w14:textId="77777777" w:rsidTr="003959BE">
        <w:tc>
          <w:tcPr>
            <w:tcW w:w="1465" w:type="pct"/>
            <w:tcBorders>
              <w:top w:val="nil"/>
              <w:left w:val="nil"/>
              <w:bottom w:val="nil"/>
              <w:right w:val="nil"/>
            </w:tcBorders>
          </w:tcPr>
          <w:p w14:paraId="278E05DA" w14:textId="65521F5F"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91" w:type="pct"/>
            <w:tcBorders>
              <w:top w:val="nil"/>
              <w:left w:val="nil"/>
              <w:bottom w:val="nil"/>
              <w:right w:val="nil"/>
            </w:tcBorders>
          </w:tcPr>
          <w:p w14:paraId="0E835464"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(10.184)</w:t>
            </w:r>
          </w:p>
        </w:tc>
        <w:tc>
          <w:tcPr>
            <w:tcW w:w="691" w:type="pct"/>
            <w:tcBorders>
              <w:top w:val="nil"/>
              <w:left w:val="nil"/>
              <w:bottom w:val="nil"/>
              <w:right w:val="nil"/>
            </w:tcBorders>
          </w:tcPr>
          <w:p w14:paraId="5F492BC9"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(14.547)</w:t>
            </w:r>
          </w:p>
        </w:tc>
        <w:tc>
          <w:tcPr>
            <w:tcW w:w="691" w:type="pct"/>
            <w:tcBorders>
              <w:top w:val="nil"/>
              <w:left w:val="nil"/>
              <w:bottom w:val="nil"/>
              <w:right w:val="nil"/>
            </w:tcBorders>
          </w:tcPr>
          <w:p w14:paraId="1521A559"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(14.600)</w:t>
            </w:r>
          </w:p>
        </w:tc>
        <w:tc>
          <w:tcPr>
            <w:tcW w:w="624" w:type="pct"/>
            <w:tcBorders>
              <w:top w:val="nil"/>
              <w:left w:val="nil"/>
              <w:bottom w:val="nil"/>
              <w:right w:val="nil"/>
            </w:tcBorders>
          </w:tcPr>
          <w:p w14:paraId="46D10D51"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(1.248)</w:t>
            </w:r>
          </w:p>
        </w:tc>
        <w:tc>
          <w:tcPr>
            <w:tcW w:w="837" w:type="pct"/>
            <w:tcBorders>
              <w:top w:val="nil"/>
              <w:left w:val="nil"/>
              <w:bottom w:val="nil"/>
              <w:right w:val="nil"/>
            </w:tcBorders>
          </w:tcPr>
          <w:p w14:paraId="5CF8A8ED"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(2.309)</w:t>
            </w:r>
          </w:p>
        </w:tc>
      </w:tr>
      <w:tr w:rsidR="00CD4846" w:rsidRPr="00CD4846" w14:paraId="694AFD2D" w14:textId="77777777" w:rsidTr="003959BE">
        <w:tc>
          <w:tcPr>
            <w:tcW w:w="1465" w:type="pct"/>
            <w:tcBorders>
              <w:top w:val="nil"/>
              <w:left w:val="nil"/>
              <w:bottom w:val="nil"/>
              <w:right w:val="nil"/>
            </w:tcBorders>
          </w:tcPr>
          <w:p w14:paraId="17723BBB" w14:textId="1A8A6B1D"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Population count (1ms)</w:t>
            </w:r>
          </w:p>
        </w:tc>
        <w:tc>
          <w:tcPr>
            <w:tcW w:w="691" w:type="pct"/>
            <w:tcBorders>
              <w:top w:val="nil"/>
              <w:left w:val="nil"/>
              <w:bottom w:val="nil"/>
              <w:right w:val="nil"/>
            </w:tcBorders>
          </w:tcPr>
          <w:p w14:paraId="146A26D7"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-2.286**</w:t>
            </w:r>
          </w:p>
        </w:tc>
        <w:tc>
          <w:tcPr>
            <w:tcW w:w="691" w:type="pct"/>
            <w:tcBorders>
              <w:top w:val="nil"/>
              <w:left w:val="nil"/>
              <w:bottom w:val="nil"/>
              <w:right w:val="nil"/>
            </w:tcBorders>
          </w:tcPr>
          <w:p w14:paraId="4760B888"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0.956</w:t>
            </w:r>
          </w:p>
        </w:tc>
        <w:tc>
          <w:tcPr>
            <w:tcW w:w="691" w:type="pct"/>
            <w:tcBorders>
              <w:top w:val="nil"/>
              <w:left w:val="nil"/>
              <w:bottom w:val="nil"/>
              <w:right w:val="nil"/>
            </w:tcBorders>
          </w:tcPr>
          <w:p w14:paraId="64941C9C"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-4.453</w:t>
            </w:r>
          </w:p>
        </w:tc>
        <w:tc>
          <w:tcPr>
            <w:tcW w:w="624" w:type="pct"/>
            <w:tcBorders>
              <w:top w:val="nil"/>
              <w:left w:val="nil"/>
              <w:bottom w:val="nil"/>
              <w:right w:val="nil"/>
            </w:tcBorders>
          </w:tcPr>
          <w:p w14:paraId="211A7965"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-0.544*</w:t>
            </w:r>
          </w:p>
        </w:tc>
        <w:tc>
          <w:tcPr>
            <w:tcW w:w="837" w:type="pct"/>
            <w:tcBorders>
              <w:top w:val="nil"/>
              <w:left w:val="nil"/>
              <w:bottom w:val="nil"/>
              <w:right w:val="nil"/>
            </w:tcBorders>
          </w:tcPr>
          <w:p w14:paraId="0FAFE0AD"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-0.332</w:t>
            </w:r>
          </w:p>
        </w:tc>
      </w:tr>
      <w:tr w:rsidR="00CD4846" w:rsidRPr="00CD4846" w14:paraId="4CBF49D0" w14:textId="77777777" w:rsidTr="003959BE">
        <w:tc>
          <w:tcPr>
            <w:tcW w:w="1465" w:type="pct"/>
            <w:tcBorders>
              <w:top w:val="nil"/>
              <w:left w:val="nil"/>
              <w:bottom w:val="nil"/>
              <w:right w:val="nil"/>
            </w:tcBorders>
          </w:tcPr>
          <w:p w14:paraId="7CDF8741" w14:textId="4B3BE4B7"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91" w:type="pct"/>
            <w:tcBorders>
              <w:top w:val="nil"/>
              <w:left w:val="nil"/>
              <w:bottom w:val="nil"/>
              <w:right w:val="nil"/>
            </w:tcBorders>
          </w:tcPr>
          <w:p w14:paraId="2654B5A3"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(1.096)</w:t>
            </w:r>
          </w:p>
        </w:tc>
        <w:tc>
          <w:tcPr>
            <w:tcW w:w="691" w:type="pct"/>
            <w:tcBorders>
              <w:top w:val="nil"/>
              <w:left w:val="nil"/>
              <w:bottom w:val="nil"/>
              <w:right w:val="nil"/>
            </w:tcBorders>
          </w:tcPr>
          <w:p w14:paraId="1AC8ECC8"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(0.863)</w:t>
            </w:r>
          </w:p>
        </w:tc>
        <w:tc>
          <w:tcPr>
            <w:tcW w:w="691" w:type="pct"/>
            <w:tcBorders>
              <w:top w:val="nil"/>
              <w:left w:val="nil"/>
              <w:bottom w:val="nil"/>
              <w:right w:val="nil"/>
            </w:tcBorders>
          </w:tcPr>
          <w:p w14:paraId="293081D6"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(3.327)</w:t>
            </w:r>
          </w:p>
        </w:tc>
        <w:tc>
          <w:tcPr>
            <w:tcW w:w="624" w:type="pct"/>
            <w:tcBorders>
              <w:top w:val="nil"/>
              <w:left w:val="nil"/>
              <w:bottom w:val="nil"/>
              <w:right w:val="nil"/>
            </w:tcBorders>
          </w:tcPr>
          <w:p w14:paraId="44F1A5AA"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(0.302)</w:t>
            </w:r>
          </w:p>
        </w:tc>
        <w:tc>
          <w:tcPr>
            <w:tcW w:w="837" w:type="pct"/>
            <w:tcBorders>
              <w:top w:val="nil"/>
              <w:left w:val="nil"/>
              <w:bottom w:val="nil"/>
              <w:right w:val="nil"/>
            </w:tcBorders>
          </w:tcPr>
          <w:p w14:paraId="056D4A12"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(0.437)</w:t>
            </w:r>
          </w:p>
        </w:tc>
      </w:tr>
      <w:tr w:rsidR="00CD4846" w:rsidRPr="00CD4846" w14:paraId="5C5287E3" w14:textId="77777777" w:rsidTr="003959BE">
        <w:tc>
          <w:tcPr>
            <w:tcW w:w="1465" w:type="pct"/>
            <w:tcBorders>
              <w:top w:val="nil"/>
              <w:left w:val="nil"/>
              <w:bottom w:val="nil"/>
              <w:right w:val="nil"/>
            </w:tcBorders>
          </w:tcPr>
          <w:p w14:paraId="617F9005" w14:textId="53C22EA0"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Unemployment rate (100s)</w:t>
            </w:r>
          </w:p>
        </w:tc>
        <w:tc>
          <w:tcPr>
            <w:tcW w:w="691" w:type="pct"/>
            <w:tcBorders>
              <w:top w:val="nil"/>
              <w:left w:val="nil"/>
              <w:bottom w:val="nil"/>
              <w:right w:val="nil"/>
            </w:tcBorders>
          </w:tcPr>
          <w:p w14:paraId="75C4F963"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10.348*</w:t>
            </w:r>
          </w:p>
        </w:tc>
        <w:tc>
          <w:tcPr>
            <w:tcW w:w="691" w:type="pct"/>
            <w:tcBorders>
              <w:top w:val="nil"/>
              <w:left w:val="nil"/>
              <w:bottom w:val="nil"/>
              <w:right w:val="nil"/>
            </w:tcBorders>
          </w:tcPr>
          <w:p w14:paraId="20A0488C"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-8.394</w:t>
            </w:r>
          </w:p>
        </w:tc>
        <w:tc>
          <w:tcPr>
            <w:tcW w:w="691" w:type="pct"/>
            <w:tcBorders>
              <w:top w:val="nil"/>
              <w:left w:val="nil"/>
              <w:bottom w:val="nil"/>
              <w:right w:val="nil"/>
            </w:tcBorders>
          </w:tcPr>
          <w:p w14:paraId="400BE6D2"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0.819</w:t>
            </w:r>
          </w:p>
        </w:tc>
        <w:tc>
          <w:tcPr>
            <w:tcW w:w="624" w:type="pct"/>
            <w:tcBorders>
              <w:top w:val="nil"/>
              <w:left w:val="nil"/>
              <w:bottom w:val="nil"/>
              <w:right w:val="nil"/>
            </w:tcBorders>
          </w:tcPr>
          <w:p w14:paraId="23A2D677"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-0.445</w:t>
            </w:r>
          </w:p>
        </w:tc>
        <w:tc>
          <w:tcPr>
            <w:tcW w:w="837" w:type="pct"/>
            <w:tcBorders>
              <w:top w:val="nil"/>
              <w:left w:val="nil"/>
              <w:bottom w:val="nil"/>
              <w:right w:val="nil"/>
            </w:tcBorders>
          </w:tcPr>
          <w:p w14:paraId="390A5458"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0.197</w:t>
            </w:r>
          </w:p>
        </w:tc>
      </w:tr>
      <w:tr w:rsidR="00CD4846" w:rsidRPr="00CD4846" w14:paraId="4B225376" w14:textId="77777777" w:rsidTr="003959BE">
        <w:tc>
          <w:tcPr>
            <w:tcW w:w="1465" w:type="pct"/>
            <w:tcBorders>
              <w:top w:val="nil"/>
              <w:left w:val="nil"/>
              <w:bottom w:val="nil"/>
              <w:right w:val="nil"/>
            </w:tcBorders>
          </w:tcPr>
          <w:p w14:paraId="6533FA16" w14:textId="5B838A6A"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91" w:type="pct"/>
            <w:tcBorders>
              <w:top w:val="nil"/>
              <w:left w:val="nil"/>
              <w:bottom w:val="nil"/>
              <w:right w:val="nil"/>
            </w:tcBorders>
          </w:tcPr>
          <w:p w14:paraId="160E0A0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(6.157)</w:t>
            </w:r>
          </w:p>
        </w:tc>
        <w:tc>
          <w:tcPr>
            <w:tcW w:w="691" w:type="pct"/>
            <w:tcBorders>
              <w:top w:val="nil"/>
              <w:left w:val="nil"/>
              <w:bottom w:val="nil"/>
              <w:right w:val="nil"/>
            </w:tcBorders>
          </w:tcPr>
          <w:p w14:paraId="33A3F8A0"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(8.112)</w:t>
            </w:r>
          </w:p>
        </w:tc>
        <w:tc>
          <w:tcPr>
            <w:tcW w:w="691" w:type="pct"/>
            <w:tcBorders>
              <w:top w:val="nil"/>
              <w:left w:val="nil"/>
              <w:bottom w:val="nil"/>
              <w:right w:val="nil"/>
            </w:tcBorders>
          </w:tcPr>
          <w:p w14:paraId="3485E78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(9.711)</w:t>
            </w:r>
          </w:p>
        </w:tc>
        <w:tc>
          <w:tcPr>
            <w:tcW w:w="624" w:type="pct"/>
            <w:tcBorders>
              <w:top w:val="nil"/>
              <w:left w:val="nil"/>
              <w:bottom w:val="nil"/>
              <w:right w:val="nil"/>
            </w:tcBorders>
          </w:tcPr>
          <w:p w14:paraId="10109C09"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(1.247)</w:t>
            </w:r>
          </w:p>
        </w:tc>
        <w:tc>
          <w:tcPr>
            <w:tcW w:w="837" w:type="pct"/>
            <w:tcBorders>
              <w:top w:val="nil"/>
              <w:left w:val="nil"/>
              <w:bottom w:val="nil"/>
              <w:right w:val="nil"/>
            </w:tcBorders>
          </w:tcPr>
          <w:p w14:paraId="683EC542"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(2.026)</w:t>
            </w:r>
          </w:p>
        </w:tc>
      </w:tr>
      <w:tr w:rsidR="00CD4846" w:rsidRPr="00CD4846" w14:paraId="2FFFDC27" w14:textId="77777777" w:rsidTr="003959BE">
        <w:tc>
          <w:tcPr>
            <w:tcW w:w="1465" w:type="pct"/>
            <w:tcBorders>
              <w:top w:val="nil"/>
              <w:left w:val="nil"/>
              <w:bottom w:val="nil"/>
              <w:right w:val="nil"/>
            </w:tcBorders>
          </w:tcPr>
          <w:p w14:paraId="7EE8B193" w14:textId="6061D9A0"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Sales Volume (t-1)</w:t>
            </w:r>
          </w:p>
        </w:tc>
        <w:tc>
          <w:tcPr>
            <w:tcW w:w="691" w:type="pct"/>
            <w:tcBorders>
              <w:top w:val="nil"/>
              <w:left w:val="nil"/>
              <w:bottom w:val="nil"/>
              <w:right w:val="nil"/>
            </w:tcBorders>
          </w:tcPr>
          <w:p w14:paraId="3FF16131"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-17.723</w:t>
            </w:r>
          </w:p>
        </w:tc>
        <w:tc>
          <w:tcPr>
            <w:tcW w:w="691" w:type="pct"/>
            <w:tcBorders>
              <w:top w:val="nil"/>
              <w:left w:val="nil"/>
              <w:bottom w:val="nil"/>
              <w:right w:val="nil"/>
            </w:tcBorders>
          </w:tcPr>
          <w:p w14:paraId="2A2A7A55"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-3.152</w:t>
            </w:r>
          </w:p>
        </w:tc>
        <w:tc>
          <w:tcPr>
            <w:tcW w:w="691" w:type="pct"/>
            <w:tcBorders>
              <w:top w:val="nil"/>
              <w:left w:val="nil"/>
              <w:bottom w:val="nil"/>
              <w:right w:val="nil"/>
            </w:tcBorders>
          </w:tcPr>
          <w:p w14:paraId="3AA3C713"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1.159</w:t>
            </w:r>
          </w:p>
        </w:tc>
        <w:tc>
          <w:tcPr>
            <w:tcW w:w="624" w:type="pct"/>
            <w:tcBorders>
              <w:top w:val="nil"/>
              <w:left w:val="nil"/>
              <w:bottom w:val="nil"/>
              <w:right w:val="nil"/>
            </w:tcBorders>
          </w:tcPr>
          <w:p w14:paraId="38190695"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-3.414</w:t>
            </w:r>
          </w:p>
        </w:tc>
        <w:tc>
          <w:tcPr>
            <w:tcW w:w="837" w:type="pct"/>
            <w:tcBorders>
              <w:top w:val="nil"/>
              <w:left w:val="nil"/>
              <w:bottom w:val="nil"/>
              <w:right w:val="nil"/>
            </w:tcBorders>
          </w:tcPr>
          <w:p w14:paraId="331E6470"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-1.531</w:t>
            </w:r>
          </w:p>
        </w:tc>
      </w:tr>
      <w:tr w:rsidR="00CD4846" w:rsidRPr="00CD4846" w14:paraId="73FB0A49" w14:textId="77777777" w:rsidTr="003959BE">
        <w:tc>
          <w:tcPr>
            <w:tcW w:w="1465" w:type="pct"/>
            <w:tcBorders>
              <w:top w:val="nil"/>
              <w:left w:val="nil"/>
              <w:bottom w:val="nil"/>
              <w:right w:val="nil"/>
            </w:tcBorders>
          </w:tcPr>
          <w:p w14:paraId="05AD983E" w14:textId="24E6B627"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91" w:type="pct"/>
            <w:tcBorders>
              <w:top w:val="nil"/>
              <w:left w:val="nil"/>
              <w:bottom w:val="nil"/>
              <w:right w:val="nil"/>
            </w:tcBorders>
          </w:tcPr>
          <w:p w14:paraId="6FB62E5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(20.139)</w:t>
            </w:r>
          </w:p>
        </w:tc>
        <w:tc>
          <w:tcPr>
            <w:tcW w:w="691" w:type="pct"/>
            <w:tcBorders>
              <w:top w:val="nil"/>
              <w:left w:val="nil"/>
              <w:bottom w:val="nil"/>
              <w:right w:val="nil"/>
            </w:tcBorders>
          </w:tcPr>
          <w:p w14:paraId="3B1D3CDD"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(6.373)</w:t>
            </w:r>
          </w:p>
        </w:tc>
        <w:tc>
          <w:tcPr>
            <w:tcW w:w="691" w:type="pct"/>
            <w:tcBorders>
              <w:top w:val="nil"/>
              <w:left w:val="nil"/>
              <w:bottom w:val="nil"/>
              <w:right w:val="nil"/>
            </w:tcBorders>
          </w:tcPr>
          <w:p w14:paraId="6BB4C206"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(4.876)</w:t>
            </w:r>
          </w:p>
        </w:tc>
        <w:tc>
          <w:tcPr>
            <w:tcW w:w="624" w:type="pct"/>
            <w:tcBorders>
              <w:top w:val="nil"/>
              <w:left w:val="nil"/>
              <w:bottom w:val="nil"/>
              <w:right w:val="nil"/>
            </w:tcBorders>
          </w:tcPr>
          <w:p w14:paraId="108454EC"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(18.849)</w:t>
            </w:r>
          </w:p>
        </w:tc>
        <w:tc>
          <w:tcPr>
            <w:tcW w:w="837" w:type="pct"/>
            <w:tcBorders>
              <w:top w:val="nil"/>
              <w:left w:val="nil"/>
              <w:bottom w:val="nil"/>
              <w:right w:val="nil"/>
            </w:tcBorders>
          </w:tcPr>
          <w:p w14:paraId="3FBA9536"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(1.245)</w:t>
            </w:r>
          </w:p>
        </w:tc>
      </w:tr>
      <w:tr w:rsidR="00CD4846" w:rsidRPr="00CD4846" w14:paraId="1B133D30" w14:textId="77777777" w:rsidTr="003959BE">
        <w:tc>
          <w:tcPr>
            <w:tcW w:w="1465" w:type="pct"/>
            <w:tcBorders>
              <w:top w:val="nil"/>
              <w:left w:val="nil"/>
              <w:bottom w:val="nil"/>
              <w:right w:val="nil"/>
            </w:tcBorders>
          </w:tcPr>
          <w:p w14:paraId="00C69247" w14:textId="41E6C6A4"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Prior Births (1ks)</w:t>
            </w:r>
          </w:p>
        </w:tc>
        <w:tc>
          <w:tcPr>
            <w:tcW w:w="691" w:type="pct"/>
            <w:tcBorders>
              <w:top w:val="nil"/>
              <w:left w:val="nil"/>
              <w:bottom w:val="nil"/>
              <w:right w:val="nil"/>
            </w:tcBorders>
          </w:tcPr>
          <w:p w14:paraId="5CE655BA"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-4.408</w:t>
            </w:r>
          </w:p>
        </w:tc>
        <w:tc>
          <w:tcPr>
            <w:tcW w:w="691" w:type="pct"/>
            <w:tcBorders>
              <w:top w:val="nil"/>
              <w:left w:val="nil"/>
              <w:bottom w:val="nil"/>
              <w:right w:val="nil"/>
            </w:tcBorders>
          </w:tcPr>
          <w:p w14:paraId="0B73B9A9"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1.090</w:t>
            </w:r>
          </w:p>
        </w:tc>
        <w:tc>
          <w:tcPr>
            <w:tcW w:w="691" w:type="pct"/>
            <w:tcBorders>
              <w:top w:val="nil"/>
              <w:left w:val="nil"/>
              <w:bottom w:val="nil"/>
              <w:right w:val="nil"/>
            </w:tcBorders>
          </w:tcPr>
          <w:p w14:paraId="71A63559"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-47.133**</w:t>
            </w:r>
          </w:p>
        </w:tc>
        <w:tc>
          <w:tcPr>
            <w:tcW w:w="624" w:type="pct"/>
            <w:tcBorders>
              <w:top w:val="nil"/>
              <w:left w:val="nil"/>
              <w:bottom w:val="nil"/>
              <w:right w:val="nil"/>
            </w:tcBorders>
          </w:tcPr>
          <w:p w14:paraId="105996F0"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-0.049*</w:t>
            </w:r>
          </w:p>
        </w:tc>
        <w:tc>
          <w:tcPr>
            <w:tcW w:w="837" w:type="pct"/>
            <w:tcBorders>
              <w:top w:val="nil"/>
              <w:left w:val="nil"/>
              <w:bottom w:val="nil"/>
              <w:right w:val="nil"/>
            </w:tcBorders>
          </w:tcPr>
          <w:p w14:paraId="5800358D"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-0.031</w:t>
            </w:r>
          </w:p>
        </w:tc>
      </w:tr>
      <w:tr w:rsidR="00CD4846" w:rsidRPr="00CD4846" w14:paraId="7FF82C90" w14:textId="77777777" w:rsidTr="003959BE">
        <w:tc>
          <w:tcPr>
            <w:tcW w:w="1465" w:type="pct"/>
            <w:tcBorders>
              <w:top w:val="nil"/>
              <w:left w:val="nil"/>
              <w:bottom w:val="nil"/>
              <w:right w:val="nil"/>
            </w:tcBorders>
          </w:tcPr>
          <w:p w14:paraId="4C1F218B" w14:textId="4D5F5E90"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91" w:type="pct"/>
            <w:tcBorders>
              <w:top w:val="nil"/>
              <w:left w:val="nil"/>
              <w:bottom w:val="nil"/>
              <w:right w:val="nil"/>
            </w:tcBorders>
          </w:tcPr>
          <w:p w14:paraId="6156B9C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(4.311)</w:t>
            </w:r>
          </w:p>
        </w:tc>
        <w:tc>
          <w:tcPr>
            <w:tcW w:w="691" w:type="pct"/>
            <w:tcBorders>
              <w:top w:val="nil"/>
              <w:left w:val="nil"/>
              <w:bottom w:val="nil"/>
              <w:right w:val="nil"/>
            </w:tcBorders>
          </w:tcPr>
          <w:p w14:paraId="57229AF4"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(1.097)</w:t>
            </w:r>
          </w:p>
        </w:tc>
        <w:tc>
          <w:tcPr>
            <w:tcW w:w="691" w:type="pct"/>
            <w:tcBorders>
              <w:top w:val="nil"/>
              <w:left w:val="nil"/>
              <w:bottom w:val="nil"/>
              <w:right w:val="nil"/>
            </w:tcBorders>
          </w:tcPr>
          <w:p w14:paraId="659F664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(21.206)</w:t>
            </w:r>
          </w:p>
        </w:tc>
        <w:tc>
          <w:tcPr>
            <w:tcW w:w="624" w:type="pct"/>
            <w:tcBorders>
              <w:top w:val="nil"/>
              <w:left w:val="nil"/>
              <w:bottom w:val="nil"/>
              <w:right w:val="nil"/>
            </w:tcBorders>
          </w:tcPr>
          <w:p w14:paraId="2F243B6A"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(0.027)</w:t>
            </w:r>
          </w:p>
        </w:tc>
        <w:tc>
          <w:tcPr>
            <w:tcW w:w="837" w:type="pct"/>
            <w:tcBorders>
              <w:top w:val="nil"/>
              <w:left w:val="nil"/>
              <w:bottom w:val="nil"/>
              <w:right w:val="nil"/>
            </w:tcBorders>
          </w:tcPr>
          <w:p w14:paraId="1C082821"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(0.147)</w:t>
            </w:r>
          </w:p>
        </w:tc>
      </w:tr>
      <w:tr w:rsidR="00CD4846" w:rsidRPr="00CD4846" w14:paraId="4C84E346" w14:textId="77777777" w:rsidTr="003959BE">
        <w:tc>
          <w:tcPr>
            <w:tcW w:w="1465" w:type="pct"/>
            <w:tcBorders>
              <w:top w:val="nil"/>
              <w:left w:val="nil"/>
              <w:bottom w:val="nil"/>
              <w:right w:val="nil"/>
            </w:tcBorders>
          </w:tcPr>
          <w:p w14:paraId="6ED28174" w14:textId="5EBBA41C"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Prior Deaths (1ks)</w:t>
            </w:r>
          </w:p>
        </w:tc>
        <w:tc>
          <w:tcPr>
            <w:tcW w:w="691" w:type="pct"/>
            <w:tcBorders>
              <w:top w:val="nil"/>
              <w:left w:val="nil"/>
              <w:bottom w:val="nil"/>
              <w:right w:val="nil"/>
            </w:tcBorders>
          </w:tcPr>
          <w:p w14:paraId="1CBD23C6"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5.376</w:t>
            </w:r>
          </w:p>
        </w:tc>
        <w:tc>
          <w:tcPr>
            <w:tcW w:w="691" w:type="pct"/>
            <w:tcBorders>
              <w:top w:val="nil"/>
              <w:left w:val="nil"/>
              <w:bottom w:val="nil"/>
              <w:right w:val="nil"/>
            </w:tcBorders>
          </w:tcPr>
          <w:p w14:paraId="1F12144F"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0.823</w:t>
            </w:r>
          </w:p>
        </w:tc>
        <w:tc>
          <w:tcPr>
            <w:tcW w:w="691" w:type="pct"/>
            <w:tcBorders>
              <w:top w:val="nil"/>
              <w:left w:val="nil"/>
              <w:bottom w:val="nil"/>
              <w:right w:val="nil"/>
            </w:tcBorders>
          </w:tcPr>
          <w:p w14:paraId="13A1E914"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13.525</w:t>
            </w:r>
          </w:p>
        </w:tc>
        <w:tc>
          <w:tcPr>
            <w:tcW w:w="624" w:type="pct"/>
            <w:tcBorders>
              <w:top w:val="nil"/>
              <w:left w:val="nil"/>
              <w:bottom w:val="nil"/>
              <w:right w:val="nil"/>
            </w:tcBorders>
          </w:tcPr>
          <w:p w14:paraId="45775797"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-0.242***</w:t>
            </w:r>
          </w:p>
        </w:tc>
        <w:tc>
          <w:tcPr>
            <w:tcW w:w="837" w:type="pct"/>
            <w:tcBorders>
              <w:top w:val="nil"/>
              <w:left w:val="nil"/>
              <w:bottom w:val="nil"/>
              <w:right w:val="nil"/>
            </w:tcBorders>
          </w:tcPr>
          <w:p w14:paraId="0E6825F5"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0.104</w:t>
            </w:r>
          </w:p>
        </w:tc>
      </w:tr>
      <w:tr w:rsidR="00CD4846" w:rsidRPr="00CD4846" w14:paraId="0F75233E" w14:textId="77777777" w:rsidTr="003959BE">
        <w:tc>
          <w:tcPr>
            <w:tcW w:w="1465" w:type="pct"/>
            <w:tcBorders>
              <w:top w:val="nil"/>
              <w:left w:val="nil"/>
              <w:bottom w:val="nil"/>
              <w:right w:val="nil"/>
            </w:tcBorders>
          </w:tcPr>
          <w:p w14:paraId="210FC1E8" w14:textId="5F93B24B"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91" w:type="pct"/>
            <w:tcBorders>
              <w:top w:val="nil"/>
              <w:left w:val="nil"/>
              <w:bottom w:val="nil"/>
              <w:right w:val="nil"/>
            </w:tcBorders>
          </w:tcPr>
          <w:p w14:paraId="748EB413"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(5.565)</w:t>
            </w:r>
          </w:p>
        </w:tc>
        <w:tc>
          <w:tcPr>
            <w:tcW w:w="691" w:type="pct"/>
            <w:tcBorders>
              <w:top w:val="nil"/>
              <w:left w:val="nil"/>
              <w:bottom w:val="nil"/>
              <w:right w:val="nil"/>
            </w:tcBorders>
          </w:tcPr>
          <w:p w14:paraId="219F3218"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(1.700)</w:t>
            </w:r>
          </w:p>
        </w:tc>
        <w:tc>
          <w:tcPr>
            <w:tcW w:w="691" w:type="pct"/>
            <w:tcBorders>
              <w:top w:val="nil"/>
              <w:left w:val="nil"/>
              <w:bottom w:val="nil"/>
              <w:right w:val="nil"/>
            </w:tcBorders>
          </w:tcPr>
          <w:p w14:paraId="7351797D"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(14.573)</w:t>
            </w:r>
          </w:p>
        </w:tc>
        <w:tc>
          <w:tcPr>
            <w:tcW w:w="624" w:type="pct"/>
            <w:tcBorders>
              <w:top w:val="nil"/>
              <w:left w:val="nil"/>
              <w:bottom w:val="nil"/>
              <w:right w:val="nil"/>
            </w:tcBorders>
          </w:tcPr>
          <w:p w14:paraId="17AEA826"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(0.048)</w:t>
            </w:r>
          </w:p>
        </w:tc>
        <w:tc>
          <w:tcPr>
            <w:tcW w:w="837" w:type="pct"/>
            <w:tcBorders>
              <w:top w:val="nil"/>
              <w:left w:val="nil"/>
              <w:bottom w:val="nil"/>
              <w:right w:val="nil"/>
            </w:tcBorders>
          </w:tcPr>
          <w:p w14:paraId="22757779"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(0.094)</w:t>
            </w:r>
          </w:p>
        </w:tc>
      </w:tr>
      <w:tr w:rsidR="00CD4846" w:rsidRPr="00CD4846" w14:paraId="58C7A37D" w14:textId="77777777" w:rsidTr="003959BE">
        <w:tc>
          <w:tcPr>
            <w:tcW w:w="1465" w:type="pct"/>
            <w:tcBorders>
              <w:top w:val="nil"/>
              <w:left w:val="nil"/>
              <w:bottom w:val="nil"/>
              <w:right w:val="nil"/>
            </w:tcBorders>
          </w:tcPr>
          <w:p w14:paraId="1BD5C38A" w14:textId="402BC535"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I</w:t>
            </w:r>
            <w:r w:rsidRPr="00CD4846">
              <w:rPr>
                <w:rFonts w:cs="Times New Roman"/>
                <w:kern w:val="2"/>
                <w:sz w:val="20"/>
                <w:szCs w:val="20"/>
                <w:lang/>
              </w:rPr>
              <w:t xml:space="preserve">nward </w:t>
            </w:r>
            <w:r w:rsidRPr="00CD4846">
              <w:rPr>
                <w:rFonts w:cs="Times New Roman"/>
                <w:kern w:val="2"/>
                <w:sz w:val="20"/>
                <w:szCs w:val="20"/>
                <w:lang/>
              </w:rPr>
              <w:t>R</w:t>
            </w:r>
            <w:r w:rsidRPr="00CD4846">
              <w:rPr>
                <w:rFonts w:cs="Times New Roman"/>
                <w:kern w:val="2"/>
                <w:sz w:val="20"/>
                <w:szCs w:val="20"/>
                <w:lang/>
              </w:rPr>
              <w:t>elocations (1ks)</w:t>
            </w:r>
          </w:p>
        </w:tc>
        <w:tc>
          <w:tcPr>
            <w:tcW w:w="691" w:type="pct"/>
            <w:tcBorders>
              <w:top w:val="nil"/>
              <w:left w:val="nil"/>
              <w:bottom w:val="nil"/>
              <w:right w:val="nil"/>
            </w:tcBorders>
          </w:tcPr>
          <w:p w14:paraId="72BB3994"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64.782</w:t>
            </w:r>
          </w:p>
        </w:tc>
        <w:tc>
          <w:tcPr>
            <w:tcW w:w="691" w:type="pct"/>
            <w:tcBorders>
              <w:top w:val="nil"/>
              <w:left w:val="nil"/>
              <w:bottom w:val="nil"/>
              <w:right w:val="nil"/>
            </w:tcBorders>
          </w:tcPr>
          <w:p w14:paraId="139CE8AA"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64.695*</w:t>
            </w:r>
          </w:p>
        </w:tc>
        <w:tc>
          <w:tcPr>
            <w:tcW w:w="691" w:type="pct"/>
            <w:tcBorders>
              <w:top w:val="nil"/>
              <w:left w:val="nil"/>
              <w:bottom w:val="nil"/>
              <w:right w:val="nil"/>
            </w:tcBorders>
          </w:tcPr>
          <w:p w14:paraId="05968C04"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299.630**</w:t>
            </w:r>
          </w:p>
        </w:tc>
        <w:tc>
          <w:tcPr>
            <w:tcW w:w="624" w:type="pct"/>
            <w:tcBorders>
              <w:top w:val="nil"/>
              <w:left w:val="nil"/>
              <w:bottom w:val="nil"/>
              <w:right w:val="nil"/>
            </w:tcBorders>
          </w:tcPr>
          <w:p w14:paraId="7B862926"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6.749***</w:t>
            </w:r>
          </w:p>
        </w:tc>
        <w:tc>
          <w:tcPr>
            <w:tcW w:w="837" w:type="pct"/>
            <w:tcBorders>
              <w:top w:val="nil"/>
              <w:left w:val="nil"/>
              <w:bottom w:val="nil"/>
              <w:right w:val="nil"/>
            </w:tcBorders>
          </w:tcPr>
          <w:p w14:paraId="64E5A3BE"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18.447***</w:t>
            </w:r>
          </w:p>
        </w:tc>
      </w:tr>
      <w:tr w:rsidR="00CD4846" w:rsidRPr="00CD4846" w14:paraId="56EB8A9B" w14:textId="77777777" w:rsidTr="003959BE">
        <w:tc>
          <w:tcPr>
            <w:tcW w:w="1465" w:type="pct"/>
            <w:tcBorders>
              <w:top w:val="nil"/>
              <w:left w:val="nil"/>
              <w:bottom w:val="nil"/>
              <w:right w:val="nil"/>
            </w:tcBorders>
          </w:tcPr>
          <w:p w14:paraId="7DD7C8B9" w14:textId="6A39538D"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91" w:type="pct"/>
            <w:tcBorders>
              <w:top w:val="nil"/>
              <w:left w:val="nil"/>
              <w:bottom w:val="nil"/>
              <w:right w:val="nil"/>
            </w:tcBorders>
          </w:tcPr>
          <w:p w14:paraId="5A3C6B00"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(51.991)</w:t>
            </w:r>
          </w:p>
        </w:tc>
        <w:tc>
          <w:tcPr>
            <w:tcW w:w="691" w:type="pct"/>
            <w:tcBorders>
              <w:top w:val="nil"/>
              <w:left w:val="nil"/>
              <w:bottom w:val="nil"/>
              <w:right w:val="nil"/>
            </w:tcBorders>
          </w:tcPr>
          <w:p w14:paraId="5AE1BA56"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(35.918)</w:t>
            </w:r>
          </w:p>
        </w:tc>
        <w:tc>
          <w:tcPr>
            <w:tcW w:w="691" w:type="pct"/>
            <w:tcBorders>
              <w:top w:val="nil"/>
              <w:left w:val="nil"/>
              <w:bottom w:val="nil"/>
              <w:right w:val="nil"/>
            </w:tcBorders>
          </w:tcPr>
          <w:p w14:paraId="20B65F31"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(128.040)</w:t>
            </w:r>
          </w:p>
        </w:tc>
        <w:tc>
          <w:tcPr>
            <w:tcW w:w="624" w:type="pct"/>
            <w:tcBorders>
              <w:top w:val="nil"/>
              <w:left w:val="nil"/>
              <w:bottom w:val="nil"/>
              <w:right w:val="nil"/>
            </w:tcBorders>
          </w:tcPr>
          <w:p w14:paraId="0F6EAE80"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(1.722)</w:t>
            </w:r>
          </w:p>
        </w:tc>
        <w:tc>
          <w:tcPr>
            <w:tcW w:w="837" w:type="pct"/>
            <w:tcBorders>
              <w:top w:val="nil"/>
              <w:left w:val="nil"/>
              <w:bottom w:val="nil"/>
              <w:right w:val="nil"/>
            </w:tcBorders>
          </w:tcPr>
          <w:p w14:paraId="242913D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(4.752)</w:t>
            </w:r>
          </w:p>
        </w:tc>
      </w:tr>
      <w:tr w:rsidR="00CD4846" w:rsidRPr="00CD4846" w14:paraId="381269C5" w14:textId="77777777" w:rsidTr="003959BE">
        <w:tc>
          <w:tcPr>
            <w:tcW w:w="1465" w:type="pct"/>
            <w:tcBorders>
              <w:top w:val="nil"/>
              <w:left w:val="nil"/>
              <w:bottom w:val="nil"/>
              <w:right w:val="nil"/>
            </w:tcBorders>
          </w:tcPr>
          <w:p w14:paraId="2531322E"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Constant</w:t>
            </w:r>
          </w:p>
        </w:tc>
        <w:tc>
          <w:tcPr>
            <w:tcW w:w="691" w:type="pct"/>
            <w:tcBorders>
              <w:top w:val="nil"/>
              <w:left w:val="nil"/>
              <w:bottom w:val="nil"/>
              <w:right w:val="nil"/>
            </w:tcBorders>
          </w:tcPr>
          <w:p w14:paraId="6B5EC854"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-5.512</w:t>
            </w:r>
          </w:p>
        </w:tc>
        <w:tc>
          <w:tcPr>
            <w:tcW w:w="691" w:type="pct"/>
            <w:tcBorders>
              <w:top w:val="nil"/>
              <w:left w:val="nil"/>
              <w:bottom w:val="nil"/>
              <w:right w:val="nil"/>
            </w:tcBorders>
          </w:tcPr>
          <w:p w14:paraId="2E383282"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2.881</w:t>
            </w:r>
          </w:p>
        </w:tc>
        <w:tc>
          <w:tcPr>
            <w:tcW w:w="691" w:type="pct"/>
            <w:tcBorders>
              <w:top w:val="nil"/>
              <w:left w:val="nil"/>
              <w:bottom w:val="nil"/>
              <w:right w:val="nil"/>
            </w:tcBorders>
          </w:tcPr>
          <w:p w14:paraId="3CF65F99"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-0.162</w:t>
            </w:r>
          </w:p>
        </w:tc>
        <w:tc>
          <w:tcPr>
            <w:tcW w:w="624" w:type="pct"/>
            <w:tcBorders>
              <w:top w:val="nil"/>
              <w:left w:val="nil"/>
              <w:bottom w:val="nil"/>
              <w:right w:val="nil"/>
            </w:tcBorders>
          </w:tcPr>
          <w:p w14:paraId="52BE372A"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1.591***</w:t>
            </w:r>
          </w:p>
        </w:tc>
        <w:tc>
          <w:tcPr>
            <w:tcW w:w="837" w:type="pct"/>
            <w:tcBorders>
              <w:top w:val="nil"/>
              <w:left w:val="nil"/>
              <w:bottom w:val="nil"/>
              <w:right w:val="nil"/>
            </w:tcBorders>
          </w:tcPr>
          <w:p w14:paraId="66572424"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-0.412</w:t>
            </w:r>
          </w:p>
        </w:tc>
      </w:tr>
      <w:tr w:rsidR="00CD4846" w:rsidRPr="00CD4846" w14:paraId="2134853B" w14:textId="77777777" w:rsidTr="003959BE">
        <w:tc>
          <w:tcPr>
            <w:tcW w:w="1465" w:type="pct"/>
            <w:tcBorders>
              <w:top w:val="nil"/>
              <w:left w:val="nil"/>
              <w:bottom w:val="nil"/>
              <w:right w:val="nil"/>
            </w:tcBorders>
          </w:tcPr>
          <w:p w14:paraId="35708B99" w14:textId="34472523"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91" w:type="pct"/>
            <w:tcBorders>
              <w:top w:val="nil"/>
              <w:left w:val="nil"/>
              <w:bottom w:val="nil"/>
              <w:right w:val="nil"/>
            </w:tcBorders>
          </w:tcPr>
          <w:p w14:paraId="39A84F0A"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(3.412)</w:t>
            </w:r>
          </w:p>
        </w:tc>
        <w:tc>
          <w:tcPr>
            <w:tcW w:w="691" w:type="pct"/>
            <w:tcBorders>
              <w:top w:val="nil"/>
              <w:left w:val="nil"/>
              <w:bottom w:val="nil"/>
              <w:right w:val="nil"/>
            </w:tcBorders>
          </w:tcPr>
          <w:p w14:paraId="08ED000A"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(4.527)</w:t>
            </w:r>
          </w:p>
        </w:tc>
        <w:tc>
          <w:tcPr>
            <w:tcW w:w="691" w:type="pct"/>
            <w:tcBorders>
              <w:top w:val="nil"/>
              <w:left w:val="nil"/>
              <w:bottom w:val="nil"/>
              <w:right w:val="nil"/>
            </w:tcBorders>
          </w:tcPr>
          <w:p w14:paraId="0727251A"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(4.309)</w:t>
            </w:r>
          </w:p>
        </w:tc>
        <w:tc>
          <w:tcPr>
            <w:tcW w:w="624" w:type="pct"/>
            <w:tcBorders>
              <w:top w:val="nil"/>
              <w:left w:val="nil"/>
              <w:bottom w:val="nil"/>
              <w:right w:val="nil"/>
            </w:tcBorders>
          </w:tcPr>
          <w:p w14:paraId="03C70308"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(0.401)</w:t>
            </w:r>
          </w:p>
        </w:tc>
        <w:tc>
          <w:tcPr>
            <w:tcW w:w="837" w:type="pct"/>
            <w:tcBorders>
              <w:top w:val="nil"/>
              <w:left w:val="nil"/>
              <w:bottom w:val="nil"/>
              <w:right w:val="nil"/>
            </w:tcBorders>
          </w:tcPr>
          <w:p w14:paraId="04CC004F"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(0.865)</w:t>
            </w:r>
          </w:p>
        </w:tc>
      </w:tr>
      <w:tr w:rsidR="00CD4846" w:rsidRPr="00CD4846" w14:paraId="41F9A88B" w14:textId="77777777" w:rsidTr="003959BE">
        <w:tc>
          <w:tcPr>
            <w:tcW w:w="1465" w:type="pct"/>
            <w:tcBorders>
              <w:top w:val="nil"/>
              <w:left w:val="nil"/>
              <w:bottom w:val="nil"/>
              <w:right w:val="nil"/>
            </w:tcBorders>
          </w:tcPr>
          <w:p w14:paraId="76E7FA8D" w14:textId="28686C2F"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Observations</w:t>
            </w:r>
          </w:p>
        </w:tc>
        <w:tc>
          <w:tcPr>
            <w:tcW w:w="691" w:type="pct"/>
            <w:tcBorders>
              <w:top w:val="nil"/>
              <w:left w:val="nil"/>
              <w:bottom w:val="nil"/>
              <w:right w:val="nil"/>
            </w:tcBorders>
          </w:tcPr>
          <w:p w14:paraId="3C83F66C"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4688</w:t>
            </w:r>
          </w:p>
        </w:tc>
        <w:tc>
          <w:tcPr>
            <w:tcW w:w="691" w:type="pct"/>
            <w:tcBorders>
              <w:top w:val="nil"/>
              <w:left w:val="nil"/>
              <w:bottom w:val="nil"/>
              <w:right w:val="nil"/>
            </w:tcBorders>
          </w:tcPr>
          <w:p w14:paraId="2D91692C"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2234</w:t>
            </w:r>
          </w:p>
        </w:tc>
        <w:tc>
          <w:tcPr>
            <w:tcW w:w="691" w:type="pct"/>
            <w:tcBorders>
              <w:top w:val="nil"/>
              <w:left w:val="nil"/>
              <w:bottom w:val="nil"/>
              <w:right w:val="nil"/>
            </w:tcBorders>
          </w:tcPr>
          <w:p w14:paraId="3E7C91F4"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2080</w:t>
            </w:r>
          </w:p>
        </w:tc>
        <w:tc>
          <w:tcPr>
            <w:tcW w:w="624" w:type="pct"/>
            <w:tcBorders>
              <w:top w:val="nil"/>
              <w:left w:val="nil"/>
              <w:bottom w:val="nil"/>
              <w:right w:val="nil"/>
            </w:tcBorders>
          </w:tcPr>
          <w:p w14:paraId="4BF816B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22256</w:t>
            </w:r>
          </w:p>
        </w:tc>
        <w:tc>
          <w:tcPr>
            <w:tcW w:w="837" w:type="pct"/>
            <w:tcBorders>
              <w:top w:val="nil"/>
              <w:left w:val="nil"/>
              <w:bottom w:val="nil"/>
              <w:right w:val="nil"/>
            </w:tcBorders>
          </w:tcPr>
          <w:p w14:paraId="078CDCA7"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16581</w:t>
            </w:r>
          </w:p>
        </w:tc>
      </w:tr>
      <w:tr w:rsidR="00CD4846" w:rsidRPr="00CD4846" w14:paraId="2F25D6FB" w14:textId="77777777" w:rsidTr="003959BE">
        <w:tc>
          <w:tcPr>
            <w:tcW w:w="1465" w:type="pct"/>
            <w:tcBorders>
              <w:top w:val="nil"/>
              <w:left w:val="nil"/>
              <w:bottom w:val="nil"/>
              <w:right w:val="nil"/>
            </w:tcBorders>
          </w:tcPr>
          <w:p w14:paraId="21C3A6FA" w14:textId="490B10F4"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Pseudo R</w:t>
            </w:r>
            <w:r w:rsidRPr="00CD4846">
              <w:rPr>
                <w:rFonts w:cs="Times New Roman"/>
                <w:kern w:val="2"/>
                <w:sz w:val="20"/>
                <w:szCs w:val="20"/>
                <w:vertAlign w:val="superscript"/>
                <w:lang/>
              </w:rPr>
              <w:t>2</w:t>
            </w:r>
          </w:p>
        </w:tc>
        <w:tc>
          <w:tcPr>
            <w:tcW w:w="691" w:type="pct"/>
            <w:tcBorders>
              <w:top w:val="nil"/>
              <w:left w:val="nil"/>
              <w:bottom w:val="nil"/>
              <w:right w:val="nil"/>
            </w:tcBorders>
          </w:tcPr>
          <w:p w14:paraId="69E98D6C"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0.170</w:t>
            </w:r>
          </w:p>
        </w:tc>
        <w:tc>
          <w:tcPr>
            <w:tcW w:w="691" w:type="pct"/>
            <w:tcBorders>
              <w:top w:val="nil"/>
              <w:left w:val="nil"/>
              <w:bottom w:val="nil"/>
              <w:right w:val="nil"/>
            </w:tcBorders>
          </w:tcPr>
          <w:p w14:paraId="3FE368D0"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0.278</w:t>
            </w:r>
          </w:p>
        </w:tc>
        <w:tc>
          <w:tcPr>
            <w:tcW w:w="691" w:type="pct"/>
            <w:tcBorders>
              <w:top w:val="nil"/>
              <w:left w:val="nil"/>
              <w:bottom w:val="nil"/>
              <w:right w:val="nil"/>
            </w:tcBorders>
          </w:tcPr>
          <w:p w14:paraId="1238C1B7"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0.129</w:t>
            </w:r>
          </w:p>
        </w:tc>
        <w:tc>
          <w:tcPr>
            <w:tcW w:w="624" w:type="pct"/>
            <w:tcBorders>
              <w:top w:val="nil"/>
              <w:left w:val="nil"/>
              <w:bottom w:val="nil"/>
              <w:right w:val="nil"/>
            </w:tcBorders>
          </w:tcPr>
          <w:p w14:paraId="266C4E44"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0.604</w:t>
            </w:r>
          </w:p>
        </w:tc>
        <w:tc>
          <w:tcPr>
            <w:tcW w:w="837" w:type="pct"/>
            <w:tcBorders>
              <w:top w:val="nil"/>
              <w:left w:val="nil"/>
              <w:bottom w:val="nil"/>
              <w:right w:val="nil"/>
            </w:tcBorders>
          </w:tcPr>
          <w:p w14:paraId="240356CE"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0.542</w:t>
            </w:r>
          </w:p>
        </w:tc>
      </w:tr>
      <w:tr w:rsidR="00CD4846" w:rsidRPr="00CD4846" w14:paraId="73C6121F" w14:textId="77777777" w:rsidTr="003959BE">
        <w:tc>
          <w:tcPr>
            <w:tcW w:w="1465" w:type="pct"/>
            <w:tcBorders>
              <w:top w:val="nil"/>
              <w:left w:val="nil"/>
              <w:bottom w:val="nil"/>
              <w:right w:val="nil"/>
            </w:tcBorders>
          </w:tcPr>
          <w:p w14:paraId="59B53339" w14:textId="48963E3A"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Chi</w:t>
            </w:r>
            <w:r w:rsidRPr="00CD4846">
              <w:rPr>
                <w:rFonts w:cs="Times New Roman"/>
                <w:kern w:val="2"/>
                <w:sz w:val="20"/>
                <w:szCs w:val="20"/>
                <w:vertAlign w:val="superscript"/>
                <w:lang/>
              </w:rPr>
              <w:t>2</w:t>
            </w:r>
          </w:p>
        </w:tc>
        <w:tc>
          <w:tcPr>
            <w:tcW w:w="691" w:type="pct"/>
            <w:tcBorders>
              <w:top w:val="nil"/>
              <w:left w:val="nil"/>
              <w:bottom w:val="nil"/>
              <w:right w:val="nil"/>
            </w:tcBorders>
          </w:tcPr>
          <w:p w14:paraId="177AFBF5"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33</w:t>
            </w:r>
          </w:p>
        </w:tc>
        <w:tc>
          <w:tcPr>
            <w:tcW w:w="691" w:type="pct"/>
            <w:tcBorders>
              <w:top w:val="nil"/>
              <w:left w:val="nil"/>
              <w:bottom w:val="nil"/>
              <w:right w:val="nil"/>
            </w:tcBorders>
          </w:tcPr>
          <w:p w14:paraId="6420AF35"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42</w:t>
            </w:r>
          </w:p>
        </w:tc>
        <w:tc>
          <w:tcPr>
            <w:tcW w:w="691" w:type="pct"/>
            <w:tcBorders>
              <w:top w:val="nil"/>
              <w:left w:val="nil"/>
              <w:bottom w:val="nil"/>
              <w:right w:val="nil"/>
            </w:tcBorders>
          </w:tcPr>
          <w:p w14:paraId="54EE6FDA"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21</w:t>
            </w:r>
          </w:p>
        </w:tc>
        <w:tc>
          <w:tcPr>
            <w:tcW w:w="624" w:type="pct"/>
            <w:tcBorders>
              <w:top w:val="nil"/>
              <w:left w:val="nil"/>
              <w:bottom w:val="nil"/>
              <w:right w:val="nil"/>
            </w:tcBorders>
          </w:tcPr>
          <w:p w14:paraId="5A45D1BD"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87</w:t>
            </w:r>
          </w:p>
        </w:tc>
        <w:tc>
          <w:tcPr>
            <w:tcW w:w="837" w:type="pct"/>
            <w:tcBorders>
              <w:top w:val="nil"/>
              <w:left w:val="nil"/>
              <w:bottom w:val="nil"/>
              <w:right w:val="nil"/>
            </w:tcBorders>
          </w:tcPr>
          <w:p w14:paraId="438C2DCE"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48</w:t>
            </w:r>
          </w:p>
        </w:tc>
      </w:tr>
      <w:tr w:rsidR="00CD4846" w:rsidRPr="00CD4846" w14:paraId="46821123" w14:textId="77777777" w:rsidTr="003959BE">
        <w:tc>
          <w:tcPr>
            <w:tcW w:w="1465" w:type="pct"/>
            <w:tcBorders>
              <w:top w:val="nil"/>
              <w:left w:val="nil"/>
              <w:bottom w:val="nil"/>
              <w:right w:val="nil"/>
            </w:tcBorders>
          </w:tcPr>
          <w:p w14:paraId="10B22ABF" w14:textId="46DE0BE4"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Log Likelihood</w:t>
            </w:r>
          </w:p>
        </w:tc>
        <w:tc>
          <w:tcPr>
            <w:tcW w:w="691" w:type="pct"/>
            <w:tcBorders>
              <w:top w:val="nil"/>
              <w:left w:val="nil"/>
              <w:bottom w:val="nil"/>
              <w:right w:val="nil"/>
            </w:tcBorders>
          </w:tcPr>
          <w:p w14:paraId="1E1EA20D"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-2259</w:t>
            </w:r>
          </w:p>
        </w:tc>
        <w:tc>
          <w:tcPr>
            <w:tcW w:w="691" w:type="pct"/>
            <w:tcBorders>
              <w:top w:val="nil"/>
              <w:left w:val="nil"/>
              <w:bottom w:val="nil"/>
              <w:right w:val="nil"/>
            </w:tcBorders>
          </w:tcPr>
          <w:p w14:paraId="183B9D33"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-1316</w:t>
            </w:r>
          </w:p>
        </w:tc>
        <w:tc>
          <w:tcPr>
            <w:tcW w:w="691" w:type="pct"/>
            <w:tcBorders>
              <w:top w:val="nil"/>
              <w:left w:val="nil"/>
              <w:bottom w:val="nil"/>
              <w:right w:val="nil"/>
            </w:tcBorders>
          </w:tcPr>
          <w:p w14:paraId="420A6426"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-971</w:t>
            </w:r>
          </w:p>
        </w:tc>
        <w:tc>
          <w:tcPr>
            <w:tcW w:w="624" w:type="pct"/>
            <w:tcBorders>
              <w:top w:val="nil"/>
              <w:left w:val="nil"/>
              <w:bottom w:val="nil"/>
              <w:right w:val="nil"/>
            </w:tcBorders>
          </w:tcPr>
          <w:p w14:paraId="23B0EF9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-23564</w:t>
            </w:r>
          </w:p>
        </w:tc>
        <w:tc>
          <w:tcPr>
            <w:tcW w:w="837" w:type="pct"/>
            <w:tcBorders>
              <w:top w:val="nil"/>
              <w:left w:val="nil"/>
              <w:bottom w:val="nil"/>
              <w:right w:val="nil"/>
            </w:tcBorders>
          </w:tcPr>
          <w:p w14:paraId="55E4D311"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-12441</w:t>
            </w:r>
          </w:p>
        </w:tc>
      </w:tr>
      <w:tr w:rsidR="00CD4846" w:rsidRPr="00CD4846" w14:paraId="678D5528" w14:textId="77777777" w:rsidTr="003959BE">
        <w:tc>
          <w:tcPr>
            <w:tcW w:w="1465" w:type="pct"/>
            <w:tcBorders>
              <w:top w:val="nil"/>
              <w:left w:val="nil"/>
              <w:bottom w:val="nil"/>
              <w:right w:val="nil"/>
            </w:tcBorders>
          </w:tcPr>
          <w:p w14:paraId="06D83D04" w14:textId="4F7AF4FB"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Akaike’s Criterion</w:t>
            </w:r>
          </w:p>
        </w:tc>
        <w:tc>
          <w:tcPr>
            <w:tcW w:w="691" w:type="pct"/>
            <w:tcBorders>
              <w:top w:val="nil"/>
              <w:left w:val="nil"/>
              <w:bottom w:val="nil"/>
              <w:right w:val="nil"/>
            </w:tcBorders>
          </w:tcPr>
          <w:p w14:paraId="30A97901"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4559</w:t>
            </w:r>
          </w:p>
        </w:tc>
        <w:tc>
          <w:tcPr>
            <w:tcW w:w="691" w:type="pct"/>
            <w:tcBorders>
              <w:top w:val="nil"/>
              <w:left w:val="nil"/>
              <w:bottom w:val="nil"/>
              <w:right w:val="nil"/>
            </w:tcBorders>
          </w:tcPr>
          <w:p w14:paraId="7093D7D4"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2670</w:t>
            </w:r>
          </w:p>
        </w:tc>
        <w:tc>
          <w:tcPr>
            <w:tcW w:w="691" w:type="pct"/>
            <w:tcBorders>
              <w:top w:val="nil"/>
              <w:left w:val="nil"/>
              <w:bottom w:val="nil"/>
              <w:right w:val="nil"/>
            </w:tcBorders>
          </w:tcPr>
          <w:p w14:paraId="72CBD041"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1980</w:t>
            </w:r>
          </w:p>
        </w:tc>
        <w:tc>
          <w:tcPr>
            <w:tcW w:w="624" w:type="pct"/>
            <w:tcBorders>
              <w:top w:val="nil"/>
              <w:left w:val="nil"/>
              <w:bottom w:val="nil"/>
              <w:right w:val="nil"/>
            </w:tcBorders>
          </w:tcPr>
          <w:p w14:paraId="100151B7"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47169</w:t>
            </w:r>
          </w:p>
        </w:tc>
        <w:tc>
          <w:tcPr>
            <w:tcW w:w="837" w:type="pct"/>
            <w:tcBorders>
              <w:top w:val="nil"/>
              <w:left w:val="nil"/>
              <w:bottom w:val="nil"/>
              <w:right w:val="nil"/>
            </w:tcBorders>
          </w:tcPr>
          <w:p w14:paraId="1DA895F3"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24923</w:t>
            </w:r>
          </w:p>
        </w:tc>
      </w:tr>
      <w:tr w:rsidR="00CD4846" w:rsidRPr="00CD4846" w14:paraId="63B2DA3E" w14:textId="77777777" w:rsidTr="003959BE">
        <w:tc>
          <w:tcPr>
            <w:tcW w:w="1465" w:type="pct"/>
            <w:tcBorders>
              <w:top w:val="nil"/>
              <w:left w:val="nil"/>
              <w:bottom w:val="nil"/>
              <w:right w:val="nil"/>
            </w:tcBorders>
          </w:tcPr>
          <w:p w14:paraId="3408BD1E" w14:textId="3B152224"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Bayesian Criterion</w:t>
            </w:r>
          </w:p>
        </w:tc>
        <w:tc>
          <w:tcPr>
            <w:tcW w:w="691" w:type="pct"/>
            <w:tcBorders>
              <w:top w:val="nil"/>
              <w:left w:val="nil"/>
              <w:bottom w:val="nil"/>
              <w:right w:val="nil"/>
            </w:tcBorders>
          </w:tcPr>
          <w:p w14:paraId="4E4BFCB7"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4688</w:t>
            </w:r>
          </w:p>
        </w:tc>
        <w:tc>
          <w:tcPr>
            <w:tcW w:w="691" w:type="pct"/>
            <w:tcBorders>
              <w:top w:val="nil"/>
              <w:left w:val="nil"/>
              <w:bottom w:val="nil"/>
              <w:right w:val="nil"/>
            </w:tcBorders>
          </w:tcPr>
          <w:p w14:paraId="542AE9FF"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2779</w:t>
            </w:r>
          </w:p>
        </w:tc>
        <w:tc>
          <w:tcPr>
            <w:tcW w:w="691" w:type="pct"/>
            <w:tcBorders>
              <w:top w:val="nil"/>
              <w:left w:val="nil"/>
              <w:bottom w:val="nil"/>
              <w:right w:val="nil"/>
            </w:tcBorders>
          </w:tcPr>
          <w:p w14:paraId="0D5FBC99"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2087</w:t>
            </w:r>
          </w:p>
        </w:tc>
        <w:tc>
          <w:tcPr>
            <w:tcW w:w="624" w:type="pct"/>
            <w:tcBorders>
              <w:top w:val="nil"/>
              <w:left w:val="nil"/>
              <w:bottom w:val="nil"/>
              <w:right w:val="nil"/>
            </w:tcBorders>
          </w:tcPr>
          <w:p w14:paraId="2CD2EEB5"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47329</w:t>
            </w:r>
          </w:p>
        </w:tc>
        <w:tc>
          <w:tcPr>
            <w:tcW w:w="837" w:type="pct"/>
            <w:tcBorders>
              <w:top w:val="nil"/>
              <w:left w:val="nil"/>
              <w:bottom w:val="nil"/>
              <w:right w:val="nil"/>
            </w:tcBorders>
          </w:tcPr>
          <w:p w14:paraId="331C6747"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25077</w:t>
            </w:r>
          </w:p>
        </w:tc>
      </w:tr>
      <w:tr w:rsidR="00CD4846" w:rsidRPr="00CD4846" w14:paraId="34A58F76" w14:textId="77777777" w:rsidTr="003959BE">
        <w:tc>
          <w:tcPr>
            <w:tcW w:w="1465" w:type="pct"/>
            <w:tcBorders>
              <w:top w:val="nil"/>
              <w:left w:val="nil"/>
              <w:bottom w:val="nil"/>
              <w:right w:val="nil"/>
            </w:tcBorders>
          </w:tcPr>
          <w:p w14:paraId="5F6B795A"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County FE</w:t>
            </w:r>
          </w:p>
        </w:tc>
        <w:tc>
          <w:tcPr>
            <w:tcW w:w="691" w:type="pct"/>
            <w:tcBorders>
              <w:top w:val="nil"/>
              <w:left w:val="nil"/>
              <w:bottom w:val="nil"/>
              <w:right w:val="nil"/>
            </w:tcBorders>
          </w:tcPr>
          <w:p w14:paraId="391B6310"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691" w:type="pct"/>
            <w:tcBorders>
              <w:top w:val="nil"/>
              <w:left w:val="nil"/>
              <w:bottom w:val="nil"/>
              <w:right w:val="nil"/>
            </w:tcBorders>
          </w:tcPr>
          <w:p w14:paraId="6AB42FD5"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691" w:type="pct"/>
            <w:tcBorders>
              <w:top w:val="nil"/>
              <w:left w:val="nil"/>
              <w:bottom w:val="nil"/>
              <w:right w:val="nil"/>
            </w:tcBorders>
          </w:tcPr>
          <w:p w14:paraId="1D9BE21C"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624" w:type="pct"/>
            <w:tcBorders>
              <w:top w:val="nil"/>
              <w:left w:val="nil"/>
              <w:bottom w:val="nil"/>
              <w:right w:val="nil"/>
            </w:tcBorders>
          </w:tcPr>
          <w:p w14:paraId="003E1CF3"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837" w:type="pct"/>
            <w:tcBorders>
              <w:top w:val="nil"/>
              <w:left w:val="nil"/>
              <w:bottom w:val="nil"/>
              <w:right w:val="nil"/>
            </w:tcBorders>
          </w:tcPr>
          <w:p w14:paraId="69E94268"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r>
    </w:tbl>
    <w:p w14:paraId="02E32E3F" w14:textId="77777777" w:rsidR="003959BE" w:rsidRDefault="003959BE" w:rsidP="004C39A4">
      <w:pPr>
        <w:spacing w:line="240" w:lineRule="auto"/>
        <w:rPr>
          <w:b/>
          <w:bCs/>
        </w:rPr>
      </w:pPr>
    </w:p>
    <w:p w14:paraId="0ADE8099" w14:textId="77777777" w:rsidR="003959BE" w:rsidRDefault="003959BE" w:rsidP="004C39A4">
      <w:pPr>
        <w:spacing w:line="240" w:lineRule="auto"/>
        <w:rPr>
          <w:b/>
          <w:bCs/>
        </w:rPr>
      </w:pPr>
    </w:p>
    <w:p w14:paraId="107792D6" w14:textId="77777777" w:rsidR="003959BE" w:rsidRDefault="003959BE" w:rsidP="004C39A4">
      <w:pPr>
        <w:spacing w:line="240" w:lineRule="auto"/>
        <w:rPr>
          <w:b/>
          <w:bCs/>
        </w:rPr>
      </w:pPr>
    </w:p>
    <w:p w14:paraId="441CB3AD" w14:textId="77777777" w:rsidR="003959BE" w:rsidRDefault="003959BE" w:rsidP="004C39A4">
      <w:pPr>
        <w:spacing w:line="240" w:lineRule="auto"/>
        <w:rPr>
          <w:b/>
          <w:bCs/>
        </w:rPr>
      </w:pPr>
    </w:p>
    <w:p w14:paraId="6EF32824" w14:textId="5648DB94" w:rsidR="00E7131D" w:rsidRPr="00E7131D" w:rsidRDefault="00E7131D" w:rsidP="004C39A4">
      <w:pPr>
        <w:spacing w:line="240" w:lineRule="auto"/>
        <w:rPr>
          <w:b/>
          <w:bCs/>
        </w:rPr>
      </w:pPr>
      <w:r w:rsidRPr="00E7131D">
        <w:rPr>
          <w:b/>
          <w:bCs/>
        </w:rPr>
        <w:lastRenderedPageBreak/>
        <w:t>Table A14 Continued</w:t>
      </w:r>
    </w:p>
    <w:tbl>
      <w:tblPr>
        <w:tblW w:w="5000" w:type="pct"/>
        <w:tblLook w:val="04A0" w:firstRow="1" w:lastRow="0" w:firstColumn="1" w:lastColumn="0" w:noHBand="0" w:noVBand="1"/>
      </w:tblPr>
      <w:tblGrid>
        <w:gridCol w:w="2704"/>
        <w:gridCol w:w="1277"/>
        <w:gridCol w:w="1277"/>
        <w:gridCol w:w="1277"/>
        <w:gridCol w:w="1277"/>
        <w:gridCol w:w="1548"/>
      </w:tblGrid>
      <w:tr w:rsidR="00E7131D" w:rsidRPr="0058540A" w14:paraId="3F53B147" w14:textId="77777777" w:rsidTr="0058540A">
        <w:tc>
          <w:tcPr>
            <w:tcW w:w="1445" w:type="pct"/>
            <w:tcBorders>
              <w:top w:val="single" w:sz="4" w:space="0" w:color="auto"/>
              <w:left w:val="nil"/>
              <w:bottom w:val="single" w:sz="4" w:space="0" w:color="auto"/>
              <w:right w:val="nil"/>
            </w:tcBorders>
          </w:tcPr>
          <w:p w14:paraId="54D9EDA6" w14:textId="1C83605B" w:rsidR="00E7131D" w:rsidRPr="0058540A"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b/>
                <w:bCs/>
                <w:kern w:val="2"/>
                <w:sz w:val="20"/>
                <w:szCs w:val="20"/>
                <w:lang/>
              </w:rPr>
              <w:t>Variable</w:t>
            </w:r>
          </w:p>
        </w:tc>
        <w:tc>
          <w:tcPr>
            <w:tcW w:w="682" w:type="pct"/>
            <w:tcBorders>
              <w:top w:val="single" w:sz="4" w:space="0" w:color="auto"/>
              <w:left w:val="nil"/>
              <w:bottom w:val="single" w:sz="4" w:space="0" w:color="auto"/>
              <w:right w:val="nil"/>
            </w:tcBorders>
          </w:tcPr>
          <w:p w14:paraId="477EDA56" w14:textId="77144B5D" w:rsidR="00E7131D" w:rsidRPr="0058540A"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b/>
                <w:bCs/>
                <w:kern w:val="2"/>
                <w:sz w:val="20"/>
                <w:szCs w:val="20"/>
                <w:lang/>
              </w:rPr>
              <w:t>NAICS 11</w:t>
            </w:r>
          </w:p>
        </w:tc>
        <w:tc>
          <w:tcPr>
            <w:tcW w:w="682" w:type="pct"/>
            <w:tcBorders>
              <w:top w:val="single" w:sz="4" w:space="0" w:color="auto"/>
              <w:left w:val="nil"/>
              <w:bottom w:val="single" w:sz="4" w:space="0" w:color="auto"/>
              <w:right w:val="nil"/>
            </w:tcBorders>
          </w:tcPr>
          <w:p w14:paraId="688AF7B2" w14:textId="609C137D" w:rsidR="00E7131D" w:rsidRPr="0058540A"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b/>
                <w:bCs/>
                <w:kern w:val="2"/>
                <w:sz w:val="20"/>
                <w:szCs w:val="20"/>
                <w:lang/>
              </w:rPr>
              <w:t>NAICS 21</w:t>
            </w:r>
          </w:p>
        </w:tc>
        <w:tc>
          <w:tcPr>
            <w:tcW w:w="682" w:type="pct"/>
            <w:tcBorders>
              <w:top w:val="single" w:sz="4" w:space="0" w:color="auto"/>
              <w:left w:val="nil"/>
              <w:bottom w:val="single" w:sz="4" w:space="0" w:color="auto"/>
              <w:right w:val="nil"/>
            </w:tcBorders>
          </w:tcPr>
          <w:p w14:paraId="364D5B6E" w14:textId="5EA4810B" w:rsidR="00E7131D" w:rsidRPr="0058540A"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b/>
                <w:bCs/>
                <w:kern w:val="2"/>
                <w:sz w:val="20"/>
                <w:szCs w:val="20"/>
                <w:lang/>
              </w:rPr>
              <w:t>NAICS 22</w:t>
            </w:r>
          </w:p>
        </w:tc>
        <w:tc>
          <w:tcPr>
            <w:tcW w:w="682" w:type="pct"/>
            <w:tcBorders>
              <w:top w:val="single" w:sz="4" w:space="0" w:color="auto"/>
              <w:left w:val="nil"/>
              <w:bottom w:val="single" w:sz="4" w:space="0" w:color="auto"/>
              <w:right w:val="nil"/>
            </w:tcBorders>
          </w:tcPr>
          <w:p w14:paraId="50B956CA" w14:textId="67F76CA5" w:rsidR="00E7131D" w:rsidRPr="0058540A"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b/>
                <w:bCs/>
                <w:kern w:val="2"/>
                <w:sz w:val="20"/>
                <w:szCs w:val="20"/>
                <w:lang/>
              </w:rPr>
              <w:t>NAICS 23</w:t>
            </w:r>
          </w:p>
        </w:tc>
        <w:tc>
          <w:tcPr>
            <w:tcW w:w="827" w:type="pct"/>
            <w:tcBorders>
              <w:top w:val="single" w:sz="4" w:space="0" w:color="auto"/>
              <w:left w:val="nil"/>
              <w:bottom w:val="single" w:sz="4" w:space="0" w:color="auto"/>
              <w:right w:val="nil"/>
            </w:tcBorders>
          </w:tcPr>
          <w:p w14:paraId="71435653" w14:textId="1A0FD421" w:rsidR="00E7131D" w:rsidRPr="0058540A"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b/>
                <w:bCs/>
                <w:kern w:val="2"/>
                <w:sz w:val="20"/>
                <w:szCs w:val="20"/>
                <w:lang/>
              </w:rPr>
              <w:t>NAICS 31-33</w:t>
            </w:r>
          </w:p>
        </w:tc>
      </w:tr>
      <w:tr w:rsidR="0058540A" w:rsidRPr="0058540A" w14:paraId="42FA18A4" w14:textId="77777777" w:rsidTr="0058540A">
        <w:tc>
          <w:tcPr>
            <w:tcW w:w="1445" w:type="pct"/>
            <w:tcBorders>
              <w:top w:val="single" w:sz="4" w:space="0" w:color="auto"/>
              <w:left w:val="nil"/>
              <w:right w:val="nil"/>
            </w:tcBorders>
          </w:tcPr>
          <w:p w14:paraId="611BDB81" w14:textId="5B844984" w:rsidR="0058540A" w:rsidRPr="0058540A" w:rsidRDefault="0058540A"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State by Year FE</w:t>
            </w:r>
          </w:p>
        </w:tc>
        <w:tc>
          <w:tcPr>
            <w:tcW w:w="682" w:type="pct"/>
            <w:tcBorders>
              <w:top w:val="single" w:sz="4" w:space="0" w:color="auto"/>
              <w:left w:val="nil"/>
              <w:right w:val="nil"/>
            </w:tcBorders>
          </w:tcPr>
          <w:p w14:paraId="04C0C81F" w14:textId="7D054177" w:rsidR="0058540A" w:rsidRPr="0058540A" w:rsidRDefault="0058540A"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682" w:type="pct"/>
            <w:tcBorders>
              <w:top w:val="single" w:sz="4" w:space="0" w:color="auto"/>
              <w:left w:val="nil"/>
              <w:right w:val="nil"/>
            </w:tcBorders>
          </w:tcPr>
          <w:p w14:paraId="72CA0215" w14:textId="4DAD5D61" w:rsidR="0058540A" w:rsidRPr="0058540A" w:rsidRDefault="0058540A"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682" w:type="pct"/>
            <w:tcBorders>
              <w:top w:val="single" w:sz="4" w:space="0" w:color="auto"/>
              <w:left w:val="nil"/>
              <w:right w:val="nil"/>
            </w:tcBorders>
          </w:tcPr>
          <w:p w14:paraId="4ABEE201" w14:textId="0EE4227D" w:rsidR="0058540A" w:rsidRPr="0058540A" w:rsidRDefault="0058540A"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682" w:type="pct"/>
            <w:tcBorders>
              <w:top w:val="single" w:sz="4" w:space="0" w:color="auto"/>
              <w:left w:val="nil"/>
              <w:right w:val="nil"/>
            </w:tcBorders>
          </w:tcPr>
          <w:p w14:paraId="17F11C4E" w14:textId="610BDD7D" w:rsidR="0058540A" w:rsidRPr="0058540A" w:rsidRDefault="0058540A"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827" w:type="pct"/>
            <w:tcBorders>
              <w:top w:val="single" w:sz="4" w:space="0" w:color="auto"/>
              <w:left w:val="nil"/>
              <w:right w:val="nil"/>
            </w:tcBorders>
          </w:tcPr>
          <w:p w14:paraId="17D78AF2" w14:textId="1F3CFA93" w:rsidR="0058540A" w:rsidRPr="0058540A" w:rsidRDefault="0058540A"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r>
      <w:tr w:rsidR="0058540A" w:rsidRPr="00CD4846" w14:paraId="0C58E6C8" w14:textId="77777777" w:rsidTr="0058540A">
        <w:tc>
          <w:tcPr>
            <w:tcW w:w="1445" w:type="pct"/>
            <w:tcBorders>
              <w:left w:val="nil"/>
              <w:right w:val="nil"/>
            </w:tcBorders>
          </w:tcPr>
          <w:p w14:paraId="6F7A5A8F" w14:textId="77777777" w:rsidR="0058540A" w:rsidRPr="00CD4846" w:rsidRDefault="0058540A"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NAICS FE</w:t>
            </w:r>
          </w:p>
        </w:tc>
        <w:tc>
          <w:tcPr>
            <w:tcW w:w="682" w:type="pct"/>
            <w:tcBorders>
              <w:left w:val="nil"/>
              <w:right w:val="nil"/>
            </w:tcBorders>
          </w:tcPr>
          <w:p w14:paraId="43F10494" w14:textId="77777777" w:rsidR="0058540A" w:rsidRPr="00CD4846" w:rsidRDefault="0058540A"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682" w:type="pct"/>
            <w:tcBorders>
              <w:left w:val="nil"/>
              <w:right w:val="nil"/>
            </w:tcBorders>
          </w:tcPr>
          <w:p w14:paraId="10497983" w14:textId="77777777" w:rsidR="0058540A" w:rsidRPr="00CD4846" w:rsidRDefault="0058540A"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682" w:type="pct"/>
            <w:tcBorders>
              <w:left w:val="nil"/>
              <w:right w:val="nil"/>
            </w:tcBorders>
          </w:tcPr>
          <w:p w14:paraId="6DC73E99" w14:textId="77777777" w:rsidR="0058540A" w:rsidRPr="00CD4846" w:rsidRDefault="0058540A"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682" w:type="pct"/>
            <w:tcBorders>
              <w:left w:val="nil"/>
              <w:right w:val="nil"/>
            </w:tcBorders>
          </w:tcPr>
          <w:p w14:paraId="0FB973A3" w14:textId="77777777" w:rsidR="0058540A" w:rsidRPr="00CD4846" w:rsidRDefault="0058540A"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827" w:type="pct"/>
            <w:tcBorders>
              <w:left w:val="nil"/>
              <w:right w:val="nil"/>
            </w:tcBorders>
          </w:tcPr>
          <w:p w14:paraId="5895F806" w14:textId="77777777" w:rsidR="0058540A" w:rsidRPr="00CD4846" w:rsidRDefault="0058540A"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r>
      <w:tr w:rsidR="0058540A" w:rsidRPr="00CD4846" w14:paraId="5A7382AB" w14:textId="77777777" w:rsidTr="0058540A">
        <w:tc>
          <w:tcPr>
            <w:tcW w:w="1445" w:type="pct"/>
            <w:tcBorders>
              <w:top w:val="nil"/>
              <w:left w:val="nil"/>
              <w:bottom w:val="single" w:sz="4" w:space="0" w:color="auto"/>
              <w:right w:val="nil"/>
            </w:tcBorders>
          </w:tcPr>
          <w:p w14:paraId="499A5003" w14:textId="77777777" w:rsidR="0058540A" w:rsidRPr="00CD4846" w:rsidRDefault="0058540A" w:rsidP="0058540A">
            <w:pPr>
              <w:widowControl w:val="0"/>
              <w:autoSpaceDE w:val="0"/>
              <w:autoSpaceDN w:val="0"/>
              <w:adjustRightInd w:val="0"/>
              <w:spacing w:line="240" w:lineRule="auto"/>
              <w:rPr>
                <w:rFonts w:eastAsia="Times New Roman" w:cs="Times New Roman"/>
                <w:b/>
                <w:bCs/>
                <w:color w:val="5F6368"/>
                <w:kern w:val="2"/>
                <w:sz w:val="20"/>
                <w:szCs w:val="20"/>
                <w:shd w:val="clear" w:color="auto" w:fill="FFFFFF"/>
                <w:lang/>
              </w:rPr>
            </w:pPr>
            <w:r w:rsidRPr="00CD4846">
              <w:rPr>
                <w:rFonts w:eastAsia="Times New Roman" w:cs="Times New Roman"/>
                <w:kern w:val="2"/>
                <w:sz w:val="20"/>
                <w:szCs w:val="20"/>
                <w:lang/>
              </w:rPr>
              <w:t>PA-PA</w:t>
            </w:r>
            <w:r w:rsidRPr="00CD4846">
              <w:rPr>
                <w:rFonts w:eastAsia="Times New Roman" w:cs="Times New Roman"/>
                <w:b/>
                <w:bCs/>
                <w:i/>
                <w:color w:val="5F6368"/>
                <w:kern w:val="2"/>
                <w:sz w:val="20"/>
                <w:szCs w:val="20"/>
                <w:shd w:val="clear" w:color="auto" w:fill="FFFFFF"/>
                <w:lang/>
              </w:rPr>
              <w:t>²</w:t>
            </w:r>
            <w:r w:rsidRPr="00CD4846">
              <w:rPr>
                <w:rFonts w:cs="Times New Roman"/>
                <w:b/>
                <w:bCs/>
                <w:i/>
                <w:color w:val="5F6368"/>
                <w:kern w:val="2"/>
                <w:sz w:val="20"/>
                <w:szCs w:val="20"/>
                <w:shd w:val="clear" w:color="auto" w:fill="FFFFFF"/>
                <w:lang/>
              </w:rPr>
              <w:t xml:space="preserve"> </w:t>
            </w:r>
            <w:r w:rsidRPr="00CD4846">
              <w:rPr>
                <w:rFonts w:eastAsia="Times New Roman" w:cs="Times New Roman"/>
                <w:kern w:val="2"/>
                <w:sz w:val="20"/>
                <w:szCs w:val="20"/>
                <w:lang/>
              </w:rPr>
              <w:t xml:space="preserve">Joint Test </w:t>
            </w:r>
            <w:r w:rsidRPr="00CD4846">
              <w:rPr>
                <w:rFonts w:cs="Times New Roman"/>
                <w:kern w:val="2"/>
                <w:sz w:val="20"/>
                <w:szCs w:val="20"/>
                <w:lang/>
              </w:rPr>
              <w:t>p-value</w:t>
            </w:r>
          </w:p>
        </w:tc>
        <w:tc>
          <w:tcPr>
            <w:tcW w:w="682" w:type="pct"/>
            <w:tcBorders>
              <w:top w:val="nil"/>
              <w:left w:val="nil"/>
              <w:bottom w:val="single" w:sz="4" w:space="0" w:color="auto"/>
              <w:right w:val="nil"/>
            </w:tcBorders>
          </w:tcPr>
          <w:p w14:paraId="3FFC5643" w14:textId="77777777" w:rsidR="0058540A" w:rsidRPr="00CD4846" w:rsidRDefault="0058540A"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0.1751</w:t>
            </w:r>
          </w:p>
        </w:tc>
        <w:tc>
          <w:tcPr>
            <w:tcW w:w="682" w:type="pct"/>
            <w:tcBorders>
              <w:top w:val="nil"/>
              <w:left w:val="nil"/>
              <w:bottom w:val="single" w:sz="4" w:space="0" w:color="auto"/>
              <w:right w:val="nil"/>
            </w:tcBorders>
          </w:tcPr>
          <w:p w14:paraId="4E8613A4" w14:textId="77777777" w:rsidR="0058540A" w:rsidRPr="00CD4846" w:rsidRDefault="0058540A"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0.8947</w:t>
            </w:r>
          </w:p>
        </w:tc>
        <w:tc>
          <w:tcPr>
            <w:tcW w:w="682" w:type="pct"/>
            <w:tcBorders>
              <w:top w:val="nil"/>
              <w:left w:val="nil"/>
              <w:bottom w:val="single" w:sz="4" w:space="0" w:color="auto"/>
              <w:right w:val="nil"/>
            </w:tcBorders>
          </w:tcPr>
          <w:p w14:paraId="08AC697A" w14:textId="77777777" w:rsidR="0058540A" w:rsidRPr="00CD4846" w:rsidRDefault="0058540A"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0.4644</w:t>
            </w:r>
          </w:p>
        </w:tc>
        <w:tc>
          <w:tcPr>
            <w:tcW w:w="682" w:type="pct"/>
            <w:tcBorders>
              <w:top w:val="nil"/>
              <w:left w:val="nil"/>
              <w:bottom w:val="single" w:sz="4" w:space="0" w:color="auto"/>
              <w:right w:val="nil"/>
            </w:tcBorders>
          </w:tcPr>
          <w:p w14:paraId="59571A33" w14:textId="77777777" w:rsidR="0058540A" w:rsidRPr="00CD4846" w:rsidRDefault="0058540A"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0.8431</w:t>
            </w:r>
          </w:p>
        </w:tc>
        <w:tc>
          <w:tcPr>
            <w:tcW w:w="827" w:type="pct"/>
            <w:tcBorders>
              <w:top w:val="nil"/>
              <w:left w:val="nil"/>
              <w:bottom w:val="single" w:sz="4" w:space="0" w:color="auto"/>
              <w:right w:val="nil"/>
            </w:tcBorders>
          </w:tcPr>
          <w:p w14:paraId="7D950F29" w14:textId="77777777" w:rsidR="0058540A" w:rsidRPr="00CD4846" w:rsidRDefault="0058540A" w:rsidP="0058540A">
            <w:pPr>
              <w:widowControl w:val="0"/>
              <w:autoSpaceDE w:val="0"/>
              <w:autoSpaceDN w:val="0"/>
              <w:adjustRightInd w:val="0"/>
              <w:spacing w:line="240" w:lineRule="auto"/>
              <w:rPr>
                <w:rFonts w:cs="Times New Roman"/>
                <w:bCs/>
                <w:kern w:val="2"/>
                <w:sz w:val="20"/>
                <w:szCs w:val="20"/>
                <w:lang/>
              </w:rPr>
            </w:pPr>
            <w:r w:rsidRPr="00CD4846">
              <w:rPr>
                <w:rFonts w:cs="Times New Roman"/>
                <w:bCs/>
                <w:kern w:val="2"/>
                <w:sz w:val="20"/>
                <w:szCs w:val="20"/>
                <w:lang/>
              </w:rPr>
              <w:t>0.0034</w:t>
            </w:r>
          </w:p>
        </w:tc>
      </w:tr>
    </w:tbl>
    <w:p w14:paraId="1C68ADD2" w14:textId="483048F0" w:rsidR="00CD4846" w:rsidRPr="0058540A" w:rsidRDefault="00CD4846" w:rsidP="0058540A">
      <w:pPr>
        <w:spacing w:line="240" w:lineRule="auto"/>
        <w:rPr>
          <w:rFonts w:eastAsia="DengXian" w:cs="Times New Roman"/>
          <w:i/>
          <w:iCs/>
          <w:sz w:val="20"/>
          <w:szCs w:val="20"/>
          <w:lang/>
        </w:rPr>
      </w:pPr>
      <w:r w:rsidRPr="0058540A">
        <w:rPr>
          <w:rFonts w:cs="Times New Roman"/>
          <w:sz w:val="20"/>
          <w:szCs w:val="20"/>
          <w:lang/>
        </w:rPr>
        <w:t xml:space="preserve">Table </w:t>
      </w:r>
      <w:r w:rsidRPr="0058540A">
        <w:rPr>
          <w:rFonts w:cs="Times New Roman"/>
          <w:sz w:val="20"/>
          <w:szCs w:val="20"/>
          <w:lang/>
        </w:rPr>
        <w:t>A14</w:t>
      </w:r>
      <w:r w:rsidRPr="0058540A">
        <w:rPr>
          <w:rFonts w:cs="Times New Roman"/>
          <w:sz w:val="20"/>
          <w:szCs w:val="20"/>
          <w:lang/>
        </w:rPr>
        <w:t xml:space="preserve">: </w:t>
      </w:r>
      <w:r w:rsidRPr="0058540A">
        <w:rPr>
          <w:rFonts w:cs="Times New Roman"/>
          <w:sz w:val="20"/>
          <w:szCs w:val="20"/>
          <w:lang/>
        </w:rPr>
        <w:t>PPMLHDFE r</w:t>
      </w:r>
      <w:r w:rsidRPr="0058540A">
        <w:rPr>
          <w:rFonts w:cs="Times New Roman"/>
          <w:sz w:val="20"/>
          <w:szCs w:val="20"/>
          <w:lang/>
        </w:rPr>
        <w:t xml:space="preserve">egression results </w:t>
      </w:r>
      <w:r w:rsidRPr="0058540A">
        <w:rPr>
          <w:rFonts w:cs="Times New Roman"/>
          <w:sz w:val="20"/>
          <w:szCs w:val="20"/>
          <w:lang/>
        </w:rPr>
        <w:t xml:space="preserve">on establishment outward relocations under broad PADs (GAP 1-4) are presented above. Column names correspond to a specific NAICS sector. </w:t>
      </w:r>
      <w:r w:rsidR="002A78A3" w:rsidRPr="00C624DB">
        <w:rPr>
          <w:sz w:val="20"/>
          <w:szCs w:val="20"/>
          <w:lang/>
        </w:rPr>
        <w:t xml:space="preserve">Standard errors are </w:t>
      </w:r>
      <w:r w:rsidR="002A78A3">
        <w:rPr>
          <w:sz w:val="20"/>
          <w:szCs w:val="20"/>
          <w:lang/>
        </w:rPr>
        <w:t xml:space="preserve">in parentheses and are </w:t>
      </w:r>
      <w:r w:rsidR="002A78A3" w:rsidRPr="00C624DB">
        <w:rPr>
          <w:sz w:val="20"/>
          <w:szCs w:val="20"/>
          <w:lang/>
        </w:rPr>
        <w:t xml:space="preserve">clustered at the county level. </w:t>
      </w:r>
      <w:r w:rsidR="002A78A3" w:rsidRPr="002C0F11">
        <w:rPr>
          <w:sz w:val="20"/>
          <w:szCs w:val="20"/>
          <w:lang/>
        </w:rPr>
        <w:t>Statistically significant impacts are denoted by asterisks. These asterisks denote statistical significance at the following levels: ***p &lt; 0.01, **p &lt; 0.05, *p &lt; 0.1.</w:t>
      </w:r>
      <w:r w:rsidR="002A78A3">
        <w:rPr>
          <w:sz w:val="20"/>
          <w:szCs w:val="20"/>
          <w:lang/>
        </w:rPr>
        <w:t xml:space="preserve"> </w:t>
      </w:r>
      <w:r w:rsidRPr="0058540A">
        <w:rPr>
          <w:rFonts w:cs="Times New Roman"/>
          <w:sz w:val="20"/>
          <w:szCs w:val="20"/>
          <w:lang/>
        </w:rPr>
        <w:t>p-values of joint-tests on linear and quadratic PAD terms are shown in the last row.</w:t>
      </w:r>
    </w:p>
    <w:p w14:paraId="76E100A4" w14:textId="77777777" w:rsidR="00CD4846" w:rsidRPr="00CD4846" w:rsidRDefault="00CD4846" w:rsidP="004C39A4">
      <w:pPr>
        <w:spacing w:line="240" w:lineRule="auto"/>
        <w:rPr>
          <w:rFonts w:ascii="DengXian" w:hAnsi="DengXian" w:cs="Times New Roman"/>
          <w:i/>
          <w:iCs/>
          <w:color w:val="44546A"/>
          <w:kern w:val="2"/>
          <w:sz w:val="18"/>
          <w:szCs w:val="18"/>
          <w:lang/>
        </w:rPr>
      </w:pPr>
      <w:r w:rsidRPr="00CD4846">
        <w:rPr>
          <w:rFonts w:ascii="DengXian" w:hAnsi="DengXian" w:cs="Times New Roman"/>
          <w:i/>
          <w:iCs/>
          <w:color w:val="44546A"/>
          <w:kern w:val="2"/>
          <w:sz w:val="18"/>
          <w:szCs w:val="18"/>
          <w:lang/>
        </w:rPr>
        <w:br w:type="page"/>
      </w:r>
    </w:p>
    <w:p w14:paraId="30E28BFD" w14:textId="77777777" w:rsidR="00CD4846" w:rsidRPr="00CD4846" w:rsidRDefault="00CD4846" w:rsidP="00095E25">
      <w:pPr>
        <w:pStyle w:val="Title"/>
      </w:pPr>
      <w:bookmarkStart w:id="254" w:name="_Toc186799419"/>
      <w:bookmarkStart w:id="255" w:name="_Toc188359620"/>
      <w:bookmarkStart w:id="256" w:name="_Toc188359908"/>
      <w:bookmarkStart w:id="257" w:name="_Toc188361144"/>
      <w:bookmarkStart w:id="258" w:name="_Toc188366988"/>
      <w:r w:rsidRPr="00CD4846">
        <w:lastRenderedPageBreak/>
        <w:t>Table A15: Regression Results of Broad PADs on Intra-State Outward Relocations</w:t>
      </w:r>
      <w:bookmarkEnd w:id="254"/>
      <w:bookmarkEnd w:id="255"/>
      <w:bookmarkEnd w:id="256"/>
      <w:bookmarkEnd w:id="257"/>
      <w:bookmarkEnd w:id="258"/>
      <w:r w:rsidRPr="00CD4846">
        <w:t xml:space="preserve"> </w:t>
      </w:r>
    </w:p>
    <w:tbl>
      <w:tblPr>
        <w:tblW w:w="5000" w:type="pct"/>
        <w:tblLook w:val="04A0" w:firstRow="1" w:lastRow="0" w:firstColumn="1" w:lastColumn="0" w:noHBand="0" w:noVBand="1"/>
      </w:tblPr>
      <w:tblGrid>
        <w:gridCol w:w="2737"/>
        <w:gridCol w:w="1271"/>
        <w:gridCol w:w="1271"/>
        <w:gridCol w:w="1271"/>
        <w:gridCol w:w="1271"/>
        <w:gridCol w:w="1539"/>
      </w:tblGrid>
      <w:tr w:rsidR="00CD4846" w:rsidRPr="00CD4846" w14:paraId="3E1933B4" w14:textId="77777777" w:rsidTr="00B82EB9">
        <w:tc>
          <w:tcPr>
            <w:tcW w:w="1462" w:type="pct"/>
            <w:tcBorders>
              <w:top w:val="single" w:sz="4" w:space="0" w:color="auto"/>
              <w:left w:val="nil"/>
              <w:bottom w:val="single" w:sz="4" w:space="0" w:color="auto"/>
              <w:right w:val="nil"/>
            </w:tcBorders>
          </w:tcPr>
          <w:p w14:paraId="7E213ED9" w14:textId="7187C5A6" w:rsidR="00CD4846" w:rsidRPr="00CD4846" w:rsidRDefault="00CD4846" w:rsidP="0058540A">
            <w:pPr>
              <w:widowControl w:val="0"/>
              <w:autoSpaceDE w:val="0"/>
              <w:autoSpaceDN w:val="0"/>
              <w:adjustRightInd w:val="0"/>
              <w:spacing w:line="240" w:lineRule="auto"/>
              <w:rPr>
                <w:rFonts w:cs="Times New Roman"/>
                <w:b/>
                <w:bCs/>
                <w:kern w:val="2"/>
                <w:sz w:val="20"/>
                <w:szCs w:val="20"/>
                <w:lang/>
              </w:rPr>
            </w:pPr>
            <w:r w:rsidRPr="00CD4846">
              <w:rPr>
                <w:rFonts w:cs="Times New Roman"/>
                <w:b/>
                <w:bCs/>
                <w:kern w:val="2"/>
                <w:sz w:val="20"/>
                <w:szCs w:val="20"/>
                <w:lang/>
              </w:rPr>
              <w:t>Variable</w:t>
            </w:r>
          </w:p>
        </w:tc>
        <w:tc>
          <w:tcPr>
            <w:tcW w:w="679" w:type="pct"/>
            <w:tcBorders>
              <w:top w:val="single" w:sz="4" w:space="0" w:color="auto"/>
              <w:left w:val="nil"/>
              <w:bottom w:val="single" w:sz="4" w:space="0" w:color="auto"/>
              <w:right w:val="nil"/>
            </w:tcBorders>
          </w:tcPr>
          <w:p w14:paraId="5C751825" w14:textId="00B658EF" w:rsidR="00CD4846" w:rsidRPr="00CD4846" w:rsidRDefault="00CD4846" w:rsidP="0058540A">
            <w:pPr>
              <w:widowControl w:val="0"/>
              <w:autoSpaceDE w:val="0"/>
              <w:autoSpaceDN w:val="0"/>
              <w:adjustRightInd w:val="0"/>
              <w:spacing w:line="240" w:lineRule="auto"/>
              <w:rPr>
                <w:rFonts w:cs="Times New Roman"/>
                <w:b/>
                <w:bCs/>
                <w:kern w:val="2"/>
                <w:sz w:val="20"/>
                <w:szCs w:val="20"/>
                <w:lang/>
              </w:rPr>
            </w:pPr>
            <w:r w:rsidRPr="00CD4846">
              <w:rPr>
                <w:rFonts w:cs="Times New Roman"/>
                <w:b/>
                <w:bCs/>
                <w:kern w:val="2"/>
                <w:sz w:val="20"/>
                <w:szCs w:val="20"/>
                <w:lang/>
              </w:rPr>
              <w:t>NAICS 11</w:t>
            </w:r>
          </w:p>
        </w:tc>
        <w:tc>
          <w:tcPr>
            <w:tcW w:w="679" w:type="pct"/>
            <w:tcBorders>
              <w:top w:val="single" w:sz="4" w:space="0" w:color="auto"/>
              <w:left w:val="nil"/>
              <w:bottom w:val="single" w:sz="4" w:space="0" w:color="auto"/>
              <w:right w:val="nil"/>
            </w:tcBorders>
          </w:tcPr>
          <w:p w14:paraId="132C3376" w14:textId="6E7E8464" w:rsidR="00CD4846" w:rsidRPr="00CD4846" w:rsidRDefault="00CD4846" w:rsidP="0058540A">
            <w:pPr>
              <w:widowControl w:val="0"/>
              <w:autoSpaceDE w:val="0"/>
              <w:autoSpaceDN w:val="0"/>
              <w:adjustRightInd w:val="0"/>
              <w:spacing w:line="240" w:lineRule="auto"/>
              <w:rPr>
                <w:rFonts w:cs="Times New Roman"/>
                <w:b/>
                <w:bCs/>
                <w:kern w:val="2"/>
                <w:sz w:val="20"/>
                <w:szCs w:val="20"/>
                <w:lang/>
              </w:rPr>
            </w:pPr>
            <w:r w:rsidRPr="00CD4846">
              <w:rPr>
                <w:rFonts w:cs="Times New Roman"/>
                <w:b/>
                <w:bCs/>
                <w:kern w:val="2"/>
                <w:sz w:val="20"/>
                <w:szCs w:val="20"/>
                <w:lang/>
              </w:rPr>
              <w:t>NAICS 21</w:t>
            </w:r>
          </w:p>
        </w:tc>
        <w:tc>
          <w:tcPr>
            <w:tcW w:w="679" w:type="pct"/>
            <w:tcBorders>
              <w:top w:val="single" w:sz="4" w:space="0" w:color="auto"/>
              <w:left w:val="nil"/>
              <w:bottom w:val="single" w:sz="4" w:space="0" w:color="auto"/>
              <w:right w:val="nil"/>
            </w:tcBorders>
          </w:tcPr>
          <w:p w14:paraId="21BEFE8D" w14:textId="06A9D9AF" w:rsidR="00CD4846" w:rsidRPr="00CD4846" w:rsidRDefault="00CD4846" w:rsidP="0058540A">
            <w:pPr>
              <w:widowControl w:val="0"/>
              <w:autoSpaceDE w:val="0"/>
              <w:autoSpaceDN w:val="0"/>
              <w:adjustRightInd w:val="0"/>
              <w:spacing w:line="240" w:lineRule="auto"/>
              <w:rPr>
                <w:rFonts w:cs="Times New Roman"/>
                <w:b/>
                <w:bCs/>
                <w:kern w:val="2"/>
                <w:sz w:val="20"/>
                <w:szCs w:val="20"/>
                <w:lang/>
              </w:rPr>
            </w:pPr>
            <w:r w:rsidRPr="00CD4846">
              <w:rPr>
                <w:rFonts w:cs="Times New Roman"/>
                <w:b/>
                <w:bCs/>
                <w:kern w:val="2"/>
                <w:sz w:val="20"/>
                <w:szCs w:val="20"/>
                <w:lang/>
              </w:rPr>
              <w:t>NAICS 22</w:t>
            </w:r>
          </w:p>
        </w:tc>
        <w:tc>
          <w:tcPr>
            <w:tcW w:w="679" w:type="pct"/>
            <w:tcBorders>
              <w:top w:val="single" w:sz="4" w:space="0" w:color="auto"/>
              <w:left w:val="nil"/>
              <w:bottom w:val="single" w:sz="4" w:space="0" w:color="auto"/>
              <w:right w:val="nil"/>
            </w:tcBorders>
          </w:tcPr>
          <w:p w14:paraId="3738220B" w14:textId="3D10B610" w:rsidR="00CD4846" w:rsidRPr="00CD4846" w:rsidRDefault="00CD4846" w:rsidP="0058540A">
            <w:pPr>
              <w:widowControl w:val="0"/>
              <w:autoSpaceDE w:val="0"/>
              <w:autoSpaceDN w:val="0"/>
              <w:adjustRightInd w:val="0"/>
              <w:spacing w:line="240" w:lineRule="auto"/>
              <w:rPr>
                <w:rFonts w:cs="Times New Roman"/>
                <w:b/>
                <w:bCs/>
                <w:kern w:val="2"/>
                <w:sz w:val="20"/>
                <w:szCs w:val="20"/>
                <w:lang/>
              </w:rPr>
            </w:pPr>
            <w:r w:rsidRPr="00CD4846">
              <w:rPr>
                <w:rFonts w:cs="Times New Roman"/>
                <w:b/>
                <w:bCs/>
                <w:kern w:val="2"/>
                <w:sz w:val="20"/>
                <w:szCs w:val="20"/>
                <w:lang/>
              </w:rPr>
              <w:t>NAICS 23</w:t>
            </w:r>
          </w:p>
        </w:tc>
        <w:tc>
          <w:tcPr>
            <w:tcW w:w="822" w:type="pct"/>
            <w:tcBorders>
              <w:top w:val="single" w:sz="4" w:space="0" w:color="auto"/>
              <w:left w:val="nil"/>
              <w:bottom w:val="single" w:sz="4" w:space="0" w:color="auto"/>
              <w:right w:val="nil"/>
            </w:tcBorders>
          </w:tcPr>
          <w:p w14:paraId="7F7ECA06" w14:textId="45255316" w:rsidR="00CD4846" w:rsidRPr="00CD4846" w:rsidRDefault="00CD4846" w:rsidP="0058540A">
            <w:pPr>
              <w:widowControl w:val="0"/>
              <w:autoSpaceDE w:val="0"/>
              <w:autoSpaceDN w:val="0"/>
              <w:adjustRightInd w:val="0"/>
              <w:spacing w:line="240" w:lineRule="auto"/>
              <w:rPr>
                <w:rFonts w:cs="Times New Roman"/>
                <w:b/>
                <w:bCs/>
                <w:kern w:val="2"/>
                <w:sz w:val="20"/>
                <w:szCs w:val="20"/>
                <w:lang/>
              </w:rPr>
            </w:pPr>
            <w:r w:rsidRPr="00CD4846">
              <w:rPr>
                <w:rFonts w:cs="Times New Roman"/>
                <w:b/>
                <w:bCs/>
                <w:kern w:val="2"/>
                <w:sz w:val="20"/>
                <w:szCs w:val="20"/>
                <w:lang/>
              </w:rPr>
              <w:t>NAICS 31-33</w:t>
            </w:r>
          </w:p>
        </w:tc>
      </w:tr>
      <w:tr w:rsidR="00CD4846" w:rsidRPr="00CD4846" w14:paraId="3087ACF9" w14:textId="77777777" w:rsidTr="00B82EB9">
        <w:tc>
          <w:tcPr>
            <w:tcW w:w="1462" w:type="pct"/>
            <w:tcBorders>
              <w:top w:val="single" w:sz="4" w:space="0" w:color="auto"/>
              <w:left w:val="nil"/>
              <w:bottom w:val="nil"/>
              <w:right w:val="nil"/>
            </w:tcBorders>
          </w:tcPr>
          <w:p w14:paraId="67E14D0A" w14:textId="43F15393"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Broad PADs (t-1)</w:t>
            </w:r>
          </w:p>
        </w:tc>
        <w:tc>
          <w:tcPr>
            <w:tcW w:w="679" w:type="pct"/>
            <w:tcBorders>
              <w:top w:val="single" w:sz="4" w:space="0" w:color="auto"/>
              <w:left w:val="nil"/>
              <w:bottom w:val="nil"/>
              <w:right w:val="nil"/>
            </w:tcBorders>
          </w:tcPr>
          <w:p w14:paraId="495571DE"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44.625*</w:t>
            </w:r>
          </w:p>
        </w:tc>
        <w:tc>
          <w:tcPr>
            <w:tcW w:w="679" w:type="pct"/>
            <w:tcBorders>
              <w:top w:val="single" w:sz="4" w:space="0" w:color="auto"/>
              <w:left w:val="nil"/>
              <w:bottom w:val="nil"/>
              <w:right w:val="nil"/>
            </w:tcBorders>
          </w:tcPr>
          <w:p w14:paraId="6DFE2770"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-36.008</w:t>
            </w:r>
          </w:p>
        </w:tc>
        <w:tc>
          <w:tcPr>
            <w:tcW w:w="679" w:type="pct"/>
            <w:tcBorders>
              <w:top w:val="single" w:sz="4" w:space="0" w:color="auto"/>
              <w:left w:val="nil"/>
              <w:bottom w:val="nil"/>
              <w:right w:val="nil"/>
            </w:tcBorders>
          </w:tcPr>
          <w:p w14:paraId="4A3BF311"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28.460</w:t>
            </w:r>
          </w:p>
        </w:tc>
        <w:tc>
          <w:tcPr>
            <w:tcW w:w="679" w:type="pct"/>
            <w:tcBorders>
              <w:top w:val="single" w:sz="4" w:space="0" w:color="auto"/>
              <w:left w:val="nil"/>
              <w:bottom w:val="nil"/>
              <w:right w:val="nil"/>
            </w:tcBorders>
          </w:tcPr>
          <w:p w14:paraId="78E8A4E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1.431</w:t>
            </w:r>
          </w:p>
        </w:tc>
        <w:tc>
          <w:tcPr>
            <w:tcW w:w="822" w:type="pct"/>
            <w:tcBorders>
              <w:top w:val="single" w:sz="4" w:space="0" w:color="auto"/>
              <w:left w:val="nil"/>
              <w:bottom w:val="nil"/>
              <w:right w:val="nil"/>
            </w:tcBorders>
          </w:tcPr>
          <w:p w14:paraId="100BD218"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12.283**</w:t>
            </w:r>
          </w:p>
        </w:tc>
      </w:tr>
      <w:tr w:rsidR="00CD4846" w:rsidRPr="00CD4846" w14:paraId="6A064621" w14:textId="77777777" w:rsidTr="00B82EB9">
        <w:tc>
          <w:tcPr>
            <w:tcW w:w="1462" w:type="pct"/>
            <w:tcBorders>
              <w:top w:val="nil"/>
              <w:left w:val="nil"/>
              <w:bottom w:val="nil"/>
              <w:right w:val="nil"/>
            </w:tcBorders>
          </w:tcPr>
          <w:p w14:paraId="6003A685" w14:textId="1C200D6A"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79" w:type="pct"/>
            <w:tcBorders>
              <w:top w:val="nil"/>
              <w:left w:val="nil"/>
              <w:bottom w:val="nil"/>
              <w:right w:val="nil"/>
            </w:tcBorders>
          </w:tcPr>
          <w:p w14:paraId="071822E6"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(24.293)</w:t>
            </w:r>
          </w:p>
        </w:tc>
        <w:tc>
          <w:tcPr>
            <w:tcW w:w="679" w:type="pct"/>
            <w:tcBorders>
              <w:top w:val="nil"/>
              <w:left w:val="nil"/>
              <w:bottom w:val="nil"/>
              <w:right w:val="nil"/>
            </w:tcBorders>
          </w:tcPr>
          <w:p w14:paraId="43FF7838"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(62.821)</w:t>
            </w:r>
          </w:p>
        </w:tc>
        <w:tc>
          <w:tcPr>
            <w:tcW w:w="679" w:type="pct"/>
            <w:tcBorders>
              <w:top w:val="nil"/>
              <w:left w:val="nil"/>
              <w:bottom w:val="nil"/>
              <w:right w:val="nil"/>
            </w:tcBorders>
          </w:tcPr>
          <w:p w14:paraId="3AB3CBB2"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(31.092)</w:t>
            </w:r>
          </w:p>
        </w:tc>
        <w:tc>
          <w:tcPr>
            <w:tcW w:w="679" w:type="pct"/>
            <w:tcBorders>
              <w:top w:val="nil"/>
              <w:left w:val="nil"/>
              <w:bottom w:val="nil"/>
              <w:right w:val="nil"/>
            </w:tcBorders>
          </w:tcPr>
          <w:p w14:paraId="1E9A2CD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(2.742)</w:t>
            </w:r>
          </w:p>
        </w:tc>
        <w:tc>
          <w:tcPr>
            <w:tcW w:w="822" w:type="pct"/>
            <w:tcBorders>
              <w:top w:val="nil"/>
              <w:left w:val="nil"/>
              <w:bottom w:val="nil"/>
              <w:right w:val="nil"/>
            </w:tcBorders>
          </w:tcPr>
          <w:p w14:paraId="1BB78216"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(5.805)</w:t>
            </w:r>
          </w:p>
        </w:tc>
      </w:tr>
      <w:tr w:rsidR="00CD4846" w:rsidRPr="00CD4846" w14:paraId="79881440" w14:textId="77777777" w:rsidTr="00B82EB9">
        <w:tc>
          <w:tcPr>
            <w:tcW w:w="1462" w:type="pct"/>
            <w:tcBorders>
              <w:top w:val="nil"/>
              <w:left w:val="nil"/>
              <w:bottom w:val="nil"/>
              <w:right w:val="nil"/>
            </w:tcBorders>
          </w:tcPr>
          <w:p w14:paraId="0DBD4C6A" w14:textId="14AF5B46"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Broad PADs Sq. (t-1)</w:t>
            </w:r>
          </w:p>
        </w:tc>
        <w:tc>
          <w:tcPr>
            <w:tcW w:w="679" w:type="pct"/>
            <w:tcBorders>
              <w:top w:val="nil"/>
              <w:left w:val="nil"/>
              <w:bottom w:val="nil"/>
              <w:right w:val="nil"/>
            </w:tcBorders>
          </w:tcPr>
          <w:p w14:paraId="32292B9E"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-42.575*</w:t>
            </w:r>
          </w:p>
        </w:tc>
        <w:tc>
          <w:tcPr>
            <w:tcW w:w="679" w:type="pct"/>
            <w:tcBorders>
              <w:top w:val="nil"/>
              <w:left w:val="nil"/>
              <w:bottom w:val="nil"/>
              <w:right w:val="nil"/>
            </w:tcBorders>
          </w:tcPr>
          <w:p w14:paraId="707B0D35"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9.568</w:t>
            </w:r>
          </w:p>
        </w:tc>
        <w:tc>
          <w:tcPr>
            <w:tcW w:w="679" w:type="pct"/>
            <w:tcBorders>
              <w:top w:val="nil"/>
              <w:left w:val="nil"/>
              <w:bottom w:val="nil"/>
              <w:right w:val="nil"/>
            </w:tcBorders>
          </w:tcPr>
          <w:p w14:paraId="3BB6AF07"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-35.457</w:t>
            </w:r>
          </w:p>
        </w:tc>
        <w:tc>
          <w:tcPr>
            <w:tcW w:w="679" w:type="pct"/>
            <w:tcBorders>
              <w:top w:val="nil"/>
              <w:left w:val="nil"/>
              <w:bottom w:val="nil"/>
              <w:right w:val="nil"/>
            </w:tcBorders>
          </w:tcPr>
          <w:p w14:paraId="6A657449"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-0.973</w:t>
            </w:r>
          </w:p>
        </w:tc>
        <w:tc>
          <w:tcPr>
            <w:tcW w:w="822" w:type="pct"/>
            <w:tcBorders>
              <w:top w:val="nil"/>
              <w:left w:val="nil"/>
              <w:bottom w:val="nil"/>
              <w:right w:val="nil"/>
            </w:tcBorders>
          </w:tcPr>
          <w:p w14:paraId="512AFF11"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-8.934</w:t>
            </w:r>
          </w:p>
        </w:tc>
      </w:tr>
      <w:tr w:rsidR="00CD4846" w:rsidRPr="00CD4846" w14:paraId="74B43070" w14:textId="77777777" w:rsidTr="00B82EB9">
        <w:tc>
          <w:tcPr>
            <w:tcW w:w="1462" w:type="pct"/>
            <w:tcBorders>
              <w:top w:val="nil"/>
              <w:left w:val="nil"/>
              <w:bottom w:val="nil"/>
              <w:right w:val="nil"/>
            </w:tcBorders>
          </w:tcPr>
          <w:p w14:paraId="747DDCB9" w14:textId="264D5603"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79" w:type="pct"/>
            <w:tcBorders>
              <w:top w:val="nil"/>
              <w:left w:val="nil"/>
              <w:bottom w:val="nil"/>
              <w:right w:val="nil"/>
            </w:tcBorders>
          </w:tcPr>
          <w:p w14:paraId="1B89A09E"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(22.289)</w:t>
            </w:r>
          </w:p>
        </w:tc>
        <w:tc>
          <w:tcPr>
            <w:tcW w:w="679" w:type="pct"/>
            <w:tcBorders>
              <w:top w:val="nil"/>
              <w:left w:val="nil"/>
              <w:bottom w:val="nil"/>
              <w:right w:val="nil"/>
            </w:tcBorders>
          </w:tcPr>
          <w:p w14:paraId="09E3872C"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(44.121)</w:t>
            </w:r>
          </w:p>
        </w:tc>
        <w:tc>
          <w:tcPr>
            <w:tcW w:w="679" w:type="pct"/>
            <w:tcBorders>
              <w:top w:val="nil"/>
              <w:left w:val="nil"/>
              <w:bottom w:val="nil"/>
              <w:right w:val="nil"/>
            </w:tcBorders>
          </w:tcPr>
          <w:p w14:paraId="78C5582E"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(31.009)</w:t>
            </w:r>
          </w:p>
        </w:tc>
        <w:tc>
          <w:tcPr>
            <w:tcW w:w="679" w:type="pct"/>
            <w:tcBorders>
              <w:top w:val="nil"/>
              <w:left w:val="nil"/>
              <w:bottom w:val="nil"/>
              <w:right w:val="nil"/>
            </w:tcBorders>
          </w:tcPr>
          <w:p w14:paraId="45D4DB91"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(3.106)</w:t>
            </w:r>
          </w:p>
        </w:tc>
        <w:tc>
          <w:tcPr>
            <w:tcW w:w="822" w:type="pct"/>
            <w:tcBorders>
              <w:top w:val="nil"/>
              <w:left w:val="nil"/>
              <w:bottom w:val="nil"/>
              <w:right w:val="nil"/>
            </w:tcBorders>
          </w:tcPr>
          <w:p w14:paraId="11F81116"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(5.608)</w:t>
            </w:r>
          </w:p>
        </w:tc>
      </w:tr>
      <w:tr w:rsidR="00CD4846" w:rsidRPr="00CD4846" w14:paraId="4D15EB28" w14:textId="77777777" w:rsidTr="00B82EB9">
        <w:tc>
          <w:tcPr>
            <w:tcW w:w="1462" w:type="pct"/>
            <w:tcBorders>
              <w:top w:val="nil"/>
              <w:left w:val="nil"/>
              <w:bottom w:val="nil"/>
              <w:right w:val="nil"/>
            </w:tcBorders>
          </w:tcPr>
          <w:p w14:paraId="3FB32269" w14:textId="7FE972CC"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Loc. Economies (t-1) (10ks)</w:t>
            </w:r>
          </w:p>
        </w:tc>
        <w:tc>
          <w:tcPr>
            <w:tcW w:w="679" w:type="pct"/>
            <w:tcBorders>
              <w:top w:val="nil"/>
              <w:left w:val="nil"/>
              <w:bottom w:val="nil"/>
              <w:right w:val="nil"/>
            </w:tcBorders>
          </w:tcPr>
          <w:p w14:paraId="563BFB5F"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58.820*</w:t>
            </w:r>
          </w:p>
        </w:tc>
        <w:tc>
          <w:tcPr>
            <w:tcW w:w="679" w:type="pct"/>
            <w:tcBorders>
              <w:top w:val="nil"/>
              <w:left w:val="nil"/>
              <w:bottom w:val="nil"/>
              <w:right w:val="nil"/>
            </w:tcBorders>
          </w:tcPr>
          <w:p w14:paraId="5627548F"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0.355</w:t>
            </w:r>
          </w:p>
        </w:tc>
        <w:tc>
          <w:tcPr>
            <w:tcW w:w="679" w:type="pct"/>
            <w:tcBorders>
              <w:top w:val="nil"/>
              <w:left w:val="nil"/>
              <w:bottom w:val="nil"/>
              <w:right w:val="nil"/>
            </w:tcBorders>
          </w:tcPr>
          <w:p w14:paraId="3DE3E51D"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451.718</w:t>
            </w:r>
          </w:p>
        </w:tc>
        <w:tc>
          <w:tcPr>
            <w:tcW w:w="679" w:type="pct"/>
            <w:tcBorders>
              <w:top w:val="nil"/>
              <w:left w:val="nil"/>
              <w:bottom w:val="nil"/>
              <w:right w:val="nil"/>
            </w:tcBorders>
          </w:tcPr>
          <w:p w14:paraId="6AD96A57"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1.028***</w:t>
            </w:r>
          </w:p>
        </w:tc>
        <w:tc>
          <w:tcPr>
            <w:tcW w:w="822" w:type="pct"/>
            <w:tcBorders>
              <w:top w:val="nil"/>
              <w:left w:val="nil"/>
              <w:bottom w:val="nil"/>
              <w:right w:val="nil"/>
            </w:tcBorders>
          </w:tcPr>
          <w:p w14:paraId="31D17F85"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-0.140</w:t>
            </w:r>
          </w:p>
        </w:tc>
      </w:tr>
      <w:tr w:rsidR="00CD4846" w:rsidRPr="00CD4846" w14:paraId="6C4DCFAF" w14:textId="77777777" w:rsidTr="00B82EB9">
        <w:tc>
          <w:tcPr>
            <w:tcW w:w="1462" w:type="pct"/>
            <w:tcBorders>
              <w:top w:val="nil"/>
              <w:left w:val="nil"/>
              <w:bottom w:val="nil"/>
              <w:right w:val="nil"/>
            </w:tcBorders>
          </w:tcPr>
          <w:p w14:paraId="5CEB2F34" w14:textId="39E607C7"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79" w:type="pct"/>
            <w:tcBorders>
              <w:top w:val="nil"/>
              <w:left w:val="nil"/>
              <w:bottom w:val="nil"/>
              <w:right w:val="nil"/>
            </w:tcBorders>
          </w:tcPr>
          <w:p w14:paraId="457EB748"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(32.632)</w:t>
            </w:r>
          </w:p>
        </w:tc>
        <w:tc>
          <w:tcPr>
            <w:tcW w:w="679" w:type="pct"/>
            <w:tcBorders>
              <w:top w:val="nil"/>
              <w:left w:val="nil"/>
              <w:bottom w:val="nil"/>
              <w:right w:val="nil"/>
            </w:tcBorders>
          </w:tcPr>
          <w:p w14:paraId="294A1362"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(13.949)</w:t>
            </w:r>
          </w:p>
        </w:tc>
        <w:tc>
          <w:tcPr>
            <w:tcW w:w="679" w:type="pct"/>
            <w:tcBorders>
              <w:top w:val="nil"/>
              <w:left w:val="nil"/>
              <w:bottom w:val="nil"/>
              <w:right w:val="nil"/>
            </w:tcBorders>
          </w:tcPr>
          <w:p w14:paraId="19D6625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(278.974)</w:t>
            </w:r>
          </w:p>
        </w:tc>
        <w:tc>
          <w:tcPr>
            <w:tcW w:w="679" w:type="pct"/>
            <w:tcBorders>
              <w:top w:val="nil"/>
              <w:left w:val="nil"/>
              <w:bottom w:val="nil"/>
              <w:right w:val="nil"/>
            </w:tcBorders>
          </w:tcPr>
          <w:p w14:paraId="50880909"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(0.273)</w:t>
            </w:r>
          </w:p>
        </w:tc>
        <w:tc>
          <w:tcPr>
            <w:tcW w:w="822" w:type="pct"/>
            <w:tcBorders>
              <w:top w:val="nil"/>
              <w:left w:val="nil"/>
              <w:bottom w:val="nil"/>
              <w:right w:val="nil"/>
            </w:tcBorders>
          </w:tcPr>
          <w:p w14:paraId="0DCF7F28"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(0.838)</w:t>
            </w:r>
          </w:p>
        </w:tc>
      </w:tr>
      <w:tr w:rsidR="00CD4846" w:rsidRPr="00CD4846" w14:paraId="060F8516" w14:textId="77777777" w:rsidTr="00B82EB9">
        <w:tc>
          <w:tcPr>
            <w:tcW w:w="1462" w:type="pct"/>
            <w:tcBorders>
              <w:top w:val="nil"/>
              <w:left w:val="nil"/>
              <w:bottom w:val="nil"/>
              <w:right w:val="nil"/>
            </w:tcBorders>
          </w:tcPr>
          <w:p w14:paraId="00256896" w14:textId="48C526F3"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Median HH Income (100ks)</w:t>
            </w:r>
          </w:p>
        </w:tc>
        <w:tc>
          <w:tcPr>
            <w:tcW w:w="679" w:type="pct"/>
            <w:tcBorders>
              <w:top w:val="nil"/>
              <w:left w:val="nil"/>
              <w:bottom w:val="nil"/>
              <w:right w:val="nil"/>
            </w:tcBorders>
          </w:tcPr>
          <w:p w14:paraId="3629E748"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4.184*</w:t>
            </w:r>
          </w:p>
        </w:tc>
        <w:tc>
          <w:tcPr>
            <w:tcW w:w="679" w:type="pct"/>
            <w:tcBorders>
              <w:top w:val="nil"/>
              <w:left w:val="nil"/>
              <w:bottom w:val="nil"/>
              <w:right w:val="nil"/>
            </w:tcBorders>
          </w:tcPr>
          <w:p w14:paraId="009A961E"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-2.575</w:t>
            </w:r>
          </w:p>
        </w:tc>
        <w:tc>
          <w:tcPr>
            <w:tcW w:w="679" w:type="pct"/>
            <w:tcBorders>
              <w:top w:val="nil"/>
              <w:left w:val="nil"/>
              <w:bottom w:val="nil"/>
              <w:right w:val="nil"/>
            </w:tcBorders>
          </w:tcPr>
          <w:p w14:paraId="457DC069"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4.576</w:t>
            </w:r>
          </w:p>
        </w:tc>
        <w:tc>
          <w:tcPr>
            <w:tcW w:w="679" w:type="pct"/>
            <w:tcBorders>
              <w:top w:val="nil"/>
              <w:left w:val="nil"/>
              <w:bottom w:val="nil"/>
              <w:right w:val="nil"/>
            </w:tcBorders>
          </w:tcPr>
          <w:p w14:paraId="044B48E0"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-0.483</w:t>
            </w:r>
          </w:p>
        </w:tc>
        <w:tc>
          <w:tcPr>
            <w:tcW w:w="822" w:type="pct"/>
            <w:tcBorders>
              <w:top w:val="nil"/>
              <w:left w:val="nil"/>
              <w:bottom w:val="nil"/>
              <w:right w:val="nil"/>
            </w:tcBorders>
          </w:tcPr>
          <w:p w14:paraId="57377850"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-0.155</w:t>
            </w:r>
          </w:p>
        </w:tc>
      </w:tr>
      <w:tr w:rsidR="00CD4846" w:rsidRPr="00CD4846" w14:paraId="59134055" w14:textId="77777777" w:rsidTr="00B82EB9">
        <w:tc>
          <w:tcPr>
            <w:tcW w:w="1462" w:type="pct"/>
            <w:tcBorders>
              <w:top w:val="nil"/>
              <w:left w:val="nil"/>
              <w:bottom w:val="nil"/>
              <w:right w:val="nil"/>
            </w:tcBorders>
          </w:tcPr>
          <w:p w14:paraId="1C713F50" w14:textId="4E7400F5"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79" w:type="pct"/>
            <w:tcBorders>
              <w:top w:val="nil"/>
              <w:left w:val="nil"/>
              <w:bottom w:val="nil"/>
              <w:right w:val="nil"/>
            </w:tcBorders>
          </w:tcPr>
          <w:p w14:paraId="3F969AE2"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(2.188)</w:t>
            </w:r>
          </w:p>
        </w:tc>
        <w:tc>
          <w:tcPr>
            <w:tcW w:w="679" w:type="pct"/>
            <w:tcBorders>
              <w:top w:val="nil"/>
              <w:left w:val="nil"/>
              <w:bottom w:val="nil"/>
              <w:right w:val="nil"/>
            </w:tcBorders>
          </w:tcPr>
          <w:p w14:paraId="0FC09A22"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(2.760)</w:t>
            </w:r>
          </w:p>
        </w:tc>
        <w:tc>
          <w:tcPr>
            <w:tcW w:w="679" w:type="pct"/>
            <w:tcBorders>
              <w:top w:val="nil"/>
              <w:left w:val="nil"/>
              <w:bottom w:val="nil"/>
              <w:right w:val="nil"/>
            </w:tcBorders>
          </w:tcPr>
          <w:p w14:paraId="6AE5CF82"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(3.328)</w:t>
            </w:r>
          </w:p>
        </w:tc>
        <w:tc>
          <w:tcPr>
            <w:tcW w:w="679" w:type="pct"/>
            <w:tcBorders>
              <w:top w:val="nil"/>
              <w:left w:val="nil"/>
              <w:bottom w:val="nil"/>
              <w:right w:val="nil"/>
            </w:tcBorders>
          </w:tcPr>
          <w:p w14:paraId="0D56A12C"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(0.337)</w:t>
            </w:r>
          </w:p>
        </w:tc>
        <w:tc>
          <w:tcPr>
            <w:tcW w:w="822" w:type="pct"/>
            <w:tcBorders>
              <w:top w:val="nil"/>
              <w:left w:val="nil"/>
              <w:bottom w:val="nil"/>
              <w:right w:val="nil"/>
            </w:tcBorders>
          </w:tcPr>
          <w:p w14:paraId="4F71BAAC"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(0.582)</w:t>
            </w:r>
          </w:p>
        </w:tc>
      </w:tr>
      <w:tr w:rsidR="00CD4846" w:rsidRPr="00CD4846" w14:paraId="5DFE3BD5" w14:textId="77777777" w:rsidTr="00B82EB9">
        <w:tc>
          <w:tcPr>
            <w:tcW w:w="1462" w:type="pct"/>
            <w:tcBorders>
              <w:top w:val="nil"/>
              <w:left w:val="nil"/>
              <w:bottom w:val="nil"/>
              <w:right w:val="nil"/>
            </w:tcBorders>
          </w:tcPr>
          <w:p w14:paraId="5297F3A4" w14:textId="5355982F"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Housing Price Index (100s)</w:t>
            </w:r>
          </w:p>
        </w:tc>
        <w:tc>
          <w:tcPr>
            <w:tcW w:w="679" w:type="pct"/>
            <w:tcBorders>
              <w:top w:val="nil"/>
              <w:left w:val="nil"/>
              <w:bottom w:val="nil"/>
              <w:right w:val="nil"/>
            </w:tcBorders>
          </w:tcPr>
          <w:p w14:paraId="2A6AB099"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-0.257*</w:t>
            </w:r>
          </w:p>
        </w:tc>
        <w:tc>
          <w:tcPr>
            <w:tcW w:w="679" w:type="pct"/>
            <w:tcBorders>
              <w:top w:val="nil"/>
              <w:left w:val="nil"/>
              <w:bottom w:val="nil"/>
              <w:right w:val="nil"/>
            </w:tcBorders>
          </w:tcPr>
          <w:p w14:paraId="5A05A523"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0.218</w:t>
            </w:r>
          </w:p>
        </w:tc>
        <w:tc>
          <w:tcPr>
            <w:tcW w:w="679" w:type="pct"/>
            <w:tcBorders>
              <w:top w:val="nil"/>
              <w:left w:val="nil"/>
              <w:bottom w:val="nil"/>
              <w:right w:val="nil"/>
            </w:tcBorders>
          </w:tcPr>
          <w:p w14:paraId="259D1B77"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-0.373</w:t>
            </w:r>
          </w:p>
        </w:tc>
        <w:tc>
          <w:tcPr>
            <w:tcW w:w="679" w:type="pct"/>
            <w:tcBorders>
              <w:top w:val="nil"/>
              <w:left w:val="nil"/>
              <w:bottom w:val="nil"/>
              <w:right w:val="nil"/>
            </w:tcBorders>
          </w:tcPr>
          <w:p w14:paraId="17335F5A"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0.083***</w:t>
            </w:r>
          </w:p>
        </w:tc>
        <w:tc>
          <w:tcPr>
            <w:tcW w:w="822" w:type="pct"/>
            <w:tcBorders>
              <w:top w:val="nil"/>
              <w:left w:val="nil"/>
              <w:bottom w:val="nil"/>
              <w:right w:val="nil"/>
            </w:tcBorders>
          </w:tcPr>
          <w:p w14:paraId="28DDBF3C"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0.006</w:t>
            </w:r>
          </w:p>
        </w:tc>
      </w:tr>
      <w:tr w:rsidR="00CD4846" w:rsidRPr="00CD4846" w14:paraId="2801CFCA" w14:textId="77777777" w:rsidTr="00B82EB9">
        <w:tc>
          <w:tcPr>
            <w:tcW w:w="1462" w:type="pct"/>
            <w:tcBorders>
              <w:top w:val="nil"/>
              <w:left w:val="nil"/>
              <w:bottom w:val="nil"/>
              <w:right w:val="nil"/>
            </w:tcBorders>
          </w:tcPr>
          <w:p w14:paraId="7D4A4ED0" w14:textId="15BC3378"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79" w:type="pct"/>
            <w:tcBorders>
              <w:top w:val="nil"/>
              <w:left w:val="nil"/>
              <w:bottom w:val="nil"/>
              <w:right w:val="nil"/>
            </w:tcBorders>
          </w:tcPr>
          <w:p w14:paraId="26BE8C1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(0.142)</w:t>
            </w:r>
          </w:p>
        </w:tc>
        <w:tc>
          <w:tcPr>
            <w:tcW w:w="679" w:type="pct"/>
            <w:tcBorders>
              <w:top w:val="nil"/>
              <w:left w:val="nil"/>
              <w:bottom w:val="nil"/>
              <w:right w:val="nil"/>
            </w:tcBorders>
          </w:tcPr>
          <w:p w14:paraId="7711BC1A"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(0.222)</w:t>
            </w:r>
          </w:p>
        </w:tc>
        <w:tc>
          <w:tcPr>
            <w:tcW w:w="679" w:type="pct"/>
            <w:tcBorders>
              <w:top w:val="nil"/>
              <w:left w:val="nil"/>
              <w:bottom w:val="nil"/>
              <w:right w:val="nil"/>
            </w:tcBorders>
          </w:tcPr>
          <w:p w14:paraId="7E6A188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(0.252)</w:t>
            </w:r>
          </w:p>
        </w:tc>
        <w:tc>
          <w:tcPr>
            <w:tcW w:w="679" w:type="pct"/>
            <w:tcBorders>
              <w:top w:val="nil"/>
              <w:left w:val="nil"/>
              <w:bottom w:val="nil"/>
              <w:right w:val="nil"/>
            </w:tcBorders>
          </w:tcPr>
          <w:p w14:paraId="473C8A4D"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(0.025)</w:t>
            </w:r>
          </w:p>
        </w:tc>
        <w:tc>
          <w:tcPr>
            <w:tcW w:w="822" w:type="pct"/>
            <w:tcBorders>
              <w:top w:val="nil"/>
              <w:left w:val="nil"/>
              <w:bottom w:val="nil"/>
              <w:right w:val="nil"/>
            </w:tcBorders>
          </w:tcPr>
          <w:p w14:paraId="789284E9"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(0.040)</w:t>
            </w:r>
          </w:p>
        </w:tc>
      </w:tr>
      <w:tr w:rsidR="00CD4846" w:rsidRPr="00CD4846" w14:paraId="6A3A06D7" w14:textId="77777777" w:rsidTr="00B82EB9">
        <w:tc>
          <w:tcPr>
            <w:tcW w:w="1462" w:type="pct"/>
            <w:tcBorders>
              <w:top w:val="nil"/>
              <w:left w:val="nil"/>
              <w:bottom w:val="nil"/>
              <w:right w:val="nil"/>
            </w:tcBorders>
          </w:tcPr>
          <w:p w14:paraId="688D36A5" w14:textId="700F47C0"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Poverty rate (100s)</w:t>
            </w:r>
          </w:p>
        </w:tc>
        <w:tc>
          <w:tcPr>
            <w:tcW w:w="679" w:type="pct"/>
            <w:tcBorders>
              <w:top w:val="nil"/>
              <w:left w:val="nil"/>
              <w:bottom w:val="nil"/>
              <w:right w:val="nil"/>
            </w:tcBorders>
          </w:tcPr>
          <w:p w14:paraId="0C7655F9"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-5.203</w:t>
            </w:r>
          </w:p>
        </w:tc>
        <w:tc>
          <w:tcPr>
            <w:tcW w:w="679" w:type="pct"/>
            <w:tcBorders>
              <w:top w:val="nil"/>
              <w:left w:val="nil"/>
              <w:bottom w:val="nil"/>
              <w:right w:val="nil"/>
            </w:tcBorders>
          </w:tcPr>
          <w:p w14:paraId="32CCF8DD"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-1.659</w:t>
            </w:r>
          </w:p>
        </w:tc>
        <w:tc>
          <w:tcPr>
            <w:tcW w:w="679" w:type="pct"/>
            <w:tcBorders>
              <w:top w:val="nil"/>
              <w:left w:val="nil"/>
              <w:bottom w:val="nil"/>
              <w:right w:val="nil"/>
            </w:tcBorders>
          </w:tcPr>
          <w:p w14:paraId="7C741418"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-7.500</w:t>
            </w:r>
          </w:p>
        </w:tc>
        <w:tc>
          <w:tcPr>
            <w:tcW w:w="679" w:type="pct"/>
            <w:tcBorders>
              <w:top w:val="nil"/>
              <w:left w:val="nil"/>
              <w:bottom w:val="nil"/>
              <w:right w:val="nil"/>
            </w:tcBorders>
          </w:tcPr>
          <w:p w14:paraId="0C33C672"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-2.016***</w:t>
            </w:r>
          </w:p>
        </w:tc>
        <w:tc>
          <w:tcPr>
            <w:tcW w:w="822" w:type="pct"/>
            <w:tcBorders>
              <w:top w:val="nil"/>
              <w:left w:val="nil"/>
              <w:bottom w:val="nil"/>
              <w:right w:val="nil"/>
            </w:tcBorders>
          </w:tcPr>
          <w:p w14:paraId="3950C248"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-0.327</w:t>
            </w:r>
          </w:p>
        </w:tc>
      </w:tr>
      <w:tr w:rsidR="00CD4846" w:rsidRPr="00CD4846" w14:paraId="3FFD1362" w14:textId="77777777" w:rsidTr="00B82EB9">
        <w:tc>
          <w:tcPr>
            <w:tcW w:w="1462" w:type="pct"/>
            <w:tcBorders>
              <w:top w:val="nil"/>
              <w:left w:val="nil"/>
              <w:bottom w:val="nil"/>
              <w:right w:val="nil"/>
            </w:tcBorders>
          </w:tcPr>
          <w:p w14:paraId="4F255945" w14:textId="154083B1"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79" w:type="pct"/>
            <w:tcBorders>
              <w:top w:val="nil"/>
              <w:left w:val="nil"/>
              <w:bottom w:val="nil"/>
              <w:right w:val="nil"/>
            </w:tcBorders>
          </w:tcPr>
          <w:p w14:paraId="66DE8CDF"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(3.736)</w:t>
            </w:r>
          </w:p>
        </w:tc>
        <w:tc>
          <w:tcPr>
            <w:tcW w:w="679" w:type="pct"/>
            <w:tcBorders>
              <w:top w:val="nil"/>
              <w:left w:val="nil"/>
              <w:bottom w:val="nil"/>
              <w:right w:val="nil"/>
            </w:tcBorders>
          </w:tcPr>
          <w:p w14:paraId="02CF3AEE"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(4.692)</w:t>
            </w:r>
          </w:p>
        </w:tc>
        <w:tc>
          <w:tcPr>
            <w:tcW w:w="679" w:type="pct"/>
            <w:tcBorders>
              <w:top w:val="nil"/>
              <w:left w:val="nil"/>
              <w:bottom w:val="nil"/>
              <w:right w:val="nil"/>
            </w:tcBorders>
          </w:tcPr>
          <w:p w14:paraId="63146FDC"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(5.809)</w:t>
            </w:r>
          </w:p>
        </w:tc>
        <w:tc>
          <w:tcPr>
            <w:tcW w:w="679" w:type="pct"/>
            <w:tcBorders>
              <w:top w:val="nil"/>
              <w:left w:val="nil"/>
              <w:bottom w:val="nil"/>
              <w:right w:val="nil"/>
            </w:tcBorders>
          </w:tcPr>
          <w:p w14:paraId="22143BFE"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(0.648)</w:t>
            </w:r>
          </w:p>
        </w:tc>
        <w:tc>
          <w:tcPr>
            <w:tcW w:w="822" w:type="pct"/>
            <w:tcBorders>
              <w:top w:val="nil"/>
              <w:left w:val="nil"/>
              <w:bottom w:val="nil"/>
              <w:right w:val="nil"/>
            </w:tcBorders>
          </w:tcPr>
          <w:p w14:paraId="7D4E4D6C"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(1.097)</w:t>
            </w:r>
          </w:p>
        </w:tc>
      </w:tr>
      <w:tr w:rsidR="00CD4846" w:rsidRPr="00CD4846" w14:paraId="00656E41" w14:textId="77777777" w:rsidTr="00B82EB9">
        <w:tc>
          <w:tcPr>
            <w:tcW w:w="1462" w:type="pct"/>
            <w:tcBorders>
              <w:top w:val="nil"/>
              <w:left w:val="nil"/>
              <w:bottom w:val="nil"/>
              <w:right w:val="nil"/>
            </w:tcBorders>
          </w:tcPr>
          <w:p w14:paraId="6ADD66D9" w14:textId="6708E95A"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Avg annual wages (100k)</w:t>
            </w:r>
          </w:p>
        </w:tc>
        <w:tc>
          <w:tcPr>
            <w:tcW w:w="679" w:type="pct"/>
            <w:tcBorders>
              <w:top w:val="nil"/>
              <w:left w:val="nil"/>
              <w:bottom w:val="nil"/>
              <w:right w:val="nil"/>
            </w:tcBorders>
          </w:tcPr>
          <w:p w14:paraId="4ABF8147"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-0.078</w:t>
            </w:r>
          </w:p>
        </w:tc>
        <w:tc>
          <w:tcPr>
            <w:tcW w:w="679" w:type="pct"/>
            <w:tcBorders>
              <w:top w:val="nil"/>
              <w:left w:val="nil"/>
              <w:bottom w:val="nil"/>
              <w:right w:val="nil"/>
            </w:tcBorders>
          </w:tcPr>
          <w:p w14:paraId="2FCF50BE"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-0.010</w:t>
            </w:r>
          </w:p>
        </w:tc>
        <w:tc>
          <w:tcPr>
            <w:tcW w:w="679" w:type="pct"/>
            <w:tcBorders>
              <w:top w:val="nil"/>
              <w:left w:val="nil"/>
              <w:bottom w:val="nil"/>
              <w:right w:val="nil"/>
            </w:tcBorders>
          </w:tcPr>
          <w:p w14:paraId="3F595B98"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0.085</w:t>
            </w:r>
          </w:p>
        </w:tc>
        <w:tc>
          <w:tcPr>
            <w:tcW w:w="679" w:type="pct"/>
            <w:tcBorders>
              <w:top w:val="nil"/>
              <w:left w:val="nil"/>
              <w:bottom w:val="nil"/>
              <w:right w:val="nil"/>
            </w:tcBorders>
          </w:tcPr>
          <w:p w14:paraId="621BB680"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0.013</w:t>
            </w:r>
          </w:p>
        </w:tc>
        <w:tc>
          <w:tcPr>
            <w:tcW w:w="822" w:type="pct"/>
            <w:tcBorders>
              <w:top w:val="nil"/>
              <w:left w:val="nil"/>
              <w:bottom w:val="nil"/>
              <w:right w:val="nil"/>
            </w:tcBorders>
          </w:tcPr>
          <w:p w14:paraId="5C3535FF"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-0.021</w:t>
            </w:r>
          </w:p>
        </w:tc>
      </w:tr>
      <w:tr w:rsidR="00CD4846" w:rsidRPr="00CD4846" w14:paraId="7D896BBB" w14:textId="77777777" w:rsidTr="00B82EB9">
        <w:tc>
          <w:tcPr>
            <w:tcW w:w="1462" w:type="pct"/>
            <w:tcBorders>
              <w:top w:val="nil"/>
              <w:left w:val="nil"/>
              <w:bottom w:val="nil"/>
              <w:right w:val="nil"/>
            </w:tcBorders>
          </w:tcPr>
          <w:p w14:paraId="4E435555" w14:textId="5BED098B"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79" w:type="pct"/>
            <w:tcBorders>
              <w:top w:val="nil"/>
              <w:left w:val="nil"/>
              <w:bottom w:val="nil"/>
              <w:right w:val="nil"/>
            </w:tcBorders>
          </w:tcPr>
          <w:p w14:paraId="082D6DAF"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(0.123)</w:t>
            </w:r>
          </w:p>
        </w:tc>
        <w:tc>
          <w:tcPr>
            <w:tcW w:w="679" w:type="pct"/>
            <w:tcBorders>
              <w:top w:val="nil"/>
              <w:left w:val="nil"/>
              <w:bottom w:val="nil"/>
              <w:right w:val="nil"/>
            </w:tcBorders>
          </w:tcPr>
          <w:p w14:paraId="51D57F3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(0.027)</w:t>
            </w:r>
          </w:p>
        </w:tc>
        <w:tc>
          <w:tcPr>
            <w:tcW w:w="679" w:type="pct"/>
            <w:tcBorders>
              <w:top w:val="nil"/>
              <w:left w:val="nil"/>
              <w:bottom w:val="nil"/>
              <w:right w:val="nil"/>
            </w:tcBorders>
          </w:tcPr>
          <w:p w14:paraId="067EDE2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(0.093)</w:t>
            </w:r>
          </w:p>
        </w:tc>
        <w:tc>
          <w:tcPr>
            <w:tcW w:w="679" w:type="pct"/>
            <w:tcBorders>
              <w:top w:val="nil"/>
              <w:left w:val="nil"/>
              <w:bottom w:val="nil"/>
              <w:right w:val="nil"/>
            </w:tcBorders>
          </w:tcPr>
          <w:p w14:paraId="4C1DC208"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(0.024)</w:t>
            </w:r>
          </w:p>
        </w:tc>
        <w:tc>
          <w:tcPr>
            <w:tcW w:w="822" w:type="pct"/>
            <w:tcBorders>
              <w:top w:val="nil"/>
              <w:left w:val="nil"/>
              <w:bottom w:val="nil"/>
              <w:right w:val="nil"/>
            </w:tcBorders>
          </w:tcPr>
          <w:p w14:paraId="2CA97F67"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(0.023)</w:t>
            </w:r>
          </w:p>
        </w:tc>
      </w:tr>
      <w:tr w:rsidR="00CD4846" w:rsidRPr="00CD4846" w14:paraId="7C9700BA" w14:textId="77777777" w:rsidTr="00B82EB9">
        <w:tc>
          <w:tcPr>
            <w:tcW w:w="1462" w:type="pct"/>
            <w:tcBorders>
              <w:top w:val="nil"/>
              <w:left w:val="nil"/>
              <w:bottom w:val="nil"/>
              <w:right w:val="nil"/>
            </w:tcBorders>
          </w:tcPr>
          <w:p w14:paraId="1BF6D28E" w14:textId="2F941042"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Attain. Status - CO (t-1)</w:t>
            </w:r>
          </w:p>
        </w:tc>
        <w:tc>
          <w:tcPr>
            <w:tcW w:w="679" w:type="pct"/>
            <w:tcBorders>
              <w:top w:val="nil"/>
              <w:left w:val="nil"/>
              <w:bottom w:val="nil"/>
              <w:right w:val="nil"/>
            </w:tcBorders>
          </w:tcPr>
          <w:p w14:paraId="66F86188"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3.181</w:t>
            </w:r>
          </w:p>
        </w:tc>
        <w:tc>
          <w:tcPr>
            <w:tcW w:w="679" w:type="pct"/>
            <w:tcBorders>
              <w:top w:val="nil"/>
              <w:left w:val="nil"/>
              <w:bottom w:val="nil"/>
              <w:right w:val="nil"/>
            </w:tcBorders>
          </w:tcPr>
          <w:p w14:paraId="61C29757"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79" w:type="pct"/>
            <w:tcBorders>
              <w:top w:val="nil"/>
              <w:left w:val="nil"/>
              <w:bottom w:val="nil"/>
              <w:right w:val="nil"/>
            </w:tcBorders>
          </w:tcPr>
          <w:p w14:paraId="0134C4E4"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79" w:type="pct"/>
            <w:tcBorders>
              <w:top w:val="nil"/>
              <w:left w:val="nil"/>
              <w:bottom w:val="nil"/>
              <w:right w:val="nil"/>
            </w:tcBorders>
          </w:tcPr>
          <w:p w14:paraId="607221F6"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0.381</w:t>
            </w:r>
          </w:p>
        </w:tc>
        <w:tc>
          <w:tcPr>
            <w:tcW w:w="822" w:type="pct"/>
            <w:tcBorders>
              <w:top w:val="nil"/>
              <w:left w:val="nil"/>
              <w:bottom w:val="nil"/>
              <w:right w:val="nil"/>
            </w:tcBorders>
          </w:tcPr>
          <w:p w14:paraId="158DD0FC"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1.125*</w:t>
            </w:r>
          </w:p>
        </w:tc>
      </w:tr>
      <w:tr w:rsidR="00CD4846" w:rsidRPr="00CD4846" w14:paraId="1626632C" w14:textId="77777777" w:rsidTr="00B82EB9">
        <w:tc>
          <w:tcPr>
            <w:tcW w:w="1462" w:type="pct"/>
            <w:tcBorders>
              <w:top w:val="nil"/>
              <w:left w:val="nil"/>
              <w:bottom w:val="nil"/>
              <w:right w:val="nil"/>
            </w:tcBorders>
          </w:tcPr>
          <w:p w14:paraId="4803CDB7" w14:textId="5E4089FE"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79" w:type="pct"/>
            <w:tcBorders>
              <w:top w:val="nil"/>
              <w:left w:val="nil"/>
              <w:bottom w:val="nil"/>
              <w:right w:val="nil"/>
            </w:tcBorders>
          </w:tcPr>
          <w:p w14:paraId="54F7BFE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(2.256)</w:t>
            </w:r>
          </w:p>
        </w:tc>
        <w:tc>
          <w:tcPr>
            <w:tcW w:w="679" w:type="pct"/>
            <w:tcBorders>
              <w:top w:val="nil"/>
              <w:left w:val="nil"/>
              <w:bottom w:val="nil"/>
              <w:right w:val="nil"/>
            </w:tcBorders>
          </w:tcPr>
          <w:p w14:paraId="3F8A7D6D"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79" w:type="pct"/>
            <w:tcBorders>
              <w:top w:val="nil"/>
              <w:left w:val="nil"/>
              <w:bottom w:val="nil"/>
              <w:right w:val="nil"/>
            </w:tcBorders>
          </w:tcPr>
          <w:p w14:paraId="3EFA9D62"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79" w:type="pct"/>
            <w:tcBorders>
              <w:top w:val="nil"/>
              <w:left w:val="nil"/>
              <w:bottom w:val="nil"/>
              <w:right w:val="nil"/>
            </w:tcBorders>
          </w:tcPr>
          <w:p w14:paraId="2F7489D3"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(0.427)</w:t>
            </w:r>
          </w:p>
        </w:tc>
        <w:tc>
          <w:tcPr>
            <w:tcW w:w="822" w:type="pct"/>
            <w:tcBorders>
              <w:top w:val="nil"/>
              <w:left w:val="nil"/>
              <w:bottom w:val="nil"/>
              <w:right w:val="nil"/>
            </w:tcBorders>
          </w:tcPr>
          <w:p w14:paraId="24D83999"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(0.683)</w:t>
            </w:r>
          </w:p>
        </w:tc>
      </w:tr>
      <w:tr w:rsidR="00CD4846" w:rsidRPr="00CD4846" w14:paraId="3DDB132E" w14:textId="77777777" w:rsidTr="00B82EB9">
        <w:tc>
          <w:tcPr>
            <w:tcW w:w="1462" w:type="pct"/>
            <w:tcBorders>
              <w:top w:val="nil"/>
              <w:left w:val="nil"/>
              <w:bottom w:val="nil"/>
              <w:right w:val="nil"/>
            </w:tcBorders>
          </w:tcPr>
          <w:p w14:paraId="59B7587D" w14:textId="6CFAC331"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Attain. Status - Pb (t-1)</w:t>
            </w:r>
          </w:p>
        </w:tc>
        <w:tc>
          <w:tcPr>
            <w:tcW w:w="679" w:type="pct"/>
            <w:tcBorders>
              <w:top w:val="nil"/>
              <w:left w:val="nil"/>
              <w:bottom w:val="nil"/>
              <w:right w:val="nil"/>
            </w:tcBorders>
          </w:tcPr>
          <w:p w14:paraId="69CA9484"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1.130</w:t>
            </w:r>
          </w:p>
        </w:tc>
        <w:tc>
          <w:tcPr>
            <w:tcW w:w="679" w:type="pct"/>
            <w:tcBorders>
              <w:top w:val="nil"/>
              <w:left w:val="nil"/>
              <w:bottom w:val="nil"/>
              <w:right w:val="nil"/>
            </w:tcBorders>
          </w:tcPr>
          <w:p w14:paraId="1BB07561"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0.690</w:t>
            </w:r>
          </w:p>
        </w:tc>
        <w:tc>
          <w:tcPr>
            <w:tcW w:w="679" w:type="pct"/>
            <w:tcBorders>
              <w:top w:val="nil"/>
              <w:left w:val="nil"/>
              <w:bottom w:val="nil"/>
              <w:right w:val="nil"/>
            </w:tcBorders>
          </w:tcPr>
          <w:p w14:paraId="5B93D384"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2.780</w:t>
            </w:r>
          </w:p>
        </w:tc>
        <w:tc>
          <w:tcPr>
            <w:tcW w:w="679" w:type="pct"/>
            <w:tcBorders>
              <w:top w:val="nil"/>
              <w:left w:val="nil"/>
              <w:bottom w:val="nil"/>
              <w:right w:val="nil"/>
            </w:tcBorders>
          </w:tcPr>
          <w:p w14:paraId="51266185"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-0.001</w:t>
            </w:r>
          </w:p>
        </w:tc>
        <w:tc>
          <w:tcPr>
            <w:tcW w:w="822" w:type="pct"/>
            <w:tcBorders>
              <w:top w:val="nil"/>
              <w:left w:val="nil"/>
              <w:bottom w:val="nil"/>
              <w:right w:val="nil"/>
            </w:tcBorders>
          </w:tcPr>
          <w:p w14:paraId="4877FABD"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-0.128</w:t>
            </w:r>
          </w:p>
        </w:tc>
      </w:tr>
      <w:tr w:rsidR="00CD4846" w:rsidRPr="00CD4846" w14:paraId="1CA04685" w14:textId="77777777" w:rsidTr="00B82EB9">
        <w:tc>
          <w:tcPr>
            <w:tcW w:w="1462" w:type="pct"/>
            <w:tcBorders>
              <w:top w:val="nil"/>
              <w:left w:val="nil"/>
              <w:bottom w:val="nil"/>
              <w:right w:val="nil"/>
            </w:tcBorders>
          </w:tcPr>
          <w:p w14:paraId="187BA27B" w14:textId="6B1F1A8C"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79" w:type="pct"/>
            <w:tcBorders>
              <w:top w:val="nil"/>
              <w:left w:val="nil"/>
              <w:bottom w:val="nil"/>
              <w:right w:val="nil"/>
            </w:tcBorders>
          </w:tcPr>
          <w:p w14:paraId="5A150932"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(0.963)</w:t>
            </w:r>
          </w:p>
        </w:tc>
        <w:tc>
          <w:tcPr>
            <w:tcW w:w="679" w:type="pct"/>
            <w:tcBorders>
              <w:top w:val="nil"/>
              <w:left w:val="nil"/>
              <w:bottom w:val="nil"/>
              <w:right w:val="nil"/>
            </w:tcBorders>
          </w:tcPr>
          <w:p w14:paraId="740EAC10"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(0.872)</w:t>
            </w:r>
          </w:p>
        </w:tc>
        <w:tc>
          <w:tcPr>
            <w:tcW w:w="679" w:type="pct"/>
            <w:tcBorders>
              <w:top w:val="nil"/>
              <w:left w:val="nil"/>
              <w:bottom w:val="nil"/>
              <w:right w:val="nil"/>
            </w:tcBorders>
          </w:tcPr>
          <w:p w14:paraId="71EBC70A"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(1.846)</w:t>
            </w:r>
          </w:p>
        </w:tc>
        <w:tc>
          <w:tcPr>
            <w:tcW w:w="679" w:type="pct"/>
            <w:tcBorders>
              <w:top w:val="nil"/>
              <w:left w:val="nil"/>
              <w:bottom w:val="nil"/>
              <w:right w:val="nil"/>
            </w:tcBorders>
          </w:tcPr>
          <w:p w14:paraId="7D3FB3C1"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(0.146)</w:t>
            </w:r>
          </w:p>
        </w:tc>
        <w:tc>
          <w:tcPr>
            <w:tcW w:w="822" w:type="pct"/>
            <w:tcBorders>
              <w:top w:val="nil"/>
              <w:left w:val="nil"/>
              <w:bottom w:val="nil"/>
              <w:right w:val="nil"/>
            </w:tcBorders>
          </w:tcPr>
          <w:p w14:paraId="0FDFED53"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(0.193)</w:t>
            </w:r>
          </w:p>
        </w:tc>
      </w:tr>
      <w:tr w:rsidR="00CD4846" w:rsidRPr="00CD4846" w14:paraId="735FFF89" w14:textId="77777777" w:rsidTr="00B82EB9">
        <w:tc>
          <w:tcPr>
            <w:tcW w:w="1462" w:type="pct"/>
            <w:tcBorders>
              <w:top w:val="nil"/>
              <w:left w:val="nil"/>
              <w:bottom w:val="nil"/>
              <w:right w:val="nil"/>
            </w:tcBorders>
          </w:tcPr>
          <w:p w14:paraId="4BBE2D17" w14:textId="234A4E7E"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Attain. Status - O3 (t-1)</w:t>
            </w:r>
          </w:p>
        </w:tc>
        <w:tc>
          <w:tcPr>
            <w:tcW w:w="679" w:type="pct"/>
            <w:tcBorders>
              <w:top w:val="nil"/>
              <w:left w:val="nil"/>
              <w:bottom w:val="nil"/>
              <w:right w:val="nil"/>
            </w:tcBorders>
          </w:tcPr>
          <w:p w14:paraId="59D49DDA"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0.275</w:t>
            </w:r>
          </w:p>
        </w:tc>
        <w:tc>
          <w:tcPr>
            <w:tcW w:w="679" w:type="pct"/>
            <w:tcBorders>
              <w:top w:val="nil"/>
              <w:left w:val="nil"/>
              <w:bottom w:val="nil"/>
              <w:right w:val="nil"/>
            </w:tcBorders>
          </w:tcPr>
          <w:p w14:paraId="4CB88D82"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0.285</w:t>
            </w:r>
          </w:p>
        </w:tc>
        <w:tc>
          <w:tcPr>
            <w:tcW w:w="679" w:type="pct"/>
            <w:tcBorders>
              <w:top w:val="nil"/>
              <w:left w:val="nil"/>
              <w:bottom w:val="nil"/>
              <w:right w:val="nil"/>
            </w:tcBorders>
          </w:tcPr>
          <w:p w14:paraId="5F19A1D8"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0.218</w:t>
            </w:r>
          </w:p>
        </w:tc>
        <w:tc>
          <w:tcPr>
            <w:tcW w:w="679" w:type="pct"/>
            <w:tcBorders>
              <w:top w:val="nil"/>
              <w:left w:val="nil"/>
              <w:bottom w:val="nil"/>
              <w:right w:val="nil"/>
            </w:tcBorders>
          </w:tcPr>
          <w:p w14:paraId="7562D1B4"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0.041</w:t>
            </w:r>
          </w:p>
        </w:tc>
        <w:tc>
          <w:tcPr>
            <w:tcW w:w="822" w:type="pct"/>
            <w:tcBorders>
              <w:top w:val="nil"/>
              <w:left w:val="nil"/>
              <w:bottom w:val="nil"/>
              <w:right w:val="nil"/>
            </w:tcBorders>
          </w:tcPr>
          <w:p w14:paraId="6B13D85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0.091</w:t>
            </w:r>
          </w:p>
        </w:tc>
      </w:tr>
      <w:tr w:rsidR="00CD4846" w:rsidRPr="00CD4846" w14:paraId="0AD5964F" w14:textId="77777777" w:rsidTr="00B82EB9">
        <w:tc>
          <w:tcPr>
            <w:tcW w:w="1462" w:type="pct"/>
            <w:tcBorders>
              <w:top w:val="nil"/>
              <w:left w:val="nil"/>
              <w:bottom w:val="nil"/>
              <w:right w:val="nil"/>
            </w:tcBorders>
          </w:tcPr>
          <w:p w14:paraId="44DB1AF0" w14:textId="74B20552"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79" w:type="pct"/>
            <w:tcBorders>
              <w:top w:val="nil"/>
              <w:left w:val="nil"/>
              <w:bottom w:val="nil"/>
              <w:right w:val="nil"/>
            </w:tcBorders>
          </w:tcPr>
          <w:p w14:paraId="24A53FE2"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(0.213)</w:t>
            </w:r>
          </w:p>
        </w:tc>
        <w:tc>
          <w:tcPr>
            <w:tcW w:w="679" w:type="pct"/>
            <w:tcBorders>
              <w:top w:val="nil"/>
              <w:left w:val="nil"/>
              <w:bottom w:val="nil"/>
              <w:right w:val="nil"/>
            </w:tcBorders>
          </w:tcPr>
          <w:p w14:paraId="72907AA5"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(0.217)</w:t>
            </w:r>
          </w:p>
        </w:tc>
        <w:tc>
          <w:tcPr>
            <w:tcW w:w="679" w:type="pct"/>
            <w:tcBorders>
              <w:top w:val="nil"/>
              <w:left w:val="nil"/>
              <w:bottom w:val="nil"/>
              <w:right w:val="nil"/>
            </w:tcBorders>
          </w:tcPr>
          <w:p w14:paraId="2BBDF8F7"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(0.321)</w:t>
            </w:r>
          </w:p>
        </w:tc>
        <w:tc>
          <w:tcPr>
            <w:tcW w:w="679" w:type="pct"/>
            <w:tcBorders>
              <w:top w:val="nil"/>
              <w:left w:val="nil"/>
              <w:bottom w:val="nil"/>
              <w:right w:val="nil"/>
            </w:tcBorders>
          </w:tcPr>
          <w:p w14:paraId="3204DA4C"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(0.037)</w:t>
            </w:r>
          </w:p>
        </w:tc>
        <w:tc>
          <w:tcPr>
            <w:tcW w:w="822" w:type="pct"/>
            <w:tcBorders>
              <w:top w:val="nil"/>
              <w:left w:val="nil"/>
              <w:bottom w:val="nil"/>
              <w:right w:val="nil"/>
            </w:tcBorders>
          </w:tcPr>
          <w:p w14:paraId="7F3762C8"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(0.059)</w:t>
            </w:r>
          </w:p>
        </w:tc>
      </w:tr>
      <w:tr w:rsidR="00CD4846" w:rsidRPr="00CD4846" w14:paraId="47ACF012" w14:textId="77777777" w:rsidTr="00B82EB9">
        <w:tc>
          <w:tcPr>
            <w:tcW w:w="1462" w:type="pct"/>
            <w:tcBorders>
              <w:top w:val="nil"/>
              <w:left w:val="nil"/>
              <w:bottom w:val="nil"/>
              <w:right w:val="nil"/>
            </w:tcBorders>
          </w:tcPr>
          <w:p w14:paraId="3EF40DB8" w14:textId="6C831AEA"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Attain. Status - PM (t-1)</w:t>
            </w:r>
          </w:p>
        </w:tc>
        <w:tc>
          <w:tcPr>
            <w:tcW w:w="679" w:type="pct"/>
            <w:tcBorders>
              <w:top w:val="nil"/>
              <w:left w:val="nil"/>
              <w:bottom w:val="nil"/>
              <w:right w:val="nil"/>
            </w:tcBorders>
          </w:tcPr>
          <w:p w14:paraId="33BF2E73"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0.224</w:t>
            </w:r>
          </w:p>
        </w:tc>
        <w:tc>
          <w:tcPr>
            <w:tcW w:w="679" w:type="pct"/>
            <w:tcBorders>
              <w:top w:val="nil"/>
              <w:left w:val="nil"/>
              <w:bottom w:val="nil"/>
              <w:right w:val="nil"/>
            </w:tcBorders>
          </w:tcPr>
          <w:p w14:paraId="4865CD1D"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0.230</w:t>
            </w:r>
          </w:p>
        </w:tc>
        <w:tc>
          <w:tcPr>
            <w:tcW w:w="679" w:type="pct"/>
            <w:tcBorders>
              <w:top w:val="nil"/>
              <w:left w:val="nil"/>
              <w:bottom w:val="nil"/>
              <w:right w:val="nil"/>
            </w:tcBorders>
          </w:tcPr>
          <w:p w14:paraId="047ABB7D"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0.650*</w:t>
            </w:r>
          </w:p>
        </w:tc>
        <w:tc>
          <w:tcPr>
            <w:tcW w:w="679" w:type="pct"/>
            <w:tcBorders>
              <w:top w:val="nil"/>
              <w:left w:val="nil"/>
              <w:bottom w:val="nil"/>
              <w:right w:val="nil"/>
            </w:tcBorders>
          </w:tcPr>
          <w:p w14:paraId="737757BD"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0.023</w:t>
            </w:r>
          </w:p>
        </w:tc>
        <w:tc>
          <w:tcPr>
            <w:tcW w:w="822" w:type="pct"/>
            <w:tcBorders>
              <w:top w:val="nil"/>
              <w:left w:val="nil"/>
              <w:bottom w:val="nil"/>
              <w:right w:val="nil"/>
            </w:tcBorders>
          </w:tcPr>
          <w:p w14:paraId="446DE9BE"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0.013</w:t>
            </w:r>
          </w:p>
        </w:tc>
      </w:tr>
      <w:tr w:rsidR="00CD4846" w:rsidRPr="00CD4846" w14:paraId="70BF7588" w14:textId="77777777" w:rsidTr="00B82EB9">
        <w:tc>
          <w:tcPr>
            <w:tcW w:w="1462" w:type="pct"/>
            <w:tcBorders>
              <w:top w:val="nil"/>
              <w:left w:val="nil"/>
              <w:bottom w:val="nil"/>
              <w:right w:val="nil"/>
            </w:tcBorders>
          </w:tcPr>
          <w:p w14:paraId="5082B868" w14:textId="7CAC7439"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79" w:type="pct"/>
            <w:tcBorders>
              <w:top w:val="nil"/>
              <w:left w:val="nil"/>
              <w:bottom w:val="nil"/>
              <w:right w:val="nil"/>
            </w:tcBorders>
          </w:tcPr>
          <w:p w14:paraId="41E94DC4"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(0.187)</w:t>
            </w:r>
          </w:p>
        </w:tc>
        <w:tc>
          <w:tcPr>
            <w:tcW w:w="679" w:type="pct"/>
            <w:tcBorders>
              <w:top w:val="nil"/>
              <w:left w:val="nil"/>
              <w:bottom w:val="nil"/>
              <w:right w:val="nil"/>
            </w:tcBorders>
          </w:tcPr>
          <w:p w14:paraId="2E5925D5"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(0.269)</w:t>
            </w:r>
          </w:p>
        </w:tc>
        <w:tc>
          <w:tcPr>
            <w:tcW w:w="679" w:type="pct"/>
            <w:tcBorders>
              <w:top w:val="nil"/>
              <w:left w:val="nil"/>
              <w:bottom w:val="nil"/>
              <w:right w:val="nil"/>
            </w:tcBorders>
          </w:tcPr>
          <w:p w14:paraId="2D0D16C0"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(0.338)</w:t>
            </w:r>
          </w:p>
        </w:tc>
        <w:tc>
          <w:tcPr>
            <w:tcW w:w="679" w:type="pct"/>
            <w:tcBorders>
              <w:top w:val="nil"/>
              <w:left w:val="nil"/>
              <w:bottom w:val="nil"/>
              <w:right w:val="nil"/>
            </w:tcBorders>
          </w:tcPr>
          <w:p w14:paraId="6A2E8A55"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(0.029)</w:t>
            </w:r>
          </w:p>
        </w:tc>
        <w:tc>
          <w:tcPr>
            <w:tcW w:w="822" w:type="pct"/>
            <w:tcBorders>
              <w:top w:val="nil"/>
              <w:left w:val="nil"/>
              <w:bottom w:val="nil"/>
              <w:right w:val="nil"/>
            </w:tcBorders>
          </w:tcPr>
          <w:p w14:paraId="167DBCC4"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(0.041)</w:t>
            </w:r>
          </w:p>
        </w:tc>
      </w:tr>
      <w:tr w:rsidR="00CD4846" w:rsidRPr="00CD4846" w14:paraId="1991A360" w14:textId="77777777" w:rsidTr="00B82EB9">
        <w:tc>
          <w:tcPr>
            <w:tcW w:w="1462" w:type="pct"/>
            <w:tcBorders>
              <w:top w:val="nil"/>
              <w:left w:val="nil"/>
              <w:bottom w:val="nil"/>
              <w:right w:val="nil"/>
            </w:tcBorders>
          </w:tcPr>
          <w:p w14:paraId="7C0CC36F"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Attain. Status - SO2 (t-1)</w:t>
            </w:r>
          </w:p>
        </w:tc>
        <w:tc>
          <w:tcPr>
            <w:tcW w:w="679" w:type="pct"/>
            <w:tcBorders>
              <w:top w:val="nil"/>
              <w:left w:val="nil"/>
              <w:bottom w:val="nil"/>
              <w:right w:val="nil"/>
            </w:tcBorders>
          </w:tcPr>
          <w:p w14:paraId="10B28239"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0.118</w:t>
            </w:r>
          </w:p>
        </w:tc>
        <w:tc>
          <w:tcPr>
            <w:tcW w:w="679" w:type="pct"/>
            <w:tcBorders>
              <w:top w:val="nil"/>
              <w:left w:val="nil"/>
              <w:bottom w:val="nil"/>
              <w:right w:val="nil"/>
            </w:tcBorders>
          </w:tcPr>
          <w:p w14:paraId="2B3A72CA"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-0.174</w:t>
            </w:r>
          </w:p>
        </w:tc>
        <w:tc>
          <w:tcPr>
            <w:tcW w:w="679" w:type="pct"/>
            <w:tcBorders>
              <w:top w:val="nil"/>
              <w:left w:val="nil"/>
              <w:bottom w:val="nil"/>
              <w:right w:val="nil"/>
            </w:tcBorders>
          </w:tcPr>
          <w:p w14:paraId="7C527E0E"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0.646</w:t>
            </w:r>
          </w:p>
        </w:tc>
        <w:tc>
          <w:tcPr>
            <w:tcW w:w="679" w:type="pct"/>
            <w:tcBorders>
              <w:top w:val="nil"/>
              <w:left w:val="nil"/>
              <w:bottom w:val="nil"/>
              <w:right w:val="nil"/>
            </w:tcBorders>
          </w:tcPr>
          <w:p w14:paraId="03BAD4A7"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0.153</w:t>
            </w:r>
          </w:p>
        </w:tc>
        <w:tc>
          <w:tcPr>
            <w:tcW w:w="822" w:type="pct"/>
            <w:tcBorders>
              <w:top w:val="nil"/>
              <w:left w:val="nil"/>
              <w:bottom w:val="nil"/>
              <w:right w:val="nil"/>
            </w:tcBorders>
          </w:tcPr>
          <w:p w14:paraId="317CBDFF"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-0.172</w:t>
            </w:r>
          </w:p>
        </w:tc>
      </w:tr>
      <w:tr w:rsidR="00CD4846" w:rsidRPr="00CD4846" w14:paraId="15DB5E3E" w14:textId="77777777" w:rsidTr="00B82EB9">
        <w:tc>
          <w:tcPr>
            <w:tcW w:w="1462" w:type="pct"/>
            <w:tcBorders>
              <w:top w:val="nil"/>
              <w:left w:val="nil"/>
              <w:bottom w:val="nil"/>
              <w:right w:val="nil"/>
            </w:tcBorders>
          </w:tcPr>
          <w:p w14:paraId="03355526" w14:textId="7EF39A3A"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79" w:type="pct"/>
            <w:tcBorders>
              <w:top w:val="nil"/>
              <w:left w:val="nil"/>
              <w:bottom w:val="nil"/>
              <w:right w:val="nil"/>
            </w:tcBorders>
          </w:tcPr>
          <w:p w14:paraId="301039E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(0.796)</w:t>
            </w:r>
          </w:p>
        </w:tc>
        <w:tc>
          <w:tcPr>
            <w:tcW w:w="679" w:type="pct"/>
            <w:tcBorders>
              <w:top w:val="nil"/>
              <w:left w:val="nil"/>
              <w:bottom w:val="nil"/>
              <w:right w:val="nil"/>
            </w:tcBorders>
          </w:tcPr>
          <w:p w14:paraId="798ABF2A"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(1.014)</w:t>
            </w:r>
          </w:p>
        </w:tc>
        <w:tc>
          <w:tcPr>
            <w:tcW w:w="679" w:type="pct"/>
            <w:tcBorders>
              <w:top w:val="nil"/>
              <w:left w:val="nil"/>
              <w:bottom w:val="nil"/>
              <w:right w:val="nil"/>
            </w:tcBorders>
          </w:tcPr>
          <w:p w14:paraId="5AD4BA73"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(1.128)</w:t>
            </w:r>
          </w:p>
        </w:tc>
        <w:tc>
          <w:tcPr>
            <w:tcW w:w="679" w:type="pct"/>
            <w:tcBorders>
              <w:top w:val="nil"/>
              <w:left w:val="nil"/>
              <w:bottom w:val="nil"/>
              <w:right w:val="nil"/>
            </w:tcBorders>
          </w:tcPr>
          <w:p w14:paraId="2E01A1EC"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(0.126)</w:t>
            </w:r>
          </w:p>
        </w:tc>
        <w:tc>
          <w:tcPr>
            <w:tcW w:w="822" w:type="pct"/>
            <w:tcBorders>
              <w:top w:val="nil"/>
              <w:left w:val="nil"/>
              <w:bottom w:val="nil"/>
              <w:right w:val="nil"/>
            </w:tcBorders>
          </w:tcPr>
          <w:p w14:paraId="0FADB3E7"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(0.195)</w:t>
            </w:r>
          </w:p>
        </w:tc>
      </w:tr>
      <w:tr w:rsidR="00CD4846" w:rsidRPr="00CD4846" w14:paraId="1A1AA8EB" w14:textId="77777777" w:rsidTr="00B82EB9">
        <w:tc>
          <w:tcPr>
            <w:tcW w:w="1462" w:type="pct"/>
            <w:tcBorders>
              <w:top w:val="nil"/>
              <w:left w:val="nil"/>
              <w:bottom w:val="nil"/>
              <w:right w:val="nil"/>
            </w:tcBorders>
          </w:tcPr>
          <w:p w14:paraId="1BBB2247" w14:textId="62709615"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Density Employment</w:t>
            </w:r>
          </w:p>
        </w:tc>
        <w:tc>
          <w:tcPr>
            <w:tcW w:w="679" w:type="pct"/>
            <w:tcBorders>
              <w:top w:val="nil"/>
              <w:left w:val="nil"/>
              <w:bottom w:val="nil"/>
              <w:right w:val="nil"/>
            </w:tcBorders>
          </w:tcPr>
          <w:p w14:paraId="751EC8A5"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0.341</w:t>
            </w:r>
          </w:p>
        </w:tc>
        <w:tc>
          <w:tcPr>
            <w:tcW w:w="679" w:type="pct"/>
            <w:tcBorders>
              <w:top w:val="nil"/>
              <w:left w:val="nil"/>
              <w:bottom w:val="nil"/>
              <w:right w:val="nil"/>
            </w:tcBorders>
          </w:tcPr>
          <w:p w14:paraId="39044D64"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-0.880</w:t>
            </w:r>
          </w:p>
        </w:tc>
        <w:tc>
          <w:tcPr>
            <w:tcW w:w="679" w:type="pct"/>
            <w:tcBorders>
              <w:top w:val="nil"/>
              <w:left w:val="nil"/>
              <w:bottom w:val="nil"/>
              <w:right w:val="nil"/>
            </w:tcBorders>
          </w:tcPr>
          <w:p w14:paraId="7519BB15"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0.951</w:t>
            </w:r>
          </w:p>
        </w:tc>
        <w:tc>
          <w:tcPr>
            <w:tcW w:w="679" w:type="pct"/>
            <w:tcBorders>
              <w:top w:val="nil"/>
              <w:left w:val="nil"/>
              <w:bottom w:val="nil"/>
              <w:right w:val="nil"/>
            </w:tcBorders>
          </w:tcPr>
          <w:p w14:paraId="772B18F3"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0.015</w:t>
            </w:r>
          </w:p>
        </w:tc>
        <w:tc>
          <w:tcPr>
            <w:tcW w:w="822" w:type="pct"/>
            <w:tcBorders>
              <w:top w:val="nil"/>
              <w:left w:val="nil"/>
              <w:bottom w:val="nil"/>
              <w:right w:val="nil"/>
            </w:tcBorders>
          </w:tcPr>
          <w:p w14:paraId="4B691A16"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0.021</w:t>
            </w:r>
          </w:p>
        </w:tc>
      </w:tr>
      <w:tr w:rsidR="00CD4846" w:rsidRPr="00CD4846" w14:paraId="146F5F59" w14:textId="77777777" w:rsidTr="00B82EB9">
        <w:tc>
          <w:tcPr>
            <w:tcW w:w="1462" w:type="pct"/>
            <w:tcBorders>
              <w:top w:val="nil"/>
              <w:left w:val="nil"/>
              <w:bottom w:val="nil"/>
              <w:right w:val="nil"/>
            </w:tcBorders>
          </w:tcPr>
          <w:p w14:paraId="0BCEFA91" w14:textId="143A9CF1"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79" w:type="pct"/>
            <w:tcBorders>
              <w:top w:val="nil"/>
              <w:left w:val="nil"/>
              <w:bottom w:val="nil"/>
              <w:right w:val="nil"/>
            </w:tcBorders>
          </w:tcPr>
          <w:p w14:paraId="1E6F5330"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(0.502)</w:t>
            </w:r>
          </w:p>
        </w:tc>
        <w:tc>
          <w:tcPr>
            <w:tcW w:w="679" w:type="pct"/>
            <w:tcBorders>
              <w:top w:val="nil"/>
              <w:left w:val="nil"/>
              <w:bottom w:val="nil"/>
              <w:right w:val="nil"/>
            </w:tcBorders>
          </w:tcPr>
          <w:p w14:paraId="2FD708FE"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(1.356)</w:t>
            </w:r>
          </w:p>
        </w:tc>
        <w:tc>
          <w:tcPr>
            <w:tcW w:w="679" w:type="pct"/>
            <w:tcBorders>
              <w:top w:val="nil"/>
              <w:left w:val="nil"/>
              <w:bottom w:val="nil"/>
              <w:right w:val="nil"/>
            </w:tcBorders>
          </w:tcPr>
          <w:p w14:paraId="6780C6B9"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(0.914)</w:t>
            </w:r>
          </w:p>
        </w:tc>
        <w:tc>
          <w:tcPr>
            <w:tcW w:w="679" w:type="pct"/>
            <w:tcBorders>
              <w:top w:val="nil"/>
              <w:left w:val="nil"/>
              <w:bottom w:val="nil"/>
              <w:right w:val="nil"/>
            </w:tcBorders>
          </w:tcPr>
          <w:p w14:paraId="525487DD"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(0.051)</w:t>
            </w:r>
          </w:p>
        </w:tc>
        <w:tc>
          <w:tcPr>
            <w:tcW w:w="822" w:type="pct"/>
            <w:tcBorders>
              <w:top w:val="nil"/>
              <w:left w:val="nil"/>
              <w:bottom w:val="nil"/>
              <w:right w:val="nil"/>
            </w:tcBorders>
          </w:tcPr>
          <w:p w14:paraId="0FED0F44"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(0.052)</w:t>
            </w:r>
          </w:p>
        </w:tc>
      </w:tr>
      <w:tr w:rsidR="00CD4846" w:rsidRPr="00CD4846" w14:paraId="50F27700" w14:textId="77777777" w:rsidTr="00B82EB9">
        <w:tc>
          <w:tcPr>
            <w:tcW w:w="1462" w:type="pct"/>
            <w:tcBorders>
              <w:top w:val="nil"/>
              <w:left w:val="nil"/>
              <w:bottom w:val="nil"/>
              <w:right w:val="nil"/>
            </w:tcBorders>
          </w:tcPr>
          <w:p w14:paraId="0FA9A34A"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Percent Black (100s)</w:t>
            </w:r>
          </w:p>
        </w:tc>
        <w:tc>
          <w:tcPr>
            <w:tcW w:w="679" w:type="pct"/>
            <w:tcBorders>
              <w:top w:val="nil"/>
              <w:left w:val="nil"/>
              <w:bottom w:val="nil"/>
              <w:right w:val="nil"/>
            </w:tcBorders>
          </w:tcPr>
          <w:p w14:paraId="79EA0C12"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-5.951</w:t>
            </w:r>
          </w:p>
        </w:tc>
        <w:tc>
          <w:tcPr>
            <w:tcW w:w="679" w:type="pct"/>
            <w:tcBorders>
              <w:top w:val="nil"/>
              <w:left w:val="nil"/>
              <w:bottom w:val="nil"/>
              <w:right w:val="nil"/>
            </w:tcBorders>
          </w:tcPr>
          <w:p w14:paraId="22DE059A"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-2.495</w:t>
            </w:r>
          </w:p>
        </w:tc>
        <w:tc>
          <w:tcPr>
            <w:tcW w:w="679" w:type="pct"/>
            <w:tcBorders>
              <w:top w:val="nil"/>
              <w:left w:val="nil"/>
              <w:bottom w:val="nil"/>
              <w:right w:val="nil"/>
            </w:tcBorders>
          </w:tcPr>
          <w:p w14:paraId="3A89B08C"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-2.509</w:t>
            </w:r>
          </w:p>
        </w:tc>
        <w:tc>
          <w:tcPr>
            <w:tcW w:w="679" w:type="pct"/>
            <w:tcBorders>
              <w:top w:val="nil"/>
              <w:left w:val="nil"/>
              <w:bottom w:val="nil"/>
              <w:right w:val="nil"/>
            </w:tcBorders>
          </w:tcPr>
          <w:p w14:paraId="4F46CF43"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1.180</w:t>
            </w:r>
          </w:p>
        </w:tc>
        <w:tc>
          <w:tcPr>
            <w:tcW w:w="822" w:type="pct"/>
            <w:tcBorders>
              <w:top w:val="nil"/>
              <w:left w:val="nil"/>
              <w:bottom w:val="nil"/>
              <w:right w:val="nil"/>
            </w:tcBorders>
          </w:tcPr>
          <w:p w14:paraId="6A8A2676"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-1.125</w:t>
            </w:r>
          </w:p>
        </w:tc>
      </w:tr>
      <w:tr w:rsidR="00CD4846" w:rsidRPr="00CD4846" w14:paraId="0096294B" w14:textId="77777777" w:rsidTr="00B82EB9">
        <w:tc>
          <w:tcPr>
            <w:tcW w:w="1462" w:type="pct"/>
            <w:tcBorders>
              <w:top w:val="nil"/>
              <w:left w:val="nil"/>
              <w:bottom w:val="nil"/>
              <w:right w:val="nil"/>
            </w:tcBorders>
          </w:tcPr>
          <w:p w14:paraId="00CC17B1" w14:textId="27A37FF3"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79" w:type="pct"/>
            <w:tcBorders>
              <w:top w:val="nil"/>
              <w:left w:val="nil"/>
              <w:bottom w:val="nil"/>
              <w:right w:val="nil"/>
            </w:tcBorders>
          </w:tcPr>
          <w:p w14:paraId="30B588DD"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(10.635)</w:t>
            </w:r>
          </w:p>
        </w:tc>
        <w:tc>
          <w:tcPr>
            <w:tcW w:w="679" w:type="pct"/>
            <w:tcBorders>
              <w:top w:val="nil"/>
              <w:left w:val="nil"/>
              <w:bottom w:val="nil"/>
              <w:right w:val="nil"/>
            </w:tcBorders>
          </w:tcPr>
          <w:p w14:paraId="3F505C87"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(18.005)</w:t>
            </w:r>
          </w:p>
        </w:tc>
        <w:tc>
          <w:tcPr>
            <w:tcW w:w="679" w:type="pct"/>
            <w:tcBorders>
              <w:top w:val="nil"/>
              <w:left w:val="nil"/>
              <w:bottom w:val="nil"/>
              <w:right w:val="nil"/>
            </w:tcBorders>
          </w:tcPr>
          <w:p w14:paraId="08FA8F02"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(17.055)</w:t>
            </w:r>
          </w:p>
        </w:tc>
        <w:tc>
          <w:tcPr>
            <w:tcW w:w="679" w:type="pct"/>
            <w:tcBorders>
              <w:top w:val="nil"/>
              <w:left w:val="nil"/>
              <w:bottom w:val="nil"/>
              <w:right w:val="nil"/>
            </w:tcBorders>
          </w:tcPr>
          <w:p w14:paraId="0F4D075C"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(1.243)</w:t>
            </w:r>
          </w:p>
        </w:tc>
        <w:tc>
          <w:tcPr>
            <w:tcW w:w="822" w:type="pct"/>
            <w:tcBorders>
              <w:top w:val="nil"/>
              <w:left w:val="nil"/>
              <w:bottom w:val="nil"/>
              <w:right w:val="nil"/>
            </w:tcBorders>
          </w:tcPr>
          <w:p w14:paraId="192020C7"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(2.419)</w:t>
            </w:r>
          </w:p>
        </w:tc>
      </w:tr>
      <w:tr w:rsidR="00CD4846" w:rsidRPr="00CD4846" w14:paraId="31AD6C66" w14:textId="77777777" w:rsidTr="00B82EB9">
        <w:tc>
          <w:tcPr>
            <w:tcW w:w="1462" w:type="pct"/>
            <w:tcBorders>
              <w:top w:val="nil"/>
              <w:left w:val="nil"/>
              <w:bottom w:val="nil"/>
              <w:right w:val="nil"/>
            </w:tcBorders>
          </w:tcPr>
          <w:p w14:paraId="1BBAE22A" w14:textId="4670622C"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Population count (1ms)</w:t>
            </w:r>
          </w:p>
        </w:tc>
        <w:tc>
          <w:tcPr>
            <w:tcW w:w="679" w:type="pct"/>
            <w:tcBorders>
              <w:top w:val="nil"/>
              <w:left w:val="nil"/>
              <w:bottom w:val="nil"/>
              <w:right w:val="nil"/>
            </w:tcBorders>
          </w:tcPr>
          <w:p w14:paraId="6B831669"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-2.166*</w:t>
            </w:r>
          </w:p>
        </w:tc>
        <w:tc>
          <w:tcPr>
            <w:tcW w:w="679" w:type="pct"/>
            <w:tcBorders>
              <w:top w:val="nil"/>
              <w:left w:val="nil"/>
              <w:bottom w:val="nil"/>
              <w:right w:val="nil"/>
            </w:tcBorders>
          </w:tcPr>
          <w:p w14:paraId="1EFFA57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1.613</w:t>
            </w:r>
          </w:p>
        </w:tc>
        <w:tc>
          <w:tcPr>
            <w:tcW w:w="679" w:type="pct"/>
            <w:tcBorders>
              <w:top w:val="nil"/>
              <w:left w:val="nil"/>
              <w:bottom w:val="nil"/>
              <w:right w:val="nil"/>
            </w:tcBorders>
          </w:tcPr>
          <w:p w14:paraId="507C2E22"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-4.534</w:t>
            </w:r>
          </w:p>
        </w:tc>
        <w:tc>
          <w:tcPr>
            <w:tcW w:w="679" w:type="pct"/>
            <w:tcBorders>
              <w:top w:val="nil"/>
              <w:left w:val="nil"/>
              <w:bottom w:val="nil"/>
              <w:right w:val="nil"/>
            </w:tcBorders>
          </w:tcPr>
          <w:p w14:paraId="4702AF02"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-0.629**</w:t>
            </w:r>
          </w:p>
        </w:tc>
        <w:tc>
          <w:tcPr>
            <w:tcW w:w="822" w:type="pct"/>
            <w:tcBorders>
              <w:top w:val="nil"/>
              <w:left w:val="nil"/>
              <w:bottom w:val="nil"/>
              <w:right w:val="nil"/>
            </w:tcBorders>
          </w:tcPr>
          <w:p w14:paraId="4D00C5B4"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-0.593</w:t>
            </w:r>
          </w:p>
        </w:tc>
      </w:tr>
      <w:tr w:rsidR="00CD4846" w:rsidRPr="00CD4846" w14:paraId="75471BBB" w14:textId="77777777" w:rsidTr="00B82EB9">
        <w:tc>
          <w:tcPr>
            <w:tcW w:w="1462" w:type="pct"/>
            <w:tcBorders>
              <w:top w:val="nil"/>
              <w:left w:val="nil"/>
              <w:bottom w:val="nil"/>
              <w:right w:val="nil"/>
            </w:tcBorders>
          </w:tcPr>
          <w:p w14:paraId="65244F02" w14:textId="6073041B"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79" w:type="pct"/>
            <w:tcBorders>
              <w:top w:val="nil"/>
              <w:left w:val="nil"/>
              <w:bottom w:val="nil"/>
              <w:right w:val="nil"/>
            </w:tcBorders>
          </w:tcPr>
          <w:p w14:paraId="3CF7E448"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(1.114)</w:t>
            </w:r>
          </w:p>
        </w:tc>
        <w:tc>
          <w:tcPr>
            <w:tcW w:w="679" w:type="pct"/>
            <w:tcBorders>
              <w:top w:val="nil"/>
              <w:left w:val="nil"/>
              <w:bottom w:val="nil"/>
              <w:right w:val="nil"/>
            </w:tcBorders>
          </w:tcPr>
          <w:p w14:paraId="0CFD6EDC"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(1.154)</w:t>
            </w:r>
          </w:p>
        </w:tc>
        <w:tc>
          <w:tcPr>
            <w:tcW w:w="679" w:type="pct"/>
            <w:tcBorders>
              <w:top w:val="nil"/>
              <w:left w:val="nil"/>
              <w:bottom w:val="nil"/>
              <w:right w:val="nil"/>
            </w:tcBorders>
          </w:tcPr>
          <w:p w14:paraId="71929315"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(4.141)</w:t>
            </w:r>
          </w:p>
        </w:tc>
        <w:tc>
          <w:tcPr>
            <w:tcW w:w="679" w:type="pct"/>
            <w:tcBorders>
              <w:top w:val="nil"/>
              <w:left w:val="nil"/>
              <w:bottom w:val="nil"/>
              <w:right w:val="nil"/>
            </w:tcBorders>
          </w:tcPr>
          <w:p w14:paraId="1F21906E"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(0.318)</w:t>
            </w:r>
          </w:p>
        </w:tc>
        <w:tc>
          <w:tcPr>
            <w:tcW w:w="822" w:type="pct"/>
            <w:tcBorders>
              <w:top w:val="nil"/>
              <w:left w:val="nil"/>
              <w:bottom w:val="nil"/>
              <w:right w:val="nil"/>
            </w:tcBorders>
          </w:tcPr>
          <w:p w14:paraId="65AE92E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(0.573)</w:t>
            </w:r>
          </w:p>
        </w:tc>
      </w:tr>
      <w:tr w:rsidR="00CD4846" w:rsidRPr="00CD4846" w14:paraId="00FF1035" w14:textId="77777777" w:rsidTr="00B82EB9">
        <w:tc>
          <w:tcPr>
            <w:tcW w:w="1462" w:type="pct"/>
            <w:tcBorders>
              <w:top w:val="nil"/>
              <w:left w:val="nil"/>
              <w:bottom w:val="nil"/>
              <w:right w:val="nil"/>
            </w:tcBorders>
          </w:tcPr>
          <w:p w14:paraId="43FFD762" w14:textId="37715CA5"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Unemployment rate (100s)</w:t>
            </w:r>
          </w:p>
        </w:tc>
        <w:tc>
          <w:tcPr>
            <w:tcW w:w="679" w:type="pct"/>
            <w:tcBorders>
              <w:top w:val="nil"/>
              <w:left w:val="nil"/>
              <w:bottom w:val="nil"/>
              <w:right w:val="nil"/>
            </w:tcBorders>
          </w:tcPr>
          <w:p w14:paraId="48F6AD95"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12.406**</w:t>
            </w:r>
          </w:p>
        </w:tc>
        <w:tc>
          <w:tcPr>
            <w:tcW w:w="679" w:type="pct"/>
            <w:tcBorders>
              <w:top w:val="nil"/>
              <w:left w:val="nil"/>
              <w:bottom w:val="nil"/>
              <w:right w:val="nil"/>
            </w:tcBorders>
          </w:tcPr>
          <w:p w14:paraId="3A6E04F2"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-8.852</w:t>
            </w:r>
          </w:p>
        </w:tc>
        <w:tc>
          <w:tcPr>
            <w:tcW w:w="679" w:type="pct"/>
            <w:tcBorders>
              <w:top w:val="nil"/>
              <w:left w:val="nil"/>
              <w:bottom w:val="nil"/>
              <w:right w:val="nil"/>
            </w:tcBorders>
          </w:tcPr>
          <w:p w14:paraId="29C08D42"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-5.197</w:t>
            </w:r>
          </w:p>
        </w:tc>
        <w:tc>
          <w:tcPr>
            <w:tcW w:w="679" w:type="pct"/>
            <w:tcBorders>
              <w:top w:val="nil"/>
              <w:left w:val="nil"/>
              <w:bottom w:val="nil"/>
              <w:right w:val="nil"/>
            </w:tcBorders>
          </w:tcPr>
          <w:p w14:paraId="5AF7F28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-0.394</w:t>
            </w:r>
          </w:p>
        </w:tc>
        <w:tc>
          <w:tcPr>
            <w:tcW w:w="822" w:type="pct"/>
            <w:tcBorders>
              <w:top w:val="nil"/>
              <w:left w:val="nil"/>
              <w:bottom w:val="nil"/>
              <w:right w:val="nil"/>
            </w:tcBorders>
          </w:tcPr>
          <w:p w14:paraId="7520A8F7"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-0.510</w:t>
            </w:r>
          </w:p>
        </w:tc>
      </w:tr>
      <w:tr w:rsidR="00CD4846" w:rsidRPr="00CD4846" w14:paraId="0EA92116" w14:textId="77777777" w:rsidTr="00B82EB9">
        <w:tc>
          <w:tcPr>
            <w:tcW w:w="1462" w:type="pct"/>
            <w:tcBorders>
              <w:top w:val="nil"/>
              <w:left w:val="nil"/>
              <w:bottom w:val="nil"/>
              <w:right w:val="nil"/>
            </w:tcBorders>
          </w:tcPr>
          <w:p w14:paraId="541D7A20" w14:textId="12FC01CE"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79" w:type="pct"/>
            <w:tcBorders>
              <w:top w:val="nil"/>
              <w:left w:val="nil"/>
              <w:bottom w:val="nil"/>
              <w:right w:val="nil"/>
            </w:tcBorders>
          </w:tcPr>
          <w:p w14:paraId="09E2F24C"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(6.265)</w:t>
            </w:r>
          </w:p>
        </w:tc>
        <w:tc>
          <w:tcPr>
            <w:tcW w:w="679" w:type="pct"/>
            <w:tcBorders>
              <w:top w:val="nil"/>
              <w:left w:val="nil"/>
              <w:bottom w:val="nil"/>
              <w:right w:val="nil"/>
            </w:tcBorders>
          </w:tcPr>
          <w:p w14:paraId="6276164A"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(9.155)</w:t>
            </w:r>
          </w:p>
        </w:tc>
        <w:tc>
          <w:tcPr>
            <w:tcW w:w="679" w:type="pct"/>
            <w:tcBorders>
              <w:top w:val="nil"/>
              <w:left w:val="nil"/>
              <w:bottom w:val="nil"/>
              <w:right w:val="nil"/>
            </w:tcBorders>
          </w:tcPr>
          <w:p w14:paraId="6741F610"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(10.478)</w:t>
            </w:r>
          </w:p>
        </w:tc>
        <w:tc>
          <w:tcPr>
            <w:tcW w:w="679" w:type="pct"/>
            <w:tcBorders>
              <w:top w:val="nil"/>
              <w:left w:val="nil"/>
              <w:bottom w:val="nil"/>
              <w:right w:val="nil"/>
            </w:tcBorders>
          </w:tcPr>
          <w:p w14:paraId="6889B434"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(1.258)</w:t>
            </w:r>
          </w:p>
        </w:tc>
        <w:tc>
          <w:tcPr>
            <w:tcW w:w="822" w:type="pct"/>
            <w:tcBorders>
              <w:top w:val="nil"/>
              <w:left w:val="nil"/>
              <w:bottom w:val="nil"/>
              <w:right w:val="nil"/>
            </w:tcBorders>
          </w:tcPr>
          <w:p w14:paraId="05D31A6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(2.154)</w:t>
            </w:r>
          </w:p>
        </w:tc>
      </w:tr>
      <w:tr w:rsidR="00CD4846" w:rsidRPr="00CD4846" w14:paraId="4AC7E251" w14:textId="77777777" w:rsidTr="00B82EB9">
        <w:tc>
          <w:tcPr>
            <w:tcW w:w="1462" w:type="pct"/>
            <w:tcBorders>
              <w:top w:val="nil"/>
              <w:left w:val="nil"/>
              <w:bottom w:val="nil"/>
              <w:right w:val="nil"/>
            </w:tcBorders>
          </w:tcPr>
          <w:p w14:paraId="096714E6" w14:textId="68DE09D6"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Sales Volume (t-1)</w:t>
            </w:r>
          </w:p>
        </w:tc>
        <w:tc>
          <w:tcPr>
            <w:tcW w:w="679" w:type="pct"/>
            <w:tcBorders>
              <w:top w:val="nil"/>
              <w:left w:val="nil"/>
              <w:bottom w:val="nil"/>
              <w:right w:val="nil"/>
            </w:tcBorders>
          </w:tcPr>
          <w:p w14:paraId="52996F1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-16.516</w:t>
            </w:r>
          </w:p>
        </w:tc>
        <w:tc>
          <w:tcPr>
            <w:tcW w:w="679" w:type="pct"/>
            <w:tcBorders>
              <w:top w:val="nil"/>
              <w:left w:val="nil"/>
              <w:bottom w:val="nil"/>
              <w:right w:val="nil"/>
            </w:tcBorders>
          </w:tcPr>
          <w:p w14:paraId="63483772"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3.494</w:t>
            </w:r>
          </w:p>
        </w:tc>
        <w:tc>
          <w:tcPr>
            <w:tcW w:w="679" w:type="pct"/>
            <w:tcBorders>
              <w:top w:val="nil"/>
              <w:left w:val="nil"/>
              <w:bottom w:val="nil"/>
              <w:right w:val="nil"/>
            </w:tcBorders>
          </w:tcPr>
          <w:p w14:paraId="64840C0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2.453</w:t>
            </w:r>
          </w:p>
        </w:tc>
        <w:tc>
          <w:tcPr>
            <w:tcW w:w="679" w:type="pct"/>
            <w:tcBorders>
              <w:top w:val="nil"/>
              <w:left w:val="nil"/>
              <w:bottom w:val="nil"/>
              <w:right w:val="nil"/>
            </w:tcBorders>
          </w:tcPr>
          <w:p w14:paraId="38CEF6F6"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-4.242</w:t>
            </w:r>
          </w:p>
        </w:tc>
        <w:tc>
          <w:tcPr>
            <w:tcW w:w="822" w:type="pct"/>
            <w:tcBorders>
              <w:top w:val="nil"/>
              <w:left w:val="nil"/>
              <w:bottom w:val="nil"/>
              <w:right w:val="nil"/>
            </w:tcBorders>
          </w:tcPr>
          <w:p w14:paraId="76E50398"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-2.016</w:t>
            </w:r>
          </w:p>
        </w:tc>
      </w:tr>
      <w:tr w:rsidR="00CD4846" w:rsidRPr="00CD4846" w14:paraId="500B22F1" w14:textId="77777777" w:rsidTr="00B82EB9">
        <w:tc>
          <w:tcPr>
            <w:tcW w:w="1462" w:type="pct"/>
            <w:tcBorders>
              <w:top w:val="nil"/>
              <w:left w:val="nil"/>
              <w:bottom w:val="nil"/>
              <w:right w:val="nil"/>
            </w:tcBorders>
          </w:tcPr>
          <w:p w14:paraId="71422041" w14:textId="292C33F4"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79" w:type="pct"/>
            <w:tcBorders>
              <w:top w:val="nil"/>
              <w:left w:val="nil"/>
              <w:bottom w:val="nil"/>
              <w:right w:val="nil"/>
            </w:tcBorders>
          </w:tcPr>
          <w:p w14:paraId="10DC4DDC"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(20.753)</w:t>
            </w:r>
          </w:p>
        </w:tc>
        <w:tc>
          <w:tcPr>
            <w:tcW w:w="679" w:type="pct"/>
            <w:tcBorders>
              <w:top w:val="nil"/>
              <w:left w:val="nil"/>
              <w:bottom w:val="nil"/>
              <w:right w:val="nil"/>
            </w:tcBorders>
          </w:tcPr>
          <w:p w14:paraId="6EA3A84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(8.189)</w:t>
            </w:r>
          </w:p>
        </w:tc>
        <w:tc>
          <w:tcPr>
            <w:tcW w:w="679" w:type="pct"/>
            <w:tcBorders>
              <w:top w:val="nil"/>
              <w:left w:val="nil"/>
              <w:bottom w:val="nil"/>
              <w:right w:val="nil"/>
            </w:tcBorders>
          </w:tcPr>
          <w:p w14:paraId="177C2801"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(5.187)</w:t>
            </w:r>
          </w:p>
        </w:tc>
        <w:tc>
          <w:tcPr>
            <w:tcW w:w="679" w:type="pct"/>
            <w:tcBorders>
              <w:top w:val="nil"/>
              <w:left w:val="nil"/>
              <w:bottom w:val="nil"/>
              <w:right w:val="nil"/>
            </w:tcBorders>
          </w:tcPr>
          <w:p w14:paraId="1117716D"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(19.654)</w:t>
            </w:r>
          </w:p>
        </w:tc>
        <w:tc>
          <w:tcPr>
            <w:tcW w:w="822" w:type="pct"/>
            <w:tcBorders>
              <w:top w:val="nil"/>
              <w:left w:val="nil"/>
              <w:bottom w:val="nil"/>
              <w:right w:val="nil"/>
            </w:tcBorders>
          </w:tcPr>
          <w:p w14:paraId="4B672BE1"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(1.595)</w:t>
            </w:r>
          </w:p>
        </w:tc>
      </w:tr>
      <w:tr w:rsidR="00CD4846" w:rsidRPr="00CD4846" w14:paraId="7FB3F3ED" w14:textId="77777777" w:rsidTr="00B82EB9">
        <w:tc>
          <w:tcPr>
            <w:tcW w:w="1462" w:type="pct"/>
            <w:tcBorders>
              <w:top w:val="nil"/>
              <w:left w:val="nil"/>
              <w:bottom w:val="nil"/>
              <w:right w:val="nil"/>
            </w:tcBorders>
          </w:tcPr>
          <w:p w14:paraId="564846F9" w14:textId="1FD1EFFC"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Prior Births (1ks)</w:t>
            </w:r>
          </w:p>
        </w:tc>
        <w:tc>
          <w:tcPr>
            <w:tcW w:w="679" w:type="pct"/>
            <w:tcBorders>
              <w:top w:val="nil"/>
              <w:left w:val="nil"/>
              <w:bottom w:val="nil"/>
              <w:right w:val="nil"/>
            </w:tcBorders>
          </w:tcPr>
          <w:p w14:paraId="2DD7ACFA"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-3.150</w:t>
            </w:r>
          </w:p>
        </w:tc>
        <w:tc>
          <w:tcPr>
            <w:tcW w:w="679" w:type="pct"/>
            <w:tcBorders>
              <w:top w:val="nil"/>
              <w:left w:val="nil"/>
              <w:bottom w:val="nil"/>
              <w:right w:val="nil"/>
            </w:tcBorders>
          </w:tcPr>
          <w:p w14:paraId="4613C996"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1.246</w:t>
            </w:r>
          </w:p>
        </w:tc>
        <w:tc>
          <w:tcPr>
            <w:tcW w:w="679" w:type="pct"/>
            <w:tcBorders>
              <w:top w:val="nil"/>
              <w:left w:val="nil"/>
              <w:bottom w:val="nil"/>
              <w:right w:val="nil"/>
            </w:tcBorders>
          </w:tcPr>
          <w:p w14:paraId="0029665F"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-37.392</w:t>
            </w:r>
          </w:p>
        </w:tc>
        <w:tc>
          <w:tcPr>
            <w:tcW w:w="679" w:type="pct"/>
            <w:tcBorders>
              <w:top w:val="nil"/>
              <w:left w:val="nil"/>
              <w:bottom w:val="nil"/>
              <w:right w:val="nil"/>
            </w:tcBorders>
          </w:tcPr>
          <w:p w14:paraId="4F490D0C"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-0.051*</w:t>
            </w:r>
          </w:p>
        </w:tc>
        <w:tc>
          <w:tcPr>
            <w:tcW w:w="822" w:type="pct"/>
            <w:tcBorders>
              <w:top w:val="nil"/>
              <w:left w:val="nil"/>
              <w:bottom w:val="nil"/>
              <w:right w:val="nil"/>
            </w:tcBorders>
          </w:tcPr>
          <w:p w14:paraId="40866A97"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0.073</w:t>
            </w:r>
          </w:p>
        </w:tc>
      </w:tr>
      <w:tr w:rsidR="00CD4846" w:rsidRPr="00CD4846" w14:paraId="33EB10E9" w14:textId="77777777" w:rsidTr="00B82EB9">
        <w:tc>
          <w:tcPr>
            <w:tcW w:w="1462" w:type="pct"/>
            <w:tcBorders>
              <w:top w:val="nil"/>
              <w:left w:val="nil"/>
              <w:bottom w:val="nil"/>
              <w:right w:val="nil"/>
            </w:tcBorders>
          </w:tcPr>
          <w:p w14:paraId="35A1B978" w14:textId="53F04FF1"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79" w:type="pct"/>
            <w:tcBorders>
              <w:top w:val="nil"/>
              <w:left w:val="nil"/>
              <w:bottom w:val="nil"/>
              <w:right w:val="nil"/>
            </w:tcBorders>
          </w:tcPr>
          <w:p w14:paraId="1854F980"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(4.579)</w:t>
            </w:r>
          </w:p>
        </w:tc>
        <w:tc>
          <w:tcPr>
            <w:tcW w:w="679" w:type="pct"/>
            <w:tcBorders>
              <w:top w:val="nil"/>
              <w:left w:val="nil"/>
              <w:bottom w:val="nil"/>
              <w:right w:val="nil"/>
            </w:tcBorders>
          </w:tcPr>
          <w:p w14:paraId="0EF4733A"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(0.820)</w:t>
            </w:r>
          </w:p>
        </w:tc>
        <w:tc>
          <w:tcPr>
            <w:tcW w:w="679" w:type="pct"/>
            <w:tcBorders>
              <w:top w:val="nil"/>
              <w:left w:val="nil"/>
              <w:bottom w:val="nil"/>
              <w:right w:val="nil"/>
            </w:tcBorders>
          </w:tcPr>
          <w:p w14:paraId="52F535BC"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(24.285)</w:t>
            </w:r>
          </w:p>
        </w:tc>
        <w:tc>
          <w:tcPr>
            <w:tcW w:w="679" w:type="pct"/>
            <w:tcBorders>
              <w:top w:val="nil"/>
              <w:left w:val="nil"/>
              <w:bottom w:val="nil"/>
              <w:right w:val="nil"/>
            </w:tcBorders>
          </w:tcPr>
          <w:p w14:paraId="241B59F2"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(0.026)</w:t>
            </w:r>
          </w:p>
        </w:tc>
        <w:tc>
          <w:tcPr>
            <w:tcW w:w="822" w:type="pct"/>
            <w:tcBorders>
              <w:top w:val="nil"/>
              <w:left w:val="nil"/>
              <w:bottom w:val="nil"/>
              <w:right w:val="nil"/>
            </w:tcBorders>
          </w:tcPr>
          <w:p w14:paraId="48565AED"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(0.144)</w:t>
            </w:r>
          </w:p>
        </w:tc>
      </w:tr>
      <w:tr w:rsidR="00CD4846" w:rsidRPr="00CD4846" w14:paraId="5DEF543E" w14:textId="77777777" w:rsidTr="00B82EB9">
        <w:tc>
          <w:tcPr>
            <w:tcW w:w="1462" w:type="pct"/>
            <w:tcBorders>
              <w:top w:val="nil"/>
              <w:left w:val="nil"/>
              <w:bottom w:val="nil"/>
              <w:right w:val="nil"/>
            </w:tcBorders>
          </w:tcPr>
          <w:p w14:paraId="5BF49A2D" w14:textId="4537AFA3"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Prior Deaths (1ks)</w:t>
            </w:r>
          </w:p>
        </w:tc>
        <w:tc>
          <w:tcPr>
            <w:tcW w:w="679" w:type="pct"/>
            <w:tcBorders>
              <w:top w:val="nil"/>
              <w:left w:val="nil"/>
              <w:bottom w:val="nil"/>
              <w:right w:val="nil"/>
            </w:tcBorders>
          </w:tcPr>
          <w:p w14:paraId="51CBA0E4"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6.424</w:t>
            </w:r>
          </w:p>
        </w:tc>
        <w:tc>
          <w:tcPr>
            <w:tcW w:w="679" w:type="pct"/>
            <w:tcBorders>
              <w:top w:val="nil"/>
              <w:left w:val="nil"/>
              <w:bottom w:val="nil"/>
              <w:right w:val="nil"/>
            </w:tcBorders>
          </w:tcPr>
          <w:p w14:paraId="0BE81DED"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-3.775*</w:t>
            </w:r>
          </w:p>
        </w:tc>
        <w:tc>
          <w:tcPr>
            <w:tcW w:w="679" w:type="pct"/>
            <w:tcBorders>
              <w:top w:val="nil"/>
              <w:left w:val="nil"/>
              <w:bottom w:val="nil"/>
              <w:right w:val="nil"/>
            </w:tcBorders>
          </w:tcPr>
          <w:p w14:paraId="62D0D16E"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11.385</w:t>
            </w:r>
          </w:p>
        </w:tc>
        <w:tc>
          <w:tcPr>
            <w:tcW w:w="679" w:type="pct"/>
            <w:tcBorders>
              <w:top w:val="nil"/>
              <w:left w:val="nil"/>
              <w:bottom w:val="nil"/>
              <w:right w:val="nil"/>
            </w:tcBorders>
          </w:tcPr>
          <w:p w14:paraId="7FFF5BF9"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-0.244***</w:t>
            </w:r>
          </w:p>
        </w:tc>
        <w:tc>
          <w:tcPr>
            <w:tcW w:w="822" w:type="pct"/>
            <w:tcBorders>
              <w:top w:val="nil"/>
              <w:left w:val="nil"/>
              <w:bottom w:val="nil"/>
              <w:right w:val="nil"/>
            </w:tcBorders>
          </w:tcPr>
          <w:p w14:paraId="027858B2"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0.080</w:t>
            </w:r>
          </w:p>
        </w:tc>
      </w:tr>
      <w:tr w:rsidR="00CD4846" w:rsidRPr="00CD4846" w14:paraId="543B8081" w14:textId="77777777" w:rsidTr="00B82EB9">
        <w:tc>
          <w:tcPr>
            <w:tcW w:w="1462" w:type="pct"/>
            <w:tcBorders>
              <w:top w:val="nil"/>
              <w:left w:val="nil"/>
              <w:bottom w:val="nil"/>
              <w:right w:val="nil"/>
            </w:tcBorders>
          </w:tcPr>
          <w:p w14:paraId="417FB57A" w14:textId="0459C6F3"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79" w:type="pct"/>
            <w:tcBorders>
              <w:top w:val="nil"/>
              <w:left w:val="nil"/>
              <w:bottom w:val="nil"/>
              <w:right w:val="nil"/>
            </w:tcBorders>
          </w:tcPr>
          <w:p w14:paraId="5B61E9D4"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(5.656)</w:t>
            </w:r>
          </w:p>
        </w:tc>
        <w:tc>
          <w:tcPr>
            <w:tcW w:w="679" w:type="pct"/>
            <w:tcBorders>
              <w:top w:val="nil"/>
              <w:left w:val="nil"/>
              <w:bottom w:val="nil"/>
              <w:right w:val="nil"/>
            </w:tcBorders>
          </w:tcPr>
          <w:p w14:paraId="5654420E"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(2.157)</w:t>
            </w:r>
          </w:p>
        </w:tc>
        <w:tc>
          <w:tcPr>
            <w:tcW w:w="679" w:type="pct"/>
            <w:tcBorders>
              <w:top w:val="nil"/>
              <w:left w:val="nil"/>
              <w:bottom w:val="nil"/>
              <w:right w:val="nil"/>
            </w:tcBorders>
          </w:tcPr>
          <w:p w14:paraId="7976FD55"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(14.734)</w:t>
            </w:r>
          </w:p>
        </w:tc>
        <w:tc>
          <w:tcPr>
            <w:tcW w:w="679" w:type="pct"/>
            <w:tcBorders>
              <w:top w:val="nil"/>
              <w:left w:val="nil"/>
              <w:bottom w:val="nil"/>
              <w:right w:val="nil"/>
            </w:tcBorders>
          </w:tcPr>
          <w:p w14:paraId="64E19572"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(0.046)</w:t>
            </w:r>
          </w:p>
        </w:tc>
        <w:tc>
          <w:tcPr>
            <w:tcW w:w="822" w:type="pct"/>
            <w:tcBorders>
              <w:top w:val="nil"/>
              <w:left w:val="nil"/>
              <w:bottom w:val="nil"/>
              <w:right w:val="nil"/>
            </w:tcBorders>
          </w:tcPr>
          <w:p w14:paraId="3D2F2216"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(0.102)</w:t>
            </w:r>
          </w:p>
        </w:tc>
      </w:tr>
      <w:tr w:rsidR="00CD4846" w:rsidRPr="00CD4846" w14:paraId="4A54590F" w14:textId="77777777" w:rsidTr="00B82EB9">
        <w:tc>
          <w:tcPr>
            <w:tcW w:w="1462" w:type="pct"/>
            <w:tcBorders>
              <w:top w:val="nil"/>
              <w:left w:val="nil"/>
              <w:bottom w:val="nil"/>
              <w:right w:val="nil"/>
            </w:tcBorders>
          </w:tcPr>
          <w:p w14:paraId="09BDBEE4" w14:textId="03321DBD"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Prior inward relocations (1ks)</w:t>
            </w:r>
          </w:p>
        </w:tc>
        <w:tc>
          <w:tcPr>
            <w:tcW w:w="679" w:type="pct"/>
            <w:tcBorders>
              <w:top w:val="nil"/>
              <w:left w:val="nil"/>
              <w:bottom w:val="nil"/>
              <w:right w:val="nil"/>
            </w:tcBorders>
          </w:tcPr>
          <w:p w14:paraId="4F50E521"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56.262</w:t>
            </w:r>
          </w:p>
        </w:tc>
        <w:tc>
          <w:tcPr>
            <w:tcW w:w="679" w:type="pct"/>
            <w:tcBorders>
              <w:top w:val="nil"/>
              <w:left w:val="nil"/>
              <w:bottom w:val="nil"/>
              <w:right w:val="nil"/>
            </w:tcBorders>
          </w:tcPr>
          <w:p w14:paraId="6D72F495"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94.534**</w:t>
            </w:r>
          </w:p>
        </w:tc>
        <w:tc>
          <w:tcPr>
            <w:tcW w:w="679" w:type="pct"/>
            <w:tcBorders>
              <w:top w:val="nil"/>
              <w:left w:val="nil"/>
              <w:bottom w:val="nil"/>
              <w:right w:val="nil"/>
            </w:tcBorders>
          </w:tcPr>
          <w:p w14:paraId="6E1DF0E9"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332.598**</w:t>
            </w:r>
          </w:p>
        </w:tc>
        <w:tc>
          <w:tcPr>
            <w:tcW w:w="679" w:type="pct"/>
            <w:tcBorders>
              <w:top w:val="nil"/>
              <w:left w:val="nil"/>
              <w:bottom w:val="nil"/>
              <w:right w:val="nil"/>
            </w:tcBorders>
          </w:tcPr>
          <w:p w14:paraId="0DB0135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6.054***</w:t>
            </w:r>
          </w:p>
        </w:tc>
        <w:tc>
          <w:tcPr>
            <w:tcW w:w="822" w:type="pct"/>
            <w:tcBorders>
              <w:top w:val="nil"/>
              <w:left w:val="nil"/>
              <w:bottom w:val="nil"/>
              <w:right w:val="nil"/>
            </w:tcBorders>
          </w:tcPr>
          <w:p w14:paraId="36E35583"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21.274***</w:t>
            </w:r>
          </w:p>
        </w:tc>
      </w:tr>
      <w:tr w:rsidR="00CD4846" w:rsidRPr="00CD4846" w14:paraId="7B2D22AB" w14:textId="77777777" w:rsidTr="00B82EB9">
        <w:tc>
          <w:tcPr>
            <w:tcW w:w="1462" w:type="pct"/>
            <w:tcBorders>
              <w:top w:val="nil"/>
              <w:left w:val="nil"/>
              <w:bottom w:val="nil"/>
              <w:right w:val="nil"/>
            </w:tcBorders>
          </w:tcPr>
          <w:p w14:paraId="20E95F74" w14:textId="34AB9DBF"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79" w:type="pct"/>
            <w:tcBorders>
              <w:top w:val="nil"/>
              <w:left w:val="nil"/>
              <w:bottom w:val="nil"/>
              <w:right w:val="nil"/>
            </w:tcBorders>
          </w:tcPr>
          <w:p w14:paraId="33FFB82A"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(51.480)</w:t>
            </w:r>
          </w:p>
        </w:tc>
        <w:tc>
          <w:tcPr>
            <w:tcW w:w="679" w:type="pct"/>
            <w:tcBorders>
              <w:top w:val="nil"/>
              <w:left w:val="nil"/>
              <w:bottom w:val="nil"/>
              <w:right w:val="nil"/>
            </w:tcBorders>
          </w:tcPr>
          <w:p w14:paraId="7448E09F"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(46.669)</w:t>
            </w:r>
          </w:p>
        </w:tc>
        <w:tc>
          <w:tcPr>
            <w:tcW w:w="679" w:type="pct"/>
            <w:tcBorders>
              <w:top w:val="nil"/>
              <w:left w:val="nil"/>
              <w:bottom w:val="nil"/>
              <w:right w:val="nil"/>
            </w:tcBorders>
          </w:tcPr>
          <w:p w14:paraId="2ADE2AE6"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(139.914)</w:t>
            </w:r>
          </w:p>
        </w:tc>
        <w:tc>
          <w:tcPr>
            <w:tcW w:w="679" w:type="pct"/>
            <w:tcBorders>
              <w:top w:val="nil"/>
              <w:left w:val="nil"/>
              <w:bottom w:val="nil"/>
              <w:right w:val="nil"/>
            </w:tcBorders>
          </w:tcPr>
          <w:p w14:paraId="28208C34"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(1.696)</w:t>
            </w:r>
          </w:p>
        </w:tc>
        <w:tc>
          <w:tcPr>
            <w:tcW w:w="822" w:type="pct"/>
            <w:tcBorders>
              <w:top w:val="nil"/>
              <w:left w:val="nil"/>
              <w:bottom w:val="nil"/>
              <w:right w:val="nil"/>
            </w:tcBorders>
          </w:tcPr>
          <w:p w14:paraId="03AF67C8"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(5.123)</w:t>
            </w:r>
          </w:p>
        </w:tc>
      </w:tr>
      <w:tr w:rsidR="00CD4846" w:rsidRPr="00CD4846" w14:paraId="0934976E" w14:textId="77777777" w:rsidTr="00B82EB9">
        <w:tc>
          <w:tcPr>
            <w:tcW w:w="1462" w:type="pct"/>
            <w:tcBorders>
              <w:top w:val="nil"/>
              <w:left w:val="nil"/>
              <w:bottom w:val="nil"/>
              <w:right w:val="nil"/>
            </w:tcBorders>
          </w:tcPr>
          <w:p w14:paraId="0D97F11C"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Constant</w:t>
            </w:r>
          </w:p>
        </w:tc>
        <w:tc>
          <w:tcPr>
            <w:tcW w:w="679" w:type="pct"/>
            <w:tcBorders>
              <w:top w:val="nil"/>
              <w:left w:val="nil"/>
              <w:bottom w:val="nil"/>
              <w:right w:val="nil"/>
            </w:tcBorders>
          </w:tcPr>
          <w:p w14:paraId="190983BC"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-5.917*</w:t>
            </w:r>
          </w:p>
        </w:tc>
        <w:tc>
          <w:tcPr>
            <w:tcW w:w="679" w:type="pct"/>
            <w:tcBorders>
              <w:top w:val="nil"/>
              <w:left w:val="nil"/>
              <w:bottom w:val="nil"/>
              <w:right w:val="nil"/>
            </w:tcBorders>
          </w:tcPr>
          <w:p w14:paraId="1D0F7E7E"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4.157</w:t>
            </w:r>
          </w:p>
        </w:tc>
        <w:tc>
          <w:tcPr>
            <w:tcW w:w="679" w:type="pct"/>
            <w:tcBorders>
              <w:top w:val="nil"/>
              <w:left w:val="nil"/>
              <w:bottom w:val="nil"/>
              <w:right w:val="nil"/>
            </w:tcBorders>
          </w:tcPr>
          <w:p w14:paraId="76746E47"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-3.001</w:t>
            </w:r>
          </w:p>
        </w:tc>
        <w:tc>
          <w:tcPr>
            <w:tcW w:w="679" w:type="pct"/>
            <w:tcBorders>
              <w:top w:val="nil"/>
              <w:left w:val="nil"/>
              <w:bottom w:val="nil"/>
              <w:right w:val="nil"/>
            </w:tcBorders>
          </w:tcPr>
          <w:p w14:paraId="6BB79712"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1.485***</w:t>
            </w:r>
          </w:p>
        </w:tc>
        <w:tc>
          <w:tcPr>
            <w:tcW w:w="822" w:type="pct"/>
            <w:tcBorders>
              <w:top w:val="nil"/>
              <w:left w:val="nil"/>
              <w:bottom w:val="nil"/>
              <w:right w:val="nil"/>
            </w:tcBorders>
          </w:tcPr>
          <w:p w14:paraId="7D2B8259"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-0.018</w:t>
            </w:r>
          </w:p>
        </w:tc>
      </w:tr>
      <w:tr w:rsidR="00CD4846" w:rsidRPr="00CD4846" w14:paraId="7E1134B8" w14:textId="77777777" w:rsidTr="00B82EB9">
        <w:tc>
          <w:tcPr>
            <w:tcW w:w="1462" w:type="pct"/>
            <w:tcBorders>
              <w:top w:val="nil"/>
              <w:left w:val="nil"/>
              <w:bottom w:val="nil"/>
              <w:right w:val="nil"/>
            </w:tcBorders>
          </w:tcPr>
          <w:p w14:paraId="41A21D9E" w14:textId="36CF8A2C"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79" w:type="pct"/>
            <w:tcBorders>
              <w:top w:val="nil"/>
              <w:left w:val="nil"/>
              <w:bottom w:val="nil"/>
              <w:right w:val="nil"/>
            </w:tcBorders>
          </w:tcPr>
          <w:p w14:paraId="03571B42"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(3.515)</w:t>
            </w:r>
          </w:p>
        </w:tc>
        <w:tc>
          <w:tcPr>
            <w:tcW w:w="679" w:type="pct"/>
            <w:tcBorders>
              <w:top w:val="nil"/>
              <w:left w:val="nil"/>
              <w:bottom w:val="nil"/>
              <w:right w:val="nil"/>
            </w:tcBorders>
          </w:tcPr>
          <w:p w14:paraId="3FBD52D2"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(6.922)</w:t>
            </w:r>
          </w:p>
        </w:tc>
        <w:tc>
          <w:tcPr>
            <w:tcW w:w="679" w:type="pct"/>
            <w:tcBorders>
              <w:top w:val="nil"/>
              <w:left w:val="nil"/>
              <w:bottom w:val="nil"/>
              <w:right w:val="nil"/>
            </w:tcBorders>
          </w:tcPr>
          <w:p w14:paraId="5D1F23B2"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(4.890)</w:t>
            </w:r>
          </w:p>
        </w:tc>
        <w:tc>
          <w:tcPr>
            <w:tcW w:w="679" w:type="pct"/>
            <w:tcBorders>
              <w:top w:val="nil"/>
              <w:left w:val="nil"/>
              <w:bottom w:val="nil"/>
              <w:right w:val="nil"/>
            </w:tcBorders>
          </w:tcPr>
          <w:p w14:paraId="0EA9429A"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(0.400)</w:t>
            </w:r>
          </w:p>
        </w:tc>
        <w:tc>
          <w:tcPr>
            <w:tcW w:w="822" w:type="pct"/>
            <w:tcBorders>
              <w:top w:val="nil"/>
              <w:left w:val="nil"/>
              <w:bottom w:val="nil"/>
              <w:right w:val="nil"/>
            </w:tcBorders>
          </w:tcPr>
          <w:p w14:paraId="0E6CC6BF"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(0.964)</w:t>
            </w:r>
          </w:p>
        </w:tc>
      </w:tr>
      <w:tr w:rsidR="00CD4846" w:rsidRPr="00CD4846" w14:paraId="6552E4DC" w14:textId="77777777" w:rsidTr="00B82EB9">
        <w:tc>
          <w:tcPr>
            <w:tcW w:w="1462" w:type="pct"/>
            <w:tcBorders>
              <w:top w:val="nil"/>
              <w:left w:val="nil"/>
              <w:bottom w:val="nil"/>
              <w:right w:val="nil"/>
            </w:tcBorders>
          </w:tcPr>
          <w:p w14:paraId="752084E8" w14:textId="52F48609"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Observations</w:t>
            </w:r>
          </w:p>
        </w:tc>
        <w:tc>
          <w:tcPr>
            <w:tcW w:w="679" w:type="pct"/>
            <w:tcBorders>
              <w:top w:val="nil"/>
              <w:left w:val="nil"/>
              <w:bottom w:val="nil"/>
              <w:right w:val="nil"/>
            </w:tcBorders>
          </w:tcPr>
          <w:p w14:paraId="7B97A11A"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4595</w:t>
            </w:r>
          </w:p>
        </w:tc>
        <w:tc>
          <w:tcPr>
            <w:tcW w:w="679" w:type="pct"/>
            <w:tcBorders>
              <w:top w:val="nil"/>
              <w:left w:val="nil"/>
              <w:bottom w:val="nil"/>
              <w:right w:val="nil"/>
            </w:tcBorders>
          </w:tcPr>
          <w:p w14:paraId="030C6726"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1809</w:t>
            </w:r>
          </w:p>
        </w:tc>
        <w:tc>
          <w:tcPr>
            <w:tcW w:w="679" w:type="pct"/>
            <w:tcBorders>
              <w:top w:val="nil"/>
              <w:left w:val="nil"/>
              <w:bottom w:val="nil"/>
              <w:right w:val="nil"/>
            </w:tcBorders>
          </w:tcPr>
          <w:p w14:paraId="0DDDC44C"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1840</w:t>
            </w:r>
          </w:p>
        </w:tc>
        <w:tc>
          <w:tcPr>
            <w:tcW w:w="679" w:type="pct"/>
            <w:tcBorders>
              <w:top w:val="nil"/>
              <w:left w:val="nil"/>
              <w:bottom w:val="nil"/>
              <w:right w:val="nil"/>
            </w:tcBorders>
          </w:tcPr>
          <w:p w14:paraId="0FC04087"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22109</w:t>
            </w:r>
          </w:p>
        </w:tc>
        <w:tc>
          <w:tcPr>
            <w:tcW w:w="822" w:type="pct"/>
            <w:tcBorders>
              <w:top w:val="nil"/>
              <w:left w:val="nil"/>
              <w:bottom w:val="nil"/>
              <w:right w:val="nil"/>
            </w:tcBorders>
          </w:tcPr>
          <w:p w14:paraId="5D7825E7"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15908</w:t>
            </w:r>
          </w:p>
        </w:tc>
      </w:tr>
      <w:tr w:rsidR="00CD4846" w:rsidRPr="00CD4846" w14:paraId="73620351" w14:textId="77777777" w:rsidTr="00B82EB9">
        <w:tc>
          <w:tcPr>
            <w:tcW w:w="1462" w:type="pct"/>
            <w:tcBorders>
              <w:top w:val="nil"/>
              <w:left w:val="nil"/>
              <w:bottom w:val="nil"/>
              <w:right w:val="nil"/>
            </w:tcBorders>
          </w:tcPr>
          <w:p w14:paraId="3822B2E0" w14:textId="09C6EF20"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Pseudo R</w:t>
            </w:r>
            <w:r w:rsidRPr="00CD4846">
              <w:rPr>
                <w:rFonts w:cs="Times New Roman"/>
                <w:kern w:val="2"/>
                <w:sz w:val="20"/>
                <w:szCs w:val="20"/>
                <w:vertAlign w:val="superscript"/>
                <w:lang/>
              </w:rPr>
              <w:t>2</w:t>
            </w:r>
          </w:p>
        </w:tc>
        <w:tc>
          <w:tcPr>
            <w:tcW w:w="679" w:type="pct"/>
            <w:tcBorders>
              <w:top w:val="nil"/>
              <w:left w:val="nil"/>
              <w:bottom w:val="nil"/>
              <w:right w:val="nil"/>
            </w:tcBorders>
          </w:tcPr>
          <w:p w14:paraId="263504E2"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0.171</w:t>
            </w:r>
          </w:p>
        </w:tc>
        <w:tc>
          <w:tcPr>
            <w:tcW w:w="679" w:type="pct"/>
            <w:tcBorders>
              <w:top w:val="nil"/>
              <w:left w:val="nil"/>
              <w:bottom w:val="nil"/>
              <w:right w:val="nil"/>
            </w:tcBorders>
          </w:tcPr>
          <w:p w14:paraId="5B090CD8"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0.238</w:t>
            </w:r>
          </w:p>
        </w:tc>
        <w:tc>
          <w:tcPr>
            <w:tcW w:w="679" w:type="pct"/>
            <w:tcBorders>
              <w:top w:val="nil"/>
              <w:left w:val="nil"/>
              <w:bottom w:val="nil"/>
              <w:right w:val="nil"/>
            </w:tcBorders>
          </w:tcPr>
          <w:p w14:paraId="053EA3E6"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0.139</w:t>
            </w:r>
          </w:p>
        </w:tc>
        <w:tc>
          <w:tcPr>
            <w:tcW w:w="679" w:type="pct"/>
            <w:tcBorders>
              <w:top w:val="nil"/>
              <w:left w:val="nil"/>
              <w:bottom w:val="nil"/>
              <w:right w:val="nil"/>
            </w:tcBorders>
          </w:tcPr>
          <w:p w14:paraId="4F225178"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0.602</w:t>
            </w:r>
          </w:p>
        </w:tc>
        <w:tc>
          <w:tcPr>
            <w:tcW w:w="822" w:type="pct"/>
            <w:tcBorders>
              <w:top w:val="nil"/>
              <w:left w:val="nil"/>
              <w:bottom w:val="nil"/>
              <w:right w:val="nil"/>
            </w:tcBorders>
          </w:tcPr>
          <w:p w14:paraId="729C5B28"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0.517</w:t>
            </w:r>
          </w:p>
        </w:tc>
      </w:tr>
      <w:tr w:rsidR="00CD4846" w:rsidRPr="00CD4846" w14:paraId="141BB080" w14:textId="77777777" w:rsidTr="00B82EB9">
        <w:tc>
          <w:tcPr>
            <w:tcW w:w="1462" w:type="pct"/>
            <w:tcBorders>
              <w:top w:val="nil"/>
              <w:left w:val="nil"/>
              <w:bottom w:val="nil"/>
              <w:right w:val="nil"/>
            </w:tcBorders>
          </w:tcPr>
          <w:p w14:paraId="122628F3" w14:textId="2FD048A9"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Chi</w:t>
            </w:r>
            <w:r w:rsidRPr="00CD4846">
              <w:rPr>
                <w:rFonts w:cs="Times New Roman"/>
                <w:kern w:val="2"/>
                <w:sz w:val="20"/>
                <w:szCs w:val="20"/>
                <w:vertAlign w:val="superscript"/>
                <w:lang/>
              </w:rPr>
              <w:t>2</w:t>
            </w:r>
          </w:p>
        </w:tc>
        <w:tc>
          <w:tcPr>
            <w:tcW w:w="679" w:type="pct"/>
            <w:tcBorders>
              <w:top w:val="nil"/>
              <w:left w:val="nil"/>
              <w:bottom w:val="nil"/>
              <w:right w:val="nil"/>
            </w:tcBorders>
          </w:tcPr>
          <w:p w14:paraId="5CFDA2C1"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32</w:t>
            </w:r>
          </w:p>
        </w:tc>
        <w:tc>
          <w:tcPr>
            <w:tcW w:w="679" w:type="pct"/>
            <w:tcBorders>
              <w:top w:val="nil"/>
              <w:left w:val="nil"/>
              <w:bottom w:val="nil"/>
              <w:right w:val="nil"/>
            </w:tcBorders>
          </w:tcPr>
          <w:p w14:paraId="0959B3F6"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42</w:t>
            </w:r>
          </w:p>
        </w:tc>
        <w:tc>
          <w:tcPr>
            <w:tcW w:w="679" w:type="pct"/>
            <w:tcBorders>
              <w:top w:val="nil"/>
              <w:left w:val="nil"/>
              <w:bottom w:val="nil"/>
              <w:right w:val="nil"/>
            </w:tcBorders>
          </w:tcPr>
          <w:p w14:paraId="5159A2C8"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24</w:t>
            </w:r>
          </w:p>
        </w:tc>
        <w:tc>
          <w:tcPr>
            <w:tcW w:w="679" w:type="pct"/>
            <w:tcBorders>
              <w:top w:val="nil"/>
              <w:left w:val="nil"/>
              <w:bottom w:val="nil"/>
              <w:right w:val="nil"/>
            </w:tcBorders>
          </w:tcPr>
          <w:p w14:paraId="76C6B842"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84</w:t>
            </w:r>
          </w:p>
        </w:tc>
        <w:tc>
          <w:tcPr>
            <w:tcW w:w="822" w:type="pct"/>
            <w:tcBorders>
              <w:top w:val="nil"/>
              <w:left w:val="nil"/>
              <w:bottom w:val="nil"/>
              <w:right w:val="nil"/>
            </w:tcBorders>
          </w:tcPr>
          <w:p w14:paraId="4097A181"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50</w:t>
            </w:r>
          </w:p>
        </w:tc>
      </w:tr>
      <w:tr w:rsidR="00CD4846" w:rsidRPr="00CD4846" w14:paraId="7C1D0A3F" w14:textId="77777777" w:rsidTr="00B82EB9">
        <w:tc>
          <w:tcPr>
            <w:tcW w:w="1462" w:type="pct"/>
            <w:tcBorders>
              <w:top w:val="nil"/>
              <w:left w:val="nil"/>
              <w:bottom w:val="nil"/>
              <w:right w:val="nil"/>
            </w:tcBorders>
          </w:tcPr>
          <w:p w14:paraId="054EE1CA" w14:textId="64805169"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Log Likelihood</w:t>
            </w:r>
          </w:p>
        </w:tc>
        <w:tc>
          <w:tcPr>
            <w:tcW w:w="679" w:type="pct"/>
            <w:tcBorders>
              <w:top w:val="nil"/>
              <w:left w:val="nil"/>
              <w:bottom w:val="nil"/>
              <w:right w:val="nil"/>
            </w:tcBorders>
          </w:tcPr>
          <w:p w14:paraId="3E38BA34"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-2209</w:t>
            </w:r>
          </w:p>
        </w:tc>
        <w:tc>
          <w:tcPr>
            <w:tcW w:w="679" w:type="pct"/>
            <w:tcBorders>
              <w:top w:val="nil"/>
              <w:left w:val="nil"/>
              <w:bottom w:val="nil"/>
              <w:right w:val="nil"/>
            </w:tcBorders>
          </w:tcPr>
          <w:p w14:paraId="214C4318"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-1008</w:t>
            </w:r>
          </w:p>
        </w:tc>
        <w:tc>
          <w:tcPr>
            <w:tcW w:w="679" w:type="pct"/>
            <w:tcBorders>
              <w:top w:val="nil"/>
              <w:left w:val="nil"/>
              <w:bottom w:val="nil"/>
              <w:right w:val="nil"/>
            </w:tcBorders>
          </w:tcPr>
          <w:p w14:paraId="05B6C045"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-839</w:t>
            </w:r>
          </w:p>
        </w:tc>
        <w:tc>
          <w:tcPr>
            <w:tcW w:w="679" w:type="pct"/>
            <w:tcBorders>
              <w:top w:val="nil"/>
              <w:left w:val="nil"/>
              <w:bottom w:val="nil"/>
              <w:right w:val="nil"/>
            </w:tcBorders>
          </w:tcPr>
          <w:p w14:paraId="4EFAD4A8"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-23228</w:t>
            </w:r>
          </w:p>
        </w:tc>
        <w:tc>
          <w:tcPr>
            <w:tcW w:w="822" w:type="pct"/>
            <w:tcBorders>
              <w:top w:val="nil"/>
              <w:left w:val="nil"/>
              <w:bottom w:val="nil"/>
              <w:right w:val="nil"/>
            </w:tcBorders>
          </w:tcPr>
          <w:p w14:paraId="07BD16B6"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-11568</w:t>
            </w:r>
          </w:p>
        </w:tc>
      </w:tr>
      <w:tr w:rsidR="00CD4846" w:rsidRPr="00CD4846" w14:paraId="58C325B4" w14:textId="77777777" w:rsidTr="00B82EB9">
        <w:tc>
          <w:tcPr>
            <w:tcW w:w="1462" w:type="pct"/>
            <w:tcBorders>
              <w:top w:val="nil"/>
              <w:left w:val="nil"/>
              <w:bottom w:val="nil"/>
              <w:right w:val="nil"/>
            </w:tcBorders>
          </w:tcPr>
          <w:p w14:paraId="011F13B1" w14:textId="29C01711"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Akaike’s Criterion</w:t>
            </w:r>
          </w:p>
        </w:tc>
        <w:tc>
          <w:tcPr>
            <w:tcW w:w="679" w:type="pct"/>
            <w:tcBorders>
              <w:top w:val="nil"/>
              <w:left w:val="nil"/>
              <w:bottom w:val="nil"/>
              <w:right w:val="nil"/>
            </w:tcBorders>
          </w:tcPr>
          <w:p w14:paraId="20432A12"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4459</w:t>
            </w:r>
          </w:p>
        </w:tc>
        <w:tc>
          <w:tcPr>
            <w:tcW w:w="679" w:type="pct"/>
            <w:tcBorders>
              <w:top w:val="nil"/>
              <w:left w:val="nil"/>
              <w:bottom w:val="nil"/>
              <w:right w:val="nil"/>
            </w:tcBorders>
          </w:tcPr>
          <w:p w14:paraId="4BB1B3EE"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2054</w:t>
            </w:r>
          </w:p>
        </w:tc>
        <w:tc>
          <w:tcPr>
            <w:tcW w:w="679" w:type="pct"/>
            <w:tcBorders>
              <w:top w:val="nil"/>
              <w:left w:val="nil"/>
              <w:bottom w:val="nil"/>
              <w:right w:val="nil"/>
            </w:tcBorders>
          </w:tcPr>
          <w:p w14:paraId="7B508A0F"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1717</w:t>
            </w:r>
          </w:p>
        </w:tc>
        <w:tc>
          <w:tcPr>
            <w:tcW w:w="679" w:type="pct"/>
            <w:tcBorders>
              <w:top w:val="nil"/>
              <w:left w:val="nil"/>
              <w:bottom w:val="nil"/>
              <w:right w:val="nil"/>
            </w:tcBorders>
          </w:tcPr>
          <w:p w14:paraId="5BCD6CD1"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46497</w:t>
            </w:r>
          </w:p>
        </w:tc>
        <w:tc>
          <w:tcPr>
            <w:tcW w:w="822" w:type="pct"/>
            <w:tcBorders>
              <w:top w:val="nil"/>
              <w:left w:val="nil"/>
              <w:bottom w:val="nil"/>
              <w:right w:val="nil"/>
            </w:tcBorders>
          </w:tcPr>
          <w:p w14:paraId="72D46211"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23177</w:t>
            </w:r>
          </w:p>
        </w:tc>
      </w:tr>
      <w:tr w:rsidR="00CD4846" w:rsidRPr="00CD4846" w14:paraId="66E98E3C" w14:textId="77777777" w:rsidTr="00B82EB9">
        <w:tc>
          <w:tcPr>
            <w:tcW w:w="1462" w:type="pct"/>
            <w:tcBorders>
              <w:top w:val="nil"/>
              <w:left w:val="nil"/>
              <w:bottom w:val="nil"/>
              <w:right w:val="nil"/>
            </w:tcBorders>
          </w:tcPr>
          <w:p w14:paraId="518A4A39" w14:textId="4941AC8F"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Bayesian Criterion</w:t>
            </w:r>
          </w:p>
        </w:tc>
        <w:tc>
          <w:tcPr>
            <w:tcW w:w="679" w:type="pct"/>
            <w:tcBorders>
              <w:top w:val="nil"/>
              <w:left w:val="nil"/>
              <w:bottom w:val="nil"/>
              <w:right w:val="nil"/>
            </w:tcBorders>
          </w:tcPr>
          <w:p w14:paraId="414E52C2"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4588</w:t>
            </w:r>
          </w:p>
        </w:tc>
        <w:tc>
          <w:tcPr>
            <w:tcW w:w="679" w:type="pct"/>
            <w:tcBorders>
              <w:top w:val="nil"/>
              <w:left w:val="nil"/>
              <w:bottom w:val="nil"/>
              <w:right w:val="nil"/>
            </w:tcBorders>
          </w:tcPr>
          <w:p w14:paraId="74C9C573"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2159</w:t>
            </w:r>
          </w:p>
        </w:tc>
        <w:tc>
          <w:tcPr>
            <w:tcW w:w="679" w:type="pct"/>
            <w:tcBorders>
              <w:top w:val="nil"/>
              <w:left w:val="nil"/>
              <w:bottom w:val="nil"/>
              <w:right w:val="nil"/>
            </w:tcBorders>
          </w:tcPr>
          <w:p w14:paraId="7BA8B8F8"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1822</w:t>
            </w:r>
          </w:p>
        </w:tc>
        <w:tc>
          <w:tcPr>
            <w:tcW w:w="679" w:type="pct"/>
            <w:tcBorders>
              <w:top w:val="nil"/>
              <w:left w:val="nil"/>
              <w:bottom w:val="nil"/>
              <w:right w:val="nil"/>
            </w:tcBorders>
          </w:tcPr>
          <w:p w14:paraId="12CD0D63"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46657</w:t>
            </w:r>
          </w:p>
        </w:tc>
        <w:tc>
          <w:tcPr>
            <w:tcW w:w="822" w:type="pct"/>
            <w:tcBorders>
              <w:top w:val="nil"/>
              <w:left w:val="nil"/>
              <w:bottom w:val="nil"/>
              <w:right w:val="nil"/>
            </w:tcBorders>
          </w:tcPr>
          <w:p w14:paraId="5F875C37"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23330</w:t>
            </w:r>
          </w:p>
        </w:tc>
      </w:tr>
      <w:tr w:rsidR="00CD4846" w:rsidRPr="00CD4846" w14:paraId="2748AFF2" w14:textId="77777777" w:rsidTr="00B82EB9">
        <w:tc>
          <w:tcPr>
            <w:tcW w:w="1462" w:type="pct"/>
            <w:tcBorders>
              <w:top w:val="nil"/>
              <w:left w:val="nil"/>
              <w:bottom w:val="nil"/>
              <w:right w:val="nil"/>
            </w:tcBorders>
          </w:tcPr>
          <w:p w14:paraId="29026EFD"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County FE</w:t>
            </w:r>
          </w:p>
        </w:tc>
        <w:tc>
          <w:tcPr>
            <w:tcW w:w="679" w:type="pct"/>
            <w:tcBorders>
              <w:top w:val="nil"/>
              <w:left w:val="nil"/>
              <w:bottom w:val="nil"/>
              <w:right w:val="nil"/>
            </w:tcBorders>
          </w:tcPr>
          <w:p w14:paraId="5D68958F"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679" w:type="pct"/>
            <w:tcBorders>
              <w:top w:val="nil"/>
              <w:left w:val="nil"/>
              <w:bottom w:val="nil"/>
              <w:right w:val="nil"/>
            </w:tcBorders>
          </w:tcPr>
          <w:p w14:paraId="103E6AE4"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679" w:type="pct"/>
            <w:tcBorders>
              <w:top w:val="nil"/>
              <w:left w:val="nil"/>
              <w:bottom w:val="nil"/>
              <w:right w:val="nil"/>
            </w:tcBorders>
          </w:tcPr>
          <w:p w14:paraId="45975B6F"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679" w:type="pct"/>
            <w:tcBorders>
              <w:top w:val="nil"/>
              <w:left w:val="nil"/>
              <w:bottom w:val="nil"/>
              <w:right w:val="nil"/>
            </w:tcBorders>
          </w:tcPr>
          <w:p w14:paraId="5A9B8A6A"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822" w:type="pct"/>
            <w:tcBorders>
              <w:top w:val="nil"/>
              <w:left w:val="nil"/>
              <w:bottom w:val="nil"/>
              <w:right w:val="nil"/>
            </w:tcBorders>
          </w:tcPr>
          <w:p w14:paraId="1C19DD3A"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r>
    </w:tbl>
    <w:p w14:paraId="72D4B926" w14:textId="77777777" w:rsidR="003959BE" w:rsidRDefault="003959BE" w:rsidP="004C39A4">
      <w:pPr>
        <w:spacing w:line="240" w:lineRule="auto"/>
        <w:rPr>
          <w:b/>
          <w:bCs/>
        </w:rPr>
      </w:pPr>
    </w:p>
    <w:p w14:paraId="70EA0B69" w14:textId="77777777" w:rsidR="003959BE" w:rsidRDefault="003959BE" w:rsidP="004C39A4">
      <w:pPr>
        <w:spacing w:line="240" w:lineRule="auto"/>
        <w:rPr>
          <w:b/>
          <w:bCs/>
        </w:rPr>
      </w:pPr>
    </w:p>
    <w:p w14:paraId="5AF5E976" w14:textId="77777777" w:rsidR="003959BE" w:rsidRDefault="003959BE" w:rsidP="004C39A4">
      <w:pPr>
        <w:spacing w:line="240" w:lineRule="auto"/>
        <w:rPr>
          <w:b/>
          <w:bCs/>
        </w:rPr>
      </w:pPr>
    </w:p>
    <w:p w14:paraId="4D54613E" w14:textId="77777777" w:rsidR="003959BE" w:rsidRDefault="003959BE" w:rsidP="004C39A4">
      <w:pPr>
        <w:spacing w:line="240" w:lineRule="auto"/>
        <w:rPr>
          <w:b/>
          <w:bCs/>
        </w:rPr>
      </w:pPr>
    </w:p>
    <w:p w14:paraId="362FB298" w14:textId="270A3307" w:rsidR="00E7131D" w:rsidRPr="00E7131D" w:rsidRDefault="00E7131D" w:rsidP="004C39A4">
      <w:pPr>
        <w:spacing w:line="240" w:lineRule="auto"/>
        <w:rPr>
          <w:b/>
          <w:bCs/>
        </w:rPr>
      </w:pPr>
      <w:r w:rsidRPr="00E7131D">
        <w:rPr>
          <w:b/>
          <w:bCs/>
        </w:rPr>
        <w:lastRenderedPageBreak/>
        <w:t>Table A15 Continued</w:t>
      </w:r>
    </w:p>
    <w:tbl>
      <w:tblPr>
        <w:tblW w:w="5000" w:type="pct"/>
        <w:tblLook w:val="04A0" w:firstRow="1" w:lastRow="0" w:firstColumn="1" w:lastColumn="0" w:noHBand="0" w:noVBand="1"/>
      </w:tblPr>
      <w:tblGrid>
        <w:gridCol w:w="2737"/>
        <w:gridCol w:w="1271"/>
        <w:gridCol w:w="1271"/>
        <w:gridCol w:w="1271"/>
        <w:gridCol w:w="1271"/>
        <w:gridCol w:w="1539"/>
      </w:tblGrid>
      <w:tr w:rsidR="00E7131D" w:rsidRPr="00CD4846" w14:paraId="434D6CBC" w14:textId="77777777" w:rsidTr="00E7131D">
        <w:tc>
          <w:tcPr>
            <w:tcW w:w="1462" w:type="pct"/>
            <w:tcBorders>
              <w:top w:val="single" w:sz="4" w:space="0" w:color="auto"/>
              <w:left w:val="nil"/>
              <w:bottom w:val="single" w:sz="4" w:space="0" w:color="auto"/>
              <w:right w:val="nil"/>
            </w:tcBorders>
          </w:tcPr>
          <w:p w14:paraId="058BC9CE" w14:textId="75509231" w:rsidR="00E7131D" w:rsidRPr="0058540A"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b/>
                <w:bCs/>
                <w:kern w:val="2"/>
                <w:sz w:val="20"/>
                <w:szCs w:val="20"/>
                <w:lang/>
              </w:rPr>
              <w:t>Variable</w:t>
            </w:r>
          </w:p>
        </w:tc>
        <w:tc>
          <w:tcPr>
            <w:tcW w:w="679" w:type="pct"/>
            <w:tcBorders>
              <w:top w:val="single" w:sz="4" w:space="0" w:color="auto"/>
              <w:left w:val="nil"/>
              <w:bottom w:val="single" w:sz="4" w:space="0" w:color="auto"/>
              <w:right w:val="nil"/>
            </w:tcBorders>
          </w:tcPr>
          <w:p w14:paraId="5EC98DCB" w14:textId="2F0565D3" w:rsidR="00E7131D" w:rsidRPr="0058540A"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b/>
                <w:bCs/>
                <w:kern w:val="2"/>
                <w:sz w:val="20"/>
                <w:szCs w:val="20"/>
                <w:lang/>
              </w:rPr>
              <w:t>NAICS 11</w:t>
            </w:r>
          </w:p>
        </w:tc>
        <w:tc>
          <w:tcPr>
            <w:tcW w:w="679" w:type="pct"/>
            <w:tcBorders>
              <w:top w:val="single" w:sz="4" w:space="0" w:color="auto"/>
              <w:left w:val="nil"/>
              <w:bottom w:val="single" w:sz="4" w:space="0" w:color="auto"/>
              <w:right w:val="nil"/>
            </w:tcBorders>
          </w:tcPr>
          <w:p w14:paraId="75519A28" w14:textId="7D202B96" w:rsidR="00E7131D" w:rsidRPr="0058540A"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b/>
                <w:bCs/>
                <w:kern w:val="2"/>
                <w:sz w:val="20"/>
                <w:szCs w:val="20"/>
                <w:lang/>
              </w:rPr>
              <w:t>NAICS 21</w:t>
            </w:r>
          </w:p>
        </w:tc>
        <w:tc>
          <w:tcPr>
            <w:tcW w:w="679" w:type="pct"/>
            <w:tcBorders>
              <w:top w:val="single" w:sz="4" w:space="0" w:color="auto"/>
              <w:left w:val="nil"/>
              <w:bottom w:val="single" w:sz="4" w:space="0" w:color="auto"/>
              <w:right w:val="nil"/>
            </w:tcBorders>
          </w:tcPr>
          <w:p w14:paraId="5693E292" w14:textId="563514D3" w:rsidR="00E7131D" w:rsidRPr="0058540A"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b/>
                <w:bCs/>
                <w:kern w:val="2"/>
                <w:sz w:val="20"/>
                <w:szCs w:val="20"/>
                <w:lang/>
              </w:rPr>
              <w:t>NAICS 22</w:t>
            </w:r>
          </w:p>
        </w:tc>
        <w:tc>
          <w:tcPr>
            <w:tcW w:w="679" w:type="pct"/>
            <w:tcBorders>
              <w:top w:val="single" w:sz="4" w:space="0" w:color="auto"/>
              <w:left w:val="nil"/>
              <w:bottom w:val="single" w:sz="4" w:space="0" w:color="auto"/>
              <w:right w:val="nil"/>
            </w:tcBorders>
          </w:tcPr>
          <w:p w14:paraId="0267E691" w14:textId="4D6CBBE4" w:rsidR="00E7131D" w:rsidRPr="0058540A"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b/>
                <w:bCs/>
                <w:kern w:val="2"/>
                <w:sz w:val="20"/>
                <w:szCs w:val="20"/>
                <w:lang/>
              </w:rPr>
              <w:t>NAICS 23</w:t>
            </w:r>
          </w:p>
        </w:tc>
        <w:tc>
          <w:tcPr>
            <w:tcW w:w="822" w:type="pct"/>
            <w:tcBorders>
              <w:top w:val="single" w:sz="4" w:space="0" w:color="auto"/>
              <w:left w:val="nil"/>
              <w:bottom w:val="single" w:sz="4" w:space="0" w:color="auto"/>
              <w:right w:val="nil"/>
            </w:tcBorders>
          </w:tcPr>
          <w:p w14:paraId="6704EEE3" w14:textId="5F71007A" w:rsidR="00E7131D" w:rsidRPr="0058540A"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b/>
                <w:bCs/>
                <w:kern w:val="2"/>
                <w:sz w:val="20"/>
                <w:szCs w:val="20"/>
                <w:lang/>
              </w:rPr>
              <w:t>NAICS 31-33</w:t>
            </w:r>
          </w:p>
        </w:tc>
      </w:tr>
      <w:tr w:rsidR="0058540A" w:rsidRPr="0058540A" w14:paraId="4D9B5960" w14:textId="77777777" w:rsidTr="0058540A">
        <w:tc>
          <w:tcPr>
            <w:tcW w:w="1462" w:type="pct"/>
            <w:tcBorders>
              <w:top w:val="single" w:sz="4" w:space="0" w:color="auto"/>
              <w:left w:val="nil"/>
              <w:right w:val="nil"/>
            </w:tcBorders>
          </w:tcPr>
          <w:p w14:paraId="458BBE2D" w14:textId="52C0CE69" w:rsidR="0058540A" w:rsidRPr="0058540A" w:rsidRDefault="0058540A"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State by Year FE</w:t>
            </w:r>
          </w:p>
        </w:tc>
        <w:tc>
          <w:tcPr>
            <w:tcW w:w="679" w:type="pct"/>
            <w:tcBorders>
              <w:top w:val="single" w:sz="4" w:space="0" w:color="auto"/>
              <w:left w:val="nil"/>
              <w:right w:val="nil"/>
            </w:tcBorders>
          </w:tcPr>
          <w:p w14:paraId="1D0B90A1" w14:textId="49BB81DD" w:rsidR="0058540A" w:rsidRPr="0058540A" w:rsidRDefault="0058540A"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679" w:type="pct"/>
            <w:tcBorders>
              <w:top w:val="single" w:sz="4" w:space="0" w:color="auto"/>
              <w:left w:val="nil"/>
              <w:right w:val="nil"/>
            </w:tcBorders>
          </w:tcPr>
          <w:p w14:paraId="5FB82084" w14:textId="3971CE75" w:rsidR="0058540A" w:rsidRPr="0058540A" w:rsidRDefault="0058540A"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679" w:type="pct"/>
            <w:tcBorders>
              <w:top w:val="single" w:sz="4" w:space="0" w:color="auto"/>
              <w:left w:val="nil"/>
              <w:right w:val="nil"/>
            </w:tcBorders>
          </w:tcPr>
          <w:p w14:paraId="35C4525A" w14:textId="5E0A29CE" w:rsidR="0058540A" w:rsidRPr="0058540A" w:rsidRDefault="0058540A"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679" w:type="pct"/>
            <w:tcBorders>
              <w:top w:val="single" w:sz="4" w:space="0" w:color="auto"/>
              <w:left w:val="nil"/>
              <w:right w:val="nil"/>
            </w:tcBorders>
          </w:tcPr>
          <w:p w14:paraId="47981DD6" w14:textId="46F2B2BB" w:rsidR="0058540A" w:rsidRPr="0058540A" w:rsidRDefault="0058540A"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822" w:type="pct"/>
            <w:tcBorders>
              <w:top w:val="single" w:sz="4" w:space="0" w:color="auto"/>
              <w:left w:val="nil"/>
              <w:right w:val="nil"/>
            </w:tcBorders>
          </w:tcPr>
          <w:p w14:paraId="31BD7E19" w14:textId="67BF832D" w:rsidR="0058540A" w:rsidRPr="0058540A" w:rsidRDefault="0058540A"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r>
      <w:tr w:rsidR="00E7131D" w:rsidRPr="00CD4846" w14:paraId="01E1CC90" w14:textId="77777777" w:rsidTr="0058540A">
        <w:tc>
          <w:tcPr>
            <w:tcW w:w="1462" w:type="pct"/>
            <w:tcBorders>
              <w:left w:val="nil"/>
              <w:right w:val="nil"/>
            </w:tcBorders>
          </w:tcPr>
          <w:p w14:paraId="4A76C300"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NAICS FE</w:t>
            </w:r>
          </w:p>
        </w:tc>
        <w:tc>
          <w:tcPr>
            <w:tcW w:w="679" w:type="pct"/>
            <w:tcBorders>
              <w:left w:val="nil"/>
              <w:right w:val="nil"/>
            </w:tcBorders>
          </w:tcPr>
          <w:p w14:paraId="4923C140"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679" w:type="pct"/>
            <w:tcBorders>
              <w:left w:val="nil"/>
              <w:right w:val="nil"/>
            </w:tcBorders>
          </w:tcPr>
          <w:p w14:paraId="7BB97D74"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679" w:type="pct"/>
            <w:tcBorders>
              <w:left w:val="nil"/>
              <w:right w:val="nil"/>
            </w:tcBorders>
          </w:tcPr>
          <w:p w14:paraId="160EB6BE"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679" w:type="pct"/>
            <w:tcBorders>
              <w:left w:val="nil"/>
              <w:right w:val="nil"/>
            </w:tcBorders>
          </w:tcPr>
          <w:p w14:paraId="4D854434"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822" w:type="pct"/>
            <w:tcBorders>
              <w:left w:val="nil"/>
              <w:right w:val="nil"/>
            </w:tcBorders>
          </w:tcPr>
          <w:p w14:paraId="0C966D0A"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r>
      <w:tr w:rsidR="00E7131D" w:rsidRPr="00CD4846" w14:paraId="71FF33B9" w14:textId="77777777" w:rsidTr="00B82EB9">
        <w:tc>
          <w:tcPr>
            <w:tcW w:w="1462" w:type="pct"/>
            <w:tcBorders>
              <w:top w:val="nil"/>
              <w:left w:val="nil"/>
              <w:bottom w:val="single" w:sz="4" w:space="0" w:color="auto"/>
              <w:right w:val="nil"/>
            </w:tcBorders>
          </w:tcPr>
          <w:p w14:paraId="4E715F11" w14:textId="77777777" w:rsidR="00E7131D" w:rsidRPr="00CD4846" w:rsidRDefault="00E7131D" w:rsidP="0058540A">
            <w:pPr>
              <w:widowControl w:val="0"/>
              <w:autoSpaceDE w:val="0"/>
              <w:autoSpaceDN w:val="0"/>
              <w:adjustRightInd w:val="0"/>
              <w:spacing w:line="240" w:lineRule="auto"/>
              <w:rPr>
                <w:rFonts w:eastAsia="Times New Roman" w:cs="Times New Roman"/>
                <w:b/>
                <w:bCs/>
                <w:color w:val="5F6368"/>
                <w:kern w:val="2"/>
                <w:sz w:val="20"/>
                <w:szCs w:val="20"/>
                <w:shd w:val="clear" w:color="auto" w:fill="FFFFFF"/>
                <w:lang/>
              </w:rPr>
            </w:pPr>
            <w:r w:rsidRPr="00CD4846">
              <w:rPr>
                <w:rFonts w:eastAsia="Times New Roman" w:cs="Times New Roman"/>
                <w:kern w:val="2"/>
                <w:sz w:val="20"/>
                <w:szCs w:val="20"/>
                <w:lang/>
              </w:rPr>
              <w:t>PA-PA</w:t>
            </w:r>
            <w:r w:rsidRPr="00CD4846">
              <w:rPr>
                <w:rFonts w:eastAsia="Times New Roman" w:cs="Times New Roman"/>
                <w:b/>
                <w:bCs/>
                <w:i/>
                <w:color w:val="5F6368"/>
                <w:kern w:val="2"/>
                <w:sz w:val="20"/>
                <w:szCs w:val="20"/>
                <w:shd w:val="clear" w:color="auto" w:fill="FFFFFF"/>
                <w:lang/>
              </w:rPr>
              <w:t>²</w:t>
            </w:r>
            <w:r w:rsidRPr="00CD4846">
              <w:rPr>
                <w:rFonts w:cs="Times New Roman"/>
                <w:b/>
                <w:bCs/>
                <w:i/>
                <w:color w:val="5F6368"/>
                <w:kern w:val="2"/>
                <w:sz w:val="20"/>
                <w:szCs w:val="20"/>
                <w:shd w:val="clear" w:color="auto" w:fill="FFFFFF"/>
                <w:lang/>
              </w:rPr>
              <w:t xml:space="preserve"> </w:t>
            </w:r>
            <w:r w:rsidRPr="00CD4846">
              <w:rPr>
                <w:rFonts w:eastAsia="Times New Roman" w:cs="Times New Roman"/>
                <w:kern w:val="2"/>
                <w:sz w:val="20"/>
                <w:szCs w:val="20"/>
                <w:lang/>
              </w:rPr>
              <w:t xml:space="preserve">Joint Test </w:t>
            </w:r>
            <w:r w:rsidRPr="00CD4846">
              <w:rPr>
                <w:rFonts w:cs="Times New Roman"/>
                <w:kern w:val="2"/>
                <w:sz w:val="20"/>
                <w:szCs w:val="20"/>
                <w:lang/>
              </w:rPr>
              <w:t>p-value</w:t>
            </w:r>
          </w:p>
        </w:tc>
        <w:tc>
          <w:tcPr>
            <w:tcW w:w="679" w:type="pct"/>
            <w:tcBorders>
              <w:top w:val="nil"/>
              <w:left w:val="nil"/>
              <w:bottom w:val="single" w:sz="4" w:space="0" w:color="auto"/>
              <w:right w:val="nil"/>
            </w:tcBorders>
          </w:tcPr>
          <w:p w14:paraId="6E58F634"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0.1606</w:t>
            </w:r>
          </w:p>
        </w:tc>
        <w:tc>
          <w:tcPr>
            <w:tcW w:w="679" w:type="pct"/>
            <w:tcBorders>
              <w:top w:val="nil"/>
              <w:left w:val="nil"/>
              <w:bottom w:val="single" w:sz="4" w:space="0" w:color="auto"/>
              <w:right w:val="nil"/>
            </w:tcBorders>
          </w:tcPr>
          <w:p w14:paraId="65EA105D"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0.3006</w:t>
            </w:r>
          </w:p>
        </w:tc>
        <w:tc>
          <w:tcPr>
            <w:tcW w:w="679" w:type="pct"/>
            <w:tcBorders>
              <w:top w:val="nil"/>
              <w:left w:val="nil"/>
              <w:bottom w:val="single" w:sz="4" w:space="0" w:color="auto"/>
              <w:right w:val="nil"/>
            </w:tcBorders>
          </w:tcPr>
          <w:p w14:paraId="5F82BA24"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0.3512</w:t>
            </w:r>
          </w:p>
        </w:tc>
        <w:tc>
          <w:tcPr>
            <w:tcW w:w="679" w:type="pct"/>
            <w:tcBorders>
              <w:top w:val="nil"/>
              <w:left w:val="nil"/>
              <w:bottom w:val="single" w:sz="4" w:space="0" w:color="auto"/>
              <w:right w:val="nil"/>
            </w:tcBorders>
          </w:tcPr>
          <w:p w14:paraId="352BE8AC"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0.7978</w:t>
            </w:r>
          </w:p>
        </w:tc>
        <w:tc>
          <w:tcPr>
            <w:tcW w:w="822" w:type="pct"/>
            <w:tcBorders>
              <w:top w:val="nil"/>
              <w:left w:val="nil"/>
              <w:bottom w:val="single" w:sz="4" w:space="0" w:color="auto"/>
              <w:right w:val="nil"/>
            </w:tcBorders>
          </w:tcPr>
          <w:p w14:paraId="7089D00B" w14:textId="77777777" w:rsidR="00E7131D" w:rsidRPr="00CD4846" w:rsidRDefault="00E7131D" w:rsidP="0058540A">
            <w:pPr>
              <w:widowControl w:val="0"/>
              <w:autoSpaceDE w:val="0"/>
              <w:autoSpaceDN w:val="0"/>
              <w:adjustRightInd w:val="0"/>
              <w:spacing w:line="240" w:lineRule="auto"/>
              <w:rPr>
                <w:rFonts w:cs="Times New Roman"/>
                <w:bCs/>
                <w:kern w:val="2"/>
                <w:sz w:val="20"/>
                <w:szCs w:val="20"/>
                <w:lang/>
              </w:rPr>
            </w:pPr>
            <w:r w:rsidRPr="00CD4846">
              <w:rPr>
                <w:rFonts w:cs="Times New Roman"/>
                <w:bCs/>
                <w:kern w:val="2"/>
                <w:sz w:val="20"/>
                <w:szCs w:val="20"/>
                <w:lang/>
              </w:rPr>
              <w:t>0.0049</w:t>
            </w:r>
          </w:p>
        </w:tc>
      </w:tr>
    </w:tbl>
    <w:p w14:paraId="6670389D" w14:textId="7D8873F4" w:rsidR="00CD4846" w:rsidRPr="0058540A" w:rsidRDefault="00CD4846" w:rsidP="0058540A">
      <w:pPr>
        <w:spacing w:line="240" w:lineRule="auto"/>
        <w:rPr>
          <w:rFonts w:eastAsia="DengXian" w:cs="Times New Roman"/>
          <w:i/>
          <w:iCs/>
          <w:sz w:val="20"/>
          <w:szCs w:val="20"/>
          <w:lang/>
        </w:rPr>
      </w:pPr>
      <w:r w:rsidRPr="0058540A">
        <w:rPr>
          <w:rFonts w:cs="Times New Roman"/>
          <w:sz w:val="20"/>
          <w:szCs w:val="20"/>
          <w:lang/>
        </w:rPr>
        <w:t xml:space="preserve">Table </w:t>
      </w:r>
      <w:r w:rsidRPr="0058540A">
        <w:rPr>
          <w:rFonts w:cs="Times New Roman"/>
          <w:sz w:val="20"/>
          <w:szCs w:val="20"/>
          <w:lang/>
        </w:rPr>
        <w:t>A15</w:t>
      </w:r>
      <w:r w:rsidRPr="0058540A">
        <w:rPr>
          <w:rFonts w:cs="Times New Roman"/>
          <w:sz w:val="20"/>
          <w:szCs w:val="20"/>
          <w:lang/>
        </w:rPr>
        <w:t xml:space="preserve">: </w:t>
      </w:r>
      <w:r w:rsidRPr="0058540A">
        <w:rPr>
          <w:rFonts w:cs="Times New Roman"/>
          <w:sz w:val="20"/>
          <w:szCs w:val="20"/>
          <w:lang/>
        </w:rPr>
        <w:t>PPMLHDFE r</w:t>
      </w:r>
      <w:r w:rsidRPr="0058540A">
        <w:rPr>
          <w:rFonts w:cs="Times New Roman"/>
          <w:sz w:val="20"/>
          <w:szCs w:val="20"/>
          <w:lang/>
        </w:rPr>
        <w:t xml:space="preserve">egression results </w:t>
      </w:r>
      <w:r w:rsidRPr="0058540A">
        <w:rPr>
          <w:rFonts w:cs="Times New Roman"/>
          <w:sz w:val="20"/>
          <w:szCs w:val="20"/>
          <w:lang/>
        </w:rPr>
        <w:t xml:space="preserve">on establishment intra-state outward relocations under broad PADs (GAP 1-4) are presented above. Column names correspond to a specific NAICS sector. </w:t>
      </w:r>
      <w:r w:rsidR="002A78A3" w:rsidRPr="00C624DB">
        <w:rPr>
          <w:sz w:val="20"/>
          <w:szCs w:val="20"/>
          <w:lang/>
        </w:rPr>
        <w:t xml:space="preserve">Standard errors are </w:t>
      </w:r>
      <w:r w:rsidR="002A78A3">
        <w:rPr>
          <w:sz w:val="20"/>
          <w:szCs w:val="20"/>
          <w:lang/>
        </w:rPr>
        <w:t xml:space="preserve">in parentheses and are </w:t>
      </w:r>
      <w:r w:rsidR="002A78A3" w:rsidRPr="00C624DB">
        <w:rPr>
          <w:sz w:val="20"/>
          <w:szCs w:val="20"/>
          <w:lang/>
        </w:rPr>
        <w:t xml:space="preserve">clustered at the county level. </w:t>
      </w:r>
      <w:r w:rsidR="002A78A3" w:rsidRPr="002C0F11">
        <w:rPr>
          <w:sz w:val="20"/>
          <w:szCs w:val="20"/>
          <w:lang/>
        </w:rPr>
        <w:t>Statistically significant impacts are denoted by asterisks. These asterisks denote statistical significance at the following levels: ***p &lt; 0.01, **p &lt; 0.05, *p &lt; 0.1.</w:t>
      </w:r>
      <w:r w:rsidR="002A78A3">
        <w:rPr>
          <w:sz w:val="20"/>
          <w:szCs w:val="20"/>
          <w:lang/>
        </w:rPr>
        <w:t xml:space="preserve"> </w:t>
      </w:r>
      <w:r w:rsidRPr="0058540A">
        <w:rPr>
          <w:rFonts w:cs="Times New Roman"/>
          <w:sz w:val="20"/>
          <w:szCs w:val="20"/>
          <w:lang/>
        </w:rPr>
        <w:t>p-values of joint-tests on linear and quadratic PAD terms are shown in the last row.</w:t>
      </w:r>
    </w:p>
    <w:p w14:paraId="7A38DB57" w14:textId="77777777" w:rsidR="00CD4846" w:rsidRPr="00CD4846" w:rsidRDefault="00CD4846" w:rsidP="004C39A4">
      <w:pPr>
        <w:spacing w:line="259" w:lineRule="auto"/>
        <w:rPr>
          <w:rFonts w:ascii="Calibri Light" w:eastAsia="Times New Roman" w:hAnsi="Calibri Light" w:cs="Times New Roman"/>
          <w:b/>
          <w:bCs/>
          <w:color w:val="2F5496"/>
          <w:kern w:val="2"/>
          <w14:ligatures w14:val="standardContextual"/>
        </w:rPr>
      </w:pPr>
      <w:r w:rsidRPr="00CD4846">
        <w:rPr>
          <w:rFonts w:ascii="DengXian" w:hAnsi="DengXian" w:cs="Times New Roman"/>
          <w:b/>
          <w:bCs/>
          <w:kern w:val="2"/>
          <w:lang/>
        </w:rPr>
        <w:br w:type="page"/>
      </w:r>
    </w:p>
    <w:p w14:paraId="72437F8E" w14:textId="77777777" w:rsidR="00CD4846" w:rsidRPr="00CD4846" w:rsidRDefault="00CD4846" w:rsidP="00095E25">
      <w:pPr>
        <w:pStyle w:val="Title"/>
      </w:pPr>
      <w:bookmarkStart w:id="259" w:name="_Toc186799420"/>
      <w:bookmarkStart w:id="260" w:name="_Toc188359621"/>
      <w:bookmarkStart w:id="261" w:name="_Toc188359909"/>
      <w:bookmarkStart w:id="262" w:name="_Toc188361145"/>
      <w:bookmarkStart w:id="263" w:name="_Toc188366989"/>
      <w:r w:rsidRPr="00CD4846">
        <w:lastRenderedPageBreak/>
        <w:t>Table A16: Regression Results of Broad PADs on Inter-State Outward Relocations</w:t>
      </w:r>
      <w:bookmarkEnd w:id="259"/>
      <w:bookmarkEnd w:id="260"/>
      <w:bookmarkEnd w:id="261"/>
      <w:bookmarkEnd w:id="262"/>
      <w:bookmarkEnd w:id="263"/>
      <w:r w:rsidRPr="00CD4846">
        <w:t xml:space="preserve"> </w:t>
      </w:r>
    </w:p>
    <w:tbl>
      <w:tblPr>
        <w:tblW w:w="5000" w:type="pct"/>
        <w:tblLook w:val="04A0" w:firstRow="1" w:lastRow="0" w:firstColumn="1" w:lastColumn="0" w:noHBand="0" w:noVBand="1"/>
      </w:tblPr>
      <w:tblGrid>
        <w:gridCol w:w="3310"/>
        <w:gridCol w:w="1962"/>
        <w:gridCol w:w="2044"/>
        <w:gridCol w:w="2044"/>
      </w:tblGrid>
      <w:tr w:rsidR="00CD4846" w:rsidRPr="00CD4846" w14:paraId="77CA5C1C" w14:textId="77777777" w:rsidTr="00B82EB9">
        <w:tc>
          <w:tcPr>
            <w:tcW w:w="1768" w:type="pct"/>
            <w:tcBorders>
              <w:top w:val="single" w:sz="4" w:space="0" w:color="auto"/>
              <w:left w:val="nil"/>
              <w:bottom w:val="single" w:sz="4" w:space="0" w:color="auto"/>
              <w:right w:val="nil"/>
            </w:tcBorders>
          </w:tcPr>
          <w:p w14:paraId="22815A9B" w14:textId="116AAF43" w:rsidR="00CD4846" w:rsidRPr="00CD4846" w:rsidRDefault="00CD4846" w:rsidP="0058540A">
            <w:pPr>
              <w:widowControl w:val="0"/>
              <w:autoSpaceDE w:val="0"/>
              <w:autoSpaceDN w:val="0"/>
              <w:adjustRightInd w:val="0"/>
              <w:spacing w:line="240" w:lineRule="auto"/>
              <w:rPr>
                <w:rFonts w:cs="Times New Roman"/>
                <w:b/>
                <w:bCs/>
                <w:kern w:val="2"/>
                <w:sz w:val="20"/>
                <w:szCs w:val="20"/>
                <w:lang/>
              </w:rPr>
            </w:pPr>
            <w:r w:rsidRPr="00CD4846">
              <w:rPr>
                <w:rFonts w:cs="Times New Roman"/>
                <w:b/>
                <w:bCs/>
                <w:kern w:val="2"/>
                <w:sz w:val="20"/>
                <w:szCs w:val="20"/>
                <w:lang/>
              </w:rPr>
              <w:t>Variable</w:t>
            </w:r>
          </w:p>
        </w:tc>
        <w:tc>
          <w:tcPr>
            <w:tcW w:w="1048" w:type="pct"/>
            <w:tcBorders>
              <w:top w:val="single" w:sz="4" w:space="0" w:color="auto"/>
              <w:left w:val="nil"/>
              <w:bottom w:val="single" w:sz="4" w:space="0" w:color="auto"/>
              <w:right w:val="nil"/>
            </w:tcBorders>
          </w:tcPr>
          <w:p w14:paraId="577DB510" w14:textId="44D2681E" w:rsidR="00CD4846" w:rsidRPr="00CD4846" w:rsidRDefault="00CD4846" w:rsidP="0058540A">
            <w:pPr>
              <w:widowControl w:val="0"/>
              <w:autoSpaceDE w:val="0"/>
              <w:autoSpaceDN w:val="0"/>
              <w:adjustRightInd w:val="0"/>
              <w:spacing w:line="240" w:lineRule="auto"/>
              <w:rPr>
                <w:rFonts w:cs="Times New Roman"/>
                <w:b/>
                <w:bCs/>
                <w:kern w:val="2"/>
                <w:sz w:val="20"/>
                <w:szCs w:val="20"/>
                <w:lang/>
              </w:rPr>
            </w:pPr>
            <w:r w:rsidRPr="00CD4846">
              <w:rPr>
                <w:rFonts w:cs="Times New Roman"/>
                <w:b/>
                <w:bCs/>
                <w:kern w:val="2"/>
                <w:sz w:val="20"/>
                <w:szCs w:val="20"/>
                <w:lang/>
              </w:rPr>
              <w:t>NAICS 21</w:t>
            </w:r>
          </w:p>
        </w:tc>
        <w:tc>
          <w:tcPr>
            <w:tcW w:w="1092" w:type="pct"/>
            <w:tcBorders>
              <w:top w:val="single" w:sz="4" w:space="0" w:color="auto"/>
              <w:left w:val="nil"/>
              <w:bottom w:val="single" w:sz="4" w:space="0" w:color="auto"/>
              <w:right w:val="nil"/>
            </w:tcBorders>
          </w:tcPr>
          <w:p w14:paraId="0C980EF7" w14:textId="56F12B60" w:rsidR="00CD4846" w:rsidRPr="00CD4846" w:rsidRDefault="00CD4846" w:rsidP="0058540A">
            <w:pPr>
              <w:widowControl w:val="0"/>
              <w:autoSpaceDE w:val="0"/>
              <w:autoSpaceDN w:val="0"/>
              <w:adjustRightInd w:val="0"/>
              <w:spacing w:line="240" w:lineRule="auto"/>
              <w:rPr>
                <w:rFonts w:cs="Times New Roman"/>
                <w:b/>
                <w:bCs/>
                <w:kern w:val="2"/>
                <w:sz w:val="20"/>
                <w:szCs w:val="20"/>
                <w:lang/>
              </w:rPr>
            </w:pPr>
            <w:r w:rsidRPr="00CD4846">
              <w:rPr>
                <w:rFonts w:cs="Times New Roman"/>
                <w:b/>
                <w:bCs/>
                <w:kern w:val="2"/>
                <w:sz w:val="20"/>
                <w:szCs w:val="20"/>
                <w:lang/>
              </w:rPr>
              <w:t>NAICS 23</w:t>
            </w:r>
          </w:p>
        </w:tc>
        <w:tc>
          <w:tcPr>
            <w:tcW w:w="1092" w:type="pct"/>
            <w:tcBorders>
              <w:top w:val="single" w:sz="4" w:space="0" w:color="auto"/>
              <w:left w:val="nil"/>
              <w:bottom w:val="single" w:sz="4" w:space="0" w:color="auto"/>
              <w:right w:val="nil"/>
            </w:tcBorders>
          </w:tcPr>
          <w:p w14:paraId="4082DFA4" w14:textId="7D19F1F7" w:rsidR="00CD4846" w:rsidRPr="00CD4846" w:rsidRDefault="00CD4846" w:rsidP="0058540A">
            <w:pPr>
              <w:widowControl w:val="0"/>
              <w:autoSpaceDE w:val="0"/>
              <w:autoSpaceDN w:val="0"/>
              <w:adjustRightInd w:val="0"/>
              <w:spacing w:line="240" w:lineRule="auto"/>
              <w:rPr>
                <w:rFonts w:cs="Times New Roman"/>
                <w:b/>
                <w:bCs/>
                <w:kern w:val="2"/>
                <w:sz w:val="20"/>
                <w:szCs w:val="20"/>
                <w:lang/>
              </w:rPr>
            </w:pPr>
            <w:r w:rsidRPr="00CD4846">
              <w:rPr>
                <w:rFonts w:cs="Times New Roman"/>
                <w:b/>
                <w:bCs/>
                <w:kern w:val="2"/>
                <w:sz w:val="20"/>
                <w:szCs w:val="20"/>
                <w:lang/>
              </w:rPr>
              <w:t>NAICS 31-33</w:t>
            </w:r>
          </w:p>
        </w:tc>
      </w:tr>
      <w:tr w:rsidR="00CD4846" w:rsidRPr="00CD4846" w14:paraId="611A189E" w14:textId="77777777" w:rsidTr="00B82EB9">
        <w:tc>
          <w:tcPr>
            <w:tcW w:w="1768" w:type="pct"/>
            <w:tcBorders>
              <w:top w:val="single" w:sz="4" w:space="0" w:color="auto"/>
              <w:left w:val="nil"/>
              <w:bottom w:val="nil"/>
              <w:right w:val="nil"/>
            </w:tcBorders>
          </w:tcPr>
          <w:p w14:paraId="293C8D98" w14:textId="676486BE"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Broad PADs (t-1)</w:t>
            </w:r>
          </w:p>
        </w:tc>
        <w:tc>
          <w:tcPr>
            <w:tcW w:w="1048" w:type="pct"/>
            <w:tcBorders>
              <w:top w:val="single" w:sz="4" w:space="0" w:color="auto"/>
              <w:left w:val="nil"/>
              <w:bottom w:val="nil"/>
              <w:right w:val="nil"/>
            </w:tcBorders>
          </w:tcPr>
          <w:p w14:paraId="1310B798"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-39.132</w:t>
            </w:r>
          </w:p>
        </w:tc>
        <w:tc>
          <w:tcPr>
            <w:tcW w:w="1092" w:type="pct"/>
            <w:tcBorders>
              <w:top w:val="single" w:sz="4" w:space="0" w:color="auto"/>
              <w:left w:val="nil"/>
              <w:bottom w:val="nil"/>
              <w:right w:val="nil"/>
            </w:tcBorders>
          </w:tcPr>
          <w:p w14:paraId="035FFE9D"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6.251</w:t>
            </w:r>
          </w:p>
        </w:tc>
        <w:tc>
          <w:tcPr>
            <w:tcW w:w="1092" w:type="pct"/>
            <w:tcBorders>
              <w:top w:val="single" w:sz="4" w:space="0" w:color="auto"/>
              <w:left w:val="nil"/>
              <w:bottom w:val="nil"/>
              <w:right w:val="nil"/>
            </w:tcBorders>
          </w:tcPr>
          <w:p w14:paraId="14B78FF3"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14.612</w:t>
            </w:r>
          </w:p>
        </w:tc>
      </w:tr>
      <w:tr w:rsidR="00CD4846" w:rsidRPr="00CD4846" w14:paraId="7CEAA4DA" w14:textId="77777777" w:rsidTr="00B82EB9">
        <w:tc>
          <w:tcPr>
            <w:tcW w:w="1768" w:type="pct"/>
            <w:tcBorders>
              <w:top w:val="nil"/>
              <w:left w:val="nil"/>
              <w:bottom w:val="nil"/>
              <w:right w:val="nil"/>
            </w:tcBorders>
          </w:tcPr>
          <w:p w14:paraId="412F6035" w14:textId="1692042A"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1048" w:type="pct"/>
            <w:tcBorders>
              <w:top w:val="nil"/>
              <w:left w:val="nil"/>
              <w:bottom w:val="nil"/>
              <w:right w:val="nil"/>
            </w:tcBorders>
          </w:tcPr>
          <w:p w14:paraId="518A9FEE"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(45.420)</w:t>
            </w:r>
          </w:p>
        </w:tc>
        <w:tc>
          <w:tcPr>
            <w:tcW w:w="1092" w:type="pct"/>
            <w:tcBorders>
              <w:top w:val="nil"/>
              <w:left w:val="nil"/>
              <w:bottom w:val="nil"/>
              <w:right w:val="nil"/>
            </w:tcBorders>
          </w:tcPr>
          <w:p w14:paraId="4E263CA9"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(27.099)</w:t>
            </w:r>
          </w:p>
        </w:tc>
        <w:tc>
          <w:tcPr>
            <w:tcW w:w="1092" w:type="pct"/>
            <w:tcBorders>
              <w:top w:val="nil"/>
              <w:left w:val="nil"/>
              <w:bottom w:val="nil"/>
              <w:right w:val="nil"/>
            </w:tcBorders>
          </w:tcPr>
          <w:p w14:paraId="2BF1F903"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(17.521)</w:t>
            </w:r>
          </w:p>
        </w:tc>
      </w:tr>
      <w:tr w:rsidR="00CD4846" w:rsidRPr="00CD4846" w14:paraId="72813EC9" w14:textId="77777777" w:rsidTr="00B82EB9">
        <w:tc>
          <w:tcPr>
            <w:tcW w:w="1768" w:type="pct"/>
            <w:tcBorders>
              <w:top w:val="nil"/>
              <w:left w:val="nil"/>
              <w:bottom w:val="nil"/>
              <w:right w:val="nil"/>
            </w:tcBorders>
          </w:tcPr>
          <w:p w14:paraId="50C34B4F" w14:textId="7AB66A43"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Broad PADs Sq. (t-1)</w:t>
            </w:r>
          </w:p>
        </w:tc>
        <w:tc>
          <w:tcPr>
            <w:tcW w:w="1048" w:type="pct"/>
            <w:tcBorders>
              <w:top w:val="nil"/>
              <w:left w:val="nil"/>
              <w:bottom w:val="nil"/>
              <w:right w:val="nil"/>
            </w:tcBorders>
          </w:tcPr>
          <w:p w14:paraId="6F2D0950"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34.100</w:t>
            </w:r>
          </w:p>
        </w:tc>
        <w:tc>
          <w:tcPr>
            <w:tcW w:w="1092" w:type="pct"/>
            <w:tcBorders>
              <w:top w:val="nil"/>
              <w:left w:val="nil"/>
              <w:bottom w:val="nil"/>
              <w:right w:val="nil"/>
            </w:tcBorders>
          </w:tcPr>
          <w:p w14:paraId="2DCB2651"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-3.689</w:t>
            </w:r>
          </w:p>
        </w:tc>
        <w:tc>
          <w:tcPr>
            <w:tcW w:w="1092" w:type="pct"/>
            <w:tcBorders>
              <w:top w:val="nil"/>
              <w:left w:val="nil"/>
              <w:bottom w:val="nil"/>
              <w:right w:val="nil"/>
            </w:tcBorders>
          </w:tcPr>
          <w:p w14:paraId="6589CCC3"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-13.598</w:t>
            </w:r>
          </w:p>
        </w:tc>
      </w:tr>
      <w:tr w:rsidR="00CD4846" w:rsidRPr="00CD4846" w14:paraId="76AE752D" w14:textId="77777777" w:rsidTr="00B82EB9">
        <w:tc>
          <w:tcPr>
            <w:tcW w:w="1768" w:type="pct"/>
            <w:tcBorders>
              <w:top w:val="nil"/>
              <w:left w:val="nil"/>
              <w:bottom w:val="nil"/>
              <w:right w:val="nil"/>
            </w:tcBorders>
          </w:tcPr>
          <w:p w14:paraId="63529F13" w14:textId="43179695"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1048" w:type="pct"/>
            <w:tcBorders>
              <w:top w:val="nil"/>
              <w:left w:val="nil"/>
              <w:bottom w:val="nil"/>
              <w:right w:val="nil"/>
            </w:tcBorders>
          </w:tcPr>
          <w:p w14:paraId="73AD980E"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(39.329)</w:t>
            </w:r>
          </w:p>
        </w:tc>
        <w:tc>
          <w:tcPr>
            <w:tcW w:w="1092" w:type="pct"/>
            <w:tcBorders>
              <w:top w:val="nil"/>
              <w:left w:val="nil"/>
              <w:bottom w:val="nil"/>
              <w:right w:val="nil"/>
            </w:tcBorders>
          </w:tcPr>
          <w:p w14:paraId="65AF5076"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(26.430)</w:t>
            </w:r>
          </w:p>
        </w:tc>
        <w:tc>
          <w:tcPr>
            <w:tcW w:w="1092" w:type="pct"/>
            <w:tcBorders>
              <w:top w:val="nil"/>
              <w:left w:val="nil"/>
              <w:bottom w:val="nil"/>
              <w:right w:val="nil"/>
            </w:tcBorders>
          </w:tcPr>
          <w:p w14:paraId="11AEB6F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(16.097)</w:t>
            </w:r>
          </w:p>
        </w:tc>
      </w:tr>
      <w:tr w:rsidR="00CD4846" w:rsidRPr="00CD4846" w14:paraId="14079087" w14:textId="77777777" w:rsidTr="00B82EB9">
        <w:tc>
          <w:tcPr>
            <w:tcW w:w="1768" w:type="pct"/>
            <w:tcBorders>
              <w:top w:val="nil"/>
              <w:left w:val="nil"/>
              <w:bottom w:val="nil"/>
              <w:right w:val="nil"/>
            </w:tcBorders>
          </w:tcPr>
          <w:p w14:paraId="1DD22FD1" w14:textId="7AF8B0E9"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Loc. Economies (t-1) (10ks)</w:t>
            </w:r>
          </w:p>
        </w:tc>
        <w:tc>
          <w:tcPr>
            <w:tcW w:w="1048" w:type="pct"/>
            <w:tcBorders>
              <w:top w:val="nil"/>
              <w:left w:val="nil"/>
              <w:bottom w:val="nil"/>
              <w:right w:val="nil"/>
            </w:tcBorders>
          </w:tcPr>
          <w:p w14:paraId="23813121"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58.850*</w:t>
            </w:r>
          </w:p>
        </w:tc>
        <w:tc>
          <w:tcPr>
            <w:tcW w:w="1092" w:type="pct"/>
            <w:tcBorders>
              <w:top w:val="nil"/>
              <w:left w:val="nil"/>
              <w:bottom w:val="nil"/>
              <w:right w:val="nil"/>
            </w:tcBorders>
          </w:tcPr>
          <w:p w14:paraId="2E468E6A"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2.089</w:t>
            </w:r>
          </w:p>
        </w:tc>
        <w:tc>
          <w:tcPr>
            <w:tcW w:w="1092" w:type="pct"/>
            <w:tcBorders>
              <w:top w:val="nil"/>
              <w:left w:val="nil"/>
              <w:bottom w:val="nil"/>
              <w:right w:val="nil"/>
            </w:tcBorders>
          </w:tcPr>
          <w:p w14:paraId="63D240A9"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3.610**</w:t>
            </w:r>
          </w:p>
        </w:tc>
      </w:tr>
      <w:tr w:rsidR="00CD4846" w:rsidRPr="00CD4846" w14:paraId="0D1A7AAD" w14:textId="77777777" w:rsidTr="00B82EB9">
        <w:tc>
          <w:tcPr>
            <w:tcW w:w="1768" w:type="pct"/>
            <w:tcBorders>
              <w:top w:val="nil"/>
              <w:left w:val="nil"/>
              <w:bottom w:val="nil"/>
              <w:right w:val="nil"/>
            </w:tcBorders>
          </w:tcPr>
          <w:p w14:paraId="01404B8F" w14:textId="31A7D23B"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1048" w:type="pct"/>
            <w:tcBorders>
              <w:top w:val="nil"/>
              <w:left w:val="nil"/>
              <w:bottom w:val="nil"/>
              <w:right w:val="nil"/>
            </w:tcBorders>
          </w:tcPr>
          <w:p w14:paraId="1A9F6F7D"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(32.650)</w:t>
            </w:r>
          </w:p>
        </w:tc>
        <w:tc>
          <w:tcPr>
            <w:tcW w:w="1092" w:type="pct"/>
            <w:tcBorders>
              <w:top w:val="nil"/>
              <w:left w:val="nil"/>
              <w:bottom w:val="nil"/>
              <w:right w:val="nil"/>
            </w:tcBorders>
          </w:tcPr>
          <w:p w14:paraId="7184CD46"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(1.845)</w:t>
            </w:r>
          </w:p>
        </w:tc>
        <w:tc>
          <w:tcPr>
            <w:tcW w:w="1092" w:type="pct"/>
            <w:tcBorders>
              <w:top w:val="nil"/>
              <w:left w:val="nil"/>
              <w:bottom w:val="nil"/>
              <w:right w:val="nil"/>
            </w:tcBorders>
          </w:tcPr>
          <w:p w14:paraId="0EC3EAFC"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(1.838)</w:t>
            </w:r>
          </w:p>
        </w:tc>
      </w:tr>
      <w:tr w:rsidR="00CD4846" w:rsidRPr="00CD4846" w14:paraId="709C2780" w14:textId="77777777" w:rsidTr="00B82EB9">
        <w:tc>
          <w:tcPr>
            <w:tcW w:w="1768" w:type="pct"/>
            <w:tcBorders>
              <w:top w:val="nil"/>
              <w:left w:val="nil"/>
              <w:bottom w:val="nil"/>
              <w:right w:val="nil"/>
            </w:tcBorders>
          </w:tcPr>
          <w:p w14:paraId="4BE0EA02" w14:textId="0E38F761"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Median HH Income (100ks)</w:t>
            </w:r>
          </w:p>
        </w:tc>
        <w:tc>
          <w:tcPr>
            <w:tcW w:w="1048" w:type="pct"/>
            <w:tcBorders>
              <w:top w:val="nil"/>
              <w:left w:val="nil"/>
              <w:bottom w:val="nil"/>
              <w:right w:val="nil"/>
            </w:tcBorders>
          </w:tcPr>
          <w:p w14:paraId="0E7E1A2F"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-7.335</w:t>
            </w:r>
          </w:p>
        </w:tc>
        <w:tc>
          <w:tcPr>
            <w:tcW w:w="1092" w:type="pct"/>
            <w:tcBorders>
              <w:top w:val="nil"/>
              <w:left w:val="nil"/>
              <w:bottom w:val="nil"/>
              <w:right w:val="nil"/>
            </w:tcBorders>
          </w:tcPr>
          <w:p w14:paraId="16BF2D2E"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1.900</w:t>
            </w:r>
          </w:p>
        </w:tc>
        <w:tc>
          <w:tcPr>
            <w:tcW w:w="1092" w:type="pct"/>
            <w:tcBorders>
              <w:top w:val="nil"/>
              <w:left w:val="nil"/>
              <w:bottom w:val="nil"/>
              <w:right w:val="nil"/>
            </w:tcBorders>
          </w:tcPr>
          <w:p w14:paraId="3F3508B7"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-0.096</w:t>
            </w:r>
          </w:p>
        </w:tc>
      </w:tr>
      <w:tr w:rsidR="00CD4846" w:rsidRPr="00CD4846" w14:paraId="64A596A2" w14:textId="77777777" w:rsidTr="00B82EB9">
        <w:tc>
          <w:tcPr>
            <w:tcW w:w="1768" w:type="pct"/>
            <w:tcBorders>
              <w:top w:val="nil"/>
              <w:left w:val="nil"/>
              <w:bottom w:val="nil"/>
              <w:right w:val="nil"/>
            </w:tcBorders>
          </w:tcPr>
          <w:p w14:paraId="31A43D3B" w14:textId="3A7704D4"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1048" w:type="pct"/>
            <w:tcBorders>
              <w:top w:val="nil"/>
              <w:left w:val="nil"/>
              <w:bottom w:val="nil"/>
              <w:right w:val="nil"/>
            </w:tcBorders>
          </w:tcPr>
          <w:p w14:paraId="04CDD149"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(5.056)</w:t>
            </w:r>
          </w:p>
        </w:tc>
        <w:tc>
          <w:tcPr>
            <w:tcW w:w="1092" w:type="pct"/>
            <w:tcBorders>
              <w:top w:val="nil"/>
              <w:left w:val="nil"/>
              <w:bottom w:val="nil"/>
              <w:right w:val="nil"/>
            </w:tcBorders>
          </w:tcPr>
          <w:p w14:paraId="66E2909E"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(2.393)</w:t>
            </w:r>
          </w:p>
        </w:tc>
        <w:tc>
          <w:tcPr>
            <w:tcW w:w="1092" w:type="pct"/>
            <w:tcBorders>
              <w:top w:val="nil"/>
              <w:left w:val="nil"/>
              <w:bottom w:val="nil"/>
              <w:right w:val="nil"/>
            </w:tcBorders>
          </w:tcPr>
          <w:p w14:paraId="1CD2F8F5"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(1.568)</w:t>
            </w:r>
          </w:p>
        </w:tc>
      </w:tr>
      <w:tr w:rsidR="00CD4846" w:rsidRPr="00CD4846" w14:paraId="147662B6" w14:textId="77777777" w:rsidTr="00B82EB9">
        <w:tc>
          <w:tcPr>
            <w:tcW w:w="1768" w:type="pct"/>
            <w:tcBorders>
              <w:top w:val="nil"/>
              <w:left w:val="nil"/>
              <w:bottom w:val="nil"/>
              <w:right w:val="nil"/>
            </w:tcBorders>
          </w:tcPr>
          <w:p w14:paraId="3F90B791" w14:textId="03010286"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Housing Price Index (100s)</w:t>
            </w:r>
          </w:p>
        </w:tc>
        <w:tc>
          <w:tcPr>
            <w:tcW w:w="1048" w:type="pct"/>
            <w:tcBorders>
              <w:top w:val="nil"/>
              <w:left w:val="nil"/>
              <w:bottom w:val="nil"/>
              <w:right w:val="nil"/>
            </w:tcBorders>
          </w:tcPr>
          <w:p w14:paraId="2DDF130A"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-0.266</w:t>
            </w:r>
          </w:p>
        </w:tc>
        <w:tc>
          <w:tcPr>
            <w:tcW w:w="1092" w:type="pct"/>
            <w:tcBorders>
              <w:top w:val="nil"/>
              <w:left w:val="nil"/>
              <w:bottom w:val="nil"/>
              <w:right w:val="nil"/>
            </w:tcBorders>
          </w:tcPr>
          <w:p w14:paraId="61EA268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-0.320**</w:t>
            </w:r>
          </w:p>
        </w:tc>
        <w:tc>
          <w:tcPr>
            <w:tcW w:w="1092" w:type="pct"/>
            <w:tcBorders>
              <w:top w:val="nil"/>
              <w:left w:val="nil"/>
              <w:bottom w:val="nil"/>
              <w:right w:val="nil"/>
            </w:tcBorders>
          </w:tcPr>
          <w:p w14:paraId="6ED5A060"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-0.131</w:t>
            </w:r>
          </w:p>
        </w:tc>
      </w:tr>
      <w:tr w:rsidR="00CD4846" w:rsidRPr="00CD4846" w14:paraId="5D00CE2D" w14:textId="77777777" w:rsidTr="00B82EB9">
        <w:tc>
          <w:tcPr>
            <w:tcW w:w="1768" w:type="pct"/>
            <w:tcBorders>
              <w:top w:val="nil"/>
              <w:left w:val="nil"/>
              <w:bottom w:val="nil"/>
              <w:right w:val="nil"/>
            </w:tcBorders>
          </w:tcPr>
          <w:p w14:paraId="1CB59FE2" w14:textId="58CA896C"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1048" w:type="pct"/>
            <w:tcBorders>
              <w:top w:val="nil"/>
              <w:left w:val="nil"/>
              <w:bottom w:val="nil"/>
              <w:right w:val="nil"/>
            </w:tcBorders>
          </w:tcPr>
          <w:p w14:paraId="7EC36AAD"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(0.380)</w:t>
            </w:r>
          </w:p>
        </w:tc>
        <w:tc>
          <w:tcPr>
            <w:tcW w:w="1092" w:type="pct"/>
            <w:tcBorders>
              <w:top w:val="nil"/>
              <w:left w:val="nil"/>
              <w:bottom w:val="nil"/>
              <w:right w:val="nil"/>
            </w:tcBorders>
          </w:tcPr>
          <w:p w14:paraId="29E07D4A"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(0.163)</w:t>
            </w:r>
          </w:p>
        </w:tc>
        <w:tc>
          <w:tcPr>
            <w:tcW w:w="1092" w:type="pct"/>
            <w:tcBorders>
              <w:top w:val="nil"/>
              <w:left w:val="nil"/>
              <w:bottom w:val="nil"/>
              <w:right w:val="nil"/>
            </w:tcBorders>
          </w:tcPr>
          <w:p w14:paraId="24333EE6"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(0.100)</w:t>
            </w:r>
          </w:p>
        </w:tc>
      </w:tr>
      <w:tr w:rsidR="00CD4846" w:rsidRPr="00CD4846" w14:paraId="5B47DC63" w14:textId="77777777" w:rsidTr="00B82EB9">
        <w:tc>
          <w:tcPr>
            <w:tcW w:w="1768" w:type="pct"/>
            <w:tcBorders>
              <w:top w:val="nil"/>
              <w:left w:val="nil"/>
              <w:bottom w:val="nil"/>
              <w:right w:val="nil"/>
            </w:tcBorders>
          </w:tcPr>
          <w:p w14:paraId="02F27F46" w14:textId="6D06DDA9"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Poverty rate (100s)</w:t>
            </w:r>
          </w:p>
        </w:tc>
        <w:tc>
          <w:tcPr>
            <w:tcW w:w="1048" w:type="pct"/>
            <w:tcBorders>
              <w:top w:val="nil"/>
              <w:left w:val="nil"/>
              <w:bottom w:val="nil"/>
              <w:right w:val="nil"/>
            </w:tcBorders>
          </w:tcPr>
          <w:p w14:paraId="2C095BA0"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-30.812**</w:t>
            </w:r>
          </w:p>
        </w:tc>
        <w:tc>
          <w:tcPr>
            <w:tcW w:w="1092" w:type="pct"/>
            <w:tcBorders>
              <w:top w:val="nil"/>
              <w:left w:val="nil"/>
              <w:bottom w:val="nil"/>
              <w:right w:val="nil"/>
            </w:tcBorders>
          </w:tcPr>
          <w:p w14:paraId="7E0CCFA2"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5.755</w:t>
            </w:r>
          </w:p>
        </w:tc>
        <w:tc>
          <w:tcPr>
            <w:tcW w:w="1092" w:type="pct"/>
            <w:tcBorders>
              <w:top w:val="nil"/>
              <w:left w:val="nil"/>
              <w:bottom w:val="nil"/>
              <w:right w:val="nil"/>
            </w:tcBorders>
          </w:tcPr>
          <w:p w14:paraId="4C8667C5"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-0.162</w:t>
            </w:r>
          </w:p>
        </w:tc>
      </w:tr>
      <w:tr w:rsidR="00CD4846" w:rsidRPr="00CD4846" w14:paraId="604EBAAB" w14:textId="77777777" w:rsidTr="00B82EB9">
        <w:tc>
          <w:tcPr>
            <w:tcW w:w="1768" w:type="pct"/>
            <w:tcBorders>
              <w:top w:val="nil"/>
              <w:left w:val="nil"/>
              <w:bottom w:val="nil"/>
              <w:right w:val="nil"/>
            </w:tcBorders>
          </w:tcPr>
          <w:p w14:paraId="6EDEAA6A" w14:textId="3B727CAE"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1048" w:type="pct"/>
            <w:tcBorders>
              <w:top w:val="nil"/>
              <w:left w:val="nil"/>
              <w:bottom w:val="nil"/>
              <w:right w:val="nil"/>
            </w:tcBorders>
          </w:tcPr>
          <w:p w14:paraId="6F3C8649"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(12.143)</w:t>
            </w:r>
          </w:p>
        </w:tc>
        <w:tc>
          <w:tcPr>
            <w:tcW w:w="1092" w:type="pct"/>
            <w:tcBorders>
              <w:top w:val="nil"/>
              <w:left w:val="nil"/>
              <w:bottom w:val="nil"/>
              <w:right w:val="nil"/>
            </w:tcBorders>
          </w:tcPr>
          <w:p w14:paraId="7FF8A05E"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(4.585)</w:t>
            </w:r>
          </w:p>
        </w:tc>
        <w:tc>
          <w:tcPr>
            <w:tcW w:w="1092" w:type="pct"/>
            <w:tcBorders>
              <w:top w:val="nil"/>
              <w:left w:val="nil"/>
              <w:bottom w:val="nil"/>
              <w:right w:val="nil"/>
            </w:tcBorders>
          </w:tcPr>
          <w:p w14:paraId="002D2E1D"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(3.444)</w:t>
            </w:r>
          </w:p>
        </w:tc>
      </w:tr>
      <w:tr w:rsidR="00CD4846" w:rsidRPr="00CD4846" w14:paraId="3FE04FE2" w14:textId="77777777" w:rsidTr="00B82EB9">
        <w:tc>
          <w:tcPr>
            <w:tcW w:w="1768" w:type="pct"/>
            <w:tcBorders>
              <w:top w:val="nil"/>
              <w:left w:val="nil"/>
              <w:bottom w:val="nil"/>
              <w:right w:val="nil"/>
            </w:tcBorders>
          </w:tcPr>
          <w:p w14:paraId="475C0B70" w14:textId="3225E26C"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Avg annual wages (100k)</w:t>
            </w:r>
          </w:p>
        </w:tc>
        <w:tc>
          <w:tcPr>
            <w:tcW w:w="1048" w:type="pct"/>
            <w:tcBorders>
              <w:top w:val="nil"/>
              <w:left w:val="nil"/>
              <w:bottom w:val="nil"/>
              <w:right w:val="nil"/>
            </w:tcBorders>
          </w:tcPr>
          <w:p w14:paraId="312F9D55"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-0.034</w:t>
            </w:r>
          </w:p>
        </w:tc>
        <w:tc>
          <w:tcPr>
            <w:tcW w:w="1092" w:type="pct"/>
            <w:tcBorders>
              <w:top w:val="nil"/>
              <w:left w:val="nil"/>
              <w:bottom w:val="nil"/>
              <w:right w:val="nil"/>
            </w:tcBorders>
          </w:tcPr>
          <w:p w14:paraId="0AB390F6"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0.047</w:t>
            </w:r>
          </w:p>
        </w:tc>
        <w:tc>
          <w:tcPr>
            <w:tcW w:w="1092" w:type="pct"/>
            <w:tcBorders>
              <w:top w:val="nil"/>
              <w:left w:val="nil"/>
              <w:bottom w:val="nil"/>
              <w:right w:val="nil"/>
            </w:tcBorders>
          </w:tcPr>
          <w:p w14:paraId="25CCE0FF"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-0.015</w:t>
            </w:r>
          </w:p>
        </w:tc>
      </w:tr>
      <w:tr w:rsidR="00CD4846" w:rsidRPr="00CD4846" w14:paraId="39E5FDA6" w14:textId="77777777" w:rsidTr="00B82EB9">
        <w:tc>
          <w:tcPr>
            <w:tcW w:w="1768" w:type="pct"/>
            <w:tcBorders>
              <w:top w:val="nil"/>
              <w:left w:val="nil"/>
              <w:bottom w:val="nil"/>
              <w:right w:val="nil"/>
            </w:tcBorders>
          </w:tcPr>
          <w:p w14:paraId="1B656240" w14:textId="726C2073"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1048" w:type="pct"/>
            <w:tcBorders>
              <w:top w:val="nil"/>
              <w:left w:val="nil"/>
              <w:bottom w:val="nil"/>
              <w:right w:val="nil"/>
            </w:tcBorders>
          </w:tcPr>
          <w:p w14:paraId="1B77003A"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(0.075)</w:t>
            </w:r>
          </w:p>
        </w:tc>
        <w:tc>
          <w:tcPr>
            <w:tcW w:w="1092" w:type="pct"/>
            <w:tcBorders>
              <w:top w:val="nil"/>
              <w:left w:val="nil"/>
              <w:bottom w:val="nil"/>
              <w:right w:val="nil"/>
            </w:tcBorders>
          </w:tcPr>
          <w:p w14:paraId="3F5075C8"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(0.196)</w:t>
            </w:r>
          </w:p>
        </w:tc>
        <w:tc>
          <w:tcPr>
            <w:tcW w:w="1092" w:type="pct"/>
            <w:tcBorders>
              <w:top w:val="nil"/>
              <w:left w:val="nil"/>
              <w:bottom w:val="nil"/>
              <w:right w:val="nil"/>
            </w:tcBorders>
          </w:tcPr>
          <w:p w14:paraId="0CC342CA"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(0.051)</w:t>
            </w:r>
          </w:p>
        </w:tc>
      </w:tr>
      <w:tr w:rsidR="00CD4846" w:rsidRPr="00CD4846" w14:paraId="7CA4FD47" w14:textId="77777777" w:rsidTr="00B82EB9">
        <w:tc>
          <w:tcPr>
            <w:tcW w:w="1768" w:type="pct"/>
            <w:tcBorders>
              <w:top w:val="nil"/>
              <w:left w:val="nil"/>
              <w:bottom w:val="nil"/>
              <w:right w:val="nil"/>
            </w:tcBorders>
          </w:tcPr>
          <w:p w14:paraId="4740A0F8" w14:textId="3925C61A"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Attain. Status - Pb (t-1)</w:t>
            </w:r>
          </w:p>
        </w:tc>
        <w:tc>
          <w:tcPr>
            <w:tcW w:w="1048" w:type="pct"/>
            <w:tcBorders>
              <w:top w:val="nil"/>
              <w:left w:val="nil"/>
              <w:bottom w:val="nil"/>
              <w:right w:val="nil"/>
            </w:tcBorders>
          </w:tcPr>
          <w:p w14:paraId="156C37DE"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-3.011</w:t>
            </w:r>
          </w:p>
        </w:tc>
        <w:tc>
          <w:tcPr>
            <w:tcW w:w="1092" w:type="pct"/>
            <w:tcBorders>
              <w:top w:val="nil"/>
              <w:left w:val="nil"/>
              <w:bottom w:val="nil"/>
              <w:right w:val="nil"/>
            </w:tcBorders>
          </w:tcPr>
          <w:p w14:paraId="73A7F718"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0.554</w:t>
            </w:r>
          </w:p>
        </w:tc>
        <w:tc>
          <w:tcPr>
            <w:tcW w:w="1092" w:type="pct"/>
            <w:tcBorders>
              <w:top w:val="nil"/>
              <w:left w:val="nil"/>
              <w:bottom w:val="nil"/>
              <w:right w:val="nil"/>
            </w:tcBorders>
          </w:tcPr>
          <w:p w14:paraId="0DBF3D72"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1.391***</w:t>
            </w:r>
          </w:p>
        </w:tc>
      </w:tr>
      <w:tr w:rsidR="00CD4846" w:rsidRPr="00CD4846" w14:paraId="33FBAF45" w14:textId="77777777" w:rsidTr="00B82EB9">
        <w:tc>
          <w:tcPr>
            <w:tcW w:w="1768" w:type="pct"/>
            <w:tcBorders>
              <w:top w:val="nil"/>
              <w:left w:val="nil"/>
              <w:bottom w:val="nil"/>
              <w:right w:val="nil"/>
            </w:tcBorders>
          </w:tcPr>
          <w:p w14:paraId="609575D7" w14:textId="792DA3B1"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1048" w:type="pct"/>
            <w:tcBorders>
              <w:top w:val="nil"/>
              <w:left w:val="nil"/>
              <w:bottom w:val="nil"/>
              <w:right w:val="nil"/>
            </w:tcBorders>
          </w:tcPr>
          <w:p w14:paraId="60D6AC6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(1.942)</w:t>
            </w:r>
          </w:p>
        </w:tc>
        <w:tc>
          <w:tcPr>
            <w:tcW w:w="1092" w:type="pct"/>
            <w:tcBorders>
              <w:top w:val="nil"/>
              <w:left w:val="nil"/>
              <w:bottom w:val="nil"/>
              <w:right w:val="nil"/>
            </w:tcBorders>
          </w:tcPr>
          <w:p w14:paraId="26A1739E"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(0.677)</w:t>
            </w:r>
          </w:p>
        </w:tc>
        <w:tc>
          <w:tcPr>
            <w:tcW w:w="1092" w:type="pct"/>
            <w:tcBorders>
              <w:top w:val="nil"/>
              <w:left w:val="nil"/>
              <w:bottom w:val="nil"/>
              <w:right w:val="nil"/>
            </w:tcBorders>
          </w:tcPr>
          <w:p w14:paraId="1ADD39B6"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(0.465)</w:t>
            </w:r>
          </w:p>
        </w:tc>
      </w:tr>
      <w:tr w:rsidR="00CD4846" w:rsidRPr="00CD4846" w14:paraId="207C91E2" w14:textId="77777777" w:rsidTr="00B82EB9">
        <w:tc>
          <w:tcPr>
            <w:tcW w:w="1768" w:type="pct"/>
            <w:tcBorders>
              <w:top w:val="nil"/>
              <w:left w:val="nil"/>
              <w:bottom w:val="nil"/>
              <w:right w:val="nil"/>
            </w:tcBorders>
          </w:tcPr>
          <w:p w14:paraId="597FADBA" w14:textId="66EDABBE"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Attain. Status - O3 (t-1)</w:t>
            </w:r>
          </w:p>
        </w:tc>
        <w:tc>
          <w:tcPr>
            <w:tcW w:w="1048" w:type="pct"/>
            <w:tcBorders>
              <w:top w:val="nil"/>
              <w:left w:val="nil"/>
              <w:bottom w:val="nil"/>
              <w:right w:val="nil"/>
            </w:tcBorders>
          </w:tcPr>
          <w:p w14:paraId="1238933D"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0.286</w:t>
            </w:r>
          </w:p>
        </w:tc>
        <w:tc>
          <w:tcPr>
            <w:tcW w:w="1092" w:type="pct"/>
            <w:tcBorders>
              <w:top w:val="nil"/>
              <w:left w:val="nil"/>
              <w:bottom w:val="nil"/>
              <w:right w:val="nil"/>
            </w:tcBorders>
          </w:tcPr>
          <w:p w14:paraId="1F753665"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0.171</w:t>
            </w:r>
          </w:p>
        </w:tc>
        <w:tc>
          <w:tcPr>
            <w:tcW w:w="1092" w:type="pct"/>
            <w:tcBorders>
              <w:top w:val="nil"/>
              <w:left w:val="nil"/>
              <w:bottom w:val="nil"/>
              <w:right w:val="nil"/>
            </w:tcBorders>
          </w:tcPr>
          <w:p w14:paraId="6EB4931C"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-0.057</w:t>
            </w:r>
          </w:p>
        </w:tc>
      </w:tr>
      <w:tr w:rsidR="00CD4846" w:rsidRPr="00CD4846" w14:paraId="4F47279B" w14:textId="77777777" w:rsidTr="00B82EB9">
        <w:tc>
          <w:tcPr>
            <w:tcW w:w="1768" w:type="pct"/>
            <w:tcBorders>
              <w:top w:val="nil"/>
              <w:left w:val="nil"/>
              <w:bottom w:val="nil"/>
              <w:right w:val="nil"/>
            </w:tcBorders>
          </w:tcPr>
          <w:p w14:paraId="65F5568D" w14:textId="46E28E56"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1048" w:type="pct"/>
            <w:tcBorders>
              <w:top w:val="nil"/>
              <w:left w:val="nil"/>
              <w:bottom w:val="nil"/>
              <w:right w:val="nil"/>
            </w:tcBorders>
          </w:tcPr>
          <w:p w14:paraId="10065C0E"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(0.534)</w:t>
            </w:r>
          </w:p>
        </w:tc>
        <w:tc>
          <w:tcPr>
            <w:tcW w:w="1092" w:type="pct"/>
            <w:tcBorders>
              <w:top w:val="nil"/>
              <w:left w:val="nil"/>
              <w:bottom w:val="nil"/>
              <w:right w:val="nil"/>
            </w:tcBorders>
          </w:tcPr>
          <w:p w14:paraId="5F065016"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(0.189)</w:t>
            </w:r>
          </w:p>
        </w:tc>
        <w:tc>
          <w:tcPr>
            <w:tcW w:w="1092" w:type="pct"/>
            <w:tcBorders>
              <w:top w:val="nil"/>
              <w:left w:val="nil"/>
              <w:bottom w:val="nil"/>
              <w:right w:val="nil"/>
            </w:tcBorders>
          </w:tcPr>
          <w:p w14:paraId="103B5561"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(0.146)</w:t>
            </w:r>
          </w:p>
        </w:tc>
      </w:tr>
      <w:tr w:rsidR="00CD4846" w:rsidRPr="00CD4846" w14:paraId="6867C4F6" w14:textId="77777777" w:rsidTr="00B82EB9">
        <w:tc>
          <w:tcPr>
            <w:tcW w:w="1768" w:type="pct"/>
            <w:tcBorders>
              <w:top w:val="nil"/>
              <w:left w:val="nil"/>
              <w:bottom w:val="nil"/>
              <w:right w:val="nil"/>
            </w:tcBorders>
          </w:tcPr>
          <w:p w14:paraId="77C73614" w14:textId="7C7B4BCF"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Attain. Status - PM (t-1)</w:t>
            </w:r>
          </w:p>
        </w:tc>
        <w:tc>
          <w:tcPr>
            <w:tcW w:w="1048" w:type="pct"/>
            <w:tcBorders>
              <w:top w:val="nil"/>
              <w:left w:val="nil"/>
              <w:bottom w:val="nil"/>
              <w:right w:val="nil"/>
            </w:tcBorders>
          </w:tcPr>
          <w:p w14:paraId="30729620"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0.403</w:t>
            </w:r>
          </w:p>
        </w:tc>
        <w:tc>
          <w:tcPr>
            <w:tcW w:w="1092" w:type="pct"/>
            <w:tcBorders>
              <w:top w:val="nil"/>
              <w:left w:val="nil"/>
              <w:bottom w:val="nil"/>
              <w:right w:val="nil"/>
            </w:tcBorders>
          </w:tcPr>
          <w:p w14:paraId="36F62304"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-0.288</w:t>
            </w:r>
          </w:p>
        </w:tc>
        <w:tc>
          <w:tcPr>
            <w:tcW w:w="1092" w:type="pct"/>
            <w:tcBorders>
              <w:top w:val="nil"/>
              <w:left w:val="nil"/>
              <w:bottom w:val="nil"/>
              <w:right w:val="nil"/>
            </w:tcBorders>
          </w:tcPr>
          <w:p w14:paraId="1BAA1EAE"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0.058</w:t>
            </w:r>
          </w:p>
        </w:tc>
      </w:tr>
      <w:tr w:rsidR="00CD4846" w:rsidRPr="00CD4846" w14:paraId="477B2B85" w14:textId="77777777" w:rsidTr="00B82EB9">
        <w:tc>
          <w:tcPr>
            <w:tcW w:w="1768" w:type="pct"/>
            <w:tcBorders>
              <w:top w:val="nil"/>
              <w:left w:val="nil"/>
              <w:bottom w:val="nil"/>
              <w:right w:val="nil"/>
            </w:tcBorders>
          </w:tcPr>
          <w:p w14:paraId="6FFC03B5" w14:textId="21184AD9"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1048" w:type="pct"/>
            <w:tcBorders>
              <w:top w:val="nil"/>
              <w:left w:val="nil"/>
              <w:bottom w:val="nil"/>
              <w:right w:val="nil"/>
            </w:tcBorders>
          </w:tcPr>
          <w:p w14:paraId="322717A3"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(0.472)</w:t>
            </w:r>
          </w:p>
        </w:tc>
        <w:tc>
          <w:tcPr>
            <w:tcW w:w="1092" w:type="pct"/>
            <w:tcBorders>
              <w:top w:val="nil"/>
              <w:left w:val="nil"/>
              <w:bottom w:val="nil"/>
              <w:right w:val="nil"/>
            </w:tcBorders>
          </w:tcPr>
          <w:p w14:paraId="20C29CD0"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(0.186)</w:t>
            </w:r>
          </w:p>
        </w:tc>
        <w:tc>
          <w:tcPr>
            <w:tcW w:w="1092" w:type="pct"/>
            <w:tcBorders>
              <w:top w:val="nil"/>
              <w:left w:val="nil"/>
              <w:bottom w:val="nil"/>
              <w:right w:val="nil"/>
            </w:tcBorders>
          </w:tcPr>
          <w:p w14:paraId="65068DCF"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(0.116)</w:t>
            </w:r>
          </w:p>
        </w:tc>
      </w:tr>
      <w:tr w:rsidR="00CD4846" w:rsidRPr="00CD4846" w14:paraId="58A081F0" w14:textId="77777777" w:rsidTr="00B82EB9">
        <w:tc>
          <w:tcPr>
            <w:tcW w:w="1768" w:type="pct"/>
            <w:tcBorders>
              <w:top w:val="nil"/>
              <w:left w:val="nil"/>
              <w:bottom w:val="nil"/>
              <w:right w:val="nil"/>
            </w:tcBorders>
          </w:tcPr>
          <w:p w14:paraId="5B4167AE"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Attain. Status - SO2 (t-1)</w:t>
            </w:r>
          </w:p>
        </w:tc>
        <w:tc>
          <w:tcPr>
            <w:tcW w:w="1048" w:type="pct"/>
            <w:tcBorders>
              <w:top w:val="nil"/>
              <w:left w:val="nil"/>
              <w:bottom w:val="nil"/>
              <w:right w:val="nil"/>
            </w:tcBorders>
          </w:tcPr>
          <w:p w14:paraId="77335A4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-0.450</w:t>
            </w:r>
          </w:p>
        </w:tc>
        <w:tc>
          <w:tcPr>
            <w:tcW w:w="1092" w:type="pct"/>
            <w:tcBorders>
              <w:top w:val="nil"/>
              <w:left w:val="nil"/>
              <w:bottom w:val="nil"/>
              <w:right w:val="nil"/>
            </w:tcBorders>
          </w:tcPr>
          <w:p w14:paraId="081BF885"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0.272</w:t>
            </w:r>
          </w:p>
        </w:tc>
        <w:tc>
          <w:tcPr>
            <w:tcW w:w="1092" w:type="pct"/>
            <w:tcBorders>
              <w:top w:val="nil"/>
              <w:left w:val="nil"/>
              <w:bottom w:val="nil"/>
              <w:right w:val="nil"/>
            </w:tcBorders>
          </w:tcPr>
          <w:p w14:paraId="3419B0CD"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0.140</w:t>
            </w:r>
          </w:p>
        </w:tc>
      </w:tr>
      <w:tr w:rsidR="00CD4846" w:rsidRPr="00CD4846" w14:paraId="42080A89" w14:textId="77777777" w:rsidTr="00B82EB9">
        <w:tc>
          <w:tcPr>
            <w:tcW w:w="1768" w:type="pct"/>
            <w:tcBorders>
              <w:top w:val="nil"/>
              <w:left w:val="nil"/>
              <w:bottom w:val="nil"/>
              <w:right w:val="nil"/>
            </w:tcBorders>
          </w:tcPr>
          <w:p w14:paraId="20A5A962" w14:textId="3BFC2A0B"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1048" w:type="pct"/>
            <w:tcBorders>
              <w:top w:val="nil"/>
              <w:left w:val="nil"/>
              <w:bottom w:val="nil"/>
              <w:right w:val="nil"/>
            </w:tcBorders>
          </w:tcPr>
          <w:p w14:paraId="0E5FDC3D"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(1.952)</w:t>
            </w:r>
          </w:p>
        </w:tc>
        <w:tc>
          <w:tcPr>
            <w:tcW w:w="1092" w:type="pct"/>
            <w:tcBorders>
              <w:top w:val="nil"/>
              <w:left w:val="nil"/>
              <w:bottom w:val="nil"/>
              <w:right w:val="nil"/>
            </w:tcBorders>
          </w:tcPr>
          <w:p w14:paraId="0E90B627"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(0.908)</w:t>
            </w:r>
          </w:p>
        </w:tc>
        <w:tc>
          <w:tcPr>
            <w:tcW w:w="1092" w:type="pct"/>
            <w:tcBorders>
              <w:top w:val="nil"/>
              <w:left w:val="nil"/>
              <w:bottom w:val="nil"/>
              <w:right w:val="nil"/>
            </w:tcBorders>
          </w:tcPr>
          <w:p w14:paraId="60A8AD2A"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(0.368)</w:t>
            </w:r>
          </w:p>
        </w:tc>
      </w:tr>
      <w:tr w:rsidR="00CD4846" w:rsidRPr="00CD4846" w14:paraId="5DA9F09E" w14:textId="77777777" w:rsidTr="00B82EB9">
        <w:tc>
          <w:tcPr>
            <w:tcW w:w="1768" w:type="pct"/>
            <w:tcBorders>
              <w:top w:val="nil"/>
              <w:left w:val="nil"/>
              <w:bottom w:val="nil"/>
              <w:right w:val="nil"/>
            </w:tcBorders>
          </w:tcPr>
          <w:p w14:paraId="49890149" w14:textId="53E5BF36"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Density Employment</w:t>
            </w:r>
          </w:p>
        </w:tc>
        <w:tc>
          <w:tcPr>
            <w:tcW w:w="1048" w:type="pct"/>
            <w:tcBorders>
              <w:top w:val="nil"/>
              <w:left w:val="nil"/>
              <w:bottom w:val="nil"/>
              <w:right w:val="nil"/>
            </w:tcBorders>
          </w:tcPr>
          <w:p w14:paraId="28032D5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0.088</w:t>
            </w:r>
          </w:p>
        </w:tc>
        <w:tc>
          <w:tcPr>
            <w:tcW w:w="1092" w:type="pct"/>
            <w:tcBorders>
              <w:top w:val="nil"/>
              <w:left w:val="nil"/>
              <w:bottom w:val="nil"/>
              <w:right w:val="nil"/>
            </w:tcBorders>
          </w:tcPr>
          <w:p w14:paraId="1CEFBBC0"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0.372</w:t>
            </w:r>
          </w:p>
        </w:tc>
        <w:tc>
          <w:tcPr>
            <w:tcW w:w="1092" w:type="pct"/>
            <w:tcBorders>
              <w:top w:val="nil"/>
              <w:left w:val="nil"/>
              <w:bottom w:val="nil"/>
              <w:right w:val="nil"/>
            </w:tcBorders>
          </w:tcPr>
          <w:p w14:paraId="3402775D"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0.320***</w:t>
            </w:r>
          </w:p>
        </w:tc>
      </w:tr>
      <w:tr w:rsidR="00CD4846" w:rsidRPr="00CD4846" w14:paraId="3142D4FB" w14:textId="77777777" w:rsidTr="00B82EB9">
        <w:tc>
          <w:tcPr>
            <w:tcW w:w="1768" w:type="pct"/>
            <w:tcBorders>
              <w:top w:val="nil"/>
              <w:left w:val="nil"/>
              <w:bottom w:val="nil"/>
              <w:right w:val="nil"/>
            </w:tcBorders>
          </w:tcPr>
          <w:p w14:paraId="5B80C253" w14:textId="2FE564F1"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1048" w:type="pct"/>
            <w:tcBorders>
              <w:top w:val="nil"/>
              <w:left w:val="nil"/>
              <w:bottom w:val="nil"/>
              <w:right w:val="nil"/>
            </w:tcBorders>
          </w:tcPr>
          <w:p w14:paraId="75ABDDB0"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(0.625)</w:t>
            </w:r>
          </w:p>
        </w:tc>
        <w:tc>
          <w:tcPr>
            <w:tcW w:w="1092" w:type="pct"/>
            <w:tcBorders>
              <w:top w:val="nil"/>
              <w:left w:val="nil"/>
              <w:bottom w:val="nil"/>
              <w:right w:val="nil"/>
            </w:tcBorders>
          </w:tcPr>
          <w:p w14:paraId="5D64AC96"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(0.328)</w:t>
            </w:r>
          </w:p>
        </w:tc>
        <w:tc>
          <w:tcPr>
            <w:tcW w:w="1092" w:type="pct"/>
            <w:tcBorders>
              <w:top w:val="nil"/>
              <w:left w:val="nil"/>
              <w:bottom w:val="nil"/>
              <w:right w:val="nil"/>
            </w:tcBorders>
          </w:tcPr>
          <w:p w14:paraId="7A3DD5DF"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(0.105)</w:t>
            </w:r>
          </w:p>
        </w:tc>
      </w:tr>
      <w:tr w:rsidR="00CD4846" w:rsidRPr="00CD4846" w14:paraId="3DD6CFC2" w14:textId="77777777" w:rsidTr="00B82EB9">
        <w:tc>
          <w:tcPr>
            <w:tcW w:w="1768" w:type="pct"/>
            <w:tcBorders>
              <w:top w:val="nil"/>
              <w:left w:val="nil"/>
              <w:bottom w:val="nil"/>
              <w:right w:val="nil"/>
            </w:tcBorders>
          </w:tcPr>
          <w:p w14:paraId="6BF17C85"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Percent Black (100s)</w:t>
            </w:r>
          </w:p>
        </w:tc>
        <w:tc>
          <w:tcPr>
            <w:tcW w:w="1048" w:type="pct"/>
            <w:tcBorders>
              <w:top w:val="nil"/>
              <w:left w:val="nil"/>
              <w:bottom w:val="nil"/>
              <w:right w:val="nil"/>
            </w:tcBorders>
          </w:tcPr>
          <w:p w14:paraId="2A42E444"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-34.921</w:t>
            </w:r>
          </w:p>
        </w:tc>
        <w:tc>
          <w:tcPr>
            <w:tcW w:w="1092" w:type="pct"/>
            <w:tcBorders>
              <w:top w:val="nil"/>
              <w:left w:val="nil"/>
              <w:bottom w:val="nil"/>
              <w:right w:val="nil"/>
            </w:tcBorders>
          </w:tcPr>
          <w:p w14:paraId="633BD88C"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-21.161**</w:t>
            </w:r>
          </w:p>
        </w:tc>
        <w:tc>
          <w:tcPr>
            <w:tcW w:w="1092" w:type="pct"/>
            <w:tcBorders>
              <w:top w:val="nil"/>
              <w:left w:val="nil"/>
              <w:bottom w:val="nil"/>
              <w:right w:val="nil"/>
            </w:tcBorders>
          </w:tcPr>
          <w:p w14:paraId="09EF5685"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2.049</w:t>
            </w:r>
          </w:p>
        </w:tc>
      </w:tr>
      <w:tr w:rsidR="00CD4846" w:rsidRPr="00CD4846" w14:paraId="7966B3D9" w14:textId="77777777" w:rsidTr="00B82EB9">
        <w:tc>
          <w:tcPr>
            <w:tcW w:w="1768" w:type="pct"/>
            <w:tcBorders>
              <w:top w:val="nil"/>
              <w:left w:val="nil"/>
              <w:bottom w:val="nil"/>
              <w:right w:val="nil"/>
            </w:tcBorders>
          </w:tcPr>
          <w:p w14:paraId="74ED1C17" w14:textId="0E5E41BA"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1048" w:type="pct"/>
            <w:tcBorders>
              <w:top w:val="nil"/>
              <w:left w:val="nil"/>
              <w:bottom w:val="nil"/>
              <w:right w:val="nil"/>
            </w:tcBorders>
          </w:tcPr>
          <w:p w14:paraId="475B9DA9"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(29.235)</w:t>
            </w:r>
          </w:p>
        </w:tc>
        <w:tc>
          <w:tcPr>
            <w:tcW w:w="1092" w:type="pct"/>
            <w:tcBorders>
              <w:top w:val="nil"/>
              <w:left w:val="nil"/>
              <w:bottom w:val="nil"/>
              <w:right w:val="nil"/>
            </w:tcBorders>
          </w:tcPr>
          <w:p w14:paraId="20BC2740"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(9.775)</w:t>
            </w:r>
          </w:p>
        </w:tc>
        <w:tc>
          <w:tcPr>
            <w:tcW w:w="1092" w:type="pct"/>
            <w:tcBorders>
              <w:top w:val="nil"/>
              <w:left w:val="nil"/>
              <w:bottom w:val="nil"/>
              <w:right w:val="nil"/>
            </w:tcBorders>
          </w:tcPr>
          <w:p w14:paraId="6D3A8755"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(6.513)</w:t>
            </w:r>
          </w:p>
        </w:tc>
      </w:tr>
      <w:tr w:rsidR="00CD4846" w:rsidRPr="00CD4846" w14:paraId="2C147D0B" w14:textId="77777777" w:rsidTr="00B82EB9">
        <w:tc>
          <w:tcPr>
            <w:tcW w:w="1768" w:type="pct"/>
            <w:tcBorders>
              <w:top w:val="nil"/>
              <w:left w:val="nil"/>
              <w:bottom w:val="nil"/>
              <w:right w:val="nil"/>
            </w:tcBorders>
          </w:tcPr>
          <w:p w14:paraId="740E824A" w14:textId="510C3DAF"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Population count (1ms)</w:t>
            </w:r>
          </w:p>
        </w:tc>
        <w:tc>
          <w:tcPr>
            <w:tcW w:w="1048" w:type="pct"/>
            <w:tcBorders>
              <w:top w:val="nil"/>
              <w:left w:val="nil"/>
              <w:bottom w:val="nil"/>
              <w:right w:val="nil"/>
            </w:tcBorders>
          </w:tcPr>
          <w:p w14:paraId="6BA957D4"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-0.869</w:t>
            </w:r>
          </w:p>
        </w:tc>
        <w:tc>
          <w:tcPr>
            <w:tcW w:w="1092" w:type="pct"/>
            <w:tcBorders>
              <w:top w:val="nil"/>
              <w:left w:val="nil"/>
              <w:bottom w:val="nil"/>
              <w:right w:val="nil"/>
            </w:tcBorders>
          </w:tcPr>
          <w:p w14:paraId="5A9B3F19"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-0.561</w:t>
            </w:r>
          </w:p>
        </w:tc>
        <w:tc>
          <w:tcPr>
            <w:tcW w:w="1092" w:type="pct"/>
            <w:tcBorders>
              <w:top w:val="nil"/>
              <w:left w:val="nil"/>
              <w:bottom w:val="nil"/>
              <w:right w:val="nil"/>
            </w:tcBorders>
          </w:tcPr>
          <w:p w14:paraId="10D08F41"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-1.268</w:t>
            </w:r>
          </w:p>
        </w:tc>
      </w:tr>
      <w:tr w:rsidR="00CD4846" w:rsidRPr="00CD4846" w14:paraId="31648A25" w14:textId="77777777" w:rsidTr="00B82EB9">
        <w:tc>
          <w:tcPr>
            <w:tcW w:w="1768" w:type="pct"/>
            <w:tcBorders>
              <w:top w:val="nil"/>
              <w:left w:val="nil"/>
              <w:bottom w:val="nil"/>
              <w:right w:val="nil"/>
            </w:tcBorders>
          </w:tcPr>
          <w:p w14:paraId="290DCCF7" w14:textId="5DA7367E"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1048" w:type="pct"/>
            <w:tcBorders>
              <w:top w:val="nil"/>
              <w:left w:val="nil"/>
              <w:bottom w:val="nil"/>
              <w:right w:val="nil"/>
            </w:tcBorders>
          </w:tcPr>
          <w:p w14:paraId="117CDB87"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(2.724)</w:t>
            </w:r>
          </w:p>
        </w:tc>
        <w:tc>
          <w:tcPr>
            <w:tcW w:w="1092" w:type="pct"/>
            <w:tcBorders>
              <w:top w:val="nil"/>
              <w:left w:val="nil"/>
              <w:bottom w:val="nil"/>
              <w:right w:val="nil"/>
            </w:tcBorders>
          </w:tcPr>
          <w:p w14:paraId="7DFE7B91"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(1.292)</w:t>
            </w:r>
          </w:p>
        </w:tc>
        <w:tc>
          <w:tcPr>
            <w:tcW w:w="1092" w:type="pct"/>
            <w:tcBorders>
              <w:top w:val="nil"/>
              <w:left w:val="nil"/>
              <w:bottom w:val="nil"/>
              <w:right w:val="nil"/>
            </w:tcBorders>
          </w:tcPr>
          <w:p w14:paraId="26D76C5A"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(0.796)</w:t>
            </w:r>
          </w:p>
        </w:tc>
      </w:tr>
      <w:tr w:rsidR="00CD4846" w:rsidRPr="00CD4846" w14:paraId="16BB5E35" w14:textId="77777777" w:rsidTr="00B82EB9">
        <w:tc>
          <w:tcPr>
            <w:tcW w:w="1768" w:type="pct"/>
            <w:tcBorders>
              <w:top w:val="nil"/>
              <w:left w:val="nil"/>
              <w:bottom w:val="nil"/>
              <w:right w:val="nil"/>
            </w:tcBorders>
          </w:tcPr>
          <w:p w14:paraId="791471EC" w14:textId="72E26A65"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Unemployment rate (100s)</w:t>
            </w:r>
          </w:p>
        </w:tc>
        <w:tc>
          <w:tcPr>
            <w:tcW w:w="1048" w:type="pct"/>
            <w:tcBorders>
              <w:top w:val="nil"/>
              <w:left w:val="nil"/>
              <w:bottom w:val="nil"/>
              <w:right w:val="nil"/>
            </w:tcBorders>
          </w:tcPr>
          <w:p w14:paraId="20636BB0"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-17.337</w:t>
            </w:r>
          </w:p>
        </w:tc>
        <w:tc>
          <w:tcPr>
            <w:tcW w:w="1092" w:type="pct"/>
            <w:tcBorders>
              <w:top w:val="nil"/>
              <w:left w:val="nil"/>
              <w:bottom w:val="nil"/>
              <w:right w:val="nil"/>
            </w:tcBorders>
          </w:tcPr>
          <w:p w14:paraId="212709A5"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-10.891</w:t>
            </w:r>
          </w:p>
        </w:tc>
        <w:tc>
          <w:tcPr>
            <w:tcW w:w="1092" w:type="pct"/>
            <w:tcBorders>
              <w:top w:val="nil"/>
              <w:left w:val="nil"/>
              <w:bottom w:val="nil"/>
              <w:right w:val="nil"/>
            </w:tcBorders>
          </w:tcPr>
          <w:p w14:paraId="71A9B616"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8.912</w:t>
            </w:r>
          </w:p>
        </w:tc>
      </w:tr>
      <w:tr w:rsidR="00CD4846" w:rsidRPr="00CD4846" w14:paraId="318D03A2" w14:textId="77777777" w:rsidTr="00B82EB9">
        <w:tc>
          <w:tcPr>
            <w:tcW w:w="1768" w:type="pct"/>
            <w:tcBorders>
              <w:top w:val="nil"/>
              <w:left w:val="nil"/>
              <w:bottom w:val="nil"/>
              <w:right w:val="nil"/>
            </w:tcBorders>
          </w:tcPr>
          <w:p w14:paraId="2D19E69B" w14:textId="731890BC"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1048" w:type="pct"/>
            <w:tcBorders>
              <w:top w:val="nil"/>
              <w:left w:val="nil"/>
              <w:bottom w:val="nil"/>
              <w:right w:val="nil"/>
            </w:tcBorders>
          </w:tcPr>
          <w:p w14:paraId="55B0897F"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(32.220)</w:t>
            </w:r>
          </w:p>
        </w:tc>
        <w:tc>
          <w:tcPr>
            <w:tcW w:w="1092" w:type="pct"/>
            <w:tcBorders>
              <w:top w:val="nil"/>
              <w:left w:val="nil"/>
              <w:bottom w:val="nil"/>
              <w:right w:val="nil"/>
            </w:tcBorders>
          </w:tcPr>
          <w:p w14:paraId="7097A806"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(10.372)</w:t>
            </w:r>
          </w:p>
        </w:tc>
        <w:tc>
          <w:tcPr>
            <w:tcW w:w="1092" w:type="pct"/>
            <w:tcBorders>
              <w:top w:val="nil"/>
              <w:left w:val="nil"/>
              <w:bottom w:val="nil"/>
              <w:right w:val="nil"/>
            </w:tcBorders>
          </w:tcPr>
          <w:p w14:paraId="0515D4AF"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(5.756)</w:t>
            </w:r>
          </w:p>
        </w:tc>
      </w:tr>
      <w:tr w:rsidR="00CD4846" w:rsidRPr="00CD4846" w14:paraId="04C37AD7" w14:textId="77777777" w:rsidTr="00B82EB9">
        <w:tc>
          <w:tcPr>
            <w:tcW w:w="1768" w:type="pct"/>
            <w:tcBorders>
              <w:top w:val="nil"/>
              <w:left w:val="nil"/>
              <w:bottom w:val="nil"/>
              <w:right w:val="nil"/>
            </w:tcBorders>
          </w:tcPr>
          <w:p w14:paraId="09D13153" w14:textId="107579CE"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Sales Volume (t-1)</w:t>
            </w:r>
          </w:p>
        </w:tc>
        <w:tc>
          <w:tcPr>
            <w:tcW w:w="1048" w:type="pct"/>
            <w:tcBorders>
              <w:top w:val="nil"/>
              <w:left w:val="nil"/>
              <w:bottom w:val="nil"/>
              <w:right w:val="nil"/>
            </w:tcBorders>
          </w:tcPr>
          <w:p w14:paraId="395DFDF7"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-21.048</w:t>
            </w:r>
          </w:p>
        </w:tc>
        <w:tc>
          <w:tcPr>
            <w:tcW w:w="1092" w:type="pct"/>
            <w:tcBorders>
              <w:top w:val="nil"/>
              <w:left w:val="nil"/>
              <w:bottom w:val="nil"/>
              <w:right w:val="nil"/>
            </w:tcBorders>
          </w:tcPr>
          <w:p w14:paraId="65E4CB23"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1.160</w:t>
            </w:r>
          </w:p>
        </w:tc>
        <w:tc>
          <w:tcPr>
            <w:tcW w:w="1092" w:type="pct"/>
            <w:tcBorders>
              <w:top w:val="nil"/>
              <w:left w:val="nil"/>
              <w:bottom w:val="nil"/>
              <w:right w:val="nil"/>
            </w:tcBorders>
          </w:tcPr>
          <w:p w14:paraId="1551F8D3"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-1.076</w:t>
            </w:r>
          </w:p>
        </w:tc>
      </w:tr>
      <w:tr w:rsidR="00CD4846" w:rsidRPr="00CD4846" w14:paraId="5CB7B9D7" w14:textId="77777777" w:rsidTr="00B82EB9">
        <w:tc>
          <w:tcPr>
            <w:tcW w:w="1768" w:type="pct"/>
            <w:tcBorders>
              <w:top w:val="nil"/>
              <w:left w:val="nil"/>
              <w:bottom w:val="nil"/>
              <w:right w:val="nil"/>
            </w:tcBorders>
          </w:tcPr>
          <w:p w14:paraId="5A4C48D2" w14:textId="05CE90E8"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1048" w:type="pct"/>
            <w:tcBorders>
              <w:top w:val="nil"/>
              <w:left w:val="nil"/>
              <w:bottom w:val="nil"/>
              <w:right w:val="nil"/>
            </w:tcBorders>
          </w:tcPr>
          <w:p w14:paraId="3B927B67"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(38.476)</w:t>
            </w:r>
          </w:p>
        </w:tc>
        <w:tc>
          <w:tcPr>
            <w:tcW w:w="1092" w:type="pct"/>
            <w:tcBorders>
              <w:top w:val="nil"/>
              <w:left w:val="nil"/>
              <w:bottom w:val="nil"/>
              <w:right w:val="nil"/>
            </w:tcBorders>
          </w:tcPr>
          <w:p w14:paraId="7D94F375"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(135.635)</w:t>
            </w:r>
          </w:p>
        </w:tc>
        <w:tc>
          <w:tcPr>
            <w:tcW w:w="1092" w:type="pct"/>
            <w:tcBorders>
              <w:top w:val="nil"/>
              <w:left w:val="nil"/>
              <w:bottom w:val="nil"/>
              <w:right w:val="nil"/>
            </w:tcBorders>
          </w:tcPr>
          <w:p w14:paraId="564CD5ED"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(2.129)</w:t>
            </w:r>
          </w:p>
        </w:tc>
      </w:tr>
      <w:tr w:rsidR="00CD4846" w:rsidRPr="00CD4846" w14:paraId="1FA633A2" w14:textId="77777777" w:rsidTr="00B82EB9">
        <w:tc>
          <w:tcPr>
            <w:tcW w:w="1768" w:type="pct"/>
            <w:tcBorders>
              <w:top w:val="nil"/>
              <w:left w:val="nil"/>
              <w:bottom w:val="nil"/>
              <w:right w:val="nil"/>
            </w:tcBorders>
          </w:tcPr>
          <w:p w14:paraId="0F6157A8" w14:textId="6099C92E"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Prior Births (1ks)</w:t>
            </w:r>
          </w:p>
        </w:tc>
        <w:tc>
          <w:tcPr>
            <w:tcW w:w="1048" w:type="pct"/>
            <w:tcBorders>
              <w:top w:val="nil"/>
              <w:left w:val="nil"/>
              <w:bottom w:val="nil"/>
              <w:right w:val="nil"/>
            </w:tcBorders>
          </w:tcPr>
          <w:p w14:paraId="246C86C0"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-6.264</w:t>
            </w:r>
          </w:p>
        </w:tc>
        <w:tc>
          <w:tcPr>
            <w:tcW w:w="1092" w:type="pct"/>
            <w:tcBorders>
              <w:top w:val="nil"/>
              <w:left w:val="nil"/>
              <w:bottom w:val="nil"/>
              <w:right w:val="nil"/>
            </w:tcBorders>
          </w:tcPr>
          <w:p w14:paraId="727A287F"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-0.001</w:t>
            </w:r>
          </w:p>
        </w:tc>
        <w:tc>
          <w:tcPr>
            <w:tcW w:w="1092" w:type="pct"/>
            <w:tcBorders>
              <w:top w:val="nil"/>
              <w:left w:val="nil"/>
              <w:bottom w:val="nil"/>
              <w:right w:val="nil"/>
            </w:tcBorders>
          </w:tcPr>
          <w:p w14:paraId="53708B8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-0.448</w:t>
            </w:r>
          </w:p>
        </w:tc>
      </w:tr>
      <w:tr w:rsidR="00CD4846" w:rsidRPr="00CD4846" w14:paraId="1B8109C4" w14:textId="77777777" w:rsidTr="00B82EB9">
        <w:tc>
          <w:tcPr>
            <w:tcW w:w="1768" w:type="pct"/>
            <w:tcBorders>
              <w:top w:val="nil"/>
              <w:left w:val="nil"/>
              <w:bottom w:val="nil"/>
              <w:right w:val="nil"/>
            </w:tcBorders>
          </w:tcPr>
          <w:p w14:paraId="4617830D" w14:textId="06C7CCB2"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1048" w:type="pct"/>
            <w:tcBorders>
              <w:top w:val="nil"/>
              <w:left w:val="nil"/>
              <w:bottom w:val="nil"/>
              <w:right w:val="nil"/>
            </w:tcBorders>
          </w:tcPr>
          <w:p w14:paraId="0F0B6237"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(5.431)</w:t>
            </w:r>
          </w:p>
        </w:tc>
        <w:tc>
          <w:tcPr>
            <w:tcW w:w="1092" w:type="pct"/>
            <w:tcBorders>
              <w:top w:val="nil"/>
              <w:left w:val="nil"/>
              <w:bottom w:val="nil"/>
              <w:right w:val="nil"/>
            </w:tcBorders>
          </w:tcPr>
          <w:p w14:paraId="42C39F50"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(0.260)</w:t>
            </w:r>
          </w:p>
        </w:tc>
        <w:tc>
          <w:tcPr>
            <w:tcW w:w="1092" w:type="pct"/>
            <w:tcBorders>
              <w:top w:val="nil"/>
              <w:left w:val="nil"/>
              <w:bottom w:val="nil"/>
              <w:right w:val="nil"/>
            </w:tcBorders>
          </w:tcPr>
          <w:p w14:paraId="65C396E7"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(0.369)</w:t>
            </w:r>
          </w:p>
        </w:tc>
      </w:tr>
      <w:tr w:rsidR="00CD4846" w:rsidRPr="00CD4846" w14:paraId="56BDB9A0" w14:textId="77777777" w:rsidTr="00B82EB9">
        <w:tc>
          <w:tcPr>
            <w:tcW w:w="1768" w:type="pct"/>
            <w:tcBorders>
              <w:top w:val="nil"/>
              <w:left w:val="nil"/>
              <w:bottom w:val="nil"/>
              <w:right w:val="nil"/>
            </w:tcBorders>
          </w:tcPr>
          <w:p w14:paraId="4060629E" w14:textId="3A047A1E"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Prior Deaths (1ks)</w:t>
            </w:r>
          </w:p>
        </w:tc>
        <w:tc>
          <w:tcPr>
            <w:tcW w:w="1048" w:type="pct"/>
            <w:tcBorders>
              <w:top w:val="nil"/>
              <w:left w:val="nil"/>
              <w:bottom w:val="nil"/>
              <w:right w:val="nil"/>
            </w:tcBorders>
          </w:tcPr>
          <w:p w14:paraId="4CB42D00"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8.019</w:t>
            </w:r>
          </w:p>
        </w:tc>
        <w:tc>
          <w:tcPr>
            <w:tcW w:w="1092" w:type="pct"/>
            <w:tcBorders>
              <w:top w:val="nil"/>
              <w:left w:val="nil"/>
              <w:bottom w:val="nil"/>
              <w:right w:val="nil"/>
            </w:tcBorders>
          </w:tcPr>
          <w:p w14:paraId="372F3E87"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-0.538</w:t>
            </w:r>
          </w:p>
        </w:tc>
        <w:tc>
          <w:tcPr>
            <w:tcW w:w="1092" w:type="pct"/>
            <w:tcBorders>
              <w:top w:val="nil"/>
              <w:left w:val="nil"/>
              <w:bottom w:val="nil"/>
              <w:right w:val="nil"/>
            </w:tcBorders>
          </w:tcPr>
          <w:p w14:paraId="2A7E9F9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0.256</w:t>
            </w:r>
          </w:p>
        </w:tc>
      </w:tr>
      <w:tr w:rsidR="00CD4846" w:rsidRPr="00CD4846" w14:paraId="098D120D" w14:textId="77777777" w:rsidTr="00B82EB9">
        <w:tc>
          <w:tcPr>
            <w:tcW w:w="1768" w:type="pct"/>
            <w:tcBorders>
              <w:top w:val="nil"/>
              <w:left w:val="nil"/>
              <w:bottom w:val="nil"/>
              <w:right w:val="nil"/>
            </w:tcBorders>
          </w:tcPr>
          <w:p w14:paraId="4787116E" w14:textId="58CDA63E"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1048" w:type="pct"/>
            <w:tcBorders>
              <w:top w:val="nil"/>
              <w:left w:val="nil"/>
              <w:bottom w:val="nil"/>
              <w:right w:val="nil"/>
            </w:tcBorders>
          </w:tcPr>
          <w:p w14:paraId="23B48ECA"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(5.791)</w:t>
            </w:r>
          </w:p>
        </w:tc>
        <w:tc>
          <w:tcPr>
            <w:tcW w:w="1092" w:type="pct"/>
            <w:tcBorders>
              <w:top w:val="nil"/>
              <w:left w:val="nil"/>
              <w:bottom w:val="nil"/>
              <w:right w:val="nil"/>
            </w:tcBorders>
          </w:tcPr>
          <w:p w14:paraId="60D6AF73"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(0.449)</w:t>
            </w:r>
          </w:p>
        </w:tc>
        <w:tc>
          <w:tcPr>
            <w:tcW w:w="1092" w:type="pct"/>
            <w:tcBorders>
              <w:top w:val="nil"/>
              <w:left w:val="nil"/>
              <w:bottom w:val="nil"/>
              <w:right w:val="nil"/>
            </w:tcBorders>
          </w:tcPr>
          <w:p w14:paraId="2715C757"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(0.224)</w:t>
            </w:r>
          </w:p>
        </w:tc>
      </w:tr>
      <w:tr w:rsidR="00CD4846" w:rsidRPr="00CD4846" w14:paraId="37429F01" w14:textId="77777777" w:rsidTr="00B82EB9">
        <w:tc>
          <w:tcPr>
            <w:tcW w:w="1768" w:type="pct"/>
            <w:tcBorders>
              <w:top w:val="nil"/>
              <w:left w:val="nil"/>
              <w:bottom w:val="nil"/>
              <w:right w:val="nil"/>
            </w:tcBorders>
          </w:tcPr>
          <w:p w14:paraId="03FA2E1B" w14:textId="646F6E1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Prior inward relocations (1ks)</w:t>
            </w:r>
          </w:p>
        </w:tc>
        <w:tc>
          <w:tcPr>
            <w:tcW w:w="1048" w:type="pct"/>
            <w:tcBorders>
              <w:top w:val="nil"/>
              <w:left w:val="nil"/>
              <w:bottom w:val="nil"/>
              <w:right w:val="nil"/>
            </w:tcBorders>
          </w:tcPr>
          <w:p w14:paraId="2FC769D2"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-14.056</w:t>
            </w:r>
          </w:p>
        </w:tc>
        <w:tc>
          <w:tcPr>
            <w:tcW w:w="1092" w:type="pct"/>
            <w:tcBorders>
              <w:top w:val="nil"/>
              <w:left w:val="nil"/>
              <w:bottom w:val="nil"/>
              <w:right w:val="nil"/>
            </w:tcBorders>
          </w:tcPr>
          <w:p w14:paraId="103376F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16.764</w:t>
            </w:r>
          </w:p>
        </w:tc>
        <w:tc>
          <w:tcPr>
            <w:tcW w:w="1092" w:type="pct"/>
            <w:tcBorders>
              <w:top w:val="nil"/>
              <w:left w:val="nil"/>
              <w:bottom w:val="nil"/>
              <w:right w:val="nil"/>
            </w:tcBorders>
          </w:tcPr>
          <w:p w14:paraId="21683EEC"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1.722</w:t>
            </w:r>
          </w:p>
        </w:tc>
      </w:tr>
      <w:tr w:rsidR="00CD4846" w:rsidRPr="00CD4846" w14:paraId="534CC857" w14:textId="77777777" w:rsidTr="00B82EB9">
        <w:tc>
          <w:tcPr>
            <w:tcW w:w="1768" w:type="pct"/>
            <w:tcBorders>
              <w:top w:val="nil"/>
              <w:left w:val="nil"/>
              <w:bottom w:val="nil"/>
              <w:right w:val="nil"/>
            </w:tcBorders>
          </w:tcPr>
          <w:p w14:paraId="11DAB6D8" w14:textId="21DF52D5"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1048" w:type="pct"/>
            <w:tcBorders>
              <w:top w:val="nil"/>
              <w:left w:val="nil"/>
              <w:bottom w:val="nil"/>
              <w:right w:val="nil"/>
            </w:tcBorders>
          </w:tcPr>
          <w:p w14:paraId="0EA528E8"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(66.712)</w:t>
            </w:r>
          </w:p>
        </w:tc>
        <w:tc>
          <w:tcPr>
            <w:tcW w:w="1092" w:type="pct"/>
            <w:tcBorders>
              <w:top w:val="nil"/>
              <w:left w:val="nil"/>
              <w:bottom w:val="nil"/>
              <w:right w:val="nil"/>
            </w:tcBorders>
          </w:tcPr>
          <w:p w14:paraId="711EF4BD"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(10.973)</w:t>
            </w:r>
          </w:p>
        </w:tc>
        <w:tc>
          <w:tcPr>
            <w:tcW w:w="1092" w:type="pct"/>
            <w:tcBorders>
              <w:top w:val="nil"/>
              <w:left w:val="nil"/>
              <w:bottom w:val="nil"/>
              <w:right w:val="nil"/>
            </w:tcBorders>
          </w:tcPr>
          <w:p w14:paraId="4B9FFA29"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(14.115)</w:t>
            </w:r>
          </w:p>
        </w:tc>
      </w:tr>
      <w:tr w:rsidR="00CD4846" w:rsidRPr="00CD4846" w14:paraId="53CDFD87" w14:textId="77777777" w:rsidTr="00B82EB9">
        <w:tc>
          <w:tcPr>
            <w:tcW w:w="1768" w:type="pct"/>
            <w:tcBorders>
              <w:top w:val="nil"/>
              <w:left w:val="nil"/>
              <w:bottom w:val="nil"/>
              <w:right w:val="nil"/>
            </w:tcBorders>
          </w:tcPr>
          <w:p w14:paraId="43AE9C74"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Constant</w:t>
            </w:r>
          </w:p>
        </w:tc>
        <w:tc>
          <w:tcPr>
            <w:tcW w:w="1048" w:type="pct"/>
            <w:tcBorders>
              <w:top w:val="nil"/>
              <w:left w:val="nil"/>
              <w:bottom w:val="nil"/>
              <w:right w:val="nil"/>
            </w:tcBorders>
          </w:tcPr>
          <w:p w14:paraId="1CB4E8B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21.477**</w:t>
            </w:r>
          </w:p>
        </w:tc>
        <w:tc>
          <w:tcPr>
            <w:tcW w:w="1092" w:type="pct"/>
            <w:tcBorders>
              <w:top w:val="nil"/>
              <w:left w:val="nil"/>
              <w:bottom w:val="nil"/>
              <w:right w:val="nil"/>
            </w:tcBorders>
          </w:tcPr>
          <w:p w14:paraId="6351188F"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1.395</w:t>
            </w:r>
          </w:p>
        </w:tc>
        <w:tc>
          <w:tcPr>
            <w:tcW w:w="1092" w:type="pct"/>
            <w:tcBorders>
              <w:top w:val="nil"/>
              <w:left w:val="nil"/>
              <w:bottom w:val="nil"/>
              <w:right w:val="nil"/>
            </w:tcBorders>
          </w:tcPr>
          <w:p w14:paraId="392822D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-2.290</w:t>
            </w:r>
          </w:p>
        </w:tc>
      </w:tr>
      <w:tr w:rsidR="00CD4846" w:rsidRPr="00CD4846" w14:paraId="1E706B43" w14:textId="77777777" w:rsidTr="00B82EB9">
        <w:tc>
          <w:tcPr>
            <w:tcW w:w="1768" w:type="pct"/>
            <w:tcBorders>
              <w:top w:val="nil"/>
              <w:left w:val="nil"/>
              <w:bottom w:val="nil"/>
              <w:right w:val="nil"/>
            </w:tcBorders>
          </w:tcPr>
          <w:p w14:paraId="2084194F" w14:textId="0F796D21"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1048" w:type="pct"/>
            <w:tcBorders>
              <w:top w:val="nil"/>
              <w:left w:val="nil"/>
              <w:bottom w:val="nil"/>
              <w:right w:val="nil"/>
            </w:tcBorders>
          </w:tcPr>
          <w:p w14:paraId="06CBA972"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(9.276)</w:t>
            </w:r>
          </w:p>
        </w:tc>
        <w:tc>
          <w:tcPr>
            <w:tcW w:w="1092" w:type="pct"/>
            <w:tcBorders>
              <w:top w:val="nil"/>
              <w:left w:val="nil"/>
              <w:bottom w:val="nil"/>
              <w:right w:val="nil"/>
            </w:tcBorders>
          </w:tcPr>
          <w:p w14:paraId="4E30214D"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(3.937)</w:t>
            </w:r>
          </w:p>
        </w:tc>
        <w:tc>
          <w:tcPr>
            <w:tcW w:w="1092" w:type="pct"/>
            <w:tcBorders>
              <w:top w:val="nil"/>
              <w:left w:val="nil"/>
              <w:bottom w:val="nil"/>
              <w:right w:val="nil"/>
            </w:tcBorders>
          </w:tcPr>
          <w:p w14:paraId="277A6B3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(3.032)</w:t>
            </w:r>
          </w:p>
        </w:tc>
      </w:tr>
      <w:tr w:rsidR="00CD4846" w:rsidRPr="00CD4846" w14:paraId="55C3D207" w14:textId="77777777" w:rsidTr="00B82EB9">
        <w:tc>
          <w:tcPr>
            <w:tcW w:w="1768" w:type="pct"/>
            <w:tcBorders>
              <w:top w:val="nil"/>
              <w:left w:val="nil"/>
              <w:bottom w:val="nil"/>
              <w:right w:val="nil"/>
            </w:tcBorders>
          </w:tcPr>
          <w:p w14:paraId="59CF9EFD" w14:textId="405C43DC"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Observations</w:t>
            </w:r>
          </w:p>
        </w:tc>
        <w:tc>
          <w:tcPr>
            <w:tcW w:w="1048" w:type="pct"/>
            <w:tcBorders>
              <w:top w:val="nil"/>
              <w:left w:val="nil"/>
              <w:bottom w:val="nil"/>
              <w:right w:val="nil"/>
            </w:tcBorders>
          </w:tcPr>
          <w:p w14:paraId="0D132BDA"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540</w:t>
            </w:r>
          </w:p>
        </w:tc>
        <w:tc>
          <w:tcPr>
            <w:tcW w:w="1092" w:type="pct"/>
            <w:tcBorders>
              <w:top w:val="nil"/>
              <w:left w:val="nil"/>
              <w:bottom w:val="nil"/>
              <w:right w:val="nil"/>
            </w:tcBorders>
          </w:tcPr>
          <w:p w14:paraId="3385F8CD"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2797</w:t>
            </w:r>
          </w:p>
        </w:tc>
        <w:tc>
          <w:tcPr>
            <w:tcW w:w="1092" w:type="pct"/>
            <w:tcBorders>
              <w:top w:val="nil"/>
              <w:left w:val="nil"/>
              <w:bottom w:val="nil"/>
              <w:right w:val="nil"/>
            </w:tcBorders>
          </w:tcPr>
          <w:p w14:paraId="35A6A990"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4563</w:t>
            </w:r>
          </w:p>
        </w:tc>
      </w:tr>
      <w:tr w:rsidR="00CD4846" w:rsidRPr="00CD4846" w14:paraId="403B2884" w14:textId="77777777" w:rsidTr="00B82EB9">
        <w:tc>
          <w:tcPr>
            <w:tcW w:w="1768" w:type="pct"/>
            <w:tcBorders>
              <w:top w:val="nil"/>
              <w:left w:val="nil"/>
              <w:bottom w:val="nil"/>
              <w:right w:val="nil"/>
            </w:tcBorders>
          </w:tcPr>
          <w:p w14:paraId="545D32C7" w14:textId="2EA42398"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Pseudo R</w:t>
            </w:r>
            <w:r w:rsidRPr="00CD4846">
              <w:rPr>
                <w:rFonts w:cs="Times New Roman"/>
                <w:kern w:val="2"/>
                <w:sz w:val="20"/>
                <w:szCs w:val="20"/>
                <w:vertAlign w:val="superscript"/>
                <w:lang/>
              </w:rPr>
              <w:t>2</w:t>
            </w:r>
          </w:p>
        </w:tc>
        <w:tc>
          <w:tcPr>
            <w:tcW w:w="1048" w:type="pct"/>
            <w:tcBorders>
              <w:top w:val="nil"/>
              <w:left w:val="nil"/>
              <w:bottom w:val="nil"/>
              <w:right w:val="nil"/>
            </w:tcBorders>
          </w:tcPr>
          <w:p w14:paraId="1671ED23"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0.252</w:t>
            </w:r>
          </w:p>
        </w:tc>
        <w:tc>
          <w:tcPr>
            <w:tcW w:w="1092" w:type="pct"/>
            <w:tcBorders>
              <w:top w:val="nil"/>
              <w:left w:val="nil"/>
              <w:bottom w:val="nil"/>
              <w:right w:val="nil"/>
            </w:tcBorders>
          </w:tcPr>
          <w:p w14:paraId="2BA32052"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0.272</w:t>
            </w:r>
          </w:p>
        </w:tc>
        <w:tc>
          <w:tcPr>
            <w:tcW w:w="1092" w:type="pct"/>
            <w:tcBorders>
              <w:top w:val="nil"/>
              <w:left w:val="nil"/>
              <w:bottom w:val="nil"/>
              <w:right w:val="nil"/>
            </w:tcBorders>
          </w:tcPr>
          <w:p w14:paraId="2C1BC401"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0.308</w:t>
            </w:r>
          </w:p>
        </w:tc>
      </w:tr>
      <w:tr w:rsidR="00CD4846" w:rsidRPr="00CD4846" w14:paraId="5F88B3BD" w14:textId="77777777" w:rsidTr="00B82EB9">
        <w:tc>
          <w:tcPr>
            <w:tcW w:w="1768" w:type="pct"/>
            <w:tcBorders>
              <w:top w:val="nil"/>
              <w:left w:val="nil"/>
              <w:bottom w:val="nil"/>
              <w:right w:val="nil"/>
            </w:tcBorders>
          </w:tcPr>
          <w:p w14:paraId="388E14BD" w14:textId="69F63B6F"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Chi</w:t>
            </w:r>
            <w:r w:rsidRPr="00CD4846">
              <w:rPr>
                <w:rFonts w:cs="Times New Roman"/>
                <w:kern w:val="2"/>
                <w:sz w:val="20"/>
                <w:szCs w:val="20"/>
                <w:vertAlign w:val="superscript"/>
                <w:lang/>
              </w:rPr>
              <w:t>2</w:t>
            </w:r>
          </w:p>
        </w:tc>
        <w:tc>
          <w:tcPr>
            <w:tcW w:w="1048" w:type="pct"/>
            <w:tcBorders>
              <w:top w:val="nil"/>
              <w:left w:val="nil"/>
              <w:bottom w:val="nil"/>
              <w:right w:val="nil"/>
            </w:tcBorders>
          </w:tcPr>
          <w:p w14:paraId="3DBE66C2"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31</w:t>
            </w:r>
          </w:p>
        </w:tc>
        <w:tc>
          <w:tcPr>
            <w:tcW w:w="1092" w:type="pct"/>
            <w:tcBorders>
              <w:top w:val="nil"/>
              <w:left w:val="nil"/>
              <w:bottom w:val="nil"/>
              <w:right w:val="nil"/>
            </w:tcBorders>
          </w:tcPr>
          <w:p w14:paraId="4C7900FC"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24</w:t>
            </w:r>
          </w:p>
        </w:tc>
        <w:tc>
          <w:tcPr>
            <w:tcW w:w="1092" w:type="pct"/>
            <w:tcBorders>
              <w:top w:val="nil"/>
              <w:left w:val="nil"/>
              <w:bottom w:val="nil"/>
              <w:right w:val="nil"/>
            </w:tcBorders>
          </w:tcPr>
          <w:p w14:paraId="59279B96"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46</w:t>
            </w:r>
          </w:p>
        </w:tc>
      </w:tr>
      <w:tr w:rsidR="00CD4846" w:rsidRPr="00CD4846" w14:paraId="2F0ED335" w14:textId="77777777" w:rsidTr="00B82EB9">
        <w:tc>
          <w:tcPr>
            <w:tcW w:w="1768" w:type="pct"/>
            <w:tcBorders>
              <w:top w:val="nil"/>
              <w:left w:val="nil"/>
              <w:bottom w:val="nil"/>
              <w:right w:val="nil"/>
            </w:tcBorders>
          </w:tcPr>
          <w:p w14:paraId="1A64493B" w14:textId="2652FA8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Log Likelihood</w:t>
            </w:r>
          </w:p>
        </w:tc>
        <w:tc>
          <w:tcPr>
            <w:tcW w:w="1048" w:type="pct"/>
            <w:tcBorders>
              <w:top w:val="nil"/>
              <w:left w:val="nil"/>
              <w:bottom w:val="nil"/>
              <w:right w:val="nil"/>
            </w:tcBorders>
          </w:tcPr>
          <w:p w14:paraId="145A21AC"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-319</w:t>
            </w:r>
          </w:p>
        </w:tc>
        <w:tc>
          <w:tcPr>
            <w:tcW w:w="1092" w:type="pct"/>
            <w:tcBorders>
              <w:top w:val="nil"/>
              <w:left w:val="nil"/>
              <w:bottom w:val="nil"/>
              <w:right w:val="nil"/>
            </w:tcBorders>
          </w:tcPr>
          <w:p w14:paraId="60CA70AA"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-1457</w:t>
            </w:r>
          </w:p>
        </w:tc>
        <w:tc>
          <w:tcPr>
            <w:tcW w:w="1092" w:type="pct"/>
            <w:tcBorders>
              <w:top w:val="nil"/>
              <w:left w:val="nil"/>
              <w:bottom w:val="nil"/>
              <w:right w:val="nil"/>
            </w:tcBorders>
          </w:tcPr>
          <w:p w14:paraId="515117E7"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-2623</w:t>
            </w:r>
          </w:p>
        </w:tc>
      </w:tr>
      <w:tr w:rsidR="00CD4846" w:rsidRPr="00CD4846" w14:paraId="051D1C0C" w14:textId="77777777" w:rsidTr="00B82EB9">
        <w:tc>
          <w:tcPr>
            <w:tcW w:w="1768" w:type="pct"/>
            <w:tcBorders>
              <w:top w:val="nil"/>
              <w:left w:val="nil"/>
              <w:bottom w:val="nil"/>
              <w:right w:val="nil"/>
            </w:tcBorders>
          </w:tcPr>
          <w:p w14:paraId="66C96D5F" w14:textId="5861C16B"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Akaike’s Criterion</w:t>
            </w:r>
          </w:p>
        </w:tc>
        <w:tc>
          <w:tcPr>
            <w:tcW w:w="1048" w:type="pct"/>
            <w:tcBorders>
              <w:top w:val="nil"/>
              <w:left w:val="nil"/>
              <w:bottom w:val="nil"/>
              <w:right w:val="nil"/>
            </w:tcBorders>
          </w:tcPr>
          <w:p w14:paraId="5875BC89"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676</w:t>
            </w:r>
          </w:p>
        </w:tc>
        <w:tc>
          <w:tcPr>
            <w:tcW w:w="1092" w:type="pct"/>
            <w:tcBorders>
              <w:top w:val="nil"/>
              <w:left w:val="nil"/>
              <w:bottom w:val="nil"/>
              <w:right w:val="nil"/>
            </w:tcBorders>
          </w:tcPr>
          <w:p w14:paraId="37CECA9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2953</w:t>
            </w:r>
          </w:p>
        </w:tc>
        <w:tc>
          <w:tcPr>
            <w:tcW w:w="1092" w:type="pct"/>
            <w:tcBorders>
              <w:top w:val="nil"/>
              <w:left w:val="nil"/>
              <w:bottom w:val="nil"/>
              <w:right w:val="nil"/>
            </w:tcBorders>
          </w:tcPr>
          <w:p w14:paraId="133F794C"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5284</w:t>
            </w:r>
          </w:p>
        </w:tc>
      </w:tr>
      <w:tr w:rsidR="00CD4846" w:rsidRPr="00CD4846" w14:paraId="782CD850" w14:textId="77777777" w:rsidTr="00B82EB9">
        <w:tc>
          <w:tcPr>
            <w:tcW w:w="1768" w:type="pct"/>
            <w:tcBorders>
              <w:top w:val="nil"/>
              <w:left w:val="nil"/>
              <w:bottom w:val="nil"/>
              <w:right w:val="nil"/>
            </w:tcBorders>
          </w:tcPr>
          <w:p w14:paraId="48C9BE1E" w14:textId="3945FE70"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Bayesian Criterion</w:t>
            </w:r>
          </w:p>
        </w:tc>
        <w:tc>
          <w:tcPr>
            <w:tcW w:w="1048" w:type="pct"/>
            <w:tcBorders>
              <w:top w:val="nil"/>
              <w:left w:val="nil"/>
              <w:bottom w:val="nil"/>
              <w:right w:val="nil"/>
            </w:tcBorders>
          </w:tcPr>
          <w:p w14:paraId="7E8F62D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757</w:t>
            </w:r>
          </w:p>
        </w:tc>
        <w:tc>
          <w:tcPr>
            <w:tcW w:w="1092" w:type="pct"/>
            <w:tcBorders>
              <w:top w:val="nil"/>
              <w:left w:val="nil"/>
              <w:bottom w:val="nil"/>
              <w:right w:val="nil"/>
            </w:tcBorders>
          </w:tcPr>
          <w:p w14:paraId="5DD06338"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3065</w:t>
            </w:r>
          </w:p>
        </w:tc>
        <w:tc>
          <w:tcPr>
            <w:tcW w:w="1092" w:type="pct"/>
            <w:tcBorders>
              <w:top w:val="nil"/>
              <w:left w:val="nil"/>
              <w:bottom w:val="nil"/>
              <w:right w:val="nil"/>
            </w:tcBorders>
          </w:tcPr>
          <w:p w14:paraId="1E7B3855"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5406</w:t>
            </w:r>
          </w:p>
        </w:tc>
      </w:tr>
      <w:tr w:rsidR="00CD4846" w:rsidRPr="00CD4846" w14:paraId="7976AA6A" w14:textId="77777777" w:rsidTr="00B82EB9">
        <w:tc>
          <w:tcPr>
            <w:tcW w:w="1768" w:type="pct"/>
            <w:tcBorders>
              <w:top w:val="nil"/>
              <w:left w:val="nil"/>
              <w:bottom w:val="nil"/>
              <w:right w:val="nil"/>
            </w:tcBorders>
          </w:tcPr>
          <w:p w14:paraId="6B73612F"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County FE</w:t>
            </w:r>
          </w:p>
        </w:tc>
        <w:tc>
          <w:tcPr>
            <w:tcW w:w="1048" w:type="pct"/>
            <w:tcBorders>
              <w:top w:val="nil"/>
              <w:left w:val="nil"/>
              <w:bottom w:val="nil"/>
              <w:right w:val="nil"/>
            </w:tcBorders>
          </w:tcPr>
          <w:p w14:paraId="4464261C"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1092" w:type="pct"/>
            <w:tcBorders>
              <w:top w:val="nil"/>
              <w:left w:val="nil"/>
              <w:bottom w:val="nil"/>
              <w:right w:val="nil"/>
            </w:tcBorders>
          </w:tcPr>
          <w:p w14:paraId="5116D883"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1092" w:type="pct"/>
            <w:tcBorders>
              <w:top w:val="nil"/>
              <w:left w:val="nil"/>
              <w:bottom w:val="nil"/>
              <w:right w:val="nil"/>
            </w:tcBorders>
          </w:tcPr>
          <w:p w14:paraId="747CF958"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r>
      <w:tr w:rsidR="00CD4846" w:rsidRPr="00CD4846" w14:paraId="374AA1D6" w14:textId="77777777" w:rsidTr="00B82EB9">
        <w:tc>
          <w:tcPr>
            <w:tcW w:w="1768" w:type="pct"/>
            <w:tcBorders>
              <w:top w:val="nil"/>
              <w:left w:val="nil"/>
              <w:bottom w:val="nil"/>
              <w:right w:val="nil"/>
            </w:tcBorders>
          </w:tcPr>
          <w:p w14:paraId="587491AD"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State by Year FE</w:t>
            </w:r>
          </w:p>
        </w:tc>
        <w:tc>
          <w:tcPr>
            <w:tcW w:w="1048" w:type="pct"/>
            <w:tcBorders>
              <w:top w:val="nil"/>
              <w:left w:val="nil"/>
              <w:bottom w:val="nil"/>
              <w:right w:val="nil"/>
            </w:tcBorders>
          </w:tcPr>
          <w:p w14:paraId="0B058CB7"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1092" w:type="pct"/>
            <w:tcBorders>
              <w:top w:val="nil"/>
              <w:left w:val="nil"/>
              <w:bottom w:val="nil"/>
              <w:right w:val="nil"/>
            </w:tcBorders>
          </w:tcPr>
          <w:p w14:paraId="6EF40D69"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1092" w:type="pct"/>
            <w:tcBorders>
              <w:top w:val="nil"/>
              <w:left w:val="nil"/>
              <w:bottom w:val="nil"/>
              <w:right w:val="nil"/>
            </w:tcBorders>
          </w:tcPr>
          <w:p w14:paraId="23B3798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r>
    </w:tbl>
    <w:p w14:paraId="74D9BBBE" w14:textId="77777777" w:rsidR="00475D06" w:rsidRDefault="00475D06" w:rsidP="004C39A4">
      <w:r>
        <w:br w:type="page"/>
      </w:r>
    </w:p>
    <w:p w14:paraId="2197A75B" w14:textId="4EDAE529" w:rsidR="00475D06" w:rsidRPr="00475D06" w:rsidRDefault="00475D06" w:rsidP="004C39A4">
      <w:pPr>
        <w:spacing w:line="240" w:lineRule="auto"/>
        <w:rPr>
          <w:b/>
          <w:bCs/>
        </w:rPr>
      </w:pPr>
      <w:r w:rsidRPr="00475D06">
        <w:rPr>
          <w:b/>
          <w:bCs/>
        </w:rPr>
        <w:lastRenderedPageBreak/>
        <w:t>Table A16 Continued</w:t>
      </w:r>
    </w:p>
    <w:tbl>
      <w:tblPr>
        <w:tblW w:w="5000" w:type="pct"/>
        <w:tblLook w:val="04A0" w:firstRow="1" w:lastRow="0" w:firstColumn="1" w:lastColumn="0" w:noHBand="0" w:noVBand="1"/>
      </w:tblPr>
      <w:tblGrid>
        <w:gridCol w:w="3310"/>
        <w:gridCol w:w="1962"/>
        <w:gridCol w:w="2044"/>
        <w:gridCol w:w="2044"/>
      </w:tblGrid>
      <w:tr w:rsidR="00475D06" w:rsidRPr="0058540A" w14:paraId="12437BAF" w14:textId="77777777" w:rsidTr="00475D06">
        <w:tc>
          <w:tcPr>
            <w:tcW w:w="1768" w:type="pct"/>
            <w:tcBorders>
              <w:top w:val="single" w:sz="4" w:space="0" w:color="auto"/>
              <w:left w:val="nil"/>
              <w:bottom w:val="single" w:sz="4" w:space="0" w:color="auto"/>
              <w:right w:val="nil"/>
            </w:tcBorders>
          </w:tcPr>
          <w:p w14:paraId="0B01D641" w14:textId="3795B230" w:rsidR="00475D06" w:rsidRPr="0058540A" w:rsidRDefault="00475D06" w:rsidP="0058540A">
            <w:pPr>
              <w:widowControl w:val="0"/>
              <w:autoSpaceDE w:val="0"/>
              <w:autoSpaceDN w:val="0"/>
              <w:adjustRightInd w:val="0"/>
              <w:spacing w:line="240" w:lineRule="auto"/>
              <w:rPr>
                <w:rFonts w:cs="Times New Roman"/>
                <w:kern w:val="2"/>
                <w:sz w:val="20"/>
                <w:szCs w:val="20"/>
                <w:lang/>
              </w:rPr>
            </w:pPr>
            <w:r w:rsidRPr="00CD4846">
              <w:rPr>
                <w:rFonts w:cs="Times New Roman"/>
                <w:b/>
                <w:bCs/>
                <w:kern w:val="2"/>
                <w:sz w:val="20"/>
                <w:szCs w:val="20"/>
                <w:lang/>
              </w:rPr>
              <w:t>Variable</w:t>
            </w:r>
          </w:p>
        </w:tc>
        <w:tc>
          <w:tcPr>
            <w:tcW w:w="1048" w:type="pct"/>
            <w:tcBorders>
              <w:top w:val="single" w:sz="4" w:space="0" w:color="auto"/>
              <w:left w:val="nil"/>
              <w:bottom w:val="single" w:sz="4" w:space="0" w:color="auto"/>
              <w:right w:val="nil"/>
            </w:tcBorders>
          </w:tcPr>
          <w:p w14:paraId="608544BB" w14:textId="04E1A5D8" w:rsidR="00475D06" w:rsidRPr="0058540A" w:rsidRDefault="00475D06" w:rsidP="0058540A">
            <w:pPr>
              <w:widowControl w:val="0"/>
              <w:autoSpaceDE w:val="0"/>
              <w:autoSpaceDN w:val="0"/>
              <w:adjustRightInd w:val="0"/>
              <w:spacing w:line="240" w:lineRule="auto"/>
              <w:rPr>
                <w:rFonts w:cs="Times New Roman"/>
                <w:kern w:val="2"/>
                <w:sz w:val="20"/>
                <w:szCs w:val="20"/>
                <w:lang/>
              </w:rPr>
            </w:pPr>
            <w:r w:rsidRPr="00CD4846">
              <w:rPr>
                <w:rFonts w:cs="Times New Roman"/>
                <w:b/>
                <w:bCs/>
                <w:kern w:val="2"/>
                <w:sz w:val="20"/>
                <w:szCs w:val="20"/>
                <w:lang/>
              </w:rPr>
              <w:t>NAICS 21</w:t>
            </w:r>
          </w:p>
        </w:tc>
        <w:tc>
          <w:tcPr>
            <w:tcW w:w="1092" w:type="pct"/>
            <w:tcBorders>
              <w:top w:val="single" w:sz="4" w:space="0" w:color="auto"/>
              <w:left w:val="nil"/>
              <w:bottom w:val="single" w:sz="4" w:space="0" w:color="auto"/>
              <w:right w:val="nil"/>
            </w:tcBorders>
          </w:tcPr>
          <w:p w14:paraId="73AAB5AA" w14:textId="5FA4111B" w:rsidR="00475D06" w:rsidRPr="0058540A" w:rsidRDefault="00475D06" w:rsidP="0058540A">
            <w:pPr>
              <w:widowControl w:val="0"/>
              <w:autoSpaceDE w:val="0"/>
              <w:autoSpaceDN w:val="0"/>
              <w:adjustRightInd w:val="0"/>
              <w:spacing w:line="240" w:lineRule="auto"/>
              <w:rPr>
                <w:rFonts w:cs="Times New Roman"/>
                <w:kern w:val="2"/>
                <w:sz w:val="20"/>
                <w:szCs w:val="20"/>
                <w:lang/>
              </w:rPr>
            </w:pPr>
            <w:r w:rsidRPr="00CD4846">
              <w:rPr>
                <w:rFonts w:cs="Times New Roman"/>
                <w:b/>
                <w:bCs/>
                <w:kern w:val="2"/>
                <w:sz w:val="20"/>
                <w:szCs w:val="20"/>
                <w:lang/>
              </w:rPr>
              <w:t>NAICS 23</w:t>
            </w:r>
          </w:p>
        </w:tc>
        <w:tc>
          <w:tcPr>
            <w:tcW w:w="1092" w:type="pct"/>
            <w:tcBorders>
              <w:top w:val="single" w:sz="4" w:space="0" w:color="auto"/>
              <w:left w:val="nil"/>
              <w:bottom w:val="single" w:sz="4" w:space="0" w:color="auto"/>
              <w:right w:val="nil"/>
            </w:tcBorders>
          </w:tcPr>
          <w:p w14:paraId="77083E1B" w14:textId="34311725" w:rsidR="00475D06" w:rsidRPr="0058540A" w:rsidRDefault="00475D06" w:rsidP="0058540A">
            <w:pPr>
              <w:widowControl w:val="0"/>
              <w:autoSpaceDE w:val="0"/>
              <w:autoSpaceDN w:val="0"/>
              <w:adjustRightInd w:val="0"/>
              <w:spacing w:line="240" w:lineRule="auto"/>
              <w:rPr>
                <w:rFonts w:cs="Times New Roman"/>
                <w:kern w:val="2"/>
                <w:sz w:val="20"/>
                <w:szCs w:val="20"/>
                <w:lang/>
              </w:rPr>
            </w:pPr>
            <w:r w:rsidRPr="00CD4846">
              <w:rPr>
                <w:rFonts w:cs="Times New Roman"/>
                <w:b/>
                <w:bCs/>
                <w:kern w:val="2"/>
                <w:sz w:val="20"/>
                <w:szCs w:val="20"/>
                <w:lang/>
              </w:rPr>
              <w:t>NAICS 31-33</w:t>
            </w:r>
          </w:p>
        </w:tc>
      </w:tr>
      <w:tr w:rsidR="00475D06" w:rsidRPr="00CD4846" w14:paraId="0FDF197F" w14:textId="77777777" w:rsidTr="00475D06">
        <w:tc>
          <w:tcPr>
            <w:tcW w:w="1768" w:type="pct"/>
            <w:tcBorders>
              <w:top w:val="single" w:sz="4" w:space="0" w:color="auto"/>
              <w:left w:val="nil"/>
              <w:right w:val="nil"/>
            </w:tcBorders>
          </w:tcPr>
          <w:p w14:paraId="452F6E80" w14:textId="731B2EA7" w:rsidR="00475D06" w:rsidRPr="00CD4846" w:rsidRDefault="00475D0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NAICS FE</w:t>
            </w:r>
          </w:p>
        </w:tc>
        <w:tc>
          <w:tcPr>
            <w:tcW w:w="1048" w:type="pct"/>
            <w:tcBorders>
              <w:top w:val="single" w:sz="4" w:space="0" w:color="auto"/>
              <w:left w:val="nil"/>
              <w:right w:val="nil"/>
            </w:tcBorders>
          </w:tcPr>
          <w:p w14:paraId="47AF0395" w14:textId="77777777" w:rsidR="00475D06" w:rsidRPr="00CD4846" w:rsidRDefault="00475D0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1092" w:type="pct"/>
            <w:tcBorders>
              <w:top w:val="single" w:sz="4" w:space="0" w:color="auto"/>
              <w:left w:val="nil"/>
              <w:right w:val="nil"/>
            </w:tcBorders>
          </w:tcPr>
          <w:p w14:paraId="2029583A" w14:textId="77777777" w:rsidR="00475D06" w:rsidRPr="00CD4846" w:rsidRDefault="00475D0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1092" w:type="pct"/>
            <w:tcBorders>
              <w:top w:val="single" w:sz="4" w:space="0" w:color="auto"/>
              <w:left w:val="nil"/>
              <w:right w:val="nil"/>
            </w:tcBorders>
          </w:tcPr>
          <w:p w14:paraId="6D2A6E87" w14:textId="77777777" w:rsidR="00475D06" w:rsidRPr="00CD4846" w:rsidRDefault="00475D0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r>
      <w:tr w:rsidR="00475D06" w:rsidRPr="00CD4846" w14:paraId="32295961" w14:textId="77777777" w:rsidTr="00B82EB9">
        <w:tc>
          <w:tcPr>
            <w:tcW w:w="1768" w:type="pct"/>
            <w:tcBorders>
              <w:top w:val="nil"/>
              <w:left w:val="nil"/>
              <w:bottom w:val="single" w:sz="4" w:space="0" w:color="auto"/>
              <w:right w:val="nil"/>
            </w:tcBorders>
          </w:tcPr>
          <w:p w14:paraId="7CE1D8B4" w14:textId="77777777" w:rsidR="00475D06" w:rsidRPr="00CD4846" w:rsidRDefault="00475D06" w:rsidP="0058540A">
            <w:pPr>
              <w:widowControl w:val="0"/>
              <w:autoSpaceDE w:val="0"/>
              <w:autoSpaceDN w:val="0"/>
              <w:adjustRightInd w:val="0"/>
              <w:spacing w:line="240" w:lineRule="auto"/>
              <w:rPr>
                <w:rFonts w:eastAsia="Times New Roman" w:cs="Times New Roman"/>
                <w:b/>
                <w:bCs/>
                <w:color w:val="5F6368"/>
                <w:kern w:val="2"/>
                <w:sz w:val="20"/>
                <w:szCs w:val="20"/>
                <w:shd w:val="clear" w:color="auto" w:fill="FFFFFF"/>
                <w:lang/>
              </w:rPr>
            </w:pPr>
            <w:r w:rsidRPr="00CD4846">
              <w:rPr>
                <w:rFonts w:eastAsia="Times New Roman" w:cs="Times New Roman"/>
                <w:kern w:val="2"/>
                <w:sz w:val="20"/>
                <w:szCs w:val="20"/>
                <w:lang/>
              </w:rPr>
              <w:t>PA-PA</w:t>
            </w:r>
            <w:r w:rsidRPr="00CD4846">
              <w:rPr>
                <w:rFonts w:eastAsia="Times New Roman" w:cs="Times New Roman"/>
                <w:b/>
                <w:bCs/>
                <w:i/>
                <w:color w:val="5F6368"/>
                <w:kern w:val="2"/>
                <w:sz w:val="20"/>
                <w:szCs w:val="20"/>
                <w:shd w:val="clear" w:color="auto" w:fill="FFFFFF"/>
                <w:lang/>
              </w:rPr>
              <w:t>²</w:t>
            </w:r>
            <w:r w:rsidRPr="00CD4846">
              <w:rPr>
                <w:rFonts w:cs="Times New Roman"/>
                <w:b/>
                <w:bCs/>
                <w:i/>
                <w:color w:val="5F6368"/>
                <w:kern w:val="2"/>
                <w:sz w:val="20"/>
                <w:szCs w:val="20"/>
                <w:shd w:val="clear" w:color="auto" w:fill="FFFFFF"/>
                <w:lang/>
              </w:rPr>
              <w:t xml:space="preserve"> </w:t>
            </w:r>
            <w:r w:rsidRPr="00CD4846">
              <w:rPr>
                <w:rFonts w:eastAsia="Times New Roman" w:cs="Times New Roman"/>
                <w:kern w:val="2"/>
                <w:sz w:val="20"/>
                <w:szCs w:val="20"/>
                <w:lang/>
              </w:rPr>
              <w:t xml:space="preserve">Joint Test </w:t>
            </w:r>
            <w:r w:rsidRPr="00CD4846">
              <w:rPr>
                <w:rFonts w:cs="Times New Roman"/>
                <w:kern w:val="2"/>
                <w:sz w:val="20"/>
                <w:szCs w:val="20"/>
                <w:lang/>
              </w:rPr>
              <w:t>p-value</w:t>
            </w:r>
          </w:p>
        </w:tc>
        <w:tc>
          <w:tcPr>
            <w:tcW w:w="1048" w:type="pct"/>
            <w:tcBorders>
              <w:top w:val="nil"/>
              <w:left w:val="nil"/>
              <w:bottom w:val="single" w:sz="4" w:space="0" w:color="auto"/>
              <w:right w:val="nil"/>
            </w:tcBorders>
          </w:tcPr>
          <w:p w14:paraId="7F435ABC" w14:textId="77777777" w:rsidR="00475D06" w:rsidRPr="00CD4846" w:rsidRDefault="00475D0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0.6850</w:t>
            </w:r>
          </w:p>
        </w:tc>
        <w:tc>
          <w:tcPr>
            <w:tcW w:w="1092" w:type="pct"/>
            <w:tcBorders>
              <w:top w:val="nil"/>
              <w:left w:val="nil"/>
              <w:bottom w:val="single" w:sz="4" w:space="0" w:color="auto"/>
              <w:right w:val="nil"/>
            </w:tcBorders>
          </w:tcPr>
          <w:p w14:paraId="55FCED7C" w14:textId="77777777" w:rsidR="00475D06" w:rsidRPr="00CD4846" w:rsidRDefault="00475D0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0.9163</w:t>
            </w:r>
          </w:p>
        </w:tc>
        <w:tc>
          <w:tcPr>
            <w:tcW w:w="1092" w:type="pct"/>
            <w:tcBorders>
              <w:top w:val="nil"/>
              <w:left w:val="nil"/>
              <w:bottom w:val="single" w:sz="4" w:space="0" w:color="auto"/>
              <w:right w:val="nil"/>
            </w:tcBorders>
          </w:tcPr>
          <w:p w14:paraId="632F8C61" w14:textId="77777777" w:rsidR="00475D06" w:rsidRPr="00CD4846" w:rsidRDefault="00475D0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0.6999</w:t>
            </w:r>
          </w:p>
        </w:tc>
      </w:tr>
    </w:tbl>
    <w:p w14:paraId="7756A68B" w14:textId="3E943C32" w:rsidR="00CD4846" w:rsidRPr="0058540A" w:rsidRDefault="00CD4846" w:rsidP="0058540A">
      <w:pPr>
        <w:spacing w:line="240" w:lineRule="auto"/>
        <w:rPr>
          <w:rFonts w:eastAsia="DengXian" w:cs="Times New Roman"/>
          <w:i/>
          <w:iCs/>
          <w:sz w:val="20"/>
          <w:szCs w:val="20"/>
          <w:lang/>
        </w:rPr>
      </w:pPr>
      <w:r w:rsidRPr="0058540A">
        <w:rPr>
          <w:rFonts w:cs="Times New Roman"/>
          <w:sz w:val="20"/>
          <w:szCs w:val="20"/>
          <w:lang/>
        </w:rPr>
        <w:t xml:space="preserve">Table </w:t>
      </w:r>
      <w:r w:rsidRPr="0058540A">
        <w:rPr>
          <w:rFonts w:cs="Times New Roman"/>
          <w:sz w:val="20"/>
          <w:szCs w:val="20"/>
          <w:lang/>
        </w:rPr>
        <w:t>A16</w:t>
      </w:r>
      <w:r w:rsidRPr="0058540A">
        <w:rPr>
          <w:rFonts w:cs="Times New Roman"/>
          <w:sz w:val="20"/>
          <w:szCs w:val="20"/>
          <w:lang/>
        </w:rPr>
        <w:t xml:space="preserve">: </w:t>
      </w:r>
      <w:r w:rsidRPr="0058540A">
        <w:rPr>
          <w:rFonts w:cs="Times New Roman"/>
          <w:sz w:val="20"/>
          <w:szCs w:val="20"/>
          <w:lang/>
        </w:rPr>
        <w:t>PPMLHDFE r</w:t>
      </w:r>
      <w:r w:rsidRPr="0058540A">
        <w:rPr>
          <w:rFonts w:cs="Times New Roman"/>
          <w:sz w:val="20"/>
          <w:szCs w:val="20"/>
          <w:lang/>
        </w:rPr>
        <w:t xml:space="preserve">egression results </w:t>
      </w:r>
      <w:r w:rsidRPr="0058540A">
        <w:rPr>
          <w:rFonts w:cs="Times New Roman"/>
          <w:sz w:val="20"/>
          <w:szCs w:val="20"/>
          <w:lang/>
        </w:rPr>
        <w:t xml:space="preserve">on establishment inter-state outward relocations under broad PADs (GAP 1-4) are presented above. Column names correspond to a specific NAICS sector. </w:t>
      </w:r>
      <w:r w:rsidR="002A78A3" w:rsidRPr="00C624DB">
        <w:rPr>
          <w:sz w:val="20"/>
          <w:szCs w:val="20"/>
          <w:lang/>
        </w:rPr>
        <w:t xml:space="preserve">Standard errors are </w:t>
      </w:r>
      <w:r w:rsidR="002A78A3">
        <w:rPr>
          <w:sz w:val="20"/>
          <w:szCs w:val="20"/>
          <w:lang/>
        </w:rPr>
        <w:t xml:space="preserve">in parentheses and are </w:t>
      </w:r>
      <w:r w:rsidR="002A78A3" w:rsidRPr="00C624DB">
        <w:rPr>
          <w:sz w:val="20"/>
          <w:szCs w:val="20"/>
          <w:lang/>
        </w:rPr>
        <w:t xml:space="preserve">clustered at the county level. </w:t>
      </w:r>
      <w:r w:rsidR="002A78A3" w:rsidRPr="002C0F11">
        <w:rPr>
          <w:sz w:val="20"/>
          <w:szCs w:val="20"/>
          <w:lang/>
        </w:rPr>
        <w:t>Statistically significant impacts are denoted by asterisks. These asterisks denote statistical significance at the following levels: ***p &lt; 0.01, **p &lt; 0.05, *p &lt; 0.1.</w:t>
      </w:r>
      <w:r w:rsidR="002A78A3">
        <w:rPr>
          <w:sz w:val="20"/>
          <w:szCs w:val="20"/>
          <w:lang/>
        </w:rPr>
        <w:t xml:space="preserve"> </w:t>
      </w:r>
      <w:r w:rsidRPr="0058540A">
        <w:rPr>
          <w:rFonts w:cs="Times New Roman"/>
          <w:sz w:val="20"/>
          <w:szCs w:val="20"/>
          <w:lang/>
        </w:rPr>
        <w:t>p-values of joint-tests on linear and quadratic PAD terms are shown in the last row.</w:t>
      </w:r>
    </w:p>
    <w:p w14:paraId="5CA6EA33" w14:textId="77777777" w:rsidR="00E7131D" w:rsidRDefault="00E7131D" w:rsidP="004C39A4">
      <w:pPr>
        <w:spacing w:line="240" w:lineRule="auto"/>
        <w:rPr>
          <w:rFonts w:ascii="DengXian" w:hAnsi="DengXian" w:cs="Times New Roman"/>
          <w:kern w:val="2"/>
          <w:sz w:val="22"/>
          <w:szCs w:val="22"/>
          <w:lang/>
        </w:rPr>
      </w:pPr>
      <w:r>
        <w:rPr>
          <w:rFonts w:ascii="DengXian" w:hAnsi="DengXian" w:cs="Times New Roman"/>
          <w:kern w:val="2"/>
          <w:sz w:val="22"/>
          <w:szCs w:val="22"/>
          <w:lang/>
        </w:rPr>
        <w:br w:type="page"/>
      </w:r>
    </w:p>
    <w:tbl>
      <w:tblPr>
        <w:tblpPr w:leftFromText="180" w:rightFromText="180" w:vertAnchor="text" w:horzAnchor="margin" w:tblpY="346"/>
        <w:tblW w:w="5000" w:type="pct"/>
        <w:tblLook w:val="04A0" w:firstRow="1" w:lastRow="0" w:firstColumn="1" w:lastColumn="0" w:noHBand="0" w:noVBand="1"/>
      </w:tblPr>
      <w:tblGrid>
        <w:gridCol w:w="2664"/>
        <w:gridCol w:w="1286"/>
        <w:gridCol w:w="1286"/>
        <w:gridCol w:w="1286"/>
        <w:gridCol w:w="1286"/>
        <w:gridCol w:w="1552"/>
      </w:tblGrid>
      <w:tr w:rsidR="00E7131D" w:rsidRPr="00CD4846" w14:paraId="51F63D75" w14:textId="77777777" w:rsidTr="00E7131D">
        <w:tc>
          <w:tcPr>
            <w:tcW w:w="1423" w:type="pct"/>
            <w:tcBorders>
              <w:top w:val="single" w:sz="4" w:space="0" w:color="auto"/>
              <w:left w:val="nil"/>
              <w:bottom w:val="single" w:sz="4" w:space="0" w:color="auto"/>
              <w:right w:val="nil"/>
            </w:tcBorders>
          </w:tcPr>
          <w:p w14:paraId="358A747B" w14:textId="1E691503" w:rsidR="00E7131D" w:rsidRPr="00CD4846" w:rsidRDefault="00E7131D" w:rsidP="0058540A">
            <w:pPr>
              <w:widowControl w:val="0"/>
              <w:autoSpaceDE w:val="0"/>
              <w:autoSpaceDN w:val="0"/>
              <w:adjustRightInd w:val="0"/>
              <w:spacing w:line="240" w:lineRule="auto"/>
              <w:rPr>
                <w:rFonts w:cs="Times New Roman"/>
                <w:b/>
                <w:bCs/>
                <w:kern w:val="2"/>
                <w:sz w:val="20"/>
                <w:szCs w:val="20"/>
                <w:lang/>
              </w:rPr>
            </w:pPr>
            <w:bookmarkStart w:id="264" w:name="_Toc186799421"/>
            <w:r w:rsidRPr="00CD4846">
              <w:rPr>
                <w:rFonts w:cs="Times New Roman"/>
                <w:b/>
                <w:bCs/>
                <w:kern w:val="2"/>
                <w:sz w:val="20"/>
                <w:szCs w:val="20"/>
                <w:lang/>
              </w:rPr>
              <w:lastRenderedPageBreak/>
              <w:t>Variable</w:t>
            </w:r>
          </w:p>
        </w:tc>
        <w:tc>
          <w:tcPr>
            <w:tcW w:w="687" w:type="pct"/>
            <w:tcBorders>
              <w:top w:val="single" w:sz="4" w:space="0" w:color="auto"/>
              <w:left w:val="nil"/>
              <w:bottom w:val="single" w:sz="4" w:space="0" w:color="auto"/>
              <w:right w:val="nil"/>
            </w:tcBorders>
          </w:tcPr>
          <w:p w14:paraId="1BA375D1" w14:textId="4057CC5C" w:rsidR="00E7131D" w:rsidRPr="00CD4846" w:rsidRDefault="00E7131D" w:rsidP="0058540A">
            <w:pPr>
              <w:widowControl w:val="0"/>
              <w:autoSpaceDE w:val="0"/>
              <w:autoSpaceDN w:val="0"/>
              <w:adjustRightInd w:val="0"/>
              <w:spacing w:line="240" w:lineRule="auto"/>
              <w:rPr>
                <w:rFonts w:cs="Times New Roman"/>
                <w:b/>
                <w:bCs/>
                <w:kern w:val="2"/>
                <w:sz w:val="20"/>
                <w:szCs w:val="20"/>
                <w:lang/>
              </w:rPr>
            </w:pPr>
            <w:r w:rsidRPr="00CD4846">
              <w:rPr>
                <w:rFonts w:cs="Times New Roman"/>
                <w:b/>
                <w:bCs/>
                <w:kern w:val="2"/>
                <w:sz w:val="20"/>
                <w:szCs w:val="20"/>
                <w:lang/>
              </w:rPr>
              <w:t>NAICS 11</w:t>
            </w:r>
          </w:p>
        </w:tc>
        <w:tc>
          <w:tcPr>
            <w:tcW w:w="687" w:type="pct"/>
            <w:tcBorders>
              <w:top w:val="single" w:sz="4" w:space="0" w:color="auto"/>
              <w:left w:val="nil"/>
              <w:bottom w:val="single" w:sz="4" w:space="0" w:color="auto"/>
              <w:right w:val="nil"/>
            </w:tcBorders>
          </w:tcPr>
          <w:p w14:paraId="68EB9250" w14:textId="0347CF13" w:rsidR="00E7131D" w:rsidRPr="00CD4846" w:rsidRDefault="00E7131D" w:rsidP="0058540A">
            <w:pPr>
              <w:widowControl w:val="0"/>
              <w:autoSpaceDE w:val="0"/>
              <w:autoSpaceDN w:val="0"/>
              <w:adjustRightInd w:val="0"/>
              <w:spacing w:line="240" w:lineRule="auto"/>
              <w:rPr>
                <w:rFonts w:cs="Times New Roman"/>
                <w:b/>
                <w:bCs/>
                <w:kern w:val="2"/>
                <w:sz w:val="20"/>
                <w:szCs w:val="20"/>
                <w:lang/>
              </w:rPr>
            </w:pPr>
            <w:r w:rsidRPr="00CD4846">
              <w:rPr>
                <w:rFonts w:cs="Times New Roman"/>
                <w:b/>
                <w:bCs/>
                <w:kern w:val="2"/>
                <w:sz w:val="20"/>
                <w:szCs w:val="20"/>
                <w:lang/>
              </w:rPr>
              <w:t>NAICS 21</w:t>
            </w:r>
          </w:p>
        </w:tc>
        <w:tc>
          <w:tcPr>
            <w:tcW w:w="687" w:type="pct"/>
            <w:tcBorders>
              <w:top w:val="single" w:sz="4" w:space="0" w:color="auto"/>
              <w:left w:val="nil"/>
              <w:bottom w:val="single" w:sz="4" w:space="0" w:color="auto"/>
              <w:right w:val="nil"/>
            </w:tcBorders>
          </w:tcPr>
          <w:p w14:paraId="3058FA87" w14:textId="74DFC3B9" w:rsidR="00E7131D" w:rsidRPr="00CD4846" w:rsidRDefault="00E7131D" w:rsidP="0058540A">
            <w:pPr>
              <w:widowControl w:val="0"/>
              <w:autoSpaceDE w:val="0"/>
              <w:autoSpaceDN w:val="0"/>
              <w:adjustRightInd w:val="0"/>
              <w:spacing w:line="240" w:lineRule="auto"/>
              <w:rPr>
                <w:rFonts w:cs="Times New Roman"/>
                <w:b/>
                <w:bCs/>
                <w:kern w:val="2"/>
                <w:sz w:val="20"/>
                <w:szCs w:val="20"/>
                <w:lang/>
              </w:rPr>
            </w:pPr>
            <w:r w:rsidRPr="00CD4846">
              <w:rPr>
                <w:rFonts w:cs="Times New Roman"/>
                <w:b/>
                <w:bCs/>
                <w:kern w:val="2"/>
                <w:sz w:val="20"/>
                <w:szCs w:val="20"/>
                <w:lang/>
              </w:rPr>
              <w:t>NAICS 22</w:t>
            </w:r>
          </w:p>
        </w:tc>
        <w:tc>
          <w:tcPr>
            <w:tcW w:w="687" w:type="pct"/>
            <w:tcBorders>
              <w:top w:val="single" w:sz="4" w:space="0" w:color="auto"/>
              <w:left w:val="nil"/>
              <w:bottom w:val="single" w:sz="4" w:space="0" w:color="auto"/>
              <w:right w:val="nil"/>
            </w:tcBorders>
          </w:tcPr>
          <w:p w14:paraId="608FE35C" w14:textId="47647669" w:rsidR="00E7131D" w:rsidRPr="00CD4846" w:rsidRDefault="00E7131D" w:rsidP="0058540A">
            <w:pPr>
              <w:widowControl w:val="0"/>
              <w:autoSpaceDE w:val="0"/>
              <w:autoSpaceDN w:val="0"/>
              <w:adjustRightInd w:val="0"/>
              <w:spacing w:line="240" w:lineRule="auto"/>
              <w:rPr>
                <w:rFonts w:cs="Times New Roman"/>
                <w:b/>
                <w:bCs/>
                <w:kern w:val="2"/>
                <w:sz w:val="20"/>
                <w:szCs w:val="20"/>
                <w:lang/>
              </w:rPr>
            </w:pPr>
            <w:r w:rsidRPr="00CD4846">
              <w:rPr>
                <w:rFonts w:cs="Times New Roman"/>
                <w:b/>
                <w:bCs/>
                <w:kern w:val="2"/>
                <w:sz w:val="20"/>
                <w:szCs w:val="20"/>
                <w:lang/>
              </w:rPr>
              <w:t>NAICS 23</w:t>
            </w:r>
          </w:p>
        </w:tc>
        <w:tc>
          <w:tcPr>
            <w:tcW w:w="829" w:type="pct"/>
            <w:tcBorders>
              <w:top w:val="single" w:sz="4" w:space="0" w:color="auto"/>
              <w:left w:val="nil"/>
              <w:bottom w:val="single" w:sz="4" w:space="0" w:color="auto"/>
              <w:right w:val="nil"/>
            </w:tcBorders>
          </w:tcPr>
          <w:p w14:paraId="0B1223DB" w14:textId="741F81C4" w:rsidR="00E7131D" w:rsidRPr="00CD4846" w:rsidRDefault="00E7131D" w:rsidP="0058540A">
            <w:pPr>
              <w:widowControl w:val="0"/>
              <w:autoSpaceDE w:val="0"/>
              <w:autoSpaceDN w:val="0"/>
              <w:adjustRightInd w:val="0"/>
              <w:spacing w:line="240" w:lineRule="auto"/>
              <w:rPr>
                <w:rFonts w:cs="Times New Roman"/>
                <w:b/>
                <w:bCs/>
                <w:kern w:val="2"/>
                <w:sz w:val="20"/>
                <w:szCs w:val="20"/>
                <w:lang/>
              </w:rPr>
            </w:pPr>
            <w:r w:rsidRPr="00CD4846">
              <w:rPr>
                <w:rFonts w:cs="Times New Roman"/>
                <w:b/>
                <w:bCs/>
                <w:kern w:val="2"/>
                <w:sz w:val="20"/>
                <w:szCs w:val="20"/>
                <w:lang/>
              </w:rPr>
              <w:t>NAICS 31-33</w:t>
            </w:r>
          </w:p>
        </w:tc>
      </w:tr>
      <w:tr w:rsidR="00E7131D" w:rsidRPr="00CD4846" w14:paraId="73E36A55" w14:textId="77777777" w:rsidTr="00E7131D">
        <w:tc>
          <w:tcPr>
            <w:tcW w:w="1423" w:type="pct"/>
            <w:tcBorders>
              <w:top w:val="single" w:sz="4" w:space="0" w:color="auto"/>
              <w:left w:val="nil"/>
              <w:bottom w:val="nil"/>
              <w:right w:val="nil"/>
            </w:tcBorders>
          </w:tcPr>
          <w:p w14:paraId="6EA0947B" w14:textId="77C2446B"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Broad PADs (t-1)</w:t>
            </w:r>
          </w:p>
        </w:tc>
        <w:tc>
          <w:tcPr>
            <w:tcW w:w="687" w:type="pct"/>
            <w:tcBorders>
              <w:top w:val="single" w:sz="4" w:space="0" w:color="auto"/>
              <w:left w:val="nil"/>
              <w:bottom w:val="nil"/>
              <w:right w:val="nil"/>
            </w:tcBorders>
          </w:tcPr>
          <w:p w14:paraId="216D30DD"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-1.991***</w:t>
            </w:r>
          </w:p>
        </w:tc>
        <w:tc>
          <w:tcPr>
            <w:tcW w:w="687" w:type="pct"/>
            <w:tcBorders>
              <w:top w:val="single" w:sz="4" w:space="0" w:color="auto"/>
              <w:left w:val="nil"/>
              <w:bottom w:val="nil"/>
              <w:right w:val="nil"/>
            </w:tcBorders>
          </w:tcPr>
          <w:p w14:paraId="74F863A0"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-1.091</w:t>
            </w:r>
          </w:p>
        </w:tc>
        <w:tc>
          <w:tcPr>
            <w:tcW w:w="687" w:type="pct"/>
            <w:tcBorders>
              <w:top w:val="single" w:sz="4" w:space="0" w:color="auto"/>
              <w:left w:val="nil"/>
              <w:bottom w:val="nil"/>
              <w:right w:val="nil"/>
            </w:tcBorders>
          </w:tcPr>
          <w:p w14:paraId="7812ED0E"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-2.827*</w:t>
            </w:r>
          </w:p>
        </w:tc>
        <w:tc>
          <w:tcPr>
            <w:tcW w:w="687" w:type="pct"/>
            <w:tcBorders>
              <w:top w:val="single" w:sz="4" w:space="0" w:color="auto"/>
              <w:left w:val="nil"/>
              <w:bottom w:val="nil"/>
              <w:right w:val="nil"/>
            </w:tcBorders>
          </w:tcPr>
          <w:p w14:paraId="091D1CB6"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-0.762</w:t>
            </w:r>
          </w:p>
        </w:tc>
        <w:tc>
          <w:tcPr>
            <w:tcW w:w="829" w:type="pct"/>
            <w:tcBorders>
              <w:top w:val="single" w:sz="4" w:space="0" w:color="auto"/>
              <w:left w:val="nil"/>
              <w:bottom w:val="nil"/>
              <w:right w:val="nil"/>
            </w:tcBorders>
          </w:tcPr>
          <w:p w14:paraId="3CE337E0"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2.149**</w:t>
            </w:r>
          </w:p>
        </w:tc>
      </w:tr>
      <w:tr w:rsidR="00E7131D" w:rsidRPr="00CD4846" w14:paraId="6207C9F6" w14:textId="77777777" w:rsidTr="00E7131D">
        <w:tc>
          <w:tcPr>
            <w:tcW w:w="1423" w:type="pct"/>
            <w:tcBorders>
              <w:top w:val="nil"/>
              <w:left w:val="nil"/>
              <w:bottom w:val="nil"/>
              <w:right w:val="nil"/>
            </w:tcBorders>
          </w:tcPr>
          <w:p w14:paraId="76733689" w14:textId="72C7C5C3" w:rsidR="00E7131D" w:rsidRPr="00CD4846" w:rsidRDefault="00E7131D" w:rsidP="0058540A">
            <w:pPr>
              <w:widowControl w:val="0"/>
              <w:autoSpaceDE w:val="0"/>
              <w:autoSpaceDN w:val="0"/>
              <w:adjustRightInd w:val="0"/>
              <w:spacing w:line="240" w:lineRule="auto"/>
              <w:rPr>
                <w:rFonts w:cs="Times New Roman"/>
                <w:kern w:val="2"/>
                <w:sz w:val="20"/>
                <w:szCs w:val="20"/>
                <w:lang/>
              </w:rPr>
            </w:pPr>
          </w:p>
        </w:tc>
        <w:tc>
          <w:tcPr>
            <w:tcW w:w="687" w:type="pct"/>
            <w:tcBorders>
              <w:top w:val="nil"/>
              <w:left w:val="nil"/>
              <w:bottom w:val="nil"/>
              <w:right w:val="nil"/>
            </w:tcBorders>
          </w:tcPr>
          <w:p w14:paraId="3D00291F"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(0.535)</w:t>
            </w:r>
          </w:p>
        </w:tc>
        <w:tc>
          <w:tcPr>
            <w:tcW w:w="687" w:type="pct"/>
            <w:tcBorders>
              <w:top w:val="nil"/>
              <w:left w:val="nil"/>
              <w:bottom w:val="nil"/>
              <w:right w:val="nil"/>
            </w:tcBorders>
          </w:tcPr>
          <w:p w14:paraId="4A364DC6"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(1.411)</w:t>
            </w:r>
          </w:p>
        </w:tc>
        <w:tc>
          <w:tcPr>
            <w:tcW w:w="687" w:type="pct"/>
            <w:tcBorders>
              <w:top w:val="nil"/>
              <w:left w:val="nil"/>
              <w:bottom w:val="nil"/>
              <w:right w:val="nil"/>
            </w:tcBorders>
          </w:tcPr>
          <w:p w14:paraId="205271A9"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(1.477)</w:t>
            </w:r>
          </w:p>
        </w:tc>
        <w:tc>
          <w:tcPr>
            <w:tcW w:w="687" w:type="pct"/>
            <w:tcBorders>
              <w:top w:val="nil"/>
              <w:left w:val="nil"/>
              <w:bottom w:val="nil"/>
              <w:right w:val="nil"/>
            </w:tcBorders>
          </w:tcPr>
          <w:p w14:paraId="15DF13E0"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(0.603)</w:t>
            </w:r>
          </w:p>
        </w:tc>
        <w:tc>
          <w:tcPr>
            <w:tcW w:w="829" w:type="pct"/>
            <w:tcBorders>
              <w:top w:val="nil"/>
              <w:left w:val="nil"/>
              <w:bottom w:val="nil"/>
              <w:right w:val="nil"/>
            </w:tcBorders>
          </w:tcPr>
          <w:p w14:paraId="2A0A23AF"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(1.015)</w:t>
            </w:r>
          </w:p>
        </w:tc>
      </w:tr>
      <w:tr w:rsidR="00E7131D" w:rsidRPr="00CD4846" w14:paraId="38AC7090" w14:textId="77777777" w:rsidTr="00E7131D">
        <w:tc>
          <w:tcPr>
            <w:tcW w:w="1423" w:type="pct"/>
            <w:tcBorders>
              <w:top w:val="nil"/>
              <w:left w:val="nil"/>
              <w:bottom w:val="nil"/>
              <w:right w:val="nil"/>
            </w:tcBorders>
          </w:tcPr>
          <w:p w14:paraId="5FDBD6F4" w14:textId="74FAC4A5"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Broad PADs Sq. (t-1)</w:t>
            </w:r>
          </w:p>
        </w:tc>
        <w:tc>
          <w:tcPr>
            <w:tcW w:w="687" w:type="pct"/>
            <w:tcBorders>
              <w:top w:val="nil"/>
              <w:left w:val="nil"/>
              <w:bottom w:val="nil"/>
              <w:right w:val="nil"/>
            </w:tcBorders>
          </w:tcPr>
          <w:p w14:paraId="0FD240C2"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2.196*</w:t>
            </w:r>
          </w:p>
        </w:tc>
        <w:tc>
          <w:tcPr>
            <w:tcW w:w="687" w:type="pct"/>
            <w:tcBorders>
              <w:top w:val="nil"/>
              <w:left w:val="nil"/>
              <w:bottom w:val="nil"/>
              <w:right w:val="nil"/>
            </w:tcBorders>
          </w:tcPr>
          <w:p w14:paraId="100B1E75"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6.922**</w:t>
            </w:r>
          </w:p>
        </w:tc>
        <w:tc>
          <w:tcPr>
            <w:tcW w:w="687" w:type="pct"/>
            <w:tcBorders>
              <w:top w:val="nil"/>
              <w:left w:val="nil"/>
              <w:bottom w:val="nil"/>
              <w:right w:val="nil"/>
            </w:tcBorders>
          </w:tcPr>
          <w:p w14:paraId="159C2907"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4.357</w:t>
            </w:r>
          </w:p>
        </w:tc>
        <w:tc>
          <w:tcPr>
            <w:tcW w:w="687" w:type="pct"/>
            <w:tcBorders>
              <w:top w:val="nil"/>
              <w:left w:val="nil"/>
              <w:bottom w:val="nil"/>
              <w:right w:val="nil"/>
            </w:tcBorders>
          </w:tcPr>
          <w:p w14:paraId="22DE9FB3"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-0.583</w:t>
            </w:r>
          </w:p>
        </w:tc>
        <w:tc>
          <w:tcPr>
            <w:tcW w:w="829" w:type="pct"/>
            <w:tcBorders>
              <w:top w:val="nil"/>
              <w:left w:val="nil"/>
              <w:bottom w:val="nil"/>
              <w:right w:val="nil"/>
            </w:tcBorders>
          </w:tcPr>
          <w:p w14:paraId="51A16BAB"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-2.788*</w:t>
            </w:r>
          </w:p>
        </w:tc>
      </w:tr>
      <w:tr w:rsidR="00E7131D" w:rsidRPr="00CD4846" w14:paraId="71D6B6C0" w14:textId="77777777" w:rsidTr="00E7131D">
        <w:tc>
          <w:tcPr>
            <w:tcW w:w="1423" w:type="pct"/>
            <w:tcBorders>
              <w:top w:val="nil"/>
              <w:left w:val="nil"/>
              <w:bottom w:val="nil"/>
              <w:right w:val="nil"/>
            </w:tcBorders>
          </w:tcPr>
          <w:p w14:paraId="4A671E4D" w14:textId="5356E30E" w:rsidR="00E7131D" w:rsidRPr="00CD4846" w:rsidRDefault="00E7131D" w:rsidP="0058540A">
            <w:pPr>
              <w:widowControl w:val="0"/>
              <w:autoSpaceDE w:val="0"/>
              <w:autoSpaceDN w:val="0"/>
              <w:adjustRightInd w:val="0"/>
              <w:spacing w:line="240" w:lineRule="auto"/>
              <w:rPr>
                <w:rFonts w:cs="Times New Roman"/>
                <w:kern w:val="2"/>
                <w:sz w:val="20"/>
                <w:szCs w:val="20"/>
                <w:lang/>
              </w:rPr>
            </w:pPr>
          </w:p>
        </w:tc>
        <w:tc>
          <w:tcPr>
            <w:tcW w:w="687" w:type="pct"/>
            <w:tcBorders>
              <w:top w:val="nil"/>
              <w:left w:val="nil"/>
              <w:bottom w:val="nil"/>
              <w:right w:val="nil"/>
            </w:tcBorders>
          </w:tcPr>
          <w:p w14:paraId="71024F94"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(1.178)</w:t>
            </w:r>
          </w:p>
        </w:tc>
        <w:tc>
          <w:tcPr>
            <w:tcW w:w="687" w:type="pct"/>
            <w:tcBorders>
              <w:top w:val="nil"/>
              <w:left w:val="nil"/>
              <w:bottom w:val="nil"/>
              <w:right w:val="nil"/>
            </w:tcBorders>
          </w:tcPr>
          <w:p w14:paraId="00B3D848"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(3.069)</w:t>
            </w:r>
          </w:p>
        </w:tc>
        <w:tc>
          <w:tcPr>
            <w:tcW w:w="687" w:type="pct"/>
            <w:tcBorders>
              <w:top w:val="nil"/>
              <w:left w:val="nil"/>
              <w:bottom w:val="nil"/>
              <w:right w:val="nil"/>
            </w:tcBorders>
          </w:tcPr>
          <w:p w14:paraId="0E7CEAD8"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(3.215)</w:t>
            </w:r>
          </w:p>
        </w:tc>
        <w:tc>
          <w:tcPr>
            <w:tcW w:w="687" w:type="pct"/>
            <w:tcBorders>
              <w:top w:val="nil"/>
              <w:left w:val="nil"/>
              <w:bottom w:val="nil"/>
              <w:right w:val="nil"/>
            </w:tcBorders>
          </w:tcPr>
          <w:p w14:paraId="694A2C25"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(1.040)</w:t>
            </w:r>
          </w:p>
        </w:tc>
        <w:tc>
          <w:tcPr>
            <w:tcW w:w="829" w:type="pct"/>
            <w:tcBorders>
              <w:top w:val="nil"/>
              <w:left w:val="nil"/>
              <w:bottom w:val="nil"/>
              <w:right w:val="nil"/>
            </w:tcBorders>
          </w:tcPr>
          <w:p w14:paraId="5D8C7E50"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(1.516)</w:t>
            </w:r>
          </w:p>
        </w:tc>
      </w:tr>
      <w:tr w:rsidR="00E7131D" w:rsidRPr="00CD4846" w14:paraId="4DFCA2BB" w14:textId="77777777" w:rsidTr="00E7131D">
        <w:tc>
          <w:tcPr>
            <w:tcW w:w="1423" w:type="pct"/>
            <w:tcBorders>
              <w:top w:val="nil"/>
              <w:left w:val="nil"/>
              <w:bottom w:val="nil"/>
              <w:right w:val="nil"/>
            </w:tcBorders>
          </w:tcPr>
          <w:p w14:paraId="552DCEF9" w14:textId="47516654"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Loc. Economies (t-1) (10ks)</w:t>
            </w:r>
          </w:p>
        </w:tc>
        <w:tc>
          <w:tcPr>
            <w:tcW w:w="687" w:type="pct"/>
            <w:tcBorders>
              <w:top w:val="nil"/>
              <w:left w:val="nil"/>
              <w:bottom w:val="nil"/>
              <w:right w:val="nil"/>
            </w:tcBorders>
          </w:tcPr>
          <w:p w14:paraId="5969FD99"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74.274***</w:t>
            </w:r>
          </w:p>
        </w:tc>
        <w:tc>
          <w:tcPr>
            <w:tcW w:w="687" w:type="pct"/>
            <w:tcBorders>
              <w:top w:val="nil"/>
              <w:left w:val="nil"/>
              <w:bottom w:val="nil"/>
              <w:right w:val="nil"/>
            </w:tcBorders>
          </w:tcPr>
          <w:p w14:paraId="5232B9F0"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48.585***</w:t>
            </w:r>
          </w:p>
        </w:tc>
        <w:tc>
          <w:tcPr>
            <w:tcW w:w="687" w:type="pct"/>
            <w:tcBorders>
              <w:top w:val="nil"/>
              <w:left w:val="nil"/>
              <w:bottom w:val="nil"/>
              <w:right w:val="nil"/>
            </w:tcBorders>
          </w:tcPr>
          <w:p w14:paraId="7F14007A"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259.295***</w:t>
            </w:r>
          </w:p>
        </w:tc>
        <w:tc>
          <w:tcPr>
            <w:tcW w:w="687" w:type="pct"/>
            <w:tcBorders>
              <w:top w:val="nil"/>
              <w:left w:val="nil"/>
              <w:bottom w:val="nil"/>
              <w:right w:val="nil"/>
            </w:tcBorders>
          </w:tcPr>
          <w:p w14:paraId="3D6355C9"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1.359***</w:t>
            </w:r>
          </w:p>
        </w:tc>
        <w:tc>
          <w:tcPr>
            <w:tcW w:w="829" w:type="pct"/>
            <w:tcBorders>
              <w:top w:val="nil"/>
              <w:left w:val="nil"/>
              <w:bottom w:val="nil"/>
              <w:right w:val="nil"/>
            </w:tcBorders>
          </w:tcPr>
          <w:p w14:paraId="26DED776"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1.866***</w:t>
            </w:r>
          </w:p>
        </w:tc>
      </w:tr>
      <w:tr w:rsidR="00E7131D" w:rsidRPr="00CD4846" w14:paraId="1A6F8209" w14:textId="77777777" w:rsidTr="00E7131D">
        <w:tc>
          <w:tcPr>
            <w:tcW w:w="1423" w:type="pct"/>
            <w:tcBorders>
              <w:top w:val="nil"/>
              <w:left w:val="nil"/>
              <w:bottom w:val="nil"/>
              <w:right w:val="nil"/>
            </w:tcBorders>
          </w:tcPr>
          <w:p w14:paraId="6FFBCA1B" w14:textId="18CF80FB" w:rsidR="00E7131D" w:rsidRPr="00CD4846" w:rsidRDefault="00E7131D" w:rsidP="0058540A">
            <w:pPr>
              <w:widowControl w:val="0"/>
              <w:autoSpaceDE w:val="0"/>
              <w:autoSpaceDN w:val="0"/>
              <w:adjustRightInd w:val="0"/>
              <w:spacing w:line="240" w:lineRule="auto"/>
              <w:rPr>
                <w:rFonts w:cs="Times New Roman"/>
                <w:kern w:val="2"/>
                <w:sz w:val="20"/>
                <w:szCs w:val="20"/>
                <w:lang/>
              </w:rPr>
            </w:pPr>
          </w:p>
        </w:tc>
        <w:tc>
          <w:tcPr>
            <w:tcW w:w="687" w:type="pct"/>
            <w:tcBorders>
              <w:top w:val="nil"/>
              <w:left w:val="nil"/>
              <w:bottom w:val="nil"/>
              <w:right w:val="nil"/>
            </w:tcBorders>
          </w:tcPr>
          <w:p w14:paraId="29855669"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(9.476)</w:t>
            </w:r>
          </w:p>
        </w:tc>
        <w:tc>
          <w:tcPr>
            <w:tcW w:w="687" w:type="pct"/>
            <w:tcBorders>
              <w:top w:val="nil"/>
              <w:left w:val="nil"/>
              <w:bottom w:val="nil"/>
              <w:right w:val="nil"/>
            </w:tcBorders>
          </w:tcPr>
          <w:p w14:paraId="7B50C37F"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(8.255)</w:t>
            </w:r>
          </w:p>
        </w:tc>
        <w:tc>
          <w:tcPr>
            <w:tcW w:w="687" w:type="pct"/>
            <w:tcBorders>
              <w:top w:val="nil"/>
              <w:left w:val="nil"/>
              <w:bottom w:val="nil"/>
              <w:right w:val="nil"/>
            </w:tcBorders>
          </w:tcPr>
          <w:p w14:paraId="6468D8AB"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(44.504)</w:t>
            </w:r>
          </w:p>
        </w:tc>
        <w:tc>
          <w:tcPr>
            <w:tcW w:w="687" w:type="pct"/>
            <w:tcBorders>
              <w:top w:val="nil"/>
              <w:left w:val="nil"/>
              <w:bottom w:val="nil"/>
              <w:right w:val="nil"/>
            </w:tcBorders>
          </w:tcPr>
          <w:p w14:paraId="254D09F0"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(0.299)</w:t>
            </w:r>
          </w:p>
        </w:tc>
        <w:tc>
          <w:tcPr>
            <w:tcW w:w="829" w:type="pct"/>
            <w:tcBorders>
              <w:top w:val="nil"/>
              <w:left w:val="nil"/>
              <w:bottom w:val="nil"/>
              <w:right w:val="nil"/>
            </w:tcBorders>
          </w:tcPr>
          <w:p w14:paraId="178312A8"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(0.610)</w:t>
            </w:r>
          </w:p>
        </w:tc>
      </w:tr>
      <w:tr w:rsidR="00E7131D" w:rsidRPr="00CD4846" w14:paraId="0B2C21EE" w14:textId="77777777" w:rsidTr="00E7131D">
        <w:tc>
          <w:tcPr>
            <w:tcW w:w="1423" w:type="pct"/>
            <w:tcBorders>
              <w:top w:val="nil"/>
              <w:left w:val="nil"/>
              <w:bottom w:val="nil"/>
              <w:right w:val="nil"/>
            </w:tcBorders>
          </w:tcPr>
          <w:p w14:paraId="42DC664A" w14:textId="6B93D634"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Median HH Income (100ks)</w:t>
            </w:r>
          </w:p>
        </w:tc>
        <w:tc>
          <w:tcPr>
            <w:tcW w:w="687" w:type="pct"/>
            <w:tcBorders>
              <w:top w:val="nil"/>
              <w:left w:val="nil"/>
              <w:bottom w:val="nil"/>
              <w:right w:val="nil"/>
            </w:tcBorders>
          </w:tcPr>
          <w:p w14:paraId="1C4D089D"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-0.057</w:t>
            </w:r>
          </w:p>
        </w:tc>
        <w:tc>
          <w:tcPr>
            <w:tcW w:w="687" w:type="pct"/>
            <w:tcBorders>
              <w:top w:val="nil"/>
              <w:left w:val="nil"/>
              <w:bottom w:val="nil"/>
              <w:right w:val="nil"/>
            </w:tcBorders>
          </w:tcPr>
          <w:p w14:paraId="52503FCF"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-2.377**</w:t>
            </w:r>
          </w:p>
        </w:tc>
        <w:tc>
          <w:tcPr>
            <w:tcW w:w="687" w:type="pct"/>
            <w:tcBorders>
              <w:top w:val="nil"/>
              <w:left w:val="nil"/>
              <w:bottom w:val="nil"/>
              <w:right w:val="nil"/>
            </w:tcBorders>
          </w:tcPr>
          <w:p w14:paraId="6BACBAB1"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0.391</w:t>
            </w:r>
          </w:p>
        </w:tc>
        <w:tc>
          <w:tcPr>
            <w:tcW w:w="687" w:type="pct"/>
            <w:tcBorders>
              <w:top w:val="nil"/>
              <w:left w:val="nil"/>
              <w:bottom w:val="nil"/>
              <w:right w:val="nil"/>
            </w:tcBorders>
          </w:tcPr>
          <w:p w14:paraId="5C8317FA"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-0.216</w:t>
            </w:r>
          </w:p>
        </w:tc>
        <w:tc>
          <w:tcPr>
            <w:tcW w:w="829" w:type="pct"/>
            <w:tcBorders>
              <w:top w:val="nil"/>
              <w:left w:val="nil"/>
              <w:bottom w:val="nil"/>
              <w:right w:val="nil"/>
            </w:tcBorders>
          </w:tcPr>
          <w:p w14:paraId="2C3BBF71"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-0.338*</w:t>
            </w:r>
          </w:p>
        </w:tc>
      </w:tr>
      <w:tr w:rsidR="00E7131D" w:rsidRPr="00CD4846" w14:paraId="5CF64C56" w14:textId="77777777" w:rsidTr="00E7131D">
        <w:tc>
          <w:tcPr>
            <w:tcW w:w="1423" w:type="pct"/>
            <w:tcBorders>
              <w:top w:val="nil"/>
              <w:left w:val="nil"/>
              <w:bottom w:val="nil"/>
              <w:right w:val="nil"/>
            </w:tcBorders>
          </w:tcPr>
          <w:p w14:paraId="371E4CB4" w14:textId="218D6B80" w:rsidR="00E7131D" w:rsidRPr="00CD4846" w:rsidRDefault="00E7131D" w:rsidP="0058540A">
            <w:pPr>
              <w:widowControl w:val="0"/>
              <w:autoSpaceDE w:val="0"/>
              <w:autoSpaceDN w:val="0"/>
              <w:adjustRightInd w:val="0"/>
              <w:spacing w:line="240" w:lineRule="auto"/>
              <w:rPr>
                <w:rFonts w:cs="Times New Roman"/>
                <w:kern w:val="2"/>
                <w:sz w:val="20"/>
                <w:szCs w:val="20"/>
                <w:lang/>
              </w:rPr>
            </w:pPr>
          </w:p>
        </w:tc>
        <w:tc>
          <w:tcPr>
            <w:tcW w:w="687" w:type="pct"/>
            <w:tcBorders>
              <w:top w:val="nil"/>
              <w:left w:val="nil"/>
              <w:bottom w:val="nil"/>
              <w:right w:val="nil"/>
            </w:tcBorders>
          </w:tcPr>
          <w:p w14:paraId="2071536F"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(0.247)</w:t>
            </w:r>
          </w:p>
        </w:tc>
        <w:tc>
          <w:tcPr>
            <w:tcW w:w="687" w:type="pct"/>
            <w:tcBorders>
              <w:top w:val="nil"/>
              <w:left w:val="nil"/>
              <w:bottom w:val="nil"/>
              <w:right w:val="nil"/>
            </w:tcBorders>
          </w:tcPr>
          <w:p w14:paraId="369A8C16"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(0.982)</w:t>
            </w:r>
          </w:p>
        </w:tc>
        <w:tc>
          <w:tcPr>
            <w:tcW w:w="687" w:type="pct"/>
            <w:tcBorders>
              <w:top w:val="nil"/>
              <w:left w:val="nil"/>
              <w:bottom w:val="nil"/>
              <w:right w:val="nil"/>
            </w:tcBorders>
          </w:tcPr>
          <w:p w14:paraId="61FCFBC3"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(0.421)</w:t>
            </w:r>
          </w:p>
        </w:tc>
        <w:tc>
          <w:tcPr>
            <w:tcW w:w="687" w:type="pct"/>
            <w:tcBorders>
              <w:top w:val="nil"/>
              <w:left w:val="nil"/>
              <w:bottom w:val="nil"/>
              <w:right w:val="nil"/>
            </w:tcBorders>
          </w:tcPr>
          <w:p w14:paraId="41534487"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(0.176)</w:t>
            </w:r>
          </w:p>
        </w:tc>
        <w:tc>
          <w:tcPr>
            <w:tcW w:w="829" w:type="pct"/>
            <w:tcBorders>
              <w:top w:val="nil"/>
              <w:left w:val="nil"/>
              <w:bottom w:val="nil"/>
              <w:right w:val="nil"/>
            </w:tcBorders>
          </w:tcPr>
          <w:p w14:paraId="3278BCF8"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(0.173)</w:t>
            </w:r>
          </w:p>
        </w:tc>
      </w:tr>
      <w:tr w:rsidR="00E7131D" w:rsidRPr="00CD4846" w14:paraId="2EFFE813" w14:textId="77777777" w:rsidTr="00E7131D">
        <w:tc>
          <w:tcPr>
            <w:tcW w:w="1423" w:type="pct"/>
            <w:tcBorders>
              <w:top w:val="nil"/>
              <w:left w:val="nil"/>
              <w:bottom w:val="nil"/>
              <w:right w:val="nil"/>
            </w:tcBorders>
          </w:tcPr>
          <w:p w14:paraId="6FDB5BB3" w14:textId="4961C279"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Housing Price Index (100s)</w:t>
            </w:r>
          </w:p>
        </w:tc>
        <w:tc>
          <w:tcPr>
            <w:tcW w:w="687" w:type="pct"/>
            <w:tcBorders>
              <w:top w:val="nil"/>
              <w:left w:val="nil"/>
              <w:bottom w:val="nil"/>
              <w:right w:val="nil"/>
            </w:tcBorders>
          </w:tcPr>
          <w:p w14:paraId="4D59E7C6"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-0.021</w:t>
            </w:r>
          </w:p>
        </w:tc>
        <w:tc>
          <w:tcPr>
            <w:tcW w:w="687" w:type="pct"/>
            <w:tcBorders>
              <w:top w:val="nil"/>
              <w:left w:val="nil"/>
              <w:bottom w:val="nil"/>
              <w:right w:val="nil"/>
            </w:tcBorders>
          </w:tcPr>
          <w:p w14:paraId="0D1D799D"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0.024</w:t>
            </w:r>
          </w:p>
        </w:tc>
        <w:tc>
          <w:tcPr>
            <w:tcW w:w="687" w:type="pct"/>
            <w:tcBorders>
              <w:top w:val="nil"/>
              <w:left w:val="nil"/>
              <w:bottom w:val="nil"/>
              <w:right w:val="nil"/>
            </w:tcBorders>
          </w:tcPr>
          <w:p w14:paraId="3ECF37FA"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-0.085***</w:t>
            </w:r>
          </w:p>
        </w:tc>
        <w:tc>
          <w:tcPr>
            <w:tcW w:w="687" w:type="pct"/>
            <w:tcBorders>
              <w:top w:val="nil"/>
              <w:left w:val="nil"/>
              <w:bottom w:val="nil"/>
              <w:right w:val="nil"/>
            </w:tcBorders>
          </w:tcPr>
          <w:p w14:paraId="2EA357A6"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0.043**</w:t>
            </w:r>
          </w:p>
        </w:tc>
        <w:tc>
          <w:tcPr>
            <w:tcW w:w="829" w:type="pct"/>
            <w:tcBorders>
              <w:top w:val="nil"/>
              <w:left w:val="nil"/>
              <w:bottom w:val="nil"/>
              <w:right w:val="nil"/>
            </w:tcBorders>
          </w:tcPr>
          <w:p w14:paraId="4B664F60"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0.046***</w:t>
            </w:r>
          </w:p>
        </w:tc>
      </w:tr>
      <w:tr w:rsidR="00E7131D" w:rsidRPr="00CD4846" w14:paraId="72296A42" w14:textId="77777777" w:rsidTr="00E7131D">
        <w:tc>
          <w:tcPr>
            <w:tcW w:w="1423" w:type="pct"/>
            <w:tcBorders>
              <w:top w:val="nil"/>
              <w:left w:val="nil"/>
              <w:bottom w:val="nil"/>
              <w:right w:val="nil"/>
            </w:tcBorders>
          </w:tcPr>
          <w:p w14:paraId="2A76DE58" w14:textId="466E85E8" w:rsidR="00E7131D" w:rsidRPr="00CD4846" w:rsidRDefault="00E7131D" w:rsidP="0058540A">
            <w:pPr>
              <w:widowControl w:val="0"/>
              <w:autoSpaceDE w:val="0"/>
              <w:autoSpaceDN w:val="0"/>
              <w:adjustRightInd w:val="0"/>
              <w:spacing w:line="240" w:lineRule="auto"/>
              <w:rPr>
                <w:rFonts w:cs="Times New Roman"/>
                <w:kern w:val="2"/>
                <w:sz w:val="20"/>
                <w:szCs w:val="20"/>
                <w:lang/>
              </w:rPr>
            </w:pPr>
          </w:p>
        </w:tc>
        <w:tc>
          <w:tcPr>
            <w:tcW w:w="687" w:type="pct"/>
            <w:tcBorders>
              <w:top w:val="nil"/>
              <w:left w:val="nil"/>
              <w:bottom w:val="nil"/>
              <w:right w:val="nil"/>
            </w:tcBorders>
          </w:tcPr>
          <w:p w14:paraId="2D3CADB6"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(0.020)</w:t>
            </w:r>
          </w:p>
        </w:tc>
        <w:tc>
          <w:tcPr>
            <w:tcW w:w="687" w:type="pct"/>
            <w:tcBorders>
              <w:top w:val="nil"/>
              <w:left w:val="nil"/>
              <w:bottom w:val="nil"/>
              <w:right w:val="nil"/>
            </w:tcBorders>
          </w:tcPr>
          <w:p w14:paraId="0BE0ED7F"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(0.052)</w:t>
            </w:r>
          </w:p>
        </w:tc>
        <w:tc>
          <w:tcPr>
            <w:tcW w:w="687" w:type="pct"/>
            <w:tcBorders>
              <w:top w:val="nil"/>
              <w:left w:val="nil"/>
              <w:bottom w:val="nil"/>
              <w:right w:val="nil"/>
            </w:tcBorders>
          </w:tcPr>
          <w:p w14:paraId="4F03D476"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(0.027)</w:t>
            </w:r>
          </w:p>
        </w:tc>
        <w:tc>
          <w:tcPr>
            <w:tcW w:w="687" w:type="pct"/>
            <w:tcBorders>
              <w:top w:val="nil"/>
              <w:left w:val="nil"/>
              <w:bottom w:val="nil"/>
              <w:right w:val="nil"/>
            </w:tcBorders>
          </w:tcPr>
          <w:p w14:paraId="60FA9CF7"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(0.018)</w:t>
            </w:r>
          </w:p>
        </w:tc>
        <w:tc>
          <w:tcPr>
            <w:tcW w:w="829" w:type="pct"/>
            <w:tcBorders>
              <w:top w:val="nil"/>
              <w:left w:val="nil"/>
              <w:bottom w:val="nil"/>
              <w:right w:val="nil"/>
            </w:tcBorders>
          </w:tcPr>
          <w:p w14:paraId="0964915E"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(0.013)</w:t>
            </w:r>
          </w:p>
        </w:tc>
      </w:tr>
      <w:tr w:rsidR="00E7131D" w:rsidRPr="00CD4846" w14:paraId="5A3E1720" w14:textId="77777777" w:rsidTr="00E7131D">
        <w:tc>
          <w:tcPr>
            <w:tcW w:w="1423" w:type="pct"/>
            <w:tcBorders>
              <w:top w:val="nil"/>
              <w:left w:val="nil"/>
              <w:bottom w:val="nil"/>
              <w:right w:val="nil"/>
            </w:tcBorders>
          </w:tcPr>
          <w:p w14:paraId="39DE5F23" w14:textId="1913E8FB"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Poverty rate (100s)</w:t>
            </w:r>
          </w:p>
        </w:tc>
        <w:tc>
          <w:tcPr>
            <w:tcW w:w="687" w:type="pct"/>
            <w:tcBorders>
              <w:top w:val="nil"/>
              <w:left w:val="nil"/>
              <w:bottom w:val="nil"/>
              <w:right w:val="nil"/>
            </w:tcBorders>
          </w:tcPr>
          <w:p w14:paraId="22F4909E"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0.008</w:t>
            </w:r>
          </w:p>
        </w:tc>
        <w:tc>
          <w:tcPr>
            <w:tcW w:w="687" w:type="pct"/>
            <w:tcBorders>
              <w:top w:val="nil"/>
              <w:left w:val="nil"/>
              <w:bottom w:val="nil"/>
              <w:right w:val="nil"/>
            </w:tcBorders>
          </w:tcPr>
          <w:p w14:paraId="1B5CBB24"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-0.645</w:t>
            </w:r>
          </w:p>
        </w:tc>
        <w:tc>
          <w:tcPr>
            <w:tcW w:w="687" w:type="pct"/>
            <w:tcBorders>
              <w:top w:val="nil"/>
              <w:left w:val="nil"/>
              <w:bottom w:val="nil"/>
              <w:right w:val="nil"/>
            </w:tcBorders>
          </w:tcPr>
          <w:p w14:paraId="4F842154"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0.177</w:t>
            </w:r>
          </w:p>
        </w:tc>
        <w:tc>
          <w:tcPr>
            <w:tcW w:w="687" w:type="pct"/>
            <w:tcBorders>
              <w:top w:val="nil"/>
              <w:left w:val="nil"/>
              <w:bottom w:val="nil"/>
              <w:right w:val="nil"/>
            </w:tcBorders>
          </w:tcPr>
          <w:p w14:paraId="1AFF77C6"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-0.387</w:t>
            </w:r>
          </w:p>
        </w:tc>
        <w:tc>
          <w:tcPr>
            <w:tcW w:w="829" w:type="pct"/>
            <w:tcBorders>
              <w:top w:val="nil"/>
              <w:left w:val="nil"/>
              <w:bottom w:val="nil"/>
              <w:right w:val="nil"/>
            </w:tcBorders>
          </w:tcPr>
          <w:p w14:paraId="55A29BC1"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-0.222</w:t>
            </w:r>
          </w:p>
        </w:tc>
      </w:tr>
      <w:tr w:rsidR="00E7131D" w:rsidRPr="00CD4846" w14:paraId="7845D693" w14:textId="77777777" w:rsidTr="00E7131D">
        <w:tc>
          <w:tcPr>
            <w:tcW w:w="1423" w:type="pct"/>
            <w:tcBorders>
              <w:top w:val="nil"/>
              <w:left w:val="nil"/>
              <w:bottom w:val="nil"/>
              <w:right w:val="nil"/>
            </w:tcBorders>
          </w:tcPr>
          <w:p w14:paraId="1B0A0291" w14:textId="2BDD948A" w:rsidR="00E7131D" w:rsidRPr="00CD4846" w:rsidRDefault="00E7131D" w:rsidP="0058540A">
            <w:pPr>
              <w:widowControl w:val="0"/>
              <w:autoSpaceDE w:val="0"/>
              <w:autoSpaceDN w:val="0"/>
              <w:adjustRightInd w:val="0"/>
              <w:spacing w:line="240" w:lineRule="auto"/>
              <w:rPr>
                <w:rFonts w:cs="Times New Roman"/>
                <w:kern w:val="2"/>
                <w:sz w:val="20"/>
                <w:szCs w:val="20"/>
                <w:lang/>
              </w:rPr>
            </w:pPr>
          </w:p>
        </w:tc>
        <w:tc>
          <w:tcPr>
            <w:tcW w:w="687" w:type="pct"/>
            <w:tcBorders>
              <w:top w:val="nil"/>
              <w:left w:val="nil"/>
              <w:bottom w:val="nil"/>
              <w:right w:val="nil"/>
            </w:tcBorders>
          </w:tcPr>
          <w:p w14:paraId="6A112347"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(0.387)</w:t>
            </w:r>
          </w:p>
        </w:tc>
        <w:tc>
          <w:tcPr>
            <w:tcW w:w="687" w:type="pct"/>
            <w:tcBorders>
              <w:top w:val="nil"/>
              <w:left w:val="nil"/>
              <w:bottom w:val="nil"/>
              <w:right w:val="nil"/>
            </w:tcBorders>
          </w:tcPr>
          <w:p w14:paraId="2E835A3F"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(1.139)</w:t>
            </w:r>
          </w:p>
        </w:tc>
        <w:tc>
          <w:tcPr>
            <w:tcW w:w="687" w:type="pct"/>
            <w:tcBorders>
              <w:top w:val="nil"/>
              <w:left w:val="nil"/>
              <w:bottom w:val="nil"/>
              <w:right w:val="nil"/>
            </w:tcBorders>
          </w:tcPr>
          <w:p w14:paraId="0029FB9B"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(0.672)</w:t>
            </w:r>
          </w:p>
        </w:tc>
        <w:tc>
          <w:tcPr>
            <w:tcW w:w="687" w:type="pct"/>
            <w:tcBorders>
              <w:top w:val="nil"/>
              <w:left w:val="nil"/>
              <w:bottom w:val="nil"/>
              <w:right w:val="nil"/>
            </w:tcBorders>
          </w:tcPr>
          <w:p w14:paraId="65A61F2E"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(0.364)</w:t>
            </w:r>
          </w:p>
        </w:tc>
        <w:tc>
          <w:tcPr>
            <w:tcW w:w="829" w:type="pct"/>
            <w:tcBorders>
              <w:top w:val="nil"/>
              <w:left w:val="nil"/>
              <w:bottom w:val="nil"/>
              <w:right w:val="nil"/>
            </w:tcBorders>
          </w:tcPr>
          <w:p w14:paraId="3107188E"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(0.259)</w:t>
            </w:r>
          </w:p>
        </w:tc>
      </w:tr>
      <w:tr w:rsidR="00E7131D" w:rsidRPr="00CD4846" w14:paraId="4CEFFB45" w14:textId="77777777" w:rsidTr="00E7131D">
        <w:tc>
          <w:tcPr>
            <w:tcW w:w="1423" w:type="pct"/>
            <w:tcBorders>
              <w:top w:val="nil"/>
              <w:left w:val="nil"/>
              <w:bottom w:val="nil"/>
              <w:right w:val="nil"/>
            </w:tcBorders>
          </w:tcPr>
          <w:p w14:paraId="2A45C12F" w14:textId="6E98442D"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Avg annual wages (100k)</w:t>
            </w:r>
          </w:p>
        </w:tc>
        <w:tc>
          <w:tcPr>
            <w:tcW w:w="687" w:type="pct"/>
            <w:tcBorders>
              <w:top w:val="nil"/>
              <w:left w:val="nil"/>
              <w:bottom w:val="nil"/>
              <w:right w:val="nil"/>
            </w:tcBorders>
          </w:tcPr>
          <w:p w14:paraId="5111049C"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-0.012</w:t>
            </w:r>
          </w:p>
        </w:tc>
        <w:tc>
          <w:tcPr>
            <w:tcW w:w="687" w:type="pct"/>
            <w:tcBorders>
              <w:top w:val="nil"/>
              <w:left w:val="nil"/>
              <w:bottom w:val="nil"/>
              <w:right w:val="nil"/>
            </w:tcBorders>
          </w:tcPr>
          <w:p w14:paraId="14EABB07"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0.005</w:t>
            </w:r>
          </w:p>
        </w:tc>
        <w:tc>
          <w:tcPr>
            <w:tcW w:w="687" w:type="pct"/>
            <w:tcBorders>
              <w:top w:val="nil"/>
              <w:left w:val="nil"/>
              <w:bottom w:val="nil"/>
              <w:right w:val="nil"/>
            </w:tcBorders>
          </w:tcPr>
          <w:p w14:paraId="0C15B3AB"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0.014</w:t>
            </w:r>
          </w:p>
        </w:tc>
        <w:tc>
          <w:tcPr>
            <w:tcW w:w="687" w:type="pct"/>
            <w:tcBorders>
              <w:top w:val="nil"/>
              <w:left w:val="nil"/>
              <w:bottom w:val="nil"/>
              <w:right w:val="nil"/>
            </w:tcBorders>
          </w:tcPr>
          <w:p w14:paraId="379A5C79"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0.006</w:t>
            </w:r>
          </w:p>
        </w:tc>
        <w:tc>
          <w:tcPr>
            <w:tcW w:w="829" w:type="pct"/>
            <w:tcBorders>
              <w:top w:val="nil"/>
              <w:left w:val="nil"/>
              <w:bottom w:val="nil"/>
              <w:right w:val="nil"/>
            </w:tcBorders>
          </w:tcPr>
          <w:p w14:paraId="37DA4E06"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-0.021**</w:t>
            </w:r>
          </w:p>
        </w:tc>
      </w:tr>
      <w:tr w:rsidR="00E7131D" w:rsidRPr="00CD4846" w14:paraId="63116144" w14:textId="77777777" w:rsidTr="00E7131D">
        <w:tc>
          <w:tcPr>
            <w:tcW w:w="1423" w:type="pct"/>
            <w:tcBorders>
              <w:top w:val="nil"/>
              <w:left w:val="nil"/>
              <w:bottom w:val="nil"/>
              <w:right w:val="nil"/>
            </w:tcBorders>
          </w:tcPr>
          <w:p w14:paraId="2D875DA9" w14:textId="627C6E94" w:rsidR="00E7131D" w:rsidRPr="00CD4846" w:rsidRDefault="00E7131D" w:rsidP="0058540A">
            <w:pPr>
              <w:widowControl w:val="0"/>
              <w:autoSpaceDE w:val="0"/>
              <w:autoSpaceDN w:val="0"/>
              <w:adjustRightInd w:val="0"/>
              <w:spacing w:line="240" w:lineRule="auto"/>
              <w:rPr>
                <w:rFonts w:cs="Times New Roman"/>
                <w:kern w:val="2"/>
                <w:sz w:val="20"/>
                <w:szCs w:val="20"/>
                <w:lang/>
              </w:rPr>
            </w:pPr>
          </w:p>
        </w:tc>
        <w:tc>
          <w:tcPr>
            <w:tcW w:w="687" w:type="pct"/>
            <w:tcBorders>
              <w:top w:val="nil"/>
              <w:left w:val="nil"/>
              <w:bottom w:val="nil"/>
              <w:right w:val="nil"/>
            </w:tcBorders>
          </w:tcPr>
          <w:p w14:paraId="3D20DCD5"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(0.013)</w:t>
            </w:r>
          </w:p>
        </w:tc>
        <w:tc>
          <w:tcPr>
            <w:tcW w:w="687" w:type="pct"/>
            <w:tcBorders>
              <w:top w:val="nil"/>
              <w:left w:val="nil"/>
              <w:bottom w:val="nil"/>
              <w:right w:val="nil"/>
            </w:tcBorders>
          </w:tcPr>
          <w:p w14:paraId="30C4B950"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(0.016)</w:t>
            </w:r>
          </w:p>
        </w:tc>
        <w:tc>
          <w:tcPr>
            <w:tcW w:w="687" w:type="pct"/>
            <w:tcBorders>
              <w:top w:val="nil"/>
              <w:left w:val="nil"/>
              <w:bottom w:val="nil"/>
              <w:right w:val="nil"/>
            </w:tcBorders>
          </w:tcPr>
          <w:p w14:paraId="0605F50D"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(0.009)</w:t>
            </w:r>
          </w:p>
        </w:tc>
        <w:tc>
          <w:tcPr>
            <w:tcW w:w="687" w:type="pct"/>
            <w:tcBorders>
              <w:top w:val="nil"/>
              <w:left w:val="nil"/>
              <w:bottom w:val="nil"/>
              <w:right w:val="nil"/>
            </w:tcBorders>
          </w:tcPr>
          <w:p w14:paraId="2D96B609"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(0.011)</w:t>
            </w:r>
          </w:p>
        </w:tc>
        <w:tc>
          <w:tcPr>
            <w:tcW w:w="829" w:type="pct"/>
            <w:tcBorders>
              <w:top w:val="nil"/>
              <w:left w:val="nil"/>
              <w:bottom w:val="nil"/>
              <w:right w:val="nil"/>
            </w:tcBorders>
          </w:tcPr>
          <w:p w14:paraId="09D24799"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(0.009)</w:t>
            </w:r>
          </w:p>
        </w:tc>
      </w:tr>
      <w:tr w:rsidR="00E7131D" w:rsidRPr="00CD4846" w14:paraId="106566B6" w14:textId="77777777" w:rsidTr="00E7131D">
        <w:tc>
          <w:tcPr>
            <w:tcW w:w="1423" w:type="pct"/>
            <w:tcBorders>
              <w:top w:val="nil"/>
              <w:left w:val="nil"/>
              <w:bottom w:val="nil"/>
              <w:right w:val="nil"/>
            </w:tcBorders>
          </w:tcPr>
          <w:p w14:paraId="2CCD5FBF" w14:textId="5AAB03E6"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Attain. Status - CO (t-1)</w:t>
            </w:r>
          </w:p>
        </w:tc>
        <w:tc>
          <w:tcPr>
            <w:tcW w:w="687" w:type="pct"/>
            <w:tcBorders>
              <w:top w:val="nil"/>
              <w:left w:val="nil"/>
              <w:bottom w:val="nil"/>
              <w:right w:val="nil"/>
            </w:tcBorders>
          </w:tcPr>
          <w:p w14:paraId="5DDEE765"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0.254</w:t>
            </w:r>
          </w:p>
        </w:tc>
        <w:tc>
          <w:tcPr>
            <w:tcW w:w="687" w:type="pct"/>
            <w:tcBorders>
              <w:top w:val="nil"/>
              <w:left w:val="nil"/>
              <w:bottom w:val="nil"/>
              <w:right w:val="nil"/>
            </w:tcBorders>
          </w:tcPr>
          <w:p w14:paraId="4B5FF2B2"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0.160</w:t>
            </w:r>
          </w:p>
        </w:tc>
        <w:tc>
          <w:tcPr>
            <w:tcW w:w="687" w:type="pct"/>
            <w:tcBorders>
              <w:top w:val="nil"/>
              <w:left w:val="nil"/>
              <w:bottom w:val="nil"/>
              <w:right w:val="nil"/>
            </w:tcBorders>
          </w:tcPr>
          <w:p w14:paraId="3AEE6ACF"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0.542</w:t>
            </w:r>
          </w:p>
        </w:tc>
        <w:tc>
          <w:tcPr>
            <w:tcW w:w="687" w:type="pct"/>
            <w:tcBorders>
              <w:top w:val="nil"/>
              <w:left w:val="nil"/>
              <w:bottom w:val="nil"/>
              <w:right w:val="nil"/>
            </w:tcBorders>
          </w:tcPr>
          <w:p w14:paraId="6784605D"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-0.317*</w:t>
            </w:r>
          </w:p>
        </w:tc>
        <w:tc>
          <w:tcPr>
            <w:tcW w:w="829" w:type="pct"/>
            <w:tcBorders>
              <w:top w:val="nil"/>
              <w:left w:val="nil"/>
              <w:bottom w:val="nil"/>
              <w:right w:val="nil"/>
            </w:tcBorders>
          </w:tcPr>
          <w:p w14:paraId="5C71AF78"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-0.326***</w:t>
            </w:r>
          </w:p>
        </w:tc>
      </w:tr>
      <w:tr w:rsidR="00E7131D" w:rsidRPr="00CD4846" w14:paraId="3D937648" w14:textId="77777777" w:rsidTr="00E7131D">
        <w:tc>
          <w:tcPr>
            <w:tcW w:w="1423" w:type="pct"/>
            <w:tcBorders>
              <w:top w:val="nil"/>
              <w:left w:val="nil"/>
              <w:bottom w:val="nil"/>
              <w:right w:val="nil"/>
            </w:tcBorders>
          </w:tcPr>
          <w:p w14:paraId="1D221EF9" w14:textId="6DC16A1D" w:rsidR="00E7131D" w:rsidRPr="00CD4846" w:rsidRDefault="00E7131D" w:rsidP="0058540A">
            <w:pPr>
              <w:widowControl w:val="0"/>
              <w:autoSpaceDE w:val="0"/>
              <w:autoSpaceDN w:val="0"/>
              <w:adjustRightInd w:val="0"/>
              <w:spacing w:line="240" w:lineRule="auto"/>
              <w:rPr>
                <w:rFonts w:cs="Times New Roman"/>
                <w:kern w:val="2"/>
                <w:sz w:val="20"/>
                <w:szCs w:val="20"/>
                <w:lang/>
              </w:rPr>
            </w:pPr>
          </w:p>
        </w:tc>
        <w:tc>
          <w:tcPr>
            <w:tcW w:w="687" w:type="pct"/>
            <w:tcBorders>
              <w:top w:val="nil"/>
              <w:left w:val="nil"/>
              <w:bottom w:val="nil"/>
              <w:right w:val="nil"/>
            </w:tcBorders>
          </w:tcPr>
          <w:p w14:paraId="410AFB8B"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(0.172)</w:t>
            </w:r>
          </w:p>
        </w:tc>
        <w:tc>
          <w:tcPr>
            <w:tcW w:w="687" w:type="pct"/>
            <w:tcBorders>
              <w:top w:val="nil"/>
              <w:left w:val="nil"/>
              <w:bottom w:val="nil"/>
              <w:right w:val="nil"/>
            </w:tcBorders>
          </w:tcPr>
          <w:p w14:paraId="5D60C91A"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(0.282)</w:t>
            </w:r>
          </w:p>
        </w:tc>
        <w:tc>
          <w:tcPr>
            <w:tcW w:w="687" w:type="pct"/>
            <w:tcBorders>
              <w:top w:val="nil"/>
              <w:left w:val="nil"/>
              <w:bottom w:val="nil"/>
              <w:right w:val="nil"/>
            </w:tcBorders>
          </w:tcPr>
          <w:p w14:paraId="650FE0D4"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(0.354)</w:t>
            </w:r>
          </w:p>
        </w:tc>
        <w:tc>
          <w:tcPr>
            <w:tcW w:w="687" w:type="pct"/>
            <w:tcBorders>
              <w:top w:val="nil"/>
              <w:left w:val="nil"/>
              <w:bottom w:val="nil"/>
              <w:right w:val="nil"/>
            </w:tcBorders>
          </w:tcPr>
          <w:p w14:paraId="2D3124EB"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(0.171)</w:t>
            </w:r>
          </w:p>
        </w:tc>
        <w:tc>
          <w:tcPr>
            <w:tcW w:w="829" w:type="pct"/>
            <w:tcBorders>
              <w:top w:val="nil"/>
              <w:left w:val="nil"/>
              <w:bottom w:val="nil"/>
              <w:right w:val="nil"/>
            </w:tcBorders>
          </w:tcPr>
          <w:p w14:paraId="51622788"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(0.099)</w:t>
            </w:r>
          </w:p>
        </w:tc>
      </w:tr>
      <w:tr w:rsidR="00E7131D" w:rsidRPr="00CD4846" w14:paraId="592F8F1E" w14:textId="77777777" w:rsidTr="00E7131D">
        <w:tc>
          <w:tcPr>
            <w:tcW w:w="1423" w:type="pct"/>
            <w:tcBorders>
              <w:top w:val="nil"/>
              <w:left w:val="nil"/>
              <w:bottom w:val="nil"/>
              <w:right w:val="nil"/>
            </w:tcBorders>
          </w:tcPr>
          <w:p w14:paraId="5D2D74E2" w14:textId="3010D964"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Attain. Status - Pb (t-1)</w:t>
            </w:r>
          </w:p>
        </w:tc>
        <w:tc>
          <w:tcPr>
            <w:tcW w:w="687" w:type="pct"/>
            <w:tcBorders>
              <w:top w:val="nil"/>
              <w:left w:val="nil"/>
              <w:bottom w:val="nil"/>
              <w:right w:val="nil"/>
            </w:tcBorders>
          </w:tcPr>
          <w:p w14:paraId="33E9DBF1"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-0.017</w:t>
            </w:r>
          </w:p>
        </w:tc>
        <w:tc>
          <w:tcPr>
            <w:tcW w:w="687" w:type="pct"/>
            <w:tcBorders>
              <w:top w:val="nil"/>
              <w:left w:val="nil"/>
              <w:bottom w:val="nil"/>
              <w:right w:val="nil"/>
            </w:tcBorders>
          </w:tcPr>
          <w:p w14:paraId="2DA77E39"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0.011</w:t>
            </w:r>
          </w:p>
        </w:tc>
        <w:tc>
          <w:tcPr>
            <w:tcW w:w="687" w:type="pct"/>
            <w:tcBorders>
              <w:top w:val="nil"/>
              <w:left w:val="nil"/>
              <w:bottom w:val="nil"/>
              <w:right w:val="nil"/>
            </w:tcBorders>
          </w:tcPr>
          <w:p w14:paraId="0DA22A1A"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-0.211*</w:t>
            </w:r>
          </w:p>
        </w:tc>
        <w:tc>
          <w:tcPr>
            <w:tcW w:w="687" w:type="pct"/>
            <w:tcBorders>
              <w:top w:val="nil"/>
              <w:left w:val="nil"/>
              <w:bottom w:val="nil"/>
              <w:right w:val="nil"/>
            </w:tcBorders>
          </w:tcPr>
          <w:p w14:paraId="2135CF4F"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-0.165***</w:t>
            </w:r>
          </w:p>
        </w:tc>
        <w:tc>
          <w:tcPr>
            <w:tcW w:w="829" w:type="pct"/>
            <w:tcBorders>
              <w:top w:val="nil"/>
              <w:left w:val="nil"/>
              <w:bottom w:val="nil"/>
              <w:right w:val="nil"/>
            </w:tcBorders>
          </w:tcPr>
          <w:p w14:paraId="285ED574"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0.103</w:t>
            </w:r>
          </w:p>
        </w:tc>
      </w:tr>
      <w:tr w:rsidR="00E7131D" w:rsidRPr="00CD4846" w14:paraId="4E786C18" w14:textId="77777777" w:rsidTr="00E7131D">
        <w:tc>
          <w:tcPr>
            <w:tcW w:w="1423" w:type="pct"/>
            <w:tcBorders>
              <w:top w:val="nil"/>
              <w:left w:val="nil"/>
              <w:bottom w:val="nil"/>
              <w:right w:val="nil"/>
            </w:tcBorders>
          </w:tcPr>
          <w:p w14:paraId="109252C9" w14:textId="117098BD" w:rsidR="00E7131D" w:rsidRPr="00CD4846" w:rsidRDefault="00E7131D" w:rsidP="0058540A">
            <w:pPr>
              <w:widowControl w:val="0"/>
              <w:autoSpaceDE w:val="0"/>
              <w:autoSpaceDN w:val="0"/>
              <w:adjustRightInd w:val="0"/>
              <w:spacing w:line="240" w:lineRule="auto"/>
              <w:rPr>
                <w:rFonts w:cs="Times New Roman"/>
                <w:kern w:val="2"/>
                <w:sz w:val="20"/>
                <w:szCs w:val="20"/>
                <w:lang/>
              </w:rPr>
            </w:pPr>
          </w:p>
        </w:tc>
        <w:tc>
          <w:tcPr>
            <w:tcW w:w="687" w:type="pct"/>
            <w:tcBorders>
              <w:top w:val="nil"/>
              <w:left w:val="nil"/>
              <w:bottom w:val="nil"/>
              <w:right w:val="nil"/>
            </w:tcBorders>
          </w:tcPr>
          <w:p w14:paraId="587E972D"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(0.112)</w:t>
            </w:r>
          </w:p>
        </w:tc>
        <w:tc>
          <w:tcPr>
            <w:tcW w:w="687" w:type="pct"/>
            <w:tcBorders>
              <w:top w:val="nil"/>
              <w:left w:val="nil"/>
              <w:bottom w:val="nil"/>
              <w:right w:val="nil"/>
            </w:tcBorders>
          </w:tcPr>
          <w:p w14:paraId="0B7A6EFF"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(0.175)</w:t>
            </w:r>
          </w:p>
        </w:tc>
        <w:tc>
          <w:tcPr>
            <w:tcW w:w="687" w:type="pct"/>
            <w:tcBorders>
              <w:top w:val="nil"/>
              <w:left w:val="nil"/>
              <w:bottom w:val="nil"/>
              <w:right w:val="nil"/>
            </w:tcBorders>
          </w:tcPr>
          <w:p w14:paraId="7300D159"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(0.118)</w:t>
            </w:r>
          </w:p>
        </w:tc>
        <w:tc>
          <w:tcPr>
            <w:tcW w:w="687" w:type="pct"/>
            <w:tcBorders>
              <w:top w:val="nil"/>
              <w:left w:val="nil"/>
              <w:bottom w:val="nil"/>
              <w:right w:val="nil"/>
            </w:tcBorders>
          </w:tcPr>
          <w:p w14:paraId="016C43B0"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(0.062)</w:t>
            </w:r>
          </w:p>
        </w:tc>
        <w:tc>
          <w:tcPr>
            <w:tcW w:w="829" w:type="pct"/>
            <w:tcBorders>
              <w:top w:val="nil"/>
              <w:left w:val="nil"/>
              <w:bottom w:val="nil"/>
              <w:right w:val="nil"/>
            </w:tcBorders>
          </w:tcPr>
          <w:p w14:paraId="316D7042"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(0.069)</w:t>
            </w:r>
          </w:p>
        </w:tc>
      </w:tr>
      <w:tr w:rsidR="00E7131D" w:rsidRPr="00CD4846" w14:paraId="187E7D6D" w14:textId="77777777" w:rsidTr="00E7131D">
        <w:tc>
          <w:tcPr>
            <w:tcW w:w="1423" w:type="pct"/>
            <w:tcBorders>
              <w:top w:val="nil"/>
              <w:left w:val="nil"/>
              <w:bottom w:val="nil"/>
              <w:right w:val="nil"/>
            </w:tcBorders>
          </w:tcPr>
          <w:p w14:paraId="7CD7AB12" w14:textId="27A0421C"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Attain. Status - O3 (t-1)</w:t>
            </w:r>
          </w:p>
        </w:tc>
        <w:tc>
          <w:tcPr>
            <w:tcW w:w="687" w:type="pct"/>
            <w:tcBorders>
              <w:top w:val="nil"/>
              <w:left w:val="nil"/>
              <w:bottom w:val="nil"/>
              <w:right w:val="nil"/>
            </w:tcBorders>
          </w:tcPr>
          <w:p w14:paraId="78CACBAB"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-0.034</w:t>
            </w:r>
          </w:p>
        </w:tc>
        <w:tc>
          <w:tcPr>
            <w:tcW w:w="687" w:type="pct"/>
            <w:tcBorders>
              <w:top w:val="nil"/>
              <w:left w:val="nil"/>
              <w:bottom w:val="nil"/>
              <w:right w:val="nil"/>
            </w:tcBorders>
          </w:tcPr>
          <w:p w14:paraId="16F46253"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0.144***</w:t>
            </w:r>
          </w:p>
        </w:tc>
        <w:tc>
          <w:tcPr>
            <w:tcW w:w="687" w:type="pct"/>
            <w:tcBorders>
              <w:top w:val="nil"/>
              <w:left w:val="nil"/>
              <w:bottom w:val="nil"/>
              <w:right w:val="nil"/>
            </w:tcBorders>
          </w:tcPr>
          <w:p w14:paraId="386CBFBA"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0.046</w:t>
            </w:r>
          </w:p>
        </w:tc>
        <w:tc>
          <w:tcPr>
            <w:tcW w:w="687" w:type="pct"/>
            <w:tcBorders>
              <w:top w:val="nil"/>
              <w:left w:val="nil"/>
              <w:bottom w:val="nil"/>
              <w:right w:val="nil"/>
            </w:tcBorders>
          </w:tcPr>
          <w:p w14:paraId="3F04178A"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0.018</w:t>
            </w:r>
          </w:p>
        </w:tc>
        <w:tc>
          <w:tcPr>
            <w:tcW w:w="829" w:type="pct"/>
            <w:tcBorders>
              <w:top w:val="nil"/>
              <w:left w:val="nil"/>
              <w:bottom w:val="nil"/>
              <w:right w:val="nil"/>
            </w:tcBorders>
          </w:tcPr>
          <w:p w14:paraId="1B07E23A"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-0.043**</w:t>
            </w:r>
          </w:p>
        </w:tc>
      </w:tr>
      <w:tr w:rsidR="00E7131D" w:rsidRPr="00CD4846" w14:paraId="3172A10B" w14:textId="77777777" w:rsidTr="00E7131D">
        <w:tc>
          <w:tcPr>
            <w:tcW w:w="1423" w:type="pct"/>
            <w:tcBorders>
              <w:top w:val="nil"/>
              <w:left w:val="nil"/>
              <w:bottom w:val="nil"/>
              <w:right w:val="nil"/>
            </w:tcBorders>
          </w:tcPr>
          <w:p w14:paraId="479E7479" w14:textId="4A14EF88" w:rsidR="00E7131D" w:rsidRPr="00CD4846" w:rsidRDefault="00E7131D" w:rsidP="0058540A">
            <w:pPr>
              <w:widowControl w:val="0"/>
              <w:autoSpaceDE w:val="0"/>
              <w:autoSpaceDN w:val="0"/>
              <w:adjustRightInd w:val="0"/>
              <w:spacing w:line="240" w:lineRule="auto"/>
              <w:rPr>
                <w:rFonts w:cs="Times New Roman"/>
                <w:kern w:val="2"/>
                <w:sz w:val="20"/>
                <w:szCs w:val="20"/>
                <w:lang/>
              </w:rPr>
            </w:pPr>
          </w:p>
        </w:tc>
        <w:tc>
          <w:tcPr>
            <w:tcW w:w="687" w:type="pct"/>
            <w:tcBorders>
              <w:top w:val="nil"/>
              <w:left w:val="nil"/>
              <w:bottom w:val="nil"/>
              <w:right w:val="nil"/>
            </w:tcBorders>
          </w:tcPr>
          <w:p w14:paraId="24E71070"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(0.031)</w:t>
            </w:r>
          </w:p>
        </w:tc>
        <w:tc>
          <w:tcPr>
            <w:tcW w:w="687" w:type="pct"/>
            <w:tcBorders>
              <w:top w:val="nil"/>
              <w:left w:val="nil"/>
              <w:bottom w:val="nil"/>
              <w:right w:val="nil"/>
            </w:tcBorders>
          </w:tcPr>
          <w:p w14:paraId="4F6E614B"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(0.050)</w:t>
            </w:r>
          </w:p>
        </w:tc>
        <w:tc>
          <w:tcPr>
            <w:tcW w:w="687" w:type="pct"/>
            <w:tcBorders>
              <w:top w:val="nil"/>
              <w:left w:val="nil"/>
              <w:bottom w:val="nil"/>
              <w:right w:val="nil"/>
            </w:tcBorders>
          </w:tcPr>
          <w:p w14:paraId="58975475"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(0.041)</w:t>
            </w:r>
          </w:p>
        </w:tc>
        <w:tc>
          <w:tcPr>
            <w:tcW w:w="687" w:type="pct"/>
            <w:tcBorders>
              <w:top w:val="nil"/>
              <w:left w:val="nil"/>
              <w:bottom w:val="nil"/>
              <w:right w:val="nil"/>
            </w:tcBorders>
          </w:tcPr>
          <w:p w14:paraId="40900105"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(0.022)</w:t>
            </w:r>
          </w:p>
        </w:tc>
        <w:tc>
          <w:tcPr>
            <w:tcW w:w="829" w:type="pct"/>
            <w:tcBorders>
              <w:top w:val="nil"/>
              <w:left w:val="nil"/>
              <w:bottom w:val="nil"/>
              <w:right w:val="nil"/>
            </w:tcBorders>
          </w:tcPr>
          <w:p w14:paraId="6F83E199"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(0.018)</w:t>
            </w:r>
          </w:p>
        </w:tc>
      </w:tr>
      <w:tr w:rsidR="00E7131D" w:rsidRPr="00CD4846" w14:paraId="3DAB270C" w14:textId="77777777" w:rsidTr="00E7131D">
        <w:tc>
          <w:tcPr>
            <w:tcW w:w="1423" w:type="pct"/>
            <w:tcBorders>
              <w:top w:val="nil"/>
              <w:left w:val="nil"/>
              <w:bottom w:val="nil"/>
              <w:right w:val="nil"/>
            </w:tcBorders>
          </w:tcPr>
          <w:p w14:paraId="15990395" w14:textId="20361990"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Attain. Status - PM (t-1)</w:t>
            </w:r>
          </w:p>
        </w:tc>
        <w:tc>
          <w:tcPr>
            <w:tcW w:w="687" w:type="pct"/>
            <w:tcBorders>
              <w:top w:val="nil"/>
              <w:left w:val="nil"/>
              <w:bottom w:val="nil"/>
              <w:right w:val="nil"/>
            </w:tcBorders>
          </w:tcPr>
          <w:p w14:paraId="2A2B23C7"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0.137***</w:t>
            </w:r>
          </w:p>
        </w:tc>
        <w:tc>
          <w:tcPr>
            <w:tcW w:w="687" w:type="pct"/>
            <w:tcBorders>
              <w:top w:val="nil"/>
              <w:left w:val="nil"/>
              <w:bottom w:val="nil"/>
              <w:right w:val="nil"/>
            </w:tcBorders>
          </w:tcPr>
          <w:p w14:paraId="5408490E"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0.067*</w:t>
            </w:r>
          </w:p>
        </w:tc>
        <w:tc>
          <w:tcPr>
            <w:tcW w:w="687" w:type="pct"/>
            <w:tcBorders>
              <w:top w:val="nil"/>
              <w:left w:val="nil"/>
              <w:bottom w:val="nil"/>
              <w:right w:val="nil"/>
            </w:tcBorders>
          </w:tcPr>
          <w:p w14:paraId="5CE78E07"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0.074**</w:t>
            </w:r>
          </w:p>
        </w:tc>
        <w:tc>
          <w:tcPr>
            <w:tcW w:w="687" w:type="pct"/>
            <w:tcBorders>
              <w:top w:val="nil"/>
              <w:left w:val="nil"/>
              <w:bottom w:val="nil"/>
              <w:right w:val="nil"/>
            </w:tcBorders>
          </w:tcPr>
          <w:p w14:paraId="3A408A9E"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0.045**</w:t>
            </w:r>
          </w:p>
        </w:tc>
        <w:tc>
          <w:tcPr>
            <w:tcW w:w="829" w:type="pct"/>
            <w:tcBorders>
              <w:top w:val="nil"/>
              <w:left w:val="nil"/>
              <w:bottom w:val="nil"/>
              <w:right w:val="nil"/>
            </w:tcBorders>
          </w:tcPr>
          <w:p w14:paraId="5912B4B3"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0.054***</w:t>
            </w:r>
          </w:p>
        </w:tc>
      </w:tr>
      <w:tr w:rsidR="00E7131D" w:rsidRPr="00CD4846" w14:paraId="7A4D02DA" w14:textId="77777777" w:rsidTr="00E7131D">
        <w:tc>
          <w:tcPr>
            <w:tcW w:w="1423" w:type="pct"/>
            <w:tcBorders>
              <w:top w:val="nil"/>
              <w:left w:val="nil"/>
              <w:bottom w:val="nil"/>
              <w:right w:val="nil"/>
            </w:tcBorders>
          </w:tcPr>
          <w:p w14:paraId="6A05C00A" w14:textId="567F6508" w:rsidR="00E7131D" w:rsidRPr="00CD4846" w:rsidRDefault="00E7131D" w:rsidP="0058540A">
            <w:pPr>
              <w:widowControl w:val="0"/>
              <w:autoSpaceDE w:val="0"/>
              <w:autoSpaceDN w:val="0"/>
              <w:adjustRightInd w:val="0"/>
              <w:spacing w:line="240" w:lineRule="auto"/>
              <w:rPr>
                <w:rFonts w:cs="Times New Roman"/>
                <w:kern w:val="2"/>
                <w:sz w:val="20"/>
                <w:szCs w:val="20"/>
                <w:lang/>
              </w:rPr>
            </w:pPr>
          </w:p>
        </w:tc>
        <w:tc>
          <w:tcPr>
            <w:tcW w:w="687" w:type="pct"/>
            <w:tcBorders>
              <w:top w:val="nil"/>
              <w:left w:val="nil"/>
              <w:bottom w:val="nil"/>
              <w:right w:val="nil"/>
            </w:tcBorders>
          </w:tcPr>
          <w:p w14:paraId="79A520D0"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(0.032)</w:t>
            </w:r>
          </w:p>
        </w:tc>
        <w:tc>
          <w:tcPr>
            <w:tcW w:w="687" w:type="pct"/>
            <w:tcBorders>
              <w:top w:val="nil"/>
              <w:left w:val="nil"/>
              <w:bottom w:val="nil"/>
              <w:right w:val="nil"/>
            </w:tcBorders>
          </w:tcPr>
          <w:p w14:paraId="4EE8BBF4"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(0.038)</w:t>
            </w:r>
          </w:p>
        </w:tc>
        <w:tc>
          <w:tcPr>
            <w:tcW w:w="687" w:type="pct"/>
            <w:tcBorders>
              <w:top w:val="nil"/>
              <w:left w:val="nil"/>
              <w:bottom w:val="nil"/>
              <w:right w:val="nil"/>
            </w:tcBorders>
          </w:tcPr>
          <w:p w14:paraId="517F6B29"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(0.030)</w:t>
            </w:r>
          </w:p>
        </w:tc>
        <w:tc>
          <w:tcPr>
            <w:tcW w:w="687" w:type="pct"/>
            <w:tcBorders>
              <w:top w:val="nil"/>
              <w:left w:val="nil"/>
              <w:bottom w:val="nil"/>
              <w:right w:val="nil"/>
            </w:tcBorders>
          </w:tcPr>
          <w:p w14:paraId="203EF6D6"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(0.020)</w:t>
            </w:r>
          </w:p>
        </w:tc>
        <w:tc>
          <w:tcPr>
            <w:tcW w:w="829" w:type="pct"/>
            <w:tcBorders>
              <w:top w:val="nil"/>
              <w:left w:val="nil"/>
              <w:bottom w:val="nil"/>
              <w:right w:val="nil"/>
            </w:tcBorders>
          </w:tcPr>
          <w:p w14:paraId="2A903BA5"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(0.020)</w:t>
            </w:r>
          </w:p>
        </w:tc>
      </w:tr>
      <w:tr w:rsidR="00E7131D" w:rsidRPr="00CD4846" w14:paraId="2C33E703" w14:textId="77777777" w:rsidTr="00E7131D">
        <w:tc>
          <w:tcPr>
            <w:tcW w:w="1423" w:type="pct"/>
            <w:tcBorders>
              <w:top w:val="nil"/>
              <w:left w:val="nil"/>
              <w:bottom w:val="nil"/>
              <w:right w:val="nil"/>
            </w:tcBorders>
          </w:tcPr>
          <w:p w14:paraId="77736432"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Attain. Status - SO2 (t-1)</w:t>
            </w:r>
          </w:p>
        </w:tc>
        <w:tc>
          <w:tcPr>
            <w:tcW w:w="687" w:type="pct"/>
            <w:tcBorders>
              <w:top w:val="nil"/>
              <w:left w:val="nil"/>
              <w:bottom w:val="nil"/>
              <w:right w:val="nil"/>
            </w:tcBorders>
          </w:tcPr>
          <w:p w14:paraId="20D7CDDF"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-0.219**</w:t>
            </w:r>
          </w:p>
        </w:tc>
        <w:tc>
          <w:tcPr>
            <w:tcW w:w="687" w:type="pct"/>
            <w:tcBorders>
              <w:top w:val="nil"/>
              <w:left w:val="nil"/>
              <w:bottom w:val="nil"/>
              <w:right w:val="nil"/>
            </w:tcBorders>
          </w:tcPr>
          <w:p w14:paraId="1201B9A8"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0.119</w:t>
            </w:r>
          </w:p>
        </w:tc>
        <w:tc>
          <w:tcPr>
            <w:tcW w:w="687" w:type="pct"/>
            <w:tcBorders>
              <w:top w:val="nil"/>
              <w:left w:val="nil"/>
              <w:bottom w:val="nil"/>
              <w:right w:val="nil"/>
            </w:tcBorders>
          </w:tcPr>
          <w:p w14:paraId="673C2D1B"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-0.022</w:t>
            </w:r>
          </w:p>
        </w:tc>
        <w:tc>
          <w:tcPr>
            <w:tcW w:w="687" w:type="pct"/>
            <w:tcBorders>
              <w:top w:val="nil"/>
              <w:left w:val="nil"/>
              <w:bottom w:val="nil"/>
              <w:right w:val="nil"/>
            </w:tcBorders>
          </w:tcPr>
          <w:p w14:paraId="0A9B652A"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0.119*</w:t>
            </w:r>
          </w:p>
        </w:tc>
        <w:tc>
          <w:tcPr>
            <w:tcW w:w="829" w:type="pct"/>
            <w:tcBorders>
              <w:top w:val="nil"/>
              <w:left w:val="nil"/>
              <w:bottom w:val="nil"/>
              <w:right w:val="nil"/>
            </w:tcBorders>
          </w:tcPr>
          <w:p w14:paraId="0684B582"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0.135***</w:t>
            </w:r>
          </w:p>
        </w:tc>
      </w:tr>
      <w:tr w:rsidR="00E7131D" w:rsidRPr="00CD4846" w14:paraId="2C110818" w14:textId="77777777" w:rsidTr="00E7131D">
        <w:tc>
          <w:tcPr>
            <w:tcW w:w="1423" w:type="pct"/>
            <w:tcBorders>
              <w:top w:val="nil"/>
              <w:left w:val="nil"/>
              <w:bottom w:val="nil"/>
              <w:right w:val="nil"/>
            </w:tcBorders>
          </w:tcPr>
          <w:p w14:paraId="5E322D10" w14:textId="7053B4D4" w:rsidR="00E7131D" w:rsidRPr="00CD4846" w:rsidRDefault="00E7131D" w:rsidP="0058540A">
            <w:pPr>
              <w:widowControl w:val="0"/>
              <w:autoSpaceDE w:val="0"/>
              <w:autoSpaceDN w:val="0"/>
              <w:adjustRightInd w:val="0"/>
              <w:spacing w:line="240" w:lineRule="auto"/>
              <w:rPr>
                <w:rFonts w:cs="Times New Roman"/>
                <w:kern w:val="2"/>
                <w:sz w:val="20"/>
                <w:szCs w:val="20"/>
                <w:lang/>
              </w:rPr>
            </w:pPr>
          </w:p>
        </w:tc>
        <w:tc>
          <w:tcPr>
            <w:tcW w:w="687" w:type="pct"/>
            <w:tcBorders>
              <w:top w:val="nil"/>
              <w:left w:val="nil"/>
              <w:bottom w:val="nil"/>
              <w:right w:val="nil"/>
            </w:tcBorders>
          </w:tcPr>
          <w:p w14:paraId="45F7A9E3"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(0.096)</w:t>
            </w:r>
          </w:p>
        </w:tc>
        <w:tc>
          <w:tcPr>
            <w:tcW w:w="687" w:type="pct"/>
            <w:tcBorders>
              <w:top w:val="nil"/>
              <w:left w:val="nil"/>
              <w:bottom w:val="nil"/>
              <w:right w:val="nil"/>
            </w:tcBorders>
          </w:tcPr>
          <w:p w14:paraId="493D3298"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(0.145)</w:t>
            </w:r>
          </w:p>
        </w:tc>
        <w:tc>
          <w:tcPr>
            <w:tcW w:w="687" w:type="pct"/>
            <w:tcBorders>
              <w:top w:val="nil"/>
              <w:left w:val="nil"/>
              <w:bottom w:val="nil"/>
              <w:right w:val="nil"/>
            </w:tcBorders>
          </w:tcPr>
          <w:p w14:paraId="4BCAD5D9"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(0.131)</w:t>
            </w:r>
          </w:p>
        </w:tc>
        <w:tc>
          <w:tcPr>
            <w:tcW w:w="687" w:type="pct"/>
            <w:tcBorders>
              <w:top w:val="nil"/>
              <w:left w:val="nil"/>
              <w:bottom w:val="nil"/>
              <w:right w:val="nil"/>
            </w:tcBorders>
          </w:tcPr>
          <w:p w14:paraId="3F7ABD80"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(0.062)</w:t>
            </w:r>
          </w:p>
        </w:tc>
        <w:tc>
          <w:tcPr>
            <w:tcW w:w="829" w:type="pct"/>
            <w:tcBorders>
              <w:top w:val="nil"/>
              <w:left w:val="nil"/>
              <w:bottom w:val="nil"/>
              <w:right w:val="nil"/>
            </w:tcBorders>
          </w:tcPr>
          <w:p w14:paraId="62C49EE8"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(0.042)</w:t>
            </w:r>
          </w:p>
        </w:tc>
      </w:tr>
      <w:tr w:rsidR="00E7131D" w:rsidRPr="00CD4846" w14:paraId="7900FD1E" w14:textId="77777777" w:rsidTr="00E7131D">
        <w:tc>
          <w:tcPr>
            <w:tcW w:w="1423" w:type="pct"/>
            <w:tcBorders>
              <w:top w:val="nil"/>
              <w:left w:val="nil"/>
              <w:bottom w:val="nil"/>
              <w:right w:val="nil"/>
            </w:tcBorders>
          </w:tcPr>
          <w:p w14:paraId="24704415" w14:textId="564D0973"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Density Employment</w:t>
            </w:r>
          </w:p>
        </w:tc>
        <w:tc>
          <w:tcPr>
            <w:tcW w:w="687" w:type="pct"/>
            <w:tcBorders>
              <w:top w:val="nil"/>
              <w:left w:val="nil"/>
              <w:bottom w:val="nil"/>
              <w:right w:val="nil"/>
            </w:tcBorders>
          </w:tcPr>
          <w:p w14:paraId="01F0986C"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-0.063</w:t>
            </w:r>
          </w:p>
        </w:tc>
        <w:tc>
          <w:tcPr>
            <w:tcW w:w="687" w:type="pct"/>
            <w:tcBorders>
              <w:top w:val="nil"/>
              <w:left w:val="nil"/>
              <w:bottom w:val="nil"/>
              <w:right w:val="nil"/>
            </w:tcBorders>
          </w:tcPr>
          <w:p w14:paraId="061422F5"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0.252***</w:t>
            </w:r>
          </w:p>
        </w:tc>
        <w:tc>
          <w:tcPr>
            <w:tcW w:w="687" w:type="pct"/>
            <w:tcBorders>
              <w:top w:val="nil"/>
              <w:left w:val="nil"/>
              <w:bottom w:val="nil"/>
              <w:right w:val="nil"/>
            </w:tcBorders>
          </w:tcPr>
          <w:p w14:paraId="4D8DBB91"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0.177</w:t>
            </w:r>
          </w:p>
        </w:tc>
        <w:tc>
          <w:tcPr>
            <w:tcW w:w="687" w:type="pct"/>
            <w:tcBorders>
              <w:top w:val="nil"/>
              <w:left w:val="nil"/>
              <w:bottom w:val="nil"/>
              <w:right w:val="nil"/>
            </w:tcBorders>
          </w:tcPr>
          <w:p w14:paraId="51617ABD"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0.042**</w:t>
            </w:r>
          </w:p>
        </w:tc>
        <w:tc>
          <w:tcPr>
            <w:tcW w:w="829" w:type="pct"/>
            <w:tcBorders>
              <w:top w:val="nil"/>
              <w:left w:val="nil"/>
              <w:bottom w:val="nil"/>
              <w:right w:val="nil"/>
            </w:tcBorders>
          </w:tcPr>
          <w:p w14:paraId="23AE83BF"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0.022</w:t>
            </w:r>
          </w:p>
        </w:tc>
      </w:tr>
      <w:tr w:rsidR="00E7131D" w:rsidRPr="00CD4846" w14:paraId="05D16BAF" w14:textId="77777777" w:rsidTr="00E7131D">
        <w:tc>
          <w:tcPr>
            <w:tcW w:w="1423" w:type="pct"/>
            <w:tcBorders>
              <w:top w:val="nil"/>
              <w:left w:val="nil"/>
              <w:bottom w:val="nil"/>
              <w:right w:val="nil"/>
            </w:tcBorders>
          </w:tcPr>
          <w:p w14:paraId="35FB53B9" w14:textId="647051EC" w:rsidR="00E7131D" w:rsidRPr="00CD4846" w:rsidRDefault="00E7131D" w:rsidP="0058540A">
            <w:pPr>
              <w:widowControl w:val="0"/>
              <w:autoSpaceDE w:val="0"/>
              <w:autoSpaceDN w:val="0"/>
              <w:adjustRightInd w:val="0"/>
              <w:spacing w:line="240" w:lineRule="auto"/>
              <w:rPr>
                <w:rFonts w:cs="Times New Roman"/>
                <w:kern w:val="2"/>
                <w:sz w:val="20"/>
                <w:szCs w:val="20"/>
                <w:lang/>
              </w:rPr>
            </w:pPr>
          </w:p>
        </w:tc>
        <w:tc>
          <w:tcPr>
            <w:tcW w:w="687" w:type="pct"/>
            <w:tcBorders>
              <w:top w:val="nil"/>
              <w:left w:val="nil"/>
              <w:bottom w:val="nil"/>
              <w:right w:val="nil"/>
            </w:tcBorders>
          </w:tcPr>
          <w:p w14:paraId="05C7A25F"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(0.051)</w:t>
            </w:r>
          </w:p>
        </w:tc>
        <w:tc>
          <w:tcPr>
            <w:tcW w:w="687" w:type="pct"/>
            <w:tcBorders>
              <w:top w:val="nil"/>
              <w:left w:val="nil"/>
              <w:bottom w:val="nil"/>
              <w:right w:val="nil"/>
            </w:tcBorders>
          </w:tcPr>
          <w:p w14:paraId="56ACD8E6"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(0.063)</w:t>
            </w:r>
          </w:p>
        </w:tc>
        <w:tc>
          <w:tcPr>
            <w:tcW w:w="687" w:type="pct"/>
            <w:tcBorders>
              <w:top w:val="nil"/>
              <w:left w:val="nil"/>
              <w:bottom w:val="nil"/>
              <w:right w:val="nil"/>
            </w:tcBorders>
          </w:tcPr>
          <w:p w14:paraId="4009C6D9"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(0.112)</w:t>
            </w:r>
          </w:p>
        </w:tc>
        <w:tc>
          <w:tcPr>
            <w:tcW w:w="687" w:type="pct"/>
            <w:tcBorders>
              <w:top w:val="nil"/>
              <w:left w:val="nil"/>
              <w:bottom w:val="nil"/>
              <w:right w:val="nil"/>
            </w:tcBorders>
          </w:tcPr>
          <w:p w14:paraId="521E3DC2"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(0.021)</w:t>
            </w:r>
          </w:p>
        </w:tc>
        <w:tc>
          <w:tcPr>
            <w:tcW w:w="829" w:type="pct"/>
            <w:tcBorders>
              <w:top w:val="nil"/>
              <w:left w:val="nil"/>
              <w:bottom w:val="nil"/>
              <w:right w:val="nil"/>
            </w:tcBorders>
          </w:tcPr>
          <w:p w14:paraId="6D342DE4"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(0.026)</w:t>
            </w:r>
          </w:p>
        </w:tc>
      </w:tr>
      <w:tr w:rsidR="00E7131D" w:rsidRPr="00CD4846" w14:paraId="7693EAA8" w14:textId="77777777" w:rsidTr="00E7131D">
        <w:tc>
          <w:tcPr>
            <w:tcW w:w="1423" w:type="pct"/>
            <w:tcBorders>
              <w:top w:val="nil"/>
              <w:left w:val="nil"/>
              <w:bottom w:val="nil"/>
              <w:right w:val="nil"/>
            </w:tcBorders>
          </w:tcPr>
          <w:p w14:paraId="4E1CC2C2"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Percent Black (100s)</w:t>
            </w:r>
          </w:p>
        </w:tc>
        <w:tc>
          <w:tcPr>
            <w:tcW w:w="687" w:type="pct"/>
            <w:tcBorders>
              <w:top w:val="nil"/>
              <w:left w:val="nil"/>
              <w:bottom w:val="nil"/>
              <w:right w:val="nil"/>
            </w:tcBorders>
          </w:tcPr>
          <w:p w14:paraId="4068706E"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-2.241</w:t>
            </w:r>
          </w:p>
        </w:tc>
        <w:tc>
          <w:tcPr>
            <w:tcW w:w="687" w:type="pct"/>
            <w:tcBorders>
              <w:top w:val="nil"/>
              <w:left w:val="nil"/>
              <w:bottom w:val="nil"/>
              <w:right w:val="nil"/>
            </w:tcBorders>
          </w:tcPr>
          <w:p w14:paraId="01AE11A5"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1.299</w:t>
            </w:r>
          </w:p>
        </w:tc>
        <w:tc>
          <w:tcPr>
            <w:tcW w:w="687" w:type="pct"/>
            <w:tcBorders>
              <w:top w:val="nil"/>
              <w:left w:val="nil"/>
              <w:bottom w:val="nil"/>
              <w:right w:val="nil"/>
            </w:tcBorders>
          </w:tcPr>
          <w:p w14:paraId="0DE786B7"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-3.942**</w:t>
            </w:r>
          </w:p>
        </w:tc>
        <w:tc>
          <w:tcPr>
            <w:tcW w:w="687" w:type="pct"/>
            <w:tcBorders>
              <w:top w:val="nil"/>
              <w:left w:val="nil"/>
              <w:bottom w:val="nil"/>
              <w:right w:val="nil"/>
            </w:tcBorders>
          </w:tcPr>
          <w:p w14:paraId="0627CE90"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2.586***</w:t>
            </w:r>
          </w:p>
        </w:tc>
        <w:tc>
          <w:tcPr>
            <w:tcW w:w="829" w:type="pct"/>
            <w:tcBorders>
              <w:top w:val="nil"/>
              <w:left w:val="nil"/>
              <w:bottom w:val="nil"/>
              <w:right w:val="nil"/>
            </w:tcBorders>
          </w:tcPr>
          <w:p w14:paraId="402C17A5"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0.971</w:t>
            </w:r>
          </w:p>
        </w:tc>
      </w:tr>
      <w:tr w:rsidR="00E7131D" w:rsidRPr="00CD4846" w14:paraId="4ECA97F3" w14:textId="77777777" w:rsidTr="00E7131D">
        <w:tc>
          <w:tcPr>
            <w:tcW w:w="1423" w:type="pct"/>
            <w:tcBorders>
              <w:top w:val="nil"/>
              <w:left w:val="nil"/>
              <w:bottom w:val="nil"/>
              <w:right w:val="nil"/>
            </w:tcBorders>
          </w:tcPr>
          <w:p w14:paraId="239E2771" w14:textId="4403C012" w:rsidR="00E7131D" w:rsidRPr="00CD4846" w:rsidRDefault="00E7131D" w:rsidP="0058540A">
            <w:pPr>
              <w:widowControl w:val="0"/>
              <w:autoSpaceDE w:val="0"/>
              <w:autoSpaceDN w:val="0"/>
              <w:adjustRightInd w:val="0"/>
              <w:spacing w:line="240" w:lineRule="auto"/>
              <w:rPr>
                <w:rFonts w:cs="Times New Roman"/>
                <w:kern w:val="2"/>
                <w:sz w:val="20"/>
                <w:szCs w:val="20"/>
                <w:lang/>
              </w:rPr>
            </w:pPr>
          </w:p>
        </w:tc>
        <w:tc>
          <w:tcPr>
            <w:tcW w:w="687" w:type="pct"/>
            <w:tcBorders>
              <w:top w:val="nil"/>
              <w:left w:val="nil"/>
              <w:bottom w:val="nil"/>
              <w:right w:val="nil"/>
            </w:tcBorders>
          </w:tcPr>
          <w:p w14:paraId="055BEFFF"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(1.649)</w:t>
            </w:r>
          </w:p>
        </w:tc>
        <w:tc>
          <w:tcPr>
            <w:tcW w:w="687" w:type="pct"/>
            <w:tcBorders>
              <w:top w:val="nil"/>
              <w:left w:val="nil"/>
              <w:bottom w:val="nil"/>
              <w:right w:val="nil"/>
            </w:tcBorders>
          </w:tcPr>
          <w:p w14:paraId="3312CA3A"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(2.662)</w:t>
            </w:r>
          </w:p>
        </w:tc>
        <w:tc>
          <w:tcPr>
            <w:tcW w:w="687" w:type="pct"/>
            <w:tcBorders>
              <w:top w:val="nil"/>
              <w:left w:val="nil"/>
              <w:bottom w:val="nil"/>
              <w:right w:val="nil"/>
            </w:tcBorders>
          </w:tcPr>
          <w:p w14:paraId="72E4DC92"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(1.906)</w:t>
            </w:r>
          </w:p>
        </w:tc>
        <w:tc>
          <w:tcPr>
            <w:tcW w:w="687" w:type="pct"/>
            <w:tcBorders>
              <w:top w:val="nil"/>
              <w:left w:val="nil"/>
              <w:bottom w:val="nil"/>
              <w:right w:val="nil"/>
            </w:tcBorders>
          </w:tcPr>
          <w:p w14:paraId="50EED482"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(0.772)</w:t>
            </w:r>
          </w:p>
        </w:tc>
        <w:tc>
          <w:tcPr>
            <w:tcW w:w="829" w:type="pct"/>
            <w:tcBorders>
              <w:top w:val="nil"/>
              <w:left w:val="nil"/>
              <w:bottom w:val="nil"/>
              <w:right w:val="nil"/>
            </w:tcBorders>
          </w:tcPr>
          <w:p w14:paraId="755B68A6"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(0.769)</w:t>
            </w:r>
          </w:p>
        </w:tc>
      </w:tr>
      <w:tr w:rsidR="00E7131D" w:rsidRPr="00CD4846" w14:paraId="17315660" w14:textId="77777777" w:rsidTr="00E7131D">
        <w:tc>
          <w:tcPr>
            <w:tcW w:w="1423" w:type="pct"/>
            <w:tcBorders>
              <w:top w:val="nil"/>
              <w:left w:val="nil"/>
              <w:bottom w:val="nil"/>
              <w:right w:val="nil"/>
            </w:tcBorders>
          </w:tcPr>
          <w:p w14:paraId="4D3411A1" w14:textId="5EEC5D9C"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Population count (1ms)</w:t>
            </w:r>
          </w:p>
        </w:tc>
        <w:tc>
          <w:tcPr>
            <w:tcW w:w="687" w:type="pct"/>
            <w:tcBorders>
              <w:top w:val="nil"/>
              <w:left w:val="nil"/>
              <w:bottom w:val="nil"/>
              <w:right w:val="nil"/>
            </w:tcBorders>
          </w:tcPr>
          <w:p w14:paraId="61952AD9"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-0.637***</w:t>
            </w:r>
          </w:p>
        </w:tc>
        <w:tc>
          <w:tcPr>
            <w:tcW w:w="687" w:type="pct"/>
            <w:tcBorders>
              <w:top w:val="nil"/>
              <w:left w:val="nil"/>
              <w:bottom w:val="nil"/>
              <w:right w:val="nil"/>
            </w:tcBorders>
          </w:tcPr>
          <w:p w14:paraId="3299AD1C"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-0.327</w:t>
            </w:r>
          </w:p>
        </w:tc>
        <w:tc>
          <w:tcPr>
            <w:tcW w:w="687" w:type="pct"/>
            <w:tcBorders>
              <w:top w:val="nil"/>
              <w:left w:val="nil"/>
              <w:bottom w:val="nil"/>
              <w:right w:val="nil"/>
            </w:tcBorders>
          </w:tcPr>
          <w:p w14:paraId="4C92E2B0"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-1.759***</w:t>
            </w:r>
          </w:p>
        </w:tc>
        <w:tc>
          <w:tcPr>
            <w:tcW w:w="687" w:type="pct"/>
            <w:tcBorders>
              <w:top w:val="nil"/>
              <w:left w:val="nil"/>
              <w:bottom w:val="nil"/>
              <w:right w:val="nil"/>
            </w:tcBorders>
          </w:tcPr>
          <w:p w14:paraId="3A0F59C5"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-0.223</w:t>
            </w:r>
          </w:p>
        </w:tc>
        <w:tc>
          <w:tcPr>
            <w:tcW w:w="829" w:type="pct"/>
            <w:tcBorders>
              <w:top w:val="nil"/>
              <w:left w:val="nil"/>
              <w:bottom w:val="nil"/>
              <w:right w:val="nil"/>
            </w:tcBorders>
          </w:tcPr>
          <w:p w14:paraId="79F3C09E"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-0.110</w:t>
            </w:r>
          </w:p>
        </w:tc>
      </w:tr>
      <w:tr w:rsidR="00E7131D" w:rsidRPr="00CD4846" w14:paraId="0EEA0B09" w14:textId="77777777" w:rsidTr="00E7131D">
        <w:tc>
          <w:tcPr>
            <w:tcW w:w="1423" w:type="pct"/>
            <w:tcBorders>
              <w:top w:val="nil"/>
              <w:left w:val="nil"/>
              <w:bottom w:val="nil"/>
              <w:right w:val="nil"/>
            </w:tcBorders>
          </w:tcPr>
          <w:p w14:paraId="5ACB66C8" w14:textId="2CD0192B" w:rsidR="00E7131D" w:rsidRPr="00CD4846" w:rsidRDefault="00E7131D" w:rsidP="0058540A">
            <w:pPr>
              <w:widowControl w:val="0"/>
              <w:autoSpaceDE w:val="0"/>
              <w:autoSpaceDN w:val="0"/>
              <w:adjustRightInd w:val="0"/>
              <w:spacing w:line="240" w:lineRule="auto"/>
              <w:rPr>
                <w:rFonts w:cs="Times New Roman"/>
                <w:kern w:val="2"/>
                <w:sz w:val="20"/>
                <w:szCs w:val="20"/>
                <w:lang/>
              </w:rPr>
            </w:pPr>
          </w:p>
        </w:tc>
        <w:tc>
          <w:tcPr>
            <w:tcW w:w="687" w:type="pct"/>
            <w:tcBorders>
              <w:top w:val="nil"/>
              <w:left w:val="nil"/>
              <w:bottom w:val="nil"/>
              <w:right w:val="nil"/>
            </w:tcBorders>
          </w:tcPr>
          <w:p w14:paraId="4832F28E"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(0.215)</w:t>
            </w:r>
          </w:p>
        </w:tc>
        <w:tc>
          <w:tcPr>
            <w:tcW w:w="687" w:type="pct"/>
            <w:tcBorders>
              <w:top w:val="nil"/>
              <w:left w:val="nil"/>
              <w:bottom w:val="nil"/>
              <w:right w:val="nil"/>
            </w:tcBorders>
          </w:tcPr>
          <w:p w14:paraId="658FFAA4"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(0.277)</w:t>
            </w:r>
          </w:p>
        </w:tc>
        <w:tc>
          <w:tcPr>
            <w:tcW w:w="687" w:type="pct"/>
            <w:tcBorders>
              <w:top w:val="nil"/>
              <w:left w:val="nil"/>
              <w:bottom w:val="nil"/>
              <w:right w:val="nil"/>
            </w:tcBorders>
          </w:tcPr>
          <w:p w14:paraId="5F8F433D"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(0.482)</w:t>
            </w:r>
          </w:p>
        </w:tc>
        <w:tc>
          <w:tcPr>
            <w:tcW w:w="687" w:type="pct"/>
            <w:tcBorders>
              <w:top w:val="nil"/>
              <w:left w:val="nil"/>
              <w:bottom w:val="nil"/>
              <w:right w:val="nil"/>
            </w:tcBorders>
          </w:tcPr>
          <w:p w14:paraId="161356F3"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(0.201)</w:t>
            </w:r>
          </w:p>
        </w:tc>
        <w:tc>
          <w:tcPr>
            <w:tcW w:w="829" w:type="pct"/>
            <w:tcBorders>
              <w:top w:val="nil"/>
              <w:left w:val="nil"/>
              <w:bottom w:val="nil"/>
              <w:right w:val="nil"/>
            </w:tcBorders>
          </w:tcPr>
          <w:p w14:paraId="7EFB6F4E"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(0.094)</w:t>
            </w:r>
          </w:p>
        </w:tc>
      </w:tr>
      <w:tr w:rsidR="00E7131D" w:rsidRPr="00CD4846" w14:paraId="766E5A30" w14:textId="77777777" w:rsidTr="00E7131D">
        <w:tc>
          <w:tcPr>
            <w:tcW w:w="1423" w:type="pct"/>
            <w:tcBorders>
              <w:top w:val="nil"/>
              <w:left w:val="nil"/>
              <w:bottom w:val="nil"/>
              <w:right w:val="nil"/>
            </w:tcBorders>
          </w:tcPr>
          <w:p w14:paraId="43B609F2" w14:textId="466244E3"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Unemployment rate (100s)</w:t>
            </w:r>
          </w:p>
        </w:tc>
        <w:tc>
          <w:tcPr>
            <w:tcW w:w="687" w:type="pct"/>
            <w:tcBorders>
              <w:top w:val="nil"/>
              <w:left w:val="nil"/>
              <w:bottom w:val="nil"/>
              <w:right w:val="nil"/>
            </w:tcBorders>
          </w:tcPr>
          <w:p w14:paraId="39A8732A"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2.389***</w:t>
            </w:r>
          </w:p>
        </w:tc>
        <w:tc>
          <w:tcPr>
            <w:tcW w:w="687" w:type="pct"/>
            <w:tcBorders>
              <w:top w:val="nil"/>
              <w:left w:val="nil"/>
              <w:bottom w:val="nil"/>
              <w:right w:val="nil"/>
            </w:tcBorders>
          </w:tcPr>
          <w:p w14:paraId="0E56DB77"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-1.435</w:t>
            </w:r>
          </w:p>
        </w:tc>
        <w:tc>
          <w:tcPr>
            <w:tcW w:w="687" w:type="pct"/>
            <w:tcBorders>
              <w:top w:val="nil"/>
              <w:left w:val="nil"/>
              <w:bottom w:val="nil"/>
              <w:right w:val="nil"/>
            </w:tcBorders>
          </w:tcPr>
          <w:p w14:paraId="352E2977"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4.398***</w:t>
            </w:r>
          </w:p>
        </w:tc>
        <w:tc>
          <w:tcPr>
            <w:tcW w:w="687" w:type="pct"/>
            <w:tcBorders>
              <w:top w:val="nil"/>
              <w:left w:val="nil"/>
              <w:bottom w:val="nil"/>
              <w:right w:val="nil"/>
            </w:tcBorders>
          </w:tcPr>
          <w:p w14:paraId="46F98DC7"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4.627***</w:t>
            </w:r>
          </w:p>
        </w:tc>
        <w:tc>
          <w:tcPr>
            <w:tcW w:w="829" w:type="pct"/>
            <w:tcBorders>
              <w:top w:val="nil"/>
              <w:left w:val="nil"/>
              <w:bottom w:val="nil"/>
              <w:right w:val="nil"/>
            </w:tcBorders>
          </w:tcPr>
          <w:p w14:paraId="6EC0D312"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3.271***</w:t>
            </w:r>
          </w:p>
        </w:tc>
      </w:tr>
      <w:tr w:rsidR="00E7131D" w:rsidRPr="00CD4846" w14:paraId="6C48791B" w14:textId="77777777" w:rsidTr="00E7131D">
        <w:tc>
          <w:tcPr>
            <w:tcW w:w="1423" w:type="pct"/>
            <w:tcBorders>
              <w:top w:val="nil"/>
              <w:left w:val="nil"/>
              <w:bottom w:val="nil"/>
              <w:right w:val="nil"/>
            </w:tcBorders>
          </w:tcPr>
          <w:p w14:paraId="0286DF00" w14:textId="42F99022" w:rsidR="00E7131D" w:rsidRPr="00CD4846" w:rsidRDefault="00E7131D" w:rsidP="0058540A">
            <w:pPr>
              <w:widowControl w:val="0"/>
              <w:autoSpaceDE w:val="0"/>
              <w:autoSpaceDN w:val="0"/>
              <w:adjustRightInd w:val="0"/>
              <w:spacing w:line="240" w:lineRule="auto"/>
              <w:rPr>
                <w:rFonts w:cs="Times New Roman"/>
                <w:kern w:val="2"/>
                <w:sz w:val="20"/>
                <w:szCs w:val="20"/>
                <w:lang/>
              </w:rPr>
            </w:pPr>
          </w:p>
        </w:tc>
        <w:tc>
          <w:tcPr>
            <w:tcW w:w="687" w:type="pct"/>
            <w:tcBorders>
              <w:top w:val="nil"/>
              <w:left w:val="nil"/>
              <w:bottom w:val="nil"/>
              <w:right w:val="nil"/>
            </w:tcBorders>
          </w:tcPr>
          <w:p w14:paraId="0B25A459"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(0.791)</w:t>
            </w:r>
          </w:p>
        </w:tc>
        <w:tc>
          <w:tcPr>
            <w:tcW w:w="687" w:type="pct"/>
            <w:tcBorders>
              <w:top w:val="nil"/>
              <w:left w:val="nil"/>
              <w:bottom w:val="nil"/>
              <w:right w:val="nil"/>
            </w:tcBorders>
          </w:tcPr>
          <w:p w14:paraId="3E1E974B"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(2.619)</w:t>
            </w:r>
          </w:p>
        </w:tc>
        <w:tc>
          <w:tcPr>
            <w:tcW w:w="687" w:type="pct"/>
            <w:tcBorders>
              <w:top w:val="nil"/>
              <w:left w:val="nil"/>
              <w:bottom w:val="nil"/>
              <w:right w:val="nil"/>
            </w:tcBorders>
          </w:tcPr>
          <w:p w14:paraId="369EE21E"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(1.300)</w:t>
            </w:r>
          </w:p>
        </w:tc>
        <w:tc>
          <w:tcPr>
            <w:tcW w:w="687" w:type="pct"/>
            <w:tcBorders>
              <w:top w:val="nil"/>
              <w:left w:val="nil"/>
              <w:bottom w:val="nil"/>
              <w:right w:val="nil"/>
            </w:tcBorders>
          </w:tcPr>
          <w:p w14:paraId="08556734"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(0.683)</w:t>
            </w:r>
          </w:p>
        </w:tc>
        <w:tc>
          <w:tcPr>
            <w:tcW w:w="829" w:type="pct"/>
            <w:tcBorders>
              <w:top w:val="nil"/>
              <w:left w:val="nil"/>
              <w:bottom w:val="nil"/>
              <w:right w:val="nil"/>
            </w:tcBorders>
          </w:tcPr>
          <w:p w14:paraId="4F64E23F"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(0.581)</w:t>
            </w:r>
          </w:p>
        </w:tc>
      </w:tr>
      <w:tr w:rsidR="00E7131D" w:rsidRPr="00CD4846" w14:paraId="0B6A1790" w14:textId="77777777" w:rsidTr="00E7131D">
        <w:tc>
          <w:tcPr>
            <w:tcW w:w="1423" w:type="pct"/>
            <w:tcBorders>
              <w:top w:val="nil"/>
              <w:left w:val="nil"/>
              <w:bottom w:val="nil"/>
              <w:right w:val="nil"/>
            </w:tcBorders>
          </w:tcPr>
          <w:p w14:paraId="335AE211" w14:textId="7B1B2FC1"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Sales Volume (t-1)</w:t>
            </w:r>
          </w:p>
        </w:tc>
        <w:tc>
          <w:tcPr>
            <w:tcW w:w="687" w:type="pct"/>
            <w:tcBorders>
              <w:top w:val="nil"/>
              <w:left w:val="nil"/>
              <w:bottom w:val="nil"/>
              <w:right w:val="nil"/>
            </w:tcBorders>
          </w:tcPr>
          <w:p w14:paraId="409F7753"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4.507*</w:t>
            </w:r>
          </w:p>
        </w:tc>
        <w:tc>
          <w:tcPr>
            <w:tcW w:w="687" w:type="pct"/>
            <w:tcBorders>
              <w:top w:val="nil"/>
              <w:left w:val="nil"/>
              <w:bottom w:val="nil"/>
              <w:right w:val="nil"/>
            </w:tcBorders>
          </w:tcPr>
          <w:p w14:paraId="40B17A21"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0.109</w:t>
            </w:r>
          </w:p>
        </w:tc>
        <w:tc>
          <w:tcPr>
            <w:tcW w:w="687" w:type="pct"/>
            <w:tcBorders>
              <w:top w:val="nil"/>
              <w:left w:val="nil"/>
              <w:bottom w:val="nil"/>
              <w:right w:val="nil"/>
            </w:tcBorders>
          </w:tcPr>
          <w:p w14:paraId="73A708B2"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-0.288</w:t>
            </w:r>
          </w:p>
        </w:tc>
        <w:tc>
          <w:tcPr>
            <w:tcW w:w="687" w:type="pct"/>
            <w:tcBorders>
              <w:top w:val="nil"/>
              <w:left w:val="nil"/>
              <w:bottom w:val="nil"/>
              <w:right w:val="nil"/>
            </w:tcBorders>
          </w:tcPr>
          <w:p w14:paraId="6A058428"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-37.352**</w:t>
            </w:r>
          </w:p>
        </w:tc>
        <w:tc>
          <w:tcPr>
            <w:tcW w:w="829" w:type="pct"/>
            <w:tcBorders>
              <w:top w:val="nil"/>
              <w:left w:val="nil"/>
              <w:bottom w:val="nil"/>
              <w:right w:val="nil"/>
            </w:tcBorders>
          </w:tcPr>
          <w:p w14:paraId="70ABD728"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-0.147*</w:t>
            </w:r>
          </w:p>
        </w:tc>
      </w:tr>
      <w:tr w:rsidR="00E7131D" w:rsidRPr="00CD4846" w14:paraId="42C11FBD" w14:textId="77777777" w:rsidTr="00E7131D">
        <w:tc>
          <w:tcPr>
            <w:tcW w:w="1423" w:type="pct"/>
            <w:tcBorders>
              <w:top w:val="nil"/>
              <w:left w:val="nil"/>
              <w:bottom w:val="nil"/>
              <w:right w:val="nil"/>
            </w:tcBorders>
          </w:tcPr>
          <w:p w14:paraId="0016B6E0" w14:textId="5D040349" w:rsidR="00E7131D" w:rsidRPr="00CD4846" w:rsidRDefault="00E7131D" w:rsidP="0058540A">
            <w:pPr>
              <w:widowControl w:val="0"/>
              <w:autoSpaceDE w:val="0"/>
              <w:autoSpaceDN w:val="0"/>
              <w:adjustRightInd w:val="0"/>
              <w:spacing w:line="240" w:lineRule="auto"/>
              <w:rPr>
                <w:rFonts w:cs="Times New Roman"/>
                <w:kern w:val="2"/>
                <w:sz w:val="20"/>
                <w:szCs w:val="20"/>
                <w:lang/>
              </w:rPr>
            </w:pPr>
          </w:p>
        </w:tc>
        <w:tc>
          <w:tcPr>
            <w:tcW w:w="687" w:type="pct"/>
            <w:tcBorders>
              <w:top w:val="nil"/>
              <w:left w:val="nil"/>
              <w:bottom w:val="nil"/>
              <w:right w:val="nil"/>
            </w:tcBorders>
          </w:tcPr>
          <w:p w14:paraId="02724E66"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(2.608)</w:t>
            </w:r>
          </w:p>
        </w:tc>
        <w:tc>
          <w:tcPr>
            <w:tcW w:w="687" w:type="pct"/>
            <w:tcBorders>
              <w:top w:val="nil"/>
              <w:left w:val="nil"/>
              <w:bottom w:val="nil"/>
              <w:right w:val="nil"/>
            </w:tcBorders>
          </w:tcPr>
          <w:p w14:paraId="76365A2C"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(0.727)</w:t>
            </w:r>
          </w:p>
        </w:tc>
        <w:tc>
          <w:tcPr>
            <w:tcW w:w="687" w:type="pct"/>
            <w:tcBorders>
              <w:top w:val="nil"/>
              <w:left w:val="nil"/>
              <w:bottom w:val="nil"/>
              <w:right w:val="nil"/>
            </w:tcBorders>
          </w:tcPr>
          <w:p w14:paraId="1E2E3D8C"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(0.288)</w:t>
            </w:r>
          </w:p>
        </w:tc>
        <w:tc>
          <w:tcPr>
            <w:tcW w:w="687" w:type="pct"/>
            <w:tcBorders>
              <w:top w:val="nil"/>
              <w:left w:val="nil"/>
              <w:bottom w:val="nil"/>
              <w:right w:val="nil"/>
            </w:tcBorders>
          </w:tcPr>
          <w:p w14:paraId="6EFBD2FD"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(15.355)</w:t>
            </w:r>
          </w:p>
        </w:tc>
        <w:tc>
          <w:tcPr>
            <w:tcW w:w="829" w:type="pct"/>
            <w:tcBorders>
              <w:top w:val="nil"/>
              <w:left w:val="nil"/>
              <w:bottom w:val="nil"/>
              <w:right w:val="nil"/>
            </w:tcBorders>
          </w:tcPr>
          <w:p w14:paraId="4DDA176A"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(0.084)</w:t>
            </w:r>
          </w:p>
        </w:tc>
      </w:tr>
      <w:tr w:rsidR="00E7131D" w:rsidRPr="00CD4846" w14:paraId="2E573618" w14:textId="77777777" w:rsidTr="00E7131D">
        <w:tc>
          <w:tcPr>
            <w:tcW w:w="1423" w:type="pct"/>
            <w:tcBorders>
              <w:top w:val="nil"/>
              <w:left w:val="nil"/>
              <w:bottom w:val="nil"/>
              <w:right w:val="nil"/>
            </w:tcBorders>
          </w:tcPr>
          <w:p w14:paraId="05EB7486" w14:textId="7DFEF13D"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Prior Total Entries (1ks)</w:t>
            </w:r>
          </w:p>
        </w:tc>
        <w:tc>
          <w:tcPr>
            <w:tcW w:w="687" w:type="pct"/>
            <w:tcBorders>
              <w:top w:val="nil"/>
              <w:left w:val="nil"/>
              <w:bottom w:val="nil"/>
              <w:right w:val="nil"/>
            </w:tcBorders>
          </w:tcPr>
          <w:p w14:paraId="34E1EA82"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-1.704**</w:t>
            </w:r>
          </w:p>
        </w:tc>
        <w:tc>
          <w:tcPr>
            <w:tcW w:w="687" w:type="pct"/>
            <w:tcBorders>
              <w:top w:val="nil"/>
              <w:left w:val="nil"/>
              <w:bottom w:val="nil"/>
              <w:right w:val="nil"/>
            </w:tcBorders>
          </w:tcPr>
          <w:p w14:paraId="59EE4F0C"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-0.745**</w:t>
            </w:r>
          </w:p>
        </w:tc>
        <w:tc>
          <w:tcPr>
            <w:tcW w:w="687" w:type="pct"/>
            <w:tcBorders>
              <w:top w:val="nil"/>
              <w:left w:val="nil"/>
              <w:bottom w:val="nil"/>
              <w:right w:val="nil"/>
            </w:tcBorders>
          </w:tcPr>
          <w:p w14:paraId="265B66B0"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-4.314***</w:t>
            </w:r>
          </w:p>
        </w:tc>
        <w:tc>
          <w:tcPr>
            <w:tcW w:w="687" w:type="pct"/>
            <w:tcBorders>
              <w:top w:val="nil"/>
              <w:left w:val="nil"/>
              <w:bottom w:val="nil"/>
              <w:right w:val="nil"/>
            </w:tcBorders>
          </w:tcPr>
          <w:p w14:paraId="1B7F33EC"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-0.046***</w:t>
            </w:r>
          </w:p>
        </w:tc>
        <w:tc>
          <w:tcPr>
            <w:tcW w:w="829" w:type="pct"/>
            <w:tcBorders>
              <w:top w:val="nil"/>
              <w:left w:val="nil"/>
              <w:bottom w:val="nil"/>
              <w:right w:val="nil"/>
            </w:tcBorders>
          </w:tcPr>
          <w:p w14:paraId="79F7B13C"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-0.005</w:t>
            </w:r>
          </w:p>
        </w:tc>
      </w:tr>
      <w:tr w:rsidR="00E7131D" w:rsidRPr="00CD4846" w14:paraId="4C752F23" w14:textId="77777777" w:rsidTr="00E7131D">
        <w:tc>
          <w:tcPr>
            <w:tcW w:w="1423" w:type="pct"/>
            <w:tcBorders>
              <w:top w:val="nil"/>
              <w:left w:val="nil"/>
              <w:bottom w:val="nil"/>
              <w:right w:val="nil"/>
            </w:tcBorders>
          </w:tcPr>
          <w:p w14:paraId="62C314C1" w14:textId="3879BCAD" w:rsidR="00E7131D" w:rsidRPr="00CD4846" w:rsidRDefault="00E7131D" w:rsidP="0058540A">
            <w:pPr>
              <w:widowControl w:val="0"/>
              <w:autoSpaceDE w:val="0"/>
              <w:autoSpaceDN w:val="0"/>
              <w:adjustRightInd w:val="0"/>
              <w:spacing w:line="240" w:lineRule="auto"/>
              <w:rPr>
                <w:rFonts w:cs="Times New Roman"/>
                <w:kern w:val="2"/>
                <w:sz w:val="20"/>
                <w:szCs w:val="20"/>
                <w:lang/>
              </w:rPr>
            </w:pPr>
          </w:p>
        </w:tc>
        <w:tc>
          <w:tcPr>
            <w:tcW w:w="687" w:type="pct"/>
            <w:tcBorders>
              <w:top w:val="nil"/>
              <w:left w:val="nil"/>
              <w:bottom w:val="nil"/>
              <w:right w:val="nil"/>
            </w:tcBorders>
          </w:tcPr>
          <w:p w14:paraId="71000860"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(0.671)</w:t>
            </w:r>
          </w:p>
        </w:tc>
        <w:tc>
          <w:tcPr>
            <w:tcW w:w="687" w:type="pct"/>
            <w:tcBorders>
              <w:top w:val="nil"/>
              <w:left w:val="nil"/>
              <w:bottom w:val="nil"/>
              <w:right w:val="nil"/>
            </w:tcBorders>
          </w:tcPr>
          <w:p w14:paraId="294E4A08"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(0.304)</w:t>
            </w:r>
          </w:p>
        </w:tc>
        <w:tc>
          <w:tcPr>
            <w:tcW w:w="687" w:type="pct"/>
            <w:tcBorders>
              <w:top w:val="nil"/>
              <w:left w:val="nil"/>
              <w:bottom w:val="nil"/>
              <w:right w:val="nil"/>
            </w:tcBorders>
          </w:tcPr>
          <w:p w14:paraId="3B7AD1D3"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(1.640)</w:t>
            </w:r>
          </w:p>
        </w:tc>
        <w:tc>
          <w:tcPr>
            <w:tcW w:w="687" w:type="pct"/>
            <w:tcBorders>
              <w:top w:val="nil"/>
              <w:left w:val="nil"/>
              <w:bottom w:val="nil"/>
              <w:right w:val="nil"/>
            </w:tcBorders>
          </w:tcPr>
          <w:p w14:paraId="71D058FA"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(0.009)</w:t>
            </w:r>
          </w:p>
        </w:tc>
        <w:tc>
          <w:tcPr>
            <w:tcW w:w="829" w:type="pct"/>
            <w:tcBorders>
              <w:top w:val="nil"/>
              <w:left w:val="nil"/>
              <w:bottom w:val="nil"/>
              <w:right w:val="nil"/>
            </w:tcBorders>
          </w:tcPr>
          <w:p w14:paraId="60F25A0B"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(0.034)</w:t>
            </w:r>
          </w:p>
        </w:tc>
      </w:tr>
      <w:tr w:rsidR="00E7131D" w:rsidRPr="00CD4846" w14:paraId="6CBFBC78" w14:textId="77777777" w:rsidTr="00E7131D">
        <w:tc>
          <w:tcPr>
            <w:tcW w:w="1423" w:type="pct"/>
            <w:tcBorders>
              <w:top w:val="nil"/>
              <w:left w:val="nil"/>
              <w:bottom w:val="nil"/>
              <w:right w:val="nil"/>
            </w:tcBorders>
          </w:tcPr>
          <w:p w14:paraId="469E3512"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Constant</w:t>
            </w:r>
          </w:p>
        </w:tc>
        <w:tc>
          <w:tcPr>
            <w:tcW w:w="687" w:type="pct"/>
            <w:tcBorders>
              <w:top w:val="nil"/>
              <w:left w:val="nil"/>
              <w:bottom w:val="nil"/>
              <w:right w:val="nil"/>
            </w:tcBorders>
          </w:tcPr>
          <w:p w14:paraId="3E66C7D5"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2.448***</w:t>
            </w:r>
          </w:p>
        </w:tc>
        <w:tc>
          <w:tcPr>
            <w:tcW w:w="687" w:type="pct"/>
            <w:tcBorders>
              <w:top w:val="nil"/>
              <w:left w:val="nil"/>
              <w:bottom w:val="nil"/>
              <w:right w:val="nil"/>
            </w:tcBorders>
          </w:tcPr>
          <w:p w14:paraId="080D1D7C"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2.661***</w:t>
            </w:r>
          </w:p>
        </w:tc>
        <w:tc>
          <w:tcPr>
            <w:tcW w:w="687" w:type="pct"/>
            <w:tcBorders>
              <w:top w:val="nil"/>
              <w:left w:val="nil"/>
              <w:bottom w:val="nil"/>
              <w:right w:val="nil"/>
            </w:tcBorders>
          </w:tcPr>
          <w:p w14:paraId="7A30CF1F"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2.094***</w:t>
            </w:r>
          </w:p>
        </w:tc>
        <w:tc>
          <w:tcPr>
            <w:tcW w:w="687" w:type="pct"/>
            <w:tcBorders>
              <w:top w:val="nil"/>
              <w:left w:val="nil"/>
              <w:bottom w:val="nil"/>
              <w:right w:val="nil"/>
            </w:tcBorders>
          </w:tcPr>
          <w:p w14:paraId="3D86D77E"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4.895***</w:t>
            </w:r>
          </w:p>
        </w:tc>
        <w:tc>
          <w:tcPr>
            <w:tcW w:w="829" w:type="pct"/>
            <w:tcBorders>
              <w:top w:val="nil"/>
              <w:left w:val="nil"/>
              <w:bottom w:val="nil"/>
              <w:right w:val="nil"/>
            </w:tcBorders>
          </w:tcPr>
          <w:p w14:paraId="7905C0BB"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4.193***</w:t>
            </w:r>
          </w:p>
        </w:tc>
      </w:tr>
      <w:tr w:rsidR="00E7131D" w:rsidRPr="00CD4846" w14:paraId="7A40454D" w14:textId="77777777" w:rsidTr="00E7131D">
        <w:tc>
          <w:tcPr>
            <w:tcW w:w="1423" w:type="pct"/>
            <w:tcBorders>
              <w:top w:val="nil"/>
              <w:left w:val="nil"/>
              <w:bottom w:val="nil"/>
              <w:right w:val="nil"/>
            </w:tcBorders>
          </w:tcPr>
          <w:p w14:paraId="12AE2F39" w14:textId="31481B14" w:rsidR="00E7131D" w:rsidRPr="00CD4846" w:rsidRDefault="00E7131D" w:rsidP="0058540A">
            <w:pPr>
              <w:widowControl w:val="0"/>
              <w:autoSpaceDE w:val="0"/>
              <w:autoSpaceDN w:val="0"/>
              <w:adjustRightInd w:val="0"/>
              <w:spacing w:line="240" w:lineRule="auto"/>
              <w:rPr>
                <w:rFonts w:cs="Times New Roman"/>
                <w:kern w:val="2"/>
                <w:sz w:val="20"/>
                <w:szCs w:val="20"/>
                <w:lang/>
              </w:rPr>
            </w:pPr>
          </w:p>
        </w:tc>
        <w:tc>
          <w:tcPr>
            <w:tcW w:w="687" w:type="pct"/>
            <w:tcBorders>
              <w:top w:val="nil"/>
              <w:left w:val="nil"/>
              <w:bottom w:val="nil"/>
              <w:right w:val="nil"/>
            </w:tcBorders>
          </w:tcPr>
          <w:p w14:paraId="3F565947"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(0.211)</w:t>
            </w:r>
          </w:p>
        </w:tc>
        <w:tc>
          <w:tcPr>
            <w:tcW w:w="687" w:type="pct"/>
            <w:tcBorders>
              <w:top w:val="nil"/>
              <w:left w:val="nil"/>
              <w:bottom w:val="nil"/>
              <w:right w:val="nil"/>
            </w:tcBorders>
          </w:tcPr>
          <w:p w14:paraId="6EABBBC7"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(0.862)</w:t>
            </w:r>
          </w:p>
        </w:tc>
        <w:tc>
          <w:tcPr>
            <w:tcW w:w="687" w:type="pct"/>
            <w:tcBorders>
              <w:top w:val="nil"/>
              <w:left w:val="nil"/>
              <w:bottom w:val="nil"/>
              <w:right w:val="nil"/>
            </w:tcBorders>
          </w:tcPr>
          <w:p w14:paraId="4D4FA9F8"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(0.363)</w:t>
            </w:r>
          </w:p>
        </w:tc>
        <w:tc>
          <w:tcPr>
            <w:tcW w:w="687" w:type="pct"/>
            <w:tcBorders>
              <w:top w:val="nil"/>
              <w:left w:val="nil"/>
              <w:bottom w:val="nil"/>
              <w:right w:val="nil"/>
            </w:tcBorders>
          </w:tcPr>
          <w:p w14:paraId="04385F7F"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(0.231)</w:t>
            </w:r>
          </w:p>
        </w:tc>
        <w:tc>
          <w:tcPr>
            <w:tcW w:w="829" w:type="pct"/>
            <w:tcBorders>
              <w:top w:val="nil"/>
              <w:left w:val="nil"/>
              <w:bottom w:val="nil"/>
              <w:right w:val="nil"/>
            </w:tcBorders>
          </w:tcPr>
          <w:p w14:paraId="01B43ACC"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(0.269)</w:t>
            </w:r>
          </w:p>
        </w:tc>
      </w:tr>
      <w:tr w:rsidR="00E7131D" w:rsidRPr="00CD4846" w14:paraId="1D5C1467" w14:textId="77777777" w:rsidTr="00E7131D">
        <w:tc>
          <w:tcPr>
            <w:tcW w:w="1423" w:type="pct"/>
            <w:tcBorders>
              <w:top w:val="nil"/>
              <w:left w:val="nil"/>
              <w:bottom w:val="nil"/>
              <w:right w:val="nil"/>
            </w:tcBorders>
          </w:tcPr>
          <w:p w14:paraId="0EAF86BA" w14:textId="3643AD20"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Observations</w:t>
            </w:r>
          </w:p>
        </w:tc>
        <w:tc>
          <w:tcPr>
            <w:tcW w:w="687" w:type="pct"/>
            <w:tcBorders>
              <w:top w:val="nil"/>
              <w:left w:val="nil"/>
              <w:bottom w:val="nil"/>
              <w:right w:val="nil"/>
            </w:tcBorders>
          </w:tcPr>
          <w:p w14:paraId="7ED03966"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15287</w:t>
            </w:r>
          </w:p>
        </w:tc>
        <w:tc>
          <w:tcPr>
            <w:tcW w:w="687" w:type="pct"/>
            <w:tcBorders>
              <w:top w:val="nil"/>
              <w:left w:val="nil"/>
              <w:bottom w:val="nil"/>
              <w:right w:val="nil"/>
            </w:tcBorders>
          </w:tcPr>
          <w:p w14:paraId="1537083A"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10129</w:t>
            </w:r>
          </w:p>
        </w:tc>
        <w:tc>
          <w:tcPr>
            <w:tcW w:w="687" w:type="pct"/>
            <w:tcBorders>
              <w:top w:val="nil"/>
              <w:left w:val="nil"/>
              <w:bottom w:val="nil"/>
              <w:right w:val="nil"/>
            </w:tcBorders>
          </w:tcPr>
          <w:p w14:paraId="7B434A72"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15133</w:t>
            </w:r>
          </w:p>
        </w:tc>
        <w:tc>
          <w:tcPr>
            <w:tcW w:w="687" w:type="pct"/>
            <w:tcBorders>
              <w:top w:val="nil"/>
              <w:left w:val="nil"/>
              <w:bottom w:val="nil"/>
              <w:right w:val="nil"/>
            </w:tcBorders>
          </w:tcPr>
          <w:p w14:paraId="5F8BEC27"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26461</w:t>
            </w:r>
          </w:p>
        </w:tc>
        <w:tc>
          <w:tcPr>
            <w:tcW w:w="829" w:type="pct"/>
            <w:tcBorders>
              <w:top w:val="nil"/>
              <w:left w:val="nil"/>
              <w:bottom w:val="nil"/>
              <w:right w:val="nil"/>
            </w:tcBorders>
          </w:tcPr>
          <w:p w14:paraId="15EF6E03"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26612</w:t>
            </w:r>
          </w:p>
        </w:tc>
      </w:tr>
      <w:tr w:rsidR="00E7131D" w:rsidRPr="00CD4846" w14:paraId="3B22A3AF" w14:textId="77777777" w:rsidTr="00E7131D">
        <w:tc>
          <w:tcPr>
            <w:tcW w:w="1423" w:type="pct"/>
            <w:tcBorders>
              <w:top w:val="nil"/>
              <w:left w:val="nil"/>
              <w:bottom w:val="nil"/>
              <w:right w:val="nil"/>
            </w:tcBorders>
          </w:tcPr>
          <w:p w14:paraId="70876671" w14:textId="5D557CD0"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Pseudo R</w:t>
            </w:r>
            <w:r w:rsidRPr="00CD4846">
              <w:rPr>
                <w:rFonts w:cs="Times New Roman"/>
                <w:kern w:val="2"/>
                <w:sz w:val="20"/>
                <w:szCs w:val="20"/>
                <w:vertAlign w:val="superscript"/>
                <w:lang/>
              </w:rPr>
              <w:t>2</w:t>
            </w:r>
          </w:p>
        </w:tc>
        <w:tc>
          <w:tcPr>
            <w:tcW w:w="687" w:type="pct"/>
            <w:tcBorders>
              <w:top w:val="nil"/>
              <w:left w:val="nil"/>
              <w:bottom w:val="nil"/>
              <w:right w:val="nil"/>
            </w:tcBorders>
          </w:tcPr>
          <w:p w14:paraId="1571F1A4"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0.648</w:t>
            </w:r>
          </w:p>
        </w:tc>
        <w:tc>
          <w:tcPr>
            <w:tcW w:w="687" w:type="pct"/>
            <w:tcBorders>
              <w:top w:val="nil"/>
              <w:left w:val="nil"/>
              <w:bottom w:val="nil"/>
              <w:right w:val="nil"/>
            </w:tcBorders>
          </w:tcPr>
          <w:p w14:paraId="4F4FEC54"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0.708</w:t>
            </w:r>
          </w:p>
        </w:tc>
        <w:tc>
          <w:tcPr>
            <w:tcW w:w="687" w:type="pct"/>
            <w:tcBorders>
              <w:top w:val="nil"/>
              <w:left w:val="nil"/>
              <w:bottom w:val="nil"/>
              <w:right w:val="nil"/>
            </w:tcBorders>
          </w:tcPr>
          <w:p w14:paraId="482A44DB"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0.560</w:t>
            </w:r>
          </w:p>
        </w:tc>
        <w:tc>
          <w:tcPr>
            <w:tcW w:w="687" w:type="pct"/>
            <w:tcBorders>
              <w:top w:val="nil"/>
              <w:left w:val="nil"/>
              <w:bottom w:val="nil"/>
              <w:right w:val="nil"/>
            </w:tcBorders>
          </w:tcPr>
          <w:p w14:paraId="18A06672"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0.958</w:t>
            </w:r>
          </w:p>
        </w:tc>
        <w:tc>
          <w:tcPr>
            <w:tcW w:w="829" w:type="pct"/>
            <w:tcBorders>
              <w:top w:val="nil"/>
              <w:left w:val="nil"/>
              <w:bottom w:val="nil"/>
              <w:right w:val="nil"/>
            </w:tcBorders>
          </w:tcPr>
          <w:p w14:paraId="5C86D192"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0.938</w:t>
            </w:r>
          </w:p>
        </w:tc>
      </w:tr>
      <w:tr w:rsidR="00E7131D" w:rsidRPr="00CD4846" w14:paraId="73A88E3E" w14:textId="77777777" w:rsidTr="00E7131D">
        <w:tc>
          <w:tcPr>
            <w:tcW w:w="1423" w:type="pct"/>
            <w:tcBorders>
              <w:top w:val="nil"/>
              <w:left w:val="nil"/>
              <w:bottom w:val="nil"/>
              <w:right w:val="nil"/>
            </w:tcBorders>
          </w:tcPr>
          <w:p w14:paraId="3AEE3BA7" w14:textId="33A22FC0"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Chi</w:t>
            </w:r>
            <w:r w:rsidRPr="00CD4846">
              <w:rPr>
                <w:rFonts w:cs="Times New Roman"/>
                <w:kern w:val="2"/>
                <w:sz w:val="20"/>
                <w:szCs w:val="20"/>
                <w:vertAlign w:val="superscript"/>
                <w:lang/>
              </w:rPr>
              <w:t>2</w:t>
            </w:r>
          </w:p>
        </w:tc>
        <w:tc>
          <w:tcPr>
            <w:tcW w:w="687" w:type="pct"/>
            <w:tcBorders>
              <w:top w:val="nil"/>
              <w:left w:val="nil"/>
              <w:bottom w:val="nil"/>
              <w:right w:val="nil"/>
            </w:tcBorders>
          </w:tcPr>
          <w:p w14:paraId="60734FA8"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155</w:t>
            </w:r>
          </w:p>
        </w:tc>
        <w:tc>
          <w:tcPr>
            <w:tcW w:w="687" w:type="pct"/>
            <w:tcBorders>
              <w:top w:val="nil"/>
              <w:left w:val="nil"/>
              <w:bottom w:val="nil"/>
              <w:right w:val="nil"/>
            </w:tcBorders>
          </w:tcPr>
          <w:p w14:paraId="42C3BFA4"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161</w:t>
            </w:r>
          </w:p>
        </w:tc>
        <w:tc>
          <w:tcPr>
            <w:tcW w:w="687" w:type="pct"/>
            <w:tcBorders>
              <w:top w:val="nil"/>
              <w:left w:val="nil"/>
              <w:bottom w:val="nil"/>
              <w:right w:val="nil"/>
            </w:tcBorders>
          </w:tcPr>
          <w:p w14:paraId="6A9BC7B9"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127</w:t>
            </w:r>
          </w:p>
        </w:tc>
        <w:tc>
          <w:tcPr>
            <w:tcW w:w="687" w:type="pct"/>
            <w:tcBorders>
              <w:top w:val="nil"/>
              <w:left w:val="nil"/>
              <w:bottom w:val="nil"/>
              <w:right w:val="nil"/>
            </w:tcBorders>
          </w:tcPr>
          <w:p w14:paraId="7549F98B"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188</w:t>
            </w:r>
          </w:p>
        </w:tc>
        <w:tc>
          <w:tcPr>
            <w:tcW w:w="829" w:type="pct"/>
            <w:tcBorders>
              <w:top w:val="nil"/>
              <w:left w:val="nil"/>
              <w:bottom w:val="nil"/>
              <w:right w:val="nil"/>
            </w:tcBorders>
          </w:tcPr>
          <w:p w14:paraId="31F73492"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114</w:t>
            </w:r>
          </w:p>
        </w:tc>
      </w:tr>
      <w:tr w:rsidR="00E7131D" w:rsidRPr="00CD4846" w14:paraId="3693BA3B" w14:textId="77777777" w:rsidTr="00E7131D">
        <w:tc>
          <w:tcPr>
            <w:tcW w:w="1423" w:type="pct"/>
            <w:tcBorders>
              <w:top w:val="nil"/>
              <w:left w:val="nil"/>
              <w:bottom w:val="nil"/>
              <w:right w:val="nil"/>
            </w:tcBorders>
          </w:tcPr>
          <w:p w14:paraId="2465CC1F" w14:textId="700E99B6"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Log Likelihood</w:t>
            </w:r>
          </w:p>
        </w:tc>
        <w:tc>
          <w:tcPr>
            <w:tcW w:w="687" w:type="pct"/>
            <w:tcBorders>
              <w:top w:val="nil"/>
              <w:left w:val="nil"/>
              <w:bottom w:val="nil"/>
              <w:right w:val="nil"/>
            </w:tcBorders>
          </w:tcPr>
          <w:p w14:paraId="705494CE"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-32963</w:t>
            </w:r>
          </w:p>
        </w:tc>
        <w:tc>
          <w:tcPr>
            <w:tcW w:w="687" w:type="pct"/>
            <w:tcBorders>
              <w:top w:val="nil"/>
              <w:left w:val="nil"/>
              <w:bottom w:val="nil"/>
              <w:right w:val="nil"/>
            </w:tcBorders>
          </w:tcPr>
          <w:p w14:paraId="77DD90FA"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-16354</w:t>
            </w:r>
          </w:p>
        </w:tc>
        <w:tc>
          <w:tcPr>
            <w:tcW w:w="687" w:type="pct"/>
            <w:tcBorders>
              <w:top w:val="nil"/>
              <w:left w:val="nil"/>
              <w:bottom w:val="nil"/>
              <w:right w:val="nil"/>
            </w:tcBorders>
          </w:tcPr>
          <w:p w14:paraId="0A0FC7A0"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-21825</w:t>
            </w:r>
          </w:p>
        </w:tc>
        <w:tc>
          <w:tcPr>
            <w:tcW w:w="687" w:type="pct"/>
            <w:tcBorders>
              <w:top w:val="nil"/>
              <w:left w:val="nil"/>
              <w:bottom w:val="nil"/>
              <w:right w:val="nil"/>
            </w:tcBorders>
          </w:tcPr>
          <w:p w14:paraId="1A6A01E5"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-116941</w:t>
            </w:r>
          </w:p>
        </w:tc>
        <w:tc>
          <w:tcPr>
            <w:tcW w:w="829" w:type="pct"/>
            <w:tcBorders>
              <w:top w:val="nil"/>
              <w:left w:val="nil"/>
              <w:bottom w:val="nil"/>
              <w:right w:val="nil"/>
            </w:tcBorders>
          </w:tcPr>
          <w:p w14:paraId="6FD76D94"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-72734</w:t>
            </w:r>
          </w:p>
        </w:tc>
      </w:tr>
      <w:tr w:rsidR="00E7131D" w:rsidRPr="00CD4846" w14:paraId="4521F2FA" w14:textId="77777777" w:rsidTr="00E7131D">
        <w:tc>
          <w:tcPr>
            <w:tcW w:w="1423" w:type="pct"/>
            <w:tcBorders>
              <w:top w:val="nil"/>
              <w:left w:val="nil"/>
              <w:bottom w:val="nil"/>
              <w:right w:val="nil"/>
            </w:tcBorders>
          </w:tcPr>
          <w:p w14:paraId="5C5C3FD3" w14:textId="7B2BC776"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Akaike’s Criterion</w:t>
            </w:r>
          </w:p>
        </w:tc>
        <w:tc>
          <w:tcPr>
            <w:tcW w:w="687" w:type="pct"/>
            <w:tcBorders>
              <w:top w:val="nil"/>
              <w:left w:val="nil"/>
              <w:bottom w:val="nil"/>
              <w:right w:val="nil"/>
            </w:tcBorders>
          </w:tcPr>
          <w:p w14:paraId="5A096C0D"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65963</w:t>
            </w:r>
          </w:p>
        </w:tc>
        <w:tc>
          <w:tcPr>
            <w:tcW w:w="687" w:type="pct"/>
            <w:tcBorders>
              <w:top w:val="nil"/>
              <w:left w:val="nil"/>
              <w:bottom w:val="nil"/>
              <w:right w:val="nil"/>
            </w:tcBorders>
          </w:tcPr>
          <w:p w14:paraId="368305DD"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32744</w:t>
            </w:r>
          </w:p>
        </w:tc>
        <w:tc>
          <w:tcPr>
            <w:tcW w:w="687" w:type="pct"/>
            <w:tcBorders>
              <w:top w:val="nil"/>
              <w:left w:val="nil"/>
              <w:bottom w:val="nil"/>
              <w:right w:val="nil"/>
            </w:tcBorders>
          </w:tcPr>
          <w:p w14:paraId="5B84D2A4"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43687</w:t>
            </w:r>
          </w:p>
        </w:tc>
        <w:tc>
          <w:tcPr>
            <w:tcW w:w="687" w:type="pct"/>
            <w:tcBorders>
              <w:top w:val="nil"/>
              <w:left w:val="nil"/>
              <w:bottom w:val="nil"/>
              <w:right w:val="nil"/>
            </w:tcBorders>
          </w:tcPr>
          <w:p w14:paraId="1191B1E0"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233919</w:t>
            </w:r>
          </w:p>
        </w:tc>
        <w:tc>
          <w:tcPr>
            <w:tcW w:w="829" w:type="pct"/>
            <w:tcBorders>
              <w:top w:val="nil"/>
              <w:left w:val="nil"/>
              <w:bottom w:val="nil"/>
              <w:right w:val="nil"/>
            </w:tcBorders>
          </w:tcPr>
          <w:p w14:paraId="1D619F1E"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145505</w:t>
            </w:r>
          </w:p>
        </w:tc>
      </w:tr>
      <w:tr w:rsidR="00E7131D" w:rsidRPr="00CD4846" w14:paraId="2E7C50BE" w14:textId="77777777" w:rsidTr="00E7131D">
        <w:tc>
          <w:tcPr>
            <w:tcW w:w="1423" w:type="pct"/>
            <w:tcBorders>
              <w:top w:val="nil"/>
              <w:left w:val="nil"/>
              <w:bottom w:val="nil"/>
              <w:right w:val="nil"/>
            </w:tcBorders>
          </w:tcPr>
          <w:p w14:paraId="427339AF" w14:textId="598FECE2"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Bayesian Criterion</w:t>
            </w:r>
          </w:p>
        </w:tc>
        <w:tc>
          <w:tcPr>
            <w:tcW w:w="687" w:type="pct"/>
            <w:tcBorders>
              <w:top w:val="nil"/>
              <w:left w:val="nil"/>
              <w:bottom w:val="nil"/>
              <w:right w:val="nil"/>
            </w:tcBorders>
          </w:tcPr>
          <w:p w14:paraId="5978D8BF"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66101</w:t>
            </w:r>
          </w:p>
        </w:tc>
        <w:tc>
          <w:tcPr>
            <w:tcW w:w="687" w:type="pct"/>
            <w:tcBorders>
              <w:top w:val="nil"/>
              <w:left w:val="nil"/>
              <w:bottom w:val="nil"/>
              <w:right w:val="nil"/>
            </w:tcBorders>
          </w:tcPr>
          <w:p w14:paraId="0C1FFFFD"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32874</w:t>
            </w:r>
          </w:p>
        </w:tc>
        <w:tc>
          <w:tcPr>
            <w:tcW w:w="687" w:type="pct"/>
            <w:tcBorders>
              <w:top w:val="nil"/>
              <w:left w:val="nil"/>
              <w:bottom w:val="nil"/>
              <w:right w:val="nil"/>
            </w:tcBorders>
          </w:tcPr>
          <w:p w14:paraId="42AC5644"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43824</w:t>
            </w:r>
          </w:p>
        </w:tc>
        <w:tc>
          <w:tcPr>
            <w:tcW w:w="687" w:type="pct"/>
            <w:tcBorders>
              <w:top w:val="nil"/>
              <w:left w:val="nil"/>
              <w:bottom w:val="nil"/>
              <w:right w:val="nil"/>
            </w:tcBorders>
          </w:tcPr>
          <w:p w14:paraId="687641DF"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234066</w:t>
            </w:r>
          </w:p>
        </w:tc>
        <w:tc>
          <w:tcPr>
            <w:tcW w:w="829" w:type="pct"/>
            <w:tcBorders>
              <w:top w:val="nil"/>
              <w:left w:val="nil"/>
              <w:bottom w:val="nil"/>
              <w:right w:val="nil"/>
            </w:tcBorders>
          </w:tcPr>
          <w:p w14:paraId="1BC9F9AE"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145652</w:t>
            </w:r>
          </w:p>
        </w:tc>
      </w:tr>
      <w:tr w:rsidR="00E7131D" w:rsidRPr="00CD4846" w14:paraId="7A02E0F8" w14:textId="77777777" w:rsidTr="00E7131D">
        <w:tc>
          <w:tcPr>
            <w:tcW w:w="1423" w:type="pct"/>
            <w:tcBorders>
              <w:top w:val="nil"/>
              <w:left w:val="nil"/>
              <w:bottom w:val="nil"/>
              <w:right w:val="nil"/>
            </w:tcBorders>
          </w:tcPr>
          <w:p w14:paraId="72325C44"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County FE</w:t>
            </w:r>
          </w:p>
        </w:tc>
        <w:tc>
          <w:tcPr>
            <w:tcW w:w="687" w:type="pct"/>
            <w:tcBorders>
              <w:top w:val="nil"/>
              <w:left w:val="nil"/>
              <w:bottom w:val="nil"/>
              <w:right w:val="nil"/>
            </w:tcBorders>
          </w:tcPr>
          <w:p w14:paraId="110A9557"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687" w:type="pct"/>
            <w:tcBorders>
              <w:top w:val="nil"/>
              <w:left w:val="nil"/>
              <w:bottom w:val="nil"/>
              <w:right w:val="nil"/>
            </w:tcBorders>
          </w:tcPr>
          <w:p w14:paraId="5E0FEF2A"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687" w:type="pct"/>
            <w:tcBorders>
              <w:top w:val="nil"/>
              <w:left w:val="nil"/>
              <w:bottom w:val="nil"/>
              <w:right w:val="nil"/>
            </w:tcBorders>
          </w:tcPr>
          <w:p w14:paraId="2456FFD1"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687" w:type="pct"/>
            <w:tcBorders>
              <w:top w:val="nil"/>
              <w:left w:val="nil"/>
              <w:bottom w:val="nil"/>
              <w:right w:val="nil"/>
            </w:tcBorders>
          </w:tcPr>
          <w:p w14:paraId="38A0BB6F"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829" w:type="pct"/>
            <w:tcBorders>
              <w:top w:val="nil"/>
              <w:left w:val="nil"/>
              <w:bottom w:val="nil"/>
              <w:right w:val="nil"/>
            </w:tcBorders>
          </w:tcPr>
          <w:p w14:paraId="0943683F"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r>
      <w:tr w:rsidR="00E7131D" w:rsidRPr="00CD4846" w14:paraId="5CB4BDF1" w14:textId="77777777" w:rsidTr="00E7131D">
        <w:tc>
          <w:tcPr>
            <w:tcW w:w="1423" w:type="pct"/>
            <w:tcBorders>
              <w:top w:val="nil"/>
              <w:left w:val="nil"/>
              <w:bottom w:val="nil"/>
              <w:right w:val="nil"/>
            </w:tcBorders>
          </w:tcPr>
          <w:p w14:paraId="5B7D911D"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State by Year FE</w:t>
            </w:r>
          </w:p>
        </w:tc>
        <w:tc>
          <w:tcPr>
            <w:tcW w:w="687" w:type="pct"/>
            <w:tcBorders>
              <w:top w:val="nil"/>
              <w:left w:val="nil"/>
              <w:bottom w:val="nil"/>
              <w:right w:val="nil"/>
            </w:tcBorders>
          </w:tcPr>
          <w:p w14:paraId="7B34EBA9"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687" w:type="pct"/>
            <w:tcBorders>
              <w:top w:val="nil"/>
              <w:left w:val="nil"/>
              <w:bottom w:val="nil"/>
              <w:right w:val="nil"/>
            </w:tcBorders>
          </w:tcPr>
          <w:p w14:paraId="3841A257"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687" w:type="pct"/>
            <w:tcBorders>
              <w:top w:val="nil"/>
              <w:left w:val="nil"/>
              <w:bottom w:val="nil"/>
              <w:right w:val="nil"/>
            </w:tcBorders>
          </w:tcPr>
          <w:p w14:paraId="48FDA578"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687" w:type="pct"/>
            <w:tcBorders>
              <w:top w:val="nil"/>
              <w:left w:val="nil"/>
              <w:bottom w:val="nil"/>
              <w:right w:val="nil"/>
            </w:tcBorders>
          </w:tcPr>
          <w:p w14:paraId="45C1B978"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829" w:type="pct"/>
            <w:tcBorders>
              <w:top w:val="nil"/>
              <w:left w:val="nil"/>
              <w:bottom w:val="nil"/>
              <w:right w:val="nil"/>
            </w:tcBorders>
          </w:tcPr>
          <w:p w14:paraId="33F5185F"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r>
    </w:tbl>
    <w:p w14:paraId="5939A498" w14:textId="240833FD" w:rsidR="00E7131D" w:rsidRPr="00E7131D" w:rsidRDefault="00E7131D" w:rsidP="00095E25">
      <w:pPr>
        <w:pStyle w:val="Title"/>
      </w:pPr>
      <w:bookmarkStart w:id="265" w:name="_Toc188359622"/>
      <w:bookmarkStart w:id="266" w:name="_Toc188359910"/>
      <w:bookmarkStart w:id="267" w:name="_Toc188361146"/>
      <w:bookmarkStart w:id="268" w:name="_Toc188366990"/>
      <w:r w:rsidRPr="00E7131D">
        <w:rPr>
          <w:rFonts w:hint="eastAsia"/>
        </w:rPr>
        <w:t xml:space="preserve">Table </w:t>
      </w:r>
      <w:r w:rsidRPr="00E7131D">
        <w:t>A17</w:t>
      </w:r>
      <w:r w:rsidRPr="00E7131D">
        <w:rPr>
          <w:rFonts w:hint="eastAsia"/>
        </w:rPr>
        <w:t xml:space="preserve">: </w:t>
      </w:r>
      <w:r>
        <w:rPr>
          <w:lang w:val="en-US"/>
        </w:rPr>
        <w:t>R</w:t>
      </w:r>
      <w:r w:rsidRPr="00E7131D">
        <w:rPr>
          <w:rFonts w:hint="eastAsia"/>
        </w:rPr>
        <w:t xml:space="preserve">egression </w:t>
      </w:r>
      <w:r>
        <w:rPr>
          <w:lang w:val="en-US"/>
        </w:rPr>
        <w:t>R</w:t>
      </w:r>
      <w:r w:rsidRPr="00E7131D">
        <w:rPr>
          <w:rFonts w:hint="eastAsia"/>
        </w:rPr>
        <w:t xml:space="preserve">esults </w:t>
      </w:r>
      <w:r w:rsidRPr="00E7131D">
        <w:t xml:space="preserve">of </w:t>
      </w:r>
      <w:r>
        <w:rPr>
          <w:lang w:val="en-US"/>
        </w:rPr>
        <w:t>B</w:t>
      </w:r>
      <w:r w:rsidRPr="00E7131D">
        <w:t>road PADs on Establishment Exits</w:t>
      </w:r>
      <w:bookmarkEnd w:id="265"/>
      <w:bookmarkEnd w:id="266"/>
      <w:bookmarkEnd w:id="267"/>
      <w:bookmarkEnd w:id="268"/>
      <w:r w:rsidRPr="00E7131D">
        <w:t xml:space="preserve"> </w:t>
      </w:r>
    </w:p>
    <w:p w14:paraId="680117AD" w14:textId="77777777" w:rsidR="00E7131D" w:rsidRDefault="00E7131D" w:rsidP="004C39A4"/>
    <w:p w14:paraId="1F6EC689" w14:textId="77777777" w:rsidR="003959BE" w:rsidRDefault="003959BE" w:rsidP="004C39A4"/>
    <w:p w14:paraId="5ABC9DAA" w14:textId="77777777" w:rsidR="003959BE" w:rsidRDefault="003959BE" w:rsidP="004C39A4"/>
    <w:tbl>
      <w:tblPr>
        <w:tblpPr w:leftFromText="180" w:rightFromText="180" w:vertAnchor="text" w:horzAnchor="margin" w:tblpY="346"/>
        <w:tblW w:w="5000" w:type="pct"/>
        <w:tblLook w:val="04A0" w:firstRow="1" w:lastRow="0" w:firstColumn="1" w:lastColumn="0" w:noHBand="0" w:noVBand="1"/>
      </w:tblPr>
      <w:tblGrid>
        <w:gridCol w:w="2664"/>
        <w:gridCol w:w="1286"/>
        <w:gridCol w:w="1286"/>
        <w:gridCol w:w="1286"/>
        <w:gridCol w:w="1286"/>
        <w:gridCol w:w="1552"/>
      </w:tblGrid>
      <w:tr w:rsidR="00E7131D" w:rsidRPr="0058540A" w14:paraId="664A2891" w14:textId="77777777" w:rsidTr="00E7131D">
        <w:tc>
          <w:tcPr>
            <w:tcW w:w="1423" w:type="pct"/>
            <w:tcBorders>
              <w:top w:val="single" w:sz="4" w:space="0" w:color="auto"/>
              <w:left w:val="nil"/>
              <w:bottom w:val="single" w:sz="4" w:space="0" w:color="auto"/>
              <w:right w:val="nil"/>
            </w:tcBorders>
          </w:tcPr>
          <w:p w14:paraId="1B63011D" w14:textId="738B2850" w:rsidR="00E7131D" w:rsidRPr="0058540A"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b/>
                <w:bCs/>
                <w:kern w:val="2"/>
                <w:sz w:val="20"/>
                <w:szCs w:val="20"/>
                <w:lang/>
              </w:rPr>
              <w:lastRenderedPageBreak/>
              <w:t>Variable</w:t>
            </w:r>
          </w:p>
        </w:tc>
        <w:tc>
          <w:tcPr>
            <w:tcW w:w="687" w:type="pct"/>
            <w:tcBorders>
              <w:top w:val="single" w:sz="4" w:space="0" w:color="auto"/>
              <w:left w:val="nil"/>
              <w:bottom w:val="single" w:sz="4" w:space="0" w:color="auto"/>
              <w:right w:val="nil"/>
            </w:tcBorders>
          </w:tcPr>
          <w:p w14:paraId="402E839C" w14:textId="3C968963" w:rsidR="00E7131D" w:rsidRPr="0058540A"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b/>
                <w:bCs/>
                <w:kern w:val="2"/>
                <w:sz w:val="20"/>
                <w:szCs w:val="20"/>
                <w:lang/>
              </w:rPr>
              <w:t>NAICS 11</w:t>
            </w:r>
          </w:p>
        </w:tc>
        <w:tc>
          <w:tcPr>
            <w:tcW w:w="687" w:type="pct"/>
            <w:tcBorders>
              <w:top w:val="single" w:sz="4" w:space="0" w:color="auto"/>
              <w:left w:val="nil"/>
              <w:bottom w:val="single" w:sz="4" w:space="0" w:color="auto"/>
              <w:right w:val="nil"/>
            </w:tcBorders>
          </w:tcPr>
          <w:p w14:paraId="537BDBDA" w14:textId="76216C69" w:rsidR="00E7131D" w:rsidRPr="0058540A"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b/>
                <w:bCs/>
                <w:kern w:val="2"/>
                <w:sz w:val="20"/>
                <w:szCs w:val="20"/>
                <w:lang/>
              </w:rPr>
              <w:t>NAICS 21</w:t>
            </w:r>
          </w:p>
        </w:tc>
        <w:tc>
          <w:tcPr>
            <w:tcW w:w="687" w:type="pct"/>
            <w:tcBorders>
              <w:top w:val="single" w:sz="4" w:space="0" w:color="auto"/>
              <w:left w:val="nil"/>
              <w:bottom w:val="single" w:sz="4" w:space="0" w:color="auto"/>
              <w:right w:val="nil"/>
            </w:tcBorders>
          </w:tcPr>
          <w:p w14:paraId="51AE0E6A" w14:textId="7B48E2FD" w:rsidR="00E7131D" w:rsidRPr="0058540A"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b/>
                <w:bCs/>
                <w:kern w:val="2"/>
                <w:sz w:val="20"/>
                <w:szCs w:val="20"/>
                <w:lang/>
              </w:rPr>
              <w:t>NAICS 22</w:t>
            </w:r>
          </w:p>
        </w:tc>
        <w:tc>
          <w:tcPr>
            <w:tcW w:w="687" w:type="pct"/>
            <w:tcBorders>
              <w:top w:val="single" w:sz="4" w:space="0" w:color="auto"/>
              <w:left w:val="nil"/>
              <w:bottom w:val="single" w:sz="4" w:space="0" w:color="auto"/>
              <w:right w:val="nil"/>
            </w:tcBorders>
          </w:tcPr>
          <w:p w14:paraId="1D6BD8A5" w14:textId="36390503" w:rsidR="00E7131D" w:rsidRPr="0058540A"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b/>
                <w:bCs/>
                <w:kern w:val="2"/>
                <w:sz w:val="20"/>
                <w:szCs w:val="20"/>
                <w:lang/>
              </w:rPr>
              <w:t>NAICS 23</w:t>
            </w:r>
          </w:p>
        </w:tc>
        <w:tc>
          <w:tcPr>
            <w:tcW w:w="829" w:type="pct"/>
            <w:tcBorders>
              <w:top w:val="single" w:sz="4" w:space="0" w:color="auto"/>
              <w:left w:val="nil"/>
              <w:bottom w:val="single" w:sz="4" w:space="0" w:color="auto"/>
              <w:right w:val="nil"/>
            </w:tcBorders>
          </w:tcPr>
          <w:p w14:paraId="4D62E724" w14:textId="44821CBB" w:rsidR="00E7131D" w:rsidRPr="0058540A"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b/>
                <w:bCs/>
                <w:kern w:val="2"/>
                <w:sz w:val="20"/>
                <w:szCs w:val="20"/>
                <w:lang/>
              </w:rPr>
              <w:t>NAICS 31-33</w:t>
            </w:r>
          </w:p>
        </w:tc>
      </w:tr>
      <w:tr w:rsidR="0058540A" w:rsidRPr="0058540A" w14:paraId="245642D5" w14:textId="77777777" w:rsidTr="00E7131D">
        <w:tc>
          <w:tcPr>
            <w:tcW w:w="1423" w:type="pct"/>
            <w:tcBorders>
              <w:top w:val="single" w:sz="4" w:space="0" w:color="auto"/>
              <w:left w:val="nil"/>
              <w:right w:val="nil"/>
            </w:tcBorders>
          </w:tcPr>
          <w:p w14:paraId="1CE7A0B1" w14:textId="08A2B4A5"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NAICS FE</w:t>
            </w:r>
          </w:p>
        </w:tc>
        <w:tc>
          <w:tcPr>
            <w:tcW w:w="687" w:type="pct"/>
            <w:tcBorders>
              <w:top w:val="single" w:sz="4" w:space="0" w:color="auto"/>
              <w:left w:val="nil"/>
              <w:right w:val="nil"/>
            </w:tcBorders>
          </w:tcPr>
          <w:p w14:paraId="7D0C6D7B"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687" w:type="pct"/>
            <w:tcBorders>
              <w:top w:val="single" w:sz="4" w:space="0" w:color="auto"/>
              <w:left w:val="nil"/>
              <w:right w:val="nil"/>
            </w:tcBorders>
          </w:tcPr>
          <w:p w14:paraId="60D0F6F3"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687" w:type="pct"/>
            <w:tcBorders>
              <w:top w:val="single" w:sz="4" w:space="0" w:color="auto"/>
              <w:left w:val="nil"/>
              <w:right w:val="nil"/>
            </w:tcBorders>
          </w:tcPr>
          <w:p w14:paraId="4B9EBE70"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687" w:type="pct"/>
            <w:tcBorders>
              <w:top w:val="single" w:sz="4" w:space="0" w:color="auto"/>
              <w:left w:val="nil"/>
              <w:right w:val="nil"/>
            </w:tcBorders>
          </w:tcPr>
          <w:p w14:paraId="23FCB9B0"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829" w:type="pct"/>
            <w:tcBorders>
              <w:top w:val="single" w:sz="4" w:space="0" w:color="auto"/>
              <w:left w:val="nil"/>
              <w:right w:val="nil"/>
            </w:tcBorders>
          </w:tcPr>
          <w:p w14:paraId="316C571A"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r>
      <w:tr w:rsidR="00E7131D" w:rsidRPr="00CD4846" w14:paraId="0A37AF77" w14:textId="77777777" w:rsidTr="00E7131D">
        <w:tc>
          <w:tcPr>
            <w:tcW w:w="1423" w:type="pct"/>
            <w:tcBorders>
              <w:top w:val="nil"/>
              <w:left w:val="nil"/>
              <w:bottom w:val="single" w:sz="4" w:space="0" w:color="auto"/>
              <w:right w:val="nil"/>
            </w:tcBorders>
          </w:tcPr>
          <w:p w14:paraId="1C4EBCAC" w14:textId="77777777" w:rsidR="00E7131D" w:rsidRPr="00CD4846" w:rsidRDefault="00E7131D" w:rsidP="0058540A">
            <w:pPr>
              <w:widowControl w:val="0"/>
              <w:autoSpaceDE w:val="0"/>
              <w:autoSpaceDN w:val="0"/>
              <w:adjustRightInd w:val="0"/>
              <w:spacing w:line="240" w:lineRule="auto"/>
              <w:rPr>
                <w:rFonts w:eastAsia="Times New Roman" w:cs="Times New Roman"/>
                <w:b/>
                <w:bCs/>
                <w:color w:val="5F6368"/>
                <w:kern w:val="2"/>
                <w:sz w:val="20"/>
                <w:szCs w:val="20"/>
                <w:shd w:val="clear" w:color="auto" w:fill="FFFFFF"/>
                <w:lang/>
              </w:rPr>
            </w:pPr>
            <w:r w:rsidRPr="00CD4846">
              <w:rPr>
                <w:rFonts w:eastAsia="Times New Roman" w:cs="Times New Roman"/>
                <w:kern w:val="2"/>
                <w:sz w:val="20"/>
                <w:szCs w:val="20"/>
                <w:lang/>
              </w:rPr>
              <w:t>PA-PA</w:t>
            </w:r>
            <w:r w:rsidRPr="00CD4846">
              <w:rPr>
                <w:rFonts w:eastAsia="Times New Roman" w:cs="Times New Roman"/>
                <w:b/>
                <w:bCs/>
                <w:i/>
                <w:color w:val="5F6368"/>
                <w:kern w:val="2"/>
                <w:sz w:val="20"/>
                <w:szCs w:val="20"/>
                <w:shd w:val="clear" w:color="auto" w:fill="FFFFFF"/>
                <w:lang/>
              </w:rPr>
              <w:t>²</w:t>
            </w:r>
            <w:r w:rsidRPr="00CD4846">
              <w:rPr>
                <w:rFonts w:cs="Times New Roman"/>
                <w:b/>
                <w:bCs/>
                <w:i/>
                <w:color w:val="5F6368"/>
                <w:kern w:val="2"/>
                <w:sz w:val="20"/>
                <w:szCs w:val="20"/>
                <w:shd w:val="clear" w:color="auto" w:fill="FFFFFF"/>
                <w:lang/>
              </w:rPr>
              <w:t xml:space="preserve"> </w:t>
            </w:r>
            <w:r w:rsidRPr="00CD4846">
              <w:rPr>
                <w:rFonts w:eastAsia="Times New Roman" w:cs="Times New Roman"/>
                <w:kern w:val="2"/>
                <w:sz w:val="20"/>
                <w:szCs w:val="20"/>
                <w:lang/>
              </w:rPr>
              <w:t xml:space="preserve">Joint Test </w:t>
            </w:r>
            <w:r w:rsidRPr="00CD4846">
              <w:rPr>
                <w:rFonts w:cs="Times New Roman"/>
                <w:kern w:val="2"/>
                <w:sz w:val="20"/>
                <w:szCs w:val="20"/>
                <w:lang/>
              </w:rPr>
              <w:t>p-value</w:t>
            </w:r>
          </w:p>
        </w:tc>
        <w:tc>
          <w:tcPr>
            <w:tcW w:w="687" w:type="pct"/>
            <w:tcBorders>
              <w:top w:val="nil"/>
              <w:left w:val="nil"/>
              <w:bottom w:val="single" w:sz="4" w:space="0" w:color="auto"/>
              <w:right w:val="nil"/>
            </w:tcBorders>
          </w:tcPr>
          <w:p w14:paraId="13A8DD6A"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0.3122</w:t>
            </w:r>
          </w:p>
        </w:tc>
        <w:tc>
          <w:tcPr>
            <w:tcW w:w="687" w:type="pct"/>
            <w:tcBorders>
              <w:top w:val="nil"/>
              <w:left w:val="nil"/>
              <w:bottom w:val="single" w:sz="4" w:space="0" w:color="auto"/>
              <w:right w:val="nil"/>
            </w:tcBorders>
          </w:tcPr>
          <w:p w14:paraId="5042F78F" w14:textId="77777777" w:rsidR="00E7131D" w:rsidRPr="00CD4846" w:rsidRDefault="00E7131D"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0.4009</w:t>
            </w:r>
          </w:p>
        </w:tc>
        <w:tc>
          <w:tcPr>
            <w:tcW w:w="687" w:type="pct"/>
            <w:tcBorders>
              <w:top w:val="nil"/>
              <w:left w:val="nil"/>
              <w:bottom w:val="single" w:sz="4" w:space="0" w:color="auto"/>
              <w:right w:val="nil"/>
            </w:tcBorders>
          </w:tcPr>
          <w:p w14:paraId="342010CD" w14:textId="77777777" w:rsidR="00E7131D" w:rsidRPr="00CD4846" w:rsidRDefault="00E7131D" w:rsidP="0058540A">
            <w:pPr>
              <w:widowControl w:val="0"/>
              <w:autoSpaceDE w:val="0"/>
              <w:autoSpaceDN w:val="0"/>
              <w:adjustRightInd w:val="0"/>
              <w:spacing w:line="240" w:lineRule="auto"/>
              <w:rPr>
                <w:rFonts w:cs="Times New Roman"/>
                <w:bCs/>
                <w:kern w:val="2"/>
                <w:sz w:val="20"/>
                <w:szCs w:val="20"/>
                <w:lang/>
              </w:rPr>
            </w:pPr>
            <w:r w:rsidRPr="00CD4846">
              <w:rPr>
                <w:rFonts w:cs="Times New Roman"/>
                <w:bCs/>
                <w:kern w:val="2"/>
                <w:sz w:val="20"/>
                <w:szCs w:val="20"/>
                <w:lang/>
              </w:rPr>
              <w:t>0.0130</w:t>
            </w:r>
          </w:p>
        </w:tc>
        <w:tc>
          <w:tcPr>
            <w:tcW w:w="687" w:type="pct"/>
            <w:tcBorders>
              <w:top w:val="nil"/>
              <w:left w:val="nil"/>
              <w:bottom w:val="single" w:sz="4" w:space="0" w:color="auto"/>
              <w:right w:val="nil"/>
            </w:tcBorders>
          </w:tcPr>
          <w:p w14:paraId="4D3158DF" w14:textId="77777777" w:rsidR="00E7131D" w:rsidRPr="00CD4846" w:rsidRDefault="00E7131D" w:rsidP="0058540A">
            <w:pPr>
              <w:widowControl w:val="0"/>
              <w:autoSpaceDE w:val="0"/>
              <w:autoSpaceDN w:val="0"/>
              <w:adjustRightInd w:val="0"/>
              <w:spacing w:line="240" w:lineRule="auto"/>
              <w:rPr>
                <w:rFonts w:cs="Times New Roman"/>
                <w:bCs/>
                <w:kern w:val="2"/>
                <w:sz w:val="20"/>
                <w:szCs w:val="20"/>
                <w:lang/>
              </w:rPr>
            </w:pPr>
            <w:r w:rsidRPr="00CD4846">
              <w:rPr>
                <w:rFonts w:cs="Times New Roman"/>
                <w:bCs/>
                <w:kern w:val="2"/>
                <w:sz w:val="20"/>
                <w:szCs w:val="20"/>
                <w:lang/>
              </w:rPr>
              <w:t>0.0922</w:t>
            </w:r>
          </w:p>
        </w:tc>
        <w:tc>
          <w:tcPr>
            <w:tcW w:w="829" w:type="pct"/>
            <w:tcBorders>
              <w:top w:val="nil"/>
              <w:left w:val="nil"/>
              <w:bottom w:val="single" w:sz="4" w:space="0" w:color="auto"/>
              <w:right w:val="nil"/>
            </w:tcBorders>
          </w:tcPr>
          <w:p w14:paraId="792B3907" w14:textId="77777777" w:rsidR="00E7131D" w:rsidRPr="00CD4846" w:rsidRDefault="00E7131D" w:rsidP="0058540A">
            <w:pPr>
              <w:widowControl w:val="0"/>
              <w:autoSpaceDE w:val="0"/>
              <w:autoSpaceDN w:val="0"/>
              <w:adjustRightInd w:val="0"/>
              <w:spacing w:line="240" w:lineRule="auto"/>
              <w:rPr>
                <w:rFonts w:cs="Times New Roman"/>
                <w:bCs/>
                <w:kern w:val="2"/>
                <w:sz w:val="20"/>
                <w:szCs w:val="20"/>
                <w:lang/>
              </w:rPr>
            </w:pPr>
            <w:r w:rsidRPr="00CD4846">
              <w:rPr>
                <w:rFonts w:cs="Times New Roman"/>
                <w:bCs/>
                <w:kern w:val="2"/>
                <w:sz w:val="20"/>
                <w:szCs w:val="20"/>
                <w:lang/>
              </w:rPr>
              <w:t>0.0055</w:t>
            </w:r>
          </w:p>
        </w:tc>
      </w:tr>
    </w:tbl>
    <w:bookmarkEnd w:id="264"/>
    <w:p w14:paraId="52400733" w14:textId="172C43EA" w:rsidR="00CD4846" w:rsidRPr="00CD4846" w:rsidRDefault="00E7131D" w:rsidP="0058540A">
      <w:pPr>
        <w:spacing w:line="240" w:lineRule="auto"/>
        <w:rPr>
          <w:rFonts w:cs="Times New Roman"/>
          <w:kern w:val="2"/>
          <w:lang/>
        </w:rPr>
      </w:pPr>
      <w:r w:rsidRPr="0058540A">
        <w:rPr>
          <w:rFonts w:eastAsia="Times New Roman" w:cs="Times New Roman"/>
          <w:b/>
          <w:bCs/>
          <w:kern w:val="2"/>
          <w14:ligatures w14:val="standardContextual"/>
        </w:rPr>
        <w:t>Table A17 Continued</w:t>
      </w:r>
    </w:p>
    <w:p w14:paraId="544582D3" w14:textId="78C8A5F7" w:rsidR="00CD4846" w:rsidRPr="00CD4846" w:rsidRDefault="00CD4846" w:rsidP="0058540A">
      <w:pPr>
        <w:spacing w:line="240" w:lineRule="auto"/>
        <w:rPr>
          <w:rFonts w:ascii="Calibri" w:eastAsia="DengXian" w:hAnsi="Calibri"/>
          <w:i/>
          <w:iCs/>
          <w:lang/>
        </w:rPr>
      </w:pPr>
      <w:r w:rsidRPr="0058540A">
        <w:rPr>
          <w:rFonts w:cs="Times New Roman"/>
          <w:sz w:val="20"/>
          <w:szCs w:val="20"/>
          <w:lang/>
        </w:rPr>
        <w:t xml:space="preserve">Table </w:t>
      </w:r>
      <w:r w:rsidRPr="0058540A">
        <w:rPr>
          <w:rFonts w:cs="Times New Roman"/>
          <w:sz w:val="20"/>
          <w:szCs w:val="20"/>
          <w:lang/>
        </w:rPr>
        <w:t>A17</w:t>
      </w:r>
      <w:r w:rsidRPr="0058540A">
        <w:rPr>
          <w:rFonts w:cs="Times New Roman"/>
          <w:sz w:val="20"/>
          <w:szCs w:val="20"/>
          <w:lang/>
        </w:rPr>
        <w:t xml:space="preserve">: </w:t>
      </w:r>
      <w:r w:rsidRPr="0058540A">
        <w:rPr>
          <w:rFonts w:cs="Times New Roman"/>
          <w:sz w:val="20"/>
          <w:szCs w:val="20"/>
          <w:lang/>
        </w:rPr>
        <w:t>PPMLHDFE r</w:t>
      </w:r>
      <w:r w:rsidRPr="0058540A">
        <w:rPr>
          <w:rFonts w:cs="Times New Roman"/>
          <w:sz w:val="20"/>
          <w:szCs w:val="20"/>
          <w:lang/>
        </w:rPr>
        <w:t xml:space="preserve">egression results </w:t>
      </w:r>
      <w:r w:rsidRPr="0058540A">
        <w:rPr>
          <w:rFonts w:cs="Times New Roman"/>
          <w:sz w:val="20"/>
          <w:szCs w:val="20"/>
          <w:lang/>
        </w:rPr>
        <w:t xml:space="preserve">on total establishment exits under broad PADs (GAP 1-4) are presented above. Column names correspond to a specific NAICS sector. </w:t>
      </w:r>
      <w:r w:rsidR="002A78A3" w:rsidRPr="00C624DB">
        <w:rPr>
          <w:sz w:val="20"/>
          <w:szCs w:val="20"/>
          <w:lang/>
        </w:rPr>
        <w:t xml:space="preserve">Standard errors are </w:t>
      </w:r>
      <w:r w:rsidR="002A78A3">
        <w:rPr>
          <w:sz w:val="20"/>
          <w:szCs w:val="20"/>
          <w:lang/>
        </w:rPr>
        <w:t xml:space="preserve">in parentheses and are </w:t>
      </w:r>
      <w:r w:rsidR="002A78A3" w:rsidRPr="00C624DB">
        <w:rPr>
          <w:sz w:val="20"/>
          <w:szCs w:val="20"/>
          <w:lang/>
        </w:rPr>
        <w:t xml:space="preserve">clustered at the county level. </w:t>
      </w:r>
      <w:r w:rsidR="002A78A3" w:rsidRPr="002C0F11">
        <w:rPr>
          <w:sz w:val="20"/>
          <w:szCs w:val="20"/>
          <w:lang/>
        </w:rPr>
        <w:t>Statistically significant impacts are denoted by asterisks. These asterisks denote statistical significance at the following levels: ***p &lt; 0.01, **p &lt; 0.05, *p &lt; 0.1.</w:t>
      </w:r>
      <w:r w:rsidR="002A78A3">
        <w:rPr>
          <w:sz w:val="20"/>
          <w:szCs w:val="20"/>
          <w:lang/>
        </w:rPr>
        <w:t xml:space="preserve"> </w:t>
      </w:r>
      <w:r w:rsidRPr="0058540A">
        <w:rPr>
          <w:rFonts w:cs="Times New Roman"/>
          <w:sz w:val="20"/>
          <w:szCs w:val="20"/>
          <w:lang/>
        </w:rPr>
        <w:t>p-values of joint-tests on linear and quadratic PAD terms are shown in the last row.</w:t>
      </w:r>
    </w:p>
    <w:p w14:paraId="09B8BC89" w14:textId="77777777" w:rsidR="00CD4846" w:rsidRPr="00CD4846" w:rsidRDefault="00CD4846" w:rsidP="004C39A4">
      <w:pPr>
        <w:spacing w:line="259" w:lineRule="auto"/>
        <w:rPr>
          <w:rFonts w:ascii="DengXian" w:hAnsi="DengXian" w:cs="Times New Roman"/>
          <w:kern w:val="2"/>
          <w:sz w:val="22"/>
          <w:szCs w:val="22"/>
          <w:lang/>
        </w:rPr>
      </w:pPr>
      <w:r w:rsidRPr="00CD4846">
        <w:rPr>
          <w:rFonts w:ascii="DengXian" w:hAnsi="DengXian" w:cs="Times New Roman"/>
          <w:kern w:val="2"/>
          <w:sz w:val="22"/>
          <w:szCs w:val="22"/>
          <w:lang/>
        </w:rPr>
        <w:br w:type="page"/>
      </w:r>
    </w:p>
    <w:p w14:paraId="0F258C1E" w14:textId="77777777" w:rsidR="00CD4846" w:rsidRPr="00CD4846" w:rsidRDefault="00CD4846" w:rsidP="00095E25">
      <w:pPr>
        <w:pStyle w:val="Title"/>
      </w:pPr>
      <w:bookmarkStart w:id="269" w:name="_Toc186799422"/>
      <w:bookmarkStart w:id="270" w:name="_Toc188359623"/>
      <w:bookmarkStart w:id="271" w:name="_Toc188359911"/>
      <w:bookmarkStart w:id="272" w:name="_Toc188361147"/>
      <w:bookmarkStart w:id="273" w:name="_Toc188366991"/>
      <w:r w:rsidRPr="00CD4846">
        <w:lastRenderedPageBreak/>
        <w:t>Table A18: Regression Results of Strict PADs on Births</w:t>
      </w:r>
      <w:bookmarkEnd w:id="269"/>
      <w:bookmarkEnd w:id="270"/>
      <w:bookmarkEnd w:id="271"/>
      <w:bookmarkEnd w:id="272"/>
      <w:bookmarkEnd w:id="273"/>
    </w:p>
    <w:tbl>
      <w:tblPr>
        <w:tblW w:w="5000" w:type="pct"/>
        <w:tblLook w:val="04A0" w:firstRow="1" w:lastRow="0" w:firstColumn="1" w:lastColumn="0" w:noHBand="0" w:noVBand="1"/>
      </w:tblPr>
      <w:tblGrid>
        <w:gridCol w:w="2693"/>
        <w:gridCol w:w="1281"/>
        <w:gridCol w:w="1280"/>
        <w:gridCol w:w="1280"/>
        <w:gridCol w:w="1280"/>
        <w:gridCol w:w="1546"/>
      </w:tblGrid>
      <w:tr w:rsidR="00CD4846" w:rsidRPr="00CD4846" w14:paraId="723B9E93" w14:textId="77777777" w:rsidTr="00475D06">
        <w:tc>
          <w:tcPr>
            <w:tcW w:w="1438" w:type="pct"/>
            <w:tcBorders>
              <w:top w:val="single" w:sz="4" w:space="0" w:color="auto"/>
              <w:left w:val="nil"/>
              <w:bottom w:val="single" w:sz="4" w:space="0" w:color="auto"/>
              <w:right w:val="nil"/>
            </w:tcBorders>
          </w:tcPr>
          <w:p w14:paraId="2E7D2527" w14:textId="070438D8" w:rsidR="00CD4846" w:rsidRPr="00CD4846" w:rsidRDefault="00CD4846" w:rsidP="0058540A">
            <w:pPr>
              <w:widowControl w:val="0"/>
              <w:autoSpaceDE w:val="0"/>
              <w:autoSpaceDN w:val="0"/>
              <w:adjustRightInd w:val="0"/>
              <w:spacing w:line="240" w:lineRule="auto"/>
              <w:rPr>
                <w:rFonts w:cs="Times New Roman"/>
                <w:b/>
                <w:bCs/>
                <w:kern w:val="2"/>
                <w:sz w:val="20"/>
                <w:szCs w:val="20"/>
                <w:lang/>
              </w:rPr>
            </w:pPr>
            <w:r w:rsidRPr="00CD4846">
              <w:rPr>
                <w:rFonts w:cs="Times New Roman"/>
                <w:b/>
                <w:bCs/>
                <w:kern w:val="2"/>
                <w:sz w:val="20"/>
                <w:szCs w:val="20"/>
                <w:lang/>
              </w:rPr>
              <w:t>Variable</w:t>
            </w:r>
          </w:p>
        </w:tc>
        <w:tc>
          <w:tcPr>
            <w:tcW w:w="684" w:type="pct"/>
            <w:tcBorders>
              <w:top w:val="single" w:sz="4" w:space="0" w:color="auto"/>
              <w:left w:val="nil"/>
              <w:bottom w:val="single" w:sz="4" w:space="0" w:color="auto"/>
              <w:right w:val="nil"/>
            </w:tcBorders>
          </w:tcPr>
          <w:p w14:paraId="1207233C" w14:textId="48056A2B" w:rsidR="00CD4846" w:rsidRPr="00CD4846" w:rsidRDefault="00CD4846" w:rsidP="0058540A">
            <w:pPr>
              <w:widowControl w:val="0"/>
              <w:autoSpaceDE w:val="0"/>
              <w:autoSpaceDN w:val="0"/>
              <w:adjustRightInd w:val="0"/>
              <w:spacing w:line="240" w:lineRule="auto"/>
              <w:rPr>
                <w:rFonts w:cs="Times New Roman"/>
                <w:b/>
                <w:bCs/>
                <w:kern w:val="2"/>
                <w:sz w:val="20"/>
                <w:szCs w:val="20"/>
                <w:lang/>
              </w:rPr>
            </w:pPr>
            <w:r w:rsidRPr="00CD4846">
              <w:rPr>
                <w:rFonts w:cs="Times New Roman"/>
                <w:b/>
                <w:bCs/>
                <w:kern w:val="2"/>
                <w:sz w:val="20"/>
                <w:szCs w:val="20"/>
                <w:lang/>
              </w:rPr>
              <w:t>NAICS 11</w:t>
            </w:r>
          </w:p>
        </w:tc>
        <w:tc>
          <w:tcPr>
            <w:tcW w:w="684" w:type="pct"/>
            <w:tcBorders>
              <w:top w:val="single" w:sz="4" w:space="0" w:color="auto"/>
              <w:left w:val="nil"/>
              <w:bottom w:val="single" w:sz="4" w:space="0" w:color="auto"/>
              <w:right w:val="nil"/>
            </w:tcBorders>
          </w:tcPr>
          <w:p w14:paraId="36DF7503" w14:textId="12C6DA33" w:rsidR="00CD4846" w:rsidRPr="00CD4846" w:rsidRDefault="00CD4846" w:rsidP="0058540A">
            <w:pPr>
              <w:widowControl w:val="0"/>
              <w:autoSpaceDE w:val="0"/>
              <w:autoSpaceDN w:val="0"/>
              <w:adjustRightInd w:val="0"/>
              <w:spacing w:line="240" w:lineRule="auto"/>
              <w:rPr>
                <w:rFonts w:cs="Times New Roman"/>
                <w:b/>
                <w:bCs/>
                <w:kern w:val="2"/>
                <w:sz w:val="20"/>
                <w:szCs w:val="20"/>
                <w:lang/>
              </w:rPr>
            </w:pPr>
            <w:r w:rsidRPr="00CD4846">
              <w:rPr>
                <w:rFonts w:cs="Times New Roman"/>
                <w:b/>
                <w:bCs/>
                <w:kern w:val="2"/>
                <w:sz w:val="20"/>
                <w:szCs w:val="20"/>
                <w:lang/>
              </w:rPr>
              <w:t>NAICS 21</w:t>
            </w:r>
          </w:p>
        </w:tc>
        <w:tc>
          <w:tcPr>
            <w:tcW w:w="684" w:type="pct"/>
            <w:tcBorders>
              <w:top w:val="single" w:sz="4" w:space="0" w:color="auto"/>
              <w:left w:val="nil"/>
              <w:bottom w:val="single" w:sz="4" w:space="0" w:color="auto"/>
              <w:right w:val="nil"/>
            </w:tcBorders>
          </w:tcPr>
          <w:p w14:paraId="3598C11E" w14:textId="71ADA38D" w:rsidR="00CD4846" w:rsidRPr="00CD4846" w:rsidRDefault="00CD4846" w:rsidP="0058540A">
            <w:pPr>
              <w:widowControl w:val="0"/>
              <w:autoSpaceDE w:val="0"/>
              <w:autoSpaceDN w:val="0"/>
              <w:adjustRightInd w:val="0"/>
              <w:spacing w:line="240" w:lineRule="auto"/>
              <w:rPr>
                <w:rFonts w:cs="Times New Roman"/>
                <w:b/>
                <w:bCs/>
                <w:kern w:val="2"/>
                <w:sz w:val="20"/>
                <w:szCs w:val="20"/>
                <w:lang/>
              </w:rPr>
            </w:pPr>
            <w:r w:rsidRPr="00CD4846">
              <w:rPr>
                <w:rFonts w:cs="Times New Roman"/>
                <w:b/>
                <w:bCs/>
                <w:kern w:val="2"/>
                <w:sz w:val="20"/>
                <w:szCs w:val="20"/>
                <w:lang/>
              </w:rPr>
              <w:t>NAICS 22</w:t>
            </w:r>
          </w:p>
        </w:tc>
        <w:tc>
          <w:tcPr>
            <w:tcW w:w="684" w:type="pct"/>
            <w:tcBorders>
              <w:top w:val="single" w:sz="4" w:space="0" w:color="auto"/>
              <w:left w:val="nil"/>
              <w:bottom w:val="single" w:sz="4" w:space="0" w:color="auto"/>
              <w:right w:val="nil"/>
            </w:tcBorders>
          </w:tcPr>
          <w:p w14:paraId="40356B3F" w14:textId="2D684DF0" w:rsidR="00CD4846" w:rsidRPr="00CD4846" w:rsidRDefault="00CD4846" w:rsidP="0058540A">
            <w:pPr>
              <w:widowControl w:val="0"/>
              <w:autoSpaceDE w:val="0"/>
              <w:autoSpaceDN w:val="0"/>
              <w:adjustRightInd w:val="0"/>
              <w:spacing w:line="240" w:lineRule="auto"/>
              <w:rPr>
                <w:rFonts w:cs="Times New Roman"/>
                <w:b/>
                <w:bCs/>
                <w:kern w:val="2"/>
                <w:sz w:val="20"/>
                <w:szCs w:val="20"/>
                <w:lang/>
              </w:rPr>
            </w:pPr>
            <w:r w:rsidRPr="00CD4846">
              <w:rPr>
                <w:rFonts w:cs="Times New Roman"/>
                <w:b/>
                <w:bCs/>
                <w:kern w:val="2"/>
                <w:sz w:val="20"/>
                <w:szCs w:val="20"/>
                <w:lang/>
              </w:rPr>
              <w:t>NAICS 23</w:t>
            </w:r>
          </w:p>
        </w:tc>
        <w:tc>
          <w:tcPr>
            <w:tcW w:w="827" w:type="pct"/>
            <w:tcBorders>
              <w:top w:val="single" w:sz="4" w:space="0" w:color="auto"/>
              <w:left w:val="nil"/>
              <w:bottom w:val="single" w:sz="4" w:space="0" w:color="auto"/>
              <w:right w:val="nil"/>
            </w:tcBorders>
          </w:tcPr>
          <w:p w14:paraId="5C603770" w14:textId="1582B174" w:rsidR="00CD4846" w:rsidRPr="00CD4846" w:rsidRDefault="00CD4846" w:rsidP="0058540A">
            <w:pPr>
              <w:widowControl w:val="0"/>
              <w:autoSpaceDE w:val="0"/>
              <w:autoSpaceDN w:val="0"/>
              <w:adjustRightInd w:val="0"/>
              <w:spacing w:line="240" w:lineRule="auto"/>
              <w:rPr>
                <w:rFonts w:cs="Times New Roman"/>
                <w:b/>
                <w:bCs/>
                <w:kern w:val="2"/>
                <w:sz w:val="20"/>
                <w:szCs w:val="20"/>
                <w:lang/>
              </w:rPr>
            </w:pPr>
            <w:r w:rsidRPr="00CD4846">
              <w:rPr>
                <w:rFonts w:cs="Times New Roman"/>
                <w:b/>
                <w:bCs/>
                <w:kern w:val="2"/>
                <w:sz w:val="20"/>
                <w:szCs w:val="20"/>
                <w:lang/>
              </w:rPr>
              <w:t>NAICS 31-33</w:t>
            </w:r>
          </w:p>
        </w:tc>
      </w:tr>
      <w:tr w:rsidR="00CD4846" w:rsidRPr="00CD4846" w14:paraId="7EF9E28D" w14:textId="77777777" w:rsidTr="00475D06">
        <w:tc>
          <w:tcPr>
            <w:tcW w:w="1438" w:type="pct"/>
            <w:tcBorders>
              <w:top w:val="single" w:sz="4" w:space="0" w:color="auto"/>
              <w:left w:val="nil"/>
              <w:bottom w:val="nil"/>
              <w:right w:val="nil"/>
            </w:tcBorders>
          </w:tcPr>
          <w:p w14:paraId="743F53E7"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Strict PAD(t-1)</w:t>
            </w:r>
          </w:p>
        </w:tc>
        <w:tc>
          <w:tcPr>
            <w:tcW w:w="684" w:type="pct"/>
            <w:tcBorders>
              <w:top w:val="single" w:sz="4" w:space="0" w:color="auto"/>
              <w:left w:val="nil"/>
              <w:bottom w:val="nil"/>
              <w:right w:val="nil"/>
            </w:tcBorders>
          </w:tcPr>
          <w:p w14:paraId="3C82B157"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2.274***</w:t>
            </w:r>
          </w:p>
        </w:tc>
        <w:tc>
          <w:tcPr>
            <w:tcW w:w="684" w:type="pct"/>
            <w:tcBorders>
              <w:top w:val="single" w:sz="4" w:space="0" w:color="auto"/>
              <w:left w:val="nil"/>
              <w:bottom w:val="nil"/>
              <w:right w:val="nil"/>
            </w:tcBorders>
          </w:tcPr>
          <w:p w14:paraId="7CDA2A26"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-0.270</w:t>
            </w:r>
          </w:p>
        </w:tc>
        <w:tc>
          <w:tcPr>
            <w:tcW w:w="684" w:type="pct"/>
            <w:tcBorders>
              <w:top w:val="single" w:sz="4" w:space="0" w:color="auto"/>
              <w:left w:val="nil"/>
              <w:bottom w:val="nil"/>
              <w:right w:val="nil"/>
            </w:tcBorders>
          </w:tcPr>
          <w:p w14:paraId="588FE1F3"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1.516</w:t>
            </w:r>
          </w:p>
        </w:tc>
        <w:tc>
          <w:tcPr>
            <w:tcW w:w="684" w:type="pct"/>
            <w:tcBorders>
              <w:top w:val="single" w:sz="4" w:space="0" w:color="auto"/>
              <w:left w:val="nil"/>
              <w:bottom w:val="nil"/>
              <w:right w:val="nil"/>
            </w:tcBorders>
          </w:tcPr>
          <w:p w14:paraId="22DC01B8"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0.359</w:t>
            </w:r>
          </w:p>
        </w:tc>
        <w:tc>
          <w:tcPr>
            <w:tcW w:w="827" w:type="pct"/>
            <w:tcBorders>
              <w:top w:val="single" w:sz="4" w:space="0" w:color="auto"/>
              <w:left w:val="nil"/>
              <w:bottom w:val="nil"/>
              <w:right w:val="nil"/>
            </w:tcBorders>
          </w:tcPr>
          <w:p w14:paraId="6D3AAC89"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-2.115***</w:t>
            </w:r>
          </w:p>
        </w:tc>
      </w:tr>
      <w:tr w:rsidR="00CD4846" w:rsidRPr="00CD4846" w14:paraId="47581730" w14:textId="77777777" w:rsidTr="00475D06">
        <w:tc>
          <w:tcPr>
            <w:tcW w:w="1438" w:type="pct"/>
            <w:tcBorders>
              <w:top w:val="nil"/>
              <w:left w:val="nil"/>
              <w:bottom w:val="nil"/>
              <w:right w:val="nil"/>
            </w:tcBorders>
          </w:tcPr>
          <w:p w14:paraId="537532E2" w14:textId="51DE6AA2"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84" w:type="pct"/>
            <w:tcBorders>
              <w:top w:val="nil"/>
              <w:left w:val="nil"/>
              <w:bottom w:val="nil"/>
              <w:right w:val="nil"/>
            </w:tcBorders>
          </w:tcPr>
          <w:p w14:paraId="522DE516"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(0.632)</w:t>
            </w:r>
          </w:p>
        </w:tc>
        <w:tc>
          <w:tcPr>
            <w:tcW w:w="684" w:type="pct"/>
            <w:tcBorders>
              <w:top w:val="nil"/>
              <w:left w:val="nil"/>
              <w:bottom w:val="nil"/>
              <w:right w:val="nil"/>
            </w:tcBorders>
          </w:tcPr>
          <w:p w14:paraId="45BA66CA"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(1.336)</w:t>
            </w:r>
          </w:p>
        </w:tc>
        <w:tc>
          <w:tcPr>
            <w:tcW w:w="684" w:type="pct"/>
            <w:tcBorders>
              <w:top w:val="nil"/>
              <w:left w:val="nil"/>
              <w:bottom w:val="nil"/>
              <w:right w:val="nil"/>
            </w:tcBorders>
          </w:tcPr>
          <w:p w14:paraId="1B063F82"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(1.185)</w:t>
            </w:r>
          </w:p>
        </w:tc>
        <w:tc>
          <w:tcPr>
            <w:tcW w:w="684" w:type="pct"/>
            <w:tcBorders>
              <w:top w:val="nil"/>
              <w:left w:val="nil"/>
              <w:bottom w:val="nil"/>
              <w:right w:val="nil"/>
            </w:tcBorders>
          </w:tcPr>
          <w:p w14:paraId="59BF15D2"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(0.573)</w:t>
            </w:r>
          </w:p>
        </w:tc>
        <w:tc>
          <w:tcPr>
            <w:tcW w:w="827" w:type="pct"/>
            <w:tcBorders>
              <w:top w:val="nil"/>
              <w:left w:val="nil"/>
              <w:bottom w:val="nil"/>
              <w:right w:val="nil"/>
            </w:tcBorders>
          </w:tcPr>
          <w:p w14:paraId="12B510F4"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(0.754)</w:t>
            </w:r>
          </w:p>
        </w:tc>
      </w:tr>
      <w:tr w:rsidR="00CD4846" w:rsidRPr="00CD4846" w14:paraId="44E1C7DD" w14:textId="77777777" w:rsidTr="00475D06">
        <w:tc>
          <w:tcPr>
            <w:tcW w:w="1438" w:type="pct"/>
            <w:tcBorders>
              <w:top w:val="nil"/>
              <w:left w:val="nil"/>
              <w:bottom w:val="nil"/>
              <w:right w:val="nil"/>
            </w:tcBorders>
          </w:tcPr>
          <w:p w14:paraId="197E6F45"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Strict PAD Sq. (t-1)</w:t>
            </w:r>
          </w:p>
        </w:tc>
        <w:tc>
          <w:tcPr>
            <w:tcW w:w="684" w:type="pct"/>
            <w:tcBorders>
              <w:top w:val="nil"/>
              <w:left w:val="nil"/>
              <w:bottom w:val="nil"/>
              <w:right w:val="nil"/>
            </w:tcBorders>
          </w:tcPr>
          <w:p w14:paraId="227F73F3"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-2.048*</w:t>
            </w:r>
          </w:p>
        </w:tc>
        <w:tc>
          <w:tcPr>
            <w:tcW w:w="684" w:type="pct"/>
            <w:tcBorders>
              <w:top w:val="nil"/>
              <w:left w:val="nil"/>
              <w:bottom w:val="nil"/>
              <w:right w:val="nil"/>
            </w:tcBorders>
          </w:tcPr>
          <w:p w14:paraId="0E8FE881"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4.545</w:t>
            </w:r>
          </w:p>
        </w:tc>
        <w:tc>
          <w:tcPr>
            <w:tcW w:w="684" w:type="pct"/>
            <w:tcBorders>
              <w:top w:val="nil"/>
              <w:left w:val="nil"/>
              <w:bottom w:val="nil"/>
              <w:right w:val="nil"/>
            </w:tcBorders>
          </w:tcPr>
          <w:p w14:paraId="41D74B52"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-1.234</w:t>
            </w:r>
          </w:p>
        </w:tc>
        <w:tc>
          <w:tcPr>
            <w:tcW w:w="684" w:type="pct"/>
            <w:tcBorders>
              <w:top w:val="nil"/>
              <w:left w:val="nil"/>
              <w:bottom w:val="nil"/>
              <w:right w:val="nil"/>
            </w:tcBorders>
          </w:tcPr>
          <w:p w14:paraId="7B7153F0"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-0.573</w:t>
            </w:r>
          </w:p>
        </w:tc>
        <w:tc>
          <w:tcPr>
            <w:tcW w:w="827" w:type="pct"/>
            <w:tcBorders>
              <w:top w:val="nil"/>
              <w:left w:val="nil"/>
              <w:bottom w:val="nil"/>
              <w:right w:val="nil"/>
            </w:tcBorders>
          </w:tcPr>
          <w:p w14:paraId="45AE2582"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3.668***</w:t>
            </w:r>
          </w:p>
        </w:tc>
      </w:tr>
      <w:tr w:rsidR="00CD4846" w:rsidRPr="00CD4846" w14:paraId="65D34BD8" w14:textId="77777777" w:rsidTr="00475D06">
        <w:tc>
          <w:tcPr>
            <w:tcW w:w="1438" w:type="pct"/>
            <w:tcBorders>
              <w:top w:val="nil"/>
              <w:left w:val="nil"/>
              <w:bottom w:val="nil"/>
              <w:right w:val="nil"/>
            </w:tcBorders>
          </w:tcPr>
          <w:p w14:paraId="24BD48BF" w14:textId="5CADAB3B"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84" w:type="pct"/>
            <w:tcBorders>
              <w:top w:val="nil"/>
              <w:left w:val="nil"/>
              <w:bottom w:val="nil"/>
              <w:right w:val="nil"/>
            </w:tcBorders>
          </w:tcPr>
          <w:p w14:paraId="0C9C8A9A"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(1.157)</w:t>
            </w:r>
          </w:p>
        </w:tc>
        <w:tc>
          <w:tcPr>
            <w:tcW w:w="684" w:type="pct"/>
            <w:tcBorders>
              <w:top w:val="nil"/>
              <w:left w:val="nil"/>
              <w:bottom w:val="nil"/>
              <w:right w:val="nil"/>
            </w:tcBorders>
          </w:tcPr>
          <w:p w14:paraId="6C7DE6CC"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(2.957)</w:t>
            </w:r>
          </w:p>
        </w:tc>
        <w:tc>
          <w:tcPr>
            <w:tcW w:w="684" w:type="pct"/>
            <w:tcBorders>
              <w:top w:val="nil"/>
              <w:left w:val="nil"/>
              <w:bottom w:val="nil"/>
              <w:right w:val="nil"/>
            </w:tcBorders>
          </w:tcPr>
          <w:p w14:paraId="350C0A6F"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(2.130)</w:t>
            </w:r>
          </w:p>
        </w:tc>
        <w:tc>
          <w:tcPr>
            <w:tcW w:w="684" w:type="pct"/>
            <w:tcBorders>
              <w:top w:val="nil"/>
              <w:left w:val="nil"/>
              <w:bottom w:val="nil"/>
              <w:right w:val="nil"/>
            </w:tcBorders>
          </w:tcPr>
          <w:p w14:paraId="29F91493"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(0.966)</w:t>
            </w:r>
          </w:p>
        </w:tc>
        <w:tc>
          <w:tcPr>
            <w:tcW w:w="827" w:type="pct"/>
            <w:tcBorders>
              <w:top w:val="nil"/>
              <w:left w:val="nil"/>
              <w:bottom w:val="nil"/>
              <w:right w:val="nil"/>
            </w:tcBorders>
          </w:tcPr>
          <w:p w14:paraId="5397137C"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(1.279)</w:t>
            </w:r>
          </w:p>
        </w:tc>
      </w:tr>
      <w:tr w:rsidR="00CD4846" w:rsidRPr="00CD4846" w14:paraId="74B399B2" w14:textId="77777777" w:rsidTr="00475D06">
        <w:tc>
          <w:tcPr>
            <w:tcW w:w="1438" w:type="pct"/>
            <w:tcBorders>
              <w:top w:val="nil"/>
              <w:left w:val="nil"/>
              <w:bottom w:val="nil"/>
              <w:right w:val="nil"/>
            </w:tcBorders>
          </w:tcPr>
          <w:p w14:paraId="76118877" w14:textId="0D8EE33C"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Loc. Economies (t-1) (10ks)</w:t>
            </w:r>
          </w:p>
        </w:tc>
        <w:tc>
          <w:tcPr>
            <w:tcW w:w="684" w:type="pct"/>
            <w:tcBorders>
              <w:top w:val="nil"/>
              <w:left w:val="nil"/>
              <w:bottom w:val="nil"/>
              <w:right w:val="nil"/>
            </w:tcBorders>
          </w:tcPr>
          <w:p w14:paraId="19AD25C2"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-42.973***</w:t>
            </w:r>
          </w:p>
        </w:tc>
        <w:tc>
          <w:tcPr>
            <w:tcW w:w="684" w:type="pct"/>
            <w:tcBorders>
              <w:top w:val="nil"/>
              <w:left w:val="nil"/>
              <w:bottom w:val="nil"/>
              <w:right w:val="nil"/>
            </w:tcBorders>
          </w:tcPr>
          <w:p w14:paraId="228E45F1"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-10.724**</w:t>
            </w:r>
          </w:p>
        </w:tc>
        <w:tc>
          <w:tcPr>
            <w:tcW w:w="684" w:type="pct"/>
            <w:tcBorders>
              <w:top w:val="nil"/>
              <w:left w:val="nil"/>
              <w:bottom w:val="nil"/>
              <w:right w:val="nil"/>
            </w:tcBorders>
          </w:tcPr>
          <w:p w14:paraId="471DE672"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-133.185***</w:t>
            </w:r>
          </w:p>
        </w:tc>
        <w:tc>
          <w:tcPr>
            <w:tcW w:w="684" w:type="pct"/>
            <w:tcBorders>
              <w:top w:val="nil"/>
              <w:left w:val="nil"/>
              <w:bottom w:val="nil"/>
              <w:right w:val="nil"/>
            </w:tcBorders>
          </w:tcPr>
          <w:p w14:paraId="611E9095"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-0.457***</w:t>
            </w:r>
          </w:p>
        </w:tc>
        <w:tc>
          <w:tcPr>
            <w:tcW w:w="827" w:type="pct"/>
            <w:tcBorders>
              <w:top w:val="nil"/>
              <w:left w:val="nil"/>
              <w:bottom w:val="nil"/>
              <w:right w:val="nil"/>
            </w:tcBorders>
          </w:tcPr>
          <w:p w14:paraId="6C9D96E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-0.664</w:t>
            </w:r>
          </w:p>
        </w:tc>
      </w:tr>
      <w:tr w:rsidR="00CD4846" w:rsidRPr="00CD4846" w14:paraId="66EA2B34" w14:textId="77777777" w:rsidTr="00475D06">
        <w:tc>
          <w:tcPr>
            <w:tcW w:w="1438" w:type="pct"/>
            <w:tcBorders>
              <w:top w:val="nil"/>
              <w:left w:val="nil"/>
              <w:bottom w:val="nil"/>
              <w:right w:val="nil"/>
            </w:tcBorders>
          </w:tcPr>
          <w:p w14:paraId="291C4A43" w14:textId="3DB01E62"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84" w:type="pct"/>
            <w:tcBorders>
              <w:top w:val="nil"/>
              <w:left w:val="nil"/>
              <w:bottom w:val="nil"/>
              <w:right w:val="nil"/>
            </w:tcBorders>
          </w:tcPr>
          <w:p w14:paraId="3D59A4E9"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(6.400)</w:t>
            </w:r>
          </w:p>
        </w:tc>
        <w:tc>
          <w:tcPr>
            <w:tcW w:w="684" w:type="pct"/>
            <w:tcBorders>
              <w:top w:val="nil"/>
              <w:left w:val="nil"/>
              <w:bottom w:val="nil"/>
              <w:right w:val="nil"/>
            </w:tcBorders>
          </w:tcPr>
          <w:p w14:paraId="33185DCE"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(4.764)</w:t>
            </w:r>
          </w:p>
        </w:tc>
        <w:tc>
          <w:tcPr>
            <w:tcW w:w="684" w:type="pct"/>
            <w:tcBorders>
              <w:top w:val="nil"/>
              <w:left w:val="nil"/>
              <w:bottom w:val="nil"/>
              <w:right w:val="nil"/>
            </w:tcBorders>
          </w:tcPr>
          <w:p w14:paraId="48D37589"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(35.270)</w:t>
            </w:r>
          </w:p>
        </w:tc>
        <w:tc>
          <w:tcPr>
            <w:tcW w:w="684" w:type="pct"/>
            <w:tcBorders>
              <w:top w:val="nil"/>
              <w:left w:val="nil"/>
              <w:bottom w:val="nil"/>
              <w:right w:val="nil"/>
            </w:tcBorders>
          </w:tcPr>
          <w:p w14:paraId="7350F078"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(0.165)</w:t>
            </w:r>
          </w:p>
        </w:tc>
        <w:tc>
          <w:tcPr>
            <w:tcW w:w="827" w:type="pct"/>
            <w:tcBorders>
              <w:top w:val="nil"/>
              <w:left w:val="nil"/>
              <w:bottom w:val="nil"/>
              <w:right w:val="nil"/>
            </w:tcBorders>
          </w:tcPr>
          <w:p w14:paraId="0326146C"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(0.480)</w:t>
            </w:r>
          </w:p>
        </w:tc>
      </w:tr>
      <w:tr w:rsidR="00CD4846" w:rsidRPr="00CD4846" w14:paraId="7A8E2F2A" w14:textId="77777777" w:rsidTr="00475D06">
        <w:tc>
          <w:tcPr>
            <w:tcW w:w="1438" w:type="pct"/>
            <w:tcBorders>
              <w:top w:val="nil"/>
              <w:left w:val="nil"/>
              <w:bottom w:val="nil"/>
              <w:right w:val="nil"/>
            </w:tcBorders>
          </w:tcPr>
          <w:p w14:paraId="40885E08" w14:textId="288A682D"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Median HH Income (100ks)</w:t>
            </w:r>
          </w:p>
        </w:tc>
        <w:tc>
          <w:tcPr>
            <w:tcW w:w="684" w:type="pct"/>
            <w:tcBorders>
              <w:top w:val="nil"/>
              <w:left w:val="nil"/>
              <w:bottom w:val="nil"/>
              <w:right w:val="nil"/>
            </w:tcBorders>
          </w:tcPr>
          <w:p w14:paraId="4A8C3837"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-0.018</w:t>
            </w:r>
          </w:p>
        </w:tc>
        <w:tc>
          <w:tcPr>
            <w:tcW w:w="684" w:type="pct"/>
            <w:tcBorders>
              <w:top w:val="nil"/>
              <w:left w:val="nil"/>
              <w:bottom w:val="nil"/>
              <w:right w:val="nil"/>
            </w:tcBorders>
          </w:tcPr>
          <w:p w14:paraId="0055719F"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0.999**</w:t>
            </w:r>
          </w:p>
        </w:tc>
        <w:tc>
          <w:tcPr>
            <w:tcW w:w="684" w:type="pct"/>
            <w:tcBorders>
              <w:top w:val="nil"/>
              <w:left w:val="nil"/>
              <w:bottom w:val="nil"/>
              <w:right w:val="nil"/>
            </w:tcBorders>
          </w:tcPr>
          <w:p w14:paraId="68F499D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0.375</w:t>
            </w:r>
          </w:p>
        </w:tc>
        <w:tc>
          <w:tcPr>
            <w:tcW w:w="684" w:type="pct"/>
            <w:tcBorders>
              <w:top w:val="nil"/>
              <w:left w:val="nil"/>
              <w:bottom w:val="nil"/>
              <w:right w:val="nil"/>
            </w:tcBorders>
          </w:tcPr>
          <w:p w14:paraId="0ABF5023"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0.250</w:t>
            </w:r>
          </w:p>
        </w:tc>
        <w:tc>
          <w:tcPr>
            <w:tcW w:w="827" w:type="pct"/>
            <w:tcBorders>
              <w:top w:val="nil"/>
              <w:left w:val="nil"/>
              <w:bottom w:val="nil"/>
              <w:right w:val="nil"/>
            </w:tcBorders>
          </w:tcPr>
          <w:p w14:paraId="68720DF4"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-0.176</w:t>
            </w:r>
          </w:p>
        </w:tc>
      </w:tr>
      <w:tr w:rsidR="00CD4846" w:rsidRPr="00CD4846" w14:paraId="0365F151" w14:textId="77777777" w:rsidTr="00475D06">
        <w:tc>
          <w:tcPr>
            <w:tcW w:w="1438" w:type="pct"/>
            <w:tcBorders>
              <w:top w:val="nil"/>
              <w:left w:val="nil"/>
              <w:bottom w:val="nil"/>
              <w:right w:val="nil"/>
            </w:tcBorders>
          </w:tcPr>
          <w:p w14:paraId="3BB4632E" w14:textId="60CB4044"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84" w:type="pct"/>
            <w:tcBorders>
              <w:top w:val="nil"/>
              <w:left w:val="nil"/>
              <w:bottom w:val="nil"/>
              <w:right w:val="nil"/>
            </w:tcBorders>
          </w:tcPr>
          <w:p w14:paraId="124DBE8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(0.310)</w:t>
            </w:r>
          </w:p>
        </w:tc>
        <w:tc>
          <w:tcPr>
            <w:tcW w:w="684" w:type="pct"/>
            <w:tcBorders>
              <w:top w:val="nil"/>
              <w:left w:val="nil"/>
              <w:bottom w:val="nil"/>
              <w:right w:val="nil"/>
            </w:tcBorders>
          </w:tcPr>
          <w:p w14:paraId="4B93A460"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(0.415)</w:t>
            </w:r>
          </w:p>
        </w:tc>
        <w:tc>
          <w:tcPr>
            <w:tcW w:w="684" w:type="pct"/>
            <w:tcBorders>
              <w:top w:val="nil"/>
              <w:left w:val="nil"/>
              <w:bottom w:val="nil"/>
              <w:right w:val="nil"/>
            </w:tcBorders>
          </w:tcPr>
          <w:p w14:paraId="7A15D475"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(0.460)</w:t>
            </w:r>
          </w:p>
        </w:tc>
        <w:tc>
          <w:tcPr>
            <w:tcW w:w="684" w:type="pct"/>
            <w:tcBorders>
              <w:top w:val="nil"/>
              <w:left w:val="nil"/>
              <w:bottom w:val="nil"/>
              <w:right w:val="nil"/>
            </w:tcBorders>
          </w:tcPr>
          <w:p w14:paraId="328487B0"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(0.177)</w:t>
            </w:r>
          </w:p>
        </w:tc>
        <w:tc>
          <w:tcPr>
            <w:tcW w:w="827" w:type="pct"/>
            <w:tcBorders>
              <w:top w:val="nil"/>
              <w:left w:val="nil"/>
              <w:bottom w:val="nil"/>
              <w:right w:val="nil"/>
            </w:tcBorders>
          </w:tcPr>
          <w:p w14:paraId="21563618"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(0.189)</w:t>
            </w:r>
          </w:p>
        </w:tc>
      </w:tr>
      <w:tr w:rsidR="00CD4846" w:rsidRPr="00CD4846" w14:paraId="0A65DD14" w14:textId="77777777" w:rsidTr="00475D06">
        <w:tc>
          <w:tcPr>
            <w:tcW w:w="1438" w:type="pct"/>
            <w:tcBorders>
              <w:top w:val="nil"/>
              <w:left w:val="nil"/>
              <w:bottom w:val="nil"/>
              <w:right w:val="nil"/>
            </w:tcBorders>
          </w:tcPr>
          <w:p w14:paraId="78E7658C" w14:textId="706D5A33"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Housing Price Index (100s)</w:t>
            </w:r>
          </w:p>
        </w:tc>
        <w:tc>
          <w:tcPr>
            <w:tcW w:w="684" w:type="pct"/>
            <w:tcBorders>
              <w:top w:val="nil"/>
              <w:left w:val="nil"/>
              <w:bottom w:val="nil"/>
              <w:right w:val="nil"/>
            </w:tcBorders>
          </w:tcPr>
          <w:p w14:paraId="602FA3BE"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0.080***</w:t>
            </w:r>
          </w:p>
        </w:tc>
        <w:tc>
          <w:tcPr>
            <w:tcW w:w="684" w:type="pct"/>
            <w:tcBorders>
              <w:top w:val="nil"/>
              <w:left w:val="nil"/>
              <w:bottom w:val="nil"/>
              <w:right w:val="nil"/>
            </w:tcBorders>
          </w:tcPr>
          <w:p w14:paraId="1EA9A1D8"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0.068**</w:t>
            </w:r>
          </w:p>
        </w:tc>
        <w:tc>
          <w:tcPr>
            <w:tcW w:w="684" w:type="pct"/>
            <w:tcBorders>
              <w:top w:val="nil"/>
              <w:left w:val="nil"/>
              <w:bottom w:val="nil"/>
              <w:right w:val="nil"/>
            </w:tcBorders>
          </w:tcPr>
          <w:p w14:paraId="6CB28B92"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-0.035</w:t>
            </w:r>
          </w:p>
        </w:tc>
        <w:tc>
          <w:tcPr>
            <w:tcW w:w="684" w:type="pct"/>
            <w:tcBorders>
              <w:top w:val="nil"/>
              <w:left w:val="nil"/>
              <w:bottom w:val="nil"/>
              <w:right w:val="nil"/>
            </w:tcBorders>
          </w:tcPr>
          <w:p w14:paraId="18A15169"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0.025*</w:t>
            </w:r>
          </w:p>
        </w:tc>
        <w:tc>
          <w:tcPr>
            <w:tcW w:w="827" w:type="pct"/>
            <w:tcBorders>
              <w:top w:val="nil"/>
              <w:left w:val="nil"/>
              <w:bottom w:val="nil"/>
              <w:right w:val="nil"/>
            </w:tcBorders>
          </w:tcPr>
          <w:p w14:paraId="7FBCD5E0"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0.032***</w:t>
            </w:r>
          </w:p>
        </w:tc>
      </w:tr>
      <w:tr w:rsidR="00CD4846" w:rsidRPr="00CD4846" w14:paraId="761935D1" w14:textId="77777777" w:rsidTr="00475D06">
        <w:tc>
          <w:tcPr>
            <w:tcW w:w="1438" w:type="pct"/>
            <w:tcBorders>
              <w:top w:val="nil"/>
              <w:left w:val="nil"/>
              <w:bottom w:val="nil"/>
              <w:right w:val="nil"/>
            </w:tcBorders>
          </w:tcPr>
          <w:p w14:paraId="00DEEE8F" w14:textId="2E2A4D24"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84" w:type="pct"/>
            <w:tcBorders>
              <w:top w:val="nil"/>
              <w:left w:val="nil"/>
              <w:bottom w:val="nil"/>
              <w:right w:val="nil"/>
            </w:tcBorders>
          </w:tcPr>
          <w:p w14:paraId="03729076"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(0.026)</w:t>
            </w:r>
          </w:p>
        </w:tc>
        <w:tc>
          <w:tcPr>
            <w:tcW w:w="684" w:type="pct"/>
            <w:tcBorders>
              <w:top w:val="nil"/>
              <w:left w:val="nil"/>
              <w:bottom w:val="nil"/>
              <w:right w:val="nil"/>
            </w:tcBorders>
          </w:tcPr>
          <w:p w14:paraId="5D1CAE4C"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(0.032)</w:t>
            </w:r>
          </w:p>
        </w:tc>
        <w:tc>
          <w:tcPr>
            <w:tcW w:w="684" w:type="pct"/>
            <w:tcBorders>
              <w:top w:val="nil"/>
              <w:left w:val="nil"/>
              <w:bottom w:val="nil"/>
              <w:right w:val="nil"/>
            </w:tcBorders>
          </w:tcPr>
          <w:p w14:paraId="30577E1F"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(0.030)</w:t>
            </w:r>
          </w:p>
        </w:tc>
        <w:tc>
          <w:tcPr>
            <w:tcW w:w="684" w:type="pct"/>
            <w:tcBorders>
              <w:top w:val="nil"/>
              <w:left w:val="nil"/>
              <w:bottom w:val="nil"/>
              <w:right w:val="nil"/>
            </w:tcBorders>
          </w:tcPr>
          <w:p w14:paraId="278E440E"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(0.014)</w:t>
            </w:r>
          </w:p>
        </w:tc>
        <w:tc>
          <w:tcPr>
            <w:tcW w:w="827" w:type="pct"/>
            <w:tcBorders>
              <w:top w:val="nil"/>
              <w:left w:val="nil"/>
              <w:bottom w:val="nil"/>
              <w:right w:val="nil"/>
            </w:tcBorders>
          </w:tcPr>
          <w:p w14:paraId="17D589EE"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(0.011)</w:t>
            </w:r>
          </w:p>
        </w:tc>
      </w:tr>
      <w:tr w:rsidR="00CD4846" w:rsidRPr="00CD4846" w14:paraId="2E9B79EF" w14:textId="77777777" w:rsidTr="00475D06">
        <w:tc>
          <w:tcPr>
            <w:tcW w:w="1438" w:type="pct"/>
            <w:tcBorders>
              <w:top w:val="nil"/>
              <w:left w:val="nil"/>
              <w:bottom w:val="nil"/>
              <w:right w:val="nil"/>
            </w:tcBorders>
          </w:tcPr>
          <w:p w14:paraId="40328245" w14:textId="27DE263C"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Poverty rate (100s)</w:t>
            </w:r>
          </w:p>
        </w:tc>
        <w:tc>
          <w:tcPr>
            <w:tcW w:w="684" w:type="pct"/>
            <w:tcBorders>
              <w:top w:val="nil"/>
              <w:left w:val="nil"/>
              <w:bottom w:val="nil"/>
              <w:right w:val="nil"/>
            </w:tcBorders>
          </w:tcPr>
          <w:p w14:paraId="6CBC67E8"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-0.266</w:t>
            </w:r>
          </w:p>
        </w:tc>
        <w:tc>
          <w:tcPr>
            <w:tcW w:w="684" w:type="pct"/>
            <w:tcBorders>
              <w:top w:val="nil"/>
              <w:left w:val="nil"/>
              <w:bottom w:val="nil"/>
              <w:right w:val="nil"/>
            </w:tcBorders>
          </w:tcPr>
          <w:p w14:paraId="12EB1D21"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-1.548**</w:t>
            </w:r>
          </w:p>
        </w:tc>
        <w:tc>
          <w:tcPr>
            <w:tcW w:w="684" w:type="pct"/>
            <w:tcBorders>
              <w:top w:val="nil"/>
              <w:left w:val="nil"/>
              <w:bottom w:val="nil"/>
              <w:right w:val="nil"/>
            </w:tcBorders>
          </w:tcPr>
          <w:p w14:paraId="60C9398D"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1.092</w:t>
            </w:r>
          </w:p>
        </w:tc>
        <w:tc>
          <w:tcPr>
            <w:tcW w:w="684" w:type="pct"/>
            <w:tcBorders>
              <w:top w:val="nil"/>
              <w:left w:val="nil"/>
              <w:bottom w:val="nil"/>
              <w:right w:val="nil"/>
            </w:tcBorders>
          </w:tcPr>
          <w:p w14:paraId="22B1C9C4"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-0.270</w:t>
            </w:r>
          </w:p>
        </w:tc>
        <w:tc>
          <w:tcPr>
            <w:tcW w:w="827" w:type="pct"/>
            <w:tcBorders>
              <w:top w:val="nil"/>
              <w:left w:val="nil"/>
              <w:bottom w:val="nil"/>
              <w:right w:val="nil"/>
            </w:tcBorders>
          </w:tcPr>
          <w:p w14:paraId="19961B21"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-0.419*</w:t>
            </w:r>
          </w:p>
        </w:tc>
      </w:tr>
      <w:tr w:rsidR="00CD4846" w:rsidRPr="00CD4846" w14:paraId="5799C38E" w14:textId="77777777" w:rsidTr="00475D06">
        <w:tc>
          <w:tcPr>
            <w:tcW w:w="1438" w:type="pct"/>
            <w:tcBorders>
              <w:top w:val="nil"/>
              <w:left w:val="nil"/>
              <w:bottom w:val="nil"/>
              <w:right w:val="nil"/>
            </w:tcBorders>
          </w:tcPr>
          <w:p w14:paraId="1DA1A177" w14:textId="106DA291"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84" w:type="pct"/>
            <w:tcBorders>
              <w:top w:val="nil"/>
              <w:left w:val="nil"/>
              <w:bottom w:val="nil"/>
              <w:right w:val="nil"/>
            </w:tcBorders>
          </w:tcPr>
          <w:p w14:paraId="5CBC0B53"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(0.546)</w:t>
            </w:r>
          </w:p>
        </w:tc>
        <w:tc>
          <w:tcPr>
            <w:tcW w:w="684" w:type="pct"/>
            <w:tcBorders>
              <w:top w:val="nil"/>
              <w:left w:val="nil"/>
              <w:bottom w:val="nil"/>
              <w:right w:val="nil"/>
            </w:tcBorders>
          </w:tcPr>
          <w:p w14:paraId="350B58BA"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(0.696)</w:t>
            </w:r>
          </w:p>
        </w:tc>
        <w:tc>
          <w:tcPr>
            <w:tcW w:w="684" w:type="pct"/>
            <w:tcBorders>
              <w:top w:val="nil"/>
              <w:left w:val="nil"/>
              <w:bottom w:val="nil"/>
              <w:right w:val="nil"/>
            </w:tcBorders>
          </w:tcPr>
          <w:p w14:paraId="0F57AECA"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(0.711)</w:t>
            </w:r>
          </w:p>
        </w:tc>
        <w:tc>
          <w:tcPr>
            <w:tcW w:w="684" w:type="pct"/>
            <w:tcBorders>
              <w:top w:val="nil"/>
              <w:left w:val="nil"/>
              <w:bottom w:val="nil"/>
              <w:right w:val="nil"/>
            </w:tcBorders>
          </w:tcPr>
          <w:p w14:paraId="31D93F58"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(0.292)</w:t>
            </w:r>
          </w:p>
        </w:tc>
        <w:tc>
          <w:tcPr>
            <w:tcW w:w="827" w:type="pct"/>
            <w:tcBorders>
              <w:top w:val="nil"/>
              <w:left w:val="nil"/>
              <w:bottom w:val="nil"/>
              <w:right w:val="nil"/>
            </w:tcBorders>
          </w:tcPr>
          <w:p w14:paraId="765FE324"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(0.253)</w:t>
            </w:r>
          </w:p>
        </w:tc>
      </w:tr>
      <w:tr w:rsidR="00CD4846" w:rsidRPr="00CD4846" w14:paraId="696C2EB6" w14:textId="77777777" w:rsidTr="00475D06">
        <w:tc>
          <w:tcPr>
            <w:tcW w:w="1438" w:type="pct"/>
            <w:tcBorders>
              <w:top w:val="nil"/>
              <w:left w:val="nil"/>
              <w:bottom w:val="nil"/>
              <w:right w:val="nil"/>
            </w:tcBorders>
          </w:tcPr>
          <w:p w14:paraId="40EFF295" w14:textId="59025530"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Avg annual wages (100k)</w:t>
            </w:r>
          </w:p>
        </w:tc>
        <w:tc>
          <w:tcPr>
            <w:tcW w:w="684" w:type="pct"/>
            <w:tcBorders>
              <w:top w:val="nil"/>
              <w:left w:val="nil"/>
              <w:bottom w:val="nil"/>
              <w:right w:val="nil"/>
            </w:tcBorders>
          </w:tcPr>
          <w:p w14:paraId="503A095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0.018</w:t>
            </w:r>
          </w:p>
        </w:tc>
        <w:tc>
          <w:tcPr>
            <w:tcW w:w="684" w:type="pct"/>
            <w:tcBorders>
              <w:top w:val="nil"/>
              <w:left w:val="nil"/>
              <w:bottom w:val="nil"/>
              <w:right w:val="nil"/>
            </w:tcBorders>
          </w:tcPr>
          <w:p w14:paraId="5D85CFFC"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0.005</w:t>
            </w:r>
          </w:p>
        </w:tc>
        <w:tc>
          <w:tcPr>
            <w:tcW w:w="684" w:type="pct"/>
            <w:tcBorders>
              <w:top w:val="nil"/>
              <w:left w:val="nil"/>
              <w:bottom w:val="nil"/>
              <w:right w:val="nil"/>
            </w:tcBorders>
          </w:tcPr>
          <w:p w14:paraId="7188CDE9"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-0.008</w:t>
            </w:r>
          </w:p>
        </w:tc>
        <w:tc>
          <w:tcPr>
            <w:tcW w:w="684" w:type="pct"/>
            <w:tcBorders>
              <w:top w:val="nil"/>
              <w:left w:val="nil"/>
              <w:bottom w:val="nil"/>
              <w:right w:val="nil"/>
            </w:tcBorders>
          </w:tcPr>
          <w:p w14:paraId="28505BE8"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-0.005</w:t>
            </w:r>
          </w:p>
        </w:tc>
        <w:tc>
          <w:tcPr>
            <w:tcW w:w="827" w:type="pct"/>
            <w:tcBorders>
              <w:top w:val="nil"/>
              <w:left w:val="nil"/>
              <w:bottom w:val="nil"/>
              <w:right w:val="nil"/>
            </w:tcBorders>
          </w:tcPr>
          <w:p w14:paraId="2DE29B4A"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-0.011</w:t>
            </w:r>
          </w:p>
        </w:tc>
      </w:tr>
      <w:tr w:rsidR="00CD4846" w:rsidRPr="00CD4846" w14:paraId="6356D7C6" w14:textId="77777777" w:rsidTr="00475D06">
        <w:tc>
          <w:tcPr>
            <w:tcW w:w="1438" w:type="pct"/>
            <w:tcBorders>
              <w:top w:val="nil"/>
              <w:left w:val="nil"/>
              <w:bottom w:val="nil"/>
              <w:right w:val="nil"/>
            </w:tcBorders>
          </w:tcPr>
          <w:p w14:paraId="7648EB3C" w14:textId="498AFB56"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84" w:type="pct"/>
            <w:tcBorders>
              <w:top w:val="nil"/>
              <w:left w:val="nil"/>
              <w:bottom w:val="nil"/>
              <w:right w:val="nil"/>
            </w:tcBorders>
          </w:tcPr>
          <w:p w14:paraId="667544F2"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(0.013)</w:t>
            </w:r>
          </w:p>
        </w:tc>
        <w:tc>
          <w:tcPr>
            <w:tcW w:w="684" w:type="pct"/>
            <w:tcBorders>
              <w:top w:val="nil"/>
              <w:left w:val="nil"/>
              <w:bottom w:val="nil"/>
              <w:right w:val="nil"/>
            </w:tcBorders>
          </w:tcPr>
          <w:p w14:paraId="3BE2E456"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(0.006)</w:t>
            </w:r>
          </w:p>
        </w:tc>
        <w:tc>
          <w:tcPr>
            <w:tcW w:w="684" w:type="pct"/>
            <w:tcBorders>
              <w:top w:val="nil"/>
              <w:left w:val="nil"/>
              <w:bottom w:val="nil"/>
              <w:right w:val="nil"/>
            </w:tcBorders>
          </w:tcPr>
          <w:p w14:paraId="0A5E8AB7"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(0.012)</w:t>
            </w:r>
          </w:p>
        </w:tc>
        <w:tc>
          <w:tcPr>
            <w:tcW w:w="684" w:type="pct"/>
            <w:tcBorders>
              <w:top w:val="nil"/>
              <w:left w:val="nil"/>
              <w:bottom w:val="nil"/>
              <w:right w:val="nil"/>
            </w:tcBorders>
          </w:tcPr>
          <w:p w14:paraId="67FC4F4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(0.011)</w:t>
            </w:r>
          </w:p>
        </w:tc>
        <w:tc>
          <w:tcPr>
            <w:tcW w:w="827" w:type="pct"/>
            <w:tcBorders>
              <w:top w:val="nil"/>
              <w:left w:val="nil"/>
              <w:bottom w:val="nil"/>
              <w:right w:val="nil"/>
            </w:tcBorders>
          </w:tcPr>
          <w:p w14:paraId="557ACEA8"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(0.008)</w:t>
            </w:r>
          </w:p>
        </w:tc>
      </w:tr>
      <w:tr w:rsidR="00CD4846" w:rsidRPr="00CD4846" w14:paraId="048F2DEF" w14:textId="77777777" w:rsidTr="00475D06">
        <w:tc>
          <w:tcPr>
            <w:tcW w:w="1438" w:type="pct"/>
            <w:tcBorders>
              <w:top w:val="nil"/>
              <w:left w:val="nil"/>
              <w:bottom w:val="nil"/>
              <w:right w:val="nil"/>
            </w:tcBorders>
          </w:tcPr>
          <w:p w14:paraId="15A0B17B" w14:textId="73D8F778"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Attain. Status - CO (t-1)</w:t>
            </w:r>
          </w:p>
        </w:tc>
        <w:tc>
          <w:tcPr>
            <w:tcW w:w="684" w:type="pct"/>
            <w:tcBorders>
              <w:top w:val="nil"/>
              <w:left w:val="nil"/>
              <w:bottom w:val="nil"/>
              <w:right w:val="nil"/>
            </w:tcBorders>
          </w:tcPr>
          <w:p w14:paraId="50C57A66"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-0.739</w:t>
            </w:r>
          </w:p>
        </w:tc>
        <w:tc>
          <w:tcPr>
            <w:tcW w:w="684" w:type="pct"/>
            <w:tcBorders>
              <w:top w:val="nil"/>
              <w:left w:val="nil"/>
              <w:bottom w:val="nil"/>
              <w:right w:val="nil"/>
            </w:tcBorders>
          </w:tcPr>
          <w:p w14:paraId="42F5762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-0.199</w:t>
            </w:r>
          </w:p>
        </w:tc>
        <w:tc>
          <w:tcPr>
            <w:tcW w:w="684" w:type="pct"/>
            <w:tcBorders>
              <w:top w:val="nil"/>
              <w:left w:val="nil"/>
              <w:bottom w:val="nil"/>
              <w:right w:val="nil"/>
            </w:tcBorders>
          </w:tcPr>
          <w:p w14:paraId="5DC324AA"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-0.710</w:t>
            </w:r>
          </w:p>
        </w:tc>
        <w:tc>
          <w:tcPr>
            <w:tcW w:w="684" w:type="pct"/>
            <w:tcBorders>
              <w:top w:val="nil"/>
              <w:left w:val="nil"/>
              <w:bottom w:val="nil"/>
              <w:right w:val="nil"/>
            </w:tcBorders>
          </w:tcPr>
          <w:p w14:paraId="22626DD1"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-0.089</w:t>
            </w:r>
          </w:p>
        </w:tc>
        <w:tc>
          <w:tcPr>
            <w:tcW w:w="827" w:type="pct"/>
            <w:tcBorders>
              <w:top w:val="nil"/>
              <w:left w:val="nil"/>
              <w:bottom w:val="nil"/>
              <w:right w:val="nil"/>
            </w:tcBorders>
          </w:tcPr>
          <w:p w14:paraId="351BBF85"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-0.045</w:t>
            </w:r>
          </w:p>
        </w:tc>
      </w:tr>
      <w:tr w:rsidR="00CD4846" w:rsidRPr="00CD4846" w14:paraId="3D440DD8" w14:textId="77777777" w:rsidTr="00475D06">
        <w:tc>
          <w:tcPr>
            <w:tcW w:w="1438" w:type="pct"/>
            <w:tcBorders>
              <w:top w:val="nil"/>
              <w:left w:val="nil"/>
              <w:bottom w:val="nil"/>
              <w:right w:val="nil"/>
            </w:tcBorders>
          </w:tcPr>
          <w:p w14:paraId="03E1CA6C" w14:textId="659A9FA4"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84" w:type="pct"/>
            <w:tcBorders>
              <w:top w:val="nil"/>
              <w:left w:val="nil"/>
              <w:bottom w:val="nil"/>
              <w:right w:val="nil"/>
            </w:tcBorders>
          </w:tcPr>
          <w:p w14:paraId="081F453D"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(0.501)</w:t>
            </w:r>
          </w:p>
        </w:tc>
        <w:tc>
          <w:tcPr>
            <w:tcW w:w="684" w:type="pct"/>
            <w:tcBorders>
              <w:top w:val="nil"/>
              <w:left w:val="nil"/>
              <w:bottom w:val="nil"/>
              <w:right w:val="nil"/>
            </w:tcBorders>
          </w:tcPr>
          <w:p w14:paraId="32AFEAE3"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(0.292)</w:t>
            </w:r>
          </w:p>
        </w:tc>
        <w:tc>
          <w:tcPr>
            <w:tcW w:w="684" w:type="pct"/>
            <w:tcBorders>
              <w:top w:val="nil"/>
              <w:left w:val="nil"/>
              <w:bottom w:val="nil"/>
              <w:right w:val="nil"/>
            </w:tcBorders>
          </w:tcPr>
          <w:p w14:paraId="21D2C302"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(1.011)</w:t>
            </w:r>
          </w:p>
        </w:tc>
        <w:tc>
          <w:tcPr>
            <w:tcW w:w="684" w:type="pct"/>
            <w:tcBorders>
              <w:top w:val="nil"/>
              <w:left w:val="nil"/>
              <w:bottom w:val="nil"/>
              <w:right w:val="nil"/>
            </w:tcBorders>
          </w:tcPr>
          <w:p w14:paraId="2D8FF493"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(0.256)</w:t>
            </w:r>
          </w:p>
        </w:tc>
        <w:tc>
          <w:tcPr>
            <w:tcW w:w="827" w:type="pct"/>
            <w:tcBorders>
              <w:top w:val="nil"/>
              <w:left w:val="nil"/>
              <w:bottom w:val="nil"/>
              <w:right w:val="nil"/>
            </w:tcBorders>
          </w:tcPr>
          <w:p w14:paraId="06A684DF"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(0.096)</w:t>
            </w:r>
          </w:p>
        </w:tc>
      </w:tr>
      <w:tr w:rsidR="00CD4846" w:rsidRPr="00CD4846" w14:paraId="7E8F3ACB" w14:textId="77777777" w:rsidTr="00475D06">
        <w:tc>
          <w:tcPr>
            <w:tcW w:w="1438" w:type="pct"/>
            <w:tcBorders>
              <w:top w:val="nil"/>
              <w:left w:val="nil"/>
              <w:bottom w:val="nil"/>
              <w:right w:val="nil"/>
            </w:tcBorders>
          </w:tcPr>
          <w:p w14:paraId="76D3DF19" w14:textId="77EB49E4"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Attain. Status - Pb (t-1)</w:t>
            </w:r>
          </w:p>
        </w:tc>
        <w:tc>
          <w:tcPr>
            <w:tcW w:w="684" w:type="pct"/>
            <w:tcBorders>
              <w:top w:val="nil"/>
              <w:left w:val="nil"/>
              <w:bottom w:val="nil"/>
              <w:right w:val="nil"/>
            </w:tcBorders>
          </w:tcPr>
          <w:p w14:paraId="3922B4CC"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0.023</w:t>
            </w:r>
          </w:p>
        </w:tc>
        <w:tc>
          <w:tcPr>
            <w:tcW w:w="684" w:type="pct"/>
            <w:tcBorders>
              <w:top w:val="nil"/>
              <w:left w:val="nil"/>
              <w:bottom w:val="nil"/>
              <w:right w:val="nil"/>
            </w:tcBorders>
          </w:tcPr>
          <w:p w14:paraId="037ED38D"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0.036</w:t>
            </w:r>
          </w:p>
        </w:tc>
        <w:tc>
          <w:tcPr>
            <w:tcW w:w="684" w:type="pct"/>
            <w:tcBorders>
              <w:top w:val="nil"/>
              <w:left w:val="nil"/>
              <w:bottom w:val="nil"/>
              <w:right w:val="nil"/>
            </w:tcBorders>
          </w:tcPr>
          <w:p w14:paraId="338668BE"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-0.161</w:t>
            </w:r>
          </w:p>
        </w:tc>
        <w:tc>
          <w:tcPr>
            <w:tcW w:w="684" w:type="pct"/>
            <w:tcBorders>
              <w:top w:val="nil"/>
              <w:left w:val="nil"/>
              <w:bottom w:val="nil"/>
              <w:right w:val="nil"/>
            </w:tcBorders>
          </w:tcPr>
          <w:p w14:paraId="466D146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0.083</w:t>
            </w:r>
          </w:p>
        </w:tc>
        <w:tc>
          <w:tcPr>
            <w:tcW w:w="827" w:type="pct"/>
            <w:tcBorders>
              <w:top w:val="nil"/>
              <w:left w:val="nil"/>
              <w:bottom w:val="nil"/>
              <w:right w:val="nil"/>
            </w:tcBorders>
          </w:tcPr>
          <w:p w14:paraId="61B52D14"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-0.067</w:t>
            </w:r>
          </w:p>
        </w:tc>
      </w:tr>
      <w:tr w:rsidR="00CD4846" w:rsidRPr="00CD4846" w14:paraId="608C7F96" w14:textId="77777777" w:rsidTr="00475D06">
        <w:tc>
          <w:tcPr>
            <w:tcW w:w="1438" w:type="pct"/>
            <w:tcBorders>
              <w:top w:val="nil"/>
              <w:left w:val="nil"/>
              <w:bottom w:val="nil"/>
              <w:right w:val="nil"/>
            </w:tcBorders>
          </w:tcPr>
          <w:p w14:paraId="57CF787A" w14:textId="187E9E93"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84" w:type="pct"/>
            <w:tcBorders>
              <w:top w:val="nil"/>
              <w:left w:val="nil"/>
              <w:bottom w:val="nil"/>
              <w:right w:val="nil"/>
            </w:tcBorders>
          </w:tcPr>
          <w:p w14:paraId="4D4DCE8A"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(0.108)</w:t>
            </w:r>
          </w:p>
        </w:tc>
        <w:tc>
          <w:tcPr>
            <w:tcW w:w="684" w:type="pct"/>
            <w:tcBorders>
              <w:top w:val="nil"/>
              <w:left w:val="nil"/>
              <w:bottom w:val="nil"/>
              <w:right w:val="nil"/>
            </w:tcBorders>
          </w:tcPr>
          <w:p w14:paraId="3CF96564"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(0.131)</w:t>
            </w:r>
          </w:p>
        </w:tc>
        <w:tc>
          <w:tcPr>
            <w:tcW w:w="684" w:type="pct"/>
            <w:tcBorders>
              <w:top w:val="nil"/>
              <w:left w:val="nil"/>
              <w:bottom w:val="nil"/>
              <w:right w:val="nil"/>
            </w:tcBorders>
          </w:tcPr>
          <w:p w14:paraId="46B37E53"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(0.155)</w:t>
            </w:r>
          </w:p>
        </w:tc>
        <w:tc>
          <w:tcPr>
            <w:tcW w:w="684" w:type="pct"/>
            <w:tcBorders>
              <w:top w:val="nil"/>
              <w:left w:val="nil"/>
              <w:bottom w:val="nil"/>
              <w:right w:val="nil"/>
            </w:tcBorders>
          </w:tcPr>
          <w:p w14:paraId="6F021D8D"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(0.061)</w:t>
            </w:r>
          </w:p>
        </w:tc>
        <w:tc>
          <w:tcPr>
            <w:tcW w:w="827" w:type="pct"/>
            <w:tcBorders>
              <w:top w:val="nil"/>
              <w:left w:val="nil"/>
              <w:bottom w:val="nil"/>
              <w:right w:val="nil"/>
            </w:tcBorders>
          </w:tcPr>
          <w:p w14:paraId="3F349D8A"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(0.052)</w:t>
            </w:r>
          </w:p>
        </w:tc>
      </w:tr>
      <w:tr w:rsidR="00CD4846" w:rsidRPr="00CD4846" w14:paraId="3BF40EFA" w14:textId="77777777" w:rsidTr="00475D06">
        <w:tc>
          <w:tcPr>
            <w:tcW w:w="1438" w:type="pct"/>
            <w:tcBorders>
              <w:top w:val="nil"/>
              <w:left w:val="nil"/>
              <w:bottom w:val="nil"/>
              <w:right w:val="nil"/>
            </w:tcBorders>
          </w:tcPr>
          <w:p w14:paraId="09079023" w14:textId="4C9632DC"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Attain. Status - O3 (t-1)</w:t>
            </w:r>
          </w:p>
        </w:tc>
        <w:tc>
          <w:tcPr>
            <w:tcW w:w="684" w:type="pct"/>
            <w:tcBorders>
              <w:top w:val="nil"/>
              <w:left w:val="nil"/>
              <w:bottom w:val="nil"/>
              <w:right w:val="nil"/>
            </w:tcBorders>
          </w:tcPr>
          <w:p w14:paraId="02313EBF"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0.105***</w:t>
            </w:r>
          </w:p>
        </w:tc>
        <w:tc>
          <w:tcPr>
            <w:tcW w:w="684" w:type="pct"/>
            <w:tcBorders>
              <w:top w:val="nil"/>
              <w:left w:val="nil"/>
              <w:bottom w:val="nil"/>
              <w:right w:val="nil"/>
            </w:tcBorders>
          </w:tcPr>
          <w:p w14:paraId="3640E96C"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0.132***</w:t>
            </w:r>
          </w:p>
        </w:tc>
        <w:tc>
          <w:tcPr>
            <w:tcW w:w="684" w:type="pct"/>
            <w:tcBorders>
              <w:top w:val="nil"/>
              <w:left w:val="nil"/>
              <w:bottom w:val="nil"/>
              <w:right w:val="nil"/>
            </w:tcBorders>
          </w:tcPr>
          <w:p w14:paraId="7347AB60"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0.132***</w:t>
            </w:r>
          </w:p>
        </w:tc>
        <w:tc>
          <w:tcPr>
            <w:tcW w:w="684" w:type="pct"/>
            <w:tcBorders>
              <w:top w:val="nil"/>
              <w:left w:val="nil"/>
              <w:bottom w:val="nil"/>
              <w:right w:val="nil"/>
            </w:tcBorders>
          </w:tcPr>
          <w:p w14:paraId="1F867C3C"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0.116***</w:t>
            </w:r>
          </w:p>
        </w:tc>
        <w:tc>
          <w:tcPr>
            <w:tcW w:w="827" w:type="pct"/>
            <w:tcBorders>
              <w:top w:val="nil"/>
              <w:left w:val="nil"/>
              <w:bottom w:val="nil"/>
              <w:right w:val="nil"/>
            </w:tcBorders>
          </w:tcPr>
          <w:p w14:paraId="0558D51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0.100***</w:t>
            </w:r>
          </w:p>
        </w:tc>
      </w:tr>
      <w:tr w:rsidR="00CD4846" w:rsidRPr="00CD4846" w14:paraId="35485129" w14:textId="77777777" w:rsidTr="00475D06">
        <w:tc>
          <w:tcPr>
            <w:tcW w:w="1438" w:type="pct"/>
            <w:tcBorders>
              <w:top w:val="nil"/>
              <w:left w:val="nil"/>
              <w:bottom w:val="nil"/>
              <w:right w:val="nil"/>
            </w:tcBorders>
          </w:tcPr>
          <w:p w14:paraId="1CEF6011" w14:textId="392A0A5F"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84" w:type="pct"/>
            <w:tcBorders>
              <w:top w:val="nil"/>
              <w:left w:val="nil"/>
              <w:bottom w:val="nil"/>
              <w:right w:val="nil"/>
            </w:tcBorders>
          </w:tcPr>
          <w:p w14:paraId="26453E73"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(0.036)</w:t>
            </w:r>
          </w:p>
        </w:tc>
        <w:tc>
          <w:tcPr>
            <w:tcW w:w="684" w:type="pct"/>
            <w:tcBorders>
              <w:top w:val="nil"/>
              <w:left w:val="nil"/>
              <w:bottom w:val="nil"/>
              <w:right w:val="nil"/>
            </w:tcBorders>
          </w:tcPr>
          <w:p w14:paraId="49798630"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(0.037)</w:t>
            </w:r>
          </w:p>
        </w:tc>
        <w:tc>
          <w:tcPr>
            <w:tcW w:w="684" w:type="pct"/>
            <w:tcBorders>
              <w:top w:val="nil"/>
              <w:left w:val="nil"/>
              <w:bottom w:val="nil"/>
              <w:right w:val="nil"/>
            </w:tcBorders>
          </w:tcPr>
          <w:p w14:paraId="561DB30E"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(0.046)</w:t>
            </w:r>
          </w:p>
        </w:tc>
        <w:tc>
          <w:tcPr>
            <w:tcW w:w="684" w:type="pct"/>
            <w:tcBorders>
              <w:top w:val="nil"/>
              <w:left w:val="nil"/>
              <w:bottom w:val="nil"/>
              <w:right w:val="nil"/>
            </w:tcBorders>
          </w:tcPr>
          <w:p w14:paraId="4C6B1533"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(0.029)</w:t>
            </w:r>
          </w:p>
        </w:tc>
        <w:tc>
          <w:tcPr>
            <w:tcW w:w="827" w:type="pct"/>
            <w:tcBorders>
              <w:top w:val="nil"/>
              <w:left w:val="nil"/>
              <w:bottom w:val="nil"/>
              <w:right w:val="nil"/>
            </w:tcBorders>
          </w:tcPr>
          <w:p w14:paraId="43191BB2"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(0.024)</w:t>
            </w:r>
          </w:p>
        </w:tc>
      </w:tr>
      <w:tr w:rsidR="00CD4846" w:rsidRPr="00CD4846" w14:paraId="7334D272" w14:textId="77777777" w:rsidTr="00475D06">
        <w:tc>
          <w:tcPr>
            <w:tcW w:w="1438" w:type="pct"/>
            <w:tcBorders>
              <w:top w:val="nil"/>
              <w:left w:val="nil"/>
              <w:bottom w:val="nil"/>
              <w:right w:val="nil"/>
            </w:tcBorders>
          </w:tcPr>
          <w:p w14:paraId="325E4F0A" w14:textId="1CDCC04C"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Attain. Status - PM (t-1)</w:t>
            </w:r>
          </w:p>
        </w:tc>
        <w:tc>
          <w:tcPr>
            <w:tcW w:w="684" w:type="pct"/>
            <w:tcBorders>
              <w:top w:val="nil"/>
              <w:left w:val="nil"/>
              <w:bottom w:val="nil"/>
              <w:right w:val="nil"/>
            </w:tcBorders>
          </w:tcPr>
          <w:p w14:paraId="670AEE80"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-0.032</w:t>
            </w:r>
          </w:p>
        </w:tc>
        <w:tc>
          <w:tcPr>
            <w:tcW w:w="684" w:type="pct"/>
            <w:tcBorders>
              <w:top w:val="nil"/>
              <w:left w:val="nil"/>
              <w:bottom w:val="nil"/>
              <w:right w:val="nil"/>
            </w:tcBorders>
          </w:tcPr>
          <w:p w14:paraId="296C835C"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-0.034</w:t>
            </w:r>
          </w:p>
        </w:tc>
        <w:tc>
          <w:tcPr>
            <w:tcW w:w="684" w:type="pct"/>
            <w:tcBorders>
              <w:top w:val="nil"/>
              <w:left w:val="nil"/>
              <w:bottom w:val="nil"/>
              <w:right w:val="nil"/>
            </w:tcBorders>
          </w:tcPr>
          <w:p w14:paraId="42F8389D"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0.121***</w:t>
            </w:r>
          </w:p>
        </w:tc>
        <w:tc>
          <w:tcPr>
            <w:tcW w:w="684" w:type="pct"/>
            <w:tcBorders>
              <w:top w:val="nil"/>
              <w:left w:val="nil"/>
              <w:bottom w:val="nil"/>
              <w:right w:val="nil"/>
            </w:tcBorders>
          </w:tcPr>
          <w:p w14:paraId="47A0B0D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-0.034**</w:t>
            </w:r>
          </w:p>
        </w:tc>
        <w:tc>
          <w:tcPr>
            <w:tcW w:w="827" w:type="pct"/>
            <w:tcBorders>
              <w:top w:val="nil"/>
              <w:left w:val="nil"/>
              <w:bottom w:val="nil"/>
              <w:right w:val="nil"/>
            </w:tcBorders>
          </w:tcPr>
          <w:p w14:paraId="7AADA8E2"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-0.011</w:t>
            </w:r>
          </w:p>
        </w:tc>
      </w:tr>
      <w:tr w:rsidR="00CD4846" w:rsidRPr="00CD4846" w14:paraId="50AEE666" w14:textId="77777777" w:rsidTr="00475D06">
        <w:tc>
          <w:tcPr>
            <w:tcW w:w="1438" w:type="pct"/>
            <w:tcBorders>
              <w:top w:val="nil"/>
              <w:left w:val="nil"/>
              <w:bottom w:val="nil"/>
              <w:right w:val="nil"/>
            </w:tcBorders>
          </w:tcPr>
          <w:p w14:paraId="4C7A526E" w14:textId="5BC9D8A8"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84" w:type="pct"/>
            <w:tcBorders>
              <w:top w:val="nil"/>
              <w:left w:val="nil"/>
              <w:bottom w:val="nil"/>
              <w:right w:val="nil"/>
            </w:tcBorders>
          </w:tcPr>
          <w:p w14:paraId="0BB918E9"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(0.022)</w:t>
            </w:r>
          </w:p>
        </w:tc>
        <w:tc>
          <w:tcPr>
            <w:tcW w:w="684" w:type="pct"/>
            <w:tcBorders>
              <w:top w:val="nil"/>
              <w:left w:val="nil"/>
              <w:bottom w:val="nil"/>
              <w:right w:val="nil"/>
            </w:tcBorders>
          </w:tcPr>
          <w:p w14:paraId="56FD590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(0.031)</w:t>
            </w:r>
          </w:p>
        </w:tc>
        <w:tc>
          <w:tcPr>
            <w:tcW w:w="684" w:type="pct"/>
            <w:tcBorders>
              <w:top w:val="nil"/>
              <w:left w:val="nil"/>
              <w:bottom w:val="nil"/>
              <w:right w:val="nil"/>
            </w:tcBorders>
          </w:tcPr>
          <w:p w14:paraId="504DCFE4"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(0.034)</w:t>
            </w:r>
          </w:p>
        </w:tc>
        <w:tc>
          <w:tcPr>
            <w:tcW w:w="684" w:type="pct"/>
            <w:tcBorders>
              <w:top w:val="nil"/>
              <w:left w:val="nil"/>
              <w:bottom w:val="nil"/>
              <w:right w:val="nil"/>
            </w:tcBorders>
          </w:tcPr>
          <w:p w14:paraId="542D2FF3"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(0.014)</w:t>
            </w:r>
          </w:p>
        </w:tc>
        <w:tc>
          <w:tcPr>
            <w:tcW w:w="827" w:type="pct"/>
            <w:tcBorders>
              <w:top w:val="nil"/>
              <w:left w:val="nil"/>
              <w:bottom w:val="nil"/>
              <w:right w:val="nil"/>
            </w:tcBorders>
          </w:tcPr>
          <w:p w14:paraId="64955A1D"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(0.016)</w:t>
            </w:r>
          </w:p>
        </w:tc>
      </w:tr>
      <w:tr w:rsidR="00CD4846" w:rsidRPr="00CD4846" w14:paraId="6B69C634" w14:textId="77777777" w:rsidTr="00475D06">
        <w:tc>
          <w:tcPr>
            <w:tcW w:w="1438" w:type="pct"/>
            <w:tcBorders>
              <w:top w:val="nil"/>
              <w:left w:val="nil"/>
              <w:bottom w:val="nil"/>
              <w:right w:val="nil"/>
            </w:tcBorders>
          </w:tcPr>
          <w:p w14:paraId="60C9A50E"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Attain. Status - SO2 (t-1)</w:t>
            </w:r>
          </w:p>
        </w:tc>
        <w:tc>
          <w:tcPr>
            <w:tcW w:w="684" w:type="pct"/>
            <w:tcBorders>
              <w:top w:val="nil"/>
              <w:left w:val="nil"/>
              <w:bottom w:val="nil"/>
              <w:right w:val="nil"/>
            </w:tcBorders>
          </w:tcPr>
          <w:p w14:paraId="32CDE74C"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0.050</w:t>
            </w:r>
          </w:p>
        </w:tc>
        <w:tc>
          <w:tcPr>
            <w:tcW w:w="684" w:type="pct"/>
            <w:tcBorders>
              <w:top w:val="nil"/>
              <w:left w:val="nil"/>
              <w:bottom w:val="nil"/>
              <w:right w:val="nil"/>
            </w:tcBorders>
          </w:tcPr>
          <w:p w14:paraId="202F26F4"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-0.123</w:t>
            </w:r>
          </w:p>
        </w:tc>
        <w:tc>
          <w:tcPr>
            <w:tcW w:w="684" w:type="pct"/>
            <w:tcBorders>
              <w:top w:val="nil"/>
              <w:left w:val="nil"/>
              <w:bottom w:val="nil"/>
              <w:right w:val="nil"/>
            </w:tcBorders>
          </w:tcPr>
          <w:p w14:paraId="4BF61809"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0.106</w:t>
            </w:r>
          </w:p>
        </w:tc>
        <w:tc>
          <w:tcPr>
            <w:tcW w:w="684" w:type="pct"/>
            <w:tcBorders>
              <w:top w:val="nil"/>
              <w:left w:val="nil"/>
              <w:bottom w:val="nil"/>
              <w:right w:val="nil"/>
            </w:tcBorders>
          </w:tcPr>
          <w:p w14:paraId="3B04F05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0.039</w:t>
            </w:r>
          </w:p>
        </w:tc>
        <w:tc>
          <w:tcPr>
            <w:tcW w:w="827" w:type="pct"/>
            <w:tcBorders>
              <w:top w:val="nil"/>
              <w:left w:val="nil"/>
              <w:bottom w:val="nil"/>
              <w:right w:val="nil"/>
            </w:tcBorders>
          </w:tcPr>
          <w:p w14:paraId="478599CA"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-0.008</w:t>
            </w:r>
          </w:p>
        </w:tc>
      </w:tr>
      <w:tr w:rsidR="00CD4846" w:rsidRPr="00CD4846" w14:paraId="75383070" w14:textId="77777777" w:rsidTr="00475D06">
        <w:tc>
          <w:tcPr>
            <w:tcW w:w="1438" w:type="pct"/>
            <w:tcBorders>
              <w:top w:val="nil"/>
              <w:left w:val="nil"/>
              <w:bottom w:val="nil"/>
              <w:right w:val="nil"/>
            </w:tcBorders>
          </w:tcPr>
          <w:p w14:paraId="53E5A157" w14:textId="698995F2"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84" w:type="pct"/>
            <w:tcBorders>
              <w:top w:val="nil"/>
              <w:left w:val="nil"/>
              <w:bottom w:val="nil"/>
              <w:right w:val="nil"/>
            </w:tcBorders>
          </w:tcPr>
          <w:p w14:paraId="2B6B688A"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(0.120)</w:t>
            </w:r>
          </w:p>
        </w:tc>
        <w:tc>
          <w:tcPr>
            <w:tcW w:w="684" w:type="pct"/>
            <w:tcBorders>
              <w:top w:val="nil"/>
              <w:left w:val="nil"/>
              <w:bottom w:val="nil"/>
              <w:right w:val="nil"/>
            </w:tcBorders>
          </w:tcPr>
          <w:p w14:paraId="5296391E"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(0.133)</w:t>
            </w:r>
          </w:p>
        </w:tc>
        <w:tc>
          <w:tcPr>
            <w:tcW w:w="684" w:type="pct"/>
            <w:tcBorders>
              <w:top w:val="nil"/>
              <w:left w:val="nil"/>
              <w:bottom w:val="nil"/>
              <w:right w:val="nil"/>
            </w:tcBorders>
          </w:tcPr>
          <w:p w14:paraId="681A1C92"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(0.152)</w:t>
            </w:r>
          </w:p>
        </w:tc>
        <w:tc>
          <w:tcPr>
            <w:tcW w:w="684" w:type="pct"/>
            <w:tcBorders>
              <w:top w:val="nil"/>
              <w:left w:val="nil"/>
              <w:bottom w:val="nil"/>
              <w:right w:val="nil"/>
            </w:tcBorders>
          </w:tcPr>
          <w:p w14:paraId="4CC703BA"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(0.046)</w:t>
            </w:r>
          </w:p>
        </w:tc>
        <w:tc>
          <w:tcPr>
            <w:tcW w:w="827" w:type="pct"/>
            <w:tcBorders>
              <w:top w:val="nil"/>
              <w:left w:val="nil"/>
              <w:bottom w:val="nil"/>
              <w:right w:val="nil"/>
            </w:tcBorders>
          </w:tcPr>
          <w:p w14:paraId="09E6C5A0"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(0.032)</w:t>
            </w:r>
          </w:p>
        </w:tc>
      </w:tr>
      <w:tr w:rsidR="00CD4846" w:rsidRPr="00CD4846" w14:paraId="15F8D85F" w14:textId="77777777" w:rsidTr="00475D06">
        <w:tc>
          <w:tcPr>
            <w:tcW w:w="1438" w:type="pct"/>
            <w:tcBorders>
              <w:top w:val="nil"/>
              <w:left w:val="nil"/>
              <w:bottom w:val="nil"/>
              <w:right w:val="nil"/>
            </w:tcBorders>
          </w:tcPr>
          <w:p w14:paraId="07A72410" w14:textId="5E4A5ADA"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Density Employment</w:t>
            </w:r>
          </w:p>
        </w:tc>
        <w:tc>
          <w:tcPr>
            <w:tcW w:w="684" w:type="pct"/>
            <w:tcBorders>
              <w:top w:val="nil"/>
              <w:left w:val="nil"/>
              <w:bottom w:val="nil"/>
              <w:right w:val="nil"/>
            </w:tcBorders>
          </w:tcPr>
          <w:p w14:paraId="321F3887"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0.345</w:t>
            </w:r>
          </w:p>
        </w:tc>
        <w:tc>
          <w:tcPr>
            <w:tcW w:w="684" w:type="pct"/>
            <w:tcBorders>
              <w:top w:val="nil"/>
              <w:left w:val="nil"/>
              <w:bottom w:val="nil"/>
              <w:right w:val="nil"/>
            </w:tcBorders>
          </w:tcPr>
          <w:p w14:paraId="72C86E27"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-0.055</w:t>
            </w:r>
          </w:p>
        </w:tc>
        <w:tc>
          <w:tcPr>
            <w:tcW w:w="684" w:type="pct"/>
            <w:tcBorders>
              <w:top w:val="nil"/>
              <w:left w:val="nil"/>
              <w:bottom w:val="nil"/>
              <w:right w:val="nil"/>
            </w:tcBorders>
          </w:tcPr>
          <w:p w14:paraId="0E36C994"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-0.228</w:t>
            </w:r>
          </w:p>
        </w:tc>
        <w:tc>
          <w:tcPr>
            <w:tcW w:w="684" w:type="pct"/>
            <w:tcBorders>
              <w:top w:val="nil"/>
              <w:left w:val="nil"/>
              <w:bottom w:val="nil"/>
              <w:right w:val="nil"/>
            </w:tcBorders>
          </w:tcPr>
          <w:p w14:paraId="66DFEC89"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0.012</w:t>
            </w:r>
          </w:p>
        </w:tc>
        <w:tc>
          <w:tcPr>
            <w:tcW w:w="827" w:type="pct"/>
            <w:tcBorders>
              <w:top w:val="nil"/>
              <w:left w:val="nil"/>
              <w:bottom w:val="nil"/>
              <w:right w:val="nil"/>
            </w:tcBorders>
          </w:tcPr>
          <w:p w14:paraId="37821F55"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0.017</w:t>
            </w:r>
          </w:p>
        </w:tc>
      </w:tr>
      <w:tr w:rsidR="00CD4846" w:rsidRPr="00CD4846" w14:paraId="7F6FA8E1" w14:textId="77777777" w:rsidTr="00475D06">
        <w:tc>
          <w:tcPr>
            <w:tcW w:w="1438" w:type="pct"/>
            <w:tcBorders>
              <w:top w:val="nil"/>
              <w:left w:val="nil"/>
              <w:bottom w:val="nil"/>
              <w:right w:val="nil"/>
            </w:tcBorders>
          </w:tcPr>
          <w:p w14:paraId="06917BD9" w14:textId="658C3349"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84" w:type="pct"/>
            <w:tcBorders>
              <w:top w:val="nil"/>
              <w:left w:val="nil"/>
              <w:bottom w:val="nil"/>
              <w:right w:val="nil"/>
            </w:tcBorders>
          </w:tcPr>
          <w:p w14:paraId="1648E450"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(0.233)</w:t>
            </w:r>
          </w:p>
        </w:tc>
        <w:tc>
          <w:tcPr>
            <w:tcW w:w="684" w:type="pct"/>
            <w:tcBorders>
              <w:top w:val="nil"/>
              <w:left w:val="nil"/>
              <w:bottom w:val="nil"/>
              <w:right w:val="nil"/>
            </w:tcBorders>
          </w:tcPr>
          <w:p w14:paraId="056B988C"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(0.075)</w:t>
            </w:r>
          </w:p>
        </w:tc>
        <w:tc>
          <w:tcPr>
            <w:tcW w:w="684" w:type="pct"/>
            <w:tcBorders>
              <w:top w:val="nil"/>
              <w:left w:val="nil"/>
              <w:bottom w:val="nil"/>
              <w:right w:val="nil"/>
            </w:tcBorders>
          </w:tcPr>
          <w:p w14:paraId="0BC7F147"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(0.182)</w:t>
            </w:r>
          </w:p>
        </w:tc>
        <w:tc>
          <w:tcPr>
            <w:tcW w:w="684" w:type="pct"/>
            <w:tcBorders>
              <w:top w:val="nil"/>
              <w:left w:val="nil"/>
              <w:bottom w:val="nil"/>
              <w:right w:val="nil"/>
            </w:tcBorders>
          </w:tcPr>
          <w:p w14:paraId="107FF009"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(0.023)</w:t>
            </w:r>
          </w:p>
        </w:tc>
        <w:tc>
          <w:tcPr>
            <w:tcW w:w="827" w:type="pct"/>
            <w:tcBorders>
              <w:top w:val="nil"/>
              <w:left w:val="nil"/>
              <w:bottom w:val="nil"/>
              <w:right w:val="nil"/>
            </w:tcBorders>
          </w:tcPr>
          <w:p w14:paraId="17284870"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(0.020)</w:t>
            </w:r>
          </w:p>
        </w:tc>
      </w:tr>
      <w:tr w:rsidR="00CD4846" w:rsidRPr="00CD4846" w14:paraId="58A44348" w14:textId="77777777" w:rsidTr="00475D06">
        <w:tc>
          <w:tcPr>
            <w:tcW w:w="1438" w:type="pct"/>
            <w:tcBorders>
              <w:top w:val="nil"/>
              <w:left w:val="nil"/>
              <w:bottom w:val="nil"/>
              <w:right w:val="nil"/>
            </w:tcBorders>
          </w:tcPr>
          <w:p w14:paraId="79AEC8C7"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Percent Black (100s)</w:t>
            </w:r>
          </w:p>
        </w:tc>
        <w:tc>
          <w:tcPr>
            <w:tcW w:w="684" w:type="pct"/>
            <w:tcBorders>
              <w:top w:val="nil"/>
              <w:left w:val="nil"/>
              <w:bottom w:val="nil"/>
              <w:right w:val="nil"/>
            </w:tcBorders>
          </w:tcPr>
          <w:p w14:paraId="4159830A"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-1.312</w:t>
            </w:r>
          </w:p>
        </w:tc>
        <w:tc>
          <w:tcPr>
            <w:tcW w:w="684" w:type="pct"/>
            <w:tcBorders>
              <w:top w:val="nil"/>
              <w:left w:val="nil"/>
              <w:bottom w:val="nil"/>
              <w:right w:val="nil"/>
            </w:tcBorders>
          </w:tcPr>
          <w:p w14:paraId="2204DD24"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0.039</w:t>
            </w:r>
          </w:p>
        </w:tc>
        <w:tc>
          <w:tcPr>
            <w:tcW w:w="684" w:type="pct"/>
            <w:tcBorders>
              <w:top w:val="nil"/>
              <w:left w:val="nil"/>
              <w:bottom w:val="nil"/>
              <w:right w:val="nil"/>
            </w:tcBorders>
          </w:tcPr>
          <w:p w14:paraId="2FA484FF"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-1.073</w:t>
            </w:r>
          </w:p>
        </w:tc>
        <w:tc>
          <w:tcPr>
            <w:tcW w:w="684" w:type="pct"/>
            <w:tcBorders>
              <w:top w:val="nil"/>
              <w:left w:val="nil"/>
              <w:bottom w:val="nil"/>
              <w:right w:val="nil"/>
            </w:tcBorders>
          </w:tcPr>
          <w:p w14:paraId="558EF916"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2.183**</w:t>
            </w:r>
          </w:p>
        </w:tc>
        <w:tc>
          <w:tcPr>
            <w:tcW w:w="827" w:type="pct"/>
            <w:tcBorders>
              <w:top w:val="nil"/>
              <w:left w:val="nil"/>
              <w:bottom w:val="nil"/>
              <w:right w:val="nil"/>
            </w:tcBorders>
          </w:tcPr>
          <w:p w14:paraId="68F6A1A6"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1.439**</w:t>
            </w:r>
          </w:p>
        </w:tc>
      </w:tr>
      <w:tr w:rsidR="00CD4846" w:rsidRPr="00CD4846" w14:paraId="4BD88BFC" w14:textId="77777777" w:rsidTr="00475D06">
        <w:tc>
          <w:tcPr>
            <w:tcW w:w="1438" w:type="pct"/>
            <w:tcBorders>
              <w:top w:val="nil"/>
              <w:left w:val="nil"/>
              <w:bottom w:val="nil"/>
              <w:right w:val="nil"/>
            </w:tcBorders>
          </w:tcPr>
          <w:p w14:paraId="30B6032A" w14:textId="4E986C68"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84" w:type="pct"/>
            <w:tcBorders>
              <w:top w:val="nil"/>
              <w:left w:val="nil"/>
              <w:bottom w:val="nil"/>
              <w:right w:val="nil"/>
            </w:tcBorders>
          </w:tcPr>
          <w:p w14:paraId="51A42C36"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(1.676)</w:t>
            </w:r>
          </w:p>
        </w:tc>
        <w:tc>
          <w:tcPr>
            <w:tcW w:w="684" w:type="pct"/>
            <w:tcBorders>
              <w:top w:val="nil"/>
              <w:left w:val="nil"/>
              <w:bottom w:val="nil"/>
              <w:right w:val="nil"/>
            </w:tcBorders>
          </w:tcPr>
          <w:p w14:paraId="2240F82C"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(2.483)</w:t>
            </w:r>
          </w:p>
        </w:tc>
        <w:tc>
          <w:tcPr>
            <w:tcW w:w="684" w:type="pct"/>
            <w:tcBorders>
              <w:top w:val="nil"/>
              <w:left w:val="nil"/>
              <w:bottom w:val="nil"/>
              <w:right w:val="nil"/>
            </w:tcBorders>
          </w:tcPr>
          <w:p w14:paraId="317D80AF"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(2.313)</w:t>
            </w:r>
          </w:p>
        </w:tc>
        <w:tc>
          <w:tcPr>
            <w:tcW w:w="684" w:type="pct"/>
            <w:tcBorders>
              <w:top w:val="nil"/>
              <w:left w:val="nil"/>
              <w:bottom w:val="nil"/>
              <w:right w:val="nil"/>
            </w:tcBorders>
          </w:tcPr>
          <w:p w14:paraId="36BE851A"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(0.859)</w:t>
            </w:r>
          </w:p>
        </w:tc>
        <w:tc>
          <w:tcPr>
            <w:tcW w:w="827" w:type="pct"/>
            <w:tcBorders>
              <w:top w:val="nil"/>
              <w:left w:val="nil"/>
              <w:bottom w:val="nil"/>
              <w:right w:val="nil"/>
            </w:tcBorders>
          </w:tcPr>
          <w:p w14:paraId="460513E1"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(0.636)</w:t>
            </w:r>
          </w:p>
        </w:tc>
      </w:tr>
      <w:tr w:rsidR="00CD4846" w:rsidRPr="00CD4846" w14:paraId="4EC3B0A1" w14:textId="77777777" w:rsidTr="00475D06">
        <w:tc>
          <w:tcPr>
            <w:tcW w:w="1438" w:type="pct"/>
            <w:tcBorders>
              <w:top w:val="nil"/>
              <w:left w:val="nil"/>
              <w:bottom w:val="nil"/>
              <w:right w:val="nil"/>
            </w:tcBorders>
          </w:tcPr>
          <w:p w14:paraId="4D7F15F1" w14:textId="4883B968"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Population count (1ms)</w:t>
            </w:r>
          </w:p>
        </w:tc>
        <w:tc>
          <w:tcPr>
            <w:tcW w:w="684" w:type="pct"/>
            <w:tcBorders>
              <w:top w:val="nil"/>
              <w:left w:val="nil"/>
              <w:bottom w:val="nil"/>
              <w:right w:val="nil"/>
            </w:tcBorders>
          </w:tcPr>
          <w:p w14:paraId="1F799EC3"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0.768**</w:t>
            </w:r>
          </w:p>
        </w:tc>
        <w:tc>
          <w:tcPr>
            <w:tcW w:w="684" w:type="pct"/>
            <w:tcBorders>
              <w:top w:val="nil"/>
              <w:left w:val="nil"/>
              <w:bottom w:val="nil"/>
              <w:right w:val="nil"/>
            </w:tcBorders>
          </w:tcPr>
          <w:p w14:paraId="17CC5B03"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0.269*</w:t>
            </w:r>
          </w:p>
        </w:tc>
        <w:tc>
          <w:tcPr>
            <w:tcW w:w="684" w:type="pct"/>
            <w:tcBorders>
              <w:top w:val="nil"/>
              <w:left w:val="nil"/>
              <w:bottom w:val="nil"/>
              <w:right w:val="nil"/>
            </w:tcBorders>
          </w:tcPr>
          <w:p w14:paraId="15CC3019"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0.203</w:t>
            </w:r>
          </w:p>
        </w:tc>
        <w:tc>
          <w:tcPr>
            <w:tcW w:w="684" w:type="pct"/>
            <w:tcBorders>
              <w:top w:val="nil"/>
              <w:left w:val="nil"/>
              <w:bottom w:val="nil"/>
              <w:right w:val="nil"/>
            </w:tcBorders>
          </w:tcPr>
          <w:p w14:paraId="555DF6CA"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0.876***</w:t>
            </w:r>
          </w:p>
        </w:tc>
        <w:tc>
          <w:tcPr>
            <w:tcW w:w="827" w:type="pct"/>
            <w:tcBorders>
              <w:top w:val="nil"/>
              <w:left w:val="nil"/>
              <w:bottom w:val="nil"/>
              <w:right w:val="nil"/>
            </w:tcBorders>
          </w:tcPr>
          <w:p w14:paraId="10D176B5"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0.201</w:t>
            </w:r>
          </w:p>
        </w:tc>
      </w:tr>
      <w:tr w:rsidR="00CD4846" w:rsidRPr="00CD4846" w14:paraId="59F7EEC0" w14:textId="77777777" w:rsidTr="00475D06">
        <w:tc>
          <w:tcPr>
            <w:tcW w:w="1438" w:type="pct"/>
            <w:tcBorders>
              <w:top w:val="nil"/>
              <w:left w:val="nil"/>
              <w:bottom w:val="nil"/>
              <w:right w:val="nil"/>
            </w:tcBorders>
          </w:tcPr>
          <w:p w14:paraId="445BF724" w14:textId="006CACA4"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84" w:type="pct"/>
            <w:tcBorders>
              <w:top w:val="nil"/>
              <w:left w:val="nil"/>
              <w:bottom w:val="nil"/>
              <w:right w:val="nil"/>
            </w:tcBorders>
          </w:tcPr>
          <w:p w14:paraId="1724F413"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(0.380)</w:t>
            </w:r>
          </w:p>
        </w:tc>
        <w:tc>
          <w:tcPr>
            <w:tcW w:w="684" w:type="pct"/>
            <w:tcBorders>
              <w:top w:val="nil"/>
              <w:left w:val="nil"/>
              <w:bottom w:val="nil"/>
              <w:right w:val="nil"/>
            </w:tcBorders>
          </w:tcPr>
          <w:p w14:paraId="7FB44820"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(0.138)</w:t>
            </w:r>
          </w:p>
        </w:tc>
        <w:tc>
          <w:tcPr>
            <w:tcW w:w="684" w:type="pct"/>
            <w:tcBorders>
              <w:top w:val="nil"/>
              <w:left w:val="nil"/>
              <w:bottom w:val="nil"/>
              <w:right w:val="nil"/>
            </w:tcBorders>
          </w:tcPr>
          <w:p w14:paraId="424001EA"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(0.269)</w:t>
            </w:r>
          </w:p>
        </w:tc>
        <w:tc>
          <w:tcPr>
            <w:tcW w:w="684" w:type="pct"/>
            <w:tcBorders>
              <w:top w:val="nil"/>
              <w:left w:val="nil"/>
              <w:bottom w:val="nil"/>
              <w:right w:val="nil"/>
            </w:tcBorders>
          </w:tcPr>
          <w:p w14:paraId="2C964573"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(0.185)</w:t>
            </w:r>
          </w:p>
        </w:tc>
        <w:tc>
          <w:tcPr>
            <w:tcW w:w="827" w:type="pct"/>
            <w:tcBorders>
              <w:top w:val="nil"/>
              <w:left w:val="nil"/>
              <w:bottom w:val="nil"/>
              <w:right w:val="nil"/>
            </w:tcBorders>
          </w:tcPr>
          <w:p w14:paraId="1BF325A5"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(0.135)</w:t>
            </w:r>
          </w:p>
        </w:tc>
      </w:tr>
      <w:tr w:rsidR="00CD4846" w:rsidRPr="00CD4846" w14:paraId="7CC1B26B" w14:textId="77777777" w:rsidTr="00475D06">
        <w:tc>
          <w:tcPr>
            <w:tcW w:w="1438" w:type="pct"/>
            <w:tcBorders>
              <w:top w:val="nil"/>
              <w:left w:val="nil"/>
              <w:bottom w:val="nil"/>
              <w:right w:val="nil"/>
            </w:tcBorders>
          </w:tcPr>
          <w:p w14:paraId="178F245A" w14:textId="6427CB98"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Unemployment rate (100s)</w:t>
            </w:r>
          </w:p>
        </w:tc>
        <w:tc>
          <w:tcPr>
            <w:tcW w:w="684" w:type="pct"/>
            <w:tcBorders>
              <w:top w:val="nil"/>
              <w:left w:val="nil"/>
              <w:bottom w:val="nil"/>
              <w:right w:val="nil"/>
            </w:tcBorders>
          </w:tcPr>
          <w:p w14:paraId="69725A0C"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1.736**</w:t>
            </w:r>
          </w:p>
        </w:tc>
        <w:tc>
          <w:tcPr>
            <w:tcW w:w="684" w:type="pct"/>
            <w:tcBorders>
              <w:top w:val="nil"/>
              <w:left w:val="nil"/>
              <w:bottom w:val="nil"/>
              <w:right w:val="nil"/>
            </w:tcBorders>
          </w:tcPr>
          <w:p w14:paraId="62F577E4"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0.071</w:t>
            </w:r>
          </w:p>
        </w:tc>
        <w:tc>
          <w:tcPr>
            <w:tcW w:w="684" w:type="pct"/>
            <w:tcBorders>
              <w:top w:val="nil"/>
              <w:left w:val="nil"/>
              <w:bottom w:val="nil"/>
              <w:right w:val="nil"/>
            </w:tcBorders>
          </w:tcPr>
          <w:p w14:paraId="7E05577E"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-3.103**</w:t>
            </w:r>
          </w:p>
        </w:tc>
        <w:tc>
          <w:tcPr>
            <w:tcW w:w="684" w:type="pct"/>
            <w:tcBorders>
              <w:top w:val="nil"/>
              <w:left w:val="nil"/>
              <w:bottom w:val="nil"/>
              <w:right w:val="nil"/>
            </w:tcBorders>
          </w:tcPr>
          <w:p w14:paraId="2DFA6BA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1.337**</w:t>
            </w:r>
          </w:p>
        </w:tc>
        <w:tc>
          <w:tcPr>
            <w:tcW w:w="827" w:type="pct"/>
            <w:tcBorders>
              <w:top w:val="nil"/>
              <w:left w:val="nil"/>
              <w:bottom w:val="nil"/>
              <w:right w:val="nil"/>
            </w:tcBorders>
          </w:tcPr>
          <w:p w14:paraId="7B01525D"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2.132***</w:t>
            </w:r>
          </w:p>
        </w:tc>
      </w:tr>
      <w:tr w:rsidR="00CD4846" w:rsidRPr="00CD4846" w14:paraId="418B0893" w14:textId="77777777" w:rsidTr="00475D06">
        <w:tc>
          <w:tcPr>
            <w:tcW w:w="1438" w:type="pct"/>
            <w:tcBorders>
              <w:top w:val="nil"/>
              <w:left w:val="nil"/>
              <w:bottom w:val="nil"/>
              <w:right w:val="nil"/>
            </w:tcBorders>
          </w:tcPr>
          <w:p w14:paraId="2DE69DCC" w14:textId="65BA7304"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84" w:type="pct"/>
            <w:tcBorders>
              <w:top w:val="nil"/>
              <w:left w:val="nil"/>
              <w:bottom w:val="nil"/>
              <w:right w:val="nil"/>
            </w:tcBorders>
          </w:tcPr>
          <w:p w14:paraId="03405662"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(0.815)</w:t>
            </w:r>
          </w:p>
        </w:tc>
        <w:tc>
          <w:tcPr>
            <w:tcW w:w="684" w:type="pct"/>
            <w:tcBorders>
              <w:top w:val="nil"/>
              <w:left w:val="nil"/>
              <w:bottom w:val="nil"/>
              <w:right w:val="nil"/>
            </w:tcBorders>
          </w:tcPr>
          <w:p w14:paraId="563E94B7"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(1.504)</w:t>
            </w:r>
          </w:p>
        </w:tc>
        <w:tc>
          <w:tcPr>
            <w:tcW w:w="684" w:type="pct"/>
            <w:tcBorders>
              <w:top w:val="nil"/>
              <w:left w:val="nil"/>
              <w:bottom w:val="nil"/>
              <w:right w:val="nil"/>
            </w:tcBorders>
          </w:tcPr>
          <w:p w14:paraId="39DC0347"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(1.410)</w:t>
            </w:r>
          </w:p>
        </w:tc>
        <w:tc>
          <w:tcPr>
            <w:tcW w:w="684" w:type="pct"/>
            <w:tcBorders>
              <w:top w:val="nil"/>
              <w:left w:val="nil"/>
              <w:bottom w:val="nil"/>
              <w:right w:val="nil"/>
            </w:tcBorders>
          </w:tcPr>
          <w:p w14:paraId="4876A09F"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(0.594)</w:t>
            </w:r>
          </w:p>
        </w:tc>
        <w:tc>
          <w:tcPr>
            <w:tcW w:w="827" w:type="pct"/>
            <w:tcBorders>
              <w:top w:val="nil"/>
              <w:left w:val="nil"/>
              <w:bottom w:val="nil"/>
              <w:right w:val="nil"/>
            </w:tcBorders>
          </w:tcPr>
          <w:p w14:paraId="09FCC7D6"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(0.564)</w:t>
            </w:r>
          </w:p>
        </w:tc>
      </w:tr>
      <w:tr w:rsidR="00CD4846" w:rsidRPr="00CD4846" w14:paraId="3E614DBC" w14:textId="77777777" w:rsidTr="00475D06">
        <w:tc>
          <w:tcPr>
            <w:tcW w:w="1438" w:type="pct"/>
            <w:tcBorders>
              <w:top w:val="nil"/>
              <w:left w:val="nil"/>
              <w:bottom w:val="nil"/>
              <w:right w:val="nil"/>
            </w:tcBorders>
          </w:tcPr>
          <w:p w14:paraId="0DD4D336" w14:textId="3CDB3BDE"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Sales Volume (t-1)</w:t>
            </w:r>
          </w:p>
        </w:tc>
        <w:tc>
          <w:tcPr>
            <w:tcW w:w="684" w:type="pct"/>
            <w:tcBorders>
              <w:top w:val="nil"/>
              <w:left w:val="nil"/>
              <w:bottom w:val="nil"/>
              <w:right w:val="nil"/>
            </w:tcBorders>
          </w:tcPr>
          <w:p w14:paraId="38B76FFF"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-4.465</w:t>
            </w:r>
          </w:p>
        </w:tc>
        <w:tc>
          <w:tcPr>
            <w:tcW w:w="684" w:type="pct"/>
            <w:tcBorders>
              <w:top w:val="nil"/>
              <w:left w:val="nil"/>
              <w:bottom w:val="nil"/>
              <w:right w:val="nil"/>
            </w:tcBorders>
          </w:tcPr>
          <w:p w14:paraId="70505802"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0.677</w:t>
            </w:r>
          </w:p>
        </w:tc>
        <w:tc>
          <w:tcPr>
            <w:tcW w:w="684" w:type="pct"/>
            <w:tcBorders>
              <w:top w:val="nil"/>
              <w:left w:val="nil"/>
              <w:bottom w:val="nil"/>
              <w:right w:val="nil"/>
            </w:tcBorders>
          </w:tcPr>
          <w:p w14:paraId="554D44C7"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-0.403</w:t>
            </w:r>
          </w:p>
        </w:tc>
        <w:tc>
          <w:tcPr>
            <w:tcW w:w="684" w:type="pct"/>
            <w:tcBorders>
              <w:top w:val="nil"/>
              <w:left w:val="nil"/>
              <w:bottom w:val="nil"/>
              <w:right w:val="nil"/>
            </w:tcBorders>
          </w:tcPr>
          <w:p w14:paraId="10547078"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-27.793**</w:t>
            </w:r>
          </w:p>
        </w:tc>
        <w:tc>
          <w:tcPr>
            <w:tcW w:w="827" w:type="pct"/>
            <w:tcBorders>
              <w:top w:val="nil"/>
              <w:left w:val="nil"/>
              <w:bottom w:val="nil"/>
              <w:right w:val="nil"/>
            </w:tcBorders>
          </w:tcPr>
          <w:p w14:paraId="126B6DD5"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0.091</w:t>
            </w:r>
          </w:p>
        </w:tc>
      </w:tr>
      <w:tr w:rsidR="00CD4846" w:rsidRPr="00CD4846" w14:paraId="168794EB" w14:textId="77777777" w:rsidTr="00475D06">
        <w:tc>
          <w:tcPr>
            <w:tcW w:w="1438" w:type="pct"/>
            <w:tcBorders>
              <w:top w:val="nil"/>
              <w:left w:val="nil"/>
              <w:bottom w:val="nil"/>
              <w:right w:val="nil"/>
            </w:tcBorders>
          </w:tcPr>
          <w:p w14:paraId="35EFF878" w14:textId="41947E34"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84" w:type="pct"/>
            <w:tcBorders>
              <w:top w:val="nil"/>
              <w:left w:val="nil"/>
              <w:bottom w:val="nil"/>
              <w:right w:val="nil"/>
            </w:tcBorders>
          </w:tcPr>
          <w:p w14:paraId="521BDEE5"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(3.748)</w:t>
            </w:r>
          </w:p>
        </w:tc>
        <w:tc>
          <w:tcPr>
            <w:tcW w:w="684" w:type="pct"/>
            <w:tcBorders>
              <w:top w:val="nil"/>
              <w:left w:val="nil"/>
              <w:bottom w:val="nil"/>
              <w:right w:val="nil"/>
            </w:tcBorders>
          </w:tcPr>
          <w:p w14:paraId="1242E617"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(0.436)</w:t>
            </w:r>
          </w:p>
        </w:tc>
        <w:tc>
          <w:tcPr>
            <w:tcW w:w="684" w:type="pct"/>
            <w:tcBorders>
              <w:top w:val="nil"/>
              <w:left w:val="nil"/>
              <w:bottom w:val="nil"/>
              <w:right w:val="nil"/>
            </w:tcBorders>
          </w:tcPr>
          <w:p w14:paraId="2B81AD3D"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(0.382)</w:t>
            </w:r>
          </w:p>
        </w:tc>
        <w:tc>
          <w:tcPr>
            <w:tcW w:w="684" w:type="pct"/>
            <w:tcBorders>
              <w:top w:val="nil"/>
              <w:left w:val="nil"/>
              <w:bottom w:val="nil"/>
              <w:right w:val="nil"/>
            </w:tcBorders>
          </w:tcPr>
          <w:p w14:paraId="28DFCF6F"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(12.470)</w:t>
            </w:r>
          </w:p>
        </w:tc>
        <w:tc>
          <w:tcPr>
            <w:tcW w:w="827" w:type="pct"/>
            <w:tcBorders>
              <w:top w:val="nil"/>
              <w:left w:val="nil"/>
              <w:bottom w:val="nil"/>
              <w:right w:val="nil"/>
            </w:tcBorders>
          </w:tcPr>
          <w:p w14:paraId="2D2599BC"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(0.101)</w:t>
            </w:r>
          </w:p>
        </w:tc>
      </w:tr>
      <w:tr w:rsidR="00CD4846" w:rsidRPr="00CD4846" w14:paraId="625AA3A8" w14:textId="77777777" w:rsidTr="00475D06">
        <w:tc>
          <w:tcPr>
            <w:tcW w:w="1438" w:type="pct"/>
            <w:tcBorders>
              <w:top w:val="nil"/>
              <w:left w:val="nil"/>
              <w:bottom w:val="nil"/>
              <w:right w:val="nil"/>
            </w:tcBorders>
          </w:tcPr>
          <w:p w14:paraId="6A68CA1E" w14:textId="78BA6076"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Prior Total Exits (1ks)</w:t>
            </w:r>
          </w:p>
        </w:tc>
        <w:tc>
          <w:tcPr>
            <w:tcW w:w="684" w:type="pct"/>
            <w:tcBorders>
              <w:top w:val="nil"/>
              <w:left w:val="nil"/>
              <w:bottom w:val="nil"/>
              <w:right w:val="nil"/>
            </w:tcBorders>
          </w:tcPr>
          <w:p w14:paraId="511EDD6E"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0.812</w:t>
            </w:r>
          </w:p>
        </w:tc>
        <w:tc>
          <w:tcPr>
            <w:tcW w:w="684" w:type="pct"/>
            <w:tcBorders>
              <w:top w:val="nil"/>
              <w:left w:val="nil"/>
              <w:bottom w:val="nil"/>
              <w:right w:val="nil"/>
            </w:tcBorders>
          </w:tcPr>
          <w:p w14:paraId="28219A75"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2.664***</w:t>
            </w:r>
          </w:p>
        </w:tc>
        <w:tc>
          <w:tcPr>
            <w:tcW w:w="684" w:type="pct"/>
            <w:tcBorders>
              <w:top w:val="nil"/>
              <w:left w:val="nil"/>
              <w:bottom w:val="nil"/>
              <w:right w:val="nil"/>
            </w:tcBorders>
          </w:tcPr>
          <w:p w14:paraId="2C2F37A6"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5.353*</w:t>
            </w:r>
          </w:p>
        </w:tc>
        <w:tc>
          <w:tcPr>
            <w:tcW w:w="684" w:type="pct"/>
            <w:tcBorders>
              <w:top w:val="nil"/>
              <w:left w:val="nil"/>
              <w:bottom w:val="nil"/>
              <w:right w:val="nil"/>
            </w:tcBorders>
          </w:tcPr>
          <w:p w14:paraId="2A76972D"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0.063</w:t>
            </w:r>
          </w:p>
        </w:tc>
        <w:tc>
          <w:tcPr>
            <w:tcW w:w="827" w:type="pct"/>
            <w:tcBorders>
              <w:top w:val="nil"/>
              <w:left w:val="nil"/>
              <w:bottom w:val="nil"/>
              <w:right w:val="nil"/>
            </w:tcBorders>
          </w:tcPr>
          <w:p w14:paraId="229251D9"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0.106</w:t>
            </w:r>
          </w:p>
        </w:tc>
      </w:tr>
      <w:tr w:rsidR="00CD4846" w:rsidRPr="00CD4846" w14:paraId="3F8A4194" w14:textId="77777777" w:rsidTr="00475D06">
        <w:tc>
          <w:tcPr>
            <w:tcW w:w="1438" w:type="pct"/>
            <w:tcBorders>
              <w:top w:val="nil"/>
              <w:left w:val="nil"/>
              <w:bottom w:val="nil"/>
              <w:right w:val="nil"/>
            </w:tcBorders>
          </w:tcPr>
          <w:p w14:paraId="4A455C37" w14:textId="21138B53"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84" w:type="pct"/>
            <w:tcBorders>
              <w:top w:val="nil"/>
              <w:left w:val="nil"/>
              <w:bottom w:val="nil"/>
              <w:right w:val="nil"/>
            </w:tcBorders>
          </w:tcPr>
          <w:p w14:paraId="61EF914E"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(0.869)</w:t>
            </w:r>
          </w:p>
        </w:tc>
        <w:tc>
          <w:tcPr>
            <w:tcW w:w="684" w:type="pct"/>
            <w:tcBorders>
              <w:top w:val="nil"/>
              <w:left w:val="nil"/>
              <w:bottom w:val="nil"/>
              <w:right w:val="nil"/>
            </w:tcBorders>
          </w:tcPr>
          <w:p w14:paraId="3EA649AF"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(0.524)</w:t>
            </w:r>
          </w:p>
        </w:tc>
        <w:tc>
          <w:tcPr>
            <w:tcW w:w="684" w:type="pct"/>
            <w:tcBorders>
              <w:top w:val="nil"/>
              <w:left w:val="nil"/>
              <w:bottom w:val="nil"/>
              <w:right w:val="nil"/>
            </w:tcBorders>
          </w:tcPr>
          <w:p w14:paraId="0C658B14"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(2.774)</w:t>
            </w:r>
          </w:p>
        </w:tc>
        <w:tc>
          <w:tcPr>
            <w:tcW w:w="684" w:type="pct"/>
            <w:tcBorders>
              <w:top w:val="nil"/>
              <w:left w:val="nil"/>
              <w:bottom w:val="nil"/>
              <w:right w:val="nil"/>
            </w:tcBorders>
          </w:tcPr>
          <w:p w14:paraId="2E954333"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(0.046)</w:t>
            </w:r>
          </w:p>
        </w:tc>
        <w:tc>
          <w:tcPr>
            <w:tcW w:w="827" w:type="pct"/>
            <w:tcBorders>
              <w:top w:val="nil"/>
              <w:left w:val="nil"/>
              <w:bottom w:val="nil"/>
              <w:right w:val="nil"/>
            </w:tcBorders>
          </w:tcPr>
          <w:p w14:paraId="2F3FD990"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(0.084)</w:t>
            </w:r>
          </w:p>
        </w:tc>
      </w:tr>
      <w:tr w:rsidR="00CD4846" w:rsidRPr="00CD4846" w14:paraId="675F7063" w14:textId="77777777" w:rsidTr="00475D06">
        <w:tc>
          <w:tcPr>
            <w:tcW w:w="1438" w:type="pct"/>
            <w:tcBorders>
              <w:top w:val="nil"/>
              <w:left w:val="nil"/>
              <w:bottom w:val="nil"/>
              <w:right w:val="nil"/>
            </w:tcBorders>
          </w:tcPr>
          <w:p w14:paraId="3602A38E"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Constant</w:t>
            </w:r>
          </w:p>
        </w:tc>
        <w:tc>
          <w:tcPr>
            <w:tcW w:w="684" w:type="pct"/>
            <w:tcBorders>
              <w:top w:val="nil"/>
              <w:left w:val="nil"/>
              <w:bottom w:val="nil"/>
              <w:right w:val="nil"/>
            </w:tcBorders>
          </w:tcPr>
          <w:p w14:paraId="1E4961C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1.939***</w:t>
            </w:r>
          </w:p>
        </w:tc>
        <w:tc>
          <w:tcPr>
            <w:tcW w:w="684" w:type="pct"/>
            <w:tcBorders>
              <w:top w:val="nil"/>
              <w:left w:val="nil"/>
              <w:bottom w:val="nil"/>
              <w:right w:val="nil"/>
            </w:tcBorders>
          </w:tcPr>
          <w:p w14:paraId="00396F1C"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1.097***</w:t>
            </w:r>
          </w:p>
        </w:tc>
        <w:tc>
          <w:tcPr>
            <w:tcW w:w="684" w:type="pct"/>
            <w:tcBorders>
              <w:top w:val="nil"/>
              <w:left w:val="nil"/>
              <w:bottom w:val="nil"/>
              <w:right w:val="nil"/>
            </w:tcBorders>
          </w:tcPr>
          <w:p w14:paraId="366827CA"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1.920***</w:t>
            </w:r>
          </w:p>
        </w:tc>
        <w:tc>
          <w:tcPr>
            <w:tcW w:w="684" w:type="pct"/>
            <w:tcBorders>
              <w:top w:val="nil"/>
              <w:left w:val="nil"/>
              <w:bottom w:val="nil"/>
              <w:right w:val="nil"/>
            </w:tcBorders>
          </w:tcPr>
          <w:p w14:paraId="54CB4713"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3.994***</w:t>
            </w:r>
          </w:p>
        </w:tc>
        <w:tc>
          <w:tcPr>
            <w:tcW w:w="827" w:type="pct"/>
            <w:tcBorders>
              <w:top w:val="nil"/>
              <w:left w:val="nil"/>
              <w:bottom w:val="nil"/>
              <w:right w:val="nil"/>
            </w:tcBorders>
          </w:tcPr>
          <w:p w14:paraId="15729233"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4.148***</w:t>
            </w:r>
          </w:p>
        </w:tc>
      </w:tr>
      <w:tr w:rsidR="00CD4846" w:rsidRPr="00CD4846" w14:paraId="394337B9" w14:textId="77777777" w:rsidTr="00475D06">
        <w:tc>
          <w:tcPr>
            <w:tcW w:w="1438" w:type="pct"/>
            <w:tcBorders>
              <w:top w:val="nil"/>
              <w:left w:val="nil"/>
              <w:bottom w:val="nil"/>
              <w:right w:val="nil"/>
            </w:tcBorders>
          </w:tcPr>
          <w:p w14:paraId="53677934" w14:textId="05D4BDC2"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84" w:type="pct"/>
            <w:tcBorders>
              <w:top w:val="nil"/>
              <w:left w:val="nil"/>
              <w:bottom w:val="nil"/>
              <w:right w:val="nil"/>
            </w:tcBorders>
          </w:tcPr>
          <w:p w14:paraId="43A1A7A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(0.278)</w:t>
            </w:r>
          </w:p>
        </w:tc>
        <w:tc>
          <w:tcPr>
            <w:tcW w:w="684" w:type="pct"/>
            <w:tcBorders>
              <w:top w:val="nil"/>
              <w:left w:val="nil"/>
              <w:bottom w:val="nil"/>
              <w:right w:val="nil"/>
            </w:tcBorders>
          </w:tcPr>
          <w:p w14:paraId="2BAA148D"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(0.425)</w:t>
            </w:r>
          </w:p>
        </w:tc>
        <w:tc>
          <w:tcPr>
            <w:tcW w:w="684" w:type="pct"/>
            <w:tcBorders>
              <w:top w:val="nil"/>
              <w:left w:val="nil"/>
              <w:bottom w:val="nil"/>
              <w:right w:val="nil"/>
            </w:tcBorders>
          </w:tcPr>
          <w:p w14:paraId="36E33F5D"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(0.419)</w:t>
            </w:r>
          </w:p>
        </w:tc>
        <w:tc>
          <w:tcPr>
            <w:tcW w:w="684" w:type="pct"/>
            <w:tcBorders>
              <w:top w:val="nil"/>
              <w:left w:val="nil"/>
              <w:bottom w:val="nil"/>
              <w:right w:val="nil"/>
            </w:tcBorders>
          </w:tcPr>
          <w:p w14:paraId="470299F8"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(0.254)</w:t>
            </w:r>
          </w:p>
        </w:tc>
        <w:tc>
          <w:tcPr>
            <w:tcW w:w="827" w:type="pct"/>
            <w:tcBorders>
              <w:top w:val="nil"/>
              <w:left w:val="nil"/>
              <w:bottom w:val="nil"/>
              <w:right w:val="nil"/>
            </w:tcBorders>
          </w:tcPr>
          <w:p w14:paraId="49D98800"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(0.212)</w:t>
            </w:r>
          </w:p>
        </w:tc>
      </w:tr>
      <w:tr w:rsidR="00CD4846" w:rsidRPr="00CD4846" w14:paraId="1301BC94" w14:textId="77777777" w:rsidTr="00475D06">
        <w:tc>
          <w:tcPr>
            <w:tcW w:w="1438" w:type="pct"/>
            <w:tcBorders>
              <w:top w:val="nil"/>
              <w:left w:val="nil"/>
              <w:bottom w:val="nil"/>
              <w:right w:val="nil"/>
            </w:tcBorders>
          </w:tcPr>
          <w:p w14:paraId="62BD983C" w14:textId="4D805D58"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Observations</w:t>
            </w:r>
          </w:p>
        </w:tc>
        <w:tc>
          <w:tcPr>
            <w:tcW w:w="684" w:type="pct"/>
            <w:tcBorders>
              <w:top w:val="nil"/>
              <w:left w:val="nil"/>
              <w:bottom w:val="nil"/>
              <w:right w:val="nil"/>
            </w:tcBorders>
          </w:tcPr>
          <w:p w14:paraId="1E862272"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15227</w:t>
            </w:r>
          </w:p>
        </w:tc>
        <w:tc>
          <w:tcPr>
            <w:tcW w:w="684" w:type="pct"/>
            <w:tcBorders>
              <w:top w:val="nil"/>
              <w:left w:val="nil"/>
              <w:bottom w:val="nil"/>
              <w:right w:val="nil"/>
            </w:tcBorders>
          </w:tcPr>
          <w:p w14:paraId="1AE4316E"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9866</w:t>
            </w:r>
          </w:p>
        </w:tc>
        <w:tc>
          <w:tcPr>
            <w:tcW w:w="684" w:type="pct"/>
            <w:tcBorders>
              <w:top w:val="nil"/>
              <w:left w:val="nil"/>
              <w:bottom w:val="nil"/>
              <w:right w:val="nil"/>
            </w:tcBorders>
          </w:tcPr>
          <w:p w14:paraId="3F48FD69"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14362</w:t>
            </w:r>
          </w:p>
        </w:tc>
        <w:tc>
          <w:tcPr>
            <w:tcW w:w="684" w:type="pct"/>
            <w:tcBorders>
              <w:top w:val="nil"/>
              <w:left w:val="nil"/>
              <w:bottom w:val="nil"/>
              <w:right w:val="nil"/>
            </w:tcBorders>
          </w:tcPr>
          <w:p w14:paraId="6E2E84AD"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26206</w:t>
            </w:r>
          </w:p>
        </w:tc>
        <w:tc>
          <w:tcPr>
            <w:tcW w:w="827" w:type="pct"/>
            <w:tcBorders>
              <w:top w:val="nil"/>
              <w:left w:val="nil"/>
              <w:bottom w:val="nil"/>
              <w:right w:val="nil"/>
            </w:tcBorders>
          </w:tcPr>
          <w:p w14:paraId="09A4D165"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26170</w:t>
            </w:r>
          </w:p>
        </w:tc>
      </w:tr>
      <w:tr w:rsidR="00CD4846" w:rsidRPr="00CD4846" w14:paraId="1F6C03C7" w14:textId="77777777" w:rsidTr="00475D06">
        <w:tc>
          <w:tcPr>
            <w:tcW w:w="1438" w:type="pct"/>
            <w:tcBorders>
              <w:top w:val="nil"/>
              <w:left w:val="nil"/>
              <w:bottom w:val="nil"/>
              <w:right w:val="nil"/>
            </w:tcBorders>
          </w:tcPr>
          <w:p w14:paraId="44AC25AC" w14:textId="5089D6B4"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Pseudo R</w:t>
            </w:r>
            <w:r w:rsidRPr="00CD4846">
              <w:rPr>
                <w:rFonts w:cs="Times New Roman"/>
                <w:kern w:val="2"/>
                <w:sz w:val="20"/>
                <w:szCs w:val="20"/>
                <w:vertAlign w:val="superscript"/>
                <w:lang/>
              </w:rPr>
              <w:t>2</w:t>
            </w:r>
          </w:p>
        </w:tc>
        <w:tc>
          <w:tcPr>
            <w:tcW w:w="684" w:type="pct"/>
            <w:tcBorders>
              <w:top w:val="nil"/>
              <w:left w:val="nil"/>
              <w:bottom w:val="nil"/>
              <w:right w:val="nil"/>
            </w:tcBorders>
          </w:tcPr>
          <w:p w14:paraId="1B2E2242"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0.666</w:t>
            </w:r>
          </w:p>
        </w:tc>
        <w:tc>
          <w:tcPr>
            <w:tcW w:w="684" w:type="pct"/>
            <w:tcBorders>
              <w:top w:val="nil"/>
              <w:left w:val="nil"/>
              <w:bottom w:val="nil"/>
              <w:right w:val="nil"/>
            </w:tcBorders>
          </w:tcPr>
          <w:p w14:paraId="53E51198"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0.654</w:t>
            </w:r>
          </w:p>
        </w:tc>
        <w:tc>
          <w:tcPr>
            <w:tcW w:w="684" w:type="pct"/>
            <w:tcBorders>
              <w:top w:val="nil"/>
              <w:left w:val="nil"/>
              <w:bottom w:val="nil"/>
              <w:right w:val="nil"/>
            </w:tcBorders>
          </w:tcPr>
          <w:p w14:paraId="15E0E956"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0.491</w:t>
            </w:r>
          </w:p>
        </w:tc>
        <w:tc>
          <w:tcPr>
            <w:tcW w:w="684" w:type="pct"/>
            <w:tcBorders>
              <w:top w:val="nil"/>
              <w:left w:val="nil"/>
              <w:bottom w:val="nil"/>
              <w:right w:val="nil"/>
            </w:tcBorders>
          </w:tcPr>
          <w:p w14:paraId="7064380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0.950</w:t>
            </w:r>
          </w:p>
        </w:tc>
        <w:tc>
          <w:tcPr>
            <w:tcW w:w="827" w:type="pct"/>
            <w:tcBorders>
              <w:top w:val="nil"/>
              <w:left w:val="nil"/>
              <w:bottom w:val="nil"/>
              <w:right w:val="nil"/>
            </w:tcBorders>
          </w:tcPr>
          <w:p w14:paraId="4FC6F9DA"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0.926</w:t>
            </w:r>
          </w:p>
        </w:tc>
      </w:tr>
      <w:tr w:rsidR="00CD4846" w:rsidRPr="00CD4846" w14:paraId="48495172" w14:textId="77777777" w:rsidTr="00475D06">
        <w:tc>
          <w:tcPr>
            <w:tcW w:w="1438" w:type="pct"/>
            <w:tcBorders>
              <w:top w:val="nil"/>
              <w:left w:val="nil"/>
              <w:bottom w:val="nil"/>
              <w:right w:val="nil"/>
            </w:tcBorders>
          </w:tcPr>
          <w:p w14:paraId="0DD9AC22" w14:textId="52FE9A25"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Chi</w:t>
            </w:r>
            <w:r w:rsidRPr="00CD4846">
              <w:rPr>
                <w:rFonts w:cs="Times New Roman"/>
                <w:kern w:val="2"/>
                <w:sz w:val="20"/>
                <w:szCs w:val="20"/>
                <w:vertAlign w:val="superscript"/>
                <w:lang/>
              </w:rPr>
              <w:t>2</w:t>
            </w:r>
          </w:p>
        </w:tc>
        <w:tc>
          <w:tcPr>
            <w:tcW w:w="684" w:type="pct"/>
            <w:tcBorders>
              <w:top w:val="nil"/>
              <w:left w:val="nil"/>
              <w:bottom w:val="nil"/>
              <w:right w:val="nil"/>
            </w:tcBorders>
          </w:tcPr>
          <w:p w14:paraId="72AD48B9"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201</w:t>
            </w:r>
          </w:p>
        </w:tc>
        <w:tc>
          <w:tcPr>
            <w:tcW w:w="684" w:type="pct"/>
            <w:tcBorders>
              <w:top w:val="nil"/>
              <w:left w:val="nil"/>
              <w:bottom w:val="nil"/>
              <w:right w:val="nil"/>
            </w:tcBorders>
          </w:tcPr>
          <w:p w14:paraId="7CCBE022"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137</w:t>
            </w:r>
          </w:p>
        </w:tc>
        <w:tc>
          <w:tcPr>
            <w:tcW w:w="684" w:type="pct"/>
            <w:tcBorders>
              <w:top w:val="nil"/>
              <w:left w:val="nil"/>
              <w:bottom w:val="nil"/>
              <w:right w:val="nil"/>
            </w:tcBorders>
          </w:tcPr>
          <w:p w14:paraId="34626D2A"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93</w:t>
            </w:r>
          </w:p>
        </w:tc>
        <w:tc>
          <w:tcPr>
            <w:tcW w:w="684" w:type="pct"/>
            <w:tcBorders>
              <w:top w:val="nil"/>
              <w:left w:val="nil"/>
              <w:bottom w:val="nil"/>
              <w:right w:val="nil"/>
            </w:tcBorders>
          </w:tcPr>
          <w:p w14:paraId="3F02C4FE"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177</w:t>
            </w:r>
          </w:p>
        </w:tc>
        <w:tc>
          <w:tcPr>
            <w:tcW w:w="827" w:type="pct"/>
            <w:tcBorders>
              <w:top w:val="nil"/>
              <w:left w:val="nil"/>
              <w:bottom w:val="nil"/>
              <w:right w:val="nil"/>
            </w:tcBorders>
          </w:tcPr>
          <w:p w14:paraId="684C0AD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119</w:t>
            </w:r>
          </w:p>
        </w:tc>
      </w:tr>
      <w:tr w:rsidR="00CD4846" w:rsidRPr="00CD4846" w14:paraId="45247A9F" w14:textId="77777777" w:rsidTr="00475D06">
        <w:tc>
          <w:tcPr>
            <w:tcW w:w="1438" w:type="pct"/>
            <w:tcBorders>
              <w:top w:val="nil"/>
              <w:left w:val="nil"/>
              <w:bottom w:val="nil"/>
              <w:right w:val="nil"/>
            </w:tcBorders>
          </w:tcPr>
          <w:p w14:paraId="3FC64CBE" w14:textId="0C6C66B8"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Log Likelihood</w:t>
            </w:r>
          </w:p>
        </w:tc>
        <w:tc>
          <w:tcPr>
            <w:tcW w:w="684" w:type="pct"/>
            <w:tcBorders>
              <w:top w:val="nil"/>
              <w:left w:val="nil"/>
              <w:bottom w:val="nil"/>
              <w:right w:val="nil"/>
            </w:tcBorders>
          </w:tcPr>
          <w:p w14:paraId="357AF60E"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-34915</w:t>
            </w:r>
          </w:p>
        </w:tc>
        <w:tc>
          <w:tcPr>
            <w:tcW w:w="684" w:type="pct"/>
            <w:tcBorders>
              <w:top w:val="nil"/>
              <w:left w:val="nil"/>
              <w:bottom w:val="nil"/>
              <w:right w:val="nil"/>
            </w:tcBorders>
          </w:tcPr>
          <w:p w14:paraId="493E598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-14498</w:t>
            </w:r>
          </w:p>
        </w:tc>
        <w:tc>
          <w:tcPr>
            <w:tcW w:w="684" w:type="pct"/>
            <w:tcBorders>
              <w:top w:val="nil"/>
              <w:left w:val="nil"/>
              <w:bottom w:val="nil"/>
              <w:right w:val="nil"/>
            </w:tcBorders>
          </w:tcPr>
          <w:p w14:paraId="77FDF6E5"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-20077</w:t>
            </w:r>
          </w:p>
        </w:tc>
        <w:tc>
          <w:tcPr>
            <w:tcW w:w="684" w:type="pct"/>
            <w:tcBorders>
              <w:top w:val="nil"/>
              <w:left w:val="nil"/>
              <w:bottom w:val="nil"/>
              <w:right w:val="nil"/>
            </w:tcBorders>
          </w:tcPr>
          <w:p w14:paraId="64F5A161"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-115492</w:t>
            </w:r>
          </w:p>
        </w:tc>
        <w:tc>
          <w:tcPr>
            <w:tcW w:w="827" w:type="pct"/>
            <w:tcBorders>
              <w:top w:val="nil"/>
              <w:left w:val="nil"/>
              <w:bottom w:val="nil"/>
              <w:right w:val="nil"/>
            </w:tcBorders>
          </w:tcPr>
          <w:p w14:paraId="3E3CFF8C"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-69224</w:t>
            </w:r>
          </w:p>
        </w:tc>
      </w:tr>
      <w:tr w:rsidR="00CD4846" w:rsidRPr="00CD4846" w14:paraId="3AC19417" w14:textId="77777777" w:rsidTr="00475D06">
        <w:tc>
          <w:tcPr>
            <w:tcW w:w="1438" w:type="pct"/>
            <w:tcBorders>
              <w:top w:val="nil"/>
              <w:left w:val="nil"/>
              <w:bottom w:val="nil"/>
              <w:right w:val="nil"/>
            </w:tcBorders>
          </w:tcPr>
          <w:p w14:paraId="2380FAA8" w14:textId="35AD5C30"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Akaike’s Criterion</w:t>
            </w:r>
          </w:p>
        </w:tc>
        <w:tc>
          <w:tcPr>
            <w:tcW w:w="684" w:type="pct"/>
            <w:tcBorders>
              <w:top w:val="nil"/>
              <w:left w:val="nil"/>
              <w:bottom w:val="nil"/>
              <w:right w:val="nil"/>
            </w:tcBorders>
          </w:tcPr>
          <w:p w14:paraId="261CD128"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69867</w:t>
            </w:r>
          </w:p>
        </w:tc>
        <w:tc>
          <w:tcPr>
            <w:tcW w:w="684" w:type="pct"/>
            <w:tcBorders>
              <w:top w:val="nil"/>
              <w:left w:val="nil"/>
              <w:bottom w:val="nil"/>
              <w:right w:val="nil"/>
            </w:tcBorders>
          </w:tcPr>
          <w:p w14:paraId="3A90A201"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29032</w:t>
            </w:r>
          </w:p>
        </w:tc>
        <w:tc>
          <w:tcPr>
            <w:tcW w:w="684" w:type="pct"/>
            <w:tcBorders>
              <w:top w:val="nil"/>
              <w:left w:val="nil"/>
              <w:bottom w:val="nil"/>
              <w:right w:val="nil"/>
            </w:tcBorders>
          </w:tcPr>
          <w:p w14:paraId="59A3DC39"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40190</w:t>
            </w:r>
          </w:p>
        </w:tc>
        <w:tc>
          <w:tcPr>
            <w:tcW w:w="684" w:type="pct"/>
            <w:tcBorders>
              <w:top w:val="nil"/>
              <w:left w:val="nil"/>
              <w:bottom w:val="nil"/>
              <w:right w:val="nil"/>
            </w:tcBorders>
          </w:tcPr>
          <w:p w14:paraId="7E446B11"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231021</w:t>
            </w:r>
          </w:p>
        </w:tc>
        <w:tc>
          <w:tcPr>
            <w:tcW w:w="827" w:type="pct"/>
            <w:tcBorders>
              <w:top w:val="nil"/>
              <w:left w:val="nil"/>
              <w:bottom w:val="nil"/>
              <w:right w:val="nil"/>
            </w:tcBorders>
          </w:tcPr>
          <w:p w14:paraId="21CC6EC1"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138484</w:t>
            </w:r>
          </w:p>
        </w:tc>
      </w:tr>
      <w:tr w:rsidR="00CD4846" w:rsidRPr="00CD4846" w14:paraId="06418956" w14:textId="77777777" w:rsidTr="00475D06">
        <w:tc>
          <w:tcPr>
            <w:tcW w:w="1438" w:type="pct"/>
            <w:tcBorders>
              <w:top w:val="nil"/>
              <w:left w:val="nil"/>
              <w:bottom w:val="nil"/>
              <w:right w:val="nil"/>
            </w:tcBorders>
          </w:tcPr>
          <w:p w14:paraId="2F5B161D" w14:textId="56B671E1"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Bayesian Criterion</w:t>
            </w:r>
          </w:p>
        </w:tc>
        <w:tc>
          <w:tcPr>
            <w:tcW w:w="684" w:type="pct"/>
            <w:tcBorders>
              <w:top w:val="nil"/>
              <w:left w:val="nil"/>
              <w:bottom w:val="nil"/>
              <w:right w:val="nil"/>
            </w:tcBorders>
          </w:tcPr>
          <w:p w14:paraId="546C359E"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70004</w:t>
            </w:r>
          </w:p>
        </w:tc>
        <w:tc>
          <w:tcPr>
            <w:tcW w:w="684" w:type="pct"/>
            <w:tcBorders>
              <w:top w:val="nil"/>
              <w:left w:val="nil"/>
              <w:bottom w:val="nil"/>
              <w:right w:val="nil"/>
            </w:tcBorders>
          </w:tcPr>
          <w:p w14:paraId="5651DB7E"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29162</w:t>
            </w:r>
          </w:p>
        </w:tc>
        <w:tc>
          <w:tcPr>
            <w:tcW w:w="684" w:type="pct"/>
            <w:tcBorders>
              <w:top w:val="nil"/>
              <w:left w:val="nil"/>
              <w:bottom w:val="nil"/>
              <w:right w:val="nil"/>
            </w:tcBorders>
          </w:tcPr>
          <w:p w14:paraId="1D5E5C99"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40326</w:t>
            </w:r>
          </w:p>
        </w:tc>
        <w:tc>
          <w:tcPr>
            <w:tcW w:w="684" w:type="pct"/>
            <w:tcBorders>
              <w:top w:val="nil"/>
              <w:left w:val="nil"/>
              <w:bottom w:val="nil"/>
              <w:right w:val="nil"/>
            </w:tcBorders>
          </w:tcPr>
          <w:p w14:paraId="48131BA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231168</w:t>
            </w:r>
          </w:p>
        </w:tc>
        <w:tc>
          <w:tcPr>
            <w:tcW w:w="827" w:type="pct"/>
            <w:tcBorders>
              <w:top w:val="nil"/>
              <w:left w:val="nil"/>
              <w:bottom w:val="nil"/>
              <w:right w:val="nil"/>
            </w:tcBorders>
          </w:tcPr>
          <w:p w14:paraId="201950E8"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138631</w:t>
            </w:r>
          </w:p>
        </w:tc>
      </w:tr>
      <w:tr w:rsidR="00CD4846" w:rsidRPr="00CD4846" w14:paraId="317E5DB5" w14:textId="77777777" w:rsidTr="00475D06">
        <w:tc>
          <w:tcPr>
            <w:tcW w:w="1438" w:type="pct"/>
            <w:tcBorders>
              <w:top w:val="nil"/>
              <w:left w:val="nil"/>
              <w:bottom w:val="nil"/>
              <w:right w:val="nil"/>
            </w:tcBorders>
          </w:tcPr>
          <w:p w14:paraId="1B3E4C6F"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County FE</w:t>
            </w:r>
          </w:p>
        </w:tc>
        <w:tc>
          <w:tcPr>
            <w:tcW w:w="684" w:type="pct"/>
            <w:tcBorders>
              <w:top w:val="nil"/>
              <w:left w:val="nil"/>
              <w:bottom w:val="nil"/>
              <w:right w:val="nil"/>
            </w:tcBorders>
          </w:tcPr>
          <w:p w14:paraId="40070DE6"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684" w:type="pct"/>
            <w:tcBorders>
              <w:top w:val="nil"/>
              <w:left w:val="nil"/>
              <w:bottom w:val="nil"/>
              <w:right w:val="nil"/>
            </w:tcBorders>
          </w:tcPr>
          <w:p w14:paraId="69AD06A5"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684" w:type="pct"/>
            <w:tcBorders>
              <w:top w:val="nil"/>
              <w:left w:val="nil"/>
              <w:bottom w:val="nil"/>
              <w:right w:val="nil"/>
            </w:tcBorders>
          </w:tcPr>
          <w:p w14:paraId="2DE4DCD5"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684" w:type="pct"/>
            <w:tcBorders>
              <w:top w:val="nil"/>
              <w:left w:val="nil"/>
              <w:bottom w:val="nil"/>
              <w:right w:val="nil"/>
            </w:tcBorders>
          </w:tcPr>
          <w:p w14:paraId="3FF898A4"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827" w:type="pct"/>
            <w:tcBorders>
              <w:top w:val="nil"/>
              <w:left w:val="nil"/>
              <w:bottom w:val="nil"/>
              <w:right w:val="nil"/>
            </w:tcBorders>
          </w:tcPr>
          <w:p w14:paraId="3F04AD6F"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r>
      <w:tr w:rsidR="00CD4846" w:rsidRPr="00CD4846" w14:paraId="282E813C" w14:textId="77777777" w:rsidTr="00475D06">
        <w:tc>
          <w:tcPr>
            <w:tcW w:w="1438" w:type="pct"/>
            <w:tcBorders>
              <w:top w:val="nil"/>
              <w:left w:val="nil"/>
              <w:bottom w:val="nil"/>
              <w:right w:val="nil"/>
            </w:tcBorders>
          </w:tcPr>
          <w:p w14:paraId="57DDAF2F"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State by Year FE</w:t>
            </w:r>
          </w:p>
        </w:tc>
        <w:tc>
          <w:tcPr>
            <w:tcW w:w="684" w:type="pct"/>
            <w:tcBorders>
              <w:top w:val="nil"/>
              <w:left w:val="nil"/>
              <w:bottom w:val="nil"/>
              <w:right w:val="nil"/>
            </w:tcBorders>
          </w:tcPr>
          <w:p w14:paraId="6E969462"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684" w:type="pct"/>
            <w:tcBorders>
              <w:top w:val="nil"/>
              <w:left w:val="nil"/>
              <w:bottom w:val="nil"/>
              <w:right w:val="nil"/>
            </w:tcBorders>
          </w:tcPr>
          <w:p w14:paraId="21C76C8A"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684" w:type="pct"/>
            <w:tcBorders>
              <w:top w:val="nil"/>
              <w:left w:val="nil"/>
              <w:bottom w:val="nil"/>
              <w:right w:val="nil"/>
            </w:tcBorders>
          </w:tcPr>
          <w:p w14:paraId="7A9BA433"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684" w:type="pct"/>
            <w:tcBorders>
              <w:top w:val="nil"/>
              <w:left w:val="nil"/>
              <w:bottom w:val="nil"/>
              <w:right w:val="nil"/>
            </w:tcBorders>
          </w:tcPr>
          <w:p w14:paraId="3FF72FF7"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827" w:type="pct"/>
            <w:tcBorders>
              <w:top w:val="nil"/>
              <w:left w:val="nil"/>
              <w:bottom w:val="nil"/>
              <w:right w:val="nil"/>
            </w:tcBorders>
          </w:tcPr>
          <w:p w14:paraId="08F7DEE4"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r>
    </w:tbl>
    <w:p w14:paraId="378F0E54" w14:textId="77777777" w:rsidR="00475D06" w:rsidRDefault="00475D06" w:rsidP="004C39A4">
      <w:r>
        <w:br w:type="page"/>
      </w:r>
    </w:p>
    <w:p w14:paraId="24FCD1D9" w14:textId="550D1872" w:rsidR="00475D06" w:rsidRPr="00475D06" w:rsidRDefault="00475D06" w:rsidP="004C39A4">
      <w:pPr>
        <w:spacing w:line="240" w:lineRule="auto"/>
        <w:rPr>
          <w:b/>
          <w:bCs/>
        </w:rPr>
      </w:pPr>
      <w:r w:rsidRPr="00475D06">
        <w:rPr>
          <w:b/>
          <w:bCs/>
        </w:rPr>
        <w:lastRenderedPageBreak/>
        <w:t>Table A18 Continued</w:t>
      </w:r>
    </w:p>
    <w:tbl>
      <w:tblPr>
        <w:tblW w:w="5000" w:type="pct"/>
        <w:tblLook w:val="04A0" w:firstRow="1" w:lastRow="0" w:firstColumn="1" w:lastColumn="0" w:noHBand="0" w:noVBand="1"/>
      </w:tblPr>
      <w:tblGrid>
        <w:gridCol w:w="2693"/>
        <w:gridCol w:w="1281"/>
        <w:gridCol w:w="1280"/>
        <w:gridCol w:w="1280"/>
        <w:gridCol w:w="1280"/>
        <w:gridCol w:w="1546"/>
      </w:tblGrid>
      <w:tr w:rsidR="00475D06" w:rsidRPr="0058540A" w14:paraId="2F22FB27" w14:textId="77777777" w:rsidTr="00475D06">
        <w:tc>
          <w:tcPr>
            <w:tcW w:w="1438" w:type="pct"/>
            <w:tcBorders>
              <w:top w:val="single" w:sz="4" w:space="0" w:color="auto"/>
              <w:left w:val="nil"/>
              <w:bottom w:val="single" w:sz="4" w:space="0" w:color="auto"/>
              <w:right w:val="nil"/>
            </w:tcBorders>
          </w:tcPr>
          <w:p w14:paraId="4F4AF46D" w14:textId="2BCE3CC5" w:rsidR="00475D06" w:rsidRPr="0058540A" w:rsidRDefault="00475D06" w:rsidP="0058540A">
            <w:pPr>
              <w:spacing w:line="240" w:lineRule="auto"/>
              <w:rPr>
                <w:rFonts w:cs="Times New Roman"/>
                <w:b/>
                <w:bCs/>
                <w:sz w:val="20"/>
                <w:szCs w:val="20"/>
                <w:lang/>
              </w:rPr>
            </w:pPr>
            <w:r w:rsidRPr="0058540A">
              <w:rPr>
                <w:rFonts w:cs="Times New Roman"/>
                <w:b/>
                <w:bCs/>
                <w:sz w:val="20"/>
                <w:szCs w:val="20"/>
                <w:lang/>
              </w:rPr>
              <w:t>Variable</w:t>
            </w:r>
          </w:p>
        </w:tc>
        <w:tc>
          <w:tcPr>
            <w:tcW w:w="684" w:type="pct"/>
            <w:tcBorders>
              <w:top w:val="single" w:sz="4" w:space="0" w:color="auto"/>
              <w:left w:val="nil"/>
              <w:bottom w:val="single" w:sz="4" w:space="0" w:color="auto"/>
              <w:right w:val="nil"/>
            </w:tcBorders>
          </w:tcPr>
          <w:p w14:paraId="098FE60F" w14:textId="21FE0EA3" w:rsidR="00475D06" w:rsidRPr="0058540A" w:rsidRDefault="00475D06" w:rsidP="0058540A">
            <w:pPr>
              <w:spacing w:line="240" w:lineRule="auto"/>
              <w:rPr>
                <w:rFonts w:cs="Times New Roman"/>
                <w:b/>
                <w:bCs/>
                <w:sz w:val="20"/>
                <w:szCs w:val="20"/>
                <w:lang/>
              </w:rPr>
            </w:pPr>
            <w:r w:rsidRPr="0058540A">
              <w:rPr>
                <w:rFonts w:cs="Times New Roman"/>
                <w:b/>
                <w:bCs/>
                <w:sz w:val="20"/>
                <w:szCs w:val="20"/>
                <w:lang/>
              </w:rPr>
              <w:t>NAICS 11</w:t>
            </w:r>
          </w:p>
        </w:tc>
        <w:tc>
          <w:tcPr>
            <w:tcW w:w="684" w:type="pct"/>
            <w:tcBorders>
              <w:top w:val="single" w:sz="4" w:space="0" w:color="auto"/>
              <w:left w:val="nil"/>
              <w:bottom w:val="single" w:sz="4" w:space="0" w:color="auto"/>
              <w:right w:val="nil"/>
            </w:tcBorders>
          </w:tcPr>
          <w:p w14:paraId="7079912F" w14:textId="2A84381E" w:rsidR="00475D06" w:rsidRPr="0058540A" w:rsidRDefault="00475D06" w:rsidP="0058540A">
            <w:pPr>
              <w:spacing w:line="240" w:lineRule="auto"/>
              <w:rPr>
                <w:rFonts w:cs="Times New Roman"/>
                <w:b/>
                <w:bCs/>
                <w:sz w:val="20"/>
                <w:szCs w:val="20"/>
                <w:lang/>
              </w:rPr>
            </w:pPr>
            <w:r w:rsidRPr="0058540A">
              <w:rPr>
                <w:rFonts w:cs="Times New Roman"/>
                <w:b/>
                <w:bCs/>
                <w:sz w:val="20"/>
                <w:szCs w:val="20"/>
                <w:lang/>
              </w:rPr>
              <w:t>NAICS 21</w:t>
            </w:r>
          </w:p>
        </w:tc>
        <w:tc>
          <w:tcPr>
            <w:tcW w:w="684" w:type="pct"/>
            <w:tcBorders>
              <w:top w:val="single" w:sz="4" w:space="0" w:color="auto"/>
              <w:left w:val="nil"/>
              <w:bottom w:val="single" w:sz="4" w:space="0" w:color="auto"/>
              <w:right w:val="nil"/>
            </w:tcBorders>
          </w:tcPr>
          <w:p w14:paraId="02C399B6" w14:textId="2D699384" w:rsidR="00475D06" w:rsidRPr="0058540A" w:rsidRDefault="00475D06" w:rsidP="0058540A">
            <w:pPr>
              <w:spacing w:line="240" w:lineRule="auto"/>
              <w:rPr>
                <w:rFonts w:cs="Times New Roman"/>
                <w:b/>
                <w:bCs/>
                <w:sz w:val="20"/>
                <w:szCs w:val="20"/>
                <w:lang/>
              </w:rPr>
            </w:pPr>
            <w:r w:rsidRPr="0058540A">
              <w:rPr>
                <w:rFonts w:cs="Times New Roman"/>
                <w:b/>
                <w:bCs/>
                <w:sz w:val="20"/>
                <w:szCs w:val="20"/>
                <w:lang/>
              </w:rPr>
              <w:t>NAICS 22</w:t>
            </w:r>
          </w:p>
        </w:tc>
        <w:tc>
          <w:tcPr>
            <w:tcW w:w="684" w:type="pct"/>
            <w:tcBorders>
              <w:top w:val="single" w:sz="4" w:space="0" w:color="auto"/>
              <w:left w:val="nil"/>
              <w:bottom w:val="single" w:sz="4" w:space="0" w:color="auto"/>
              <w:right w:val="nil"/>
            </w:tcBorders>
          </w:tcPr>
          <w:p w14:paraId="24EC824F" w14:textId="464D06C5" w:rsidR="00475D06" w:rsidRPr="0058540A" w:rsidRDefault="00475D06" w:rsidP="0058540A">
            <w:pPr>
              <w:spacing w:line="240" w:lineRule="auto"/>
              <w:rPr>
                <w:rFonts w:cs="Times New Roman"/>
                <w:b/>
                <w:bCs/>
                <w:sz w:val="20"/>
                <w:szCs w:val="20"/>
                <w:lang/>
              </w:rPr>
            </w:pPr>
            <w:r w:rsidRPr="0058540A">
              <w:rPr>
                <w:rFonts w:cs="Times New Roman"/>
                <w:b/>
                <w:bCs/>
                <w:sz w:val="20"/>
                <w:szCs w:val="20"/>
                <w:lang/>
              </w:rPr>
              <w:t>NAICS 23</w:t>
            </w:r>
          </w:p>
        </w:tc>
        <w:tc>
          <w:tcPr>
            <w:tcW w:w="826" w:type="pct"/>
            <w:tcBorders>
              <w:top w:val="single" w:sz="4" w:space="0" w:color="auto"/>
              <w:left w:val="nil"/>
              <w:bottom w:val="single" w:sz="4" w:space="0" w:color="auto"/>
              <w:right w:val="nil"/>
            </w:tcBorders>
          </w:tcPr>
          <w:p w14:paraId="204FC41B" w14:textId="140988EA" w:rsidR="00475D06" w:rsidRPr="0058540A" w:rsidRDefault="00475D06" w:rsidP="0058540A">
            <w:pPr>
              <w:spacing w:line="240" w:lineRule="auto"/>
              <w:rPr>
                <w:rFonts w:cs="Times New Roman"/>
                <w:b/>
                <w:bCs/>
                <w:sz w:val="20"/>
                <w:szCs w:val="20"/>
                <w:lang/>
              </w:rPr>
            </w:pPr>
            <w:r w:rsidRPr="0058540A">
              <w:rPr>
                <w:rFonts w:cs="Times New Roman"/>
                <w:b/>
                <w:bCs/>
                <w:sz w:val="20"/>
                <w:szCs w:val="20"/>
                <w:lang/>
              </w:rPr>
              <w:t>NAICS 31-33</w:t>
            </w:r>
          </w:p>
        </w:tc>
      </w:tr>
      <w:tr w:rsidR="007B3B75" w:rsidRPr="0058540A" w14:paraId="201267F6" w14:textId="77777777" w:rsidTr="00475D06">
        <w:tc>
          <w:tcPr>
            <w:tcW w:w="1438" w:type="pct"/>
            <w:tcBorders>
              <w:top w:val="single" w:sz="4" w:space="0" w:color="auto"/>
              <w:left w:val="nil"/>
              <w:right w:val="nil"/>
            </w:tcBorders>
          </w:tcPr>
          <w:p w14:paraId="1B209B50" w14:textId="314823B8" w:rsidR="00475D06" w:rsidRPr="0058540A" w:rsidRDefault="00475D06" w:rsidP="0058540A">
            <w:pPr>
              <w:spacing w:line="240" w:lineRule="auto"/>
              <w:rPr>
                <w:rFonts w:cs="Times New Roman"/>
                <w:sz w:val="20"/>
                <w:szCs w:val="20"/>
                <w:lang/>
              </w:rPr>
            </w:pPr>
            <w:r w:rsidRPr="0058540A">
              <w:rPr>
                <w:rFonts w:cs="Times New Roman"/>
                <w:sz w:val="20"/>
                <w:szCs w:val="20"/>
                <w:lang/>
              </w:rPr>
              <w:t>NAICS FE</w:t>
            </w:r>
          </w:p>
        </w:tc>
        <w:tc>
          <w:tcPr>
            <w:tcW w:w="684" w:type="pct"/>
            <w:tcBorders>
              <w:top w:val="single" w:sz="4" w:space="0" w:color="auto"/>
              <w:left w:val="nil"/>
              <w:right w:val="nil"/>
            </w:tcBorders>
          </w:tcPr>
          <w:p w14:paraId="4CF30E99" w14:textId="77777777" w:rsidR="00475D06" w:rsidRPr="0058540A" w:rsidRDefault="00475D06" w:rsidP="0058540A">
            <w:pPr>
              <w:spacing w:line="240" w:lineRule="auto"/>
              <w:rPr>
                <w:rFonts w:cs="Times New Roman"/>
                <w:sz w:val="20"/>
                <w:szCs w:val="20"/>
                <w:lang/>
              </w:rPr>
            </w:pPr>
            <w:r w:rsidRPr="0058540A">
              <w:rPr>
                <w:rFonts w:cs="Times New Roman"/>
                <w:sz w:val="20"/>
                <w:szCs w:val="20"/>
                <w:lang/>
              </w:rPr>
              <w:t>Yes</w:t>
            </w:r>
          </w:p>
        </w:tc>
        <w:tc>
          <w:tcPr>
            <w:tcW w:w="684" w:type="pct"/>
            <w:tcBorders>
              <w:top w:val="single" w:sz="4" w:space="0" w:color="auto"/>
              <w:left w:val="nil"/>
              <w:right w:val="nil"/>
            </w:tcBorders>
          </w:tcPr>
          <w:p w14:paraId="2383E8D0" w14:textId="77777777" w:rsidR="00475D06" w:rsidRPr="0058540A" w:rsidRDefault="00475D06" w:rsidP="0058540A">
            <w:pPr>
              <w:spacing w:line="240" w:lineRule="auto"/>
              <w:rPr>
                <w:rFonts w:cs="Times New Roman"/>
                <w:sz w:val="20"/>
                <w:szCs w:val="20"/>
                <w:lang/>
              </w:rPr>
            </w:pPr>
            <w:r w:rsidRPr="0058540A">
              <w:rPr>
                <w:rFonts w:cs="Times New Roman"/>
                <w:sz w:val="20"/>
                <w:szCs w:val="20"/>
                <w:lang/>
              </w:rPr>
              <w:t>Yes</w:t>
            </w:r>
          </w:p>
        </w:tc>
        <w:tc>
          <w:tcPr>
            <w:tcW w:w="684" w:type="pct"/>
            <w:tcBorders>
              <w:top w:val="single" w:sz="4" w:space="0" w:color="auto"/>
              <w:left w:val="nil"/>
              <w:right w:val="nil"/>
            </w:tcBorders>
          </w:tcPr>
          <w:p w14:paraId="16873640" w14:textId="77777777" w:rsidR="00475D06" w:rsidRPr="0058540A" w:rsidRDefault="00475D06" w:rsidP="0058540A">
            <w:pPr>
              <w:spacing w:line="240" w:lineRule="auto"/>
              <w:rPr>
                <w:rFonts w:cs="Times New Roman"/>
                <w:sz w:val="20"/>
                <w:szCs w:val="20"/>
                <w:lang/>
              </w:rPr>
            </w:pPr>
            <w:r w:rsidRPr="0058540A">
              <w:rPr>
                <w:rFonts w:cs="Times New Roman"/>
                <w:sz w:val="20"/>
                <w:szCs w:val="20"/>
                <w:lang/>
              </w:rPr>
              <w:t>Yes</w:t>
            </w:r>
          </w:p>
        </w:tc>
        <w:tc>
          <w:tcPr>
            <w:tcW w:w="684" w:type="pct"/>
            <w:tcBorders>
              <w:top w:val="single" w:sz="4" w:space="0" w:color="auto"/>
              <w:left w:val="nil"/>
              <w:right w:val="nil"/>
            </w:tcBorders>
          </w:tcPr>
          <w:p w14:paraId="5C39020D" w14:textId="77777777" w:rsidR="00475D06" w:rsidRPr="0058540A" w:rsidRDefault="00475D06" w:rsidP="0058540A">
            <w:pPr>
              <w:spacing w:line="240" w:lineRule="auto"/>
              <w:rPr>
                <w:rFonts w:cs="Times New Roman"/>
                <w:sz w:val="20"/>
                <w:szCs w:val="20"/>
                <w:lang/>
              </w:rPr>
            </w:pPr>
            <w:r w:rsidRPr="0058540A">
              <w:rPr>
                <w:rFonts w:cs="Times New Roman"/>
                <w:sz w:val="20"/>
                <w:szCs w:val="20"/>
                <w:lang/>
              </w:rPr>
              <w:t>Yes</w:t>
            </w:r>
          </w:p>
        </w:tc>
        <w:tc>
          <w:tcPr>
            <w:tcW w:w="826" w:type="pct"/>
            <w:tcBorders>
              <w:top w:val="single" w:sz="4" w:space="0" w:color="auto"/>
              <w:left w:val="nil"/>
              <w:right w:val="nil"/>
            </w:tcBorders>
          </w:tcPr>
          <w:p w14:paraId="12108D88" w14:textId="77777777" w:rsidR="00475D06" w:rsidRPr="0058540A" w:rsidRDefault="00475D06" w:rsidP="0058540A">
            <w:pPr>
              <w:spacing w:line="240" w:lineRule="auto"/>
              <w:rPr>
                <w:rFonts w:cs="Times New Roman"/>
                <w:sz w:val="20"/>
                <w:szCs w:val="20"/>
                <w:lang/>
              </w:rPr>
            </w:pPr>
            <w:r w:rsidRPr="0058540A">
              <w:rPr>
                <w:rFonts w:cs="Times New Roman"/>
                <w:sz w:val="20"/>
                <w:szCs w:val="20"/>
                <w:lang/>
              </w:rPr>
              <w:t>Yes</w:t>
            </w:r>
          </w:p>
        </w:tc>
      </w:tr>
      <w:tr w:rsidR="00475D06" w:rsidRPr="0058540A" w14:paraId="57B587C1" w14:textId="77777777" w:rsidTr="00475D06">
        <w:tc>
          <w:tcPr>
            <w:tcW w:w="1438" w:type="pct"/>
            <w:tcBorders>
              <w:top w:val="nil"/>
              <w:left w:val="nil"/>
              <w:bottom w:val="single" w:sz="4" w:space="0" w:color="auto"/>
              <w:right w:val="nil"/>
            </w:tcBorders>
          </w:tcPr>
          <w:p w14:paraId="7D2AFBC4" w14:textId="77777777" w:rsidR="00475D06" w:rsidRPr="0058540A" w:rsidRDefault="00475D06" w:rsidP="0058540A">
            <w:pPr>
              <w:spacing w:line="240" w:lineRule="auto"/>
              <w:rPr>
                <w:rFonts w:eastAsia="Times New Roman" w:cs="Times New Roman"/>
                <w:color w:val="5F6368"/>
                <w:sz w:val="20"/>
                <w:szCs w:val="20"/>
                <w:shd w:val="clear" w:color="auto" w:fill="FFFFFF"/>
                <w:lang/>
              </w:rPr>
            </w:pPr>
            <w:r w:rsidRPr="0058540A">
              <w:rPr>
                <w:rFonts w:eastAsia="Times New Roman" w:cs="Times New Roman"/>
                <w:sz w:val="20"/>
                <w:szCs w:val="20"/>
                <w:lang/>
              </w:rPr>
              <w:t>PA-PA</w:t>
            </w:r>
            <w:r w:rsidRPr="0058540A">
              <w:rPr>
                <w:rFonts w:eastAsia="Times New Roman" w:cs="Times New Roman"/>
                <w:i/>
                <w:color w:val="5F6368"/>
                <w:sz w:val="20"/>
                <w:szCs w:val="20"/>
                <w:shd w:val="clear" w:color="auto" w:fill="FFFFFF"/>
                <w:lang/>
              </w:rPr>
              <w:t>²</w:t>
            </w:r>
            <w:r w:rsidRPr="0058540A">
              <w:rPr>
                <w:rFonts w:cs="Times New Roman"/>
                <w:i/>
                <w:color w:val="5F6368"/>
                <w:sz w:val="20"/>
                <w:szCs w:val="20"/>
                <w:shd w:val="clear" w:color="auto" w:fill="FFFFFF"/>
                <w:lang/>
              </w:rPr>
              <w:t xml:space="preserve"> </w:t>
            </w:r>
            <w:r w:rsidRPr="0058540A">
              <w:rPr>
                <w:rFonts w:eastAsia="Times New Roman" w:cs="Times New Roman"/>
                <w:sz w:val="20"/>
                <w:szCs w:val="20"/>
                <w:lang/>
              </w:rPr>
              <w:t xml:space="preserve">Joint Test </w:t>
            </w:r>
            <w:r w:rsidRPr="0058540A">
              <w:rPr>
                <w:rFonts w:cs="Times New Roman"/>
                <w:sz w:val="20"/>
                <w:szCs w:val="20"/>
                <w:lang/>
              </w:rPr>
              <w:t>p-value</w:t>
            </w:r>
          </w:p>
        </w:tc>
        <w:tc>
          <w:tcPr>
            <w:tcW w:w="684" w:type="pct"/>
            <w:tcBorders>
              <w:top w:val="nil"/>
              <w:left w:val="nil"/>
              <w:bottom w:val="single" w:sz="4" w:space="0" w:color="auto"/>
              <w:right w:val="nil"/>
            </w:tcBorders>
          </w:tcPr>
          <w:p w14:paraId="75097F44" w14:textId="77777777" w:rsidR="00475D06" w:rsidRPr="0058540A" w:rsidRDefault="00475D06" w:rsidP="0058540A">
            <w:pPr>
              <w:spacing w:line="240" w:lineRule="auto"/>
              <w:rPr>
                <w:rFonts w:cs="Times New Roman"/>
                <w:sz w:val="20"/>
                <w:szCs w:val="20"/>
                <w:lang/>
              </w:rPr>
            </w:pPr>
            <w:r w:rsidRPr="0058540A">
              <w:rPr>
                <w:rFonts w:cs="Times New Roman"/>
                <w:sz w:val="20"/>
                <w:szCs w:val="20"/>
                <w:lang/>
              </w:rPr>
              <w:t>0.0001</w:t>
            </w:r>
          </w:p>
        </w:tc>
        <w:tc>
          <w:tcPr>
            <w:tcW w:w="684" w:type="pct"/>
            <w:tcBorders>
              <w:top w:val="nil"/>
              <w:left w:val="nil"/>
              <w:bottom w:val="single" w:sz="4" w:space="0" w:color="auto"/>
              <w:right w:val="nil"/>
            </w:tcBorders>
          </w:tcPr>
          <w:p w14:paraId="086457A8" w14:textId="77777777" w:rsidR="00475D06" w:rsidRPr="0058540A" w:rsidRDefault="00475D06" w:rsidP="0058540A">
            <w:pPr>
              <w:spacing w:line="240" w:lineRule="auto"/>
              <w:rPr>
                <w:rFonts w:cs="Times New Roman"/>
                <w:sz w:val="20"/>
                <w:szCs w:val="20"/>
                <w:lang/>
              </w:rPr>
            </w:pPr>
            <w:r w:rsidRPr="0058540A">
              <w:rPr>
                <w:rFonts w:cs="Times New Roman"/>
                <w:sz w:val="20"/>
                <w:szCs w:val="20"/>
                <w:lang/>
              </w:rPr>
              <w:t>0.0349</w:t>
            </w:r>
          </w:p>
        </w:tc>
        <w:tc>
          <w:tcPr>
            <w:tcW w:w="684" w:type="pct"/>
            <w:tcBorders>
              <w:top w:val="nil"/>
              <w:left w:val="nil"/>
              <w:bottom w:val="single" w:sz="4" w:space="0" w:color="auto"/>
              <w:right w:val="nil"/>
            </w:tcBorders>
          </w:tcPr>
          <w:p w14:paraId="0C837691" w14:textId="77777777" w:rsidR="00475D06" w:rsidRPr="0058540A" w:rsidRDefault="00475D06" w:rsidP="0058540A">
            <w:pPr>
              <w:spacing w:line="240" w:lineRule="auto"/>
              <w:rPr>
                <w:rFonts w:cs="Times New Roman"/>
                <w:sz w:val="20"/>
                <w:szCs w:val="20"/>
                <w:lang/>
              </w:rPr>
            </w:pPr>
            <w:r w:rsidRPr="0058540A">
              <w:rPr>
                <w:rFonts w:cs="Times New Roman"/>
                <w:sz w:val="20"/>
                <w:szCs w:val="20"/>
                <w:lang/>
              </w:rPr>
              <w:t>0.1648</w:t>
            </w:r>
          </w:p>
        </w:tc>
        <w:tc>
          <w:tcPr>
            <w:tcW w:w="684" w:type="pct"/>
            <w:tcBorders>
              <w:top w:val="nil"/>
              <w:left w:val="nil"/>
              <w:bottom w:val="single" w:sz="4" w:space="0" w:color="auto"/>
              <w:right w:val="nil"/>
            </w:tcBorders>
          </w:tcPr>
          <w:p w14:paraId="2A684470" w14:textId="77777777" w:rsidR="00475D06" w:rsidRPr="0058540A" w:rsidRDefault="00475D06" w:rsidP="0058540A">
            <w:pPr>
              <w:spacing w:line="240" w:lineRule="auto"/>
              <w:rPr>
                <w:rFonts w:cs="Times New Roman"/>
                <w:sz w:val="20"/>
                <w:szCs w:val="20"/>
                <w:lang/>
              </w:rPr>
            </w:pPr>
            <w:r w:rsidRPr="0058540A">
              <w:rPr>
                <w:rFonts w:cs="Times New Roman"/>
                <w:sz w:val="20"/>
                <w:szCs w:val="20"/>
                <w:lang/>
              </w:rPr>
              <w:t>0.8110</w:t>
            </w:r>
          </w:p>
        </w:tc>
        <w:tc>
          <w:tcPr>
            <w:tcW w:w="826" w:type="pct"/>
            <w:tcBorders>
              <w:top w:val="nil"/>
              <w:left w:val="nil"/>
              <w:bottom w:val="single" w:sz="4" w:space="0" w:color="auto"/>
              <w:right w:val="nil"/>
            </w:tcBorders>
          </w:tcPr>
          <w:p w14:paraId="7D163328" w14:textId="77777777" w:rsidR="00475D06" w:rsidRPr="0058540A" w:rsidRDefault="00475D06" w:rsidP="0058540A">
            <w:pPr>
              <w:spacing w:line="240" w:lineRule="auto"/>
              <w:rPr>
                <w:rFonts w:cs="Times New Roman"/>
                <w:sz w:val="20"/>
                <w:szCs w:val="20"/>
                <w:lang/>
              </w:rPr>
            </w:pPr>
            <w:r w:rsidRPr="0058540A">
              <w:rPr>
                <w:rFonts w:cs="Times New Roman"/>
                <w:sz w:val="20"/>
                <w:szCs w:val="20"/>
                <w:lang/>
              </w:rPr>
              <w:t>0.0128</w:t>
            </w:r>
          </w:p>
        </w:tc>
      </w:tr>
    </w:tbl>
    <w:p w14:paraId="6A25EBA0" w14:textId="12CD6F08" w:rsidR="00CD4846" w:rsidRPr="007B3B75" w:rsidRDefault="00CD4846" w:rsidP="0058540A">
      <w:pPr>
        <w:spacing w:line="240" w:lineRule="auto"/>
        <w:rPr>
          <w:rFonts w:eastAsia="Times New Roman"/>
          <w:sz w:val="18"/>
          <w:szCs w:val="18"/>
          <w:lang/>
        </w:rPr>
      </w:pPr>
      <w:r w:rsidRPr="007B3B75">
        <w:rPr>
          <w:rFonts w:cs="Times New Roman"/>
          <w:sz w:val="20"/>
          <w:szCs w:val="20"/>
          <w:lang/>
        </w:rPr>
        <w:t>Table A</w:t>
      </w:r>
      <w:r w:rsidRPr="007B3B75">
        <w:rPr>
          <w:rFonts w:cs="Times New Roman"/>
          <w:sz w:val="20"/>
          <w:szCs w:val="20"/>
          <w:lang/>
        </w:rPr>
        <w:t>1</w:t>
      </w:r>
      <w:r w:rsidRPr="007B3B75">
        <w:rPr>
          <w:rFonts w:cs="Times New Roman"/>
          <w:sz w:val="20"/>
          <w:szCs w:val="20"/>
          <w:lang/>
        </w:rPr>
        <w:t xml:space="preserve">8: PPMLHDFE regression results on establishment births under </w:t>
      </w:r>
      <w:r w:rsidRPr="007B3B75">
        <w:rPr>
          <w:rFonts w:cs="Times New Roman"/>
          <w:sz w:val="20"/>
          <w:szCs w:val="20"/>
          <w:lang/>
        </w:rPr>
        <w:t>strict</w:t>
      </w:r>
      <w:r w:rsidRPr="007B3B75">
        <w:rPr>
          <w:rFonts w:cs="Times New Roman"/>
          <w:sz w:val="20"/>
          <w:szCs w:val="20"/>
          <w:lang/>
        </w:rPr>
        <w:t xml:space="preserve"> PADs (GAP 1-</w:t>
      </w:r>
      <w:r w:rsidRPr="007B3B75">
        <w:rPr>
          <w:rFonts w:cs="Times New Roman"/>
          <w:sz w:val="20"/>
          <w:szCs w:val="20"/>
          <w:lang/>
        </w:rPr>
        <w:t>2</w:t>
      </w:r>
      <w:r w:rsidRPr="007B3B75">
        <w:rPr>
          <w:rFonts w:cs="Times New Roman"/>
          <w:sz w:val="20"/>
          <w:szCs w:val="20"/>
          <w:lang/>
        </w:rPr>
        <w:t xml:space="preserve">) are presented above. Column names correspond to a specific NAICS sector. </w:t>
      </w:r>
      <w:r w:rsidR="002A78A3" w:rsidRPr="00C624DB">
        <w:rPr>
          <w:sz w:val="20"/>
          <w:szCs w:val="20"/>
          <w:lang/>
        </w:rPr>
        <w:t xml:space="preserve">Standard errors are </w:t>
      </w:r>
      <w:r w:rsidR="002A78A3">
        <w:rPr>
          <w:sz w:val="20"/>
          <w:szCs w:val="20"/>
          <w:lang/>
        </w:rPr>
        <w:t xml:space="preserve">in parentheses and are </w:t>
      </w:r>
      <w:r w:rsidR="002A78A3" w:rsidRPr="00C624DB">
        <w:rPr>
          <w:sz w:val="20"/>
          <w:szCs w:val="20"/>
          <w:lang/>
        </w:rPr>
        <w:t xml:space="preserve">clustered at the county level. </w:t>
      </w:r>
      <w:r w:rsidR="002A78A3" w:rsidRPr="002C0F11">
        <w:rPr>
          <w:sz w:val="20"/>
          <w:szCs w:val="20"/>
          <w:lang/>
        </w:rPr>
        <w:t>Statistically significant impacts are denoted by asterisks. These asterisks denote statistical significance at the following levels: ***p &lt; 0.01, **p &lt; 0.05, *p &lt; 0.1.</w:t>
      </w:r>
      <w:r w:rsidR="002A78A3">
        <w:rPr>
          <w:sz w:val="20"/>
          <w:szCs w:val="20"/>
          <w:lang/>
        </w:rPr>
        <w:t xml:space="preserve"> </w:t>
      </w:r>
      <w:r w:rsidRPr="007B3B75">
        <w:rPr>
          <w:rFonts w:cs="Times New Roman"/>
          <w:sz w:val="20"/>
          <w:szCs w:val="20"/>
          <w:lang/>
        </w:rPr>
        <w:t>p-values of joint-tests on linear and quadratic PAD terms are shown in the last row.</w:t>
      </w:r>
    </w:p>
    <w:p w14:paraId="4BCD4446" w14:textId="77777777" w:rsidR="00CD4846" w:rsidRPr="00CD4846" w:rsidRDefault="00CD4846" w:rsidP="004C39A4">
      <w:pPr>
        <w:spacing w:line="256" w:lineRule="auto"/>
        <w:jc w:val="both"/>
        <w:rPr>
          <w:rFonts w:ascii="DengXian" w:hAnsi="DengXian" w:cs="Times New Roman"/>
          <w:kern w:val="2"/>
          <w:sz w:val="22"/>
          <w:szCs w:val="22"/>
          <w:lang/>
        </w:rPr>
      </w:pPr>
      <w:r w:rsidRPr="00CD4846">
        <w:rPr>
          <w:rFonts w:ascii="DengXian" w:hAnsi="DengXian" w:cs="Times New Roman"/>
          <w:kern w:val="2"/>
          <w:sz w:val="22"/>
          <w:szCs w:val="22"/>
          <w:lang/>
        </w:rPr>
        <w:br w:type="page"/>
      </w:r>
    </w:p>
    <w:p w14:paraId="1CC10188" w14:textId="77777777" w:rsidR="00CD4846" w:rsidRPr="00465E2C" w:rsidRDefault="00CD4846" w:rsidP="00095E25">
      <w:pPr>
        <w:pStyle w:val="Title"/>
      </w:pPr>
      <w:bookmarkStart w:id="274" w:name="_Toc186799423"/>
      <w:bookmarkStart w:id="275" w:name="_Toc188359624"/>
      <w:bookmarkStart w:id="276" w:name="_Toc188359912"/>
      <w:bookmarkStart w:id="277" w:name="_Toc188361148"/>
      <w:bookmarkStart w:id="278" w:name="_Toc188366992"/>
      <w:r w:rsidRPr="00465E2C">
        <w:lastRenderedPageBreak/>
        <w:t>Table A19: Regression Results of Strict PADs on Inward Relocations</w:t>
      </w:r>
      <w:bookmarkEnd w:id="274"/>
      <w:bookmarkEnd w:id="275"/>
      <w:bookmarkEnd w:id="276"/>
      <w:bookmarkEnd w:id="277"/>
      <w:bookmarkEnd w:id="278"/>
    </w:p>
    <w:tbl>
      <w:tblPr>
        <w:tblW w:w="5000" w:type="pct"/>
        <w:tblLook w:val="04A0" w:firstRow="1" w:lastRow="0" w:firstColumn="1" w:lastColumn="0" w:noHBand="0" w:noVBand="1"/>
      </w:tblPr>
      <w:tblGrid>
        <w:gridCol w:w="2736"/>
        <w:gridCol w:w="1272"/>
        <w:gridCol w:w="1271"/>
        <w:gridCol w:w="1271"/>
        <w:gridCol w:w="1271"/>
        <w:gridCol w:w="1539"/>
      </w:tblGrid>
      <w:tr w:rsidR="00CD4846" w:rsidRPr="00CD4846" w14:paraId="59CA9510" w14:textId="77777777" w:rsidTr="00B82EB9">
        <w:tc>
          <w:tcPr>
            <w:tcW w:w="1461" w:type="pct"/>
            <w:tcBorders>
              <w:top w:val="single" w:sz="4" w:space="0" w:color="auto"/>
              <w:left w:val="nil"/>
              <w:bottom w:val="single" w:sz="4" w:space="0" w:color="auto"/>
              <w:right w:val="nil"/>
            </w:tcBorders>
          </w:tcPr>
          <w:p w14:paraId="3364788D" w14:textId="494D58A1" w:rsidR="00CD4846" w:rsidRPr="00CD4846" w:rsidRDefault="00CD4846" w:rsidP="0058540A">
            <w:pPr>
              <w:widowControl w:val="0"/>
              <w:autoSpaceDE w:val="0"/>
              <w:autoSpaceDN w:val="0"/>
              <w:adjustRightInd w:val="0"/>
              <w:spacing w:line="240" w:lineRule="auto"/>
              <w:rPr>
                <w:rFonts w:cs="Times New Roman"/>
                <w:b/>
                <w:bCs/>
                <w:kern w:val="2"/>
                <w:sz w:val="20"/>
                <w:szCs w:val="20"/>
                <w:lang/>
              </w:rPr>
            </w:pPr>
            <w:r w:rsidRPr="00CD4846">
              <w:rPr>
                <w:rFonts w:cs="Times New Roman"/>
                <w:b/>
                <w:bCs/>
                <w:kern w:val="2"/>
                <w:sz w:val="20"/>
                <w:szCs w:val="20"/>
                <w:lang/>
              </w:rPr>
              <w:t>Variable</w:t>
            </w:r>
          </w:p>
        </w:tc>
        <w:tc>
          <w:tcPr>
            <w:tcW w:w="679" w:type="pct"/>
            <w:tcBorders>
              <w:top w:val="single" w:sz="4" w:space="0" w:color="auto"/>
              <w:left w:val="nil"/>
              <w:bottom w:val="single" w:sz="4" w:space="0" w:color="auto"/>
              <w:right w:val="nil"/>
            </w:tcBorders>
          </w:tcPr>
          <w:p w14:paraId="30719144" w14:textId="374DFEFE" w:rsidR="00CD4846" w:rsidRPr="00CD4846" w:rsidRDefault="00CD4846" w:rsidP="0058540A">
            <w:pPr>
              <w:widowControl w:val="0"/>
              <w:autoSpaceDE w:val="0"/>
              <w:autoSpaceDN w:val="0"/>
              <w:adjustRightInd w:val="0"/>
              <w:spacing w:line="240" w:lineRule="auto"/>
              <w:rPr>
                <w:rFonts w:cs="Times New Roman"/>
                <w:b/>
                <w:bCs/>
                <w:kern w:val="2"/>
                <w:sz w:val="20"/>
                <w:szCs w:val="20"/>
                <w:lang/>
              </w:rPr>
            </w:pPr>
            <w:r w:rsidRPr="00CD4846">
              <w:rPr>
                <w:rFonts w:cs="Times New Roman"/>
                <w:b/>
                <w:bCs/>
                <w:kern w:val="2"/>
                <w:sz w:val="20"/>
                <w:szCs w:val="20"/>
                <w:lang/>
              </w:rPr>
              <w:t>NAICS 11</w:t>
            </w:r>
          </w:p>
        </w:tc>
        <w:tc>
          <w:tcPr>
            <w:tcW w:w="679" w:type="pct"/>
            <w:tcBorders>
              <w:top w:val="single" w:sz="4" w:space="0" w:color="auto"/>
              <w:left w:val="nil"/>
              <w:bottom w:val="single" w:sz="4" w:space="0" w:color="auto"/>
              <w:right w:val="nil"/>
            </w:tcBorders>
          </w:tcPr>
          <w:p w14:paraId="0FDEA197" w14:textId="463C1C55" w:rsidR="00CD4846" w:rsidRPr="00CD4846" w:rsidRDefault="00CD4846" w:rsidP="0058540A">
            <w:pPr>
              <w:widowControl w:val="0"/>
              <w:autoSpaceDE w:val="0"/>
              <w:autoSpaceDN w:val="0"/>
              <w:adjustRightInd w:val="0"/>
              <w:spacing w:line="240" w:lineRule="auto"/>
              <w:rPr>
                <w:rFonts w:cs="Times New Roman"/>
                <w:b/>
                <w:bCs/>
                <w:kern w:val="2"/>
                <w:sz w:val="20"/>
                <w:szCs w:val="20"/>
                <w:lang/>
              </w:rPr>
            </w:pPr>
            <w:r w:rsidRPr="00CD4846">
              <w:rPr>
                <w:rFonts w:cs="Times New Roman"/>
                <w:b/>
                <w:bCs/>
                <w:kern w:val="2"/>
                <w:sz w:val="20"/>
                <w:szCs w:val="20"/>
                <w:lang/>
              </w:rPr>
              <w:t>NAICS 21</w:t>
            </w:r>
          </w:p>
        </w:tc>
        <w:tc>
          <w:tcPr>
            <w:tcW w:w="679" w:type="pct"/>
            <w:tcBorders>
              <w:top w:val="single" w:sz="4" w:space="0" w:color="auto"/>
              <w:left w:val="nil"/>
              <w:bottom w:val="single" w:sz="4" w:space="0" w:color="auto"/>
              <w:right w:val="nil"/>
            </w:tcBorders>
          </w:tcPr>
          <w:p w14:paraId="6AE9E70F" w14:textId="0B17BC5A" w:rsidR="00CD4846" w:rsidRPr="00CD4846" w:rsidRDefault="00CD4846" w:rsidP="0058540A">
            <w:pPr>
              <w:widowControl w:val="0"/>
              <w:autoSpaceDE w:val="0"/>
              <w:autoSpaceDN w:val="0"/>
              <w:adjustRightInd w:val="0"/>
              <w:spacing w:line="240" w:lineRule="auto"/>
              <w:rPr>
                <w:rFonts w:cs="Times New Roman"/>
                <w:b/>
                <w:bCs/>
                <w:kern w:val="2"/>
                <w:sz w:val="20"/>
                <w:szCs w:val="20"/>
                <w:lang/>
              </w:rPr>
            </w:pPr>
            <w:r w:rsidRPr="00CD4846">
              <w:rPr>
                <w:rFonts w:cs="Times New Roman"/>
                <w:b/>
                <w:bCs/>
                <w:kern w:val="2"/>
                <w:sz w:val="20"/>
                <w:szCs w:val="20"/>
                <w:lang/>
              </w:rPr>
              <w:t>NAICS 22</w:t>
            </w:r>
          </w:p>
        </w:tc>
        <w:tc>
          <w:tcPr>
            <w:tcW w:w="679" w:type="pct"/>
            <w:tcBorders>
              <w:top w:val="single" w:sz="4" w:space="0" w:color="auto"/>
              <w:left w:val="nil"/>
              <w:bottom w:val="single" w:sz="4" w:space="0" w:color="auto"/>
              <w:right w:val="nil"/>
            </w:tcBorders>
          </w:tcPr>
          <w:p w14:paraId="2A52160C" w14:textId="28A18983" w:rsidR="00CD4846" w:rsidRPr="00CD4846" w:rsidRDefault="00CD4846" w:rsidP="0058540A">
            <w:pPr>
              <w:widowControl w:val="0"/>
              <w:autoSpaceDE w:val="0"/>
              <w:autoSpaceDN w:val="0"/>
              <w:adjustRightInd w:val="0"/>
              <w:spacing w:line="240" w:lineRule="auto"/>
              <w:rPr>
                <w:rFonts w:cs="Times New Roman"/>
                <w:b/>
                <w:bCs/>
                <w:kern w:val="2"/>
                <w:sz w:val="20"/>
                <w:szCs w:val="20"/>
                <w:lang/>
              </w:rPr>
            </w:pPr>
            <w:r w:rsidRPr="00CD4846">
              <w:rPr>
                <w:rFonts w:cs="Times New Roman"/>
                <w:b/>
                <w:bCs/>
                <w:kern w:val="2"/>
                <w:sz w:val="20"/>
                <w:szCs w:val="20"/>
                <w:lang/>
              </w:rPr>
              <w:t>NAICS 23</w:t>
            </w:r>
          </w:p>
        </w:tc>
        <w:tc>
          <w:tcPr>
            <w:tcW w:w="822" w:type="pct"/>
            <w:tcBorders>
              <w:top w:val="single" w:sz="4" w:space="0" w:color="auto"/>
              <w:left w:val="nil"/>
              <w:bottom w:val="single" w:sz="4" w:space="0" w:color="auto"/>
              <w:right w:val="nil"/>
            </w:tcBorders>
          </w:tcPr>
          <w:p w14:paraId="2A249DE8" w14:textId="58251EA3" w:rsidR="00CD4846" w:rsidRPr="00CD4846" w:rsidRDefault="00CD4846" w:rsidP="0058540A">
            <w:pPr>
              <w:widowControl w:val="0"/>
              <w:autoSpaceDE w:val="0"/>
              <w:autoSpaceDN w:val="0"/>
              <w:adjustRightInd w:val="0"/>
              <w:spacing w:line="240" w:lineRule="auto"/>
              <w:rPr>
                <w:rFonts w:cs="Times New Roman"/>
                <w:b/>
                <w:bCs/>
                <w:kern w:val="2"/>
                <w:sz w:val="20"/>
                <w:szCs w:val="20"/>
                <w:lang/>
              </w:rPr>
            </w:pPr>
            <w:r w:rsidRPr="00CD4846">
              <w:rPr>
                <w:rFonts w:cs="Times New Roman"/>
                <w:b/>
                <w:bCs/>
                <w:kern w:val="2"/>
                <w:sz w:val="20"/>
                <w:szCs w:val="20"/>
                <w:lang/>
              </w:rPr>
              <w:t>NAICS 31-33</w:t>
            </w:r>
          </w:p>
        </w:tc>
      </w:tr>
      <w:tr w:rsidR="00CD4846" w:rsidRPr="00CD4846" w14:paraId="22E635D6" w14:textId="77777777" w:rsidTr="00B82EB9">
        <w:tc>
          <w:tcPr>
            <w:tcW w:w="1461" w:type="pct"/>
            <w:tcBorders>
              <w:top w:val="single" w:sz="4" w:space="0" w:color="auto"/>
              <w:left w:val="nil"/>
              <w:bottom w:val="nil"/>
              <w:right w:val="nil"/>
            </w:tcBorders>
          </w:tcPr>
          <w:p w14:paraId="4BC5611A"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Strict PAD(t-1)</w:t>
            </w:r>
          </w:p>
        </w:tc>
        <w:tc>
          <w:tcPr>
            <w:tcW w:w="679" w:type="pct"/>
            <w:tcBorders>
              <w:top w:val="single" w:sz="4" w:space="0" w:color="auto"/>
              <w:left w:val="nil"/>
              <w:bottom w:val="nil"/>
              <w:right w:val="nil"/>
            </w:tcBorders>
          </w:tcPr>
          <w:p w14:paraId="6E2AF790"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-21.262*</w:t>
            </w:r>
          </w:p>
        </w:tc>
        <w:tc>
          <w:tcPr>
            <w:tcW w:w="679" w:type="pct"/>
            <w:tcBorders>
              <w:top w:val="single" w:sz="4" w:space="0" w:color="auto"/>
              <w:left w:val="nil"/>
              <w:bottom w:val="nil"/>
              <w:right w:val="nil"/>
            </w:tcBorders>
          </w:tcPr>
          <w:p w14:paraId="01683658"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12.649</w:t>
            </w:r>
          </w:p>
        </w:tc>
        <w:tc>
          <w:tcPr>
            <w:tcW w:w="679" w:type="pct"/>
            <w:tcBorders>
              <w:top w:val="single" w:sz="4" w:space="0" w:color="auto"/>
              <w:left w:val="nil"/>
              <w:bottom w:val="nil"/>
              <w:right w:val="nil"/>
            </w:tcBorders>
          </w:tcPr>
          <w:p w14:paraId="15F97828"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12.083</w:t>
            </w:r>
          </w:p>
        </w:tc>
        <w:tc>
          <w:tcPr>
            <w:tcW w:w="679" w:type="pct"/>
            <w:tcBorders>
              <w:top w:val="single" w:sz="4" w:space="0" w:color="auto"/>
              <w:left w:val="nil"/>
              <w:bottom w:val="nil"/>
              <w:right w:val="nil"/>
            </w:tcBorders>
          </w:tcPr>
          <w:p w14:paraId="1E835420"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-2.100</w:t>
            </w:r>
          </w:p>
        </w:tc>
        <w:tc>
          <w:tcPr>
            <w:tcW w:w="822" w:type="pct"/>
            <w:tcBorders>
              <w:top w:val="single" w:sz="4" w:space="0" w:color="auto"/>
              <w:left w:val="nil"/>
              <w:bottom w:val="nil"/>
              <w:right w:val="nil"/>
            </w:tcBorders>
          </w:tcPr>
          <w:p w14:paraId="2F3F1A71"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-2.626</w:t>
            </w:r>
          </w:p>
        </w:tc>
      </w:tr>
      <w:tr w:rsidR="00CD4846" w:rsidRPr="00CD4846" w14:paraId="0E3A8545" w14:textId="77777777" w:rsidTr="00B82EB9">
        <w:tc>
          <w:tcPr>
            <w:tcW w:w="1461" w:type="pct"/>
            <w:tcBorders>
              <w:top w:val="nil"/>
              <w:left w:val="nil"/>
              <w:bottom w:val="nil"/>
              <w:right w:val="nil"/>
            </w:tcBorders>
          </w:tcPr>
          <w:p w14:paraId="74AC073A" w14:textId="231527F6"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79" w:type="pct"/>
            <w:tcBorders>
              <w:top w:val="nil"/>
              <w:left w:val="nil"/>
              <w:bottom w:val="nil"/>
              <w:right w:val="nil"/>
            </w:tcBorders>
          </w:tcPr>
          <w:p w14:paraId="069E3246"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(11.319)</w:t>
            </w:r>
          </w:p>
        </w:tc>
        <w:tc>
          <w:tcPr>
            <w:tcW w:w="679" w:type="pct"/>
            <w:tcBorders>
              <w:top w:val="nil"/>
              <w:left w:val="nil"/>
              <w:bottom w:val="nil"/>
              <w:right w:val="nil"/>
            </w:tcBorders>
          </w:tcPr>
          <w:p w14:paraId="7DFB5C67"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(9.435)</w:t>
            </w:r>
          </w:p>
        </w:tc>
        <w:tc>
          <w:tcPr>
            <w:tcW w:w="679" w:type="pct"/>
            <w:tcBorders>
              <w:top w:val="nil"/>
              <w:left w:val="nil"/>
              <w:bottom w:val="nil"/>
              <w:right w:val="nil"/>
            </w:tcBorders>
          </w:tcPr>
          <w:p w14:paraId="2F14C55E"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(9.820)</w:t>
            </w:r>
          </w:p>
        </w:tc>
        <w:tc>
          <w:tcPr>
            <w:tcW w:w="679" w:type="pct"/>
            <w:tcBorders>
              <w:top w:val="nil"/>
              <w:left w:val="nil"/>
              <w:bottom w:val="nil"/>
              <w:right w:val="nil"/>
            </w:tcBorders>
          </w:tcPr>
          <w:p w14:paraId="4AE47AFE"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(1.306)</w:t>
            </w:r>
          </w:p>
        </w:tc>
        <w:tc>
          <w:tcPr>
            <w:tcW w:w="822" w:type="pct"/>
            <w:tcBorders>
              <w:top w:val="nil"/>
              <w:left w:val="nil"/>
              <w:bottom w:val="nil"/>
              <w:right w:val="nil"/>
            </w:tcBorders>
          </w:tcPr>
          <w:p w14:paraId="3A4F45EE"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(2.495)</w:t>
            </w:r>
          </w:p>
        </w:tc>
      </w:tr>
      <w:tr w:rsidR="00CD4846" w:rsidRPr="00CD4846" w14:paraId="5F23C9D3" w14:textId="77777777" w:rsidTr="00B82EB9">
        <w:tc>
          <w:tcPr>
            <w:tcW w:w="1461" w:type="pct"/>
            <w:tcBorders>
              <w:top w:val="nil"/>
              <w:left w:val="nil"/>
              <w:bottom w:val="nil"/>
              <w:right w:val="nil"/>
            </w:tcBorders>
          </w:tcPr>
          <w:p w14:paraId="76175851"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Strict PAD Sq. (t-1)</w:t>
            </w:r>
          </w:p>
        </w:tc>
        <w:tc>
          <w:tcPr>
            <w:tcW w:w="679" w:type="pct"/>
            <w:tcBorders>
              <w:top w:val="nil"/>
              <w:left w:val="nil"/>
              <w:bottom w:val="nil"/>
              <w:right w:val="nil"/>
            </w:tcBorders>
          </w:tcPr>
          <w:p w14:paraId="78A41ABA"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46.301*</w:t>
            </w:r>
          </w:p>
        </w:tc>
        <w:tc>
          <w:tcPr>
            <w:tcW w:w="679" w:type="pct"/>
            <w:tcBorders>
              <w:top w:val="nil"/>
              <w:left w:val="nil"/>
              <w:bottom w:val="nil"/>
              <w:right w:val="nil"/>
            </w:tcBorders>
          </w:tcPr>
          <w:p w14:paraId="4AA242C9"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-12.254</w:t>
            </w:r>
          </w:p>
        </w:tc>
        <w:tc>
          <w:tcPr>
            <w:tcW w:w="679" w:type="pct"/>
            <w:tcBorders>
              <w:top w:val="nil"/>
              <w:left w:val="nil"/>
              <w:bottom w:val="nil"/>
              <w:right w:val="nil"/>
            </w:tcBorders>
          </w:tcPr>
          <w:p w14:paraId="4DE9048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-19.470</w:t>
            </w:r>
          </w:p>
        </w:tc>
        <w:tc>
          <w:tcPr>
            <w:tcW w:w="679" w:type="pct"/>
            <w:tcBorders>
              <w:top w:val="nil"/>
              <w:left w:val="nil"/>
              <w:bottom w:val="nil"/>
              <w:right w:val="nil"/>
            </w:tcBorders>
          </w:tcPr>
          <w:p w14:paraId="7F601512"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1.172</w:t>
            </w:r>
          </w:p>
        </w:tc>
        <w:tc>
          <w:tcPr>
            <w:tcW w:w="822" w:type="pct"/>
            <w:tcBorders>
              <w:top w:val="nil"/>
              <w:left w:val="nil"/>
              <w:bottom w:val="nil"/>
              <w:right w:val="nil"/>
            </w:tcBorders>
          </w:tcPr>
          <w:p w14:paraId="241545CF"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0.260</w:t>
            </w:r>
          </w:p>
        </w:tc>
      </w:tr>
      <w:tr w:rsidR="00CD4846" w:rsidRPr="00CD4846" w14:paraId="5B5C4CD0" w14:textId="77777777" w:rsidTr="00B82EB9">
        <w:tc>
          <w:tcPr>
            <w:tcW w:w="1461" w:type="pct"/>
            <w:tcBorders>
              <w:top w:val="nil"/>
              <w:left w:val="nil"/>
              <w:bottom w:val="nil"/>
              <w:right w:val="nil"/>
            </w:tcBorders>
          </w:tcPr>
          <w:p w14:paraId="7B028342" w14:textId="7DAACC8C"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79" w:type="pct"/>
            <w:tcBorders>
              <w:top w:val="nil"/>
              <w:left w:val="nil"/>
              <w:bottom w:val="nil"/>
              <w:right w:val="nil"/>
            </w:tcBorders>
          </w:tcPr>
          <w:p w14:paraId="2A72727D"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(23.692)</w:t>
            </w:r>
          </w:p>
        </w:tc>
        <w:tc>
          <w:tcPr>
            <w:tcW w:w="679" w:type="pct"/>
            <w:tcBorders>
              <w:top w:val="nil"/>
              <w:left w:val="nil"/>
              <w:bottom w:val="nil"/>
              <w:right w:val="nil"/>
            </w:tcBorders>
          </w:tcPr>
          <w:p w14:paraId="039EF477"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(17.399)</w:t>
            </w:r>
          </w:p>
        </w:tc>
        <w:tc>
          <w:tcPr>
            <w:tcW w:w="679" w:type="pct"/>
            <w:tcBorders>
              <w:top w:val="nil"/>
              <w:left w:val="nil"/>
              <w:bottom w:val="nil"/>
              <w:right w:val="nil"/>
            </w:tcBorders>
          </w:tcPr>
          <w:p w14:paraId="04151E8C"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(14.321)</w:t>
            </w:r>
          </w:p>
        </w:tc>
        <w:tc>
          <w:tcPr>
            <w:tcW w:w="679" w:type="pct"/>
            <w:tcBorders>
              <w:top w:val="nil"/>
              <w:left w:val="nil"/>
              <w:bottom w:val="nil"/>
              <w:right w:val="nil"/>
            </w:tcBorders>
          </w:tcPr>
          <w:p w14:paraId="3941A5DE"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(2.722)</w:t>
            </w:r>
          </w:p>
        </w:tc>
        <w:tc>
          <w:tcPr>
            <w:tcW w:w="822" w:type="pct"/>
            <w:tcBorders>
              <w:top w:val="nil"/>
              <w:left w:val="nil"/>
              <w:bottom w:val="nil"/>
              <w:right w:val="nil"/>
            </w:tcBorders>
          </w:tcPr>
          <w:p w14:paraId="26851AA7"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(4.715)</w:t>
            </w:r>
          </w:p>
        </w:tc>
      </w:tr>
      <w:tr w:rsidR="00CD4846" w:rsidRPr="00CD4846" w14:paraId="26F29149" w14:textId="77777777" w:rsidTr="00B82EB9">
        <w:tc>
          <w:tcPr>
            <w:tcW w:w="1461" w:type="pct"/>
            <w:tcBorders>
              <w:top w:val="nil"/>
              <w:left w:val="nil"/>
              <w:bottom w:val="nil"/>
              <w:right w:val="nil"/>
            </w:tcBorders>
          </w:tcPr>
          <w:p w14:paraId="7EFBA0B9" w14:textId="1C76224E"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Loc. Economies (t-1) (10ks)</w:t>
            </w:r>
          </w:p>
        </w:tc>
        <w:tc>
          <w:tcPr>
            <w:tcW w:w="679" w:type="pct"/>
            <w:tcBorders>
              <w:top w:val="nil"/>
              <w:left w:val="nil"/>
              <w:bottom w:val="nil"/>
              <w:right w:val="nil"/>
            </w:tcBorders>
          </w:tcPr>
          <w:p w14:paraId="1651DF42"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-30.742</w:t>
            </w:r>
          </w:p>
        </w:tc>
        <w:tc>
          <w:tcPr>
            <w:tcW w:w="679" w:type="pct"/>
            <w:tcBorders>
              <w:top w:val="nil"/>
              <w:left w:val="nil"/>
              <w:bottom w:val="nil"/>
              <w:right w:val="nil"/>
            </w:tcBorders>
          </w:tcPr>
          <w:p w14:paraId="5DEE98CD"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-8.578</w:t>
            </w:r>
          </w:p>
        </w:tc>
        <w:tc>
          <w:tcPr>
            <w:tcW w:w="679" w:type="pct"/>
            <w:tcBorders>
              <w:top w:val="nil"/>
              <w:left w:val="nil"/>
              <w:bottom w:val="nil"/>
              <w:right w:val="nil"/>
            </w:tcBorders>
          </w:tcPr>
          <w:p w14:paraId="2568E8A9"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-241.635**</w:t>
            </w:r>
          </w:p>
        </w:tc>
        <w:tc>
          <w:tcPr>
            <w:tcW w:w="679" w:type="pct"/>
            <w:tcBorders>
              <w:top w:val="nil"/>
              <w:left w:val="nil"/>
              <w:bottom w:val="nil"/>
              <w:right w:val="nil"/>
            </w:tcBorders>
          </w:tcPr>
          <w:p w14:paraId="44B25C5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-0.095</w:t>
            </w:r>
          </w:p>
        </w:tc>
        <w:tc>
          <w:tcPr>
            <w:tcW w:w="822" w:type="pct"/>
            <w:tcBorders>
              <w:top w:val="nil"/>
              <w:left w:val="nil"/>
              <w:bottom w:val="nil"/>
              <w:right w:val="nil"/>
            </w:tcBorders>
          </w:tcPr>
          <w:p w14:paraId="098DFB69"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-0.329</w:t>
            </w:r>
          </w:p>
        </w:tc>
      </w:tr>
      <w:tr w:rsidR="00CD4846" w:rsidRPr="00CD4846" w14:paraId="00640537" w14:textId="77777777" w:rsidTr="00B82EB9">
        <w:tc>
          <w:tcPr>
            <w:tcW w:w="1461" w:type="pct"/>
            <w:tcBorders>
              <w:top w:val="nil"/>
              <w:left w:val="nil"/>
              <w:bottom w:val="nil"/>
              <w:right w:val="nil"/>
            </w:tcBorders>
          </w:tcPr>
          <w:p w14:paraId="42BC6274" w14:textId="7B0EBF28"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79" w:type="pct"/>
            <w:tcBorders>
              <w:top w:val="nil"/>
              <w:left w:val="nil"/>
              <w:bottom w:val="nil"/>
              <w:right w:val="nil"/>
            </w:tcBorders>
          </w:tcPr>
          <w:p w14:paraId="5019DA2D"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(40.710)</w:t>
            </w:r>
          </w:p>
        </w:tc>
        <w:tc>
          <w:tcPr>
            <w:tcW w:w="679" w:type="pct"/>
            <w:tcBorders>
              <w:top w:val="nil"/>
              <w:left w:val="nil"/>
              <w:bottom w:val="nil"/>
              <w:right w:val="nil"/>
            </w:tcBorders>
          </w:tcPr>
          <w:p w14:paraId="0AD3C89E"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(16.556)</w:t>
            </w:r>
          </w:p>
        </w:tc>
        <w:tc>
          <w:tcPr>
            <w:tcW w:w="679" w:type="pct"/>
            <w:tcBorders>
              <w:top w:val="nil"/>
              <w:left w:val="nil"/>
              <w:bottom w:val="nil"/>
              <w:right w:val="nil"/>
            </w:tcBorders>
          </w:tcPr>
          <w:p w14:paraId="79C407D2"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(107.516)</w:t>
            </w:r>
          </w:p>
        </w:tc>
        <w:tc>
          <w:tcPr>
            <w:tcW w:w="679" w:type="pct"/>
            <w:tcBorders>
              <w:top w:val="nil"/>
              <w:left w:val="nil"/>
              <w:bottom w:val="nil"/>
              <w:right w:val="nil"/>
            </w:tcBorders>
          </w:tcPr>
          <w:p w14:paraId="706D0CD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(0.311)</w:t>
            </w:r>
          </w:p>
        </w:tc>
        <w:tc>
          <w:tcPr>
            <w:tcW w:w="822" w:type="pct"/>
            <w:tcBorders>
              <w:top w:val="nil"/>
              <w:left w:val="nil"/>
              <w:bottom w:val="nil"/>
              <w:right w:val="nil"/>
            </w:tcBorders>
          </w:tcPr>
          <w:p w14:paraId="22931A48"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(0.663)</w:t>
            </w:r>
          </w:p>
        </w:tc>
      </w:tr>
      <w:tr w:rsidR="00CD4846" w:rsidRPr="00CD4846" w14:paraId="48D112CF" w14:textId="77777777" w:rsidTr="00B82EB9">
        <w:tc>
          <w:tcPr>
            <w:tcW w:w="1461" w:type="pct"/>
            <w:tcBorders>
              <w:top w:val="nil"/>
              <w:left w:val="nil"/>
              <w:bottom w:val="nil"/>
              <w:right w:val="nil"/>
            </w:tcBorders>
          </w:tcPr>
          <w:p w14:paraId="1828C648" w14:textId="7FC863E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Median HH Income (100ks)</w:t>
            </w:r>
          </w:p>
        </w:tc>
        <w:tc>
          <w:tcPr>
            <w:tcW w:w="679" w:type="pct"/>
            <w:tcBorders>
              <w:top w:val="nil"/>
              <w:left w:val="nil"/>
              <w:bottom w:val="nil"/>
              <w:right w:val="nil"/>
            </w:tcBorders>
          </w:tcPr>
          <w:p w14:paraId="6F4B6D94"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-2.425</w:t>
            </w:r>
          </w:p>
        </w:tc>
        <w:tc>
          <w:tcPr>
            <w:tcW w:w="679" w:type="pct"/>
            <w:tcBorders>
              <w:top w:val="nil"/>
              <w:left w:val="nil"/>
              <w:bottom w:val="nil"/>
              <w:right w:val="nil"/>
            </w:tcBorders>
          </w:tcPr>
          <w:p w14:paraId="3BB7C287"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-1.442</w:t>
            </w:r>
          </w:p>
        </w:tc>
        <w:tc>
          <w:tcPr>
            <w:tcW w:w="679" w:type="pct"/>
            <w:tcBorders>
              <w:top w:val="nil"/>
              <w:left w:val="nil"/>
              <w:bottom w:val="nil"/>
              <w:right w:val="nil"/>
            </w:tcBorders>
          </w:tcPr>
          <w:p w14:paraId="13AE9986"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-0.125</w:t>
            </w:r>
          </w:p>
        </w:tc>
        <w:tc>
          <w:tcPr>
            <w:tcW w:w="679" w:type="pct"/>
            <w:tcBorders>
              <w:top w:val="nil"/>
              <w:left w:val="nil"/>
              <w:bottom w:val="nil"/>
              <w:right w:val="nil"/>
            </w:tcBorders>
          </w:tcPr>
          <w:p w14:paraId="2C447369"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-0.085</w:t>
            </w:r>
          </w:p>
        </w:tc>
        <w:tc>
          <w:tcPr>
            <w:tcW w:w="822" w:type="pct"/>
            <w:tcBorders>
              <w:top w:val="nil"/>
              <w:left w:val="nil"/>
              <w:bottom w:val="nil"/>
              <w:right w:val="nil"/>
            </w:tcBorders>
          </w:tcPr>
          <w:p w14:paraId="590C52C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-0.242</w:t>
            </w:r>
          </w:p>
        </w:tc>
      </w:tr>
      <w:tr w:rsidR="00CD4846" w:rsidRPr="00CD4846" w14:paraId="46D41A9B" w14:textId="77777777" w:rsidTr="00B82EB9">
        <w:tc>
          <w:tcPr>
            <w:tcW w:w="1461" w:type="pct"/>
            <w:tcBorders>
              <w:top w:val="nil"/>
              <w:left w:val="nil"/>
              <w:bottom w:val="nil"/>
              <w:right w:val="nil"/>
            </w:tcBorders>
          </w:tcPr>
          <w:p w14:paraId="17CB599B" w14:textId="45AD9738"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79" w:type="pct"/>
            <w:tcBorders>
              <w:top w:val="nil"/>
              <w:left w:val="nil"/>
              <w:bottom w:val="nil"/>
              <w:right w:val="nil"/>
            </w:tcBorders>
          </w:tcPr>
          <w:p w14:paraId="6F3950F1"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(2.065)</w:t>
            </w:r>
          </w:p>
        </w:tc>
        <w:tc>
          <w:tcPr>
            <w:tcW w:w="679" w:type="pct"/>
            <w:tcBorders>
              <w:top w:val="nil"/>
              <w:left w:val="nil"/>
              <w:bottom w:val="nil"/>
              <w:right w:val="nil"/>
            </w:tcBorders>
          </w:tcPr>
          <w:p w14:paraId="04E33241"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(2.173)</w:t>
            </w:r>
          </w:p>
        </w:tc>
        <w:tc>
          <w:tcPr>
            <w:tcW w:w="679" w:type="pct"/>
            <w:tcBorders>
              <w:top w:val="nil"/>
              <w:left w:val="nil"/>
              <w:bottom w:val="nil"/>
              <w:right w:val="nil"/>
            </w:tcBorders>
          </w:tcPr>
          <w:p w14:paraId="1B0B8F1A"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(2.880)</w:t>
            </w:r>
          </w:p>
        </w:tc>
        <w:tc>
          <w:tcPr>
            <w:tcW w:w="679" w:type="pct"/>
            <w:tcBorders>
              <w:top w:val="nil"/>
              <w:left w:val="nil"/>
              <w:bottom w:val="nil"/>
              <w:right w:val="nil"/>
            </w:tcBorders>
          </w:tcPr>
          <w:p w14:paraId="257DA7B9"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(0.345)</w:t>
            </w:r>
          </w:p>
        </w:tc>
        <w:tc>
          <w:tcPr>
            <w:tcW w:w="822" w:type="pct"/>
            <w:tcBorders>
              <w:top w:val="nil"/>
              <w:left w:val="nil"/>
              <w:bottom w:val="nil"/>
              <w:right w:val="nil"/>
            </w:tcBorders>
          </w:tcPr>
          <w:p w14:paraId="60981E6D"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(0.527)</w:t>
            </w:r>
          </w:p>
        </w:tc>
      </w:tr>
      <w:tr w:rsidR="00CD4846" w:rsidRPr="00CD4846" w14:paraId="02796B7F" w14:textId="77777777" w:rsidTr="00B82EB9">
        <w:tc>
          <w:tcPr>
            <w:tcW w:w="1461" w:type="pct"/>
            <w:tcBorders>
              <w:top w:val="nil"/>
              <w:left w:val="nil"/>
              <w:bottom w:val="nil"/>
              <w:right w:val="nil"/>
            </w:tcBorders>
          </w:tcPr>
          <w:p w14:paraId="520D926F" w14:textId="2F8F1464"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Housing Price Index (100s)</w:t>
            </w:r>
          </w:p>
        </w:tc>
        <w:tc>
          <w:tcPr>
            <w:tcW w:w="679" w:type="pct"/>
            <w:tcBorders>
              <w:top w:val="nil"/>
              <w:left w:val="nil"/>
              <w:bottom w:val="nil"/>
              <w:right w:val="nil"/>
            </w:tcBorders>
          </w:tcPr>
          <w:p w14:paraId="6DB79C44"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0.099</w:t>
            </w:r>
          </w:p>
        </w:tc>
        <w:tc>
          <w:tcPr>
            <w:tcW w:w="679" w:type="pct"/>
            <w:tcBorders>
              <w:top w:val="nil"/>
              <w:left w:val="nil"/>
              <w:bottom w:val="nil"/>
              <w:right w:val="nil"/>
            </w:tcBorders>
          </w:tcPr>
          <w:p w14:paraId="37F2C4C8"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-0.144</w:t>
            </w:r>
          </w:p>
        </w:tc>
        <w:tc>
          <w:tcPr>
            <w:tcW w:w="679" w:type="pct"/>
            <w:tcBorders>
              <w:top w:val="nil"/>
              <w:left w:val="nil"/>
              <w:bottom w:val="nil"/>
              <w:right w:val="nil"/>
            </w:tcBorders>
          </w:tcPr>
          <w:p w14:paraId="7773EBA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0.088</w:t>
            </w:r>
          </w:p>
        </w:tc>
        <w:tc>
          <w:tcPr>
            <w:tcW w:w="679" w:type="pct"/>
            <w:tcBorders>
              <w:top w:val="nil"/>
              <w:left w:val="nil"/>
              <w:bottom w:val="nil"/>
              <w:right w:val="nil"/>
            </w:tcBorders>
          </w:tcPr>
          <w:p w14:paraId="3524F61C"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-0.002</w:t>
            </w:r>
          </w:p>
        </w:tc>
        <w:tc>
          <w:tcPr>
            <w:tcW w:w="822" w:type="pct"/>
            <w:tcBorders>
              <w:top w:val="nil"/>
              <w:left w:val="nil"/>
              <w:bottom w:val="nil"/>
              <w:right w:val="nil"/>
            </w:tcBorders>
          </w:tcPr>
          <w:p w14:paraId="660254B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-0.042</w:t>
            </w:r>
          </w:p>
        </w:tc>
      </w:tr>
      <w:tr w:rsidR="00CD4846" w:rsidRPr="00CD4846" w14:paraId="3275BF14" w14:textId="77777777" w:rsidTr="00B82EB9">
        <w:tc>
          <w:tcPr>
            <w:tcW w:w="1461" w:type="pct"/>
            <w:tcBorders>
              <w:top w:val="nil"/>
              <w:left w:val="nil"/>
              <w:bottom w:val="nil"/>
              <w:right w:val="nil"/>
            </w:tcBorders>
          </w:tcPr>
          <w:p w14:paraId="071D8749" w14:textId="1F0DFA06"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79" w:type="pct"/>
            <w:tcBorders>
              <w:top w:val="nil"/>
              <w:left w:val="nil"/>
              <w:bottom w:val="nil"/>
              <w:right w:val="nil"/>
            </w:tcBorders>
          </w:tcPr>
          <w:p w14:paraId="12DBAC14"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(0.132)</w:t>
            </w:r>
          </w:p>
        </w:tc>
        <w:tc>
          <w:tcPr>
            <w:tcW w:w="679" w:type="pct"/>
            <w:tcBorders>
              <w:top w:val="nil"/>
              <w:left w:val="nil"/>
              <w:bottom w:val="nil"/>
              <w:right w:val="nil"/>
            </w:tcBorders>
          </w:tcPr>
          <w:p w14:paraId="10653A59"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(0.172)</w:t>
            </w:r>
          </w:p>
        </w:tc>
        <w:tc>
          <w:tcPr>
            <w:tcW w:w="679" w:type="pct"/>
            <w:tcBorders>
              <w:top w:val="nil"/>
              <w:left w:val="nil"/>
              <w:bottom w:val="nil"/>
              <w:right w:val="nil"/>
            </w:tcBorders>
          </w:tcPr>
          <w:p w14:paraId="167C30AE"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(0.216)</w:t>
            </w:r>
          </w:p>
        </w:tc>
        <w:tc>
          <w:tcPr>
            <w:tcW w:w="679" w:type="pct"/>
            <w:tcBorders>
              <w:top w:val="nil"/>
              <w:left w:val="nil"/>
              <w:bottom w:val="nil"/>
              <w:right w:val="nil"/>
            </w:tcBorders>
          </w:tcPr>
          <w:p w14:paraId="356431D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(0.027)</w:t>
            </w:r>
          </w:p>
        </w:tc>
        <w:tc>
          <w:tcPr>
            <w:tcW w:w="822" w:type="pct"/>
            <w:tcBorders>
              <w:top w:val="nil"/>
              <w:left w:val="nil"/>
              <w:bottom w:val="nil"/>
              <w:right w:val="nil"/>
            </w:tcBorders>
          </w:tcPr>
          <w:p w14:paraId="5FD967F3"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(0.040)</w:t>
            </w:r>
          </w:p>
        </w:tc>
      </w:tr>
      <w:tr w:rsidR="00CD4846" w:rsidRPr="00CD4846" w14:paraId="1FAF8D5C" w14:textId="77777777" w:rsidTr="00B82EB9">
        <w:tc>
          <w:tcPr>
            <w:tcW w:w="1461" w:type="pct"/>
            <w:tcBorders>
              <w:top w:val="nil"/>
              <w:left w:val="nil"/>
              <w:bottom w:val="nil"/>
              <w:right w:val="nil"/>
            </w:tcBorders>
          </w:tcPr>
          <w:p w14:paraId="6A302806" w14:textId="763D8CC5"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Poverty rate (100s)</w:t>
            </w:r>
          </w:p>
        </w:tc>
        <w:tc>
          <w:tcPr>
            <w:tcW w:w="679" w:type="pct"/>
            <w:tcBorders>
              <w:top w:val="nil"/>
              <w:left w:val="nil"/>
              <w:bottom w:val="nil"/>
              <w:right w:val="nil"/>
            </w:tcBorders>
          </w:tcPr>
          <w:p w14:paraId="547C4C24"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4.985</w:t>
            </w:r>
          </w:p>
        </w:tc>
        <w:tc>
          <w:tcPr>
            <w:tcW w:w="679" w:type="pct"/>
            <w:tcBorders>
              <w:top w:val="nil"/>
              <w:left w:val="nil"/>
              <w:bottom w:val="nil"/>
              <w:right w:val="nil"/>
            </w:tcBorders>
          </w:tcPr>
          <w:p w14:paraId="3F81D260"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-1.150</w:t>
            </w:r>
          </w:p>
        </w:tc>
        <w:tc>
          <w:tcPr>
            <w:tcW w:w="679" w:type="pct"/>
            <w:tcBorders>
              <w:top w:val="nil"/>
              <w:left w:val="nil"/>
              <w:bottom w:val="nil"/>
              <w:right w:val="nil"/>
            </w:tcBorders>
          </w:tcPr>
          <w:p w14:paraId="727089C9"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1.335</w:t>
            </w:r>
          </w:p>
        </w:tc>
        <w:tc>
          <w:tcPr>
            <w:tcW w:w="679" w:type="pct"/>
            <w:tcBorders>
              <w:top w:val="nil"/>
              <w:left w:val="nil"/>
              <w:bottom w:val="nil"/>
              <w:right w:val="nil"/>
            </w:tcBorders>
          </w:tcPr>
          <w:p w14:paraId="6262C6D9"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-0.946</w:t>
            </w:r>
          </w:p>
        </w:tc>
        <w:tc>
          <w:tcPr>
            <w:tcW w:w="822" w:type="pct"/>
            <w:tcBorders>
              <w:top w:val="nil"/>
              <w:left w:val="nil"/>
              <w:bottom w:val="nil"/>
              <w:right w:val="nil"/>
            </w:tcBorders>
          </w:tcPr>
          <w:p w14:paraId="02736327"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1.614</w:t>
            </w:r>
          </w:p>
        </w:tc>
      </w:tr>
      <w:tr w:rsidR="00CD4846" w:rsidRPr="00CD4846" w14:paraId="1C8AA439" w14:textId="77777777" w:rsidTr="00B82EB9">
        <w:tc>
          <w:tcPr>
            <w:tcW w:w="1461" w:type="pct"/>
            <w:tcBorders>
              <w:top w:val="nil"/>
              <w:left w:val="nil"/>
              <w:bottom w:val="nil"/>
              <w:right w:val="nil"/>
            </w:tcBorders>
          </w:tcPr>
          <w:p w14:paraId="2CCED320" w14:textId="324E648B"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79" w:type="pct"/>
            <w:tcBorders>
              <w:top w:val="nil"/>
              <w:left w:val="nil"/>
              <w:bottom w:val="nil"/>
              <w:right w:val="nil"/>
            </w:tcBorders>
          </w:tcPr>
          <w:p w14:paraId="15862ECC"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(3.349)</w:t>
            </w:r>
          </w:p>
        </w:tc>
        <w:tc>
          <w:tcPr>
            <w:tcW w:w="679" w:type="pct"/>
            <w:tcBorders>
              <w:top w:val="nil"/>
              <w:left w:val="nil"/>
              <w:bottom w:val="nil"/>
              <w:right w:val="nil"/>
            </w:tcBorders>
          </w:tcPr>
          <w:p w14:paraId="57BDF61D"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(4.736)</w:t>
            </w:r>
          </w:p>
        </w:tc>
        <w:tc>
          <w:tcPr>
            <w:tcW w:w="679" w:type="pct"/>
            <w:tcBorders>
              <w:top w:val="nil"/>
              <w:left w:val="nil"/>
              <w:bottom w:val="nil"/>
              <w:right w:val="nil"/>
            </w:tcBorders>
          </w:tcPr>
          <w:p w14:paraId="2D97A49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(5.687)</w:t>
            </w:r>
          </w:p>
        </w:tc>
        <w:tc>
          <w:tcPr>
            <w:tcW w:w="679" w:type="pct"/>
            <w:tcBorders>
              <w:top w:val="nil"/>
              <w:left w:val="nil"/>
              <w:bottom w:val="nil"/>
              <w:right w:val="nil"/>
            </w:tcBorders>
          </w:tcPr>
          <w:p w14:paraId="2D92A1A1"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(0.661)</w:t>
            </w:r>
          </w:p>
        </w:tc>
        <w:tc>
          <w:tcPr>
            <w:tcW w:w="822" w:type="pct"/>
            <w:tcBorders>
              <w:top w:val="nil"/>
              <w:left w:val="nil"/>
              <w:bottom w:val="nil"/>
              <w:right w:val="nil"/>
            </w:tcBorders>
          </w:tcPr>
          <w:p w14:paraId="6D4F76BA"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(1.005)</w:t>
            </w:r>
          </w:p>
        </w:tc>
      </w:tr>
      <w:tr w:rsidR="00CD4846" w:rsidRPr="00CD4846" w14:paraId="152A022E" w14:textId="77777777" w:rsidTr="00B82EB9">
        <w:tc>
          <w:tcPr>
            <w:tcW w:w="1461" w:type="pct"/>
            <w:tcBorders>
              <w:top w:val="nil"/>
              <w:left w:val="nil"/>
              <w:bottom w:val="nil"/>
              <w:right w:val="nil"/>
            </w:tcBorders>
          </w:tcPr>
          <w:p w14:paraId="0DCAF2DB" w14:textId="0473EF75"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Avg annual wages (100k)</w:t>
            </w:r>
          </w:p>
        </w:tc>
        <w:tc>
          <w:tcPr>
            <w:tcW w:w="679" w:type="pct"/>
            <w:tcBorders>
              <w:top w:val="nil"/>
              <w:left w:val="nil"/>
              <w:bottom w:val="nil"/>
              <w:right w:val="nil"/>
            </w:tcBorders>
          </w:tcPr>
          <w:p w14:paraId="3DD36E5C"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0.156</w:t>
            </w:r>
          </w:p>
        </w:tc>
        <w:tc>
          <w:tcPr>
            <w:tcW w:w="679" w:type="pct"/>
            <w:tcBorders>
              <w:top w:val="nil"/>
              <w:left w:val="nil"/>
              <w:bottom w:val="nil"/>
              <w:right w:val="nil"/>
            </w:tcBorders>
          </w:tcPr>
          <w:p w14:paraId="733D9F1A"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0.051***</w:t>
            </w:r>
          </w:p>
        </w:tc>
        <w:tc>
          <w:tcPr>
            <w:tcW w:w="679" w:type="pct"/>
            <w:tcBorders>
              <w:top w:val="nil"/>
              <w:left w:val="nil"/>
              <w:bottom w:val="nil"/>
              <w:right w:val="nil"/>
            </w:tcBorders>
          </w:tcPr>
          <w:p w14:paraId="1E0DA6ED"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-0.030</w:t>
            </w:r>
          </w:p>
        </w:tc>
        <w:tc>
          <w:tcPr>
            <w:tcW w:w="679" w:type="pct"/>
            <w:tcBorders>
              <w:top w:val="nil"/>
              <w:left w:val="nil"/>
              <w:bottom w:val="nil"/>
              <w:right w:val="nil"/>
            </w:tcBorders>
          </w:tcPr>
          <w:p w14:paraId="0CC99CF4"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0.035</w:t>
            </w:r>
          </w:p>
        </w:tc>
        <w:tc>
          <w:tcPr>
            <w:tcW w:w="822" w:type="pct"/>
            <w:tcBorders>
              <w:top w:val="nil"/>
              <w:left w:val="nil"/>
              <w:bottom w:val="nil"/>
              <w:right w:val="nil"/>
            </w:tcBorders>
          </w:tcPr>
          <w:p w14:paraId="2D9701BA"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-0.018</w:t>
            </w:r>
          </w:p>
        </w:tc>
      </w:tr>
      <w:tr w:rsidR="00CD4846" w:rsidRPr="00CD4846" w14:paraId="74DEAA2F" w14:textId="77777777" w:rsidTr="00B82EB9">
        <w:tc>
          <w:tcPr>
            <w:tcW w:w="1461" w:type="pct"/>
            <w:tcBorders>
              <w:top w:val="nil"/>
              <w:left w:val="nil"/>
              <w:bottom w:val="nil"/>
              <w:right w:val="nil"/>
            </w:tcBorders>
          </w:tcPr>
          <w:p w14:paraId="07A26EBD" w14:textId="6EB60F80"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79" w:type="pct"/>
            <w:tcBorders>
              <w:top w:val="nil"/>
              <w:left w:val="nil"/>
              <w:bottom w:val="nil"/>
              <w:right w:val="nil"/>
            </w:tcBorders>
          </w:tcPr>
          <w:p w14:paraId="7D7EFBD5"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(0.100)</w:t>
            </w:r>
          </w:p>
        </w:tc>
        <w:tc>
          <w:tcPr>
            <w:tcW w:w="679" w:type="pct"/>
            <w:tcBorders>
              <w:top w:val="nil"/>
              <w:left w:val="nil"/>
              <w:bottom w:val="nil"/>
              <w:right w:val="nil"/>
            </w:tcBorders>
          </w:tcPr>
          <w:p w14:paraId="0B901CE8"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(0.017)</w:t>
            </w:r>
          </w:p>
        </w:tc>
        <w:tc>
          <w:tcPr>
            <w:tcW w:w="679" w:type="pct"/>
            <w:tcBorders>
              <w:top w:val="nil"/>
              <w:left w:val="nil"/>
              <w:bottom w:val="nil"/>
              <w:right w:val="nil"/>
            </w:tcBorders>
          </w:tcPr>
          <w:p w14:paraId="32B1B3F1"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(0.086)</w:t>
            </w:r>
          </w:p>
        </w:tc>
        <w:tc>
          <w:tcPr>
            <w:tcW w:w="679" w:type="pct"/>
            <w:tcBorders>
              <w:top w:val="nil"/>
              <w:left w:val="nil"/>
              <w:bottom w:val="nil"/>
              <w:right w:val="nil"/>
            </w:tcBorders>
          </w:tcPr>
          <w:p w14:paraId="6650FF36"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(0.026)</w:t>
            </w:r>
          </w:p>
        </w:tc>
        <w:tc>
          <w:tcPr>
            <w:tcW w:w="822" w:type="pct"/>
            <w:tcBorders>
              <w:top w:val="nil"/>
              <w:left w:val="nil"/>
              <w:bottom w:val="nil"/>
              <w:right w:val="nil"/>
            </w:tcBorders>
          </w:tcPr>
          <w:p w14:paraId="4C5BB294"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(0.023)</w:t>
            </w:r>
          </w:p>
        </w:tc>
      </w:tr>
      <w:tr w:rsidR="00CD4846" w:rsidRPr="00CD4846" w14:paraId="79206187" w14:textId="77777777" w:rsidTr="00B82EB9">
        <w:tc>
          <w:tcPr>
            <w:tcW w:w="1461" w:type="pct"/>
            <w:tcBorders>
              <w:top w:val="nil"/>
              <w:left w:val="nil"/>
              <w:bottom w:val="nil"/>
              <w:right w:val="nil"/>
            </w:tcBorders>
          </w:tcPr>
          <w:p w14:paraId="1D33C5C9" w14:textId="597DA3F3"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Attain. Status - CO (t-1)</w:t>
            </w:r>
          </w:p>
        </w:tc>
        <w:tc>
          <w:tcPr>
            <w:tcW w:w="679" w:type="pct"/>
            <w:tcBorders>
              <w:top w:val="nil"/>
              <w:left w:val="nil"/>
              <w:bottom w:val="nil"/>
              <w:right w:val="nil"/>
            </w:tcBorders>
          </w:tcPr>
          <w:p w14:paraId="66377B78"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3.448</w:t>
            </w:r>
          </w:p>
        </w:tc>
        <w:tc>
          <w:tcPr>
            <w:tcW w:w="679" w:type="pct"/>
            <w:tcBorders>
              <w:top w:val="nil"/>
              <w:left w:val="nil"/>
              <w:bottom w:val="nil"/>
              <w:right w:val="nil"/>
            </w:tcBorders>
          </w:tcPr>
          <w:p w14:paraId="7988A76C"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-2.704</w:t>
            </w:r>
          </w:p>
        </w:tc>
        <w:tc>
          <w:tcPr>
            <w:tcW w:w="679" w:type="pct"/>
            <w:tcBorders>
              <w:top w:val="nil"/>
              <w:left w:val="nil"/>
              <w:bottom w:val="nil"/>
              <w:right w:val="nil"/>
            </w:tcBorders>
          </w:tcPr>
          <w:p w14:paraId="0A8BCB9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79" w:type="pct"/>
            <w:tcBorders>
              <w:top w:val="nil"/>
              <w:left w:val="nil"/>
              <w:bottom w:val="nil"/>
              <w:right w:val="nil"/>
            </w:tcBorders>
          </w:tcPr>
          <w:p w14:paraId="300EA60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-1.259</w:t>
            </w:r>
          </w:p>
        </w:tc>
        <w:tc>
          <w:tcPr>
            <w:tcW w:w="822" w:type="pct"/>
            <w:tcBorders>
              <w:top w:val="nil"/>
              <w:left w:val="nil"/>
              <w:bottom w:val="nil"/>
              <w:right w:val="nil"/>
            </w:tcBorders>
          </w:tcPr>
          <w:p w14:paraId="3D04B855"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0.058</w:t>
            </w:r>
          </w:p>
        </w:tc>
      </w:tr>
      <w:tr w:rsidR="00CD4846" w:rsidRPr="00CD4846" w14:paraId="15C9ADD9" w14:textId="77777777" w:rsidTr="00B82EB9">
        <w:tc>
          <w:tcPr>
            <w:tcW w:w="1461" w:type="pct"/>
            <w:tcBorders>
              <w:top w:val="nil"/>
              <w:left w:val="nil"/>
              <w:bottom w:val="nil"/>
              <w:right w:val="nil"/>
            </w:tcBorders>
          </w:tcPr>
          <w:p w14:paraId="6A4A7146" w14:textId="44078442"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79" w:type="pct"/>
            <w:tcBorders>
              <w:top w:val="nil"/>
              <w:left w:val="nil"/>
              <w:bottom w:val="nil"/>
              <w:right w:val="nil"/>
            </w:tcBorders>
          </w:tcPr>
          <w:p w14:paraId="44E886BC"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(2.414)</w:t>
            </w:r>
          </w:p>
        </w:tc>
        <w:tc>
          <w:tcPr>
            <w:tcW w:w="679" w:type="pct"/>
            <w:tcBorders>
              <w:top w:val="nil"/>
              <w:left w:val="nil"/>
              <w:bottom w:val="nil"/>
              <w:right w:val="nil"/>
            </w:tcBorders>
          </w:tcPr>
          <w:p w14:paraId="2785C140"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(1.939)</w:t>
            </w:r>
          </w:p>
        </w:tc>
        <w:tc>
          <w:tcPr>
            <w:tcW w:w="679" w:type="pct"/>
            <w:tcBorders>
              <w:top w:val="nil"/>
              <w:left w:val="nil"/>
              <w:bottom w:val="nil"/>
              <w:right w:val="nil"/>
            </w:tcBorders>
          </w:tcPr>
          <w:p w14:paraId="51537DC1"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79" w:type="pct"/>
            <w:tcBorders>
              <w:top w:val="nil"/>
              <w:left w:val="nil"/>
              <w:bottom w:val="nil"/>
              <w:right w:val="nil"/>
            </w:tcBorders>
          </w:tcPr>
          <w:p w14:paraId="0B0C3639"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(0.840)</w:t>
            </w:r>
          </w:p>
        </w:tc>
        <w:tc>
          <w:tcPr>
            <w:tcW w:w="822" w:type="pct"/>
            <w:tcBorders>
              <w:top w:val="nil"/>
              <w:left w:val="nil"/>
              <w:bottom w:val="nil"/>
              <w:right w:val="nil"/>
            </w:tcBorders>
          </w:tcPr>
          <w:p w14:paraId="6E88EBC4"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(1.069)</w:t>
            </w:r>
          </w:p>
        </w:tc>
      </w:tr>
      <w:tr w:rsidR="00CD4846" w:rsidRPr="00CD4846" w14:paraId="7821CAFA" w14:textId="77777777" w:rsidTr="00B82EB9">
        <w:tc>
          <w:tcPr>
            <w:tcW w:w="1461" w:type="pct"/>
            <w:tcBorders>
              <w:top w:val="nil"/>
              <w:left w:val="nil"/>
              <w:bottom w:val="nil"/>
              <w:right w:val="nil"/>
            </w:tcBorders>
          </w:tcPr>
          <w:p w14:paraId="751F2A2E" w14:textId="6F69AFCA"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Attain. Status - Pb (t-1)</w:t>
            </w:r>
          </w:p>
        </w:tc>
        <w:tc>
          <w:tcPr>
            <w:tcW w:w="679" w:type="pct"/>
            <w:tcBorders>
              <w:top w:val="nil"/>
              <w:left w:val="nil"/>
              <w:bottom w:val="nil"/>
              <w:right w:val="nil"/>
            </w:tcBorders>
          </w:tcPr>
          <w:p w14:paraId="47A22A6F"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-2.354**</w:t>
            </w:r>
          </w:p>
        </w:tc>
        <w:tc>
          <w:tcPr>
            <w:tcW w:w="679" w:type="pct"/>
            <w:tcBorders>
              <w:top w:val="nil"/>
              <w:left w:val="nil"/>
              <w:bottom w:val="nil"/>
              <w:right w:val="nil"/>
            </w:tcBorders>
          </w:tcPr>
          <w:p w14:paraId="3342CAC1"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-0.751</w:t>
            </w:r>
          </w:p>
        </w:tc>
        <w:tc>
          <w:tcPr>
            <w:tcW w:w="679" w:type="pct"/>
            <w:tcBorders>
              <w:top w:val="nil"/>
              <w:left w:val="nil"/>
              <w:bottom w:val="nil"/>
              <w:right w:val="nil"/>
            </w:tcBorders>
          </w:tcPr>
          <w:p w14:paraId="24690D34"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-1.826</w:t>
            </w:r>
          </w:p>
        </w:tc>
        <w:tc>
          <w:tcPr>
            <w:tcW w:w="679" w:type="pct"/>
            <w:tcBorders>
              <w:top w:val="nil"/>
              <w:left w:val="nil"/>
              <w:bottom w:val="nil"/>
              <w:right w:val="nil"/>
            </w:tcBorders>
          </w:tcPr>
          <w:p w14:paraId="6D2C5B7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-0.036</w:t>
            </w:r>
          </w:p>
        </w:tc>
        <w:tc>
          <w:tcPr>
            <w:tcW w:w="822" w:type="pct"/>
            <w:tcBorders>
              <w:top w:val="nil"/>
              <w:left w:val="nil"/>
              <w:bottom w:val="nil"/>
              <w:right w:val="nil"/>
            </w:tcBorders>
          </w:tcPr>
          <w:p w14:paraId="59BE647C"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-0.067</w:t>
            </w:r>
          </w:p>
        </w:tc>
      </w:tr>
      <w:tr w:rsidR="00CD4846" w:rsidRPr="00CD4846" w14:paraId="2E5B50F1" w14:textId="77777777" w:rsidTr="00B82EB9">
        <w:tc>
          <w:tcPr>
            <w:tcW w:w="1461" w:type="pct"/>
            <w:tcBorders>
              <w:top w:val="nil"/>
              <w:left w:val="nil"/>
              <w:bottom w:val="nil"/>
              <w:right w:val="nil"/>
            </w:tcBorders>
          </w:tcPr>
          <w:p w14:paraId="4374C22B" w14:textId="4489D417"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79" w:type="pct"/>
            <w:tcBorders>
              <w:top w:val="nil"/>
              <w:left w:val="nil"/>
              <w:bottom w:val="nil"/>
              <w:right w:val="nil"/>
            </w:tcBorders>
          </w:tcPr>
          <w:p w14:paraId="7149D471"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(1.199)</w:t>
            </w:r>
          </w:p>
        </w:tc>
        <w:tc>
          <w:tcPr>
            <w:tcW w:w="679" w:type="pct"/>
            <w:tcBorders>
              <w:top w:val="nil"/>
              <w:left w:val="nil"/>
              <w:bottom w:val="nil"/>
              <w:right w:val="nil"/>
            </w:tcBorders>
          </w:tcPr>
          <w:p w14:paraId="3867F7AD"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(0.589)</w:t>
            </w:r>
          </w:p>
        </w:tc>
        <w:tc>
          <w:tcPr>
            <w:tcW w:w="679" w:type="pct"/>
            <w:tcBorders>
              <w:top w:val="nil"/>
              <w:left w:val="nil"/>
              <w:bottom w:val="nil"/>
              <w:right w:val="nil"/>
            </w:tcBorders>
          </w:tcPr>
          <w:p w14:paraId="07956ECF"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(1.310)</w:t>
            </w:r>
          </w:p>
        </w:tc>
        <w:tc>
          <w:tcPr>
            <w:tcW w:w="679" w:type="pct"/>
            <w:tcBorders>
              <w:top w:val="nil"/>
              <w:left w:val="nil"/>
              <w:bottom w:val="nil"/>
              <w:right w:val="nil"/>
            </w:tcBorders>
          </w:tcPr>
          <w:p w14:paraId="0AC8AF34"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(0.158)</w:t>
            </w:r>
          </w:p>
        </w:tc>
        <w:tc>
          <w:tcPr>
            <w:tcW w:w="822" w:type="pct"/>
            <w:tcBorders>
              <w:top w:val="nil"/>
              <w:left w:val="nil"/>
              <w:bottom w:val="nil"/>
              <w:right w:val="nil"/>
            </w:tcBorders>
          </w:tcPr>
          <w:p w14:paraId="4FF6139D"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(0.156)</w:t>
            </w:r>
          </w:p>
        </w:tc>
      </w:tr>
      <w:tr w:rsidR="00CD4846" w:rsidRPr="00CD4846" w14:paraId="16401569" w14:textId="77777777" w:rsidTr="00B82EB9">
        <w:tc>
          <w:tcPr>
            <w:tcW w:w="1461" w:type="pct"/>
            <w:tcBorders>
              <w:top w:val="nil"/>
              <w:left w:val="nil"/>
              <w:bottom w:val="nil"/>
              <w:right w:val="nil"/>
            </w:tcBorders>
          </w:tcPr>
          <w:p w14:paraId="003CFE67" w14:textId="769A4BFF"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Attain. Status - O3 (t-1)</w:t>
            </w:r>
          </w:p>
        </w:tc>
        <w:tc>
          <w:tcPr>
            <w:tcW w:w="679" w:type="pct"/>
            <w:tcBorders>
              <w:top w:val="nil"/>
              <w:left w:val="nil"/>
              <w:bottom w:val="nil"/>
              <w:right w:val="nil"/>
            </w:tcBorders>
          </w:tcPr>
          <w:p w14:paraId="3EF86885"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0.068</w:t>
            </w:r>
          </w:p>
        </w:tc>
        <w:tc>
          <w:tcPr>
            <w:tcW w:w="679" w:type="pct"/>
            <w:tcBorders>
              <w:top w:val="nil"/>
              <w:left w:val="nil"/>
              <w:bottom w:val="nil"/>
              <w:right w:val="nil"/>
            </w:tcBorders>
          </w:tcPr>
          <w:p w14:paraId="5ACE8B83"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0.387</w:t>
            </w:r>
          </w:p>
        </w:tc>
        <w:tc>
          <w:tcPr>
            <w:tcW w:w="679" w:type="pct"/>
            <w:tcBorders>
              <w:top w:val="nil"/>
              <w:left w:val="nil"/>
              <w:bottom w:val="nil"/>
              <w:right w:val="nil"/>
            </w:tcBorders>
          </w:tcPr>
          <w:p w14:paraId="40CAF69C"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0.015</w:t>
            </w:r>
          </w:p>
        </w:tc>
        <w:tc>
          <w:tcPr>
            <w:tcW w:w="679" w:type="pct"/>
            <w:tcBorders>
              <w:top w:val="nil"/>
              <w:left w:val="nil"/>
              <w:bottom w:val="nil"/>
              <w:right w:val="nil"/>
            </w:tcBorders>
          </w:tcPr>
          <w:p w14:paraId="4563863A"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0.041</w:t>
            </w:r>
          </w:p>
        </w:tc>
        <w:tc>
          <w:tcPr>
            <w:tcW w:w="822" w:type="pct"/>
            <w:tcBorders>
              <w:top w:val="nil"/>
              <w:left w:val="nil"/>
              <w:bottom w:val="nil"/>
              <w:right w:val="nil"/>
            </w:tcBorders>
          </w:tcPr>
          <w:p w14:paraId="16214AD2"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0.040</w:t>
            </w:r>
          </w:p>
        </w:tc>
      </w:tr>
      <w:tr w:rsidR="00CD4846" w:rsidRPr="00CD4846" w14:paraId="1FAFB0B8" w14:textId="77777777" w:rsidTr="00B82EB9">
        <w:tc>
          <w:tcPr>
            <w:tcW w:w="1461" w:type="pct"/>
            <w:tcBorders>
              <w:top w:val="nil"/>
              <w:left w:val="nil"/>
              <w:bottom w:val="nil"/>
              <w:right w:val="nil"/>
            </w:tcBorders>
          </w:tcPr>
          <w:p w14:paraId="33821CAF" w14:textId="18626715"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79" w:type="pct"/>
            <w:tcBorders>
              <w:top w:val="nil"/>
              <w:left w:val="nil"/>
              <w:bottom w:val="nil"/>
              <w:right w:val="nil"/>
            </w:tcBorders>
          </w:tcPr>
          <w:p w14:paraId="2193409D"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(0.241)</w:t>
            </w:r>
          </w:p>
        </w:tc>
        <w:tc>
          <w:tcPr>
            <w:tcW w:w="679" w:type="pct"/>
            <w:tcBorders>
              <w:top w:val="nil"/>
              <w:left w:val="nil"/>
              <w:bottom w:val="nil"/>
              <w:right w:val="nil"/>
            </w:tcBorders>
          </w:tcPr>
          <w:p w14:paraId="2922951D"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(0.244)</w:t>
            </w:r>
          </w:p>
        </w:tc>
        <w:tc>
          <w:tcPr>
            <w:tcW w:w="679" w:type="pct"/>
            <w:tcBorders>
              <w:top w:val="nil"/>
              <w:left w:val="nil"/>
              <w:bottom w:val="nil"/>
              <w:right w:val="nil"/>
            </w:tcBorders>
          </w:tcPr>
          <w:p w14:paraId="2EBF375A"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(0.300)</w:t>
            </w:r>
          </w:p>
        </w:tc>
        <w:tc>
          <w:tcPr>
            <w:tcW w:w="679" w:type="pct"/>
            <w:tcBorders>
              <w:top w:val="nil"/>
              <w:left w:val="nil"/>
              <w:bottom w:val="nil"/>
              <w:right w:val="nil"/>
            </w:tcBorders>
          </w:tcPr>
          <w:p w14:paraId="78BB4BE9"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(0.035)</w:t>
            </w:r>
          </w:p>
        </w:tc>
        <w:tc>
          <w:tcPr>
            <w:tcW w:w="822" w:type="pct"/>
            <w:tcBorders>
              <w:top w:val="nil"/>
              <w:left w:val="nil"/>
              <w:bottom w:val="nil"/>
              <w:right w:val="nil"/>
            </w:tcBorders>
          </w:tcPr>
          <w:p w14:paraId="445C3024"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(0.048)</w:t>
            </w:r>
          </w:p>
        </w:tc>
      </w:tr>
      <w:tr w:rsidR="00CD4846" w:rsidRPr="00CD4846" w14:paraId="4C4C41D6" w14:textId="77777777" w:rsidTr="00B82EB9">
        <w:tc>
          <w:tcPr>
            <w:tcW w:w="1461" w:type="pct"/>
            <w:tcBorders>
              <w:top w:val="nil"/>
              <w:left w:val="nil"/>
              <w:bottom w:val="nil"/>
              <w:right w:val="nil"/>
            </w:tcBorders>
          </w:tcPr>
          <w:p w14:paraId="321B3BF1" w14:textId="12194468"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Attain. Status - PM (t-1)</w:t>
            </w:r>
          </w:p>
        </w:tc>
        <w:tc>
          <w:tcPr>
            <w:tcW w:w="679" w:type="pct"/>
            <w:tcBorders>
              <w:top w:val="nil"/>
              <w:left w:val="nil"/>
              <w:bottom w:val="nil"/>
              <w:right w:val="nil"/>
            </w:tcBorders>
          </w:tcPr>
          <w:p w14:paraId="59D74FC3"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-0.278</w:t>
            </w:r>
          </w:p>
        </w:tc>
        <w:tc>
          <w:tcPr>
            <w:tcW w:w="679" w:type="pct"/>
            <w:tcBorders>
              <w:top w:val="nil"/>
              <w:left w:val="nil"/>
              <w:bottom w:val="nil"/>
              <w:right w:val="nil"/>
            </w:tcBorders>
          </w:tcPr>
          <w:p w14:paraId="341BC30F"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0.237</w:t>
            </w:r>
          </w:p>
        </w:tc>
        <w:tc>
          <w:tcPr>
            <w:tcW w:w="679" w:type="pct"/>
            <w:tcBorders>
              <w:top w:val="nil"/>
              <w:left w:val="nil"/>
              <w:bottom w:val="nil"/>
              <w:right w:val="nil"/>
            </w:tcBorders>
          </w:tcPr>
          <w:p w14:paraId="2816DA69"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0.415</w:t>
            </w:r>
          </w:p>
        </w:tc>
        <w:tc>
          <w:tcPr>
            <w:tcW w:w="679" w:type="pct"/>
            <w:tcBorders>
              <w:top w:val="nil"/>
              <w:left w:val="nil"/>
              <w:bottom w:val="nil"/>
              <w:right w:val="nil"/>
            </w:tcBorders>
          </w:tcPr>
          <w:p w14:paraId="0FC5BE52"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-0.007</w:t>
            </w:r>
          </w:p>
        </w:tc>
        <w:tc>
          <w:tcPr>
            <w:tcW w:w="822" w:type="pct"/>
            <w:tcBorders>
              <w:top w:val="nil"/>
              <w:left w:val="nil"/>
              <w:bottom w:val="nil"/>
              <w:right w:val="nil"/>
            </w:tcBorders>
          </w:tcPr>
          <w:p w14:paraId="302310E7"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0.022</w:t>
            </w:r>
          </w:p>
        </w:tc>
      </w:tr>
      <w:tr w:rsidR="00CD4846" w:rsidRPr="00CD4846" w14:paraId="6F809164" w14:textId="77777777" w:rsidTr="00B82EB9">
        <w:tc>
          <w:tcPr>
            <w:tcW w:w="1461" w:type="pct"/>
            <w:tcBorders>
              <w:top w:val="nil"/>
              <w:left w:val="nil"/>
              <w:bottom w:val="nil"/>
              <w:right w:val="nil"/>
            </w:tcBorders>
          </w:tcPr>
          <w:p w14:paraId="2486995E" w14:textId="6E6210F6"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79" w:type="pct"/>
            <w:tcBorders>
              <w:top w:val="nil"/>
              <w:left w:val="nil"/>
              <w:bottom w:val="nil"/>
              <w:right w:val="nil"/>
            </w:tcBorders>
          </w:tcPr>
          <w:p w14:paraId="5AB670D5"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(0.202)</w:t>
            </w:r>
          </w:p>
        </w:tc>
        <w:tc>
          <w:tcPr>
            <w:tcW w:w="679" w:type="pct"/>
            <w:tcBorders>
              <w:top w:val="nil"/>
              <w:left w:val="nil"/>
              <w:bottom w:val="nil"/>
              <w:right w:val="nil"/>
            </w:tcBorders>
          </w:tcPr>
          <w:p w14:paraId="2413725F"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(0.283)</w:t>
            </w:r>
          </w:p>
        </w:tc>
        <w:tc>
          <w:tcPr>
            <w:tcW w:w="679" w:type="pct"/>
            <w:tcBorders>
              <w:top w:val="nil"/>
              <w:left w:val="nil"/>
              <w:bottom w:val="nil"/>
              <w:right w:val="nil"/>
            </w:tcBorders>
          </w:tcPr>
          <w:p w14:paraId="19177BEF"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(0.277)</w:t>
            </w:r>
          </w:p>
        </w:tc>
        <w:tc>
          <w:tcPr>
            <w:tcW w:w="679" w:type="pct"/>
            <w:tcBorders>
              <w:top w:val="nil"/>
              <w:left w:val="nil"/>
              <w:bottom w:val="nil"/>
              <w:right w:val="nil"/>
            </w:tcBorders>
          </w:tcPr>
          <w:p w14:paraId="34FA3600"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(0.028)</w:t>
            </w:r>
          </w:p>
        </w:tc>
        <w:tc>
          <w:tcPr>
            <w:tcW w:w="822" w:type="pct"/>
            <w:tcBorders>
              <w:top w:val="nil"/>
              <w:left w:val="nil"/>
              <w:bottom w:val="nil"/>
              <w:right w:val="nil"/>
            </w:tcBorders>
          </w:tcPr>
          <w:p w14:paraId="7DF65DFC"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(0.040)</w:t>
            </w:r>
          </w:p>
        </w:tc>
      </w:tr>
      <w:tr w:rsidR="00CD4846" w:rsidRPr="00CD4846" w14:paraId="3C31DD86" w14:textId="77777777" w:rsidTr="00B82EB9">
        <w:tc>
          <w:tcPr>
            <w:tcW w:w="1461" w:type="pct"/>
            <w:tcBorders>
              <w:top w:val="nil"/>
              <w:left w:val="nil"/>
              <w:bottom w:val="nil"/>
              <w:right w:val="nil"/>
            </w:tcBorders>
          </w:tcPr>
          <w:p w14:paraId="3256AB7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Attain. Status - SO2 (t-1)</w:t>
            </w:r>
          </w:p>
        </w:tc>
        <w:tc>
          <w:tcPr>
            <w:tcW w:w="679" w:type="pct"/>
            <w:tcBorders>
              <w:top w:val="nil"/>
              <w:left w:val="nil"/>
              <w:bottom w:val="nil"/>
              <w:right w:val="nil"/>
            </w:tcBorders>
          </w:tcPr>
          <w:p w14:paraId="41FD54CA"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-0.893</w:t>
            </w:r>
          </w:p>
        </w:tc>
        <w:tc>
          <w:tcPr>
            <w:tcW w:w="679" w:type="pct"/>
            <w:tcBorders>
              <w:top w:val="nil"/>
              <w:left w:val="nil"/>
              <w:bottom w:val="nil"/>
              <w:right w:val="nil"/>
            </w:tcBorders>
          </w:tcPr>
          <w:p w14:paraId="2EAAB1AF"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-1.242</w:t>
            </w:r>
          </w:p>
        </w:tc>
        <w:tc>
          <w:tcPr>
            <w:tcW w:w="679" w:type="pct"/>
            <w:tcBorders>
              <w:top w:val="nil"/>
              <w:left w:val="nil"/>
              <w:bottom w:val="nil"/>
              <w:right w:val="nil"/>
            </w:tcBorders>
          </w:tcPr>
          <w:p w14:paraId="656F5A6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0.206</w:t>
            </w:r>
          </w:p>
        </w:tc>
        <w:tc>
          <w:tcPr>
            <w:tcW w:w="679" w:type="pct"/>
            <w:tcBorders>
              <w:top w:val="nil"/>
              <w:left w:val="nil"/>
              <w:bottom w:val="nil"/>
              <w:right w:val="nil"/>
            </w:tcBorders>
          </w:tcPr>
          <w:p w14:paraId="7BEC9E86"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-0.245</w:t>
            </w:r>
          </w:p>
        </w:tc>
        <w:tc>
          <w:tcPr>
            <w:tcW w:w="822" w:type="pct"/>
            <w:tcBorders>
              <w:top w:val="nil"/>
              <w:left w:val="nil"/>
              <w:bottom w:val="nil"/>
              <w:right w:val="nil"/>
            </w:tcBorders>
          </w:tcPr>
          <w:p w14:paraId="3F8A6AD9"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-0.233</w:t>
            </w:r>
          </w:p>
        </w:tc>
      </w:tr>
      <w:tr w:rsidR="00CD4846" w:rsidRPr="00CD4846" w14:paraId="3FCA50BF" w14:textId="77777777" w:rsidTr="00B82EB9">
        <w:tc>
          <w:tcPr>
            <w:tcW w:w="1461" w:type="pct"/>
            <w:tcBorders>
              <w:top w:val="nil"/>
              <w:left w:val="nil"/>
              <w:bottom w:val="nil"/>
              <w:right w:val="nil"/>
            </w:tcBorders>
          </w:tcPr>
          <w:p w14:paraId="600C3D96" w14:textId="43319CA3"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79" w:type="pct"/>
            <w:tcBorders>
              <w:top w:val="nil"/>
              <w:left w:val="nil"/>
              <w:bottom w:val="nil"/>
              <w:right w:val="nil"/>
            </w:tcBorders>
          </w:tcPr>
          <w:p w14:paraId="50A39083"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(0.907)</w:t>
            </w:r>
          </w:p>
        </w:tc>
        <w:tc>
          <w:tcPr>
            <w:tcW w:w="679" w:type="pct"/>
            <w:tcBorders>
              <w:top w:val="nil"/>
              <w:left w:val="nil"/>
              <w:bottom w:val="nil"/>
              <w:right w:val="nil"/>
            </w:tcBorders>
          </w:tcPr>
          <w:p w14:paraId="2DEBD672"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(0.853)</w:t>
            </w:r>
          </w:p>
        </w:tc>
        <w:tc>
          <w:tcPr>
            <w:tcW w:w="679" w:type="pct"/>
            <w:tcBorders>
              <w:top w:val="nil"/>
              <w:left w:val="nil"/>
              <w:bottom w:val="nil"/>
              <w:right w:val="nil"/>
            </w:tcBorders>
          </w:tcPr>
          <w:p w14:paraId="4B8E999F"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(0.882)</w:t>
            </w:r>
          </w:p>
        </w:tc>
        <w:tc>
          <w:tcPr>
            <w:tcW w:w="679" w:type="pct"/>
            <w:tcBorders>
              <w:top w:val="nil"/>
              <w:left w:val="nil"/>
              <w:bottom w:val="nil"/>
              <w:right w:val="nil"/>
            </w:tcBorders>
          </w:tcPr>
          <w:p w14:paraId="38A84A2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(0.157)</w:t>
            </w:r>
          </w:p>
        </w:tc>
        <w:tc>
          <w:tcPr>
            <w:tcW w:w="822" w:type="pct"/>
            <w:tcBorders>
              <w:top w:val="nil"/>
              <w:left w:val="nil"/>
              <w:bottom w:val="nil"/>
              <w:right w:val="nil"/>
            </w:tcBorders>
          </w:tcPr>
          <w:p w14:paraId="2B32328F"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(0.178)</w:t>
            </w:r>
          </w:p>
        </w:tc>
      </w:tr>
      <w:tr w:rsidR="00CD4846" w:rsidRPr="00CD4846" w14:paraId="7FA7F5E3" w14:textId="77777777" w:rsidTr="00B82EB9">
        <w:tc>
          <w:tcPr>
            <w:tcW w:w="1461" w:type="pct"/>
            <w:tcBorders>
              <w:top w:val="nil"/>
              <w:left w:val="nil"/>
              <w:bottom w:val="nil"/>
              <w:right w:val="nil"/>
            </w:tcBorders>
          </w:tcPr>
          <w:p w14:paraId="4F887D16" w14:textId="6152E903"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Density Employment</w:t>
            </w:r>
          </w:p>
        </w:tc>
        <w:tc>
          <w:tcPr>
            <w:tcW w:w="679" w:type="pct"/>
            <w:tcBorders>
              <w:top w:val="nil"/>
              <w:left w:val="nil"/>
              <w:bottom w:val="nil"/>
              <w:right w:val="nil"/>
            </w:tcBorders>
          </w:tcPr>
          <w:p w14:paraId="42339CB1"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1.047</w:t>
            </w:r>
          </w:p>
        </w:tc>
        <w:tc>
          <w:tcPr>
            <w:tcW w:w="679" w:type="pct"/>
            <w:tcBorders>
              <w:top w:val="nil"/>
              <w:left w:val="nil"/>
              <w:bottom w:val="nil"/>
              <w:right w:val="nil"/>
            </w:tcBorders>
          </w:tcPr>
          <w:p w14:paraId="510F1B20"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0.718**</w:t>
            </w:r>
          </w:p>
        </w:tc>
        <w:tc>
          <w:tcPr>
            <w:tcW w:w="679" w:type="pct"/>
            <w:tcBorders>
              <w:top w:val="nil"/>
              <w:left w:val="nil"/>
              <w:bottom w:val="nil"/>
              <w:right w:val="nil"/>
            </w:tcBorders>
          </w:tcPr>
          <w:p w14:paraId="4B9078E2"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-1.945</w:t>
            </w:r>
          </w:p>
        </w:tc>
        <w:tc>
          <w:tcPr>
            <w:tcW w:w="679" w:type="pct"/>
            <w:tcBorders>
              <w:top w:val="nil"/>
              <w:left w:val="nil"/>
              <w:bottom w:val="nil"/>
              <w:right w:val="nil"/>
            </w:tcBorders>
          </w:tcPr>
          <w:p w14:paraId="007A6347"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-0.157***</w:t>
            </w:r>
          </w:p>
        </w:tc>
        <w:tc>
          <w:tcPr>
            <w:tcW w:w="822" w:type="pct"/>
            <w:tcBorders>
              <w:top w:val="nil"/>
              <w:left w:val="nil"/>
              <w:bottom w:val="nil"/>
              <w:right w:val="nil"/>
            </w:tcBorders>
          </w:tcPr>
          <w:p w14:paraId="723F40D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0.015</w:t>
            </w:r>
          </w:p>
        </w:tc>
      </w:tr>
      <w:tr w:rsidR="00CD4846" w:rsidRPr="00CD4846" w14:paraId="07E422DC" w14:textId="77777777" w:rsidTr="00B82EB9">
        <w:tc>
          <w:tcPr>
            <w:tcW w:w="1461" w:type="pct"/>
            <w:tcBorders>
              <w:top w:val="nil"/>
              <w:left w:val="nil"/>
              <w:bottom w:val="nil"/>
              <w:right w:val="nil"/>
            </w:tcBorders>
          </w:tcPr>
          <w:p w14:paraId="6990F33C" w14:textId="44C20316"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79" w:type="pct"/>
            <w:tcBorders>
              <w:top w:val="nil"/>
              <w:left w:val="nil"/>
              <w:bottom w:val="nil"/>
              <w:right w:val="nil"/>
            </w:tcBorders>
          </w:tcPr>
          <w:p w14:paraId="78D022AE"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(1.014)</w:t>
            </w:r>
          </w:p>
        </w:tc>
        <w:tc>
          <w:tcPr>
            <w:tcW w:w="679" w:type="pct"/>
            <w:tcBorders>
              <w:top w:val="nil"/>
              <w:left w:val="nil"/>
              <w:bottom w:val="nil"/>
              <w:right w:val="nil"/>
            </w:tcBorders>
          </w:tcPr>
          <w:p w14:paraId="63CF5DE7"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(0.313)</w:t>
            </w:r>
          </w:p>
        </w:tc>
        <w:tc>
          <w:tcPr>
            <w:tcW w:w="679" w:type="pct"/>
            <w:tcBorders>
              <w:top w:val="nil"/>
              <w:left w:val="nil"/>
              <w:bottom w:val="nil"/>
              <w:right w:val="nil"/>
            </w:tcBorders>
          </w:tcPr>
          <w:p w14:paraId="255247F4"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(1.401)</w:t>
            </w:r>
          </w:p>
        </w:tc>
        <w:tc>
          <w:tcPr>
            <w:tcW w:w="679" w:type="pct"/>
            <w:tcBorders>
              <w:top w:val="nil"/>
              <w:left w:val="nil"/>
              <w:bottom w:val="nil"/>
              <w:right w:val="nil"/>
            </w:tcBorders>
          </w:tcPr>
          <w:p w14:paraId="609F17B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(0.044)</w:t>
            </w:r>
          </w:p>
        </w:tc>
        <w:tc>
          <w:tcPr>
            <w:tcW w:w="822" w:type="pct"/>
            <w:tcBorders>
              <w:top w:val="nil"/>
              <w:left w:val="nil"/>
              <w:bottom w:val="nil"/>
              <w:right w:val="nil"/>
            </w:tcBorders>
          </w:tcPr>
          <w:p w14:paraId="525E54B2"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(0.069)</w:t>
            </w:r>
          </w:p>
        </w:tc>
      </w:tr>
      <w:tr w:rsidR="00CD4846" w:rsidRPr="00CD4846" w14:paraId="13496126" w14:textId="77777777" w:rsidTr="00B82EB9">
        <w:tc>
          <w:tcPr>
            <w:tcW w:w="1461" w:type="pct"/>
            <w:tcBorders>
              <w:top w:val="nil"/>
              <w:left w:val="nil"/>
              <w:bottom w:val="nil"/>
              <w:right w:val="nil"/>
            </w:tcBorders>
          </w:tcPr>
          <w:p w14:paraId="5619FE81"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Percent Black (100s)</w:t>
            </w:r>
          </w:p>
        </w:tc>
        <w:tc>
          <w:tcPr>
            <w:tcW w:w="679" w:type="pct"/>
            <w:tcBorders>
              <w:top w:val="nil"/>
              <w:left w:val="nil"/>
              <w:bottom w:val="nil"/>
              <w:right w:val="nil"/>
            </w:tcBorders>
          </w:tcPr>
          <w:p w14:paraId="3E4577A0"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-11.387</w:t>
            </w:r>
          </w:p>
        </w:tc>
        <w:tc>
          <w:tcPr>
            <w:tcW w:w="679" w:type="pct"/>
            <w:tcBorders>
              <w:top w:val="nil"/>
              <w:left w:val="nil"/>
              <w:bottom w:val="nil"/>
              <w:right w:val="nil"/>
            </w:tcBorders>
          </w:tcPr>
          <w:p w14:paraId="0A0B0A06"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-14.691</w:t>
            </w:r>
          </w:p>
        </w:tc>
        <w:tc>
          <w:tcPr>
            <w:tcW w:w="679" w:type="pct"/>
            <w:tcBorders>
              <w:top w:val="nil"/>
              <w:left w:val="nil"/>
              <w:bottom w:val="nil"/>
              <w:right w:val="nil"/>
            </w:tcBorders>
          </w:tcPr>
          <w:p w14:paraId="648C33F0"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-8.204</w:t>
            </w:r>
          </w:p>
        </w:tc>
        <w:tc>
          <w:tcPr>
            <w:tcW w:w="679" w:type="pct"/>
            <w:tcBorders>
              <w:top w:val="nil"/>
              <w:left w:val="nil"/>
              <w:bottom w:val="nil"/>
              <w:right w:val="nil"/>
            </w:tcBorders>
          </w:tcPr>
          <w:p w14:paraId="71B15B05"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0.153</w:t>
            </w:r>
          </w:p>
        </w:tc>
        <w:tc>
          <w:tcPr>
            <w:tcW w:w="822" w:type="pct"/>
            <w:tcBorders>
              <w:top w:val="nil"/>
              <w:left w:val="nil"/>
              <w:bottom w:val="nil"/>
              <w:right w:val="nil"/>
            </w:tcBorders>
          </w:tcPr>
          <w:p w14:paraId="3BFDD10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-0.308</w:t>
            </w:r>
          </w:p>
        </w:tc>
      </w:tr>
      <w:tr w:rsidR="00CD4846" w:rsidRPr="00CD4846" w14:paraId="039D93DB" w14:textId="77777777" w:rsidTr="00B82EB9">
        <w:tc>
          <w:tcPr>
            <w:tcW w:w="1461" w:type="pct"/>
            <w:tcBorders>
              <w:top w:val="nil"/>
              <w:left w:val="nil"/>
              <w:bottom w:val="nil"/>
              <w:right w:val="nil"/>
            </w:tcBorders>
          </w:tcPr>
          <w:p w14:paraId="0120B398" w14:textId="61FD4B84"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79" w:type="pct"/>
            <w:tcBorders>
              <w:top w:val="nil"/>
              <w:left w:val="nil"/>
              <w:bottom w:val="nil"/>
              <w:right w:val="nil"/>
            </w:tcBorders>
          </w:tcPr>
          <w:p w14:paraId="5E9677F4"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(10.256)</w:t>
            </w:r>
          </w:p>
        </w:tc>
        <w:tc>
          <w:tcPr>
            <w:tcW w:w="679" w:type="pct"/>
            <w:tcBorders>
              <w:top w:val="nil"/>
              <w:left w:val="nil"/>
              <w:bottom w:val="nil"/>
              <w:right w:val="nil"/>
            </w:tcBorders>
          </w:tcPr>
          <w:p w14:paraId="4D84AC26"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(11.415)</w:t>
            </w:r>
          </w:p>
        </w:tc>
        <w:tc>
          <w:tcPr>
            <w:tcW w:w="679" w:type="pct"/>
            <w:tcBorders>
              <w:top w:val="nil"/>
              <w:left w:val="nil"/>
              <w:bottom w:val="nil"/>
              <w:right w:val="nil"/>
            </w:tcBorders>
          </w:tcPr>
          <w:p w14:paraId="75CD114E"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(15.087)</w:t>
            </w:r>
          </w:p>
        </w:tc>
        <w:tc>
          <w:tcPr>
            <w:tcW w:w="679" w:type="pct"/>
            <w:tcBorders>
              <w:top w:val="nil"/>
              <w:left w:val="nil"/>
              <w:bottom w:val="nil"/>
              <w:right w:val="nil"/>
            </w:tcBorders>
          </w:tcPr>
          <w:p w14:paraId="571DE5EE"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(1.383)</w:t>
            </w:r>
          </w:p>
        </w:tc>
        <w:tc>
          <w:tcPr>
            <w:tcW w:w="822" w:type="pct"/>
            <w:tcBorders>
              <w:top w:val="nil"/>
              <w:left w:val="nil"/>
              <w:bottom w:val="nil"/>
              <w:right w:val="nil"/>
            </w:tcBorders>
          </w:tcPr>
          <w:p w14:paraId="310ABA65"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(1.989)</w:t>
            </w:r>
          </w:p>
        </w:tc>
      </w:tr>
      <w:tr w:rsidR="00CD4846" w:rsidRPr="00CD4846" w14:paraId="2231CC1B" w14:textId="77777777" w:rsidTr="00B82EB9">
        <w:tc>
          <w:tcPr>
            <w:tcW w:w="1461" w:type="pct"/>
            <w:tcBorders>
              <w:top w:val="nil"/>
              <w:left w:val="nil"/>
              <w:bottom w:val="nil"/>
              <w:right w:val="nil"/>
            </w:tcBorders>
          </w:tcPr>
          <w:p w14:paraId="4F3DDFE5" w14:textId="4D46EFB4"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Population count (1ms)</w:t>
            </w:r>
          </w:p>
        </w:tc>
        <w:tc>
          <w:tcPr>
            <w:tcW w:w="679" w:type="pct"/>
            <w:tcBorders>
              <w:top w:val="nil"/>
              <w:left w:val="nil"/>
              <w:bottom w:val="nil"/>
              <w:right w:val="nil"/>
            </w:tcBorders>
          </w:tcPr>
          <w:p w14:paraId="13C33BE5"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0.290</w:t>
            </w:r>
          </w:p>
        </w:tc>
        <w:tc>
          <w:tcPr>
            <w:tcW w:w="679" w:type="pct"/>
            <w:tcBorders>
              <w:top w:val="nil"/>
              <w:left w:val="nil"/>
              <w:bottom w:val="nil"/>
              <w:right w:val="nil"/>
            </w:tcBorders>
          </w:tcPr>
          <w:p w14:paraId="43DD82A7"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0.136</w:t>
            </w:r>
          </w:p>
        </w:tc>
        <w:tc>
          <w:tcPr>
            <w:tcW w:w="679" w:type="pct"/>
            <w:tcBorders>
              <w:top w:val="nil"/>
              <w:left w:val="nil"/>
              <w:bottom w:val="nil"/>
              <w:right w:val="nil"/>
            </w:tcBorders>
          </w:tcPr>
          <w:p w14:paraId="23EA1EEE"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1.765</w:t>
            </w:r>
          </w:p>
        </w:tc>
        <w:tc>
          <w:tcPr>
            <w:tcW w:w="679" w:type="pct"/>
            <w:tcBorders>
              <w:top w:val="nil"/>
              <w:left w:val="nil"/>
              <w:bottom w:val="nil"/>
              <w:right w:val="nil"/>
            </w:tcBorders>
          </w:tcPr>
          <w:p w14:paraId="67B15744"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1.229***</w:t>
            </w:r>
          </w:p>
        </w:tc>
        <w:tc>
          <w:tcPr>
            <w:tcW w:w="822" w:type="pct"/>
            <w:tcBorders>
              <w:top w:val="nil"/>
              <w:left w:val="nil"/>
              <w:bottom w:val="nil"/>
              <w:right w:val="nil"/>
            </w:tcBorders>
          </w:tcPr>
          <w:p w14:paraId="196DBE7F"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0.701**</w:t>
            </w:r>
          </w:p>
        </w:tc>
      </w:tr>
      <w:tr w:rsidR="00CD4846" w:rsidRPr="00CD4846" w14:paraId="0977EAE4" w14:textId="77777777" w:rsidTr="00B82EB9">
        <w:tc>
          <w:tcPr>
            <w:tcW w:w="1461" w:type="pct"/>
            <w:tcBorders>
              <w:top w:val="nil"/>
              <w:left w:val="nil"/>
              <w:bottom w:val="nil"/>
              <w:right w:val="nil"/>
            </w:tcBorders>
          </w:tcPr>
          <w:p w14:paraId="6B6FE399" w14:textId="3566A3AF"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79" w:type="pct"/>
            <w:tcBorders>
              <w:top w:val="nil"/>
              <w:left w:val="nil"/>
              <w:bottom w:val="nil"/>
              <w:right w:val="nil"/>
            </w:tcBorders>
          </w:tcPr>
          <w:p w14:paraId="3E7B62D6"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(1.777)</w:t>
            </w:r>
          </w:p>
        </w:tc>
        <w:tc>
          <w:tcPr>
            <w:tcW w:w="679" w:type="pct"/>
            <w:tcBorders>
              <w:top w:val="nil"/>
              <w:left w:val="nil"/>
              <w:bottom w:val="nil"/>
              <w:right w:val="nil"/>
            </w:tcBorders>
          </w:tcPr>
          <w:p w14:paraId="1E8B8822"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(0.795)</w:t>
            </w:r>
          </w:p>
        </w:tc>
        <w:tc>
          <w:tcPr>
            <w:tcW w:w="679" w:type="pct"/>
            <w:tcBorders>
              <w:top w:val="nil"/>
              <w:left w:val="nil"/>
              <w:bottom w:val="nil"/>
              <w:right w:val="nil"/>
            </w:tcBorders>
          </w:tcPr>
          <w:p w14:paraId="69F23267"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(1.735)</w:t>
            </w:r>
          </w:p>
        </w:tc>
        <w:tc>
          <w:tcPr>
            <w:tcW w:w="679" w:type="pct"/>
            <w:tcBorders>
              <w:top w:val="nil"/>
              <w:left w:val="nil"/>
              <w:bottom w:val="nil"/>
              <w:right w:val="nil"/>
            </w:tcBorders>
          </w:tcPr>
          <w:p w14:paraId="0B848026"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(0.399)</w:t>
            </w:r>
          </w:p>
        </w:tc>
        <w:tc>
          <w:tcPr>
            <w:tcW w:w="822" w:type="pct"/>
            <w:tcBorders>
              <w:top w:val="nil"/>
              <w:left w:val="nil"/>
              <w:bottom w:val="nil"/>
              <w:right w:val="nil"/>
            </w:tcBorders>
          </w:tcPr>
          <w:p w14:paraId="7534E667"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(0.302)</w:t>
            </w:r>
          </w:p>
        </w:tc>
      </w:tr>
      <w:tr w:rsidR="00CD4846" w:rsidRPr="00CD4846" w14:paraId="0DE4A7ED" w14:textId="77777777" w:rsidTr="00B82EB9">
        <w:tc>
          <w:tcPr>
            <w:tcW w:w="1461" w:type="pct"/>
            <w:tcBorders>
              <w:top w:val="nil"/>
              <w:left w:val="nil"/>
              <w:bottom w:val="nil"/>
              <w:right w:val="nil"/>
            </w:tcBorders>
          </w:tcPr>
          <w:p w14:paraId="587AEED7" w14:textId="3DA23B81"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Unemployment rate (100s)</w:t>
            </w:r>
          </w:p>
        </w:tc>
        <w:tc>
          <w:tcPr>
            <w:tcW w:w="679" w:type="pct"/>
            <w:tcBorders>
              <w:top w:val="nil"/>
              <w:left w:val="nil"/>
              <w:bottom w:val="nil"/>
              <w:right w:val="nil"/>
            </w:tcBorders>
          </w:tcPr>
          <w:p w14:paraId="7F2988EA"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4.687</w:t>
            </w:r>
          </w:p>
        </w:tc>
        <w:tc>
          <w:tcPr>
            <w:tcW w:w="679" w:type="pct"/>
            <w:tcBorders>
              <w:top w:val="nil"/>
              <w:left w:val="nil"/>
              <w:bottom w:val="nil"/>
              <w:right w:val="nil"/>
            </w:tcBorders>
          </w:tcPr>
          <w:p w14:paraId="77767EE7"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3.430</w:t>
            </w:r>
          </w:p>
        </w:tc>
        <w:tc>
          <w:tcPr>
            <w:tcW w:w="679" w:type="pct"/>
            <w:tcBorders>
              <w:top w:val="nil"/>
              <w:left w:val="nil"/>
              <w:bottom w:val="nil"/>
              <w:right w:val="nil"/>
            </w:tcBorders>
          </w:tcPr>
          <w:p w14:paraId="17EF548A"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15.524</w:t>
            </w:r>
          </w:p>
        </w:tc>
        <w:tc>
          <w:tcPr>
            <w:tcW w:w="679" w:type="pct"/>
            <w:tcBorders>
              <w:top w:val="nil"/>
              <w:left w:val="nil"/>
              <w:bottom w:val="nil"/>
              <w:right w:val="nil"/>
            </w:tcBorders>
          </w:tcPr>
          <w:p w14:paraId="538AE5E8"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1.732</w:t>
            </w:r>
          </w:p>
        </w:tc>
        <w:tc>
          <w:tcPr>
            <w:tcW w:w="822" w:type="pct"/>
            <w:tcBorders>
              <w:top w:val="nil"/>
              <w:left w:val="nil"/>
              <w:bottom w:val="nil"/>
              <w:right w:val="nil"/>
            </w:tcBorders>
          </w:tcPr>
          <w:p w14:paraId="12A2E2D4"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2.346</w:t>
            </w:r>
          </w:p>
        </w:tc>
      </w:tr>
      <w:tr w:rsidR="00CD4846" w:rsidRPr="00CD4846" w14:paraId="59735C73" w14:textId="77777777" w:rsidTr="00B82EB9">
        <w:tc>
          <w:tcPr>
            <w:tcW w:w="1461" w:type="pct"/>
            <w:tcBorders>
              <w:top w:val="nil"/>
              <w:left w:val="nil"/>
              <w:bottom w:val="nil"/>
              <w:right w:val="nil"/>
            </w:tcBorders>
          </w:tcPr>
          <w:p w14:paraId="180AD876" w14:textId="13D18FEB"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79" w:type="pct"/>
            <w:tcBorders>
              <w:top w:val="nil"/>
              <w:left w:val="nil"/>
              <w:bottom w:val="nil"/>
              <w:right w:val="nil"/>
            </w:tcBorders>
          </w:tcPr>
          <w:p w14:paraId="731EE488"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(6.058)</w:t>
            </w:r>
          </w:p>
        </w:tc>
        <w:tc>
          <w:tcPr>
            <w:tcW w:w="679" w:type="pct"/>
            <w:tcBorders>
              <w:top w:val="nil"/>
              <w:left w:val="nil"/>
              <w:bottom w:val="nil"/>
              <w:right w:val="nil"/>
            </w:tcBorders>
          </w:tcPr>
          <w:p w14:paraId="0332220E"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(9.086)</w:t>
            </w:r>
          </w:p>
        </w:tc>
        <w:tc>
          <w:tcPr>
            <w:tcW w:w="679" w:type="pct"/>
            <w:tcBorders>
              <w:top w:val="nil"/>
              <w:left w:val="nil"/>
              <w:bottom w:val="nil"/>
              <w:right w:val="nil"/>
            </w:tcBorders>
          </w:tcPr>
          <w:p w14:paraId="35513540"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(11.502)</w:t>
            </w:r>
          </w:p>
        </w:tc>
        <w:tc>
          <w:tcPr>
            <w:tcW w:w="679" w:type="pct"/>
            <w:tcBorders>
              <w:top w:val="nil"/>
              <w:left w:val="nil"/>
              <w:bottom w:val="nil"/>
              <w:right w:val="nil"/>
            </w:tcBorders>
          </w:tcPr>
          <w:p w14:paraId="07749AA5"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(1.411)</w:t>
            </w:r>
          </w:p>
        </w:tc>
        <w:tc>
          <w:tcPr>
            <w:tcW w:w="822" w:type="pct"/>
            <w:tcBorders>
              <w:top w:val="nil"/>
              <w:left w:val="nil"/>
              <w:bottom w:val="nil"/>
              <w:right w:val="nil"/>
            </w:tcBorders>
          </w:tcPr>
          <w:p w14:paraId="1F5D4D83"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(1.827)</w:t>
            </w:r>
          </w:p>
        </w:tc>
      </w:tr>
      <w:tr w:rsidR="00CD4846" w:rsidRPr="00CD4846" w14:paraId="52BE8509" w14:textId="77777777" w:rsidTr="00B82EB9">
        <w:tc>
          <w:tcPr>
            <w:tcW w:w="1461" w:type="pct"/>
            <w:tcBorders>
              <w:top w:val="nil"/>
              <w:left w:val="nil"/>
              <w:bottom w:val="nil"/>
              <w:right w:val="nil"/>
            </w:tcBorders>
          </w:tcPr>
          <w:p w14:paraId="39AE9B05" w14:textId="698AEBDB"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Sales Volume (t-1)</w:t>
            </w:r>
          </w:p>
        </w:tc>
        <w:tc>
          <w:tcPr>
            <w:tcW w:w="679" w:type="pct"/>
            <w:tcBorders>
              <w:top w:val="nil"/>
              <w:left w:val="nil"/>
              <w:bottom w:val="nil"/>
              <w:right w:val="nil"/>
            </w:tcBorders>
          </w:tcPr>
          <w:p w14:paraId="7A7DD03A"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-0.014</w:t>
            </w:r>
          </w:p>
        </w:tc>
        <w:tc>
          <w:tcPr>
            <w:tcW w:w="679" w:type="pct"/>
            <w:tcBorders>
              <w:top w:val="nil"/>
              <w:left w:val="nil"/>
              <w:bottom w:val="nil"/>
              <w:right w:val="nil"/>
            </w:tcBorders>
          </w:tcPr>
          <w:p w14:paraId="47AA30DD"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-17.718**</w:t>
            </w:r>
          </w:p>
        </w:tc>
        <w:tc>
          <w:tcPr>
            <w:tcW w:w="679" w:type="pct"/>
            <w:tcBorders>
              <w:top w:val="nil"/>
              <w:left w:val="nil"/>
              <w:bottom w:val="nil"/>
              <w:right w:val="nil"/>
            </w:tcBorders>
          </w:tcPr>
          <w:p w14:paraId="6721686C"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6.735</w:t>
            </w:r>
          </w:p>
        </w:tc>
        <w:tc>
          <w:tcPr>
            <w:tcW w:w="679" w:type="pct"/>
            <w:tcBorders>
              <w:top w:val="nil"/>
              <w:left w:val="nil"/>
              <w:bottom w:val="nil"/>
              <w:right w:val="nil"/>
            </w:tcBorders>
          </w:tcPr>
          <w:p w14:paraId="07AFE4C9"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15.928</w:t>
            </w:r>
          </w:p>
        </w:tc>
        <w:tc>
          <w:tcPr>
            <w:tcW w:w="822" w:type="pct"/>
            <w:tcBorders>
              <w:top w:val="nil"/>
              <w:left w:val="nil"/>
              <w:bottom w:val="nil"/>
              <w:right w:val="nil"/>
            </w:tcBorders>
          </w:tcPr>
          <w:p w14:paraId="01E89591"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0.621</w:t>
            </w:r>
          </w:p>
        </w:tc>
      </w:tr>
      <w:tr w:rsidR="00CD4846" w:rsidRPr="00CD4846" w14:paraId="083DD7A3" w14:textId="77777777" w:rsidTr="00B82EB9">
        <w:tc>
          <w:tcPr>
            <w:tcW w:w="1461" w:type="pct"/>
            <w:tcBorders>
              <w:top w:val="nil"/>
              <w:left w:val="nil"/>
              <w:bottom w:val="nil"/>
              <w:right w:val="nil"/>
            </w:tcBorders>
          </w:tcPr>
          <w:p w14:paraId="72028E4C" w14:textId="11872753"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79" w:type="pct"/>
            <w:tcBorders>
              <w:top w:val="nil"/>
              <w:left w:val="nil"/>
              <w:bottom w:val="nil"/>
              <w:right w:val="nil"/>
            </w:tcBorders>
          </w:tcPr>
          <w:p w14:paraId="6719FD42"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(20.440)</w:t>
            </w:r>
          </w:p>
        </w:tc>
        <w:tc>
          <w:tcPr>
            <w:tcW w:w="679" w:type="pct"/>
            <w:tcBorders>
              <w:top w:val="nil"/>
              <w:left w:val="nil"/>
              <w:bottom w:val="nil"/>
              <w:right w:val="nil"/>
            </w:tcBorders>
          </w:tcPr>
          <w:p w14:paraId="6B15AC5C"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(7.582)</w:t>
            </w:r>
          </w:p>
        </w:tc>
        <w:tc>
          <w:tcPr>
            <w:tcW w:w="679" w:type="pct"/>
            <w:tcBorders>
              <w:top w:val="nil"/>
              <w:left w:val="nil"/>
              <w:bottom w:val="nil"/>
              <w:right w:val="nil"/>
            </w:tcBorders>
          </w:tcPr>
          <w:p w14:paraId="39822807"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(4.888)</w:t>
            </w:r>
          </w:p>
        </w:tc>
        <w:tc>
          <w:tcPr>
            <w:tcW w:w="679" w:type="pct"/>
            <w:tcBorders>
              <w:top w:val="nil"/>
              <w:left w:val="nil"/>
              <w:bottom w:val="nil"/>
              <w:right w:val="nil"/>
            </w:tcBorders>
          </w:tcPr>
          <w:p w14:paraId="51466FE1"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(16.489)</w:t>
            </w:r>
          </w:p>
        </w:tc>
        <w:tc>
          <w:tcPr>
            <w:tcW w:w="822" w:type="pct"/>
            <w:tcBorders>
              <w:top w:val="nil"/>
              <w:left w:val="nil"/>
              <w:bottom w:val="nil"/>
              <w:right w:val="nil"/>
            </w:tcBorders>
          </w:tcPr>
          <w:p w14:paraId="163EF4B1"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(0.784)</w:t>
            </w:r>
          </w:p>
        </w:tc>
      </w:tr>
      <w:tr w:rsidR="00CD4846" w:rsidRPr="00CD4846" w14:paraId="145F6079" w14:textId="77777777" w:rsidTr="00B82EB9">
        <w:tc>
          <w:tcPr>
            <w:tcW w:w="1461" w:type="pct"/>
            <w:tcBorders>
              <w:top w:val="nil"/>
              <w:left w:val="nil"/>
              <w:bottom w:val="nil"/>
              <w:right w:val="nil"/>
            </w:tcBorders>
          </w:tcPr>
          <w:p w14:paraId="47863792" w14:textId="08FC4ACF"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Prior Births (1ks)</w:t>
            </w:r>
          </w:p>
        </w:tc>
        <w:tc>
          <w:tcPr>
            <w:tcW w:w="679" w:type="pct"/>
            <w:tcBorders>
              <w:top w:val="nil"/>
              <w:left w:val="nil"/>
              <w:bottom w:val="nil"/>
              <w:right w:val="nil"/>
            </w:tcBorders>
          </w:tcPr>
          <w:p w14:paraId="030EAE17"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-1.093</w:t>
            </w:r>
          </w:p>
        </w:tc>
        <w:tc>
          <w:tcPr>
            <w:tcW w:w="679" w:type="pct"/>
            <w:tcBorders>
              <w:top w:val="nil"/>
              <w:left w:val="nil"/>
              <w:bottom w:val="nil"/>
              <w:right w:val="nil"/>
            </w:tcBorders>
          </w:tcPr>
          <w:p w14:paraId="653957DC"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1.213*</w:t>
            </w:r>
          </w:p>
        </w:tc>
        <w:tc>
          <w:tcPr>
            <w:tcW w:w="679" w:type="pct"/>
            <w:tcBorders>
              <w:top w:val="nil"/>
              <w:left w:val="nil"/>
              <w:bottom w:val="nil"/>
              <w:right w:val="nil"/>
            </w:tcBorders>
          </w:tcPr>
          <w:p w14:paraId="63EC72E8"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36.230**</w:t>
            </w:r>
          </w:p>
        </w:tc>
        <w:tc>
          <w:tcPr>
            <w:tcW w:w="679" w:type="pct"/>
            <w:tcBorders>
              <w:top w:val="nil"/>
              <w:left w:val="nil"/>
              <w:bottom w:val="nil"/>
              <w:right w:val="nil"/>
            </w:tcBorders>
          </w:tcPr>
          <w:p w14:paraId="010112EA"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0.015</w:t>
            </w:r>
          </w:p>
        </w:tc>
        <w:tc>
          <w:tcPr>
            <w:tcW w:w="822" w:type="pct"/>
            <w:tcBorders>
              <w:top w:val="nil"/>
              <w:left w:val="nil"/>
              <w:bottom w:val="nil"/>
              <w:right w:val="nil"/>
            </w:tcBorders>
          </w:tcPr>
          <w:p w14:paraId="213F4C50"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-0.129</w:t>
            </w:r>
          </w:p>
        </w:tc>
      </w:tr>
      <w:tr w:rsidR="00CD4846" w:rsidRPr="00CD4846" w14:paraId="4FC3E4BE" w14:textId="77777777" w:rsidTr="00B82EB9">
        <w:tc>
          <w:tcPr>
            <w:tcW w:w="1461" w:type="pct"/>
            <w:tcBorders>
              <w:top w:val="nil"/>
              <w:left w:val="nil"/>
              <w:bottom w:val="nil"/>
              <w:right w:val="nil"/>
            </w:tcBorders>
          </w:tcPr>
          <w:p w14:paraId="2A04C4E8" w14:textId="51CEAEC1"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79" w:type="pct"/>
            <w:tcBorders>
              <w:top w:val="nil"/>
              <w:left w:val="nil"/>
              <w:bottom w:val="nil"/>
              <w:right w:val="nil"/>
            </w:tcBorders>
          </w:tcPr>
          <w:p w14:paraId="1402CA4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(4.483)</w:t>
            </w:r>
          </w:p>
        </w:tc>
        <w:tc>
          <w:tcPr>
            <w:tcW w:w="679" w:type="pct"/>
            <w:tcBorders>
              <w:top w:val="nil"/>
              <w:left w:val="nil"/>
              <w:bottom w:val="nil"/>
              <w:right w:val="nil"/>
            </w:tcBorders>
          </w:tcPr>
          <w:p w14:paraId="4A175E73"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(0.721)</w:t>
            </w:r>
          </w:p>
        </w:tc>
        <w:tc>
          <w:tcPr>
            <w:tcW w:w="679" w:type="pct"/>
            <w:tcBorders>
              <w:top w:val="nil"/>
              <w:left w:val="nil"/>
              <w:bottom w:val="nil"/>
              <w:right w:val="nil"/>
            </w:tcBorders>
          </w:tcPr>
          <w:p w14:paraId="7D8F30A3"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(15.503)</w:t>
            </w:r>
          </w:p>
        </w:tc>
        <w:tc>
          <w:tcPr>
            <w:tcW w:w="679" w:type="pct"/>
            <w:tcBorders>
              <w:top w:val="nil"/>
              <w:left w:val="nil"/>
              <w:bottom w:val="nil"/>
              <w:right w:val="nil"/>
            </w:tcBorders>
          </w:tcPr>
          <w:p w14:paraId="7949D10D"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(0.034)</w:t>
            </w:r>
          </w:p>
        </w:tc>
        <w:tc>
          <w:tcPr>
            <w:tcW w:w="822" w:type="pct"/>
            <w:tcBorders>
              <w:top w:val="nil"/>
              <w:left w:val="nil"/>
              <w:bottom w:val="nil"/>
              <w:right w:val="nil"/>
            </w:tcBorders>
          </w:tcPr>
          <w:p w14:paraId="1FE5D909"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(0.139)</w:t>
            </w:r>
          </w:p>
        </w:tc>
      </w:tr>
      <w:tr w:rsidR="00CD4846" w:rsidRPr="00CD4846" w14:paraId="76E511E3" w14:textId="77777777" w:rsidTr="00B82EB9">
        <w:tc>
          <w:tcPr>
            <w:tcW w:w="1461" w:type="pct"/>
            <w:tcBorders>
              <w:top w:val="nil"/>
              <w:left w:val="nil"/>
              <w:bottom w:val="nil"/>
              <w:right w:val="nil"/>
            </w:tcBorders>
          </w:tcPr>
          <w:p w14:paraId="292B28E3" w14:textId="01130DDD"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Prior Deaths (1ks)</w:t>
            </w:r>
          </w:p>
        </w:tc>
        <w:tc>
          <w:tcPr>
            <w:tcW w:w="679" w:type="pct"/>
            <w:tcBorders>
              <w:top w:val="nil"/>
              <w:left w:val="nil"/>
              <w:bottom w:val="nil"/>
              <w:right w:val="nil"/>
            </w:tcBorders>
          </w:tcPr>
          <w:p w14:paraId="77CC5A76"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0.122</w:t>
            </w:r>
          </w:p>
        </w:tc>
        <w:tc>
          <w:tcPr>
            <w:tcW w:w="679" w:type="pct"/>
            <w:tcBorders>
              <w:top w:val="nil"/>
              <w:left w:val="nil"/>
              <w:bottom w:val="nil"/>
              <w:right w:val="nil"/>
            </w:tcBorders>
          </w:tcPr>
          <w:p w14:paraId="75B76470"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0.440</w:t>
            </w:r>
          </w:p>
        </w:tc>
        <w:tc>
          <w:tcPr>
            <w:tcW w:w="679" w:type="pct"/>
            <w:tcBorders>
              <w:top w:val="nil"/>
              <w:left w:val="nil"/>
              <w:bottom w:val="nil"/>
              <w:right w:val="nil"/>
            </w:tcBorders>
          </w:tcPr>
          <w:p w14:paraId="17951B65"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-6.327</w:t>
            </w:r>
          </w:p>
        </w:tc>
        <w:tc>
          <w:tcPr>
            <w:tcW w:w="679" w:type="pct"/>
            <w:tcBorders>
              <w:top w:val="nil"/>
              <w:left w:val="nil"/>
              <w:bottom w:val="nil"/>
              <w:right w:val="nil"/>
            </w:tcBorders>
          </w:tcPr>
          <w:p w14:paraId="4E48AB29"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-0.128*</w:t>
            </w:r>
          </w:p>
        </w:tc>
        <w:tc>
          <w:tcPr>
            <w:tcW w:w="822" w:type="pct"/>
            <w:tcBorders>
              <w:top w:val="nil"/>
              <w:left w:val="nil"/>
              <w:bottom w:val="nil"/>
              <w:right w:val="nil"/>
            </w:tcBorders>
          </w:tcPr>
          <w:p w14:paraId="54DB29F2"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-0.226**</w:t>
            </w:r>
          </w:p>
        </w:tc>
      </w:tr>
      <w:tr w:rsidR="00CD4846" w:rsidRPr="00CD4846" w14:paraId="38B7D299" w14:textId="77777777" w:rsidTr="00B82EB9">
        <w:tc>
          <w:tcPr>
            <w:tcW w:w="1461" w:type="pct"/>
            <w:tcBorders>
              <w:top w:val="nil"/>
              <w:left w:val="nil"/>
              <w:bottom w:val="nil"/>
              <w:right w:val="nil"/>
            </w:tcBorders>
          </w:tcPr>
          <w:p w14:paraId="4CEC1DA9" w14:textId="53079267"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79" w:type="pct"/>
            <w:tcBorders>
              <w:top w:val="nil"/>
              <w:left w:val="nil"/>
              <w:bottom w:val="nil"/>
              <w:right w:val="nil"/>
            </w:tcBorders>
          </w:tcPr>
          <w:p w14:paraId="193AC153"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(6.663)</w:t>
            </w:r>
          </w:p>
        </w:tc>
        <w:tc>
          <w:tcPr>
            <w:tcW w:w="679" w:type="pct"/>
            <w:tcBorders>
              <w:top w:val="nil"/>
              <w:left w:val="nil"/>
              <w:bottom w:val="nil"/>
              <w:right w:val="nil"/>
            </w:tcBorders>
          </w:tcPr>
          <w:p w14:paraId="7E175A53"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(1.988)</w:t>
            </w:r>
          </w:p>
        </w:tc>
        <w:tc>
          <w:tcPr>
            <w:tcW w:w="679" w:type="pct"/>
            <w:tcBorders>
              <w:top w:val="nil"/>
              <w:left w:val="nil"/>
              <w:bottom w:val="nil"/>
              <w:right w:val="nil"/>
            </w:tcBorders>
          </w:tcPr>
          <w:p w14:paraId="60F125CD"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(12.721)</w:t>
            </w:r>
          </w:p>
        </w:tc>
        <w:tc>
          <w:tcPr>
            <w:tcW w:w="679" w:type="pct"/>
            <w:tcBorders>
              <w:top w:val="nil"/>
              <w:left w:val="nil"/>
              <w:bottom w:val="nil"/>
              <w:right w:val="nil"/>
            </w:tcBorders>
          </w:tcPr>
          <w:p w14:paraId="1E4408DC"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(0.068)</w:t>
            </w:r>
          </w:p>
        </w:tc>
        <w:tc>
          <w:tcPr>
            <w:tcW w:w="822" w:type="pct"/>
            <w:tcBorders>
              <w:top w:val="nil"/>
              <w:left w:val="nil"/>
              <w:bottom w:val="nil"/>
              <w:right w:val="nil"/>
            </w:tcBorders>
          </w:tcPr>
          <w:p w14:paraId="33149C2A"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(0.092)</w:t>
            </w:r>
          </w:p>
        </w:tc>
      </w:tr>
      <w:tr w:rsidR="00CD4846" w:rsidRPr="00CD4846" w14:paraId="2BE8453C" w14:textId="77777777" w:rsidTr="00B82EB9">
        <w:tc>
          <w:tcPr>
            <w:tcW w:w="1461" w:type="pct"/>
            <w:tcBorders>
              <w:top w:val="nil"/>
              <w:left w:val="nil"/>
              <w:bottom w:val="nil"/>
              <w:right w:val="nil"/>
            </w:tcBorders>
          </w:tcPr>
          <w:p w14:paraId="7F16FB2A" w14:textId="64885F52"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Prior outward relocations (1ks)</w:t>
            </w:r>
          </w:p>
        </w:tc>
        <w:tc>
          <w:tcPr>
            <w:tcW w:w="679" w:type="pct"/>
            <w:tcBorders>
              <w:top w:val="nil"/>
              <w:left w:val="nil"/>
              <w:bottom w:val="nil"/>
              <w:right w:val="nil"/>
            </w:tcBorders>
          </w:tcPr>
          <w:p w14:paraId="2FAE7451"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47.581</w:t>
            </w:r>
          </w:p>
        </w:tc>
        <w:tc>
          <w:tcPr>
            <w:tcW w:w="679" w:type="pct"/>
            <w:tcBorders>
              <w:top w:val="nil"/>
              <w:left w:val="nil"/>
              <w:bottom w:val="nil"/>
              <w:right w:val="nil"/>
            </w:tcBorders>
          </w:tcPr>
          <w:p w14:paraId="52B11D38"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101.410***</w:t>
            </w:r>
          </w:p>
        </w:tc>
        <w:tc>
          <w:tcPr>
            <w:tcW w:w="679" w:type="pct"/>
            <w:tcBorders>
              <w:top w:val="nil"/>
              <w:left w:val="nil"/>
              <w:bottom w:val="nil"/>
              <w:right w:val="nil"/>
            </w:tcBorders>
          </w:tcPr>
          <w:p w14:paraId="6FBAC65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-30.927</w:t>
            </w:r>
          </w:p>
        </w:tc>
        <w:tc>
          <w:tcPr>
            <w:tcW w:w="679" w:type="pct"/>
            <w:tcBorders>
              <w:top w:val="nil"/>
              <w:left w:val="nil"/>
              <w:bottom w:val="nil"/>
              <w:right w:val="nil"/>
            </w:tcBorders>
          </w:tcPr>
          <w:p w14:paraId="6B58892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2.864</w:t>
            </w:r>
          </w:p>
        </w:tc>
        <w:tc>
          <w:tcPr>
            <w:tcW w:w="822" w:type="pct"/>
            <w:tcBorders>
              <w:top w:val="nil"/>
              <w:left w:val="nil"/>
              <w:bottom w:val="nil"/>
              <w:right w:val="nil"/>
            </w:tcBorders>
          </w:tcPr>
          <w:p w14:paraId="3E93170E"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3.405</w:t>
            </w:r>
          </w:p>
        </w:tc>
      </w:tr>
      <w:tr w:rsidR="00CD4846" w:rsidRPr="00CD4846" w14:paraId="0C7059D8" w14:textId="77777777" w:rsidTr="00B82EB9">
        <w:tc>
          <w:tcPr>
            <w:tcW w:w="1461" w:type="pct"/>
            <w:tcBorders>
              <w:top w:val="nil"/>
              <w:left w:val="nil"/>
              <w:bottom w:val="nil"/>
              <w:right w:val="nil"/>
            </w:tcBorders>
          </w:tcPr>
          <w:p w14:paraId="08B4DDC6" w14:textId="5EBDB34A"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79" w:type="pct"/>
            <w:tcBorders>
              <w:top w:val="nil"/>
              <w:left w:val="nil"/>
              <w:bottom w:val="nil"/>
              <w:right w:val="nil"/>
            </w:tcBorders>
          </w:tcPr>
          <w:p w14:paraId="1DACB9A4"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(58.598)</w:t>
            </w:r>
          </w:p>
        </w:tc>
        <w:tc>
          <w:tcPr>
            <w:tcW w:w="679" w:type="pct"/>
            <w:tcBorders>
              <w:top w:val="nil"/>
              <w:left w:val="nil"/>
              <w:bottom w:val="nil"/>
              <w:right w:val="nil"/>
            </w:tcBorders>
          </w:tcPr>
          <w:p w14:paraId="065A91B6"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(33.302)</w:t>
            </w:r>
          </w:p>
        </w:tc>
        <w:tc>
          <w:tcPr>
            <w:tcW w:w="679" w:type="pct"/>
            <w:tcBorders>
              <w:top w:val="nil"/>
              <w:left w:val="nil"/>
              <w:bottom w:val="nil"/>
              <w:right w:val="nil"/>
            </w:tcBorders>
          </w:tcPr>
          <w:p w14:paraId="5B94B162"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(220.218)</w:t>
            </w:r>
          </w:p>
        </w:tc>
        <w:tc>
          <w:tcPr>
            <w:tcW w:w="679" w:type="pct"/>
            <w:tcBorders>
              <w:top w:val="nil"/>
              <w:left w:val="nil"/>
              <w:bottom w:val="nil"/>
              <w:right w:val="nil"/>
            </w:tcBorders>
          </w:tcPr>
          <w:p w14:paraId="7265D444"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(1.919)</w:t>
            </w:r>
          </w:p>
        </w:tc>
        <w:tc>
          <w:tcPr>
            <w:tcW w:w="822" w:type="pct"/>
            <w:tcBorders>
              <w:top w:val="nil"/>
              <w:left w:val="nil"/>
              <w:bottom w:val="nil"/>
              <w:right w:val="nil"/>
            </w:tcBorders>
          </w:tcPr>
          <w:p w14:paraId="478D2279"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(4.240)</w:t>
            </w:r>
          </w:p>
        </w:tc>
      </w:tr>
      <w:tr w:rsidR="00CD4846" w:rsidRPr="00CD4846" w14:paraId="70EFA4FC" w14:textId="77777777" w:rsidTr="00B82EB9">
        <w:tc>
          <w:tcPr>
            <w:tcW w:w="1461" w:type="pct"/>
            <w:tcBorders>
              <w:top w:val="nil"/>
              <w:left w:val="nil"/>
              <w:bottom w:val="nil"/>
              <w:right w:val="nil"/>
            </w:tcBorders>
          </w:tcPr>
          <w:p w14:paraId="4D337DCC"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Constant</w:t>
            </w:r>
          </w:p>
        </w:tc>
        <w:tc>
          <w:tcPr>
            <w:tcW w:w="679" w:type="pct"/>
            <w:tcBorders>
              <w:top w:val="nil"/>
              <w:left w:val="nil"/>
              <w:bottom w:val="nil"/>
              <w:right w:val="nil"/>
            </w:tcBorders>
          </w:tcPr>
          <w:p w14:paraId="4B6DDC24"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-0.336</w:t>
            </w:r>
          </w:p>
        </w:tc>
        <w:tc>
          <w:tcPr>
            <w:tcW w:w="679" w:type="pct"/>
            <w:tcBorders>
              <w:top w:val="nil"/>
              <w:left w:val="nil"/>
              <w:bottom w:val="nil"/>
              <w:right w:val="nil"/>
            </w:tcBorders>
          </w:tcPr>
          <w:p w14:paraId="50A33389"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0.523</w:t>
            </w:r>
          </w:p>
        </w:tc>
        <w:tc>
          <w:tcPr>
            <w:tcW w:w="679" w:type="pct"/>
            <w:tcBorders>
              <w:top w:val="nil"/>
              <w:left w:val="nil"/>
              <w:bottom w:val="nil"/>
              <w:right w:val="nil"/>
            </w:tcBorders>
          </w:tcPr>
          <w:p w14:paraId="1FFCDC2C"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-1.318</w:t>
            </w:r>
          </w:p>
        </w:tc>
        <w:tc>
          <w:tcPr>
            <w:tcW w:w="679" w:type="pct"/>
            <w:tcBorders>
              <w:top w:val="nil"/>
              <w:left w:val="nil"/>
              <w:bottom w:val="nil"/>
              <w:right w:val="nil"/>
            </w:tcBorders>
          </w:tcPr>
          <w:p w14:paraId="42974FD0"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0.756**</w:t>
            </w:r>
          </w:p>
        </w:tc>
        <w:tc>
          <w:tcPr>
            <w:tcW w:w="822" w:type="pct"/>
            <w:tcBorders>
              <w:top w:val="nil"/>
              <w:left w:val="nil"/>
              <w:bottom w:val="nil"/>
              <w:right w:val="nil"/>
            </w:tcBorders>
          </w:tcPr>
          <w:p w14:paraId="41DDB182"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0.531</w:t>
            </w:r>
          </w:p>
        </w:tc>
      </w:tr>
      <w:tr w:rsidR="00CD4846" w:rsidRPr="00CD4846" w14:paraId="09E552B6" w14:textId="77777777" w:rsidTr="00B82EB9">
        <w:tc>
          <w:tcPr>
            <w:tcW w:w="1461" w:type="pct"/>
            <w:tcBorders>
              <w:top w:val="nil"/>
              <w:left w:val="nil"/>
              <w:bottom w:val="nil"/>
              <w:right w:val="nil"/>
            </w:tcBorders>
          </w:tcPr>
          <w:p w14:paraId="349952CE" w14:textId="2E940A4E" w:rsidR="00CD4846" w:rsidRPr="00CD4846" w:rsidRDefault="00CD4846" w:rsidP="0058540A">
            <w:pPr>
              <w:widowControl w:val="0"/>
              <w:autoSpaceDE w:val="0"/>
              <w:autoSpaceDN w:val="0"/>
              <w:adjustRightInd w:val="0"/>
              <w:spacing w:line="240" w:lineRule="auto"/>
              <w:rPr>
                <w:rFonts w:cs="Times New Roman"/>
                <w:kern w:val="2"/>
                <w:sz w:val="20"/>
                <w:szCs w:val="20"/>
                <w:lang/>
              </w:rPr>
            </w:pPr>
          </w:p>
        </w:tc>
        <w:tc>
          <w:tcPr>
            <w:tcW w:w="679" w:type="pct"/>
            <w:tcBorders>
              <w:top w:val="nil"/>
              <w:left w:val="nil"/>
              <w:bottom w:val="nil"/>
              <w:right w:val="nil"/>
            </w:tcBorders>
          </w:tcPr>
          <w:p w14:paraId="790A7B07"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(1.660)</w:t>
            </w:r>
          </w:p>
        </w:tc>
        <w:tc>
          <w:tcPr>
            <w:tcW w:w="679" w:type="pct"/>
            <w:tcBorders>
              <w:top w:val="nil"/>
              <w:left w:val="nil"/>
              <w:bottom w:val="nil"/>
              <w:right w:val="nil"/>
            </w:tcBorders>
          </w:tcPr>
          <w:p w14:paraId="221EC5B6"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(2.316)</w:t>
            </w:r>
          </w:p>
        </w:tc>
        <w:tc>
          <w:tcPr>
            <w:tcW w:w="679" w:type="pct"/>
            <w:tcBorders>
              <w:top w:val="nil"/>
              <w:left w:val="nil"/>
              <w:bottom w:val="nil"/>
              <w:right w:val="nil"/>
            </w:tcBorders>
          </w:tcPr>
          <w:p w14:paraId="1193AEDD"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(2.642)</w:t>
            </w:r>
          </w:p>
        </w:tc>
        <w:tc>
          <w:tcPr>
            <w:tcW w:w="679" w:type="pct"/>
            <w:tcBorders>
              <w:top w:val="nil"/>
              <w:left w:val="nil"/>
              <w:bottom w:val="nil"/>
              <w:right w:val="nil"/>
            </w:tcBorders>
          </w:tcPr>
          <w:p w14:paraId="69A7FC4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(0.379)</w:t>
            </w:r>
          </w:p>
        </w:tc>
        <w:tc>
          <w:tcPr>
            <w:tcW w:w="822" w:type="pct"/>
            <w:tcBorders>
              <w:top w:val="nil"/>
              <w:left w:val="nil"/>
              <w:bottom w:val="nil"/>
              <w:right w:val="nil"/>
            </w:tcBorders>
          </w:tcPr>
          <w:p w14:paraId="6C86C94C"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(0.518)</w:t>
            </w:r>
          </w:p>
        </w:tc>
      </w:tr>
      <w:tr w:rsidR="00CD4846" w:rsidRPr="00CD4846" w14:paraId="2E09B227" w14:textId="77777777" w:rsidTr="00B82EB9">
        <w:tc>
          <w:tcPr>
            <w:tcW w:w="1461" w:type="pct"/>
            <w:tcBorders>
              <w:top w:val="nil"/>
              <w:left w:val="nil"/>
              <w:bottom w:val="nil"/>
              <w:right w:val="nil"/>
            </w:tcBorders>
          </w:tcPr>
          <w:p w14:paraId="3DA2CB63" w14:textId="005C25CF"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Observations</w:t>
            </w:r>
          </w:p>
        </w:tc>
        <w:tc>
          <w:tcPr>
            <w:tcW w:w="679" w:type="pct"/>
            <w:tcBorders>
              <w:top w:val="nil"/>
              <w:left w:val="nil"/>
              <w:bottom w:val="nil"/>
              <w:right w:val="nil"/>
            </w:tcBorders>
          </w:tcPr>
          <w:p w14:paraId="29616271"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4769</w:t>
            </w:r>
          </w:p>
        </w:tc>
        <w:tc>
          <w:tcPr>
            <w:tcW w:w="679" w:type="pct"/>
            <w:tcBorders>
              <w:top w:val="nil"/>
              <w:left w:val="nil"/>
              <w:bottom w:val="nil"/>
              <w:right w:val="nil"/>
            </w:tcBorders>
          </w:tcPr>
          <w:p w14:paraId="180A5BD9"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2219</w:t>
            </w:r>
          </w:p>
        </w:tc>
        <w:tc>
          <w:tcPr>
            <w:tcW w:w="679" w:type="pct"/>
            <w:tcBorders>
              <w:top w:val="nil"/>
              <w:left w:val="nil"/>
              <w:bottom w:val="nil"/>
              <w:right w:val="nil"/>
            </w:tcBorders>
          </w:tcPr>
          <w:p w14:paraId="607262A8"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1942</w:t>
            </w:r>
          </w:p>
        </w:tc>
        <w:tc>
          <w:tcPr>
            <w:tcW w:w="679" w:type="pct"/>
            <w:tcBorders>
              <w:top w:val="nil"/>
              <w:left w:val="nil"/>
              <w:bottom w:val="nil"/>
              <w:right w:val="nil"/>
            </w:tcBorders>
          </w:tcPr>
          <w:p w14:paraId="1F3FA42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22340</w:t>
            </w:r>
          </w:p>
        </w:tc>
        <w:tc>
          <w:tcPr>
            <w:tcW w:w="822" w:type="pct"/>
            <w:tcBorders>
              <w:top w:val="nil"/>
              <w:left w:val="nil"/>
              <w:bottom w:val="nil"/>
              <w:right w:val="nil"/>
            </w:tcBorders>
          </w:tcPr>
          <w:p w14:paraId="6789D6FE"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17084</w:t>
            </w:r>
          </w:p>
        </w:tc>
      </w:tr>
      <w:tr w:rsidR="00CD4846" w:rsidRPr="00CD4846" w14:paraId="0796D860" w14:textId="77777777" w:rsidTr="00B82EB9">
        <w:tc>
          <w:tcPr>
            <w:tcW w:w="1461" w:type="pct"/>
            <w:tcBorders>
              <w:top w:val="nil"/>
              <w:left w:val="nil"/>
              <w:bottom w:val="nil"/>
              <w:right w:val="nil"/>
            </w:tcBorders>
          </w:tcPr>
          <w:p w14:paraId="450460E1" w14:textId="6A233703"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Pseudo R</w:t>
            </w:r>
            <w:r w:rsidRPr="00CD4846">
              <w:rPr>
                <w:rFonts w:cs="Times New Roman"/>
                <w:kern w:val="2"/>
                <w:sz w:val="20"/>
                <w:szCs w:val="20"/>
                <w:vertAlign w:val="superscript"/>
                <w:lang/>
              </w:rPr>
              <w:t>2</w:t>
            </w:r>
          </w:p>
        </w:tc>
        <w:tc>
          <w:tcPr>
            <w:tcW w:w="679" w:type="pct"/>
            <w:tcBorders>
              <w:top w:val="nil"/>
              <w:left w:val="nil"/>
              <w:bottom w:val="nil"/>
              <w:right w:val="nil"/>
            </w:tcBorders>
          </w:tcPr>
          <w:p w14:paraId="540561FE"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0.148</w:t>
            </w:r>
          </w:p>
        </w:tc>
        <w:tc>
          <w:tcPr>
            <w:tcW w:w="679" w:type="pct"/>
            <w:tcBorders>
              <w:top w:val="nil"/>
              <w:left w:val="nil"/>
              <w:bottom w:val="nil"/>
              <w:right w:val="nil"/>
            </w:tcBorders>
          </w:tcPr>
          <w:p w14:paraId="6D8D2756"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0.343</w:t>
            </w:r>
          </w:p>
        </w:tc>
        <w:tc>
          <w:tcPr>
            <w:tcW w:w="679" w:type="pct"/>
            <w:tcBorders>
              <w:top w:val="nil"/>
              <w:left w:val="nil"/>
              <w:bottom w:val="nil"/>
              <w:right w:val="nil"/>
            </w:tcBorders>
          </w:tcPr>
          <w:p w14:paraId="5B2AF4D1"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0.139</w:t>
            </w:r>
          </w:p>
        </w:tc>
        <w:tc>
          <w:tcPr>
            <w:tcW w:w="679" w:type="pct"/>
            <w:tcBorders>
              <w:top w:val="nil"/>
              <w:left w:val="nil"/>
              <w:bottom w:val="nil"/>
              <w:right w:val="nil"/>
            </w:tcBorders>
          </w:tcPr>
          <w:p w14:paraId="19FEE965"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0.584</w:t>
            </w:r>
          </w:p>
        </w:tc>
        <w:tc>
          <w:tcPr>
            <w:tcW w:w="822" w:type="pct"/>
            <w:tcBorders>
              <w:top w:val="nil"/>
              <w:left w:val="nil"/>
              <w:bottom w:val="nil"/>
              <w:right w:val="nil"/>
            </w:tcBorders>
          </w:tcPr>
          <w:p w14:paraId="634C77A5"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0.507</w:t>
            </w:r>
          </w:p>
        </w:tc>
      </w:tr>
      <w:tr w:rsidR="00CD4846" w:rsidRPr="00CD4846" w14:paraId="76F551F7" w14:textId="77777777" w:rsidTr="00B82EB9">
        <w:tc>
          <w:tcPr>
            <w:tcW w:w="1461" w:type="pct"/>
            <w:tcBorders>
              <w:top w:val="nil"/>
              <w:left w:val="nil"/>
              <w:bottom w:val="nil"/>
              <w:right w:val="nil"/>
            </w:tcBorders>
          </w:tcPr>
          <w:p w14:paraId="40F78FC6" w14:textId="64024C80"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Chi</w:t>
            </w:r>
            <w:r w:rsidRPr="00CD4846">
              <w:rPr>
                <w:rFonts w:cs="Times New Roman"/>
                <w:kern w:val="2"/>
                <w:sz w:val="20"/>
                <w:szCs w:val="20"/>
                <w:vertAlign w:val="superscript"/>
                <w:lang/>
              </w:rPr>
              <w:t>2</w:t>
            </w:r>
          </w:p>
        </w:tc>
        <w:tc>
          <w:tcPr>
            <w:tcW w:w="679" w:type="pct"/>
            <w:tcBorders>
              <w:top w:val="nil"/>
              <w:left w:val="nil"/>
              <w:bottom w:val="nil"/>
              <w:right w:val="nil"/>
            </w:tcBorders>
          </w:tcPr>
          <w:p w14:paraId="745381E8"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27</w:t>
            </w:r>
          </w:p>
        </w:tc>
        <w:tc>
          <w:tcPr>
            <w:tcW w:w="679" w:type="pct"/>
            <w:tcBorders>
              <w:top w:val="nil"/>
              <w:left w:val="nil"/>
              <w:bottom w:val="nil"/>
              <w:right w:val="nil"/>
            </w:tcBorders>
          </w:tcPr>
          <w:p w14:paraId="42AB9F76"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32</w:t>
            </w:r>
          </w:p>
        </w:tc>
        <w:tc>
          <w:tcPr>
            <w:tcW w:w="679" w:type="pct"/>
            <w:tcBorders>
              <w:top w:val="nil"/>
              <w:left w:val="nil"/>
              <w:bottom w:val="nil"/>
              <w:right w:val="nil"/>
            </w:tcBorders>
          </w:tcPr>
          <w:p w14:paraId="4D114736"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19</w:t>
            </w:r>
          </w:p>
        </w:tc>
        <w:tc>
          <w:tcPr>
            <w:tcW w:w="679" w:type="pct"/>
            <w:tcBorders>
              <w:top w:val="nil"/>
              <w:left w:val="nil"/>
              <w:bottom w:val="nil"/>
              <w:right w:val="nil"/>
            </w:tcBorders>
          </w:tcPr>
          <w:p w14:paraId="2AE5B830"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58</w:t>
            </w:r>
          </w:p>
        </w:tc>
        <w:tc>
          <w:tcPr>
            <w:tcW w:w="822" w:type="pct"/>
            <w:tcBorders>
              <w:top w:val="nil"/>
              <w:left w:val="nil"/>
              <w:bottom w:val="nil"/>
              <w:right w:val="nil"/>
            </w:tcBorders>
          </w:tcPr>
          <w:p w14:paraId="49D7CD8C"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40</w:t>
            </w:r>
          </w:p>
        </w:tc>
      </w:tr>
      <w:tr w:rsidR="00CD4846" w:rsidRPr="00CD4846" w14:paraId="40B3F781" w14:textId="77777777" w:rsidTr="00B82EB9">
        <w:tc>
          <w:tcPr>
            <w:tcW w:w="1461" w:type="pct"/>
            <w:tcBorders>
              <w:top w:val="nil"/>
              <w:left w:val="nil"/>
              <w:bottom w:val="nil"/>
              <w:right w:val="nil"/>
            </w:tcBorders>
          </w:tcPr>
          <w:p w14:paraId="3C567654" w14:textId="473DADA1"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Log Likelihood</w:t>
            </w:r>
          </w:p>
        </w:tc>
        <w:tc>
          <w:tcPr>
            <w:tcW w:w="679" w:type="pct"/>
            <w:tcBorders>
              <w:top w:val="nil"/>
              <w:left w:val="nil"/>
              <w:bottom w:val="nil"/>
              <w:right w:val="nil"/>
            </w:tcBorders>
          </w:tcPr>
          <w:p w14:paraId="5C064942"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-2266</w:t>
            </w:r>
          </w:p>
        </w:tc>
        <w:tc>
          <w:tcPr>
            <w:tcW w:w="679" w:type="pct"/>
            <w:tcBorders>
              <w:top w:val="nil"/>
              <w:left w:val="nil"/>
              <w:bottom w:val="nil"/>
              <w:right w:val="nil"/>
            </w:tcBorders>
          </w:tcPr>
          <w:p w14:paraId="78355386"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-1264</w:t>
            </w:r>
          </w:p>
        </w:tc>
        <w:tc>
          <w:tcPr>
            <w:tcW w:w="679" w:type="pct"/>
            <w:tcBorders>
              <w:top w:val="nil"/>
              <w:left w:val="nil"/>
              <w:bottom w:val="nil"/>
              <w:right w:val="nil"/>
            </w:tcBorders>
          </w:tcPr>
          <w:p w14:paraId="30D220C2"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-923</w:t>
            </w:r>
          </w:p>
        </w:tc>
        <w:tc>
          <w:tcPr>
            <w:tcW w:w="679" w:type="pct"/>
            <w:tcBorders>
              <w:top w:val="nil"/>
              <w:left w:val="nil"/>
              <w:bottom w:val="nil"/>
              <w:right w:val="nil"/>
            </w:tcBorders>
          </w:tcPr>
          <w:p w14:paraId="083F8DA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-24176</w:t>
            </w:r>
          </w:p>
        </w:tc>
        <w:tc>
          <w:tcPr>
            <w:tcW w:w="822" w:type="pct"/>
            <w:tcBorders>
              <w:top w:val="nil"/>
              <w:left w:val="nil"/>
              <w:bottom w:val="nil"/>
              <w:right w:val="nil"/>
            </w:tcBorders>
          </w:tcPr>
          <w:p w14:paraId="092A8EC6"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-13211</w:t>
            </w:r>
          </w:p>
        </w:tc>
      </w:tr>
      <w:tr w:rsidR="00CD4846" w:rsidRPr="00CD4846" w14:paraId="432550C9" w14:textId="77777777" w:rsidTr="00B82EB9">
        <w:tc>
          <w:tcPr>
            <w:tcW w:w="1461" w:type="pct"/>
            <w:tcBorders>
              <w:top w:val="nil"/>
              <w:left w:val="nil"/>
              <w:bottom w:val="nil"/>
              <w:right w:val="nil"/>
            </w:tcBorders>
          </w:tcPr>
          <w:p w14:paraId="532AE4D5" w14:textId="243ADF3E"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Akaike’s Criterion</w:t>
            </w:r>
          </w:p>
        </w:tc>
        <w:tc>
          <w:tcPr>
            <w:tcW w:w="679" w:type="pct"/>
            <w:tcBorders>
              <w:top w:val="nil"/>
              <w:left w:val="nil"/>
              <w:bottom w:val="nil"/>
              <w:right w:val="nil"/>
            </w:tcBorders>
          </w:tcPr>
          <w:p w14:paraId="2F999878"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4572</w:t>
            </w:r>
          </w:p>
        </w:tc>
        <w:tc>
          <w:tcPr>
            <w:tcW w:w="679" w:type="pct"/>
            <w:tcBorders>
              <w:top w:val="nil"/>
              <w:left w:val="nil"/>
              <w:bottom w:val="nil"/>
              <w:right w:val="nil"/>
            </w:tcBorders>
          </w:tcPr>
          <w:p w14:paraId="327B0C4F"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2568</w:t>
            </w:r>
          </w:p>
        </w:tc>
        <w:tc>
          <w:tcPr>
            <w:tcW w:w="679" w:type="pct"/>
            <w:tcBorders>
              <w:top w:val="nil"/>
              <w:left w:val="nil"/>
              <w:bottom w:val="nil"/>
              <w:right w:val="nil"/>
            </w:tcBorders>
          </w:tcPr>
          <w:p w14:paraId="35940EF0"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1884</w:t>
            </w:r>
          </w:p>
        </w:tc>
        <w:tc>
          <w:tcPr>
            <w:tcW w:w="679" w:type="pct"/>
            <w:tcBorders>
              <w:top w:val="nil"/>
              <w:left w:val="nil"/>
              <w:bottom w:val="nil"/>
              <w:right w:val="nil"/>
            </w:tcBorders>
          </w:tcPr>
          <w:p w14:paraId="0C0DD7A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48393</w:t>
            </w:r>
          </w:p>
        </w:tc>
        <w:tc>
          <w:tcPr>
            <w:tcW w:w="822" w:type="pct"/>
            <w:tcBorders>
              <w:top w:val="nil"/>
              <w:left w:val="nil"/>
              <w:bottom w:val="nil"/>
              <w:right w:val="nil"/>
            </w:tcBorders>
          </w:tcPr>
          <w:p w14:paraId="0A1783B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26462</w:t>
            </w:r>
          </w:p>
        </w:tc>
      </w:tr>
      <w:tr w:rsidR="00CD4846" w:rsidRPr="00CD4846" w14:paraId="5C9E8DA2" w14:textId="77777777" w:rsidTr="00B82EB9">
        <w:tc>
          <w:tcPr>
            <w:tcW w:w="1461" w:type="pct"/>
            <w:tcBorders>
              <w:top w:val="nil"/>
              <w:left w:val="nil"/>
              <w:bottom w:val="nil"/>
              <w:right w:val="nil"/>
            </w:tcBorders>
          </w:tcPr>
          <w:p w14:paraId="0998FD2C" w14:textId="01931AA1"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Bayesian Criterion</w:t>
            </w:r>
          </w:p>
        </w:tc>
        <w:tc>
          <w:tcPr>
            <w:tcW w:w="679" w:type="pct"/>
            <w:tcBorders>
              <w:top w:val="nil"/>
              <w:left w:val="nil"/>
              <w:bottom w:val="nil"/>
              <w:right w:val="nil"/>
            </w:tcBorders>
          </w:tcPr>
          <w:p w14:paraId="4D3545C5"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4701</w:t>
            </w:r>
          </w:p>
        </w:tc>
        <w:tc>
          <w:tcPr>
            <w:tcW w:w="679" w:type="pct"/>
            <w:tcBorders>
              <w:top w:val="nil"/>
              <w:left w:val="nil"/>
              <w:bottom w:val="nil"/>
              <w:right w:val="nil"/>
            </w:tcBorders>
          </w:tcPr>
          <w:p w14:paraId="0FC266AB"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2682</w:t>
            </w:r>
          </w:p>
        </w:tc>
        <w:tc>
          <w:tcPr>
            <w:tcW w:w="679" w:type="pct"/>
            <w:tcBorders>
              <w:top w:val="nil"/>
              <w:left w:val="nil"/>
              <w:bottom w:val="nil"/>
              <w:right w:val="nil"/>
            </w:tcBorders>
          </w:tcPr>
          <w:p w14:paraId="2FE96844"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1990</w:t>
            </w:r>
          </w:p>
        </w:tc>
        <w:tc>
          <w:tcPr>
            <w:tcW w:w="679" w:type="pct"/>
            <w:tcBorders>
              <w:top w:val="nil"/>
              <w:left w:val="nil"/>
              <w:bottom w:val="nil"/>
              <w:right w:val="nil"/>
            </w:tcBorders>
          </w:tcPr>
          <w:p w14:paraId="2851D0BF"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48553</w:t>
            </w:r>
          </w:p>
        </w:tc>
        <w:tc>
          <w:tcPr>
            <w:tcW w:w="822" w:type="pct"/>
            <w:tcBorders>
              <w:top w:val="nil"/>
              <w:left w:val="nil"/>
              <w:bottom w:val="nil"/>
              <w:right w:val="nil"/>
            </w:tcBorders>
          </w:tcPr>
          <w:p w14:paraId="65C1F345"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26617</w:t>
            </w:r>
          </w:p>
        </w:tc>
      </w:tr>
      <w:tr w:rsidR="00CD4846" w:rsidRPr="00CD4846" w14:paraId="044B1F8C" w14:textId="77777777" w:rsidTr="00B82EB9">
        <w:tc>
          <w:tcPr>
            <w:tcW w:w="1461" w:type="pct"/>
            <w:tcBorders>
              <w:top w:val="nil"/>
              <w:left w:val="nil"/>
              <w:bottom w:val="nil"/>
              <w:right w:val="nil"/>
            </w:tcBorders>
          </w:tcPr>
          <w:p w14:paraId="49AC6B73"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County FE</w:t>
            </w:r>
          </w:p>
        </w:tc>
        <w:tc>
          <w:tcPr>
            <w:tcW w:w="679" w:type="pct"/>
            <w:tcBorders>
              <w:top w:val="nil"/>
              <w:left w:val="nil"/>
              <w:bottom w:val="nil"/>
              <w:right w:val="nil"/>
            </w:tcBorders>
          </w:tcPr>
          <w:p w14:paraId="76A2EE52"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679" w:type="pct"/>
            <w:tcBorders>
              <w:top w:val="nil"/>
              <w:left w:val="nil"/>
              <w:bottom w:val="nil"/>
              <w:right w:val="nil"/>
            </w:tcBorders>
          </w:tcPr>
          <w:p w14:paraId="639DADEF"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679" w:type="pct"/>
            <w:tcBorders>
              <w:top w:val="nil"/>
              <w:left w:val="nil"/>
              <w:bottom w:val="nil"/>
              <w:right w:val="nil"/>
            </w:tcBorders>
          </w:tcPr>
          <w:p w14:paraId="33268444"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679" w:type="pct"/>
            <w:tcBorders>
              <w:top w:val="nil"/>
              <w:left w:val="nil"/>
              <w:bottom w:val="nil"/>
              <w:right w:val="nil"/>
            </w:tcBorders>
          </w:tcPr>
          <w:p w14:paraId="67ACE165"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822" w:type="pct"/>
            <w:tcBorders>
              <w:top w:val="nil"/>
              <w:left w:val="nil"/>
              <w:bottom w:val="nil"/>
              <w:right w:val="nil"/>
            </w:tcBorders>
          </w:tcPr>
          <w:p w14:paraId="6E4FBE79" w14:textId="77777777" w:rsidR="00CD4846" w:rsidRPr="00CD4846" w:rsidRDefault="00CD4846"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r>
    </w:tbl>
    <w:p w14:paraId="4A032403" w14:textId="77777777" w:rsidR="003959BE" w:rsidRDefault="003959BE" w:rsidP="004C39A4">
      <w:pPr>
        <w:spacing w:line="240" w:lineRule="auto"/>
        <w:rPr>
          <w:b/>
          <w:bCs/>
        </w:rPr>
      </w:pPr>
    </w:p>
    <w:p w14:paraId="32301DF2" w14:textId="77777777" w:rsidR="003959BE" w:rsidRDefault="003959BE" w:rsidP="004C39A4">
      <w:pPr>
        <w:spacing w:line="240" w:lineRule="auto"/>
        <w:rPr>
          <w:b/>
          <w:bCs/>
        </w:rPr>
      </w:pPr>
    </w:p>
    <w:p w14:paraId="5393AD69" w14:textId="77777777" w:rsidR="003959BE" w:rsidRDefault="003959BE" w:rsidP="004C39A4">
      <w:pPr>
        <w:spacing w:line="240" w:lineRule="auto"/>
        <w:rPr>
          <w:b/>
          <w:bCs/>
        </w:rPr>
      </w:pPr>
    </w:p>
    <w:p w14:paraId="6AEB9064" w14:textId="77777777" w:rsidR="003959BE" w:rsidRDefault="003959BE" w:rsidP="004C39A4">
      <w:pPr>
        <w:spacing w:line="240" w:lineRule="auto"/>
        <w:rPr>
          <w:b/>
          <w:bCs/>
        </w:rPr>
      </w:pPr>
    </w:p>
    <w:p w14:paraId="218754BD" w14:textId="63706BFC" w:rsidR="00465E2C" w:rsidRPr="00FE7043" w:rsidRDefault="00465E2C" w:rsidP="004C39A4">
      <w:pPr>
        <w:spacing w:line="240" w:lineRule="auto"/>
        <w:rPr>
          <w:b/>
          <w:bCs/>
        </w:rPr>
      </w:pPr>
      <w:r w:rsidRPr="00FE7043">
        <w:rPr>
          <w:b/>
          <w:bCs/>
        </w:rPr>
        <w:lastRenderedPageBreak/>
        <w:t>Table A19 Continued</w:t>
      </w:r>
    </w:p>
    <w:tbl>
      <w:tblPr>
        <w:tblW w:w="5000" w:type="pct"/>
        <w:tblLook w:val="04A0" w:firstRow="1" w:lastRow="0" w:firstColumn="1" w:lastColumn="0" w:noHBand="0" w:noVBand="1"/>
      </w:tblPr>
      <w:tblGrid>
        <w:gridCol w:w="2735"/>
        <w:gridCol w:w="1271"/>
        <w:gridCol w:w="1271"/>
        <w:gridCol w:w="1271"/>
        <w:gridCol w:w="1271"/>
        <w:gridCol w:w="1541"/>
      </w:tblGrid>
      <w:tr w:rsidR="00465E2C" w:rsidRPr="0058540A" w14:paraId="541FDCAE" w14:textId="77777777" w:rsidTr="0058540A">
        <w:tc>
          <w:tcPr>
            <w:tcW w:w="1461" w:type="pct"/>
            <w:tcBorders>
              <w:top w:val="single" w:sz="4" w:space="0" w:color="auto"/>
              <w:left w:val="nil"/>
              <w:bottom w:val="single" w:sz="4" w:space="0" w:color="auto"/>
              <w:right w:val="nil"/>
            </w:tcBorders>
          </w:tcPr>
          <w:p w14:paraId="02E0484E" w14:textId="64664142" w:rsidR="00465E2C" w:rsidRPr="0058540A" w:rsidRDefault="00465E2C" w:rsidP="0058540A">
            <w:pPr>
              <w:widowControl w:val="0"/>
              <w:autoSpaceDE w:val="0"/>
              <w:autoSpaceDN w:val="0"/>
              <w:adjustRightInd w:val="0"/>
              <w:spacing w:line="240" w:lineRule="auto"/>
              <w:rPr>
                <w:rFonts w:cs="Times New Roman"/>
                <w:kern w:val="2"/>
                <w:sz w:val="20"/>
                <w:szCs w:val="20"/>
                <w:lang/>
              </w:rPr>
            </w:pPr>
            <w:r w:rsidRPr="00CD4846">
              <w:rPr>
                <w:rFonts w:cs="Times New Roman"/>
                <w:b/>
                <w:bCs/>
                <w:kern w:val="2"/>
                <w:sz w:val="20"/>
                <w:szCs w:val="20"/>
                <w:lang/>
              </w:rPr>
              <w:t>Variable</w:t>
            </w:r>
          </w:p>
        </w:tc>
        <w:tc>
          <w:tcPr>
            <w:tcW w:w="679" w:type="pct"/>
            <w:tcBorders>
              <w:top w:val="single" w:sz="4" w:space="0" w:color="auto"/>
              <w:left w:val="nil"/>
              <w:bottom w:val="single" w:sz="4" w:space="0" w:color="auto"/>
              <w:right w:val="nil"/>
            </w:tcBorders>
          </w:tcPr>
          <w:p w14:paraId="71429A7F" w14:textId="41E27830" w:rsidR="00465E2C" w:rsidRPr="0058540A" w:rsidRDefault="00465E2C" w:rsidP="0058540A">
            <w:pPr>
              <w:widowControl w:val="0"/>
              <w:autoSpaceDE w:val="0"/>
              <w:autoSpaceDN w:val="0"/>
              <w:adjustRightInd w:val="0"/>
              <w:spacing w:line="240" w:lineRule="auto"/>
              <w:rPr>
                <w:rFonts w:cs="Times New Roman"/>
                <w:kern w:val="2"/>
                <w:sz w:val="20"/>
                <w:szCs w:val="20"/>
                <w:lang/>
              </w:rPr>
            </w:pPr>
            <w:r w:rsidRPr="00CD4846">
              <w:rPr>
                <w:rFonts w:cs="Times New Roman"/>
                <w:b/>
                <w:bCs/>
                <w:kern w:val="2"/>
                <w:sz w:val="20"/>
                <w:szCs w:val="20"/>
                <w:lang/>
              </w:rPr>
              <w:t>NAICS 11</w:t>
            </w:r>
          </w:p>
        </w:tc>
        <w:tc>
          <w:tcPr>
            <w:tcW w:w="679" w:type="pct"/>
            <w:tcBorders>
              <w:top w:val="single" w:sz="4" w:space="0" w:color="auto"/>
              <w:left w:val="nil"/>
              <w:bottom w:val="single" w:sz="4" w:space="0" w:color="auto"/>
              <w:right w:val="nil"/>
            </w:tcBorders>
          </w:tcPr>
          <w:p w14:paraId="232DE2E4" w14:textId="2829A2E7" w:rsidR="00465E2C" w:rsidRPr="0058540A" w:rsidRDefault="00465E2C" w:rsidP="0058540A">
            <w:pPr>
              <w:widowControl w:val="0"/>
              <w:autoSpaceDE w:val="0"/>
              <w:autoSpaceDN w:val="0"/>
              <w:adjustRightInd w:val="0"/>
              <w:spacing w:line="240" w:lineRule="auto"/>
              <w:rPr>
                <w:rFonts w:cs="Times New Roman"/>
                <w:kern w:val="2"/>
                <w:sz w:val="20"/>
                <w:szCs w:val="20"/>
                <w:lang/>
              </w:rPr>
            </w:pPr>
            <w:r w:rsidRPr="00CD4846">
              <w:rPr>
                <w:rFonts w:cs="Times New Roman"/>
                <w:b/>
                <w:bCs/>
                <w:kern w:val="2"/>
                <w:sz w:val="20"/>
                <w:szCs w:val="20"/>
                <w:lang/>
              </w:rPr>
              <w:t>NAICS 21</w:t>
            </w:r>
          </w:p>
        </w:tc>
        <w:tc>
          <w:tcPr>
            <w:tcW w:w="679" w:type="pct"/>
            <w:tcBorders>
              <w:top w:val="single" w:sz="4" w:space="0" w:color="auto"/>
              <w:left w:val="nil"/>
              <w:bottom w:val="single" w:sz="4" w:space="0" w:color="auto"/>
              <w:right w:val="nil"/>
            </w:tcBorders>
          </w:tcPr>
          <w:p w14:paraId="32660CD6" w14:textId="605B4D1C" w:rsidR="00465E2C" w:rsidRPr="0058540A" w:rsidRDefault="00465E2C" w:rsidP="0058540A">
            <w:pPr>
              <w:widowControl w:val="0"/>
              <w:autoSpaceDE w:val="0"/>
              <w:autoSpaceDN w:val="0"/>
              <w:adjustRightInd w:val="0"/>
              <w:spacing w:line="240" w:lineRule="auto"/>
              <w:rPr>
                <w:rFonts w:cs="Times New Roman"/>
                <w:kern w:val="2"/>
                <w:sz w:val="20"/>
                <w:szCs w:val="20"/>
                <w:lang/>
              </w:rPr>
            </w:pPr>
            <w:r w:rsidRPr="00CD4846">
              <w:rPr>
                <w:rFonts w:cs="Times New Roman"/>
                <w:b/>
                <w:bCs/>
                <w:kern w:val="2"/>
                <w:sz w:val="20"/>
                <w:szCs w:val="20"/>
                <w:lang/>
              </w:rPr>
              <w:t>NAICS 22</w:t>
            </w:r>
          </w:p>
        </w:tc>
        <w:tc>
          <w:tcPr>
            <w:tcW w:w="679" w:type="pct"/>
            <w:tcBorders>
              <w:top w:val="single" w:sz="4" w:space="0" w:color="auto"/>
              <w:left w:val="nil"/>
              <w:bottom w:val="single" w:sz="4" w:space="0" w:color="auto"/>
              <w:right w:val="nil"/>
            </w:tcBorders>
          </w:tcPr>
          <w:p w14:paraId="10073693" w14:textId="29AA192B" w:rsidR="00465E2C" w:rsidRPr="0058540A" w:rsidRDefault="00465E2C" w:rsidP="0058540A">
            <w:pPr>
              <w:widowControl w:val="0"/>
              <w:autoSpaceDE w:val="0"/>
              <w:autoSpaceDN w:val="0"/>
              <w:adjustRightInd w:val="0"/>
              <w:spacing w:line="240" w:lineRule="auto"/>
              <w:rPr>
                <w:rFonts w:cs="Times New Roman"/>
                <w:kern w:val="2"/>
                <w:sz w:val="20"/>
                <w:szCs w:val="20"/>
                <w:lang/>
              </w:rPr>
            </w:pPr>
            <w:r w:rsidRPr="00CD4846">
              <w:rPr>
                <w:rFonts w:cs="Times New Roman"/>
                <w:b/>
                <w:bCs/>
                <w:kern w:val="2"/>
                <w:sz w:val="20"/>
                <w:szCs w:val="20"/>
                <w:lang/>
              </w:rPr>
              <w:t>NAICS 23</w:t>
            </w:r>
          </w:p>
        </w:tc>
        <w:tc>
          <w:tcPr>
            <w:tcW w:w="823" w:type="pct"/>
            <w:tcBorders>
              <w:top w:val="single" w:sz="4" w:space="0" w:color="auto"/>
              <w:left w:val="nil"/>
              <w:bottom w:val="single" w:sz="4" w:space="0" w:color="auto"/>
              <w:right w:val="nil"/>
            </w:tcBorders>
          </w:tcPr>
          <w:p w14:paraId="7FC56E27" w14:textId="7D9452F8" w:rsidR="00465E2C" w:rsidRPr="0058540A" w:rsidRDefault="00465E2C" w:rsidP="0058540A">
            <w:pPr>
              <w:widowControl w:val="0"/>
              <w:autoSpaceDE w:val="0"/>
              <w:autoSpaceDN w:val="0"/>
              <w:adjustRightInd w:val="0"/>
              <w:spacing w:line="240" w:lineRule="auto"/>
              <w:rPr>
                <w:rFonts w:cs="Times New Roman"/>
                <w:kern w:val="2"/>
                <w:sz w:val="20"/>
                <w:szCs w:val="20"/>
                <w:lang/>
              </w:rPr>
            </w:pPr>
            <w:r w:rsidRPr="00CD4846">
              <w:rPr>
                <w:rFonts w:cs="Times New Roman"/>
                <w:b/>
                <w:bCs/>
                <w:kern w:val="2"/>
                <w:sz w:val="20"/>
                <w:szCs w:val="20"/>
                <w:lang/>
              </w:rPr>
              <w:t>NAICS 31-33</w:t>
            </w:r>
          </w:p>
        </w:tc>
      </w:tr>
      <w:tr w:rsidR="0058540A" w:rsidRPr="0058540A" w14:paraId="137E3C2C" w14:textId="77777777" w:rsidTr="0058540A">
        <w:tc>
          <w:tcPr>
            <w:tcW w:w="1461" w:type="pct"/>
            <w:tcBorders>
              <w:top w:val="single" w:sz="4" w:space="0" w:color="auto"/>
              <w:left w:val="nil"/>
              <w:right w:val="nil"/>
            </w:tcBorders>
          </w:tcPr>
          <w:p w14:paraId="379D7D88" w14:textId="7B08E091" w:rsidR="0058540A" w:rsidRPr="0058540A" w:rsidRDefault="0058540A"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State by Year FE</w:t>
            </w:r>
          </w:p>
        </w:tc>
        <w:tc>
          <w:tcPr>
            <w:tcW w:w="679" w:type="pct"/>
            <w:tcBorders>
              <w:top w:val="single" w:sz="4" w:space="0" w:color="auto"/>
              <w:left w:val="nil"/>
              <w:right w:val="nil"/>
            </w:tcBorders>
          </w:tcPr>
          <w:p w14:paraId="2FE596C2" w14:textId="1E9C206D" w:rsidR="0058540A" w:rsidRPr="0058540A" w:rsidRDefault="0058540A"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679" w:type="pct"/>
            <w:tcBorders>
              <w:top w:val="single" w:sz="4" w:space="0" w:color="auto"/>
              <w:left w:val="nil"/>
              <w:right w:val="nil"/>
            </w:tcBorders>
          </w:tcPr>
          <w:p w14:paraId="15D56DD7" w14:textId="6694B1EA" w:rsidR="0058540A" w:rsidRPr="0058540A" w:rsidRDefault="0058540A"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679" w:type="pct"/>
            <w:tcBorders>
              <w:top w:val="single" w:sz="4" w:space="0" w:color="auto"/>
              <w:left w:val="nil"/>
              <w:right w:val="nil"/>
            </w:tcBorders>
          </w:tcPr>
          <w:p w14:paraId="37E39105" w14:textId="717A4050" w:rsidR="0058540A" w:rsidRPr="0058540A" w:rsidRDefault="0058540A"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679" w:type="pct"/>
            <w:tcBorders>
              <w:top w:val="single" w:sz="4" w:space="0" w:color="auto"/>
              <w:left w:val="nil"/>
              <w:right w:val="nil"/>
            </w:tcBorders>
          </w:tcPr>
          <w:p w14:paraId="303F4455" w14:textId="7A0222E3" w:rsidR="0058540A" w:rsidRPr="0058540A" w:rsidRDefault="0058540A"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823" w:type="pct"/>
            <w:tcBorders>
              <w:top w:val="single" w:sz="4" w:space="0" w:color="auto"/>
              <w:left w:val="nil"/>
              <w:right w:val="nil"/>
            </w:tcBorders>
          </w:tcPr>
          <w:p w14:paraId="062D50B7" w14:textId="3F0158F9" w:rsidR="0058540A" w:rsidRPr="0058540A" w:rsidRDefault="0058540A"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r>
      <w:tr w:rsidR="00465E2C" w:rsidRPr="00CD4846" w14:paraId="21DE9A71" w14:textId="77777777" w:rsidTr="0058540A">
        <w:tc>
          <w:tcPr>
            <w:tcW w:w="1461" w:type="pct"/>
            <w:tcBorders>
              <w:left w:val="nil"/>
              <w:right w:val="nil"/>
            </w:tcBorders>
          </w:tcPr>
          <w:p w14:paraId="0D583AD5" w14:textId="77777777" w:rsidR="00465E2C" w:rsidRPr="00CD4846" w:rsidRDefault="00465E2C"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NAICS FE</w:t>
            </w:r>
          </w:p>
        </w:tc>
        <w:tc>
          <w:tcPr>
            <w:tcW w:w="679" w:type="pct"/>
            <w:tcBorders>
              <w:left w:val="nil"/>
              <w:right w:val="nil"/>
            </w:tcBorders>
          </w:tcPr>
          <w:p w14:paraId="0CD5B0EF" w14:textId="77777777" w:rsidR="00465E2C" w:rsidRPr="00CD4846" w:rsidRDefault="00465E2C"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679" w:type="pct"/>
            <w:tcBorders>
              <w:left w:val="nil"/>
              <w:right w:val="nil"/>
            </w:tcBorders>
          </w:tcPr>
          <w:p w14:paraId="7CF17319" w14:textId="77777777" w:rsidR="00465E2C" w:rsidRPr="00CD4846" w:rsidRDefault="00465E2C"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679" w:type="pct"/>
            <w:tcBorders>
              <w:left w:val="nil"/>
              <w:right w:val="nil"/>
            </w:tcBorders>
          </w:tcPr>
          <w:p w14:paraId="55D981B6" w14:textId="77777777" w:rsidR="00465E2C" w:rsidRPr="00CD4846" w:rsidRDefault="00465E2C"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679" w:type="pct"/>
            <w:tcBorders>
              <w:left w:val="nil"/>
              <w:right w:val="nil"/>
            </w:tcBorders>
          </w:tcPr>
          <w:p w14:paraId="1452183C" w14:textId="77777777" w:rsidR="00465E2C" w:rsidRPr="00CD4846" w:rsidRDefault="00465E2C"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823" w:type="pct"/>
            <w:tcBorders>
              <w:left w:val="nil"/>
              <w:right w:val="nil"/>
            </w:tcBorders>
          </w:tcPr>
          <w:p w14:paraId="2C78659A" w14:textId="77777777" w:rsidR="00465E2C" w:rsidRPr="00CD4846" w:rsidRDefault="00465E2C"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r>
      <w:tr w:rsidR="00465E2C" w:rsidRPr="00CD4846" w14:paraId="4B569860" w14:textId="77777777" w:rsidTr="0058540A">
        <w:tc>
          <w:tcPr>
            <w:tcW w:w="1461" w:type="pct"/>
            <w:tcBorders>
              <w:top w:val="nil"/>
              <w:left w:val="nil"/>
              <w:bottom w:val="single" w:sz="4" w:space="0" w:color="auto"/>
              <w:right w:val="nil"/>
            </w:tcBorders>
          </w:tcPr>
          <w:p w14:paraId="73D79E30" w14:textId="77777777" w:rsidR="00465E2C" w:rsidRPr="00CD4846" w:rsidRDefault="00465E2C" w:rsidP="0058540A">
            <w:pPr>
              <w:widowControl w:val="0"/>
              <w:autoSpaceDE w:val="0"/>
              <w:autoSpaceDN w:val="0"/>
              <w:adjustRightInd w:val="0"/>
              <w:spacing w:line="240" w:lineRule="auto"/>
              <w:rPr>
                <w:rFonts w:eastAsia="Times New Roman" w:cs="Times New Roman"/>
                <w:b/>
                <w:bCs/>
                <w:color w:val="5F6368"/>
                <w:kern w:val="2"/>
                <w:sz w:val="20"/>
                <w:szCs w:val="20"/>
                <w:shd w:val="clear" w:color="auto" w:fill="FFFFFF"/>
                <w:lang/>
              </w:rPr>
            </w:pPr>
            <w:r w:rsidRPr="00CD4846">
              <w:rPr>
                <w:rFonts w:eastAsia="Times New Roman" w:cs="Times New Roman"/>
                <w:kern w:val="2"/>
                <w:sz w:val="20"/>
                <w:szCs w:val="20"/>
                <w:lang/>
              </w:rPr>
              <w:t>PA-PA</w:t>
            </w:r>
            <w:r w:rsidRPr="00CD4846">
              <w:rPr>
                <w:rFonts w:eastAsia="Times New Roman" w:cs="Times New Roman"/>
                <w:b/>
                <w:bCs/>
                <w:i/>
                <w:color w:val="5F6368"/>
                <w:kern w:val="2"/>
                <w:sz w:val="20"/>
                <w:szCs w:val="20"/>
                <w:shd w:val="clear" w:color="auto" w:fill="FFFFFF"/>
                <w:lang/>
              </w:rPr>
              <w:t>²</w:t>
            </w:r>
            <w:r w:rsidRPr="00CD4846">
              <w:rPr>
                <w:rFonts w:cs="Times New Roman"/>
                <w:b/>
                <w:bCs/>
                <w:i/>
                <w:color w:val="5F6368"/>
                <w:kern w:val="2"/>
                <w:sz w:val="20"/>
                <w:szCs w:val="20"/>
                <w:shd w:val="clear" w:color="auto" w:fill="FFFFFF"/>
                <w:lang/>
              </w:rPr>
              <w:t xml:space="preserve"> </w:t>
            </w:r>
            <w:r w:rsidRPr="00CD4846">
              <w:rPr>
                <w:rFonts w:eastAsia="Times New Roman" w:cs="Times New Roman"/>
                <w:kern w:val="2"/>
                <w:sz w:val="20"/>
                <w:szCs w:val="20"/>
                <w:lang/>
              </w:rPr>
              <w:t xml:space="preserve">Joint Test </w:t>
            </w:r>
            <w:r w:rsidRPr="00CD4846">
              <w:rPr>
                <w:rFonts w:cs="Times New Roman"/>
                <w:kern w:val="2"/>
                <w:sz w:val="20"/>
                <w:szCs w:val="20"/>
                <w:lang/>
              </w:rPr>
              <w:t>p-value</w:t>
            </w:r>
          </w:p>
        </w:tc>
        <w:tc>
          <w:tcPr>
            <w:tcW w:w="679" w:type="pct"/>
            <w:tcBorders>
              <w:top w:val="nil"/>
              <w:left w:val="nil"/>
              <w:bottom w:val="single" w:sz="4" w:space="0" w:color="auto"/>
              <w:right w:val="nil"/>
            </w:tcBorders>
          </w:tcPr>
          <w:p w14:paraId="31DCA008" w14:textId="77777777" w:rsidR="00465E2C" w:rsidRPr="00CD4846" w:rsidRDefault="00465E2C"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0.1352</w:t>
            </w:r>
          </w:p>
        </w:tc>
        <w:tc>
          <w:tcPr>
            <w:tcW w:w="679" w:type="pct"/>
            <w:tcBorders>
              <w:top w:val="nil"/>
              <w:left w:val="nil"/>
              <w:bottom w:val="single" w:sz="4" w:space="0" w:color="auto"/>
              <w:right w:val="nil"/>
            </w:tcBorders>
          </w:tcPr>
          <w:p w14:paraId="77F431D6" w14:textId="77777777" w:rsidR="00465E2C" w:rsidRPr="00CD4846" w:rsidRDefault="00465E2C"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0.3293</w:t>
            </w:r>
          </w:p>
        </w:tc>
        <w:tc>
          <w:tcPr>
            <w:tcW w:w="679" w:type="pct"/>
            <w:tcBorders>
              <w:top w:val="nil"/>
              <w:left w:val="nil"/>
              <w:bottom w:val="single" w:sz="4" w:space="0" w:color="auto"/>
              <w:right w:val="nil"/>
            </w:tcBorders>
          </w:tcPr>
          <w:p w14:paraId="6E28E443" w14:textId="77777777" w:rsidR="00465E2C" w:rsidRPr="00CD4846" w:rsidRDefault="00465E2C"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0.3923</w:t>
            </w:r>
          </w:p>
        </w:tc>
        <w:tc>
          <w:tcPr>
            <w:tcW w:w="679" w:type="pct"/>
            <w:tcBorders>
              <w:top w:val="nil"/>
              <w:left w:val="nil"/>
              <w:bottom w:val="single" w:sz="4" w:space="0" w:color="auto"/>
              <w:right w:val="nil"/>
            </w:tcBorders>
          </w:tcPr>
          <w:p w14:paraId="31C9D28E" w14:textId="77777777" w:rsidR="00465E2C" w:rsidRPr="00CD4846" w:rsidRDefault="00465E2C" w:rsidP="0058540A">
            <w:pPr>
              <w:widowControl w:val="0"/>
              <w:autoSpaceDE w:val="0"/>
              <w:autoSpaceDN w:val="0"/>
              <w:adjustRightInd w:val="0"/>
              <w:spacing w:line="240" w:lineRule="auto"/>
              <w:rPr>
                <w:rFonts w:cs="Times New Roman"/>
                <w:bCs/>
                <w:kern w:val="2"/>
                <w:sz w:val="20"/>
                <w:szCs w:val="20"/>
                <w:lang/>
              </w:rPr>
            </w:pPr>
            <w:r w:rsidRPr="00CD4846">
              <w:rPr>
                <w:rFonts w:cs="Times New Roman"/>
                <w:bCs/>
                <w:kern w:val="2"/>
                <w:sz w:val="20"/>
                <w:szCs w:val="20"/>
                <w:lang/>
              </w:rPr>
              <w:t>0.0817</w:t>
            </w:r>
          </w:p>
        </w:tc>
        <w:tc>
          <w:tcPr>
            <w:tcW w:w="823" w:type="pct"/>
            <w:tcBorders>
              <w:top w:val="nil"/>
              <w:left w:val="nil"/>
              <w:bottom w:val="single" w:sz="4" w:space="0" w:color="auto"/>
              <w:right w:val="nil"/>
            </w:tcBorders>
          </w:tcPr>
          <w:p w14:paraId="269F60F0" w14:textId="77777777" w:rsidR="00465E2C" w:rsidRPr="00CD4846" w:rsidRDefault="00465E2C" w:rsidP="0058540A">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0.1143</w:t>
            </w:r>
          </w:p>
        </w:tc>
      </w:tr>
    </w:tbl>
    <w:p w14:paraId="542075C3" w14:textId="40909EFF" w:rsidR="00CD4846" w:rsidRPr="00CD4846" w:rsidRDefault="00CD4846" w:rsidP="0058540A">
      <w:pPr>
        <w:spacing w:line="240" w:lineRule="auto"/>
        <w:rPr>
          <w:lang/>
        </w:rPr>
      </w:pPr>
      <w:r w:rsidRPr="0058540A">
        <w:rPr>
          <w:rFonts w:cs="Times New Roman"/>
          <w:sz w:val="20"/>
          <w:szCs w:val="20"/>
          <w:lang/>
        </w:rPr>
        <w:t>Table A</w:t>
      </w:r>
      <w:r w:rsidRPr="0058540A">
        <w:rPr>
          <w:rFonts w:cs="Times New Roman"/>
          <w:sz w:val="20"/>
          <w:szCs w:val="20"/>
          <w:lang/>
        </w:rPr>
        <w:t>1</w:t>
      </w:r>
      <w:r w:rsidRPr="0058540A">
        <w:rPr>
          <w:rFonts w:cs="Times New Roman"/>
          <w:sz w:val="20"/>
          <w:szCs w:val="20"/>
          <w:lang/>
        </w:rPr>
        <w:t xml:space="preserve">9: PPMLHDFE regression results on establishment inward relocations under </w:t>
      </w:r>
      <w:r w:rsidRPr="0058540A">
        <w:rPr>
          <w:rFonts w:cs="Times New Roman"/>
          <w:sz w:val="20"/>
          <w:szCs w:val="20"/>
          <w:lang/>
        </w:rPr>
        <w:t>strict</w:t>
      </w:r>
      <w:r w:rsidRPr="0058540A">
        <w:rPr>
          <w:rFonts w:cs="Times New Roman"/>
          <w:sz w:val="20"/>
          <w:szCs w:val="20"/>
          <w:lang/>
        </w:rPr>
        <w:t xml:space="preserve"> PADs (GAP 1-</w:t>
      </w:r>
      <w:r w:rsidRPr="0058540A">
        <w:rPr>
          <w:rFonts w:cs="Times New Roman"/>
          <w:sz w:val="20"/>
          <w:szCs w:val="20"/>
          <w:lang/>
        </w:rPr>
        <w:t>2</w:t>
      </w:r>
      <w:r w:rsidRPr="0058540A">
        <w:rPr>
          <w:rFonts w:cs="Times New Roman"/>
          <w:sz w:val="20"/>
          <w:szCs w:val="20"/>
          <w:lang/>
        </w:rPr>
        <w:t xml:space="preserve">) are presented above. Column names correspond to a specific NAICS sector. </w:t>
      </w:r>
      <w:r w:rsidR="002A78A3" w:rsidRPr="00C624DB">
        <w:rPr>
          <w:sz w:val="20"/>
          <w:szCs w:val="20"/>
          <w:lang/>
        </w:rPr>
        <w:t xml:space="preserve">Standard errors are </w:t>
      </w:r>
      <w:r w:rsidR="002A78A3">
        <w:rPr>
          <w:sz w:val="20"/>
          <w:szCs w:val="20"/>
          <w:lang/>
        </w:rPr>
        <w:t xml:space="preserve">in parentheses and are </w:t>
      </w:r>
      <w:r w:rsidR="002A78A3" w:rsidRPr="00C624DB">
        <w:rPr>
          <w:sz w:val="20"/>
          <w:szCs w:val="20"/>
          <w:lang/>
        </w:rPr>
        <w:t xml:space="preserve">clustered at the county level. </w:t>
      </w:r>
      <w:r w:rsidR="002A78A3" w:rsidRPr="002C0F11">
        <w:rPr>
          <w:sz w:val="20"/>
          <w:szCs w:val="20"/>
          <w:lang/>
        </w:rPr>
        <w:t>Statistically significant impacts are denoted by asterisks. These asterisks denote statistical significance at the following levels: ***p &lt; 0.01, **p &lt; 0.05, *p &lt; 0.1.</w:t>
      </w:r>
      <w:r w:rsidRPr="0058540A">
        <w:rPr>
          <w:rFonts w:cs="Times New Roman"/>
          <w:sz w:val="20"/>
          <w:szCs w:val="20"/>
          <w:lang/>
        </w:rPr>
        <w:t>p-values of joint-tests on linear and quadratic PAD terms are shown in the last row.</w:t>
      </w:r>
      <w:r w:rsidRPr="00CD4846">
        <w:rPr>
          <w:lang/>
        </w:rPr>
        <w:br w:type="page"/>
      </w:r>
    </w:p>
    <w:p w14:paraId="7C52A057" w14:textId="77777777" w:rsidR="00CD4846" w:rsidRPr="00CD4846" w:rsidRDefault="00CD4846" w:rsidP="00095E25">
      <w:pPr>
        <w:pStyle w:val="Title"/>
      </w:pPr>
      <w:bookmarkStart w:id="279" w:name="_Toc186799424"/>
      <w:bookmarkStart w:id="280" w:name="_Toc188359625"/>
      <w:bookmarkStart w:id="281" w:name="_Toc188359913"/>
      <w:bookmarkStart w:id="282" w:name="_Toc188361149"/>
      <w:bookmarkStart w:id="283" w:name="_Toc188366993"/>
      <w:r w:rsidRPr="00CD4846">
        <w:lastRenderedPageBreak/>
        <w:t>Table A20: Regression Results of Strict PADs on Intra-State Inward Relocations</w:t>
      </w:r>
      <w:bookmarkEnd w:id="279"/>
      <w:bookmarkEnd w:id="280"/>
      <w:bookmarkEnd w:id="281"/>
      <w:bookmarkEnd w:id="282"/>
      <w:bookmarkEnd w:id="283"/>
    </w:p>
    <w:tbl>
      <w:tblPr>
        <w:tblW w:w="5000" w:type="pct"/>
        <w:tblLook w:val="04A0" w:firstRow="1" w:lastRow="0" w:firstColumn="1" w:lastColumn="0" w:noHBand="0" w:noVBand="1"/>
      </w:tblPr>
      <w:tblGrid>
        <w:gridCol w:w="3010"/>
        <w:gridCol w:w="1099"/>
        <w:gridCol w:w="1211"/>
        <w:gridCol w:w="1185"/>
        <w:gridCol w:w="1419"/>
        <w:gridCol w:w="1436"/>
      </w:tblGrid>
      <w:tr w:rsidR="009D3026" w:rsidRPr="00CD4846" w14:paraId="130867AB" w14:textId="77777777" w:rsidTr="00B82EB9">
        <w:tc>
          <w:tcPr>
            <w:tcW w:w="1608" w:type="pct"/>
            <w:tcBorders>
              <w:top w:val="single" w:sz="4" w:space="0" w:color="auto"/>
              <w:left w:val="nil"/>
              <w:bottom w:val="single" w:sz="4" w:space="0" w:color="auto"/>
              <w:right w:val="nil"/>
            </w:tcBorders>
          </w:tcPr>
          <w:p w14:paraId="08DE1608" w14:textId="25ABC694" w:rsidR="00CD4846" w:rsidRPr="00CD4846" w:rsidRDefault="00CD4846" w:rsidP="007B3B75">
            <w:pPr>
              <w:widowControl w:val="0"/>
              <w:autoSpaceDE w:val="0"/>
              <w:autoSpaceDN w:val="0"/>
              <w:adjustRightInd w:val="0"/>
              <w:spacing w:line="240" w:lineRule="auto"/>
              <w:rPr>
                <w:rFonts w:cs="Times New Roman"/>
                <w:b/>
                <w:bCs/>
                <w:kern w:val="2"/>
                <w:sz w:val="20"/>
                <w:szCs w:val="20"/>
                <w:lang/>
              </w:rPr>
            </w:pPr>
            <w:r w:rsidRPr="00CD4846">
              <w:rPr>
                <w:rFonts w:cs="Times New Roman"/>
                <w:b/>
                <w:bCs/>
                <w:kern w:val="2"/>
                <w:sz w:val="20"/>
                <w:szCs w:val="20"/>
                <w:lang/>
              </w:rPr>
              <w:t>Variable</w:t>
            </w:r>
          </w:p>
        </w:tc>
        <w:tc>
          <w:tcPr>
            <w:tcW w:w="587" w:type="pct"/>
            <w:tcBorders>
              <w:top w:val="single" w:sz="4" w:space="0" w:color="auto"/>
              <w:left w:val="nil"/>
              <w:bottom w:val="single" w:sz="4" w:space="0" w:color="auto"/>
              <w:right w:val="nil"/>
            </w:tcBorders>
          </w:tcPr>
          <w:p w14:paraId="4AFFDE16" w14:textId="49EDDAA1" w:rsidR="00CD4846" w:rsidRPr="00CD4846" w:rsidRDefault="00CD4846" w:rsidP="007B3B75">
            <w:pPr>
              <w:widowControl w:val="0"/>
              <w:autoSpaceDE w:val="0"/>
              <w:autoSpaceDN w:val="0"/>
              <w:adjustRightInd w:val="0"/>
              <w:spacing w:line="240" w:lineRule="auto"/>
              <w:rPr>
                <w:rFonts w:cs="Times New Roman"/>
                <w:b/>
                <w:bCs/>
                <w:kern w:val="2"/>
                <w:sz w:val="20"/>
                <w:szCs w:val="20"/>
                <w:lang/>
              </w:rPr>
            </w:pPr>
            <w:r w:rsidRPr="00CD4846">
              <w:rPr>
                <w:rFonts w:cs="Times New Roman"/>
                <w:b/>
                <w:bCs/>
                <w:kern w:val="2"/>
                <w:sz w:val="20"/>
                <w:szCs w:val="20"/>
                <w:lang/>
              </w:rPr>
              <w:t>NAICS 11</w:t>
            </w:r>
          </w:p>
        </w:tc>
        <w:tc>
          <w:tcPr>
            <w:tcW w:w="647" w:type="pct"/>
            <w:tcBorders>
              <w:top w:val="single" w:sz="4" w:space="0" w:color="auto"/>
              <w:left w:val="nil"/>
              <w:bottom w:val="single" w:sz="4" w:space="0" w:color="auto"/>
              <w:right w:val="nil"/>
            </w:tcBorders>
          </w:tcPr>
          <w:p w14:paraId="54F7E023" w14:textId="44E93B8A" w:rsidR="00CD4846" w:rsidRPr="00CD4846" w:rsidRDefault="00CD4846" w:rsidP="007B3B75">
            <w:pPr>
              <w:widowControl w:val="0"/>
              <w:autoSpaceDE w:val="0"/>
              <w:autoSpaceDN w:val="0"/>
              <w:adjustRightInd w:val="0"/>
              <w:spacing w:line="240" w:lineRule="auto"/>
              <w:rPr>
                <w:rFonts w:cs="Times New Roman"/>
                <w:b/>
                <w:bCs/>
                <w:kern w:val="2"/>
                <w:sz w:val="20"/>
                <w:szCs w:val="20"/>
                <w:lang/>
              </w:rPr>
            </w:pPr>
            <w:r w:rsidRPr="00CD4846">
              <w:rPr>
                <w:rFonts w:cs="Times New Roman"/>
                <w:b/>
                <w:bCs/>
                <w:kern w:val="2"/>
                <w:sz w:val="20"/>
                <w:szCs w:val="20"/>
                <w:lang/>
              </w:rPr>
              <w:t>NAICS 21</w:t>
            </w:r>
          </w:p>
        </w:tc>
        <w:tc>
          <w:tcPr>
            <w:tcW w:w="633" w:type="pct"/>
            <w:tcBorders>
              <w:top w:val="single" w:sz="4" w:space="0" w:color="auto"/>
              <w:left w:val="nil"/>
              <w:bottom w:val="single" w:sz="4" w:space="0" w:color="auto"/>
              <w:right w:val="nil"/>
            </w:tcBorders>
          </w:tcPr>
          <w:p w14:paraId="445E7901" w14:textId="429DE9EF" w:rsidR="00CD4846" w:rsidRPr="00CD4846" w:rsidRDefault="00CD4846" w:rsidP="007B3B75">
            <w:pPr>
              <w:widowControl w:val="0"/>
              <w:autoSpaceDE w:val="0"/>
              <w:autoSpaceDN w:val="0"/>
              <w:adjustRightInd w:val="0"/>
              <w:spacing w:line="240" w:lineRule="auto"/>
              <w:rPr>
                <w:rFonts w:cs="Times New Roman"/>
                <w:b/>
                <w:bCs/>
                <w:kern w:val="2"/>
                <w:sz w:val="20"/>
                <w:szCs w:val="20"/>
                <w:lang/>
              </w:rPr>
            </w:pPr>
            <w:r w:rsidRPr="00CD4846">
              <w:rPr>
                <w:rFonts w:cs="Times New Roman"/>
                <w:b/>
                <w:bCs/>
                <w:kern w:val="2"/>
                <w:sz w:val="20"/>
                <w:szCs w:val="20"/>
                <w:lang/>
              </w:rPr>
              <w:t>NAICS 22</w:t>
            </w:r>
          </w:p>
        </w:tc>
        <w:tc>
          <w:tcPr>
            <w:tcW w:w="758" w:type="pct"/>
            <w:tcBorders>
              <w:top w:val="single" w:sz="4" w:space="0" w:color="auto"/>
              <w:left w:val="nil"/>
              <w:bottom w:val="single" w:sz="4" w:space="0" w:color="auto"/>
              <w:right w:val="nil"/>
            </w:tcBorders>
          </w:tcPr>
          <w:p w14:paraId="7754F07B" w14:textId="3F2456A2" w:rsidR="00CD4846" w:rsidRPr="00CD4846" w:rsidRDefault="00CD4846" w:rsidP="007B3B75">
            <w:pPr>
              <w:widowControl w:val="0"/>
              <w:autoSpaceDE w:val="0"/>
              <w:autoSpaceDN w:val="0"/>
              <w:adjustRightInd w:val="0"/>
              <w:spacing w:line="240" w:lineRule="auto"/>
              <w:rPr>
                <w:rFonts w:cs="Times New Roman"/>
                <w:b/>
                <w:bCs/>
                <w:kern w:val="2"/>
                <w:sz w:val="20"/>
                <w:szCs w:val="20"/>
                <w:lang/>
              </w:rPr>
            </w:pPr>
            <w:r w:rsidRPr="00CD4846">
              <w:rPr>
                <w:rFonts w:cs="Times New Roman"/>
                <w:b/>
                <w:bCs/>
                <w:kern w:val="2"/>
                <w:sz w:val="20"/>
                <w:szCs w:val="20"/>
                <w:lang/>
              </w:rPr>
              <w:t>NAICS 23</w:t>
            </w:r>
          </w:p>
        </w:tc>
        <w:tc>
          <w:tcPr>
            <w:tcW w:w="767" w:type="pct"/>
            <w:tcBorders>
              <w:top w:val="single" w:sz="4" w:space="0" w:color="auto"/>
              <w:left w:val="nil"/>
              <w:bottom w:val="single" w:sz="4" w:space="0" w:color="auto"/>
              <w:right w:val="nil"/>
            </w:tcBorders>
          </w:tcPr>
          <w:p w14:paraId="109A85B7" w14:textId="701C5266" w:rsidR="00CD4846" w:rsidRPr="00CD4846" w:rsidRDefault="00CD4846" w:rsidP="007B3B75">
            <w:pPr>
              <w:widowControl w:val="0"/>
              <w:autoSpaceDE w:val="0"/>
              <w:autoSpaceDN w:val="0"/>
              <w:adjustRightInd w:val="0"/>
              <w:spacing w:line="240" w:lineRule="auto"/>
              <w:rPr>
                <w:rFonts w:cs="Times New Roman"/>
                <w:b/>
                <w:bCs/>
                <w:kern w:val="2"/>
                <w:sz w:val="20"/>
                <w:szCs w:val="20"/>
                <w:lang/>
              </w:rPr>
            </w:pPr>
            <w:r w:rsidRPr="00CD4846">
              <w:rPr>
                <w:rFonts w:cs="Times New Roman"/>
                <w:b/>
                <w:bCs/>
                <w:kern w:val="2"/>
                <w:sz w:val="20"/>
                <w:szCs w:val="20"/>
                <w:lang/>
              </w:rPr>
              <w:t>NAICS 31-33</w:t>
            </w:r>
          </w:p>
        </w:tc>
      </w:tr>
      <w:tr w:rsidR="009D3026" w:rsidRPr="00CD4846" w14:paraId="606B09C7" w14:textId="77777777" w:rsidTr="00B82EB9">
        <w:tc>
          <w:tcPr>
            <w:tcW w:w="1608" w:type="pct"/>
            <w:tcBorders>
              <w:top w:val="single" w:sz="4" w:space="0" w:color="auto"/>
              <w:left w:val="nil"/>
              <w:bottom w:val="nil"/>
              <w:right w:val="nil"/>
            </w:tcBorders>
          </w:tcPr>
          <w:p w14:paraId="447DC8B6"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Strict PAD(t-1)</w:t>
            </w:r>
          </w:p>
        </w:tc>
        <w:tc>
          <w:tcPr>
            <w:tcW w:w="587" w:type="pct"/>
            <w:tcBorders>
              <w:top w:val="single" w:sz="4" w:space="0" w:color="auto"/>
              <w:left w:val="nil"/>
              <w:bottom w:val="nil"/>
              <w:right w:val="nil"/>
            </w:tcBorders>
          </w:tcPr>
          <w:p w14:paraId="2889D3CC"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-18.609*</w:t>
            </w:r>
          </w:p>
        </w:tc>
        <w:tc>
          <w:tcPr>
            <w:tcW w:w="647" w:type="pct"/>
            <w:tcBorders>
              <w:top w:val="single" w:sz="4" w:space="0" w:color="auto"/>
              <w:left w:val="nil"/>
              <w:bottom w:val="nil"/>
              <w:right w:val="nil"/>
            </w:tcBorders>
          </w:tcPr>
          <w:p w14:paraId="4A8EFF3E"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16.505</w:t>
            </w:r>
          </w:p>
        </w:tc>
        <w:tc>
          <w:tcPr>
            <w:tcW w:w="633" w:type="pct"/>
            <w:tcBorders>
              <w:top w:val="single" w:sz="4" w:space="0" w:color="auto"/>
              <w:left w:val="nil"/>
              <w:bottom w:val="nil"/>
              <w:right w:val="nil"/>
            </w:tcBorders>
          </w:tcPr>
          <w:p w14:paraId="6AE2C7F6"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12.860</w:t>
            </w:r>
          </w:p>
        </w:tc>
        <w:tc>
          <w:tcPr>
            <w:tcW w:w="758" w:type="pct"/>
            <w:tcBorders>
              <w:top w:val="single" w:sz="4" w:space="0" w:color="auto"/>
              <w:left w:val="nil"/>
              <w:bottom w:val="nil"/>
              <w:right w:val="nil"/>
            </w:tcBorders>
          </w:tcPr>
          <w:p w14:paraId="191E0B6D"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-2.034</w:t>
            </w:r>
          </w:p>
        </w:tc>
        <w:tc>
          <w:tcPr>
            <w:tcW w:w="767" w:type="pct"/>
            <w:tcBorders>
              <w:top w:val="single" w:sz="4" w:space="0" w:color="auto"/>
              <w:left w:val="nil"/>
              <w:bottom w:val="nil"/>
              <w:right w:val="nil"/>
            </w:tcBorders>
          </w:tcPr>
          <w:p w14:paraId="30A90D2B"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-2.735</w:t>
            </w:r>
          </w:p>
        </w:tc>
      </w:tr>
      <w:tr w:rsidR="009D3026" w:rsidRPr="00CD4846" w14:paraId="17FDBE69" w14:textId="77777777" w:rsidTr="00B82EB9">
        <w:tc>
          <w:tcPr>
            <w:tcW w:w="1608" w:type="pct"/>
            <w:tcBorders>
              <w:top w:val="nil"/>
              <w:left w:val="nil"/>
              <w:bottom w:val="nil"/>
              <w:right w:val="nil"/>
            </w:tcBorders>
          </w:tcPr>
          <w:p w14:paraId="05630B5C" w14:textId="09921330" w:rsidR="00CD4846" w:rsidRPr="00CD4846" w:rsidRDefault="00CD4846" w:rsidP="007B3B75">
            <w:pPr>
              <w:widowControl w:val="0"/>
              <w:autoSpaceDE w:val="0"/>
              <w:autoSpaceDN w:val="0"/>
              <w:adjustRightInd w:val="0"/>
              <w:spacing w:line="240" w:lineRule="auto"/>
              <w:rPr>
                <w:rFonts w:cs="Times New Roman"/>
                <w:kern w:val="2"/>
                <w:sz w:val="20"/>
                <w:szCs w:val="20"/>
                <w:lang/>
              </w:rPr>
            </w:pPr>
          </w:p>
        </w:tc>
        <w:tc>
          <w:tcPr>
            <w:tcW w:w="587" w:type="pct"/>
            <w:tcBorders>
              <w:top w:val="nil"/>
              <w:left w:val="nil"/>
              <w:bottom w:val="nil"/>
              <w:right w:val="nil"/>
            </w:tcBorders>
          </w:tcPr>
          <w:p w14:paraId="43B789C2"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(11.125)</w:t>
            </w:r>
          </w:p>
        </w:tc>
        <w:tc>
          <w:tcPr>
            <w:tcW w:w="647" w:type="pct"/>
            <w:tcBorders>
              <w:top w:val="nil"/>
              <w:left w:val="nil"/>
              <w:bottom w:val="nil"/>
              <w:right w:val="nil"/>
            </w:tcBorders>
          </w:tcPr>
          <w:p w14:paraId="732CC04C"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(11.890)</w:t>
            </w:r>
          </w:p>
        </w:tc>
        <w:tc>
          <w:tcPr>
            <w:tcW w:w="633" w:type="pct"/>
            <w:tcBorders>
              <w:top w:val="nil"/>
              <w:left w:val="nil"/>
              <w:bottom w:val="nil"/>
              <w:right w:val="nil"/>
            </w:tcBorders>
          </w:tcPr>
          <w:p w14:paraId="16DA283C"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(8.962)</w:t>
            </w:r>
          </w:p>
        </w:tc>
        <w:tc>
          <w:tcPr>
            <w:tcW w:w="758" w:type="pct"/>
            <w:tcBorders>
              <w:top w:val="nil"/>
              <w:left w:val="nil"/>
              <w:bottom w:val="nil"/>
              <w:right w:val="nil"/>
            </w:tcBorders>
          </w:tcPr>
          <w:p w14:paraId="4A464CC1"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(1.404)</w:t>
            </w:r>
          </w:p>
        </w:tc>
        <w:tc>
          <w:tcPr>
            <w:tcW w:w="767" w:type="pct"/>
            <w:tcBorders>
              <w:top w:val="nil"/>
              <w:left w:val="nil"/>
              <w:bottom w:val="nil"/>
              <w:right w:val="nil"/>
            </w:tcBorders>
          </w:tcPr>
          <w:p w14:paraId="05FB627B"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(2.779)</w:t>
            </w:r>
          </w:p>
        </w:tc>
      </w:tr>
      <w:tr w:rsidR="009D3026" w:rsidRPr="00CD4846" w14:paraId="7355329C" w14:textId="77777777" w:rsidTr="00B82EB9">
        <w:tc>
          <w:tcPr>
            <w:tcW w:w="1608" w:type="pct"/>
            <w:tcBorders>
              <w:top w:val="nil"/>
              <w:left w:val="nil"/>
              <w:bottom w:val="nil"/>
              <w:right w:val="nil"/>
            </w:tcBorders>
          </w:tcPr>
          <w:p w14:paraId="7C7E7EAF"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Strict PAD Sq. (t-1)</w:t>
            </w:r>
          </w:p>
        </w:tc>
        <w:tc>
          <w:tcPr>
            <w:tcW w:w="587" w:type="pct"/>
            <w:tcBorders>
              <w:top w:val="nil"/>
              <w:left w:val="nil"/>
              <w:bottom w:val="nil"/>
              <w:right w:val="nil"/>
            </w:tcBorders>
          </w:tcPr>
          <w:p w14:paraId="1BCEF6CA"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39.515*</w:t>
            </w:r>
          </w:p>
        </w:tc>
        <w:tc>
          <w:tcPr>
            <w:tcW w:w="647" w:type="pct"/>
            <w:tcBorders>
              <w:top w:val="nil"/>
              <w:left w:val="nil"/>
              <w:bottom w:val="nil"/>
              <w:right w:val="nil"/>
            </w:tcBorders>
          </w:tcPr>
          <w:p w14:paraId="6DDE568E"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-20.639</w:t>
            </w:r>
          </w:p>
        </w:tc>
        <w:tc>
          <w:tcPr>
            <w:tcW w:w="633" w:type="pct"/>
            <w:tcBorders>
              <w:top w:val="nil"/>
              <w:left w:val="nil"/>
              <w:bottom w:val="nil"/>
              <w:right w:val="nil"/>
            </w:tcBorders>
          </w:tcPr>
          <w:p w14:paraId="05AB881D"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-21.238</w:t>
            </w:r>
          </w:p>
        </w:tc>
        <w:tc>
          <w:tcPr>
            <w:tcW w:w="758" w:type="pct"/>
            <w:tcBorders>
              <w:top w:val="nil"/>
              <w:left w:val="nil"/>
              <w:bottom w:val="nil"/>
              <w:right w:val="nil"/>
            </w:tcBorders>
          </w:tcPr>
          <w:p w14:paraId="20918433"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0.905</w:t>
            </w:r>
          </w:p>
        </w:tc>
        <w:tc>
          <w:tcPr>
            <w:tcW w:w="767" w:type="pct"/>
            <w:tcBorders>
              <w:top w:val="nil"/>
              <w:left w:val="nil"/>
              <w:bottom w:val="nil"/>
              <w:right w:val="nil"/>
            </w:tcBorders>
          </w:tcPr>
          <w:p w14:paraId="09894CD5"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0.640</w:t>
            </w:r>
          </w:p>
        </w:tc>
      </w:tr>
      <w:tr w:rsidR="009D3026" w:rsidRPr="00CD4846" w14:paraId="5CDB48D4" w14:textId="77777777" w:rsidTr="00B82EB9">
        <w:tc>
          <w:tcPr>
            <w:tcW w:w="1608" w:type="pct"/>
            <w:tcBorders>
              <w:top w:val="nil"/>
              <w:left w:val="nil"/>
              <w:bottom w:val="nil"/>
              <w:right w:val="nil"/>
            </w:tcBorders>
          </w:tcPr>
          <w:p w14:paraId="26838375" w14:textId="43F6BCED" w:rsidR="00CD4846" w:rsidRPr="00CD4846" w:rsidRDefault="00CD4846" w:rsidP="007B3B75">
            <w:pPr>
              <w:widowControl w:val="0"/>
              <w:autoSpaceDE w:val="0"/>
              <w:autoSpaceDN w:val="0"/>
              <w:adjustRightInd w:val="0"/>
              <w:spacing w:line="240" w:lineRule="auto"/>
              <w:rPr>
                <w:rFonts w:cs="Times New Roman"/>
                <w:kern w:val="2"/>
                <w:sz w:val="20"/>
                <w:szCs w:val="20"/>
                <w:lang/>
              </w:rPr>
            </w:pPr>
          </w:p>
        </w:tc>
        <w:tc>
          <w:tcPr>
            <w:tcW w:w="587" w:type="pct"/>
            <w:tcBorders>
              <w:top w:val="nil"/>
              <w:left w:val="nil"/>
              <w:bottom w:val="nil"/>
              <w:right w:val="nil"/>
            </w:tcBorders>
          </w:tcPr>
          <w:p w14:paraId="1E56F1DA"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(21.684)</w:t>
            </w:r>
          </w:p>
        </w:tc>
        <w:tc>
          <w:tcPr>
            <w:tcW w:w="647" w:type="pct"/>
            <w:tcBorders>
              <w:top w:val="nil"/>
              <w:left w:val="nil"/>
              <w:bottom w:val="nil"/>
              <w:right w:val="nil"/>
            </w:tcBorders>
          </w:tcPr>
          <w:p w14:paraId="08890394"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(20.325)</w:t>
            </w:r>
          </w:p>
        </w:tc>
        <w:tc>
          <w:tcPr>
            <w:tcW w:w="633" w:type="pct"/>
            <w:tcBorders>
              <w:top w:val="nil"/>
              <w:left w:val="nil"/>
              <w:bottom w:val="nil"/>
              <w:right w:val="nil"/>
            </w:tcBorders>
          </w:tcPr>
          <w:p w14:paraId="0B5AEDE8"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(13.346)</w:t>
            </w:r>
          </w:p>
        </w:tc>
        <w:tc>
          <w:tcPr>
            <w:tcW w:w="758" w:type="pct"/>
            <w:tcBorders>
              <w:top w:val="nil"/>
              <w:left w:val="nil"/>
              <w:bottom w:val="nil"/>
              <w:right w:val="nil"/>
            </w:tcBorders>
          </w:tcPr>
          <w:p w14:paraId="3A65860B"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(2.980)</w:t>
            </w:r>
          </w:p>
        </w:tc>
        <w:tc>
          <w:tcPr>
            <w:tcW w:w="767" w:type="pct"/>
            <w:tcBorders>
              <w:top w:val="nil"/>
              <w:left w:val="nil"/>
              <w:bottom w:val="nil"/>
              <w:right w:val="nil"/>
            </w:tcBorders>
          </w:tcPr>
          <w:p w14:paraId="63D426A4"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(5.246)</w:t>
            </w:r>
          </w:p>
        </w:tc>
      </w:tr>
      <w:tr w:rsidR="009D3026" w:rsidRPr="00CD4846" w14:paraId="73BADB4A" w14:textId="77777777" w:rsidTr="00B82EB9">
        <w:tc>
          <w:tcPr>
            <w:tcW w:w="1608" w:type="pct"/>
            <w:tcBorders>
              <w:top w:val="nil"/>
              <w:left w:val="nil"/>
              <w:bottom w:val="nil"/>
              <w:right w:val="nil"/>
            </w:tcBorders>
          </w:tcPr>
          <w:p w14:paraId="6385D264" w14:textId="6BBABB8B"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Loc. Economies (t-1) (10ks)</w:t>
            </w:r>
          </w:p>
        </w:tc>
        <w:tc>
          <w:tcPr>
            <w:tcW w:w="587" w:type="pct"/>
            <w:tcBorders>
              <w:top w:val="nil"/>
              <w:left w:val="nil"/>
              <w:bottom w:val="nil"/>
              <w:right w:val="nil"/>
            </w:tcBorders>
          </w:tcPr>
          <w:p w14:paraId="1FE53D51"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-32.292</w:t>
            </w:r>
          </w:p>
        </w:tc>
        <w:tc>
          <w:tcPr>
            <w:tcW w:w="647" w:type="pct"/>
            <w:tcBorders>
              <w:top w:val="nil"/>
              <w:left w:val="nil"/>
              <w:bottom w:val="nil"/>
              <w:right w:val="nil"/>
            </w:tcBorders>
          </w:tcPr>
          <w:p w14:paraId="386E10FC"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10.163</w:t>
            </w:r>
          </w:p>
        </w:tc>
        <w:tc>
          <w:tcPr>
            <w:tcW w:w="633" w:type="pct"/>
            <w:tcBorders>
              <w:top w:val="nil"/>
              <w:left w:val="nil"/>
              <w:bottom w:val="nil"/>
              <w:right w:val="nil"/>
            </w:tcBorders>
          </w:tcPr>
          <w:p w14:paraId="718E751A"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-246.029**</w:t>
            </w:r>
          </w:p>
        </w:tc>
        <w:tc>
          <w:tcPr>
            <w:tcW w:w="758" w:type="pct"/>
            <w:tcBorders>
              <w:top w:val="nil"/>
              <w:left w:val="nil"/>
              <w:bottom w:val="nil"/>
              <w:right w:val="nil"/>
            </w:tcBorders>
          </w:tcPr>
          <w:p w14:paraId="012F5352"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0.115</w:t>
            </w:r>
          </w:p>
        </w:tc>
        <w:tc>
          <w:tcPr>
            <w:tcW w:w="767" w:type="pct"/>
            <w:tcBorders>
              <w:top w:val="nil"/>
              <w:left w:val="nil"/>
              <w:bottom w:val="nil"/>
              <w:right w:val="nil"/>
            </w:tcBorders>
          </w:tcPr>
          <w:p w14:paraId="0F9C216C"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-0.842</w:t>
            </w:r>
          </w:p>
        </w:tc>
      </w:tr>
      <w:tr w:rsidR="009D3026" w:rsidRPr="00CD4846" w14:paraId="713B72F0" w14:textId="77777777" w:rsidTr="00B82EB9">
        <w:tc>
          <w:tcPr>
            <w:tcW w:w="1608" w:type="pct"/>
            <w:tcBorders>
              <w:top w:val="nil"/>
              <w:left w:val="nil"/>
              <w:bottom w:val="nil"/>
              <w:right w:val="nil"/>
            </w:tcBorders>
          </w:tcPr>
          <w:p w14:paraId="627B8DEB" w14:textId="75B9AF77" w:rsidR="00CD4846" w:rsidRPr="00CD4846" w:rsidRDefault="00CD4846" w:rsidP="007B3B75">
            <w:pPr>
              <w:widowControl w:val="0"/>
              <w:autoSpaceDE w:val="0"/>
              <w:autoSpaceDN w:val="0"/>
              <w:adjustRightInd w:val="0"/>
              <w:spacing w:line="240" w:lineRule="auto"/>
              <w:rPr>
                <w:rFonts w:cs="Times New Roman"/>
                <w:kern w:val="2"/>
                <w:sz w:val="20"/>
                <w:szCs w:val="20"/>
                <w:lang/>
              </w:rPr>
            </w:pPr>
          </w:p>
        </w:tc>
        <w:tc>
          <w:tcPr>
            <w:tcW w:w="587" w:type="pct"/>
            <w:tcBorders>
              <w:top w:val="nil"/>
              <w:left w:val="nil"/>
              <w:bottom w:val="nil"/>
              <w:right w:val="nil"/>
            </w:tcBorders>
          </w:tcPr>
          <w:p w14:paraId="3900657C"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(43.151)</w:t>
            </w:r>
          </w:p>
        </w:tc>
        <w:tc>
          <w:tcPr>
            <w:tcW w:w="647" w:type="pct"/>
            <w:tcBorders>
              <w:top w:val="nil"/>
              <w:left w:val="nil"/>
              <w:bottom w:val="nil"/>
              <w:right w:val="nil"/>
            </w:tcBorders>
          </w:tcPr>
          <w:p w14:paraId="5F421C36"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(23.319)</w:t>
            </w:r>
          </w:p>
        </w:tc>
        <w:tc>
          <w:tcPr>
            <w:tcW w:w="633" w:type="pct"/>
            <w:tcBorders>
              <w:top w:val="nil"/>
              <w:left w:val="nil"/>
              <w:bottom w:val="nil"/>
              <w:right w:val="nil"/>
            </w:tcBorders>
          </w:tcPr>
          <w:p w14:paraId="06413F7A"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(121.164)</w:t>
            </w:r>
          </w:p>
        </w:tc>
        <w:tc>
          <w:tcPr>
            <w:tcW w:w="758" w:type="pct"/>
            <w:tcBorders>
              <w:top w:val="nil"/>
              <w:left w:val="nil"/>
              <w:bottom w:val="nil"/>
              <w:right w:val="nil"/>
            </w:tcBorders>
          </w:tcPr>
          <w:p w14:paraId="102CE877"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(0.333)</w:t>
            </w:r>
          </w:p>
        </w:tc>
        <w:tc>
          <w:tcPr>
            <w:tcW w:w="767" w:type="pct"/>
            <w:tcBorders>
              <w:top w:val="nil"/>
              <w:left w:val="nil"/>
              <w:bottom w:val="nil"/>
              <w:right w:val="nil"/>
            </w:tcBorders>
          </w:tcPr>
          <w:p w14:paraId="25DED91A"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(0.985)</w:t>
            </w:r>
          </w:p>
        </w:tc>
      </w:tr>
      <w:tr w:rsidR="009D3026" w:rsidRPr="00CD4846" w14:paraId="2BF736AE" w14:textId="77777777" w:rsidTr="00B82EB9">
        <w:tc>
          <w:tcPr>
            <w:tcW w:w="1608" w:type="pct"/>
            <w:tcBorders>
              <w:top w:val="nil"/>
              <w:left w:val="nil"/>
              <w:bottom w:val="nil"/>
              <w:right w:val="nil"/>
            </w:tcBorders>
          </w:tcPr>
          <w:p w14:paraId="10B55FBF" w14:textId="6F8D5EB1"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Median HH Income (100ks)</w:t>
            </w:r>
          </w:p>
        </w:tc>
        <w:tc>
          <w:tcPr>
            <w:tcW w:w="587" w:type="pct"/>
            <w:tcBorders>
              <w:top w:val="nil"/>
              <w:left w:val="nil"/>
              <w:bottom w:val="nil"/>
              <w:right w:val="nil"/>
            </w:tcBorders>
          </w:tcPr>
          <w:p w14:paraId="1926CDEC"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-2.102</w:t>
            </w:r>
          </w:p>
        </w:tc>
        <w:tc>
          <w:tcPr>
            <w:tcW w:w="647" w:type="pct"/>
            <w:tcBorders>
              <w:top w:val="nil"/>
              <w:left w:val="nil"/>
              <w:bottom w:val="nil"/>
              <w:right w:val="nil"/>
            </w:tcBorders>
          </w:tcPr>
          <w:p w14:paraId="00B69EAB"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-0.553</w:t>
            </w:r>
          </w:p>
        </w:tc>
        <w:tc>
          <w:tcPr>
            <w:tcW w:w="633" w:type="pct"/>
            <w:tcBorders>
              <w:top w:val="nil"/>
              <w:left w:val="nil"/>
              <w:bottom w:val="nil"/>
              <w:right w:val="nil"/>
            </w:tcBorders>
          </w:tcPr>
          <w:p w14:paraId="78F1C7FB"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0.777</w:t>
            </w:r>
          </w:p>
        </w:tc>
        <w:tc>
          <w:tcPr>
            <w:tcW w:w="758" w:type="pct"/>
            <w:tcBorders>
              <w:top w:val="nil"/>
              <w:left w:val="nil"/>
              <w:bottom w:val="nil"/>
              <w:right w:val="nil"/>
            </w:tcBorders>
          </w:tcPr>
          <w:p w14:paraId="6E91DB6C"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0.102</w:t>
            </w:r>
          </w:p>
        </w:tc>
        <w:tc>
          <w:tcPr>
            <w:tcW w:w="767" w:type="pct"/>
            <w:tcBorders>
              <w:top w:val="nil"/>
              <w:left w:val="nil"/>
              <w:bottom w:val="nil"/>
              <w:right w:val="nil"/>
            </w:tcBorders>
          </w:tcPr>
          <w:p w14:paraId="6C9BB18C"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-0.250</w:t>
            </w:r>
          </w:p>
        </w:tc>
      </w:tr>
      <w:tr w:rsidR="009D3026" w:rsidRPr="00CD4846" w14:paraId="515610B6" w14:textId="77777777" w:rsidTr="00B82EB9">
        <w:tc>
          <w:tcPr>
            <w:tcW w:w="1608" w:type="pct"/>
            <w:tcBorders>
              <w:top w:val="nil"/>
              <w:left w:val="nil"/>
              <w:bottom w:val="nil"/>
              <w:right w:val="nil"/>
            </w:tcBorders>
          </w:tcPr>
          <w:p w14:paraId="45F97D90" w14:textId="1D768CE3" w:rsidR="00CD4846" w:rsidRPr="00CD4846" w:rsidRDefault="00CD4846" w:rsidP="007B3B75">
            <w:pPr>
              <w:widowControl w:val="0"/>
              <w:autoSpaceDE w:val="0"/>
              <w:autoSpaceDN w:val="0"/>
              <w:adjustRightInd w:val="0"/>
              <w:spacing w:line="240" w:lineRule="auto"/>
              <w:rPr>
                <w:rFonts w:cs="Times New Roman"/>
                <w:kern w:val="2"/>
                <w:sz w:val="20"/>
                <w:szCs w:val="20"/>
                <w:lang/>
              </w:rPr>
            </w:pPr>
          </w:p>
        </w:tc>
        <w:tc>
          <w:tcPr>
            <w:tcW w:w="587" w:type="pct"/>
            <w:tcBorders>
              <w:top w:val="nil"/>
              <w:left w:val="nil"/>
              <w:bottom w:val="nil"/>
              <w:right w:val="nil"/>
            </w:tcBorders>
          </w:tcPr>
          <w:p w14:paraId="0F52DAAD"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(2.080)</w:t>
            </w:r>
          </w:p>
        </w:tc>
        <w:tc>
          <w:tcPr>
            <w:tcW w:w="647" w:type="pct"/>
            <w:tcBorders>
              <w:top w:val="nil"/>
              <w:left w:val="nil"/>
              <w:bottom w:val="nil"/>
              <w:right w:val="nil"/>
            </w:tcBorders>
          </w:tcPr>
          <w:p w14:paraId="789BDEC2"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(2.337)</w:t>
            </w:r>
          </w:p>
        </w:tc>
        <w:tc>
          <w:tcPr>
            <w:tcW w:w="633" w:type="pct"/>
            <w:tcBorders>
              <w:top w:val="nil"/>
              <w:left w:val="nil"/>
              <w:bottom w:val="nil"/>
              <w:right w:val="nil"/>
            </w:tcBorders>
          </w:tcPr>
          <w:p w14:paraId="0EBDB65C"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(3.263)</w:t>
            </w:r>
          </w:p>
        </w:tc>
        <w:tc>
          <w:tcPr>
            <w:tcW w:w="758" w:type="pct"/>
            <w:tcBorders>
              <w:top w:val="nil"/>
              <w:left w:val="nil"/>
              <w:bottom w:val="nil"/>
              <w:right w:val="nil"/>
            </w:tcBorders>
          </w:tcPr>
          <w:p w14:paraId="1F09A0E5"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(0.347)</w:t>
            </w:r>
          </w:p>
        </w:tc>
        <w:tc>
          <w:tcPr>
            <w:tcW w:w="767" w:type="pct"/>
            <w:tcBorders>
              <w:top w:val="nil"/>
              <w:left w:val="nil"/>
              <w:bottom w:val="nil"/>
              <w:right w:val="nil"/>
            </w:tcBorders>
          </w:tcPr>
          <w:p w14:paraId="4F6E30E1"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(0.572)</w:t>
            </w:r>
          </w:p>
        </w:tc>
      </w:tr>
      <w:tr w:rsidR="009D3026" w:rsidRPr="00CD4846" w14:paraId="2C07182A" w14:textId="77777777" w:rsidTr="00B82EB9">
        <w:tc>
          <w:tcPr>
            <w:tcW w:w="1608" w:type="pct"/>
            <w:tcBorders>
              <w:top w:val="nil"/>
              <w:left w:val="nil"/>
              <w:bottom w:val="nil"/>
              <w:right w:val="nil"/>
            </w:tcBorders>
          </w:tcPr>
          <w:p w14:paraId="6DCC0250" w14:textId="6807992F"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Housing Price Index (100s)</w:t>
            </w:r>
          </w:p>
        </w:tc>
        <w:tc>
          <w:tcPr>
            <w:tcW w:w="587" w:type="pct"/>
            <w:tcBorders>
              <w:top w:val="nil"/>
              <w:left w:val="nil"/>
              <w:bottom w:val="nil"/>
              <w:right w:val="nil"/>
            </w:tcBorders>
          </w:tcPr>
          <w:p w14:paraId="46819BFE"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0.058</w:t>
            </w:r>
          </w:p>
        </w:tc>
        <w:tc>
          <w:tcPr>
            <w:tcW w:w="647" w:type="pct"/>
            <w:tcBorders>
              <w:top w:val="nil"/>
              <w:left w:val="nil"/>
              <w:bottom w:val="nil"/>
              <w:right w:val="nil"/>
            </w:tcBorders>
          </w:tcPr>
          <w:p w14:paraId="754A2C86"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-0.167</w:t>
            </w:r>
          </w:p>
        </w:tc>
        <w:tc>
          <w:tcPr>
            <w:tcW w:w="633" w:type="pct"/>
            <w:tcBorders>
              <w:top w:val="nil"/>
              <w:left w:val="nil"/>
              <w:bottom w:val="nil"/>
              <w:right w:val="nil"/>
            </w:tcBorders>
          </w:tcPr>
          <w:p w14:paraId="399AF4EF"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0.063</w:t>
            </w:r>
          </w:p>
        </w:tc>
        <w:tc>
          <w:tcPr>
            <w:tcW w:w="758" w:type="pct"/>
            <w:tcBorders>
              <w:top w:val="nil"/>
              <w:left w:val="nil"/>
              <w:bottom w:val="nil"/>
              <w:right w:val="nil"/>
            </w:tcBorders>
          </w:tcPr>
          <w:p w14:paraId="08B3502A"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-0.004</w:t>
            </w:r>
          </w:p>
        </w:tc>
        <w:tc>
          <w:tcPr>
            <w:tcW w:w="767" w:type="pct"/>
            <w:tcBorders>
              <w:top w:val="nil"/>
              <w:left w:val="nil"/>
              <w:bottom w:val="nil"/>
              <w:right w:val="nil"/>
            </w:tcBorders>
          </w:tcPr>
          <w:p w14:paraId="62171ED7"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-0.021</w:t>
            </w:r>
          </w:p>
        </w:tc>
      </w:tr>
      <w:tr w:rsidR="009D3026" w:rsidRPr="00CD4846" w14:paraId="72F34798" w14:textId="77777777" w:rsidTr="00B82EB9">
        <w:tc>
          <w:tcPr>
            <w:tcW w:w="1608" w:type="pct"/>
            <w:tcBorders>
              <w:top w:val="nil"/>
              <w:left w:val="nil"/>
              <w:bottom w:val="nil"/>
              <w:right w:val="nil"/>
            </w:tcBorders>
          </w:tcPr>
          <w:p w14:paraId="2736D8FA" w14:textId="068C8D2C" w:rsidR="00CD4846" w:rsidRPr="00CD4846" w:rsidRDefault="00CD4846" w:rsidP="007B3B75">
            <w:pPr>
              <w:widowControl w:val="0"/>
              <w:autoSpaceDE w:val="0"/>
              <w:autoSpaceDN w:val="0"/>
              <w:adjustRightInd w:val="0"/>
              <w:spacing w:line="240" w:lineRule="auto"/>
              <w:rPr>
                <w:rFonts w:cs="Times New Roman"/>
                <w:kern w:val="2"/>
                <w:sz w:val="20"/>
                <w:szCs w:val="20"/>
                <w:lang/>
              </w:rPr>
            </w:pPr>
          </w:p>
        </w:tc>
        <w:tc>
          <w:tcPr>
            <w:tcW w:w="587" w:type="pct"/>
            <w:tcBorders>
              <w:top w:val="nil"/>
              <w:left w:val="nil"/>
              <w:bottom w:val="nil"/>
              <w:right w:val="nil"/>
            </w:tcBorders>
          </w:tcPr>
          <w:p w14:paraId="7E2EC0DD"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(0.136)</w:t>
            </w:r>
          </w:p>
        </w:tc>
        <w:tc>
          <w:tcPr>
            <w:tcW w:w="647" w:type="pct"/>
            <w:tcBorders>
              <w:top w:val="nil"/>
              <w:left w:val="nil"/>
              <w:bottom w:val="nil"/>
              <w:right w:val="nil"/>
            </w:tcBorders>
          </w:tcPr>
          <w:p w14:paraId="62A9DA84"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(0.244)</w:t>
            </w:r>
          </w:p>
        </w:tc>
        <w:tc>
          <w:tcPr>
            <w:tcW w:w="633" w:type="pct"/>
            <w:tcBorders>
              <w:top w:val="nil"/>
              <w:left w:val="nil"/>
              <w:bottom w:val="nil"/>
              <w:right w:val="nil"/>
            </w:tcBorders>
          </w:tcPr>
          <w:p w14:paraId="2930DA16"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(0.237)</w:t>
            </w:r>
          </w:p>
        </w:tc>
        <w:tc>
          <w:tcPr>
            <w:tcW w:w="758" w:type="pct"/>
            <w:tcBorders>
              <w:top w:val="nil"/>
              <w:left w:val="nil"/>
              <w:bottom w:val="nil"/>
              <w:right w:val="nil"/>
            </w:tcBorders>
          </w:tcPr>
          <w:p w14:paraId="522B598E"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(0.028)</w:t>
            </w:r>
          </w:p>
        </w:tc>
        <w:tc>
          <w:tcPr>
            <w:tcW w:w="767" w:type="pct"/>
            <w:tcBorders>
              <w:top w:val="nil"/>
              <w:left w:val="nil"/>
              <w:bottom w:val="nil"/>
              <w:right w:val="nil"/>
            </w:tcBorders>
          </w:tcPr>
          <w:p w14:paraId="64177513"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(0.042)</w:t>
            </w:r>
          </w:p>
        </w:tc>
      </w:tr>
      <w:tr w:rsidR="009D3026" w:rsidRPr="00CD4846" w14:paraId="241C28E4" w14:textId="77777777" w:rsidTr="00B82EB9">
        <w:tc>
          <w:tcPr>
            <w:tcW w:w="1608" w:type="pct"/>
            <w:tcBorders>
              <w:top w:val="nil"/>
              <w:left w:val="nil"/>
              <w:bottom w:val="nil"/>
              <w:right w:val="nil"/>
            </w:tcBorders>
          </w:tcPr>
          <w:p w14:paraId="7A0E8F6C" w14:textId="59109671"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Poverty rate (100s)</w:t>
            </w:r>
          </w:p>
        </w:tc>
        <w:tc>
          <w:tcPr>
            <w:tcW w:w="587" w:type="pct"/>
            <w:tcBorders>
              <w:top w:val="nil"/>
              <w:left w:val="nil"/>
              <w:bottom w:val="nil"/>
              <w:right w:val="nil"/>
            </w:tcBorders>
          </w:tcPr>
          <w:p w14:paraId="1BA11028"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5.192</w:t>
            </w:r>
          </w:p>
        </w:tc>
        <w:tc>
          <w:tcPr>
            <w:tcW w:w="647" w:type="pct"/>
            <w:tcBorders>
              <w:top w:val="nil"/>
              <w:left w:val="nil"/>
              <w:bottom w:val="nil"/>
              <w:right w:val="nil"/>
            </w:tcBorders>
          </w:tcPr>
          <w:p w14:paraId="0CF593FE"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-4.301</w:t>
            </w:r>
          </w:p>
        </w:tc>
        <w:tc>
          <w:tcPr>
            <w:tcW w:w="633" w:type="pct"/>
            <w:tcBorders>
              <w:top w:val="nil"/>
              <w:left w:val="nil"/>
              <w:bottom w:val="nil"/>
              <w:right w:val="nil"/>
            </w:tcBorders>
          </w:tcPr>
          <w:p w14:paraId="443B395C"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2.195</w:t>
            </w:r>
          </w:p>
        </w:tc>
        <w:tc>
          <w:tcPr>
            <w:tcW w:w="758" w:type="pct"/>
            <w:tcBorders>
              <w:top w:val="nil"/>
              <w:left w:val="nil"/>
              <w:bottom w:val="nil"/>
              <w:right w:val="nil"/>
            </w:tcBorders>
          </w:tcPr>
          <w:p w14:paraId="2F146034"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-0.734</w:t>
            </w:r>
          </w:p>
        </w:tc>
        <w:tc>
          <w:tcPr>
            <w:tcW w:w="767" w:type="pct"/>
            <w:tcBorders>
              <w:top w:val="nil"/>
              <w:left w:val="nil"/>
              <w:bottom w:val="nil"/>
              <w:right w:val="nil"/>
            </w:tcBorders>
          </w:tcPr>
          <w:p w14:paraId="3BBB864E"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1.871*</w:t>
            </w:r>
          </w:p>
        </w:tc>
      </w:tr>
      <w:tr w:rsidR="009D3026" w:rsidRPr="00CD4846" w14:paraId="0098F6CB" w14:textId="77777777" w:rsidTr="00B82EB9">
        <w:tc>
          <w:tcPr>
            <w:tcW w:w="1608" w:type="pct"/>
            <w:tcBorders>
              <w:top w:val="nil"/>
              <w:left w:val="nil"/>
              <w:bottom w:val="nil"/>
              <w:right w:val="nil"/>
            </w:tcBorders>
          </w:tcPr>
          <w:p w14:paraId="67598266" w14:textId="6C685580" w:rsidR="00CD4846" w:rsidRPr="00CD4846" w:rsidRDefault="00CD4846" w:rsidP="007B3B75">
            <w:pPr>
              <w:widowControl w:val="0"/>
              <w:autoSpaceDE w:val="0"/>
              <w:autoSpaceDN w:val="0"/>
              <w:adjustRightInd w:val="0"/>
              <w:spacing w:line="240" w:lineRule="auto"/>
              <w:rPr>
                <w:rFonts w:cs="Times New Roman"/>
                <w:kern w:val="2"/>
                <w:sz w:val="20"/>
                <w:szCs w:val="20"/>
                <w:lang/>
              </w:rPr>
            </w:pPr>
          </w:p>
        </w:tc>
        <w:tc>
          <w:tcPr>
            <w:tcW w:w="587" w:type="pct"/>
            <w:tcBorders>
              <w:top w:val="nil"/>
              <w:left w:val="nil"/>
              <w:bottom w:val="nil"/>
              <w:right w:val="nil"/>
            </w:tcBorders>
          </w:tcPr>
          <w:p w14:paraId="6FEC7F82"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(3.361)</w:t>
            </w:r>
          </w:p>
        </w:tc>
        <w:tc>
          <w:tcPr>
            <w:tcW w:w="647" w:type="pct"/>
            <w:tcBorders>
              <w:top w:val="nil"/>
              <w:left w:val="nil"/>
              <w:bottom w:val="nil"/>
              <w:right w:val="nil"/>
            </w:tcBorders>
          </w:tcPr>
          <w:p w14:paraId="5EE4931D"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(5.492)</w:t>
            </w:r>
          </w:p>
        </w:tc>
        <w:tc>
          <w:tcPr>
            <w:tcW w:w="633" w:type="pct"/>
            <w:tcBorders>
              <w:top w:val="nil"/>
              <w:left w:val="nil"/>
              <w:bottom w:val="nil"/>
              <w:right w:val="nil"/>
            </w:tcBorders>
          </w:tcPr>
          <w:p w14:paraId="01ECA72A"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(5.859)</w:t>
            </w:r>
          </w:p>
        </w:tc>
        <w:tc>
          <w:tcPr>
            <w:tcW w:w="758" w:type="pct"/>
            <w:tcBorders>
              <w:top w:val="nil"/>
              <w:left w:val="nil"/>
              <w:bottom w:val="nil"/>
              <w:right w:val="nil"/>
            </w:tcBorders>
          </w:tcPr>
          <w:p w14:paraId="6ED5B1C0"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(0.665)</w:t>
            </w:r>
          </w:p>
        </w:tc>
        <w:tc>
          <w:tcPr>
            <w:tcW w:w="767" w:type="pct"/>
            <w:tcBorders>
              <w:top w:val="nil"/>
              <w:left w:val="nil"/>
              <w:bottom w:val="nil"/>
              <w:right w:val="nil"/>
            </w:tcBorders>
          </w:tcPr>
          <w:p w14:paraId="1710F523"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(1.082)</w:t>
            </w:r>
          </w:p>
        </w:tc>
      </w:tr>
      <w:tr w:rsidR="009D3026" w:rsidRPr="00CD4846" w14:paraId="55C686A5" w14:textId="77777777" w:rsidTr="00B82EB9">
        <w:tc>
          <w:tcPr>
            <w:tcW w:w="1608" w:type="pct"/>
            <w:tcBorders>
              <w:top w:val="nil"/>
              <w:left w:val="nil"/>
              <w:bottom w:val="nil"/>
              <w:right w:val="nil"/>
            </w:tcBorders>
          </w:tcPr>
          <w:p w14:paraId="07406A45" w14:textId="79A4F14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Avg annual wages (100k)</w:t>
            </w:r>
          </w:p>
        </w:tc>
        <w:tc>
          <w:tcPr>
            <w:tcW w:w="587" w:type="pct"/>
            <w:tcBorders>
              <w:top w:val="nil"/>
              <w:left w:val="nil"/>
              <w:bottom w:val="nil"/>
              <w:right w:val="nil"/>
            </w:tcBorders>
          </w:tcPr>
          <w:p w14:paraId="4D398619"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0.153</w:t>
            </w:r>
          </w:p>
        </w:tc>
        <w:tc>
          <w:tcPr>
            <w:tcW w:w="647" w:type="pct"/>
            <w:tcBorders>
              <w:top w:val="nil"/>
              <w:left w:val="nil"/>
              <w:bottom w:val="nil"/>
              <w:right w:val="nil"/>
            </w:tcBorders>
          </w:tcPr>
          <w:p w14:paraId="32DA58CB"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0.062***</w:t>
            </w:r>
          </w:p>
        </w:tc>
        <w:tc>
          <w:tcPr>
            <w:tcW w:w="633" w:type="pct"/>
            <w:tcBorders>
              <w:top w:val="nil"/>
              <w:left w:val="nil"/>
              <w:bottom w:val="nil"/>
              <w:right w:val="nil"/>
            </w:tcBorders>
          </w:tcPr>
          <w:p w14:paraId="7D8D2E85"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-0.021</w:t>
            </w:r>
          </w:p>
        </w:tc>
        <w:tc>
          <w:tcPr>
            <w:tcW w:w="758" w:type="pct"/>
            <w:tcBorders>
              <w:top w:val="nil"/>
              <w:left w:val="nil"/>
              <w:bottom w:val="nil"/>
              <w:right w:val="nil"/>
            </w:tcBorders>
          </w:tcPr>
          <w:p w14:paraId="2C3EAF29"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0.032</w:t>
            </w:r>
          </w:p>
        </w:tc>
        <w:tc>
          <w:tcPr>
            <w:tcW w:w="767" w:type="pct"/>
            <w:tcBorders>
              <w:top w:val="nil"/>
              <w:left w:val="nil"/>
              <w:bottom w:val="nil"/>
              <w:right w:val="nil"/>
            </w:tcBorders>
          </w:tcPr>
          <w:p w14:paraId="7BD281B2"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-0.016</w:t>
            </w:r>
          </w:p>
        </w:tc>
      </w:tr>
      <w:tr w:rsidR="009D3026" w:rsidRPr="00CD4846" w14:paraId="0C6F4334" w14:textId="77777777" w:rsidTr="00B82EB9">
        <w:tc>
          <w:tcPr>
            <w:tcW w:w="1608" w:type="pct"/>
            <w:tcBorders>
              <w:top w:val="nil"/>
              <w:left w:val="nil"/>
              <w:bottom w:val="nil"/>
              <w:right w:val="nil"/>
            </w:tcBorders>
          </w:tcPr>
          <w:p w14:paraId="3C2840E2" w14:textId="47C932A5" w:rsidR="00CD4846" w:rsidRPr="00CD4846" w:rsidRDefault="00CD4846" w:rsidP="007B3B75">
            <w:pPr>
              <w:widowControl w:val="0"/>
              <w:autoSpaceDE w:val="0"/>
              <w:autoSpaceDN w:val="0"/>
              <w:adjustRightInd w:val="0"/>
              <w:spacing w:line="240" w:lineRule="auto"/>
              <w:rPr>
                <w:rFonts w:cs="Times New Roman"/>
                <w:kern w:val="2"/>
                <w:sz w:val="20"/>
                <w:szCs w:val="20"/>
                <w:lang/>
              </w:rPr>
            </w:pPr>
          </w:p>
        </w:tc>
        <w:tc>
          <w:tcPr>
            <w:tcW w:w="587" w:type="pct"/>
            <w:tcBorders>
              <w:top w:val="nil"/>
              <w:left w:val="nil"/>
              <w:bottom w:val="nil"/>
              <w:right w:val="nil"/>
            </w:tcBorders>
          </w:tcPr>
          <w:p w14:paraId="6F4DE8E1"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(0.101)</w:t>
            </w:r>
          </w:p>
        </w:tc>
        <w:tc>
          <w:tcPr>
            <w:tcW w:w="647" w:type="pct"/>
            <w:tcBorders>
              <w:top w:val="nil"/>
              <w:left w:val="nil"/>
              <w:bottom w:val="nil"/>
              <w:right w:val="nil"/>
            </w:tcBorders>
          </w:tcPr>
          <w:p w14:paraId="1AEBE438"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(0.018)</w:t>
            </w:r>
          </w:p>
        </w:tc>
        <w:tc>
          <w:tcPr>
            <w:tcW w:w="633" w:type="pct"/>
            <w:tcBorders>
              <w:top w:val="nil"/>
              <w:left w:val="nil"/>
              <w:bottom w:val="nil"/>
              <w:right w:val="nil"/>
            </w:tcBorders>
          </w:tcPr>
          <w:p w14:paraId="669F0225"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(0.093)</w:t>
            </w:r>
          </w:p>
        </w:tc>
        <w:tc>
          <w:tcPr>
            <w:tcW w:w="758" w:type="pct"/>
            <w:tcBorders>
              <w:top w:val="nil"/>
              <w:left w:val="nil"/>
              <w:bottom w:val="nil"/>
              <w:right w:val="nil"/>
            </w:tcBorders>
          </w:tcPr>
          <w:p w14:paraId="7D22426B"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(0.026)</w:t>
            </w:r>
          </w:p>
        </w:tc>
        <w:tc>
          <w:tcPr>
            <w:tcW w:w="767" w:type="pct"/>
            <w:tcBorders>
              <w:top w:val="nil"/>
              <w:left w:val="nil"/>
              <w:bottom w:val="nil"/>
              <w:right w:val="nil"/>
            </w:tcBorders>
          </w:tcPr>
          <w:p w14:paraId="265B022D"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(0.025)</w:t>
            </w:r>
          </w:p>
        </w:tc>
      </w:tr>
      <w:tr w:rsidR="009D3026" w:rsidRPr="00CD4846" w14:paraId="4B760C9D" w14:textId="77777777" w:rsidTr="00B82EB9">
        <w:tc>
          <w:tcPr>
            <w:tcW w:w="1608" w:type="pct"/>
            <w:tcBorders>
              <w:top w:val="nil"/>
              <w:left w:val="nil"/>
              <w:bottom w:val="nil"/>
              <w:right w:val="nil"/>
            </w:tcBorders>
          </w:tcPr>
          <w:p w14:paraId="2371E6FA" w14:textId="0CA8B58B"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Attain. Status - CO (t-1)</w:t>
            </w:r>
          </w:p>
        </w:tc>
        <w:tc>
          <w:tcPr>
            <w:tcW w:w="587" w:type="pct"/>
            <w:tcBorders>
              <w:top w:val="nil"/>
              <w:left w:val="nil"/>
              <w:bottom w:val="nil"/>
              <w:right w:val="nil"/>
            </w:tcBorders>
          </w:tcPr>
          <w:p w14:paraId="63B6CA6D"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3.801</w:t>
            </w:r>
          </w:p>
        </w:tc>
        <w:tc>
          <w:tcPr>
            <w:tcW w:w="647" w:type="pct"/>
            <w:tcBorders>
              <w:top w:val="nil"/>
              <w:left w:val="nil"/>
              <w:bottom w:val="nil"/>
              <w:right w:val="nil"/>
            </w:tcBorders>
          </w:tcPr>
          <w:p w14:paraId="7680ADFB"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-2.692</w:t>
            </w:r>
          </w:p>
        </w:tc>
        <w:tc>
          <w:tcPr>
            <w:tcW w:w="633" w:type="pct"/>
            <w:tcBorders>
              <w:top w:val="nil"/>
              <w:left w:val="nil"/>
              <w:bottom w:val="nil"/>
              <w:right w:val="nil"/>
            </w:tcBorders>
          </w:tcPr>
          <w:p w14:paraId="419F7616"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p>
        </w:tc>
        <w:tc>
          <w:tcPr>
            <w:tcW w:w="758" w:type="pct"/>
            <w:tcBorders>
              <w:top w:val="nil"/>
              <w:left w:val="nil"/>
              <w:bottom w:val="nil"/>
              <w:right w:val="nil"/>
            </w:tcBorders>
          </w:tcPr>
          <w:p w14:paraId="1D82063B"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-1.128</w:t>
            </w:r>
          </w:p>
        </w:tc>
        <w:tc>
          <w:tcPr>
            <w:tcW w:w="767" w:type="pct"/>
            <w:tcBorders>
              <w:top w:val="nil"/>
              <w:left w:val="nil"/>
              <w:bottom w:val="nil"/>
              <w:right w:val="nil"/>
            </w:tcBorders>
          </w:tcPr>
          <w:p w14:paraId="2035CFEA"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-0.461</w:t>
            </w:r>
          </w:p>
        </w:tc>
      </w:tr>
      <w:tr w:rsidR="009D3026" w:rsidRPr="00CD4846" w14:paraId="3B413AE5" w14:textId="77777777" w:rsidTr="00B82EB9">
        <w:tc>
          <w:tcPr>
            <w:tcW w:w="1608" w:type="pct"/>
            <w:tcBorders>
              <w:top w:val="nil"/>
              <w:left w:val="nil"/>
              <w:bottom w:val="nil"/>
              <w:right w:val="nil"/>
            </w:tcBorders>
          </w:tcPr>
          <w:p w14:paraId="0ACEBD41" w14:textId="3F49418E" w:rsidR="00CD4846" w:rsidRPr="00CD4846" w:rsidRDefault="00CD4846" w:rsidP="007B3B75">
            <w:pPr>
              <w:widowControl w:val="0"/>
              <w:autoSpaceDE w:val="0"/>
              <w:autoSpaceDN w:val="0"/>
              <w:adjustRightInd w:val="0"/>
              <w:spacing w:line="240" w:lineRule="auto"/>
              <w:rPr>
                <w:rFonts w:cs="Times New Roman"/>
                <w:kern w:val="2"/>
                <w:sz w:val="20"/>
                <w:szCs w:val="20"/>
                <w:lang/>
              </w:rPr>
            </w:pPr>
          </w:p>
        </w:tc>
        <w:tc>
          <w:tcPr>
            <w:tcW w:w="587" w:type="pct"/>
            <w:tcBorders>
              <w:top w:val="nil"/>
              <w:left w:val="nil"/>
              <w:bottom w:val="nil"/>
              <w:right w:val="nil"/>
            </w:tcBorders>
          </w:tcPr>
          <w:p w14:paraId="383F0E67"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(2.396)</w:t>
            </w:r>
          </w:p>
        </w:tc>
        <w:tc>
          <w:tcPr>
            <w:tcW w:w="647" w:type="pct"/>
            <w:tcBorders>
              <w:top w:val="nil"/>
              <w:left w:val="nil"/>
              <w:bottom w:val="nil"/>
              <w:right w:val="nil"/>
            </w:tcBorders>
          </w:tcPr>
          <w:p w14:paraId="66184A33"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(1.938)</w:t>
            </w:r>
          </w:p>
        </w:tc>
        <w:tc>
          <w:tcPr>
            <w:tcW w:w="633" w:type="pct"/>
            <w:tcBorders>
              <w:top w:val="nil"/>
              <w:left w:val="nil"/>
              <w:bottom w:val="nil"/>
              <w:right w:val="nil"/>
            </w:tcBorders>
          </w:tcPr>
          <w:p w14:paraId="4CE37CFD"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p>
        </w:tc>
        <w:tc>
          <w:tcPr>
            <w:tcW w:w="758" w:type="pct"/>
            <w:tcBorders>
              <w:top w:val="nil"/>
              <w:left w:val="nil"/>
              <w:bottom w:val="nil"/>
              <w:right w:val="nil"/>
            </w:tcBorders>
          </w:tcPr>
          <w:p w14:paraId="4E3ED66B"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(0.786)</w:t>
            </w:r>
          </w:p>
        </w:tc>
        <w:tc>
          <w:tcPr>
            <w:tcW w:w="767" w:type="pct"/>
            <w:tcBorders>
              <w:top w:val="nil"/>
              <w:left w:val="nil"/>
              <w:bottom w:val="nil"/>
              <w:right w:val="nil"/>
            </w:tcBorders>
          </w:tcPr>
          <w:p w14:paraId="5BB49EE9"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(1.437)</w:t>
            </w:r>
          </w:p>
        </w:tc>
      </w:tr>
      <w:tr w:rsidR="009D3026" w:rsidRPr="00CD4846" w14:paraId="261A2BF1" w14:textId="77777777" w:rsidTr="00B82EB9">
        <w:tc>
          <w:tcPr>
            <w:tcW w:w="1608" w:type="pct"/>
            <w:tcBorders>
              <w:top w:val="nil"/>
              <w:left w:val="nil"/>
              <w:bottom w:val="nil"/>
              <w:right w:val="nil"/>
            </w:tcBorders>
          </w:tcPr>
          <w:p w14:paraId="507D2C65" w14:textId="7864B6EE"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Attain. Status - Pb (t-1)</w:t>
            </w:r>
          </w:p>
        </w:tc>
        <w:tc>
          <w:tcPr>
            <w:tcW w:w="587" w:type="pct"/>
            <w:tcBorders>
              <w:top w:val="nil"/>
              <w:left w:val="nil"/>
              <w:bottom w:val="nil"/>
              <w:right w:val="nil"/>
            </w:tcBorders>
          </w:tcPr>
          <w:p w14:paraId="6D1D0A49"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-2.268*</w:t>
            </w:r>
          </w:p>
        </w:tc>
        <w:tc>
          <w:tcPr>
            <w:tcW w:w="647" w:type="pct"/>
            <w:tcBorders>
              <w:top w:val="nil"/>
              <w:left w:val="nil"/>
              <w:bottom w:val="nil"/>
              <w:right w:val="nil"/>
            </w:tcBorders>
          </w:tcPr>
          <w:p w14:paraId="0E208C6E"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-0.863</w:t>
            </w:r>
          </w:p>
        </w:tc>
        <w:tc>
          <w:tcPr>
            <w:tcW w:w="633" w:type="pct"/>
            <w:tcBorders>
              <w:top w:val="nil"/>
              <w:left w:val="nil"/>
              <w:bottom w:val="nil"/>
              <w:right w:val="nil"/>
            </w:tcBorders>
          </w:tcPr>
          <w:p w14:paraId="11B81FD2"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-2.077</w:t>
            </w:r>
          </w:p>
        </w:tc>
        <w:tc>
          <w:tcPr>
            <w:tcW w:w="758" w:type="pct"/>
            <w:tcBorders>
              <w:top w:val="nil"/>
              <w:left w:val="nil"/>
              <w:bottom w:val="nil"/>
              <w:right w:val="nil"/>
            </w:tcBorders>
          </w:tcPr>
          <w:p w14:paraId="5FA9762E"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-0.068</w:t>
            </w:r>
          </w:p>
        </w:tc>
        <w:tc>
          <w:tcPr>
            <w:tcW w:w="767" w:type="pct"/>
            <w:tcBorders>
              <w:top w:val="nil"/>
              <w:left w:val="nil"/>
              <w:bottom w:val="nil"/>
              <w:right w:val="nil"/>
            </w:tcBorders>
          </w:tcPr>
          <w:p w14:paraId="0327BA13"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-0.128</w:t>
            </w:r>
          </w:p>
        </w:tc>
      </w:tr>
      <w:tr w:rsidR="009D3026" w:rsidRPr="00CD4846" w14:paraId="15F2839E" w14:textId="77777777" w:rsidTr="00B82EB9">
        <w:tc>
          <w:tcPr>
            <w:tcW w:w="1608" w:type="pct"/>
            <w:tcBorders>
              <w:top w:val="nil"/>
              <w:left w:val="nil"/>
              <w:bottom w:val="nil"/>
              <w:right w:val="nil"/>
            </w:tcBorders>
          </w:tcPr>
          <w:p w14:paraId="55148981" w14:textId="4ACABA34" w:rsidR="00CD4846" w:rsidRPr="00CD4846" w:rsidRDefault="00CD4846" w:rsidP="007B3B75">
            <w:pPr>
              <w:widowControl w:val="0"/>
              <w:autoSpaceDE w:val="0"/>
              <w:autoSpaceDN w:val="0"/>
              <w:adjustRightInd w:val="0"/>
              <w:spacing w:line="240" w:lineRule="auto"/>
              <w:rPr>
                <w:rFonts w:cs="Times New Roman"/>
                <w:kern w:val="2"/>
                <w:sz w:val="20"/>
                <w:szCs w:val="20"/>
                <w:lang/>
              </w:rPr>
            </w:pPr>
          </w:p>
        </w:tc>
        <w:tc>
          <w:tcPr>
            <w:tcW w:w="587" w:type="pct"/>
            <w:tcBorders>
              <w:top w:val="nil"/>
              <w:left w:val="nil"/>
              <w:bottom w:val="nil"/>
              <w:right w:val="nil"/>
            </w:tcBorders>
          </w:tcPr>
          <w:p w14:paraId="0FEBF940"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(1.209)</w:t>
            </w:r>
          </w:p>
        </w:tc>
        <w:tc>
          <w:tcPr>
            <w:tcW w:w="647" w:type="pct"/>
            <w:tcBorders>
              <w:top w:val="nil"/>
              <w:left w:val="nil"/>
              <w:bottom w:val="nil"/>
              <w:right w:val="nil"/>
            </w:tcBorders>
          </w:tcPr>
          <w:p w14:paraId="6AC5C87D"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(0.778)</w:t>
            </w:r>
          </w:p>
        </w:tc>
        <w:tc>
          <w:tcPr>
            <w:tcW w:w="633" w:type="pct"/>
            <w:tcBorders>
              <w:top w:val="nil"/>
              <w:left w:val="nil"/>
              <w:bottom w:val="nil"/>
              <w:right w:val="nil"/>
            </w:tcBorders>
          </w:tcPr>
          <w:p w14:paraId="40A9651C"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(1.451)</w:t>
            </w:r>
          </w:p>
        </w:tc>
        <w:tc>
          <w:tcPr>
            <w:tcW w:w="758" w:type="pct"/>
            <w:tcBorders>
              <w:top w:val="nil"/>
              <w:left w:val="nil"/>
              <w:bottom w:val="nil"/>
              <w:right w:val="nil"/>
            </w:tcBorders>
          </w:tcPr>
          <w:p w14:paraId="3D98CD32"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(0.157)</w:t>
            </w:r>
          </w:p>
        </w:tc>
        <w:tc>
          <w:tcPr>
            <w:tcW w:w="767" w:type="pct"/>
            <w:tcBorders>
              <w:top w:val="nil"/>
              <w:left w:val="nil"/>
              <w:bottom w:val="nil"/>
              <w:right w:val="nil"/>
            </w:tcBorders>
          </w:tcPr>
          <w:p w14:paraId="2A04D1D4"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(0.156)</w:t>
            </w:r>
          </w:p>
        </w:tc>
      </w:tr>
      <w:tr w:rsidR="009D3026" w:rsidRPr="00CD4846" w14:paraId="3FC1EDD4" w14:textId="77777777" w:rsidTr="00B82EB9">
        <w:tc>
          <w:tcPr>
            <w:tcW w:w="1608" w:type="pct"/>
            <w:tcBorders>
              <w:top w:val="nil"/>
              <w:left w:val="nil"/>
              <w:bottom w:val="nil"/>
              <w:right w:val="nil"/>
            </w:tcBorders>
          </w:tcPr>
          <w:p w14:paraId="13AFF076" w14:textId="5E562C8A"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Attain. Status - O3 (t-1)</w:t>
            </w:r>
          </w:p>
        </w:tc>
        <w:tc>
          <w:tcPr>
            <w:tcW w:w="587" w:type="pct"/>
            <w:tcBorders>
              <w:top w:val="nil"/>
              <w:left w:val="nil"/>
              <w:bottom w:val="nil"/>
              <w:right w:val="nil"/>
            </w:tcBorders>
          </w:tcPr>
          <w:p w14:paraId="5FA88AD9"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0.049</w:t>
            </w:r>
          </w:p>
        </w:tc>
        <w:tc>
          <w:tcPr>
            <w:tcW w:w="647" w:type="pct"/>
            <w:tcBorders>
              <w:top w:val="nil"/>
              <w:left w:val="nil"/>
              <w:bottom w:val="nil"/>
              <w:right w:val="nil"/>
            </w:tcBorders>
          </w:tcPr>
          <w:p w14:paraId="5FE39892"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0.634**</w:t>
            </w:r>
          </w:p>
        </w:tc>
        <w:tc>
          <w:tcPr>
            <w:tcW w:w="633" w:type="pct"/>
            <w:tcBorders>
              <w:top w:val="nil"/>
              <w:left w:val="nil"/>
              <w:bottom w:val="nil"/>
              <w:right w:val="nil"/>
            </w:tcBorders>
          </w:tcPr>
          <w:p w14:paraId="39610EE7"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0.099</w:t>
            </w:r>
          </w:p>
        </w:tc>
        <w:tc>
          <w:tcPr>
            <w:tcW w:w="758" w:type="pct"/>
            <w:tcBorders>
              <w:top w:val="nil"/>
              <w:left w:val="nil"/>
              <w:bottom w:val="nil"/>
              <w:right w:val="nil"/>
            </w:tcBorders>
          </w:tcPr>
          <w:p w14:paraId="5B85830A"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0.051</w:t>
            </w:r>
          </w:p>
        </w:tc>
        <w:tc>
          <w:tcPr>
            <w:tcW w:w="767" w:type="pct"/>
            <w:tcBorders>
              <w:top w:val="nil"/>
              <w:left w:val="nil"/>
              <w:bottom w:val="nil"/>
              <w:right w:val="nil"/>
            </w:tcBorders>
          </w:tcPr>
          <w:p w14:paraId="2C010FA5"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0.065</w:t>
            </w:r>
          </w:p>
        </w:tc>
      </w:tr>
      <w:tr w:rsidR="009D3026" w:rsidRPr="00CD4846" w14:paraId="3D8E846B" w14:textId="77777777" w:rsidTr="00B82EB9">
        <w:tc>
          <w:tcPr>
            <w:tcW w:w="1608" w:type="pct"/>
            <w:tcBorders>
              <w:top w:val="nil"/>
              <w:left w:val="nil"/>
              <w:bottom w:val="nil"/>
              <w:right w:val="nil"/>
            </w:tcBorders>
          </w:tcPr>
          <w:p w14:paraId="0DCDC366" w14:textId="2AF78732" w:rsidR="00CD4846" w:rsidRPr="00CD4846" w:rsidRDefault="00CD4846" w:rsidP="007B3B75">
            <w:pPr>
              <w:widowControl w:val="0"/>
              <w:autoSpaceDE w:val="0"/>
              <w:autoSpaceDN w:val="0"/>
              <w:adjustRightInd w:val="0"/>
              <w:spacing w:line="240" w:lineRule="auto"/>
              <w:rPr>
                <w:rFonts w:cs="Times New Roman"/>
                <w:kern w:val="2"/>
                <w:sz w:val="20"/>
                <w:szCs w:val="20"/>
                <w:lang/>
              </w:rPr>
            </w:pPr>
          </w:p>
        </w:tc>
        <w:tc>
          <w:tcPr>
            <w:tcW w:w="587" w:type="pct"/>
            <w:tcBorders>
              <w:top w:val="nil"/>
              <w:left w:val="nil"/>
              <w:bottom w:val="nil"/>
              <w:right w:val="nil"/>
            </w:tcBorders>
          </w:tcPr>
          <w:p w14:paraId="29CDCA51"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(0.243)</w:t>
            </w:r>
          </w:p>
        </w:tc>
        <w:tc>
          <w:tcPr>
            <w:tcW w:w="647" w:type="pct"/>
            <w:tcBorders>
              <w:top w:val="nil"/>
              <w:left w:val="nil"/>
              <w:bottom w:val="nil"/>
              <w:right w:val="nil"/>
            </w:tcBorders>
          </w:tcPr>
          <w:p w14:paraId="56D749FC"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(0.280)</w:t>
            </w:r>
          </w:p>
        </w:tc>
        <w:tc>
          <w:tcPr>
            <w:tcW w:w="633" w:type="pct"/>
            <w:tcBorders>
              <w:top w:val="nil"/>
              <w:left w:val="nil"/>
              <w:bottom w:val="nil"/>
              <w:right w:val="nil"/>
            </w:tcBorders>
          </w:tcPr>
          <w:p w14:paraId="1C3E2A1B"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(0.307)</w:t>
            </w:r>
          </w:p>
        </w:tc>
        <w:tc>
          <w:tcPr>
            <w:tcW w:w="758" w:type="pct"/>
            <w:tcBorders>
              <w:top w:val="nil"/>
              <w:left w:val="nil"/>
              <w:bottom w:val="nil"/>
              <w:right w:val="nil"/>
            </w:tcBorders>
          </w:tcPr>
          <w:p w14:paraId="17E21452"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(0.036)</w:t>
            </w:r>
          </w:p>
        </w:tc>
        <w:tc>
          <w:tcPr>
            <w:tcW w:w="767" w:type="pct"/>
            <w:tcBorders>
              <w:top w:val="nil"/>
              <w:left w:val="nil"/>
              <w:bottom w:val="nil"/>
              <w:right w:val="nil"/>
            </w:tcBorders>
          </w:tcPr>
          <w:p w14:paraId="57323E57"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(0.051)</w:t>
            </w:r>
          </w:p>
        </w:tc>
      </w:tr>
      <w:tr w:rsidR="009D3026" w:rsidRPr="00CD4846" w14:paraId="62342E13" w14:textId="77777777" w:rsidTr="00B82EB9">
        <w:tc>
          <w:tcPr>
            <w:tcW w:w="1608" w:type="pct"/>
            <w:tcBorders>
              <w:top w:val="nil"/>
              <w:left w:val="nil"/>
              <w:bottom w:val="nil"/>
              <w:right w:val="nil"/>
            </w:tcBorders>
          </w:tcPr>
          <w:p w14:paraId="1F7ADD88" w14:textId="750A5391"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Attain. Status - PM (t-1)</w:t>
            </w:r>
          </w:p>
        </w:tc>
        <w:tc>
          <w:tcPr>
            <w:tcW w:w="587" w:type="pct"/>
            <w:tcBorders>
              <w:top w:val="nil"/>
              <w:left w:val="nil"/>
              <w:bottom w:val="nil"/>
              <w:right w:val="nil"/>
            </w:tcBorders>
          </w:tcPr>
          <w:p w14:paraId="47916A05"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-0.276</w:t>
            </w:r>
          </w:p>
        </w:tc>
        <w:tc>
          <w:tcPr>
            <w:tcW w:w="647" w:type="pct"/>
            <w:tcBorders>
              <w:top w:val="nil"/>
              <w:left w:val="nil"/>
              <w:bottom w:val="nil"/>
              <w:right w:val="nil"/>
            </w:tcBorders>
          </w:tcPr>
          <w:p w14:paraId="309D23D3"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0.460</w:t>
            </w:r>
          </w:p>
        </w:tc>
        <w:tc>
          <w:tcPr>
            <w:tcW w:w="633" w:type="pct"/>
            <w:tcBorders>
              <w:top w:val="nil"/>
              <w:left w:val="nil"/>
              <w:bottom w:val="nil"/>
              <w:right w:val="nil"/>
            </w:tcBorders>
          </w:tcPr>
          <w:p w14:paraId="17741F9C"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0.542*</w:t>
            </w:r>
          </w:p>
        </w:tc>
        <w:tc>
          <w:tcPr>
            <w:tcW w:w="758" w:type="pct"/>
            <w:tcBorders>
              <w:top w:val="nil"/>
              <w:left w:val="nil"/>
              <w:bottom w:val="nil"/>
              <w:right w:val="nil"/>
            </w:tcBorders>
          </w:tcPr>
          <w:p w14:paraId="5CED61DC"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-0.003</w:t>
            </w:r>
          </w:p>
        </w:tc>
        <w:tc>
          <w:tcPr>
            <w:tcW w:w="767" w:type="pct"/>
            <w:tcBorders>
              <w:top w:val="nil"/>
              <w:left w:val="nil"/>
              <w:bottom w:val="nil"/>
              <w:right w:val="nil"/>
            </w:tcBorders>
          </w:tcPr>
          <w:p w14:paraId="19D02BFC"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0.030</w:t>
            </w:r>
          </w:p>
        </w:tc>
      </w:tr>
      <w:tr w:rsidR="009D3026" w:rsidRPr="00CD4846" w14:paraId="12A9AA38" w14:textId="77777777" w:rsidTr="00B82EB9">
        <w:tc>
          <w:tcPr>
            <w:tcW w:w="1608" w:type="pct"/>
            <w:tcBorders>
              <w:top w:val="nil"/>
              <w:left w:val="nil"/>
              <w:bottom w:val="nil"/>
              <w:right w:val="nil"/>
            </w:tcBorders>
          </w:tcPr>
          <w:p w14:paraId="06D86C57" w14:textId="2834C9AE" w:rsidR="00CD4846" w:rsidRPr="00CD4846" w:rsidRDefault="00CD4846" w:rsidP="007B3B75">
            <w:pPr>
              <w:widowControl w:val="0"/>
              <w:autoSpaceDE w:val="0"/>
              <w:autoSpaceDN w:val="0"/>
              <w:adjustRightInd w:val="0"/>
              <w:spacing w:line="240" w:lineRule="auto"/>
              <w:rPr>
                <w:rFonts w:cs="Times New Roman"/>
                <w:kern w:val="2"/>
                <w:sz w:val="20"/>
                <w:szCs w:val="20"/>
                <w:lang/>
              </w:rPr>
            </w:pPr>
          </w:p>
        </w:tc>
        <w:tc>
          <w:tcPr>
            <w:tcW w:w="587" w:type="pct"/>
            <w:tcBorders>
              <w:top w:val="nil"/>
              <w:left w:val="nil"/>
              <w:bottom w:val="nil"/>
              <w:right w:val="nil"/>
            </w:tcBorders>
          </w:tcPr>
          <w:p w14:paraId="37C10C7D"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(0.206)</w:t>
            </w:r>
          </w:p>
        </w:tc>
        <w:tc>
          <w:tcPr>
            <w:tcW w:w="647" w:type="pct"/>
            <w:tcBorders>
              <w:top w:val="nil"/>
              <w:left w:val="nil"/>
              <w:bottom w:val="nil"/>
              <w:right w:val="nil"/>
            </w:tcBorders>
          </w:tcPr>
          <w:p w14:paraId="0408EACF"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(0.308)</w:t>
            </w:r>
          </w:p>
        </w:tc>
        <w:tc>
          <w:tcPr>
            <w:tcW w:w="633" w:type="pct"/>
            <w:tcBorders>
              <w:top w:val="nil"/>
              <w:left w:val="nil"/>
              <w:bottom w:val="nil"/>
              <w:right w:val="nil"/>
            </w:tcBorders>
          </w:tcPr>
          <w:p w14:paraId="6524C10B"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(0.316)</w:t>
            </w:r>
          </w:p>
        </w:tc>
        <w:tc>
          <w:tcPr>
            <w:tcW w:w="758" w:type="pct"/>
            <w:tcBorders>
              <w:top w:val="nil"/>
              <w:left w:val="nil"/>
              <w:bottom w:val="nil"/>
              <w:right w:val="nil"/>
            </w:tcBorders>
          </w:tcPr>
          <w:p w14:paraId="4E0EA587"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(0.029)</w:t>
            </w:r>
          </w:p>
        </w:tc>
        <w:tc>
          <w:tcPr>
            <w:tcW w:w="767" w:type="pct"/>
            <w:tcBorders>
              <w:top w:val="nil"/>
              <w:left w:val="nil"/>
              <w:bottom w:val="nil"/>
              <w:right w:val="nil"/>
            </w:tcBorders>
          </w:tcPr>
          <w:p w14:paraId="22F1006A"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(0.042)</w:t>
            </w:r>
          </w:p>
        </w:tc>
      </w:tr>
      <w:tr w:rsidR="009D3026" w:rsidRPr="00CD4846" w14:paraId="3BAAA064" w14:textId="77777777" w:rsidTr="00B82EB9">
        <w:tc>
          <w:tcPr>
            <w:tcW w:w="1608" w:type="pct"/>
            <w:tcBorders>
              <w:top w:val="nil"/>
              <w:left w:val="nil"/>
              <w:bottom w:val="nil"/>
              <w:right w:val="nil"/>
            </w:tcBorders>
          </w:tcPr>
          <w:p w14:paraId="11F3D34E"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Attain. Status - SO2 (t-1)</w:t>
            </w:r>
          </w:p>
        </w:tc>
        <w:tc>
          <w:tcPr>
            <w:tcW w:w="587" w:type="pct"/>
            <w:tcBorders>
              <w:top w:val="nil"/>
              <w:left w:val="nil"/>
              <w:bottom w:val="nil"/>
              <w:right w:val="nil"/>
            </w:tcBorders>
          </w:tcPr>
          <w:p w14:paraId="51FE0A36"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-0.979</w:t>
            </w:r>
          </w:p>
        </w:tc>
        <w:tc>
          <w:tcPr>
            <w:tcW w:w="647" w:type="pct"/>
            <w:tcBorders>
              <w:top w:val="nil"/>
              <w:left w:val="nil"/>
              <w:bottom w:val="nil"/>
              <w:right w:val="nil"/>
            </w:tcBorders>
          </w:tcPr>
          <w:p w14:paraId="19DAA046"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-2.656**</w:t>
            </w:r>
          </w:p>
        </w:tc>
        <w:tc>
          <w:tcPr>
            <w:tcW w:w="633" w:type="pct"/>
            <w:tcBorders>
              <w:top w:val="nil"/>
              <w:left w:val="nil"/>
              <w:bottom w:val="nil"/>
              <w:right w:val="nil"/>
            </w:tcBorders>
          </w:tcPr>
          <w:p w14:paraId="73434B0F"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0.105</w:t>
            </w:r>
          </w:p>
        </w:tc>
        <w:tc>
          <w:tcPr>
            <w:tcW w:w="758" w:type="pct"/>
            <w:tcBorders>
              <w:top w:val="nil"/>
              <w:left w:val="nil"/>
              <w:bottom w:val="nil"/>
              <w:right w:val="nil"/>
            </w:tcBorders>
          </w:tcPr>
          <w:p w14:paraId="77A3700A"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-0.257*</w:t>
            </w:r>
          </w:p>
        </w:tc>
        <w:tc>
          <w:tcPr>
            <w:tcW w:w="767" w:type="pct"/>
            <w:tcBorders>
              <w:top w:val="nil"/>
              <w:left w:val="nil"/>
              <w:bottom w:val="nil"/>
              <w:right w:val="nil"/>
            </w:tcBorders>
          </w:tcPr>
          <w:p w14:paraId="540E178F"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-0.341*</w:t>
            </w:r>
          </w:p>
        </w:tc>
      </w:tr>
      <w:tr w:rsidR="009D3026" w:rsidRPr="00CD4846" w14:paraId="44364070" w14:textId="77777777" w:rsidTr="00B82EB9">
        <w:tc>
          <w:tcPr>
            <w:tcW w:w="1608" w:type="pct"/>
            <w:tcBorders>
              <w:top w:val="nil"/>
              <w:left w:val="nil"/>
              <w:bottom w:val="nil"/>
              <w:right w:val="nil"/>
            </w:tcBorders>
          </w:tcPr>
          <w:p w14:paraId="1BD7F532" w14:textId="0C29D030" w:rsidR="00CD4846" w:rsidRPr="00CD4846" w:rsidRDefault="00CD4846" w:rsidP="007B3B75">
            <w:pPr>
              <w:widowControl w:val="0"/>
              <w:autoSpaceDE w:val="0"/>
              <w:autoSpaceDN w:val="0"/>
              <w:adjustRightInd w:val="0"/>
              <w:spacing w:line="240" w:lineRule="auto"/>
              <w:rPr>
                <w:rFonts w:cs="Times New Roman"/>
                <w:kern w:val="2"/>
                <w:sz w:val="20"/>
                <w:szCs w:val="20"/>
                <w:lang/>
              </w:rPr>
            </w:pPr>
          </w:p>
        </w:tc>
        <w:tc>
          <w:tcPr>
            <w:tcW w:w="587" w:type="pct"/>
            <w:tcBorders>
              <w:top w:val="nil"/>
              <w:left w:val="nil"/>
              <w:bottom w:val="nil"/>
              <w:right w:val="nil"/>
            </w:tcBorders>
          </w:tcPr>
          <w:p w14:paraId="46E642F9"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(0.954)</w:t>
            </w:r>
          </w:p>
        </w:tc>
        <w:tc>
          <w:tcPr>
            <w:tcW w:w="647" w:type="pct"/>
            <w:tcBorders>
              <w:top w:val="nil"/>
              <w:left w:val="nil"/>
              <w:bottom w:val="nil"/>
              <w:right w:val="nil"/>
            </w:tcBorders>
          </w:tcPr>
          <w:p w14:paraId="0AA4330F"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(1.207)</w:t>
            </w:r>
          </w:p>
        </w:tc>
        <w:tc>
          <w:tcPr>
            <w:tcW w:w="633" w:type="pct"/>
            <w:tcBorders>
              <w:top w:val="nil"/>
              <w:left w:val="nil"/>
              <w:bottom w:val="nil"/>
              <w:right w:val="nil"/>
            </w:tcBorders>
          </w:tcPr>
          <w:p w14:paraId="58478FCE"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(1.107)</w:t>
            </w:r>
          </w:p>
        </w:tc>
        <w:tc>
          <w:tcPr>
            <w:tcW w:w="758" w:type="pct"/>
            <w:tcBorders>
              <w:top w:val="nil"/>
              <w:left w:val="nil"/>
              <w:bottom w:val="nil"/>
              <w:right w:val="nil"/>
            </w:tcBorders>
          </w:tcPr>
          <w:p w14:paraId="4C64A502"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(0.155)</w:t>
            </w:r>
          </w:p>
        </w:tc>
        <w:tc>
          <w:tcPr>
            <w:tcW w:w="767" w:type="pct"/>
            <w:tcBorders>
              <w:top w:val="nil"/>
              <w:left w:val="nil"/>
              <w:bottom w:val="nil"/>
              <w:right w:val="nil"/>
            </w:tcBorders>
          </w:tcPr>
          <w:p w14:paraId="4C1B0907"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(0.177)</w:t>
            </w:r>
          </w:p>
        </w:tc>
      </w:tr>
      <w:tr w:rsidR="009D3026" w:rsidRPr="00CD4846" w14:paraId="5AC84C81" w14:textId="77777777" w:rsidTr="00B82EB9">
        <w:tc>
          <w:tcPr>
            <w:tcW w:w="1608" w:type="pct"/>
            <w:tcBorders>
              <w:top w:val="nil"/>
              <w:left w:val="nil"/>
              <w:bottom w:val="nil"/>
              <w:right w:val="nil"/>
            </w:tcBorders>
          </w:tcPr>
          <w:p w14:paraId="7052DBEE" w14:textId="3B2468DA"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Density Employment</w:t>
            </w:r>
          </w:p>
        </w:tc>
        <w:tc>
          <w:tcPr>
            <w:tcW w:w="587" w:type="pct"/>
            <w:tcBorders>
              <w:top w:val="nil"/>
              <w:left w:val="nil"/>
              <w:bottom w:val="nil"/>
              <w:right w:val="nil"/>
            </w:tcBorders>
          </w:tcPr>
          <w:p w14:paraId="35CC3219"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1.107</w:t>
            </w:r>
          </w:p>
        </w:tc>
        <w:tc>
          <w:tcPr>
            <w:tcW w:w="647" w:type="pct"/>
            <w:tcBorders>
              <w:top w:val="nil"/>
              <w:left w:val="nil"/>
              <w:bottom w:val="nil"/>
              <w:right w:val="nil"/>
            </w:tcBorders>
          </w:tcPr>
          <w:p w14:paraId="75AAADA3"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0.621</w:t>
            </w:r>
          </w:p>
        </w:tc>
        <w:tc>
          <w:tcPr>
            <w:tcW w:w="633" w:type="pct"/>
            <w:tcBorders>
              <w:top w:val="nil"/>
              <w:left w:val="nil"/>
              <w:bottom w:val="nil"/>
              <w:right w:val="nil"/>
            </w:tcBorders>
          </w:tcPr>
          <w:p w14:paraId="2FD44E23"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-2.010</w:t>
            </w:r>
          </w:p>
        </w:tc>
        <w:tc>
          <w:tcPr>
            <w:tcW w:w="758" w:type="pct"/>
            <w:tcBorders>
              <w:top w:val="nil"/>
              <w:left w:val="nil"/>
              <w:bottom w:val="nil"/>
              <w:right w:val="nil"/>
            </w:tcBorders>
          </w:tcPr>
          <w:p w14:paraId="7EC65B5E"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-0.168***</w:t>
            </w:r>
          </w:p>
        </w:tc>
        <w:tc>
          <w:tcPr>
            <w:tcW w:w="767" w:type="pct"/>
            <w:tcBorders>
              <w:top w:val="nil"/>
              <w:left w:val="nil"/>
              <w:bottom w:val="nil"/>
              <w:right w:val="nil"/>
            </w:tcBorders>
          </w:tcPr>
          <w:p w14:paraId="1AAC305E"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-0.099*</w:t>
            </w:r>
          </w:p>
        </w:tc>
      </w:tr>
      <w:tr w:rsidR="009D3026" w:rsidRPr="00CD4846" w14:paraId="69938027" w14:textId="77777777" w:rsidTr="00B82EB9">
        <w:tc>
          <w:tcPr>
            <w:tcW w:w="1608" w:type="pct"/>
            <w:tcBorders>
              <w:top w:val="nil"/>
              <w:left w:val="nil"/>
              <w:bottom w:val="nil"/>
              <w:right w:val="nil"/>
            </w:tcBorders>
          </w:tcPr>
          <w:p w14:paraId="512BE035" w14:textId="7ED73B7F" w:rsidR="00CD4846" w:rsidRPr="00CD4846" w:rsidRDefault="00CD4846" w:rsidP="007B3B75">
            <w:pPr>
              <w:widowControl w:val="0"/>
              <w:autoSpaceDE w:val="0"/>
              <w:autoSpaceDN w:val="0"/>
              <w:adjustRightInd w:val="0"/>
              <w:spacing w:line="240" w:lineRule="auto"/>
              <w:rPr>
                <w:rFonts w:cs="Times New Roman"/>
                <w:kern w:val="2"/>
                <w:sz w:val="20"/>
                <w:szCs w:val="20"/>
                <w:lang/>
              </w:rPr>
            </w:pPr>
          </w:p>
        </w:tc>
        <w:tc>
          <w:tcPr>
            <w:tcW w:w="587" w:type="pct"/>
            <w:tcBorders>
              <w:top w:val="nil"/>
              <w:left w:val="nil"/>
              <w:bottom w:val="nil"/>
              <w:right w:val="nil"/>
            </w:tcBorders>
          </w:tcPr>
          <w:p w14:paraId="1B4527F3"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(1.034)</w:t>
            </w:r>
          </w:p>
        </w:tc>
        <w:tc>
          <w:tcPr>
            <w:tcW w:w="647" w:type="pct"/>
            <w:tcBorders>
              <w:top w:val="nil"/>
              <w:left w:val="nil"/>
              <w:bottom w:val="nil"/>
              <w:right w:val="nil"/>
            </w:tcBorders>
          </w:tcPr>
          <w:p w14:paraId="471A4ED2"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(0.668)</w:t>
            </w:r>
          </w:p>
        </w:tc>
        <w:tc>
          <w:tcPr>
            <w:tcW w:w="633" w:type="pct"/>
            <w:tcBorders>
              <w:top w:val="nil"/>
              <w:left w:val="nil"/>
              <w:bottom w:val="nil"/>
              <w:right w:val="nil"/>
            </w:tcBorders>
          </w:tcPr>
          <w:p w14:paraId="574EBB4F"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(1.466)</w:t>
            </w:r>
          </w:p>
        </w:tc>
        <w:tc>
          <w:tcPr>
            <w:tcW w:w="758" w:type="pct"/>
            <w:tcBorders>
              <w:top w:val="nil"/>
              <w:left w:val="nil"/>
              <w:bottom w:val="nil"/>
              <w:right w:val="nil"/>
            </w:tcBorders>
          </w:tcPr>
          <w:p w14:paraId="0274AA8F"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(0.042)</w:t>
            </w:r>
          </w:p>
        </w:tc>
        <w:tc>
          <w:tcPr>
            <w:tcW w:w="767" w:type="pct"/>
            <w:tcBorders>
              <w:top w:val="nil"/>
              <w:left w:val="nil"/>
              <w:bottom w:val="nil"/>
              <w:right w:val="nil"/>
            </w:tcBorders>
          </w:tcPr>
          <w:p w14:paraId="50BFCFCB"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(0.055)</w:t>
            </w:r>
          </w:p>
        </w:tc>
      </w:tr>
      <w:tr w:rsidR="009D3026" w:rsidRPr="00CD4846" w14:paraId="0D510471" w14:textId="77777777" w:rsidTr="00B82EB9">
        <w:tc>
          <w:tcPr>
            <w:tcW w:w="1608" w:type="pct"/>
            <w:tcBorders>
              <w:top w:val="nil"/>
              <w:left w:val="nil"/>
              <w:bottom w:val="nil"/>
              <w:right w:val="nil"/>
            </w:tcBorders>
          </w:tcPr>
          <w:p w14:paraId="5AA84E1B"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Percent Black (100s)</w:t>
            </w:r>
          </w:p>
        </w:tc>
        <w:tc>
          <w:tcPr>
            <w:tcW w:w="587" w:type="pct"/>
            <w:tcBorders>
              <w:top w:val="nil"/>
              <w:left w:val="nil"/>
              <w:bottom w:val="nil"/>
              <w:right w:val="nil"/>
            </w:tcBorders>
          </w:tcPr>
          <w:p w14:paraId="05C937E8"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-8.612</w:t>
            </w:r>
          </w:p>
        </w:tc>
        <w:tc>
          <w:tcPr>
            <w:tcW w:w="647" w:type="pct"/>
            <w:tcBorders>
              <w:top w:val="nil"/>
              <w:left w:val="nil"/>
              <w:bottom w:val="nil"/>
              <w:right w:val="nil"/>
            </w:tcBorders>
          </w:tcPr>
          <w:p w14:paraId="13726772"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-16.138</w:t>
            </w:r>
          </w:p>
        </w:tc>
        <w:tc>
          <w:tcPr>
            <w:tcW w:w="633" w:type="pct"/>
            <w:tcBorders>
              <w:top w:val="nil"/>
              <w:left w:val="nil"/>
              <w:bottom w:val="nil"/>
              <w:right w:val="nil"/>
            </w:tcBorders>
          </w:tcPr>
          <w:p w14:paraId="26F741AE"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-7.916</w:t>
            </w:r>
          </w:p>
        </w:tc>
        <w:tc>
          <w:tcPr>
            <w:tcW w:w="758" w:type="pct"/>
            <w:tcBorders>
              <w:top w:val="nil"/>
              <w:left w:val="nil"/>
              <w:bottom w:val="nil"/>
              <w:right w:val="nil"/>
            </w:tcBorders>
          </w:tcPr>
          <w:p w14:paraId="769F6BB3"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0.171</w:t>
            </w:r>
          </w:p>
        </w:tc>
        <w:tc>
          <w:tcPr>
            <w:tcW w:w="767" w:type="pct"/>
            <w:tcBorders>
              <w:top w:val="nil"/>
              <w:left w:val="nil"/>
              <w:bottom w:val="nil"/>
              <w:right w:val="nil"/>
            </w:tcBorders>
          </w:tcPr>
          <w:p w14:paraId="5CF3BAC5"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0.013</w:t>
            </w:r>
          </w:p>
        </w:tc>
      </w:tr>
      <w:tr w:rsidR="009D3026" w:rsidRPr="00CD4846" w14:paraId="24CE508F" w14:textId="77777777" w:rsidTr="00B82EB9">
        <w:tc>
          <w:tcPr>
            <w:tcW w:w="1608" w:type="pct"/>
            <w:tcBorders>
              <w:top w:val="nil"/>
              <w:left w:val="nil"/>
              <w:bottom w:val="nil"/>
              <w:right w:val="nil"/>
            </w:tcBorders>
          </w:tcPr>
          <w:p w14:paraId="7824139A" w14:textId="22128235" w:rsidR="00CD4846" w:rsidRPr="00CD4846" w:rsidRDefault="00CD4846" w:rsidP="007B3B75">
            <w:pPr>
              <w:widowControl w:val="0"/>
              <w:autoSpaceDE w:val="0"/>
              <w:autoSpaceDN w:val="0"/>
              <w:adjustRightInd w:val="0"/>
              <w:spacing w:line="240" w:lineRule="auto"/>
              <w:rPr>
                <w:rFonts w:cs="Times New Roman"/>
                <w:kern w:val="2"/>
                <w:sz w:val="20"/>
                <w:szCs w:val="20"/>
                <w:lang/>
              </w:rPr>
            </w:pPr>
          </w:p>
        </w:tc>
        <w:tc>
          <w:tcPr>
            <w:tcW w:w="587" w:type="pct"/>
            <w:tcBorders>
              <w:top w:val="nil"/>
              <w:left w:val="nil"/>
              <w:bottom w:val="nil"/>
              <w:right w:val="nil"/>
            </w:tcBorders>
          </w:tcPr>
          <w:p w14:paraId="1B10EFC3"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(10.394)</w:t>
            </w:r>
          </w:p>
        </w:tc>
        <w:tc>
          <w:tcPr>
            <w:tcW w:w="647" w:type="pct"/>
            <w:tcBorders>
              <w:top w:val="nil"/>
              <w:left w:val="nil"/>
              <w:bottom w:val="nil"/>
              <w:right w:val="nil"/>
            </w:tcBorders>
          </w:tcPr>
          <w:p w14:paraId="73CAC635"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(13.095)</w:t>
            </w:r>
          </w:p>
        </w:tc>
        <w:tc>
          <w:tcPr>
            <w:tcW w:w="633" w:type="pct"/>
            <w:tcBorders>
              <w:top w:val="nil"/>
              <w:left w:val="nil"/>
              <w:bottom w:val="nil"/>
              <w:right w:val="nil"/>
            </w:tcBorders>
          </w:tcPr>
          <w:p w14:paraId="4522CC33"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(18.235)</w:t>
            </w:r>
          </w:p>
        </w:tc>
        <w:tc>
          <w:tcPr>
            <w:tcW w:w="758" w:type="pct"/>
            <w:tcBorders>
              <w:top w:val="nil"/>
              <w:left w:val="nil"/>
              <w:bottom w:val="nil"/>
              <w:right w:val="nil"/>
            </w:tcBorders>
          </w:tcPr>
          <w:p w14:paraId="63009E8F"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(1.429)</w:t>
            </w:r>
          </w:p>
        </w:tc>
        <w:tc>
          <w:tcPr>
            <w:tcW w:w="767" w:type="pct"/>
            <w:tcBorders>
              <w:top w:val="nil"/>
              <w:left w:val="nil"/>
              <w:bottom w:val="nil"/>
              <w:right w:val="nil"/>
            </w:tcBorders>
          </w:tcPr>
          <w:p w14:paraId="29CFD294"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(2.006)</w:t>
            </w:r>
          </w:p>
        </w:tc>
      </w:tr>
      <w:tr w:rsidR="009D3026" w:rsidRPr="00CD4846" w14:paraId="1648DF9B" w14:textId="77777777" w:rsidTr="00B82EB9">
        <w:tc>
          <w:tcPr>
            <w:tcW w:w="1608" w:type="pct"/>
            <w:tcBorders>
              <w:top w:val="nil"/>
              <w:left w:val="nil"/>
              <w:bottom w:val="nil"/>
              <w:right w:val="nil"/>
            </w:tcBorders>
          </w:tcPr>
          <w:p w14:paraId="19F53ACB" w14:textId="3B19E38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Population count (1ms)</w:t>
            </w:r>
          </w:p>
        </w:tc>
        <w:tc>
          <w:tcPr>
            <w:tcW w:w="587" w:type="pct"/>
            <w:tcBorders>
              <w:top w:val="nil"/>
              <w:left w:val="nil"/>
              <w:bottom w:val="nil"/>
              <w:right w:val="nil"/>
            </w:tcBorders>
          </w:tcPr>
          <w:p w14:paraId="6FDD441A"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-0.119</w:t>
            </w:r>
          </w:p>
        </w:tc>
        <w:tc>
          <w:tcPr>
            <w:tcW w:w="647" w:type="pct"/>
            <w:tcBorders>
              <w:top w:val="nil"/>
              <w:left w:val="nil"/>
              <w:bottom w:val="nil"/>
              <w:right w:val="nil"/>
            </w:tcBorders>
          </w:tcPr>
          <w:p w14:paraId="168A88CB"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0.419</w:t>
            </w:r>
          </w:p>
        </w:tc>
        <w:tc>
          <w:tcPr>
            <w:tcW w:w="633" w:type="pct"/>
            <w:tcBorders>
              <w:top w:val="nil"/>
              <w:left w:val="nil"/>
              <w:bottom w:val="nil"/>
              <w:right w:val="nil"/>
            </w:tcBorders>
          </w:tcPr>
          <w:p w14:paraId="5BAE8439"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4.279**</w:t>
            </w:r>
          </w:p>
        </w:tc>
        <w:tc>
          <w:tcPr>
            <w:tcW w:w="758" w:type="pct"/>
            <w:tcBorders>
              <w:top w:val="nil"/>
              <w:left w:val="nil"/>
              <w:bottom w:val="nil"/>
              <w:right w:val="nil"/>
            </w:tcBorders>
          </w:tcPr>
          <w:p w14:paraId="51136C8D"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1.094**</w:t>
            </w:r>
          </w:p>
        </w:tc>
        <w:tc>
          <w:tcPr>
            <w:tcW w:w="767" w:type="pct"/>
            <w:tcBorders>
              <w:top w:val="nil"/>
              <w:left w:val="nil"/>
              <w:bottom w:val="nil"/>
              <w:right w:val="nil"/>
            </w:tcBorders>
          </w:tcPr>
          <w:p w14:paraId="71384200"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0.357</w:t>
            </w:r>
          </w:p>
        </w:tc>
      </w:tr>
      <w:tr w:rsidR="009D3026" w:rsidRPr="00CD4846" w14:paraId="0DB24440" w14:textId="77777777" w:rsidTr="00B82EB9">
        <w:tc>
          <w:tcPr>
            <w:tcW w:w="1608" w:type="pct"/>
            <w:tcBorders>
              <w:top w:val="nil"/>
              <w:left w:val="nil"/>
              <w:bottom w:val="nil"/>
              <w:right w:val="nil"/>
            </w:tcBorders>
          </w:tcPr>
          <w:p w14:paraId="04B6FC7A" w14:textId="6B3A7554" w:rsidR="00CD4846" w:rsidRPr="00CD4846" w:rsidRDefault="00CD4846" w:rsidP="007B3B75">
            <w:pPr>
              <w:widowControl w:val="0"/>
              <w:autoSpaceDE w:val="0"/>
              <w:autoSpaceDN w:val="0"/>
              <w:adjustRightInd w:val="0"/>
              <w:spacing w:line="240" w:lineRule="auto"/>
              <w:rPr>
                <w:rFonts w:cs="Times New Roman"/>
                <w:kern w:val="2"/>
                <w:sz w:val="20"/>
                <w:szCs w:val="20"/>
                <w:lang/>
              </w:rPr>
            </w:pPr>
          </w:p>
        </w:tc>
        <w:tc>
          <w:tcPr>
            <w:tcW w:w="587" w:type="pct"/>
            <w:tcBorders>
              <w:top w:val="nil"/>
              <w:left w:val="nil"/>
              <w:bottom w:val="nil"/>
              <w:right w:val="nil"/>
            </w:tcBorders>
          </w:tcPr>
          <w:p w14:paraId="7B008C83"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(2.027)</w:t>
            </w:r>
          </w:p>
        </w:tc>
        <w:tc>
          <w:tcPr>
            <w:tcW w:w="647" w:type="pct"/>
            <w:tcBorders>
              <w:top w:val="nil"/>
              <w:left w:val="nil"/>
              <w:bottom w:val="nil"/>
              <w:right w:val="nil"/>
            </w:tcBorders>
          </w:tcPr>
          <w:p w14:paraId="5F1B86A2"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(1.226)</w:t>
            </w:r>
          </w:p>
        </w:tc>
        <w:tc>
          <w:tcPr>
            <w:tcW w:w="633" w:type="pct"/>
            <w:tcBorders>
              <w:top w:val="nil"/>
              <w:left w:val="nil"/>
              <w:bottom w:val="nil"/>
              <w:right w:val="nil"/>
            </w:tcBorders>
          </w:tcPr>
          <w:p w14:paraId="3E08D73C"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(1.834)</w:t>
            </w:r>
          </w:p>
        </w:tc>
        <w:tc>
          <w:tcPr>
            <w:tcW w:w="758" w:type="pct"/>
            <w:tcBorders>
              <w:top w:val="nil"/>
              <w:left w:val="nil"/>
              <w:bottom w:val="nil"/>
              <w:right w:val="nil"/>
            </w:tcBorders>
          </w:tcPr>
          <w:p w14:paraId="7435DF3A"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(0.440)</w:t>
            </w:r>
          </w:p>
        </w:tc>
        <w:tc>
          <w:tcPr>
            <w:tcW w:w="767" w:type="pct"/>
            <w:tcBorders>
              <w:top w:val="nil"/>
              <w:left w:val="nil"/>
              <w:bottom w:val="nil"/>
              <w:right w:val="nil"/>
            </w:tcBorders>
          </w:tcPr>
          <w:p w14:paraId="51C1AA62"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(0.320)</w:t>
            </w:r>
          </w:p>
        </w:tc>
      </w:tr>
      <w:tr w:rsidR="009D3026" w:rsidRPr="00CD4846" w14:paraId="2A77640F" w14:textId="77777777" w:rsidTr="00B82EB9">
        <w:tc>
          <w:tcPr>
            <w:tcW w:w="1608" w:type="pct"/>
            <w:tcBorders>
              <w:top w:val="nil"/>
              <w:left w:val="nil"/>
              <w:bottom w:val="nil"/>
              <w:right w:val="nil"/>
            </w:tcBorders>
          </w:tcPr>
          <w:p w14:paraId="0AF10C24" w14:textId="3CB3F5B3"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Unemployment rate (100s)</w:t>
            </w:r>
          </w:p>
        </w:tc>
        <w:tc>
          <w:tcPr>
            <w:tcW w:w="587" w:type="pct"/>
            <w:tcBorders>
              <w:top w:val="nil"/>
              <w:left w:val="nil"/>
              <w:bottom w:val="nil"/>
              <w:right w:val="nil"/>
            </w:tcBorders>
          </w:tcPr>
          <w:p w14:paraId="5C6B8017"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4.815</w:t>
            </w:r>
          </w:p>
        </w:tc>
        <w:tc>
          <w:tcPr>
            <w:tcW w:w="647" w:type="pct"/>
            <w:tcBorders>
              <w:top w:val="nil"/>
              <w:left w:val="nil"/>
              <w:bottom w:val="nil"/>
              <w:right w:val="nil"/>
            </w:tcBorders>
          </w:tcPr>
          <w:p w14:paraId="231DE958"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1.085</w:t>
            </w:r>
          </w:p>
        </w:tc>
        <w:tc>
          <w:tcPr>
            <w:tcW w:w="633" w:type="pct"/>
            <w:tcBorders>
              <w:top w:val="nil"/>
              <w:left w:val="nil"/>
              <w:bottom w:val="nil"/>
              <w:right w:val="nil"/>
            </w:tcBorders>
          </w:tcPr>
          <w:p w14:paraId="4D8D9987"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14.635</w:t>
            </w:r>
          </w:p>
        </w:tc>
        <w:tc>
          <w:tcPr>
            <w:tcW w:w="758" w:type="pct"/>
            <w:tcBorders>
              <w:top w:val="nil"/>
              <w:left w:val="nil"/>
              <w:bottom w:val="nil"/>
              <w:right w:val="nil"/>
            </w:tcBorders>
          </w:tcPr>
          <w:p w14:paraId="4C47B199"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1.513</w:t>
            </w:r>
          </w:p>
        </w:tc>
        <w:tc>
          <w:tcPr>
            <w:tcW w:w="767" w:type="pct"/>
            <w:tcBorders>
              <w:top w:val="nil"/>
              <w:left w:val="nil"/>
              <w:bottom w:val="nil"/>
              <w:right w:val="nil"/>
            </w:tcBorders>
          </w:tcPr>
          <w:p w14:paraId="75752773"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3.561*</w:t>
            </w:r>
          </w:p>
        </w:tc>
      </w:tr>
      <w:tr w:rsidR="009D3026" w:rsidRPr="00CD4846" w14:paraId="6F9FBCFE" w14:textId="77777777" w:rsidTr="00B82EB9">
        <w:tc>
          <w:tcPr>
            <w:tcW w:w="1608" w:type="pct"/>
            <w:tcBorders>
              <w:top w:val="nil"/>
              <w:left w:val="nil"/>
              <w:bottom w:val="nil"/>
              <w:right w:val="nil"/>
            </w:tcBorders>
          </w:tcPr>
          <w:p w14:paraId="414661E6" w14:textId="5EE5BA4E" w:rsidR="00CD4846" w:rsidRPr="00CD4846" w:rsidRDefault="00CD4846" w:rsidP="007B3B75">
            <w:pPr>
              <w:widowControl w:val="0"/>
              <w:autoSpaceDE w:val="0"/>
              <w:autoSpaceDN w:val="0"/>
              <w:adjustRightInd w:val="0"/>
              <w:spacing w:line="240" w:lineRule="auto"/>
              <w:rPr>
                <w:rFonts w:cs="Times New Roman"/>
                <w:kern w:val="2"/>
                <w:sz w:val="20"/>
                <w:szCs w:val="20"/>
                <w:lang/>
              </w:rPr>
            </w:pPr>
          </w:p>
        </w:tc>
        <w:tc>
          <w:tcPr>
            <w:tcW w:w="587" w:type="pct"/>
            <w:tcBorders>
              <w:top w:val="nil"/>
              <w:left w:val="nil"/>
              <w:bottom w:val="nil"/>
              <w:right w:val="nil"/>
            </w:tcBorders>
          </w:tcPr>
          <w:p w14:paraId="44269536"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(6.115)</w:t>
            </w:r>
          </w:p>
        </w:tc>
        <w:tc>
          <w:tcPr>
            <w:tcW w:w="647" w:type="pct"/>
            <w:tcBorders>
              <w:top w:val="nil"/>
              <w:left w:val="nil"/>
              <w:bottom w:val="nil"/>
              <w:right w:val="nil"/>
            </w:tcBorders>
          </w:tcPr>
          <w:p w14:paraId="17371E99"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(10.348)</w:t>
            </w:r>
          </w:p>
        </w:tc>
        <w:tc>
          <w:tcPr>
            <w:tcW w:w="633" w:type="pct"/>
            <w:tcBorders>
              <w:top w:val="nil"/>
              <w:left w:val="nil"/>
              <w:bottom w:val="nil"/>
              <w:right w:val="nil"/>
            </w:tcBorders>
          </w:tcPr>
          <w:p w14:paraId="389D8F3A"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(11.756)</w:t>
            </w:r>
          </w:p>
        </w:tc>
        <w:tc>
          <w:tcPr>
            <w:tcW w:w="758" w:type="pct"/>
            <w:tcBorders>
              <w:top w:val="nil"/>
              <w:left w:val="nil"/>
              <w:bottom w:val="nil"/>
              <w:right w:val="nil"/>
            </w:tcBorders>
          </w:tcPr>
          <w:p w14:paraId="0F8C6E07"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(1.434)</w:t>
            </w:r>
          </w:p>
        </w:tc>
        <w:tc>
          <w:tcPr>
            <w:tcW w:w="767" w:type="pct"/>
            <w:tcBorders>
              <w:top w:val="nil"/>
              <w:left w:val="nil"/>
              <w:bottom w:val="nil"/>
              <w:right w:val="nil"/>
            </w:tcBorders>
          </w:tcPr>
          <w:p w14:paraId="1965C0BC"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(1.984)</w:t>
            </w:r>
          </w:p>
        </w:tc>
      </w:tr>
      <w:tr w:rsidR="009D3026" w:rsidRPr="00CD4846" w14:paraId="3737D2A9" w14:textId="77777777" w:rsidTr="00B82EB9">
        <w:tc>
          <w:tcPr>
            <w:tcW w:w="1608" w:type="pct"/>
            <w:tcBorders>
              <w:top w:val="nil"/>
              <w:left w:val="nil"/>
              <w:bottom w:val="nil"/>
              <w:right w:val="nil"/>
            </w:tcBorders>
          </w:tcPr>
          <w:p w14:paraId="5E224E2A" w14:textId="2E2919DB"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Sales Volume (t-1)</w:t>
            </w:r>
          </w:p>
        </w:tc>
        <w:tc>
          <w:tcPr>
            <w:tcW w:w="587" w:type="pct"/>
            <w:tcBorders>
              <w:top w:val="nil"/>
              <w:left w:val="nil"/>
              <w:bottom w:val="nil"/>
              <w:right w:val="nil"/>
            </w:tcBorders>
          </w:tcPr>
          <w:p w14:paraId="651D7EB1"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-0.346</w:t>
            </w:r>
          </w:p>
        </w:tc>
        <w:tc>
          <w:tcPr>
            <w:tcW w:w="647" w:type="pct"/>
            <w:tcBorders>
              <w:top w:val="nil"/>
              <w:left w:val="nil"/>
              <w:bottom w:val="nil"/>
              <w:right w:val="nil"/>
            </w:tcBorders>
          </w:tcPr>
          <w:p w14:paraId="3792398C"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-26.828***</w:t>
            </w:r>
          </w:p>
        </w:tc>
        <w:tc>
          <w:tcPr>
            <w:tcW w:w="633" w:type="pct"/>
            <w:tcBorders>
              <w:top w:val="nil"/>
              <w:left w:val="nil"/>
              <w:bottom w:val="nil"/>
              <w:right w:val="nil"/>
            </w:tcBorders>
          </w:tcPr>
          <w:p w14:paraId="7FB68340"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7.613</w:t>
            </w:r>
          </w:p>
        </w:tc>
        <w:tc>
          <w:tcPr>
            <w:tcW w:w="758" w:type="pct"/>
            <w:tcBorders>
              <w:top w:val="nil"/>
              <w:left w:val="nil"/>
              <w:bottom w:val="nil"/>
              <w:right w:val="nil"/>
            </w:tcBorders>
          </w:tcPr>
          <w:p w14:paraId="17D634D3"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10.675</w:t>
            </w:r>
          </w:p>
        </w:tc>
        <w:tc>
          <w:tcPr>
            <w:tcW w:w="767" w:type="pct"/>
            <w:tcBorders>
              <w:top w:val="nil"/>
              <w:left w:val="nil"/>
              <w:bottom w:val="nil"/>
              <w:right w:val="nil"/>
            </w:tcBorders>
          </w:tcPr>
          <w:p w14:paraId="0FB53ED3"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0.594</w:t>
            </w:r>
          </w:p>
        </w:tc>
      </w:tr>
      <w:tr w:rsidR="009D3026" w:rsidRPr="00CD4846" w14:paraId="0F41A79A" w14:textId="77777777" w:rsidTr="00B82EB9">
        <w:tc>
          <w:tcPr>
            <w:tcW w:w="1608" w:type="pct"/>
            <w:tcBorders>
              <w:top w:val="nil"/>
              <w:left w:val="nil"/>
              <w:bottom w:val="nil"/>
              <w:right w:val="nil"/>
            </w:tcBorders>
          </w:tcPr>
          <w:p w14:paraId="73996519" w14:textId="79D1A007" w:rsidR="00CD4846" w:rsidRPr="00CD4846" w:rsidRDefault="00CD4846" w:rsidP="007B3B75">
            <w:pPr>
              <w:widowControl w:val="0"/>
              <w:autoSpaceDE w:val="0"/>
              <w:autoSpaceDN w:val="0"/>
              <w:adjustRightInd w:val="0"/>
              <w:spacing w:line="240" w:lineRule="auto"/>
              <w:rPr>
                <w:rFonts w:cs="Times New Roman"/>
                <w:kern w:val="2"/>
                <w:sz w:val="20"/>
                <w:szCs w:val="20"/>
                <w:lang/>
              </w:rPr>
            </w:pPr>
          </w:p>
        </w:tc>
        <w:tc>
          <w:tcPr>
            <w:tcW w:w="587" w:type="pct"/>
            <w:tcBorders>
              <w:top w:val="nil"/>
              <w:left w:val="nil"/>
              <w:bottom w:val="nil"/>
              <w:right w:val="nil"/>
            </w:tcBorders>
          </w:tcPr>
          <w:p w14:paraId="5EC869C4"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(20.830)</w:t>
            </w:r>
          </w:p>
        </w:tc>
        <w:tc>
          <w:tcPr>
            <w:tcW w:w="647" w:type="pct"/>
            <w:tcBorders>
              <w:top w:val="nil"/>
              <w:left w:val="nil"/>
              <w:bottom w:val="nil"/>
              <w:right w:val="nil"/>
            </w:tcBorders>
          </w:tcPr>
          <w:p w14:paraId="498E5D71"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(9.838)</w:t>
            </w:r>
          </w:p>
        </w:tc>
        <w:tc>
          <w:tcPr>
            <w:tcW w:w="633" w:type="pct"/>
            <w:tcBorders>
              <w:top w:val="nil"/>
              <w:left w:val="nil"/>
              <w:bottom w:val="nil"/>
              <w:right w:val="nil"/>
            </w:tcBorders>
          </w:tcPr>
          <w:p w14:paraId="75A39EB3"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(4.939)</w:t>
            </w:r>
          </w:p>
        </w:tc>
        <w:tc>
          <w:tcPr>
            <w:tcW w:w="758" w:type="pct"/>
            <w:tcBorders>
              <w:top w:val="nil"/>
              <w:left w:val="nil"/>
              <w:bottom w:val="nil"/>
              <w:right w:val="nil"/>
            </w:tcBorders>
          </w:tcPr>
          <w:p w14:paraId="210C3363"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(15.951)</w:t>
            </w:r>
          </w:p>
        </w:tc>
        <w:tc>
          <w:tcPr>
            <w:tcW w:w="767" w:type="pct"/>
            <w:tcBorders>
              <w:top w:val="nil"/>
              <w:left w:val="nil"/>
              <w:bottom w:val="nil"/>
              <w:right w:val="nil"/>
            </w:tcBorders>
          </w:tcPr>
          <w:p w14:paraId="6C1C2844"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(0.818)</w:t>
            </w:r>
          </w:p>
        </w:tc>
      </w:tr>
      <w:tr w:rsidR="009D3026" w:rsidRPr="00CD4846" w14:paraId="433EE734" w14:textId="77777777" w:rsidTr="00B82EB9">
        <w:tc>
          <w:tcPr>
            <w:tcW w:w="1608" w:type="pct"/>
            <w:tcBorders>
              <w:top w:val="nil"/>
              <w:left w:val="nil"/>
              <w:bottom w:val="nil"/>
              <w:right w:val="nil"/>
            </w:tcBorders>
          </w:tcPr>
          <w:p w14:paraId="64C76BD3" w14:textId="79F51298"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Prior Births (1ks)</w:t>
            </w:r>
          </w:p>
        </w:tc>
        <w:tc>
          <w:tcPr>
            <w:tcW w:w="587" w:type="pct"/>
            <w:tcBorders>
              <w:top w:val="nil"/>
              <w:left w:val="nil"/>
              <w:bottom w:val="nil"/>
              <w:right w:val="nil"/>
            </w:tcBorders>
          </w:tcPr>
          <w:p w14:paraId="51807649"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0.363</w:t>
            </w:r>
          </w:p>
        </w:tc>
        <w:tc>
          <w:tcPr>
            <w:tcW w:w="647" w:type="pct"/>
            <w:tcBorders>
              <w:top w:val="nil"/>
              <w:left w:val="nil"/>
              <w:bottom w:val="nil"/>
              <w:right w:val="nil"/>
            </w:tcBorders>
          </w:tcPr>
          <w:p w14:paraId="4846B94B"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0.276</w:t>
            </w:r>
          </w:p>
        </w:tc>
        <w:tc>
          <w:tcPr>
            <w:tcW w:w="633" w:type="pct"/>
            <w:tcBorders>
              <w:top w:val="nil"/>
              <w:left w:val="nil"/>
              <w:bottom w:val="nil"/>
              <w:right w:val="nil"/>
            </w:tcBorders>
          </w:tcPr>
          <w:p w14:paraId="5C3F45DD"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38.987**</w:t>
            </w:r>
          </w:p>
        </w:tc>
        <w:tc>
          <w:tcPr>
            <w:tcW w:w="758" w:type="pct"/>
            <w:tcBorders>
              <w:top w:val="nil"/>
              <w:left w:val="nil"/>
              <w:bottom w:val="nil"/>
              <w:right w:val="nil"/>
            </w:tcBorders>
          </w:tcPr>
          <w:p w14:paraId="02682467"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0.001</w:t>
            </w:r>
          </w:p>
        </w:tc>
        <w:tc>
          <w:tcPr>
            <w:tcW w:w="767" w:type="pct"/>
            <w:tcBorders>
              <w:top w:val="nil"/>
              <w:left w:val="nil"/>
              <w:bottom w:val="nil"/>
              <w:right w:val="nil"/>
            </w:tcBorders>
          </w:tcPr>
          <w:p w14:paraId="70493338"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0.072</w:t>
            </w:r>
          </w:p>
        </w:tc>
      </w:tr>
      <w:tr w:rsidR="009D3026" w:rsidRPr="00CD4846" w14:paraId="16916E11" w14:textId="77777777" w:rsidTr="00B82EB9">
        <w:tc>
          <w:tcPr>
            <w:tcW w:w="1608" w:type="pct"/>
            <w:tcBorders>
              <w:top w:val="nil"/>
              <w:left w:val="nil"/>
              <w:bottom w:val="nil"/>
              <w:right w:val="nil"/>
            </w:tcBorders>
          </w:tcPr>
          <w:p w14:paraId="5F388A09" w14:textId="49D73A58" w:rsidR="00CD4846" w:rsidRPr="00CD4846" w:rsidRDefault="00CD4846" w:rsidP="007B3B75">
            <w:pPr>
              <w:widowControl w:val="0"/>
              <w:autoSpaceDE w:val="0"/>
              <w:autoSpaceDN w:val="0"/>
              <w:adjustRightInd w:val="0"/>
              <w:spacing w:line="240" w:lineRule="auto"/>
              <w:rPr>
                <w:rFonts w:cs="Times New Roman"/>
                <w:kern w:val="2"/>
                <w:sz w:val="20"/>
                <w:szCs w:val="20"/>
                <w:lang/>
              </w:rPr>
            </w:pPr>
          </w:p>
        </w:tc>
        <w:tc>
          <w:tcPr>
            <w:tcW w:w="587" w:type="pct"/>
            <w:tcBorders>
              <w:top w:val="nil"/>
              <w:left w:val="nil"/>
              <w:bottom w:val="nil"/>
              <w:right w:val="nil"/>
            </w:tcBorders>
          </w:tcPr>
          <w:p w14:paraId="17145470"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(4.573)</w:t>
            </w:r>
          </w:p>
        </w:tc>
        <w:tc>
          <w:tcPr>
            <w:tcW w:w="647" w:type="pct"/>
            <w:tcBorders>
              <w:top w:val="nil"/>
              <w:left w:val="nil"/>
              <w:bottom w:val="nil"/>
              <w:right w:val="nil"/>
            </w:tcBorders>
          </w:tcPr>
          <w:p w14:paraId="01F80603"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(1.298)</w:t>
            </w:r>
          </w:p>
        </w:tc>
        <w:tc>
          <w:tcPr>
            <w:tcW w:w="633" w:type="pct"/>
            <w:tcBorders>
              <w:top w:val="nil"/>
              <w:left w:val="nil"/>
              <w:bottom w:val="nil"/>
              <w:right w:val="nil"/>
            </w:tcBorders>
          </w:tcPr>
          <w:p w14:paraId="230B52D8"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(18.260)</w:t>
            </w:r>
          </w:p>
        </w:tc>
        <w:tc>
          <w:tcPr>
            <w:tcW w:w="758" w:type="pct"/>
            <w:tcBorders>
              <w:top w:val="nil"/>
              <w:left w:val="nil"/>
              <w:bottom w:val="nil"/>
              <w:right w:val="nil"/>
            </w:tcBorders>
          </w:tcPr>
          <w:p w14:paraId="0475F354"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(0.035)</w:t>
            </w:r>
          </w:p>
        </w:tc>
        <w:tc>
          <w:tcPr>
            <w:tcW w:w="767" w:type="pct"/>
            <w:tcBorders>
              <w:top w:val="nil"/>
              <w:left w:val="nil"/>
              <w:bottom w:val="nil"/>
              <w:right w:val="nil"/>
            </w:tcBorders>
          </w:tcPr>
          <w:p w14:paraId="3C04933D"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(0.123)</w:t>
            </w:r>
          </w:p>
        </w:tc>
      </w:tr>
      <w:tr w:rsidR="009D3026" w:rsidRPr="00CD4846" w14:paraId="0C71321B" w14:textId="77777777" w:rsidTr="00B82EB9">
        <w:tc>
          <w:tcPr>
            <w:tcW w:w="1608" w:type="pct"/>
            <w:tcBorders>
              <w:top w:val="nil"/>
              <w:left w:val="nil"/>
              <w:bottom w:val="nil"/>
              <w:right w:val="nil"/>
            </w:tcBorders>
          </w:tcPr>
          <w:p w14:paraId="64385306" w14:textId="60E615D0"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Prior Deaths (1ks)</w:t>
            </w:r>
          </w:p>
        </w:tc>
        <w:tc>
          <w:tcPr>
            <w:tcW w:w="587" w:type="pct"/>
            <w:tcBorders>
              <w:top w:val="nil"/>
              <w:left w:val="nil"/>
              <w:bottom w:val="nil"/>
              <w:right w:val="nil"/>
            </w:tcBorders>
          </w:tcPr>
          <w:p w14:paraId="5FD5E6A4"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-0.318</w:t>
            </w:r>
          </w:p>
        </w:tc>
        <w:tc>
          <w:tcPr>
            <w:tcW w:w="647" w:type="pct"/>
            <w:tcBorders>
              <w:top w:val="nil"/>
              <w:left w:val="nil"/>
              <w:bottom w:val="nil"/>
              <w:right w:val="nil"/>
            </w:tcBorders>
          </w:tcPr>
          <w:p w14:paraId="2BFE1D23"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2.234</w:t>
            </w:r>
          </w:p>
        </w:tc>
        <w:tc>
          <w:tcPr>
            <w:tcW w:w="633" w:type="pct"/>
            <w:tcBorders>
              <w:top w:val="nil"/>
              <w:left w:val="nil"/>
              <w:bottom w:val="nil"/>
              <w:right w:val="nil"/>
            </w:tcBorders>
          </w:tcPr>
          <w:p w14:paraId="4EB08F59"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-10.315</w:t>
            </w:r>
          </w:p>
        </w:tc>
        <w:tc>
          <w:tcPr>
            <w:tcW w:w="758" w:type="pct"/>
            <w:tcBorders>
              <w:top w:val="nil"/>
              <w:left w:val="nil"/>
              <w:bottom w:val="nil"/>
              <w:right w:val="nil"/>
            </w:tcBorders>
          </w:tcPr>
          <w:p w14:paraId="667815AF"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-0.138*</w:t>
            </w:r>
          </w:p>
        </w:tc>
        <w:tc>
          <w:tcPr>
            <w:tcW w:w="767" w:type="pct"/>
            <w:tcBorders>
              <w:top w:val="nil"/>
              <w:left w:val="nil"/>
              <w:bottom w:val="nil"/>
              <w:right w:val="nil"/>
            </w:tcBorders>
          </w:tcPr>
          <w:p w14:paraId="27E4B7F0"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-0.310***</w:t>
            </w:r>
          </w:p>
        </w:tc>
      </w:tr>
      <w:tr w:rsidR="009D3026" w:rsidRPr="00CD4846" w14:paraId="0BA2B2F5" w14:textId="77777777" w:rsidTr="00B82EB9">
        <w:tc>
          <w:tcPr>
            <w:tcW w:w="1608" w:type="pct"/>
            <w:tcBorders>
              <w:top w:val="nil"/>
              <w:left w:val="nil"/>
              <w:bottom w:val="nil"/>
              <w:right w:val="nil"/>
            </w:tcBorders>
          </w:tcPr>
          <w:p w14:paraId="6D9BE6F6" w14:textId="75DFB037" w:rsidR="00CD4846" w:rsidRPr="00CD4846" w:rsidRDefault="00CD4846" w:rsidP="007B3B75">
            <w:pPr>
              <w:widowControl w:val="0"/>
              <w:autoSpaceDE w:val="0"/>
              <w:autoSpaceDN w:val="0"/>
              <w:adjustRightInd w:val="0"/>
              <w:spacing w:line="240" w:lineRule="auto"/>
              <w:rPr>
                <w:rFonts w:cs="Times New Roman"/>
                <w:kern w:val="2"/>
                <w:sz w:val="20"/>
                <w:szCs w:val="20"/>
                <w:lang/>
              </w:rPr>
            </w:pPr>
          </w:p>
        </w:tc>
        <w:tc>
          <w:tcPr>
            <w:tcW w:w="587" w:type="pct"/>
            <w:tcBorders>
              <w:top w:val="nil"/>
              <w:left w:val="nil"/>
              <w:bottom w:val="nil"/>
              <w:right w:val="nil"/>
            </w:tcBorders>
          </w:tcPr>
          <w:p w14:paraId="10F84B34"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(7.121)</w:t>
            </w:r>
          </w:p>
        </w:tc>
        <w:tc>
          <w:tcPr>
            <w:tcW w:w="647" w:type="pct"/>
            <w:tcBorders>
              <w:top w:val="nil"/>
              <w:left w:val="nil"/>
              <w:bottom w:val="nil"/>
              <w:right w:val="nil"/>
            </w:tcBorders>
          </w:tcPr>
          <w:p w14:paraId="2069C9A8"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(2.862)</w:t>
            </w:r>
          </w:p>
        </w:tc>
        <w:tc>
          <w:tcPr>
            <w:tcW w:w="633" w:type="pct"/>
            <w:tcBorders>
              <w:top w:val="nil"/>
              <w:left w:val="nil"/>
              <w:bottom w:val="nil"/>
              <w:right w:val="nil"/>
            </w:tcBorders>
          </w:tcPr>
          <w:p w14:paraId="1569FB9D"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(15.209)</w:t>
            </w:r>
          </w:p>
        </w:tc>
        <w:tc>
          <w:tcPr>
            <w:tcW w:w="758" w:type="pct"/>
            <w:tcBorders>
              <w:top w:val="nil"/>
              <w:left w:val="nil"/>
              <w:bottom w:val="nil"/>
              <w:right w:val="nil"/>
            </w:tcBorders>
          </w:tcPr>
          <w:p w14:paraId="1DE677C0"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(0.070)</w:t>
            </w:r>
          </w:p>
        </w:tc>
        <w:tc>
          <w:tcPr>
            <w:tcW w:w="767" w:type="pct"/>
            <w:tcBorders>
              <w:top w:val="nil"/>
              <w:left w:val="nil"/>
              <w:bottom w:val="nil"/>
              <w:right w:val="nil"/>
            </w:tcBorders>
          </w:tcPr>
          <w:p w14:paraId="2D8CBFB1"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(0.117)</w:t>
            </w:r>
          </w:p>
        </w:tc>
      </w:tr>
      <w:tr w:rsidR="009D3026" w:rsidRPr="00CD4846" w14:paraId="0FE93B57" w14:textId="77777777" w:rsidTr="00B82EB9">
        <w:tc>
          <w:tcPr>
            <w:tcW w:w="1608" w:type="pct"/>
            <w:tcBorders>
              <w:top w:val="nil"/>
              <w:left w:val="nil"/>
              <w:bottom w:val="nil"/>
              <w:right w:val="nil"/>
            </w:tcBorders>
          </w:tcPr>
          <w:p w14:paraId="7BB829AE" w14:textId="21781E26"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Prior outward relocations (1ks)</w:t>
            </w:r>
          </w:p>
        </w:tc>
        <w:tc>
          <w:tcPr>
            <w:tcW w:w="587" w:type="pct"/>
            <w:tcBorders>
              <w:top w:val="nil"/>
              <w:left w:val="nil"/>
              <w:bottom w:val="nil"/>
              <w:right w:val="nil"/>
            </w:tcBorders>
          </w:tcPr>
          <w:p w14:paraId="6323FFC1"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28.423</w:t>
            </w:r>
          </w:p>
        </w:tc>
        <w:tc>
          <w:tcPr>
            <w:tcW w:w="647" w:type="pct"/>
            <w:tcBorders>
              <w:top w:val="nil"/>
              <w:left w:val="nil"/>
              <w:bottom w:val="nil"/>
              <w:right w:val="nil"/>
            </w:tcBorders>
          </w:tcPr>
          <w:p w14:paraId="77177F94"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161.218***</w:t>
            </w:r>
          </w:p>
        </w:tc>
        <w:tc>
          <w:tcPr>
            <w:tcW w:w="633" w:type="pct"/>
            <w:tcBorders>
              <w:top w:val="nil"/>
              <w:left w:val="nil"/>
              <w:bottom w:val="nil"/>
              <w:right w:val="nil"/>
            </w:tcBorders>
          </w:tcPr>
          <w:p w14:paraId="5B864341"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-24.628</w:t>
            </w:r>
          </w:p>
        </w:tc>
        <w:tc>
          <w:tcPr>
            <w:tcW w:w="758" w:type="pct"/>
            <w:tcBorders>
              <w:top w:val="nil"/>
              <w:left w:val="nil"/>
              <w:bottom w:val="nil"/>
              <w:right w:val="nil"/>
            </w:tcBorders>
          </w:tcPr>
          <w:p w14:paraId="48CF036F"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2.253</w:t>
            </w:r>
          </w:p>
        </w:tc>
        <w:tc>
          <w:tcPr>
            <w:tcW w:w="767" w:type="pct"/>
            <w:tcBorders>
              <w:top w:val="nil"/>
              <w:left w:val="nil"/>
              <w:bottom w:val="nil"/>
              <w:right w:val="nil"/>
            </w:tcBorders>
          </w:tcPr>
          <w:p w14:paraId="48C3859A"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7.355*</w:t>
            </w:r>
          </w:p>
        </w:tc>
      </w:tr>
      <w:tr w:rsidR="009D3026" w:rsidRPr="00CD4846" w14:paraId="254FF18D" w14:textId="77777777" w:rsidTr="00B82EB9">
        <w:tc>
          <w:tcPr>
            <w:tcW w:w="1608" w:type="pct"/>
            <w:tcBorders>
              <w:top w:val="nil"/>
              <w:left w:val="nil"/>
              <w:bottom w:val="nil"/>
              <w:right w:val="nil"/>
            </w:tcBorders>
          </w:tcPr>
          <w:p w14:paraId="01963CA5" w14:textId="18296E80" w:rsidR="00CD4846" w:rsidRPr="00CD4846" w:rsidRDefault="00CD4846" w:rsidP="007B3B75">
            <w:pPr>
              <w:widowControl w:val="0"/>
              <w:autoSpaceDE w:val="0"/>
              <w:autoSpaceDN w:val="0"/>
              <w:adjustRightInd w:val="0"/>
              <w:spacing w:line="240" w:lineRule="auto"/>
              <w:rPr>
                <w:rFonts w:cs="Times New Roman"/>
                <w:kern w:val="2"/>
                <w:sz w:val="20"/>
                <w:szCs w:val="20"/>
                <w:lang/>
              </w:rPr>
            </w:pPr>
          </w:p>
        </w:tc>
        <w:tc>
          <w:tcPr>
            <w:tcW w:w="587" w:type="pct"/>
            <w:tcBorders>
              <w:top w:val="nil"/>
              <w:left w:val="nil"/>
              <w:bottom w:val="nil"/>
              <w:right w:val="nil"/>
            </w:tcBorders>
          </w:tcPr>
          <w:p w14:paraId="7BA136B7"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(60.754)</w:t>
            </w:r>
          </w:p>
        </w:tc>
        <w:tc>
          <w:tcPr>
            <w:tcW w:w="647" w:type="pct"/>
            <w:tcBorders>
              <w:top w:val="nil"/>
              <w:left w:val="nil"/>
              <w:bottom w:val="nil"/>
              <w:right w:val="nil"/>
            </w:tcBorders>
          </w:tcPr>
          <w:p w14:paraId="72BD1432"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(56.009)</w:t>
            </w:r>
          </w:p>
        </w:tc>
        <w:tc>
          <w:tcPr>
            <w:tcW w:w="633" w:type="pct"/>
            <w:tcBorders>
              <w:top w:val="nil"/>
              <w:left w:val="nil"/>
              <w:bottom w:val="nil"/>
              <w:right w:val="nil"/>
            </w:tcBorders>
          </w:tcPr>
          <w:p w14:paraId="5ABCC85C"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(242.253)</w:t>
            </w:r>
          </w:p>
        </w:tc>
        <w:tc>
          <w:tcPr>
            <w:tcW w:w="758" w:type="pct"/>
            <w:tcBorders>
              <w:top w:val="nil"/>
              <w:left w:val="nil"/>
              <w:bottom w:val="nil"/>
              <w:right w:val="nil"/>
            </w:tcBorders>
          </w:tcPr>
          <w:p w14:paraId="175F578D"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(1.951)</w:t>
            </w:r>
          </w:p>
        </w:tc>
        <w:tc>
          <w:tcPr>
            <w:tcW w:w="767" w:type="pct"/>
            <w:tcBorders>
              <w:top w:val="nil"/>
              <w:left w:val="nil"/>
              <w:bottom w:val="nil"/>
              <w:right w:val="nil"/>
            </w:tcBorders>
          </w:tcPr>
          <w:p w14:paraId="3FAE85CD"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(4.172)</w:t>
            </w:r>
          </w:p>
        </w:tc>
      </w:tr>
      <w:tr w:rsidR="009D3026" w:rsidRPr="00CD4846" w14:paraId="3E45DA5C" w14:textId="77777777" w:rsidTr="00B82EB9">
        <w:tc>
          <w:tcPr>
            <w:tcW w:w="1608" w:type="pct"/>
            <w:tcBorders>
              <w:top w:val="nil"/>
              <w:left w:val="nil"/>
              <w:bottom w:val="nil"/>
              <w:right w:val="nil"/>
            </w:tcBorders>
          </w:tcPr>
          <w:p w14:paraId="06F26D2B"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Constant</w:t>
            </w:r>
          </w:p>
        </w:tc>
        <w:tc>
          <w:tcPr>
            <w:tcW w:w="587" w:type="pct"/>
            <w:tcBorders>
              <w:top w:val="nil"/>
              <w:left w:val="nil"/>
              <w:bottom w:val="nil"/>
              <w:right w:val="nil"/>
            </w:tcBorders>
          </w:tcPr>
          <w:p w14:paraId="1D52ADEA"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-0.578</w:t>
            </w:r>
          </w:p>
        </w:tc>
        <w:tc>
          <w:tcPr>
            <w:tcW w:w="647" w:type="pct"/>
            <w:tcBorders>
              <w:top w:val="nil"/>
              <w:left w:val="nil"/>
              <w:bottom w:val="nil"/>
              <w:right w:val="nil"/>
            </w:tcBorders>
          </w:tcPr>
          <w:p w14:paraId="07E6B2B1"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0.138</w:t>
            </w:r>
          </w:p>
        </w:tc>
        <w:tc>
          <w:tcPr>
            <w:tcW w:w="633" w:type="pct"/>
            <w:tcBorders>
              <w:top w:val="nil"/>
              <w:left w:val="nil"/>
              <w:bottom w:val="nil"/>
              <w:right w:val="nil"/>
            </w:tcBorders>
          </w:tcPr>
          <w:p w14:paraId="3861EB1F"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-3.925</w:t>
            </w:r>
          </w:p>
        </w:tc>
        <w:tc>
          <w:tcPr>
            <w:tcW w:w="758" w:type="pct"/>
            <w:tcBorders>
              <w:top w:val="nil"/>
              <w:left w:val="nil"/>
              <w:bottom w:val="nil"/>
              <w:right w:val="nil"/>
            </w:tcBorders>
          </w:tcPr>
          <w:p w14:paraId="1F85CE4B"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0.714*</w:t>
            </w:r>
          </w:p>
        </w:tc>
        <w:tc>
          <w:tcPr>
            <w:tcW w:w="767" w:type="pct"/>
            <w:tcBorders>
              <w:top w:val="nil"/>
              <w:left w:val="nil"/>
              <w:bottom w:val="nil"/>
              <w:right w:val="nil"/>
            </w:tcBorders>
          </w:tcPr>
          <w:p w14:paraId="6B47D867"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0.601</w:t>
            </w:r>
          </w:p>
        </w:tc>
      </w:tr>
      <w:tr w:rsidR="009D3026" w:rsidRPr="00CD4846" w14:paraId="1D6A2BCE" w14:textId="77777777" w:rsidTr="00B82EB9">
        <w:tc>
          <w:tcPr>
            <w:tcW w:w="1608" w:type="pct"/>
            <w:tcBorders>
              <w:top w:val="nil"/>
              <w:left w:val="nil"/>
              <w:bottom w:val="nil"/>
              <w:right w:val="nil"/>
            </w:tcBorders>
          </w:tcPr>
          <w:p w14:paraId="18D6C77A" w14:textId="0880DE0C" w:rsidR="00CD4846" w:rsidRPr="00CD4846" w:rsidRDefault="00CD4846" w:rsidP="007B3B75">
            <w:pPr>
              <w:widowControl w:val="0"/>
              <w:autoSpaceDE w:val="0"/>
              <w:autoSpaceDN w:val="0"/>
              <w:adjustRightInd w:val="0"/>
              <w:spacing w:line="240" w:lineRule="auto"/>
              <w:rPr>
                <w:rFonts w:cs="Times New Roman"/>
                <w:kern w:val="2"/>
                <w:sz w:val="20"/>
                <w:szCs w:val="20"/>
                <w:lang/>
              </w:rPr>
            </w:pPr>
          </w:p>
        </w:tc>
        <w:tc>
          <w:tcPr>
            <w:tcW w:w="587" w:type="pct"/>
            <w:tcBorders>
              <w:top w:val="nil"/>
              <w:left w:val="nil"/>
              <w:bottom w:val="nil"/>
              <w:right w:val="nil"/>
            </w:tcBorders>
          </w:tcPr>
          <w:p w14:paraId="02AF54D0"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(1.651)</w:t>
            </w:r>
          </w:p>
        </w:tc>
        <w:tc>
          <w:tcPr>
            <w:tcW w:w="647" w:type="pct"/>
            <w:tcBorders>
              <w:top w:val="nil"/>
              <w:left w:val="nil"/>
              <w:bottom w:val="nil"/>
              <w:right w:val="nil"/>
            </w:tcBorders>
          </w:tcPr>
          <w:p w14:paraId="1B55599A"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(2.404)</w:t>
            </w:r>
          </w:p>
        </w:tc>
        <w:tc>
          <w:tcPr>
            <w:tcW w:w="633" w:type="pct"/>
            <w:tcBorders>
              <w:top w:val="nil"/>
              <w:left w:val="nil"/>
              <w:bottom w:val="nil"/>
              <w:right w:val="nil"/>
            </w:tcBorders>
          </w:tcPr>
          <w:p w14:paraId="345B189A"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(3.005)</w:t>
            </w:r>
          </w:p>
        </w:tc>
        <w:tc>
          <w:tcPr>
            <w:tcW w:w="758" w:type="pct"/>
            <w:tcBorders>
              <w:top w:val="nil"/>
              <w:left w:val="nil"/>
              <w:bottom w:val="nil"/>
              <w:right w:val="nil"/>
            </w:tcBorders>
          </w:tcPr>
          <w:p w14:paraId="25CBAA82"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(0.390)</w:t>
            </w:r>
          </w:p>
        </w:tc>
        <w:tc>
          <w:tcPr>
            <w:tcW w:w="767" w:type="pct"/>
            <w:tcBorders>
              <w:top w:val="nil"/>
              <w:left w:val="nil"/>
              <w:bottom w:val="nil"/>
              <w:right w:val="nil"/>
            </w:tcBorders>
          </w:tcPr>
          <w:p w14:paraId="1158F98C"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(0.554)</w:t>
            </w:r>
          </w:p>
        </w:tc>
      </w:tr>
      <w:tr w:rsidR="009D3026" w:rsidRPr="00CD4846" w14:paraId="443237F7" w14:textId="77777777" w:rsidTr="00B82EB9">
        <w:tc>
          <w:tcPr>
            <w:tcW w:w="1608" w:type="pct"/>
            <w:tcBorders>
              <w:top w:val="nil"/>
              <w:left w:val="nil"/>
              <w:bottom w:val="nil"/>
              <w:right w:val="nil"/>
            </w:tcBorders>
          </w:tcPr>
          <w:p w14:paraId="0D1F3D4E" w14:textId="52D33904"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Observations</w:t>
            </w:r>
          </w:p>
        </w:tc>
        <w:tc>
          <w:tcPr>
            <w:tcW w:w="587" w:type="pct"/>
            <w:tcBorders>
              <w:top w:val="nil"/>
              <w:left w:val="nil"/>
              <w:bottom w:val="nil"/>
              <w:right w:val="nil"/>
            </w:tcBorders>
          </w:tcPr>
          <w:p w14:paraId="027F870C"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4694</w:t>
            </w:r>
          </w:p>
        </w:tc>
        <w:tc>
          <w:tcPr>
            <w:tcW w:w="647" w:type="pct"/>
            <w:tcBorders>
              <w:top w:val="nil"/>
              <w:left w:val="nil"/>
              <w:bottom w:val="nil"/>
              <w:right w:val="nil"/>
            </w:tcBorders>
          </w:tcPr>
          <w:p w14:paraId="716C8331"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1823</w:t>
            </w:r>
          </w:p>
        </w:tc>
        <w:tc>
          <w:tcPr>
            <w:tcW w:w="633" w:type="pct"/>
            <w:tcBorders>
              <w:top w:val="nil"/>
              <w:left w:val="nil"/>
              <w:bottom w:val="nil"/>
              <w:right w:val="nil"/>
            </w:tcBorders>
          </w:tcPr>
          <w:p w14:paraId="6AF1D29B"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1784</w:t>
            </w:r>
          </w:p>
        </w:tc>
        <w:tc>
          <w:tcPr>
            <w:tcW w:w="758" w:type="pct"/>
            <w:tcBorders>
              <w:top w:val="nil"/>
              <w:left w:val="nil"/>
              <w:bottom w:val="nil"/>
              <w:right w:val="nil"/>
            </w:tcBorders>
          </w:tcPr>
          <w:p w14:paraId="5A297320"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22155</w:t>
            </w:r>
          </w:p>
        </w:tc>
        <w:tc>
          <w:tcPr>
            <w:tcW w:w="767" w:type="pct"/>
            <w:tcBorders>
              <w:top w:val="nil"/>
              <w:left w:val="nil"/>
              <w:bottom w:val="nil"/>
              <w:right w:val="nil"/>
            </w:tcBorders>
          </w:tcPr>
          <w:p w14:paraId="03328558"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16503</w:t>
            </w:r>
          </w:p>
        </w:tc>
      </w:tr>
      <w:tr w:rsidR="009D3026" w:rsidRPr="00CD4846" w14:paraId="05C0A46D" w14:textId="77777777" w:rsidTr="00B82EB9">
        <w:tc>
          <w:tcPr>
            <w:tcW w:w="1608" w:type="pct"/>
            <w:tcBorders>
              <w:top w:val="nil"/>
              <w:left w:val="nil"/>
              <w:bottom w:val="nil"/>
              <w:right w:val="nil"/>
            </w:tcBorders>
          </w:tcPr>
          <w:p w14:paraId="5599E502" w14:textId="0C3F334F"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Pseudo R</w:t>
            </w:r>
            <w:r w:rsidRPr="00CD4846">
              <w:rPr>
                <w:rFonts w:cs="Times New Roman"/>
                <w:kern w:val="2"/>
                <w:sz w:val="20"/>
                <w:szCs w:val="20"/>
                <w:vertAlign w:val="superscript"/>
                <w:lang/>
              </w:rPr>
              <w:t>2</w:t>
            </w:r>
          </w:p>
        </w:tc>
        <w:tc>
          <w:tcPr>
            <w:tcW w:w="587" w:type="pct"/>
            <w:tcBorders>
              <w:top w:val="nil"/>
              <w:left w:val="nil"/>
              <w:bottom w:val="nil"/>
              <w:right w:val="nil"/>
            </w:tcBorders>
          </w:tcPr>
          <w:p w14:paraId="0BF36C40"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0.148</w:t>
            </w:r>
          </w:p>
        </w:tc>
        <w:tc>
          <w:tcPr>
            <w:tcW w:w="647" w:type="pct"/>
            <w:tcBorders>
              <w:top w:val="nil"/>
              <w:left w:val="nil"/>
              <w:bottom w:val="nil"/>
              <w:right w:val="nil"/>
            </w:tcBorders>
          </w:tcPr>
          <w:p w14:paraId="148C83A8"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0.264</w:t>
            </w:r>
          </w:p>
        </w:tc>
        <w:tc>
          <w:tcPr>
            <w:tcW w:w="633" w:type="pct"/>
            <w:tcBorders>
              <w:top w:val="nil"/>
              <w:left w:val="nil"/>
              <w:bottom w:val="nil"/>
              <w:right w:val="nil"/>
            </w:tcBorders>
          </w:tcPr>
          <w:p w14:paraId="6DA3848B"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0.130</w:t>
            </w:r>
          </w:p>
        </w:tc>
        <w:tc>
          <w:tcPr>
            <w:tcW w:w="758" w:type="pct"/>
            <w:tcBorders>
              <w:top w:val="nil"/>
              <w:left w:val="nil"/>
              <w:bottom w:val="nil"/>
              <w:right w:val="nil"/>
            </w:tcBorders>
          </w:tcPr>
          <w:p w14:paraId="3520B166"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0.582</w:t>
            </w:r>
          </w:p>
        </w:tc>
        <w:tc>
          <w:tcPr>
            <w:tcW w:w="767" w:type="pct"/>
            <w:tcBorders>
              <w:top w:val="nil"/>
              <w:left w:val="nil"/>
              <w:bottom w:val="nil"/>
              <w:right w:val="nil"/>
            </w:tcBorders>
          </w:tcPr>
          <w:p w14:paraId="424254EB"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0.485</w:t>
            </w:r>
          </w:p>
        </w:tc>
      </w:tr>
      <w:tr w:rsidR="009D3026" w:rsidRPr="00CD4846" w14:paraId="0736343B" w14:textId="77777777" w:rsidTr="00B82EB9">
        <w:tc>
          <w:tcPr>
            <w:tcW w:w="1608" w:type="pct"/>
            <w:tcBorders>
              <w:top w:val="nil"/>
              <w:left w:val="nil"/>
              <w:bottom w:val="nil"/>
              <w:right w:val="nil"/>
            </w:tcBorders>
          </w:tcPr>
          <w:p w14:paraId="4A709009" w14:textId="6FA023E8"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Chi</w:t>
            </w:r>
            <w:r w:rsidRPr="00CD4846">
              <w:rPr>
                <w:rFonts w:cs="Times New Roman"/>
                <w:kern w:val="2"/>
                <w:sz w:val="20"/>
                <w:szCs w:val="20"/>
                <w:vertAlign w:val="superscript"/>
                <w:lang/>
              </w:rPr>
              <w:t>2</w:t>
            </w:r>
          </w:p>
        </w:tc>
        <w:tc>
          <w:tcPr>
            <w:tcW w:w="587" w:type="pct"/>
            <w:tcBorders>
              <w:top w:val="nil"/>
              <w:left w:val="nil"/>
              <w:bottom w:val="nil"/>
              <w:right w:val="nil"/>
            </w:tcBorders>
          </w:tcPr>
          <w:p w14:paraId="5B528A13"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25</w:t>
            </w:r>
          </w:p>
        </w:tc>
        <w:tc>
          <w:tcPr>
            <w:tcW w:w="647" w:type="pct"/>
            <w:tcBorders>
              <w:top w:val="nil"/>
              <w:left w:val="nil"/>
              <w:bottom w:val="nil"/>
              <w:right w:val="nil"/>
            </w:tcBorders>
          </w:tcPr>
          <w:p w14:paraId="0887EED2"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48</w:t>
            </w:r>
          </w:p>
        </w:tc>
        <w:tc>
          <w:tcPr>
            <w:tcW w:w="633" w:type="pct"/>
            <w:tcBorders>
              <w:top w:val="nil"/>
              <w:left w:val="nil"/>
              <w:bottom w:val="nil"/>
              <w:right w:val="nil"/>
            </w:tcBorders>
          </w:tcPr>
          <w:p w14:paraId="61E1A1B0"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18</w:t>
            </w:r>
          </w:p>
        </w:tc>
        <w:tc>
          <w:tcPr>
            <w:tcW w:w="758" w:type="pct"/>
            <w:tcBorders>
              <w:top w:val="nil"/>
              <w:left w:val="nil"/>
              <w:bottom w:val="nil"/>
              <w:right w:val="nil"/>
            </w:tcBorders>
          </w:tcPr>
          <w:p w14:paraId="2804CE02"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59</w:t>
            </w:r>
          </w:p>
        </w:tc>
        <w:tc>
          <w:tcPr>
            <w:tcW w:w="767" w:type="pct"/>
            <w:tcBorders>
              <w:top w:val="nil"/>
              <w:left w:val="nil"/>
              <w:bottom w:val="nil"/>
              <w:right w:val="nil"/>
            </w:tcBorders>
          </w:tcPr>
          <w:p w14:paraId="5B5FD9DF"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49</w:t>
            </w:r>
          </w:p>
        </w:tc>
      </w:tr>
      <w:tr w:rsidR="009D3026" w:rsidRPr="00CD4846" w14:paraId="2FEE16F7" w14:textId="77777777" w:rsidTr="00B82EB9">
        <w:tc>
          <w:tcPr>
            <w:tcW w:w="1608" w:type="pct"/>
            <w:tcBorders>
              <w:top w:val="nil"/>
              <w:left w:val="nil"/>
              <w:bottom w:val="nil"/>
              <w:right w:val="nil"/>
            </w:tcBorders>
          </w:tcPr>
          <w:p w14:paraId="457E6458" w14:textId="6D8E5CB0"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Log Likelihood</w:t>
            </w:r>
          </w:p>
        </w:tc>
        <w:tc>
          <w:tcPr>
            <w:tcW w:w="587" w:type="pct"/>
            <w:tcBorders>
              <w:top w:val="nil"/>
              <w:left w:val="nil"/>
              <w:bottom w:val="nil"/>
              <w:right w:val="nil"/>
            </w:tcBorders>
          </w:tcPr>
          <w:p w14:paraId="1CDC648E"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-2219</w:t>
            </w:r>
          </w:p>
        </w:tc>
        <w:tc>
          <w:tcPr>
            <w:tcW w:w="647" w:type="pct"/>
            <w:tcBorders>
              <w:top w:val="nil"/>
              <w:left w:val="nil"/>
              <w:bottom w:val="nil"/>
              <w:right w:val="nil"/>
            </w:tcBorders>
          </w:tcPr>
          <w:p w14:paraId="4E0A543B"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-988</w:t>
            </w:r>
          </w:p>
        </w:tc>
        <w:tc>
          <w:tcPr>
            <w:tcW w:w="633" w:type="pct"/>
            <w:tcBorders>
              <w:top w:val="nil"/>
              <w:left w:val="nil"/>
              <w:bottom w:val="nil"/>
              <w:right w:val="nil"/>
            </w:tcBorders>
          </w:tcPr>
          <w:p w14:paraId="7D4E418F"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-831</w:t>
            </w:r>
          </w:p>
        </w:tc>
        <w:tc>
          <w:tcPr>
            <w:tcW w:w="758" w:type="pct"/>
            <w:tcBorders>
              <w:top w:val="nil"/>
              <w:left w:val="nil"/>
              <w:bottom w:val="nil"/>
              <w:right w:val="nil"/>
            </w:tcBorders>
          </w:tcPr>
          <w:p w14:paraId="3E35FAE4"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-23838</w:t>
            </w:r>
          </w:p>
        </w:tc>
        <w:tc>
          <w:tcPr>
            <w:tcW w:w="767" w:type="pct"/>
            <w:tcBorders>
              <w:top w:val="nil"/>
              <w:left w:val="nil"/>
              <w:bottom w:val="nil"/>
              <w:right w:val="nil"/>
            </w:tcBorders>
          </w:tcPr>
          <w:p w14:paraId="37E6E50E"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-12234</w:t>
            </w:r>
          </w:p>
        </w:tc>
      </w:tr>
      <w:tr w:rsidR="009D3026" w:rsidRPr="00CD4846" w14:paraId="77776726" w14:textId="77777777" w:rsidTr="00B82EB9">
        <w:tc>
          <w:tcPr>
            <w:tcW w:w="1608" w:type="pct"/>
            <w:tcBorders>
              <w:top w:val="nil"/>
              <w:left w:val="nil"/>
              <w:bottom w:val="nil"/>
              <w:right w:val="nil"/>
            </w:tcBorders>
          </w:tcPr>
          <w:p w14:paraId="5BF3C324" w14:textId="0986AAE0"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Akaike’s Criterion</w:t>
            </w:r>
          </w:p>
        </w:tc>
        <w:tc>
          <w:tcPr>
            <w:tcW w:w="587" w:type="pct"/>
            <w:tcBorders>
              <w:top w:val="nil"/>
              <w:left w:val="nil"/>
              <w:bottom w:val="nil"/>
              <w:right w:val="nil"/>
            </w:tcBorders>
          </w:tcPr>
          <w:p w14:paraId="31922BDF"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4478</w:t>
            </w:r>
          </w:p>
        </w:tc>
        <w:tc>
          <w:tcPr>
            <w:tcW w:w="647" w:type="pct"/>
            <w:tcBorders>
              <w:top w:val="nil"/>
              <w:left w:val="nil"/>
              <w:bottom w:val="nil"/>
              <w:right w:val="nil"/>
            </w:tcBorders>
          </w:tcPr>
          <w:p w14:paraId="4FA9E426"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2017</w:t>
            </w:r>
          </w:p>
        </w:tc>
        <w:tc>
          <w:tcPr>
            <w:tcW w:w="633" w:type="pct"/>
            <w:tcBorders>
              <w:top w:val="nil"/>
              <w:left w:val="nil"/>
              <w:bottom w:val="nil"/>
              <w:right w:val="nil"/>
            </w:tcBorders>
          </w:tcPr>
          <w:p w14:paraId="43A2735A"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1701</w:t>
            </w:r>
          </w:p>
        </w:tc>
        <w:tc>
          <w:tcPr>
            <w:tcW w:w="758" w:type="pct"/>
            <w:tcBorders>
              <w:top w:val="nil"/>
              <w:left w:val="nil"/>
              <w:bottom w:val="nil"/>
              <w:right w:val="nil"/>
            </w:tcBorders>
          </w:tcPr>
          <w:p w14:paraId="4A300C9A"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47717</w:t>
            </w:r>
          </w:p>
        </w:tc>
        <w:tc>
          <w:tcPr>
            <w:tcW w:w="767" w:type="pct"/>
            <w:tcBorders>
              <w:top w:val="nil"/>
              <w:left w:val="nil"/>
              <w:bottom w:val="nil"/>
              <w:right w:val="nil"/>
            </w:tcBorders>
          </w:tcPr>
          <w:p w14:paraId="30603FAC"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24508</w:t>
            </w:r>
          </w:p>
        </w:tc>
      </w:tr>
      <w:tr w:rsidR="009D3026" w:rsidRPr="00CD4846" w14:paraId="36A06436" w14:textId="77777777" w:rsidTr="00B82EB9">
        <w:tc>
          <w:tcPr>
            <w:tcW w:w="1608" w:type="pct"/>
            <w:tcBorders>
              <w:top w:val="nil"/>
              <w:left w:val="nil"/>
              <w:bottom w:val="nil"/>
              <w:right w:val="nil"/>
            </w:tcBorders>
          </w:tcPr>
          <w:p w14:paraId="3ABD0974" w14:textId="0E560C40"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Bayesian Criterion</w:t>
            </w:r>
          </w:p>
        </w:tc>
        <w:tc>
          <w:tcPr>
            <w:tcW w:w="587" w:type="pct"/>
            <w:tcBorders>
              <w:top w:val="nil"/>
              <w:left w:val="nil"/>
              <w:bottom w:val="nil"/>
              <w:right w:val="nil"/>
            </w:tcBorders>
          </w:tcPr>
          <w:p w14:paraId="0120694E"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4607</w:t>
            </w:r>
          </w:p>
        </w:tc>
        <w:tc>
          <w:tcPr>
            <w:tcW w:w="647" w:type="pct"/>
            <w:tcBorders>
              <w:top w:val="nil"/>
              <w:left w:val="nil"/>
              <w:bottom w:val="nil"/>
              <w:right w:val="nil"/>
            </w:tcBorders>
          </w:tcPr>
          <w:p w14:paraId="537497B9"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2127</w:t>
            </w:r>
          </w:p>
        </w:tc>
        <w:tc>
          <w:tcPr>
            <w:tcW w:w="633" w:type="pct"/>
            <w:tcBorders>
              <w:top w:val="nil"/>
              <w:left w:val="nil"/>
              <w:bottom w:val="nil"/>
              <w:right w:val="nil"/>
            </w:tcBorders>
          </w:tcPr>
          <w:p w14:paraId="3AED6B80"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1805</w:t>
            </w:r>
          </w:p>
        </w:tc>
        <w:tc>
          <w:tcPr>
            <w:tcW w:w="758" w:type="pct"/>
            <w:tcBorders>
              <w:top w:val="nil"/>
              <w:left w:val="nil"/>
              <w:bottom w:val="nil"/>
              <w:right w:val="nil"/>
            </w:tcBorders>
          </w:tcPr>
          <w:p w14:paraId="4141E3E4"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47877</w:t>
            </w:r>
          </w:p>
        </w:tc>
        <w:tc>
          <w:tcPr>
            <w:tcW w:w="767" w:type="pct"/>
            <w:tcBorders>
              <w:top w:val="nil"/>
              <w:left w:val="nil"/>
              <w:bottom w:val="nil"/>
              <w:right w:val="nil"/>
            </w:tcBorders>
          </w:tcPr>
          <w:p w14:paraId="17D08C3B"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24663</w:t>
            </w:r>
          </w:p>
        </w:tc>
      </w:tr>
      <w:tr w:rsidR="009D3026" w:rsidRPr="00CD4846" w14:paraId="7A6F7E0C" w14:textId="77777777" w:rsidTr="007B3B75">
        <w:tc>
          <w:tcPr>
            <w:tcW w:w="1608" w:type="pct"/>
            <w:tcBorders>
              <w:top w:val="nil"/>
              <w:left w:val="nil"/>
              <w:right w:val="nil"/>
            </w:tcBorders>
          </w:tcPr>
          <w:p w14:paraId="42314EF9"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County FE</w:t>
            </w:r>
          </w:p>
        </w:tc>
        <w:tc>
          <w:tcPr>
            <w:tcW w:w="587" w:type="pct"/>
            <w:tcBorders>
              <w:top w:val="nil"/>
              <w:left w:val="nil"/>
              <w:right w:val="nil"/>
            </w:tcBorders>
          </w:tcPr>
          <w:p w14:paraId="78AF7AC0"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647" w:type="pct"/>
            <w:tcBorders>
              <w:top w:val="nil"/>
              <w:left w:val="nil"/>
              <w:right w:val="nil"/>
            </w:tcBorders>
          </w:tcPr>
          <w:p w14:paraId="7F04FED9"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633" w:type="pct"/>
            <w:tcBorders>
              <w:top w:val="nil"/>
              <w:left w:val="nil"/>
              <w:right w:val="nil"/>
            </w:tcBorders>
          </w:tcPr>
          <w:p w14:paraId="7DB1C8A2"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758" w:type="pct"/>
            <w:tcBorders>
              <w:top w:val="nil"/>
              <w:left w:val="nil"/>
              <w:right w:val="nil"/>
            </w:tcBorders>
          </w:tcPr>
          <w:p w14:paraId="286AEE28"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767" w:type="pct"/>
            <w:tcBorders>
              <w:top w:val="nil"/>
              <w:left w:val="nil"/>
              <w:right w:val="nil"/>
            </w:tcBorders>
          </w:tcPr>
          <w:p w14:paraId="293F3F63" w14:textId="77777777" w:rsidR="00CD4846" w:rsidRPr="00CD4846" w:rsidRDefault="00CD4846"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r>
    </w:tbl>
    <w:p w14:paraId="63DBBE7C" w14:textId="77777777" w:rsidR="003959BE" w:rsidRDefault="003959BE" w:rsidP="004C39A4">
      <w:pPr>
        <w:spacing w:line="240" w:lineRule="auto"/>
        <w:rPr>
          <w:b/>
          <w:bCs/>
        </w:rPr>
      </w:pPr>
    </w:p>
    <w:p w14:paraId="0787B9F0" w14:textId="77777777" w:rsidR="003959BE" w:rsidRDefault="003959BE" w:rsidP="004C39A4">
      <w:pPr>
        <w:spacing w:line="240" w:lineRule="auto"/>
        <w:rPr>
          <w:b/>
          <w:bCs/>
        </w:rPr>
      </w:pPr>
    </w:p>
    <w:p w14:paraId="5A96ECE6" w14:textId="77777777" w:rsidR="003959BE" w:rsidRDefault="003959BE" w:rsidP="004C39A4">
      <w:pPr>
        <w:spacing w:line="240" w:lineRule="auto"/>
        <w:rPr>
          <w:b/>
          <w:bCs/>
        </w:rPr>
      </w:pPr>
    </w:p>
    <w:p w14:paraId="23835C8E" w14:textId="77777777" w:rsidR="003959BE" w:rsidRDefault="003959BE" w:rsidP="004C39A4">
      <w:pPr>
        <w:spacing w:line="240" w:lineRule="auto"/>
        <w:rPr>
          <w:b/>
          <w:bCs/>
        </w:rPr>
      </w:pPr>
    </w:p>
    <w:p w14:paraId="49C58731" w14:textId="6B0B1722" w:rsidR="00FE7043" w:rsidRPr="007B3B75" w:rsidRDefault="00FE7043" w:rsidP="004C39A4">
      <w:pPr>
        <w:spacing w:line="240" w:lineRule="auto"/>
      </w:pPr>
      <w:r w:rsidRPr="007B3B75">
        <w:rPr>
          <w:b/>
          <w:bCs/>
        </w:rPr>
        <w:lastRenderedPageBreak/>
        <w:t>Table A20 Continued</w:t>
      </w:r>
    </w:p>
    <w:tbl>
      <w:tblPr>
        <w:tblW w:w="5000" w:type="pct"/>
        <w:tblLook w:val="04A0" w:firstRow="1" w:lastRow="0" w:firstColumn="1" w:lastColumn="0" w:noHBand="0" w:noVBand="1"/>
      </w:tblPr>
      <w:tblGrid>
        <w:gridCol w:w="3010"/>
        <w:gridCol w:w="1099"/>
        <w:gridCol w:w="1211"/>
        <w:gridCol w:w="1185"/>
        <w:gridCol w:w="1419"/>
        <w:gridCol w:w="1436"/>
      </w:tblGrid>
      <w:tr w:rsidR="007B3B75" w:rsidRPr="007B3B75" w14:paraId="2D492E8D" w14:textId="77777777" w:rsidTr="00FE7043">
        <w:tc>
          <w:tcPr>
            <w:tcW w:w="1608" w:type="pct"/>
            <w:tcBorders>
              <w:top w:val="single" w:sz="4" w:space="0" w:color="auto"/>
              <w:left w:val="nil"/>
              <w:bottom w:val="single" w:sz="4" w:space="0" w:color="auto"/>
              <w:right w:val="nil"/>
            </w:tcBorders>
          </w:tcPr>
          <w:p w14:paraId="0C31F570" w14:textId="633AC57F" w:rsidR="00FE7043" w:rsidRPr="007B3B75" w:rsidRDefault="00FE7043" w:rsidP="007B3B75">
            <w:pPr>
              <w:spacing w:line="240" w:lineRule="auto"/>
              <w:rPr>
                <w:rFonts w:cs="Times New Roman"/>
                <w:b/>
                <w:bCs/>
                <w:sz w:val="20"/>
                <w:szCs w:val="20"/>
                <w:lang/>
              </w:rPr>
            </w:pPr>
            <w:r w:rsidRPr="007B3B75">
              <w:rPr>
                <w:rFonts w:cs="Times New Roman"/>
                <w:b/>
                <w:bCs/>
                <w:sz w:val="20"/>
                <w:szCs w:val="20"/>
                <w:lang/>
              </w:rPr>
              <w:t>Variable</w:t>
            </w:r>
          </w:p>
        </w:tc>
        <w:tc>
          <w:tcPr>
            <w:tcW w:w="587" w:type="pct"/>
            <w:tcBorders>
              <w:top w:val="single" w:sz="4" w:space="0" w:color="auto"/>
              <w:left w:val="nil"/>
              <w:bottom w:val="single" w:sz="4" w:space="0" w:color="auto"/>
              <w:right w:val="nil"/>
            </w:tcBorders>
          </w:tcPr>
          <w:p w14:paraId="73A177D7" w14:textId="60B78A34" w:rsidR="00FE7043" w:rsidRPr="007B3B75" w:rsidRDefault="00FE7043" w:rsidP="007B3B75">
            <w:pPr>
              <w:spacing w:line="240" w:lineRule="auto"/>
              <w:rPr>
                <w:rFonts w:cs="Times New Roman"/>
                <w:b/>
                <w:bCs/>
                <w:sz w:val="20"/>
                <w:szCs w:val="20"/>
                <w:lang/>
              </w:rPr>
            </w:pPr>
            <w:r w:rsidRPr="007B3B75">
              <w:rPr>
                <w:rFonts w:cs="Times New Roman"/>
                <w:b/>
                <w:bCs/>
                <w:sz w:val="20"/>
                <w:szCs w:val="20"/>
                <w:lang/>
              </w:rPr>
              <w:t>NAICS 11</w:t>
            </w:r>
          </w:p>
        </w:tc>
        <w:tc>
          <w:tcPr>
            <w:tcW w:w="647" w:type="pct"/>
            <w:tcBorders>
              <w:top w:val="single" w:sz="4" w:space="0" w:color="auto"/>
              <w:left w:val="nil"/>
              <w:bottom w:val="single" w:sz="4" w:space="0" w:color="auto"/>
              <w:right w:val="nil"/>
            </w:tcBorders>
          </w:tcPr>
          <w:p w14:paraId="147F6F1D" w14:textId="7C3DCA66" w:rsidR="00FE7043" w:rsidRPr="007B3B75" w:rsidRDefault="00FE7043" w:rsidP="007B3B75">
            <w:pPr>
              <w:spacing w:line="240" w:lineRule="auto"/>
              <w:rPr>
                <w:rFonts w:cs="Times New Roman"/>
                <w:b/>
                <w:bCs/>
                <w:sz w:val="20"/>
                <w:szCs w:val="20"/>
                <w:lang/>
              </w:rPr>
            </w:pPr>
            <w:r w:rsidRPr="007B3B75">
              <w:rPr>
                <w:rFonts w:cs="Times New Roman"/>
                <w:b/>
                <w:bCs/>
                <w:sz w:val="20"/>
                <w:szCs w:val="20"/>
                <w:lang/>
              </w:rPr>
              <w:t>NAICS 21</w:t>
            </w:r>
          </w:p>
        </w:tc>
        <w:tc>
          <w:tcPr>
            <w:tcW w:w="633" w:type="pct"/>
            <w:tcBorders>
              <w:top w:val="single" w:sz="4" w:space="0" w:color="auto"/>
              <w:left w:val="nil"/>
              <w:bottom w:val="single" w:sz="4" w:space="0" w:color="auto"/>
              <w:right w:val="nil"/>
            </w:tcBorders>
          </w:tcPr>
          <w:p w14:paraId="77D676AF" w14:textId="698A9F44" w:rsidR="00FE7043" w:rsidRPr="007B3B75" w:rsidRDefault="00FE7043" w:rsidP="007B3B75">
            <w:pPr>
              <w:spacing w:line="240" w:lineRule="auto"/>
              <w:rPr>
                <w:rFonts w:cs="Times New Roman"/>
                <w:b/>
                <w:bCs/>
                <w:sz w:val="20"/>
                <w:szCs w:val="20"/>
                <w:lang/>
              </w:rPr>
            </w:pPr>
            <w:r w:rsidRPr="007B3B75">
              <w:rPr>
                <w:rFonts w:cs="Times New Roman"/>
                <w:b/>
                <w:bCs/>
                <w:sz w:val="20"/>
                <w:szCs w:val="20"/>
                <w:lang/>
              </w:rPr>
              <w:t>NAICS 22</w:t>
            </w:r>
          </w:p>
        </w:tc>
        <w:tc>
          <w:tcPr>
            <w:tcW w:w="758" w:type="pct"/>
            <w:tcBorders>
              <w:top w:val="single" w:sz="4" w:space="0" w:color="auto"/>
              <w:left w:val="nil"/>
              <w:bottom w:val="single" w:sz="4" w:space="0" w:color="auto"/>
              <w:right w:val="nil"/>
            </w:tcBorders>
          </w:tcPr>
          <w:p w14:paraId="79941EE4" w14:textId="060CE96B" w:rsidR="00FE7043" w:rsidRPr="007B3B75" w:rsidRDefault="00FE7043" w:rsidP="007B3B75">
            <w:pPr>
              <w:spacing w:line="240" w:lineRule="auto"/>
              <w:rPr>
                <w:rFonts w:cs="Times New Roman"/>
                <w:b/>
                <w:bCs/>
                <w:sz w:val="20"/>
                <w:szCs w:val="20"/>
                <w:lang/>
              </w:rPr>
            </w:pPr>
            <w:r w:rsidRPr="007B3B75">
              <w:rPr>
                <w:rFonts w:cs="Times New Roman"/>
                <w:b/>
                <w:bCs/>
                <w:sz w:val="20"/>
                <w:szCs w:val="20"/>
                <w:lang/>
              </w:rPr>
              <w:t>NAICS 23</w:t>
            </w:r>
          </w:p>
        </w:tc>
        <w:tc>
          <w:tcPr>
            <w:tcW w:w="767" w:type="pct"/>
            <w:tcBorders>
              <w:top w:val="single" w:sz="4" w:space="0" w:color="auto"/>
              <w:left w:val="nil"/>
              <w:bottom w:val="single" w:sz="4" w:space="0" w:color="auto"/>
              <w:right w:val="nil"/>
            </w:tcBorders>
          </w:tcPr>
          <w:p w14:paraId="427212D4" w14:textId="38636F0F" w:rsidR="00FE7043" w:rsidRPr="007B3B75" w:rsidRDefault="00FE7043" w:rsidP="007B3B75">
            <w:pPr>
              <w:spacing w:line="240" w:lineRule="auto"/>
              <w:rPr>
                <w:rFonts w:cs="Times New Roman"/>
                <w:b/>
                <w:bCs/>
                <w:sz w:val="20"/>
                <w:szCs w:val="20"/>
                <w:lang/>
              </w:rPr>
            </w:pPr>
            <w:r w:rsidRPr="007B3B75">
              <w:rPr>
                <w:rFonts w:cs="Times New Roman"/>
                <w:b/>
                <w:bCs/>
                <w:sz w:val="20"/>
                <w:szCs w:val="20"/>
                <w:lang/>
              </w:rPr>
              <w:t>NAICS 31-33</w:t>
            </w:r>
          </w:p>
        </w:tc>
      </w:tr>
      <w:tr w:rsidR="007B3B75" w:rsidRPr="007B3B75" w14:paraId="48D24CFA" w14:textId="77777777" w:rsidTr="007B3B75">
        <w:tc>
          <w:tcPr>
            <w:tcW w:w="1608" w:type="pct"/>
            <w:tcBorders>
              <w:top w:val="single" w:sz="4" w:space="0" w:color="auto"/>
              <w:left w:val="nil"/>
              <w:right w:val="nil"/>
            </w:tcBorders>
          </w:tcPr>
          <w:p w14:paraId="0E4A79E0" w14:textId="7E50C47B" w:rsidR="007B3B75" w:rsidRPr="007B3B75" w:rsidRDefault="007B3B75" w:rsidP="007B3B75">
            <w:pPr>
              <w:spacing w:line="240" w:lineRule="auto"/>
              <w:rPr>
                <w:rFonts w:cs="Times New Roman"/>
                <w:sz w:val="20"/>
                <w:szCs w:val="20"/>
                <w:lang/>
              </w:rPr>
            </w:pPr>
            <w:r w:rsidRPr="007B3B75">
              <w:rPr>
                <w:rFonts w:cs="Times New Roman"/>
                <w:sz w:val="20"/>
                <w:szCs w:val="20"/>
                <w:lang/>
              </w:rPr>
              <w:t>State by Year FE</w:t>
            </w:r>
          </w:p>
        </w:tc>
        <w:tc>
          <w:tcPr>
            <w:tcW w:w="587" w:type="pct"/>
            <w:tcBorders>
              <w:top w:val="single" w:sz="4" w:space="0" w:color="auto"/>
              <w:left w:val="nil"/>
              <w:right w:val="nil"/>
            </w:tcBorders>
          </w:tcPr>
          <w:p w14:paraId="5A3246AA" w14:textId="7B8E9266" w:rsidR="007B3B75" w:rsidRPr="007B3B75" w:rsidRDefault="007B3B75" w:rsidP="007B3B75">
            <w:pPr>
              <w:spacing w:line="240" w:lineRule="auto"/>
              <w:rPr>
                <w:rFonts w:cs="Times New Roman"/>
                <w:sz w:val="20"/>
                <w:szCs w:val="20"/>
                <w:lang/>
              </w:rPr>
            </w:pPr>
            <w:r w:rsidRPr="007B3B75">
              <w:rPr>
                <w:rFonts w:cs="Times New Roman"/>
                <w:sz w:val="20"/>
                <w:szCs w:val="20"/>
                <w:lang/>
              </w:rPr>
              <w:t>Yes</w:t>
            </w:r>
          </w:p>
        </w:tc>
        <w:tc>
          <w:tcPr>
            <w:tcW w:w="647" w:type="pct"/>
            <w:tcBorders>
              <w:top w:val="single" w:sz="4" w:space="0" w:color="auto"/>
              <w:left w:val="nil"/>
              <w:right w:val="nil"/>
            </w:tcBorders>
          </w:tcPr>
          <w:p w14:paraId="55CDBBC0" w14:textId="27934CAA" w:rsidR="007B3B75" w:rsidRPr="007B3B75" w:rsidRDefault="007B3B75" w:rsidP="007B3B75">
            <w:pPr>
              <w:spacing w:line="240" w:lineRule="auto"/>
              <w:rPr>
                <w:rFonts w:cs="Times New Roman"/>
                <w:sz w:val="20"/>
                <w:szCs w:val="20"/>
                <w:lang/>
              </w:rPr>
            </w:pPr>
            <w:r w:rsidRPr="007B3B75">
              <w:rPr>
                <w:rFonts w:cs="Times New Roman"/>
                <w:sz w:val="20"/>
                <w:szCs w:val="20"/>
                <w:lang/>
              </w:rPr>
              <w:t>Yes</w:t>
            </w:r>
          </w:p>
        </w:tc>
        <w:tc>
          <w:tcPr>
            <w:tcW w:w="633" w:type="pct"/>
            <w:tcBorders>
              <w:top w:val="single" w:sz="4" w:space="0" w:color="auto"/>
              <w:left w:val="nil"/>
              <w:right w:val="nil"/>
            </w:tcBorders>
          </w:tcPr>
          <w:p w14:paraId="50A8A657" w14:textId="58F0E81A" w:rsidR="007B3B75" w:rsidRPr="007B3B75" w:rsidRDefault="007B3B75" w:rsidP="007B3B75">
            <w:pPr>
              <w:spacing w:line="240" w:lineRule="auto"/>
              <w:rPr>
                <w:rFonts w:cs="Times New Roman"/>
                <w:sz w:val="20"/>
                <w:szCs w:val="20"/>
                <w:lang/>
              </w:rPr>
            </w:pPr>
            <w:r w:rsidRPr="007B3B75">
              <w:rPr>
                <w:rFonts w:cs="Times New Roman"/>
                <w:sz w:val="20"/>
                <w:szCs w:val="20"/>
                <w:lang/>
              </w:rPr>
              <w:t>Yes</w:t>
            </w:r>
          </w:p>
        </w:tc>
        <w:tc>
          <w:tcPr>
            <w:tcW w:w="758" w:type="pct"/>
            <w:tcBorders>
              <w:top w:val="single" w:sz="4" w:space="0" w:color="auto"/>
              <w:left w:val="nil"/>
              <w:right w:val="nil"/>
            </w:tcBorders>
          </w:tcPr>
          <w:p w14:paraId="71023F87" w14:textId="2D051F30" w:rsidR="007B3B75" w:rsidRPr="007B3B75" w:rsidRDefault="007B3B75" w:rsidP="007B3B75">
            <w:pPr>
              <w:spacing w:line="240" w:lineRule="auto"/>
              <w:rPr>
                <w:rFonts w:cs="Times New Roman"/>
                <w:sz w:val="20"/>
                <w:szCs w:val="20"/>
                <w:lang/>
              </w:rPr>
            </w:pPr>
            <w:r w:rsidRPr="007B3B75">
              <w:rPr>
                <w:rFonts w:cs="Times New Roman"/>
                <w:sz w:val="20"/>
                <w:szCs w:val="20"/>
                <w:lang/>
              </w:rPr>
              <w:t>Yes</w:t>
            </w:r>
          </w:p>
        </w:tc>
        <w:tc>
          <w:tcPr>
            <w:tcW w:w="767" w:type="pct"/>
            <w:tcBorders>
              <w:top w:val="single" w:sz="4" w:space="0" w:color="auto"/>
              <w:left w:val="nil"/>
              <w:right w:val="nil"/>
            </w:tcBorders>
          </w:tcPr>
          <w:p w14:paraId="7E4C1BC5" w14:textId="388A43F0" w:rsidR="007B3B75" w:rsidRPr="007B3B75" w:rsidRDefault="007B3B75" w:rsidP="007B3B75">
            <w:pPr>
              <w:spacing w:line="240" w:lineRule="auto"/>
              <w:rPr>
                <w:rFonts w:cs="Times New Roman"/>
                <w:sz w:val="20"/>
                <w:szCs w:val="20"/>
                <w:lang/>
              </w:rPr>
            </w:pPr>
            <w:r w:rsidRPr="007B3B75">
              <w:rPr>
                <w:rFonts w:cs="Times New Roman"/>
                <w:sz w:val="20"/>
                <w:szCs w:val="20"/>
                <w:lang/>
              </w:rPr>
              <w:t>Yes</w:t>
            </w:r>
          </w:p>
        </w:tc>
      </w:tr>
      <w:tr w:rsidR="007B3B75" w:rsidRPr="007B3B75" w14:paraId="2DC2F6EC" w14:textId="77777777" w:rsidTr="007B3B75">
        <w:tc>
          <w:tcPr>
            <w:tcW w:w="1608" w:type="pct"/>
            <w:tcBorders>
              <w:left w:val="nil"/>
              <w:right w:val="nil"/>
            </w:tcBorders>
          </w:tcPr>
          <w:p w14:paraId="2F8E5257" w14:textId="77777777" w:rsidR="00FE7043" w:rsidRPr="007B3B75" w:rsidRDefault="00FE7043" w:rsidP="007B3B75">
            <w:pPr>
              <w:spacing w:line="240" w:lineRule="auto"/>
              <w:rPr>
                <w:rFonts w:cs="Times New Roman"/>
                <w:sz w:val="20"/>
                <w:szCs w:val="20"/>
                <w:lang/>
              </w:rPr>
            </w:pPr>
            <w:r w:rsidRPr="007B3B75">
              <w:rPr>
                <w:rFonts w:cs="Times New Roman"/>
                <w:sz w:val="20"/>
                <w:szCs w:val="20"/>
                <w:lang/>
              </w:rPr>
              <w:t>NAICS FE</w:t>
            </w:r>
          </w:p>
        </w:tc>
        <w:tc>
          <w:tcPr>
            <w:tcW w:w="587" w:type="pct"/>
            <w:tcBorders>
              <w:left w:val="nil"/>
              <w:right w:val="nil"/>
            </w:tcBorders>
          </w:tcPr>
          <w:p w14:paraId="01F997DF" w14:textId="77777777" w:rsidR="00FE7043" w:rsidRPr="007B3B75" w:rsidRDefault="00FE7043" w:rsidP="007B3B75">
            <w:pPr>
              <w:spacing w:line="240" w:lineRule="auto"/>
              <w:rPr>
                <w:rFonts w:cs="Times New Roman"/>
                <w:sz w:val="20"/>
                <w:szCs w:val="20"/>
                <w:lang/>
              </w:rPr>
            </w:pPr>
            <w:r w:rsidRPr="007B3B75">
              <w:rPr>
                <w:rFonts w:cs="Times New Roman"/>
                <w:sz w:val="20"/>
                <w:szCs w:val="20"/>
                <w:lang/>
              </w:rPr>
              <w:t>Yes</w:t>
            </w:r>
          </w:p>
        </w:tc>
        <w:tc>
          <w:tcPr>
            <w:tcW w:w="647" w:type="pct"/>
            <w:tcBorders>
              <w:left w:val="nil"/>
              <w:right w:val="nil"/>
            </w:tcBorders>
          </w:tcPr>
          <w:p w14:paraId="5F43E555" w14:textId="77777777" w:rsidR="00FE7043" w:rsidRPr="007B3B75" w:rsidRDefault="00FE7043" w:rsidP="007B3B75">
            <w:pPr>
              <w:spacing w:line="240" w:lineRule="auto"/>
              <w:rPr>
                <w:rFonts w:cs="Times New Roman"/>
                <w:sz w:val="20"/>
                <w:szCs w:val="20"/>
                <w:lang/>
              </w:rPr>
            </w:pPr>
            <w:r w:rsidRPr="007B3B75">
              <w:rPr>
                <w:rFonts w:cs="Times New Roman"/>
                <w:sz w:val="20"/>
                <w:szCs w:val="20"/>
                <w:lang/>
              </w:rPr>
              <w:t>Yes</w:t>
            </w:r>
          </w:p>
        </w:tc>
        <w:tc>
          <w:tcPr>
            <w:tcW w:w="633" w:type="pct"/>
            <w:tcBorders>
              <w:left w:val="nil"/>
              <w:right w:val="nil"/>
            </w:tcBorders>
          </w:tcPr>
          <w:p w14:paraId="4AC1C4DF" w14:textId="77777777" w:rsidR="00FE7043" w:rsidRPr="007B3B75" w:rsidRDefault="00FE7043" w:rsidP="007B3B75">
            <w:pPr>
              <w:spacing w:line="240" w:lineRule="auto"/>
              <w:rPr>
                <w:rFonts w:cs="Times New Roman"/>
                <w:sz w:val="20"/>
                <w:szCs w:val="20"/>
                <w:lang/>
              </w:rPr>
            </w:pPr>
            <w:r w:rsidRPr="007B3B75">
              <w:rPr>
                <w:rFonts w:cs="Times New Roman"/>
                <w:sz w:val="20"/>
                <w:szCs w:val="20"/>
                <w:lang/>
              </w:rPr>
              <w:t>Yes</w:t>
            </w:r>
          </w:p>
        </w:tc>
        <w:tc>
          <w:tcPr>
            <w:tcW w:w="758" w:type="pct"/>
            <w:tcBorders>
              <w:left w:val="nil"/>
              <w:right w:val="nil"/>
            </w:tcBorders>
          </w:tcPr>
          <w:p w14:paraId="06AA8B70" w14:textId="77777777" w:rsidR="00FE7043" w:rsidRPr="007B3B75" w:rsidRDefault="00FE7043" w:rsidP="007B3B75">
            <w:pPr>
              <w:spacing w:line="240" w:lineRule="auto"/>
              <w:rPr>
                <w:rFonts w:cs="Times New Roman"/>
                <w:sz w:val="20"/>
                <w:szCs w:val="20"/>
                <w:lang/>
              </w:rPr>
            </w:pPr>
            <w:r w:rsidRPr="007B3B75">
              <w:rPr>
                <w:rFonts w:cs="Times New Roman"/>
                <w:sz w:val="20"/>
                <w:szCs w:val="20"/>
                <w:lang/>
              </w:rPr>
              <w:t>Yes</w:t>
            </w:r>
          </w:p>
        </w:tc>
        <w:tc>
          <w:tcPr>
            <w:tcW w:w="767" w:type="pct"/>
            <w:tcBorders>
              <w:left w:val="nil"/>
              <w:right w:val="nil"/>
            </w:tcBorders>
          </w:tcPr>
          <w:p w14:paraId="57B3F4CB" w14:textId="77777777" w:rsidR="00FE7043" w:rsidRPr="007B3B75" w:rsidRDefault="00FE7043" w:rsidP="007B3B75">
            <w:pPr>
              <w:spacing w:line="240" w:lineRule="auto"/>
              <w:rPr>
                <w:rFonts w:cs="Times New Roman"/>
                <w:sz w:val="20"/>
                <w:szCs w:val="20"/>
                <w:lang/>
              </w:rPr>
            </w:pPr>
            <w:r w:rsidRPr="007B3B75">
              <w:rPr>
                <w:rFonts w:cs="Times New Roman"/>
                <w:sz w:val="20"/>
                <w:szCs w:val="20"/>
                <w:lang/>
              </w:rPr>
              <w:t>Yes</w:t>
            </w:r>
          </w:p>
        </w:tc>
      </w:tr>
      <w:tr w:rsidR="007B3B75" w:rsidRPr="007B3B75" w14:paraId="42E8DD06" w14:textId="77777777" w:rsidTr="00B82EB9">
        <w:tc>
          <w:tcPr>
            <w:tcW w:w="1608" w:type="pct"/>
            <w:tcBorders>
              <w:top w:val="nil"/>
              <w:left w:val="nil"/>
              <w:bottom w:val="single" w:sz="4" w:space="0" w:color="auto"/>
              <w:right w:val="nil"/>
            </w:tcBorders>
          </w:tcPr>
          <w:p w14:paraId="2B879A25" w14:textId="77777777" w:rsidR="00FE7043" w:rsidRPr="007B3B75" w:rsidRDefault="00FE7043" w:rsidP="007B3B75">
            <w:pPr>
              <w:spacing w:line="240" w:lineRule="auto"/>
              <w:rPr>
                <w:rFonts w:eastAsia="Times New Roman" w:cs="Times New Roman"/>
                <w:sz w:val="20"/>
                <w:szCs w:val="20"/>
                <w:shd w:val="clear" w:color="auto" w:fill="FFFFFF"/>
                <w:lang/>
              </w:rPr>
            </w:pPr>
            <w:r w:rsidRPr="007B3B75">
              <w:rPr>
                <w:rFonts w:eastAsia="Times New Roman" w:cs="Times New Roman"/>
                <w:sz w:val="20"/>
                <w:szCs w:val="20"/>
                <w:lang/>
              </w:rPr>
              <w:t>PA-PA</w:t>
            </w:r>
            <w:r w:rsidRPr="007B3B75">
              <w:rPr>
                <w:rFonts w:eastAsia="Times New Roman" w:cs="Times New Roman"/>
                <w:i/>
                <w:sz w:val="20"/>
                <w:szCs w:val="20"/>
                <w:shd w:val="clear" w:color="auto" w:fill="FFFFFF"/>
                <w:lang/>
              </w:rPr>
              <w:t>²</w:t>
            </w:r>
            <w:r w:rsidRPr="007B3B75">
              <w:rPr>
                <w:rFonts w:cs="Times New Roman"/>
                <w:i/>
                <w:sz w:val="20"/>
                <w:szCs w:val="20"/>
                <w:shd w:val="clear" w:color="auto" w:fill="FFFFFF"/>
                <w:lang/>
              </w:rPr>
              <w:t xml:space="preserve"> </w:t>
            </w:r>
            <w:r w:rsidRPr="007B3B75">
              <w:rPr>
                <w:rFonts w:eastAsia="Times New Roman" w:cs="Times New Roman"/>
                <w:sz w:val="20"/>
                <w:szCs w:val="20"/>
                <w:lang/>
              </w:rPr>
              <w:t xml:space="preserve">Joint Test </w:t>
            </w:r>
            <w:r w:rsidRPr="007B3B75">
              <w:rPr>
                <w:rFonts w:cs="Times New Roman"/>
                <w:sz w:val="20"/>
                <w:szCs w:val="20"/>
                <w:lang/>
              </w:rPr>
              <w:t>p-value</w:t>
            </w:r>
          </w:p>
        </w:tc>
        <w:tc>
          <w:tcPr>
            <w:tcW w:w="587" w:type="pct"/>
            <w:tcBorders>
              <w:top w:val="nil"/>
              <w:left w:val="nil"/>
              <w:bottom w:val="single" w:sz="4" w:space="0" w:color="auto"/>
              <w:right w:val="nil"/>
            </w:tcBorders>
          </w:tcPr>
          <w:p w14:paraId="0C315230" w14:textId="77777777" w:rsidR="00FE7043" w:rsidRPr="007B3B75" w:rsidRDefault="00FE7043" w:rsidP="007B3B75">
            <w:pPr>
              <w:spacing w:line="240" w:lineRule="auto"/>
              <w:rPr>
                <w:rFonts w:cs="Times New Roman"/>
                <w:sz w:val="20"/>
                <w:szCs w:val="20"/>
                <w:lang/>
              </w:rPr>
            </w:pPr>
            <w:r w:rsidRPr="007B3B75">
              <w:rPr>
                <w:rFonts w:cs="Times New Roman"/>
                <w:sz w:val="20"/>
                <w:szCs w:val="20"/>
                <w:lang/>
              </w:rPr>
              <w:t>0.1859</w:t>
            </w:r>
          </w:p>
        </w:tc>
        <w:tc>
          <w:tcPr>
            <w:tcW w:w="647" w:type="pct"/>
            <w:tcBorders>
              <w:top w:val="nil"/>
              <w:left w:val="nil"/>
              <w:bottom w:val="single" w:sz="4" w:space="0" w:color="auto"/>
              <w:right w:val="nil"/>
            </w:tcBorders>
          </w:tcPr>
          <w:p w14:paraId="5B2ABF9F" w14:textId="77777777" w:rsidR="00FE7043" w:rsidRPr="007B3B75" w:rsidRDefault="00FE7043" w:rsidP="007B3B75">
            <w:pPr>
              <w:spacing w:line="240" w:lineRule="auto"/>
              <w:rPr>
                <w:rFonts w:cs="Times New Roman"/>
                <w:sz w:val="20"/>
                <w:szCs w:val="20"/>
                <w:lang/>
              </w:rPr>
            </w:pPr>
            <w:r w:rsidRPr="007B3B75">
              <w:rPr>
                <w:rFonts w:cs="Times New Roman"/>
                <w:sz w:val="20"/>
                <w:szCs w:val="20"/>
                <w:lang/>
              </w:rPr>
              <w:t>0.3731</w:t>
            </w:r>
          </w:p>
        </w:tc>
        <w:tc>
          <w:tcPr>
            <w:tcW w:w="633" w:type="pct"/>
            <w:tcBorders>
              <w:top w:val="nil"/>
              <w:left w:val="nil"/>
              <w:bottom w:val="single" w:sz="4" w:space="0" w:color="auto"/>
              <w:right w:val="nil"/>
            </w:tcBorders>
          </w:tcPr>
          <w:p w14:paraId="12061BD8" w14:textId="77777777" w:rsidR="00FE7043" w:rsidRPr="007B3B75" w:rsidRDefault="00FE7043" w:rsidP="007B3B75">
            <w:pPr>
              <w:spacing w:line="240" w:lineRule="auto"/>
              <w:rPr>
                <w:rFonts w:cs="Times New Roman"/>
                <w:sz w:val="20"/>
                <w:szCs w:val="20"/>
                <w:lang/>
              </w:rPr>
            </w:pPr>
            <w:r w:rsidRPr="007B3B75">
              <w:rPr>
                <w:rFonts w:cs="Times New Roman"/>
                <w:sz w:val="20"/>
                <w:szCs w:val="20"/>
                <w:lang/>
              </w:rPr>
              <w:t>0.2799</w:t>
            </w:r>
          </w:p>
        </w:tc>
        <w:tc>
          <w:tcPr>
            <w:tcW w:w="758" w:type="pct"/>
            <w:tcBorders>
              <w:top w:val="nil"/>
              <w:left w:val="nil"/>
              <w:bottom w:val="single" w:sz="4" w:space="0" w:color="auto"/>
              <w:right w:val="nil"/>
            </w:tcBorders>
          </w:tcPr>
          <w:p w14:paraId="0F66E239" w14:textId="77777777" w:rsidR="00FE7043" w:rsidRPr="007B3B75" w:rsidRDefault="00FE7043" w:rsidP="007B3B75">
            <w:pPr>
              <w:spacing w:line="240" w:lineRule="auto"/>
              <w:rPr>
                <w:rFonts w:cs="Times New Roman"/>
                <w:sz w:val="20"/>
                <w:szCs w:val="20"/>
                <w:lang/>
              </w:rPr>
            </w:pPr>
            <w:r w:rsidRPr="007B3B75">
              <w:rPr>
                <w:rFonts w:cs="Times New Roman"/>
                <w:sz w:val="20"/>
                <w:szCs w:val="20"/>
                <w:lang/>
              </w:rPr>
              <w:t>0.0958</w:t>
            </w:r>
          </w:p>
        </w:tc>
        <w:tc>
          <w:tcPr>
            <w:tcW w:w="767" w:type="pct"/>
            <w:tcBorders>
              <w:top w:val="nil"/>
              <w:left w:val="nil"/>
              <w:bottom w:val="single" w:sz="4" w:space="0" w:color="auto"/>
              <w:right w:val="nil"/>
            </w:tcBorders>
          </w:tcPr>
          <w:p w14:paraId="79015362" w14:textId="77777777" w:rsidR="00FE7043" w:rsidRPr="007B3B75" w:rsidRDefault="00FE7043" w:rsidP="007B3B75">
            <w:pPr>
              <w:spacing w:line="240" w:lineRule="auto"/>
              <w:rPr>
                <w:rFonts w:cs="Times New Roman"/>
                <w:sz w:val="20"/>
                <w:szCs w:val="20"/>
                <w:lang/>
              </w:rPr>
            </w:pPr>
            <w:r w:rsidRPr="007B3B75">
              <w:rPr>
                <w:rFonts w:cs="Times New Roman"/>
                <w:sz w:val="20"/>
                <w:szCs w:val="20"/>
                <w:lang/>
              </w:rPr>
              <w:t>0.1638</w:t>
            </w:r>
          </w:p>
        </w:tc>
      </w:tr>
    </w:tbl>
    <w:p w14:paraId="5C9903A0" w14:textId="38F6D7E8" w:rsidR="00FE7043" w:rsidRPr="007B3B75" w:rsidRDefault="00CD4846" w:rsidP="007B3B75">
      <w:pPr>
        <w:spacing w:line="240" w:lineRule="auto"/>
        <w:rPr>
          <w:rFonts w:cs="Times New Roman"/>
          <w:sz w:val="20"/>
          <w:szCs w:val="20"/>
          <w:lang/>
        </w:rPr>
      </w:pPr>
      <w:r w:rsidRPr="007B3B75">
        <w:rPr>
          <w:rFonts w:cs="Times New Roman"/>
          <w:sz w:val="20"/>
          <w:szCs w:val="20"/>
          <w:lang/>
        </w:rPr>
        <w:t>Table A</w:t>
      </w:r>
      <w:r w:rsidRPr="007B3B75">
        <w:rPr>
          <w:rFonts w:cs="Times New Roman"/>
          <w:sz w:val="20"/>
          <w:szCs w:val="20"/>
          <w:lang/>
        </w:rPr>
        <w:t>20</w:t>
      </w:r>
      <w:r w:rsidRPr="007B3B75">
        <w:rPr>
          <w:rFonts w:cs="Times New Roman"/>
          <w:sz w:val="20"/>
          <w:szCs w:val="20"/>
          <w:lang/>
        </w:rPr>
        <w:t xml:space="preserve">: PPMLHDFE regression results on establishment </w:t>
      </w:r>
      <w:r w:rsidRPr="007B3B75">
        <w:rPr>
          <w:rFonts w:cs="Times New Roman"/>
          <w:sz w:val="20"/>
          <w:szCs w:val="20"/>
          <w:lang/>
        </w:rPr>
        <w:t xml:space="preserve">intra-state </w:t>
      </w:r>
      <w:r w:rsidRPr="007B3B75">
        <w:rPr>
          <w:rFonts w:cs="Times New Roman"/>
          <w:sz w:val="20"/>
          <w:szCs w:val="20"/>
          <w:lang/>
        </w:rPr>
        <w:t xml:space="preserve">inward relocations under </w:t>
      </w:r>
      <w:r w:rsidRPr="007B3B75">
        <w:rPr>
          <w:rFonts w:cs="Times New Roman"/>
          <w:sz w:val="20"/>
          <w:szCs w:val="20"/>
          <w:lang/>
        </w:rPr>
        <w:t xml:space="preserve">strict </w:t>
      </w:r>
      <w:r w:rsidRPr="007B3B75">
        <w:rPr>
          <w:rFonts w:cs="Times New Roman"/>
          <w:sz w:val="20"/>
          <w:szCs w:val="20"/>
          <w:lang/>
        </w:rPr>
        <w:t>PADs (GAP 1-</w:t>
      </w:r>
      <w:r w:rsidRPr="007B3B75">
        <w:rPr>
          <w:rFonts w:cs="Times New Roman"/>
          <w:sz w:val="20"/>
          <w:szCs w:val="20"/>
          <w:lang/>
        </w:rPr>
        <w:t>2</w:t>
      </w:r>
      <w:r w:rsidRPr="007B3B75">
        <w:rPr>
          <w:rFonts w:cs="Times New Roman"/>
          <w:sz w:val="20"/>
          <w:szCs w:val="20"/>
          <w:lang/>
        </w:rPr>
        <w:t xml:space="preserve">) are presented above. Column names correspond to a specific NAICS sector. </w:t>
      </w:r>
      <w:r w:rsidR="002A78A3" w:rsidRPr="00C624DB">
        <w:rPr>
          <w:sz w:val="20"/>
          <w:szCs w:val="20"/>
          <w:lang/>
        </w:rPr>
        <w:t xml:space="preserve">Standard errors are </w:t>
      </w:r>
      <w:r w:rsidR="002A78A3">
        <w:rPr>
          <w:sz w:val="20"/>
          <w:szCs w:val="20"/>
          <w:lang/>
        </w:rPr>
        <w:t xml:space="preserve">in parentheses and are </w:t>
      </w:r>
      <w:r w:rsidR="002A78A3" w:rsidRPr="00C624DB">
        <w:rPr>
          <w:sz w:val="20"/>
          <w:szCs w:val="20"/>
          <w:lang/>
        </w:rPr>
        <w:t xml:space="preserve">clustered at the county level. </w:t>
      </w:r>
      <w:r w:rsidR="002A78A3" w:rsidRPr="002C0F11">
        <w:rPr>
          <w:sz w:val="20"/>
          <w:szCs w:val="20"/>
          <w:lang/>
        </w:rPr>
        <w:t>Statistically significant impacts are denoted by asterisks. These asterisks denote statistical significance at the following levels: ***p &lt; 0.01, **p &lt; 0.05, *p &lt; 0.1.</w:t>
      </w:r>
      <w:r w:rsidR="002A78A3">
        <w:rPr>
          <w:sz w:val="20"/>
          <w:szCs w:val="20"/>
          <w:lang/>
        </w:rPr>
        <w:t xml:space="preserve"> </w:t>
      </w:r>
      <w:r w:rsidRPr="007B3B75">
        <w:rPr>
          <w:rFonts w:cs="Times New Roman"/>
          <w:sz w:val="20"/>
          <w:szCs w:val="20"/>
          <w:lang/>
        </w:rPr>
        <w:t>p-values of joint-tests on linear and quadratic PAD terms are shown in the last row.</w:t>
      </w:r>
    </w:p>
    <w:p w14:paraId="58588ABA" w14:textId="77777777" w:rsidR="00FE7043" w:rsidRDefault="00FE7043" w:rsidP="004C39A4">
      <w:pPr>
        <w:spacing w:line="240" w:lineRule="auto"/>
        <w:rPr>
          <w:rFonts w:ascii="DengXian" w:hAnsi="DengXian" w:cs="Times New Roman"/>
          <w:b/>
          <w:bCs/>
          <w:color w:val="44546A"/>
          <w:kern w:val="2"/>
          <w:sz w:val="18"/>
          <w:szCs w:val="18"/>
          <w:lang/>
        </w:rPr>
      </w:pPr>
      <w:r>
        <w:rPr>
          <w:rFonts w:ascii="DengXian" w:hAnsi="DengXian" w:cs="Times New Roman"/>
          <w:b/>
          <w:bCs/>
          <w:color w:val="44546A"/>
          <w:kern w:val="2"/>
          <w:sz w:val="18"/>
          <w:szCs w:val="18"/>
          <w:lang/>
        </w:rPr>
        <w:br w:type="page"/>
      </w:r>
    </w:p>
    <w:tbl>
      <w:tblPr>
        <w:tblpPr w:leftFromText="180" w:rightFromText="180" w:vertAnchor="text" w:horzAnchor="margin" w:tblpY="316"/>
        <w:tblW w:w="5000" w:type="pct"/>
        <w:tblLook w:val="04A0" w:firstRow="1" w:lastRow="0" w:firstColumn="1" w:lastColumn="0" w:noHBand="0" w:noVBand="1"/>
      </w:tblPr>
      <w:tblGrid>
        <w:gridCol w:w="4074"/>
        <w:gridCol w:w="1647"/>
        <w:gridCol w:w="1647"/>
        <w:gridCol w:w="1992"/>
      </w:tblGrid>
      <w:tr w:rsidR="002A6CED" w:rsidRPr="00CD4846" w14:paraId="357E806A" w14:textId="77777777" w:rsidTr="002A6CED">
        <w:tc>
          <w:tcPr>
            <w:tcW w:w="2176" w:type="pct"/>
            <w:tcBorders>
              <w:top w:val="single" w:sz="4" w:space="0" w:color="auto"/>
              <w:left w:val="nil"/>
              <w:bottom w:val="single" w:sz="4" w:space="0" w:color="auto"/>
              <w:right w:val="nil"/>
            </w:tcBorders>
          </w:tcPr>
          <w:p w14:paraId="09A15E57" w14:textId="77777777" w:rsidR="002A6CED" w:rsidRPr="00CD4846" w:rsidRDefault="002A6CED" w:rsidP="007B3B75">
            <w:pPr>
              <w:spacing w:line="240" w:lineRule="auto"/>
              <w:rPr>
                <w:rFonts w:cs="Times New Roman"/>
                <w:b/>
                <w:bCs/>
                <w:kern w:val="2"/>
                <w:sz w:val="20"/>
                <w:szCs w:val="20"/>
                <w:lang/>
              </w:rPr>
            </w:pPr>
            <w:r w:rsidRPr="00CD4846">
              <w:rPr>
                <w:rFonts w:cs="Times New Roman"/>
                <w:b/>
                <w:bCs/>
                <w:kern w:val="2"/>
                <w:sz w:val="20"/>
                <w:szCs w:val="20"/>
                <w:lang/>
              </w:rPr>
              <w:lastRenderedPageBreak/>
              <w:br w:type="page"/>
              <w:t>Variable</w:t>
            </w:r>
          </w:p>
        </w:tc>
        <w:tc>
          <w:tcPr>
            <w:tcW w:w="880" w:type="pct"/>
            <w:tcBorders>
              <w:top w:val="single" w:sz="4" w:space="0" w:color="auto"/>
              <w:left w:val="nil"/>
              <w:bottom w:val="single" w:sz="4" w:space="0" w:color="auto"/>
              <w:right w:val="nil"/>
            </w:tcBorders>
          </w:tcPr>
          <w:p w14:paraId="0EACEDF3" w14:textId="5840D146" w:rsidR="002A6CED" w:rsidRPr="00CD4846" w:rsidRDefault="002A6CED" w:rsidP="007B3B75">
            <w:pPr>
              <w:widowControl w:val="0"/>
              <w:autoSpaceDE w:val="0"/>
              <w:autoSpaceDN w:val="0"/>
              <w:adjustRightInd w:val="0"/>
              <w:spacing w:line="240" w:lineRule="auto"/>
              <w:rPr>
                <w:rFonts w:cs="Times New Roman"/>
                <w:b/>
                <w:bCs/>
                <w:kern w:val="2"/>
                <w:sz w:val="20"/>
                <w:szCs w:val="20"/>
                <w:lang/>
              </w:rPr>
            </w:pPr>
            <w:r w:rsidRPr="00CD4846">
              <w:rPr>
                <w:rFonts w:cs="Times New Roman"/>
                <w:b/>
                <w:bCs/>
                <w:kern w:val="2"/>
                <w:sz w:val="20"/>
                <w:szCs w:val="20"/>
                <w:lang/>
              </w:rPr>
              <w:t>NAICS 21</w:t>
            </w:r>
          </w:p>
        </w:tc>
        <w:tc>
          <w:tcPr>
            <w:tcW w:w="880" w:type="pct"/>
            <w:tcBorders>
              <w:top w:val="single" w:sz="4" w:space="0" w:color="auto"/>
              <w:left w:val="nil"/>
              <w:bottom w:val="single" w:sz="4" w:space="0" w:color="auto"/>
              <w:right w:val="nil"/>
            </w:tcBorders>
          </w:tcPr>
          <w:p w14:paraId="1B313B8D" w14:textId="49A94A7D" w:rsidR="002A6CED" w:rsidRPr="00CD4846" w:rsidRDefault="002A6CED" w:rsidP="007B3B75">
            <w:pPr>
              <w:widowControl w:val="0"/>
              <w:autoSpaceDE w:val="0"/>
              <w:autoSpaceDN w:val="0"/>
              <w:adjustRightInd w:val="0"/>
              <w:spacing w:line="240" w:lineRule="auto"/>
              <w:rPr>
                <w:rFonts w:cs="Times New Roman"/>
                <w:b/>
                <w:bCs/>
                <w:kern w:val="2"/>
                <w:sz w:val="20"/>
                <w:szCs w:val="20"/>
                <w:lang/>
              </w:rPr>
            </w:pPr>
            <w:r w:rsidRPr="00CD4846">
              <w:rPr>
                <w:rFonts w:cs="Times New Roman"/>
                <w:b/>
                <w:bCs/>
                <w:kern w:val="2"/>
                <w:sz w:val="20"/>
                <w:szCs w:val="20"/>
                <w:lang/>
              </w:rPr>
              <w:t>NAICS 23</w:t>
            </w:r>
          </w:p>
        </w:tc>
        <w:tc>
          <w:tcPr>
            <w:tcW w:w="1064" w:type="pct"/>
            <w:tcBorders>
              <w:top w:val="single" w:sz="4" w:space="0" w:color="auto"/>
              <w:left w:val="nil"/>
              <w:bottom w:val="single" w:sz="4" w:space="0" w:color="auto"/>
              <w:right w:val="nil"/>
            </w:tcBorders>
          </w:tcPr>
          <w:p w14:paraId="4AC65382" w14:textId="7E9B7200" w:rsidR="002A6CED" w:rsidRPr="00CD4846" w:rsidRDefault="002A6CED" w:rsidP="007B3B75">
            <w:pPr>
              <w:widowControl w:val="0"/>
              <w:autoSpaceDE w:val="0"/>
              <w:autoSpaceDN w:val="0"/>
              <w:adjustRightInd w:val="0"/>
              <w:spacing w:line="240" w:lineRule="auto"/>
              <w:rPr>
                <w:rFonts w:cs="Times New Roman"/>
                <w:b/>
                <w:bCs/>
                <w:kern w:val="2"/>
                <w:sz w:val="20"/>
                <w:szCs w:val="20"/>
                <w:lang/>
              </w:rPr>
            </w:pPr>
            <w:r w:rsidRPr="00CD4846">
              <w:rPr>
                <w:rFonts w:cs="Times New Roman"/>
                <w:b/>
                <w:bCs/>
                <w:kern w:val="2"/>
                <w:sz w:val="20"/>
                <w:szCs w:val="20"/>
                <w:lang/>
              </w:rPr>
              <w:t>NAICS 31-33</w:t>
            </w:r>
          </w:p>
        </w:tc>
      </w:tr>
      <w:tr w:rsidR="002A6CED" w:rsidRPr="00CD4846" w14:paraId="524A7564" w14:textId="77777777" w:rsidTr="002A6CED">
        <w:tc>
          <w:tcPr>
            <w:tcW w:w="2176" w:type="pct"/>
            <w:tcBorders>
              <w:top w:val="single" w:sz="4" w:space="0" w:color="auto"/>
              <w:left w:val="nil"/>
              <w:bottom w:val="nil"/>
              <w:right w:val="nil"/>
            </w:tcBorders>
          </w:tcPr>
          <w:p w14:paraId="51112259"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Strict PAD(t-1)</w:t>
            </w:r>
          </w:p>
        </w:tc>
        <w:tc>
          <w:tcPr>
            <w:tcW w:w="880" w:type="pct"/>
            <w:tcBorders>
              <w:top w:val="single" w:sz="4" w:space="0" w:color="auto"/>
              <w:left w:val="nil"/>
              <w:bottom w:val="nil"/>
              <w:right w:val="nil"/>
            </w:tcBorders>
          </w:tcPr>
          <w:p w14:paraId="195F80E2"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29.340</w:t>
            </w:r>
          </w:p>
        </w:tc>
        <w:tc>
          <w:tcPr>
            <w:tcW w:w="880" w:type="pct"/>
            <w:tcBorders>
              <w:top w:val="single" w:sz="4" w:space="0" w:color="auto"/>
              <w:left w:val="nil"/>
              <w:bottom w:val="nil"/>
              <w:right w:val="nil"/>
            </w:tcBorders>
          </w:tcPr>
          <w:p w14:paraId="7FE01BB0"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0.879</w:t>
            </w:r>
          </w:p>
        </w:tc>
        <w:tc>
          <w:tcPr>
            <w:tcW w:w="1064" w:type="pct"/>
            <w:tcBorders>
              <w:top w:val="single" w:sz="4" w:space="0" w:color="auto"/>
              <w:left w:val="nil"/>
              <w:bottom w:val="nil"/>
              <w:right w:val="nil"/>
            </w:tcBorders>
          </w:tcPr>
          <w:p w14:paraId="53933AFA"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-6.584</w:t>
            </w:r>
          </w:p>
        </w:tc>
      </w:tr>
      <w:tr w:rsidR="002A6CED" w:rsidRPr="00CD4846" w14:paraId="586E7DD0" w14:textId="77777777" w:rsidTr="002A6CED">
        <w:tc>
          <w:tcPr>
            <w:tcW w:w="2176" w:type="pct"/>
            <w:tcBorders>
              <w:top w:val="nil"/>
              <w:left w:val="nil"/>
              <w:bottom w:val="nil"/>
              <w:right w:val="nil"/>
            </w:tcBorders>
          </w:tcPr>
          <w:p w14:paraId="0D865EBD" w14:textId="2C716CFA" w:rsidR="002A6CED" w:rsidRPr="00CD4846" w:rsidRDefault="002A6CED" w:rsidP="007B3B75">
            <w:pPr>
              <w:widowControl w:val="0"/>
              <w:autoSpaceDE w:val="0"/>
              <w:autoSpaceDN w:val="0"/>
              <w:adjustRightInd w:val="0"/>
              <w:spacing w:line="240" w:lineRule="auto"/>
              <w:rPr>
                <w:rFonts w:cs="Times New Roman"/>
                <w:kern w:val="2"/>
                <w:sz w:val="20"/>
                <w:szCs w:val="20"/>
                <w:lang/>
              </w:rPr>
            </w:pPr>
          </w:p>
        </w:tc>
        <w:tc>
          <w:tcPr>
            <w:tcW w:w="880" w:type="pct"/>
            <w:tcBorders>
              <w:top w:val="nil"/>
              <w:left w:val="nil"/>
              <w:bottom w:val="nil"/>
              <w:right w:val="nil"/>
            </w:tcBorders>
          </w:tcPr>
          <w:p w14:paraId="76ED313A"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(20.886)</w:t>
            </w:r>
          </w:p>
        </w:tc>
        <w:tc>
          <w:tcPr>
            <w:tcW w:w="880" w:type="pct"/>
            <w:tcBorders>
              <w:top w:val="nil"/>
              <w:left w:val="nil"/>
              <w:bottom w:val="nil"/>
              <w:right w:val="nil"/>
            </w:tcBorders>
          </w:tcPr>
          <w:p w14:paraId="04868399"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(10.394)</w:t>
            </w:r>
          </w:p>
        </w:tc>
        <w:tc>
          <w:tcPr>
            <w:tcW w:w="1064" w:type="pct"/>
            <w:tcBorders>
              <w:top w:val="nil"/>
              <w:left w:val="nil"/>
              <w:bottom w:val="nil"/>
              <w:right w:val="nil"/>
            </w:tcBorders>
          </w:tcPr>
          <w:p w14:paraId="37732C12"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(5.634)</w:t>
            </w:r>
          </w:p>
        </w:tc>
      </w:tr>
      <w:tr w:rsidR="002A6CED" w:rsidRPr="00CD4846" w14:paraId="5A7298FF" w14:textId="77777777" w:rsidTr="002A6CED">
        <w:tc>
          <w:tcPr>
            <w:tcW w:w="2176" w:type="pct"/>
            <w:tcBorders>
              <w:top w:val="nil"/>
              <w:left w:val="nil"/>
              <w:bottom w:val="nil"/>
              <w:right w:val="nil"/>
            </w:tcBorders>
          </w:tcPr>
          <w:p w14:paraId="21DD7526"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Strict PAD Sq. (t-1)</w:t>
            </w:r>
          </w:p>
        </w:tc>
        <w:tc>
          <w:tcPr>
            <w:tcW w:w="880" w:type="pct"/>
            <w:tcBorders>
              <w:top w:val="nil"/>
              <w:left w:val="nil"/>
              <w:bottom w:val="nil"/>
              <w:right w:val="nil"/>
            </w:tcBorders>
          </w:tcPr>
          <w:p w14:paraId="47E3EB73"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-51.025*</w:t>
            </w:r>
          </w:p>
        </w:tc>
        <w:tc>
          <w:tcPr>
            <w:tcW w:w="880" w:type="pct"/>
            <w:tcBorders>
              <w:top w:val="nil"/>
              <w:left w:val="nil"/>
              <w:bottom w:val="nil"/>
              <w:right w:val="nil"/>
            </w:tcBorders>
          </w:tcPr>
          <w:p w14:paraId="0DCC80E8"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0.880</w:t>
            </w:r>
          </w:p>
        </w:tc>
        <w:tc>
          <w:tcPr>
            <w:tcW w:w="1064" w:type="pct"/>
            <w:tcBorders>
              <w:top w:val="nil"/>
              <w:left w:val="nil"/>
              <w:bottom w:val="nil"/>
              <w:right w:val="nil"/>
            </w:tcBorders>
          </w:tcPr>
          <w:p w14:paraId="797A0DDC"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17.709</w:t>
            </w:r>
          </w:p>
        </w:tc>
      </w:tr>
      <w:tr w:rsidR="002A6CED" w:rsidRPr="00CD4846" w14:paraId="4D5E1F46" w14:textId="77777777" w:rsidTr="002A6CED">
        <w:tc>
          <w:tcPr>
            <w:tcW w:w="2176" w:type="pct"/>
            <w:tcBorders>
              <w:top w:val="nil"/>
              <w:left w:val="nil"/>
              <w:bottom w:val="nil"/>
              <w:right w:val="nil"/>
            </w:tcBorders>
          </w:tcPr>
          <w:p w14:paraId="79645403" w14:textId="166E79C8" w:rsidR="002A6CED" w:rsidRPr="00CD4846" w:rsidRDefault="002A6CED" w:rsidP="007B3B75">
            <w:pPr>
              <w:widowControl w:val="0"/>
              <w:autoSpaceDE w:val="0"/>
              <w:autoSpaceDN w:val="0"/>
              <w:adjustRightInd w:val="0"/>
              <w:spacing w:line="240" w:lineRule="auto"/>
              <w:rPr>
                <w:rFonts w:cs="Times New Roman"/>
                <w:kern w:val="2"/>
                <w:sz w:val="20"/>
                <w:szCs w:val="20"/>
                <w:lang/>
              </w:rPr>
            </w:pPr>
          </w:p>
        </w:tc>
        <w:tc>
          <w:tcPr>
            <w:tcW w:w="880" w:type="pct"/>
            <w:tcBorders>
              <w:top w:val="nil"/>
              <w:left w:val="nil"/>
              <w:bottom w:val="nil"/>
              <w:right w:val="nil"/>
            </w:tcBorders>
          </w:tcPr>
          <w:p w14:paraId="18F7EE14"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(28.547)</w:t>
            </w:r>
          </w:p>
        </w:tc>
        <w:tc>
          <w:tcPr>
            <w:tcW w:w="880" w:type="pct"/>
            <w:tcBorders>
              <w:top w:val="nil"/>
              <w:left w:val="nil"/>
              <w:bottom w:val="nil"/>
              <w:right w:val="nil"/>
            </w:tcBorders>
          </w:tcPr>
          <w:p w14:paraId="7A7539D2"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(28.046)</w:t>
            </w:r>
          </w:p>
        </w:tc>
        <w:tc>
          <w:tcPr>
            <w:tcW w:w="1064" w:type="pct"/>
            <w:tcBorders>
              <w:top w:val="nil"/>
              <w:left w:val="nil"/>
              <w:bottom w:val="nil"/>
              <w:right w:val="nil"/>
            </w:tcBorders>
          </w:tcPr>
          <w:p w14:paraId="7E383535"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(14.209)</w:t>
            </w:r>
          </w:p>
        </w:tc>
      </w:tr>
      <w:tr w:rsidR="002A6CED" w:rsidRPr="00CD4846" w14:paraId="4B8286A4" w14:textId="77777777" w:rsidTr="002A6CED">
        <w:tc>
          <w:tcPr>
            <w:tcW w:w="2176" w:type="pct"/>
            <w:tcBorders>
              <w:top w:val="nil"/>
              <w:left w:val="nil"/>
              <w:bottom w:val="nil"/>
              <w:right w:val="nil"/>
            </w:tcBorders>
          </w:tcPr>
          <w:p w14:paraId="2EE2A55C" w14:textId="2742A1A9"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Loc. Economies (t-1) (10ks)</w:t>
            </w:r>
          </w:p>
        </w:tc>
        <w:tc>
          <w:tcPr>
            <w:tcW w:w="880" w:type="pct"/>
            <w:tcBorders>
              <w:top w:val="nil"/>
              <w:left w:val="nil"/>
              <w:bottom w:val="nil"/>
              <w:right w:val="nil"/>
            </w:tcBorders>
          </w:tcPr>
          <w:p w14:paraId="47EE8799"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-86.054**</w:t>
            </w:r>
          </w:p>
        </w:tc>
        <w:tc>
          <w:tcPr>
            <w:tcW w:w="880" w:type="pct"/>
            <w:tcBorders>
              <w:top w:val="nil"/>
              <w:left w:val="nil"/>
              <w:bottom w:val="nil"/>
              <w:right w:val="nil"/>
            </w:tcBorders>
          </w:tcPr>
          <w:p w14:paraId="24D4D5DF"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-3.939**</w:t>
            </w:r>
          </w:p>
        </w:tc>
        <w:tc>
          <w:tcPr>
            <w:tcW w:w="1064" w:type="pct"/>
            <w:tcBorders>
              <w:top w:val="nil"/>
              <w:left w:val="nil"/>
              <w:bottom w:val="nil"/>
              <w:right w:val="nil"/>
            </w:tcBorders>
          </w:tcPr>
          <w:p w14:paraId="141D84F6"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2.181*</w:t>
            </w:r>
          </w:p>
        </w:tc>
      </w:tr>
      <w:tr w:rsidR="002A6CED" w:rsidRPr="00CD4846" w14:paraId="0B25D6BB" w14:textId="77777777" w:rsidTr="002A6CED">
        <w:tc>
          <w:tcPr>
            <w:tcW w:w="2176" w:type="pct"/>
            <w:tcBorders>
              <w:top w:val="nil"/>
              <w:left w:val="nil"/>
              <w:bottom w:val="nil"/>
              <w:right w:val="nil"/>
            </w:tcBorders>
          </w:tcPr>
          <w:p w14:paraId="69742109" w14:textId="4240861E" w:rsidR="002A6CED" w:rsidRPr="00CD4846" w:rsidRDefault="002A6CED" w:rsidP="007B3B75">
            <w:pPr>
              <w:widowControl w:val="0"/>
              <w:autoSpaceDE w:val="0"/>
              <w:autoSpaceDN w:val="0"/>
              <w:adjustRightInd w:val="0"/>
              <w:spacing w:line="240" w:lineRule="auto"/>
              <w:rPr>
                <w:rFonts w:cs="Times New Roman"/>
                <w:kern w:val="2"/>
                <w:sz w:val="20"/>
                <w:szCs w:val="20"/>
                <w:lang/>
              </w:rPr>
            </w:pPr>
          </w:p>
        </w:tc>
        <w:tc>
          <w:tcPr>
            <w:tcW w:w="880" w:type="pct"/>
            <w:tcBorders>
              <w:top w:val="nil"/>
              <w:left w:val="nil"/>
              <w:bottom w:val="nil"/>
              <w:right w:val="nil"/>
            </w:tcBorders>
          </w:tcPr>
          <w:p w14:paraId="27243FD8"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(38.992)</w:t>
            </w:r>
          </w:p>
        </w:tc>
        <w:tc>
          <w:tcPr>
            <w:tcW w:w="880" w:type="pct"/>
            <w:tcBorders>
              <w:top w:val="nil"/>
              <w:left w:val="nil"/>
              <w:bottom w:val="nil"/>
              <w:right w:val="nil"/>
            </w:tcBorders>
          </w:tcPr>
          <w:p w14:paraId="34B218B0"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(1.698)</w:t>
            </w:r>
          </w:p>
        </w:tc>
        <w:tc>
          <w:tcPr>
            <w:tcW w:w="1064" w:type="pct"/>
            <w:tcBorders>
              <w:top w:val="nil"/>
              <w:left w:val="nil"/>
              <w:bottom w:val="nil"/>
              <w:right w:val="nil"/>
            </w:tcBorders>
          </w:tcPr>
          <w:p w14:paraId="2F69DBE6"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(1.311)</w:t>
            </w:r>
          </w:p>
        </w:tc>
      </w:tr>
      <w:tr w:rsidR="002A6CED" w:rsidRPr="00CD4846" w14:paraId="2E552794" w14:textId="77777777" w:rsidTr="002A6CED">
        <w:tc>
          <w:tcPr>
            <w:tcW w:w="2176" w:type="pct"/>
            <w:tcBorders>
              <w:top w:val="nil"/>
              <w:left w:val="nil"/>
              <w:bottom w:val="nil"/>
              <w:right w:val="nil"/>
            </w:tcBorders>
          </w:tcPr>
          <w:p w14:paraId="45AB850C" w14:textId="40660FCE"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Median HH Income (100ks)</w:t>
            </w:r>
          </w:p>
        </w:tc>
        <w:tc>
          <w:tcPr>
            <w:tcW w:w="880" w:type="pct"/>
            <w:tcBorders>
              <w:top w:val="nil"/>
              <w:left w:val="nil"/>
              <w:bottom w:val="nil"/>
              <w:right w:val="nil"/>
            </w:tcBorders>
          </w:tcPr>
          <w:p w14:paraId="601BF147"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-6.195</w:t>
            </w:r>
          </w:p>
        </w:tc>
        <w:tc>
          <w:tcPr>
            <w:tcW w:w="880" w:type="pct"/>
            <w:tcBorders>
              <w:top w:val="nil"/>
              <w:left w:val="nil"/>
              <w:bottom w:val="nil"/>
              <w:right w:val="nil"/>
            </w:tcBorders>
          </w:tcPr>
          <w:p w14:paraId="2B041B6B"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-5.939**</w:t>
            </w:r>
          </w:p>
        </w:tc>
        <w:tc>
          <w:tcPr>
            <w:tcW w:w="1064" w:type="pct"/>
            <w:tcBorders>
              <w:top w:val="nil"/>
              <w:left w:val="nil"/>
              <w:bottom w:val="nil"/>
              <w:right w:val="nil"/>
            </w:tcBorders>
          </w:tcPr>
          <w:p w14:paraId="579C9D8E"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0.034</w:t>
            </w:r>
          </w:p>
        </w:tc>
      </w:tr>
      <w:tr w:rsidR="002A6CED" w:rsidRPr="00CD4846" w14:paraId="114464F0" w14:textId="77777777" w:rsidTr="002A6CED">
        <w:tc>
          <w:tcPr>
            <w:tcW w:w="2176" w:type="pct"/>
            <w:tcBorders>
              <w:top w:val="nil"/>
              <w:left w:val="nil"/>
              <w:bottom w:val="nil"/>
              <w:right w:val="nil"/>
            </w:tcBorders>
          </w:tcPr>
          <w:p w14:paraId="13DC2E30" w14:textId="267922AF" w:rsidR="002A6CED" w:rsidRPr="00CD4846" w:rsidRDefault="002A6CED" w:rsidP="007B3B75">
            <w:pPr>
              <w:widowControl w:val="0"/>
              <w:autoSpaceDE w:val="0"/>
              <w:autoSpaceDN w:val="0"/>
              <w:adjustRightInd w:val="0"/>
              <w:spacing w:line="240" w:lineRule="auto"/>
              <w:rPr>
                <w:rFonts w:cs="Times New Roman"/>
                <w:kern w:val="2"/>
                <w:sz w:val="20"/>
                <w:szCs w:val="20"/>
                <w:lang/>
              </w:rPr>
            </w:pPr>
          </w:p>
        </w:tc>
        <w:tc>
          <w:tcPr>
            <w:tcW w:w="880" w:type="pct"/>
            <w:tcBorders>
              <w:top w:val="nil"/>
              <w:left w:val="nil"/>
              <w:bottom w:val="nil"/>
              <w:right w:val="nil"/>
            </w:tcBorders>
          </w:tcPr>
          <w:p w14:paraId="00E49D9D"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(5.342)</w:t>
            </w:r>
          </w:p>
        </w:tc>
        <w:tc>
          <w:tcPr>
            <w:tcW w:w="880" w:type="pct"/>
            <w:tcBorders>
              <w:top w:val="nil"/>
              <w:left w:val="nil"/>
              <w:bottom w:val="nil"/>
              <w:right w:val="nil"/>
            </w:tcBorders>
          </w:tcPr>
          <w:p w14:paraId="5D7F5006"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(2.486)</w:t>
            </w:r>
          </w:p>
        </w:tc>
        <w:tc>
          <w:tcPr>
            <w:tcW w:w="1064" w:type="pct"/>
            <w:tcBorders>
              <w:top w:val="nil"/>
              <w:left w:val="nil"/>
              <w:bottom w:val="nil"/>
              <w:right w:val="nil"/>
            </w:tcBorders>
          </w:tcPr>
          <w:p w14:paraId="782DD4AA"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(1.468)</w:t>
            </w:r>
          </w:p>
        </w:tc>
      </w:tr>
      <w:tr w:rsidR="002A6CED" w:rsidRPr="00CD4846" w14:paraId="4AAEC65D" w14:textId="77777777" w:rsidTr="002A6CED">
        <w:tc>
          <w:tcPr>
            <w:tcW w:w="2176" w:type="pct"/>
            <w:tcBorders>
              <w:top w:val="nil"/>
              <w:left w:val="nil"/>
              <w:bottom w:val="nil"/>
              <w:right w:val="nil"/>
            </w:tcBorders>
          </w:tcPr>
          <w:p w14:paraId="07E10350" w14:textId="10346D0B"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Housing Price Index (100s)</w:t>
            </w:r>
          </w:p>
        </w:tc>
        <w:tc>
          <w:tcPr>
            <w:tcW w:w="880" w:type="pct"/>
            <w:tcBorders>
              <w:top w:val="nil"/>
              <w:left w:val="nil"/>
              <w:bottom w:val="nil"/>
              <w:right w:val="nil"/>
            </w:tcBorders>
          </w:tcPr>
          <w:p w14:paraId="5E48C969"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0.314</w:t>
            </w:r>
          </w:p>
        </w:tc>
        <w:tc>
          <w:tcPr>
            <w:tcW w:w="880" w:type="pct"/>
            <w:tcBorders>
              <w:top w:val="nil"/>
              <w:left w:val="nil"/>
              <w:bottom w:val="nil"/>
              <w:right w:val="nil"/>
            </w:tcBorders>
          </w:tcPr>
          <w:p w14:paraId="2963A793"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0.061</w:t>
            </w:r>
          </w:p>
        </w:tc>
        <w:tc>
          <w:tcPr>
            <w:tcW w:w="1064" w:type="pct"/>
            <w:tcBorders>
              <w:top w:val="nil"/>
              <w:left w:val="nil"/>
              <w:bottom w:val="nil"/>
              <w:right w:val="nil"/>
            </w:tcBorders>
          </w:tcPr>
          <w:p w14:paraId="6F20717D"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-0.035</w:t>
            </w:r>
          </w:p>
        </w:tc>
      </w:tr>
      <w:tr w:rsidR="002A6CED" w:rsidRPr="00CD4846" w14:paraId="1ED9FA88" w14:textId="77777777" w:rsidTr="002A6CED">
        <w:tc>
          <w:tcPr>
            <w:tcW w:w="2176" w:type="pct"/>
            <w:tcBorders>
              <w:top w:val="nil"/>
              <w:left w:val="nil"/>
              <w:bottom w:val="nil"/>
              <w:right w:val="nil"/>
            </w:tcBorders>
          </w:tcPr>
          <w:p w14:paraId="2DFCC4AA" w14:textId="4647EDD4" w:rsidR="002A6CED" w:rsidRPr="00CD4846" w:rsidRDefault="002A6CED" w:rsidP="007B3B75">
            <w:pPr>
              <w:widowControl w:val="0"/>
              <w:autoSpaceDE w:val="0"/>
              <w:autoSpaceDN w:val="0"/>
              <w:adjustRightInd w:val="0"/>
              <w:spacing w:line="240" w:lineRule="auto"/>
              <w:rPr>
                <w:rFonts w:cs="Times New Roman"/>
                <w:kern w:val="2"/>
                <w:sz w:val="20"/>
                <w:szCs w:val="20"/>
                <w:lang/>
              </w:rPr>
            </w:pPr>
          </w:p>
        </w:tc>
        <w:tc>
          <w:tcPr>
            <w:tcW w:w="880" w:type="pct"/>
            <w:tcBorders>
              <w:top w:val="nil"/>
              <w:left w:val="nil"/>
              <w:bottom w:val="nil"/>
              <w:right w:val="nil"/>
            </w:tcBorders>
          </w:tcPr>
          <w:p w14:paraId="5511704B"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(0.290)</w:t>
            </w:r>
          </w:p>
        </w:tc>
        <w:tc>
          <w:tcPr>
            <w:tcW w:w="880" w:type="pct"/>
            <w:tcBorders>
              <w:top w:val="nil"/>
              <w:left w:val="nil"/>
              <w:bottom w:val="nil"/>
              <w:right w:val="nil"/>
            </w:tcBorders>
          </w:tcPr>
          <w:p w14:paraId="190DD27A"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(0.184)</w:t>
            </w:r>
          </w:p>
        </w:tc>
        <w:tc>
          <w:tcPr>
            <w:tcW w:w="1064" w:type="pct"/>
            <w:tcBorders>
              <w:top w:val="nil"/>
              <w:left w:val="nil"/>
              <w:bottom w:val="nil"/>
              <w:right w:val="nil"/>
            </w:tcBorders>
          </w:tcPr>
          <w:p w14:paraId="42505502"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(0.104)</w:t>
            </w:r>
          </w:p>
        </w:tc>
      </w:tr>
      <w:tr w:rsidR="002A6CED" w:rsidRPr="00CD4846" w14:paraId="4ACFF886" w14:textId="77777777" w:rsidTr="002A6CED">
        <w:tc>
          <w:tcPr>
            <w:tcW w:w="2176" w:type="pct"/>
            <w:tcBorders>
              <w:top w:val="nil"/>
              <w:left w:val="nil"/>
              <w:bottom w:val="nil"/>
              <w:right w:val="nil"/>
            </w:tcBorders>
          </w:tcPr>
          <w:p w14:paraId="2B6CEDDA" w14:textId="507BA5A5"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Poverty rate (100s)</w:t>
            </w:r>
          </w:p>
        </w:tc>
        <w:tc>
          <w:tcPr>
            <w:tcW w:w="880" w:type="pct"/>
            <w:tcBorders>
              <w:top w:val="nil"/>
              <w:left w:val="nil"/>
              <w:bottom w:val="nil"/>
              <w:right w:val="nil"/>
            </w:tcBorders>
          </w:tcPr>
          <w:p w14:paraId="0CED91C0"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14.020</w:t>
            </w:r>
          </w:p>
        </w:tc>
        <w:tc>
          <w:tcPr>
            <w:tcW w:w="880" w:type="pct"/>
            <w:tcBorders>
              <w:top w:val="nil"/>
              <w:left w:val="nil"/>
              <w:bottom w:val="nil"/>
              <w:right w:val="nil"/>
            </w:tcBorders>
          </w:tcPr>
          <w:p w14:paraId="10FD2627"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-3.907</w:t>
            </w:r>
          </w:p>
        </w:tc>
        <w:tc>
          <w:tcPr>
            <w:tcW w:w="1064" w:type="pct"/>
            <w:tcBorders>
              <w:top w:val="nil"/>
              <w:left w:val="nil"/>
              <w:bottom w:val="nil"/>
              <w:right w:val="nil"/>
            </w:tcBorders>
          </w:tcPr>
          <w:p w14:paraId="5AAD70DF"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2.644</w:t>
            </w:r>
          </w:p>
        </w:tc>
      </w:tr>
      <w:tr w:rsidR="002A6CED" w:rsidRPr="00CD4846" w14:paraId="7970893D" w14:textId="77777777" w:rsidTr="002A6CED">
        <w:tc>
          <w:tcPr>
            <w:tcW w:w="2176" w:type="pct"/>
            <w:tcBorders>
              <w:top w:val="nil"/>
              <w:left w:val="nil"/>
              <w:bottom w:val="nil"/>
              <w:right w:val="nil"/>
            </w:tcBorders>
          </w:tcPr>
          <w:p w14:paraId="277DFA88" w14:textId="328E9DA8" w:rsidR="002A6CED" w:rsidRPr="00CD4846" w:rsidRDefault="002A6CED" w:rsidP="007B3B75">
            <w:pPr>
              <w:widowControl w:val="0"/>
              <w:autoSpaceDE w:val="0"/>
              <w:autoSpaceDN w:val="0"/>
              <w:adjustRightInd w:val="0"/>
              <w:spacing w:line="240" w:lineRule="auto"/>
              <w:rPr>
                <w:rFonts w:cs="Times New Roman"/>
                <w:kern w:val="2"/>
                <w:sz w:val="20"/>
                <w:szCs w:val="20"/>
                <w:lang/>
              </w:rPr>
            </w:pPr>
          </w:p>
        </w:tc>
        <w:tc>
          <w:tcPr>
            <w:tcW w:w="880" w:type="pct"/>
            <w:tcBorders>
              <w:top w:val="nil"/>
              <w:left w:val="nil"/>
              <w:bottom w:val="nil"/>
              <w:right w:val="nil"/>
            </w:tcBorders>
          </w:tcPr>
          <w:p w14:paraId="270102AF"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(12.337)</w:t>
            </w:r>
          </w:p>
        </w:tc>
        <w:tc>
          <w:tcPr>
            <w:tcW w:w="880" w:type="pct"/>
            <w:tcBorders>
              <w:top w:val="nil"/>
              <w:left w:val="nil"/>
              <w:bottom w:val="nil"/>
              <w:right w:val="nil"/>
            </w:tcBorders>
          </w:tcPr>
          <w:p w14:paraId="6CD0ADCB"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(6.527)</w:t>
            </w:r>
          </w:p>
        </w:tc>
        <w:tc>
          <w:tcPr>
            <w:tcW w:w="1064" w:type="pct"/>
            <w:tcBorders>
              <w:top w:val="nil"/>
              <w:left w:val="nil"/>
              <w:bottom w:val="nil"/>
              <w:right w:val="nil"/>
            </w:tcBorders>
          </w:tcPr>
          <w:p w14:paraId="1CA823C2"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(3.070)</w:t>
            </w:r>
          </w:p>
        </w:tc>
      </w:tr>
      <w:tr w:rsidR="002A6CED" w:rsidRPr="00CD4846" w14:paraId="1E7CB9DA" w14:textId="77777777" w:rsidTr="002A6CED">
        <w:tc>
          <w:tcPr>
            <w:tcW w:w="2176" w:type="pct"/>
            <w:tcBorders>
              <w:top w:val="nil"/>
              <w:left w:val="nil"/>
              <w:bottom w:val="nil"/>
              <w:right w:val="nil"/>
            </w:tcBorders>
          </w:tcPr>
          <w:p w14:paraId="6D4DD91A" w14:textId="24431365"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Avg annual wages (100k)</w:t>
            </w:r>
          </w:p>
        </w:tc>
        <w:tc>
          <w:tcPr>
            <w:tcW w:w="880" w:type="pct"/>
            <w:tcBorders>
              <w:top w:val="nil"/>
              <w:left w:val="nil"/>
              <w:bottom w:val="nil"/>
              <w:right w:val="nil"/>
            </w:tcBorders>
          </w:tcPr>
          <w:p w14:paraId="5E8EA2AB"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0.068</w:t>
            </w:r>
          </w:p>
        </w:tc>
        <w:tc>
          <w:tcPr>
            <w:tcW w:w="880" w:type="pct"/>
            <w:tcBorders>
              <w:top w:val="nil"/>
              <w:left w:val="nil"/>
              <w:bottom w:val="nil"/>
              <w:right w:val="nil"/>
            </w:tcBorders>
          </w:tcPr>
          <w:p w14:paraId="21036D70"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0.329</w:t>
            </w:r>
          </w:p>
        </w:tc>
        <w:tc>
          <w:tcPr>
            <w:tcW w:w="1064" w:type="pct"/>
            <w:tcBorders>
              <w:top w:val="nil"/>
              <w:left w:val="nil"/>
              <w:bottom w:val="nil"/>
              <w:right w:val="nil"/>
            </w:tcBorders>
          </w:tcPr>
          <w:p w14:paraId="1B8A2A12"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-0.078</w:t>
            </w:r>
          </w:p>
        </w:tc>
      </w:tr>
      <w:tr w:rsidR="002A6CED" w:rsidRPr="00CD4846" w14:paraId="27F0A471" w14:textId="77777777" w:rsidTr="002A6CED">
        <w:tc>
          <w:tcPr>
            <w:tcW w:w="2176" w:type="pct"/>
            <w:tcBorders>
              <w:top w:val="nil"/>
              <w:left w:val="nil"/>
              <w:bottom w:val="nil"/>
              <w:right w:val="nil"/>
            </w:tcBorders>
          </w:tcPr>
          <w:p w14:paraId="31F29459" w14:textId="3C4BC99B" w:rsidR="002A6CED" w:rsidRPr="00CD4846" w:rsidRDefault="002A6CED" w:rsidP="007B3B75">
            <w:pPr>
              <w:widowControl w:val="0"/>
              <w:autoSpaceDE w:val="0"/>
              <w:autoSpaceDN w:val="0"/>
              <w:adjustRightInd w:val="0"/>
              <w:spacing w:line="240" w:lineRule="auto"/>
              <w:rPr>
                <w:rFonts w:cs="Times New Roman"/>
                <w:kern w:val="2"/>
                <w:sz w:val="20"/>
                <w:szCs w:val="20"/>
                <w:lang/>
              </w:rPr>
            </w:pPr>
          </w:p>
        </w:tc>
        <w:tc>
          <w:tcPr>
            <w:tcW w:w="880" w:type="pct"/>
            <w:tcBorders>
              <w:top w:val="nil"/>
              <w:left w:val="nil"/>
              <w:bottom w:val="nil"/>
              <w:right w:val="nil"/>
            </w:tcBorders>
          </w:tcPr>
          <w:p w14:paraId="4231DDFE"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(0.058)</w:t>
            </w:r>
          </w:p>
        </w:tc>
        <w:tc>
          <w:tcPr>
            <w:tcW w:w="880" w:type="pct"/>
            <w:tcBorders>
              <w:top w:val="nil"/>
              <w:left w:val="nil"/>
              <w:bottom w:val="nil"/>
              <w:right w:val="nil"/>
            </w:tcBorders>
          </w:tcPr>
          <w:p w14:paraId="0E1E33F1"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(0.254)</w:t>
            </w:r>
          </w:p>
        </w:tc>
        <w:tc>
          <w:tcPr>
            <w:tcW w:w="1064" w:type="pct"/>
            <w:tcBorders>
              <w:top w:val="nil"/>
              <w:left w:val="nil"/>
              <w:bottom w:val="nil"/>
              <w:right w:val="nil"/>
            </w:tcBorders>
          </w:tcPr>
          <w:p w14:paraId="37BB4FC9"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(0.066)</w:t>
            </w:r>
          </w:p>
        </w:tc>
      </w:tr>
      <w:tr w:rsidR="002A6CED" w:rsidRPr="00CD4846" w14:paraId="415CBFF0" w14:textId="77777777" w:rsidTr="002A6CED">
        <w:tc>
          <w:tcPr>
            <w:tcW w:w="2176" w:type="pct"/>
            <w:tcBorders>
              <w:top w:val="nil"/>
              <w:left w:val="nil"/>
              <w:bottom w:val="nil"/>
              <w:right w:val="nil"/>
            </w:tcBorders>
          </w:tcPr>
          <w:p w14:paraId="55E15565" w14:textId="428216D3"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Attain. Status - Pb (t-1)</w:t>
            </w:r>
          </w:p>
        </w:tc>
        <w:tc>
          <w:tcPr>
            <w:tcW w:w="880" w:type="pct"/>
            <w:tcBorders>
              <w:top w:val="nil"/>
              <w:left w:val="nil"/>
              <w:bottom w:val="nil"/>
              <w:right w:val="nil"/>
            </w:tcBorders>
          </w:tcPr>
          <w:p w14:paraId="4095F56F"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-0.246</w:t>
            </w:r>
          </w:p>
        </w:tc>
        <w:tc>
          <w:tcPr>
            <w:tcW w:w="880" w:type="pct"/>
            <w:tcBorders>
              <w:top w:val="nil"/>
              <w:left w:val="nil"/>
              <w:bottom w:val="nil"/>
              <w:right w:val="nil"/>
            </w:tcBorders>
          </w:tcPr>
          <w:p w14:paraId="53F572D2"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1.873*</w:t>
            </w:r>
          </w:p>
        </w:tc>
        <w:tc>
          <w:tcPr>
            <w:tcW w:w="1064" w:type="pct"/>
            <w:tcBorders>
              <w:top w:val="nil"/>
              <w:left w:val="nil"/>
              <w:bottom w:val="nil"/>
              <w:right w:val="nil"/>
            </w:tcBorders>
          </w:tcPr>
          <w:p w14:paraId="0A42D7C8"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0.710**</w:t>
            </w:r>
          </w:p>
        </w:tc>
      </w:tr>
      <w:tr w:rsidR="002A6CED" w:rsidRPr="00CD4846" w14:paraId="57403076" w14:textId="77777777" w:rsidTr="002A6CED">
        <w:tc>
          <w:tcPr>
            <w:tcW w:w="2176" w:type="pct"/>
            <w:tcBorders>
              <w:top w:val="nil"/>
              <w:left w:val="nil"/>
              <w:bottom w:val="nil"/>
              <w:right w:val="nil"/>
            </w:tcBorders>
          </w:tcPr>
          <w:p w14:paraId="1E3C4171" w14:textId="13B27C7D" w:rsidR="002A6CED" w:rsidRPr="00CD4846" w:rsidRDefault="002A6CED" w:rsidP="007B3B75">
            <w:pPr>
              <w:widowControl w:val="0"/>
              <w:autoSpaceDE w:val="0"/>
              <w:autoSpaceDN w:val="0"/>
              <w:adjustRightInd w:val="0"/>
              <w:spacing w:line="240" w:lineRule="auto"/>
              <w:rPr>
                <w:rFonts w:cs="Times New Roman"/>
                <w:kern w:val="2"/>
                <w:sz w:val="20"/>
                <w:szCs w:val="20"/>
                <w:lang/>
              </w:rPr>
            </w:pPr>
          </w:p>
        </w:tc>
        <w:tc>
          <w:tcPr>
            <w:tcW w:w="880" w:type="pct"/>
            <w:tcBorders>
              <w:top w:val="nil"/>
              <w:left w:val="nil"/>
              <w:bottom w:val="nil"/>
              <w:right w:val="nil"/>
            </w:tcBorders>
          </w:tcPr>
          <w:p w14:paraId="08A74B12"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(0.852)</w:t>
            </w:r>
          </w:p>
        </w:tc>
        <w:tc>
          <w:tcPr>
            <w:tcW w:w="880" w:type="pct"/>
            <w:tcBorders>
              <w:top w:val="nil"/>
              <w:left w:val="nil"/>
              <w:bottom w:val="nil"/>
              <w:right w:val="nil"/>
            </w:tcBorders>
          </w:tcPr>
          <w:p w14:paraId="14F79BCD"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(0.962)</w:t>
            </w:r>
          </w:p>
        </w:tc>
        <w:tc>
          <w:tcPr>
            <w:tcW w:w="1064" w:type="pct"/>
            <w:tcBorders>
              <w:top w:val="nil"/>
              <w:left w:val="nil"/>
              <w:bottom w:val="nil"/>
              <w:right w:val="nil"/>
            </w:tcBorders>
          </w:tcPr>
          <w:p w14:paraId="7A20CC07"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(0.356)</w:t>
            </w:r>
          </w:p>
        </w:tc>
      </w:tr>
      <w:tr w:rsidR="002A6CED" w:rsidRPr="00CD4846" w14:paraId="20E68BEF" w14:textId="77777777" w:rsidTr="002A6CED">
        <w:tc>
          <w:tcPr>
            <w:tcW w:w="2176" w:type="pct"/>
            <w:tcBorders>
              <w:top w:val="nil"/>
              <w:left w:val="nil"/>
              <w:bottom w:val="nil"/>
              <w:right w:val="nil"/>
            </w:tcBorders>
          </w:tcPr>
          <w:p w14:paraId="54900BE3" w14:textId="415E8719"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Attain. Status - O3 (t-1)</w:t>
            </w:r>
          </w:p>
        </w:tc>
        <w:tc>
          <w:tcPr>
            <w:tcW w:w="880" w:type="pct"/>
            <w:tcBorders>
              <w:top w:val="nil"/>
              <w:left w:val="nil"/>
              <w:bottom w:val="nil"/>
              <w:right w:val="nil"/>
            </w:tcBorders>
          </w:tcPr>
          <w:p w14:paraId="3524E852"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-0.786</w:t>
            </w:r>
          </w:p>
        </w:tc>
        <w:tc>
          <w:tcPr>
            <w:tcW w:w="880" w:type="pct"/>
            <w:tcBorders>
              <w:top w:val="nil"/>
              <w:left w:val="nil"/>
              <w:bottom w:val="nil"/>
              <w:right w:val="nil"/>
            </w:tcBorders>
          </w:tcPr>
          <w:p w14:paraId="63F157FF"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-0.063</w:t>
            </w:r>
          </w:p>
        </w:tc>
        <w:tc>
          <w:tcPr>
            <w:tcW w:w="1064" w:type="pct"/>
            <w:tcBorders>
              <w:top w:val="nil"/>
              <w:left w:val="nil"/>
              <w:bottom w:val="nil"/>
              <w:right w:val="nil"/>
            </w:tcBorders>
          </w:tcPr>
          <w:p w14:paraId="3CC9B30B"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0.005</w:t>
            </w:r>
          </w:p>
        </w:tc>
      </w:tr>
      <w:tr w:rsidR="002A6CED" w:rsidRPr="00CD4846" w14:paraId="5469B6C2" w14:textId="77777777" w:rsidTr="002A6CED">
        <w:tc>
          <w:tcPr>
            <w:tcW w:w="2176" w:type="pct"/>
            <w:tcBorders>
              <w:top w:val="nil"/>
              <w:left w:val="nil"/>
              <w:bottom w:val="nil"/>
              <w:right w:val="nil"/>
            </w:tcBorders>
          </w:tcPr>
          <w:p w14:paraId="4793089F" w14:textId="6271B30E" w:rsidR="002A6CED" w:rsidRPr="00CD4846" w:rsidRDefault="002A6CED" w:rsidP="007B3B75">
            <w:pPr>
              <w:widowControl w:val="0"/>
              <w:autoSpaceDE w:val="0"/>
              <w:autoSpaceDN w:val="0"/>
              <w:adjustRightInd w:val="0"/>
              <w:spacing w:line="240" w:lineRule="auto"/>
              <w:rPr>
                <w:rFonts w:cs="Times New Roman"/>
                <w:kern w:val="2"/>
                <w:sz w:val="20"/>
                <w:szCs w:val="20"/>
                <w:lang/>
              </w:rPr>
            </w:pPr>
          </w:p>
        </w:tc>
        <w:tc>
          <w:tcPr>
            <w:tcW w:w="880" w:type="pct"/>
            <w:tcBorders>
              <w:top w:val="nil"/>
              <w:left w:val="nil"/>
              <w:bottom w:val="nil"/>
              <w:right w:val="nil"/>
            </w:tcBorders>
          </w:tcPr>
          <w:p w14:paraId="6EBE8976"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(0.719)</w:t>
            </w:r>
          </w:p>
        </w:tc>
        <w:tc>
          <w:tcPr>
            <w:tcW w:w="880" w:type="pct"/>
            <w:tcBorders>
              <w:top w:val="nil"/>
              <w:left w:val="nil"/>
              <w:bottom w:val="nil"/>
              <w:right w:val="nil"/>
            </w:tcBorders>
          </w:tcPr>
          <w:p w14:paraId="1EAC5B92"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(0.206)</w:t>
            </w:r>
          </w:p>
        </w:tc>
        <w:tc>
          <w:tcPr>
            <w:tcW w:w="1064" w:type="pct"/>
            <w:tcBorders>
              <w:top w:val="nil"/>
              <w:left w:val="nil"/>
              <w:bottom w:val="nil"/>
              <w:right w:val="nil"/>
            </w:tcBorders>
          </w:tcPr>
          <w:p w14:paraId="5541B280"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(0.145)</w:t>
            </w:r>
          </w:p>
        </w:tc>
      </w:tr>
      <w:tr w:rsidR="002A6CED" w:rsidRPr="00CD4846" w14:paraId="1FE15F08" w14:textId="77777777" w:rsidTr="002A6CED">
        <w:tc>
          <w:tcPr>
            <w:tcW w:w="2176" w:type="pct"/>
            <w:tcBorders>
              <w:top w:val="nil"/>
              <w:left w:val="nil"/>
              <w:bottom w:val="nil"/>
              <w:right w:val="nil"/>
            </w:tcBorders>
          </w:tcPr>
          <w:p w14:paraId="76951DA5" w14:textId="3EEF0C48"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Attain. Status - PM (t-1)</w:t>
            </w:r>
          </w:p>
        </w:tc>
        <w:tc>
          <w:tcPr>
            <w:tcW w:w="880" w:type="pct"/>
            <w:tcBorders>
              <w:top w:val="nil"/>
              <w:left w:val="nil"/>
              <w:bottom w:val="nil"/>
              <w:right w:val="nil"/>
            </w:tcBorders>
          </w:tcPr>
          <w:p w14:paraId="519F35BB"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-0.080</w:t>
            </w:r>
          </w:p>
        </w:tc>
        <w:tc>
          <w:tcPr>
            <w:tcW w:w="880" w:type="pct"/>
            <w:tcBorders>
              <w:top w:val="nil"/>
              <w:left w:val="nil"/>
              <w:bottom w:val="nil"/>
              <w:right w:val="nil"/>
            </w:tcBorders>
          </w:tcPr>
          <w:p w14:paraId="63DD2B43"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0.040</w:t>
            </w:r>
          </w:p>
        </w:tc>
        <w:tc>
          <w:tcPr>
            <w:tcW w:w="1064" w:type="pct"/>
            <w:tcBorders>
              <w:top w:val="nil"/>
              <w:left w:val="nil"/>
              <w:bottom w:val="nil"/>
              <w:right w:val="nil"/>
            </w:tcBorders>
          </w:tcPr>
          <w:p w14:paraId="36D18B7F"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-0.025</w:t>
            </w:r>
          </w:p>
        </w:tc>
      </w:tr>
      <w:tr w:rsidR="002A6CED" w:rsidRPr="00CD4846" w14:paraId="6DC388E1" w14:textId="77777777" w:rsidTr="002A6CED">
        <w:tc>
          <w:tcPr>
            <w:tcW w:w="2176" w:type="pct"/>
            <w:tcBorders>
              <w:top w:val="nil"/>
              <w:left w:val="nil"/>
              <w:bottom w:val="nil"/>
              <w:right w:val="nil"/>
            </w:tcBorders>
          </w:tcPr>
          <w:p w14:paraId="24076BDB" w14:textId="73B70B15" w:rsidR="002A6CED" w:rsidRPr="00CD4846" w:rsidRDefault="002A6CED" w:rsidP="007B3B75">
            <w:pPr>
              <w:widowControl w:val="0"/>
              <w:autoSpaceDE w:val="0"/>
              <w:autoSpaceDN w:val="0"/>
              <w:adjustRightInd w:val="0"/>
              <w:spacing w:line="240" w:lineRule="auto"/>
              <w:rPr>
                <w:rFonts w:cs="Times New Roman"/>
                <w:kern w:val="2"/>
                <w:sz w:val="20"/>
                <w:szCs w:val="20"/>
                <w:lang/>
              </w:rPr>
            </w:pPr>
          </w:p>
        </w:tc>
        <w:tc>
          <w:tcPr>
            <w:tcW w:w="880" w:type="pct"/>
            <w:tcBorders>
              <w:top w:val="nil"/>
              <w:left w:val="nil"/>
              <w:bottom w:val="nil"/>
              <w:right w:val="nil"/>
            </w:tcBorders>
          </w:tcPr>
          <w:p w14:paraId="4BC18201"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(0.586)</w:t>
            </w:r>
          </w:p>
        </w:tc>
        <w:tc>
          <w:tcPr>
            <w:tcW w:w="880" w:type="pct"/>
            <w:tcBorders>
              <w:top w:val="nil"/>
              <w:left w:val="nil"/>
              <w:bottom w:val="nil"/>
              <w:right w:val="nil"/>
            </w:tcBorders>
          </w:tcPr>
          <w:p w14:paraId="59A54B36"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(0.145)</w:t>
            </w:r>
          </w:p>
        </w:tc>
        <w:tc>
          <w:tcPr>
            <w:tcW w:w="1064" w:type="pct"/>
            <w:tcBorders>
              <w:top w:val="nil"/>
              <w:left w:val="nil"/>
              <w:bottom w:val="nil"/>
              <w:right w:val="nil"/>
            </w:tcBorders>
          </w:tcPr>
          <w:p w14:paraId="35433135"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(0.109)</w:t>
            </w:r>
          </w:p>
        </w:tc>
      </w:tr>
      <w:tr w:rsidR="002A6CED" w:rsidRPr="00CD4846" w14:paraId="33615181" w14:textId="77777777" w:rsidTr="002A6CED">
        <w:tc>
          <w:tcPr>
            <w:tcW w:w="2176" w:type="pct"/>
            <w:tcBorders>
              <w:top w:val="nil"/>
              <w:left w:val="nil"/>
              <w:bottom w:val="nil"/>
              <w:right w:val="nil"/>
            </w:tcBorders>
          </w:tcPr>
          <w:p w14:paraId="01671CA6"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Attain. Status - SO2 (t-1)</w:t>
            </w:r>
          </w:p>
        </w:tc>
        <w:tc>
          <w:tcPr>
            <w:tcW w:w="880" w:type="pct"/>
            <w:tcBorders>
              <w:top w:val="nil"/>
              <w:left w:val="nil"/>
              <w:bottom w:val="nil"/>
              <w:right w:val="nil"/>
            </w:tcBorders>
          </w:tcPr>
          <w:p w14:paraId="6BC2B7FC"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2.636</w:t>
            </w:r>
          </w:p>
        </w:tc>
        <w:tc>
          <w:tcPr>
            <w:tcW w:w="880" w:type="pct"/>
            <w:tcBorders>
              <w:top w:val="nil"/>
              <w:left w:val="nil"/>
              <w:bottom w:val="nil"/>
              <w:right w:val="nil"/>
            </w:tcBorders>
          </w:tcPr>
          <w:p w14:paraId="28193AC8"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-0.571</w:t>
            </w:r>
          </w:p>
        </w:tc>
        <w:tc>
          <w:tcPr>
            <w:tcW w:w="1064" w:type="pct"/>
            <w:tcBorders>
              <w:top w:val="nil"/>
              <w:left w:val="nil"/>
              <w:bottom w:val="nil"/>
              <w:right w:val="nil"/>
            </w:tcBorders>
          </w:tcPr>
          <w:p w14:paraId="6AF0CFD0"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0.321</w:t>
            </w:r>
          </w:p>
        </w:tc>
      </w:tr>
      <w:tr w:rsidR="002A6CED" w:rsidRPr="00CD4846" w14:paraId="1BDE0CC2" w14:textId="77777777" w:rsidTr="002A6CED">
        <w:tc>
          <w:tcPr>
            <w:tcW w:w="2176" w:type="pct"/>
            <w:tcBorders>
              <w:top w:val="nil"/>
              <w:left w:val="nil"/>
              <w:bottom w:val="nil"/>
              <w:right w:val="nil"/>
            </w:tcBorders>
          </w:tcPr>
          <w:p w14:paraId="37808DEB" w14:textId="5031182B" w:rsidR="002A6CED" w:rsidRPr="00CD4846" w:rsidRDefault="002A6CED" w:rsidP="007B3B75">
            <w:pPr>
              <w:widowControl w:val="0"/>
              <w:autoSpaceDE w:val="0"/>
              <w:autoSpaceDN w:val="0"/>
              <w:adjustRightInd w:val="0"/>
              <w:spacing w:line="240" w:lineRule="auto"/>
              <w:rPr>
                <w:rFonts w:cs="Times New Roman"/>
                <w:kern w:val="2"/>
                <w:sz w:val="20"/>
                <w:szCs w:val="20"/>
                <w:lang/>
              </w:rPr>
            </w:pPr>
          </w:p>
        </w:tc>
        <w:tc>
          <w:tcPr>
            <w:tcW w:w="880" w:type="pct"/>
            <w:tcBorders>
              <w:top w:val="nil"/>
              <w:left w:val="nil"/>
              <w:bottom w:val="nil"/>
              <w:right w:val="nil"/>
            </w:tcBorders>
          </w:tcPr>
          <w:p w14:paraId="59D131DB"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(2.688)</w:t>
            </w:r>
          </w:p>
        </w:tc>
        <w:tc>
          <w:tcPr>
            <w:tcW w:w="880" w:type="pct"/>
            <w:tcBorders>
              <w:top w:val="nil"/>
              <w:left w:val="nil"/>
              <w:bottom w:val="nil"/>
              <w:right w:val="nil"/>
            </w:tcBorders>
          </w:tcPr>
          <w:p w14:paraId="49729552"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(0.588)</w:t>
            </w:r>
          </w:p>
        </w:tc>
        <w:tc>
          <w:tcPr>
            <w:tcW w:w="1064" w:type="pct"/>
            <w:tcBorders>
              <w:top w:val="nil"/>
              <w:left w:val="nil"/>
              <w:bottom w:val="nil"/>
              <w:right w:val="nil"/>
            </w:tcBorders>
          </w:tcPr>
          <w:p w14:paraId="4BD740CE"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(0.475)</w:t>
            </w:r>
          </w:p>
        </w:tc>
      </w:tr>
      <w:tr w:rsidR="002A6CED" w:rsidRPr="00CD4846" w14:paraId="6A1E4417" w14:textId="77777777" w:rsidTr="002A6CED">
        <w:tc>
          <w:tcPr>
            <w:tcW w:w="2176" w:type="pct"/>
            <w:tcBorders>
              <w:top w:val="nil"/>
              <w:left w:val="nil"/>
              <w:bottom w:val="nil"/>
              <w:right w:val="nil"/>
            </w:tcBorders>
          </w:tcPr>
          <w:p w14:paraId="309C33DD" w14:textId="0679070F"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Density Employment</w:t>
            </w:r>
          </w:p>
        </w:tc>
        <w:tc>
          <w:tcPr>
            <w:tcW w:w="880" w:type="pct"/>
            <w:tcBorders>
              <w:top w:val="nil"/>
              <w:left w:val="nil"/>
              <w:bottom w:val="nil"/>
              <w:right w:val="nil"/>
            </w:tcBorders>
          </w:tcPr>
          <w:p w14:paraId="737E6067"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0.618</w:t>
            </w:r>
          </w:p>
        </w:tc>
        <w:tc>
          <w:tcPr>
            <w:tcW w:w="880" w:type="pct"/>
            <w:tcBorders>
              <w:top w:val="nil"/>
              <w:left w:val="nil"/>
              <w:bottom w:val="nil"/>
              <w:right w:val="nil"/>
            </w:tcBorders>
          </w:tcPr>
          <w:p w14:paraId="52453552"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0.193</w:t>
            </w:r>
          </w:p>
        </w:tc>
        <w:tc>
          <w:tcPr>
            <w:tcW w:w="1064" w:type="pct"/>
            <w:tcBorders>
              <w:top w:val="nil"/>
              <w:left w:val="nil"/>
              <w:bottom w:val="nil"/>
              <w:right w:val="nil"/>
            </w:tcBorders>
          </w:tcPr>
          <w:p w14:paraId="441B65D4"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0.322**</w:t>
            </w:r>
          </w:p>
        </w:tc>
      </w:tr>
      <w:tr w:rsidR="002A6CED" w:rsidRPr="00CD4846" w14:paraId="5933AE70" w14:textId="77777777" w:rsidTr="002A6CED">
        <w:tc>
          <w:tcPr>
            <w:tcW w:w="2176" w:type="pct"/>
            <w:tcBorders>
              <w:top w:val="nil"/>
              <w:left w:val="nil"/>
              <w:bottom w:val="nil"/>
              <w:right w:val="nil"/>
            </w:tcBorders>
          </w:tcPr>
          <w:p w14:paraId="26270A89" w14:textId="6C109154" w:rsidR="002A6CED" w:rsidRPr="00CD4846" w:rsidRDefault="002A6CED" w:rsidP="007B3B75">
            <w:pPr>
              <w:widowControl w:val="0"/>
              <w:autoSpaceDE w:val="0"/>
              <w:autoSpaceDN w:val="0"/>
              <w:adjustRightInd w:val="0"/>
              <w:spacing w:line="240" w:lineRule="auto"/>
              <w:rPr>
                <w:rFonts w:cs="Times New Roman"/>
                <w:kern w:val="2"/>
                <w:sz w:val="20"/>
                <w:szCs w:val="20"/>
                <w:lang/>
              </w:rPr>
            </w:pPr>
          </w:p>
        </w:tc>
        <w:tc>
          <w:tcPr>
            <w:tcW w:w="880" w:type="pct"/>
            <w:tcBorders>
              <w:top w:val="nil"/>
              <w:left w:val="nil"/>
              <w:bottom w:val="nil"/>
              <w:right w:val="nil"/>
            </w:tcBorders>
          </w:tcPr>
          <w:p w14:paraId="42CBFDFD"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(0.542)</w:t>
            </w:r>
          </w:p>
        </w:tc>
        <w:tc>
          <w:tcPr>
            <w:tcW w:w="880" w:type="pct"/>
            <w:tcBorders>
              <w:top w:val="nil"/>
              <w:left w:val="nil"/>
              <w:bottom w:val="nil"/>
              <w:right w:val="nil"/>
            </w:tcBorders>
          </w:tcPr>
          <w:p w14:paraId="26DBB30C"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(0.278)</w:t>
            </w:r>
          </w:p>
        </w:tc>
        <w:tc>
          <w:tcPr>
            <w:tcW w:w="1064" w:type="pct"/>
            <w:tcBorders>
              <w:top w:val="nil"/>
              <w:left w:val="nil"/>
              <w:bottom w:val="nil"/>
              <w:right w:val="nil"/>
            </w:tcBorders>
          </w:tcPr>
          <w:p w14:paraId="5570888F"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(0.149)</w:t>
            </w:r>
          </w:p>
        </w:tc>
      </w:tr>
      <w:tr w:rsidR="002A6CED" w:rsidRPr="00CD4846" w14:paraId="156956B3" w14:textId="77777777" w:rsidTr="002A6CED">
        <w:tc>
          <w:tcPr>
            <w:tcW w:w="2176" w:type="pct"/>
            <w:tcBorders>
              <w:top w:val="nil"/>
              <w:left w:val="nil"/>
              <w:bottom w:val="nil"/>
              <w:right w:val="nil"/>
            </w:tcBorders>
          </w:tcPr>
          <w:p w14:paraId="2EB7EC62"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Percent Black (100s)</w:t>
            </w:r>
          </w:p>
        </w:tc>
        <w:tc>
          <w:tcPr>
            <w:tcW w:w="880" w:type="pct"/>
            <w:tcBorders>
              <w:top w:val="nil"/>
              <w:left w:val="nil"/>
              <w:bottom w:val="nil"/>
              <w:right w:val="nil"/>
            </w:tcBorders>
          </w:tcPr>
          <w:p w14:paraId="60F44271"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45.833</w:t>
            </w:r>
          </w:p>
        </w:tc>
        <w:tc>
          <w:tcPr>
            <w:tcW w:w="880" w:type="pct"/>
            <w:tcBorders>
              <w:top w:val="nil"/>
              <w:left w:val="nil"/>
              <w:bottom w:val="nil"/>
              <w:right w:val="nil"/>
            </w:tcBorders>
          </w:tcPr>
          <w:p w14:paraId="15A5D6E6"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-0.813</w:t>
            </w:r>
          </w:p>
        </w:tc>
        <w:tc>
          <w:tcPr>
            <w:tcW w:w="1064" w:type="pct"/>
            <w:tcBorders>
              <w:top w:val="nil"/>
              <w:left w:val="nil"/>
              <w:bottom w:val="nil"/>
              <w:right w:val="nil"/>
            </w:tcBorders>
          </w:tcPr>
          <w:p w14:paraId="1631F3F9"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-3.972</w:t>
            </w:r>
          </w:p>
        </w:tc>
      </w:tr>
      <w:tr w:rsidR="002A6CED" w:rsidRPr="00CD4846" w14:paraId="0706E095" w14:textId="77777777" w:rsidTr="002A6CED">
        <w:tc>
          <w:tcPr>
            <w:tcW w:w="2176" w:type="pct"/>
            <w:tcBorders>
              <w:top w:val="nil"/>
              <w:left w:val="nil"/>
              <w:bottom w:val="nil"/>
              <w:right w:val="nil"/>
            </w:tcBorders>
          </w:tcPr>
          <w:p w14:paraId="052FD032" w14:textId="52A43D46" w:rsidR="002A6CED" w:rsidRPr="00CD4846" w:rsidRDefault="002A6CED" w:rsidP="007B3B75">
            <w:pPr>
              <w:widowControl w:val="0"/>
              <w:autoSpaceDE w:val="0"/>
              <w:autoSpaceDN w:val="0"/>
              <w:adjustRightInd w:val="0"/>
              <w:spacing w:line="240" w:lineRule="auto"/>
              <w:rPr>
                <w:rFonts w:cs="Times New Roman"/>
                <w:kern w:val="2"/>
                <w:sz w:val="20"/>
                <w:szCs w:val="20"/>
                <w:lang/>
              </w:rPr>
            </w:pPr>
          </w:p>
        </w:tc>
        <w:tc>
          <w:tcPr>
            <w:tcW w:w="880" w:type="pct"/>
            <w:tcBorders>
              <w:top w:val="nil"/>
              <w:left w:val="nil"/>
              <w:bottom w:val="nil"/>
              <w:right w:val="nil"/>
            </w:tcBorders>
          </w:tcPr>
          <w:p w14:paraId="1652C65D"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(40.322)</w:t>
            </w:r>
          </w:p>
        </w:tc>
        <w:tc>
          <w:tcPr>
            <w:tcW w:w="880" w:type="pct"/>
            <w:tcBorders>
              <w:top w:val="nil"/>
              <w:left w:val="nil"/>
              <w:bottom w:val="nil"/>
              <w:right w:val="nil"/>
            </w:tcBorders>
          </w:tcPr>
          <w:p w14:paraId="00909A1B"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(10.675)</w:t>
            </w:r>
          </w:p>
        </w:tc>
        <w:tc>
          <w:tcPr>
            <w:tcW w:w="1064" w:type="pct"/>
            <w:tcBorders>
              <w:top w:val="nil"/>
              <w:left w:val="nil"/>
              <w:bottom w:val="nil"/>
              <w:right w:val="nil"/>
            </w:tcBorders>
          </w:tcPr>
          <w:p w14:paraId="4674B9C0"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(4.872)</w:t>
            </w:r>
          </w:p>
        </w:tc>
      </w:tr>
      <w:tr w:rsidR="002A6CED" w:rsidRPr="00CD4846" w14:paraId="6E7A3148" w14:textId="77777777" w:rsidTr="002A6CED">
        <w:tc>
          <w:tcPr>
            <w:tcW w:w="2176" w:type="pct"/>
            <w:tcBorders>
              <w:top w:val="nil"/>
              <w:left w:val="nil"/>
              <w:bottom w:val="nil"/>
              <w:right w:val="nil"/>
            </w:tcBorders>
          </w:tcPr>
          <w:p w14:paraId="2DE26D4D" w14:textId="01CF86B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Population count (1ms)</w:t>
            </w:r>
          </w:p>
        </w:tc>
        <w:tc>
          <w:tcPr>
            <w:tcW w:w="880" w:type="pct"/>
            <w:tcBorders>
              <w:top w:val="nil"/>
              <w:left w:val="nil"/>
              <w:bottom w:val="nil"/>
              <w:right w:val="nil"/>
            </w:tcBorders>
          </w:tcPr>
          <w:p w14:paraId="6287ED26"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-3.523**</w:t>
            </w:r>
          </w:p>
        </w:tc>
        <w:tc>
          <w:tcPr>
            <w:tcW w:w="880" w:type="pct"/>
            <w:tcBorders>
              <w:top w:val="nil"/>
              <w:left w:val="nil"/>
              <w:bottom w:val="nil"/>
              <w:right w:val="nil"/>
            </w:tcBorders>
          </w:tcPr>
          <w:p w14:paraId="13A1C444"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-1.383</w:t>
            </w:r>
          </w:p>
        </w:tc>
        <w:tc>
          <w:tcPr>
            <w:tcW w:w="1064" w:type="pct"/>
            <w:tcBorders>
              <w:top w:val="nil"/>
              <w:left w:val="nil"/>
              <w:bottom w:val="nil"/>
              <w:right w:val="nil"/>
            </w:tcBorders>
          </w:tcPr>
          <w:p w14:paraId="3FF3290A"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-1.548**</w:t>
            </w:r>
          </w:p>
        </w:tc>
      </w:tr>
      <w:tr w:rsidR="002A6CED" w:rsidRPr="00CD4846" w14:paraId="59F707A3" w14:textId="77777777" w:rsidTr="002A6CED">
        <w:tc>
          <w:tcPr>
            <w:tcW w:w="2176" w:type="pct"/>
            <w:tcBorders>
              <w:top w:val="nil"/>
              <w:left w:val="nil"/>
              <w:bottom w:val="nil"/>
              <w:right w:val="nil"/>
            </w:tcBorders>
          </w:tcPr>
          <w:p w14:paraId="60C19063" w14:textId="116FDD9F" w:rsidR="002A6CED" w:rsidRPr="00CD4846" w:rsidRDefault="002A6CED" w:rsidP="007B3B75">
            <w:pPr>
              <w:widowControl w:val="0"/>
              <w:autoSpaceDE w:val="0"/>
              <w:autoSpaceDN w:val="0"/>
              <w:adjustRightInd w:val="0"/>
              <w:spacing w:line="240" w:lineRule="auto"/>
              <w:rPr>
                <w:rFonts w:cs="Times New Roman"/>
                <w:kern w:val="2"/>
                <w:sz w:val="20"/>
                <w:szCs w:val="20"/>
                <w:lang/>
              </w:rPr>
            </w:pPr>
          </w:p>
        </w:tc>
        <w:tc>
          <w:tcPr>
            <w:tcW w:w="880" w:type="pct"/>
            <w:tcBorders>
              <w:top w:val="nil"/>
              <w:left w:val="nil"/>
              <w:bottom w:val="nil"/>
              <w:right w:val="nil"/>
            </w:tcBorders>
          </w:tcPr>
          <w:p w14:paraId="7CCD2244"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(1.583)</w:t>
            </w:r>
          </w:p>
        </w:tc>
        <w:tc>
          <w:tcPr>
            <w:tcW w:w="880" w:type="pct"/>
            <w:tcBorders>
              <w:top w:val="nil"/>
              <w:left w:val="nil"/>
              <w:bottom w:val="nil"/>
              <w:right w:val="nil"/>
            </w:tcBorders>
          </w:tcPr>
          <w:p w14:paraId="64A89804"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(1.575)</w:t>
            </w:r>
          </w:p>
        </w:tc>
        <w:tc>
          <w:tcPr>
            <w:tcW w:w="1064" w:type="pct"/>
            <w:tcBorders>
              <w:top w:val="nil"/>
              <w:left w:val="nil"/>
              <w:bottom w:val="nil"/>
              <w:right w:val="nil"/>
            </w:tcBorders>
          </w:tcPr>
          <w:p w14:paraId="32DCC179"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(0.665)</w:t>
            </w:r>
          </w:p>
        </w:tc>
      </w:tr>
      <w:tr w:rsidR="002A6CED" w:rsidRPr="00CD4846" w14:paraId="0081E04B" w14:textId="77777777" w:rsidTr="002A6CED">
        <w:tc>
          <w:tcPr>
            <w:tcW w:w="2176" w:type="pct"/>
            <w:tcBorders>
              <w:top w:val="nil"/>
              <w:left w:val="nil"/>
              <w:bottom w:val="nil"/>
              <w:right w:val="nil"/>
            </w:tcBorders>
          </w:tcPr>
          <w:p w14:paraId="74ECD965" w14:textId="0B95C6A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Unemployment rate (100s)</w:t>
            </w:r>
          </w:p>
        </w:tc>
        <w:tc>
          <w:tcPr>
            <w:tcW w:w="880" w:type="pct"/>
            <w:tcBorders>
              <w:top w:val="nil"/>
              <w:left w:val="nil"/>
              <w:bottom w:val="nil"/>
              <w:right w:val="nil"/>
            </w:tcBorders>
          </w:tcPr>
          <w:p w14:paraId="3D5CE816"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19.218</w:t>
            </w:r>
          </w:p>
        </w:tc>
        <w:tc>
          <w:tcPr>
            <w:tcW w:w="880" w:type="pct"/>
            <w:tcBorders>
              <w:top w:val="nil"/>
              <w:left w:val="nil"/>
              <w:bottom w:val="nil"/>
              <w:right w:val="nil"/>
            </w:tcBorders>
          </w:tcPr>
          <w:p w14:paraId="30405927"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6.762</w:t>
            </w:r>
          </w:p>
        </w:tc>
        <w:tc>
          <w:tcPr>
            <w:tcW w:w="1064" w:type="pct"/>
            <w:tcBorders>
              <w:top w:val="nil"/>
              <w:left w:val="nil"/>
              <w:bottom w:val="nil"/>
              <w:right w:val="nil"/>
            </w:tcBorders>
          </w:tcPr>
          <w:p w14:paraId="2FA8F9BF"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-10.986**</w:t>
            </w:r>
          </w:p>
        </w:tc>
      </w:tr>
      <w:tr w:rsidR="002A6CED" w:rsidRPr="00CD4846" w14:paraId="6AEE8A62" w14:textId="77777777" w:rsidTr="002A6CED">
        <w:tc>
          <w:tcPr>
            <w:tcW w:w="2176" w:type="pct"/>
            <w:tcBorders>
              <w:top w:val="nil"/>
              <w:left w:val="nil"/>
              <w:bottom w:val="nil"/>
              <w:right w:val="nil"/>
            </w:tcBorders>
          </w:tcPr>
          <w:p w14:paraId="118650CD" w14:textId="0BF2AD64" w:rsidR="002A6CED" w:rsidRPr="00CD4846" w:rsidRDefault="002A6CED" w:rsidP="007B3B75">
            <w:pPr>
              <w:widowControl w:val="0"/>
              <w:autoSpaceDE w:val="0"/>
              <w:autoSpaceDN w:val="0"/>
              <w:adjustRightInd w:val="0"/>
              <w:spacing w:line="240" w:lineRule="auto"/>
              <w:rPr>
                <w:rFonts w:cs="Times New Roman"/>
                <w:kern w:val="2"/>
                <w:sz w:val="20"/>
                <w:szCs w:val="20"/>
                <w:lang/>
              </w:rPr>
            </w:pPr>
          </w:p>
        </w:tc>
        <w:tc>
          <w:tcPr>
            <w:tcW w:w="880" w:type="pct"/>
            <w:tcBorders>
              <w:top w:val="nil"/>
              <w:left w:val="nil"/>
              <w:bottom w:val="nil"/>
              <w:right w:val="nil"/>
            </w:tcBorders>
          </w:tcPr>
          <w:p w14:paraId="68D67AC0"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(34.193)</w:t>
            </w:r>
          </w:p>
        </w:tc>
        <w:tc>
          <w:tcPr>
            <w:tcW w:w="880" w:type="pct"/>
            <w:tcBorders>
              <w:top w:val="nil"/>
              <w:left w:val="nil"/>
              <w:bottom w:val="nil"/>
              <w:right w:val="nil"/>
            </w:tcBorders>
          </w:tcPr>
          <w:p w14:paraId="072FF886"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(14.694)</w:t>
            </w:r>
          </w:p>
        </w:tc>
        <w:tc>
          <w:tcPr>
            <w:tcW w:w="1064" w:type="pct"/>
            <w:tcBorders>
              <w:top w:val="nil"/>
              <w:left w:val="nil"/>
              <w:bottom w:val="nil"/>
              <w:right w:val="nil"/>
            </w:tcBorders>
          </w:tcPr>
          <w:p w14:paraId="565DE387"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(5.247)</w:t>
            </w:r>
          </w:p>
        </w:tc>
      </w:tr>
      <w:tr w:rsidR="002A6CED" w:rsidRPr="00CD4846" w14:paraId="5F24D395" w14:textId="77777777" w:rsidTr="002A6CED">
        <w:tc>
          <w:tcPr>
            <w:tcW w:w="2176" w:type="pct"/>
            <w:tcBorders>
              <w:top w:val="nil"/>
              <w:left w:val="nil"/>
              <w:bottom w:val="nil"/>
              <w:right w:val="nil"/>
            </w:tcBorders>
          </w:tcPr>
          <w:p w14:paraId="5C3FB15C" w14:textId="77F29C0F"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Sales Volume (t-1)</w:t>
            </w:r>
          </w:p>
        </w:tc>
        <w:tc>
          <w:tcPr>
            <w:tcW w:w="880" w:type="pct"/>
            <w:tcBorders>
              <w:top w:val="nil"/>
              <w:left w:val="nil"/>
              <w:bottom w:val="nil"/>
              <w:right w:val="nil"/>
            </w:tcBorders>
          </w:tcPr>
          <w:p w14:paraId="1283F5A9"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27.364*</w:t>
            </w:r>
          </w:p>
        </w:tc>
        <w:tc>
          <w:tcPr>
            <w:tcW w:w="880" w:type="pct"/>
            <w:tcBorders>
              <w:top w:val="nil"/>
              <w:left w:val="nil"/>
              <w:bottom w:val="nil"/>
              <w:right w:val="nil"/>
            </w:tcBorders>
          </w:tcPr>
          <w:p w14:paraId="6B7402B3"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89.792</w:t>
            </w:r>
          </w:p>
        </w:tc>
        <w:tc>
          <w:tcPr>
            <w:tcW w:w="1064" w:type="pct"/>
            <w:tcBorders>
              <w:top w:val="nil"/>
              <w:left w:val="nil"/>
              <w:bottom w:val="nil"/>
              <w:right w:val="nil"/>
            </w:tcBorders>
          </w:tcPr>
          <w:p w14:paraId="5C98709B"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1.962</w:t>
            </w:r>
          </w:p>
        </w:tc>
      </w:tr>
      <w:tr w:rsidR="002A6CED" w:rsidRPr="00CD4846" w14:paraId="2C8F5669" w14:textId="77777777" w:rsidTr="002A6CED">
        <w:tc>
          <w:tcPr>
            <w:tcW w:w="2176" w:type="pct"/>
            <w:tcBorders>
              <w:top w:val="nil"/>
              <w:left w:val="nil"/>
              <w:bottom w:val="nil"/>
              <w:right w:val="nil"/>
            </w:tcBorders>
          </w:tcPr>
          <w:p w14:paraId="22D5DCD6" w14:textId="3159D746" w:rsidR="002A6CED" w:rsidRPr="00CD4846" w:rsidRDefault="002A6CED" w:rsidP="007B3B75">
            <w:pPr>
              <w:widowControl w:val="0"/>
              <w:autoSpaceDE w:val="0"/>
              <w:autoSpaceDN w:val="0"/>
              <w:adjustRightInd w:val="0"/>
              <w:spacing w:line="240" w:lineRule="auto"/>
              <w:rPr>
                <w:rFonts w:cs="Times New Roman"/>
                <w:kern w:val="2"/>
                <w:sz w:val="20"/>
                <w:szCs w:val="20"/>
                <w:lang/>
              </w:rPr>
            </w:pPr>
          </w:p>
        </w:tc>
        <w:tc>
          <w:tcPr>
            <w:tcW w:w="880" w:type="pct"/>
            <w:tcBorders>
              <w:top w:val="nil"/>
              <w:left w:val="nil"/>
              <w:bottom w:val="nil"/>
              <w:right w:val="nil"/>
            </w:tcBorders>
          </w:tcPr>
          <w:p w14:paraId="0185D231"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(15.410)</w:t>
            </w:r>
          </w:p>
        </w:tc>
        <w:tc>
          <w:tcPr>
            <w:tcW w:w="880" w:type="pct"/>
            <w:tcBorders>
              <w:top w:val="nil"/>
              <w:left w:val="nil"/>
              <w:bottom w:val="nil"/>
              <w:right w:val="nil"/>
            </w:tcBorders>
          </w:tcPr>
          <w:p w14:paraId="05DD4A1E"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(109.324)</w:t>
            </w:r>
          </w:p>
        </w:tc>
        <w:tc>
          <w:tcPr>
            <w:tcW w:w="1064" w:type="pct"/>
            <w:tcBorders>
              <w:top w:val="nil"/>
              <w:left w:val="nil"/>
              <w:bottom w:val="nil"/>
              <w:right w:val="nil"/>
            </w:tcBorders>
          </w:tcPr>
          <w:p w14:paraId="157109BD"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(6.255)</w:t>
            </w:r>
          </w:p>
        </w:tc>
      </w:tr>
      <w:tr w:rsidR="002A6CED" w:rsidRPr="00CD4846" w14:paraId="5AD14B28" w14:textId="77777777" w:rsidTr="002A6CED">
        <w:tc>
          <w:tcPr>
            <w:tcW w:w="2176" w:type="pct"/>
            <w:tcBorders>
              <w:top w:val="nil"/>
              <w:left w:val="nil"/>
              <w:bottom w:val="nil"/>
              <w:right w:val="nil"/>
            </w:tcBorders>
          </w:tcPr>
          <w:p w14:paraId="11F2BDF0" w14:textId="5EA45A9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Prior Births (1ks)</w:t>
            </w:r>
          </w:p>
        </w:tc>
        <w:tc>
          <w:tcPr>
            <w:tcW w:w="880" w:type="pct"/>
            <w:tcBorders>
              <w:top w:val="nil"/>
              <w:left w:val="nil"/>
              <w:bottom w:val="nil"/>
              <w:right w:val="nil"/>
            </w:tcBorders>
          </w:tcPr>
          <w:p w14:paraId="286D6A4B"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13.547**</w:t>
            </w:r>
          </w:p>
        </w:tc>
        <w:tc>
          <w:tcPr>
            <w:tcW w:w="880" w:type="pct"/>
            <w:tcBorders>
              <w:top w:val="nil"/>
              <w:left w:val="nil"/>
              <w:bottom w:val="nil"/>
              <w:right w:val="nil"/>
            </w:tcBorders>
          </w:tcPr>
          <w:p w14:paraId="08938B60"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0.223</w:t>
            </w:r>
          </w:p>
        </w:tc>
        <w:tc>
          <w:tcPr>
            <w:tcW w:w="1064" w:type="pct"/>
            <w:tcBorders>
              <w:top w:val="nil"/>
              <w:left w:val="nil"/>
              <w:bottom w:val="nil"/>
              <w:right w:val="nil"/>
            </w:tcBorders>
          </w:tcPr>
          <w:p w14:paraId="1F56AA55"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-0.694**</w:t>
            </w:r>
          </w:p>
        </w:tc>
      </w:tr>
      <w:tr w:rsidR="002A6CED" w:rsidRPr="00CD4846" w14:paraId="0314E949" w14:textId="77777777" w:rsidTr="002A6CED">
        <w:tc>
          <w:tcPr>
            <w:tcW w:w="2176" w:type="pct"/>
            <w:tcBorders>
              <w:top w:val="nil"/>
              <w:left w:val="nil"/>
              <w:bottom w:val="nil"/>
              <w:right w:val="nil"/>
            </w:tcBorders>
          </w:tcPr>
          <w:p w14:paraId="2A3D13ED" w14:textId="62343B9A" w:rsidR="002A6CED" w:rsidRPr="00CD4846" w:rsidRDefault="002A6CED" w:rsidP="007B3B75">
            <w:pPr>
              <w:widowControl w:val="0"/>
              <w:autoSpaceDE w:val="0"/>
              <w:autoSpaceDN w:val="0"/>
              <w:adjustRightInd w:val="0"/>
              <w:spacing w:line="240" w:lineRule="auto"/>
              <w:rPr>
                <w:rFonts w:cs="Times New Roman"/>
                <w:kern w:val="2"/>
                <w:sz w:val="20"/>
                <w:szCs w:val="20"/>
                <w:lang/>
              </w:rPr>
            </w:pPr>
          </w:p>
        </w:tc>
        <w:tc>
          <w:tcPr>
            <w:tcW w:w="880" w:type="pct"/>
            <w:tcBorders>
              <w:top w:val="nil"/>
              <w:left w:val="nil"/>
              <w:bottom w:val="nil"/>
              <w:right w:val="nil"/>
            </w:tcBorders>
          </w:tcPr>
          <w:p w14:paraId="04322F23"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(6.525)</w:t>
            </w:r>
          </w:p>
        </w:tc>
        <w:tc>
          <w:tcPr>
            <w:tcW w:w="880" w:type="pct"/>
            <w:tcBorders>
              <w:top w:val="nil"/>
              <w:left w:val="nil"/>
              <w:bottom w:val="nil"/>
              <w:right w:val="nil"/>
            </w:tcBorders>
          </w:tcPr>
          <w:p w14:paraId="1447027F"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(0.147)</w:t>
            </w:r>
          </w:p>
        </w:tc>
        <w:tc>
          <w:tcPr>
            <w:tcW w:w="1064" w:type="pct"/>
            <w:tcBorders>
              <w:top w:val="nil"/>
              <w:left w:val="nil"/>
              <w:bottom w:val="nil"/>
              <w:right w:val="nil"/>
            </w:tcBorders>
          </w:tcPr>
          <w:p w14:paraId="03377F22"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(0.326)</w:t>
            </w:r>
          </w:p>
        </w:tc>
      </w:tr>
      <w:tr w:rsidR="002A6CED" w:rsidRPr="00CD4846" w14:paraId="494B9D93" w14:textId="77777777" w:rsidTr="002A6CED">
        <w:tc>
          <w:tcPr>
            <w:tcW w:w="2176" w:type="pct"/>
            <w:tcBorders>
              <w:top w:val="nil"/>
              <w:left w:val="nil"/>
              <w:bottom w:val="nil"/>
              <w:right w:val="nil"/>
            </w:tcBorders>
          </w:tcPr>
          <w:p w14:paraId="54465642" w14:textId="08DF809B"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Prior Deaths (1ks)</w:t>
            </w:r>
          </w:p>
        </w:tc>
        <w:tc>
          <w:tcPr>
            <w:tcW w:w="880" w:type="pct"/>
            <w:tcBorders>
              <w:top w:val="nil"/>
              <w:left w:val="nil"/>
              <w:bottom w:val="nil"/>
              <w:right w:val="nil"/>
            </w:tcBorders>
          </w:tcPr>
          <w:p w14:paraId="2968106B"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-4.872</w:t>
            </w:r>
          </w:p>
        </w:tc>
        <w:tc>
          <w:tcPr>
            <w:tcW w:w="880" w:type="pct"/>
            <w:tcBorders>
              <w:top w:val="nil"/>
              <w:left w:val="nil"/>
              <w:bottom w:val="nil"/>
              <w:right w:val="nil"/>
            </w:tcBorders>
          </w:tcPr>
          <w:p w14:paraId="184AA108"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0.241</w:t>
            </w:r>
          </w:p>
        </w:tc>
        <w:tc>
          <w:tcPr>
            <w:tcW w:w="1064" w:type="pct"/>
            <w:tcBorders>
              <w:top w:val="nil"/>
              <w:left w:val="nil"/>
              <w:bottom w:val="nil"/>
              <w:right w:val="nil"/>
            </w:tcBorders>
          </w:tcPr>
          <w:p w14:paraId="02106050"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0.096</w:t>
            </w:r>
          </w:p>
        </w:tc>
      </w:tr>
      <w:tr w:rsidR="002A6CED" w:rsidRPr="00CD4846" w14:paraId="04D49885" w14:textId="77777777" w:rsidTr="002A6CED">
        <w:tc>
          <w:tcPr>
            <w:tcW w:w="2176" w:type="pct"/>
            <w:tcBorders>
              <w:top w:val="nil"/>
              <w:left w:val="nil"/>
              <w:bottom w:val="nil"/>
              <w:right w:val="nil"/>
            </w:tcBorders>
          </w:tcPr>
          <w:p w14:paraId="74E8F94D" w14:textId="01555EE1" w:rsidR="002A6CED" w:rsidRPr="00CD4846" w:rsidRDefault="002A6CED" w:rsidP="007B3B75">
            <w:pPr>
              <w:widowControl w:val="0"/>
              <w:autoSpaceDE w:val="0"/>
              <w:autoSpaceDN w:val="0"/>
              <w:adjustRightInd w:val="0"/>
              <w:spacing w:line="240" w:lineRule="auto"/>
              <w:rPr>
                <w:rFonts w:cs="Times New Roman"/>
                <w:kern w:val="2"/>
                <w:sz w:val="20"/>
                <w:szCs w:val="20"/>
                <w:lang/>
              </w:rPr>
            </w:pPr>
          </w:p>
        </w:tc>
        <w:tc>
          <w:tcPr>
            <w:tcW w:w="880" w:type="pct"/>
            <w:tcBorders>
              <w:top w:val="nil"/>
              <w:left w:val="nil"/>
              <w:bottom w:val="nil"/>
              <w:right w:val="nil"/>
            </w:tcBorders>
          </w:tcPr>
          <w:p w14:paraId="28B0FB35"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(3.214)</w:t>
            </w:r>
          </w:p>
        </w:tc>
        <w:tc>
          <w:tcPr>
            <w:tcW w:w="880" w:type="pct"/>
            <w:tcBorders>
              <w:top w:val="nil"/>
              <w:left w:val="nil"/>
              <w:bottom w:val="nil"/>
              <w:right w:val="nil"/>
            </w:tcBorders>
          </w:tcPr>
          <w:p w14:paraId="28A1DA06"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(0.426)</w:t>
            </w:r>
          </w:p>
        </w:tc>
        <w:tc>
          <w:tcPr>
            <w:tcW w:w="1064" w:type="pct"/>
            <w:tcBorders>
              <w:top w:val="nil"/>
              <w:left w:val="nil"/>
              <w:bottom w:val="nil"/>
              <w:right w:val="nil"/>
            </w:tcBorders>
          </w:tcPr>
          <w:p w14:paraId="6435F3BD"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(0.291)</w:t>
            </w:r>
          </w:p>
        </w:tc>
      </w:tr>
      <w:tr w:rsidR="002A6CED" w:rsidRPr="00CD4846" w14:paraId="7F7B481E" w14:textId="77777777" w:rsidTr="002A6CED">
        <w:tc>
          <w:tcPr>
            <w:tcW w:w="2176" w:type="pct"/>
            <w:tcBorders>
              <w:top w:val="nil"/>
              <w:left w:val="nil"/>
              <w:bottom w:val="nil"/>
              <w:right w:val="nil"/>
            </w:tcBorders>
          </w:tcPr>
          <w:p w14:paraId="6AEBC748" w14:textId="4325836D"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Prior outward relocations (1ks)</w:t>
            </w:r>
          </w:p>
        </w:tc>
        <w:tc>
          <w:tcPr>
            <w:tcW w:w="880" w:type="pct"/>
            <w:tcBorders>
              <w:top w:val="nil"/>
              <w:left w:val="nil"/>
              <w:bottom w:val="nil"/>
              <w:right w:val="nil"/>
            </w:tcBorders>
          </w:tcPr>
          <w:p w14:paraId="7249125C"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-70.030</w:t>
            </w:r>
          </w:p>
        </w:tc>
        <w:tc>
          <w:tcPr>
            <w:tcW w:w="880" w:type="pct"/>
            <w:tcBorders>
              <w:top w:val="nil"/>
              <w:left w:val="nil"/>
              <w:bottom w:val="nil"/>
              <w:right w:val="nil"/>
            </w:tcBorders>
          </w:tcPr>
          <w:p w14:paraId="78524157"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20.929*</w:t>
            </w:r>
          </w:p>
        </w:tc>
        <w:tc>
          <w:tcPr>
            <w:tcW w:w="1064" w:type="pct"/>
            <w:tcBorders>
              <w:top w:val="nil"/>
              <w:left w:val="nil"/>
              <w:bottom w:val="nil"/>
              <w:right w:val="nil"/>
            </w:tcBorders>
          </w:tcPr>
          <w:p w14:paraId="06A1926E"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-9.247</w:t>
            </w:r>
          </w:p>
        </w:tc>
      </w:tr>
      <w:tr w:rsidR="002A6CED" w:rsidRPr="00CD4846" w14:paraId="4FA23BC2" w14:textId="77777777" w:rsidTr="002A6CED">
        <w:tc>
          <w:tcPr>
            <w:tcW w:w="2176" w:type="pct"/>
            <w:tcBorders>
              <w:top w:val="nil"/>
              <w:left w:val="nil"/>
              <w:bottom w:val="nil"/>
              <w:right w:val="nil"/>
            </w:tcBorders>
          </w:tcPr>
          <w:p w14:paraId="378AB603" w14:textId="112FD474" w:rsidR="002A6CED" w:rsidRPr="00CD4846" w:rsidRDefault="002A6CED" w:rsidP="007B3B75">
            <w:pPr>
              <w:widowControl w:val="0"/>
              <w:autoSpaceDE w:val="0"/>
              <w:autoSpaceDN w:val="0"/>
              <w:adjustRightInd w:val="0"/>
              <w:spacing w:line="240" w:lineRule="auto"/>
              <w:rPr>
                <w:rFonts w:cs="Times New Roman"/>
                <w:kern w:val="2"/>
                <w:sz w:val="20"/>
                <w:szCs w:val="20"/>
                <w:lang/>
              </w:rPr>
            </w:pPr>
          </w:p>
        </w:tc>
        <w:tc>
          <w:tcPr>
            <w:tcW w:w="880" w:type="pct"/>
            <w:tcBorders>
              <w:top w:val="nil"/>
              <w:left w:val="nil"/>
              <w:bottom w:val="nil"/>
              <w:right w:val="nil"/>
            </w:tcBorders>
          </w:tcPr>
          <w:p w14:paraId="5F756888"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(64.827)</w:t>
            </w:r>
          </w:p>
        </w:tc>
        <w:tc>
          <w:tcPr>
            <w:tcW w:w="880" w:type="pct"/>
            <w:tcBorders>
              <w:top w:val="nil"/>
              <w:left w:val="nil"/>
              <w:bottom w:val="nil"/>
              <w:right w:val="nil"/>
            </w:tcBorders>
          </w:tcPr>
          <w:p w14:paraId="36380246"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(10.735)</w:t>
            </w:r>
          </w:p>
        </w:tc>
        <w:tc>
          <w:tcPr>
            <w:tcW w:w="1064" w:type="pct"/>
            <w:tcBorders>
              <w:top w:val="nil"/>
              <w:left w:val="nil"/>
              <w:bottom w:val="nil"/>
              <w:right w:val="nil"/>
            </w:tcBorders>
          </w:tcPr>
          <w:p w14:paraId="1DBBFB3E"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(10.234)</w:t>
            </w:r>
          </w:p>
        </w:tc>
      </w:tr>
      <w:tr w:rsidR="002A6CED" w:rsidRPr="00CD4846" w14:paraId="7C3D1A92" w14:textId="77777777" w:rsidTr="002A6CED">
        <w:tc>
          <w:tcPr>
            <w:tcW w:w="2176" w:type="pct"/>
            <w:tcBorders>
              <w:top w:val="nil"/>
              <w:left w:val="nil"/>
              <w:bottom w:val="nil"/>
              <w:right w:val="nil"/>
            </w:tcBorders>
          </w:tcPr>
          <w:p w14:paraId="1DDB7132"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Constant</w:t>
            </w:r>
          </w:p>
        </w:tc>
        <w:tc>
          <w:tcPr>
            <w:tcW w:w="880" w:type="pct"/>
            <w:tcBorders>
              <w:top w:val="nil"/>
              <w:left w:val="nil"/>
              <w:bottom w:val="nil"/>
              <w:right w:val="nil"/>
            </w:tcBorders>
          </w:tcPr>
          <w:p w14:paraId="06925E57"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-0.457</w:t>
            </w:r>
          </w:p>
        </w:tc>
        <w:tc>
          <w:tcPr>
            <w:tcW w:w="880" w:type="pct"/>
            <w:tcBorders>
              <w:top w:val="nil"/>
              <w:left w:val="nil"/>
              <w:bottom w:val="nil"/>
              <w:right w:val="nil"/>
            </w:tcBorders>
          </w:tcPr>
          <w:p w14:paraId="3839D48C"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2.469</w:t>
            </w:r>
          </w:p>
        </w:tc>
        <w:tc>
          <w:tcPr>
            <w:tcW w:w="1064" w:type="pct"/>
            <w:tcBorders>
              <w:top w:val="nil"/>
              <w:left w:val="nil"/>
              <w:bottom w:val="nil"/>
              <w:right w:val="nil"/>
            </w:tcBorders>
          </w:tcPr>
          <w:p w14:paraId="1D9BC764"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2.228</w:t>
            </w:r>
          </w:p>
        </w:tc>
      </w:tr>
      <w:tr w:rsidR="002A6CED" w:rsidRPr="00CD4846" w14:paraId="5FFADE73" w14:textId="77777777" w:rsidTr="002A6CED">
        <w:tc>
          <w:tcPr>
            <w:tcW w:w="2176" w:type="pct"/>
            <w:tcBorders>
              <w:top w:val="nil"/>
              <w:left w:val="nil"/>
              <w:bottom w:val="nil"/>
              <w:right w:val="nil"/>
            </w:tcBorders>
          </w:tcPr>
          <w:p w14:paraId="4F314BAC" w14:textId="72F61BA3" w:rsidR="002A6CED" w:rsidRPr="00CD4846" w:rsidRDefault="002A6CED" w:rsidP="007B3B75">
            <w:pPr>
              <w:widowControl w:val="0"/>
              <w:autoSpaceDE w:val="0"/>
              <w:autoSpaceDN w:val="0"/>
              <w:adjustRightInd w:val="0"/>
              <w:spacing w:line="240" w:lineRule="auto"/>
              <w:rPr>
                <w:rFonts w:cs="Times New Roman"/>
                <w:kern w:val="2"/>
                <w:sz w:val="20"/>
                <w:szCs w:val="20"/>
                <w:lang/>
              </w:rPr>
            </w:pPr>
          </w:p>
        </w:tc>
        <w:tc>
          <w:tcPr>
            <w:tcW w:w="880" w:type="pct"/>
            <w:tcBorders>
              <w:top w:val="nil"/>
              <w:left w:val="nil"/>
              <w:bottom w:val="nil"/>
              <w:right w:val="nil"/>
            </w:tcBorders>
          </w:tcPr>
          <w:p w14:paraId="3130F069"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(7.984)</w:t>
            </w:r>
          </w:p>
        </w:tc>
        <w:tc>
          <w:tcPr>
            <w:tcW w:w="880" w:type="pct"/>
            <w:tcBorders>
              <w:top w:val="nil"/>
              <w:left w:val="nil"/>
              <w:bottom w:val="nil"/>
              <w:right w:val="nil"/>
            </w:tcBorders>
          </w:tcPr>
          <w:p w14:paraId="3D83A757"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(2.714)</w:t>
            </w:r>
          </w:p>
        </w:tc>
        <w:tc>
          <w:tcPr>
            <w:tcW w:w="1064" w:type="pct"/>
            <w:tcBorders>
              <w:top w:val="nil"/>
              <w:left w:val="nil"/>
              <w:bottom w:val="nil"/>
              <w:right w:val="nil"/>
            </w:tcBorders>
          </w:tcPr>
          <w:p w14:paraId="7EB77B1C"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(1.383)</w:t>
            </w:r>
          </w:p>
        </w:tc>
      </w:tr>
      <w:tr w:rsidR="002A6CED" w:rsidRPr="00CD4846" w14:paraId="7DCCE986" w14:textId="77777777" w:rsidTr="002A6CED">
        <w:tc>
          <w:tcPr>
            <w:tcW w:w="2176" w:type="pct"/>
            <w:tcBorders>
              <w:top w:val="nil"/>
              <w:left w:val="nil"/>
              <w:bottom w:val="nil"/>
              <w:right w:val="nil"/>
            </w:tcBorders>
          </w:tcPr>
          <w:p w14:paraId="3634D697" w14:textId="668F3094"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Observations</w:t>
            </w:r>
          </w:p>
        </w:tc>
        <w:tc>
          <w:tcPr>
            <w:tcW w:w="880" w:type="pct"/>
            <w:tcBorders>
              <w:top w:val="nil"/>
              <w:left w:val="nil"/>
              <w:bottom w:val="nil"/>
              <w:right w:val="nil"/>
            </w:tcBorders>
          </w:tcPr>
          <w:p w14:paraId="24193F84"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488</w:t>
            </w:r>
          </w:p>
        </w:tc>
        <w:tc>
          <w:tcPr>
            <w:tcW w:w="880" w:type="pct"/>
            <w:tcBorders>
              <w:top w:val="nil"/>
              <w:left w:val="nil"/>
              <w:bottom w:val="nil"/>
              <w:right w:val="nil"/>
            </w:tcBorders>
          </w:tcPr>
          <w:p w14:paraId="77A66A90"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2573</w:t>
            </w:r>
          </w:p>
        </w:tc>
        <w:tc>
          <w:tcPr>
            <w:tcW w:w="1064" w:type="pct"/>
            <w:tcBorders>
              <w:top w:val="nil"/>
              <w:left w:val="nil"/>
              <w:bottom w:val="nil"/>
              <w:right w:val="nil"/>
            </w:tcBorders>
          </w:tcPr>
          <w:p w14:paraId="46531EAF"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4996</w:t>
            </w:r>
          </w:p>
        </w:tc>
      </w:tr>
      <w:tr w:rsidR="002A6CED" w:rsidRPr="00CD4846" w14:paraId="5D3DEC60" w14:textId="77777777" w:rsidTr="002A6CED">
        <w:tc>
          <w:tcPr>
            <w:tcW w:w="2176" w:type="pct"/>
            <w:tcBorders>
              <w:top w:val="nil"/>
              <w:left w:val="nil"/>
              <w:bottom w:val="nil"/>
              <w:right w:val="nil"/>
            </w:tcBorders>
          </w:tcPr>
          <w:p w14:paraId="3927C499" w14:textId="1E477B0E"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Pseudo R</w:t>
            </w:r>
            <w:r w:rsidRPr="00CD4846">
              <w:rPr>
                <w:rFonts w:cs="Times New Roman"/>
                <w:kern w:val="2"/>
                <w:sz w:val="20"/>
                <w:szCs w:val="20"/>
                <w:vertAlign w:val="superscript"/>
                <w:lang/>
              </w:rPr>
              <w:t>2</w:t>
            </w:r>
          </w:p>
        </w:tc>
        <w:tc>
          <w:tcPr>
            <w:tcW w:w="880" w:type="pct"/>
            <w:tcBorders>
              <w:top w:val="nil"/>
              <w:left w:val="nil"/>
              <w:bottom w:val="nil"/>
              <w:right w:val="nil"/>
            </w:tcBorders>
          </w:tcPr>
          <w:p w14:paraId="45ADF26E"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0.335</w:t>
            </w:r>
          </w:p>
        </w:tc>
        <w:tc>
          <w:tcPr>
            <w:tcW w:w="880" w:type="pct"/>
            <w:tcBorders>
              <w:top w:val="nil"/>
              <w:left w:val="nil"/>
              <w:bottom w:val="nil"/>
              <w:right w:val="nil"/>
            </w:tcBorders>
          </w:tcPr>
          <w:p w14:paraId="3D3A3F6D"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0.265</w:t>
            </w:r>
          </w:p>
        </w:tc>
        <w:tc>
          <w:tcPr>
            <w:tcW w:w="1064" w:type="pct"/>
            <w:tcBorders>
              <w:top w:val="nil"/>
              <w:left w:val="nil"/>
              <w:bottom w:val="nil"/>
              <w:right w:val="nil"/>
            </w:tcBorders>
          </w:tcPr>
          <w:p w14:paraId="7EA00DCA"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0.297</w:t>
            </w:r>
          </w:p>
        </w:tc>
      </w:tr>
      <w:tr w:rsidR="002A6CED" w:rsidRPr="00CD4846" w14:paraId="1D994B9C" w14:textId="77777777" w:rsidTr="002A6CED">
        <w:tc>
          <w:tcPr>
            <w:tcW w:w="2176" w:type="pct"/>
            <w:tcBorders>
              <w:top w:val="nil"/>
              <w:left w:val="nil"/>
              <w:bottom w:val="nil"/>
              <w:right w:val="nil"/>
            </w:tcBorders>
          </w:tcPr>
          <w:p w14:paraId="2BA21197" w14:textId="37488108"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Chi</w:t>
            </w:r>
            <w:r w:rsidRPr="00CD4846">
              <w:rPr>
                <w:rFonts w:cs="Times New Roman"/>
                <w:kern w:val="2"/>
                <w:sz w:val="20"/>
                <w:szCs w:val="20"/>
                <w:vertAlign w:val="superscript"/>
                <w:lang/>
              </w:rPr>
              <w:t>2</w:t>
            </w:r>
          </w:p>
        </w:tc>
        <w:tc>
          <w:tcPr>
            <w:tcW w:w="880" w:type="pct"/>
            <w:tcBorders>
              <w:top w:val="nil"/>
              <w:left w:val="nil"/>
              <w:bottom w:val="nil"/>
              <w:right w:val="nil"/>
            </w:tcBorders>
          </w:tcPr>
          <w:p w14:paraId="0389AB38"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34</w:t>
            </w:r>
          </w:p>
        </w:tc>
        <w:tc>
          <w:tcPr>
            <w:tcW w:w="880" w:type="pct"/>
            <w:tcBorders>
              <w:top w:val="nil"/>
              <w:left w:val="nil"/>
              <w:bottom w:val="nil"/>
              <w:right w:val="nil"/>
            </w:tcBorders>
          </w:tcPr>
          <w:p w14:paraId="537A4342"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30</w:t>
            </w:r>
          </w:p>
        </w:tc>
        <w:tc>
          <w:tcPr>
            <w:tcW w:w="1064" w:type="pct"/>
            <w:tcBorders>
              <w:top w:val="nil"/>
              <w:left w:val="nil"/>
              <w:bottom w:val="nil"/>
              <w:right w:val="nil"/>
            </w:tcBorders>
          </w:tcPr>
          <w:p w14:paraId="1473127F"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35</w:t>
            </w:r>
          </w:p>
        </w:tc>
      </w:tr>
      <w:tr w:rsidR="002A6CED" w:rsidRPr="00CD4846" w14:paraId="210B9BF2" w14:textId="77777777" w:rsidTr="002A6CED">
        <w:tc>
          <w:tcPr>
            <w:tcW w:w="2176" w:type="pct"/>
            <w:tcBorders>
              <w:top w:val="nil"/>
              <w:left w:val="nil"/>
              <w:bottom w:val="nil"/>
              <w:right w:val="nil"/>
            </w:tcBorders>
          </w:tcPr>
          <w:p w14:paraId="1CF65F5D" w14:textId="738AEB8A"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Log Likelihood</w:t>
            </w:r>
          </w:p>
        </w:tc>
        <w:tc>
          <w:tcPr>
            <w:tcW w:w="880" w:type="pct"/>
            <w:tcBorders>
              <w:top w:val="nil"/>
              <w:left w:val="nil"/>
              <w:bottom w:val="nil"/>
              <w:right w:val="nil"/>
            </w:tcBorders>
          </w:tcPr>
          <w:p w14:paraId="32B53566"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-317</w:t>
            </w:r>
          </w:p>
        </w:tc>
        <w:tc>
          <w:tcPr>
            <w:tcW w:w="880" w:type="pct"/>
            <w:tcBorders>
              <w:top w:val="nil"/>
              <w:left w:val="nil"/>
              <w:bottom w:val="nil"/>
              <w:right w:val="nil"/>
            </w:tcBorders>
          </w:tcPr>
          <w:p w14:paraId="6CCE4FE3"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-1378</w:t>
            </w:r>
          </w:p>
        </w:tc>
        <w:tc>
          <w:tcPr>
            <w:tcW w:w="1064" w:type="pct"/>
            <w:tcBorders>
              <w:top w:val="nil"/>
              <w:left w:val="nil"/>
              <w:bottom w:val="nil"/>
              <w:right w:val="nil"/>
            </w:tcBorders>
          </w:tcPr>
          <w:p w14:paraId="41DB9C65"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-2818</w:t>
            </w:r>
          </w:p>
        </w:tc>
      </w:tr>
      <w:tr w:rsidR="002A6CED" w:rsidRPr="00CD4846" w14:paraId="163EF2A2" w14:textId="77777777" w:rsidTr="002A6CED">
        <w:tc>
          <w:tcPr>
            <w:tcW w:w="2176" w:type="pct"/>
            <w:tcBorders>
              <w:top w:val="nil"/>
              <w:left w:val="nil"/>
              <w:bottom w:val="nil"/>
              <w:right w:val="nil"/>
            </w:tcBorders>
          </w:tcPr>
          <w:p w14:paraId="556A50CE" w14:textId="337B12F5"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Akaike’s Criterion</w:t>
            </w:r>
          </w:p>
        </w:tc>
        <w:tc>
          <w:tcPr>
            <w:tcW w:w="880" w:type="pct"/>
            <w:tcBorders>
              <w:top w:val="nil"/>
              <w:left w:val="nil"/>
              <w:bottom w:val="nil"/>
              <w:right w:val="nil"/>
            </w:tcBorders>
          </w:tcPr>
          <w:p w14:paraId="6AAACA05"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673</w:t>
            </w:r>
          </w:p>
        </w:tc>
        <w:tc>
          <w:tcPr>
            <w:tcW w:w="880" w:type="pct"/>
            <w:tcBorders>
              <w:top w:val="nil"/>
              <w:left w:val="nil"/>
              <w:bottom w:val="nil"/>
              <w:right w:val="nil"/>
            </w:tcBorders>
          </w:tcPr>
          <w:p w14:paraId="35152431"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2795</w:t>
            </w:r>
          </w:p>
        </w:tc>
        <w:tc>
          <w:tcPr>
            <w:tcW w:w="1064" w:type="pct"/>
            <w:tcBorders>
              <w:top w:val="nil"/>
              <w:left w:val="nil"/>
              <w:bottom w:val="nil"/>
              <w:right w:val="nil"/>
            </w:tcBorders>
          </w:tcPr>
          <w:p w14:paraId="071A47BE"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5676</w:t>
            </w:r>
          </w:p>
        </w:tc>
      </w:tr>
      <w:tr w:rsidR="002A6CED" w:rsidRPr="00CD4846" w14:paraId="0A74F976" w14:textId="77777777" w:rsidTr="002A6CED">
        <w:tc>
          <w:tcPr>
            <w:tcW w:w="2176" w:type="pct"/>
            <w:tcBorders>
              <w:top w:val="nil"/>
              <w:left w:val="nil"/>
              <w:bottom w:val="nil"/>
              <w:right w:val="nil"/>
            </w:tcBorders>
          </w:tcPr>
          <w:p w14:paraId="07EEE395" w14:textId="1393045E"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Bayesian Criterion</w:t>
            </w:r>
          </w:p>
        </w:tc>
        <w:tc>
          <w:tcPr>
            <w:tcW w:w="880" w:type="pct"/>
            <w:tcBorders>
              <w:top w:val="nil"/>
              <w:left w:val="nil"/>
              <w:bottom w:val="nil"/>
              <w:right w:val="nil"/>
            </w:tcBorders>
          </w:tcPr>
          <w:p w14:paraId="729D7D7A"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753</w:t>
            </w:r>
          </w:p>
        </w:tc>
        <w:tc>
          <w:tcPr>
            <w:tcW w:w="880" w:type="pct"/>
            <w:tcBorders>
              <w:top w:val="nil"/>
              <w:left w:val="nil"/>
              <w:bottom w:val="nil"/>
              <w:right w:val="nil"/>
            </w:tcBorders>
          </w:tcPr>
          <w:p w14:paraId="1EE3B3EC"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2906</w:t>
            </w:r>
          </w:p>
        </w:tc>
        <w:tc>
          <w:tcPr>
            <w:tcW w:w="1064" w:type="pct"/>
            <w:tcBorders>
              <w:top w:val="nil"/>
              <w:left w:val="nil"/>
              <w:bottom w:val="nil"/>
              <w:right w:val="nil"/>
            </w:tcBorders>
          </w:tcPr>
          <w:p w14:paraId="207A2F4A"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5807</w:t>
            </w:r>
          </w:p>
        </w:tc>
      </w:tr>
      <w:tr w:rsidR="002A6CED" w:rsidRPr="00CD4846" w14:paraId="3C70753E" w14:textId="77777777" w:rsidTr="002A6CED">
        <w:tc>
          <w:tcPr>
            <w:tcW w:w="2176" w:type="pct"/>
            <w:tcBorders>
              <w:top w:val="nil"/>
              <w:left w:val="nil"/>
              <w:bottom w:val="nil"/>
              <w:right w:val="nil"/>
            </w:tcBorders>
          </w:tcPr>
          <w:p w14:paraId="4492D399"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County FE</w:t>
            </w:r>
          </w:p>
        </w:tc>
        <w:tc>
          <w:tcPr>
            <w:tcW w:w="880" w:type="pct"/>
            <w:tcBorders>
              <w:top w:val="nil"/>
              <w:left w:val="nil"/>
              <w:bottom w:val="nil"/>
              <w:right w:val="nil"/>
            </w:tcBorders>
          </w:tcPr>
          <w:p w14:paraId="4FCC631B"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880" w:type="pct"/>
            <w:tcBorders>
              <w:top w:val="nil"/>
              <w:left w:val="nil"/>
              <w:bottom w:val="nil"/>
              <w:right w:val="nil"/>
            </w:tcBorders>
          </w:tcPr>
          <w:p w14:paraId="6F02EA6F"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1064" w:type="pct"/>
            <w:tcBorders>
              <w:top w:val="nil"/>
              <w:left w:val="nil"/>
              <w:bottom w:val="nil"/>
              <w:right w:val="nil"/>
            </w:tcBorders>
          </w:tcPr>
          <w:p w14:paraId="5DE8862E"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r>
      <w:tr w:rsidR="002A6CED" w:rsidRPr="00CD4846" w14:paraId="44545F26" w14:textId="77777777" w:rsidTr="002A6CED">
        <w:tc>
          <w:tcPr>
            <w:tcW w:w="2176" w:type="pct"/>
            <w:tcBorders>
              <w:top w:val="nil"/>
              <w:left w:val="nil"/>
              <w:bottom w:val="nil"/>
              <w:right w:val="nil"/>
            </w:tcBorders>
          </w:tcPr>
          <w:p w14:paraId="414E9FE5"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State by Year FE</w:t>
            </w:r>
          </w:p>
        </w:tc>
        <w:tc>
          <w:tcPr>
            <w:tcW w:w="880" w:type="pct"/>
            <w:tcBorders>
              <w:top w:val="nil"/>
              <w:left w:val="nil"/>
              <w:bottom w:val="nil"/>
              <w:right w:val="nil"/>
            </w:tcBorders>
          </w:tcPr>
          <w:p w14:paraId="0058DBE7"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880" w:type="pct"/>
            <w:tcBorders>
              <w:top w:val="nil"/>
              <w:left w:val="nil"/>
              <w:bottom w:val="nil"/>
              <w:right w:val="nil"/>
            </w:tcBorders>
          </w:tcPr>
          <w:p w14:paraId="6BF8D9DF"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1064" w:type="pct"/>
            <w:tcBorders>
              <w:top w:val="nil"/>
              <w:left w:val="nil"/>
              <w:bottom w:val="nil"/>
              <w:right w:val="nil"/>
            </w:tcBorders>
          </w:tcPr>
          <w:p w14:paraId="44CB3F9E"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r>
    </w:tbl>
    <w:p w14:paraId="4E6E156F" w14:textId="41B68A4D" w:rsidR="002A6CED" w:rsidRDefault="002A6CED" w:rsidP="00095E25">
      <w:pPr>
        <w:pStyle w:val="Title"/>
      </w:pPr>
      <w:bookmarkStart w:id="284" w:name="_Toc188359626"/>
      <w:bookmarkStart w:id="285" w:name="_Toc188359914"/>
      <w:bookmarkStart w:id="286" w:name="_Toc188361150"/>
      <w:bookmarkStart w:id="287" w:name="_Toc188366994"/>
      <w:r w:rsidRPr="00CD4846">
        <w:t>Table A21: Regression Results of Strict PADs on Inter-State Inward Relocations</w:t>
      </w:r>
      <w:bookmarkEnd w:id="284"/>
      <w:bookmarkEnd w:id="285"/>
      <w:bookmarkEnd w:id="286"/>
      <w:bookmarkEnd w:id="287"/>
      <w:r>
        <w:t xml:space="preserve"> </w:t>
      </w:r>
      <w:r>
        <w:br w:type="page"/>
      </w:r>
    </w:p>
    <w:tbl>
      <w:tblPr>
        <w:tblpPr w:leftFromText="180" w:rightFromText="180" w:vertAnchor="text" w:horzAnchor="margin" w:tblpY="346"/>
        <w:tblW w:w="5000" w:type="pct"/>
        <w:tblLook w:val="04A0" w:firstRow="1" w:lastRow="0" w:firstColumn="1" w:lastColumn="0" w:noHBand="0" w:noVBand="1"/>
      </w:tblPr>
      <w:tblGrid>
        <w:gridCol w:w="4074"/>
        <w:gridCol w:w="1647"/>
        <w:gridCol w:w="1647"/>
        <w:gridCol w:w="1992"/>
      </w:tblGrid>
      <w:tr w:rsidR="002A6CED" w:rsidRPr="007B3B75" w14:paraId="3FCCFCE0" w14:textId="77777777" w:rsidTr="002A6CED">
        <w:tc>
          <w:tcPr>
            <w:tcW w:w="2176" w:type="pct"/>
            <w:tcBorders>
              <w:top w:val="single" w:sz="4" w:space="0" w:color="auto"/>
              <w:left w:val="nil"/>
              <w:bottom w:val="single" w:sz="4" w:space="0" w:color="auto"/>
              <w:right w:val="nil"/>
            </w:tcBorders>
          </w:tcPr>
          <w:p w14:paraId="4496F41E" w14:textId="77777777" w:rsidR="002A6CED" w:rsidRPr="007B3B75"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b/>
                <w:bCs/>
                <w:kern w:val="2"/>
                <w:sz w:val="20"/>
                <w:szCs w:val="20"/>
                <w:lang/>
              </w:rPr>
              <w:lastRenderedPageBreak/>
              <w:br w:type="page"/>
              <w:t>Variable</w:t>
            </w:r>
          </w:p>
        </w:tc>
        <w:tc>
          <w:tcPr>
            <w:tcW w:w="880" w:type="pct"/>
            <w:tcBorders>
              <w:top w:val="single" w:sz="4" w:space="0" w:color="auto"/>
              <w:left w:val="nil"/>
              <w:bottom w:val="single" w:sz="4" w:space="0" w:color="auto"/>
              <w:right w:val="nil"/>
            </w:tcBorders>
          </w:tcPr>
          <w:p w14:paraId="6E1FFA6A" w14:textId="5A1B1B17" w:rsidR="002A6CED" w:rsidRPr="007B3B75"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b/>
                <w:bCs/>
                <w:kern w:val="2"/>
                <w:sz w:val="20"/>
                <w:szCs w:val="20"/>
                <w:lang/>
              </w:rPr>
              <w:t>NAICS 21</w:t>
            </w:r>
          </w:p>
        </w:tc>
        <w:tc>
          <w:tcPr>
            <w:tcW w:w="880" w:type="pct"/>
            <w:tcBorders>
              <w:top w:val="single" w:sz="4" w:space="0" w:color="auto"/>
              <w:left w:val="nil"/>
              <w:bottom w:val="single" w:sz="4" w:space="0" w:color="auto"/>
              <w:right w:val="nil"/>
            </w:tcBorders>
          </w:tcPr>
          <w:p w14:paraId="5BD69457" w14:textId="5CEB277B" w:rsidR="002A6CED" w:rsidRPr="007B3B75"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b/>
                <w:bCs/>
                <w:kern w:val="2"/>
                <w:sz w:val="20"/>
                <w:szCs w:val="20"/>
                <w:lang/>
              </w:rPr>
              <w:t>NAICS 23</w:t>
            </w:r>
          </w:p>
        </w:tc>
        <w:tc>
          <w:tcPr>
            <w:tcW w:w="1064" w:type="pct"/>
            <w:tcBorders>
              <w:top w:val="single" w:sz="4" w:space="0" w:color="auto"/>
              <w:left w:val="nil"/>
              <w:bottom w:val="single" w:sz="4" w:space="0" w:color="auto"/>
              <w:right w:val="nil"/>
            </w:tcBorders>
          </w:tcPr>
          <w:p w14:paraId="5205B3BB" w14:textId="445689A0" w:rsidR="002A6CED" w:rsidRPr="007B3B75"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b/>
                <w:bCs/>
                <w:kern w:val="2"/>
                <w:sz w:val="20"/>
                <w:szCs w:val="20"/>
                <w:lang/>
              </w:rPr>
              <w:t>NAICS 31-33</w:t>
            </w:r>
          </w:p>
        </w:tc>
      </w:tr>
      <w:tr w:rsidR="007B3B75" w:rsidRPr="007B3B75" w14:paraId="75F21BDB" w14:textId="77777777" w:rsidTr="002A78A3">
        <w:tc>
          <w:tcPr>
            <w:tcW w:w="2176" w:type="pct"/>
            <w:tcBorders>
              <w:top w:val="single" w:sz="4" w:space="0" w:color="auto"/>
              <w:left w:val="nil"/>
              <w:right w:val="nil"/>
            </w:tcBorders>
          </w:tcPr>
          <w:p w14:paraId="360E0574"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NAICS FE</w:t>
            </w:r>
          </w:p>
        </w:tc>
        <w:tc>
          <w:tcPr>
            <w:tcW w:w="880" w:type="pct"/>
            <w:tcBorders>
              <w:top w:val="single" w:sz="4" w:space="0" w:color="auto"/>
              <w:left w:val="nil"/>
              <w:right w:val="nil"/>
            </w:tcBorders>
          </w:tcPr>
          <w:p w14:paraId="52F3F214"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880" w:type="pct"/>
            <w:tcBorders>
              <w:top w:val="single" w:sz="4" w:space="0" w:color="auto"/>
              <w:left w:val="nil"/>
              <w:right w:val="nil"/>
            </w:tcBorders>
          </w:tcPr>
          <w:p w14:paraId="739AD948"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c>
          <w:tcPr>
            <w:tcW w:w="1064" w:type="pct"/>
            <w:tcBorders>
              <w:top w:val="single" w:sz="4" w:space="0" w:color="auto"/>
              <w:left w:val="nil"/>
              <w:right w:val="nil"/>
            </w:tcBorders>
          </w:tcPr>
          <w:p w14:paraId="168E8E34"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Yes</w:t>
            </w:r>
          </w:p>
        </w:tc>
      </w:tr>
      <w:tr w:rsidR="002A6CED" w:rsidRPr="00CD4846" w14:paraId="59DC9B14" w14:textId="77777777" w:rsidTr="002A78A3">
        <w:tc>
          <w:tcPr>
            <w:tcW w:w="2176" w:type="pct"/>
            <w:tcBorders>
              <w:top w:val="nil"/>
              <w:left w:val="nil"/>
              <w:bottom w:val="single" w:sz="4" w:space="0" w:color="auto"/>
              <w:right w:val="nil"/>
            </w:tcBorders>
          </w:tcPr>
          <w:p w14:paraId="64239EE3" w14:textId="77777777" w:rsidR="002A6CED" w:rsidRPr="00CD4846" w:rsidRDefault="002A6CED" w:rsidP="007B3B75">
            <w:pPr>
              <w:widowControl w:val="0"/>
              <w:autoSpaceDE w:val="0"/>
              <w:autoSpaceDN w:val="0"/>
              <w:adjustRightInd w:val="0"/>
              <w:spacing w:line="240" w:lineRule="auto"/>
              <w:rPr>
                <w:rFonts w:eastAsia="Times New Roman" w:cs="Times New Roman"/>
                <w:b/>
                <w:bCs/>
                <w:color w:val="5F6368"/>
                <w:kern w:val="2"/>
                <w:sz w:val="20"/>
                <w:szCs w:val="20"/>
                <w:shd w:val="clear" w:color="auto" w:fill="FFFFFF"/>
                <w:lang/>
              </w:rPr>
            </w:pPr>
            <w:r w:rsidRPr="00CD4846">
              <w:rPr>
                <w:rFonts w:eastAsia="Times New Roman" w:cs="Times New Roman"/>
                <w:kern w:val="2"/>
                <w:sz w:val="20"/>
                <w:szCs w:val="20"/>
                <w:lang/>
              </w:rPr>
              <w:t>PA-PA</w:t>
            </w:r>
            <w:r w:rsidRPr="00CD4846">
              <w:rPr>
                <w:rFonts w:eastAsia="Times New Roman" w:cs="Times New Roman"/>
                <w:b/>
                <w:bCs/>
                <w:i/>
                <w:color w:val="5F6368"/>
                <w:kern w:val="2"/>
                <w:sz w:val="20"/>
                <w:szCs w:val="20"/>
                <w:shd w:val="clear" w:color="auto" w:fill="FFFFFF"/>
                <w:lang/>
              </w:rPr>
              <w:t>²</w:t>
            </w:r>
            <w:r w:rsidRPr="00CD4846">
              <w:rPr>
                <w:rFonts w:cs="Times New Roman"/>
                <w:b/>
                <w:bCs/>
                <w:i/>
                <w:color w:val="5F6368"/>
                <w:kern w:val="2"/>
                <w:sz w:val="20"/>
                <w:szCs w:val="20"/>
                <w:shd w:val="clear" w:color="auto" w:fill="FFFFFF"/>
                <w:lang/>
              </w:rPr>
              <w:t xml:space="preserve"> </w:t>
            </w:r>
            <w:r w:rsidRPr="00CD4846">
              <w:rPr>
                <w:rFonts w:eastAsia="Times New Roman" w:cs="Times New Roman"/>
                <w:kern w:val="2"/>
                <w:sz w:val="20"/>
                <w:szCs w:val="20"/>
                <w:lang/>
              </w:rPr>
              <w:t xml:space="preserve">Joint Test </w:t>
            </w:r>
            <w:r w:rsidRPr="00CD4846">
              <w:rPr>
                <w:rFonts w:cs="Times New Roman"/>
                <w:kern w:val="2"/>
                <w:sz w:val="20"/>
                <w:szCs w:val="20"/>
                <w:lang/>
              </w:rPr>
              <w:t>p-value</w:t>
            </w:r>
          </w:p>
        </w:tc>
        <w:tc>
          <w:tcPr>
            <w:tcW w:w="880" w:type="pct"/>
            <w:tcBorders>
              <w:top w:val="nil"/>
              <w:left w:val="nil"/>
              <w:bottom w:val="single" w:sz="4" w:space="0" w:color="auto"/>
              <w:right w:val="nil"/>
            </w:tcBorders>
          </w:tcPr>
          <w:p w14:paraId="45934DE5"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0.2024</w:t>
            </w:r>
          </w:p>
        </w:tc>
        <w:tc>
          <w:tcPr>
            <w:tcW w:w="880" w:type="pct"/>
            <w:tcBorders>
              <w:top w:val="nil"/>
              <w:left w:val="nil"/>
              <w:bottom w:val="single" w:sz="4" w:space="0" w:color="auto"/>
              <w:right w:val="nil"/>
            </w:tcBorders>
          </w:tcPr>
          <w:p w14:paraId="3F202574"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0.9736</w:t>
            </w:r>
          </w:p>
        </w:tc>
        <w:tc>
          <w:tcPr>
            <w:tcW w:w="1064" w:type="pct"/>
            <w:tcBorders>
              <w:top w:val="nil"/>
              <w:left w:val="nil"/>
              <w:bottom w:val="single" w:sz="4" w:space="0" w:color="auto"/>
              <w:right w:val="nil"/>
            </w:tcBorders>
          </w:tcPr>
          <w:p w14:paraId="4F49B61F" w14:textId="77777777" w:rsidR="002A6CED" w:rsidRPr="00CD4846" w:rsidRDefault="002A6CED" w:rsidP="007B3B75">
            <w:pPr>
              <w:widowControl w:val="0"/>
              <w:autoSpaceDE w:val="0"/>
              <w:autoSpaceDN w:val="0"/>
              <w:adjustRightInd w:val="0"/>
              <w:spacing w:line="240" w:lineRule="auto"/>
              <w:rPr>
                <w:rFonts w:cs="Times New Roman"/>
                <w:kern w:val="2"/>
                <w:sz w:val="20"/>
                <w:szCs w:val="20"/>
                <w:lang/>
              </w:rPr>
            </w:pPr>
            <w:r w:rsidRPr="00CD4846">
              <w:rPr>
                <w:rFonts w:cs="Times New Roman"/>
                <w:kern w:val="2"/>
                <w:sz w:val="20"/>
                <w:szCs w:val="20"/>
                <w:lang/>
              </w:rPr>
              <w:t>0.4522</w:t>
            </w:r>
          </w:p>
        </w:tc>
      </w:tr>
    </w:tbl>
    <w:p w14:paraId="12E486DD" w14:textId="61C557FB" w:rsidR="002A6CED" w:rsidRPr="007B3B75" w:rsidRDefault="002A6CED" w:rsidP="007B3B75">
      <w:pPr>
        <w:spacing w:line="240" w:lineRule="auto"/>
        <w:rPr>
          <w:rFonts w:cs="Times New Roman"/>
          <w:b/>
          <w:bCs/>
        </w:rPr>
      </w:pPr>
      <w:r w:rsidRPr="007B3B75">
        <w:rPr>
          <w:rFonts w:cs="Times New Roman"/>
          <w:b/>
          <w:bCs/>
          <w:lang/>
        </w:rPr>
        <w:t>Table A21 Continued</w:t>
      </w:r>
    </w:p>
    <w:p w14:paraId="002A6498" w14:textId="56D93C7E" w:rsidR="00CD4846" w:rsidRPr="00CD4846" w:rsidRDefault="00CD4846" w:rsidP="007B3B75">
      <w:pPr>
        <w:spacing w:line="240" w:lineRule="auto"/>
        <w:rPr>
          <w:rFonts w:eastAsia="Times New Roman" w:cs="Times New Roman"/>
          <w:sz w:val="20"/>
          <w:szCs w:val="20"/>
          <w:lang/>
        </w:rPr>
      </w:pPr>
      <w:r w:rsidRPr="00CD4846">
        <w:rPr>
          <w:rFonts w:cs="Times New Roman"/>
          <w:kern w:val="2"/>
          <w:sz w:val="20"/>
          <w:szCs w:val="20"/>
          <w:lang/>
        </w:rPr>
        <w:t>Table A</w:t>
      </w:r>
      <w:r w:rsidRPr="00CD4846">
        <w:rPr>
          <w:rFonts w:cs="Times New Roman"/>
          <w:kern w:val="2"/>
          <w:sz w:val="20"/>
          <w:szCs w:val="20"/>
          <w:lang/>
        </w:rPr>
        <w:t>21</w:t>
      </w:r>
      <w:r w:rsidRPr="00CD4846">
        <w:rPr>
          <w:rFonts w:cs="Times New Roman"/>
          <w:kern w:val="2"/>
          <w:sz w:val="20"/>
          <w:szCs w:val="20"/>
          <w:lang/>
        </w:rPr>
        <w:t xml:space="preserve">: PPMLHDFE regression results on establishment </w:t>
      </w:r>
      <w:r w:rsidRPr="00CD4846">
        <w:rPr>
          <w:rFonts w:cs="Times New Roman"/>
          <w:kern w:val="2"/>
          <w:sz w:val="20"/>
          <w:szCs w:val="20"/>
          <w:lang/>
        </w:rPr>
        <w:t xml:space="preserve">inter-state </w:t>
      </w:r>
      <w:r w:rsidRPr="00CD4846">
        <w:rPr>
          <w:rFonts w:cs="Times New Roman"/>
          <w:kern w:val="2"/>
          <w:sz w:val="20"/>
          <w:szCs w:val="20"/>
          <w:lang/>
        </w:rPr>
        <w:t xml:space="preserve">inward relocations under </w:t>
      </w:r>
      <w:r w:rsidRPr="00CD4846">
        <w:rPr>
          <w:rFonts w:cs="Times New Roman"/>
          <w:kern w:val="2"/>
          <w:sz w:val="20"/>
          <w:szCs w:val="20"/>
          <w:lang/>
        </w:rPr>
        <w:t xml:space="preserve">strict </w:t>
      </w:r>
      <w:r w:rsidRPr="00CD4846">
        <w:rPr>
          <w:rFonts w:cs="Times New Roman"/>
          <w:kern w:val="2"/>
          <w:sz w:val="20"/>
          <w:szCs w:val="20"/>
          <w:lang/>
        </w:rPr>
        <w:t>PADs (GAP 1-</w:t>
      </w:r>
      <w:r w:rsidRPr="00CD4846">
        <w:rPr>
          <w:rFonts w:cs="Times New Roman"/>
          <w:kern w:val="2"/>
          <w:sz w:val="20"/>
          <w:szCs w:val="20"/>
          <w:lang/>
        </w:rPr>
        <w:t>2</w:t>
      </w:r>
      <w:r w:rsidRPr="00CD4846">
        <w:rPr>
          <w:rFonts w:cs="Times New Roman"/>
          <w:kern w:val="2"/>
          <w:sz w:val="20"/>
          <w:szCs w:val="20"/>
          <w:lang/>
        </w:rPr>
        <w:t xml:space="preserve">) are presented above. Column names correspond to a specific NAICS sector. </w:t>
      </w:r>
      <w:r w:rsidR="002A78A3" w:rsidRPr="00C624DB">
        <w:rPr>
          <w:sz w:val="20"/>
          <w:szCs w:val="20"/>
          <w:lang/>
        </w:rPr>
        <w:t xml:space="preserve">Standard errors are </w:t>
      </w:r>
      <w:r w:rsidR="002A78A3">
        <w:rPr>
          <w:sz w:val="20"/>
          <w:szCs w:val="20"/>
          <w:lang/>
        </w:rPr>
        <w:t xml:space="preserve">in parentheses and are </w:t>
      </w:r>
      <w:r w:rsidR="002A78A3" w:rsidRPr="00C624DB">
        <w:rPr>
          <w:sz w:val="20"/>
          <w:szCs w:val="20"/>
          <w:lang/>
        </w:rPr>
        <w:t xml:space="preserve">clustered at the county level. </w:t>
      </w:r>
      <w:r w:rsidR="002A78A3" w:rsidRPr="002C0F11">
        <w:rPr>
          <w:sz w:val="20"/>
          <w:szCs w:val="20"/>
          <w:lang/>
        </w:rPr>
        <w:t>Statistically significant impacts are denoted by asterisks. These asterisks denote statistical significance at the following levels: ***p &lt; 0.01, **p &lt; 0.05, *p &lt; 0.1.</w:t>
      </w:r>
      <w:r w:rsidR="002A78A3">
        <w:rPr>
          <w:sz w:val="20"/>
          <w:szCs w:val="20"/>
          <w:lang/>
        </w:rPr>
        <w:t xml:space="preserve"> </w:t>
      </w:r>
      <w:r w:rsidRPr="00CD4846">
        <w:rPr>
          <w:rFonts w:cs="Times New Roman"/>
          <w:kern w:val="2"/>
          <w:sz w:val="20"/>
          <w:szCs w:val="20"/>
          <w:lang/>
        </w:rPr>
        <w:t>p-values of joint-tests on linear and quadratic PAD terms are shown in the last row.</w:t>
      </w:r>
    </w:p>
    <w:p w14:paraId="7561C6D3" w14:textId="77777777" w:rsidR="00CD4846" w:rsidRPr="00CD4846" w:rsidRDefault="00CD4846" w:rsidP="004C39A4">
      <w:pPr>
        <w:spacing w:line="256" w:lineRule="auto"/>
        <w:rPr>
          <w:rFonts w:ascii="DengXian" w:hAnsi="DengXian" w:cs="Times New Roman"/>
          <w:kern w:val="2"/>
          <w:sz w:val="22"/>
          <w:szCs w:val="22"/>
          <w:lang/>
        </w:rPr>
      </w:pPr>
    </w:p>
    <w:p w14:paraId="431581EB" w14:textId="77777777" w:rsidR="00CD4846" w:rsidRPr="00CD4846" w:rsidRDefault="00CD4846" w:rsidP="004C39A4">
      <w:pPr>
        <w:spacing w:line="256" w:lineRule="auto"/>
        <w:rPr>
          <w:rFonts w:ascii="DengXian" w:hAnsi="DengXian" w:cs="Times New Roman"/>
          <w:kern w:val="2"/>
          <w:sz w:val="22"/>
          <w:szCs w:val="22"/>
          <w:lang/>
        </w:rPr>
      </w:pPr>
      <w:r w:rsidRPr="00CD4846">
        <w:rPr>
          <w:rFonts w:ascii="DengXian" w:hAnsi="DengXian" w:cs="Times New Roman"/>
          <w:kern w:val="2"/>
          <w:sz w:val="22"/>
          <w:szCs w:val="22"/>
          <w:lang/>
        </w:rPr>
        <w:br w:type="page"/>
      </w:r>
    </w:p>
    <w:p w14:paraId="2B25E093" w14:textId="77777777" w:rsidR="00CD4846" w:rsidRPr="00CD4846" w:rsidRDefault="00CD4846" w:rsidP="00095E25">
      <w:pPr>
        <w:pStyle w:val="Title"/>
      </w:pPr>
      <w:bookmarkStart w:id="288" w:name="_Toc186799426"/>
      <w:bookmarkStart w:id="289" w:name="_Toc188359627"/>
      <w:bookmarkStart w:id="290" w:name="_Toc188359915"/>
      <w:bookmarkStart w:id="291" w:name="_Toc188361151"/>
      <w:bookmarkStart w:id="292" w:name="_Toc188366995"/>
      <w:r w:rsidRPr="00CD4846">
        <w:lastRenderedPageBreak/>
        <w:t>Table A22: Regression Results of Strict PADs on Total Entries</w:t>
      </w:r>
      <w:bookmarkEnd w:id="288"/>
      <w:bookmarkEnd w:id="289"/>
      <w:bookmarkEnd w:id="290"/>
      <w:bookmarkEnd w:id="291"/>
      <w:bookmarkEnd w:id="292"/>
    </w:p>
    <w:tbl>
      <w:tblPr>
        <w:tblW w:w="5000" w:type="pct"/>
        <w:tblLook w:val="04A0" w:firstRow="1" w:lastRow="0" w:firstColumn="1" w:lastColumn="0" w:noHBand="0" w:noVBand="1"/>
      </w:tblPr>
      <w:tblGrid>
        <w:gridCol w:w="2693"/>
        <w:gridCol w:w="1281"/>
        <w:gridCol w:w="1280"/>
        <w:gridCol w:w="1280"/>
        <w:gridCol w:w="1280"/>
        <w:gridCol w:w="1546"/>
      </w:tblGrid>
      <w:tr w:rsidR="00CD4846" w:rsidRPr="00CD4846" w14:paraId="7C6A71D4" w14:textId="77777777" w:rsidTr="002A6CED">
        <w:tc>
          <w:tcPr>
            <w:tcW w:w="1438" w:type="pct"/>
            <w:tcBorders>
              <w:top w:val="single" w:sz="4" w:space="0" w:color="auto"/>
              <w:left w:val="nil"/>
              <w:bottom w:val="single" w:sz="4" w:space="0" w:color="auto"/>
              <w:right w:val="nil"/>
            </w:tcBorders>
          </w:tcPr>
          <w:p w14:paraId="672536D3" w14:textId="64A7DF57" w:rsidR="00CD4846" w:rsidRPr="00DA465B" w:rsidRDefault="00CD4846" w:rsidP="00DA465B">
            <w:pPr>
              <w:widowControl w:val="0"/>
              <w:autoSpaceDE w:val="0"/>
              <w:autoSpaceDN w:val="0"/>
              <w:adjustRightInd w:val="0"/>
              <w:spacing w:line="240" w:lineRule="auto"/>
              <w:rPr>
                <w:rFonts w:cs="Times New Roman"/>
                <w:b/>
                <w:bCs/>
                <w:kern w:val="2"/>
                <w:sz w:val="20"/>
                <w:szCs w:val="20"/>
                <w:lang/>
              </w:rPr>
            </w:pPr>
            <w:r w:rsidRPr="00DA465B">
              <w:rPr>
                <w:rFonts w:cs="Times New Roman"/>
                <w:b/>
                <w:bCs/>
                <w:kern w:val="2"/>
                <w:sz w:val="20"/>
                <w:szCs w:val="20"/>
                <w:lang/>
              </w:rPr>
              <w:t>Variable</w:t>
            </w:r>
          </w:p>
        </w:tc>
        <w:tc>
          <w:tcPr>
            <w:tcW w:w="684" w:type="pct"/>
            <w:tcBorders>
              <w:top w:val="single" w:sz="4" w:space="0" w:color="auto"/>
              <w:left w:val="nil"/>
              <w:bottom w:val="single" w:sz="4" w:space="0" w:color="auto"/>
              <w:right w:val="nil"/>
            </w:tcBorders>
          </w:tcPr>
          <w:p w14:paraId="19B52B2D" w14:textId="172FF848" w:rsidR="00CD4846" w:rsidRPr="00DA465B" w:rsidRDefault="00CD4846" w:rsidP="00DA465B">
            <w:pPr>
              <w:widowControl w:val="0"/>
              <w:autoSpaceDE w:val="0"/>
              <w:autoSpaceDN w:val="0"/>
              <w:adjustRightInd w:val="0"/>
              <w:spacing w:line="240" w:lineRule="auto"/>
              <w:rPr>
                <w:rFonts w:cs="Times New Roman"/>
                <w:b/>
                <w:bCs/>
                <w:kern w:val="2"/>
                <w:sz w:val="20"/>
                <w:szCs w:val="20"/>
                <w:lang/>
              </w:rPr>
            </w:pPr>
            <w:r w:rsidRPr="00DA465B">
              <w:rPr>
                <w:rFonts w:cs="Times New Roman"/>
                <w:b/>
                <w:bCs/>
                <w:kern w:val="2"/>
                <w:sz w:val="20"/>
                <w:szCs w:val="20"/>
                <w:lang/>
              </w:rPr>
              <w:t>NAICS 11</w:t>
            </w:r>
          </w:p>
        </w:tc>
        <w:tc>
          <w:tcPr>
            <w:tcW w:w="684" w:type="pct"/>
            <w:tcBorders>
              <w:top w:val="single" w:sz="4" w:space="0" w:color="auto"/>
              <w:left w:val="nil"/>
              <w:bottom w:val="single" w:sz="4" w:space="0" w:color="auto"/>
              <w:right w:val="nil"/>
            </w:tcBorders>
          </w:tcPr>
          <w:p w14:paraId="56460DC0" w14:textId="2654964F" w:rsidR="00CD4846" w:rsidRPr="00DA465B" w:rsidRDefault="00CD4846" w:rsidP="00DA465B">
            <w:pPr>
              <w:widowControl w:val="0"/>
              <w:autoSpaceDE w:val="0"/>
              <w:autoSpaceDN w:val="0"/>
              <w:adjustRightInd w:val="0"/>
              <w:spacing w:line="240" w:lineRule="auto"/>
              <w:rPr>
                <w:rFonts w:cs="Times New Roman"/>
                <w:b/>
                <w:bCs/>
                <w:kern w:val="2"/>
                <w:sz w:val="20"/>
                <w:szCs w:val="20"/>
                <w:lang/>
              </w:rPr>
            </w:pPr>
            <w:r w:rsidRPr="00DA465B">
              <w:rPr>
                <w:rFonts w:cs="Times New Roman"/>
                <w:b/>
                <w:bCs/>
                <w:kern w:val="2"/>
                <w:sz w:val="20"/>
                <w:szCs w:val="20"/>
                <w:lang/>
              </w:rPr>
              <w:t>NAICS 21</w:t>
            </w:r>
          </w:p>
        </w:tc>
        <w:tc>
          <w:tcPr>
            <w:tcW w:w="684" w:type="pct"/>
            <w:tcBorders>
              <w:top w:val="single" w:sz="4" w:space="0" w:color="auto"/>
              <w:left w:val="nil"/>
              <w:bottom w:val="single" w:sz="4" w:space="0" w:color="auto"/>
              <w:right w:val="nil"/>
            </w:tcBorders>
          </w:tcPr>
          <w:p w14:paraId="588A65A0" w14:textId="1617185D" w:rsidR="00CD4846" w:rsidRPr="00DA465B" w:rsidRDefault="00CD4846" w:rsidP="00DA465B">
            <w:pPr>
              <w:widowControl w:val="0"/>
              <w:autoSpaceDE w:val="0"/>
              <w:autoSpaceDN w:val="0"/>
              <w:adjustRightInd w:val="0"/>
              <w:spacing w:line="240" w:lineRule="auto"/>
              <w:rPr>
                <w:rFonts w:cs="Times New Roman"/>
                <w:b/>
                <w:bCs/>
                <w:kern w:val="2"/>
                <w:sz w:val="20"/>
                <w:szCs w:val="20"/>
                <w:lang/>
              </w:rPr>
            </w:pPr>
            <w:r w:rsidRPr="00DA465B">
              <w:rPr>
                <w:rFonts w:cs="Times New Roman"/>
                <w:b/>
                <w:bCs/>
                <w:kern w:val="2"/>
                <w:sz w:val="20"/>
                <w:szCs w:val="20"/>
                <w:lang/>
              </w:rPr>
              <w:t>NAICS 22</w:t>
            </w:r>
          </w:p>
        </w:tc>
        <w:tc>
          <w:tcPr>
            <w:tcW w:w="684" w:type="pct"/>
            <w:tcBorders>
              <w:top w:val="single" w:sz="4" w:space="0" w:color="auto"/>
              <w:left w:val="nil"/>
              <w:bottom w:val="single" w:sz="4" w:space="0" w:color="auto"/>
              <w:right w:val="nil"/>
            </w:tcBorders>
          </w:tcPr>
          <w:p w14:paraId="50699406" w14:textId="0F0E5C17" w:rsidR="00CD4846" w:rsidRPr="00DA465B" w:rsidRDefault="00CD4846" w:rsidP="00DA465B">
            <w:pPr>
              <w:widowControl w:val="0"/>
              <w:autoSpaceDE w:val="0"/>
              <w:autoSpaceDN w:val="0"/>
              <w:adjustRightInd w:val="0"/>
              <w:spacing w:line="240" w:lineRule="auto"/>
              <w:rPr>
                <w:rFonts w:cs="Times New Roman"/>
                <w:b/>
                <w:bCs/>
                <w:kern w:val="2"/>
                <w:sz w:val="20"/>
                <w:szCs w:val="20"/>
                <w:lang/>
              </w:rPr>
            </w:pPr>
            <w:r w:rsidRPr="00DA465B">
              <w:rPr>
                <w:rFonts w:cs="Times New Roman"/>
                <w:b/>
                <w:bCs/>
                <w:kern w:val="2"/>
                <w:sz w:val="20"/>
                <w:szCs w:val="20"/>
                <w:lang/>
              </w:rPr>
              <w:t>NAICS 23</w:t>
            </w:r>
          </w:p>
        </w:tc>
        <w:tc>
          <w:tcPr>
            <w:tcW w:w="827" w:type="pct"/>
            <w:tcBorders>
              <w:top w:val="single" w:sz="4" w:space="0" w:color="auto"/>
              <w:left w:val="nil"/>
              <w:bottom w:val="single" w:sz="4" w:space="0" w:color="auto"/>
              <w:right w:val="nil"/>
            </w:tcBorders>
          </w:tcPr>
          <w:p w14:paraId="7D608F68" w14:textId="34EF8997" w:rsidR="00CD4846" w:rsidRPr="00DA465B" w:rsidRDefault="00CD4846" w:rsidP="00DA465B">
            <w:pPr>
              <w:widowControl w:val="0"/>
              <w:autoSpaceDE w:val="0"/>
              <w:autoSpaceDN w:val="0"/>
              <w:adjustRightInd w:val="0"/>
              <w:spacing w:line="240" w:lineRule="auto"/>
              <w:rPr>
                <w:rFonts w:cs="Times New Roman"/>
                <w:b/>
                <w:bCs/>
                <w:kern w:val="2"/>
                <w:sz w:val="20"/>
                <w:szCs w:val="20"/>
                <w:lang/>
              </w:rPr>
            </w:pPr>
            <w:r w:rsidRPr="00DA465B">
              <w:rPr>
                <w:rFonts w:cs="Times New Roman"/>
                <w:b/>
                <w:bCs/>
                <w:kern w:val="2"/>
                <w:sz w:val="20"/>
                <w:szCs w:val="20"/>
                <w:lang/>
              </w:rPr>
              <w:t>NAICS 31-33</w:t>
            </w:r>
          </w:p>
        </w:tc>
      </w:tr>
      <w:tr w:rsidR="00CD4846" w:rsidRPr="00CD4846" w14:paraId="6D97380D" w14:textId="77777777" w:rsidTr="002A6CED">
        <w:tc>
          <w:tcPr>
            <w:tcW w:w="1438" w:type="pct"/>
            <w:tcBorders>
              <w:top w:val="single" w:sz="4" w:space="0" w:color="auto"/>
              <w:left w:val="nil"/>
              <w:bottom w:val="nil"/>
              <w:right w:val="nil"/>
            </w:tcBorders>
          </w:tcPr>
          <w:p w14:paraId="1A9DC555"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Strict PAD(t-1)</w:t>
            </w:r>
          </w:p>
        </w:tc>
        <w:tc>
          <w:tcPr>
            <w:tcW w:w="684" w:type="pct"/>
            <w:tcBorders>
              <w:top w:val="single" w:sz="4" w:space="0" w:color="auto"/>
              <w:left w:val="nil"/>
              <w:bottom w:val="nil"/>
              <w:right w:val="nil"/>
            </w:tcBorders>
          </w:tcPr>
          <w:p w14:paraId="31A81656"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2.226***</w:t>
            </w:r>
          </w:p>
        </w:tc>
        <w:tc>
          <w:tcPr>
            <w:tcW w:w="684" w:type="pct"/>
            <w:tcBorders>
              <w:top w:val="single" w:sz="4" w:space="0" w:color="auto"/>
              <w:left w:val="nil"/>
              <w:bottom w:val="nil"/>
              <w:right w:val="nil"/>
            </w:tcBorders>
          </w:tcPr>
          <w:p w14:paraId="186DAD86"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-0.435</w:t>
            </w:r>
          </w:p>
        </w:tc>
        <w:tc>
          <w:tcPr>
            <w:tcW w:w="684" w:type="pct"/>
            <w:tcBorders>
              <w:top w:val="single" w:sz="4" w:space="0" w:color="auto"/>
              <w:left w:val="nil"/>
              <w:bottom w:val="nil"/>
              <w:right w:val="nil"/>
            </w:tcBorders>
          </w:tcPr>
          <w:p w14:paraId="42A69DB5"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1.638</w:t>
            </w:r>
          </w:p>
        </w:tc>
        <w:tc>
          <w:tcPr>
            <w:tcW w:w="684" w:type="pct"/>
            <w:tcBorders>
              <w:top w:val="single" w:sz="4" w:space="0" w:color="auto"/>
              <w:left w:val="nil"/>
              <w:bottom w:val="nil"/>
              <w:right w:val="nil"/>
            </w:tcBorders>
          </w:tcPr>
          <w:p w14:paraId="0CFD1328"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0.399</w:t>
            </w:r>
          </w:p>
        </w:tc>
        <w:tc>
          <w:tcPr>
            <w:tcW w:w="827" w:type="pct"/>
            <w:tcBorders>
              <w:top w:val="single" w:sz="4" w:space="0" w:color="auto"/>
              <w:left w:val="nil"/>
              <w:bottom w:val="nil"/>
              <w:right w:val="nil"/>
            </w:tcBorders>
          </w:tcPr>
          <w:p w14:paraId="63D4964F"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-2.151***</w:t>
            </w:r>
          </w:p>
        </w:tc>
      </w:tr>
      <w:tr w:rsidR="00CD4846" w:rsidRPr="00CD4846" w14:paraId="62E0A0F1" w14:textId="77777777" w:rsidTr="002A6CED">
        <w:tc>
          <w:tcPr>
            <w:tcW w:w="1438" w:type="pct"/>
            <w:tcBorders>
              <w:top w:val="nil"/>
              <w:left w:val="nil"/>
              <w:bottom w:val="nil"/>
              <w:right w:val="nil"/>
            </w:tcBorders>
          </w:tcPr>
          <w:p w14:paraId="5D4E4561" w14:textId="647E3846" w:rsidR="00CD4846" w:rsidRPr="00DA465B" w:rsidRDefault="00CD4846" w:rsidP="00DA465B">
            <w:pPr>
              <w:widowControl w:val="0"/>
              <w:autoSpaceDE w:val="0"/>
              <w:autoSpaceDN w:val="0"/>
              <w:adjustRightInd w:val="0"/>
              <w:spacing w:line="240" w:lineRule="auto"/>
              <w:rPr>
                <w:rFonts w:cs="Times New Roman"/>
                <w:kern w:val="2"/>
                <w:sz w:val="20"/>
                <w:szCs w:val="20"/>
                <w:lang/>
              </w:rPr>
            </w:pPr>
          </w:p>
        </w:tc>
        <w:tc>
          <w:tcPr>
            <w:tcW w:w="684" w:type="pct"/>
            <w:tcBorders>
              <w:top w:val="nil"/>
              <w:left w:val="nil"/>
              <w:bottom w:val="nil"/>
              <w:right w:val="nil"/>
            </w:tcBorders>
          </w:tcPr>
          <w:p w14:paraId="1EC8816B"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(0.634)</w:t>
            </w:r>
          </w:p>
        </w:tc>
        <w:tc>
          <w:tcPr>
            <w:tcW w:w="684" w:type="pct"/>
            <w:tcBorders>
              <w:top w:val="nil"/>
              <w:left w:val="nil"/>
              <w:bottom w:val="nil"/>
              <w:right w:val="nil"/>
            </w:tcBorders>
          </w:tcPr>
          <w:p w14:paraId="0D199DEC"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(1.306)</w:t>
            </w:r>
          </w:p>
        </w:tc>
        <w:tc>
          <w:tcPr>
            <w:tcW w:w="684" w:type="pct"/>
            <w:tcBorders>
              <w:top w:val="nil"/>
              <w:left w:val="nil"/>
              <w:bottom w:val="nil"/>
              <w:right w:val="nil"/>
            </w:tcBorders>
          </w:tcPr>
          <w:p w14:paraId="2ACC151E"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(1.177)</w:t>
            </w:r>
          </w:p>
        </w:tc>
        <w:tc>
          <w:tcPr>
            <w:tcW w:w="684" w:type="pct"/>
            <w:tcBorders>
              <w:top w:val="nil"/>
              <w:left w:val="nil"/>
              <w:bottom w:val="nil"/>
              <w:right w:val="nil"/>
            </w:tcBorders>
          </w:tcPr>
          <w:p w14:paraId="7252E415"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(0.571)</w:t>
            </w:r>
          </w:p>
        </w:tc>
        <w:tc>
          <w:tcPr>
            <w:tcW w:w="827" w:type="pct"/>
            <w:tcBorders>
              <w:top w:val="nil"/>
              <w:left w:val="nil"/>
              <w:bottom w:val="nil"/>
              <w:right w:val="nil"/>
            </w:tcBorders>
          </w:tcPr>
          <w:p w14:paraId="7104DEB4"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(0.747)</w:t>
            </w:r>
          </w:p>
        </w:tc>
      </w:tr>
      <w:tr w:rsidR="00CD4846" w:rsidRPr="00CD4846" w14:paraId="2DCC15A5" w14:textId="77777777" w:rsidTr="002A6CED">
        <w:tc>
          <w:tcPr>
            <w:tcW w:w="1438" w:type="pct"/>
            <w:tcBorders>
              <w:top w:val="nil"/>
              <w:left w:val="nil"/>
              <w:bottom w:val="nil"/>
              <w:right w:val="nil"/>
            </w:tcBorders>
          </w:tcPr>
          <w:p w14:paraId="5E8B19A3"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Strict PAD Sq. (t-1)</w:t>
            </w:r>
          </w:p>
        </w:tc>
        <w:tc>
          <w:tcPr>
            <w:tcW w:w="684" w:type="pct"/>
            <w:tcBorders>
              <w:top w:val="nil"/>
              <w:left w:val="nil"/>
              <w:bottom w:val="nil"/>
              <w:right w:val="nil"/>
            </w:tcBorders>
          </w:tcPr>
          <w:p w14:paraId="1963651F"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-1.854</w:t>
            </w:r>
          </w:p>
        </w:tc>
        <w:tc>
          <w:tcPr>
            <w:tcW w:w="684" w:type="pct"/>
            <w:tcBorders>
              <w:top w:val="nil"/>
              <w:left w:val="nil"/>
              <w:bottom w:val="nil"/>
              <w:right w:val="nil"/>
            </w:tcBorders>
          </w:tcPr>
          <w:p w14:paraId="152B271D"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5.178*</w:t>
            </w:r>
          </w:p>
        </w:tc>
        <w:tc>
          <w:tcPr>
            <w:tcW w:w="684" w:type="pct"/>
            <w:tcBorders>
              <w:top w:val="nil"/>
              <w:left w:val="nil"/>
              <w:bottom w:val="nil"/>
              <w:right w:val="nil"/>
            </w:tcBorders>
          </w:tcPr>
          <w:p w14:paraId="338836A3"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-1.599</w:t>
            </w:r>
          </w:p>
        </w:tc>
        <w:tc>
          <w:tcPr>
            <w:tcW w:w="684" w:type="pct"/>
            <w:tcBorders>
              <w:top w:val="nil"/>
              <w:left w:val="nil"/>
              <w:bottom w:val="nil"/>
              <w:right w:val="nil"/>
            </w:tcBorders>
          </w:tcPr>
          <w:p w14:paraId="0BA4E069"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-0.678</w:t>
            </w:r>
          </w:p>
        </w:tc>
        <w:tc>
          <w:tcPr>
            <w:tcW w:w="827" w:type="pct"/>
            <w:tcBorders>
              <w:top w:val="nil"/>
              <w:left w:val="nil"/>
              <w:bottom w:val="nil"/>
              <w:right w:val="nil"/>
            </w:tcBorders>
          </w:tcPr>
          <w:p w14:paraId="4F41E3C6"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3.655***</w:t>
            </w:r>
          </w:p>
        </w:tc>
      </w:tr>
      <w:tr w:rsidR="00CD4846" w:rsidRPr="00CD4846" w14:paraId="44C760ED" w14:textId="77777777" w:rsidTr="002A6CED">
        <w:tc>
          <w:tcPr>
            <w:tcW w:w="1438" w:type="pct"/>
            <w:tcBorders>
              <w:top w:val="nil"/>
              <w:left w:val="nil"/>
              <w:bottom w:val="nil"/>
              <w:right w:val="nil"/>
            </w:tcBorders>
          </w:tcPr>
          <w:p w14:paraId="0967384E" w14:textId="5941CE23" w:rsidR="00CD4846" w:rsidRPr="00DA465B" w:rsidRDefault="00CD4846" w:rsidP="00DA465B">
            <w:pPr>
              <w:widowControl w:val="0"/>
              <w:autoSpaceDE w:val="0"/>
              <w:autoSpaceDN w:val="0"/>
              <w:adjustRightInd w:val="0"/>
              <w:spacing w:line="240" w:lineRule="auto"/>
              <w:rPr>
                <w:rFonts w:cs="Times New Roman"/>
                <w:kern w:val="2"/>
                <w:sz w:val="20"/>
                <w:szCs w:val="20"/>
                <w:lang/>
              </w:rPr>
            </w:pPr>
          </w:p>
        </w:tc>
        <w:tc>
          <w:tcPr>
            <w:tcW w:w="684" w:type="pct"/>
            <w:tcBorders>
              <w:top w:val="nil"/>
              <w:left w:val="nil"/>
              <w:bottom w:val="nil"/>
              <w:right w:val="nil"/>
            </w:tcBorders>
          </w:tcPr>
          <w:p w14:paraId="57E7C840"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(1.156)</w:t>
            </w:r>
          </w:p>
        </w:tc>
        <w:tc>
          <w:tcPr>
            <w:tcW w:w="684" w:type="pct"/>
            <w:tcBorders>
              <w:top w:val="nil"/>
              <w:left w:val="nil"/>
              <w:bottom w:val="nil"/>
              <w:right w:val="nil"/>
            </w:tcBorders>
          </w:tcPr>
          <w:p w14:paraId="71FA16C3"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(2.963)</w:t>
            </w:r>
          </w:p>
        </w:tc>
        <w:tc>
          <w:tcPr>
            <w:tcW w:w="684" w:type="pct"/>
            <w:tcBorders>
              <w:top w:val="nil"/>
              <w:left w:val="nil"/>
              <w:bottom w:val="nil"/>
              <w:right w:val="nil"/>
            </w:tcBorders>
          </w:tcPr>
          <w:p w14:paraId="22483D0A"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(2.103)</w:t>
            </w:r>
          </w:p>
        </w:tc>
        <w:tc>
          <w:tcPr>
            <w:tcW w:w="684" w:type="pct"/>
            <w:tcBorders>
              <w:top w:val="nil"/>
              <w:left w:val="nil"/>
              <w:bottom w:val="nil"/>
              <w:right w:val="nil"/>
            </w:tcBorders>
          </w:tcPr>
          <w:p w14:paraId="485A6866"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(0.969)</w:t>
            </w:r>
          </w:p>
        </w:tc>
        <w:tc>
          <w:tcPr>
            <w:tcW w:w="827" w:type="pct"/>
            <w:tcBorders>
              <w:top w:val="nil"/>
              <w:left w:val="nil"/>
              <w:bottom w:val="nil"/>
              <w:right w:val="nil"/>
            </w:tcBorders>
          </w:tcPr>
          <w:p w14:paraId="4F63DAA2"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(1.248)</w:t>
            </w:r>
          </w:p>
        </w:tc>
      </w:tr>
      <w:tr w:rsidR="00CD4846" w:rsidRPr="00CD4846" w14:paraId="6E898CB8" w14:textId="77777777" w:rsidTr="002A6CED">
        <w:tc>
          <w:tcPr>
            <w:tcW w:w="1438" w:type="pct"/>
            <w:tcBorders>
              <w:top w:val="nil"/>
              <w:left w:val="nil"/>
              <w:bottom w:val="nil"/>
              <w:right w:val="nil"/>
            </w:tcBorders>
          </w:tcPr>
          <w:p w14:paraId="2FDE4967" w14:textId="4C8E0675"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Loc. Economies (t-1) (10ks)</w:t>
            </w:r>
          </w:p>
        </w:tc>
        <w:tc>
          <w:tcPr>
            <w:tcW w:w="684" w:type="pct"/>
            <w:tcBorders>
              <w:top w:val="nil"/>
              <w:left w:val="nil"/>
              <w:bottom w:val="nil"/>
              <w:right w:val="nil"/>
            </w:tcBorders>
          </w:tcPr>
          <w:p w14:paraId="7DB2BE12"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-42.961***</w:t>
            </w:r>
          </w:p>
        </w:tc>
        <w:tc>
          <w:tcPr>
            <w:tcW w:w="684" w:type="pct"/>
            <w:tcBorders>
              <w:top w:val="nil"/>
              <w:left w:val="nil"/>
              <w:bottom w:val="nil"/>
              <w:right w:val="nil"/>
            </w:tcBorders>
          </w:tcPr>
          <w:p w14:paraId="4D32A795"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-10.549**</w:t>
            </w:r>
          </w:p>
        </w:tc>
        <w:tc>
          <w:tcPr>
            <w:tcW w:w="684" w:type="pct"/>
            <w:tcBorders>
              <w:top w:val="nil"/>
              <w:left w:val="nil"/>
              <w:bottom w:val="nil"/>
              <w:right w:val="nil"/>
            </w:tcBorders>
          </w:tcPr>
          <w:p w14:paraId="2B53E076"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-131.344***</w:t>
            </w:r>
          </w:p>
        </w:tc>
        <w:tc>
          <w:tcPr>
            <w:tcW w:w="684" w:type="pct"/>
            <w:tcBorders>
              <w:top w:val="nil"/>
              <w:left w:val="nil"/>
              <w:bottom w:val="nil"/>
              <w:right w:val="nil"/>
            </w:tcBorders>
          </w:tcPr>
          <w:p w14:paraId="4BD6E6D5"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-0.462***</w:t>
            </w:r>
          </w:p>
        </w:tc>
        <w:tc>
          <w:tcPr>
            <w:tcW w:w="827" w:type="pct"/>
            <w:tcBorders>
              <w:top w:val="nil"/>
              <w:left w:val="nil"/>
              <w:bottom w:val="nil"/>
              <w:right w:val="nil"/>
            </w:tcBorders>
          </w:tcPr>
          <w:p w14:paraId="0E625CAA"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-0.696</w:t>
            </w:r>
          </w:p>
        </w:tc>
      </w:tr>
      <w:tr w:rsidR="00CD4846" w:rsidRPr="00CD4846" w14:paraId="5AF621F7" w14:textId="77777777" w:rsidTr="002A6CED">
        <w:tc>
          <w:tcPr>
            <w:tcW w:w="1438" w:type="pct"/>
            <w:tcBorders>
              <w:top w:val="nil"/>
              <w:left w:val="nil"/>
              <w:bottom w:val="nil"/>
              <w:right w:val="nil"/>
            </w:tcBorders>
          </w:tcPr>
          <w:p w14:paraId="2DE85A11" w14:textId="7F9A8600" w:rsidR="00CD4846" w:rsidRPr="00DA465B" w:rsidRDefault="00CD4846" w:rsidP="00DA465B">
            <w:pPr>
              <w:widowControl w:val="0"/>
              <w:autoSpaceDE w:val="0"/>
              <w:autoSpaceDN w:val="0"/>
              <w:adjustRightInd w:val="0"/>
              <w:spacing w:line="240" w:lineRule="auto"/>
              <w:rPr>
                <w:rFonts w:cs="Times New Roman"/>
                <w:kern w:val="2"/>
                <w:sz w:val="20"/>
                <w:szCs w:val="20"/>
                <w:lang/>
              </w:rPr>
            </w:pPr>
          </w:p>
        </w:tc>
        <w:tc>
          <w:tcPr>
            <w:tcW w:w="684" w:type="pct"/>
            <w:tcBorders>
              <w:top w:val="nil"/>
              <w:left w:val="nil"/>
              <w:bottom w:val="nil"/>
              <w:right w:val="nil"/>
            </w:tcBorders>
          </w:tcPr>
          <w:p w14:paraId="45D41551"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(6.343)</w:t>
            </w:r>
          </w:p>
        </w:tc>
        <w:tc>
          <w:tcPr>
            <w:tcW w:w="684" w:type="pct"/>
            <w:tcBorders>
              <w:top w:val="nil"/>
              <w:left w:val="nil"/>
              <w:bottom w:val="nil"/>
              <w:right w:val="nil"/>
            </w:tcBorders>
          </w:tcPr>
          <w:p w14:paraId="7442A7C7"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(4.980)</w:t>
            </w:r>
          </w:p>
        </w:tc>
        <w:tc>
          <w:tcPr>
            <w:tcW w:w="684" w:type="pct"/>
            <w:tcBorders>
              <w:top w:val="nil"/>
              <w:left w:val="nil"/>
              <w:bottom w:val="nil"/>
              <w:right w:val="nil"/>
            </w:tcBorders>
          </w:tcPr>
          <w:p w14:paraId="3C2B77F3"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(35.008)</w:t>
            </w:r>
          </w:p>
        </w:tc>
        <w:tc>
          <w:tcPr>
            <w:tcW w:w="684" w:type="pct"/>
            <w:tcBorders>
              <w:top w:val="nil"/>
              <w:left w:val="nil"/>
              <w:bottom w:val="nil"/>
              <w:right w:val="nil"/>
            </w:tcBorders>
          </w:tcPr>
          <w:p w14:paraId="6AA58C74"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(0.164)</w:t>
            </w:r>
          </w:p>
        </w:tc>
        <w:tc>
          <w:tcPr>
            <w:tcW w:w="827" w:type="pct"/>
            <w:tcBorders>
              <w:top w:val="nil"/>
              <w:left w:val="nil"/>
              <w:bottom w:val="nil"/>
              <w:right w:val="nil"/>
            </w:tcBorders>
          </w:tcPr>
          <w:p w14:paraId="6C0A1C8C"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(0.480)</w:t>
            </w:r>
          </w:p>
        </w:tc>
      </w:tr>
      <w:tr w:rsidR="00CD4846" w:rsidRPr="00CD4846" w14:paraId="691A2319" w14:textId="77777777" w:rsidTr="002A6CED">
        <w:tc>
          <w:tcPr>
            <w:tcW w:w="1438" w:type="pct"/>
            <w:tcBorders>
              <w:top w:val="nil"/>
              <w:left w:val="nil"/>
              <w:bottom w:val="nil"/>
              <w:right w:val="nil"/>
            </w:tcBorders>
          </w:tcPr>
          <w:p w14:paraId="2F81EB5B" w14:textId="6613A37C"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Median HH Income (100ks)</w:t>
            </w:r>
          </w:p>
        </w:tc>
        <w:tc>
          <w:tcPr>
            <w:tcW w:w="684" w:type="pct"/>
            <w:tcBorders>
              <w:top w:val="nil"/>
              <w:left w:val="nil"/>
              <w:bottom w:val="nil"/>
              <w:right w:val="nil"/>
            </w:tcBorders>
          </w:tcPr>
          <w:p w14:paraId="262EC7BE"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-0.059</w:t>
            </w:r>
          </w:p>
        </w:tc>
        <w:tc>
          <w:tcPr>
            <w:tcW w:w="684" w:type="pct"/>
            <w:tcBorders>
              <w:top w:val="nil"/>
              <w:left w:val="nil"/>
              <w:bottom w:val="nil"/>
              <w:right w:val="nil"/>
            </w:tcBorders>
          </w:tcPr>
          <w:p w14:paraId="6BB19B03"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0.928**</w:t>
            </w:r>
          </w:p>
        </w:tc>
        <w:tc>
          <w:tcPr>
            <w:tcW w:w="684" w:type="pct"/>
            <w:tcBorders>
              <w:top w:val="nil"/>
              <w:left w:val="nil"/>
              <w:bottom w:val="nil"/>
              <w:right w:val="nil"/>
            </w:tcBorders>
          </w:tcPr>
          <w:p w14:paraId="1794BDE0"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0.378</w:t>
            </w:r>
          </w:p>
        </w:tc>
        <w:tc>
          <w:tcPr>
            <w:tcW w:w="684" w:type="pct"/>
            <w:tcBorders>
              <w:top w:val="nil"/>
              <w:left w:val="nil"/>
              <w:bottom w:val="nil"/>
              <w:right w:val="nil"/>
            </w:tcBorders>
          </w:tcPr>
          <w:p w14:paraId="4044F08C"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0.256</w:t>
            </w:r>
          </w:p>
        </w:tc>
        <w:tc>
          <w:tcPr>
            <w:tcW w:w="827" w:type="pct"/>
            <w:tcBorders>
              <w:top w:val="nil"/>
              <w:left w:val="nil"/>
              <w:bottom w:val="nil"/>
              <w:right w:val="nil"/>
            </w:tcBorders>
          </w:tcPr>
          <w:p w14:paraId="2FCD1136"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-0.184</w:t>
            </w:r>
          </w:p>
        </w:tc>
      </w:tr>
      <w:tr w:rsidR="00CD4846" w:rsidRPr="00CD4846" w14:paraId="2DC6A93D" w14:textId="77777777" w:rsidTr="002A6CED">
        <w:tc>
          <w:tcPr>
            <w:tcW w:w="1438" w:type="pct"/>
            <w:tcBorders>
              <w:top w:val="nil"/>
              <w:left w:val="nil"/>
              <w:bottom w:val="nil"/>
              <w:right w:val="nil"/>
            </w:tcBorders>
          </w:tcPr>
          <w:p w14:paraId="2AC17829" w14:textId="1A73C50F" w:rsidR="00CD4846" w:rsidRPr="00DA465B" w:rsidRDefault="00CD4846" w:rsidP="00DA465B">
            <w:pPr>
              <w:widowControl w:val="0"/>
              <w:autoSpaceDE w:val="0"/>
              <w:autoSpaceDN w:val="0"/>
              <w:adjustRightInd w:val="0"/>
              <w:spacing w:line="240" w:lineRule="auto"/>
              <w:rPr>
                <w:rFonts w:cs="Times New Roman"/>
                <w:kern w:val="2"/>
                <w:sz w:val="20"/>
                <w:szCs w:val="20"/>
                <w:lang/>
              </w:rPr>
            </w:pPr>
          </w:p>
        </w:tc>
        <w:tc>
          <w:tcPr>
            <w:tcW w:w="684" w:type="pct"/>
            <w:tcBorders>
              <w:top w:val="nil"/>
              <w:left w:val="nil"/>
              <w:bottom w:val="nil"/>
              <w:right w:val="nil"/>
            </w:tcBorders>
          </w:tcPr>
          <w:p w14:paraId="5B2B7CF5"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(0.310)</w:t>
            </w:r>
          </w:p>
        </w:tc>
        <w:tc>
          <w:tcPr>
            <w:tcW w:w="684" w:type="pct"/>
            <w:tcBorders>
              <w:top w:val="nil"/>
              <w:left w:val="nil"/>
              <w:bottom w:val="nil"/>
              <w:right w:val="nil"/>
            </w:tcBorders>
          </w:tcPr>
          <w:p w14:paraId="2E65A875"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(0.418)</w:t>
            </w:r>
          </w:p>
        </w:tc>
        <w:tc>
          <w:tcPr>
            <w:tcW w:w="684" w:type="pct"/>
            <w:tcBorders>
              <w:top w:val="nil"/>
              <w:left w:val="nil"/>
              <w:bottom w:val="nil"/>
              <w:right w:val="nil"/>
            </w:tcBorders>
          </w:tcPr>
          <w:p w14:paraId="0CFC6819"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(0.454)</w:t>
            </w:r>
          </w:p>
        </w:tc>
        <w:tc>
          <w:tcPr>
            <w:tcW w:w="684" w:type="pct"/>
            <w:tcBorders>
              <w:top w:val="nil"/>
              <w:left w:val="nil"/>
              <w:bottom w:val="nil"/>
              <w:right w:val="nil"/>
            </w:tcBorders>
          </w:tcPr>
          <w:p w14:paraId="4A324785"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(0.173)</w:t>
            </w:r>
          </w:p>
        </w:tc>
        <w:tc>
          <w:tcPr>
            <w:tcW w:w="827" w:type="pct"/>
            <w:tcBorders>
              <w:top w:val="nil"/>
              <w:left w:val="nil"/>
              <w:bottom w:val="nil"/>
              <w:right w:val="nil"/>
            </w:tcBorders>
          </w:tcPr>
          <w:p w14:paraId="05EE9B40"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(0.185)</w:t>
            </w:r>
          </w:p>
        </w:tc>
      </w:tr>
      <w:tr w:rsidR="00CD4846" w:rsidRPr="00CD4846" w14:paraId="19E4D688" w14:textId="77777777" w:rsidTr="002A6CED">
        <w:tc>
          <w:tcPr>
            <w:tcW w:w="1438" w:type="pct"/>
            <w:tcBorders>
              <w:top w:val="nil"/>
              <w:left w:val="nil"/>
              <w:bottom w:val="nil"/>
              <w:right w:val="nil"/>
            </w:tcBorders>
          </w:tcPr>
          <w:p w14:paraId="39574B79" w14:textId="665B9156"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Housing Price Index (100s)</w:t>
            </w:r>
          </w:p>
        </w:tc>
        <w:tc>
          <w:tcPr>
            <w:tcW w:w="684" w:type="pct"/>
            <w:tcBorders>
              <w:top w:val="nil"/>
              <w:left w:val="nil"/>
              <w:bottom w:val="nil"/>
              <w:right w:val="nil"/>
            </w:tcBorders>
          </w:tcPr>
          <w:p w14:paraId="64F73147"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0.080***</w:t>
            </w:r>
          </w:p>
        </w:tc>
        <w:tc>
          <w:tcPr>
            <w:tcW w:w="684" w:type="pct"/>
            <w:tcBorders>
              <w:top w:val="nil"/>
              <w:left w:val="nil"/>
              <w:bottom w:val="nil"/>
              <w:right w:val="nil"/>
            </w:tcBorders>
          </w:tcPr>
          <w:p w14:paraId="7A2A6634"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0.064**</w:t>
            </w:r>
          </w:p>
        </w:tc>
        <w:tc>
          <w:tcPr>
            <w:tcW w:w="684" w:type="pct"/>
            <w:tcBorders>
              <w:top w:val="nil"/>
              <w:left w:val="nil"/>
              <w:bottom w:val="nil"/>
              <w:right w:val="nil"/>
            </w:tcBorders>
          </w:tcPr>
          <w:p w14:paraId="479FCAEE"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-0.035</w:t>
            </w:r>
          </w:p>
        </w:tc>
        <w:tc>
          <w:tcPr>
            <w:tcW w:w="684" w:type="pct"/>
            <w:tcBorders>
              <w:top w:val="nil"/>
              <w:left w:val="nil"/>
              <w:bottom w:val="nil"/>
              <w:right w:val="nil"/>
            </w:tcBorders>
          </w:tcPr>
          <w:p w14:paraId="5838F7FB"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0.023*</w:t>
            </w:r>
          </w:p>
        </w:tc>
        <w:tc>
          <w:tcPr>
            <w:tcW w:w="827" w:type="pct"/>
            <w:tcBorders>
              <w:top w:val="nil"/>
              <w:left w:val="nil"/>
              <w:bottom w:val="nil"/>
              <w:right w:val="nil"/>
            </w:tcBorders>
          </w:tcPr>
          <w:p w14:paraId="1C8E4B20"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0.030***</w:t>
            </w:r>
          </w:p>
        </w:tc>
      </w:tr>
      <w:tr w:rsidR="00CD4846" w:rsidRPr="00CD4846" w14:paraId="63F7B7B5" w14:textId="77777777" w:rsidTr="002A6CED">
        <w:tc>
          <w:tcPr>
            <w:tcW w:w="1438" w:type="pct"/>
            <w:tcBorders>
              <w:top w:val="nil"/>
              <w:left w:val="nil"/>
              <w:bottom w:val="nil"/>
              <w:right w:val="nil"/>
            </w:tcBorders>
          </w:tcPr>
          <w:p w14:paraId="7B06D2F4" w14:textId="61E3759E" w:rsidR="00CD4846" w:rsidRPr="00DA465B" w:rsidRDefault="00CD4846" w:rsidP="00DA465B">
            <w:pPr>
              <w:widowControl w:val="0"/>
              <w:autoSpaceDE w:val="0"/>
              <w:autoSpaceDN w:val="0"/>
              <w:adjustRightInd w:val="0"/>
              <w:spacing w:line="240" w:lineRule="auto"/>
              <w:rPr>
                <w:rFonts w:cs="Times New Roman"/>
                <w:kern w:val="2"/>
                <w:sz w:val="20"/>
                <w:szCs w:val="20"/>
                <w:lang/>
              </w:rPr>
            </w:pPr>
          </w:p>
        </w:tc>
        <w:tc>
          <w:tcPr>
            <w:tcW w:w="684" w:type="pct"/>
            <w:tcBorders>
              <w:top w:val="nil"/>
              <w:left w:val="nil"/>
              <w:bottom w:val="nil"/>
              <w:right w:val="nil"/>
            </w:tcBorders>
          </w:tcPr>
          <w:p w14:paraId="4FD7D9A5"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(0.026)</w:t>
            </w:r>
          </w:p>
        </w:tc>
        <w:tc>
          <w:tcPr>
            <w:tcW w:w="684" w:type="pct"/>
            <w:tcBorders>
              <w:top w:val="nil"/>
              <w:left w:val="nil"/>
              <w:bottom w:val="nil"/>
              <w:right w:val="nil"/>
            </w:tcBorders>
          </w:tcPr>
          <w:p w14:paraId="26C56449"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(0.031)</w:t>
            </w:r>
          </w:p>
        </w:tc>
        <w:tc>
          <w:tcPr>
            <w:tcW w:w="684" w:type="pct"/>
            <w:tcBorders>
              <w:top w:val="nil"/>
              <w:left w:val="nil"/>
              <w:bottom w:val="nil"/>
              <w:right w:val="nil"/>
            </w:tcBorders>
          </w:tcPr>
          <w:p w14:paraId="7DA51A16"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(0.030)</w:t>
            </w:r>
          </w:p>
        </w:tc>
        <w:tc>
          <w:tcPr>
            <w:tcW w:w="684" w:type="pct"/>
            <w:tcBorders>
              <w:top w:val="nil"/>
              <w:left w:val="nil"/>
              <w:bottom w:val="nil"/>
              <w:right w:val="nil"/>
            </w:tcBorders>
          </w:tcPr>
          <w:p w14:paraId="41E6A877"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(0.014)</w:t>
            </w:r>
          </w:p>
        </w:tc>
        <w:tc>
          <w:tcPr>
            <w:tcW w:w="827" w:type="pct"/>
            <w:tcBorders>
              <w:top w:val="nil"/>
              <w:left w:val="nil"/>
              <w:bottom w:val="nil"/>
              <w:right w:val="nil"/>
            </w:tcBorders>
          </w:tcPr>
          <w:p w14:paraId="48D9BB6A"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(0.011)</w:t>
            </w:r>
          </w:p>
        </w:tc>
      </w:tr>
      <w:tr w:rsidR="00CD4846" w:rsidRPr="00CD4846" w14:paraId="49BC2705" w14:textId="77777777" w:rsidTr="002A6CED">
        <w:tc>
          <w:tcPr>
            <w:tcW w:w="1438" w:type="pct"/>
            <w:tcBorders>
              <w:top w:val="nil"/>
              <w:left w:val="nil"/>
              <w:bottom w:val="nil"/>
              <w:right w:val="nil"/>
            </w:tcBorders>
          </w:tcPr>
          <w:p w14:paraId="314F91AB" w14:textId="6E242562"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Poverty rate (100s)</w:t>
            </w:r>
          </w:p>
        </w:tc>
        <w:tc>
          <w:tcPr>
            <w:tcW w:w="684" w:type="pct"/>
            <w:tcBorders>
              <w:top w:val="nil"/>
              <w:left w:val="nil"/>
              <w:bottom w:val="nil"/>
              <w:right w:val="nil"/>
            </w:tcBorders>
          </w:tcPr>
          <w:p w14:paraId="54940AB6"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-0.247</w:t>
            </w:r>
          </w:p>
        </w:tc>
        <w:tc>
          <w:tcPr>
            <w:tcW w:w="684" w:type="pct"/>
            <w:tcBorders>
              <w:top w:val="nil"/>
              <w:left w:val="nil"/>
              <w:bottom w:val="nil"/>
              <w:right w:val="nil"/>
            </w:tcBorders>
          </w:tcPr>
          <w:p w14:paraId="4E6BCDCB"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-1.494**</w:t>
            </w:r>
          </w:p>
        </w:tc>
        <w:tc>
          <w:tcPr>
            <w:tcW w:w="684" w:type="pct"/>
            <w:tcBorders>
              <w:top w:val="nil"/>
              <w:left w:val="nil"/>
              <w:bottom w:val="nil"/>
              <w:right w:val="nil"/>
            </w:tcBorders>
          </w:tcPr>
          <w:p w14:paraId="18C2D13F"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1.083</w:t>
            </w:r>
          </w:p>
        </w:tc>
        <w:tc>
          <w:tcPr>
            <w:tcW w:w="684" w:type="pct"/>
            <w:tcBorders>
              <w:top w:val="nil"/>
              <w:left w:val="nil"/>
              <w:bottom w:val="nil"/>
              <w:right w:val="nil"/>
            </w:tcBorders>
          </w:tcPr>
          <w:p w14:paraId="04E211F7"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-0.255</w:t>
            </w:r>
          </w:p>
        </w:tc>
        <w:tc>
          <w:tcPr>
            <w:tcW w:w="827" w:type="pct"/>
            <w:tcBorders>
              <w:top w:val="nil"/>
              <w:left w:val="nil"/>
              <w:bottom w:val="nil"/>
              <w:right w:val="nil"/>
            </w:tcBorders>
          </w:tcPr>
          <w:p w14:paraId="6FD7ED6B"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-0.380</w:t>
            </w:r>
          </w:p>
        </w:tc>
      </w:tr>
      <w:tr w:rsidR="00CD4846" w:rsidRPr="00CD4846" w14:paraId="61F4A36A" w14:textId="77777777" w:rsidTr="002A6CED">
        <w:tc>
          <w:tcPr>
            <w:tcW w:w="1438" w:type="pct"/>
            <w:tcBorders>
              <w:top w:val="nil"/>
              <w:left w:val="nil"/>
              <w:bottom w:val="nil"/>
              <w:right w:val="nil"/>
            </w:tcBorders>
          </w:tcPr>
          <w:p w14:paraId="5231BC1D" w14:textId="7BBB0B85" w:rsidR="00CD4846" w:rsidRPr="00DA465B" w:rsidRDefault="00CD4846" w:rsidP="00DA465B">
            <w:pPr>
              <w:widowControl w:val="0"/>
              <w:autoSpaceDE w:val="0"/>
              <w:autoSpaceDN w:val="0"/>
              <w:adjustRightInd w:val="0"/>
              <w:spacing w:line="240" w:lineRule="auto"/>
              <w:rPr>
                <w:rFonts w:cs="Times New Roman"/>
                <w:kern w:val="2"/>
                <w:sz w:val="20"/>
                <w:szCs w:val="20"/>
                <w:lang/>
              </w:rPr>
            </w:pPr>
          </w:p>
        </w:tc>
        <w:tc>
          <w:tcPr>
            <w:tcW w:w="684" w:type="pct"/>
            <w:tcBorders>
              <w:top w:val="nil"/>
              <w:left w:val="nil"/>
              <w:bottom w:val="nil"/>
              <w:right w:val="nil"/>
            </w:tcBorders>
          </w:tcPr>
          <w:p w14:paraId="590A8172"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(0.546)</w:t>
            </w:r>
          </w:p>
        </w:tc>
        <w:tc>
          <w:tcPr>
            <w:tcW w:w="684" w:type="pct"/>
            <w:tcBorders>
              <w:top w:val="nil"/>
              <w:left w:val="nil"/>
              <w:bottom w:val="nil"/>
              <w:right w:val="nil"/>
            </w:tcBorders>
          </w:tcPr>
          <w:p w14:paraId="0314D540"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(0.691)</w:t>
            </w:r>
          </w:p>
        </w:tc>
        <w:tc>
          <w:tcPr>
            <w:tcW w:w="684" w:type="pct"/>
            <w:tcBorders>
              <w:top w:val="nil"/>
              <w:left w:val="nil"/>
              <w:bottom w:val="nil"/>
              <w:right w:val="nil"/>
            </w:tcBorders>
          </w:tcPr>
          <w:p w14:paraId="51459BC4"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(0.701)</w:t>
            </w:r>
          </w:p>
        </w:tc>
        <w:tc>
          <w:tcPr>
            <w:tcW w:w="684" w:type="pct"/>
            <w:tcBorders>
              <w:top w:val="nil"/>
              <w:left w:val="nil"/>
              <w:bottom w:val="nil"/>
              <w:right w:val="nil"/>
            </w:tcBorders>
          </w:tcPr>
          <w:p w14:paraId="76758BCA"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(0.288)</w:t>
            </w:r>
          </w:p>
        </w:tc>
        <w:tc>
          <w:tcPr>
            <w:tcW w:w="827" w:type="pct"/>
            <w:tcBorders>
              <w:top w:val="nil"/>
              <w:left w:val="nil"/>
              <w:bottom w:val="nil"/>
              <w:right w:val="nil"/>
            </w:tcBorders>
          </w:tcPr>
          <w:p w14:paraId="1680B035"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(0.250)</w:t>
            </w:r>
          </w:p>
        </w:tc>
      </w:tr>
      <w:tr w:rsidR="00CD4846" w:rsidRPr="00CD4846" w14:paraId="1E0269B3" w14:textId="77777777" w:rsidTr="002A6CED">
        <w:tc>
          <w:tcPr>
            <w:tcW w:w="1438" w:type="pct"/>
            <w:tcBorders>
              <w:top w:val="nil"/>
              <w:left w:val="nil"/>
              <w:bottom w:val="nil"/>
              <w:right w:val="nil"/>
            </w:tcBorders>
          </w:tcPr>
          <w:p w14:paraId="012E0243" w14:textId="51B5F54F"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Avg annual wages (100k)</w:t>
            </w:r>
          </w:p>
        </w:tc>
        <w:tc>
          <w:tcPr>
            <w:tcW w:w="684" w:type="pct"/>
            <w:tcBorders>
              <w:top w:val="nil"/>
              <w:left w:val="nil"/>
              <w:bottom w:val="nil"/>
              <w:right w:val="nil"/>
            </w:tcBorders>
          </w:tcPr>
          <w:p w14:paraId="5D197544"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0.019</w:t>
            </w:r>
          </w:p>
        </w:tc>
        <w:tc>
          <w:tcPr>
            <w:tcW w:w="684" w:type="pct"/>
            <w:tcBorders>
              <w:top w:val="nil"/>
              <w:left w:val="nil"/>
              <w:bottom w:val="nil"/>
              <w:right w:val="nil"/>
            </w:tcBorders>
          </w:tcPr>
          <w:p w14:paraId="34B4A2FF"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0.007</w:t>
            </w:r>
          </w:p>
        </w:tc>
        <w:tc>
          <w:tcPr>
            <w:tcW w:w="684" w:type="pct"/>
            <w:tcBorders>
              <w:top w:val="nil"/>
              <w:left w:val="nil"/>
              <w:bottom w:val="nil"/>
              <w:right w:val="nil"/>
            </w:tcBorders>
          </w:tcPr>
          <w:p w14:paraId="10DDE828"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-0.009</w:t>
            </w:r>
          </w:p>
        </w:tc>
        <w:tc>
          <w:tcPr>
            <w:tcW w:w="684" w:type="pct"/>
            <w:tcBorders>
              <w:top w:val="nil"/>
              <w:left w:val="nil"/>
              <w:bottom w:val="nil"/>
              <w:right w:val="nil"/>
            </w:tcBorders>
          </w:tcPr>
          <w:p w14:paraId="2C200001"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-0.004</w:t>
            </w:r>
          </w:p>
        </w:tc>
        <w:tc>
          <w:tcPr>
            <w:tcW w:w="827" w:type="pct"/>
            <w:tcBorders>
              <w:top w:val="nil"/>
              <w:left w:val="nil"/>
              <w:bottom w:val="nil"/>
              <w:right w:val="nil"/>
            </w:tcBorders>
          </w:tcPr>
          <w:p w14:paraId="62ACE60D"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-0.011</w:t>
            </w:r>
          </w:p>
        </w:tc>
      </w:tr>
      <w:tr w:rsidR="00CD4846" w:rsidRPr="00CD4846" w14:paraId="1C727DB0" w14:textId="77777777" w:rsidTr="002A6CED">
        <w:tc>
          <w:tcPr>
            <w:tcW w:w="1438" w:type="pct"/>
            <w:tcBorders>
              <w:top w:val="nil"/>
              <w:left w:val="nil"/>
              <w:bottom w:val="nil"/>
              <w:right w:val="nil"/>
            </w:tcBorders>
          </w:tcPr>
          <w:p w14:paraId="5D9DBDDC" w14:textId="4C90CB9D" w:rsidR="00CD4846" w:rsidRPr="00DA465B" w:rsidRDefault="00CD4846" w:rsidP="00DA465B">
            <w:pPr>
              <w:widowControl w:val="0"/>
              <w:autoSpaceDE w:val="0"/>
              <w:autoSpaceDN w:val="0"/>
              <w:adjustRightInd w:val="0"/>
              <w:spacing w:line="240" w:lineRule="auto"/>
              <w:rPr>
                <w:rFonts w:cs="Times New Roman"/>
                <w:kern w:val="2"/>
                <w:sz w:val="20"/>
                <w:szCs w:val="20"/>
                <w:lang/>
              </w:rPr>
            </w:pPr>
          </w:p>
        </w:tc>
        <w:tc>
          <w:tcPr>
            <w:tcW w:w="684" w:type="pct"/>
            <w:tcBorders>
              <w:top w:val="nil"/>
              <w:left w:val="nil"/>
              <w:bottom w:val="nil"/>
              <w:right w:val="nil"/>
            </w:tcBorders>
          </w:tcPr>
          <w:p w14:paraId="078985DB"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(0.013)</w:t>
            </w:r>
          </w:p>
        </w:tc>
        <w:tc>
          <w:tcPr>
            <w:tcW w:w="684" w:type="pct"/>
            <w:tcBorders>
              <w:top w:val="nil"/>
              <w:left w:val="nil"/>
              <w:bottom w:val="nil"/>
              <w:right w:val="nil"/>
            </w:tcBorders>
          </w:tcPr>
          <w:p w14:paraId="41E0C95F"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(0.006)</w:t>
            </w:r>
          </w:p>
        </w:tc>
        <w:tc>
          <w:tcPr>
            <w:tcW w:w="684" w:type="pct"/>
            <w:tcBorders>
              <w:top w:val="nil"/>
              <w:left w:val="nil"/>
              <w:bottom w:val="nil"/>
              <w:right w:val="nil"/>
            </w:tcBorders>
          </w:tcPr>
          <w:p w14:paraId="679A1ECC"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(0.012)</w:t>
            </w:r>
          </w:p>
        </w:tc>
        <w:tc>
          <w:tcPr>
            <w:tcW w:w="684" w:type="pct"/>
            <w:tcBorders>
              <w:top w:val="nil"/>
              <w:left w:val="nil"/>
              <w:bottom w:val="nil"/>
              <w:right w:val="nil"/>
            </w:tcBorders>
          </w:tcPr>
          <w:p w14:paraId="1E9C576C"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(0.011)</w:t>
            </w:r>
          </w:p>
        </w:tc>
        <w:tc>
          <w:tcPr>
            <w:tcW w:w="827" w:type="pct"/>
            <w:tcBorders>
              <w:top w:val="nil"/>
              <w:left w:val="nil"/>
              <w:bottom w:val="nil"/>
              <w:right w:val="nil"/>
            </w:tcBorders>
          </w:tcPr>
          <w:p w14:paraId="6ED27F82"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(0.007)</w:t>
            </w:r>
          </w:p>
        </w:tc>
      </w:tr>
      <w:tr w:rsidR="00CD4846" w:rsidRPr="00CD4846" w14:paraId="44E43515" w14:textId="77777777" w:rsidTr="002A6CED">
        <w:tc>
          <w:tcPr>
            <w:tcW w:w="1438" w:type="pct"/>
            <w:tcBorders>
              <w:top w:val="nil"/>
              <w:left w:val="nil"/>
              <w:bottom w:val="nil"/>
              <w:right w:val="nil"/>
            </w:tcBorders>
          </w:tcPr>
          <w:p w14:paraId="6F4C8C4C" w14:textId="69E01FCC"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Attain. Status - CO (t-1)</w:t>
            </w:r>
          </w:p>
        </w:tc>
        <w:tc>
          <w:tcPr>
            <w:tcW w:w="684" w:type="pct"/>
            <w:tcBorders>
              <w:top w:val="nil"/>
              <w:left w:val="nil"/>
              <w:bottom w:val="nil"/>
              <w:right w:val="nil"/>
            </w:tcBorders>
          </w:tcPr>
          <w:p w14:paraId="66AF24C3"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-0.665</w:t>
            </w:r>
          </w:p>
        </w:tc>
        <w:tc>
          <w:tcPr>
            <w:tcW w:w="684" w:type="pct"/>
            <w:tcBorders>
              <w:top w:val="nil"/>
              <w:left w:val="nil"/>
              <w:bottom w:val="nil"/>
              <w:right w:val="nil"/>
            </w:tcBorders>
          </w:tcPr>
          <w:p w14:paraId="68222F12"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-0.464*</w:t>
            </w:r>
          </w:p>
        </w:tc>
        <w:tc>
          <w:tcPr>
            <w:tcW w:w="684" w:type="pct"/>
            <w:tcBorders>
              <w:top w:val="nil"/>
              <w:left w:val="nil"/>
              <w:bottom w:val="nil"/>
              <w:right w:val="nil"/>
            </w:tcBorders>
          </w:tcPr>
          <w:p w14:paraId="0274A467"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-0.827</w:t>
            </w:r>
          </w:p>
        </w:tc>
        <w:tc>
          <w:tcPr>
            <w:tcW w:w="684" w:type="pct"/>
            <w:tcBorders>
              <w:top w:val="nil"/>
              <w:left w:val="nil"/>
              <w:bottom w:val="nil"/>
              <w:right w:val="nil"/>
            </w:tcBorders>
          </w:tcPr>
          <w:p w14:paraId="4FD3B53F"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-0.105</w:t>
            </w:r>
          </w:p>
        </w:tc>
        <w:tc>
          <w:tcPr>
            <w:tcW w:w="827" w:type="pct"/>
            <w:tcBorders>
              <w:top w:val="nil"/>
              <w:left w:val="nil"/>
              <w:bottom w:val="nil"/>
              <w:right w:val="nil"/>
            </w:tcBorders>
          </w:tcPr>
          <w:p w14:paraId="07DD03B7"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-0.034</w:t>
            </w:r>
          </w:p>
        </w:tc>
      </w:tr>
      <w:tr w:rsidR="00CD4846" w:rsidRPr="00CD4846" w14:paraId="3360FF91" w14:textId="77777777" w:rsidTr="002A6CED">
        <w:tc>
          <w:tcPr>
            <w:tcW w:w="1438" w:type="pct"/>
            <w:tcBorders>
              <w:top w:val="nil"/>
              <w:left w:val="nil"/>
              <w:bottom w:val="nil"/>
              <w:right w:val="nil"/>
            </w:tcBorders>
          </w:tcPr>
          <w:p w14:paraId="01D549EA" w14:textId="5630C62D" w:rsidR="00CD4846" w:rsidRPr="00DA465B" w:rsidRDefault="00CD4846" w:rsidP="00DA465B">
            <w:pPr>
              <w:widowControl w:val="0"/>
              <w:autoSpaceDE w:val="0"/>
              <w:autoSpaceDN w:val="0"/>
              <w:adjustRightInd w:val="0"/>
              <w:spacing w:line="240" w:lineRule="auto"/>
              <w:rPr>
                <w:rFonts w:cs="Times New Roman"/>
                <w:kern w:val="2"/>
                <w:sz w:val="20"/>
                <w:szCs w:val="20"/>
                <w:lang/>
              </w:rPr>
            </w:pPr>
          </w:p>
        </w:tc>
        <w:tc>
          <w:tcPr>
            <w:tcW w:w="684" w:type="pct"/>
            <w:tcBorders>
              <w:top w:val="nil"/>
              <w:left w:val="nil"/>
              <w:bottom w:val="nil"/>
              <w:right w:val="nil"/>
            </w:tcBorders>
          </w:tcPr>
          <w:p w14:paraId="6E813CF8"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(0.541)</w:t>
            </w:r>
          </w:p>
        </w:tc>
        <w:tc>
          <w:tcPr>
            <w:tcW w:w="684" w:type="pct"/>
            <w:tcBorders>
              <w:top w:val="nil"/>
              <w:left w:val="nil"/>
              <w:bottom w:val="nil"/>
              <w:right w:val="nil"/>
            </w:tcBorders>
          </w:tcPr>
          <w:p w14:paraId="6F0CE151"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(0.249)</w:t>
            </w:r>
          </w:p>
        </w:tc>
        <w:tc>
          <w:tcPr>
            <w:tcW w:w="684" w:type="pct"/>
            <w:tcBorders>
              <w:top w:val="nil"/>
              <w:left w:val="nil"/>
              <w:bottom w:val="nil"/>
              <w:right w:val="nil"/>
            </w:tcBorders>
          </w:tcPr>
          <w:p w14:paraId="5C2CCE7E"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(0.955)</w:t>
            </w:r>
          </w:p>
        </w:tc>
        <w:tc>
          <w:tcPr>
            <w:tcW w:w="684" w:type="pct"/>
            <w:tcBorders>
              <w:top w:val="nil"/>
              <w:left w:val="nil"/>
              <w:bottom w:val="nil"/>
              <w:right w:val="nil"/>
            </w:tcBorders>
          </w:tcPr>
          <w:p w14:paraId="3DFAB188"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(0.250)</w:t>
            </w:r>
          </w:p>
        </w:tc>
        <w:tc>
          <w:tcPr>
            <w:tcW w:w="827" w:type="pct"/>
            <w:tcBorders>
              <w:top w:val="nil"/>
              <w:left w:val="nil"/>
              <w:bottom w:val="nil"/>
              <w:right w:val="nil"/>
            </w:tcBorders>
          </w:tcPr>
          <w:p w14:paraId="55798E9D"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(0.098)</w:t>
            </w:r>
          </w:p>
        </w:tc>
      </w:tr>
      <w:tr w:rsidR="00CD4846" w:rsidRPr="00CD4846" w14:paraId="502DE8DC" w14:textId="77777777" w:rsidTr="002A6CED">
        <w:tc>
          <w:tcPr>
            <w:tcW w:w="1438" w:type="pct"/>
            <w:tcBorders>
              <w:top w:val="nil"/>
              <w:left w:val="nil"/>
              <w:bottom w:val="nil"/>
              <w:right w:val="nil"/>
            </w:tcBorders>
          </w:tcPr>
          <w:p w14:paraId="2B39320C" w14:textId="282F89DC"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Attain. Status - Pb (t-1)</w:t>
            </w:r>
          </w:p>
        </w:tc>
        <w:tc>
          <w:tcPr>
            <w:tcW w:w="684" w:type="pct"/>
            <w:tcBorders>
              <w:top w:val="nil"/>
              <w:left w:val="nil"/>
              <w:bottom w:val="nil"/>
              <w:right w:val="nil"/>
            </w:tcBorders>
          </w:tcPr>
          <w:p w14:paraId="4C41BE11"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-0.037</w:t>
            </w:r>
          </w:p>
        </w:tc>
        <w:tc>
          <w:tcPr>
            <w:tcW w:w="684" w:type="pct"/>
            <w:tcBorders>
              <w:top w:val="nil"/>
              <w:left w:val="nil"/>
              <w:bottom w:val="nil"/>
              <w:right w:val="nil"/>
            </w:tcBorders>
          </w:tcPr>
          <w:p w14:paraId="11256580"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-0.038</w:t>
            </w:r>
          </w:p>
        </w:tc>
        <w:tc>
          <w:tcPr>
            <w:tcW w:w="684" w:type="pct"/>
            <w:tcBorders>
              <w:top w:val="nil"/>
              <w:left w:val="nil"/>
              <w:bottom w:val="nil"/>
              <w:right w:val="nil"/>
            </w:tcBorders>
          </w:tcPr>
          <w:p w14:paraId="62B39260"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-0.196</w:t>
            </w:r>
          </w:p>
        </w:tc>
        <w:tc>
          <w:tcPr>
            <w:tcW w:w="684" w:type="pct"/>
            <w:tcBorders>
              <w:top w:val="nil"/>
              <w:left w:val="nil"/>
              <w:bottom w:val="nil"/>
              <w:right w:val="nil"/>
            </w:tcBorders>
          </w:tcPr>
          <w:p w14:paraId="1E035387"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0.083</w:t>
            </w:r>
          </w:p>
        </w:tc>
        <w:tc>
          <w:tcPr>
            <w:tcW w:w="827" w:type="pct"/>
            <w:tcBorders>
              <w:top w:val="nil"/>
              <w:left w:val="nil"/>
              <w:bottom w:val="nil"/>
              <w:right w:val="nil"/>
            </w:tcBorders>
          </w:tcPr>
          <w:p w14:paraId="00A8360B"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-0.068</w:t>
            </w:r>
          </w:p>
        </w:tc>
      </w:tr>
      <w:tr w:rsidR="00CD4846" w:rsidRPr="00CD4846" w14:paraId="410A5FC6" w14:textId="77777777" w:rsidTr="002A6CED">
        <w:tc>
          <w:tcPr>
            <w:tcW w:w="1438" w:type="pct"/>
            <w:tcBorders>
              <w:top w:val="nil"/>
              <w:left w:val="nil"/>
              <w:bottom w:val="nil"/>
              <w:right w:val="nil"/>
            </w:tcBorders>
          </w:tcPr>
          <w:p w14:paraId="0C4B27DA" w14:textId="42C88AC6" w:rsidR="00CD4846" w:rsidRPr="00DA465B" w:rsidRDefault="00CD4846" w:rsidP="00DA465B">
            <w:pPr>
              <w:widowControl w:val="0"/>
              <w:autoSpaceDE w:val="0"/>
              <w:autoSpaceDN w:val="0"/>
              <w:adjustRightInd w:val="0"/>
              <w:spacing w:line="240" w:lineRule="auto"/>
              <w:rPr>
                <w:rFonts w:cs="Times New Roman"/>
                <w:kern w:val="2"/>
                <w:sz w:val="20"/>
                <w:szCs w:val="20"/>
                <w:lang/>
              </w:rPr>
            </w:pPr>
          </w:p>
        </w:tc>
        <w:tc>
          <w:tcPr>
            <w:tcW w:w="684" w:type="pct"/>
            <w:tcBorders>
              <w:top w:val="nil"/>
              <w:left w:val="nil"/>
              <w:bottom w:val="nil"/>
              <w:right w:val="nil"/>
            </w:tcBorders>
          </w:tcPr>
          <w:p w14:paraId="3A4492AA"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(0.117)</w:t>
            </w:r>
          </w:p>
        </w:tc>
        <w:tc>
          <w:tcPr>
            <w:tcW w:w="684" w:type="pct"/>
            <w:tcBorders>
              <w:top w:val="nil"/>
              <w:left w:val="nil"/>
              <w:bottom w:val="nil"/>
              <w:right w:val="nil"/>
            </w:tcBorders>
          </w:tcPr>
          <w:p w14:paraId="73BB4DA2"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(0.132)</w:t>
            </w:r>
          </w:p>
        </w:tc>
        <w:tc>
          <w:tcPr>
            <w:tcW w:w="684" w:type="pct"/>
            <w:tcBorders>
              <w:top w:val="nil"/>
              <w:left w:val="nil"/>
              <w:bottom w:val="nil"/>
              <w:right w:val="nil"/>
            </w:tcBorders>
          </w:tcPr>
          <w:p w14:paraId="739E43CC"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(0.149)</w:t>
            </w:r>
          </w:p>
        </w:tc>
        <w:tc>
          <w:tcPr>
            <w:tcW w:w="684" w:type="pct"/>
            <w:tcBorders>
              <w:top w:val="nil"/>
              <w:left w:val="nil"/>
              <w:bottom w:val="nil"/>
              <w:right w:val="nil"/>
            </w:tcBorders>
          </w:tcPr>
          <w:p w14:paraId="199BE45E"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(0.060)</w:t>
            </w:r>
          </w:p>
        </w:tc>
        <w:tc>
          <w:tcPr>
            <w:tcW w:w="827" w:type="pct"/>
            <w:tcBorders>
              <w:top w:val="nil"/>
              <w:left w:val="nil"/>
              <w:bottom w:val="nil"/>
              <w:right w:val="nil"/>
            </w:tcBorders>
          </w:tcPr>
          <w:p w14:paraId="0C94BC59"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(0.050)</w:t>
            </w:r>
          </w:p>
        </w:tc>
      </w:tr>
      <w:tr w:rsidR="00CD4846" w:rsidRPr="00CD4846" w14:paraId="6DE8EF28" w14:textId="77777777" w:rsidTr="002A6CED">
        <w:tc>
          <w:tcPr>
            <w:tcW w:w="1438" w:type="pct"/>
            <w:tcBorders>
              <w:top w:val="nil"/>
              <w:left w:val="nil"/>
              <w:bottom w:val="nil"/>
              <w:right w:val="nil"/>
            </w:tcBorders>
          </w:tcPr>
          <w:p w14:paraId="460906AC" w14:textId="22809D35"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Attain. Status - O3 (t-1)</w:t>
            </w:r>
          </w:p>
        </w:tc>
        <w:tc>
          <w:tcPr>
            <w:tcW w:w="684" w:type="pct"/>
            <w:tcBorders>
              <w:top w:val="nil"/>
              <w:left w:val="nil"/>
              <w:bottom w:val="nil"/>
              <w:right w:val="nil"/>
            </w:tcBorders>
          </w:tcPr>
          <w:p w14:paraId="6351C2DC"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0.103***</w:t>
            </w:r>
          </w:p>
        </w:tc>
        <w:tc>
          <w:tcPr>
            <w:tcW w:w="684" w:type="pct"/>
            <w:tcBorders>
              <w:top w:val="nil"/>
              <w:left w:val="nil"/>
              <w:bottom w:val="nil"/>
              <w:right w:val="nil"/>
            </w:tcBorders>
          </w:tcPr>
          <w:p w14:paraId="52AD4B9C"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0.135***</w:t>
            </w:r>
          </w:p>
        </w:tc>
        <w:tc>
          <w:tcPr>
            <w:tcW w:w="684" w:type="pct"/>
            <w:tcBorders>
              <w:top w:val="nil"/>
              <w:left w:val="nil"/>
              <w:bottom w:val="nil"/>
              <w:right w:val="nil"/>
            </w:tcBorders>
          </w:tcPr>
          <w:p w14:paraId="5D3A89C5"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0.130***</w:t>
            </w:r>
          </w:p>
        </w:tc>
        <w:tc>
          <w:tcPr>
            <w:tcW w:w="684" w:type="pct"/>
            <w:tcBorders>
              <w:top w:val="nil"/>
              <w:left w:val="nil"/>
              <w:bottom w:val="nil"/>
              <w:right w:val="nil"/>
            </w:tcBorders>
          </w:tcPr>
          <w:p w14:paraId="29C42C33"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0.114***</w:t>
            </w:r>
          </w:p>
        </w:tc>
        <w:tc>
          <w:tcPr>
            <w:tcW w:w="827" w:type="pct"/>
            <w:tcBorders>
              <w:top w:val="nil"/>
              <w:left w:val="nil"/>
              <w:bottom w:val="nil"/>
              <w:right w:val="nil"/>
            </w:tcBorders>
          </w:tcPr>
          <w:p w14:paraId="65E06E00"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0.098***</w:t>
            </w:r>
          </w:p>
        </w:tc>
      </w:tr>
      <w:tr w:rsidR="00CD4846" w:rsidRPr="00CD4846" w14:paraId="2044ECE7" w14:textId="77777777" w:rsidTr="002A6CED">
        <w:tc>
          <w:tcPr>
            <w:tcW w:w="1438" w:type="pct"/>
            <w:tcBorders>
              <w:top w:val="nil"/>
              <w:left w:val="nil"/>
              <w:bottom w:val="nil"/>
              <w:right w:val="nil"/>
            </w:tcBorders>
          </w:tcPr>
          <w:p w14:paraId="1C2BC6B9" w14:textId="3B1BB479" w:rsidR="00CD4846" w:rsidRPr="00DA465B" w:rsidRDefault="00CD4846" w:rsidP="00DA465B">
            <w:pPr>
              <w:widowControl w:val="0"/>
              <w:autoSpaceDE w:val="0"/>
              <w:autoSpaceDN w:val="0"/>
              <w:adjustRightInd w:val="0"/>
              <w:spacing w:line="240" w:lineRule="auto"/>
              <w:rPr>
                <w:rFonts w:cs="Times New Roman"/>
                <w:kern w:val="2"/>
                <w:sz w:val="20"/>
                <w:szCs w:val="20"/>
                <w:lang/>
              </w:rPr>
            </w:pPr>
          </w:p>
        </w:tc>
        <w:tc>
          <w:tcPr>
            <w:tcW w:w="684" w:type="pct"/>
            <w:tcBorders>
              <w:top w:val="nil"/>
              <w:left w:val="nil"/>
              <w:bottom w:val="nil"/>
              <w:right w:val="nil"/>
            </w:tcBorders>
          </w:tcPr>
          <w:p w14:paraId="56735DFB"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(0.036)</w:t>
            </w:r>
          </w:p>
        </w:tc>
        <w:tc>
          <w:tcPr>
            <w:tcW w:w="684" w:type="pct"/>
            <w:tcBorders>
              <w:top w:val="nil"/>
              <w:left w:val="nil"/>
              <w:bottom w:val="nil"/>
              <w:right w:val="nil"/>
            </w:tcBorders>
          </w:tcPr>
          <w:p w14:paraId="22E9378F"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(0.036)</w:t>
            </w:r>
          </w:p>
        </w:tc>
        <w:tc>
          <w:tcPr>
            <w:tcW w:w="684" w:type="pct"/>
            <w:tcBorders>
              <w:top w:val="nil"/>
              <w:left w:val="nil"/>
              <w:bottom w:val="nil"/>
              <w:right w:val="nil"/>
            </w:tcBorders>
          </w:tcPr>
          <w:p w14:paraId="68052677"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(0.046)</w:t>
            </w:r>
          </w:p>
        </w:tc>
        <w:tc>
          <w:tcPr>
            <w:tcW w:w="684" w:type="pct"/>
            <w:tcBorders>
              <w:top w:val="nil"/>
              <w:left w:val="nil"/>
              <w:bottom w:val="nil"/>
              <w:right w:val="nil"/>
            </w:tcBorders>
          </w:tcPr>
          <w:p w14:paraId="28A181F1"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(0.029)</w:t>
            </w:r>
          </w:p>
        </w:tc>
        <w:tc>
          <w:tcPr>
            <w:tcW w:w="827" w:type="pct"/>
            <w:tcBorders>
              <w:top w:val="nil"/>
              <w:left w:val="nil"/>
              <w:bottom w:val="nil"/>
              <w:right w:val="nil"/>
            </w:tcBorders>
          </w:tcPr>
          <w:p w14:paraId="5702C4CE"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(0.024)</w:t>
            </w:r>
          </w:p>
        </w:tc>
      </w:tr>
      <w:tr w:rsidR="00CD4846" w:rsidRPr="00CD4846" w14:paraId="3152E150" w14:textId="77777777" w:rsidTr="002A6CED">
        <w:tc>
          <w:tcPr>
            <w:tcW w:w="1438" w:type="pct"/>
            <w:tcBorders>
              <w:top w:val="nil"/>
              <w:left w:val="nil"/>
              <w:bottom w:val="nil"/>
              <w:right w:val="nil"/>
            </w:tcBorders>
          </w:tcPr>
          <w:p w14:paraId="0F411A23" w14:textId="30E764F8"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Attain. Status - PM (t-1)</w:t>
            </w:r>
          </w:p>
        </w:tc>
        <w:tc>
          <w:tcPr>
            <w:tcW w:w="684" w:type="pct"/>
            <w:tcBorders>
              <w:top w:val="nil"/>
              <w:left w:val="nil"/>
              <w:bottom w:val="nil"/>
              <w:right w:val="nil"/>
            </w:tcBorders>
          </w:tcPr>
          <w:p w14:paraId="4F945761"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-0.036</w:t>
            </w:r>
          </w:p>
        </w:tc>
        <w:tc>
          <w:tcPr>
            <w:tcW w:w="684" w:type="pct"/>
            <w:tcBorders>
              <w:top w:val="nil"/>
              <w:left w:val="nil"/>
              <w:bottom w:val="nil"/>
              <w:right w:val="nil"/>
            </w:tcBorders>
          </w:tcPr>
          <w:p w14:paraId="08E8F397"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-0.033</w:t>
            </w:r>
          </w:p>
        </w:tc>
        <w:tc>
          <w:tcPr>
            <w:tcW w:w="684" w:type="pct"/>
            <w:tcBorders>
              <w:top w:val="nil"/>
              <w:left w:val="nil"/>
              <w:bottom w:val="nil"/>
              <w:right w:val="nil"/>
            </w:tcBorders>
          </w:tcPr>
          <w:p w14:paraId="6BD5A90A"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0.124***</w:t>
            </w:r>
          </w:p>
        </w:tc>
        <w:tc>
          <w:tcPr>
            <w:tcW w:w="684" w:type="pct"/>
            <w:tcBorders>
              <w:top w:val="nil"/>
              <w:left w:val="nil"/>
              <w:bottom w:val="nil"/>
              <w:right w:val="nil"/>
            </w:tcBorders>
          </w:tcPr>
          <w:p w14:paraId="7EC2E5E1"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-0.034**</w:t>
            </w:r>
          </w:p>
        </w:tc>
        <w:tc>
          <w:tcPr>
            <w:tcW w:w="827" w:type="pct"/>
            <w:tcBorders>
              <w:top w:val="nil"/>
              <w:left w:val="nil"/>
              <w:bottom w:val="nil"/>
              <w:right w:val="nil"/>
            </w:tcBorders>
          </w:tcPr>
          <w:p w14:paraId="15F9F5AE"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-0.011</w:t>
            </w:r>
          </w:p>
        </w:tc>
      </w:tr>
      <w:tr w:rsidR="00CD4846" w:rsidRPr="00CD4846" w14:paraId="46E38306" w14:textId="77777777" w:rsidTr="002A6CED">
        <w:tc>
          <w:tcPr>
            <w:tcW w:w="1438" w:type="pct"/>
            <w:tcBorders>
              <w:top w:val="nil"/>
              <w:left w:val="nil"/>
              <w:bottom w:val="nil"/>
              <w:right w:val="nil"/>
            </w:tcBorders>
          </w:tcPr>
          <w:p w14:paraId="539A9061" w14:textId="38193DDC" w:rsidR="00CD4846" w:rsidRPr="00DA465B" w:rsidRDefault="00CD4846" w:rsidP="00DA465B">
            <w:pPr>
              <w:widowControl w:val="0"/>
              <w:autoSpaceDE w:val="0"/>
              <w:autoSpaceDN w:val="0"/>
              <w:adjustRightInd w:val="0"/>
              <w:spacing w:line="240" w:lineRule="auto"/>
              <w:rPr>
                <w:rFonts w:cs="Times New Roman"/>
                <w:kern w:val="2"/>
                <w:sz w:val="20"/>
                <w:szCs w:val="20"/>
                <w:lang/>
              </w:rPr>
            </w:pPr>
          </w:p>
        </w:tc>
        <w:tc>
          <w:tcPr>
            <w:tcW w:w="684" w:type="pct"/>
            <w:tcBorders>
              <w:top w:val="nil"/>
              <w:left w:val="nil"/>
              <w:bottom w:val="nil"/>
              <w:right w:val="nil"/>
            </w:tcBorders>
          </w:tcPr>
          <w:p w14:paraId="6BA1BCAA"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(0.022)</w:t>
            </w:r>
          </w:p>
        </w:tc>
        <w:tc>
          <w:tcPr>
            <w:tcW w:w="684" w:type="pct"/>
            <w:tcBorders>
              <w:top w:val="nil"/>
              <w:left w:val="nil"/>
              <w:bottom w:val="nil"/>
              <w:right w:val="nil"/>
            </w:tcBorders>
          </w:tcPr>
          <w:p w14:paraId="36CFC762"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(0.031)</w:t>
            </w:r>
          </w:p>
        </w:tc>
        <w:tc>
          <w:tcPr>
            <w:tcW w:w="684" w:type="pct"/>
            <w:tcBorders>
              <w:top w:val="nil"/>
              <w:left w:val="nil"/>
              <w:bottom w:val="nil"/>
              <w:right w:val="nil"/>
            </w:tcBorders>
          </w:tcPr>
          <w:p w14:paraId="5C20DDBB"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(0.033)</w:t>
            </w:r>
          </w:p>
        </w:tc>
        <w:tc>
          <w:tcPr>
            <w:tcW w:w="684" w:type="pct"/>
            <w:tcBorders>
              <w:top w:val="nil"/>
              <w:left w:val="nil"/>
              <w:bottom w:val="nil"/>
              <w:right w:val="nil"/>
            </w:tcBorders>
          </w:tcPr>
          <w:p w14:paraId="73E734AF"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(0.013)</w:t>
            </w:r>
          </w:p>
        </w:tc>
        <w:tc>
          <w:tcPr>
            <w:tcW w:w="827" w:type="pct"/>
            <w:tcBorders>
              <w:top w:val="nil"/>
              <w:left w:val="nil"/>
              <w:bottom w:val="nil"/>
              <w:right w:val="nil"/>
            </w:tcBorders>
          </w:tcPr>
          <w:p w14:paraId="07DD110B"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(0.016)</w:t>
            </w:r>
          </w:p>
        </w:tc>
      </w:tr>
      <w:tr w:rsidR="00CD4846" w:rsidRPr="00CD4846" w14:paraId="01C879DF" w14:textId="77777777" w:rsidTr="002A6CED">
        <w:tc>
          <w:tcPr>
            <w:tcW w:w="1438" w:type="pct"/>
            <w:tcBorders>
              <w:top w:val="nil"/>
              <w:left w:val="nil"/>
              <w:bottom w:val="nil"/>
              <w:right w:val="nil"/>
            </w:tcBorders>
          </w:tcPr>
          <w:p w14:paraId="21266794"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Attain. Status - SO2 (t-1)</w:t>
            </w:r>
          </w:p>
        </w:tc>
        <w:tc>
          <w:tcPr>
            <w:tcW w:w="684" w:type="pct"/>
            <w:tcBorders>
              <w:top w:val="nil"/>
              <w:left w:val="nil"/>
              <w:bottom w:val="nil"/>
              <w:right w:val="nil"/>
            </w:tcBorders>
          </w:tcPr>
          <w:p w14:paraId="59606FE8"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0.013</w:t>
            </w:r>
          </w:p>
        </w:tc>
        <w:tc>
          <w:tcPr>
            <w:tcW w:w="684" w:type="pct"/>
            <w:tcBorders>
              <w:top w:val="nil"/>
              <w:left w:val="nil"/>
              <w:bottom w:val="nil"/>
              <w:right w:val="nil"/>
            </w:tcBorders>
          </w:tcPr>
          <w:p w14:paraId="63B1FAA2"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-0.130</w:t>
            </w:r>
          </w:p>
        </w:tc>
        <w:tc>
          <w:tcPr>
            <w:tcW w:w="684" w:type="pct"/>
            <w:tcBorders>
              <w:top w:val="nil"/>
              <w:left w:val="nil"/>
              <w:bottom w:val="nil"/>
              <w:right w:val="nil"/>
            </w:tcBorders>
          </w:tcPr>
          <w:p w14:paraId="3DE91382"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0.098</w:t>
            </w:r>
          </w:p>
        </w:tc>
        <w:tc>
          <w:tcPr>
            <w:tcW w:w="684" w:type="pct"/>
            <w:tcBorders>
              <w:top w:val="nil"/>
              <w:left w:val="nil"/>
              <w:bottom w:val="nil"/>
              <w:right w:val="nil"/>
            </w:tcBorders>
          </w:tcPr>
          <w:p w14:paraId="319E4954"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0.031</w:t>
            </w:r>
          </w:p>
        </w:tc>
        <w:tc>
          <w:tcPr>
            <w:tcW w:w="827" w:type="pct"/>
            <w:tcBorders>
              <w:top w:val="nil"/>
              <w:left w:val="nil"/>
              <w:bottom w:val="nil"/>
              <w:right w:val="nil"/>
            </w:tcBorders>
          </w:tcPr>
          <w:p w14:paraId="206FF2F6"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-0.013</w:t>
            </w:r>
          </w:p>
        </w:tc>
      </w:tr>
      <w:tr w:rsidR="00CD4846" w:rsidRPr="00CD4846" w14:paraId="5ADD307F" w14:textId="77777777" w:rsidTr="002A6CED">
        <w:tc>
          <w:tcPr>
            <w:tcW w:w="1438" w:type="pct"/>
            <w:tcBorders>
              <w:top w:val="nil"/>
              <w:left w:val="nil"/>
              <w:bottom w:val="nil"/>
              <w:right w:val="nil"/>
            </w:tcBorders>
          </w:tcPr>
          <w:p w14:paraId="02F823D3" w14:textId="3B66EA81" w:rsidR="00CD4846" w:rsidRPr="00DA465B" w:rsidRDefault="00CD4846" w:rsidP="00DA465B">
            <w:pPr>
              <w:widowControl w:val="0"/>
              <w:autoSpaceDE w:val="0"/>
              <w:autoSpaceDN w:val="0"/>
              <w:adjustRightInd w:val="0"/>
              <w:spacing w:line="240" w:lineRule="auto"/>
              <w:rPr>
                <w:rFonts w:cs="Times New Roman"/>
                <w:kern w:val="2"/>
                <w:sz w:val="20"/>
                <w:szCs w:val="20"/>
                <w:lang/>
              </w:rPr>
            </w:pPr>
          </w:p>
        </w:tc>
        <w:tc>
          <w:tcPr>
            <w:tcW w:w="684" w:type="pct"/>
            <w:tcBorders>
              <w:top w:val="nil"/>
              <w:left w:val="nil"/>
              <w:bottom w:val="nil"/>
              <w:right w:val="nil"/>
            </w:tcBorders>
          </w:tcPr>
          <w:p w14:paraId="048317E5"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(0.132)</w:t>
            </w:r>
          </w:p>
        </w:tc>
        <w:tc>
          <w:tcPr>
            <w:tcW w:w="684" w:type="pct"/>
            <w:tcBorders>
              <w:top w:val="nil"/>
              <w:left w:val="nil"/>
              <w:bottom w:val="nil"/>
              <w:right w:val="nil"/>
            </w:tcBorders>
          </w:tcPr>
          <w:p w14:paraId="3438662F"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(0.127)</w:t>
            </w:r>
          </w:p>
        </w:tc>
        <w:tc>
          <w:tcPr>
            <w:tcW w:w="684" w:type="pct"/>
            <w:tcBorders>
              <w:top w:val="nil"/>
              <w:left w:val="nil"/>
              <w:bottom w:val="nil"/>
              <w:right w:val="nil"/>
            </w:tcBorders>
          </w:tcPr>
          <w:p w14:paraId="72B4DB8C"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(0.146)</w:t>
            </w:r>
          </w:p>
        </w:tc>
        <w:tc>
          <w:tcPr>
            <w:tcW w:w="684" w:type="pct"/>
            <w:tcBorders>
              <w:top w:val="nil"/>
              <w:left w:val="nil"/>
              <w:bottom w:val="nil"/>
              <w:right w:val="nil"/>
            </w:tcBorders>
          </w:tcPr>
          <w:p w14:paraId="1F577F03"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(0.045)</w:t>
            </w:r>
          </w:p>
        </w:tc>
        <w:tc>
          <w:tcPr>
            <w:tcW w:w="827" w:type="pct"/>
            <w:tcBorders>
              <w:top w:val="nil"/>
              <w:left w:val="nil"/>
              <w:bottom w:val="nil"/>
              <w:right w:val="nil"/>
            </w:tcBorders>
          </w:tcPr>
          <w:p w14:paraId="7AB05C98"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(0.032)</w:t>
            </w:r>
          </w:p>
        </w:tc>
      </w:tr>
      <w:tr w:rsidR="00CD4846" w:rsidRPr="00CD4846" w14:paraId="30D21001" w14:textId="77777777" w:rsidTr="002A6CED">
        <w:tc>
          <w:tcPr>
            <w:tcW w:w="1438" w:type="pct"/>
            <w:tcBorders>
              <w:top w:val="nil"/>
              <w:left w:val="nil"/>
              <w:bottom w:val="nil"/>
              <w:right w:val="nil"/>
            </w:tcBorders>
          </w:tcPr>
          <w:p w14:paraId="729A6CF2" w14:textId="763F1893"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Density Employment</w:t>
            </w:r>
          </w:p>
        </w:tc>
        <w:tc>
          <w:tcPr>
            <w:tcW w:w="684" w:type="pct"/>
            <w:tcBorders>
              <w:top w:val="nil"/>
              <w:left w:val="nil"/>
              <w:bottom w:val="nil"/>
              <w:right w:val="nil"/>
            </w:tcBorders>
          </w:tcPr>
          <w:p w14:paraId="295286F0"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0.350</w:t>
            </w:r>
          </w:p>
        </w:tc>
        <w:tc>
          <w:tcPr>
            <w:tcW w:w="684" w:type="pct"/>
            <w:tcBorders>
              <w:top w:val="nil"/>
              <w:left w:val="nil"/>
              <w:bottom w:val="nil"/>
              <w:right w:val="nil"/>
            </w:tcBorders>
          </w:tcPr>
          <w:p w14:paraId="5E0F64F3"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-0.048</w:t>
            </w:r>
          </w:p>
        </w:tc>
        <w:tc>
          <w:tcPr>
            <w:tcW w:w="684" w:type="pct"/>
            <w:tcBorders>
              <w:top w:val="nil"/>
              <w:left w:val="nil"/>
              <w:bottom w:val="nil"/>
              <w:right w:val="nil"/>
            </w:tcBorders>
          </w:tcPr>
          <w:p w14:paraId="0FA0AE39"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-0.229</w:t>
            </w:r>
          </w:p>
        </w:tc>
        <w:tc>
          <w:tcPr>
            <w:tcW w:w="684" w:type="pct"/>
            <w:tcBorders>
              <w:top w:val="nil"/>
              <w:left w:val="nil"/>
              <w:bottom w:val="nil"/>
              <w:right w:val="nil"/>
            </w:tcBorders>
          </w:tcPr>
          <w:p w14:paraId="2248826C"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0.010</w:t>
            </w:r>
          </w:p>
        </w:tc>
        <w:tc>
          <w:tcPr>
            <w:tcW w:w="827" w:type="pct"/>
            <w:tcBorders>
              <w:top w:val="nil"/>
              <w:left w:val="nil"/>
              <w:bottom w:val="nil"/>
              <w:right w:val="nil"/>
            </w:tcBorders>
          </w:tcPr>
          <w:p w14:paraId="52C0282C"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0.018</w:t>
            </w:r>
          </w:p>
        </w:tc>
      </w:tr>
      <w:tr w:rsidR="00CD4846" w:rsidRPr="00CD4846" w14:paraId="142823D9" w14:textId="77777777" w:rsidTr="002A6CED">
        <w:tc>
          <w:tcPr>
            <w:tcW w:w="1438" w:type="pct"/>
            <w:tcBorders>
              <w:top w:val="nil"/>
              <w:left w:val="nil"/>
              <w:bottom w:val="nil"/>
              <w:right w:val="nil"/>
            </w:tcBorders>
          </w:tcPr>
          <w:p w14:paraId="05BCBF0C" w14:textId="6D9EA4B4" w:rsidR="00CD4846" w:rsidRPr="00DA465B" w:rsidRDefault="00CD4846" w:rsidP="00DA465B">
            <w:pPr>
              <w:widowControl w:val="0"/>
              <w:autoSpaceDE w:val="0"/>
              <w:autoSpaceDN w:val="0"/>
              <w:adjustRightInd w:val="0"/>
              <w:spacing w:line="240" w:lineRule="auto"/>
              <w:rPr>
                <w:rFonts w:cs="Times New Roman"/>
                <w:kern w:val="2"/>
                <w:sz w:val="20"/>
                <w:szCs w:val="20"/>
                <w:lang/>
              </w:rPr>
            </w:pPr>
          </w:p>
        </w:tc>
        <w:tc>
          <w:tcPr>
            <w:tcW w:w="684" w:type="pct"/>
            <w:tcBorders>
              <w:top w:val="nil"/>
              <w:left w:val="nil"/>
              <w:bottom w:val="nil"/>
              <w:right w:val="nil"/>
            </w:tcBorders>
          </w:tcPr>
          <w:p w14:paraId="34F9EA2E"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(0.234)</w:t>
            </w:r>
          </w:p>
        </w:tc>
        <w:tc>
          <w:tcPr>
            <w:tcW w:w="684" w:type="pct"/>
            <w:tcBorders>
              <w:top w:val="nil"/>
              <w:left w:val="nil"/>
              <w:bottom w:val="nil"/>
              <w:right w:val="nil"/>
            </w:tcBorders>
          </w:tcPr>
          <w:p w14:paraId="7299B0BD"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(0.070)</w:t>
            </w:r>
          </w:p>
        </w:tc>
        <w:tc>
          <w:tcPr>
            <w:tcW w:w="684" w:type="pct"/>
            <w:tcBorders>
              <w:top w:val="nil"/>
              <w:left w:val="nil"/>
              <w:bottom w:val="nil"/>
              <w:right w:val="nil"/>
            </w:tcBorders>
          </w:tcPr>
          <w:p w14:paraId="0D1E2E30"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(0.180)</w:t>
            </w:r>
          </w:p>
        </w:tc>
        <w:tc>
          <w:tcPr>
            <w:tcW w:w="684" w:type="pct"/>
            <w:tcBorders>
              <w:top w:val="nil"/>
              <w:left w:val="nil"/>
              <w:bottom w:val="nil"/>
              <w:right w:val="nil"/>
            </w:tcBorders>
          </w:tcPr>
          <w:p w14:paraId="59DE8DBA"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(0.022)</w:t>
            </w:r>
          </w:p>
        </w:tc>
        <w:tc>
          <w:tcPr>
            <w:tcW w:w="827" w:type="pct"/>
            <w:tcBorders>
              <w:top w:val="nil"/>
              <w:left w:val="nil"/>
              <w:bottom w:val="nil"/>
              <w:right w:val="nil"/>
            </w:tcBorders>
          </w:tcPr>
          <w:p w14:paraId="49EFEB71"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(0.019)</w:t>
            </w:r>
          </w:p>
        </w:tc>
      </w:tr>
      <w:tr w:rsidR="00CD4846" w:rsidRPr="00CD4846" w14:paraId="7482BF26" w14:textId="77777777" w:rsidTr="002A6CED">
        <w:tc>
          <w:tcPr>
            <w:tcW w:w="1438" w:type="pct"/>
            <w:tcBorders>
              <w:top w:val="nil"/>
              <w:left w:val="nil"/>
              <w:bottom w:val="nil"/>
              <w:right w:val="nil"/>
            </w:tcBorders>
          </w:tcPr>
          <w:p w14:paraId="62F3EE7B"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Percent Black (100s)</w:t>
            </w:r>
          </w:p>
        </w:tc>
        <w:tc>
          <w:tcPr>
            <w:tcW w:w="684" w:type="pct"/>
            <w:tcBorders>
              <w:top w:val="nil"/>
              <w:left w:val="nil"/>
              <w:bottom w:val="nil"/>
              <w:right w:val="nil"/>
            </w:tcBorders>
          </w:tcPr>
          <w:p w14:paraId="4310DCCB"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-1.512</w:t>
            </w:r>
          </w:p>
        </w:tc>
        <w:tc>
          <w:tcPr>
            <w:tcW w:w="684" w:type="pct"/>
            <w:tcBorders>
              <w:top w:val="nil"/>
              <w:left w:val="nil"/>
              <w:bottom w:val="nil"/>
              <w:right w:val="nil"/>
            </w:tcBorders>
          </w:tcPr>
          <w:p w14:paraId="78F3381A"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-0.531</w:t>
            </w:r>
          </w:p>
        </w:tc>
        <w:tc>
          <w:tcPr>
            <w:tcW w:w="684" w:type="pct"/>
            <w:tcBorders>
              <w:top w:val="nil"/>
              <w:left w:val="nil"/>
              <w:bottom w:val="nil"/>
              <w:right w:val="nil"/>
            </w:tcBorders>
          </w:tcPr>
          <w:p w14:paraId="25BC2DEA"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-1.107</w:t>
            </w:r>
          </w:p>
        </w:tc>
        <w:tc>
          <w:tcPr>
            <w:tcW w:w="684" w:type="pct"/>
            <w:tcBorders>
              <w:top w:val="nil"/>
              <w:left w:val="nil"/>
              <w:bottom w:val="nil"/>
              <w:right w:val="nil"/>
            </w:tcBorders>
          </w:tcPr>
          <w:p w14:paraId="3F3A3636"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2.114**</w:t>
            </w:r>
          </w:p>
        </w:tc>
        <w:tc>
          <w:tcPr>
            <w:tcW w:w="827" w:type="pct"/>
            <w:tcBorders>
              <w:top w:val="nil"/>
              <w:left w:val="nil"/>
              <w:bottom w:val="nil"/>
              <w:right w:val="nil"/>
            </w:tcBorders>
          </w:tcPr>
          <w:p w14:paraId="373E850B"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1.369**</w:t>
            </w:r>
          </w:p>
        </w:tc>
      </w:tr>
      <w:tr w:rsidR="00CD4846" w:rsidRPr="00CD4846" w14:paraId="44BCDED0" w14:textId="77777777" w:rsidTr="002A6CED">
        <w:tc>
          <w:tcPr>
            <w:tcW w:w="1438" w:type="pct"/>
            <w:tcBorders>
              <w:top w:val="nil"/>
              <w:left w:val="nil"/>
              <w:bottom w:val="nil"/>
              <w:right w:val="nil"/>
            </w:tcBorders>
          </w:tcPr>
          <w:p w14:paraId="56EC11EF" w14:textId="7A217D68" w:rsidR="00CD4846" w:rsidRPr="00DA465B" w:rsidRDefault="00CD4846" w:rsidP="00DA465B">
            <w:pPr>
              <w:widowControl w:val="0"/>
              <w:autoSpaceDE w:val="0"/>
              <w:autoSpaceDN w:val="0"/>
              <w:adjustRightInd w:val="0"/>
              <w:spacing w:line="240" w:lineRule="auto"/>
              <w:rPr>
                <w:rFonts w:cs="Times New Roman"/>
                <w:kern w:val="2"/>
                <w:sz w:val="20"/>
                <w:szCs w:val="20"/>
                <w:lang/>
              </w:rPr>
            </w:pPr>
          </w:p>
        </w:tc>
        <w:tc>
          <w:tcPr>
            <w:tcW w:w="684" w:type="pct"/>
            <w:tcBorders>
              <w:top w:val="nil"/>
              <w:left w:val="nil"/>
              <w:bottom w:val="nil"/>
              <w:right w:val="nil"/>
            </w:tcBorders>
          </w:tcPr>
          <w:p w14:paraId="3978E4DA"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(1.664)</w:t>
            </w:r>
          </w:p>
        </w:tc>
        <w:tc>
          <w:tcPr>
            <w:tcW w:w="684" w:type="pct"/>
            <w:tcBorders>
              <w:top w:val="nil"/>
              <w:left w:val="nil"/>
              <w:bottom w:val="nil"/>
              <w:right w:val="nil"/>
            </w:tcBorders>
          </w:tcPr>
          <w:p w14:paraId="6DF04FAA"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(2.403)</w:t>
            </w:r>
          </w:p>
        </w:tc>
        <w:tc>
          <w:tcPr>
            <w:tcW w:w="684" w:type="pct"/>
            <w:tcBorders>
              <w:top w:val="nil"/>
              <w:left w:val="nil"/>
              <w:bottom w:val="nil"/>
              <w:right w:val="nil"/>
            </w:tcBorders>
          </w:tcPr>
          <w:p w14:paraId="372D301C"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(2.267)</w:t>
            </w:r>
          </w:p>
        </w:tc>
        <w:tc>
          <w:tcPr>
            <w:tcW w:w="684" w:type="pct"/>
            <w:tcBorders>
              <w:top w:val="nil"/>
              <w:left w:val="nil"/>
              <w:bottom w:val="nil"/>
              <w:right w:val="nil"/>
            </w:tcBorders>
          </w:tcPr>
          <w:p w14:paraId="5B9B65AE"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(0.839)</w:t>
            </w:r>
          </w:p>
        </w:tc>
        <w:tc>
          <w:tcPr>
            <w:tcW w:w="827" w:type="pct"/>
            <w:tcBorders>
              <w:top w:val="nil"/>
              <w:left w:val="nil"/>
              <w:bottom w:val="nil"/>
              <w:right w:val="nil"/>
            </w:tcBorders>
          </w:tcPr>
          <w:p w14:paraId="7398B74C"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(0.611)</w:t>
            </w:r>
          </w:p>
        </w:tc>
      </w:tr>
      <w:tr w:rsidR="00CD4846" w:rsidRPr="00CD4846" w14:paraId="79457029" w14:textId="77777777" w:rsidTr="002A6CED">
        <w:tc>
          <w:tcPr>
            <w:tcW w:w="1438" w:type="pct"/>
            <w:tcBorders>
              <w:top w:val="nil"/>
              <w:left w:val="nil"/>
              <w:bottom w:val="nil"/>
              <w:right w:val="nil"/>
            </w:tcBorders>
          </w:tcPr>
          <w:p w14:paraId="1CBCA350" w14:textId="71D4EDE6"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Population count (1ms)</w:t>
            </w:r>
          </w:p>
        </w:tc>
        <w:tc>
          <w:tcPr>
            <w:tcW w:w="684" w:type="pct"/>
            <w:tcBorders>
              <w:top w:val="nil"/>
              <w:left w:val="nil"/>
              <w:bottom w:val="nil"/>
              <w:right w:val="nil"/>
            </w:tcBorders>
          </w:tcPr>
          <w:p w14:paraId="0BD1EE0F"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0.801**</w:t>
            </w:r>
          </w:p>
        </w:tc>
        <w:tc>
          <w:tcPr>
            <w:tcW w:w="684" w:type="pct"/>
            <w:tcBorders>
              <w:top w:val="nil"/>
              <w:left w:val="nil"/>
              <w:bottom w:val="nil"/>
              <w:right w:val="nil"/>
            </w:tcBorders>
          </w:tcPr>
          <w:p w14:paraId="0FA67F8E"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0.232*</w:t>
            </w:r>
          </w:p>
        </w:tc>
        <w:tc>
          <w:tcPr>
            <w:tcW w:w="684" w:type="pct"/>
            <w:tcBorders>
              <w:top w:val="nil"/>
              <w:left w:val="nil"/>
              <w:bottom w:val="nil"/>
              <w:right w:val="nil"/>
            </w:tcBorders>
          </w:tcPr>
          <w:p w14:paraId="017836B8"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0.196</w:t>
            </w:r>
          </w:p>
        </w:tc>
        <w:tc>
          <w:tcPr>
            <w:tcW w:w="684" w:type="pct"/>
            <w:tcBorders>
              <w:top w:val="nil"/>
              <w:left w:val="nil"/>
              <w:bottom w:val="nil"/>
              <w:right w:val="nil"/>
            </w:tcBorders>
          </w:tcPr>
          <w:p w14:paraId="7BD7D2EF"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0.902***</w:t>
            </w:r>
          </w:p>
        </w:tc>
        <w:tc>
          <w:tcPr>
            <w:tcW w:w="827" w:type="pct"/>
            <w:tcBorders>
              <w:top w:val="nil"/>
              <w:left w:val="nil"/>
              <w:bottom w:val="nil"/>
              <w:right w:val="nil"/>
            </w:tcBorders>
          </w:tcPr>
          <w:p w14:paraId="21C40D78"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0.221*</w:t>
            </w:r>
          </w:p>
        </w:tc>
      </w:tr>
      <w:tr w:rsidR="00CD4846" w:rsidRPr="00CD4846" w14:paraId="41594969" w14:textId="77777777" w:rsidTr="002A6CED">
        <w:tc>
          <w:tcPr>
            <w:tcW w:w="1438" w:type="pct"/>
            <w:tcBorders>
              <w:top w:val="nil"/>
              <w:left w:val="nil"/>
              <w:bottom w:val="nil"/>
              <w:right w:val="nil"/>
            </w:tcBorders>
          </w:tcPr>
          <w:p w14:paraId="77ECBE3E" w14:textId="10B778C8" w:rsidR="00CD4846" w:rsidRPr="00DA465B" w:rsidRDefault="00CD4846" w:rsidP="00DA465B">
            <w:pPr>
              <w:widowControl w:val="0"/>
              <w:autoSpaceDE w:val="0"/>
              <w:autoSpaceDN w:val="0"/>
              <w:adjustRightInd w:val="0"/>
              <w:spacing w:line="240" w:lineRule="auto"/>
              <w:rPr>
                <w:rFonts w:cs="Times New Roman"/>
                <w:kern w:val="2"/>
                <w:sz w:val="20"/>
                <w:szCs w:val="20"/>
                <w:lang/>
              </w:rPr>
            </w:pPr>
          </w:p>
        </w:tc>
        <w:tc>
          <w:tcPr>
            <w:tcW w:w="684" w:type="pct"/>
            <w:tcBorders>
              <w:top w:val="nil"/>
              <w:left w:val="nil"/>
              <w:bottom w:val="nil"/>
              <w:right w:val="nil"/>
            </w:tcBorders>
          </w:tcPr>
          <w:p w14:paraId="504B3959"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(0.371)</w:t>
            </w:r>
          </w:p>
        </w:tc>
        <w:tc>
          <w:tcPr>
            <w:tcW w:w="684" w:type="pct"/>
            <w:tcBorders>
              <w:top w:val="nil"/>
              <w:left w:val="nil"/>
              <w:bottom w:val="nil"/>
              <w:right w:val="nil"/>
            </w:tcBorders>
          </w:tcPr>
          <w:p w14:paraId="70E3E9AA"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(0.140)</w:t>
            </w:r>
          </w:p>
        </w:tc>
        <w:tc>
          <w:tcPr>
            <w:tcW w:w="684" w:type="pct"/>
            <w:tcBorders>
              <w:top w:val="nil"/>
              <w:left w:val="nil"/>
              <w:bottom w:val="nil"/>
              <w:right w:val="nil"/>
            </w:tcBorders>
          </w:tcPr>
          <w:p w14:paraId="728812E5"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(0.279)</w:t>
            </w:r>
          </w:p>
        </w:tc>
        <w:tc>
          <w:tcPr>
            <w:tcW w:w="684" w:type="pct"/>
            <w:tcBorders>
              <w:top w:val="nil"/>
              <w:left w:val="nil"/>
              <w:bottom w:val="nil"/>
              <w:right w:val="nil"/>
            </w:tcBorders>
          </w:tcPr>
          <w:p w14:paraId="6949CA02"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(0.183)</w:t>
            </w:r>
          </w:p>
        </w:tc>
        <w:tc>
          <w:tcPr>
            <w:tcW w:w="827" w:type="pct"/>
            <w:tcBorders>
              <w:top w:val="nil"/>
              <w:left w:val="nil"/>
              <w:bottom w:val="nil"/>
              <w:right w:val="nil"/>
            </w:tcBorders>
          </w:tcPr>
          <w:p w14:paraId="4ED7A171"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(0.133)</w:t>
            </w:r>
          </w:p>
        </w:tc>
      </w:tr>
      <w:tr w:rsidR="00CD4846" w:rsidRPr="00CD4846" w14:paraId="00B50480" w14:textId="77777777" w:rsidTr="002A6CED">
        <w:tc>
          <w:tcPr>
            <w:tcW w:w="1438" w:type="pct"/>
            <w:tcBorders>
              <w:top w:val="nil"/>
              <w:left w:val="nil"/>
              <w:bottom w:val="nil"/>
              <w:right w:val="nil"/>
            </w:tcBorders>
          </w:tcPr>
          <w:p w14:paraId="1962276D" w14:textId="69A15D9B"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Unemployment rate (100s)</w:t>
            </w:r>
          </w:p>
        </w:tc>
        <w:tc>
          <w:tcPr>
            <w:tcW w:w="684" w:type="pct"/>
            <w:tcBorders>
              <w:top w:val="nil"/>
              <w:left w:val="nil"/>
              <w:bottom w:val="nil"/>
              <w:right w:val="nil"/>
            </w:tcBorders>
          </w:tcPr>
          <w:p w14:paraId="658F31C0"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1.901**</w:t>
            </w:r>
          </w:p>
        </w:tc>
        <w:tc>
          <w:tcPr>
            <w:tcW w:w="684" w:type="pct"/>
            <w:tcBorders>
              <w:top w:val="nil"/>
              <w:left w:val="nil"/>
              <w:bottom w:val="nil"/>
              <w:right w:val="nil"/>
            </w:tcBorders>
          </w:tcPr>
          <w:p w14:paraId="41747295"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0.094</w:t>
            </w:r>
          </w:p>
        </w:tc>
        <w:tc>
          <w:tcPr>
            <w:tcW w:w="684" w:type="pct"/>
            <w:tcBorders>
              <w:top w:val="nil"/>
              <w:left w:val="nil"/>
              <w:bottom w:val="nil"/>
              <w:right w:val="nil"/>
            </w:tcBorders>
          </w:tcPr>
          <w:p w14:paraId="2B5CA42F"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-2.534*</w:t>
            </w:r>
          </w:p>
        </w:tc>
        <w:tc>
          <w:tcPr>
            <w:tcW w:w="684" w:type="pct"/>
            <w:tcBorders>
              <w:top w:val="nil"/>
              <w:left w:val="nil"/>
              <w:bottom w:val="nil"/>
              <w:right w:val="nil"/>
            </w:tcBorders>
          </w:tcPr>
          <w:p w14:paraId="1C1361B0"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1.393**</w:t>
            </w:r>
          </w:p>
        </w:tc>
        <w:tc>
          <w:tcPr>
            <w:tcW w:w="827" w:type="pct"/>
            <w:tcBorders>
              <w:top w:val="nil"/>
              <w:left w:val="nil"/>
              <w:bottom w:val="nil"/>
              <w:right w:val="nil"/>
            </w:tcBorders>
          </w:tcPr>
          <w:p w14:paraId="2E9762C6"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2.181***</w:t>
            </w:r>
          </w:p>
        </w:tc>
      </w:tr>
      <w:tr w:rsidR="00CD4846" w:rsidRPr="00CD4846" w14:paraId="78F34AE1" w14:textId="77777777" w:rsidTr="002A6CED">
        <w:tc>
          <w:tcPr>
            <w:tcW w:w="1438" w:type="pct"/>
            <w:tcBorders>
              <w:top w:val="nil"/>
              <w:left w:val="nil"/>
              <w:bottom w:val="nil"/>
              <w:right w:val="nil"/>
            </w:tcBorders>
          </w:tcPr>
          <w:p w14:paraId="3B7A4950" w14:textId="6E90F20D" w:rsidR="00CD4846" w:rsidRPr="00DA465B" w:rsidRDefault="00CD4846" w:rsidP="00DA465B">
            <w:pPr>
              <w:widowControl w:val="0"/>
              <w:autoSpaceDE w:val="0"/>
              <w:autoSpaceDN w:val="0"/>
              <w:adjustRightInd w:val="0"/>
              <w:spacing w:line="240" w:lineRule="auto"/>
              <w:rPr>
                <w:rFonts w:cs="Times New Roman"/>
                <w:kern w:val="2"/>
                <w:sz w:val="20"/>
                <w:szCs w:val="20"/>
                <w:lang/>
              </w:rPr>
            </w:pPr>
          </w:p>
        </w:tc>
        <w:tc>
          <w:tcPr>
            <w:tcW w:w="684" w:type="pct"/>
            <w:tcBorders>
              <w:top w:val="nil"/>
              <w:left w:val="nil"/>
              <w:bottom w:val="nil"/>
              <w:right w:val="nil"/>
            </w:tcBorders>
          </w:tcPr>
          <w:p w14:paraId="5D5B5F59"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(0.831)</w:t>
            </w:r>
          </w:p>
        </w:tc>
        <w:tc>
          <w:tcPr>
            <w:tcW w:w="684" w:type="pct"/>
            <w:tcBorders>
              <w:top w:val="nil"/>
              <w:left w:val="nil"/>
              <w:bottom w:val="nil"/>
              <w:right w:val="nil"/>
            </w:tcBorders>
          </w:tcPr>
          <w:p w14:paraId="1565C41C"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(1.482)</w:t>
            </w:r>
          </w:p>
        </w:tc>
        <w:tc>
          <w:tcPr>
            <w:tcW w:w="684" w:type="pct"/>
            <w:tcBorders>
              <w:top w:val="nil"/>
              <w:left w:val="nil"/>
              <w:bottom w:val="nil"/>
              <w:right w:val="nil"/>
            </w:tcBorders>
          </w:tcPr>
          <w:p w14:paraId="7C21136D"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(1.382)</w:t>
            </w:r>
          </w:p>
        </w:tc>
        <w:tc>
          <w:tcPr>
            <w:tcW w:w="684" w:type="pct"/>
            <w:tcBorders>
              <w:top w:val="nil"/>
              <w:left w:val="nil"/>
              <w:bottom w:val="nil"/>
              <w:right w:val="nil"/>
            </w:tcBorders>
          </w:tcPr>
          <w:p w14:paraId="1BF331B7"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(0.582)</w:t>
            </w:r>
          </w:p>
        </w:tc>
        <w:tc>
          <w:tcPr>
            <w:tcW w:w="827" w:type="pct"/>
            <w:tcBorders>
              <w:top w:val="nil"/>
              <w:left w:val="nil"/>
              <w:bottom w:val="nil"/>
              <w:right w:val="nil"/>
            </w:tcBorders>
          </w:tcPr>
          <w:p w14:paraId="5BC6E95C"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(0.548)</w:t>
            </w:r>
          </w:p>
        </w:tc>
      </w:tr>
      <w:tr w:rsidR="00CD4846" w:rsidRPr="00CD4846" w14:paraId="413CAF1E" w14:textId="77777777" w:rsidTr="002A6CED">
        <w:tc>
          <w:tcPr>
            <w:tcW w:w="1438" w:type="pct"/>
            <w:tcBorders>
              <w:top w:val="nil"/>
              <w:left w:val="nil"/>
              <w:bottom w:val="nil"/>
              <w:right w:val="nil"/>
            </w:tcBorders>
          </w:tcPr>
          <w:p w14:paraId="288C9F7D" w14:textId="49A2C865"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Sales Volume (t-1)</w:t>
            </w:r>
          </w:p>
        </w:tc>
        <w:tc>
          <w:tcPr>
            <w:tcW w:w="684" w:type="pct"/>
            <w:tcBorders>
              <w:top w:val="nil"/>
              <w:left w:val="nil"/>
              <w:bottom w:val="nil"/>
              <w:right w:val="nil"/>
            </w:tcBorders>
          </w:tcPr>
          <w:p w14:paraId="35CF3ABA"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-4.560</w:t>
            </w:r>
          </w:p>
        </w:tc>
        <w:tc>
          <w:tcPr>
            <w:tcW w:w="684" w:type="pct"/>
            <w:tcBorders>
              <w:top w:val="nil"/>
              <w:left w:val="nil"/>
              <w:bottom w:val="nil"/>
              <w:right w:val="nil"/>
            </w:tcBorders>
          </w:tcPr>
          <w:p w14:paraId="6A0CD3E0"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0.615</w:t>
            </w:r>
          </w:p>
        </w:tc>
        <w:tc>
          <w:tcPr>
            <w:tcW w:w="684" w:type="pct"/>
            <w:tcBorders>
              <w:top w:val="nil"/>
              <w:left w:val="nil"/>
              <w:bottom w:val="nil"/>
              <w:right w:val="nil"/>
            </w:tcBorders>
          </w:tcPr>
          <w:p w14:paraId="09291E35"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-0.325</w:t>
            </w:r>
          </w:p>
        </w:tc>
        <w:tc>
          <w:tcPr>
            <w:tcW w:w="684" w:type="pct"/>
            <w:tcBorders>
              <w:top w:val="nil"/>
              <w:left w:val="nil"/>
              <w:bottom w:val="nil"/>
              <w:right w:val="nil"/>
            </w:tcBorders>
          </w:tcPr>
          <w:p w14:paraId="097884F7"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-27.566**</w:t>
            </w:r>
          </w:p>
        </w:tc>
        <w:tc>
          <w:tcPr>
            <w:tcW w:w="827" w:type="pct"/>
            <w:tcBorders>
              <w:top w:val="nil"/>
              <w:left w:val="nil"/>
              <w:bottom w:val="nil"/>
              <w:right w:val="nil"/>
            </w:tcBorders>
          </w:tcPr>
          <w:p w14:paraId="6F91A390"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0.097</w:t>
            </w:r>
          </w:p>
        </w:tc>
      </w:tr>
      <w:tr w:rsidR="00CD4846" w:rsidRPr="00CD4846" w14:paraId="3C859961" w14:textId="77777777" w:rsidTr="002A6CED">
        <w:tc>
          <w:tcPr>
            <w:tcW w:w="1438" w:type="pct"/>
            <w:tcBorders>
              <w:top w:val="nil"/>
              <w:left w:val="nil"/>
              <w:bottom w:val="nil"/>
              <w:right w:val="nil"/>
            </w:tcBorders>
          </w:tcPr>
          <w:p w14:paraId="5016E9A4" w14:textId="04EEA549" w:rsidR="00CD4846" w:rsidRPr="00DA465B" w:rsidRDefault="00CD4846" w:rsidP="00DA465B">
            <w:pPr>
              <w:widowControl w:val="0"/>
              <w:autoSpaceDE w:val="0"/>
              <w:autoSpaceDN w:val="0"/>
              <w:adjustRightInd w:val="0"/>
              <w:spacing w:line="240" w:lineRule="auto"/>
              <w:rPr>
                <w:rFonts w:cs="Times New Roman"/>
                <w:kern w:val="2"/>
                <w:sz w:val="20"/>
                <w:szCs w:val="20"/>
                <w:lang/>
              </w:rPr>
            </w:pPr>
          </w:p>
        </w:tc>
        <w:tc>
          <w:tcPr>
            <w:tcW w:w="684" w:type="pct"/>
            <w:tcBorders>
              <w:top w:val="nil"/>
              <w:left w:val="nil"/>
              <w:bottom w:val="nil"/>
              <w:right w:val="nil"/>
            </w:tcBorders>
          </w:tcPr>
          <w:p w14:paraId="1A0E06F5"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(3.534)</w:t>
            </w:r>
          </w:p>
        </w:tc>
        <w:tc>
          <w:tcPr>
            <w:tcW w:w="684" w:type="pct"/>
            <w:tcBorders>
              <w:top w:val="nil"/>
              <w:left w:val="nil"/>
              <w:bottom w:val="nil"/>
              <w:right w:val="nil"/>
            </w:tcBorders>
          </w:tcPr>
          <w:p w14:paraId="272D9855"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(0.411)</w:t>
            </w:r>
          </w:p>
        </w:tc>
        <w:tc>
          <w:tcPr>
            <w:tcW w:w="684" w:type="pct"/>
            <w:tcBorders>
              <w:top w:val="nil"/>
              <w:left w:val="nil"/>
              <w:bottom w:val="nil"/>
              <w:right w:val="nil"/>
            </w:tcBorders>
          </w:tcPr>
          <w:p w14:paraId="1B39B89E"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(0.352)</w:t>
            </w:r>
          </w:p>
        </w:tc>
        <w:tc>
          <w:tcPr>
            <w:tcW w:w="684" w:type="pct"/>
            <w:tcBorders>
              <w:top w:val="nil"/>
              <w:left w:val="nil"/>
              <w:bottom w:val="nil"/>
              <w:right w:val="nil"/>
            </w:tcBorders>
          </w:tcPr>
          <w:p w14:paraId="106C40AC"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(12.206)</w:t>
            </w:r>
          </w:p>
        </w:tc>
        <w:tc>
          <w:tcPr>
            <w:tcW w:w="827" w:type="pct"/>
            <w:tcBorders>
              <w:top w:val="nil"/>
              <w:left w:val="nil"/>
              <w:bottom w:val="nil"/>
              <w:right w:val="nil"/>
            </w:tcBorders>
          </w:tcPr>
          <w:p w14:paraId="23F9AD99"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(0.104)</w:t>
            </w:r>
          </w:p>
        </w:tc>
      </w:tr>
      <w:tr w:rsidR="00CD4846" w:rsidRPr="00CD4846" w14:paraId="62D3D6A4" w14:textId="77777777" w:rsidTr="002A6CED">
        <w:tc>
          <w:tcPr>
            <w:tcW w:w="1438" w:type="pct"/>
            <w:tcBorders>
              <w:top w:val="nil"/>
              <w:left w:val="nil"/>
              <w:bottom w:val="nil"/>
              <w:right w:val="nil"/>
            </w:tcBorders>
          </w:tcPr>
          <w:p w14:paraId="6C59ED0F" w14:textId="524785C9"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Prior Total Exits (1ks)</w:t>
            </w:r>
          </w:p>
        </w:tc>
        <w:tc>
          <w:tcPr>
            <w:tcW w:w="684" w:type="pct"/>
            <w:tcBorders>
              <w:top w:val="nil"/>
              <w:left w:val="nil"/>
              <w:bottom w:val="nil"/>
              <w:right w:val="nil"/>
            </w:tcBorders>
          </w:tcPr>
          <w:p w14:paraId="50E85BF3"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0.796</w:t>
            </w:r>
          </w:p>
        </w:tc>
        <w:tc>
          <w:tcPr>
            <w:tcW w:w="684" w:type="pct"/>
            <w:tcBorders>
              <w:top w:val="nil"/>
              <w:left w:val="nil"/>
              <w:bottom w:val="nil"/>
              <w:right w:val="nil"/>
            </w:tcBorders>
          </w:tcPr>
          <w:p w14:paraId="7D1C4AB9"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2.609***</w:t>
            </w:r>
          </w:p>
        </w:tc>
        <w:tc>
          <w:tcPr>
            <w:tcW w:w="684" w:type="pct"/>
            <w:tcBorders>
              <w:top w:val="nil"/>
              <w:left w:val="nil"/>
              <w:bottom w:val="nil"/>
              <w:right w:val="nil"/>
            </w:tcBorders>
          </w:tcPr>
          <w:p w14:paraId="416B860E"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5.150*</w:t>
            </w:r>
          </w:p>
        </w:tc>
        <w:tc>
          <w:tcPr>
            <w:tcW w:w="684" w:type="pct"/>
            <w:tcBorders>
              <w:top w:val="nil"/>
              <w:left w:val="nil"/>
              <w:bottom w:val="nil"/>
              <w:right w:val="nil"/>
            </w:tcBorders>
          </w:tcPr>
          <w:p w14:paraId="5502A1D3"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0.060</w:t>
            </w:r>
          </w:p>
        </w:tc>
        <w:tc>
          <w:tcPr>
            <w:tcW w:w="827" w:type="pct"/>
            <w:tcBorders>
              <w:top w:val="nil"/>
              <w:left w:val="nil"/>
              <w:bottom w:val="nil"/>
              <w:right w:val="nil"/>
            </w:tcBorders>
          </w:tcPr>
          <w:p w14:paraId="6106F437"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0.104</w:t>
            </w:r>
          </w:p>
        </w:tc>
      </w:tr>
      <w:tr w:rsidR="00CD4846" w:rsidRPr="00CD4846" w14:paraId="325DE142" w14:textId="77777777" w:rsidTr="002A6CED">
        <w:tc>
          <w:tcPr>
            <w:tcW w:w="1438" w:type="pct"/>
            <w:tcBorders>
              <w:top w:val="nil"/>
              <w:left w:val="nil"/>
              <w:bottom w:val="nil"/>
              <w:right w:val="nil"/>
            </w:tcBorders>
          </w:tcPr>
          <w:p w14:paraId="73DE4AA9" w14:textId="1CE44690" w:rsidR="00CD4846" w:rsidRPr="00DA465B" w:rsidRDefault="00CD4846" w:rsidP="00DA465B">
            <w:pPr>
              <w:widowControl w:val="0"/>
              <w:autoSpaceDE w:val="0"/>
              <w:autoSpaceDN w:val="0"/>
              <w:adjustRightInd w:val="0"/>
              <w:spacing w:line="240" w:lineRule="auto"/>
              <w:rPr>
                <w:rFonts w:cs="Times New Roman"/>
                <w:kern w:val="2"/>
                <w:sz w:val="20"/>
                <w:szCs w:val="20"/>
                <w:lang/>
              </w:rPr>
            </w:pPr>
          </w:p>
        </w:tc>
        <w:tc>
          <w:tcPr>
            <w:tcW w:w="684" w:type="pct"/>
            <w:tcBorders>
              <w:top w:val="nil"/>
              <w:left w:val="nil"/>
              <w:bottom w:val="nil"/>
              <w:right w:val="nil"/>
            </w:tcBorders>
          </w:tcPr>
          <w:p w14:paraId="31E3239E"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(0.869)</w:t>
            </w:r>
          </w:p>
        </w:tc>
        <w:tc>
          <w:tcPr>
            <w:tcW w:w="684" w:type="pct"/>
            <w:tcBorders>
              <w:top w:val="nil"/>
              <w:left w:val="nil"/>
              <w:bottom w:val="nil"/>
              <w:right w:val="nil"/>
            </w:tcBorders>
          </w:tcPr>
          <w:p w14:paraId="71DA1F5D"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(0.520)</w:t>
            </w:r>
          </w:p>
        </w:tc>
        <w:tc>
          <w:tcPr>
            <w:tcW w:w="684" w:type="pct"/>
            <w:tcBorders>
              <w:top w:val="nil"/>
              <w:left w:val="nil"/>
              <w:bottom w:val="nil"/>
              <w:right w:val="nil"/>
            </w:tcBorders>
          </w:tcPr>
          <w:p w14:paraId="57F2311D"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(2.763)</w:t>
            </w:r>
          </w:p>
        </w:tc>
        <w:tc>
          <w:tcPr>
            <w:tcW w:w="684" w:type="pct"/>
            <w:tcBorders>
              <w:top w:val="nil"/>
              <w:left w:val="nil"/>
              <w:bottom w:val="nil"/>
              <w:right w:val="nil"/>
            </w:tcBorders>
          </w:tcPr>
          <w:p w14:paraId="015308F8"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(0.046)</w:t>
            </w:r>
          </w:p>
        </w:tc>
        <w:tc>
          <w:tcPr>
            <w:tcW w:w="827" w:type="pct"/>
            <w:tcBorders>
              <w:top w:val="nil"/>
              <w:left w:val="nil"/>
              <w:bottom w:val="nil"/>
              <w:right w:val="nil"/>
            </w:tcBorders>
          </w:tcPr>
          <w:p w14:paraId="698BC6FE"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(0.083)</w:t>
            </w:r>
          </w:p>
        </w:tc>
      </w:tr>
      <w:tr w:rsidR="00CD4846" w:rsidRPr="00CD4846" w14:paraId="79B5FAE7" w14:textId="77777777" w:rsidTr="002A6CED">
        <w:tc>
          <w:tcPr>
            <w:tcW w:w="1438" w:type="pct"/>
            <w:tcBorders>
              <w:top w:val="nil"/>
              <w:left w:val="nil"/>
              <w:bottom w:val="nil"/>
              <w:right w:val="nil"/>
            </w:tcBorders>
          </w:tcPr>
          <w:p w14:paraId="56975DE4"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Constant</w:t>
            </w:r>
          </w:p>
        </w:tc>
        <w:tc>
          <w:tcPr>
            <w:tcW w:w="684" w:type="pct"/>
            <w:tcBorders>
              <w:top w:val="nil"/>
              <w:left w:val="nil"/>
              <w:bottom w:val="nil"/>
              <w:right w:val="nil"/>
            </w:tcBorders>
          </w:tcPr>
          <w:p w14:paraId="07F9E785"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1.950***</w:t>
            </w:r>
          </w:p>
        </w:tc>
        <w:tc>
          <w:tcPr>
            <w:tcW w:w="684" w:type="pct"/>
            <w:tcBorders>
              <w:top w:val="nil"/>
              <w:left w:val="nil"/>
              <w:bottom w:val="nil"/>
              <w:right w:val="nil"/>
            </w:tcBorders>
          </w:tcPr>
          <w:p w14:paraId="19339E2E"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1.258***</w:t>
            </w:r>
          </w:p>
        </w:tc>
        <w:tc>
          <w:tcPr>
            <w:tcW w:w="684" w:type="pct"/>
            <w:tcBorders>
              <w:top w:val="nil"/>
              <w:left w:val="nil"/>
              <w:bottom w:val="nil"/>
              <w:right w:val="nil"/>
            </w:tcBorders>
          </w:tcPr>
          <w:p w14:paraId="6C47FB69"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1.894***</w:t>
            </w:r>
          </w:p>
        </w:tc>
        <w:tc>
          <w:tcPr>
            <w:tcW w:w="684" w:type="pct"/>
            <w:tcBorders>
              <w:top w:val="nil"/>
              <w:left w:val="nil"/>
              <w:bottom w:val="nil"/>
              <w:right w:val="nil"/>
            </w:tcBorders>
          </w:tcPr>
          <w:p w14:paraId="2084EDE6"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3.993***</w:t>
            </w:r>
          </w:p>
        </w:tc>
        <w:tc>
          <w:tcPr>
            <w:tcW w:w="827" w:type="pct"/>
            <w:tcBorders>
              <w:top w:val="nil"/>
              <w:left w:val="nil"/>
              <w:bottom w:val="nil"/>
              <w:right w:val="nil"/>
            </w:tcBorders>
          </w:tcPr>
          <w:p w14:paraId="26A742AF"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4.163***</w:t>
            </w:r>
          </w:p>
        </w:tc>
      </w:tr>
      <w:tr w:rsidR="00CD4846" w:rsidRPr="00CD4846" w14:paraId="15E2087C" w14:textId="77777777" w:rsidTr="002A6CED">
        <w:tc>
          <w:tcPr>
            <w:tcW w:w="1438" w:type="pct"/>
            <w:tcBorders>
              <w:top w:val="nil"/>
              <w:left w:val="nil"/>
              <w:bottom w:val="nil"/>
              <w:right w:val="nil"/>
            </w:tcBorders>
          </w:tcPr>
          <w:p w14:paraId="55676D1F" w14:textId="7C73D448" w:rsidR="00CD4846" w:rsidRPr="00DA465B" w:rsidRDefault="00CD4846" w:rsidP="00DA465B">
            <w:pPr>
              <w:widowControl w:val="0"/>
              <w:autoSpaceDE w:val="0"/>
              <w:autoSpaceDN w:val="0"/>
              <w:adjustRightInd w:val="0"/>
              <w:spacing w:line="240" w:lineRule="auto"/>
              <w:rPr>
                <w:rFonts w:cs="Times New Roman"/>
                <w:kern w:val="2"/>
                <w:sz w:val="20"/>
                <w:szCs w:val="20"/>
                <w:lang/>
              </w:rPr>
            </w:pPr>
          </w:p>
        </w:tc>
        <w:tc>
          <w:tcPr>
            <w:tcW w:w="684" w:type="pct"/>
            <w:tcBorders>
              <w:top w:val="nil"/>
              <w:left w:val="nil"/>
              <w:bottom w:val="nil"/>
              <w:right w:val="nil"/>
            </w:tcBorders>
          </w:tcPr>
          <w:p w14:paraId="7BD22C2E"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(0.274)</w:t>
            </w:r>
          </w:p>
        </w:tc>
        <w:tc>
          <w:tcPr>
            <w:tcW w:w="684" w:type="pct"/>
            <w:tcBorders>
              <w:top w:val="nil"/>
              <w:left w:val="nil"/>
              <w:bottom w:val="nil"/>
              <w:right w:val="nil"/>
            </w:tcBorders>
          </w:tcPr>
          <w:p w14:paraId="48F5CC75"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(0.417)</w:t>
            </w:r>
          </w:p>
        </w:tc>
        <w:tc>
          <w:tcPr>
            <w:tcW w:w="684" w:type="pct"/>
            <w:tcBorders>
              <w:top w:val="nil"/>
              <w:left w:val="nil"/>
              <w:bottom w:val="nil"/>
              <w:right w:val="nil"/>
            </w:tcBorders>
          </w:tcPr>
          <w:p w14:paraId="18B18623"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(0.411)</w:t>
            </w:r>
          </w:p>
        </w:tc>
        <w:tc>
          <w:tcPr>
            <w:tcW w:w="684" w:type="pct"/>
            <w:tcBorders>
              <w:top w:val="nil"/>
              <w:left w:val="nil"/>
              <w:bottom w:val="nil"/>
              <w:right w:val="nil"/>
            </w:tcBorders>
          </w:tcPr>
          <w:p w14:paraId="6D73BA30"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(0.248)</w:t>
            </w:r>
          </w:p>
        </w:tc>
        <w:tc>
          <w:tcPr>
            <w:tcW w:w="827" w:type="pct"/>
            <w:tcBorders>
              <w:top w:val="nil"/>
              <w:left w:val="nil"/>
              <w:bottom w:val="nil"/>
              <w:right w:val="nil"/>
            </w:tcBorders>
          </w:tcPr>
          <w:p w14:paraId="0BBABC9A"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(0.206)</w:t>
            </w:r>
          </w:p>
        </w:tc>
      </w:tr>
      <w:tr w:rsidR="00CD4846" w:rsidRPr="00CD4846" w14:paraId="1C897A92" w14:textId="77777777" w:rsidTr="002A6CED">
        <w:tc>
          <w:tcPr>
            <w:tcW w:w="1438" w:type="pct"/>
            <w:tcBorders>
              <w:top w:val="nil"/>
              <w:left w:val="nil"/>
              <w:bottom w:val="nil"/>
              <w:right w:val="nil"/>
            </w:tcBorders>
          </w:tcPr>
          <w:p w14:paraId="1B6C3ACA" w14:textId="02A3C36C"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Observations</w:t>
            </w:r>
          </w:p>
        </w:tc>
        <w:tc>
          <w:tcPr>
            <w:tcW w:w="684" w:type="pct"/>
            <w:tcBorders>
              <w:top w:val="nil"/>
              <w:left w:val="nil"/>
              <w:bottom w:val="nil"/>
              <w:right w:val="nil"/>
            </w:tcBorders>
          </w:tcPr>
          <w:p w14:paraId="221824A3"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15227</w:t>
            </w:r>
          </w:p>
        </w:tc>
        <w:tc>
          <w:tcPr>
            <w:tcW w:w="684" w:type="pct"/>
            <w:tcBorders>
              <w:top w:val="nil"/>
              <w:left w:val="nil"/>
              <w:bottom w:val="nil"/>
              <w:right w:val="nil"/>
            </w:tcBorders>
          </w:tcPr>
          <w:p w14:paraId="13423F1C"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9871</w:t>
            </w:r>
          </w:p>
        </w:tc>
        <w:tc>
          <w:tcPr>
            <w:tcW w:w="684" w:type="pct"/>
            <w:tcBorders>
              <w:top w:val="nil"/>
              <w:left w:val="nil"/>
              <w:bottom w:val="nil"/>
              <w:right w:val="nil"/>
            </w:tcBorders>
          </w:tcPr>
          <w:p w14:paraId="6F7BC9FE"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14370</w:t>
            </w:r>
          </w:p>
        </w:tc>
        <w:tc>
          <w:tcPr>
            <w:tcW w:w="684" w:type="pct"/>
            <w:tcBorders>
              <w:top w:val="nil"/>
              <w:left w:val="nil"/>
              <w:bottom w:val="nil"/>
              <w:right w:val="nil"/>
            </w:tcBorders>
          </w:tcPr>
          <w:p w14:paraId="7B0117A5"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26206</w:t>
            </w:r>
          </w:p>
        </w:tc>
        <w:tc>
          <w:tcPr>
            <w:tcW w:w="827" w:type="pct"/>
            <w:tcBorders>
              <w:top w:val="nil"/>
              <w:left w:val="nil"/>
              <w:bottom w:val="nil"/>
              <w:right w:val="nil"/>
            </w:tcBorders>
          </w:tcPr>
          <w:p w14:paraId="73F5173D"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26170</w:t>
            </w:r>
          </w:p>
        </w:tc>
      </w:tr>
      <w:tr w:rsidR="00CD4846" w:rsidRPr="00CD4846" w14:paraId="6A31B7FB" w14:textId="77777777" w:rsidTr="002A6CED">
        <w:tc>
          <w:tcPr>
            <w:tcW w:w="1438" w:type="pct"/>
            <w:tcBorders>
              <w:top w:val="nil"/>
              <w:left w:val="nil"/>
              <w:bottom w:val="nil"/>
              <w:right w:val="nil"/>
            </w:tcBorders>
          </w:tcPr>
          <w:p w14:paraId="612FECCF" w14:textId="5F8CC40C"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Pseudo R</w:t>
            </w:r>
            <w:r w:rsidRPr="00DA465B">
              <w:rPr>
                <w:rFonts w:cs="Times New Roman"/>
                <w:kern w:val="2"/>
                <w:sz w:val="20"/>
                <w:szCs w:val="20"/>
                <w:vertAlign w:val="superscript"/>
                <w:lang/>
              </w:rPr>
              <w:t>2</w:t>
            </w:r>
          </w:p>
        </w:tc>
        <w:tc>
          <w:tcPr>
            <w:tcW w:w="684" w:type="pct"/>
            <w:tcBorders>
              <w:top w:val="nil"/>
              <w:left w:val="nil"/>
              <w:bottom w:val="nil"/>
              <w:right w:val="nil"/>
            </w:tcBorders>
          </w:tcPr>
          <w:p w14:paraId="069C9CC4"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0.665</w:t>
            </w:r>
          </w:p>
        </w:tc>
        <w:tc>
          <w:tcPr>
            <w:tcW w:w="684" w:type="pct"/>
            <w:tcBorders>
              <w:top w:val="nil"/>
              <w:left w:val="nil"/>
              <w:bottom w:val="nil"/>
              <w:right w:val="nil"/>
            </w:tcBorders>
          </w:tcPr>
          <w:p w14:paraId="4136BD55"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0.660</w:t>
            </w:r>
          </w:p>
        </w:tc>
        <w:tc>
          <w:tcPr>
            <w:tcW w:w="684" w:type="pct"/>
            <w:tcBorders>
              <w:top w:val="nil"/>
              <w:left w:val="nil"/>
              <w:bottom w:val="nil"/>
              <w:right w:val="nil"/>
            </w:tcBorders>
          </w:tcPr>
          <w:p w14:paraId="6C0A2D35"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0.491</w:t>
            </w:r>
          </w:p>
        </w:tc>
        <w:tc>
          <w:tcPr>
            <w:tcW w:w="684" w:type="pct"/>
            <w:tcBorders>
              <w:top w:val="nil"/>
              <w:left w:val="nil"/>
              <w:bottom w:val="nil"/>
              <w:right w:val="nil"/>
            </w:tcBorders>
          </w:tcPr>
          <w:p w14:paraId="5D754775"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0.950</w:t>
            </w:r>
          </w:p>
        </w:tc>
        <w:tc>
          <w:tcPr>
            <w:tcW w:w="827" w:type="pct"/>
            <w:tcBorders>
              <w:top w:val="nil"/>
              <w:left w:val="nil"/>
              <w:bottom w:val="nil"/>
              <w:right w:val="nil"/>
            </w:tcBorders>
          </w:tcPr>
          <w:p w14:paraId="7743416C"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0.927</w:t>
            </w:r>
          </w:p>
        </w:tc>
      </w:tr>
      <w:tr w:rsidR="00CD4846" w:rsidRPr="00CD4846" w14:paraId="008E9B0D" w14:textId="77777777" w:rsidTr="002A6CED">
        <w:tc>
          <w:tcPr>
            <w:tcW w:w="1438" w:type="pct"/>
            <w:tcBorders>
              <w:top w:val="nil"/>
              <w:left w:val="nil"/>
              <w:bottom w:val="nil"/>
              <w:right w:val="nil"/>
            </w:tcBorders>
          </w:tcPr>
          <w:p w14:paraId="106BF9D2" w14:textId="3649FAF2"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Chi</w:t>
            </w:r>
            <w:r w:rsidRPr="00DA465B">
              <w:rPr>
                <w:rFonts w:cs="Times New Roman"/>
                <w:kern w:val="2"/>
                <w:sz w:val="20"/>
                <w:szCs w:val="20"/>
                <w:vertAlign w:val="superscript"/>
                <w:lang/>
              </w:rPr>
              <w:t>2</w:t>
            </w:r>
          </w:p>
        </w:tc>
        <w:tc>
          <w:tcPr>
            <w:tcW w:w="684" w:type="pct"/>
            <w:tcBorders>
              <w:top w:val="nil"/>
              <w:left w:val="nil"/>
              <w:bottom w:val="nil"/>
              <w:right w:val="nil"/>
            </w:tcBorders>
          </w:tcPr>
          <w:p w14:paraId="195B9468"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198</w:t>
            </w:r>
          </w:p>
        </w:tc>
        <w:tc>
          <w:tcPr>
            <w:tcW w:w="684" w:type="pct"/>
            <w:tcBorders>
              <w:top w:val="nil"/>
              <w:left w:val="nil"/>
              <w:bottom w:val="nil"/>
              <w:right w:val="nil"/>
            </w:tcBorders>
          </w:tcPr>
          <w:p w14:paraId="69590636"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131</w:t>
            </w:r>
          </w:p>
        </w:tc>
        <w:tc>
          <w:tcPr>
            <w:tcW w:w="684" w:type="pct"/>
            <w:tcBorders>
              <w:top w:val="nil"/>
              <w:left w:val="nil"/>
              <w:bottom w:val="nil"/>
              <w:right w:val="nil"/>
            </w:tcBorders>
          </w:tcPr>
          <w:p w14:paraId="17503ACF"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95</w:t>
            </w:r>
          </w:p>
        </w:tc>
        <w:tc>
          <w:tcPr>
            <w:tcW w:w="684" w:type="pct"/>
            <w:tcBorders>
              <w:top w:val="nil"/>
              <w:left w:val="nil"/>
              <w:bottom w:val="nil"/>
              <w:right w:val="nil"/>
            </w:tcBorders>
          </w:tcPr>
          <w:p w14:paraId="7BECCDF8"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177</w:t>
            </w:r>
          </w:p>
        </w:tc>
        <w:tc>
          <w:tcPr>
            <w:tcW w:w="827" w:type="pct"/>
            <w:tcBorders>
              <w:top w:val="nil"/>
              <w:left w:val="nil"/>
              <w:bottom w:val="nil"/>
              <w:right w:val="nil"/>
            </w:tcBorders>
          </w:tcPr>
          <w:p w14:paraId="46A69AD4"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116</w:t>
            </w:r>
          </w:p>
        </w:tc>
      </w:tr>
      <w:tr w:rsidR="00CD4846" w:rsidRPr="00CD4846" w14:paraId="4BD8384F" w14:textId="77777777" w:rsidTr="002A6CED">
        <w:tc>
          <w:tcPr>
            <w:tcW w:w="1438" w:type="pct"/>
            <w:tcBorders>
              <w:top w:val="nil"/>
              <w:left w:val="nil"/>
              <w:bottom w:val="nil"/>
              <w:right w:val="nil"/>
            </w:tcBorders>
          </w:tcPr>
          <w:p w14:paraId="79DEE1A4" w14:textId="4F2CE6B0"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Log Likelihood</w:t>
            </w:r>
          </w:p>
        </w:tc>
        <w:tc>
          <w:tcPr>
            <w:tcW w:w="684" w:type="pct"/>
            <w:tcBorders>
              <w:top w:val="nil"/>
              <w:left w:val="nil"/>
              <w:bottom w:val="nil"/>
              <w:right w:val="nil"/>
            </w:tcBorders>
          </w:tcPr>
          <w:p w14:paraId="768338F4"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-35043</w:t>
            </w:r>
          </w:p>
        </w:tc>
        <w:tc>
          <w:tcPr>
            <w:tcW w:w="684" w:type="pct"/>
            <w:tcBorders>
              <w:top w:val="nil"/>
              <w:left w:val="nil"/>
              <w:bottom w:val="nil"/>
              <w:right w:val="nil"/>
            </w:tcBorders>
          </w:tcPr>
          <w:p w14:paraId="232CCF12"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-14625</w:t>
            </w:r>
          </w:p>
        </w:tc>
        <w:tc>
          <w:tcPr>
            <w:tcW w:w="684" w:type="pct"/>
            <w:tcBorders>
              <w:top w:val="nil"/>
              <w:left w:val="nil"/>
              <w:bottom w:val="nil"/>
              <w:right w:val="nil"/>
            </w:tcBorders>
          </w:tcPr>
          <w:p w14:paraId="0910A4B5"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-20206</w:t>
            </w:r>
          </w:p>
        </w:tc>
        <w:tc>
          <w:tcPr>
            <w:tcW w:w="684" w:type="pct"/>
            <w:tcBorders>
              <w:top w:val="nil"/>
              <w:left w:val="nil"/>
              <w:bottom w:val="nil"/>
              <w:right w:val="nil"/>
            </w:tcBorders>
          </w:tcPr>
          <w:p w14:paraId="5E8B6BF3"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-115920</w:t>
            </w:r>
          </w:p>
        </w:tc>
        <w:tc>
          <w:tcPr>
            <w:tcW w:w="827" w:type="pct"/>
            <w:tcBorders>
              <w:top w:val="nil"/>
              <w:left w:val="nil"/>
              <w:bottom w:val="nil"/>
              <w:right w:val="nil"/>
            </w:tcBorders>
          </w:tcPr>
          <w:p w14:paraId="25B92BF6"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-69520</w:t>
            </w:r>
          </w:p>
        </w:tc>
      </w:tr>
      <w:tr w:rsidR="00CD4846" w:rsidRPr="00CD4846" w14:paraId="6F5B166F" w14:textId="77777777" w:rsidTr="002A6CED">
        <w:tc>
          <w:tcPr>
            <w:tcW w:w="1438" w:type="pct"/>
            <w:tcBorders>
              <w:top w:val="nil"/>
              <w:left w:val="nil"/>
              <w:bottom w:val="nil"/>
              <w:right w:val="nil"/>
            </w:tcBorders>
          </w:tcPr>
          <w:p w14:paraId="40F51487" w14:textId="089AC070"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Akaike’s Criterion</w:t>
            </w:r>
          </w:p>
        </w:tc>
        <w:tc>
          <w:tcPr>
            <w:tcW w:w="684" w:type="pct"/>
            <w:tcBorders>
              <w:top w:val="nil"/>
              <w:left w:val="nil"/>
              <w:bottom w:val="nil"/>
              <w:right w:val="nil"/>
            </w:tcBorders>
          </w:tcPr>
          <w:p w14:paraId="1521531E"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70123</w:t>
            </w:r>
          </w:p>
        </w:tc>
        <w:tc>
          <w:tcPr>
            <w:tcW w:w="684" w:type="pct"/>
            <w:tcBorders>
              <w:top w:val="nil"/>
              <w:left w:val="nil"/>
              <w:bottom w:val="nil"/>
              <w:right w:val="nil"/>
            </w:tcBorders>
          </w:tcPr>
          <w:p w14:paraId="3A7E51BB"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29286</w:t>
            </w:r>
          </w:p>
        </w:tc>
        <w:tc>
          <w:tcPr>
            <w:tcW w:w="684" w:type="pct"/>
            <w:tcBorders>
              <w:top w:val="nil"/>
              <w:left w:val="nil"/>
              <w:bottom w:val="nil"/>
              <w:right w:val="nil"/>
            </w:tcBorders>
          </w:tcPr>
          <w:p w14:paraId="1B1256BE"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40448</w:t>
            </w:r>
          </w:p>
        </w:tc>
        <w:tc>
          <w:tcPr>
            <w:tcW w:w="684" w:type="pct"/>
            <w:tcBorders>
              <w:top w:val="nil"/>
              <w:left w:val="nil"/>
              <w:bottom w:val="nil"/>
              <w:right w:val="nil"/>
            </w:tcBorders>
          </w:tcPr>
          <w:p w14:paraId="29966867"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231877</w:t>
            </w:r>
          </w:p>
        </w:tc>
        <w:tc>
          <w:tcPr>
            <w:tcW w:w="827" w:type="pct"/>
            <w:tcBorders>
              <w:top w:val="nil"/>
              <w:left w:val="nil"/>
              <w:bottom w:val="nil"/>
              <w:right w:val="nil"/>
            </w:tcBorders>
          </w:tcPr>
          <w:p w14:paraId="0A3005CC"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139076</w:t>
            </w:r>
          </w:p>
        </w:tc>
      </w:tr>
      <w:tr w:rsidR="00CD4846" w:rsidRPr="00CD4846" w14:paraId="59DA9845" w14:textId="77777777" w:rsidTr="002A6CED">
        <w:tc>
          <w:tcPr>
            <w:tcW w:w="1438" w:type="pct"/>
            <w:tcBorders>
              <w:top w:val="nil"/>
              <w:left w:val="nil"/>
              <w:bottom w:val="nil"/>
              <w:right w:val="nil"/>
            </w:tcBorders>
          </w:tcPr>
          <w:p w14:paraId="14788A6D" w14:textId="33D53BA4"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Bayesian Criterion</w:t>
            </w:r>
          </w:p>
        </w:tc>
        <w:tc>
          <w:tcPr>
            <w:tcW w:w="684" w:type="pct"/>
            <w:tcBorders>
              <w:top w:val="nil"/>
              <w:left w:val="nil"/>
              <w:bottom w:val="nil"/>
              <w:right w:val="nil"/>
            </w:tcBorders>
          </w:tcPr>
          <w:p w14:paraId="6F6332DD"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70261</w:t>
            </w:r>
          </w:p>
        </w:tc>
        <w:tc>
          <w:tcPr>
            <w:tcW w:w="684" w:type="pct"/>
            <w:tcBorders>
              <w:top w:val="nil"/>
              <w:left w:val="nil"/>
              <w:bottom w:val="nil"/>
              <w:right w:val="nil"/>
            </w:tcBorders>
          </w:tcPr>
          <w:p w14:paraId="4BA33C20"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29416</w:t>
            </w:r>
          </w:p>
        </w:tc>
        <w:tc>
          <w:tcPr>
            <w:tcW w:w="684" w:type="pct"/>
            <w:tcBorders>
              <w:top w:val="nil"/>
              <w:left w:val="nil"/>
              <w:bottom w:val="nil"/>
              <w:right w:val="nil"/>
            </w:tcBorders>
          </w:tcPr>
          <w:p w14:paraId="50466A92"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40584</w:t>
            </w:r>
          </w:p>
        </w:tc>
        <w:tc>
          <w:tcPr>
            <w:tcW w:w="684" w:type="pct"/>
            <w:tcBorders>
              <w:top w:val="nil"/>
              <w:left w:val="nil"/>
              <w:bottom w:val="nil"/>
              <w:right w:val="nil"/>
            </w:tcBorders>
          </w:tcPr>
          <w:p w14:paraId="38733FCD"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232024</w:t>
            </w:r>
          </w:p>
        </w:tc>
        <w:tc>
          <w:tcPr>
            <w:tcW w:w="827" w:type="pct"/>
            <w:tcBorders>
              <w:top w:val="nil"/>
              <w:left w:val="nil"/>
              <w:bottom w:val="nil"/>
              <w:right w:val="nil"/>
            </w:tcBorders>
          </w:tcPr>
          <w:p w14:paraId="3863705E"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139223</w:t>
            </w:r>
          </w:p>
        </w:tc>
      </w:tr>
      <w:tr w:rsidR="00CD4846" w:rsidRPr="00CD4846" w14:paraId="0072AD08" w14:textId="77777777" w:rsidTr="002A6CED">
        <w:tc>
          <w:tcPr>
            <w:tcW w:w="1438" w:type="pct"/>
            <w:tcBorders>
              <w:top w:val="nil"/>
              <w:left w:val="nil"/>
              <w:bottom w:val="nil"/>
              <w:right w:val="nil"/>
            </w:tcBorders>
          </w:tcPr>
          <w:p w14:paraId="32106BE7"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County FE</w:t>
            </w:r>
          </w:p>
        </w:tc>
        <w:tc>
          <w:tcPr>
            <w:tcW w:w="684" w:type="pct"/>
            <w:tcBorders>
              <w:top w:val="nil"/>
              <w:left w:val="nil"/>
              <w:bottom w:val="nil"/>
              <w:right w:val="nil"/>
            </w:tcBorders>
          </w:tcPr>
          <w:p w14:paraId="3B0858C8"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Yes</w:t>
            </w:r>
          </w:p>
        </w:tc>
        <w:tc>
          <w:tcPr>
            <w:tcW w:w="684" w:type="pct"/>
            <w:tcBorders>
              <w:top w:val="nil"/>
              <w:left w:val="nil"/>
              <w:bottom w:val="nil"/>
              <w:right w:val="nil"/>
            </w:tcBorders>
          </w:tcPr>
          <w:p w14:paraId="4A42BEA8"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Yes</w:t>
            </w:r>
          </w:p>
        </w:tc>
        <w:tc>
          <w:tcPr>
            <w:tcW w:w="684" w:type="pct"/>
            <w:tcBorders>
              <w:top w:val="nil"/>
              <w:left w:val="nil"/>
              <w:bottom w:val="nil"/>
              <w:right w:val="nil"/>
            </w:tcBorders>
          </w:tcPr>
          <w:p w14:paraId="7D99103D"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Yes</w:t>
            </w:r>
          </w:p>
        </w:tc>
        <w:tc>
          <w:tcPr>
            <w:tcW w:w="684" w:type="pct"/>
            <w:tcBorders>
              <w:top w:val="nil"/>
              <w:left w:val="nil"/>
              <w:bottom w:val="nil"/>
              <w:right w:val="nil"/>
            </w:tcBorders>
          </w:tcPr>
          <w:p w14:paraId="7410F2DC"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Yes</w:t>
            </w:r>
          </w:p>
        </w:tc>
        <w:tc>
          <w:tcPr>
            <w:tcW w:w="827" w:type="pct"/>
            <w:tcBorders>
              <w:top w:val="nil"/>
              <w:left w:val="nil"/>
              <w:bottom w:val="nil"/>
              <w:right w:val="nil"/>
            </w:tcBorders>
          </w:tcPr>
          <w:p w14:paraId="4941E81E"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Yes</w:t>
            </w:r>
          </w:p>
        </w:tc>
      </w:tr>
      <w:tr w:rsidR="00CD4846" w:rsidRPr="00CD4846" w14:paraId="729D2EE7" w14:textId="77777777" w:rsidTr="002A6CED">
        <w:tc>
          <w:tcPr>
            <w:tcW w:w="1438" w:type="pct"/>
            <w:tcBorders>
              <w:top w:val="nil"/>
              <w:left w:val="nil"/>
              <w:bottom w:val="nil"/>
              <w:right w:val="nil"/>
            </w:tcBorders>
          </w:tcPr>
          <w:p w14:paraId="4A64AF1F"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State by Year FE</w:t>
            </w:r>
          </w:p>
        </w:tc>
        <w:tc>
          <w:tcPr>
            <w:tcW w:w="684" w:type="pct"/>
            <w:tcBorders>
              <w:top w:val="nil"/>
              <w:left w:val="nil"/>
              <w:bottom w:val="nil"/>
              <w:right w:val="nil"/>
            </w:tcBorders>
          </w:tcPr>
          <w:p w14:paraId="139F2057"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Yes</w:t>
            </w:r>
          </w:p>
        </w:tc>
        <w:tc>
          <w:tcPr>
            <w:tcW w:w="684" w:type="pct"/>
            <w:tcBorders>
              <w:top w:val="nil"/>
              <w:left w:val="nil"/>
              <w:bottom w:val="nil"/>
              <w:right w:val="nil"/>
            </w:tcBorders>
          </w:tcPr>
          <w:p w14:paraId="5AA87402"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Yes</w:t>
            </w:r>
          </w:p>
        </w:tc>
        <w:tc>
          <w:tcPr>
            <w:tcW w:w="684" w:type="pct"/>
            <w:tcBorders>
              <w:top w:val="nil"/>
              <w:left w:val="nil"/>
              <w:bottom w:val="nil"/>
              <w:right w:val="nil"/>
            </w:tcBorders>
          </w:tcPr>
          <w:p w14:paraId="0B7758BB"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Yes</w:t>
            </w:r>
          </w:p>
        </w:tc>
        <w:tc>
          <w:tcPr>
            <w:tcW w:w="684" w:type="pct"/>
            <w:tcBorders>
              <w:top w:val="nil"/>
              <w:left w:val="nil"/>
              <w:bottom w:val="nil"/>
              <w:right w:val="nil"/>
            </w:tcBorders>
          </w:tcPr>
          <w:p w14:paraId="7C93B5E7"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Yes</w:t>
            </w:r>
          </w:p>
        </w:tc>
        <w:tc>
          <w:tcPr>
            <w:tcW w:w="827" w:type="pct"/>
            <w:tcBorders>
              <w:top w:val="nil"/>
              <w:left w:val="nil"/>
              <w:bottom w:val="nil"/>
              <w:right w:val="nil"/>
            </w:tcBorders>
          </w:tcPr>
          <w:p w14:paraId="49B6530E"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Yes</w:t>
            </w:r>
          </w:p>
        </w:tc>
      </w:tr>
    </w:tbl>
    <w:p w14:paraId="5CEFBDD5" w14:textId="77777777" w:rsidR="002A6CED" w:rsidRDefault="002A6CED" w:rsidP="004C39A4">
      <w:r>
        <w:br w:type="page"/>
      </w:r>
    </w:p>
    <w:p w14:paraId="521BD822" w14:textId="4331B16B" w:rsidR="002A6CED" w:rsidRPr="002A6CED" w:rsidRDefault="002A6CED" w:rsidP="004C39A4">
      <w:pPr>
        <w:spacing w:line="240" w:lineRule="auto"/>
        <w:rPr>
          <w:b/>
          <w:bCs/>
        </w:rPr>
      </w:pPr>
      <w:r w:rsidRPr="002A6CED">
        <w:rPr>
          <w:b/>
          <w:bCs/>
        </w:rPr>
        <w:lastRenderedPageBreak/>
        <w:t>Table A22 Continued</w:t>
      </w:r>
    </w:p>
    <w:tbl>
      <w:tblPr>
        <w:tblW w:w="5000" w:type="pct"/>
        <w:tblLook w:val="04A0" w:firstRow="1" w:lastRow="0" w:firstColumn="1" w:lastColumn="0" w:noHBand="0" w:noVBand="1"/>
      </w:tblPr>
      <w:tblGrid>
        <w:gridCol w:w="2693"/>
        <w:gridCol w:w="1281"/>
        <w:gridCol w:w="1280"/>
        <w:gridCol w:w="1280"/>
        <w:gridCol w:w="1280"/>
        <w:gridCol w:w="1546"/>
      </w:tblGrid>
      <w:tr w:rsidR="00DA465B" w:rsidRPr="00DA465B" w14:paraId="37BA74FA" w14:textId="77777777" w:rsidTr="002A6CED">
        <w:tc>
          <w:tcPr>
            <w:tcW w:w="1438" w:type="pct"/>
            <w:tcBorders>
              <w:top w:val="single" w:sz="4" w:space="0" w:color="auto"/>
              <w:left w:val="nil"/>
              <w:bottom w:val="single" w:sz="4" w:space="0" w:color="auto"/>
              <w:right w:val="nil"/>
            </w:tcBorders>
          </w:tcPr>
          <w:p w14:paraId="3C4BF177" w14:textId="1D205D0C" w:rsidR="002A6CED" w:rsidRPr="00DA465B" w:rsidRDefault="002A6CED" w:rsidP="00DA465B">
            <w:pPr>
              <w:spacing w:line="240" w:lineRule="auto"/>
              <w:rPr>
                <w:rFonts w:cs="Times New Roman"/>
                <w:b/>
                <w:bCs/>
                <w:sz w:val="20"/>
                <w:szCs w:val="20"/>
                <w:lang/>
              </w:rPr>
            </w:pPr>
            <w:r w:rsidRPr="00DA465B">
              <w:rPr>
                <w:rFonts w:cs="Times New Roman"/>
                <w:b/>
                <w:bCs/>
                <w:sz w:val="20"/>
                <w:szCs w:val="20"/>
                <w:lang/>
              </w:rPr>
              <w:t>Variable</w:t>
            </w:r>
          </w:p>
        </w:tc>
        <w:tc>
          <w:tcPr>
            <w:tcW w:w="684" w:type="pct"/>
            <w:tcBorders>
              <w:top w:val="single" w:sz="4" w:space="0" w:color="auto"/>
              <w:left w:val="nil"/>
              <w:bottom w:val="single" w:sz="4" w:space="0" w:color="auto"/>
              <w:right w:val="nil"/>
            </w:tcBorders>
          </w:tcPr>
          <w:p w14:paraId="487B456F" w14:textId="7D9E4DA1" w:rsidR="002A6CED" w:rsidRPr="00DA465B" w:rsidRDefault="002A6CED" w:rsidP="00DA465B">
            <w:pPr>
              <w:spacing w:line="240" w:lineRule="auto"/>
              <w:rPr>
                <w:rFonts w:cs="Times New Roman"/>
                <w:b/>
                <w:bCs/>
                <w:sz w:val="20"/>
                <w:szCs w:val="20"/>
                <w:lang/>
              </w:rPr>
            </w:pPr>
            <w:r w:rsidRPr="00DA465B">
              <w:rPr>
                <w:rFonts w:cs="Times New Roman"/>
                <w:b/>
                <w:bCs/>
                <w:sz w:val="20"/>
                <w:szCs w:val="20"/>
                <w:lang/>
              </w:rPr>
              <w:t>NAICS 11</w:t>
            </w:r>
          </w:p>
        </w:tc>
        <w:tc>
          <w:tcPr>
            <w:tcW w:w="684" w:type="pct"/>
            <w:tcBorders>
              <w:top w:val="single" w:sz="4" w:space="0" w:color="auto"/>
              <w:left w:val="nil"/>
              <w:bottom w:val="single" w:sz="4" w:space="0" w:color="auto"/>
              <w:right w:val="nil"/>
            </w:tcBorders>
          </w:tcPr>
          <w:p w14:paraId="3C23A00C" w14:textId="3D150323" w:rsidR="002A6CED" w:rsidRPr="00DA465B" w:rsidRDefault="002A6CED" w:rsidP="00DA465B">
            <w:pPr>
              <w:spacing w:line="240" w:lineRule="auto"/>
              <w:rPr>
                <w:rFonts w:cs="Times New Roman"/>
                <w:b/>
                <w:bCs/>
                <w:sz w:val="20"/>
                <w:szCs w:val="20"/>
                <w:lang/>
              </w:rPr>
            </w:pPr>
            <w:r w:rsidRPr="00DA465B">
              <w:rPr>
                <w:rFonts w:cs="Times New Roman"/>
                <w:b/>
                <w:bCs/>
                <w:sz w:val="20"/>
                <w:szCs w:val="20"/>
                <w:lang/>
              </w:rPr>
              <w:t>NAICS 21</w:t>
            </w:r>
          </w:p>
        </w:tc>
        <w:tc>
          <w:tcPr>
            <w:tcW w:w="684" w:type="pct"/>
            <w:tcBorders>
              <w:top w:val="single" w:sz="4" w:space="0" w:color="auto"/>
              <w:left w:val="nil"/>
              <w:bottom w:val="single" w:sz="4" w:space="0" w:color="auto"/>
              <w:right w:val="nil"/>
            </w:tcBorders>
          </w:tcPr>
          <w:p w14:paraId="3DBFB557" w14:textId="6A26340C" w:rsidR="002A6CED" w:rsidRPr="00DA465B" w:rsidRDefault="002A6CED" w:rsidP="00DA465B">
            <w:pPr>
              <w:spacing w:line="240" w:lineRule="auto"/>
              <w:rPr>
                <w:rFonts w:cs="Times New Roman"/>
                <w:b/>
                <w:bCs/>
                <w:sz w:val="20"/>
                <w:szCs w:val="20"/>
                <w:lang/>
              </w:rPr>
            </w:pPr>
            <w:r w:rsidRPr="00DA465B">
              <w:rPr>
                <w:rFonts w:cs="Times New Roman"/>
                <w:b/>
                <w:bCs/>
                <w:sz w:val="20"/>
                <w:szCs w:val="20"/>
                <w:lang/>
              </w:rPr>
              <w:t>NAICS 22</w:t>
            </w:r>
          </w:p>
        </w:tc>
        <w:tc>
          <w:tcPr>
            <w:tcW w:w="684" w:type="pct"/>
            <w:tcBorders>
              <w:top w:val="single" w:sz="4" w:space="0" w:color="auto"/>
              <w:left w:val="nil"/>
              <w:bottom w:val="single" w:sz="4" w:space="0" w:color="auto"/>
              <w:right w:val="nil"/>
            </w:tcBorders>
          </w:tcPr>
          <w:p w14:paraId="7E9CA14B" w14:textId="56A7A47F" w:rsidR="002A6CED" w:rsidRPr="00DA465B" w:rsidRDefault="002A6CED" w:rsidP="00DA465B">
            <w:pPr>
              <w:spacing w:line="240" w:lineRule="auto"/>
              <w:rPr>
                <w:rFonts w:cs="Times New Roman"/>
                <w:b/>
                <w:bCs/>
                <w:sz w:val="20"/>
                <w:szCs w:val="20"/>
                <w:lang/>
              </w:rPr>
            </w:pPr>
            <w:r w:rsidRPr="00DA465B">
              <w:rPr>
                <w:rFonts w:cs="Times New Roman"/>
                <w:b/>
                <w:bCs/>
                <w:sz w:val="20"/>
                <w:szCs w:val="20"/>
                <w:lang/>
              </w:rPr>
              <w:t>NAICS 23</w:t>
            </w:r>
          </w:p>
        </w:tc>
        <w:tc>
          <w:tcPr>
            <w:tcW w:w="826" w:type="pct"/>
            <w:tcBorders>
              <w:top w:val="single" w:sz="4" w:space="0" w:color="auto"/>
              <w:left w:val="nil"/>
              <w:bottom w:val="single" w:sz="4" w:space="0" w:color="auto"/>
              <w:right w:val="nil"/>
            </w:tcBorders>
          </w:tcPr>
          <w:p w14:paraId="59E4C084" w14:textId="785E8ACD" w:rsidR="002A6CED" w:rsidRPr="00DA465B" w:rsidRDefault="002A6CED" w:rsidP="00DA465B">
            <w:pPr>
              <w:spacing w:line="240" w:lineRule="auto"/>
              <w:rPr>
                <w:rFonts w:cs="Times New Roman"/>
                <w:b/>
                <w:bCs/>
                <w:sz w:val="20"/>
                <w:szCs w:val="20"/>
                <w:lang/>
              </w:rPr>
            </w:pPr>
            <w:r w:rsidRPr="00DA465B">
              <w:rPr>
                <w:rFonts w:cs="Times New Roman"/>
                <w:b/>
                <w:bCs/>
                <w:sz w:val="20"/>
                <w:szCs w:val="20"/>
                <w:lang/>
              </w:rPr>
              <w:t>NAICS 31-33</w:t>
            </w:r>
          </w:p>
        </w:tc>
      </w:tr>
      <w:tr w:rsidR="00DA465B" w:rsidRPr="00DA465B" w14:paraId="51451921" w14:textId="77777777" w:rsidTr="002A6CED">
        <w:tc>
          <w:tcPr>
            <w:tcW w:w="1438" w:type="pct"/>
            <w:tcBorders>
              <w:top w:val="single" w:sz="4" w:space="0" w:color="auto"/>
              <w:left w:val="nil"/>
              <w:right w:val="nil"/>
            </w:tcBorders>
          </w:tcPr>
          <w:p w14:paraId="131D4690" w14:textId="760946D8" w:rsidR="00CD4846" w:rsidRPr="00DA465B" w:rsidRDefault="00CD4846" w:rsidP="00DA465B">
            <w:pPr>
              <w:spacing w:line="240" w:lineRule="auto"/>
              <w:rPr>
                <w:rFonts w:cs="Times New Roman"/>
                <w:sz w:val="20"/>
                <w:szCs w:val="20"/>
                <w:lang/>
              </w:rPr>
            </w:pPr>
            <w:r w:rsidRPr="00DA465B">
              <w:rPr>
                <w:rFonts w:cs="Times New Roman"/>
                <w:sz w:val="20"/>
                <w:szCs w:val="20"/>
                <w:lang/>
              </w:rPr>
              <w:t>NAICS FE</w:t>
            </w:r>
          </w:p>
        </w:tc>
        <w:tc>
          <w:tcPr>
            <w:tcW w:w="684" w:type="pct"/>
            <w:tcBorders>
              <w:top w:val="single" w:sz="4" w:space="0" w:color="auto"/>
              <w:left w:val="nil"/>
              <w:right w:val="nil"/>
            </w:tcBorders>
          </w:tcPr>
          <w:p w14:paraId="6528B27D" w14:textId="77777777" w:rsidR="00CD4846" w:rsidRPr="00DA465B" w:rsidRDefault="00CD4846" w:rsidP="00DA465B">
            <w:pPr>
              <w:spacing w:line="240" w:lineRule="auto"/>
              <w:rPr>
                <w:rFonts w:cs="Times New Roman"/>
                <w:sz w:val="20"/>
                <w:szCs w:val="20"/>
                <w:lang/>
              </w:rPr>
            </w:pPr>
            <w:r w:rsidRPr="00DA465B">
              <w:rPr>
                <w:rFonts w:cs="Times New Roman"/>
                <w:sz w:val="20"/>
                <w:szCs w:val="20"/>
                <w:lang/>
              </w:rPr>
              <w:t>Yes</w:t>
            </w:r>
          </w:p>
        </w:tc>
        <w:tc>
          <w:tcPr>
            <w:tcW w:w="684" w:type="pct"/>
            <w:tcBorders>
              <w:top w:val="single" w:sz="4" w:space="0" w:color="auto"/>
              <w:left w:val="nil"/>
              <w:right w:val="nil"/>
            </w:tcBorders>
          </w:tcPr>
          <w:p w14:paraId="65545DBE" w14:textId="77777777" w:rsidR="00CD4846" w:rsidRPr="00DA465B" w:rsidRDefault="00CD4846" w:rsidP="00DA465B">
            <w:pPr>
              <w:spacing w:line="240" w:lineRule="auto"/>
              <w:rPr>
                <w:rFonts w:cs="Times New Roman"/>
                <w:sz w:val="20"/>
                <w:szCs w:val="20"/>
                <w:lang/>
              </w:rPr>
            </w:pPr>
            <w:r w:rsidRPr="00DA465B">
              <w:rPr>
                <w:rFonts w:cs="Times New Roman"/>
                <w:sz w:val="20"/>
                <w:szCs w:val="20"/>
                <w:lang/>
              </w:rPr>
              <w:t>Yes</w:t>
            </w:r>
          </w:p>
        </w:tc>
        <w:tc>
          <w:tcPr>
            <w:tcW w:w="684" w:type="pct"/>
            <w:tcBorders>
              <w:top w:val="single" w:sz="4" w:space="0" w:color="auto"/>
              <w:left w:val="nil"/>
              <w:right w:val="nil"/>
            </w:tcBorders>
          </w:tcPr>
          <w:p w14:paraId="709D3749" w14:textId="77777777" w:rsidR="00CD4846" w:rsidRPr="00DA465B" w:rsidRDefault="00CD4846" w:rsidP="00DA465B">
            <w:pPr>
              <w:spacing w:line="240" w:lineRule="auto"/>
              <w:rPr>
                <w:rFonts w:cs="Times New Roman"/>
                <w:sz w:val="20"/>
                <w:szCs w:val="20"/>
                <w:lang/>
              </w:rPr>
            </w:pPr>
            <w:r w:rsidRPr="00DA465B">
              <w:rPr>
                <w:rFonts w:cs="Times New Roman"/>
                <w:sz w:val="20"/>
                <w:szCs w:val="20"/>
                <w:lang/>
              </w:rPr>
              <w:t>Yes</w:t>
            </w:r>
          </w:p>
        </w:tc>
        <w:tc>
          <w:tcPr>
            <w:tcW w:w="684" w:type="pct"/>
            <w:tcBorders>
              <w:top w:val="single" w:sz="4" w:space="0" w:color="auto"/>
              <w:left w:val="nil"/>
              <w:right w:val="nil"/>
            </w:tcBorders>
          </w:tcPr>
          <w:p w14:paraId="5A5ECF9F" w14:textId="77777777" w:rsidR="00CD4846" w:rsidRPr="00DA465B" w:rsidRDefault="00CD4846" w:rsidP="00DA465B">
            <w:pPr>
              <w:spacing w:line="240" w:lineRule="auto"/>
              <w:rPr>
                <w:rFonts w:cs="Times New Roman"/>
                <w:sz w:val="20"/>
                <w:szCs w:val="20"/>
                <w:lang/>
              </w:rPr>
            </w:pPr>
            <w:r w:rsidRPr="00DA465B">
              <w:rPr>
                <w:rFonts w:cs="Times New Roman"/>
                <w:sz w:val="20"/>
                <w:szCs w:val="20"/>
                <w:lang/>
              </w:rPr>
              <w:t>Yes</w:t>
            </w:r>
          </w:p>
        </w:tc>
        <w:tc>
          <w:tcPr>
            <w:tcW w:w="826" w:type="pct"/>
            <w:tcBorders>
              <w:top w:val="single" w:sz="4" w:space="0" w:color="auto"/>
              <w:left w:val="nil"/>
              <w:right w:val="nil"/>
            </w:tcBorders>
          </w:tcPr>
          <w:p w14:paraId="024FFA61" w14:textId="77777777" w:rsidR="00CD4846" w:rsidRPr="00DA465B" w:rsidRDefault="00CD4846" w:rsidP="00DA465B">
            <w:pPr>
              <w:spacing w:line="240" w:lineRule="auto"/>
              <w:rPr>
                <w:rFonts w:cs="Times New Roman"/>
                <w:sz w:val="20"/>
                <w:szCs w:val="20"/>
                <w:lang/>
              </w:rPr>
            </w:pPr>
            <w:r w:rsidRPr="00DA465B">
              <w:rPr>
                <w:rFonts w:cs="Times New Roman"/>
                <w:sz w:val="20"/>
                <w:szCs w:val="20"/>
                <w:lang/>
              </w:rPr>
              <w:t>Yes</w:t>
            </w:r>
          </w:p>
        </w:tc>
      </w:tr>
      <w:tr w:rsidR="00DA465B" w:rsidRPr="00DA465B" w14:paraId="12C9FC02" w14:textId="77777777" w:rsidTr="002A6CED">
        <w:tc>
          <w:tcPr>
            <w:tcW w:w="1438" w:type="pct"/>
            <w:tcBorders>
              <w:top w:val="nil"/>
              <w:left w:val="nil"/>
              <w:bottom w:val="single" w:sz="4" w:space="0" w:color="auto"/>
              <w:right w:val="nil"/>
            </w:tcBorders>
          </w:tcPr>
          <w:p w14:paraId="62E1E22D" w14:textId="77777777" w:rsidR="00CD4846" w:rsidRPr="00DA465B" w:rsidRDefault="00CD4846" w:rsidP="00DA465B">
            <w:pPr>
              <w:spacing w:line="240" w:lineRule="auto"/>
              <w:rPr>
                <w:rFonts w:eastAsia="Times New Roman" w:cs="Times New Roman"/>
                <w:sz w:val="20"/>
                <w:szCs w:val="20"/>
                <w:shd w:val="clear" w:color="auto" w:fill="FFFFFF"/>
                <w:lang/>
              </w:rPr>
            </w:pPr>
            <w:r w:rsidRPr="00DA465B">
              <w:rPr>
                <w:rFonts w:eastAsia="Times New Roman" w:cs="Times New Roman"/>
                <w:sz w:val="20"/>
                <w:szCs w:val="20"/>
                <w:lang/>
              </w:rPr>
              <w:t>PA-PA</w:t>
            </w:r>
            <w:r w:rsidRPr="00DA465B">
              <w:rPr>
                <w:rFonts w:eastAsia="Times New Roman" w:cs="Times New Roman"/>
                <w:i/>
                <w:sz w:val="20"/>
                <w:szCs w:val="20"/>
                <w:shd w:val="clear" w:color="auto" w:fill="FFFFFF"/>
                <w:lang/>
              </w:rPr>
              <w:t>²</w:t>
            </w:r>
            <w:r w:rsidRPr="00DA465B">
              <w:rPr>
                <w:rFonts w:cs="Times New Roman"/>
                <w:i/>
                <w:sz w:val="20"/>
                <w:szCs w:val="20"/>
                <w:shd w:val="clear" w:color="auto" w:fill="FFFFFF"/>
                <w:lang/>
              </w:rPr>
              <w:t xml:space="preserve"> </w:t>
            </w:r>
            <w:r w:rsidRPr="00DA465B">
              <w:rPr>
                <w:rFonts w:eastAsia="Times New Roman" w:cs="Times New Roman"/>
                <w:sz w:val="20"/>
                <w:szCs w:val="20"/>
                <w:lang/>
              </w:rPr>
              <w:t xml:space="preserve">Joint Test </w:t>
            </w:r>
            <w:r w:rsidRPr="00DA465B">
              <w:rPr>
                <w:rFonts w:cs="Times New Roman"/>
                <w:sz w:val="20"/>
                <w:szCs w:val="20"/>
                <w:lang/>
              </w:rPr>
              <w:t>p-value</w:t>
            </w:r>
          </w:p>
        </w:tc>
        <w:tc>
          <w:tcPr>
            <w:tcW w:w="684" w:type="pct"/>
            <w:tcBorders>
              <w:top w:val="nil"/>
              <w:left w:val="nil"/>
              <w:bottom w:val="single" w:sz="4" w:space="0" w:color="auto"/>
              <w:right w:val="nil"/>
            </w:tcBorders>
          </w:tcPr>
          <w:p w14:paraId="0EAECB5E" w14:textId="77777777" w:rsidR="00CD4846" w:rsidRPr="00DA465B" w:rsidRDefault="00CD4846" w:rsidP="00DA465B">
            <w:pPr>
              <w:spacing w:line="240" w:lineRule="auto"/>
              <w:rPr>
                <w:rFonts w:cs="Times New Roman"/>
                <w:sz w:val="20"/>
                <w:szCs w:val="20"/>
                <w:lang/>
              </w:rPr>
            </w:pPr>
            <w:r w:rsidRPr="00DA465B">
              <w:rPr>
                <w:rFonts w:cs="Times New Roman"/>
                <w:sz w:val="20"/>
                <w:szCs w:val="20"/>
                <w:lang/>
              </w:rPr>
              <w:t>0.0001</w:t>
            </w:r>
          </w:p>
        </w:tc>
        <w:tc>
          <w:tcPr>
            <w:tcW w:w="684" w:type="pct"/>
            <w:tcBorders>
              <w:top w:val="nil"/>
              <w:left w:val="nil"/>
              <w:bottom w:val="single" w:sz="4" w:space="0" w:color="auto"/>
              <w:right w:val="nil"/>
            </w:tcBorders>
          </w:tcPr>
          <w:p w14:paraId="62BC81A7" w14:textId="77777777" w:rsidR="00CD4846" w:rsidRPr="00DA465B" w:rsidRDefault="00CD4846" w:rsidP="00DA465B">
            <w:pPr>
              <w:spacing w:line="240" w:lineRule="auto"/>
              <w:rPr>
                <w:rFonts w:cs="Times New Roman"/>
                <w:sz w:val="20"/>
                <w:szCs w:val="20"/>
                <w:lang/>
              </w:rPr>
            </w:pPr>
            <w:r w:rsidRPr="00DA465B">
              <w:rPr>
                <w:rFonts w:cs="Times New Roman"/>
                <w:sz w:val="20"/>
                <w:szCs w:val="20"/>
                <w:lang/>
              </w:rPr>
              <w:t>0.0232</w:t>
            </w:r>
          </w:p>
        </w:tc>
        <w:tc>
          <w:tcPr>
            <w:tcW w:w="684" w:type="pct"/>
            <w:tcBorders>
              <w:top w:val="nil"/>
              <w:left w:val="nil"/>
              <w:bottom w:val="single" w:sz="4" w:space="0" w:color="auto"/>
              <w:right w:val="nil"/>
            </w:tcBorders>
          </w:tcPr>
          <w:p w14:paraId="74C6DFD2" w14:textId="77777777" w:rsidR="00CD4846" w:rsidRPr="00DA465B" w:rsidRDefault="00CD4846" w:rsidP="00DA465B">
            <w:pPr>
              <w:spacing w:line="240" w:lineRule="auto"/>
              <w:rPr>
                <w:rFonts w:cs="Times New Roman"/>
                <w:sz w:val="20"/>
                <w:szCs w:val="20"/>
                <w:lang/>
              </w:rPr>
            </w:pPr>
            <w:r w:rsidRPr="00DA465B">
              <w:rPr>
                <w:rFonts w:cs="Times New Roman"/>
                <w:sz w:val="20"/>
                <w:szCs w:val="20"/>
                <w:lang/>
              </w:rPr>
              <w:t>0.1744</w:t>
            </w:r>
          </w:p>
        </w:tc>
        <w:tc>
          <w:tcPr>
            <w:tcW w:w="684" w:type="pct"/>
            <w:tcBorders>
              <w:top w:val="nil"/>
              <w:left w:val="nil"/>
              <w:bottom w:val="single" w:sz="4" w:space="0" w:color="auto"/>
              <w:right w:val="nil"/>
            </w:tcBorders>
          </w:tcPr>
          <w:p w14:paraId="0C857AAC" w14:textId="77777777" w:rsidR="00CD4846" w:rsidRPr="00DA465B" w:rsidRDefault="00CD4846" w:rsidP="00DA465B">
            <w:pPr>
              <w:spacing w:line="240" w:lineRule="auto"/>
              <w:rPr>
                <w:rFonts w:cs="Times New Roman"/>
                <w:sz w:val="20"/>
                <w:szCs w:val="20"/>
                <w:lang/>
              </w:rPr>
            </w:pPr>
            <w:r w:rsidRPr="00DA465B">
              <w:rPr>
                <w:rFonts w:cs="Times New Roman"/>
                <w:sz w:val="20"/>
                <w:szCs w:val="20"/>
                <w:lang/>
              </w:rPr>
              <w:t>0.7607</w:t>
            </w:r>
          </w:p>
        </w:tc>
        <w:tc>
          <w:tcPr>
            <w:tcW w:w="826" w:type="pct"/>
            <w:tcBorders>
              <w:top w:val="nil"/>
              <w:left w:val="nil"/>
              <w:bottom w:val="single" w:sz="4" w:space="0" w:color="auto"/>
              <w:right w:val="nil"/>
            </w:tcBorders>
          </w:tcPr>
          <w:p w14:paraId="77BFC3DD" w14:textId="77777777" w:rsidR="00CD4846" w:rsidRPr="00DA465B" w:rsidRDefault="00CD4846" w:rsidP="00DA465B">
            <w:pPr>
              <w:spacing w:line="240" w:lineRule="auto"/>
              <w:rPr>
                <w:rFonts w:cs="Times New Roman"/>
                <w:sz w:val="20"/>
                <w:szCs w:val="20"/>
                <w:lang/>
              </w:rPr>
            </w:pPr>
            <w:r w:rsidRPr="00DA465B">
              <w:rPr>
                <w:rFonts w:cs="Times New Roman"/>
                <w:sz w:val="20"/>
                <w:szCs w:val="20"/>
                <w:lang/>
              </w:rPr>
              <w:t>0.0105</w:t>
            </w:r>
          </w:p>
        </w:tc>
      </w:tr>
    </w:tbl>
    <w:p w14:paraId="69D5A2FA" w14:textId="7FFBF2B5" w:rsidR="00CD4846" w:rsidRPr="00DA465B" w:rsidRDefault="00CD4846" w:rsidP="00DA465B">
      <w:pPr>
        <w:spacing w:line="240" w:lineRule="auto"/>
        <w:rPr>
          <w:rFonts w:eastAsia="Times New Roman" w:cs="Times New Roman"/>
          <w:sz w:val="20"/>
          <w:szCs w:val="20"/>
          <w:lang/>
        </w:rPr>
      </w:pPr>
      <w:r w:rsidRPr="00DA465B">
        <w:rPr>
          <w:rFonts w:cs="Times New Roman"/>
          <w:sz w:val="20"/>
          <w:szCs w:val="20"/>
          <w:lang/>
        </w:rPr>
        <w:t>Table A</w:t>
      </w:r>
      <w:r w:rsidRPr="00DA465B">
        <w:rPr>
          <w:rFonts w:cs="Times New Roman"/>
          <w:sz w:val="20"/>
          <w:szCs w:val="20"/>
          <w:lang/>
        </w:rPr>
        <w:t>22</w:t>
      </w:r>
      <w:r w:rsidRPr="00DA465B">
        <w:rPr>
          <w:rFonts w:cs="Times New Roman"/>
          <w:sz w:val="20"/>
          <w:szCs w:val="20"/>
          <w:lang/>
        </w:rPr>
        <w:t xml:space="preserve">: PPMLHDFE regression results on </w:t>
      </w:r>
      <w:r w:rsidRPr="00DA465B">
        <w:rPr>
          <w:rFonts w:cs="Times New Roman"/>
          <w:sz w:val="20"/>
          <w:szCs w:val="20"/>
          <w:lang/>
        </w:rPr>
        <w:t xml:space="preserve">total </w:t>
      </w:r>
      <w:r w:rsidRPr="00DA465B">
        <w:rPr>
          <w:rFonts w:cs="Times New Roman"/>
          <w:sz w:val="20"/>
          <w:szCs w:val="20"/>
          <w:lang/>
        </w:rPr>
        <w:t xml:space="preserve">establishment </w:t>
      </w:r>
      <w:r w:rsidRPr="00DA465B">
        <w:rPr>
          <w:rFonts w:cs="Times New Roman"/>
          <w:sz w:val="20"/>
          <w:szCs w:val="20"/>
          <w:lang/>
        </w:rPr>
        <w:t xml:space="preserve">entries </w:t>
      </w:r>
      <w:r w:rsidRPr="00DA465B">
        <w:rPr>
          <w:rFonts w:cs="Times New Roman"/>
          <w:sz w:val="20"/>
          <w:szCs w:val="20"/>
          <w:lang/>
        </w:rPr>
        <w:t xml:space="preserve">under </w:t>
      </w:r>
      <w:r w:rsidRPr="00DA465B">
        <w:rPr>
          <w:rFonts w:cs="Times New Roman"/>
          <w:sz w:val="20"/>
          <w:szCs w:val="20"/>
          <w:lang/>
        </w:rPr>
        <w:t>strict</w:t>
      </w:r>
      <w:r w:rsidRPr="00DA465B">
        <w:rPr>
          <w:rFonts w:cs="Times New Roman"/>
          <w:sz w:val="20"/>
          <w:szCs w:val="20"/>
          <w:lang/>
        </w:rPr>
        <w:t xml:space="preserve"> PADs (GAP 1-</w:t>
      </w:r>
      <w:r w:rsidRPr="00DA465B">
        <w:rPr>
          <w:rFonts w:cs="Times New Roman"/>
          <w:sz w:val="20"/>
          <w:szCs w:val="20"/>
          <w:lang/>
        </w:rPr>
        <w:t>2</w:t>
      </w:r>
      <w:r w:rsidRPr="00DA465B">
        <w:rPr>
          <w:rFonts w:cs="Times New Roman"/>
          <w:sz w:val="20"/>
          <w:szCs w:val="20"/>
          <w:lang/>
        </w:rPr>
        <w:t xml:space="preserve">) are presented above. Column names correspond to a specific NAICS sector. </w:t>
      </w:r>
      <w:r w:rsidR="002A78A3" w:rsidRPr="00C624DB">
        <w:rPr>
          <w:sz w:val="20"/>
          <w:szCs w:val="20"/>
          <w:lang/>
        </w:rPr>
        <w:t xml:space="preserve">Standard errors are </w:t>
      </w:r>
      <w:r w:rsidR="002A78A3">
        <w:rPr>
          <w:sz w:val="20"/>
          <w:szCs w:val="20"/>
          <w:lang/>
        </w:rPr>
        <w:t xml:space="preserve">in parentheses and are </w:t>
      </w:r>
      <w:r w:rsidR="002A78A3" w:rsidRPr="00C624DB">
        <w:rPr>
          <w:sz w:val="20"/>
          <w:szCs w:val="20"/>
          <w:lang/>
        </w:rPr>
        <w:t xml:space="preserve">clustered at the county level. </w:t>
      </w:r>
      <w:r w:rsidR="002A78A3" w:rsidRPr="002C0F11">
        <w:rPr>
          <w:sz w:val="20"/>
          <w:szCs w:val="20"/>
          <w:lang/>
        </w:rPr>
        <w:t>Statistically significant impacts are denoted by asterisks. These asterisks denote statistical significance at the following levels: ***p &lt; 0.01, **p &lt; 0.05, *p &lt; 0.1.</w:t>
      </w:r>
      <w:r w:rsidRPr="00DA465B">
        <w:rPr>
          <w:rFonts w:cs="Times New Roman"/>
          <w:sz w:val="20"/>
          <w:szCs w:val="20"/>
          <w:lang/>
        </w:rPr>
        <w:t xml:space="preserve"> p-values of joint-tests on linear and quadratic PAD terms are shown in the last row.</w:t>
      </w:r>
    </w:p>
    <w:p w14:paraId="43DA513F" w14:textId="77777777" w:rsidR="00CD4846" w:rsidRPr="00CD4846" w:rsidRDefault="00CD4846" w:rsidP="004C39A4">
      <w:pPr>
        <w:spacing w:line="256" w:lineRule="auto"/>
        <w:rPr>
          <w:rFonts w:ascii="DengXian" w:hAnsi="DengXian" w:cs="Times New Roman"/>
          <w:kern w:val="2"/>
          <w:sz w:val="22"/>
          <w:szCs w:val="22"/>
          <w:lang/>
        </w:rPr>
      </w:pPr>
    </w:p>
    <w:p w14:paraId="296BC477" w14:textId="77777777" w:rsidR="00CD4846" w:rsidRPr="00CD4846" w:rsidRDefault="00CD4846" w:rsidP="004C39A4">
      <w:pPr>
        <w:spacing w:line="256" w:lineRule="auto"/>
        <w:rPr>
          <w:rFonts w:ascii="DengXian" w:hAnsi="DengXian" w:cs="Times New Roman"/>
          <w:kern w:val="2"/>
          <w:sz w:val="22"/>
          <w:szCs w:val="22"/>
          <w:lang/>
        </w:rPr>
      </w:pPr>
    </w:p>
    <w:p w14:paraId="265CD642" w14:textId="77777777" w:rsidR="00CD4846" w:rsidRPr="00CD4846" w:rsidRDefault="00CD4846" w:rsidP="004C39A4">
      <w:pPr>
        <w:spacing w:line="256" w:lineRule="auto"/>
        <w:rPr>
          <w:rFonts w:ascii="DengXian" w:hAnsi="DengXian" w:cs="Times New Roman"/>
          <w:kern w:val="2"/>
          <w:sz w:val="22"/>
          <w:szCs w:val="22"/>
          <w:lang/>
        </w:rPr>
      </w:pPr>
    </w:p>
    <w:p w14:paraId="52947153" w14:textId="77777777" w:rsidR="00CD4846" w:rsidRPr="00CD4846" w:rsidRDefault="00CD4846" w:rsidP="00095E25">
      <w:pPr>
        <w:pStyle w:val="Title"/>
        <w:rPr>
          <w:sz w:val="32"/>
          <w:szCs w:val="32"/>
        </w:rPr>
      </w:pPr>
      <w:r w:rsidRPr="00CD4846">
        <w:rPr>
          <w:rFonts w:ascii="Garamond" w:hAnsi="Garamond"/>
          <w:sz w:val="20"/>
          <w:szCs w:val="20"/>
        </w:rPr>
        <w:br w:type="page"/>
      </w:r>
      <w:bookmarkStart w:id="293" w:name="_Toc186799427"/>
      <w:bookmarkStart w:id="294" w:name="_Toc188359628"/>
      <w:bookmarkStart w:id="295" w:name="_Toc188359916"/>
      <w:bookmarkStart w:id="296" w:name="_Toc188361152"/>
      <w:bookmarkStart w:id="297" w:name="_Toc188366996"/>
      <w:r w:rsidRPr="00CD4846">
        <w:lastRenderedPageBreak/>
        <w:t xml:space="preserve">Table A23: </w:t>
      </w:r>
      <w:bookmarkStart w:id="298" w:name="_Hlk186797410"/>
      <w:r w:rsidRPr="00CD4846">
        <w:t xml:space="preserve">Regression Results of Strict PADs </w:t>
      </w:r>
      <w:bookmarkEnd w:id="298"/>
      <w:r w:rsidRPr="00CD4846">
        <w:t>on Deaths</w:t>
      </w:r>
      <w:bookmarkEnd w:id="293"/>
      <w:bookmarkEnd w:id="294"/>
      <w:bookmarkEnd w:id="295"/>
      <w:bookmarkEnd w:id="296"/>
      <w:bookmarkEnd w:id="297"/>
    </w:p>
    <w:tbl>
      <w:tblPr>
        <w:tblW w:w="5000" w:type="pct"/>
        <w:tblLook w:val="04A0" w:firstRow="1" w:lastRow="0" w:firstColumn="1" w:lastColumn="0" w:noHBand="0" w:noVBand="1"/>
      </w:tblPr>
      <w:tblGrid>
        <w:gridCol w:w="3080"/>
        <w:gridCol w:w="1153"/>
        <w:gridCol w:w="1177"/>
        <w:gridCol w:w="1230"/>
        <w:gridCol w:w="1230"/>
        <w:gridCol w:w="1490"/>
      </w:tblGrid>
      <w:tr w:rsidR="00CD4846" w:rsidRPr="00CD4846" w14:paraId="3587AD5B" w14:textId="77777777" w:rsidTr="00B82EB9">
        <w:tc>
          <w:tcPr>
            <w:tcW w:w="1645" w:type="pct"/>
            <w:tcBorders>
              <w:top w:val="single" w:sz="4" w:space="0" w:color="auto"/>
              <w:left w:val="nil"/>
              <w:bottom w:val="single" w:sz="4" w:space="0" w:color="auto"/>
              <w:right w:val="nil"/>
            </w:tcBorders>
          </w:tcPr>
          <w:p w14:paraId="23CC64B5" w14:textId="562C3BB8" w:rsidR="00CD4846" w:rsidRPr="00DA465B" w:rsidRDefault="00CD4846" w:rsidP="00DA465B">
            <w:pPr>
              <w:widowControl w:val="0"/>
              <w:autoSpaceDE w:val="0"/>
              <w:autoSpaceDN w:val="0"/>
              <w:adjustRightInd w:val="0"/>
              <w:spacing w:line="240" w:lineRule="auto"/>
              <w:rPr>
                <w:rFonts w:cs="Times New Roman"/>
                <w:b/>
                <w:bCs/>
                <w:kern w:val="2"/>
                <w:sz w:val="20"/>
                <w:szCs w:val="20"/>
                <w:lang/>
              </w:rPr>
            </w:pPr>
            <w:r w:rsidRPr="00DA465B">
              <w:rPr>
                <w:rFonts w:cs="Times New Roman"/>
                <w:b/>
                <w:bCs/>
                <w:kern w:val="2"/>
                <w:sz w:val="20"/>
                <w:szCs w:val="20"/>
                <w:lang/>
              </w:rPr>
              <w:t>Variable</w:t>
            </w:r>
          </w:p>
        </w:tc>
        <w:tc>
          <w:tcPr>
            <w:tcW w:w="616" w:type="pct"/>
            <w:tcBorders>
              <w:top w:val="single" w:sz="4" w:space="0" w:color="auto"/>
              <w:left w:val="nil"/>
              <w:bottom w:val="single" w:sz="4" w:space="0" w:color="auto"/>
              <w:right w:val="nil"/>
            </w:tcBorders>
          </w:tcPr>
          <w:p w14:paraId="73402847" w14:textId="79FBF6F4" w:rsidR="00CD4846" w:rsidRPr="00DA465B" w:rsidRDefault="00CD4846" w:rsidP="00DA465B">
            <w:pPr>
              <w:widowControl w:val="0"/>
              <w:autoSpaceDE w:val="0"/>
              <w:autoSpaceDN w:val="0"/>
              <w:adjustRightInd w:val="0"/>
              <w:spacing w:line="240" w:lineRule="auto"/>
              <w:rPr>
                <w:rFonts w:cs="Times New Roman"/>
                <w:b/>
                <w:bCs/>
                <w:kern w:val="2"/>
                <w:sz w:val="20"/>
                <w:szCs w:val="20"/>
                <w:lang/>
              </w:rPr>
            </w:pPr>
            <w:r w:rsidRPr="00DA465B">
              <w:rPr>
                <w:rFonts w:cs="Times New Roman"/>
                <w:b/>
                <w:bCs/>
                <w:kern w:val="2"/>
                <w:sz w:val="20"/>
                <w:szCs w:val="20"/>
                <w:lang/>
              </w:rPr>
              <w:t>NAICS 11</w:t>
            </w:r>
          </w:p>
        </w:tc>
        <w:tc>
          <w:tcPr>
            <w:tcW w:w="629" w:type="pct"/>
            <w:tcBorders>
              <w:top w:val="single" w:sz="4" w:space="0" w:color="auto"/>
              <w:left w:val="nil"/>
              <w:bottom w:val="single" w:sz="4" w:space="0" w:color="auto"/>
              <w:right w:val="nil"/>
            </w:tcBorders>
          </w:tcPr>
          <w:p w14:paraId="7F56124B" w14:textId="523DEB2C" w:rsidR="00CD4846" w:rsidRPr="00DA465B" w:rsidRDefault="00CD4846" w:rsidP="00DA465B">
            <w:pPr>
              <w:widowControl w:val="0"/>
              <w:autoSpaceDE w:val="0"/>
              <w:autoSpaceDN w:val="0"/>
              <w:adjustRightInd w:val="0"/>
              <w:spacing w:line="240" w:lineRule="auto"/>
              <w:rPr>
                <w:rFonts w:cs="Times New Roman"/>
                <w:b/>
                <w:bCs/>
                <w:kern w:val="2"/>
                <w:sz w:val="20"/>
                <w:szCs w:val="20"/>
                <w:lang/>
              </w:rPr>
            </w:pPr>
            <w:r w:rsidRPr="00DA465B">
              <w:rPr>
                <w:rFonts w:cs="Times New Roman"/>
                <w:b/>
                <w:bCs/>
                <w:kern w:val="2"/>
                <w:sz w:val="20"/>
                <w:szCs w:val="20"/>
                <w:lang/>
              </w:rPr>
              <w:t>NAICS 21</w:t>
            </w:r>
          </w:p>
        </w:tc>
        <w:tc>
          <w:tcPr>
            <w:tcW w:w="657" w:type="pct"/>
            <w:tcBorders>
              <w:top w:val="single" w:sz="4" w:space="0" w:color="auto"/>
              <w:left w:val="nil"/>
              <w:bottom w:val="single" w:sz="4" w:space="0" w:color="auto"/>
              <w:right w:val="nil"/>
            </w:tcBorders>
          </w:tcPr>
          <w:p w14:paraId="2408B3AB" w14:textId="2C73CCA1" w:rsidR="00CD4846" w:rsidRPr="00DA465B" w:rsidRDefault="00CD4846" w:rsidP="00DA465B">
            <w:pPr>
              <w:widowControl w:val="0"/>
              <w:autoSpaceDE w:val="0"/>
              <w:autoSpaceDN w:val="0"/>
              <w:adjustRightInd w:val="0"/>
              <w:spacing w:line="240" w:lineRule="auto"/>
              <w:rPr>
                <w:rFonts w:cs="Times New Roman"/>
                <w:b/>
                <w:bCs/>
                <w:kern w:val="2"/>
                <w:sz w:val="20"/>
                <w:szCs w:val="20"/>
                <w:lang/>
              </w:rPr>
            </w:pPr>
            <w:r w:rsidRPr="00DA465B">
              <w:rPr>
                <w:rFonts w:cs="Times New Roman"/>
                <w:b/>
                <w:bCs/>
                <w:kern w:val="2"/>
                <w:sz w:val="20"/>
                <w:szCs w:val="20"/>
                <w:lang/>
              </w:rPr>
              <w:t>NAICS 22</w:t>
            </w:r>
          </w:p>
        </w:tc>
        <w:tc>
          <w:tcPr>
            <w:tcW w:w="657" w:type="pct"/>
            <w:tcBorders>
              <w:top w:val="single" w:sz="4" w:space="0" w:color="auto"/>
              <w:left w:val="nil"/>
              <w:bottom w:val="single" w:sz="4" w:space="0" w:color="auto"/>
              <w:right w:val="nil"/>
            </w:tcBorders>
          </w:tcPr>
          <w:p w14:paraId="7CE17AAA" w14:textId="717E0790" w:rsidR="00CD4846" w:rsidRPr="00DA465B" w:rsidRDefault="00CD4846" w:rsidP="00DA465B">
            <w:pPr>
              <w:widowControl w:val="0"/>
              <w:autoSpaceDE w:val="0"/>
              <w:autoSpaceDN w:val="0"/>
              <w:adjustRightInd w:val="0"/>
              <w:spacing w:line="240" w:lineRule="auto"/>
              <w:rPr>
                <w:rFonts w:cs="Times New Roman"/>
                <w:b/>
                <w:bCs/>
                <w:kern w:val="2"/>
                <w:sz w:val="20"/>
                <w:szCs w:val="20"/>
                <w:lang/>
              </w:rPr>
            </w:pPr>
            <w:r w:rsidRPr="00DA465B">
              <w:rPr>
                <w:rFonts w:cs="Times New Roman"/>
                <w:b/>
                <w:bCs/>
                <w:kern w:val="2"/>
                <w:sz w:val="20"/>
                <w:szCs w:val="20"/>
                <w:lang/>
              </w:rPr>
              <w:t>NAICS 23</w:t>
            </w:r>
          </w:p>
        </w:tc>
        <w:tc>
          <w:tcPr>
            <w:tcW w:w="796" w:type="pct"/>
            <w:tcBorders>
              <w:top w:val="single" w:sz="4" w:space="0" w:color="auto"/>
              <w:left w:val="nil"/>
              <w:bottom w:val="single" w:sz="4" w:space="0" w:color="auto"/>
              <w:right w:val="nil"/>
            </w:tcBorders>
          </w:tcPr>
          <w:p w14:paraId="712BB9E6" w14:textId="0AF51FAB" w:rsidR="00CD4846" w:rsidRPr="00DA465B" w:rsidRDefault="00CD4846" w:rsidP="00DA465B">
            <w:pPr>
              <w:widowControl w:val="0"/>
              <w:autoSpaceDE w:val="0"/>
              <w:autoSpaceDN w:val="0"/>
              <w:adjustRightInd w:val="0"/>
              <w:spacing w:line="240" w:lineRule="auto"/>
              <w:rPr>
                <w:rFonts w:cs="Times New Roman"/>
                <w:b/>
                <w:bCs/>
                <w:kern w:val="2"/>
                <w:sz w:val="20"/>
                <w:szCs w:val="20"/>
                <w:lang/>
              </w:rPr>
            </w:pPr>
            <w:r w:rsidRPr="00DA465B">
              <w:rPr>
                <w:rFonts w:cs="Times New Roman"/>
                <w:b/>
                <w:bCs/>
                <w:kern w:val="2"/>
                <w:sz w:val="20"/>
                <w:szCs w:val="20"/>
                <w:lang/>
              </w:rPr>
              <w:t>NAICS 31-33</w:t>
            </w:r>
          </w:p>
        </w:tc>
      </w:tr>
      <w:tr w:rsidR="00CD4846" w:rsidRPr="00CD4846" w14:paraId="62F35EDB" w14:textId="77777777" w:rsidTr="00B82EB9">
        <w:tc>
          <w:tcPr>
            <w:tcW w:w="1645" w:type="pct"/>
            <w:tcBorders>
              <w:top w:val="single" w:sz="4" w:space="0" w:color="auto"/>
              <w:left w:val="nil"/>
              <w:bottom w:val="nil"/>
              <w:right w:val="nil"/>
            </w:tcBorders>
          </w:tcPr>
          <w:p w14:paraId="31125F31"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Strict PAD(t-1)</w:t>
            </w:r>
          </w:p>
        </w:tc>
        <w:tc>
          <w:tcPr>
            <w:tcW w:w="616" w:type="pct"/>
            <w:tcBorders>
              <w:top w:val="single" w:sz="4" w:space="0" w:color="auto"/>
              <w:left w:val="nil"/>
              <w:bottom w:val="nil"/>
              <w:right w:val="nil"/>
            </w:tcBorders>
          </w:tcPr>
          <w:p w14:paraId="28DA9A31"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-2.088***</w:t>
            </w:r>
          </w:p>
        </w:tc>
        <w:tc>
          <w:tcPr>
            <w:tcW w:w="629" w:type="pct"/>
            <w:tcBorders>
              <w:top w:val="single" w:sz="4" w:space="0" w:color="auto"/>
              <w:left w:val="nil"/>
              <w:bottom w:val="nil"/>
              <w:right w:val="nil"/>
            </w:tcBorders>
          </w:tcPr>
          <w:p w14:paraId="655A16E6"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-0.360</w:t>
            </w:r>
          </w:p>
        </w:tc>
        <w:tc>
          <w:tcPr>
            <w:tcW w:w="657" w:type="pct"/>
            <w:tcBorders>
              <w:top w:val="single" w:sz="4" w:space="0" w:color="auto"/>
              <w:left w:val="nil"/>
              <w:bottom w:val="nil"/>
              <w:right w:val="nil"/>
            </w:tcBorders>
          </w:tcPr>
          <w:p w14:paraId="4C2D723C"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-2.843*</w:t>
            </w:r>
          </w:p>
        </w:tc>
        <w:tc>
          <w:tcPr>
            <w:tcW w:w="657" w:type="pct"/>
            <w:tcBorders>
              <w:top w:val="single" w:sz="4" w:space="0" w:color="auto"/>
              <w:left w:val="nil"/>
              <w:bottom w:val="nil"/>
              <w:right w:val="nil"/>
            </w:tcBorders>
          </w:tcPr>
          <w:p w14:paraId="06844B3B"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-0.776</w:t>
            </w:r>
          </w:p>
        </w:tc>
        <w:tc>
          <w:tcPr>
            <w:tcW w:w="796" w:type="pct"/>
            <w:tcBorders>
              <w:top w:val="single" w:sz="4" w:space="0" w:color="auto"/>
              <w:left w:val="nil"/>
              <w:bottom w:val="nil"/>
              <w:right w:val="nil"/>
            </w:tcBorders>
          </w:tcPr>
          <w:p w14:paraId="1C46CB56"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2.105**</w:t>
            </w:r>
          </w:p>
        </w:tc>
      </w:tr>
      <w:tr w:rsidR="00CD4846" w:rsidRPr="00CD4846" w14:paraId="28D2661F" w14:textId="77777777" w:rsidTr="00B82EB9">
        <w:tc>
          <w:tcPr>
            <w:tcW w:w="1645" w:type="pct"/>
            <w:tcBorders>
              <w:top w:val="nil"/>
              <w:left w:val="nil"/>
              <w:bottom w:val="nil"/>
              <w:right w:val="nil"/>
            </w:tcBorders>
          </w:tcPr>
          <w:p w14:paraId="2D8AF5BD" w14:textId="78CC9C70" w:rsidR="00CD4846" w:rsidRPr="00DA465B" w:rsidRDefault="00CD4846" w:rsidP="00DA465B">
            <w:pPr>
              <w:widowControl w:val="0"/>
              <w:autoSpaceDE w:val="0"/>
              <w:autoSpaceDN w:val="0"/>
              <w:adjustRightInd w:val="0"/>
              <w:spacing w:line="240" w:lineRule="auto"/>
              <w:rPr>
                <w:rFonts w:cs="Times New Roman"/>
                <w:kern w:val="2"/>
                <w:sz w:val="20"/>
                <w:szCs w:val="20"/>
                <w:lang/>
              </w:rPr>
            </w:pPr>
          </w:p>
        </w:tc>
        <w:tc>
          <w:tcPr>
            <w:tcW w:w="616" w:type="pct"/>
            <w:tcBorders>
              <w:top w:val="nil"/>
              <w:left w:val="nil"/>
              <w:bottom w:val="nil"/>
              <w:right w:val="nil"/>
            </w:tcBorders>
          </w:tcPr>
          <w:p w14:paraId="47022901"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(0.532)</w:t>
            </w:r>
          </w:p>
        </w:tc>
        <w:tc>
          <w:tcPr>
            <w:tcW w:w="629" w:type="pct"/>
            <w:tcBorders>
              <w:top w:val="nil"/>
              <w:left w:val="nil"/>
              <w:bottom w:val="nil"/>
              <w:right w:val="nil"/>
            </w:tcBorders>
          </w:tcPr>
          <w:p w14:paraId="38EBE0EF"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(1.446)</w:t>
            </w:r>
          </w:p>
        </w:tc>
        <w:tc>
          <w:tcPr>
            <w:tcW w:w="657" w:type="pct"/>
            <w:tcBorders>
              <w:top w:val="nil"/>
              <w:left w:val="nil"/>
              <w:bottom w:val="nil"/>
              <w:right w:val="nil"/>
            </w:tcBorders>
          </w:tcPr>
          <w:p w14:paraId="4C20F4EF"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(1.509)</w:t>
            </w:r>
          </w:p>
        </w:tc>
        <w:tc>
          <w:tcPr>
            <w:tcW w:w="657" w:type="pct"/>
            <w:tcBorders>
              <w:top w:val="nil"/>
              <w:left w:val="nil"/>
              <w:bottom w:val="nil"/>
              <w:right w:val="nil"/>
            </w:tcBorders>
          </w:tcPr>
          <w:p w14:paraId="276152F0"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(0.611)</w:t>
            </w:r>
          </w:p>
        </w:tc>
        <w:tc>
          <w:tcPr>
            <w:tcW w:w="796" w:type="pct"/>
            <w:tcBorders>
              <w:top w:val="nil"/>
              <w:left w:val="nil"/>
              <w:bottom w:val="nil"/>
              <w:right w:val="nil"/>
            </w:tcBorders>
          </w:tcPr>
          <w:p w14:paraId="5BB77A0F"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(1.015)</w:t>
            </w:r>
          </w:p>
        </w:tc>
      </w:tr>
      <w:tr w:rsidR="00CD4846" w:rsidRPr="00CD4846" w14:paraId="054F22F0" w14:textId="77777777" w:rsidTr="00B82EB9">
        <w:tc>
          <w:tcPr>
            <w:tcW w:w="1645" w:type="pct"/>
            <w:tcBorders>
              <w:top w:val="nil"/>
              <w:left w:val="nil"/>
              <w:bottom w:val="nil"/>
              <w:right w:val="nil"/>
            </w:tcBorders>
          </w:tcPr>
          <w:p w14:paraId="2AA4707B"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Strict PAD Sq. (t-1)</w:t>
            </w:r>
          </w:p>
        </w:tc>
        <w:tc>
          <w:tcPr>
            <w:tcW w:w="616" w:type="pct"/>
            <w:tcBorders>
              <w:top w:val="nil"/>
              <w:left w:val="nil"/>
              <w:bottom w:val="nil"/>
              <w:right w:val="nil"/>
            </w:tcBorders>
          </w:tcPr>
          <w:p w14:paraId="017BE186"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2.268**</w:t>
            </w:r>
          </w:p>
        </w:tc>
        <w:tc>
          <w:tcPr>
            <w:tcW w:w="629" w:type="pct"/>
            <w:tcBorders>
              <w:top w:val="nil"/>
              <w:left w:val="nil"/>
              <w:bottom w:val="nil"/>
              <w:right w:val="nil"/>
            </w:tcBorders>
          </w:tcPr>
          <w:p w14:paraId="0887860F"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5.105*</w:t>
            </w:r>
          </w:p>
        </w:tc>
        <w:tc>
          <w:tcPr>
            <w:tcW w:w="657" w:type="pct"/>
            <w:tcBorders>
              <w:top w:val="nil"/>
              <w:left w:val="nil"/>
              <w:bottom w:val="nil"/>
              <w:right w:val="nil"/>
            </w:tcBorders>
          </w:tcPr>
          <w:p w14:paraId="522E9FA7"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4.399</w:t>
            </w:r>
          </w:p>
        </w:tc>
        <w:tc>
          <w:tcPr>
            <w:tcW w:w="657" w:type="pct"/>
            <w:tcBorders>
              <w:top w:val="nil"/>
              <w:left w:val="nil"/>
              <w:bottom w:val="nil"/>
              <w:right w:val="nil"/>
            </w:tcBorders>
          </w:tcPr>
          <w:p w14:paraId="61AFA378"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-0.587</w:t>
            </w:r>
          </w:p>
        </w:tc>
        <w:tc>
          <w:tcPr>
            <w:tcW w:w="796" w:type="pct"/>
            <w:tcBorders>
              <w:top w:val="nil"/>
              <w:left w:val="nil"/>
              <w:bottom w:val="nil"/>
              <w:right w:val="nil"/>
            </w:tcBorders>
          </w:tcPr>
          <w:p w14:paraId="2A1F1401"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-2.774*</w:t>
            </w:r>
          </w:p>
        </w:tc>
      </w:tr>
      <w:tr w:rsidR="00CD4846" w:rsidRPr="00CD4846" w14:paraId="7E4CE7E3" w14:textId="77777777" w:rsidTr="00B82EB9">
        <w:tc>
          <w:tcPr>
            <w:tcW w:w="1645" w:type="pct"/>
            <w:tcBorders>
              <w:top w:val="nil"/>
              <w:left w:val="nil"/>
              <w:bottom w:val="nil"/>
              <w:right w:val="nil"/>
            </w:tcBorders>
          </w:tcPr>
          <w:p w14:paraId="47FC09FC" w14:textId="5C9A732A" w:rsidR="00CD4846" w:rsidRPr="00DA465B" w:rsidRDefault="00CD4846" w:rsidP="00DA465B">
            <w:pPr>
              <w:widowControl w:val="0"/>
              <w:autoSpaceDE w:val="0"/>
              <w:autoSpaceDN w:val="0"/>
              <w:adjustRightInd w:val="0"/>
              <w:spacing w:line="240" w:lineRule="auto"/>
              <w:rPr>
                <w:rFonts w:cs="Times New Roman"/>
                <w:kern w:val="2"/>
                <w:sz w:val="20"/>
                <w:szCs w:val="20"/>
                <w:lang/>
              </w:rPr>
            </w:pPr>
          </w:p>
        </w:tc>
        <w:tc>
          <w:tcPr>
            <w:tcW w:w="616" w:type="pct"/>
            <w:tcBorders>
              <w:top w:val="nil"/>
              <w:left w:val="nil"/>
              <w:bottom w:val="nil"/>
              <w:right w:val="nil"/>
            </w:tcBorders>
          </w:tcPr>
          <w:p w14:paraId="2B17D640"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(1.118)</w:t>
            </w:r>
          </w:p>
        </w:tc>
        <w:tc>
          <w:tcPr>
            <w:tcW w:w="629" w:type="pct"/>
            <w:tcBorders>
              <w:top w:val="nil"/>
              <w:left w:val="nil"/>
              <w:bottom w:val="nil"/>
              <w:right w:val="nil"/>
            </w:tcBorders>
          </w:tcPr>
          <w:p w14:paraId="4C831696"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(3.023)</w:t>
            </w:r>
          </w:p>
        </w:tc>
        <w:tc>
          <w:tcPr>
            <w:tcW w:w="657" w:type="pct"/>
            <w:tcBorders>
              <w:top w:val="nil"/>
              <w:left w:val="nil"/>
              <w:bottom w:val="nil"/>
              <w:right w:val="nil"/>
            </w:tcBorders>
          </w:tcPr>
          <w:p w14:paraId="5C066151"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(3.247)</w:t>
            </w:r>
          </w:p>
        </w:tc>
        <w:tc>
          <w:tcPr>
            <w:tcW w:w="657" w:type="pct"/>
            <w:tcBorders>
              <w:top w:val="nil"/>
              <w:left w:val="nil"/>
              <w:bottom w:val="nil"/>
              <w:right w:val="nil"/>
            </w:tcBorders>
          </w:tcPr>
          <w:p w14:paraId="7BD03EAF"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(1.051)</w:t>
            </w:r>
          </w:p>
        </w:tc>
        <w:tc>
          <w:tcPr>
            <w:tcW w:w="796" w:type="pct"/>
            <w:tcBorders>
              <w:top w:val="nil"/>
              <w:left w:val="nil"/>
              <w:bottom w:val="nil"/>
              <w:right w:val="nil"/>
            </w:tcBorders>
          </w:tcPr>
          <w:p w14:paraId="7F01ACBE"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(1.522)</w:t>
            </w:r>
          </w:p>
        </w:tc>
      </w:tr>
      <w:tr w:rsidR="00CD4846" w:rsidRPr="00CD4846" w14:paraId="6F81F7E9" w14:textId="77777777" w:rsidTr="00B82EB9">
        <w:tc>
          <w:tcPr>
            <w:tcW w:w="1645" w:type="pct"/>
            <w:tcBorders>
              <w:top w:val="nil"/>
              <w:left w:val="nil"/>
              <w:bottom w:val="nil"/>
              <w:right w:val="nil"/>
            </w:tcBorders>
          </w:tcPr>
          <w:p w14:paraId="6768DAD6" w14:textId="2C41037A"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Loc. Economies (t-1) (10ks)</w:t>
            </w:r>
          </w:p>
        </w:tc>
        <w:tc>
          <w:tcPr>
            <w:tcW w:w="616" w:type="pct"/>
            <w:tcBorders>
              <w:top w:val="nil"/>
              <w:left w:val="nil"/>
              <w:bottom w:val="nil"/>
              <w:right w:val="nil"/>
            </w:tcBorders>
          </w:tcPr>
          <w:p w14:paraId="3CA028D2"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74.679***</w:t>
            </w:r>
          </w:p>
        </w:tc>
        <w:tc>
          <w:tcPr>
            <w:tcW w:w="629" w:type="pct"/>
            <w:tcBorders>
              <w:top w:val="nil"/>
              <w:left w:val="nil"/>
              <w:bottom w:val="nil"/>
              <w:right w:val="nil"/>
            </w:tcBorders>
          </w:tcPr>
          <w:p w14:paraId="674ADB66"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49.540***</w:t>
            </w:r>
          </w:p>
        </w:tc>
        <w:tc>
          <w:tcPr>
            <w:tcW w:w="657" w:type="pct"/>
            <w:tcBorders>
              <w:top w:val="nil"/>
              <w:left w:val="nil"/>
              <w:bottom w:val="nil"/>
              <w:right w:val="nil"/>
            </w:tcBorders>
          </w:tcPr>
          <w:p w14:paraId="3DCFD376"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258.043***</w:t>
            </w:r>
          </w:p>
        </w:tc>
        <w:tc>
          <w:tcPr>
            <w:tcW w:w="657" w:type="pct"/>
            <w:tcBorders>
              <w:top w:val="nil"/>
              <w:left w:val="nil"/>
              <w:bottom w:val="nil"/>
              <w:right w:val="nil"/>
            </w:tcBorders>
          </w:tcPr>
          <w:p w14:paraId="68F035EC"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1.356***</w:t>
            </w:r>
          </w:p>
        </w:tc>
        <w:tc>
          <w:tcPr>
            <w:tcW w:w="796" w:type="pct"/>
            <w:tcBorders>
              <w:top w:val="nil"/>
              <w:left w:val="nil"/>
              <w:bottom w:val="nil"/>
              <w:right w:val="nil"/>
            </w:tcBorders>
          </w:tcPr>
          <w:p w14:paraId="625199B1"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1.874***</w:t>
            </w:r>
          </w:p>
        </w:tc>
      </w:tr>
      <w:tr w:rsidR="00CD4846" w:rsidRPr="00CD4846" w14:paraId="11E9A66C" w14:textId="77777777" w:rsidTr="00B82EB9">
        <w:tc>
          <w:tcPr>
            <w:tcW w:w="1645" w:type="pct"/>
            <w:tcBorders>
              <w:top w:val="nil"/>
              <w:left w:val="nil"/>
              <w:bottom w:val="nil"/>
              <w:right w:val="nil"/>
            </w:tcBorders>
          </w:tcPr>
          <w:p w14:paraId="681092F6" w14:textId="552F2467" w:rsidR="00CD4846" w:rsidRPr="00DA465B" w:rsidRDefault="00CD4846" w:rsidP="00DA465B">
            <w:pPr>
              <w:widowControl w:val="0"/>
              <w:autoSpaceDE w:val="0"/>
              <w:autoSpaceDN w:val="0"/>
              <w:adjustRightInd w:val="0"/>
              <w:spacing w:line="240" w:lineRule="auto"/>
              <w:rPr>
                <w:rFonts w:cs="Times New Roman"/>
                <w:kern w:val="2"/>
                <w:sz w:val="20"/>
                <w:szCs w:val="20"/>
                <w:lang/>
              </w:rPr>
            </w:pPr>
          </w:p>
        </w:tc>
        <w:tc>
          <w:tcPr>
            <w:tcW w:w="616" w:type="pct"/>
            <w:tcBorders>
              <w:top w:val="nil"/>
              <w:left w:val="nil"/>
              <w:bottom w:val="nil"/>
              <w:right w:val="nil"/>
            </w:tcBorders>
          </w:tcPr>
          <w:p w14:paraId="5EE2E82B"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(9.391)</w:t>
            </w:r>
          </w:p>
        </w:tc>
        <w:tc>
          <w:tcPr>
            <w:tcW w:w="629" w:type="pct"/>
            <w:tcBorders>
              <w:top w:val="nil"/>
              <w:left w:val="nil"/>
              <w:bottom w:val="nil"/>
              <w:right w:val="nil"/>
            </w:tcBorders>
          </w:tcPr>
          <w:p w14:paraId="41F19CAD"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(8.488)</w:t>
            </w:r>
          </w:p>
        </w:tc>
        <w:tc>
          <w:tcPr>
            <w:tcW w:w="657" w:type="pct"/>
            <w:tcBorders>
              <w:top w:val="nil"/>
              <w:left w:val="nil"/>
              <w:bottom w:val="nil"/>
              <w:right w:val="nil"/>
            </w:tcBorders>
          </w:tcPr>
          <w:p w14:paraId="6D1477A1"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(43.652)</w:t>
            </w:r>
          </w:p>
        </w:tc>
        <w:tc>
          <w:tcPr>
            <w:tcW w:w="657" w:type="pct"/>
            <w:tcBorders>
              <w:top w:val="nil"/>
              <w:left w:val="nil"/>
              <w:bottom w:val="nil"/>
              <w:right w:val="nil"/>
            </w:tcBorders>
          </w:tcPr>
          <w:p w14:paraId="453E5313"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(0.301)</w:t>
            </w:r>
          </w:p>
        </w:tc>
        <w:tc>
          <w:tcPr>
            <w:tcW w:w="796" w:type="pct"/>
            <w:tcBorders>
              <w:top w:val="nil"/>
              <w:left w:val="nil"/>
              <w:bottom w:val="nil"/>
              <w:right w:val="nil"/>
            </w:tcBorders>
          </w:tcPr>
          <w:p w14:paraId="0305D5D9"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(0.615)</w:t>
            </w:r>
          </w:p>
        </w:tc>
      </w:tr>
      <w:tr w:rsidR="00CD4846" w:rsidRPr="00CD4846" w14:paraId="594293B5" w14:textId="77777777" w:rsidTr="00B82EB9">
        <w:tc>
          <w:tcPr>
            <w:tcW w:w="1645" w:type="pct"/>
            <w:tcBorders>
              <w:top w:val="nil"/>
              <w:left w:val="nil"/>
              <w:bottom w:val="nil"/>
              <w:right w:val="nil"/>
            </w:tcBorders>
          </w:tcPr>
          <w:p w14:paraId="4BA246BE" w14:textId="0C946F65"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Median HH Income (100ks)</w:t>
            </w:r>
          </w:p>
        </w:tc>
        <w:tc>
          <w:tcPr>
            <w:tcW w:w="616" w:type="pct"/>
            <w:tcBorders>
              <w:top w:val="nil"/>
              <w:left w:val="nil"/>
              <w:bottom w:val="nil"/>
              <w:right w:val="nil"/>
            </w:tcBorders>
          </w:tcPr>
          <w:p w14:paraId="2B80B8C6"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-0.085</w:t>
            </w:r>
          </w:p>
        </w:tc>
        <w:tc>
          <w:tcPr>
            <w:tcW w:w="629" w:type="pct"/>
            <w:tcBorders>
              <w:top w:val="nil"/>
              <w:left w:val="nil"/>
              <w:bottom w:val="nil"/>
              <w:right w:val="nil"/>
            </w:tcBorders>
          </w:tcPr>
          <w:p w14:paraId="043D3DEE"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-2.327**</w:t>
            </w:r>
          </w:p>
        </w:tc>
        <w:tc>
          <w:tcPr>
            <w:tcW w:w="657" w:type="pct"/>
            <w:tcBorders>
              <w:top w:val="nil"/>
              <w:left w:val="nil"/>
              <w:bottom w:val="nil"/>
              <w:right w:val="nil"/>
            </w:tcBorders>
          </w:tcPr>
          <w:p w14:paraId="3C7D7734"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0.409</w:t>
            </w:r>
          </w:p>
        </w:tc>
        <w:tc>
          <w:tcPr>
            <w:tcW w:w="657" w:type="pct"/>
            <w:tcBorders>
              <w:top w:val="nil"/>
              <w:left w:val="nil"/>
              <w:bottom w:val="nil"/>
              <w:right w:val="nil"/>
            </w:tcBorders>
          </w:tcPr>
          <w:p w14:paraId="3452D205"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-0.216</w:t>
            </w:r>
          </w:p>
        </w:tc>
        <w:tc>
          <w:tcPr>
            <w:tcW w:w="796" w:type="pct"/>
            <w:tcBorders>
              <w:top w:val="nil"/>
              <w:left w:val="nil"/>
              <w:bottom w:val="nil"/>
              <w:right w:val="nil"/>
            </w:tcBorders>
          </w:tcPr>
          <w:p w14:paraId="684FD245"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-0.328*</w:t>
            </w:r>
          </w:p>
        </w:tc>
      </w:tr>
      <w:tr w:rsidR="00CD4846" w:rsidRPr="00CD4846" w14:paraId="362343C4" w14:textId="77777777" w:rsidTr="00B82EB9">
        <w:tc>
          <w:tcPr>
            <w:tcW w:w="1645" w:type="pct"/>
            <w:tcBorders>
              <w:top w:val="nil"/>
              <w:left w:val="nil"/>
              <w:bottom w:val="nil"/>
              <w:right w:val="nil"/>
            </w:tcBorders>
          </w:tcPr>
          <w:p w14:paraId="6A295D25" w14:textId="35821F5A" w:rsidR="00CD4846" w:rsidRPr="00DA465B" w:rsidRDefault="00CD4846" w:rsidP="00DA465B">
            <w:pPr>
              <w:widowControl w:val="0"/>
              <w:autoSpaceDE w:val="0"/>
              <w:autoSpaceDN w:val="0"/>
              <w:adjustRightInd w:val="0"/>
              <w:spacing w:line="240" w:lineRule="auto"/>
              <w:rPr>
                <w:rFonts w:cs="Times New Roman"/>
                <w:kern w:val="2"/>
                <w:sz w:val="20"/>
                <w:szCs w:val="20"/>
                <w:lang/>
              </w:rPr>
            </w:pPr>
          </w:p>
        </w:tc>
        <w:tc>
          <w:tcPr>
            <w:tcW w:w="616" w:type="pct"/>
            <w:tcBorders>
              <w:top w:val="nil"/>
              <w:left w:val="nil"/>
              <w:bottom w:val="nil"/>
              <w:right w:val="nil"/>
            </w:tcBorders>
          </w:tcPr>
          <w:p w14:paraId="4FE73ED7"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(0.246)</w:t>
            </w:r>
          </w:p>
        </w:tc>
        <w:tc>
          <w:tcPr>
            <w:tcW w:w="629" w:type="pct"/>
            <w:tcBorders>
              <w:top w:val="nil"/>
              <w:left w:val="nil"/>
              <w:bottom w:val="nil"/>
              <w:right w:val="nil"/>
            </w:tcBorders>
          </w:tcPr>
          <w:p w14:paraId="7562953E"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(0.999)</w:t>
            </w:r>
          </w:p>
        </w:tc>
        <w:tc>
          <w:tcPr>
            <w:tcW w:w="657" w:type="pct"/>
            <w:tcBorders>
              <w:top w:val="nil"/>
              <w:left w:val="nil"/>
              <w:bottom w:val="nil"/>
              <w:right w:val="nil"/>
            </w:tcBorders>
          </w:tcPr>
          <w:p w14:paraId="6204753D"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(0.423)</w:t>
            </w:r>
          </w:p>
        </w:tc>
        <w:tc>
          <w:tcPr>
            <w:tcW w:w="657" w:type="pct"/>
            <w:tcBorders>
              <w:top w:val="nil"/>
              <w:left w:val="nil"/>
              <w:bottom w:val="nil"/>
              <w:right w:val="nil"/>
            </w:tcBorders>
          </w:tcPr>
          <w:p w14:paraId="60129FF7"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(0.180)</w:t>
            </w:r>
          </w:p>
        </w:tc>
        <w:tc>
          <w:tcPr>
            <w:tcW w:w="796" w:type="pct"/>
            <w:tcBorders>
              <w:top w:val="nil"/>
              <w:left w:val="nil"/>
              <w:bottom w:val="nil"/>
              <w:right w:val="nil"/>
            </w:tcBorders>
          </w:tcPr>
          <w:p w14:paraId="458FBBC5"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(0.176)</w:t>
            </w:r>
          </w:p>
        </w:tc>
      </w:tr>
      <w:tr w:rsidR="00CD4846" w:rsidRPr="00CD4846" w14:paraId="5DD9F741" w14:textId="77777777" w:rsidTr="00B82EB9">
        <w:tc>
          <w:tcPr>
            <w:tcW w:w="1645" w:type="pct"/>
            <w:tcBorders>
              <w:top w:val="nil"/>
              <w:left w:val="nil"/>
              <w:bottom w:val="nil"/>
              <w:right w:val="nil"/>
            </w:tcBorders>
          </w:tcPr>
          <w:p w14:paraId="01EB8FD2" w14:textId="5BF9993C"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Housing Price Index (100s)</w:t>
            </w:r>
          </w:p>
        </w:tc>
        <w:tc>
          <w:tcPr>
            <w:tcW w:w="616" w:type="pct"/>
            <w:tcBorders>
              <w:top w:val="nil"/>
              <w:left w:val="nil"/>
              <w:bottom w:val="nil"/>
              <w:right w:val="nil"/>
            </w:tcBorders>
          </w:tcPr>
          <w:p w14:paraId="44F9280E"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-0.021</w:t>
            </w:r>
          </w:p>
        </w:tc>
        <w:tc>
          <w:tcPr>
            <w:tcW w:w="629" w:type="pct"/>
            <w:tcBorders>
              <w:top w:val="nil"/>
              <w:left w:val="nil"/>
              <w:bottom w:val="nil"/>
              <w:right w:val="nil"/>
            </w:tcBorders>
          </w:tcPr>
          <w:p w14:paraId="258286D8"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0.022</w:t>
            </w:r>
          </w:p>
        </w:tc>
        <w:tc>
          <w:tcPr>
            <w:tcW w:w="657" w:type="pct"/>
            <w:tcBorders>
              <w:top w:val="nil"/>
              <w:left w:val="nil"/>
              <w:bottom w:val="nil"/>
              <w:right w:val="nil"/>
            </w:tcBorders>
          </w:tcPr>
          <w:p w14:paraId="1B7BCA36"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-0.083***</w:t>
            </w:r>
          </w:p>
        </w:tc>
        <w:tc>
          <w:tcPr>
            <w:tcW w:w="657" w:type="pct"/>
            <w:tcBorders>
              <w:top w:val="nil"/>
              <w:left w:val="nil"/>
              <w:bottom w:val="nil"/>
              <w:right w:val="nil"/>
            </w:tcBorders>
          </w:tcPr>
          <w:p w14:paraId="770946DD"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0.043**</w:t>
            </w:r>
          </w:p>
        </w:tc>
        <w:tc>
          <w:tcPr>
            <w:tcW w:w="796" w:type="pct"/>
            <w:tcBorders>
              <w:top w:val="nil"/>
              <w:left w:val="nil"/>
              <w:bottom w:val="nil"/>
              <w:right w:val="nil"/>
            </w:tcBorders>
          </w:tcPr>
          <w:p w14:paraId="39F096E7"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0.048***</w:t>
            </w:r>
          </w:p>
        </w:tc>
      </w:tr>
      <w:tr w:rsidR="00CD4846" w:rsidRPr="00CD4846" w14:paraId="1FE1B6C9" w14:textId="77777777" w:rsidTr="00B82EB9">
        <w:tc>
          <w:tcPr>
            <w:tcW w:w="1645" w:type="pct"/>
            <w:tcBorders>
              <w:top w:val="nil"/>
              <w:left w:val="nil"/>
              <w:bottom w:val="nil"/>
              <w:right w:val="nil"/>
            </w:tcBorders>
          </w:tcPr>
          <w:p w14:paraId="0DEF6291" w14:textId="11786EF6" w:rsidR="00CD4846" w:rsidRPr="00DA465B" w:rsidRDefault="00CD4846" w:rsidP="00DA465B">
            <w:pPr>
              <w:widowControl w:val="0"/>
              <w:autoSpaceDE w:val="0"/>
              <w:autoSpaceDN w:val="0"/>
              <w:adjustRightInd w:val="0"/>
              <w:spacing w:line="240" w:lineRule="auto"/>
              <w:rPr>
                <w:rFonts w:cs="Times New Roman"/>
                <w:kern w:val="2"/>
                <w:sz w:val="20"/>
                <w:szCs w:val="20"/>
                <w:lang/>
              </w:rPr>
            </w:pPr>
          </w:p>
        </w:tc>
        <w:tc>
          <w:tcPr>
            <w:tcW w:w="616" w:type="pct"/>
            <w:tcBorders>
              <w:top w:val="nil"/>
              <w:left w:val="nil"/>
              <w:bottom w:val="nil"/>
              <w:right w:val="nil"/>
            </w:tcBorders>
          </w:tcPr>
          <w:p w14:paraId="33A50202"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(0.020)</w:t>
            </w:r>
          </w:p>
        </w:tc>
        <w:tc>
          <w:tcPr>
            <w:tcW w:w="629" w:type="pct"/>
            <w:tcBorders>
              <w:top w:val="nil"/>
              <w:left w:val="nil"/>
              <w:bottom w:val="nil"/>
              <w:right w:val="nil"/>
            </w:tcBorders>
          </w:tcPr>
          <w:p w14:paraId="5C4ADC71"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(0.053)</w:t>
            </w:r>
          </w:p>
        </w:tc>
        <w:tc>
          <w:tcPr>
            <w:tcW w:w="657" w:type="pct"/>
            <w:tcBorders>
              <w:top w:val="nil"/>
              <w:left w:val="nil"/>
              <w:bottom w:val="nil"/>
              <w:right w:val="nil"/>
            </w:tcBorders>
          </w:tcPr>
          <w:p w14:paraId="3EF7D376"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(0.027)</w:t>
            </w:r>
          </w:p>
        </w:tc>
        <w:tc>
          <w:tcPr>
            <w:tcW w:w="657" w:type="pct"/>
            <w:tcBorders>
              <w:top w:val="nil"/>
              <w:left w:val="nil"/>
              <w:bottom w:val="nil"/>
              <w:right w:val="nil"/>
            </w:tcBorders>
          </w:tcPr>
          <w:p w14:paraId="44782BBC"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(0.019)</w:t>
            </w:r>
          </w:p>
        </w:tc>
        <w:tc>
          <w:tcPr>
            <w:tcW w:w="796" w:type="pct"/>
            <w:tcBorders>
              <w:top w:val="nil"/>
              <w:left w:val="nil"/>
              <w:bottom w:val="nil"/>
              <w:right w:val="nil"/>
            </w:tcBorders>
          </w:tcPr>
          <w:p w14:paraId="5132AB47"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(0.013)</w:t>
            </w:r>
          </w:p>
        </w:tc>
      </w:tr>
      <w:tr w:rsidR="00CD4846" w:rsidRPr="00CD4846" w14:paraId="2E26C2DC" w14:textId="77777777" w:rsidTr="00B82EB9">
        <w:tc>
          <w:tcPr>
            <w:tcW w:w="1645" w:type="pct"/>
            <w:tcBorders>
              <w:top w:val="nil"/>
              <w:left w:val="nil"/>
              <w:bottom w:val="nil"/>
              <w:right w:val="nil"/>
            </w:tcBorders>
          </w:tcPr>
          <w:p w14:paraId="312DF764" w14:textId="544596E0"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Poverty rate (100s)</w:t>
            </w:r>
          </w:p>
        </w:tc>
        <w:tc>
          <w:tcPr>
            <w:tcW w:w="616" w:type="pct"/>
            <w:tcBorders>
              <w:top w:val="nil"/>
              <w:left w:val="nil"/>
              <w:bottom w:val="nil"/>
              <w:right w:val="nil"/>
            </w:tcBorders>
          </w:tcPr>
          <w:p w14:paraId="4B787DE9"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0.050</w:t>
            </w:r>
          </w:p>
        </w:tc>
        <w:tc>
          <w:tcPr>
            <w:tcW w:w="629" w:type="pct"/>
            <w:tcBorders>
              <w:top w:val="nil"/>
              <w:left w:val="nil"/>
              <w:bottom w:val="nil"/>
              <w:right w:val="nil"/>
            </w:tcBorders>
          </w:tcPr>
          <w:p w14:paraId="68833187"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-0.496</w:t>
            </w:r>
          </w:p>
        </w:tc>
        <w:tc>
          <w:tcPr>
            <w:tcW w:w="657" w:type="pct"/>
            <w:tcBorders>
              <w:top w:val="nil"/>
              <w:left w:val="nil"/>
              <w:bottom w:val="nil"/>
              <w:right w:val="nil"/>
            </w:tcBorders>
          </w:tcPr>
          <w:p w14:paraId="0C0FF8BD"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0.271</w:t>
            </w:r>
          </w:p>
        </w:tc>
        <w:tc>
          <w:tcPr>
            <w:tcW w:w="657" w:type="pct"/>
            <w:tcBorders>
              <w:top w:val="nil"/>
              <w:left w:val="nil"/>
              <w:bottom w:val="nil"/>
              <w:right w:val="nil"/>
            </w:tcBorders>
          </w:tcPr>
          <w:p w14:paraId="5BC62554"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-0.358</w:t>
            </w:r>
          </w:p>
        </w:tc>
        <w:tc>
          <w:tcPr>
            <w:tcW w:w="796" w:type="pct"/>
            <w:tcBorders>
              <w:top w:val="nil"/>
              <w:left w:val="nil"/>
              <w:bottom w:val="nil"/>
              <w:right w:val="nil"/>
            </w:tcBorders>
          </w:tcPr>
          <w:p w14:paraId="5B92E9F8"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-0.215</w:t>
            </w:r>
          </w:p>
        </w:tc>
      </w:tr>
      <w:tr w:rsidR="00CD4846" w:rsidRPr="00CD4846" w14:paraId="42ED8168" w14:textId="77777777" w:rsidTr="00B82EB9">
        <w:tc>
          <w:tcPr>
            <w:tcW w:w="1645" w:type="pct"/>
            <w:tcBorders>
              <w:top w:val="nil"/>
              <w:left w:val="nil"/>
              <w:bottom w:val="nil"/>
              <w:right w:val="nil"/>
            </w:tcBorders>
          </w:tcPr>
          <w:p w14:paraId="200E3DC0" w14:textId="0CBA0278" w:rsidR="00CD4846" w:rsidRPr="00DA465B" w:rsidRDefault="00CD4846" w:rsidP="00DA465B">
            <w:pPr>
              <w:widowControl w:val="0"/>
              <w:autoSpaceDE w:val="0"/>
              <w:autoSpaceDN w:val="0"/>
              <w:adjustRightInd w:val="0"/>
              <w:spacing w:line="240" w:lineRule="auto"/>
              <w:rPr>
                <w:rFonts w:cs="Times New Roman"/>
                <w:kern w:val="2"/>
                <w:sz w:val="20"/>
                <w:szCs w:val="20"/>
                <w:lang/>
              </w:rPr>
            </w:pPr>
          </w:p>
        </w:tc>
        <w:tc>
          <w:tcPr>
            <w:tcW w:w="616" w:type="pct"/>
            <w:tcBorders>
              <w:top w:val="nil"/>
              <w:left w:val="nil"/>
              <w:bottom w:val="nil"/>
              <w:right w:val="nil"/>
            </w:tcBorders>
          </w:tcPr>
          <w:p w14:paraId="5D63C1B2"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(0.382)</w:t>
            </w:r>
          </w:p>
        </w:tc>
        <w:tc>
          <w:tcPr>
            <w:tcW w:w="629" w:type="pct"/>
            <w:tcBorders>
              <w:top w:val="nil"/>
              <w:left w:val="nil"/>
              <w:bottom w:val="nil"/>
              <w:right w:val="nil"/>
            </w:tcBorders>
          </w:tcPr>
          <w:p w14:paraId="570AA66D"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(1.157)</w:t>
            </w:r>
          </w:p>
        </w:tc>
        <w:tc>
          <w:tcPr>
            <w:tcW w:w="657" w:type="pct"/>
            <w:tcBorders>
              <w:top w:val="nil"/>
              <w:left w:val="nil"/>
              <w:bottom w:val="nil"/>
              <w:right w:val="nil"/>
            </w:tcBorders>
          </w:tcPr>
          <w:p w14:paraId="4E9F787E"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(0.674)</w:t>
            </w:r>
          </w:p>
        </w:tc>
        <w:tc>
          <w:tcPr>
            <w:tcW w:w="657" w:type="pct"/>
            <w:tcBorders>
              <w:top w:val="nil"/>
              <w:left w:val="nil"/>
              <w:bottom w:val="nil"/>
              <w:right w:val="nil"/>
            </w:tcBorders>
          </w:tcPr>
          <w:p w14:paraId="56DE4BE5"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(0.370)</w:t>
            </w:r>
          </w:p>
        </w:tc>
        <w:tc>
          <w:tcPr>
            <w:tcW w:w="796" w:type="pct"/>
            <w:tcBorders>
              <w:top w:val="nil"/>
              <w:left w:val="nil"/>
              <w:bottom w:val="nil"/>
              <w:right w:val="nil"/>
            </w:tcBorders>
          </w:tcPr>
          <w:p w14:paraId="29126D07"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(0.262)</w:t>
            </w:r>
          </w:p>
        </w:tc>
      </w:tr>
      <w:tr w:rsidR="00CD4846" w:rsidRPr="00CD4846" w14:paraId="6F621B5E" w14:textId="77777777" w:rsidTr="00B82EB9">
        <w:tc>
          <w:tcPr>
            <w:tcW w:w="1645" w:type="pct"/>
            <w:tcBorders>
              <w:top w:val="nil"/>
              <w:left w:val="nil"/>
              <w:bottom w:val="nil"/>
              <w:right w:val="nil"/>
            </w:tcBorders>
          </w:tcPr>
          <w:p w14:paraId="2C8A40C8" w14:textId="56FD6912"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Avg annual wages (100k)</w:t>
            </w:r>
          </w:p>
        </w:tc>
        <w:tc>
          <w:tcPr>
            <w:tcW w:w="616" w:type="pct"/>
            <w:tcBorders>
              <w:top w:val="nil"/>
              <w:left w:val="nil"/>
              <w:bottom w:val="nil"/>
              <w:right w:val="nil"/>
            </w:tcBorders>
          </w:tcPr>
          <w:p w14:paraId="4EE415DE"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-0.011</w:t>
            </w:r>
          </w:p>
        </w:tc>
        <w:tc>
          <w:tcPr>
            <w:tcW w:w="629" w:type="pct"/>
            <w:tcBorders>
              <w:top w:val="nil"/>
              <w:left w:val="nil"/>
              <w:bottom w:val="nil"/>
              <w:right w:val="nil"/>
            </w:tcBorders>
          </w:tcPr>
          <w:p w14:paraId="1F27BDFE"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0.005</w:t>
            </w:r>
          </w:p>
        </w:tc>
        <w:tc>
          <w:tcPr>
            <w:tcW w:w="657" w:type="pct"/>
            <w:tcBorders>
              <w:top w:val="nil"/>
              <w:left w:val="nil"/>
              <w:bottom w:val="nil"/>
              <w:right w:val="nil"/>
            </w:tcBorders>
          </w:tcPr>
          <w:p w14:paraId="52B072AB"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0.014</w:t>
            </w:r>
          </w:p>
        </w:tc>
        <w:tc>
          <w:tcPr>
            <w:tcW w:w="657" w:type="pct"/>
            <w:tcBorders>
              <w:top w:val="nil"/>
              <w:left w:val="nil"/>
              <w:bottom w:val="nil"/>
              <w:right w:val="nil"/>
            </w:tcBorders>
          </w:tcPr>
          <w:p w14:paraId="562BE934"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0.006</w:t>
            </w:r>
          </w:p>
        </w:tc>
        <w:tc>
          <w:tcPr>
            <w:tcW w:w="796" w:type="pct"/>
            <w:tcBorders>
              <w:top w:val="nil"/>
              <w:left w:val="nil"/>
              <w:bottom w:val="nil"/>
              <w:right w:val="nil"/>
            </w:tcBorders>
          </w:tcPr>
          <w:p w14:paraId="6D9E5CFC"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-0.021**</w:t>
            </w:r>
          </w:p>
        </w:tc>
      </w:tr>
      <w:tr w:rsidR="00CD4846" w:rsidRPr="00CD4846" w14:paraId="74DE0CC0" w14:textId="77777777" w:rsidTr="00B82EB9">
        <w:tc>
          <w:tcPr>
            <w:tcW w:w="1645" w:type="pct"/>
            <w:tcBorders>
              <w:top w:val="nil"/>
              <w:left w:val="nil"/>
              <w:bottom w:val="nil"/>
              <w:right w:val="nil"/>
            </w:tcBorders>
          </w:tcPr>
          <w:p w14:paraId="21C0CDAD" w14:textId="52B4A936" w:rsidR="00CD4846" w:rsidRPr="00DA465B" w:rsidRDefault="00CD4846" w:rsidP="00DA465B">
            <w:pPr>
              <w:widowControl w:val="0"/>
              <w:autoSpaceDE w:val="0"/>
              <w:autoSpaceDN w:val="0"/>
              <w:adjustRightInd w:val="0"/>
              <w:spacing w:line="240" w:lineRule="auto"/>
              <w:rPr>
                <w:rFonts w:cs="Times New Roman"/>
                <w:kern w:val="2"/>
                <w:sz w:val="20"/>
                <w:szCs w:val="20"/>
                <w:lang/>
              </w:rPr>
            </w:pPr>
          </w:p>
        </w:tc>
        <w:tc>
          <w:tcPr>
            <w:tcW w:w="616" w:type="pct"/>
            <w:tcBorders>
              <w:top w:val="nil"/>
              <w:left w:val="nil"/>
              <w:bottom w:val="nil"/>
              <w:right w:val="nil"/>
            </w:tcBorders>
          </w:tcPr>
          <w:p w14:paraId="7C9F284E"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(0.013)</w:t>
            </w:r>
          </w:p>
        </w:tc>
        <w:tc>
          <w:tcPr>
            <w:tcW w:w="629" w:type="pct"/>
            <w:tcBorders>
              <w:top w:val="nil"/>
              <w:left w:val="nil"/>
              <w:bottom w:val="nil"/>
              <w:right w:val="nil"/>
            </w:tcBorders>
          </w:tcPr>
          <w:p w14:paraId="00DA3CF7"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(0.016)</w:t>
            </w:r>
          </w:p>
        </w:tc>
        <w:tc>
          <w:tcPr>
            <w:tcW w:w="657" w:type="pct"/>
            <w:tcBorders>
              <w:top w:val="nil"/>
              <w:left w:val="nil"/>
              <w:bottom w:val="nil"/>
              <w:right w:val="nil"/>
            </w:tcBorders>
          </w:tcPr>
          <w:p w14:paraId="4F617053"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(0.010)</w:t>
            </w:r>
          </w:p>
        </w:tc>
        <w:tc>
          <w:tcPr>
            <w:tcW w:w="657" w:type="pct"/>
            <w:tcBorders>
              <w:top w:val="nil"/>
              <w:left w:val="nil"/>
              <w:bottom w:val="nil"/>
              <w:right w:val="nil"/>
            </w:tcBorders>
          </w:tcPr>
          <w:p w14:paraId="681EFA84"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(0.011)</w:t>
            </w:r>
          </w:p>
        </w:tc>
        <w:tc>
          <w:tcPr>
            <w:tcW w:w="796" w:type="pct"/>
            <w:tcBorders>
              <w:top w:val="nil"/>
              <w:left w:val="nil"/>
              <w:bottom w:val="nil"/>
              <w:right w:val="nil"/>
            </w:tcBorders>
          </w:tcPr>
          <w:p w14:paraId="077D8182"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(0.009)</w:t>
            </w:r>
          </w:p>
        </w:tc>
      </w:tr>
      <w:tr w:rsidR="00CD4846" w:rsidRPr="00CD4846" w14:paraId="3E9F2418" w14:textId="77777777" w:rsidTr="00B82EB9">
        <w:tc>
          <w:tcPr>
            <w:tcW w:w="1645" w:type="pct"/>
            <w:tcBorders>
              <w:top w:val="nil"/>
              <w:left w:val="nil"/>
              <w:bottom w:val="nil"/>
              <w:right w:val="nil"/>
            </w:tcBorders>
          </w:tcPr>
          <w:p w14:paraId="059C0841" w14:textId="77CC5601"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Attain. Status - CO (t-1)</w:t>
            </w:r>
          </w:p>
        </w:tc>
        <w:tc>
          <w:tcPr>
            <w:tcW w:w="616" w:type="pct"/>
            <w:tcBorders>
              <w:top w:val="nil"/>
              <w:left w:val="nil"/>
              <w:bottom w:val="nil"/>
              <w:right w:val="nil"/>
            </w:tcBorders>
          </w:tcPr>
          <w:p w14:paraId="4DF56BAC"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0.221</w:t>
            </w:r>
          </w:p>
        </w:tc>
        <w:tc>
          <w:tcPr>
            <w:tcW w:w="629" w:type="pct"/>
            <w:tcBorders>
              <w:top w:val="nil"/>
              <w:left w:val="nil"/>
              <w:bottom w:val="nil"/>
              <w:right w:val="nil"/>
            </w:tcBorders>
          </w:tcPr>
          <w:p w14:paraId="5B3078F4"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0.189</w:t>
            </w:r>
          </w:p>
        </w:tc>
        <w:tc>
          <w:tcPr>
            <w:tcW w:w="657" w:type="pct"/>
            <w:tcBorders>
              <w:top w:val="nil"/>
              <w:left w:val="nil"/>
              <w:bottom w:val="nil"/>
              <w:right w:val="nil"/>
            </w:tcBorders>
          </w:tcPr>
          <w:p w14:paraId="6D9D0FD0"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0.664*</w:t>
            </w:r>
          </w:p>
        </w:tc>
        <w:tc>
          <w:tcPr>
            <w:tcW w:w="657" w:type="pct"/>
            <w:tcBorders>
              <w:top w:val="nil"/>
              <w:left w:val="nil"/>
              <w:bottom w:val="nil"/>
              <w:right w:val="nil"/>
            </w:tcBorders>
          </w:tcPr>
          <w:p w14:paraId="3D74A356"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-0.324*</w:t>
            </w:r>
          </w:p>
        </w:tc>
        <w:tc>
          <w:tcPr>
            <w:tcW w:w="796" w:type="pct"/>
            <w:tcBorders>
              <w:top w:val="nil"/>
              <w:left w:val="nil"/>
              <w:bottom w:val="nil"/>
              <w:right w:val="nil"/>
            </w:tcBorders>
          </w:tcPr>
          <w:p w14:paraId="3EAAEEFD"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-0.344***</w:t>
            </w:r>
          </w:p>
        </w:tc>
      </w:tr>
      <w:tr w:rsidR="00CD4846" w:rsidRPr="00CD4846" w14:paraId="0322D341" w14:textId="77777777" w:rsidTr="00B82EB9">
        <w:tc>
          <w:tcPr>
            <w:tcW w:w="1645" w:type="pct"/>
            <w:tcBorders>
              <w:top w:val="nil"/>
              <w:left w:val="nil"/>
              <w:bottom w:val="nil"/>
              <w:right w:val="nil"/>
            </w:tcBorders>
          </w:tcPr>
          <w:p w14:paraId="7A3891CB" w14:textId="750C58F3" w:rsidR="00CD4846" w:rsidRPr="00DA465B" w:rsidRDefault="00CD4846" w:rsidP="00DA465B">
            <w:pPr>
              <w:widowControl w:val="0"/>
              <w:autoSpaceDE w:val="0"/>
              <w:autoSpaceDN w:val="0"/>
              <w:adjustRightInd w:val="0"/>
              <w:spacing w:line="240" w:lineRule="auto"/>
              <w:rPr>
                <w:rFonts w:cs="Times New Roman"/>
                <w:kern w:val="2"/>
                <w:sz w:val="20"/>
                <w:szCs w:val="20"/>
                <w:lang/>
              </w:rPr>
            </w:pPr>
          </w:p>
        </w:tc>
        <w:tc>
          <w:tcPr>
            <w:tcW w:w="616" w:type="pct"/>
            <w:tcBorders>
              <w:top w:val="nil"/>
              <w:left w:val="nil"/>
              <w:bottom w:val="nil"/>
              <w:right w:val="nil"/>
            </w:tcBorders>
          </w:tcPr>
          <w:p w14:paraId="673E1A38"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(0.143)</w:t>
            </w:r>
          </w:p>
        </w:tc>
        <w:tc>
          <w:tcPr>
            <w:tcW w:w="629" w:type="pct"/>
            <w:tcBorders>
              <w:top w:val="nil"/>
              <w:left w:val="nil"/>
              <w:bottom w:val="nil"/>
              <w:right w:val="nil"/>
            </w:tcBorders>
          </w:tcPr>
          <w:p w14:paraId="5480D1C0"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(0.295)</w:t>
            </w:r>
          </w:p>
        </w:tc>
        <w:tc>
          <w:tcPr>
            <w:tcW w:w="657" w:type="pct"/>
            <w:tcBorders>
              <w:top w:val="nil"/>
              <w:left w:val="nil"/>
              <w:bottom w:val="nil"/>
              <w:right w:val="nil"/>
            </w:tcBorders>
          </w:tcPr>
          <w:p w14:paraId="6CFB92CE"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(0.389)</w:t>
            </w:r>
          </w:p>
        </w:tc>
        <w:tc>
          <w:tcPr>
            <w:tcW w:w="657" w:type="pct"/>
            <w:tcBorders>
              <w:top w:val="nil"/>
              <w:left w:val="nil"/>
              <w:bottom w:val="nil"/>
              <w:right w:val="nil"/>
            </w:tcBorders>
          </w:tcPr>
          <w:p w14:paraId="0A3BE3CC"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(0.172)</w:t>
            </w:r>
          </w:p>
        </w:tc>
        <w:tc>
          <w:tcPr>
            <w:tcW w:w="796" w:type="pct"/>
            <w:tcBorders>
              <w:top w:val="nil"/>
              <w:left w:val="nil"/>
              <w:bottom w:val="nil"/>
              <w:right w:val="nil"/>
            </w:tcBorders>
          </w:tcPr>
          <w:p w14:paraId="369EBF6F"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(0.101)</w:t>
            </w:r>
          </w:p>
        </w:tc>
      </w:tr>
      <w:tr w:rsidR="00CD4846" w:rsidRPr="00CD4846" w14:paraId="7016BB40" w14:textId="77777777" w:rsidTr="00B82EB9">
        <w:tc>
          <w:tcPr>
            <w:tcW w:w="1645" w:type="pct"/>
            <w:tcBorders>
              <w:top w:val="nil"/>
              <w:left w:val="nil"/>
              <w:bottom w:val="nil"/>
              <w:right w:val="nil"/>
            </w:tcBorders>
          </w:tcPr>
          <w:p w14:paraId="6A0F147D" w14:textId="75BD5464"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Attain. Status - Pb (t-1)</w:t>
            </w:r>
          </w:p>
        </w:tc>
        <w:tc>
          <w:tcPr>
            <w:tcW w:w="616" w:type="pct"/>
            <w:tcBorders>
              <w:top w:val="nil"/>
              <w:left w:val="nil"/>
              <w:bottom w:val="nil"/>
              <w:right w:val="nil"/>
            </w:tcBorders>
          </w:tcPr>
          <w:p w14:paraId="5F92023C"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-0.042</w:t>
            </w:r>
          </w:p>
        </w:tc>
        <w:tc>
          <w:tcPr>
            <w:tcW w:w="629" w:type="pct"/>
            <w:tcBorders>
              <w:top w:val="nil"/>
              <w:left w:val="nil"/>
              <w:bottom w:val="nil"/>
              <w:right w:val="nil"/>
            </w:tcBorders>
          </w:tcPr>
          <w:p w14:paraId="7F6CAE2E"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0.027</w:t>
            </w:r>
          </w:p>
        </w:tc>
        <w:tc>
          <w:tcPr>
            <w:tcW w:w="657" w:type="pct"/>
            <w:tcBorders>
              <w:top w:val="nil"/>
              <w:left w:val="nil"/>
              <w:bottom w:val="nil"/>
              <w:right w:val="nil"/>
            </w:tcBorders>
          </w:tcPr>
          <w:p w14:paraId="07631A9E"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-0.241**</w:t>
            </w:r>
          </w:p>
        </w:tc>
        <w:tc>
          <w:tcPr>
            <w:tcW w:w="657" w:type="pct"/>
            <w:tcBorders>
              <w:top w:val="nil"/>
              <w:left w:val="nil"/>
              <w:bottom w:val="nil"/>
              <w:right w:val="nil"/>
            </w:tcBorders>
          </w:tcPr>
          <w:p w14:paraId="0000D547"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-0.169***</w:t>
            </w:r>
          </w:p>
        </w:tc>
        <w:tc>
          <w:tcPr>
            <w:tcW w:w="796" w:type="pct"/>
            <w:tcBorders>
              <w:top w:val="nil"/>
              <w:left w:val="nil"/>
              <w:bottom w:val="nil"/>
              <w:right w:val="nil"/>
            </w:tcBorders>
          </w:tcPr>
          <w:p w14:paraId="3B02A8E9"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0.105</w:t>
            </w:r>
          </w:p>
        </w:tc>
      </w:tr>
      <w:tr w:rsidR="00CD4846" w:rsidRPr="00CD4846" w14:paraId="24046194" w14:textId="77777777" w:rsidTr="00B82EB9">
        <w:tc>
          <w:tcPr>
            <w:tcW w:w="1645" w:type="pct"/>
            <w:tcBorders>
              <w:top w:val="nil"/>
              <w:left w:val="nil"/>
              <w:bottom w:val="nil"/>
              <w:right w:val="nil"/>
            </w:tcBorders>
          </w:tcPr>
          <w:p w14:paraId="331A6E40" w14:textId="7B5B72BE" w:rsidR="00CD4846" w:rsidRPr="00DA465B" w:rsidRDefault="00CD4846" w:rsidP="00DA465B">
            <w:pPr>
              <w:widowControl w:val="0"/>
              <w:autoSpaceDE w:val="0"/>
              <w:autoSpaceDN w:val="0"/>
              <w:adjustRightInd w:val="0"/>
              <w:spacing w:line="240" w:lineRule="auto"/>
              <w:rPr>
                <w:rFonts w:cs="Times New Roman"/>
                <w:kern w:val="2"/>
                <w:sz w:val="20"/>
                <w:szCs w:val="20"/>
                <w:lang/>
              </w:rPr>
            </w:pPr>
          </w:p>
        </w:tc>
        <w:tc>
          <w:tcPr>
            <w:tcW w:w="616" w:type="pct"/>
            <w:tcBorders>
              <w:top w:val="nil"/>
              <w:left w:val="nil"/>
              <w:bottom w:val="nil"/>
              <w:right w:val="nil"/>
            </w:tcBorders>
          </w:tcPr>
          <w:p w14:paraId="18046B96"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(0.112)</w:t>
            </w:r>
          </w:p>
        </w:tc>
        <w:tc>
          <w:tcPr>
            <w:tcW w:w="629" w:type="pct"/>
            <w:tcBorders>
              <w:top w:val="nil"/>
              <w:left w:val="nil"/>
              <w:bottom w:val="nil"/>
              <w:right w:val="nil"/>
            </w:tcBorders>
          </w:tcPr>
          <w:p w14:paraId="7CA02744"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(0.193)</w:t>
            </w:r>
          </w:p>
        </w:tc>
        <w:tc>
          <w:tcPr>
            <w:tcW w:w="657" w:type="pct"/>
            <w:tcBorders>
              <w:top w:val="nil"/>
              <w:left w:val="nil"/>
              <w:bottom w:val="nil"/>
              <w:right w:val="nil"/>
            </w:tcBorders>
          </w:tcPr>
          <w:p w14:paraId="270F4A60"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(0.117)</w:t>
            </w:r>
          </w:p>
        </w:tc>
        <w:tc>
          <w:tcPr>
            <w:tcW w:w="657" w:type="pct"/>
            <w:tcBorders>
              <w:top w:val="nil"/>
              <w:left w:val="nil"/>
              <w:bottom w:val="nil"/>
              <w:right w:val="nil"/>
            </w:tcBorders>
          </w:tcPr>
          <w:p w14:paraId="10A5034B"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(0.062)</w:t>
            </w:r>
          </w:p>
        </w:tc>
        <w:tc>
          <w:tcPr>
            <w:tcW w:w="796" w:type="pct"/>
            <w:tcBorders>
              <w:top w:val="nil"/>
              <w:left w:val="nil"/>
              <w:bottom w:val="nil"/>
              <w:right w:val="nil"/>
            </w:tcBorders>
          </w:tcPr>
          <w:p w14:paraId="257C137D"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(0.071)</w:t>
            </w:r>
          </w:p>
        </w:tc>
      </w:tr>
      <w:tr w:rsidR="00CD4846" w:rsidRPr="00CD4846" w14:paraId="2ED9A608" w14:textId="77777777" w:rsidTr="00B82EB9">
        <w:tc>
          <w:tcPr>
            <w:tcW w:w="1645" w:type="pct"/>
            <w:tcBorders>
              <w:top w:val="nil"/>
              <w:left w:val="nil"/>
              <w:bottom w:val="nil"/>
              <w:right w:val="nil"/>
            </w:tcBorders>
          </w:tcPr>
          <w:p w14:paraId="572022F6" w14:textId="7E4DCAF2"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Attain. Status - O3 (t-1)</w:t>
            </w:r>
          </w:p>
        </w:tc>
        <w:tc>
          <w:tcPr>
            <w:tcW w:w="616" w:type="pct"/>
            <w:tcBorders>
              <w:top w:val="nil"/>
              <w:left w:val="nil"/>
              <w:bottom w:val="nil"/>
              <w:right w:val="nil"/>
            </w:tcBorders>
          </w:tcPr>
          <w:p w14:paraId="06EA1A0D"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-0.037</w:t>
            </w:r>
          </w:p>
        </w:tc>
        <w:tc>
          <w:tcPr>
            <w:tcW w:w="629" w:type="pct"/>
            <w:tcBorders>
              <w:top w:val="nil"/>
              <w:left w:val="nil"/>
              <w:bottom w:val="nil"/>
              <w:right w:val="nil"/>
            </w:tcBorders>
          </w:tcPr>
          <w:p w14:paraId="5DF620AA"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0.143***</w:t>
            </w:r>
          </w:p>
        </w:tc>
        <w:tc>
          <w:tcPr>
            <w:tcW w:w="657" w:type="pct"/>
            <w:tcBorders>
              <w:top w:val="nil"/>
              <w:left w:val="nil"/>
              <w:bottom w:val="nil"/>
              <w:right w:val="nil"/>
            </w:tcBorders>
          </w:tcPr>
          <w:p w14:paraId="464FFF96"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0.043</w:t>
            </w:r>
          </w:p>
        </w:tc>
        <w:tc>
          <w:tcPr>
            <w:tcW w:w="657" w:type="pct"/>
            <w:tcBorders>
              <w:top w:val="nil"/>
              <w:left w:val="nil"/>
              <w:bottom w:val="nil"/>
              <w:right w:val="nil"/>
            </w:tcBorders>
          </w:tcPr>
          <w:p w14:paraId="060CF191"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0.017</w:t>
            </w:r>
          </w:p>
        </w:tc>
        <w:tc>
          <w:tcPr>
            <w:tcW w:w="796" w:type="pct"/>
            <w:tcBorders>
              <w:top w:val="nil"/>
              <w:left w:val="nil"/>
              <w:bottom w:val="nil"/>
              <w:right w:val="nil"/>
            </w:tcBorders>
          </w:tcPr>
          <w:p w14:paraId="399BF382"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-0.043**</w:t>
            </w:r>
          </w:p>
        </w:tc>
      </w:tr>
      <w:tr w:rsidR="00CD4846" w:rsidRPr="00CD4846" w14:paraId="26D9D651" w14:textId="77777777" w:rsidTr="00B82EB9">
        <w:tc>
          <w:tcPr>
            <w:tcW w:w="1645" w:type="pct"/>
            <w:tcBorders>
              <w:top w:val="nil"/>
              <w:left w:val="nil"/>
              <w:bottom w:val="nil"/>
              <w:right w:val="nil"/>
            </w:tcBorders>
          </w:tcPr>
          <w:p w14:paraId="6EC358A5" w14:textId="096FA3B9" w:rsidR="00CD4846" w:rsidRPr="00DA465B" w:rsidRDefault="00CD4846" w:rsidP="00DA465B">
            <w:pPr>
              <w:widowControl w:val="0"/>
              <w:autoSpaceDE w:val="0"/>
              <w:autoSpaceDN w:val="0"/>
              <w:adjustRightInd w:val="0"/>
              <w:spacing w:line="240" w:lineRule="auto"/>
              <w:rPr>
                <w:rFonts w:cs="Times New Roman"/>
                <w:kern w:val="2"/>
                <w:sz w:val="20"/>
                <w:szCs w:val="20"/>
                <w:lang/>
              </w:rPr>
            </w:pPr>
          </w:p>
        </w:tc>
        <w:tc>
          <w:tcPr>
            <w:tcW w:w="616" w:type="pct"/>
            <w:tcBorders>
              <w:top w:val="nil"/>
              <w:left w:val="nil"/>
              <w:bottom w:val="nil"/>
              <w:right w:val="nil"/>
            </w:tcBorders>
          </w:tcPr>
          <w:p w14:paraId="572CA6AE"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(0.031)</w:t>
            </w:r>
          </w:p>
        </w:tc>
        <w:tc>
          <w:tcPr>
            <w:tcW w:w="629" w:type="pct"/>
            <w:tcBorders>
              <w:top w:val="nil"/>
              <w:left w:val="nil"/>
              <w:bottom w:val="nil"/>
              <w:right w:val="nil"/>
            </w:tcBorders>
          </w:tcPr>
          <w:p w14:paraId="67033B0C"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(0.051)</w:t>
            </w:r>
          </w:p>
        </w:tc>
        <w:tc>
          <w:tcPr>
            <w:tcW w:w="657" w:type="pct"/>
            <w:tcBorders>
              <w:top w:val="nil"/>
              <w:left w:val="nil"/>
              <w:bottom w:val="nil"/>
              <w:right w:val="nil"/>
            </w:tcBorders>
          </w:tcPr>
          <w:p w14:paraId="01FD3366"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(0.042)</w:t>
            </w:r>
          </w:p>
        </w:tc>
        <w:tc>
          <w:tcPr>
            <w:tcW w:w="657" w:type="pct"/>
            <w:tcBorders>
              <w:top w:val="nil"/>
              <w:left w:val="nil"/>
              <w:bottom w:val="nil"/>
              <w:right w:val="nil"/>
            </w:tcBorders>
          </w:tcPr>
          <w:p w14:paraId="69A98314"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(0.022)</w:t>
            </w:r>
          </w:p>
        </w:tc>
        <w:tc>
          <w:tcPr>
            <w:tcW w:w="796" w:type="pct"/>
            <w:tcBorders>
              <w:top w:val="nil"/>
              <w:left w:val="nil"/>
              <w:bottom w:val="nil"/>
              <w:right w:val="nil"/>
            </w:tcBorders>
          </w:tcPr>
          <w:p w14:paraId="27168ADC"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(0.019)</w:t>
            </w:r>
          </w:p>
        </w:tc>
      </w:tr>
      <w:tr w:rsidR="00CD4846" w:rsidRPr="00CD4846" w14:paraId="2D7CC292" w14:textId="77777777" w:rsidTr="00B82EB9">
        <w:tc>
          <w:tcPr>
            <w:tcW w:w="1645" w:type="pct"/>
            <w:tcBorders>
              <w:top w:val="nil"/>
              <w:left w:val="nil"/>
              <w:bottom w:val="nil"/>
              <w:right w:val="nil"/>
            </w:tcBorders>
          </w:tcPr>
          <w:p w14:paraId="0DFFA457" w14:textId="1AE8A2C9"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Attain. Status - PM (t-1)</w:t>
            </w:r>
          </w:p>
        </w:tc>
        <w:tc>
          <w:tcPr>
            <w:tcW w:w="616" w:type="pct"/>
            <w:tcBorders>
              <w:top w:val="nil"/>
              <w:left w:val="nil"/>
              <w:bottom w:val="nil"/>
              <w:right w:val="nil"/>
            </w:tcBorders>
          </w:tcPr>
          <w:p w14:paraId="235058F3"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0.136***</w:t>
            </w:r>
          </w:p>
        </w:tc>
        <w:tc>
          <w:tcPr>
            <w:tcW w:w="629" w:type="pct"/>
            <w:tcBorders>
              <w:top w:val="nil"/>
              <w:left w:val="nil"/>
              <w:bottom w:val="nil"/>
              <w:right w:val="nil"/>
            </w:tcBorders>
          </w:tcPr>
          <w:p w14:paraId="5C7136B8"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0.068*</w:t>
            </w:r>
          </w:p>
        </w:tc>
        <w:tc>
          <w:tcPr>
            <w:tcW w:w="657" w:type="pct"/>
            <w:tcBorders>
              <w:top w:val="nil"/>
              <w:left w:val="nil"/>
              <w:bottom w:val="nil"/>
              <w:right w:val="nil"/>
            </w:tcBorders>
          </w:tcPr>
          <w:p w14:paraId="7E4D25E1"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0.074**</w:t>
            </w:r>
          </w:p>
        </w:tc>
        <w:tc>
          <w:tcPr>
            <w:tcW w:w="657" w:type="pct"/>
            <w:tcBorders>
              <w:top w:val="nil"/>
              <w:left w:val="nil"/>
              <w:bottom w:val="nil"/>
              <w:right w:val="nil"/>
            </w:tcBorders>
          </w:tcPr>
          <w:p w14:paraId="70B31E4C"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0.045**</w:t>
            </w:r>
          </w:p>
        </w:tc>
        <w:tc>
          <w:tcPr>
            <w:tcW w:w="796" w:type="pct"/>
            <w:tcBorders>
              <w:top w:val="nil"/>
              <w:left w:val="nil"/>
              <w:bottom w:val="nil"/>
              <w:right w:val="nil"/>
            </w:tcBorders>
          </w:tcPr>
          <w:p w14:paraId="229E49AA"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0.053***</w:t>
            </w:r>
          </w:p>
        </w:tc>
      </w:tr>
      <w:tr w:rsidR="00CD4846" w:rsidRPr="00CD4846" w14:paraId="35849191" w14:textId="77777777" w:rsidTr="00B82EB9">
        <w:tc>
          <w:tcPr>
            <w:tcW w:w="1645" w:type="pct"/>
            <w:tcBorders>
              <w:top w:val="nil"/>
              <w:left w:val="nil"/>
              <w:bottom w:val="nil"/>
              <w:right w:val="nil"/>
            </w:tcBorders>
          </w:tcPr>
          <w:p w14:paraId="26411D47" w14:textId="69B9C3CC" w:rsidR="00CD4846" w:rsidRPr="00DA465B" w:rsidRDefault="00CD4846" w:rsidP="00DA465B">
            <w:pPr>
              <w:widowControl w:val="0"/>
              <w:autoSpaceDE w:val="0"/>
              <w:autoSpaceDN w:val="0"/>
              <w:adjustRightInd w:val="0"/>
              <w:spacing w:line="240" w:lineRule="auto"/>
              <w:rPr>
                <w:rFonts w:cs="Times New Roman"/>
                <w:kern w:val="2"/>
                <w:sz w:val="20"/>
                <w:szCs w:val="20"/>
                <w:lang/>
              </w:rPr>
            </w:pPr>
          </w:p>
        </w:tc>
        <w:tc>
          <w:tcPr>
            <w:tcW w:w="616" w:type="pct"/>
            <w:tcBorders>
              <w:top w:val="nil"/>
              <w:left w:val="nil"/>
              <w:bottom w:val="nil"/>
              <w:right w:val="nil"/>
            </w:tcBorders>
          </w:tcPr>
          <w:p w14:paraId="2B0CF626"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(0.032)</w:t>
            </w:r>
          </w:p>
        </w:tc>
        <w:tc>
          <w:tcPr>
            <w:tcW w:w="629" w:type="pct"/>
            <w:tcBorders>
              <w:top w:val="nil"/>
              <w:left w:val="nil"/>
              <w:bottom w:val="nil"/>
              <w:right w:val="nil"/>
            </w:tcBorders>
          </w:tcPr>
          <w:p w14:paraId="2B4BE2FA"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(0.037)</w:t>
            </w:r>
          </w:p>
        </w:tc>
        <w:tc>
          <w:tcPr>
            <w:tcW w:w="657" w:type="pct"/>
            <w:tcBorders>
              <w:top w:val="nil"/>
              <w:left w:val="nil"/>
              <w:bottom w:val="nil"/>
              <w:right w:val="nil"/>
            </w:tcBorders>
          </w:tcPr>
          <w:p w14:paraId="194F5C20"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(0.030)</w:t>
            </w:r>
          </w:p>
        </w:tc>
        <w:tc>
          <w:tcPr>
            <w:tcW w:w="657" w:type="pct"/>
            <w:tcBorders>
              <w:top w:val="nil"/>
              <w:left w:val="nil"/>
              <w:bottom w:val="nil"/>
              <w:right w:val="nil"/>
            </w:tcBorders>
          </w:tcPr>
          <w:p w14:paraId="148E0029"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(0.020)</w:t>
            </w:r>
          </w:p>
        </w:tc>
        <w:tc>
          <w:tcPr>
            <w:tcW w:w="796" w:type="pct"/>
            <w:tcBorders>
              <w:top w:val="nil"/>
              <w:left w:val="nil"/>
              <w:bottom w:val="nil"/>
              <w:right w:val="nil"/>
            </w:tcBorders>
          </w:tcPr>
          <w:p w14:paraId="26A8D1C7"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(0.021)</w:t>
            </w:r>
          </w:p>
        </w:tc>
      </w:tr>
      <w:tr w:rsidR="00CD4846" w:rsidRPr="00CD4846" w14:paraId="6B72B5B0" w14:textId="77777777" w:rsidTr="00B82EB9">
        <w:tc>
          <w:tcPr>
            <w:tcW w:w="1645" w:type="pct"/>
            <w:tcBorders>
              <w:top w:val="nil"/>
              <w:left w:val="nil"/>
              <w:bottom w:val="nil"/>
              <w:right w:val="nil"/>
            </w:tcBorders>
          </w:tcPr>
          <w:p w14:paraId="39D12C16"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Attain. Status - SO2 (t-1)</w:t>
            </w:r>
          </w:p>
        </w:tc>
        <w:tc>
          <w:tcPr>
            <w:tcW w:w="616" w:type="pct"/>
            <w:tcBorders>
              <w:top w:val="nil"/>
              <w:left w:val="nil"/>
              <w:bottom w:val="nil"/>
              <w:right w:val="nil"/>
            </w:tcBorders>
          </w:tcPr>
          <w:p w14:paraId="28951B9D"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-0.217**</w:t>
            </w:r>
          </w:p>
        </w:tc>
        <w:tc>
          <w:tcPr>
            <w:tcW w:w="629" w:type="pct"/>
            <w:tcBorders>
              <w:top w:val="nil"/>
              <w:left w:val="nil"/>
              <w:bottom w:val="nil"/>
              <w:right w:val="nil"/>
            </w:tcBorders>
          </w:tcPr>
          <w:p w14:paraId="7B5124C8"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0.107</w:t>
            </w:r>
          </w:p>
        </w:tc>
        <w:tc>
          <w:tcPr>
            <w:tcW w:w="657" w:type="pct"/>
            <w:tcBorders>
              <w:top w:val="nil"/>
              <w:left w:val="nil"/>
              <w:bottom w:val="nil"/>
              <w:right w:val="nil"/>
            </w:tcBorders>
          </w:tcPr>
          <w:p w14:paraId="72FD092F"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-0.003</w:t>
            </w:r>
          </w:p>
        </w:tc>
        <w:tc>
          <w:tcPr>
            <w:tcW w:w="657" w:type="pct"/>
            <w:tcBorders>
              <w:top w:val="nil"/>
              <w:left w:val="nil"/>
              <w:bottom w:val="nil"/>
              <w:right w:val="nil"/>
            </w:tcBorders>
          </w:tcPr>
          <w:p w14:paraId="70564C14"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0.118*</w:t>
            </w:r>
          </w:p>
        </w:tc>
        <w:tc>
          <w:tcPr>
            <w:tcW w:w="796" w:type="pct"/>
            <w:tcBorders>
              <w:top w:val="nil"/>
              <w:left w:val="nil"/>
              <w:bottom w:val="nil"/>
              <w:right w:val="nil"/>
            </w:tcBorders>
          </w:tcPr>
          <w:p w14:paraId="39B18CC8"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0.138***</w:t>
            </w:r>
          </w:p>
        </w:tc>
      </w:tr>
      <w:tr w:rsidR="00CD4846" w:rsidRPr="00CD4846" w14:paraId="5B5F0D41" w14:textId="77777777" w:rsidTr="00B82EB9">
        <w:tc>
          <w:tcPr>
            <w:tcW w:w="1645" w:type="pct"/>
            <w:tcBorders>
              <w:top w:val="nil"/>
              <w:left w:val="nil"/>
              <w:bottom w:val="nil"/>
              <w:right w:val="nil"/>
            </w:tcBorders>
          </w:tcPr>
          <w:p w14:paraId="2AB10365" w14:textId="16994D97" w:rsidR="00CD4846" w:rsidRPr="00DA465B" w:rsidRDefault="00CD4846" w:rsidP="00DA465B">
            <w:pPr>
              <w:widowControl w:val="0"/>
              <w:autoSpaceDE w:val="0"/>
              <w:autoSpaceDN w:val="0"/>
              <w:adjustRightInd w:val="0"/>
              <w:spacing w:line="240" w:lineRule="auto"/>
              <w:rPr>
                <w:rFonts w:cs="Times New Roman"/>
                <w:kern w:val="2"/>
                <w:sz w:val="20"/>
                <w:szCs w:val="20"/>
                <w:lang/>
              </w:rPr>
            </w:pPr>
          </w:p>
        </w:tc>
        <w:tc>
          <w:tcPr>
            <w:tcW w:w="616" w:type="pct"/>
            <w:tcBorders>
              <w:top w:val="nil"/>
              <w:left w:val="nil"/>
              <w:bottom w:val="nil"/>
              <w:right w:val="nil"/>
            </w:tcBorders>
          </w:tcPr>
          <w:p w14:paraId="63DC073E"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(0.099)</w:t>
            </w:r>
          </w:p>
        </w:tc>
        <w:tc>
          <w:tcPr>
            <w:tcW w:w="629" w:type="pct"/>
            <w:tcBorders>
              <w:top w:val="nil"/>
              <w:left w:val="nil"/>
              <w:bottom w:val="nil"/>
              <w:right w:val="nil"/>
            </w:tcBorders>
          </w:tcPr>
          <w:p w14:paraId="0B0EAF4B"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(0.150)</w:t>
            </w:r>
          </w:p>
        </w:tc>
        <w:tc>
          <w:tcPr>
            <w:tcW w:w="657" w:type="pct"/>
            <w:tcBorders>
              <w:top w:val="nil"/>
              <w:left w:val="nil"/>
              <w:bottom w:val="nil"/>
              <w:right w:val="nil"/>
            </w:tcBorders>
          </w:tcPr>
          <w:p w14:paraId="4D677496"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(0.135)</w:t>
            </w:r>
          </w:p>
        </w:tc>
        <w:tc>
          <w:tcPr>
            <w:tcW w:w="657" w:type="pct"/>
            <w:tcBorders>
              <w:top w:val="nil"/>
              <w:left w:val="nil"/>
              <w:bottom w:val="nil"/>
              <w:right w:val="nil"/>
            </w:tcBorders>
          </w:tcPr>
          <w:p w14:paraId="14F07C01"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(0.062)</w:t>
            </w:r>
          </w:p>
        </w:tc>
        <w:tc>
          <w:tcPr>
            <w:tcW w:w="796" w:type="pct"/>
            <w:tcBorders>
              <w:top w:val="nil"/>
              <w:left w:val="nil"/>
              <w:bottom w:val="nil"/>
              <w:right w:val="nil"/>
            </w:tcBorders>
          </w:tcPr>
          <w:p w14:paraId="68D20036"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(0.043)</w:t>
            </w:r>
          </w:p>
        </w:tc>
      </w:tr>
      <w:tr w:rsidR="00CD4846" w:rsidRPr="00CD4846" w14:paraId="67C101C0" w14:textId="77777777" w:rsidTr="00B82EB9">
        <w:tc>
          <w:tcPr>
            <w:tcW w:w="1645" w:type="pct"/>
            <w:tcBorders>
              <w:top w:val="nil"/>
              <w:left w:val="nil"/>
              <w:bottom w:val="nil"/>
              <w:right w:val="nil"/>
            </w:tcBorders>
          </w:tcPr>
          <w:p w14:paraId="688C5732" w14:textId="1242639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Density Employment</w:t>
            </w:r>
          </w:p>
        </w:tc>
        <w:tc>
          <w:tcPr>
            <w:tcW w:w="616" w:type="pct"/>
            <w:tcBorders>
              <w:top w:val="nil"/>
              <w:left w:val="nil"/>
              <w:bottom w:val="nil"/>
              <w:right w:val="nil"/>
            </w:tcBorders>
          </w:tcPr>
          <w:p w14:paraId="6AF9F82C"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-0.076</w:t>
            </w:r>
          </w:p>
        </w:tc>
        <w:tc>
          <w:tcPr>
            <w:tcW w:w="629" w:type="pct"/>
            <w:tcBorders>
              <w:top w:val="nil"/>
              <w:left w:val="nil"/>
              <w:bottom w:val="nil"/>
              <w:right w:val="nil"/>
            </w:tcBorders>
          </w:tcPr>
          <w:p w14:paraId="12B2961D"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0.243***</w:t>
            </w:r>
          </w:p>
        </w:tc>
        <w:tc>
          <w:tcPr>
            <w:tcW w:w="657" w:type="pct"/>
            <w:tcBorders>
              <w:top w:val="nil"/>
              <w:left w:val="nil"/>
              <w:bottom w:val="nil"/>
              <w:right w:val="nil"/>
            </w:tcBorders>
          </w:tcPr>
          <w:p w14:paraId="6835A030"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0.175</w:t>
            </w:r>
          </w:p>
        </w:tc>
        <w:tc>
          <w:tcPr>
            <w:tcW w:w="657" w:type="pct"/>
            <w:tcBorders>
              <w:top w:val="nil"/>
              <w:left w:val="nil"/>
              <w:bottom w:val="nil"/>
              <w:right w:val="nil"/>
            </w:tcBorders>
          </w:tcPr>
          <w:p w14:paraId="6C4F407B"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0.043**</w:t>
            </w:r>
          </w:p>
        </w:tc>
        <w:tc>
          <w:tcPr>
            <w:tcW w:w="796" w:type="pct"/>
            <w:tcBorders>
              <w:top w:val="nil"/>
              <w:left w:val="nil"/>
              <w:bottom w:val="nil"/>
              <w:right w:val="nil"/>
            </w:tcBorders>
          </w:tcPr>
          <w:p w14:paraId="37698FDE"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0.020</w:t>
            </w:r>
          </w:p>
        </w:tc>
      </w:tr>
      <w:tr w:rsidR="00CD4846" w:rsidRPr="00CD4846" w14:paraId="28712D2E" w14:textId="77777777" w:rsidTr="00B82EB9">
        <w:tc>
          <w:tcPr>
            <w:tcW w:w="1645" w:type="pct"/>
            <w:tcBorders>
              <w:top w:val="nil"/>
              <w:left w:val="nil"/>
              <w:bottom w:val="nil"/>
              <w:right w:val="nil"/>
            </w:tcBorders>
          </w:tcPr>
          <w:p w14:paraId="726D153D" w14:textId="17F34125" w:rsidR="00CD4846" w:rsidRPr="00DA465B" w:rsidRDefault="00CD4846" w:rsidP="00DA465B">
            <w:pPr>
              <w:widowControl w:val="0"/>
              <w:autoSpaceDE w:val="0"/>
              <w:autoSpaceDN w:val="0"/>
              <w:adjustRightInd w:val="0"/>
              <w:spacing w:line="240" w:lineRule="auto"/>
              <w:rPr>
                <w:rFonts w:cs="Times New Roman"/>
                <w:kern w:val="2"/>
                <w:sz w:val="20"/>
                <w:szCs w:val="20"/>
                <w:lang/>
              </w:rPr>
            </w:pPr>
          </w:p>
        </w:tc>
        <w:tc>
          <w:tcPr>
            <w:tcW w:w="616" w:type="pct"/>
            <w:tcBorders>
              <w:top w:val="nil"/>
              <w:left w:val="nil"/>
              <w:bottom w:val="nil"/>
              <w:right w:val="nil"/>
            </w:tcBorders>
          </w:tcPr>
          <w:p w14:paraId="5DD4B3FA"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(0.055)</w:t>
            </w:r>
          </w:p>
        </w:tc>
        <w:tc>
          <w:tcPr>
            <w:tcW w:w="629" w:type="pct"/>
            <w:tcBorders>
              <w:top w:val="nil"/>
              <w:left w:val="nil"/>
              <w:bottom w:val="nil"/>
              <w:right w:val="nil"/>
            </w:tcBorders>
          </w:tcPr>
          <w:p w14:paraId="44097089"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(0.066)</w:t>
            </w:r>
          </w:p>
        </w:tc>
        <w:tc>
          <w:tcPr>
            <w:tcW w:w="657" w:type="pct"/>
            <w:tcBorders>
              <w:top w:val="nil"/>
              <w:left w:val="nil"/>
              <w:bottom w:val="nil"/>
              <w:right w:val="nil"/>
            </w:tcBorders>
          </w:tcPr>
          <w:p w14:paraId="392F1522"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(0.109)</w:t>
            </w:r>
          </w:p>
        </w:tc>
        <w:tc>
          <w:tcPr>
            <w:tcW w:w="657" w:type="pct"/>
            <w:tcBorders>
              <w:top w:val="nil"/>
              <w:left w:val="nil"/>
              <w:bottom w:val="nil"/>
              <w:right w:val="nil"/>
            </w:tcBorders>
          </w:tcPr>
          <w:p w14:paraId="5E4A7944"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(0.021)</w:t>
            </w:r>
          </w:p>
        </w:tc>
        <w:tc>
          <w:tcPr>
            <w:tcW w:w="796" w:type="pct"/>
            <w:tcBorders>
              <w:top w:val="nil"/>
              <w:left w:val="nil"/>
              <w:bottom w:val="nil"/>
              <w:right w:val="nil"/>
            </w:tcBorders>
          </w:tcPr>
          <w:p w14:paraId="6A1AFD38"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(0.025)</w:t>
            </w:r>
          </w:p>
        </w:tc>
      </w:tr>
      <w:tr w:rsidR="00CD4846" w:rsidRPr="00CD4846" w14:paraId="29B5EF1C" w14:textId="77777777" w:rsidTr="00B82EB9">
        <w:tc>
          <w:tcPr>
            <w:tcW w:w="1645" w:type="pct"/>
            <w:tcBorders>
              <w:top w:val="nil"/>
              <w:left w:val="nil"/>
              <w:bottom w:val="nil"/>
              <w:right w:val="nil"/>
            </w:tcBorders>
          </w:tcPr>
          <w:p w14:paraId="18DEFD67"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Percent Black (100s)</w:t>
            </w:r>
          </w:p>
        </w:tc>
        <w:tc>
          <w:tcPr>
            <w:tcW w:w="616" w:type="pct"/>
            <w:tcBorders>
              <w:top w:val="nil"/>
              <w:left w:val="nil"/>
              <w:bottom w:val="nil"/>
              <w:right w:val="nil"/>
            </w:tcBorders>
          </w:tcPr>
          <w:p w14:paraId="3DAC1B08"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-2.002</w:t>
            </w:r>
          </w:p>
        </w:tc>
        <w:tc>
          <w:tcPr>
            <w:tcW w:w="629" w:type="pct"/>
            <w:tcBorders>
              <w:top w:val="nil"/>
              <w:left w:val="nil"/>
              <w:bottom w:val="nil"/>
              <w:right w:val="nil"/>
            </w:tcBorders>
          </w:tcPr>
          <w:p w14:paraId="0E95C7BE"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1.650</w:t>
            </w:r>
          </w:p>
        </w:tc>
        <w:tc>
          <w:tcPr>
            <w:tcW w:w="657" w:type="pct"/>
            <w:tcBorders>
              <w:top w:val="nil"/>
              <w:left w:val="nil"/>
              <w:bottom w:val="nil"/>
              <w:right w:val="nil"/>
            </w:tcBorders>
          </w:tcPr>
          <w:p w14:paraId="231C8297"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-3.956**</w:t>
            </w:r>
          </w:p>
        </w:tc>
        <w:tc>
          <w:tcPr>
            <w:tcW w:w="657" w:type="pct"/>
            <w:tcBorders>
              <w:top w:val="nil"/>
              <w:left w:val="nil"/>
              <w:bottom w:val="nil"/>
              <w:right w:val="nil"/>
            </w:tcBorders>
          </w:tcPr>
          <w:p w14:paraId="17CAA809"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2.649***</w:t>
            </w:r>
          </w:p>
        </w:tc>
        <w:tc>
          <w:tcPr>
            <w:tcW w:w="796" w:type="pct"/>
            <w:tcBorders>
              <w:top w:val="nil"/>
              <w:left w:val="nil"/>
              <w:bottom w:val="nil"/>
              <w:right w:val="nil"/>
            </w:tcBorders>
          </w:tcPr>
          <w:p w14:paraId="549D1831"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1.060</w:t>
            </w:r>
          </w:p>
        </w:tc>
      </w:tr>
      <w:tr w:rsidR="00CD4846" w:rsidRPr="00CD4846" w14:paraId="666E433E" w14:textId="77777777" w:rsidTr="00B82EB9">
        <w:tc>
          <w:tcPr>
            <w:tcW w:w="1645" w:type="pct"/>
            <w:tcBorders>
              <w:top w:val="nil"/>
              <w:left w:val="nil"/>
              <w:bottom w:val="nil"/>
              <w:right w:val="nil"/>
            </w:tcBorders>
          </w:tcPr>
          <w:p w14:paraId="43A2E0CF" w14:textId="6A16DF23" w:rsidR="00CD4846" w:rsidRPr="00DA465B" w:rsidRDefault="00CD4846" w:rsidP="00DA465B">
            <w:pPr>
              <w:widowControl w:val="0"/>
              <w:autoSpaceDE w:val="0"/>
              <w:autoSpaceDN w:val="0"/>
              <w:adjustRightInd w:val="0"/>
              <w:spacing w:line="240" w:lineRule="auto"/>
              <w:rPr>
                <w:rFonts w:cs="Times New Roman"/>
                <w:kern w:val="2"/>
                <w:sz w:val="20"/>
                <w:szCs w:val="20"/>
                <w:lang/>
              </w:rPr>
            </w:pPr>
          </w:p>
        </w:tc>
        <w:tc>
          <w:tcPr>
            <w:tcW w:w="616" w:type="pct"/>
            <w:tcBorders>
              <w:top w:val="nil"/>
              <w:left w:val="nil"/>
              <w:bottom w:val="nil"/>
              <w:right w:val="nil"/>
            </w:tcBorders>
          </w:tcPr>
          <w:p w14:paraId="5A9744A8"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(1.647)</w:t>
            </w:r>
          </w:p>
        </w:tc>
        <w:tc>
          <w:tcPr>
            <w:tcW w:w="629" w:type="pct"/>
            <w:tcBorders>
              <w:top w:val="nil"/>
              <w:left w:val="nil"/>
              <w:bottom w:val="nil"/>
              <w:right w:val="nil"/>
            </w:tcBorders>
          </w:tcPr>
          <w:p w14:paraId="7831CA9A"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(2.706)</w:t>
            </w:r>
          </w:p>
        </w:tc>
        <w:tc>
          <w:tcPr>
            <w:tcW w:w="657" w:type="pct"/>
            <w:tcBorders>
              <w:top w:val="nil"/>
              <w:left w:val="nil"/>
              <w:bottom w:val="nil"/>
              <w:right w:val="nil"/>
            </w:tcBorders>
          </w:tcPr>
          <w:p w14:paraId="29367387"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(1.968)</w:t>
            </w:r>
          </w:p>
        </w:tc>
        <w:tc>
          <w:tcPr>
            <w:tcW w:w="657" w:type="pct"/>
            <w:tcBorders>
              <w:top w:val="nil"/>
              <w:left w:val="nil"/>
              <w:bottom w:val="nil"/>
              <w:right w:val="nil"/>
            </w:tcBorders>
          </w:tcPr>
          <w:p w14:paraId="28FAC601"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(0.785)</w:t>
            </w:r>
          </w:p>
        </w:tc>
        <w:tc>
          <w:tcPr>
            <w:tcW w:w="796" w:type="pct"/>
            <w:tcBorders>
              <w:top w:val="nil"/>
              <w:left w:val="nil"/>
              <w:bottom w:val="nil"/>
              <w:right w:val="nil"/>
            </w:tcBorders>
          </w:tcPr>
          <w:p w14:paraId="378AE48A"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(0.788)</w:t>
            </w:r>
          </w:p>
        </w:tc>
      </w:tr>
      <w:tr w:rsidR="00CD4846" w:rsidRPr="00CD4846" w14:paraId="6AAAA735" w14:textId="77777777" w:rsidTr="00B82EB9">
        <w:tc>
          <w:tcPr>
            <w:tcW w:w="1645" w:type="pct"/>
            <w:tcBorders>
              <w:top w:val="nil"/>
              <w:left w:val="nil"/>
              <w:bottom w:val="nil"/>
              <w:right w:val="nil"/>
            </w:tcBorders>
          </w:tcPr>
          <w:p w14:paraId="2F169BCF" w14:textId="0A7B327C"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Population count (1ms)</w:t>
            </w:r>
          </w:p>
        </w:tc>
        <w:tc>
          <w:tcPr>
            <w:tcW w:w="616" w:type="pct"/>
            <w:tcBorders>
              <w:top w:val="nil"/>
              <w:left w:val="nil"/>
              <w:bottom w:val="nil"/>
              <w:right w:val="nil"/>
            </w:tcBorders>
          </w:tcPr>
          <w:p w14:paraId="11641876"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-0.534**</w:t>
            </w:r>
          </w:p>
        </w:tc>
        <w:tc>
          <w:tcPr>
            <w:tcW w:w="629" w:type="pct"/>
            <w:tcBorders>
              <w:top w:val="nil"/>
              <w:left w:val="nil"/>
              <w:bottom w:val="nil"/>
              <w:right w:val="nil"/>
            </w:tcBorders>
          </w:tcPr>
          <w:p w14:paraId="480B2C8D"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-0.338</w:t>
            </w:r>
          </w:p>
        </w:tc>
        <w:tc>
          <w:tcPr>
            <w:tcW w:w="657" w:type="pct"/>
            <w:tcBorders>
              <w:top w:val="nil"/>
              <w:left w:val="nil"/>
              <w:bottom w:val="nil"/>
              <w:right w:val="nil"/>
            </w:tcBorders>
          </w:tcPr>
          <w:p w14:paraId="6FB8F436"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-1.735***</w:t>
            </w:r>
          </w:p>
        </w:tc>
        <w:tc>
          <w:tcPr>
            <w:tcW w:w="657" w:type="pct"/>
            <w:tcBorders>
              <w:top w:val="nil"/>
              <w:left w:val="nil"/>
              <w:bottom w:val="nil"/>
              <w:right w:val="nil"/>
            </w:tcBorders>
          </w:tcPr>
          <w:p w14:paraId="257DB767"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-0.216</w:t>
            </w:r>
          </w:p>
        </w:tc>
        <w:tc>
          <w:tcPr>
            <w:tcW w:w="796" w:type="pct"/>
            <w:tcBorders>
              <w:top w:val="nil"/>
              <w:left w:val="nil"/>
              <w:bottom w:val="nil"/>
              <w:right w:val="nil"/>
            </w:tcBorders>
          </w:tcPr>
          <w:p w14:paraId="62F1A097"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-0.112</w:t>
            </w:r>
          </w:p>
        </w:tc>
      </w:tr>
      <w:tr w:rsidR="00CD4846" w:rsidRPr="00CD4846" w14:paraId="11E59A2B" w14:textId="77777777" w:rsidTr="00B82EB9">
        <w:tc>
          <w:tcPr>
            <w:tcW w:w="1645" w:type="pct"/>
            <w:tcBorders>
              <w:top w:val="nil"/>
              <w:left w:val="nil"/>
              <w:bottom w:val="nil"/>
              <w:right w:val="nil"/>
            </w:tcBorders>
          </w:tcPr>
          <w:p w14:paraId="2FDD7ABD" w14:textId="334C80AF" w:rsidR="00CD4846" w:rsidRPr="00DA465B" w:rsidRDefault="00CD4846" w:rsidP="00DA465B">
            <w:pPr>
              <w:widowControl w:val="0"/>
              <w:autoSpaceDE w:val="0"/>
              <w:autoSpaceDN w:val="0"/>
              <w:adjustRightInd w:val="0"/>
              <w:spacing w:line="240" w:lineRule="auto"/>
              <w:rPr>
                <w:rFonts w:cs="Times New Roman"/>
                <w:kern w:val="2"/>
                <w:sz w:val="20"/>
                <w:szCs w:val="20"/>
                <w:lang/>
              </w:rPr>
            </w:pPr>
          </w:p>
        </w:tc>
        <w:tc>
          <w:tcPr>
            <w:tcW w:w="616" w:type="pct"/>
            <w:tcBorders>
              <w:top w:val="nil"/>
              <w:left w:val="nil"/>
              <w:bottom w:val="nil"/>
              <w:right w:val="nil"/>
            </w:tcBorders>
          </w:tcPr>
          <w:p w14:paraId="5EBA805F"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(0.216)</w:t>
            </w:r>
          </w:p>
        </w:tc>
        <w:tc>
          <w:tcPr>
            <w:tcW w:w="629" w:type="pct"/>
            <w:tcBorders>
              <w:top w:val="nil"/>
              <w:left w:val="nil"/>
              <w:bottom w:val="nil"/>
              <w:right w:val="nil"/>
            </w:tcBorders>
          </w:tcPr>
          <w:p w14:paraId="33DBA2F1"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(0.287)</w:t>
            </w:r>
          </w:p>
        </w:tc>
        <w:tc>
          <w:tcPr>
            <w:tcW w:w="657" w:type="pct"/>
            <w:tcBorders>
              <w:top w:val="nil"/>
              <w:left w:val="nil"/>
              <w:bottom w:val="nil"/>
              <w:right w:val="nil"/>
            </w:tcBorders>
          </w:tcPr>
          <w:p w14:paraId="0C06B6A5"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(0.461)</w:t>
            </w:r>
          </w:p>
        </w:tc>
        <w:tc>
          <w:tcPr>
            <w:tcW w:w="657" w:type="pct"/>
            <w:tcBorders>
              <w:top w:val="nil"/>
              <w:left w:val="nil"/>
              <w:bottom w:val="nil"/>
              <w:right w:val="nil"/>
            </w:tcBorders>
          </w:tcPr>
          <w:p w14:paraId="7899892B"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(0.204)</w:t>
            </w:r>
          </w:p>
        </w:tc>
        <w:tc>
          <w:tcPr>
            <w:tcW w:w="796" w:type="pct"/>
            <w:tcBorders>
              <w:top w:val="nil"/>
              <w:left w:val="nil"/>
              <w:bottom w:val="nil"/>
              <w:right w:val="nil"/>
            </w:tcBorders>
          </w:tcPr>
          <w:p w14:paraId="35301D6C"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(0.094)</w:t>
            </w:r>
          </w:p>
        </w:tc>
      </w:tr>
      <w:tr w:rsidR="00CD4846" w:rsidRPr="00CD4846" w14:paraId="68FBB966" w14:textId="77777777" w:rsidTr="00B82EB9">
        <w:tc>
          <w:tcPr>
            <w:tcW w:w="1645" w:type="pct"/>
            <w:tcBorders>
              <w:top w:val="nil"/>
              <w:left w:val="nil"/>
              <w:bottom w:val="nil"/>
              <w:right w:val="nil"/>
            </w:tcBorders>
          </w:tcPr>
          <w:p w14:paraId="3058269C" w14:textId="18F197E9"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Unemployment rate (100s)</w:t>
            </w:r>
          </w:p>
        </w:tc>
        <w:tc>
          <w:tcPr>
            <w:tcW w:w="616" w:type="pct"/>
            <w:tcBorders>
              <w:top w:val="nil"/>
              <w:left w:val="nil"/>
              <w:bottom w:val="nil"/>
              <w:right w:val="nil"/>
            </w:tcBorders>
          </w:tcPr>
          <w:p w14:paraId="40CDF0FC"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2.341***</w:t>
            </w:r>
          </w:p>
        </w:tc>
        <w:tc>
          <w:tcPr>
            <w:tcW w:w="629" w:type="pct"/>
            <w:tcBorders>
              <w:top w:val="nil"/>
              <w:left w:val="nil"/>
              <w:bottom w:val="nil"/>
              <w:right w:val="nil"/>
            </w:tcBorders>
          </w:tcPr>
          <w:p w14:paraId="37A2C3DF"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-1.357</w:t>
            </w:r>
          </w:p>
        </w:tc>
        <w:tc>
          <w:tcPr>
            <w:tcW w:w="657" w:type="pct"/>
            <w:tcBorders>
              <w:top w:val="nil"/>
              <w:left w:val="nil"/>
              <w:bottom w:val="nil"/>
              <w:right w:val="nil"/>
            </w:tcBorders>
          </w:tcPr>
          <w:p w14:paraId="7A41110F"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4.438***</w:t>
            </w:r>
          </w:p>
        </w:tc>
        <w:tc>
          <w:tcPr>
            <w:tcW w:w="657" w:type="pct"/>
            <w:tcBorders>
              <w:top w:val="nil"/>
              <w:left w:val="nil"/>
              <w:bottom w:val="nil"/>
              <w:right w:val="nil"/>
            </w:tcBorders>
          </w:tcPr>
          <w:p w14:paraId="2D385E7E"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4.695***</w:t>
            </w:r>
          </w:p>
        </w:tc>
        <w:tc>
          <w:tcPr>
            <w:tcW w:w="796" w:type="pct"/>
            <w:tcBorders>
              <w:top w:val="nil"/>
              <w:left w:val="nil"/>
              <w:bottom w:val="nil"/>
              <w:right w:val="nil"/>
            </w:tcBorders>
          </w:tcPr>
          <w:p w14:paraId="668DCCEE"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3.314***</w:t>
            </w:r>
          </w:p>
        </w:tc>
      </w:tr>
      <w:tr w:rsidR="00CD4846" w:rsidRPr="00CD4846" w14:paraId="555BB02A" w14:textId="77777777" w:rsidTr="00B82EB9">
        <w:tc>
          <w:tcPr>
            <w:tcW w:w="1645" w:type="pct"/>
            <w:tcBorders>
              <w:top w:val="nil"/>
              <w:left w:val="nil"/>
              <w:bottom w:val="nil"/>
              <w:right w:val="nil"/>
            </w:tcBorders>
          </w:tcPr>
          <w:p w14:paraId="1C047053" w14:textId="075D936D" w:rsidR="00CD4846" w:rsidRPr="00DA465B" w:rsidRDefault="00CD4846" w:rsidP="00DA465B">
            <w:pPr>
              <w:widowControl w:val="0"/>
              <w:autoSpaceDE w:val="0"/>
              <w:autoSpaceDN w:val="0"/>
              <w:adjustRightInd w:val="0"/>
              <w:spacing w:line="240" w:lineRule="auto"/>
              <w:rPr>
                <w:rFonts w:cs="Times New Roman"/>
                <w:kern w:val="2"/>
                <w:sz w:val="20"/>
                <w:szCs w:val="20"/>
                <w:lang/>
              </w:rPr>
            </w:pPr>
          </w:p>
        </w:tc>
        <w:tc>
          <w:tcPr>
            <w:tcW w:w="616" w:type="pct"/>
            <w:tcBorders>
              <w:top w:val="nil"/>
              <w:left w:val="nil"/>
              <w:bottom w:val="nil"/>
              <w:right w:val="nil"/>
            </w:tcBorders>
          </w:tcPr>
          <w:p w14:paraId="7155D3B3"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(0.792)</w:t>
            </w:r>
          </w:p>
        </w:tc>
        <w:tc>
          <w:tcPr>
            <w:tcW w:w="629" w:type="pct"/>
            <w:tcBorders>
              <w:top w:val="nil"/>
              <w:left w:val="nil"/>
              <w:bottom w:val="nil"/>
              <w:right w:val="nil"/>
            </w:tcBorders>
          </w:tcPr>
          <w:p w14:paraId="04A77909"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(2.658)</w:t>
            </w:r>
          </w:p>
        </w:tc>
        <w:tc>
          <w:tcPr>
            <w:tcW w:w="657" w:type="pct"/>
            <w:tcBorders>
              <w:top w:val="nil"/>
              <w:left w:val="nil"/>
              <w:bottom w:val="nil"/>
              <w:right w:val="nil"/>
            </w:tcBorders>
          </w:tcPr>
          <w:p w14:paraId="27DAFD40"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(1.313)</w:t>
            </w:r>
          </w:p>
        </w:tc>
        <w:tc>
          <w:tcPr>
            <w:tcW w:w="657" w:type="pct"/>
            <w:tcBorders>
              <w:top w:val="nil"/>
              <w:left w:val="nil"/>
              <w:bottom w:val="nil"/>
              <w:right w:val="nil"/>
            </w:tcBorders>
          </w:tcPr>
          <w:p w14:paraId="173255D2"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(0.694)</w:t>
            </w:r>
          </w:p>
        </w:tc>
        <w:tc>
          <w:tcPr>
            <w:tcW w:w="796" w:type="pct"/>
            <w:tcBorders>
              <w:top w:val="nil"/>
              <w:left w:val="nil"/>
              <w:bottom w:val="nil"/>
              <w:right w:val="nil"/>
            </w:tcBorders>
          </w:tcPr>
          <w:p w14:paraId="01131D67"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(0.589)</w:t>
            </w:r>
          </w:p>
        </w:tc>
      </w:tr>
      <w:tr w:rsidR="00CD4846" w:rsidRPr="00CD4846" w14:paraId="3F9C6F7E" w14:textId="77777777" w:rsidTr="00B82EB9">
        <w:tc>
          <w:tcPr>
            <w:tcW w:w="1645" w:type="pct"/>
            <w:tcBorders>
              <w:top w:val="nil"/>
              <w:left w:val="nil"/>
              <w:bottom w:val="nil"/>
              <w:right w:val="nil"/>
            </w:tcBorders>
          </w:tcPr>
          <w:p w14:paraId="39821A7E" w14:textId="2BED5E8B"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Sales Volume (t-1)</w:t>
            </w:r>
          </w:p>
        </w:tc>
        <w:tc>
          <w:tcPr>
            <w:tcW w:w="616" w:type="pct"/>
            <w:tcBorders>
              <w:top w:val="nil"/>
              <w:left w:val="nil"/>
              <w:bottom w:val="nil"/>
              <w:right w:val="nil"/>
            </w:tcBorders>
          </w:tcPr>
          <w:p w14:paraId="4F3F33E8"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4.620*</w:t>
            </w:r>
          </w:p>
        </w:tc>
        <w:tc>
          <w:tcPr>
            <w:tcW w:w="629" w:type="pct"/>
            <w:tcBorders>
              <w:top w:val="nil"/>
              <w:left w:val="nil"/>
              <w:bottom w:val="nil"/>
              <w:right w:val="nil"/>
            </w:tcBorders>
          </w:tcPr>
          <w:p w14:paraId="46B726D8"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0.113</w:t>
            </w:r>
          </w:p>
        </w:tc>
        <w:tc>
          <w:tcPr>
            <w:tcW w:w="657" w:type="pct"/>
            <w:tcBorders>
              <w:top w:val="nil"/>
              <w:left w:val="nil"/>
              <w:bottom w:val="nil"/>
              <w:right w:val="nil"/>
            </w:tcBorders>
          </w:tcPr>
          <w:p w14:paraId="7B5A04F5"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-0.295</w:t>
            </w:r>
          </w:p>
        </w:tc>
        <w:tc>
          <w:tcPr>
            <w:tcW w:w="657" w:type="pct"/>
            <w:tcBorders>
              <w:top w:val="nil"/>
              <w:left w:val="nil"/>
              <w:bottom w:val="nil"/>
              <w:right w:val="nil"/>
            </w:tcBorders>
          </w:tcPr>
          <w:p w14:paraId="477D18B3"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-38.466**</w:t>
            </w:r>
          </w:p>
        </w:tc>
        <w:tc>
          <w:tcPr>
            <w:tcW w:w="796" w:type="pct"/>
            <w:tcBorders>
              <w:top w:val="nil"/>
              <w:left w:val="nil"/>
              <w:bottom w:val="nil"/>
              <w:right w:val="nil"/>
            </w:tcBorders>
          </w:tcPr>
          <w:p w14:paraId="252961DF"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-0.137</w:t>
            </w:r>
          </w:p>
        </w:tc>
      </w:tr>
      <w:tr w:rsidR="00CD4846" w:rsidRPr="00CD4846" w14:paraId="506B5639" w14:textId="77777777" w:rsidTr="00B82EB9">
        <w:tc>
          <w:tcPr>
            <w:tcW w:w="1645" w:type="pct"/>
            <w:tcBorders>
              <w:top w:val="nil"/>
              <w:left w:val="nil"/>
              <w:bottom w:val="nil"/>
              <w:right w:val="nil"/>
            </w:tcBorders>
          </w:tcPr>
          <w:p w14:paraId="6F6E198D" w14:textId="4C50B8D6" w:rsidR="00CD4846" w:rsidRPr="00DA465B" w:rsidRDefault="00CD4846" w:rsidP="00DA465B">
            <w:pPr>
              <w:widowControl w:val="0"/>
              <w:autoSpaceDE w:val="0"/>
              <w:autoSpaceDN w:val="0"/>
              <w:adjustRightInd w:val="0"/>
              <w:spacing w:line="240" w:lineRule="auto"/>
              <w:rPr>
                <w:rFonts w:cs="Times New Roman"/>
                <w:kern w:val="2"/>
                <w:sz w:val="20"/>
                <w:szCs w:val="20"/>
                <w:lang/>
              </w:rPr>
            </w:pPr>
          </w:p>
        </w:tc>
        <w:tc>
          <w:tcPr>
            <w:tcW w:w="616" w:type="pct"/>
            <w:tcBorders>
              <w:top w:val="nil"/>
              <w:left w:val="nil"/>
              <w:bottom w:val="nil"/>
              <w:right w:val="nil"/>
            </w:tcBorders>
          </w:tcPr>
          <w:p w14:paraId="6DD71BD3"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(2.698)</w:t>
            </w:r>
          </w:p>
        </w:tc>
        <w:tc>
          <w:tcPr>
            <w:tcW w:w="629" w:type="pct"/>
            <w:tcBorders>
              <w:top w:val="nil"/>
              <w:left w:val="nil"/>
              <w:bottom w:val="nil"/>
              <w:right w:val="nil"/>
            </w:tcBorders>
          </w:tcPr>
          <w:p w14:paraId="7053532D"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(0.735)</w:t>
            </w:r>
          </w:p>
        </w:tc>
        <w:tc>
          <w:tcPr>
            <w:tcW w:w="657" w:type="pct"/>
            <w:tcBorders>
              <w:top w:val="nil"/>
              <w:left w:val="nil"/>
              <w:bottom w:val="nil"/>
              <w:right w:val="nil"/>
            </w:tcBorders>
          </w:tcPr>
          <w:p w14:paraId="47AAEA58"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(0.289)</w:t>
            </w:r>
          </w:p>
        </w:tc>
        <w:tc>
          <w:tcPr>
            <w:tcW w:w="657" w:type="pct"/>
            <w:tcBorders>
              <w:top w:val="nil"/>
              <w:left w:val="nil"/>
              <w:bottom w:val="nil"/>
              <w:right w:val="nil"/>
            </w:tcBorders>
          </w:tcPr>
          <w:p w14:paraId="02ED1BB2"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(15.830)</w:t>
            </w:r>
          </w:p>
        </w:tc>
        <w:tc>
          <w:tcPr>
            <w:tcW w:w="796" w:type="pct"/>
            <w:tcBorders>
              <w:top w:val="nil"/>
              <w:left w:val="nil"/>
              <w:bottom w:val="nil"/>
              <w:right w:val="nil"/>
            </w:tcBorders>
          </w:tcPr>
          <w:p w14:paraId="5D4C3A74"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(0.088)</w:t>
            </w:r>
          </w:p>
        </w:tc>
      </w:tr>
      <w:tr w:rsidR="00CD4846" w:rsidRPr="00CD4846" w14:paraId="1AECC4F5" w14:textId="77777777" w:rsidTr="00B82EB9">
        <w:tc>
          <w:tcPr>
            <w:tcW w:w="1645" w:type="pct"/>
            <w:tcBorders>
              <w:top w:val="nil"/>
              <w:left w:val="nil"/>
              <w:bottom w:val="nil"/>
              <w:right w:val="nil"/>
            </w:tcBorders>
          </w:tcPr>
          <w:p w14:paraId="40D7B0A2" w14:textId="4FCFC860"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Prior Total Entries (1ks)</w:t>
            </w:r>
          </w:p>
        </w:tc>
        <w:tc>
          <w:tcPr>
            <w:tcW w:w="616" w:type="pct"/>
            <w:tcBorders>
              <w:top w:val="nil"/>
              <w:left w:val="nil"/>
              <w:bottom w:val="nil"/>
              <w:right w:val="nil"/>
            </w:tcBorders>
          </w:tcPr>
          <w:p w14:paraId="2DA00E38"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-1.689**</w:t>
            </w:r>
          </w:p>
        </w:tc>
        <w:tc>
          <w:tcPr>
            <w:tcW w:w="629" w:type="pct"/>
            <w:tcBorders>
              <w:top w:val="nil"/>
              <w:left w:val="nil"/>
              <w:bottom w:val="nil"/>
              <w:right w:val="nil"/>
            </w:tcBorders>
          </w:tcPr>
          <w:p w14:paraId="704E4C3D"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-0.782**</w:t>
            </w:r>
          </w:p>
        </w:tc>
        <w:tc>
          <w:tcPr>
            <w:tcW w:w="657" w:type="pct"/>
            <w:tcBorders>
              <w:top w:val="nil"/>
              <w:left w:val="nil"/>
              <w:bottom w:val="nil"/>
              <w:right w:val="nil"/>
            </w:tcBorders>
          </w:tcPr>
          <w:p w14:paraId="06CFAE75"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-4.088**</w:t>
            </w:r>
          </w:p>
        </w:tc>
        <w:tc>
          <w:tcPr>
            <w:tcW w:w="657" w:type="pct"/>
            <w:tcBorders>
              <w:top w:val="nil"/>
              <w:left w:val="nil"/>
              <w:bottom w:val="nil"/>
              <w:right w:val="nil"/>
            </w:tcBorders>
          </w:tcPr>
          <w:p w14:paraId="6864805D"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-0.047***</w:t>
            </w:r>
          </w:p>
        </w:tc>
        <w:tc>
          <w:tcPr>
            <w:tcW w:w="796" w:type="pct"/>
            <w:tcBorders>
              <w:top w:val="nil"/>
              <w:left w:val="nil"/>
              <w:bottom w:val="nil"/>
              <w:right w:val="nil"/>
            </w:tcBorders>
          </w:tcPr>
          <w:p w14:paraId="729D6306"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-0.008</w:t>
            </w:r>
          </w:p>
        </w:tc>
      </w:tr>
      <w:tr w:rsidR="00CD4846" w:rsidRPr="00CD4846" w14:paraId="2E3F1C2D" w14:textId="77777777" w:rsidTr="00B82EB9">
        <w:tc>
          <w:tcPr>
            <w:tcW w:w="1645" w:type="pct"/>
            <w:tcBorders>
              <w:top w:val="nil"/>
              <w:left w:val="nil"/>
              <w:bottom w:val="nil"/>
              <w:right w:val="nil"/>
            </w:tcBorders>
          </w:tcPr>
          <w:p w14:paraId="084CB483" w14:textId="7146F485" w:rsidR="00CD4846" w:rsidRPr="00DA465B" w:rsidRDefault="00CD4846" w:rsidP="00DA465B">
            <w:pPr>
              <w:widowControl w:val="0"/>
              <w:autoSpaceDE w:val="0"/>
              <w:autoSpaceDN w:val="0"/>
              <w:adjustRightInd w:val="0"/>
              <w:spacing w:line="240" w:lineRule="auto"/>
              <w:rPr>
                <w:rFonts w:cs="Times New Roman"/>
                <w:kern w:val="2"/>
                <w:sz w:val="20"/>
                <w:szCs w:val="20"/>
                <w:lang/>
              </w:rPr>
            </w:pPr>
          </w:p>
        </w:tc>
        <w:tc>
          <w:tcPr>
            <w:tcW w:w="616" w:type="pct"/>
            <w:tcBorders>
              <w:top w:val="nil"/>
              <w:left w:val="nil"/>
              <w:bottom w:val="nil"/>
              <w:right w:val="nil"/>
            </w:tcBorders>
          </w:tcPr>
          <w:p w14:paraId="01B5C056"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(0.677)</w:t>
            </w:r>
          </w:p>
        </w:tc>
        <w:tc>
          <w:tcPr>
            <w:tcW w:w="629" w:type="pct"/>
            <w:tcBorders>
              <w:top w:val="nil"/>
              <w:left w:val="nil"/>
              <w:bottom w:val="nil"/>
              <w:right w:val="nil"/>
            </w:tcBorders>
          </w:tcPr>
          <w:p w14:paraId="34A0664E"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(0.319)</w:t>
            </w:r>
          </w:p>
        </w:tc>
        <w:tc>
          <w:tcPr>
            <w:tcW w:w="657" w:type="pct"/>
            <w:tcBorders>
              <w:top w:val="nil"/>
              <w:left w:val="nil"/>
              <w:bottom w:val="nil"/>
              <w:right w:val="nil"/>
            </w:tcBorders>
          </w:tcPr>
          <w:p w14:paraId="0881879F"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(1.631)</w:t>
            </w:r>
          </w:p>
        </w:tc>
        <w:tc>
          <w:tcPr>
            <w:tcW w:w="657" w:type="pct"/>
            <w:tcBorders>
              <w:top w:val="nil"/>
              <w:left w:val="nil"/>
              <w:bottom w:val="nil"/>
              <w:right w:val="nil"/>
            </w:tcBorders>
          </w:tcPr>
          <w:p w14:paraId="6C3C9B9A"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(0.009)</w:t>
            </w:r>
          </w:p>
        </w:tc>
        <w:tc>
          <w:tcPr>
            <w:tcW w:w="796" w:type="pct"/>
            <w:tcBorders>
              <w:top w:val="nil"/>
              <w:left w:val="nil"/>
              <w:bottom w:val="nil"/>
              <w:right w:val="nil"/>
            </w:tcBorders>
          </w:tcPr>
          <w:p w14:paraId="6C2A4FAA"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(0.034)</w:t>
            </w:r>
          </w:p>
        </w:tc>
      </w:tr>
      <w:tr w:rsidR="00CD4846" w:rsidRPr="00CD4846" w14:paraId="525C38F7" w14:textId="77777777" w:rsidTr="00B82EB9">
        <w:tc>
          <w:tcPr>
            <w:tcW w:w="1645" w:type="pct"/>
            <w:tcBorders>
              <w:top w:val="nil"/>
              <w:left w:val="nil"/>
              <w:bottom w:val="nil"/>
              <w:right w:val="nil"/>
            </w:tcBorders>
          </w:tcPr>
          <w:p w14:paraId="4628C815"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Constant</w:t>
            </w:r>
          </w:p>
        </w:tc>
        <w:tc>
          <w:tcPr>
            <w:tcW w:w="616" w:type="pct"/>
            <w:tcBorders>
              <w:top w:val="nil"/>
              <w:left w:val="nil"/>
              <w:bottom w:val="nil"/>
              <w:right w:val="nil"/>
            </w:tcBorders>
          </w:tcPr>
          <w:p w14:paraId="2590B063"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2.387***</w:t>
            </w:r>
          </w:p>
        </w:tc>
        <w:tc>
          <w:tcPr>
            <w:tcW w:w="629" w:type="pct"/>
            <w:tcBorders>
              <w:top w:val="nil"/>
              <w:left w:val="nil"/>
              <w:bottom w:val="nil"/>
              <w:right w:val="nil"/>
            </w:tcBorders>
          </w:tcPr>
          <w:p w14:paraId="3ACB88E0"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2.544***</w:t>
            </w:r>
          </w:p>
        </w:tc>
        <w:tc>
          <w:tcPr>
            <w:tcW w:w="657" w:type="pct"/>
            <w:tcBorders>
              <w:top w:val="nil"/>
              <w:left w:val="nil"/>
              <w:bottom w:val="nil"/>
              <w:right w:val="nil"/>
            </w:tcBorders>
          </w:tcPr>
          <w:p w14:paraId="2D4EDB15"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2.043***</w:t>
            </w:r>
          </w:p>
        </w:tc>
        <w:tc>
          <w:tcPr>
            <w:tcW w:w="657" w:type="pct"/>
            <w:tcBorders>
              <w:top w:val="nil"/>
              <w:left w:val="nil"/>
              <w:bottom w:val="nil"/>
              <w:right w:val="nil"/>
            </w:tcBorders>
          </w:tcPr>
          <w:p w14:paraId="45378913"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4.870***</w:t>
            </w:r>
          </w:p>
        </w:tc>
        <w:tc>
          <w:tcPr>
            <w:tcW w:w="796" w:type="pct"/>
            <w:tcBorders>
              <w:top w:val="nil"/>
              <w:left w:val="nil"/>
              <w:bottom w:val="nil"/>
              <w:right w:val="nil"/>
            </w:tcBorders>
          </w:tcPr>
          <w:p w14:paraId="7E926C93"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4.160***</w:t>
            </w:r>
          </w:p>
        </w:tc>
      </w:tr>
      <w:tr w:rsidR="00CD4846" w:rsidRPr="00CD4846" w14:paraId="108DB367" w14:textId="77777777" w:rsidTr="00B82EB9">
        <w:tc>
          <w:tcPr>
            <w:tcW w:w="1645" w:type="pct"/>
            <w:tcBorders>
              <w:top w:val="nil"/>
              <w:left w:val="nil"/>
              <w:bottom w:val="nil"/>
              <w:right w:val="nil"/>
            </w:tcBorders>
          </w:tcPr>
          <w:p w14:paraId="3702356C" w14:textId="4A1F96DD" w:rsidR="00CD4846" w:rsidRPr="00DA465B" w:rsidRDefault="00CD4846" w:rsidP="00DA465B">
            <w:pPr>
              <w:widowControl w:val="0"/>
              <w:autoSpaceDE w:val="0"/>
              <w:autoSpaceDN w:val="0"/>
              <w:adjustRightInd w:val="0"/>
              <w:spacing w:line="240" w:lineRule="auto"/>
              <w:rPr>
                <w:rFonts w:cs="Times New Roman"/>
                <w:kern w:val="2"/>
                <w:sz w:val="20"/>
                <w:szCs w:val="20"/>
                <w:lang/>
              </w:rPr>
            </w:pPr>
          </w:p>
        </w:tc>
        <w:tc>
          <w:tcPr>
            <w:tcW w:w="616" w:type="pct"/>
            <w:tcBorders>
              <w:top w:val="nil"/>
              <w:left w:val="nil"/>
              <w:bottom w:val="nil"/>
              <w:right w:val="nil"/>
            </w:tcBorders>
          </w:tcPr>
          <w:p w14:paraId="6AC833F8"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(0.211)</w:t>
            </w:r>
          </w:p>
        </w:tc>
        <w:tc>
          <w:tcPr>
            <w:tcW w:w="629" w:type="pct"/>
            <w:tcBorders>
              <w:top w:val="nil"/>
              <w:left w:val="nil"/>
              <w:bottom w:val="nil"/>
              <w:right w:val="nil"/>
            </w:tcBorders>
          </w:tcPr>
          <w:p w14:paraId="1D7E92BA"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(0.880)</w:t>
            </w:r>
          </w:p>
        </w:tc>
        <w:tc>
          <w:tcPr>
            <w:tcW w:w="657" w:type="pct"/>
            <w:tcBorders>
              <w:top w:val="nil"/>
              <w:left w:val="nil"/>
              <w:bottom w:val="nil"/>
              <w:right w:val="nil"/>
            </w:tcBorders>
          </w:tcPr>
          <w:p w14:paraId="1BCFB720"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(0.366)</w:t>
            </w:r>
          </w:p>
        </w:tc>
        <w:tc>
          <w:tcPr>
            <w:tcW w:w="657" w:type="pct"/>
            <w:tcBorders>
              <w:top w:val="nil"/>
              <w:left w:val="nil"/>
              <w:bottom w:val="nil"/>
              <w:right w:val="nil"/>
            </w:tcBorders>
          </w:tcPr>
          <w:p w14:paraId="0AB0FA08"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(0.235)</w:t>
            </w:r>
          </w:p>
        </w:tc>
        <w:tc>
          <w:tcPr>
            <w:tcW w:w="796" w:type="pct"/>
            <w:tcBorders>
              <w:top w:val="nil"/>
              <w:left w:val="nil"/>
              <w:bottom w:val="nil"/>
              <w:right w:val="nil"/>
            </w:tcBorders>
          </w:tcPr>
          <w:p w14:paraId="4274A93F"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(0.272)</w:t>
            </w:r>
          </w:p>
        </w:tc>
      </w:tr>
      <w:tr w:rsidR="00CD4846" w:rsidRPr="00CD4846" w14:paraId="73CA16E5" w14:textId="77777777" w:rsidTr="00B82EB9">
        <w:tc>
          <w:tcPr>
            <w:tcW w:w="1645" w:type="pct"/>
            <w:tcBorders>
              <w:top w:val="nil"/>
              <w:left w:val="nil"/>
              <w:bottom w:val="nil"/>
              <w:right w:val="nil"/>
            </w:tcBorders>
          </w:tcPr>
          <w:p w14:paraId="27281DE8" w14:textId="38EB8290"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Observations</w:t>
            </w:r>
          </w:p>
        </w:tc>
        <w:tc>
          <w:tcPr>
            <w:tcW w:w="616" w:type="pct"/>
            <w:tcBorders>
              <w:top w:val="nil"/>
              <w:left w:val="nil"/>
              <w:bottom w:val="nil"/>
              <w:right w:val="nil"/>
            </w:tcBorders>
          </w:tcPr>
          <w:p w14:paraId="49101C8E"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15287</w:t>
            </w:r>
          </w:p>
        </w:tc>
        <w:tc>
          <w:tcPr>
            <w:tcW w:w="629" w:type="pct"/>
            <w:tcBorders>
              <w:top w:val="nil"/>
              <w:left w:val="nil"/>
              <w:bottom w:val="nil"/>
              <w:right w:val="nil"/>
            </w:tcBorders>
          </w:tcPr>
          <w:p w14:paraId="0A24542C"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10123</w:t>
            </w:r>
          </w:p>
        </w:tc>
        <w:tc>
          <w:tcPr>
            <w:tcW w:w="657" w:type="pct"/>
            <w:tcBorders>
              <w:top w:val="nil"/>
              <w:left w:val="nil"/>
              <w:bottom w:val="nil"/>
              <w:right w:val="nil"/>
            </w:tcBorders>
          </w:tcPr>
          <w:p w14:paraId="2EBDD4A2"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15131</w:t>
            </w:r>
          </w:p>
        </w:tc>
        <w:tc>
          <w:tcPr>
            <w:tcW w:w="657" w:type="pct"/>
            <w:tcBorders>
              <w:top w:val="nil"/>
              <w:left w:val="nil"/>
              <w:bottom w:val="nil"/>
              <w:right w:val="nil"/>
            </w:tcBorders>
          </w:tcPr>
          <w:p w14:paraId="43930A9E"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26461</w:t>
            </w:r>
          </w:p>
        </w:tc>
        <w:tc>
          <w:tcPr>
            <w:tcW w:w="796" w:type="pct"/>
            <w:tcBorders>
              <w:top w:val="nil"/>
              <w:left w:val="nil"/>
              <w:bottom w:val="nil"/>
              <w:right w:val="nil"/>
            </w:tcBorders>
          </w:tcPr>
          <w:p w14:paraId="7B0B18FA"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26608</w:t>
            </w:r>
          </w:p>
        </w:tc>
      </w:tr>
      <w:tr w:rsidR="00CD4846" w:rsidRPr="00CD4846" w14:paraId="4F3D6127" w14:textId="77777777" w:rsidTr="00B82EB9">
        <w:tc>
          <w:tcPr>
            <w:tcW w:w="1645" w:type="pct"/>
            <w:tcBorders>
              <w:top w:val="nil"/>
              <w:left w:val="nil"/>
              <w:bottom w:val="nil"/>
              <w:right w:val="nil"/>
            </w:tcBorders>
          </w:tcPr>
          <w:p w14:paraId="2ADD3492" w14:textId="3DFCA5D4"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Pseudo R</w:t>
            </w:r>
            <w:r w:rsidRPr="00DA465B">
              <w:rPr>
                <w:rFonts w:cs="Times New Roman"/>
                <w:kern w:val="2"/>
                <w:sz w:val="20"/>
                <w:szCs w:val="20"/>
                <w:vertAlign w:val="superscript"/>
                <w:lang/>
              </w:rPr>
              <w:t>2</w:t>
            </w:r>
          </w:p>
        </w:tc>
        <w:tc>
          <w:tcPr>
            <w:tcW w:w="616" w:type="pct"/>
            <w:tcBorders>
              <w:top w:val="nil"/>
              <w:left w:val="nil"/>
              <w:bottom w:val="nil"/>
              <w:right w:val="nil"/>
            </w:tcBorders>
          </w:tcPr>
          <w:p w14:paraId="033695BE"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0.648</w:t>
            </w:r>
          </w:p>
        </w:tc>
        <w:tc>
          <w:tcPr>
            <w:tcW w:w="629" w:type="pct"/>
            <w:tcBorders>
              <w:top w:val="nil"/>
              <w:left w:val="nil"/>
              <w:bottom w:val="nil"/>
              <w:right w:val="nil"/>
            </w:tcBorders>
          </w:tcPr>
          <w:p w14:paraId="601B3F30"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0.705</w:t>
            </w:r>
          </w:p>
        </w:tc>
        <w:tc>
          <w:tcPr>
            <w:tcW w:w="657" w:type="pct"/>
            <w:tcBorders>
              <w:top w:val="nil"/>
              <w:left w:val="nil"/>
              <w:bottom w:val="nil"/>
              <w:right w:val="nil"/>
            </w:tcBorders>
          </w:tcPr>
          <w:p w14:paraId="1053F1E1"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0.561</w:t>
            </w:r>
          </w:p>
        </w:tc>
        <w:tc>
          <w:tcPr>
            <w:tcW w:w="657" w:type="pct"/>
            <w:tcBorders>
              <w:top w:val="nil"/>
              <w:left w:val="nil"/>
              <w:bottom w:val="nil"/>
              <w:right w:val="nil"/>
            </w:tcBorders>
          </w:tcPr>
          <w:p w14:paraId="7F72FC42"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0.958</w:t>
            </w:r>
          </w:p>
        </w:tc>
        <w:tc>
          <w:tcPr>
            <w:tcW w:w="796" w:type="pct"/>
            <w:tcBorders>
              <w:top w:val="nil"/>
              <w:left w:val="nil"/>
              <w:bottom w:val="nil"/>
              <w:right w:val="nil"/>
            </w:tcBorders>
          </w:tcPr>
          <w:p w14:paraId="794460AA"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0.938</w:t>
            </w:r>
          </w:p>
        </w:tc>
      </w:tr>
      <w:tr w:rsidR="00CD4846" w:rsidRPr="00CD4846" w14:paraId="04F4986C" w14:textId="77777777" w:rsidTr="00B82EB9">
        <w:tc>
          <w:tcPr>
            <w:tcW w:w="1645" w:type="pct"/>
            <w:tcBorders>
              <w:top w:val="nil"/>
              <w:left w:val="nil"/>
              <w:bottom w:val="nil"/>
              <w:right w:val="nil"/>
            </w:tcBorders>
          </w:tcPr>
          <w:p w14:paraId="00C4F7B4" w14:textId="207295DA"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Chi</w:t>
            </w:r>
            <w:r w:rsidRPr="00DA465B">
              <w:rPr>
                <w:rFonts w:cs="Times New Roman"/>
                <w:kern w:val="2"/>
                <w:sz w:val="20"/>
                <w:szCs w:val="20"/>
                <w:vertAlign w:val="superscript"/>
                <w:lang/>
              </w:rPr>
              <w:t>2</w:t>
            </w:r>
          </w:p>
        </w:tc>
        <w:tc>
          <w:tcPr>
            <w:tcW w:w="616" w:type="pct"/>
            <w:tcBorders>
              <w:top w:val="nil"/>
              <w:left w:val="nil"/>
              <w:bottom w:val="nil"/>
              <w:right w:val="nil"/>
            </w:tcBorders>
          </w:tcPr>
          <w:p w14:paraId="1F5F6266"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157</w:t>
            </w:r>
          </w:p>
        </w:tc>
        <w:tc>
          <w:tcPr>
            <w:tcW w:w="629" w:type="pct"/>
            <w:tcBorders>
              <w:top w:val="nil"/>
              <w:left w:val="nil"/>
              <w:bottom w:val="nil"/>
              <w:right w:val="nil"/>
            </w:tcBorders>
          </w:tcPr>
          <w:p w14:paraId="294EAAC4"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144</w:t>
            </w:r>
          </w:p>
        </w:tc>
        <w:tc>
          <w:tcPr>
            <w:tcW w:w="657" w:type="pct"/>
            <w:tcBorders>
              <w:top w:val="nil"/>
              <w:left w:val="nil"/>
              <w:bottom w:val="nil"/>
              <w:right w:val="nil"/>
            </w:tcBorders>
          </w:tcPr>
          <w:p w14:paraId="49F9D9A9"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126</w:t>
            </w:r>
          </w:p>
        </w:tc>
        <w:tc>
          <w:tcPr>
            <w:tcW w:w="657" w:type="pct"/>
            <w:tcBorders>
              <w:top w:val="nil"/>
              <w:left w:val="nil"/>
              <w:bottom w:val="nil"/>
              <w:right w:val="nil"/>
            </w:tcBorders>
          </w:tcPr>
          <w:p w14:paraId="11201049"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185</w:t>
            </w:r>
          </w:p>
        </w:tc>
        <w:tc>
          <w:tcPr>
            <w:tcW w:w="796" w:type="pct"/>
            <w:tcBorders>
              <w:top w:val="nil"/>
              <w:left w:val="nil"/>
              <w:bottom w:val="nil"/>
              <w:right w:val="nil"/>
            </w:tcBorders>
          </w:tcPr>
          <w:p w14:paraId="161D8143"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115</w:t>
            </w:r>
          </w:p>
        </w:tc>
      </w:tr>
      <w:tr w:rsidR="00CD4846" w:rsidRPr="00CD4846" w14:paraId="3D51C203" w14:textId="77777777" w:rsidTr="00B82EB9">
        <w:tc>
          <w:tcPr>
            <w:tcW w:w="1645" w:type="pct"/>
            <w:tcBorders>
              <w:top w:val="nil"/>
              <w:left w:val="nil"/>
              <w:bottom w:val="nil"/>
              <w:right w:val="nil"/>
            </w:tcBorders>
          </w:tcPr>
          <w:p w14:paraId="368819BD" w14:textId="66EB8BE2"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Log Likelihood</w:t>
            </w:r>
          </w:p>
        </w:tc>
        <w:tc>
          <w:tcPr>
            <w:tcW w:w="616" w:type="pct"/>
            <w:tcBorders>
              <w:top w:val="nil"/>
              <w:left w:val="nil"/>
              <w:bottom w:val="nil"/>
              <w:right w:val="nil"/>
            </w:tcBorders>
          </w:tcPr>
          <w:p w14:paraId="1E502B79"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-32843</w:t>
            </w:r>
          </w:p>
        </w:tc>
        <w:tc>
          <w:tcPr>
            <w:tcW w:w="629" w:type="pct"/>
            <w:tcBorders>
              <w:top w:val="nil"/>
              <w:left w:val="nil"/>
              <w:bottom w:val="nil"/>
              <w:right w:val="nil"/>
            </w:tcBorders>
          </w:tcPr>
          <w:p w14:paraId="04A08333"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-16251</w:t>
            </w:r>
          </w:p>
        </w:tc>
        <w:tc>
          <w:tcPr>
            <w:tcW w:w="657" w:type="pct"/>
            <w:tcBorders>
              <w:top w:val="nil"/>
              <w:left w:val="nil"/>
              <w:bottom w:val="nil"/>
              <w:right w:val="nil"/>
            </w:tcBorders>
          </w:tcPr>
          <w:p w14:paraId="1CD5DE85"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-21685</w:t>
            </w:r>
          </w:p>
        </w:tc>
        <w:tc>
          <w:tcPr>
            <w:tcW w:w="657" w:type="pct"/>
            <w:tcBorders>
              <w:top w:val="nil"/>
              <w:left w:val="nil"/>
              <w:bottom w:val="nil"/>
              <w:right w:val="nil"/>
            </w:tcBorders>
          </w:tcPr>
          <w:p w14:paraId="53C6677C"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-116596</w:t>
            </w:r>
          </w:p>
        </w:tc>
        <w:tc>
          <w:tcPr>
            <w:tcW w:w="796" w:type="pct"/>
            <w:tcBorders>
              <w:top w:val="nil"/>
              <w:left w:val="nil"/>
              <w:bottom w:val="nil"/>
              <w:right w:val="nil"/>
            </w:tcBorders>
          </w:tcPr>
          <w:p w14:paraId="7D7CF1B6"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-72447</w:t>
            </w:r>
          </w:p>
        </w:tc>
      </w:tr>
      <w:tr w:rsidR="00CD4846" w:rsidRPr="00CD4846" w14:paraId="336F941C" w14:textId="77777777" w:rsidTr="00B82EB9">
        <w:tc>
          <w:tcPr>
            <w:tcW w:w="1645" w:type="pct"/>
            <w:tcBorders>
              <w:top w:val="nil"/>
              <w:left w:val="nil"/>
              <w:bottom w:val="nil"/>
              <w:right w:val="nil"/>
            </w:tcBorders>
          </w:tcPr>
          <w:p w14:paraId="048CC057" w14:textId="75624613"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Akaike’s Criterion</w:t>
            </w:r>
          </w:p>
        </w:tc>
        <w:tc>
          <w:tcPr>
            <w:tcW w:w="616" w:type="pct"/>
            <w:tcBorders>
              <w:top w:val="nil"/>
              <w:left w:val="nil"/>
              <w:bottom w:val="nil"/>
              <w:right w:val="nil"/>
            </w:tcBorders>
          </w:tcPr>
          <w:p w14:paraId="26BB7584"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65723</w:t>
            </w:r>
          </w:p>
        </w:tc>
        <w:tc>
          <w:tcPr>
            <w:tcW w:w="629" w:type="pct"/>
            <w:tcBorders>
              <w:top w:val="nil"/>
              <w:left w:val="nil"/>
              <w:bottom w:val="nil"/>
              <w:right w:val="nil"/>
            </w:tcBorders>
          </w:tcPr>
          <w:p w14:paraId="00980D5E"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32538</w:t>
            </w:r>
          </w:p>
        </w:tc>
        <w:tc>
          <w:tcPr>
            <w:tcW w:w="657" w:type="pct"/>
            <w:tcBorders>
              <w:top w:val="nil"/>
              <w:left w:val="nil"/>
              <w:bottom w:val="nil"/>
              <w:right w:val="nil"/>
            </w:tcBorders>
          </w:tcPr>
          <w:p w14:paraId="64457C67"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43406</w:t>
            </w:r>
          </w:p>
        </w:tc>
        <w:tc>
          <w:tcPr>
            <w:tcW w:w="657" w:type="pct"/>
            <w:tcBorders>
              <w:top w:val="nil"/>
              <w:left w:val="nil"/>
              <w:bottom w:val="nil"/>
              <w:right w:val="nil"/>
            </w:tcBorders>
          </w:tcPr>
          <w:p w14:paraId="58C27088"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233228</w:t>
            </w:r>
          </w:p>
        </w:tc>
        <w:tc>
          <w:tcPr>
            <w:tcW w:w="796" w:type="pct"/>
            <w:tcBorders>
              <w:top w:val="nil"/>
              <w:left w:val="nil"/>
              <w:bottom w:val="nil"/>
              <w:right w:val="nil"/>
            </w:tcBorders>
          </w:tcPr>
          <w:p w14:paraId="3663F30A"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144931</w:t>
            </w:r>
          </w:p>
        </w:tc>
      </w:tr>
      <w:tr w:rsidR="00CD4846" w:rsidRPr="00CD4846" w14:paraId="41033A05" w14:textId="77777777" w:rsidTr="00B82EB9">
        <w:tc>
          <w:tcPr>
            <w:tcW w:w="1645" w:type="pct"/>
            <w:tcBorders>
              <w:top w:val="nil"/>
              <w:left w:val="nil"/>
              <w:bottom w:val="nil"/>
              <w:right w:val="nil"/>
            </w:tcBorders>
          </w:tcPr>
          <w:p w14:paraId="5A91C8F7" w14:textId="56273319"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Bayesian Criterion</w:t>
            </w:r>
          </w:p>
        </w:tc>
        <w:tc>
          <w:tcPr>
            <w:tcW w:w="616" w:type="pct"/>
            <w:tcBorders>
              <w:top w:val="nil"/>
              <w:left w:val="nil"/>
              <w:bottom w:val="nil"/>
              <w:right w:val="nil"/>
            </w:tcBorders>
          </w:tcPr>
          <w:p w14:paraId="25D7A0EC"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65860</w:t>
            </w:r>
          </w:p>
        </w:tc>
        <w:tc>
          <w:tcPr>
            <w:tcW w:w="629" w:type="pct"/>
            <w:tcBorders>
              <w:top w:val="nil"/>
              <w:left w:val="nil"/>
              <w:bottom w:val="nil"/>
              <w:right w:val="nil"/>
            </w:tcBorders>
          </w:tcPr>
          <w:p w14:paraId="5C453481"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32668</w:t>
            </w:r>
          </w:p>
        </w:tc>
        <w:tc>
          <w:tcPr>
            <w:tcW w:w="657" w:type="pct"/>
            <w:tcBorders>
              <w:top w:val="nil"/>
              <w:left w:val="nil"/>
              <w:bottom w:val="nil"/>
              <w:right w:val="nil"/>
            </w:tcBorders>
          </w:tcPr>
          <w:p w14:paraId="65FC3099"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43543</w:t>
            </w:r>
          </w:p>
        </w:tc>
        <w:tc>
          <w:tcPr>
            <w:tcW w:w="657" w:type="pct"/>
            <w:tcBorders>
              <w:top w:val="nil"/>
              <w:left w:val="nil"/>
              <w:bottom w:val="nil"/>
              <w:right w:val="nil"/>
            </w:tcBorders>
          </w:tcPr>
          <w:p w14:paraId="16E14177"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233376</w:t>
            </w:r>
          </w:p>
        </w:tc>
        <w:tc>
          <w:tcPr>
            <w:tcW w:w="796" w:type="pct"/>
            <w:tcBorders>
              <w:top w:val="nil"/>
              <w:left w:val="nil"/>
              <w:bottom w:val="nil"/>
              <w:right w:val="nil"/>
            </w:tcBorders>
          </w:tcPr>
          <w:p w14:paraId="5A992A93"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145078</w:t>
            </w:r>
          </w:p>
        </w:tc>
      </w:tr>
      <w:tr w:rsidR="00CD4846" w:rsidRPr="00CD4846" w14:paraId="44F5F602" w14:textId="77777777" w:rsidTr="00B82EB9">
        <w:tc>
          <w:tcPr>
            <w:tcW w:w="1645" w:type="pct"/>
            <w:tcBorders>
              <w:top w:val="nil"/>
              <w:left w:val="nil"/>
              <w:bottom w:val="nil"/>
              <w:right w:val="nil"/>
            </w:tcBorders>
          </w:tcPr>
          <w:p w14:paraId="33D5ABE2"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County FE</w:t>
            </w:r>
          </w:p>
        </w:tc>
        <w:tc>
          <w:tcPr>
            <w:tcW w:w="616" w:type="pct"/>
            <w:tcBorders>
              <w:top w:val="nil"/>
              <w:left w:val="nil"/>
              <w:bottom w:val="nil"/>
              <w:right w:val="nil"/>
            </w:tcBorders>
          </w:tcPr>
          <w:p w14:paraId="272FBD51"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Yes</w:t>
            </w:r>
          </w:p>
        </w:tc>
        <w:tc>
          <w:tcPr>
            <w:tcW w:w="629" w:type="pct"/>
            <w:tcBorders>
              <w:top w:val="nil"/>
              <w:left w:val="nil"/>
              <w:bottom w:val="nil"/>
              <w:right w:val="nil"/>
            </w:tcBorders>
          </w:tcPr>
          <w:p w14:paraId="6D7E9973"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Yes</w:t>
            </w:r>
          </w:p>
        </w:tc>
        <w:tc>
          <w:tcPr>
            <w:tcW w:w="657" w:type="pct"/>
            <w:tcBorders>
              <w:top w:val="nil"/>
              <w:left w:val="nil"/>
              <w:bottom w:val="nil"/>
              <w:right w:val="nil"/>
            </w:tcBorders>
          </w:tcPr>
          <w:p w14:paraId="2CD1C67E"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Yes</w:t>
            </w:r>
          </w:p>
        </w:tc>
        <w:tc>
          <w:tcPr>
            <w:tcW w:w="657" w:type="pct"/>
            <w:tcBorders>
              <w:top w:val="nil"/>
              <w:left w:val="nil"/>
              <w:bottom w:val="nil"/>
              <w:right w:val="nil"/>
            </w:tcBorders>
          </w:tcPr>
          <w:p w14:paraId="06B8910A"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Yes</w:t>
            </w:r>
          </w:p>
        </w:tc>
        <w:tc>
          <w:tcPr>
            <w:tcW w:w="796" w:type="pct"/>
            <w:tcBorders>
              <w:top w:val="nil"/>
              <w:left w:val="nil"/>
              <w:bottom w:val="nil"/>
              <w:right w:val="nil"/>
            </w:tcBorders>
          </w:tcPr>
          <w:p w14:paraId="71A0E820"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Yes</w:t>
            </w:r>
          </w:p>
        </w:tc>
      </w:tr>
      <w:tr w:rsidR="00CD4846" w:rsidRPr="00CD4846" w14:paraId="18F4228F" w14:textId="77777777" w:rsidTr="00B82EB9">
        <w:tc>
          <w:tcPr>
            <w:tcW w:w="1645" w:type="pct"/>
            <w:tcBorders>
              <w:top w:val="nil"/>
              <w:left w:val="nil"/>
              <w:bottom w:val="nil"/>
              <w:right w:val="nil"/>
            </w:tcBorders>
          </w:tcPr>
          <w:p w14:paraId="2AEB713C"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State by Year FE</w:t>
            </w:r>
          </w:p>
        </w:tc>
        <w:tc>
          <w:tcPr>
            <w:tcW w:w="616" w:type="pct"/>
            <w:tcBorders>
              <w:top w:val="nil"/>
              <w:left w:val="nil"/>
              <w:bottom w:val="nil"/>
              <w:right w:val="nil"/>
            </w:tcBorders>
          </w:tcPr>
          <w:p w14:paraId="2563E1B7"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Yes</w:t>
            </w:r>
          </w:p>
        </w:tc>
        <w:tc>
          <w:tcPr>
            <w:tcW w:w="629" w:type="pct"/>
            <w:tcBorders>
              <w:top w:val="nil"/>
              <w:left w:val="nil"/>
              <w:bottom w:val="nil"/>
              <w:right w:val="nil"/>
            </w:tcBorders>
          </w:tcPr>
          <w:p w14:paraId="03D6F7EF"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Yes</w:t>
            </w:r>
          </w:p>
        </w:tc>
        <w:tc>
          <w:tcPr>
            <w:tcW w:w="657" w:type="pct"/>
            <w:tcBorders>
              <w:top w:val="nil"/>
              <w:left w:val="nil"/>
              <w:bottom w:val="nil"/>
              <w:right w:val="nil"/>
            </w:tcBorders>
          </w:tcPr>
          <w:p w14:paraId="68F2461E"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Yes</w:t>
            </w:r>
          </w:p>
        </w:tc>
        <w:tc>
          <w:tcPr>
            <w:tcW w:w="657" w:type="pct"/>
            <w:tcBorders>
              <w:top w:val="nil"/>
              <w:left w:val="nil"/>
              <w:bottom w:val="nil"/>
              <w:right w:val="nil"/>
            </w:tcBorders>
          </w:tcPr>
          <w:p w14:paraId="3178D2E1"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Yes</w:t>
            </w:r>
          </w:p>
        </w:tc>
        <w:tc>
          <w:tcPr>
            <w:tcW w:w="796" w:type="pct"/>
            <w:tcBorders>
              <w:top w:val="nil"/>
              <w:left w:val="nil"/>
              <w:bottom w:val="nil"/>
              <w:right w:val="nil"/>
            </w:tcBorders>
          </w:tcPr>
          <w:p w14:paraId="033EBD63"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Yes</w:t>
            </w:r>
          </w:p>
        </w:tc>
      </w:tr>
    </w:tbl>
    <w:p w14:paraId="5F92028F" w14:textId="77777777" w:rsidR="002A6CED" w:rsidRDefault="002A6CED" w:rsidP="004C39A4">
      <w:r>
        <w:br w:type="page"/>
      </w:r>
    </w:p>
    <w:p w14:paraId="50BD0734" w14:textId="78DA1AF8" w:rsidR="002A6CED" w:rsidRPr="002A6CED" w:rsidRDefault="002A6CED" w:rsidP="004C39A4">
      <w:pPr>
        <w:spacing w:line="240" w:lineRule="auto"/>
        <w:rPr>
          <w:b/>
          <w:bCs/>
        </w:rPr>
      </w:pPr>
      <w:r w:rsidRPr="002A6CED">
        <w:rPr>
          <w:b/>
          <w:bCs/>
        </w:rPr>
        <w:lastRenderedPageBreak/>
        <w:t>Table A23 Continued</w:t>
      </w:r>
    </w:p>
    <w:tbl>
      <w:tblPr>
        <w:tblW w:w="5000" w:type="pct"/>
        <w:tblLook w:val="04A0" w:firstRow="1" w:lastRow="0" w:firstColumn="1" w:lastColumn="0" w:noHBand="0" w:noVBand="1"/>
      </w:tblPr>
      <w:tblGrid>
        <w:gridCol w:w="3080"/>
        <w:gridCol w:w="1153"/>
        <w:gridCol w:w="1177"/>
        <w:gridCol w:w="1230"/>
        <w:gridCol w:w="1230"/>
        <w:gridCol w:w="1490"/>
      </w:tblGrid>
      <w:tr w:rsidR="00DA465B" w:rsidRPr="00DA465B" w14:paraId="53C94F5C" w14:textId="77777777" w:rsidTr="002A6CED">
        <w:tc>
          <w:tcPr>
            <w:tcW w:w="1645" w:type="pct"/>
            <w:tcBorders>
              <w:top w:val="single" w:sz="4" w:space="0" w:color="auto"/>
              <w:left w:val="nil"/>
              <w:bottom w:val="single" w:sz="4" w:space="0" w:color="auto"/>
              <w:right w:val="nil"/>
            </w:tcBorders>
          </w:tcPr>
          <w:p w14:paraId="136E9F3A" w14:textId="682A4267" w:rsidR="002A6CED" w:rsidRPr="00DA465B" w:rsidRDefault="002A6CED" w:rsidP="00DA465B">
            <w:pPr>
              <w:spacing w:line="240" w:lineRule="auto"/>
              <w:rPr>
                <w:b/>
                <w:bCs/>
                <w:sz w:val="20"/>
                <w:szCs w:val="20"/>
                <w:lang/>
              </w:rPr>
            </w:pPr>
            <w:r w:rsidRPr="00DA465B">
              <w:rPr>
                <w:b/>
                <w:bCs/>
                <w:sz w:val="20"/>
                <w:szCs w:val="20"/>
                <w:lang/>
              </w:rPr>
              <w:t>Variable</w:t>
            </w:r>
          </w:p>
        </w:tc>
        <w:tc>
          <w:tcPr>
            <w:tcW w:w="616" w:type="pct"/>
            <w:tcBorders>
              <w:top w:val="single" w:sz="4" w:space="0" w:color="auto"/>
              <w:left w:val="nil"/>
              <w:bottom w:val="single" w:sz="4" w:space="0" w:color="auto"/>
              <w:right w:val="nil"/>
            </w:tcBorders>
          </w:tcPr>
          <w:p w14:paraId="15DF3E2D" w14:textId="38426786" w:rsidR="002A6CED" w:rsidRPr="00DA465B" w:rsidRDefault="002A6CED" w:rsidP="00DA465B">
            <w:pPr>
              <w:spacing w:line="240" w:lineRule="auto"/>
              <w:rPr>
                <w:b/>
                <w:bCs/>
                <w:sz w:val="20"/>
                <w:szCs w:val="20"/>
                <w:lang/>
              </w:rPr>
            </w:pPr>
            <w:r w:rsidRPr="00DA465B">
              <w:rPr>
                <w:b/>
                <w:bCs/>
                <w:sz w:val="20"/>
                <w:szCs w:val="20"/>
                <w:lang/>
              </w:rPr>
              <w:t>NAICS 11</w:t>
            </w:r>
          </w:p>
        </w:tc>
        <w:tc>
          <w:tcPr>
            <w:tcW w:w="629" w:type="pct"/>
            <w:tcBorders>
              <w:top w:val="single" w:sz="4" w:space="0" w:color="auto"/>
              <w:left w:val="nil"/>
              <w:bottom w:val="single" w:sz="4" w:space="0" w:color="auto"/>
              <w:right w:val="nil"/>
            </w:tcBorders>
          </w:tcPr>
          <w:p w14:paraId="3061107A" w14:textId="668A4E0D" w:rsidR="002A6CED" w:rsidRPr="00DA465B" w:rsidRDefault="002A6CED" w:rsidP="00DA465B">
            <w:pPr>
              <w:spacing w:line="240" w:lineRule="auto"/>
              <w:rPr>
                <w:b/>
                <w:bCs/>
                <w:sz w:val="20"/>
                <w:szCs w:val="20"/>
                <w:lang/>
              </w:rPr>
            </w:pPr>
            <w:r w:rsidRPr="00DA465B">
              <w:rPr>
                <w:b/>
                <w:bCs/>
                <w:sz w:val="20"/>
                <w:szCs w:val="20"/>
                <w:lang/>
              </w:rPr>
              <w:t>NAICS 21</w:t>
            </w:r>
          </w:p>
        </w:tc>
        <w:tc>
          <w:tcPr>
            <w:tcW w:w="657" w:type="pct"/>
            <w:tcBorders>
              <w:top w:val="single" w:sz="4" w:space="0" w:color="auto"/>
              <w:left w:val="nil"/>
              <w:bottom w:val="single" w:sz="4" w:space="0" w:color="auto"/>
              <w:right w:val="nil"/>
            </w:tcBorders>
          </w:tcPr>
          <w:p w14:paraId="16C1E0C7" w14:textId="62E148C6" w:rsidR="002A6CED" w:rsidRPr="00DA465B" w:rsidRDefault="002A6CED" w:rsidP="00DA465B">
            <w:pPr>
              <w:spacing w:line="240" w:lineRule="auto"/>
              <w:rPr>
                <w:b/>
                <w:bCs/>
                <w:sz w:val="20"/>
                <w:szCs w:val="20"/>
                <w:lang/>
              </w:rPr>
            </w:pPr>
            <w:r w:rsidRPr="00DA465B">
              <w:rPr>
                <w:b/>
                <w:bCs/>
                <w:sz w:val="20"/>
                <w:szCs w:val="20"/>
                <w:lang/>
              </w:rPr>
              <w:t>NAICS 22</w:t>
            </w:r>
          </w:p>
        </w:tc>
        <w:tc>
          <w:tcPr>
            <w:tcW w:w="657" w:type="pct"/>
            <w:tcBorders>
              <w:top w:val="single" w:sz="4" w:space="0" w:color="auto"/>
              <w:left w:val="nil"/>
              <w:bottom w:val="single" w:sz="4" w:space="0" w:color="auto"/>
              <w:right w:val="nil"/>
            </w:tcBorders>
          </w:tcPr>
          <w:p w14:paraId="26D8FE92" w14:textId="77B1BE06" w:rsidR="002A6CED" w:rsidRPr="00DA465B" w:rsidRDefault="002A6CED" w:rsidP="00DA465B">
            <w:pPr>
              <w:spacing w:line="240" w:lineRule="auto"/>
              <w:rPr>
                <w:b/>
                <w:bCs/>
                <w:sz w:val="20"/>
                <w:szCs w:val="20"/>
                <w:lang/>
              </w:rPr>
            </w:pPr>
            <w:r w:rsidRPr="00DA465B">
              <w:rPr>
                <w:b/>
                <w:bCs/>
                <w:sz w:val="20"/>
                <w:szCs w:val="20"/>
                <w:lang/>
              </w:rPr>
              <w:t>NAICS 23</w:t>
            </w:r>
          </w:p>
        </w:tc>
        <w:tc>
          <w:tcPr>
            <w:tcW w:w="796" w:type="pct"/>
            <w:tcBorders>
              <w:top w:val="single" w:sz="4" w:space="0" w:color="auto"/>
              <w:left w:val="nil"/>
              <w:bottom w:val="single" w:sz="4" w:space="0" w:color="auto"/>
              <w:right w:val="nil"/>
            </w:tcBorders>
          </w:tcPr>
          <w:p w14:paraId="6DAAFD6E" w14:textId="78D3F42C" w:rsidR="002A6CED" w:rsidRPr="00DA465B" w:rsidRDefault="002A6CED" w:rsidP="00DA465B">
            <w:pPr>
              <w:spacing w:line="240" w:lineRule="auto"/>
              <w:rPr>
                <w:b/>
                <w:bCs/>
                <w:sz w:val="20"/>
                <w:szCs w:val="20"/>
                <w:lang/>
              </w:rPr>
            </w:pPr>
            <w:r w:rsidRPr="00DA465B">
              <w:rPr>
                <w:b/>
                <w:bCs/>
                <w:sz w:val="20"/>
                <w:szCs w:val="20"/>
                <w:lang/>
              </w:rPr>
              <w:t>NAICS 31-33</w:t>
            </w:r>
          </w:p>
        </w:tc>
      </w:tr>
      <w:tr w:rsidR="00DA465B" w:rsidRPr="00DA465B" w14:paraId="3CB03841" w14:textId="77777777" w:rsidTr="002A6CED">
        <w:tc>
          <w:tcPr>
            <w:tcW w:w="1645" w:type="pct"/>
            <w:tcBorders>
              <w:top w:val="single" w:sz="4" w:space="0" w:color="auto"/>
              <w:left w:val="nil"/>
              <w:right w:val="nil"/>
            </w:tcBorders>
          </w:tcPr>
          <w:p w14:paraId="68DE8624" w14:textId="3F4545C2" w:rsidR="00CD4846" w:rsidRPr="00DA465B" w:rsidRDefault="00CD4846" w:rsidP="00DA465B">
            <w:pPr>
              <w:spacing w:line="240" w:lineRule="auto"/>
              <w:rPr>
                <w:sz w:val="20"/>
                <w:szCs w:val="20"/>
                <w:lang/>
              </w:rPr>
            </w:pPr>
            <w:r w:rsidRPr="00DA465B">
              <w:rPr>
                <w:sz w:val="20"/>
                <w:szCs w:val="20"/>
                <w:lang/>
              </w:rPr>
              <w:t>NAICS FE</w:t>
            </w:r>
          </w:p>
        </w:tc>
        <w:tc>
          <w:tcPr>
            <w:tcW w:w="616" w:type="pct"/>
            <w:tcBorders>
              <w:top w:val="single" w:sz="4" w:space="0" w:color="auto"/>
              <w:left w:val="nil"/>
              <w:right w:val="nil"/>
            </w:tcBorders>
          </w:tcPr>
          <w:p w14:paraId="3BCCFAC8" w14:textId="77777777" w:rsidR="00CD4846" w:rsidRPr="00DA465B" w:rsidRDefault="00CD4846" w:rsidP="00DA465B">
            <w:pPr>
              <w:spacing w:line="240" w:lineRule="auto"/>
              <w:rPr>
                <w:sz w:val="20"/>
                <w:szCs w:val="20"/>
                <w:lang/>
              </w:rPr>
            </w:pPr>
            <w:r w:rsidRPr="00DA465B">
              <w:rPr>
                <w:sz w:val="20"/>
                <w:szCs w:val="20"/>
                <w:lang/>
              </w:rPr>
              <w:t>Yes</w:t>
            </w:r>
          </w:p>
        </w:tc>
        <w:tc>
          <w:tcPr>
            <w:tcW w:w="629" w:type="pct"/>
            <w:tcBorders>
              <w:top w:val="single" w:sz="4" w:space="0" w:color="auto"/>
              <w:left w:val="nil"/>
              <w:right w:val="nil"/>
            </w:tcBorders>
          </w:tcPr>
          <w:p w14:paraId="41BD8D1E" w14:textId="77777777" w:rsidR="00CD4846" w:rsidRPr="00DA465B" w:rsidRDefault="00CD4846" w:rsidP="00DA465B">
            <w:pPr>
              <w:spacing w:line="240" w:lineRule="auto"/>
              <w:rPr>
                <w:sz w:val="20"/>
                <w:szCs w:val="20"/>
                <w:lang/>
              </w:rPr>
            </w:pPr>
            <w:r w:rsidRPr="00DA465B">
              <w:rPr>
                <w:sz w:val="20"/>
                <w:szCs w:val="20"/>
                <w:lang/>
              </w:rPr>
              <w:t>Yes</w:t>
            </w:r>
          </w:p>
        </w:tc>
        <w:tc>
          <w:tcPr>
            <w:tcW w:w="657" w:type="pct"/>
            <w:tcBorders>
              <w:top w:val="single" w:sz="4" w:space="0" w:color="auto"/>
              <w:left w:val="nil"/>
              <w:right w:val="nil"/>
            </w:tcBorders>
          </w:tcPr>
          <w:p w14:paraId="1FDB9629" w14:textId="77777777" w:rsidR="00CD4846" w:rsidRPr="00DA465B" w:rsidRDefault="00CD4846" w:rsidP="00DA465B">
            <w:pPr>
              <w:spacing w:line="240" w:lineRule="auto"/>
              <w:rPr>
                <w:sz w:val="20"/>
                <w:szCs w:val="20"/>
                <w:lang/>
              </w:rPr>
            </w:pPr>
            <w:r w:rsidRPr="00DA465B">
              <w:rPr>
                <w:sz w:val="20"/>
                <w:szCs w:val="20"/>
                <w:lang/>
              </w:rPr>
              <w:t>Yes</w:t>
            </w:r>
          </w:p>
        </w:tc>
        <w:tc>
          <w:tcPr>
            <w:tcW w:w="657" w:type="pct"/>
            <w:tcBorders>
              <w:top w:val="single" w:sz="4" w:space="0" w:color="auto"/>
              <w:left w:val="nil"/>
              <w:right w:val="nil"/>
            </w:tcBorders>
          </w:tcPr>
          <w:p w14:paraId="461C69B4" w14:textId="77777777" w:rsidR="00CD4846" w:rsidRPr="00DA465B" w:rsidRDefault="00CD4846" w:rsidP="00DA465B">
            <w:pPr>
              <w:spacing w:line="240" w:lineRule="auto"/>
              <w:rPr>
                <w:sz w:val="20"/>
                <w:szCs w:val="20"/>
                <w:lang/>
              </w:rPr>
            </w:pPr>
            <w:r w:rsidRPr="00DA465B">
              <w:rPr>
                <w:sz w:val="20"/>
                <w:szCs w:val="20"/>
                <w:lang/>
              </w:rPr>
              <w:t>Yes</w:t>
            </w:r>
          </w:p>
        </w:tc>
        <w:tc>
          <w:tcPr>
            <w:tcW w:w="796" w:type="pct"/>
            <w:tcBorders>
              <w:top w:val="single" w:sz="4" w:space="0" w:color="auto"/>
              <w:left w:val="nil"/>
              <w:right w:val="nil"/>
            </w:tcBorders>
          </w:tcPr>
          <w:p w14:paraId="4B0FEAD1" w14:textId="77777777" w:rsidR="00CD4846" w:rsidRPr="00DA465B" w:rsidRDefault="00CD4846" w:rsidP="00DA465B">
            <w:pPr>
              <w:spacing w:line="240" w:lineRule="auto"/>
              <w:rPr>
                <w:sz w:val="20"/>
                <w:szCs w:val="20"/>
                <w:lang/>
              </w:rPr>
            </w:pPr>
            <w:r w:rsidRPr="00DA465B">
              <w:rPr>
                <w:sz w:val="20"/>
                <w:szCs w:val="20"/>
                <w:lang/>
              </w:rPr>
              <w:t>Yes</w:t>
            </w:r>
          </w:p>
        </w:tc>
      </w:tr>
      <w:tr w:rsidR="00DA465B" w:rsidRPr="00DA465B" w14:paraId="0515FBB9" w14:textId="77777777" w:rsidTr="00B82EB9">
        <w:tc>
          <w:tcPr>
            <w:tcW w:w="1645" w:type="pct"/>
            <w:tcBorders>
              <w:top w:val="nil"/>
              <w:left w:val="nil"/>
              <w:bottom w:val="single" w:sz="4" w:space="0" w:color="auto"/>
              <w:right w:val="nil"/>
            </w:tcBorders>
          </w:tcPr>
          <w:p w14:paraId="4F6AF7C5" w14:textId="77777777" w:rsidR="00CD4846" w:rsidRPr="00DA465B" w:rsidRDefault="00CD4846" w:rsidP="00DA465B">
            <w:pPr>
              <w:spacing w:line="240" w:lineRule="auto"/>
              <w:rPr>
                <w:rFonts w:eastAsia="Times New Roman"/>
                <w:sz w:val="20"/>
                <w:szCs w:val="20"/>
                <w:shd w:val="clear" w:color="auto" w:fill="FFFFFF"/>
                <w:lang/>
              </w:rPr>
            </w:pPr>
            <w:r w:rsidRPr="00DA465B">
              <w:rPr>
                <w:rFonts w:eastAsia="Times New Roman"/>
                <w:sz w:val="20"/>
                <w:szCs w:val="20"/>
                <w:lang/>
              </w:rPr>
              <w:t>PA-PA</w:t>
            </w:r>
            <w:r w:rsidRPr="00DA465B">
              <w:rPr>
                <w:rFonts w:eastAsia="Times New Roman"/>
                <w:i/>
                <w:sz w:val="20"/>
                <w:szCs w:val="20"/>
                <w:shd w:val="clear" w:color="auto" w:fill="FFFFFF"/>
                <w:lang/>
              </w:rPr>
              <w:t>²</w:t>
            </w:r>
            <w:r w:rsidRPr="00DA465B">
              <w:rPr>
                <w:i/>
                <w:sz w:val="20"/>
                <w:szCs w:val="20"/>
                <w:shd w:val="clear" w:color="auto" w:fill="FFFFFF"/>
                <w:lang/>
              </w:rPr>
              <w:t xml:space="preserve"> </w:t>
            </w:r>
            <w:r w:rsidRPr="00DA465B">
              <w:rPr>
                <w:rFonts w:eastAsia="Times New Roman"/>
                <w:sz w:val="20"/>
                <w:szCs w:val="20"/>
                <w:lang/>
              </w:rPr>
              <w:t xml:space="preserve">Joint Test </w:t>
            </w:r>
            <w:r w:rsidRPr="00DA465B">
              <w:rPr>
                <w:sz w:val="20"/>
                <w:szCs w:val="20"/>
                <w:lang/>
              </w:rPr>
              <w:t>p-value</w:t>
            </w:r>
          </w:p>
        </w:tc>
        <w:tc>
          <w:tcPr>
            <w:tcW w:w="616" w:type="pct"/>
            <w:tcBorders>
              <w:top w:val="nil"/>
              <w:left w:val="nil"/>
              <w:bottom w:val="single" w:sz="4" w:space="0" w:color="auto"/>
              <w:right w:val="nil"/>
            </w:tcBorders>
          </w:tcPr>
          <w:p w14:paraId="55B01875" w14:textId="77777777" w:rsidR="00CD4846" w:rsidRPr="00DA465B" w:rsidRDefault="00CD4846" w:rsidP="00DA465B">
            <w:pPr>
              <w:spacing w:line="240" w:lineRule="auto"/>
              <w:rPr>
                <w:sz w:val="20"/>
                <w:szCs w:val="20"/>
                <w:lang/>
              </w:rPr>
            </w:pPr>
            <w:r w:rsidRPr="00DA465B">
              <w:rPr>
                <w:sz w:val="20"/>
                <w:szCs w:val="20"/>
                <w:lang/>
              </w:rPr>
              <w:t>0.0001</w:t>
            </w:r>
          </w:p>
        </w:tc>
        <w:tc>
          <w:tcPr>
            <w:tcW w:w="629" w:type="pct"/>
            <w:tcBorders>
              <w:top w:val="nil"/>
              <w:left w:val="nil"/>
              <w:bottom w:val="single" w:sz="4" w:space="0" w:color="auto"/>
              <w:right w:val="nil"/>
            </w:tcBorders>
          </w:tcPr>
          <w:p w14:paraId="5FA71CD0" w14:textId="77777777" w:rsidR="00CD4846" w:rsidRPr="00DA465B" w:rsidRDefault="00CD4846" w:rsidP="00DA465B">
            <w:pPr>
              <w:spacing w:line="240" w:lineRule="auto"/>
              <w:rPr>
                <w:sz w:val="20"/>
                <w:szCs w:val="20"/>
                <w:lang/>
              </w:rPr>
            </w:pPr>
            <w:r w:rsidRPr="00DA465B">
              <w:rPr>
                <w:sz w:val="20"/>
                <w:szCs w:val="20"/>
                <w:lang/>
              </w:rPr>
              <w:t>0.0499</w:t>
            </w:r>
          </w:p>
        </w:tc>
        <w:tc>
          <w:tcPr>
            <w:tcW w:w="657" w:type="pct"/>
            <w:tcBorders>
              <w:top w:val="nil"/>
              <w:left w:val="nil"/>
              <w:bottom w:val="single" w:sz="4" w:space="0" w:color="auto"/>
              <w:right w:val="nil"/>
            </w:tcBorders>
          </w:tcPr>
          <w:p w14:paraId="29094F60" w14:textId="77777777" w:rsidR="00CD4846" w:rsidRPr="00DA465B" w:rsidRDefault="00CD4846" w:rsidP="00DA465B">
            <w:pPr>
              <w:spacing w:line="240" w:lineRule="auto"/>
              <w:rPr>
                <w:sz w:val="20"/>
                <w:szCs w:val="20"/>
                <w:lang/>
              </w:rPr>
            </w:pPr>
            <w:r w:rsidRPr="00DA465B">
              <w:rPr>
                <w:sz w:val="20"/>
                <w:szCs w:val="20"/>
                <w:lang/>
              </w:rPr>
              <w:t>0.1545</w:t>
            </w:r>
          </w:p>
        </w:tc>
        <w:tc>
          <w:tcPr>
            <w:tcW w:w="657" w:type="pct"/>
            <w:tcBorders>
              <w:top w:val="nil"/>
              <w:left w:val="nil"/>
              <w:bottom w:val="single" w:sz="4" w:space="0" w:color="auto"/>
              <w:right w:val="nil"/>
            </w:tcBorders>
          </w:tcPr>
          <w:p w14:paraId="6536DA5C" w14:textId="77777777" w:rsidR="00CD4846" w:rsidRPr="00DA465B" w:rsidRDefault="00CD4846" w:rsidP="00DA465B">
            <w:pPr>
              <w:spacing w:line="240" w:lineRule="auto"/>
              <w:rPr>
                <w:sz w:val="20"/>
                <w:szCs w:val="20"/>
                <w:lang/>
              </w:rPr>
            </w:pPr>
            <w:r w:rsidRPr="00DA465B">
              <w:rPr>
                <w:sz w:val="20"/>
                <w:szCs w:val="20"/>
                <w:lang/>
              </w:rPr>
              <w:t>0.0040</w:t>
            </w:r>
          </w:p>
        </w:tc>
        <w:tc>
          <w:tcPr>
            <w:tcW w:w="796" w:type="pct"/>
            <w:tcBorders>
              <w:top w:val="nil"/>
              <w:left w:val="nil"/>
              <w:bottom w:val="single" w:sz="4" w:space="0" w:color="auto"/>
              <w:right w:val="nil"/>
            </w:tcBorders>
          </w:tcPr>
          <w:p w14:paraId="0463D604" w14:textId="77777777" w:rsidR="00CD4846" w:rsidRPr="00DA465B" w:rsidRDefault="00CD4846" w:rsidP="00DA465B">
            <w:pPr>
              <w:spacing w:line="240" w:lineRule="auto"/>
              <w:rPr>
                <w:sz w:val="20"/>
                <w:szCs w:val="20"/>
                <w:lang/>
              </w:rPr>
            </w:pPr>
            <w:r w:rsidRPr="00DA465B">
              <w:rPr>
                <w:sz w:val="20"/>
                <w:szCs w:val="20"/>
                <w:lang/>
              </w:rPr>
              <w:t>0.1089</w:t>
            </w:r>
          </w:p>
        </w:tc>
      </w:tr>
    </w:tbl>
    <w:p w14:paraId="37669863" w14:textId="3A267A04" w:rsidR="00CD4846" w:rsidRPr="00CD4846" w:rsidRDefault="00CD4846" w:rsidP="00DA465B">
      <w:pPr>
        <w:spacing w:line="240" w:lineRule="auto"/>
        <w:rPr>
          <w:rFonts w:eastAsia="Times New Roman"/>
          <w:color w:val="44546A"/>
          <w:sz w:val="18"/>
          <w:szCs w:val="18"/>
          <w:lang/>
        </w:rPr>
      </w:pPr>
      <w:r w:rsidRPr="00DA465B">
        <w:rPr>
          <w:sz w:val="20"/>
          <w:szCs w:val="20"/>
          <w:lang/>
        </w:rPr>
        <w:t>Table A</w:t>
      </w:r>
      <w:r w:rsidRPr="00DA465B">
        <w:rPr>
          <w:sz w:val="20"/>
          <w:szCs w:val="20"/>
          <w:lang/>
        </w:rPr>
        <w:t>23</w:t>
      </w:r>
      <w:r w:rsidRPr="00DA465B">
        <w:rPr>
          <w:sz w:val="20"/>
          <w:szCs w:val="20"/>
          <w:lang/>
        </w:rPr>
        <w:t xml:space="preserve">: PPMLHDFE regression results on establishment </w:t>
      </w:r>
      <w:r w:rsidRPr="00DA465B">
        <w:rPr>
          <w:sz w:val="20"/>
          <w:szCs w:val="20"/>
          <w:lang/>
        </w:rPr>
        <w:t xml:space="preserve">deaths </w:t>
      </w:r>
      <w:r w:rsidRPr="00DA465B">
        <w:rPr>
          <w:sz w:val="20"/>
          <w:szCs w:val="20"/>
          <w:lang/>
        </w:rPr>
        <w:t xml:space="preserve">under </w:t>
      </w:r>
      <w:r w:rsidRPr="00DA465B">
        <w:rPr>
          <w:sz w:val="20"/>
          <w:szCs w:val="20"/>
          <w:lang/>
        </w:rPr>
        <w:t>strict</w:t>
      </w:r>
      <w:r w:rsidRPr="00DA465B">
        <w:rPr>
          <w:sz w:val="20"/>
          <w:szCs w:val="20"/>
          <w:lang/>
        </w:rPr>
        <w:t xml:space="preserve"> PADs (GAP 1-</w:t>
      </w:r>
      <w:r w:rsidRPr="00DA465B">
        <w:rPr>
          <w:sz w:val="20"/>
          <w:szCs w:val="20"/>
          <w:lang/>
        </w:rPr>
        <w:t>2</w:t>
      </w:r>
      <w:r w:rsidRPr="00DA465B">
        <w:rPr>
          <w:sz w:val="20"/>
          <w:szCs w:val="20"/>
          <w:lang/>
        </w:rPr>
        <w:t xml:space="preserve">) are presented above. Column names correspond to a specific NAICS sector. </w:t>
      </w:r>
      <w:r w:rsidR="002A78A3" w:rsidRPr="00C624DB">
        <w:rPr>
          <w:sz w:val="20"/>
          <w:szCs w:val="20"/>
          <w:lang/>
        </w:rPr>
        <w:t xml:space="preserve">Standard errors are </w:t>
      </w:r>
      <w:r w:rsidR="002A78A3">
        <w:rPr>
          <w:sz w:val="20"/>
          <w:szCs w:val="20"/>
          <w:lang/>
        </w:rPr>
        <w:t xml:space="preserve">in parentheses and are </w:t>
      </w:r>
      <w:r w:rsidR="002A78A3" w:rsidRPr="00C624DB">
        <w:rPr>
          <w:sz w:val="20"/>
          <w:szCs w:val="20"/>
          <w:lang/>
        </w:rPr>
        <w:t xml:space="preserve">clustered at the county level. </w:t>
      </w:r>
      <w:r w:rsidR="002A78A3" w:rsidRPr="002C0F11">
        <w:rPr>
          <w:sz w:val="20"/>
          <w:szCs w:val="20"/>
          <w:lang/>
        </w:rPr>
        <w:t>Statistically significant impacts are denoted by asterisks. These asterisks denote statistical significance at the following levels: ***p &lt; 0.01, **p &lt; 0.05, *p &lt; 0.1.</w:t>
      </w:r>
      <w:r w:rsidR="002A78A3">
        <w:rPr>
          <w:sz w:val="20"/>
          <w:szCs w:val="20"/>
          <w:lang/>
        </w:rPr>
        <w:t xml:space="preserve"> </w:t>
      </w:r>
      <w:r w:rsidRPr="00DA465B">
        <w:rPr>
          <w:sz w:val="20"/>
          <w:szCs w:val="20"/>
          <w:lang/>
        </w:rPr>
        <w:t>p-values of joint-tests on linear and quadratic PAD terms are shown in the last row.</w:t>
      </w:r>
    </w:p>
    <w:p w14:paraId="75F0DFEF" w14:textId="77777777" w:rsidR="00CD4846" w:rsidRPr="002A6CED" w:rsidRDefault="00CD4846" w:rsidP="00095E25">
      <w:pPr>
        <w:pStyle w:val="Title"/>
      </w:pPr>
      <w:r w:rsidRPr="00CD4846">
        <w:rPr>
          <w:rFonts w:hAnsi="Garamond"/>
          <w:sz w:val="20"/>
          <w:szCs w:val="20"/>
        </w:rPr>
        <w:br w:type="page"/>
      </w:r>
      <w:bookmarkStart w:id="299" w:name="_Toc186799428"/>
      <w:bookmarkStart w:id="300" w:name="_Toc188359629"/>
      <w:bookmarkStart w:id="301" w:name="_Toc188359917"/>
      <w:bookmarkStart w:id="302" w:name="_Toc188361153"/>
      <w:bookmarkStart w:id="303" w:name="_Toc188366997"/>
      <w:r w:rsidRPr="002A6CED">
        <w:lastRenderedPageBreak/>
        <w:t>Table A24: Regression Results of Strict PADs on Outward Relocations</w:t>
      </w:r>
      <w:bookmarkEnd w:id="299"/>
      <w:bookmarkEnd w:id="300"/>
      <w:bookmarkEnd w:id="301"/>
      <w:bookmarkEnd w:id="302"/>
      <w:bookmarkEnd w:id="303"/>
    </w:p>
    <w:tbl>
      <w:tblPr>
        <w:tblW w:w="5000" w:type="pct"/>
        <w:tblLook w:val="04A0" w:firstRow="1" w:lastRow="0" w:firstColumn="1" w:lastColumn="0" w:noHBand="0" w:noVBand="1"/>
      </w:tblPr>
      <w:tblGrid>
        <w:gridCol w:w="2737"/>
        <w:gridCol w:w="1271"/>
        <w:gridCol w:w="1271"/>
        <w:gridCol w:w="1271"/>
        <w:gridCol w:w="1271"/>
        <w:gridCol w:w="1539"/>
      </w:tblGrid>
      <w:tr w:rsidR="00CD4846" w:rsidRPr="00CD4846" w14:paraId="42341949" w14:textId="77777777" w:rsidTr="00B82EB9">
        <w:tc>
          <w:tcPr>
            <w:tcW w:w="1462" w:type="pct"/>
            <w:tcBorders>
              <w:top w:val="single" w:sz="4" w:space="0" w:color="auto"/>
              <w:left w:val="nil"/>
              <w:bottom w:val="single" w:sz="4" w:space="0" w:color="auto"/>
              <w:right w:val="nil"/>
            </w:tcBorders>
          </w:tcPr>
          <w:p w14:paraId="34CBC917" w14:textId="325AC0A1" w:rsidR="00CD4846" w:rsidRPr="00DA465B" w:rsidRDefault="00CD4846" w:rsidP="00DA465B">
            <w:pPr>
              <w:widowControl w:val="0"/>
              <w:autoSpaceDE w:val="0"/>
              <w:autoSpaceDN w:val="0"/>
              <w:adjustRightInd w:val="0"/>
              <w:spacing w:line="240" w:lineRule="auto"/>
              <w:rPr>
                <w:rFonts w:cs="Times New Roman"/>
                <w:b/>
                <w:bCs/>
                <w:kern w:val="2"/>
                <w:sz w:val="20"/>
                <w:szCs w:val="20"/>
                <w:lang/>
              </w:rPr>
            </w:pPr>
            <w:r w:rsidRPr="00DA465B">
              <w:rPr>
                <w:rFonts w:cs="Times New Roman"/>
                <w:b/>
                <w:bCs/>
                <w:kern w:val="2"/>
                <w:sz w:val="20"/>
                <w:szCs w:val="20"/>
                <w:lang/>
              </w:rPr>
              <w:t>Variable</w:t>
            </w:r>
          </w:p>
        </w:tc>
        <w:tc>
          <w:tcPr>
            <w:tcW w:w="679" w:type="pct"/>
            <w:tcBorders>
              <w:top w:val="single" w:sz="4" w:space="0" w:color="auto"/>
              <w:left w:val="nil"/>
              <w:bottom w:val="single" w:sz="4" w:space="0" w:color="auto"/>
              <w:right w:val="nil"/>
            </w:tcBorders>
          </w:tcPr>
          <w:p w14:paraId="08EE352D" w14:textId="5E9CB1DC" w:rsidR="00CD4846" w:rsidRPr="00DA465B" w:rsidRDefault="00CD4846" w:rsidP="00DA465B">
            <w:pPr>
              <w:widowControl w:val="0"/>
              <w:autoSpaceDE w:val="0"/>
              <w:autoSpaceDN w:val="0"/>
              <w:adjustRightInd w:val="0"/>
              <w:spacing w:line="240" w:lineRule="auto"/>
              <w:rPr>
                <w:rFonts w:cs="Times New Roman"/>
                <w:b/>
                <w:bCs/>
                <w:kern w:val="2"/>
                <w:sz w:val="20"/>
                <w:szCs w:val="20"/>
                <w:lang/>
              </w:rPr>
            </w:pPr>
            <w:r w:rsidRPr="00DA465B">
              <w:rPr>
                <w:rFonts w:cs="Times New Roman"/>
                <w:b/>
                <w:bCs/>
                <w:kern w:val="2"/>
                <w:sz w:val="20"/>
                <w:szCs w:val="20"/>
                <w:lang/>
              </w:rPr>
              <w:t>NAICS 11</w:t>
            </w:r>
          </w:p>
        </w:tc>
        <w:tc>
          <w:tcPr>
            <w:tcW w:w="679" w:type="pct"/>
            <w:tcBorders>
              <w:top w:val="single" w:sz="4" w:space="0" w:color="auto"/>
              <w:left w:val="nil"/>
              <w:bottom w:val="single" w:sz="4" w:space="0" w:color="auto"/>
              <w:right w:val="nil"/>
            </w:tcBorders>
          </w:tcPr>
          <w:p w14:paraId="357AAD34" w14:textId="3C6028CD" w:rsidR="00CD4846" w:rsidRPr="00DA465B" w:rsidRDefault="00CD4846" w:rsidP="00DA465B">
            <w:pPr>
              <w:widowControl w:val="0"/>
              <w:autoSpaceDE w:val="0"/>
              <w:autoSpaceDN w:val="0"/>
              <w:adjustRightInd w:val="0"/>
              <w:spacing w:line="240" w:lineRule="auto"/>
              <w:rPr>
                <w:rFonts w:cs="Times New Roman"/>
                <w:b/>
                <w:bCs/>
                <w:kern w:val="2"/>
                <w:sz w:val="20"/>
                <w:szCs w:val="20"/>
                <w:lang/>
              </w:rPr>
            </w:pPr>
            <w:r w:rsidRPr="00DA465B">
              <w:rPr>
                <w:rFonts w:cs="Times New Roman"/>
                <w:b/>
                <w:bCs/>
                <w:kern w:val="2"/>
                <w:sz w:val="20"/>
                <w:szCs w:val="20"/>
                <w:lang/>
              </w:rPr>
              <w:t>NAICS 21</w:t>
            </w:r>
          </w:p>
        </w:tc>
        <w:tc>
          <w:tcPr>
            <w:tcW w:w="679" w:type="pct"/>
            <w:tcBorders>
              <w:top w:val="single" w:sz="4" w:space="0" w:color="auto"/>
              <w:left w:val="nil"/>
              <w:bottom w:val="single" w:sz="4" w:space="0" w:color="auto"/>
              <w:right w:val="nil"/>
            </w:tcBorders>
          </w:tcPr>
          <w:p w14:paraId="3E538406" w14:textId="500A1F2E" w:rsidR="00CD4846" w:rsidRPr="00DA465B" w:rsidRDefault="00CD4846" w:rsidP="00DA465B">
            <w:pPr>
              <w:widowControl w:val="0"/>
              <w:autoSpaceDE w:val="0"/>
              <w:autoSpaceDN w:val="0"/>
              <w:adjustRightInd w:val="0"/>
              <w:spacing w:line="240" w:lineRule="auto"/>
              <w:rPr>
                <w:rFonts w:cs="Times New Roman"/>
                <w:b/>
                <w:bCs/>
                <w:kern w:val="2"/>
                <w:sz w:val="20"/>
                <w:szCs w:val="20"/>
                <w:lang/>
              </w:rPr>
            </w:pPr>
            <w:r w:rsidRPr="00DA465B">
              <w:rPr>
                <w:rFonts w:cs="Times New Roman"/>
                <w:b/>
                <w:bCs/>
                <w:kern w:val="2"/>
                <w:sz w:val="20"/>
                <w:szCs w:val="20"/>
                <w:lang/>
              </w:rPr>
              <w:t>NAICS 22</w:t>
            </w:r>
          </w:p>
        </w:tc>
        <w:tc>
          <w:tcPr>
            <w:tcW w:w="679" w:type="pct"/>
            <w:tcBorders>
              <w:top w:val="single" w:sz="4" w:space="0" w:color="auto"/>
              <w:left w:val="nil"/>
              <w:bottom w:val="single" w:sz="4" w:space="0" w:color="auto"/>
              <w:right w:val="nil"/>
            </w:tcBorders>
          </w:tcPr>
          <w:p w14:paraId="24FCB5BE" w14:textId="2F5B1854" w:rsidR="00CD4846" w:rsidRPr="00DA465B" w:rsidRDefault="00CD4846" w:rsidP="00DA465B">
            <w:pPr>
              <w:widowControl w:val="0"/>
              <w:autoSpaceDE w:val="0"/>
              <w:autoSpaceDN w:val="0"/>
              <w:adjustRightInd w:val="0"/>
              <w:spacing w:line="240" w:lineRule="auto"/>
              <w:rPr>
                <w:rFonts w:cs="Times New Roman"/>
                <w:b/>
                <w:bCs/>
                <w:kern w:val="2"/>
                <w:sz w:val="20"/>
                <w:szCs w:val="20"/>
                <w:lang/>
              </w:rPr>
            </w:pPr>
            <w:r w:rsidRPr="00DA465B">
              <w:rPr>
                <w:rFonts w:cs="Times New Roman"/>
                <w:b/>
                <w:bCs/>
                <w:kern w:val="2"/>
                <w:sz w:val="20"/>
                <w:szCs w:val="20"/>
                <w:lang/>
              </w:rPr>
              <w:t>NAICS 23</w:t>
            </w:r>
          </w:p>
        </w:tc>
        <w:tc>
          <w:tcPr>
            <w:tcW w:w="822" w:type="pct"/>
            <w:tcBorders>
              <w:top w:val="single" w:sz="4" w:space="0" w:color="auto"/>
              <w:left w:val="nil"/>
              <w:bottom w:val="single" w:sz="4" w:space="0" w:color="auto"/>
              <w:right w:val="nil"/>
            </w:tcBorders>
          </w:tcPr>
          <w:p w14:paraId="0DD51284" w14:textId="54C12894" w:rsidR="00CD4846" w:rsidRPr="00DA465B" w:rsidRDefault="00CD4846" w:rsidP="00DA465B">
            <w:pPr>
              <w:widowControl w:val="0"/>
              <w:autoSpaceDE w:val="0"/>
              <w:autoSpaceDN w:val="0"/>
              <w:adjustRightInd w:val="0"/>
              <w:spacing w:line="240" w:lineRule="auto"/>
              <w:rPr>
                <w:rFonts w:cs="Times New Roman"/>
                <w:b/>
                <w:bCs/>
                <w:kern w:val="2"/>
                <w:sz w:val="20"/>
                <w:szCs w:val="20"/>
                <w:lang/>
              </w:rPr>
            </w:pPr>
            <w:r w:rsidRPr="00DA465B">
              <w:rPr>
                <w:rFonts w:cs="Times New Roman"/>
                <w:b/>
                <w:bCs/>
                <w:kern w:val="2"/>
                <w:sz w:val="20"/>
                <w:szCs w:val="20"/>
                <w:lang/>
              </w:rPr>
              <w:t>NAICS 31-33</w:t>
            </w:r>
          </w:p>
        </w:tc>
      </w:tr>
      <w:tr w:rsidR="00CD4846" w:rsidRPr="00CD4846" w14:paraId="5E1B9233" w14:textId="77777777" w:rsidTr="00B82EB9">
        <w:tc>
          <w:tcPr>
            <w:tcW w:w="1462" w:type="pct"/>
            <w:tcBorders>
              <w:top w:val="single" w:sz="4" w:space="0" w:color="auto"/>
              <w:left w:val="nil"/>
              <w:bottom w:val="nil"/>
              <w:right w:val="nil"/>
            </w:tcBorders>
          </w:tcPr>
          <w:p w14:paraId="63BADC5C"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Strict PAD(t-1)</w:t>
            </w:r>
          </w:p>
        </w:tc>
        <w:tc>
          <w:tcPr>
            <w:tcW w:w="679" w:type="pct"/>
            <w:tcBorders>
              <w:top w:val="single" w:sz="4" w:space="0" w:color="auto"/>
              <w:left w:val="nil"/>
              <w:bottom w:val="nil"/>
              <w:right w:val="nil"/>
            </w:tcBorders>
          </w:tcPr>
          <w:p w14:paraId="12A4A345"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40.502**</w:t>
            </w:r>
          </w:p>
        </w:tc>
        <w:tc>
          <w:tcPr>
            <w:tcW w:w="679" w:type="pct"/>
            <w:tcBorders>
              <w:top w:val="single" w:sz="4" w:space="0" w:color="auto"/>
              <w:left w:val="nil"/>
              <w:bottom w:val="nil"/>
              <w:right w:val="nil"/>
            </w:tcBorders>
          </w:tcPr>
          <w:p w14:paraId="51184C7B"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-21.223***</w:t>
            </w:r>
          </w:p>
        </w:tc>
        <w:tc>
          <w:tcPr>
            <w:tcW w:w="679" w:type="pct"/>
            <w:tcBorders>
              <w:top w:val="single" w:sz="4" w:space="0" w:color="auto"/>
              <w:left w:val="nil"/>
              <w:bottom w:val="nil"/>
              <w:right w:val="nil"/>
            </w:tcBorders>
          </w:tcPr>
          <w:p w14:paraId="2C3AF04A"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-13.488</w:t>
            </w:r>
          </w:p>
        </w:tc>
        <w:tc>
          <w:tcPr>
            <w:tcW w:w="679" w:type="pct"/>
            <w:tcBorders>
              <w:top w:val="single" w:sz="4" w:space="0" w:color="auto"/>
              <w:left w:val="nil"/>
              <w:bottom w:val="nil"/>
              <w:right w:val="nil"/>
            </w:tcBorders>
          </w:tcPr>
          <w:p w14:paraId="6C21060C"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3.707**</w:t>
            </w:r>
          </w:p>
        </w:tc>
        <w:tc>
          <w:tcPr>
            <w:tcW w:w="822" w:type="pct"/>
            <w:tcBorders>
              <w:top w:val="single" w:sz="4" w:space="0" w:color="auto"/>
              <w:left w:val="nil"/>
              <w:bottom w:val="nil"/>
              <w:right w:val="nil"/>
            </w:tcBorders>
          </w:tcPr>
          <w:p w14:paraId="49F1D8EB"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3.543*</w:t>
            </w:r>
          </w:p>
        </w:tc>
      </w:tr>
      <w:tr w:rsidR="00CD4846" w:rsidRPr="00CD4846" w14:paraId="01E8E75A" w14:textId="77777777" w:rsidTr="00B82EB9">
        <w:tc>
          <w:tcPr>
            <w:tcW w:w="1462" w:type="pct"/>
            <w:tcBorders>
              <w:top w:val="nil"/>
              <w:left w:val="nil"/>
              <w:bottom w:val="nil"/>
              <w:right w:val="nil"/>
            </w:tcBorders>
          </w:tcPr>
          <w:p w14:paraId="62C49EC5" w14:textId="113E9C58" w:rsidR="00CD4846" w:rsidRPr="00DA465B" w:rsidRDefault="00CD4846" w:rsidP="00DA465B">
            <w:pPr>
              <w:widowControl w:val="0"/>
              <w:autoSpaceDE w:val="0"/>
              <w:autoSpaceDN w:val="0"/>
              <w:adjustRightInd w:val="0"/>
              <w:spacing w:line="240" w:lineRule="auto"/>
              <w:rPr>
                <w:rFonts w:cs="Times New Roman"/>
                <w:kern w:val="2"/>
                <w:sz w:val="20"/>
                <w:szCs w:val="20"/>
                <w:lang/>
              </w:rPr>
            </w:pPr>
          </w:p>
        </w:tc>
        <w:tc>
          <w:tcPr>
            <w:tcW w:w="679" w:type="pct"/>
            <w:tcBorders>
              <w:top w:val="nil"/>
              <w:left w:val="nil"/>
              <w:bottom w:val="nil"/>
              <w:right w:val="nil"/>
            </w:tcBorders>
          </w:tcPr>
          <w:p w14:paraId="2C0BC927"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(19.981)</w:t>
            </w:r>
          </w:p>
        </w:tc>
        <w:tc>
          <w:tcPr>
            <w:tcW w:w="679" w:type="pct"/>
            <w:tcBorders>
              <w:top w:val="nil"/>
              <w:left w:val="nil"/>
              <w:bottom w:val="nil"/>
              <w:right w:val="nil"/>
            </w:tcBorders>
          </w:tcPr>
          <w:p w14:paraId="5B30B1FC"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(5.623)</w:t>
            </w:r>
          </w:p>
        </w:tc>
        <w:tc>
          <w:tcPr>
            <w:tcW w:w="679" w:type="pct"/>
            <w:tcBorders>
              <w:top w:val="nil"/>
              <w:left w:val="nil"/>
              <w:bottom w:val="nil"/>
              <w:right w:val="nil"/>
            </w:tcBorders>
          </w:tcPr>
          <w:p w14:paraId="7629020F"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(12.676)</w:t>
            </w:r>
          </w:p>
        </w:tc>
        <w:tc>
          <w:tcPr>
            <w:tcW w:w="679" w:type="pct"/>
            <w:tcBorders>
              <w:top w:val="nil"/>
              <w:left w:val="nil"/>
              <w:bottom w:val="nil"/>
              <w:right w:val="nil"/>
            </w:tcBorders>
          </w:tcPr>
          <w:p w14:paraId="1E4100C6"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(1.677)</w:t>
            </w:r>
          </w:p>
        </w:tc>
        <w:tc>
          <w:tcPr>
            <w:tcW w:w="822" w:type="pct"/>
            <w:tcBorders>
              <w:top w:val="nil"/>
              <w:left w:val="nil"/>
              <w:bottom w:val="nil"/>
              <w:right w:val="nil"/>
            </w:tcBorders>
          </w:tcPr>
          <w:p w14:paraId="3EC76134"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(1.809)</w:t>
            </w:r>
          </w:p>
        </w:tc>
      </w:tr>
      <w:tr w:rsidR="00CD4846" w:rsidRPr="00CD4846" w14:paraId="20AD5643" w14:textId="77777777" w:rsidTr="00B82EB9">
        <w:tc>
          <w:tcPr>
            <w:tcW w:w="1462" w:type="pct"/>
            <w:tcBorders>
              <w:top w:val="nil"/>
              <w:left w:val="nil"/>
              <w:bottom w:val="nil"/>
              <w:right w:val="nil"/>
            </w:tcBorders>
          </w:tcPr>
          <w:p w14:paraId="5F002AE8"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Strict PAD Sq. (t-1)</w:t>
            </w:r>
          </w:p>
        </w:tc>
        <w:tc>
          <w:tcPr>
            <w:tcW w:w="679" w:type="pct"/>
            <w:tcBorders>
              <w:top w:val="nil"/>
              <w:left w:val="nil"/>
              <w:bottom w:val="nil"/>
              <w:right w:val="nil"/>
            </w:tcBorders>
          </w:tcPr>
          <w:p w14:paraId="247ADD81"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-94.042*</w:t>
            </w:r>
          </w:p>
        </w:tc>
        <w:tc>
          <w:tcPr>
            <w:tcW w:w="679" w:type="pct"/>
            <w:tcBorders>
              <w:top w:val="nil"/>
              <w:left w:val="nil"/>
              <w:bottom w:val="nil"/>
              <w:right w:val="nil"/>
            </w:tcBorders>
          </w:tcPr>
          <w:p w14:paraId="18905277"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50.288***</w:t>
            </w:r>
          </w:p>
        </w:tc>
        <w:tc>
          <w:tcPr>
            <w:tcW w:w="679" w:type="pct"/>
            <w:tcBorders>
              <w:top w:val="nil"/>
              <w:left w:val="nil"/>
              <w:bottom w:val="nil"/>
              <w:right w:val="nil"/>
            </w:tcBorders>
          </w:tcPr>
          <w:p w14:paraId="73B86656"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32.571</w:t>
            </w:r>
          </w:p>
        </w:tc>
        <w:tc>
          <w:tcPr>
            <w:tcW w:w="679" w:type="pct"/>
            <w:tcBorders>
              <w:top w:val="nil"/>
              <w:left w:val="nil"/>
              <w:bottom w:val="nil"/>
              <w:right w:val="nil"/>
            </w:tcBorders>
          </w:tcPr>
          <w:p w14:paraId="043AD98C"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-6.656</w:t>
            </w:r>
          </w:p>
        </w:tc>
        <w:tc>
          <w:tcPr>
            <w:tcW w:w="822" w:type="pct"/>
            <w:tcBorders>
              <w:top w:val="nil"/>
              <w:left w:val="nil"/>
              <w:bottom w:val="nil"/>
              <w:right w:val="nil"/>
            </w:tcBorders>
          </w:tcPr>
          <w:p w14:paraId="60B87D57"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-1.326</w:t>
            </w:r>
          </w:p>
        </w:tc>
      </w:tr>
      <w:tr w:rsidR="00CD4846" w:rsidRPr="00CD4846" w14:paraId="66C41DAF" w14:textId="77777777" w:rsidTr="00B82EB9">
        <w:tc>
          <w:tcPr>
            <w:tcW w:w="1462" w:type="pct"/>
            <w:tcBorders>
              <w:top w:val="nil"/>
              <w:left w:val="nil"/>
              <w:bottom w:val="nil"/>
              <w:right w:val="nil"/>
            </w:tcBorders>
          </w:tcPr>
          <w:p w14:paraId="34D31225" w14:textId="2A00A8FF" w:rsidR="00CD4846" w:rsidRPr="00DA465B" w:rsidRDefault="00CD4846" w:rsidP="00DA465B">
            <w:pPr>
              <w:widowControl w:val="0"/>
              <w:autoSpaceDE w:val="0"/>
              <w:autoSpaceDN w:val="0"/>
              <w:adjustRightInd w:val="0"/>
              <w:spacing w:line="240" w:lineRule="auto"/>
              <w:rPr>
                <w:rFonts w:cs="Times New Roman"/>
                <w:kern w:val="2"/>
                <w:sz w:val="20"/>
                <w:szCs w:val="20"/>
                <w:lang/>
              </w:rPr>
            </w:pPr>
          </w:p>
        </w:tc>
        <w:tc>
          <w:tcPr>
            <w:tcW w:w="679" w:type="pct"/>
            <w:tcBorders>
              <w:top w:val="nil"/>
              <w:left w:val="nil"/>
              <w:bottom w:val="nil"/>
              <w:right w:val="nil"/>
            </w:tcBorders>
          </w:tcPr>
          <w:p w14:paraId="206BEC10"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(49.930)</w:t>
            </w:r>
          </w:p>
        </w:tc>
        <w:tc>
          <w:tcPr>
            <w:tcW w:w="679" w:type="pct"/>
            <w:tcBorders>
              <w:top w:val="nil"/>
              <w:left w:val="nil"/>
              <w:bottom w:val="nil"/>
              <w:right w:val="nil"/>
            </w:tcBorders>
          </w:tcPr>
          <w:p w14:paraId="674BD463"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(7.429)</w:t>
            </w:r>
          </w:p>
        </w:tc>
        <w:tc>
          <w:tcPr>
            <w:tcW w:w="679" w:type="pct"/>
            <w:tcBorders>
              <w:top w:val="nil"/>
              <w:left w:val="nil"/>
              <w:bottom w:val="nil"/>
              <w:right w:val="nil"/>
            </w:tcBorders>
          </w:tcPr>
          <w:p w14:paraId="631FCB1B"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(42.759)</w:t>
            </w:r>
          </w:p>
        </w:tc>
        <w:tc>
          <w:tcPr>
            <w:tcW w:w="679" w:type="pct"/>
            <w:tcBorders>
              <w:top w:val="nil"/>
              <w:left w:val="nil"/>
              <w:bottom w:val="nil"/>
              <w:right w:val="nil"/>
            </w:tcBorders>
          </w:tcPr>
          <w:p w14:paraId="55BFAF49"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(4.528)</w:t>
            </w:r>
          </w:p>
        </w:tc>
        <w:tc>
          <w:tcPr>
            <w:tcW w:w="822" w:type="pct"/>
            <w:tcBorders>
              <w:top w:val="nil"/>
              <w:left w:val="nil"/>
              <w:bottom w:val="nil"/>
              <w:right w:val="nil"/>
            </w:tcBorders>
          </w:tcPr>
          <w:p w14:paraId="35B4739D"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(4.266)</w:t>
            </w:r>
          </w:p>
        </w:tc>
      </w:tr>
      <w:tr w:rsidR="00CD4846" w:rsidRPr="00CD4846" w14:paraId="4001B53D" w14:textId="77777777" w:rsidTr="00B82EB9">
        <w:tc>
          <w:tcPr>
            <w:tcW w:w="1462" w:type="pct"/>
            <w:tcBorders>
              <w:top w:val="nil"/>
              <w:left w:val="nil"/>
              <w:bottom w:val="nil"/>
              <w:right w:val="nil"/>
            </w:tcBorders>
          </w:tcPr>
          <w:p w14:paraId="0CB39FA3" w14:textId="76600DFC"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Loc. Economies (t-1) (10ks)</w:t>
            </w:r>
          </w:p>
        </w:tc>
        <w:tc>
          <w:tcPr>
            <w:tcW w:w="679" w:type="pct"/>
            <w:tcBorders>
              <w:top w:val="nil"/>
              <w:left w:val="nil"/>
              <w:bottom w:val="nil"/>
              <w:right w:val="nil"/>
            </w:tcBorders>
          </w:tcPr>
          <w:p w14:paraId="61FFFA9E"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49.069*</w:t>
            </w:r>
          </w:p>
        </w:tc>
        <w:tc>
          <w:tcPr>
            <w:tcW w:w="679" w:type="pct"/>
            <w:tcBorders>
              <w:top w:val="nil"/>
              <w:left w:val="nil"/>
              <w:bottom w:val="nil"/>
              <w:right w:val="nil"/>
            </w:tcBorders>
          </w:tcPr>
          <w:p w14:paraId="343E6766"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11.596</w:t>
            </w:r>
          </w:p>
        </w:tc>
        <w:tc>
          <w:tcPr>
            <w:tcW w:w="679" w:type="pct"/>
            <w:tcBorders>
              <w:top w:val="nil"/>
              <w:left w:val="nil"/>
              <w:bottom w:val="nil"/>
              <w:right w:val="nil"/>
            </w:tcBorders>
          </w:tcPr>
          <w:p w14:paraId="59119263"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491.848**</w:t>
            </w:r>
          </w:p>
        </w:tc>
        <w:tc>
          <w:tcPr>
            <w:tcW w:w="679" w:type="pct"/>
            <w:tcBorders>
              <w:top w:val="nil"/>
              <w:left w:val="nil"/>
              <w:bottom w:val="nil"/>
              <w:right w:val="nil"/>
            </w:tcBorders>
          </w:tcPr>
          <w:p w14:paraId="1229D41B"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0.937***</w:t>
            </w:r>
          </w:p>
        </w:tc>
        <w:tc>
          <w:tcPr>
            <w:tcW w:w="822" w:type="pct"/>
            <w:tcBorders>
              <w:top w:val="nil"/>
              <w:left w:val="nil"/>
              <w:bottom w:val="nil"/>
              <w:right w:val="nil"/>
            </w:tcBorders>
          </w:tcPr>
          <w:p w14:paraId="69BAD81D"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0.773</w:t>
            </w:r>
          </w:p>
        </w:tc>
      </w:tr>
      <w:tr w:rsidR="00CD4846" w:rsidRPr="00CD4846" w14:paraId="3187B922" w14:textId="77777777" w:rsidTr="00B82EB9">
        <w:tc>
          <w:tcPr>
            <w:tcW w:w="1462" w:type="pct"/>
            <w:tcBorders>
              <w:top w:val="nil"/>
              <w:left w:val="nil"/>
              <w:bottom w:val="nil"/>
              <w:right w:val="nil"/>
            </w:tcBorders>
          </w:tcPr>
          <w:p w14:paraId="1C92C3CC" w14:textId="5E056419" w:rsidR="00CD4846" w:rsidRPr="00DA465B" w:rsidRDefault="00CD4846" w:rsidP="00DA465B">
            <w:pPr>
              <w:widowControl w:val="0"/>
              <w:autoSpaceDE w:val="0"/>
              <w:autoSpaceDN w:val="0"/>
              <w:adjustRightInd w:val="0"/>
              <w:spacing w:line="240" w:lineRule="auto"/>
              <w:rPr>
                <w:rFonts w:cs="Times New Roman"/>
                <w:kern w:val="2"/>
                <w:sz w:val="20"/>
                <w:szCs w:val="20"/>
                <w:lang/>
              </w:rPr>
            </w:pPr>
          </w:p>
        </w:tc>
        <w:tc>
          <w:tcPr>
            <w:tcW w:w="679" w:type="pct"/>
            <w:tcBorders>
              <w:top w:val="nil"/>
              <w:left w:val="nil"/>
              <w:bottom w:val="nil"/>
              <w:right w:val="nil"/>
            </w:tcBorders>
          </w:tcPr>
          <w:p w14:paraId="456E2C65"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(28.375)</w:t>
            </w:r>
          </w:p>
        </w:tc>
        <w:tc>
          <w:tcPr>
            <w:tcW w:w="679" w:type="pct"/>
            <w:tcBorders>
              <w:top w:val="nil"/>
              <w:left w:val="nil"/>
              <w:bottom w:val="nil"/>
              <w:right w:val="nil"/>
            </w:tcBorders>
          </w:tcPr>
          <w:p w14:paraId="2EA9FCE1"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(12.770)</w:t>
            </w:r>
          </w:p>
        </w:tc>
        <w:tc>
          <w:tcPr>
            <w:tcW w:w="679" w:type="pct"/>
            <w:tcBorders>
              <w:top w:val="nil"/>
              <w:left w:val="nil"/>
              <w:bottom w:val="nil"/>
              <w:right w:val="nil"/>
            </w:tcBorders>
          </w:tcPr>
          <w:p w14:paraId="4A570394"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(218.560)</w:t>
            </w:r>
          </w:p>
        </w:tc>
        <w:tc>
          <w:tcPr>
            <w:tcW w:w="679" w:type="pct"/>
            <w:tcBorders>
              <w:top w:val="nil"/>
              <w:left w:val="nil"/>
              <w:bottom w:val="nil"/>
              <w:right w:val="nil"/>
            </w:tcBorders>
          </w:tcPr>
          <w:p w14:paraId="07311551"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(0.265)</w:t>
            </w:r>
          </w:p>
        </w:tc>
        <w:tc>
          <w:tcPr>
            <w:tcW w:w="822" w:type="pct"/>
            <w:tcBorders>
              <w:top w:val="nil"/>
              <w:left w:val="nil"/>
              <w:bottom w:val="nil"/>
              <w:right w:val="nil"/>
            </w:tcBorders>
          </w:tcPr>
          <w:p w14:paraId="010B8205"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(0.748)</w:t>
            </w:r>
          </w:p>
        </w:tc>
      </w:tr>
      <w:tr w:rsidR="00CD4846" w:rsidRPr="00CD4846" w14:paraId="3159CD3C" w14:textId="77777777" w:rsidTr="00B82EB9">
        <w:tc>
          <w:tcPr>
            <w:tcW w:w="1462" w:type="pct"/>
            <w:tcBorders>
              <w:top w:val="nil"/>
              <w:left w:val="nil"/>
              <w:bottom w:val="nil"/>
              <w:right w:val="nil"/>
            </w:tcBorders>
          </w:tcPr>
          <w:p w14:paraId="3ED6137C" w14:textId="0FDDEE20"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Median HH Income (100ks)</w:t>
            </w:r>
          </w:p>
        </w:tc>
        <w:tc>
          <w:tcPr>
            <w:tcW w:w="679" w:type="pct"/>
            <w:tcBorders>
              <w:top w:val="nil"/>
              <w:left w:val="nil"/>
              <w:bottom w:val="nil"/>
              <w:right w:val="nil"/>
            </w:tcBorders>
          </w:tcPr>
          <w:p w14:paraId="35B661FD"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2.839</w:t>
            </w:r>
          </w:p>
        </w:tc>
        <w:tc>
          <w:tcPr>
            <w:tcW w:w="679" w:type="pct"/>
            <w:tcBorders>
              <w:top w:val="nil"/>
              <w:left w:val="nil"/>
              <w:bottom w:val="nil"/>
              <w:right w:val="nil"/>
            </w:tcBorders>
          </w:tcPr>
          <w:p w14:paraId="30D9F24A"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-4.726**</w:t>
            </w:r>
          </w:p>
        </w:tc>
        <w:tc>
          <w:tcPr>
            <w:tcW w:w="679" w:type="pct"/>
            <w:tcBorders>
              <w:top w:val="nil"/>
              <w:left w:val="nil"/>
              <w:bottom w:val="nil"/>
              <w:right w:val="nil"/>
            </w:tcBorders>
          </w:tcPr>
          <w:p w14:paraId="3430D062"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0.564</w:t>
            </w:r>
          </w:p>
        </w:tc>
        <w:tc>
          <w:tcPr>
            <w:tcW w:w="679" w:type="pct"/>
            <w:tcBorders>
              <w:top w:val="nil"/>
              <w:left w:val="nil"/>
              <w:bottom w:val="nil"/>
              <w:right w:val="nil"/>
            </w:tcBorders>
          </w:tcPr>
          <w:p w14:paraId="4FB70EBA"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-0.369</w:t>
            </w:r>
          </w:p>
        </w:tc>
        <w:tc>
          <w:tcPr>
            <w:tcW w:w="822" w:type="pct"/>
            <w:tcBorders>
              <w:top w:val="nil"/>
              <w:left w:val="nil"/>
              <w:bottom w:val="nil"/>
              <w:right w:val="nil"/>
            </w:tcBorders>
          </w:tcPr>
          <w:p w14:paraId="3CBCC837"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0.047</w:t>
            </w:r>
          </w:p>
        </w:tc>
      </w:tr>
      <w:tr w:rsidR="00CD4846" w:rsidRPr="00CD4846" w14:paraId="1F74A0DF" w14:textId="77777777" w:rsidTr="00B82EB9">
        <w:tc>
          <w:tcPr>
            <w:tcW w:w="1462" w:type="pct"/>
            <w:tcBorders>
              <w:top w:val="nil"/>
              <w:left w:val="nil"/>
              <w:bottom w:val="nil"/>
              <w:right w:val="nil"/>
            </w:tcBorders>
          </w:tcPr>
          <w:p w14:paraId="5D2335CF" w14:textId="5004E956" w:rsidR="00CD4846" w:rsidRPr="00DA465B" w:rsidRDefault="00CD4846" w:rsidP="00DA465B">
            <w:pPr>
              <w:widowControl w:val="0"/>
              <w:autoSpaceDE w:val="0"/>
              <w:autoSpaceDN w:val="0"/>
              <w:adjustRightInd w:val="0"/>
              <w:spacing w:line="240" w:lineRule="auto"/>
              <w:rPr>
                <w:rFonts w:cs="Times New Roman"/>
                <w:kern w:val="2"/>
                <w:sz w:val="20"/>
                <w:szCs w:val="20"/>
                <w:lang/>
              </w:rPr>
            </w:pPr>
          </w:p>
        </w:tc>
        <w:tc>
          <w:tcPr>
            <w:tcW w:w="679" w:type="pct"/>
            <w:tcBorders>
              <w:top w:val="nil"/>
              <w:left w:val="nil"/>
              <w:bottom w:val="nil"/>
              <w:right w:val="nil"/>
            </w:tcBorders>
          </w:tcPr>
          <w:p w14:paraId="2AD43D30"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(2.235)</w:t>
            </w:r>
          </w:p>
        </w:tc>
        <w:tc>
          <w:tcPr>
            <w:tcW w:w="679" w:type="pct"/>
            <w:tcBorders>
              <w:top w:val="nil"/>
              <w:left w:val="nil"/>
              <w:bottom w:val="nil"/>
              <w:right w:val="nil"/>
            </w:tcBorders>
          </w:tcPr>
          <w:p w14:paraId="2B3C1F00"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(2.344)</w:t>
            </w:r>
          </w:p>
        </w:tc>
        <w:tc>
          <w:tcPr>
            <w:tcW w:w="679" w:type="pct"/>
            <w:tcBorders>
              <w:top w:val="nil"/>
              <w:left w:val="nil"/>
              <w:bottom w:val="nil"/>
              <w:right w:val="nil"/>
            </w:tcBorders>
          </w:tcPr>
          <w:p w14:paraId="3C7DFE32"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(2.937)</w:t>
            </w:r>
          </w:p>
        </w:tc>
        <w:tc>
          <w:tcPr>
            <w:tcW w:w="679" w:type="pct"/>
            <w:tcBorders>
              <w:top w:val="nil"/>
              <w:left w:val="nil"/>
              <w:bottom w:val="nil"/>
              <w:right w:val="nil"/>
            </w:tcBorders>
          </w:tcPr>
          <w:p w14:paraId="488D8AAC"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(0.330)</w:t>
            </w:r>
          </w:p>
        </w:tc>
        <w:tc>
          <w:tcPr>
            <w:tcW w:w="822" w:type="pct"/>
            <w:tcBorders>
              <w:top w:val="nil"/>
              <w:left w:val="nil"/>
              <w:bottom w:val="nil"/>
              <w:right w:val="nil"/>
            </w:tcBorders>
          </w:tcPr>
          <w:p w14:paraId="790DBF66"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(0.530)</w:t>
            </w:r>
          </w:p>
        </w:tc>
      </w:tr>
      <w:tr w:rsidR="00CD4846" w:rsidRPr="00CD4846" w14:paraId="2BA93EE2" w14:textId="77777777" w:rsidTr="00B82EB9">
        <w:tc>
          <w:tcPr>
            <w:tcW w:w="1462" w:type="pct"/>
            <w:tcBorders>
              <w:top w:val="nil"/>
              <w:left w:val="nil"/>
              <w:bottom w:val="nil"/>
              <w:right w:val="nil"/>
            </w:tcBorders>
          </w:tcPr>
          <w:p w14:paraId="584C4561" w14:textId="67786C6B"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Housing Price Index (100s)</w:t>
            </w:r>
          </w:p>
        </w:tc>
        <w:tc>
          <w:tcPr>
            <w:tcW w:w="679" w:type="pct"/>
            <w:tcBorders>
              <w:top w:val="nil"/>
              <w:left w:val="nil"/>
              <w:bottom w:val="nil"/>
              <w:right w:val="nil"/>
            </w:tcBorders>
          </w:tcPr>
          <w:p w14:paraId="010E8730"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-0.134</w:t>
            </w:r>
          </w:p>
        </w:tc>
        <w:tc>
          <w:tcPr>
            <w:tcW w:w="679" w:type="pct"/>
            <w:tcBorders>
              <w:top w:val="nil"/>
              <w:left w:val="nil"/>
              <w:bottom w:val="nil"/>
              <w:right w:val="nil"/>
            </w:tcBorders>
          </w:tcPr>
          <w:p w14:paraId="2564F3F6"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0.077</w:t>
            </w:r>
          </w:p>
        </w:tc>
        <w:tc>
          <w:tcPr>
            <w:tcW w:w="679" w:type="pct"/>
            <w:tcBorders>
              <w:top w:val="nil"/>
              <w:left w:val="nil"/>
              <w:bottom w:val="nil"/>
              <w:right w:val="nil"/>
            </w:tcBorders>
          </w:tcPr>
          <w:p w14:paraId="2CEFEEB3"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-0.353*</w:t>
            </w:r>
          </w:p>
        </w:tc>
        <w:tc>
          <w:tcPr>
            <w:tcW w:w="679" w:type="pct"/>
            <w:tcBorders>
              <w:top w:val="nil"/>
              <w:left w:val="nil"/>
              <w:bottom w:val="nil"/>
              <w:right w:val="nil"/>
            </w:tcBorders>
          </w:tcPr>
          <w:p w14:paraId="0BA50F34"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0.081***</w:t>
            </w:r>
          </w:p>
        </w:tc>
        <w:tc>
          <w:tcPr>
            <w:tcW w:w="822" w:type="pct"/>
            <w:tcBorders>
              <w:top w:val="nil"/>
              <w:left w:val="nil"/>
              <w:bottom w:val="nil"/>
              <w:right w:val="nil"/>
            </w:tcBorders>
          </w:tcPr>
          <w:p w14:paraId="5644E244"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-0.036</w:t>
            </w:r>
          </w:p>
        </w:tc>
      </w:tr>
      <w:tr w:rsidR="00CD4846" w:rsidRPr="00CD4846" w14:paraId="256DCA40" w14:textId="77777777" w:rsidTr="00B82EB9">
        <w:tc>
          <w:tcPr>
            <w:tcW w:w="1462" w:type="pct"/>
            <w:tcBorders>
              <w:top w:val="nil"/>
              <w:left w:val="nil"/>
              <w:bottom w:val="nil"/>
              <w:right w:val="nil"/>
            </w:tcBorders>
          </w:tcPr>
          <w:p w14:paraId="16DE1CC0" w14:textId="11E43F75" w:rsidR="00CD4846" w:rsidRPr="00DA465B" w:rsidRDefault="00CD4846" w:rsidP="00DA465B">
            <w:pPr>
              <w:widowControl w:val="0"/>
              <w:autoSpaceDE w:val="0"/>
              <w:autoSpaceDN w:val="0"/>
              <w:adjustRightInd w:val="0"/>
              <w:spacing w:line="240" w:lineRule="auto"/>
              <w:rPr>
                <w:rFonts w:cs="Times New Roman"/>
                <w:kern w:val="2"/>
                <w:sz w:val="20"/>
                <w:szCs w:val="20"/>
                <w:lang/>
              </w:rPr>
            </w:pPr>
          </w:p>
        </w:tc>
        <w:tc>
          <w:tcPr>
            <w:tcW w:w="679" w:type="pct"/>
            <w:tcBorders>
              <w:top w:val="nil"/>
              <w:left w:val="nil"/>
              <w:bottom w:val="nil"/>
              <w:right w:val="nil"/>
            </w:tcBorders>
          </w:tcPr>
          <w:p w14:paraId="6201B183"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(0.142)</w:t>
            </w:r>
          </w:p>
        </w:tc>
        <w:tc>
          <w:tcPr>
            <w:tcW w:w="679" w:type="pct"/>
            <w:tcBorders>
              <w:top w:val="nil"/>
              <w:left w:val="nil"/>
              <w:bottom w:val="nil"/>
              <w:right w:val="nil"/>
            </w:tcBorders>
          </w:tcPr>
          <w:p w14:paraId="7603DE88"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(0.160)</w:t>
            </w:r>
          </w:p>
        </w:tc>
        <w:tc>
          <w:tcPr>
            <w:tcW w:w="679" w:type="pct"/>
            <w:tcBorders>
              <w:top w:val="nil"/>
              <w:left w:val="nil"/>
              <w:bottom w:val="nil"/>
              <w:right w:val="nil"/>
            </w:tcBorders>
          </w:tcPr>
          <w:p w14:paraId="0D7CEF7C"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(0.197)</w:t>
            </w:r>
          </w:p>
        </w:tc>
        <w:tc>
          <w:tcPr>
            <w:tcW w:w="679" w:type="pct"/>
            <w:tcBorders>
              <w:top w:val="nil"/>
              <w:left w:val="nil"/>
              <w:bottom w:val="nil"/>
              <w:right w:val="nil"/>
            </w:tcBorders>
          </w:tcPr>
          <w:p w14:paraId="0CFC2711"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(0.024)</w:t>
            </w:r>
          </w:p>
        </w:tc>
        <w:tc>
          <w:tcPr>
            <w:tcW w:w="822" w:type="pct"/>
            <w:tcBorders>
              <w:top w:val="nil"/>
              <w:left w:val="nil"/>
              <w:bottom w:val="nil"/>
              <w:right w:val="nil"/>
            </w:tcBorders>
          </w:tcPr>
          <w:p w14:paraId="40736170"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(0.034)</w:t>
            </w:r>
          </w:p>
        </w:tc>
      </w:tr>
      <w:tr w:rsidR="00CD4846" w:rsidRPr="00CD4846" w14:paraId="77AB2DAF" w14:textId="77777777" w:rsidTr="00B82EB9">
        <w:tc>
          <w:tcPr>
            <w:tcW w:w="1462" w:type="pct"/>
            <w:tcBorders>
              <w:top w:val="nil"/>
              <w:left w:val="nil"/>
              <w:bottom w:val="nil"/>
              <w:right w:val="nil"/>
            </w:tcBorders>
          </w:tcPr>
          <w:p w14:paraId="7FF4B471" w14:textId="7C632545"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Poverty rate (100s)</w:t>
            </w:r>
          </w:p>
        </w:tc>
        <w:tc>
          <w:tcPr>
            <w:tcW w:w="679" w:type="pct"/>
            <w:tcBorders>
              <w:top w:val="nil"/>
              <w:left w:val="nil"/>
              <w:bottom w:val="nil"/>
              <w:right w:val="nil"/>
            </w:tcBorders>
          </w:tcPr>
          <w:p w14:paraId="69BB3FEB"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-7.695**</w:t>
            </w:r>
          </w:p>
        </w:tc>
        <w:tc>
          <w:tcPr>
            <w:tcW w:w="679" w:type="pct"/>
            <w:tcBorders>
              <w:top w:val="nil"/>
              <w:left w:val="nil"/>
              <w:bottom w:val="nil"/>
              <w:right w:val="nil"/>
            </w:tcBorders>
          </w:tcPr>
          <w:p w14:paraId="4F9017BA"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-7.782*</w:t>
            </w:r>
          </w:p>
        </w:tc>
        <w:tc>
          <w:tcPr>
            <w:tcW w:w="679" w:type="pct"/>
            <w:tcBorders>
              <w:top w:val="nil"/>
              <w:left w:val="nil"/>
              <w:bottom w:val="nil"/>
              <w:right w:val="nil"/>
            </w:tcBorders>
          </w:tcPr>
          <w:p w14:paraId="65EB0FFD"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-8.027</w:t>
            </w:r>
          </w:p>
        </w:tc>
        <w:tc>
          <w:tcPr>
            <w:tcW w:w="679" w:type="pct"/>
            <w:tcBorders>
              <w:top w:val="nil"/>
              <w:left w:val="nil"/>
              <w:bottom w:val="nil"/>
              <w:right w:val="nil"/>
            </w:tcBorders>
          </w:tcPr>
          <w:p w14:paraId="05D13973"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-1.989***</w:t>
            </w:r>
          </w:p>
        </w:tc>
        <w:tc>
          <w:tcPr>
            <w:tcW w:w="822" w:type="pct"/>
            <w:tcBorders>
              <w:top w:val="nil"/>
              <w:left w:val="nil"/>
              <w:bottom w:val="nil"/>
              <w:right w:val="nil"/>
            </w:tcBorders>
          </w:tcPr>
          <w:p w14:paraId="4695B0C4"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-0.291</w:t>
            </w:r>
          </w:p>
        </w:tc>
      </w:tr>
      <w:tr w:rsidR="00CD4846" w:rsidRPr="00CD4846" w14:paraId="799488C7" w14:textId="77777777" w:rsidTr="00B82EB9">
        <w:tc>
          <w:tcPr>
            <w:tcW w:w="1462" w:type="pct"/>
            <w:tcBorders>
              <w:top w:val="nil"/>
              <w:left w:val="nil"/>
              <w:bottom w:val="nil"/>
              <w:right w:val="nil"/>
            </w:tcBorders>
          </w:tcPr>
          <w:p w14:paraId="7D0494A5" w14:textId="0299C9FF" w:rsidR="00CD4846" w:rsidRPr="00DA465B" w:rsidRDefault="00CD4846" w:rsidP="00DA465B">
            <w:pPr>
              <w:widowControl w:val="0"/>
              <w:autoSpaceDE w:val="0"/>
              <w:autoSpaceDN w:val="0"/>
              <w:adjustRightInd w:val="0"/>
              <w:spacing w:line="240" w:lineRule="auto"/>
              <w:rPr>
                <w:rFonts w:cs="Times New Roman"/>
                <w:kern w:val="2"/>
                <w:sz w:val="20"/>
                <w:szCs w:val="20"/>
                <w:lang/>
              </w:rPr>
            </w:pPr>
          </w:p>
        </w:tc>
        <w:tc>
          <w:tcPr>
            <w:tcW w:w="679" w:type="pct"/>
            <w:tcBorders>
              <w:top w:val="nil"/>
              <w:left w:val="nil"/>
              <w:bottom w:val="nil"/>
              <w:right w:val="nil"/>
            </w:tcBorders>
          </w:tcPr>
          <w:p w14:paraId="33C78ABC"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(3.790)</w:t>
            </w:r>
          </w:p>
        </w:tc>
        <w:tc>
          <w:tcPr>
            <w:tcW w:w="679" w:type="pct"/>
            <w:tcBorders>
              <w:top w:val="nil"/>
              <w:left w:val="nil"/>
              <w:bottom w:val="nil"/>
              <w:right w:val="nil"/>
            </w:tcBorders>
          </w:tcPr>
          <w:p w14:paraId="09220D77"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(4.219)</w:t>
            </w:r>
          </w:p>
        </w:tc>
        <w:tc>
          <w:tcPr>
            <w:tcW w:w="679" w:type="pct"/>
            <w:tcBorders>
              <w:top w:val="nil"/>
              <w:left w:val="nil"/>
              <w:bottom w:val="nil"/>
              <w:right w:val="nil"/>
            </w:tcBorders>
          </w:tcPr>
          <w:p w14:paraId="7A6B466C"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(5.190)</w:t>
            </w:r>
          </w:p>
        </w:tc>
        <w:tc>
          <w:tcPr>
            <w:tcW w:w="679" w:type="pct"/>
            <w:tcBorders>
              <w:top w:val="nil"/>
              <w:left w:val="nil"/>
              <w:bottom w:val="nil"/>
              <w:right w:val="nil"/>
            </w:tcBorders>
          </w:tcPr>
          <w:p w14:paraId="0079A648"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(0.645)</w:t>
            </w:r>
          </w:p>
        </w:tc>
        <w:tc>
          <w:tcPr>
            <w:tcW w:w="822" w:type="pct"/>
            <w:tcBorders>
              <w:top w:val="nil"/>
              <w:left w:val="nil"/>
              <w:bottom w:val="nil"/>
              <w:right w:val="nil"/>
            </w:tcBorders>
          </w:tcPr>
          <w:p w14:paraId="55ECD42C"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(1.009)</w:t>
            </w:r>
          </w:p>
        </w:tc>
      </w:tr>
      <w:tr w:rsidR="00CD4846" w:rsidRPr="00CD4846" w14:paraId="1C77524D" w14:textId="77777777" w:rsidTr="00B82EB9">
        <w:tc>
          <w:tcPr>
            <w:tcW w:w="1462" w:type="pct"/>
            <w:tcBorders>
              <w:top w:val="nil"/>
              <w:left w:val="nil"/>
              <w:bottom w:val="nil"/>
              <w:right w:val="nil"/>
            </w:tcBorders>
          </w:tcPr>
          <w:p w14:paraId="52503C11" w14:textId="60E6EDE9"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Avg annual wages (100k)</w:t>
            </w:r>
          </w:p>
        </w:tc>
        <w:tc>
          <w:tcPr>
            <w:tcW w:w="679" w:type="pct"/>
            <w:tcBorders>
              <w:top w:val="nil"/>
              <w:left w:val="nil"/>
              <w:bottom w:val="nil"/>
              <w:right w:val="nil"/>
            </w:tcBorders>
          </w:tcPr>
          <w:p w14:paraId="6B1D4917"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-0.068</w:t>
            </w:r>
          </w:p>
        </w:tc>
        <w:tc>
          <w:tcPr>
            <w:tcW w:w="679" w:type="pct"/>
            <w:tcBorders>
              <w:top w:val="nil"/>
              <w:left w:val="nil"/>
              <w:bottom w:val="nil"/>
              <w:right w:val="nil"/>
            </w:tcBorders>
          </w:tcPr>
          <w:p w14:paraId="5D89ED4B"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-0.005</w:t>
            </w:r>
          </w:p>
        </w:tc>
        <w:tc>
          <w:tcPr>
            <w:tcW w:w="679" w:type="pct"/>
            <w:tcBorders>
              <w:top w:val="nil"/>
              <w:left w:val="nil"/>
              <w:bottom w:val="nil"/>
              <w:right w:val="nil"/>
            </w:tcBorders>
          </w:tcPr>
          <w:p w14:paraId="0F612C7E"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0.068</w:t>
            </w:r>
          </w:p>
        </w:tc>
        <w:tc>
          <w:tcPr>
            <w:tcW w:w="679" w:type="pct"/>
            <w:tcBorders>
              <w:top w:val="nil"/>
              <w:left w:val="nil"/>
              <w:bottom w:val="nil"/>
              <w:right w:val="nil"/>
            </w:tcBorders>
          </w:tcPr>
          <w:p w14:paraId="1DF493E0"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0.002</w:t>
            </w:r>
          </w:p>
        </w:tc>
        <w:tc>
          <w:tcPr>
            <w:tcW w:w="822" w:type="pct"/>
            <w:tcBorders>
              <w:top w:val="nil"/>
              <w:left w:val="nil"/>
              <w:bottom w:val="nil"/>
              <w:right w:val="nil"/>
            </w:tcBorders>
          </w:tcPr>
          <w:p w14:paraId="4AD9B165"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-0.014</w:t>
            </w:r>
          </w:p>
        </w:tc>
      </w:tr>
      <w:tr w:rsidR="00CD4846" w:rsidRPr="00CD4846" w14:paraId="599435B7" w14:textId="77777777" w:rsidTr="00B82EB9">
        <w:tc>
          <w:tcPr>
            <w:tcW w:w="1462" w:type="pct"/>
            <w:tcBorders>
              <w:top w:val="nil"/>
              <w:left w:val="nil"/>
              <w:bottom w:val="nil"/>
              <w:right w:val="nil"/>
            </w:tcBorders>
          </w:tcPr>
          <w:p w14:paraId="289D08F3" w14:textId="1641FF48" w:rsidR="00CD4846" w:rsidRPr="00DA465B" w:rsidRDefault="00CD4846" w:rsidP="00DA465B">
            <w:pPr>
              <w:widowControl w:val="0"/>
              <w:autoSpaceDE w:val="0"/>
              <w:autoSpaceDN w:val="0"/>
              <w:adjustRightInd w:val="0"/>
              <w:spacing w:line="240" w:lineRule="auto"/>
              <w:rPr>
                <w:rFonts w:cs="Times New Roman"/>
                <w:kern w:val="2"/>
                <w:sz w:val="20"/>
                <w:szCs w:val="20"/>
                <w:lang/>
              </w:rPr>
            </w:pPr>
          </w:p>
        </w:tc>
        <w:tc>
          <w:tcPr>
            <w:tcW w:w="679" w:type="pct"/>
            <w:tcBorders>
              <w:top w:val="nil"/>
              <w:left w:val="nil"/>
              <w:bottom w:val="nil"/>
              <w:right w:val="nil"/>
            </w:tcBorders>
          </w:tcPr>
          <w:p w14:paraId="2B6D15DD"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(0.120)</w:t>
            </w:r>
          </w:p>
        </w:tc>
        <w:tc>
          <w:tcPr>
            <w:tcW w:w="679" w:type="pct"/>
            <w:tcBorders>
              <w:top w:val="nil"/>
              <w:left w:val="nil"/>
              <w:bottom w:val="nil"/>
              <w:right w:val="nil"/>
            </w:tcBorders>
          </w:tcPr>
          <w:p w14:paraId="12EC92FC"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(0.020)</w:t>
            </w:r>
          </w:p>
        </w:tc>
        <w:tc>
          <w:tcPr>
            <w:tcW w:w="679" w:type="pct"/>
            <w:tcBorders>
              <w:top w:val="nil"/>
              <w:left w:val="nil"/>
              <w:bottom w:val="nil"/>
              <w:right w:val="nil"/>
            </w:tcBorders>
          </w:tcPr>
          <w:p w14:paraId="18CF7CE7"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(0.087)</w:t>
            </w:r>
          </w:p>
        </w:tc>
        <w:tc>
          <w:tcPr>
            <w:tcW w:w="679" w:type="pct"/>
            <w:tcBorders>
              <w:top w:val="nil"/>
              <w:left w:val="nil"/>
              <w:bottom w:val="nil"/>
              <w:right w:val="nil"/>
            </w:tcBorders>
          </w:tcPr>
          <w:p w14:paraId="6AF77BF6"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(0.024)</w:t>
            </w:r>
          </w:p>
        </w:tc>
        <w:tc>
          <w:tcPr>
            <w:tcW w:w="822" w:type="pct"/>
            <w:tcBorders>
              <w:top w:val="nil"/>
              <w:left w:val="nil"/>
              <w:bottom w:val="nil"/>
              <w:right w:val="nil"/>
            </w:tcBorders>
          </w:tcPr>
          <w:p w14:paraId="335B8899"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(0.023)</w:t>
            </w:r>
          </w:p>
        </w:tc>
      </w:tr>
      <w:tr w:rsidR="00CD4846" w:rsidRPr="00CD4846" w14:paraId="10DF22CF" w14:textId="77777777" w:rsidTr="00B82EB9">
        <w:tc>
          <w:tcPr>
            <w:tcW w:w="1462" w:type="pct"/>
            <w:tcBorders>
              <w:top w:val="nil"/>
              <w:left w:val="nil"/>
              <w:bottom w:val="nil"/>
              <w:right w:val="nil"/>
            </w:tcBorders>
          </w:tcPr>
          <w:p w14:paraId="25DD890B" w14:textId="7CEB2C64"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Attain. Status - CO (t-1)</w:t>
            </w:r>
          </w:p>
        </w:tc>
        <w:tc>
          <w:tcPr>
            <w:tcW w:w="679" w:type="pct"/>
            <w:tcBorders>
              <w:top w:val="nil"/>
              <w:left w:val="nil"/>
              <w:bottom w:val="nil"/>
              <w:right w:val="nil"/>
            </w:tcBorders>
          </w:tcPr>
          <w:p w14:paraId="3EDF437D"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2.328</w:t>
            </w:r>
          </w:p>
        </w:tc>
        <w:tc>
          <w:tcPr>
            <w:tcW w:w="679" w:type="pct"/>
            <w:tcBorders>
              <w:top w:val="nil"/>
              <w:left w:val="nil"/>
              <w:bottom w:val="nil"/>
              <w:right w:val="nil"/>
            </w:tcBorders>
          </w:tcPr>
          <w:p w14:paraId="162CD9BF"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1.374</w:t>
            </w:r>
          </w:p>
        </w:tc>
        <w:tc>
          <w:tcPr>
            <w:tcW w:w="679" w:type="pct"/>
            <w:tcBorders>
              <w:top w:val="nil"/>
              <w:left w:val="nil"/>
              <w:bottom w:val="nil"/>
              <w:right w:val="nil"/>
            </w:tcBorders>
          </w:tcPr>
          <w:p w14:paraId="51AA24DD"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p>
        </w:tc>
        <w:tc>
          <w:tcPr>
            <w:tcW w:w="679" w:type="pct"/>
            <w:tcBorders>
              <w:top w:val="nil"/>
              <w:left w:val="nil"/>
              <w:bottom w:val="nil"/>
              <w:right w:val="nil"/>
            </w:tcBorders>
          </w:tcPr>
          <w:p w14:paraId="07552022"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0.426</w:t>
            </w:r>
          </w:p>
        </w:tc>
        <w:tc>
          <w:tcPr>
            <w:tcW w:w="822" w:type="pct"/>
            <w:tcBorders>
              <w:top w:val="nil"/>
              <w:left w:val="nil"/>
              <w:bottom w:val="nil"/>
              <w:right w:val="nil"/>
            </w:tcBorders>
          </w:tcPr>
          <w:p w14:paraId="67BE76C4"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-0.095</w:t>
            </w:r>
          </w:p>
        </w:tc>
      </w:tr>
      <w:tr w:rsidR="00CD4846" w:rsidRPr="00CD4846" w14:paraId="6576833C" w14:textId="77777777" w:rsidTr="00B82EB9">
        <w:tc>
          <w:tcPr>
            <w:tcW w:w="1462" w:type="pct"/>
            <w:tcBorders>
              <w:top w:val="nil"/>
              <w:left w:val="nil"/>
              <w:bottom w:val="nil"/>
              <w:right w:val="nil"/>
            </w:tcBorders>
          </w:tcPr>
          <w:p w14:paraId="5B471E5D" w14:textId="65130438" w:rsidR="00CD4846" w:rsidRPr="00DA465B" w:rsidRDefault="00CD4846" w:rsidP="00DA465B">
            <w:pPr>
              <w:widowControl w:val="0"/>
              <w:autoSpaceDE w:val="0"/>
              <w:autoSpaceDN w:val="0"/>
              <w:adjustRightInd w:val="0"/>
              <w:spacing w:line="240" w:lineRule="auto"/>
              <w:rPr>
                <w:rFonts w:cs="Times New Roman"/>
                <w:kern w:val="2"/>
                <w:sz w:val="20"/>
                <w:szCs w:val="20"/>
                <w:lang/>
              </w:rPr>
            </w:pPr>
          </w:p>
        </w:tc>
        <w:tc>
          <w:tcPr>
            <w:tcW w:w="679" w:type="pct"/>
            <w:tcBorders>
              <w:top w:val="nil"/>
              <w:left w:val="nil"/>
              <w:bottom w:val="nil"/>
              <w:right w:val="nil"/>
            </w:tcBorders>
          </w:tcPr>
          <w:p w14:paraId="5264B458"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(2.162)</w:t>
            </w:r>
          </w:p>
        </w:tc>
        <w:tc>
          <w:tcPr>
            <w:tcW w:w="679" w:type="pct"/>
            <w:tcBorders>
              <w:top w:val="nil"/>
              <w:left w:val="nil"/>
              <w:bottom w:val="nil"/>
              <w:right w:val="nil"/>
            </w:tcBorders>
          </w:tcPr>
          <w:p w14:paraId="7C6776A5"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(1.009)</w:t>
            </w:r>
          </w:p>
        </w:tc>
        <w:tc>
          <w:tcPr>
            <w:tcW w:w="679" w:type="pct"/>
            <w:tcBorders>
              <w:top w:val="nil"/>
              <w:left w:val="nil"/>
              <w:bottom w:val="nil"/>
              <w:right w:val="nil"/>
            </w:tcBorders>
          </w:tcPr>
          <w:p w14:paraId="283FA09D"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p>
        </w:tc>
        <w:tc>
          <w:tcPr>
            <w:tcW w:w="679" w:type="pct"/>
            <w:tcBorders>
              <w:top w:val="nil"/>
              <w:left w:val="nil"/>
              <w:bottom w:val="nil"/>
              <w:right w:val="nil"/>
            </w:tcBorders>
          </w:tcPr>
          <w:p w14:paraId="2C016680"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(0.341)</w:t>
            </w:r>
          </w:p>
        </w:tc>
        <w:tc>
          <w:tcPr>
            <w:tcW w:w="822" w:type="pct"/>
            <w:tcBorders>
              <w:top w:val="nil"/>
              <w:left w:val="nil"/>
              <w:bottom w:val="nil"/>
              <w:right w:val="nil"/>
            </w:tcBorders>
          </w:tcPr>
          <w:p w14:paraId="4CC61092"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(0.676)</w:t>
            </w:r>
          </w:p>
        </w:tc>
      </w:tr>
      <w:tr w:rsidR="00CD4846" w:rsidRPr="00CD4846" w14:paraId="52C61AB5" w14:textId="77777777" w:rsidTr="00B82EB9">
        <w:tc>
          <w:tcPr>
            <w:tcW w:w="1462" w:type="pct"/>
            <w:tcBorders>
              <w:top w:val="nil"/>
              <w:left w:val="nil"/>
              <w:bottom w:val="nil"/>
              <w:right w:val="nil"/>
            </w:tcBorders>
          </w:tcPr>
          <w:p w14:paraId="0E95789B" w14:textId="2595B6FB"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Attain. Status - Pb (t-1)</w:t>
            </w:r>
          </w:p>
        </w:tc>
        <w:tc>
          <w:tcPr>
            <w:tcW w:w="679" w:type="pct"/>
            <w:tcBorders>
              <w:top w:val="nil"/>
              <w:left w:val="nil"/>
              <w:bottom w:val="nil"/>
              <w:right w:val="nil"/>
            </w:tcBorders>
          </w:tcPr>
          <w:p w14:paraId="174083B0"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0.915</w:t>
            </w:r>
          </w:p>
        </w:tc>
        <w:tc>
          <w:tcPr>
            <w:tcW w:w="679" w:type="pct"/>
            <w:tcBorders>
              <w:top w:val="nil"/>
              <w:left w:val="nil"/>
              <w:bottom w:val="nil"/>
              <w:right w:val="nil"/>
            </w:tcBorders>
          </w:tcPr>
          <w:p w14:paraId="2108C551"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-0.333</w:t>
            </w:r>
          </w:p>
        </w:tc>
        <w:tc>
          <w:tcPr>
            <w:tcW w:w="679" w:type="pct"/>
            <w:tcBorders>
              <w:top w:val="nil"/>
              <w:left w:val="nil"/>
              <w:bottom w:val="nil"/>
              <w:right w:val="nil"/>
            </w:tcBorders>
          </w:tcPr>
          <w:p w14:paraId="688667C0"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2.841</w:t>
            </w:r>
          </w:p>
        </w:tc>
        <w:tc>
          <w:tcPr>
            <w:tcW w:w="679" w:type="pct"/>
            <w:tcBorders>
              <w:top w:val="nil"/>
              <w:left w:val="nil"/>
              <w:bottom w:val="nil"/>
              <w:right w:val="nil"/>
            </w:tcBorders>
          </w:tcPr>
          <w:p w14:paraId="07471ADA"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-0.049</w:t>
            </w:r>
          </w:p>
        </w:tc>
        <w:tc>
          <w:tcPr>
            <w:tcW w:w="822" w:type="pct"/>
            <w:tcBorders>
              <w:top w:val="nil"/>
              <w:left w:val="nil"/>
              <w:bottom w:val="nil"/>
              <w:right w:val="nil"/>
            </w:tcBorders>
          </w:tcPr>
          <w:p w14:paraId="4DDDD877"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0.016</w:t>
            </w:r>
          </w:p>
        </w:tc>
      </w:tr>
      <w:tr w:rsidR="00CD4846" w:rsidRPr="00CD4846" w14:paraId="54257B92" w14:textId="77777777" w:rsidTr="00B82EB9">
        <w:tc>
          <w:tcPr>
            <w:tcW w:w="1462" w:type="pct"/>
            <w:tcBorders>
              <w:top w:val="nil"/>
              <w:left w:val="nil"/>
              <w:bottom w:val="nil"/>
              <w:right w:val="nil"/>
            </w:tcBorders>
          </w:tcPr>
          <w:p w14:paraId="14FB648D" w14:textId="7B997E77" w:rsidR="00CD4846" w:rsidRPr="00DA465B" w:rsidRDefault="00CD4846" w:rsidP="00DA465B">
            <w:pPr>
              <w:widowControl w:val="0"/>
              <w:autoSpaceDE w:val="0"/>
              <w:autoSpaceDN w:val="0"/>
              <w:adjustRightInd w:val="0"/>
              <w:spacing w:line="240" w:lineRule="auto"/>
              <w:rPr>
                <w:rFonts w:cs="Times New Roman"/>
                <w:kern w:val="2"/>
                <w:sz w:val="20"/>
                <w:szCs w:val="20"/>
                <w:lang/>
              </w:rPr>
            </w:pPr>
          </w:p>
        </w:tc>
        <w:tc>
          <w:tcPr>
            <w:tcW w:w="679" w:type="pct"/>
            <w:tcBorders>
              <w:top w:val="nil"/>
              <w:left w:val="nil"/>
              <w:bottom w:val="nil"/>
              <w:right w:val="nil"/>
            </w:tcBorders>
          </w:tcPr>
          <w:p w14:paraId="0B4D440D"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(1.013)</w:t>
            </w:r>
          </w:p>
        </w:tc>
        <w:tc>
          <w:tcPr>
            <w:tcW w:w="679" w:type="pct"/>
            <w:tcBorders>
              <w:top w:val="nil"/>
              <w:left w:val="nil"/>
              <w:bottom w:val="nil"/>
              <w:right w:val="nil"/>
            </w:tcBorders>
          </w:tcPr>
          <w:p w14:paraId="2E385D7F"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(0.667)</w:t>
            </w:r>
          </w:p>
        </w:tc>
        <w:tc>
          <w:tcPr>
            <w:tcW w:w="679" w:type="pct"/>
            <w:tcBorders>
              <w:top w:val="nil"/>
              <w:left w:val="nil"/>
              <w:bottom w:val="nil"/>
              <w:right w:val="nil"/>
            </w:tcBorders>
          </w:tcPr>
          <w:p w14:paraId="4367A282"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(1.771)</w:t>
            </w:r>
          </w:p>
        </w:tc>
        <w:tc>
          <w:tcPr>
            <w:tcW w:w="679" w:type="pct"/>
            <w:tcBorders>
              <w:top w:val="nil"/>
              <w:left w:val="nil"/>
              <w:bottom w:val="nil"/>
              <w:right w:val="nil"/>
            </w:tcBorders>
          </w:tcPr>
          <w:p w14:paraId="79D2391A"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(0.137)</w:t>
            </w:r>
          </w:p>
        </w:tc>
        <w:tc>
          <w:tcPr>
            <w:tcW w:w="822" w:type="pct"/>
            <w:tcBorders>
              <w:top w:val="nil"/>
              <w:left w:val="nil"/>
              <w:bottom w:val="nil"/>
              <w:right w:val="nil"/>
            </w:tcBorders>
          </w:tcPr>
          <w:p w14:paraId="10E59F85"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(0.170)</w:t>
            </w:r>
          </w:p>
        </w:tc>
      </w:tr>
      <w:tr w:rsidR="00CD4846" w:rsidRPr="00CD4846" w14:paraId="56396FAE" w14:textId="77777777" w:rsidTr="00B82EB9">
        <w:tc>
          <w:tcPr>
            <w:tcW w:w="1462" w:type="pct"/>
            <w:tcBorders>
              <w:top w:val="nil"/>
              <w:left w:val="nil"/>
              <w:bottom w:val="nil"/>
              <w:right w:val="nil"/>
            </w:tcBorders>
          </w:tcPr>
          <w:p w14:paraId="3D026A1A" w14:textId="4A959FC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Attain. Status - O3 (t-1)</w:t>
            </w:r>
          </w:p>
        </w:tc>
        <w:tc>
          <w:tcPr>
            <w:tcW w:w="679" w:type="pct"/>
            <w:tcBorders>
              <w:top w:val="nil"/>
              <w:left w:val="nil"/>
              <w:bottom w:val="nil"/>
              <w:right w:val="nil"/>
            </w:tcBorders>
          </w:tcPr>
          <w:p w14:paraId="20AD4E06"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0.305</w:t>
            </w:r>
          </w:p>
        </w:tc>
        <w:tc>
          <w:tcPr>
            <w:tcW w:w="679" w:type="pct"/>
            <w:tcBorders>
              <w:top w:val="nil"/>
              <w:left w:val="nil"/>
              <w:bottom w:val="nil"/>
              <w:right w:val="nil"/>
            </w:tcBorders>
          </w:tcPr>
          <w:p w14:paraId="33970935"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0.093</w:t>
            </w:r>
          </w:p>
        </w:tc>
        <w:tc>
          <w:tcPr>
            <w:tcW w:w="679" w:type="pct"/>
            <w:tcBorders>
              <w:top w:val="nil"/>
              <w:left w:val="nil"/>
              <w:bottom w:val="nil"/>
              <w:right w:val="nil"/>
            </w:tcBorders>
          </w:tcPr>
          <w:p w14:paraId="4449059A"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0.199</w:t>
            </w:r>
          </w:p>
        </w:tc>
        <w:tc>
          <w:tcPr>
            <w:tcW w:w="679" w:type="pct"/>
            <w:tcBorders>
              <w:top w:val="nil"/>
              <w:left w:val="nil"/>
              <w:bottom w:val="nil"/>
              <w:right w:val="nil"/>
            </w:tcBorders>
          </w:tcPr>
          <w:p w14:paraId="4068CC7F"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0.049</w:t>
            </w:r>
          </w:p>
        </w:tc>
        <w:tc>
          <w:tcPr>
            <w:tcW w:w="822" w:type="pct"/>
            <w:tcBorders>
              <w:top w:val="nil"/>
              <w:left w:val="nil"/>
              <w:bottom w:val="nil"/>
              <w:right w:val="nil"/>
            </w:tcBorders>
          </w:tcPr>
          <w:p w14:paraId="0F79FF07"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0.067</w:t>
            </w:r>
          </w:p>
        </w:tc>
      </w:tr>
      <w:tr w:rsidR="00CD4846" w:rsidRPr="00CD4846" w14:paraId="0C4EAE90" w14:textId="77777777" w:rsidTr="00B82EB9">
        <w:tc>
          <w:tcPr>
            <w:tcW w:w="1462" w:type="pct"/>
            <w:tcBorders>
              <w:top w:val="nil"/>
              <w:left w:val="nil"/>
              <w:bottom w:val="nil"/>
              <w:right w:val="nil"/>
            </w:tcBorders>
          </w:tcPr>
          <w:p w14:paraId="747E52A1" w14:textId="691F7B91" w:rsidR="00CD4846" w:rsidRPr="00DA465B" w:rsidRDefault="00CD4846" w:rsidP="00DA465B">
            <w:pPr>
              <w:widowControl w:val="0"/>
              <w:autoSpaceDE w:val="0"/>
              <w:autoSpaceDN w:val="0"/>
              <w:adjustRightInd w:val="0"/>
              <w:spacing w:line="240" w:lineRule="auto"/>
              <w:rPr>
                <w:rFonts w:cs="Times New Roman"/>
                <w:kern w:val="2"/>
                <w:sz w:val="20"/>
                <w:szCs w:val="20"/>
                <w:lang/>
              </w:rPr>
            </w:pPr>
          </w:p>
        </w:tc>
        <w:tc>
          <w:tcPr>
            <w:tcW w:w="679" w:type="pct"/>
            <w:tcBorders>
              <w:top w:val="nil"/>
              <w:left w:val="nil"/>
              <w:bottom w:val="nil"/>
              <w:right w:val="nil"/>
            </w:tcBorders>
          </w:tcPr>
          <w:p w14:paraId="2D34E453"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(0.208)</w:t>
            </w:r>
          </w:p>
        </w:tc>
        <w:tc>
          <w:tcPr>
            <w:tcW w:w="679" w:type="pct"/>
            <w:tcBorders>
              <w:top w:val="nil"/>
              <w:left w:val="nil"/>
              <w:bottom w:val="nil"/>
              <w:right w:val="nil"/>
            </w:tcBorders>
          </w:tcPr>
          <w:p w14:paraId="6128051D"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(0.216)</w:t>
            </w:r>
          </w:p>
        </w:tc>
        <w:tc>
          <w:tcPr>
            <w:tcW w:w="679" w:type="pct"/>
            <w:tcBorders>
              <w:top w:val="nil"/>
              <w:left w:val="nil"/>
              <w:bottom w:val="nil"/>
              <w:right w:val="nil"/>
            </w:tcBorders>
          </w:tcPr>
          <w:p w14:paraId="575915E1"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(0.299)</w:t>
            </w:r>
          </w:p>
        </w:tc>
        <w:tc>
          <w:tcPr>
            <w:tcW w:w="679" w:type="pct"/>
            <w:tcBorders>
              <w:top w:val="nil"/>
              <w:left w:val="nil"/>
              <w:bottom w:val="nil"/>
              <w:right w:val="nil"/>
            </w:tcBorders>
          </w:tcPr>
          <w:p w14:paraId="0FA94B9B"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(0.037)</w:t>
            </w:r>
          </w:p>
        </w:tc>
        <w:tc>
          <w:tcPr>
            <w:tcW w:w="822" w:type="pct"/>
            <w:tcBorders>
              <w:top w:val="nil"/>
              <w:left w:val="nil"/>
              <w:bottom w:val="nil"/>
              <w:right w:val="nil"/>
            </w:tcBorders>
          </w:tcPr>
          <w:p w14:paraId="6CC63E3D"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(0.059)</w:t>
            </w:r>
          </w:p>
        </w:tc>
      </w:tr>
      <w:tr w:rsidR="00CD4846" w:rsidRPr="00CD4846" w14:paraId="1CFC4DC2" w14:textId="77777777" w:rsidTr="00B82EB9">
        <w:tc>
          <w:tcPr>
            <w:tcW w:w="1462" w:type="pct"/>
            <w:tcBorders>
              <w:top w:val="nil"/>
              <w:left w:val="nil"/>
              <w:bottom w:val="nil"/>
              <w:right w:val="nil"/>
            </w:tcBorders>
          </w:tcPr>
          <w:p w14:paraId="418B7C4A" w14:textId="77D4678D"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Attain. Status - PM (t-1)</w:t>
            </w:r>
          </w:p>
        </w:tc>
        <w:tc>
          <w:tcPr>
            <w:tcW w:w="679" w:type="pct"/>
            <w:tcBorders>
              <w:top w:val="nil"/>
              <w:left w:val="nil"/>
              <w:bottom w:val="nil"/>
              <w:right w:val="nil"/>
            </w:tcBorders>
          </w:tcPr>
          <w:p w14:paraId="1F2C02A5"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0.145</w:t>
            </w:r>
          </w:p>
        </w:tc>
        <w:tc>
          <w:tcPr>
            <w:tcW w:w="679" w:type="pct"/>
            <w:tcBorders>
              <w:top w:val="nil"/>
              <w:left w:val="nil"/>
              <w:bottom w:val="nil"/>
              <w:right w:val="nil"/>
            </w:tcBorders>
          </w:tcPr>
          <w:p w14:paraId="766E2CA9"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0.126</w:t>
            </w:r>
          </w:p>
        </w:tc>
        <w:tc>
          <w:tcPr>
            <w:tcW w:w="679" w:type="pct"/>
            <w:tcBorders>
              <w:top w:val="nil"/>
              <w:left w:val="nil"/>
              <w:bottom w:val="nil"/>
              <w:right w:val="nil"/>
            </w:tcBorders>
          </w:tcPr>
          <w:p w14:paraId="7BB43C7D"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0.125</w:t>
            </w:r>
          </w:p>
        </w:tc>
        <w:tc>
          <w:tcPr>
            <w:tcW w:w="679" w:type="pct"/>
            <w:tcBorders>
              <w:top w:val="nil"/>
              <w:left w:val="nil"/>
              <w:bottom w:val="nil"/>
              <w:right w:val="nil"/>
            </w:tcBorders>
          </w:tcPr>
          <w:p w14:paraId="4C81733B"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0.016</w:t>
            </w:r>
          </w:p>
        </w:tc>
        <w:tc>
          <w:tcPr>
            <w:tcW w:w="822" w:type="pct"/>
            <w:tcBorders>
              <w:top w:val="nil"/>
              <w:left w:val="nil"/>
              <w:bottom w:val="nil"/>
              <w:right w:val="nil"/>
            </w:tcBorders>
          </w:tcPr>
          <w:p w14:paraId="1D2E86F6"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0.003</w:t>
            </w:r>
          </w:p>
        </w:tc>
      </w:tr>
      <w:tr w:rsidR="00CD4846" w:rsidRPr="00CD4846" w14:paraId="4BC51C79" w14:textId="77777777" w:rsidTr="00B82EB9">
        <w:tc>
          <w:tcPr>
            <w:tcW w:w="1462" w:type="pct"/>
            <w:tcBorders>
              <w:top w:val="nil"/>
              <w:left w:val="nil"/>
              <w:bottom w:val="nil"/>
              <w:right w:val="nil"/>
            </w:tcBorders>
          </w:tcPr>
          <w:p w14:paraId="163FBC68" w14:textId="2A95926C" w:rsidR="00CD4846" w:rsidRPr="00DA465B" w:rsidRDefault="00CD4846" w:rsidP="00DA465B">
            <w:pPr>
              <w:widowControl w:val="0"/>
              <w:autoSpaceDE w:val="0"/>
              <w:autoSpaceDN w:val="0"/>
              <w:adjustRightInd w:val="0"/>
              <w:spacing w:line="240" w:lineRule="auto"/>
              <w:rPr>
                <w:rFonts w:cs="Times New Roman"/>
                <w:kern w:val="2"/>
                <w:sz w:val="20"/>
                <w:szCs w:val="20"/>
                <w:lang/>
              </w:rPr>
            </w:pPr>
          </w:p>
        </w:tc>
        <w:tc>
          <w:tcPr>
            <w:tcW w:w="679" w:type="pct"/>
            <w:tcBorders>
              <w:top w:val="nil"/>
              <w:left w:val="nil"/>
              <w:bottom w:val="nil"/>
              <w:right w:val="nil"/>
            </w:tcBorders>
          </w:tcPr>
          <w:p w14:paraId="262BACB6"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(0.183)</w:t>
            </w:r>
          </w:p>
        </w:tc>
        <w:tc>
          <w:tcPr>
            <w:tcW w:w="679" w:type="pct"/>
            <w:tcBorders>
              <w:top w:val="nil"/>
              <w:left w:val="nil"/>
              <w:bottom w:val="nil"/>
              <w:right w:val="nil"/>
            </w:tcBorders>
          </w:tcPr>
          <w:p w14:paraId="748D8E2B"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(0.178)</w:t>
            </w:r>
          </w:p>
        </w:tc>
        <w:tc>
          <w:tcPr>
            <w:tcW w:w="679" w:type="pct"/>
            <w:tcBorders>
              <w:top w:val="nil"/>
              <w:left w:val="nil"/>
              <w:bottom w:val="nil"/>
              <w:right w:val="nil"/>
            </w:tcBorders>
          </w:tcPr>
          <w:p w14:paraId="7593EF78"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(0.252)</w:t>
            </w:r>
          </w:p>
        </w:tc>
        <w:tc>
          <w:tcPr>
            <w:tcW w:w="679" w:type="pct"/>
            <w:tcBorders>
              <w:top w:val="nil"/>
              <w:left w:val="nil"/>
              <w:bottom w:val="nil"/>
              <w:right w:val="nil"/>
            </w:tcBorders>
          </w:tcPr>
          <w:p w14:paraId="4756C581"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(0.030)</w:t>
            </w:r>
          </w:p>
        </w:tc>
        <w:tc>
          <w:tcPr>
            <w:tcW w:w="822" w:type="pct"/>
            <w:tcBorders>
              <w:top w:val="nil"/>
              <w:left w:val="nil"/>
              <w:bottom w:val="nil"/>
              <w:right w:val="nil"/>
            </w:tcBorders>
          </w:tcPr>
          <w:p w14:paraId="66E3C9E4"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(0.037)</w:t>
            </w:r>
          </w:p>
        </w:tc>
      </w:tr>
      <w:tr w:rsidR="00CD4846" w:rsidRPr="00CD4846" w14:paraId="2187033A" w14:textId="77777777" w:rsidTr="00B82EB9">
        <w:tc>
          <w:tcPr>
            <w:tcW w:w="1462" w:type="pct"/>
            <w:tcBorders>
              <w:top w:val="nil"/>
              <w:left w:val="nil"/>
              <w:bottom w:val="nil"/>
              <w:right w:val="nil"/>
            </w:tcBorders>
          </w:tcPr>
          <w:p w14:paraId="63E23655"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Attain. Status - SO2 (t-1)</w:t>
            </w:r>
          </w:p>
        </w:tc>
        <w:tc>
          <w:tcPr>
            <w:tcW w:w="679" w:type="pct"/>
            <w:tcBorders>
              <w:top w:val="nil"/>
              <w:left w:val="nil"/>
              <w:bottom w:val="nil"/>
              <w:right w:val="nil"/>
            </w:tcBorders>
          </w:tcPr>
          <w:p w14:paraId="784B35B0"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-0.078</w:t>
            </w:r>
          </w:p>
        </w:tc>
        <w:tc>
          <w:tcPr>
            <w:tcW w:w="679" w:type="pct"/>
            <w:tcBorders>
              <w:top w:val="nil"/>
              <w:left w:val="nil"/>
              <w:bottom w:val="nil"/>
              <w:right w:val="nil"/>
            </w:tcBorders>
          </w:tcPr>
          <w:p w14:paraId="7857A6D5"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0.794</w:t>
            </w:r>
          </w:p>
        </w:tc>
        <w:tc>
          <w:tcPr>
            <w:tcW w:w="679" w:type="pct"/>
            <w:tcBorders>
              <w:top w:val="nil"/>
              <w:left w:val="nil"/>
              <w:bottom w:val="nil"/>
              <w:right w:val="nil"/>
            </w:tcBorders>
          </w:tcPr>
          <w:p w14:paraId="55A829FF"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-0.039</w:t>
            </w:r>
          </w:p>
        </w:tc>
        <w:tc>
          <w:tcPr>
            <w:tcW w:w="679" w:type="pct"/>
            <w:tcBorders>
              <w:top w:val="nil"/>
              <w:left w:val="nil"/>
              <w:bottom w:val="nil"/>
              <w:right w:val="nil"/>
            </w:tcBorders>
          </w:tcPr>
          <w:p w14:paraId="2F5FF5C7"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0.172</w:t>
            </w:r>
          </w:p>
        </w:tc>
        <w:tc>
          <w:tcPr>
            <w:tcW w:w="822" w:type="pct"/>
            <w:tcBorders>
              <w:top w:val="nil"/>
              <w:left w:val="nil"/>
              <w:bottom w:val="nil"/>
              <w:right w:val="nil"/>
            </w:tcBorders>
          </w:tcPr>
          <w:p w14:paraId="0F649A7A"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-0.158</w:t>
            </w:r>
          </w:p>
        </w:tc>
      </w:tr>
      <w:tr w:rsidR="00CD4846" w:rsidRPr="00CD4846" w14:paraId="2AE6D326" w14:textId="77777777" w:rsidTr="00B82EB9">
        <w:tc>
          <w:tcPr>
            <w:tcW w:w="1462" w:type="pct"/>
            <w:tcBorders>
              <w:top w:val="nil"/>
              <w:left w:val="nil"/>
              <w:bottom w:val="nil"/>
              <w:right w:val="nil"/>
            </w:tcBorders>
          </w:tcPr>
          <w:p w14:paraId="539397CB" w14:textId="471EF900" w:rsidR="00CD4846" w:rsidRPr="00DA465B" w:rsidRDefault="00CD4846" w:rsidP="00DA465B">
            <w:pPr>
              <w:widowControl w:val="0"/>
              <w:autoSpaceDE w:val="0"/>
              <w:autoSpaceDN w:val="0"/>
              <w:adjustRightInd w:val="0"/>
              <w:spacing w:line="240" w:lineRule="auto"/>
              <w:rPr>
                <w:rFonts w:cs="Times New Roman"/>
                <w:kern w:val="2"/>
                <w:sz w:val="20"/>
                <w:szCs w:val="20"/>
                <w:lang/>
              </w:rPr>
            </w:pPr>
          </w:p>
        </w:tc>
        <w:tc>
          <w:tcPr>
            <w:tcW w:w="679" w:type="pct"/>
            <w:tcBorders>
              <w:top w:val="nil"/>
              <w:left w:val="nil"/>
              <w:bottom w:val="nil"/>
              <w:right w:val="nil"/>
            </w:tcBorders>
          </w:tcPr>
          <w:p w14:paraId="60332AC6"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(0.772)</w:t>
            </w:r>
          </w:p>
        </w:tc>
        <w:tc>
          <w:tcPr>
            <w:tcW w:w="679" w:type="pct"/>
            <w:tcBorders>
              <w:top w:val="nil"/>
              <w:left w:val="nil"/>
              <w:bottom w:val="nil"/>
              <w:right w:val="nil"/>
            </w:tcBorders>
          </w:tcPr>
          <w:p w14:paraId="25FCDA94"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(0.701)</w:t>
            </w:r>
          </w:p>
        </w:tc>
        <w:tc>
          <w:tcPr>
            <w:tcW w:w="679" w:type="pct"/>
            <w:tcBorders>
              <w:top w:val="nil"/>
              <w:left w:val="nil"/>
              <w:bottom w:val="nil"/>
              <w:right w:val="nil"/>
            </w:tcBorders>
          </w:tcPr>
          <w:p w14:paraId="705A21C6"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(1.074)</w:t>
            </w:r>
          </w:p>
        </w:tc>
        <w:tc>
          <w:tcPr>
            <w:tcW w:w="679" w:type="pct"/>
            <w:tcBorders>
              <w:top w:val="nil"/>
              <w:left w:val="nil"/>
              <w:bottom w:val="nil"/>
              <w:right w:val="nil"/>
            </w:tcBorders>
          </w:tcPr>
          <w:p w14:paraId="4CCEAA1B"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(0.131)</w:t>
            </w:r>
          </w:p>
        </w:tc>
        <w:tc>
          <w:tcPr>
            <w:tcW w:w="822" w:type="pct"/>
            <w:tcBorders>
              <w:top w:val="nil"/>
              <w:left w:val="nil"/>
              <w:bottom w:val="nil"/>
              <w:right w:val="nil"/>
            </w:tcBorders>
          </w:tcPr>
          <w:p w14:paraId="2F60AD58"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(0.178)</w:t>
            </w:r>
          </w:p>
        </w:tc>
      </w:tr>
      <w:tr w:rsidR="00CD4846" w:rsidRPr="00CD4846" w14:paraId="674A48AB" w14:textId="77777777" w:rsidTr="00B82EB9">
        <w:tc>
          <w:tcPr>
            <w:tcW w:w="1462" w:type="pct"/>
            <w:tcBorders>
              <w:top w:val="nil"/>
              <w:left w:val="nil"/>
              <w:bottom w:val="nil"/>
              <w:right w:val="nil"/>
            </w:tcBorders>
          </w:tcPr>
          <w:p w14:paraId="743F2BE6" w14:textId="0A433E95"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Density Employment</w:t>
            </w:r>
          </w:p>
        </w:tc>
        <w:tc>
          <w:tcPr>
            <w:tcW w:w="679" w:type="pct"/>
            <w:tcBorders>
              <w:top w:val="nil"/>
              <w:left w:val="nil"/>
              <w:bottom w:val="nil"/>
              <w:right w:val="nil"/>
            </w:tcBorders>
          </w:tcPr>
          <w:p w14:paraId="36840141"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0.493</w:t>
            </w:r>
          </w:p>
        </w:tc>
        <w:tc>
          <w:tcPr>
            <w:tcW w:w="679" w:type="pct"/>
            <w:tcBorders>
              <w:top w:val="nil"/>
              <w:left w:val="nil"/>
              <w:bottom w:val="nil"/>
              <w:right w:val="nil"/>
            </w:tcBorders>
          </w:tcPr>
          <w:p w14:paraId="0130E745"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0.521</w:t>
            </w:r>
          </w:p>
        </w:tc>
        <w:tc>
          <w:tcPr>
            <w:tcW w:w="679" w:type="pct"/>
            <w:tcBorders>
              <w:top w:val="nil"/>
              <w:left w:val="nil"/>
              <w:bottom w:val="nil"/>
              <w:right w:val="nil"/>
            </w:tcBorders>
          </w:tcPr>
          <w:p w14:paraId="4C24EE93"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0.576</w:t>
            </w:r>
          </w:p>
        </w:tc>
        <w:tc>
          <w:tcPr>
            <w:tcW w:w="679" w:type="pct"/>
            <w:tcBorders>
              <w:top w:val="nil"/>
              <w:left w:val="nil"/>
              <w:bottom w:val="nil"/>
              <w:right w:val="nil"/>
            </w:tcBorders>
          </w:tcPr>
          <w:p w14:paraId="3FE15332"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0.050</w:t>
            </w:r>
          </w:p>
        </w:tc>
        <w:tc>
          <w:tcPr>
            <w:tcW w:w="822" w:type="pct"/>
            <w:tcBorders>
              <w:top w:val="nil"/>
              <w:left w:val="nil"/>
              <w:bottom w:val="nil"/>
              <w:right w:val="nil"/>
            </w:tcBorders>
          </w:tcPr>
          <w:p w14:paraId="424189A5"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0.047</w:t>
            </w:r>
          </w:p>
        </w:tc>
      </w:tr>
      <w:tr w:rsidR="00CD4846" w:rsidRPr="00CD4846" w14:paraId="2644F359" w14:textId="77777777" w:rsidTr="00B82EB9">
        <w:tc>
          <w:tcPr>
            <w:tcW w:w="1462" w:type="pct"/>
            <w:tcBorders>
              <w:top w:val="nil"/>
              <w:left w:val="nil"/>
              <w:bottom w:val="nil"/>
              <w:right w:val="nil"/>
            </w:tcBorders>
          </w:tcPr>
          <w:p w14:paraId="27D2BE23" w14:textId="50C49BD7" w:rsidR="00CD4846" w:rsidRPr="00DA465B" w:rsidRDefault="00CD4846" w:rsidP="00DA465B">
            <w:pPr>
              <w:widowControl w:val="0"/>
              <w:autoSpaceDE w:val="0"/>
              <w:autoSpaceDN w:val="0"/>
              <w:adjustRightInd w:val="0"/>
              <w:spacing w:line="240" w:lineRule="auto"/>
              <w:rPr>
                <w:rFonts w:cs="Times New Roman"/>
                <w:kern w:val="2"/>
                <w:sz w:val="20"/>
                <w:szCs w:val="20"/>
                <w:lang/>
              </w:rPr>
            </w:pPr>
          </w:p>
        </w:tc>
        <w:tc>
          <w:tcPr>
            <w:tcW w:w="679" w:type="pct"/>
            <w:tcBorders>
              <w:top w:val="nil"/>
              <w:left w:val="nil"/>
              <w:bottom w:val="nil"/>
              <w:right w:val="nil"/>
            </w:tcBorders>
          </w:tcPr>
          <w:p w14:paraId="5AD4FB69"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(0.432)</w:t>
            </w:r>
          </w:p>
        </w:tc>
        <w:tc>
          <w:tcPr>
            <w:tcW w:w="679" w:type="pct"/>
            <w:tcBorders>
              <w:top w:val="nil"/>
              <w:left w:val="nil"/>
              <w:bottom w:val="nil"/>
              <w:right w:val="nil"/>
            </w:tcBorders>
          </w:tcPr>
          <w:p w14:paraId="37BDDBEA"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(0.390)</w:t>
            </w:r>
          </w:p>
        </w:tc>
        <w:tc>
          <w:tcPr>
            <w:tcW w:w="679" w:type="pct"/>
            <w:tcBorders>
              <w:top w:val="nil"/>
              <w:left w:val="nil"/>
              <w:bottom w:val="nil"/>
              <w:right w:val="nil"/>
            </w:tcBorders>
          </w:tcPr>
          <w:p w14:paraId="09AA61A6"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(0.673)</w:t>
            </w:r>
          </w:p>
        </w:tc>
        <w:tc>
          <w:tcPr>
            <w:tcW w:w="679" w:type="pct"/>
            <w:tcBorders>
              <w:top w:val="nil"/>
              <w:left w:val="nil"/>
              <w:bottom w:val="nil"/>
              <w:right w:val="nil"/>
            </w:tcBorders>
          </w:tcPr>
          <w:p w14:paraId="6870D546"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(0.054)</w:t>
            </w:r>
          </w:p>
        </w:tc>
        <w:tc>
          <w:tcPr>
            <w:tcW w:w="822" w:type="pct"/>
            <w:tcBorders>
              <w:top w:val="nil"/>
              <w:left w:val="nil"/>
              <w:bottom w:val="nil"/>
              <w:right w:val="nil"/>
            </w:tcBorders>
          </w:tcPr>
          <w:p w14:paraId="4BB2D291"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(0.050)</w:t>
            </w:r>
          </w:p>
        </w:tc>
      </w:tr>
      <w:tr w:rsidR="00CD4846" w:rsidRPr="00CD4846" w14:paraId="2746F2DC" w14:textId="77777777" w:rsidTr="00B82EB9">
        <w:tc>
          <w:tcPr>
            <w:tcW w:w="1462" w:type="pct"/>
            <w:tcBorders>
              <w:top w:val="nil"/>
              <w:left w:val="nil"/>
              <w:bottom w:val="nil"/>
              <w:right w:val="nil"/>
            </w:tcBorders>
          </w:tcPr>
          <w:p w14:paraId="3E385BAC"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Percent Black (100s)</w:t>
            </w:r>
          </w:p>
        </w:tc>
        <w:tc>
          <w:tcPr>
            <w:tcW w:w="679" w:type="pct"/>
            <w:tcBorders>
              <w:top w:val="nil"/>
              <w:left w:val="nil"/>
              <w:bottom w:val="nil"/>
              <w:right w:val="nil"/>
            </w:tcBorders>
          </w:tcPr>
          <w:p w14:paraId="1321B41F"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-7.510</w:t>
            </w:r>
          </w:p>
        </w:tc>
        <w:tc>
          <w:tcPr>
            <w:tcW w:w="679" w:type="pct"/>
            <w:tcBorders>
              <w:top w:val="nil"/>
              <w:left w:val="nil"/>
              <w:bottom w:val="nil"/>
              <w:right w:val="nil"/>
            </w:tcBorders>
          </w:tcPr>
          <w:p w14:paraId="0F07CC8D"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-0.469</w:t>
            </w:r>
          </w:p>
        </w:tc>
        <w:tc>
          <w:tcPr>
            <w:tcW w:w="679" w:type="pct"/>
            <w:tcBorders>
              <w:top w:val="nil"/>
              <w:left w:val="nil"/>
              <w:bottom w:val="nil"/>
              <w:right w:val="nil"/>
            </w:tcBorders>
          </w:tcPr>
          <w:p w14:paraId="393EF50C"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1.966</w:t>
            </w:r>
          </w:p>
        </w:tc>
        <w:tc>
          <w:tcPr>
            <w:tcW w:w="679" w:type="pct"/>
            <w:tcBorders>
              <w:top w:val="nil"/>
              <w:left w:val="nil"/>
              <w:bottom w:val="nil"/>
              <w:right w:val="nil"/>
            </w:tcBorders>
          </w:tcPr>
          <w:p w14:paraId="3F4B8D33"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0.713</w:t>
            </w:r>
          </w:p>
        </w:tc>
        <w:tc>
          <w:tcPr>
            <w:tcW w:w="822" w:type="pct"/>
            <w:tcBorders>
              <w:top w:val="nil"/>
              <w:left w:val="nil"/>
              <w:bottom w:val="nil"/>
              <w:right w:val="nil"/>
            </w:tcBorders>
          </w:tcPr>
          <w:p w14:paraId="5074AE13"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-1.234</w:t>
            </w:r>
          </w:p>
        </w:tc>
      </w:tr>
      <w:tr w:rsidR="00CD4846" w:rsidRPr="00CD4846" w14:paraId="3367CB44" w14:textId="77777777" w:rsidTr="00B82EB9">
        <w:tc>
          <w:tcPr>
            <w:tcW w:w="1462" w:type="pct"/>
            <w:tcBorders>
              <w:top w:val="nil"/>
              <w:left w:val="nil"/>
              <w:bottom w:val="nil"/>
              <w:right w:val="nil"/>
            </w:tcBorders>
          </w:tcPr>
          <w:p w14:paraId="67DFA13C" w14:textId="219B6C69" w:rsidR="00CD4846" w:rsidRPr="00DA465B" w:rsidRDefault="00CD4846" w:rsidP="00DA465B">
            <w:pPr>
              <w:widowControl w:val="0"/>
              <w:autoSpaceDE w:val="0"/>
              <w:autoSpaceDN w:val="0"/>
              <w:adjustRightInd w:val="0"/>
              <w:spacing w:line="240" w:lineRule="auto"/>
              <w:rPr>
                <w:rFonts w:cs="Times New Roman"/>
                <w:kern w:val="2"/>
                <w:sz w:val="20"/>
                <w:szCs w:val="20"/>
                <w:lang/>
              </w:rPr>
            </w:pPr>
          </w:p>
        </w:tc>
        <w:tc>
          <w:tcPr>
            <w:tcW w:w="679" w:type="pct"/>
            <w:tcBorders>
              <w:top w:val="nil"/>
              <w:left w:val="nil"/>
              <w:bottom w:val="nil"/>
              <w:right w:val="nil"/>
            </w:tcBorders>
          </w:tcPr>
          <w:p w14:paraId="0939674C"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(10.513)</w:t>
            </w:r>
          </w:p>
        </w:tc>
        <w:tc>
          <w:tcPr>
            <w:tcW w:w="679" w:type="pct"/>
            <w:tcBorders>
              <w:top w:val="nil"/>
              <w:left w:val="nil"/>
              <w:bottom w:val="nil"/>
              <w:right w:val="nil"/>
            </w:tcBorders>
          </w:tcPr>
          <w:p w14:paraId="7A3C82AE"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(14.248)</w:t>
            </w:r>
          </w:p>
        </w:tc>
        <w:tc>
          <w:tcPr>
            <w:tcW w:w="679" w:type="pct"/>
            <w:tcBorders>
              <w:top w:val="nil"/>
              <w:left w:val="nil"/>
              <w:bottom w:val="nil"/>
              <w:right w:val="nil"/>
            </w:tcBorders>
          </w:tcPr>
          <w:p w14:paraId="7E6E56A0"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(14.575)</w:t>
            </w:r>
          </w:p>
        </w:tc>
        <w:tc>
          <w:tcPr>
            <w:tcW w:w="679" w:type="pct"/>
            <w:tcBorders>
              <w:top w:val="nil"/>
              <w:left w:val="nil"/>
              <w:bottom w:val="nil"/>
              <w:right w:val="nil"/>
            </w:tcBorders>
          </w:tcPr>
          <w:p w14:paraId="69FE3D6C"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(1.273)</w:t>
            </w:r>
          </w:p>
        </w:tc>
        <w:tc>
          <w:tcPr>
            <w:tcW w:w="822" w:type="pct"/>
            <w:tcBorders>
              <w:top w:val="nil"/>
              <w:left w:val="nil"/>
              <w:bottom w:val="nil"/>
              <w:right w:val="nil"/>
            </w:tcBorders>
          </w:tcPr>
          <w:p w14:paraId="59873778"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(2.339)</w:t>
            </w:r>
          </w:p>
        </w:tc>
      </w:tr>
      <w:tr w:rsidR="00CD4846" w:rsidRPr="00CD4846" w14:paraId="5E0CEBD1" w14:textId="77777777" w:rsidTr="00B82EB9">
        <w:tc>
          <w:tcPr>
            <w:tcW w:w="1462" w:type="pct"/>
            <w:tcBorders>
              <w:top w:val="nil"/>
              <w:left w:val="nil"/>
              <w:bottom w:val="nil"/>
              <w:right w:val="nil"/>
            </w:tcBorders>
          </w:tcPr>
          <w:p w14:paraId="2FEDACEC" w14:textId="629AC1CC"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Population count (1ms)</w:t>
            </w:r>
          </w:p>
        </w:tc>
        <w:tc>
          <w:tcPr>
            <w:tcW w:w="679" w:type="pct"/>
            <w:tcBorders>
              <w:top w:val="nil"/>
              <w:left w:val="nil"/>
              <w:bottom w:val="nil"/>
              <w:right w:val="nil"/>
            </w:tcBorders>
          </w:tcPr>
          <w:p w14:paraId="4C0F9C92"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-3.136**</w:t>
            </w:r>
          </w:p>
        </w:tc>
        <w:tc>
          <w:tcPr>
            <w:tcW w:w="679" w:type="pct"/>
            <w:tcBorders>
              <w:top w:val="nil"/>
              <w:left w:val="nil"/>
              <w:bottom w:val="nil"/>
              <w:right w:val="nil"/>
            </w:tcBorders>
          </w:tcPr>
          <w:p w14:paraId="0DF667C8"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0.536</w:t>
            </w:r>
          </w:p>
        </w:tc>
        <w:tc>
          <w:tcPr>
            <w:tcW w:w="679" w:type="pct"/>
            <w:tcBorders>
              <w:top w:val="nil"/>
              <w:left w:val="nil"/>
              <w:bottom w:val="nil"/>
              <w:right w:val="nil"/>
            </w:tcBorders>
          </w:tcPr>
          <w:p w14:paraId="40F815DC"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-4.533</w:t>
            </w:r>
          </w:p>
        </w:tc>
        <w:tc>
          <w:tcPr>
            <w:tcW w:w="679" w:type="pct"/>
            <w:tcBorders>
              <w:top w:val="nil"/>
              <w:left w:val="nil"/>
              <w:bottom w:val="nil"/>
              <w:right w:val="nil"/>
            </w:tcBorders>
          </w:tcPr>
          <w:p w14:paraId="086B673A"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-0.515</w:t>
            </w:r>
          </w:p>
        </w:tc>
        <w:tc>
          <w:tcPr>
            <w:tcW w:w="822" w:type="pct"/>
            <w:tcBorders>
              <w:top w:val="nil"/>
              <w:left w:val="nil"/>
              <w:bottom w:val="nil"/>
              <w:right w:val="nil"/>
            </w:tcBorders>
          </w:tcPr>
          <w:p w14:paraId="1B63C86E"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-0.425</w:t>
            </w:r>
          </w:p>
        </w:tc>
      </w:tr>
      <w:tr w:rsidR="00CD4846" w:rsidRPr="00CD4846" w14:paraId="702124AD" w14:textId="77777777" w:rsidTr="00B82EB9">
        <w:tc>
          <w:tcPr>
            <w:tcW w:w="1462" w:type="pct"/>
            <w:tcBorders>
              <w:top w:val="nil"/>
              <w:left w:val="nil"/>
              <w:bottom w:val="nil"/>
              <w:right w:val="nil"/>
            </w:tcBorders>
          </w:tcPr>
          <w:p w14:paraId="30BF922F" w14:textId="66099E27" w:rsidR="00CD4846" w:rsidRPr="00DA465B" w:rsidRDefault="00CD4846" w:rsidP="00DA465B">
            <w:pPr>
              <w:widowControl w:val="0"/>
              <w:autoSpaceDE w:val="0"/>
              <w:autoSpaceDN w:val="0"/>
              <w:adjustRightInd w:val="0"/>
              <w:spacing w:line="240" w:lineRule="auto"/>
              <w:rPr>
                <w:rFonts w:cs="Times New Roman"/>
                <w:kern w:val="2"/>
                <w:sz w:val="20"/>
                <w:szCs w:val="20"/>
                <w:lang/>
              </w:rPr>
            </w:pPr>
          </w:p>
        </w:tc>
        <w:tc>
          <w:tcPr>
            <w:tcW w:w="679" w:type="pct"/>
            <w:tcBorders>
              <w:top w:val="nil"/>
              <w:left w:val="nil"/>
              <w:bottom w:val="nil"/>
              <w:right w:val="nil"/>
            </w:tcBorders>
          </w:tcPr>
          <w:p w14:paraId="4057E612"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(1.446)</w:t>
            </w:r>
          </w:p>
        </w:tc>
        <w:tc>
          <w:tcPr>
            <w:tcW w:w="679" w:type="pct"/>
            <w:tcBorders>
              <w:top w:val="nil"/>
              <w:left w:val="nil"/>
              <w:bottom w:val="nil"/>
              <w:right w:val="nil"/>
            </w:tcBorders>
          </w:tcPr>
          <w:p w14:paraId="072227F2"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(0.856)</w:t>
            </w:r>
          </w:p>
        </w:tc>
        <w:tc>
          <w:tcPr>
            <w:tcW w:w="679" w:type="pct"/>
            <w:tcBorders>
              <w:top w:val="nil"/>
              <w:left w:val="nil"/>
              <w:bottom w:val="nil"/>
              <w:right w:val="nil"/>
            </w:tcBorders>
          </w:tcPr>
          <w:p w14:paraId="44631581"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(3.048)</w:t>
            </w:r>
          </w:p>
        </w:tc>
        <w:tc>
          <w:tcPr>
            <w:tcW w:w="679" w:type="pct"/>
            <w:tcBorders>
              <w:top w:val="nil"/>
              <w:left w:val="nil"/>
              <w:bottom w:val="nil"/>
              <w:right w:val="nil"/>
            </w:tcBorders>
          </w:tcPr>
          <w:p w14:paraId="283CBE3F"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(0.327)</w:t>
            </w:r>
          </w:p>
        </w:tc>
        <w:tc>
          <w:tcPr>
            <w:tcW w:w="822" w:type="pct"/>
            <w:tcBorders>
              <w:top w:val="nil"/>
              <w:left w:val="nil"/>
              <w:bottom w:val="nil"/>
              <w:right w:val="nil"/>
            </w:tcBorders>
          </w:tcPr>
          <w:p w14:paraId="3D5B3C32"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(0.445)</w:t>
            </w:r>
          </w:p>
        </w:tc>
      </w:tr>
      <w:tr w:rsidR="00CD4846" w:rsidRPr="00CD4846" w14:paraId="5C37C7B3" w14:textId="77777777" w:rsidTr="00B82EB9">
        <w:tc>
          <w:tcPr>
            <w:tcW w:w="1462" w:type="pct"/>
            <w:tcBorders>
              <w:top w:val="nil"/>
              <w:left w:val="nil"/>
              <w:bottom w:val="nil"/>
              <w:right w:val="nil"/>
            </w:tcBorders>
          </w:tcPr>
          <w:p w14:paraId="4288EADF" w14:textId="1A051F5A"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Unemployment rate (100s)</w:t>
            </w:r>
          </w:p>
        </w:tc>
        <w:tc>
          <w:tcPr>
            <w:tcW w:w="679" w:type="pct"/>
            <w:tcBorders>
              <w:top w:val="nil"/>
              <w:left w:val="nil"/>
              <w:bottom w:val="nil"/>
              <w:right w:val="nil"/>
            </w:tcBorders>
          </w:tcPr>
          <w:p w14:paraId="19A747C1"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9.652</w:t>
            </w:r>
          </w:p>
        </w:tc>
        <w:tc>
          <w:tcPr>
            <w:tcW w:w="679" w:type="pct"/>
            <w:tcBorders>
              <w:top w:val="nil"/>
              <w:left w:val="nil"/>
              <w:bottom w:val="nil"/>
              <w:right w:val="nil"/>
            </w:tcBorders>
          </w:tcPr>
          <w:p w14:paraId="41786951"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-4.728</w:t>
            </w:r>
          </w:p>
        </w:tc>
        <w:tc>
          <w:tcPr>
            <w:tcW w:w="679" w:type="pct"/>
            <w:tcBorders>
              <w:top w:val="nil"/>
              <w:left w:val="nil"/>
              <w:bottom w:val="nil"/>
              <w:right w:val="nil"/>
            </w:tcBorders>
          </w:tcPr>
          <w:p w14:paraId="436D16BA"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-1.083</w:t>
            </w:r>
          </w:p>
        </w:tc>
        <w:tc>
          <w:tcPr>
            <w:tcW w:w="679" w:type="pct"/>
            <w:tcBorders>
              <w:top w:val="nil"/>
              <w:left w:val="nil"/>
              <w:bottom w:val="nil"/>
              <w:right w:val="nil"/>
            </w:tcBorders>
          </w:tcPr>
          <w:p w14:paraId="4B0DB04A"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-0.432</w:t>
            </w:r>
          </w:p>
        </w:tc>
        <w:tc>
          <w:tcPr>
            <w:tcW w:w="822" w:type="pct"/>
            <w:tcBorders>
              <w:top w:val="nil"/>
              <w:left w:val="nil"/>
              <w:bottom w:val="nil"/>
              <w:right w:val="nil"/>
            </w:tcBorders>
          </w:tcPr>
          <w:p w14:paraId="6730F51A"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0.119</w:t>
            </w:r>
          </w:p>
        </w:tc>
      </w:tr>
      <w:tr w:rsidR="00CD4846" w:rsidRPr="00CD4846" w14:paraId="7EBB69B9" w14:textId="77777777" w:rsidTr="00B82EB9">
        <w:tc>
          <w:tcPr>
            <w:tcW w:w="1462" w:type="pct"/>
            <w:tcBorders>
              <w:top w:val="nil"/>
              <w:left w:val="nil"/>
              <w:bottom w:val="nil"/>
              <w:right w:val="nil"/>
            </w:tcBorders>
          </w:tcPr>
          <w:p w14:paraId="62F51563" w14:textId="519089B9" w:rsidR="00CD4846" w:rsidRPr="00DA465B" w:rsidRDefault="00CD4846" w:rsidP="00DA465B">
            <w:pPr>
              <w:widowControl w:val="0"/>
              <w:autoSpaceDE w:val="0"/>
              <w:autoSpaceDN w:val="0"/>
              <w:adjustRightInd w:val="0"/>
              <w:spacing w:line="240" w:lineRule="auto"/>
              <w:rPr>
                <w:rFonts w:cs="Times New Roman"/>
                <w:kern w:val="2"/>
                <w:sz w:val="20"/>
                <w:szCs w:val="20"/>
                <w:lang/>
              </w:rPr>
            </w:pPr>
          </w:p>
        </w:tc>
        <w:tc>
          <w:tcPr>
            <w:tcW w:w="679" w:type="pct"/>
            <w:tcBorders>
              <w:top w:val="nil"/>
              <w:left w:val="nil"/>
              <w:bottom w:val="nil"/>
              <w:right w:val="nil"/>
            </w:tcBorders>
          </w:tcPr>
          <w:p w14:paraId="6F425E5D"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(6.328)</w:t>
            </w:r>
          </w:p>
        </w:tc>
        <w:tc>
          <w:tcPr>
            <w:tcW w:w="679" w:type="pct"/>
            <w:tcBorders>
              <w:top w:val="nil"/>
              <w:left w:val="nil"/>
              <w:bottom w:val="nil"/>
              <w:right w:val="nil"/>
            </w:tcBorders>
          </w:tcPr>
          <w:p w14:paraId="602B0919"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(8.003)</w:t>
            </w:r>
          </w:p>
        </w:tc>
        <w:tc>
          <w:tcPr>
            <w:tcW w:w="679" w:type="pct"/>
            <w:tcBorders>
              <w:top w:val="nil"/>
              <w:left w:val="nil"/>
              <w:bottom w:val="nil"/>
              <w:right w:val="nil"/>
            </w:tcBorders>
          </w:tcPr>
          <w:p w14:paraId="6E08F2E6"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(9.914)</w:t>
            </w:r>
          </w:p>
        </w:tc>
        <w:tc>
          <w:tcPr>
            <w:tcW w:w="679" w:type="pct"/>
            <w:tcBorders>
              <w:top w:val="nil"/>
              <w:left w:val="nil"/>
              <w:bottom w:val="nil"/>
              <w:right w:val="nil"/>
            </w:tcBorders>
          </w:tcPr>
          <w:p w14:paraId="685B5431"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(1.236)</w:t>
            </w:r>
          </w:p>
        </w:tc>
        <w:tc>
          <w:tcPr>
            <w:tcW w:w="822" w:type="pct"/>
            <w:tcBorders>
              <w:top w:val="nil"/>
              <w:left w:val="nil"/>
              <w:bottom w:val="nil"/>
              <w:right w:val="nil"/>
            </w:tcBorders>
          </w:tcPr>
          <w:p w14:paraId="12B9D8B6"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(1.946)</w:t>
            </w:r>
          </w:p>
        </w:tc>
      </w:tr>
      <w:tr w:rsidR="00CD4846" w:rsidRPr="00CD4846" w14:paraId="40FA7418" w14:textId="77777777" w:rsidTr="00B82EB9">
        <w:tc>
          <w:tcPr>
            <w:tcW w:w="1462" w:type="pct"/>
            <w:tcBorders>
              <w:top w:val="nil"/>
              <w:left w:val="nil"/>
              <w:bottom w:val="nil"/>
              <w:right w:val="nil"/>
            </w:tcBorders>
          </w:tcPr>
          <w:p w14:paraId="76D3D377" w14:textId="310069BB"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Sales Volume (t-1)</w:t>
            </w:r>
          </w:p>
        </w:tc>
        <w:tc>
          <w:tcPr>
            <w:tcW w:w="679" w:type="pct"/>
            <w:tcBorders>
              <w:top w:val="nil"/>
              <w:left w:val="nil"/>
              <w:bottom w:val="nil"/>
              <w:right w:val="nil"/>
            </w:tcBorders>
          </w:tcPr>
          <w:p w14:paraId="376486C6"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-15.461</w:t>
            </w:r>
          </w:p>
        </w:tc>
        <w:tc>
          <w:tcPr>
            <w:tcW w:w="679" w:type="pct"/>
            <w:tcBorders>
              <w:top w:val="nil"/>
              <w:left w:val="nil"/>
              <w:bottom w:val="nil"/>
              <w:right w:val="nil"/>
            </w:tcBorders>
          </w:tcPr>
          <w:p w14:paraId="26932E3A"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-0.791</w:t>
            </w:r>
          </w:p>
        </w:tc>
        <w:tc>
          <w:tcPr>
            <w:tcW w:w="679" w:type="pct"/>
            <w:tcBorders>
              <w:top w:val="nil"/>
              <w:left w:val="nil"/>
              <w:bottom w:val="nil"/>
              <w:right w:val="nil"/>
            </w:tcBorders>
          </w:tcPr>
          <w:p w14:paraId="776127CE"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3.042</w:t>
            </w:r>
          </w:p>
        </w:tc>
        <w:tc>
          <w:tcPr>
            <w:tcW w:w="679" w:type="pct"/>
            <w:tcBorders>
              <w:top w:val="nil"/>
              <w:left w:val="nil"/>
              <w:bottom w:val="nil"/>
              <w:right w:val="nil"/>
            </w:tcBorders>
          </w:tcPr>
          <w:p w14:paraId="654107A3"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-6.761</w:t>
            </w:r>
          </w:p>
        </w:tc>
        <w:tc>
          <w:tcPr>
            <w:tcW w:w="822" w:type="pct"/>
            <w:tcBorders>
              <w:top w:val="nil"/>
              <w:left w:val="nil"/>
              <w:bottom w:val="nil"/>
              <w:right w:val="nil"/>
            </w:tcBorders>
          </w:tcPr>
          <w:p w14:paraId="0ACEF786"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-1.390</w:t>
            </w:r>
          </w:p>
        </w:tc>
      </w:tr>
      <w:tr w:rsidR="00CD4846" w:rsidRPr="00CD4846" w14:paraId="09AA6218" w14:textId="77777777" w:rsidTr="00B82EB9">
        <w:tc>
          <w:tcPr>
            <w:tcW w:w="1462" w:type="pct"/>
            <w:tcBorders>
              <w:top w:val="nil"/>
              <w:left w:val="nil"/>
              <w:bottom w:val="nil"/>
              <w:right w:val="nil"/>
            </w:tcBorders>
          </w:tcPr>
          <w:p w14:paraId="6344A132" w14:textId="77E4F782" w:rsidR="00CD4846" w:rsidRPr="00DA465B" w:rsidRDefault="00CD4846" w:rsidP="00DA465B">
            <w:pPr>
              <w:widowControl w:val="0"/>
              <w:autoSpaceDE w:val="0"/>
              <w:autoSpaceDN w:val="0"/>
              <w:adjustRightInd w:val="0"/>
              <w:spacing w:line="240" w:lineRule="auto"/>
              <w:rPr>
                <w:rFonts w:cs="Times New Roman"/>
                <w:kern w:val="2"/>
                <w:sz w:val="20"/>
                <w:szCs w:val="20"/>
                <w:lang/>
              </w:rPr>
            </w:pPr>
          </w:p>
        </w:tc>
        <w:tc>
          <w:tcPr>
            <w:tcW w:w="679" w:type="pct"/>
            <w:tcBorders>
              <w:top w:val="nil"/>
              <w:left w:val="nil"/>
              <w:bottom w:val="nil"/>
              <w:right w:val="nil"/>
            </w:tcBorders>
          </w:tcPr>
          <w:p w14:paraId="5AE8EB41"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(21.243)</w:t>
            </w:r>
          </w:p>
        </w:tc>
        <w:tc>
          <w:tcPr>
            <w:tcW w:w="679" w:type="pct"/>
            <w:tcBorders>
              <w:top w:val="nil"/>
              <w:left w:val="nil"/>
              <w:bottom w:val="nil"/>
              <w:right w:val="nil"/>
            </w:tcBorders>
          </w:tcPr>
          <w:p w14:paraId="349612A0"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(5.538)</w:t>
            </w:r>
          </w:p>
        </w:tc>
        <w:tc>
          <w:tcPr>
            <w:tcW w:w="679" w:type="pct"/>
            <w:tcBorders>
              <w:top w:val="nil"/>
              <w:left w:val="nil"/>
              <w:bottom w:val="nil"/>
              <w:right w:val="nil"/>
            </w:tcBorders>
          </w:tcPr>
          <w:p w14:paraId="7C55612F"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(4.974)</w:t>
            </w:r>
          </w:p>
        </w:tc>
        <w:tc>
          <w:tcPr>
            <w:tcW w:w="679" w:type="pct"/>
            <w:tcBorders>
              <w:top w:val="nil"/>
              <w:left w:val="nil"/>
              <w:bottom w:val="nil"/>
              <w:right w:val="nil"/>
            </w:tcBorders>
          </w:tcPr>
          <w:p w14:paraId="727E38D7"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(18.594)</w:t>
            </w:r>
          </w:p>
        </w:tc>
        <w:tc>
          <w:tcPr>
            <w:tcW w:w="822" w:type="pct"/>
            <w:tcBorders>
              <w:top w:val="nil"/>
              <w:left w:val="nil"/>
              <w:bottom w:val="nil"/>
              <w:right w:val="nil"/>
            </w:tcBorders>
          </w:tcPr>
          <w:p w14:paraId="6F57782E"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(1.277)</w:t>
            </w:r>
          </w:p>
        </w:tc>
      </w:tr>
      <w:tr w:rsidR="00CD4846" w:rsidRPr="00CD4846" w14:paraId="102E6412" w14:textId="77777777" w:rsidTr="00B82EB9">
        <w:tc>
          <w:tcPr>
            <w:tcW w:w="1462" w:type="pct"/>
            <w:tcBorders>
              <w:top w:val="nil"/>
              <w:left w:val="nil"/>
              <w:bottom w:val="nil"/>
              <w:right w:val="nil"/>
            </w:tcBorders>
          </w:tcPr>
          <w:p w14:paraId="6881DD0D" w14:textId="25F8287E"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Prior Births (1ks)</w:t>
            </w:r>
          </w:p>
        </w:tc>
        <w:tc>
          <w:tcPr>
            <w:tcW w:w="679" w:type="pct"/>
            <w:tcBorders>
              <w:top w:val="nil"/>
              <w:left w:val="nil"/>
              <w:bottom w:val="nil"/>
              <w:right w:val="nil"/>
            </w:tcBorders>
          </w:tcPr>
          <w:p w14:paraId="590A2D9D"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-5.537</w:t>
            </w:r>
          </w:p>
        </w:tc>
        <w:tc>
          <w:tcPr>
            <w:tcW w:w="679" w:type="pct"/>
            <w:tcBorders>
              <w:top w:val="nil"/>
              <w:left w:val="nil"/>
              <w:bottom w:val="nil"/>
              <w:right w:val="nil"/>
            </w:tcBorders>
          </w:tcPr>
          <w:p w14:paraId="7684BD78"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0.885</w:t>
            </w:r>
          </w:p>
        </w:tc>
        <w:tc>
          <w:tcPr>
            <w:tcW w:w="679" w:type="pct"/>
            <w:tcBorders>
              <w:top w:val="nil"/>
              <w:left w:val="nil"/>
              <w:bottom w:val="nil"/>
              <w:right w:val="nil"/>
            </w:tcBorders>
          </w:tcPr>
          <w:p w14:paraId="5D6591D6"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-45.662**</w:t>
            </w:r>
          </w:p>
        </w:tc>
        <w:tc>
          <w:tcPr>
            <w:tcW w:w="679" w:type="pct"/>
            <w:tcBorders>
              <w:top w:val="nil"/>
              <w:left w:val="nil"/>
              <w:bottom w:val="nil"/>
              <w:right w:val="nil"/>
            </w:tcBorders>
          </w:tcPr>
          <w:p w14:paraId="1C98B8A7"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-0.039</w:t>
            </w:r>
          </w:p>
        </w:tc>
        <w:tc>
          <w:tcPr>
            <w:tcW w:w="822" w:type="pct"/>
            <w:tcBorders>
              <w:top w:val="nil"/>
              <w:left w:val="nil"/>
              <w:bottom w:val="nil"/>
              <w:right w:val="nil"/>
            </w:tcBorders>
          </w:tcPr>
          <w:p w14:paraId="29F0A673"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0.019</w:t>
            </w:r>
          </w:p>
        </w:tc>
      </w:tr>
      <w:tr w:rsidR="00CD4846" w:rsidRPr="00CD4846" w14:paraId="4C2092CC" w14:textId="77777777" w:rsidTr="00B82EB9">
        <w:tc>
          <w:tcPr>
            <w:tcW w:w="1462" w:type="pct"/>
            <w:tcBorders>
              <w:top w:val="nil"/>
              <w:left w:val="nil"/>
              <w:bottom w:val="nil"/>
              <w:right w:val="nil"/>
            </w:tcBorders>
          </w:tcPr>
          <w:p w14:paraId="5EC1B54B" w14:textId="3C3643C3" w:rsidR="00CD4846" w:rsidRPr="00DA465B" w:rsidRDefault="00CD4846" w:rsidP="00DA465B">
            <w:pPr>
              <w:widowControl w:val="0"/>
              <w:autoSpaceDE w:val="0"/>
              <w:autoSpaceDN w:val="0"/>
              <w:adjustRightInd w:val="0"/>
              <w:spacing w:line="240" w:lineRule="auto"/>
              <w:rPr>
                <w:rFonts w:cs="Times New Roman"/>
                <w:kern w:val="2"/>
                <w:sz w:val="20"/>
                <w:szCs w:val="20"/>
                <w:lang/>
              </w:rPr>
            </w:pPr>
          </w:p>
        </w:tc>
        <w:tc>
          <w:tcPr>
            <w:tcW w:w="679" w:type="pct"/>
            <w:tcBorders>
              <w:top w:val="nil"/>
              <w:left w:val="nil"/>
              <w:bottom w:val="nil"/>
              <w:right w:val="nil"/>
            </w:tcBorders>
          </w:tcPr>
          <w:p w14:paraId="4854E546"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(4.027)</w:t>
            </w:r>
          </w:p>
        </w:tc>
        <w:tc>
          <w:tcPr>
            <w:tcW w:w="679" w:type="pct"/>
            <w:tcBorders>
              <w:top w:val="nil"/>
              <w:left w:val="nil"/>
              <w:bottom w:val="nil"/>
              <w:right w:val="nil"/>
            </w:tcBorders>
          </w:tcPr>
          <w:p w14:paraId="7BEC7EE6"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(1.065)</w:t>
            </w:r>
          </w:p>
        </w:tc>
        <w:tc>
          <w:tcPr>
            <w:tcW w:w="679" w:type="pct"/>
            <w:tcBorders>
              <w:top w:val="nil"/>
              <w:left w:val="nil"/>
              <w:bottom w:val="nil"/>
              <w:right w:val="nil"/>
            </w:tcBorders>
          </w:tcPr>
          <w:p w14:paraId="3ACD40E8"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(20.722)</w:t>
            </w:r>
          </w:p>
        </w:tc>
        <w:tc>
          <w:tcPr>
            <w:tcW w:w="679" w:type="pct"/>
            <w:tcBorders>
              <w:top w:val="nil"/>
              <w:left w:val="nil"/>
              <w:bottom w:val="nil"/>
              <w:right w:val="nil"/>
            </w:tcBorders>
          </w:tcPr>
          <w:p w14:paraId="6F3FC7CA"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(0.026)</w:t>
            </w:r>
          </w:p>
        </w:tc>
        <w:tc>
          <w:tcPr>
            <w:tcW w:w="822" w:type="pct"/>
            <w:tcBorders>
              <w:top w:val="nil"/>
              <w:left w:val="nil"/>
              <w:bottom w:val="nil"/>
              <w:right w:val="nil"/>
            </w:tcBorders>
          </w:tcPr>
          <w:p w14:paraId="7CE08378"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(0.140)</w:t>
            </w:r>
          </w:p>
        </w:tc>
      </w:tr>
      <w:tr w:rsidR="00CD4846" w:rsidRPr="00CD4846" w14:paraId="32FDEC4C" w14:textId="77777777" w:rsidTr="00B82EB9">
        <w:tc>
          <w:tcPr>
            <w:tcW w:w="1462" w:type="pct"/>
            <w:tcBorders>
              <w:top w:val="nil"/>
              <w:left w:val="nil"/>
              <w:bottom w:val="nil"/>
              <w:right w:val="nil"/>
            </w:tcBorders>
          </w:tcPr>
          <w:p w14:paraId="18AC6DDC" w14:textId="08D26F74"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Prior Deaths (1ks)</w:t>
            </w:r>
          </w:p>
        </w:tc>
        <w:tc>
          <w:tcPr>
            <w:tcW w:w="679" w:type="pct"/>
            <w:tcBorders>
              <w:top w:val="nil"/>
              <w:left w:val="nil"/>
              <w:bottom w:val="nil"/>
              <w:right w:val="nil"/>
            </w:tcBorders>
          </w:tcPr>
          <w:p w14:paraId="29FF4AEB"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1.414</w:t>
            </w:r>
          </w:p>
        </w:tc>
        <w:tc>
          <w:tcPr>
            <w:tcW w:w="679" w:type="pct"/>
            <w:tcBorders>
              <w:top w:val="nil"/>
              <w:left w:val="nil"/>
              <w:bottom w:val="nil"/>
              <w:right w:val="nil"/>
            </w:tcBorders>
          </w:tcPr>
          <w:p w14:paraId="41E9E37A"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0.667</w:t>
            </w:r>
          </w:p>
        </w:tc>
        <w:tc>
          <w:tcPr>
            <w:tcW w:w="679" w:type="pct"/>
            <w:tcBorders>
              <w:top w:val="nil"/>
              <w:left w:val="nil"/>
              <w:bottom w:val="nil"/>
              <w:right w:val="nil"/>
            </w:tcBorders>
          </w:tcPr>
          <w:p w14:paraId="44C88B73"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11.319</w:t>
            </w:r>
          </w:p>
        </w:tc>
        <w:tc>
          <w:tcPr>
            <w:tcW w:w="679" w:type="pct"/>
            <w:tcBorders>
              <w:top w:val="nil"/>
              <w:left w:val="nil"/>
              <w:bottom w:val="nil"/>
              <w:right w:val="nil"/>
            </w:tcBorders>
          </w:tcPr>
          <w:p w14:paraId="5C9A833B"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-0.240***</w:t>
            </w:r>
          </w:p>
        </w:tc>
        <w:tc>
          <w:tcPr>
            <w:tcW w:w="822" w:type="pct"/>
            <w:tcBorders>
              <w:top w:val="nil"/>
              <w:left w:val="nil"/>
              <w:bottom w:val="nil"/>
              <w:right w:val="nil"/>
            </w:tcBorders>
          </w:tcPr>
          <w:p w14:paraId="2EA96113"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0.116</w:t>
            </w:r>
          </w:p>
        </w:tc>
      </w:tr>
      <w:tr w:rsidR="00CD4846" w:rsidRPr="00CD4846" w14:paraId="35EF6788" w14:textId="77777777" w:rsidTr="00B82EB9">
        <w:tc>
          <w:tcPr>
            <w:tcW w:w="1462" w:type="pct"/>
            <w:tcBorders>
              <w:top w:val="nil"/>
              <w:left w:val="nil"/>
              <w:bottom w:val="nil"/>
              <w:right w:val="nil"/>
            </w:tcBorders>
          </w:tcPr>
          <w:p w14:paraId="525EE3A5" w14:textId="0C0A5FEE" w:rsidR="00CD4846" w:rsidRPr="00DA465B" w:rsidRDefault="00CD4846" w:rsidP="00DA465B">
            <w:pPr>
              <w:widowControl w:val="0"/>
              <w:autoSpaceDE w:val="0"/>
              <w:autoSpaceDN w:val="0"/>
              <w:adjustRightInd w:val="0"/>
              <w:spacing w:line="240" w:lineRule="auto"/>
              <w:rPr>
                <w:rFonts w:cs="Times New Roman"/>
                <w:kern w:val="2"/>
                <w:sz w:val="20"/>
                <w:szCs w:val="20"/>
                <w:lang/>
              </w:rPr>
            </w:pPr>
          </w:p>
        </w:tc>
        <w:tc>
          <w:tcPr>
            <w:tcW w:w="679" w:type="pct"/>
            <w:tcBorders>
              <w:top w:val="nil"/>
              <w:left w:val="nil"/>
              <w:bottom w:val="nil"/>
              <w:right w:val="nil"/>
            </w:tcBorders>
          </w:tcPr>
          <w:p w14:paraId="1D500816"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(5.471)</w:t>
            </w:r>
          </w:p>
        </w:tc>
        <w:tc>
          <w:tcPr>
            <w:tcW w:w="679" w:type="pct"/>
            <w:tcBorders>
              <w:top w:val="nil"/>
              <w:left w:val="nil"/>
              <w:bottom w:val="nil"/>
              <w:right w:val="nil"/>
            </w:tcBorders>
          </w:tcPr>
          <w:p w14:paraId="2252F0FC"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(1.593)</w:t>
            </w:r>
          </w:p>
        </w:tc>
        <w:tc>
          <w:tcPr>
            <w:tcW w:w="679" w:type="pct"/>
            <w:tcBorders>
              <w:top w:val="nil"/>
              <w:left w:val="nil"/>
              <w:bottom w:val="nil"/>
              <w:right w:val="nil"/>
            </w:tcBorders>
          </w:tcPr>
          <w:p w14:paraId="62F3C7D7"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(14.152)</w:t>
            </w:r>
          </w:p>
        </w:tc>
        <w:tc>
          <w:tcPr>
            <w:tcW w:w="679" w:type="pct"/>
            <w:tcBorders>
              <w:top w:val="nil"/>
              <w:left w:val="nil"/>
              <w:bottom w:val="nil"/>
              <w:right w:val="nil"/>
            </w:tcBorders>
          </w:tcPr>
          <w:p w14:paraId="3D466A35"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(0.051)</w:t>
            </w:r>
          </w:p>
        </w:tc>
        <w:tc>
          <w:tcPr>
            <w:tcW w:w="822" w:type="pct"/>
            <w:tcBorders>
              <w:top w:val="nil"/>
              <w:left w:val="nil"/>
              <w:bottom w:val="nil"/>
              <w:right w:val="nil"/>
            </w:tcBorders>
          </w:tcPr>
          <w:p w14:paraId="51654AB2"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(0.087)</w:t>
            </w:r>
          </w:p>
        </w:tc>
      </w:tr>
      <w:tr w:rsidR="00CD4846" w:rsidRPr="00CD4846" w14:paraId="1E149AC5" w14:textId="77777777" w:rsidTr="00B82EB9">
        <w:tc>
          <w:tcPr>
            <w:tcW w:w="1462" w:type="pct"/>
            <w:tcBorders>
              <w:top w:val="nil"/>
              <w:left w:val="nil"/>
              <w:bottom w:val="nil"/>
              <w:right w:val="nil"/>
            </w:tcBorders>
          </w:tcPr>
          <w:p w14:paraId="3C639038" w14:textId="050ED613"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Prior inward relocations (1ks)</w:t>
            </w:r>
          </w:p>
        </w:tc>
        <w:tc>
          <w:tcPr>
            <w:tcW w:w="679" w:type="pct"/>
            <w:tcBorders>
              <w:top w:val="nil"/>
              <w:left w:val="nil"/>
              <w:bottom w:val="nil"/>
              <w:right w:val="nil"/>
            </w:tcBorders>
          </w:tcPr>
          <w:p w14:paraId="52A07694"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68.596</w:t>
            </w:r>
          </w:p>
        </w:tc>
        <w:tc>
          <w:tcPr>
            <w:tcW w:w="679" w:type="pct"/>
            <w:tcBorders>
              <w:top w:val="nil"/>
              <w:left w:val="nil"/>
              <w:bottom w:val="nil"/>
              <w:right w:val="nil"/>
            </w:tcBorders>
          </w:tcPr>
          <w:p w14:paraId="70F1FB7B"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82.933**</w:t>
            </w:r>
          </w:p>
        </w:tc>
        <w:tc>
          <w:tcPr>
            <w:tcW w:w="679" w:type="pct"/>
            <w:tcBorders>
              <w:top w:val="nil"/>
              <w:left w:val="nil"/>
              <w:bottom w:val="nil"/>
              <w:right w:val="nil"/>
            </w:tcBorders>
          </w:tcPr>
          <w:p w14:paraId="0E499738"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182.467</w:t>
            </w:r>
          </w:p>
        </w:tc>
        <w:tc>
          <w:tcPr>
            <w:tcW w:w="679" w:type="pct"/>
            <w:tcBorders>
              <w:top w:val="nil"/>
              <w:left w:val="nil"/>
              <w:bottom w:val="nil"/>
              <w:right w:val="nil"/>
            </w:tcBorders>
          </w:tcPr>
          <w:p w14:paraId="383B0ACC"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5.944***</w:t>
            </w:r>
          </w:p>
        </w:tc>
        <w:tc>
          <w:tcPr>
            <w:tcW w:w="822" w:type="pct"/>
            <w:tcBorders>
              <w:top w:val="nil"/>
              <w:left w:val="nil"/>
              <w:bottom w:val="nil"/>
              <w:right w:val="nil"/>
            </w:tcBorders>
          </w:tcPr>
          <w:p w14:paraId="4C1A0A94"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17.849***</w:t>
            </w:r>
          </w:p>
        </w:tc>
      </w:tr>
      <w:tr w:rsidR="00CD4846" w:rsidRPr="00CD4846" w14:paraId="4AF1CDC0" w14:textId="77777777" w:rsidTr="00B82EB9">
        <w:tc>
          <w:tcPr>
            <w:tcW w:w="1462" w:type="pct"/>
            <w:tcBorders>
              <w:top w:val="nil"/>
              <w:left w:val="nil"/>
              <w:bottom w:val="nil"/>
              <w:right w:val="nil"/>
            </w:tcBorders>
          </w:tcPr>
          <w:p w14:paraId="17824A97" w14:textId="25375B9D" w:rsidR="00CD4846" w:rsidRPr="00DA465B" w:rsidRDefault="00CD4846" w:rsidP="00DA465B">
            <w:pPr>
              <w:widowControl w:val="0"/>
              <w:autoSpaceDE w:val="0"/>
              <w:autoSpaceDN w:val="0"/>
              <w:adjustRightInd w:val="0"/>
              <w:spacing w:line="240" w:lineRule="auto"/>
              <w:rPr>
                <w:rFonts w:cs="Times New Roman"/>
                <w:kern w:val="2"/>
                <w:sz w:val="20"/>
                <w:szCs w:val="20"/>
                <w:lang/>
              </w:rPr>
            </w:pPr>
          </w:p>
        </w:tc>
        <w:tc>
          <w:tcPr>
            <w:tcW w:w="679" w:type="pct"/>
            <w:tcBorders>
              <w:top w:val="nil"/>
              <w:left w:val="nil"/>
              <w:bottom w:val="nil"/>
              <w:right w:val="nil"/>
            </w:tcBorders>
          </w:tcPr>
          <w:p w14:paraId="7C744038"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(53.501)</w:t>
            </w:r>
          </w:p>
        </w:tc>
        <w:tc>
          <w:tcPr>
            <w:tcW w:w="679" w:type="pct"/>
            <w:tcBorders>
              <w:top w:val="nil"/>
              <w:left w:val="nil"/>
              <w:bottom w:val="nil"/>
              <w:right w:val="nil"/>
            </w:tcBorders>
          </w:tcPr>
          <w:p w14:paraId="12D09B7C"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(38.306)</w:t>
            </w:r>
          </w:p>
        </w:tc>
        <w:tc>
          <w:tcPr>
            <w:tcW w:w="679" w:type="pct"/>
            <w:tcBorders>
              <w:top w:val="nil"/>
              <w:left w:val="nil"/>
              <w:bottom w:val="nil"/>
              <w:right w:val="nil"/>
            </w:tcBorders>
          </w:tcPr>
          <w:p w14:paraId="67E99054"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(122.018)</w:t>
            </w:r>
          </w:p>
        </w:tc>
        <w:tc>
          <w:tcPr>
            <w:tcW w:w="679" w:type="pct"/>
            <w:tcBorders>
              <w:top w:val="nil"/>
              <w:left w:val="nil"/>
              <w:bottom w:val="nil"/>
              <w:right w:val="nil"/>
            </w:tcBorders>
          </w:tcPr>
          <w:p w14:paraId="0652CDC5"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(1.709)</w:t>
            </w:r>
          </w:p>
        </w:tc>
        <w:tc>
          <w:tcPr>
            <w:tcW w:w="822" w:type="pct"/>
            <w:tcBorders>
              <w:top w:val="nil"/>
              <w:left w:val="nil"/>
              <w:bottom w:val="nil"/>
              <w:right w:val="nil"/>
            </w:tcBorders>
          </w:tcPr>
          <w:p w14:paraId="31ACBD95"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(4.709)</w:t>
            </w:r>
          </w:p>
        </w:tc>
      </w:tr>
      <w:tr w:rsidR="00CD4846" w:rsidRPr="00CD4846" w14:paraId="3627FC4D" w14:textId="77777777" w:rsidTr="00B82EB9">
        <w:tc>
          <w:tcPr>
            <w:tcW w:w="1462" w:type="pct"/>
            <w:tcBorders>
              <w:top w:val="nil"/>
              <w:left w:val="nil"/>
              <w:bottom w:val="nil"/>
              <w:right w:val="nil"/>
            </w:tcBorders>
          </w:tcPr>
          <w:p w14:paraId="396F29AC"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Constant</w:t>
            </w:r>
          </w:p>
        </w:tc>
        <w:tc>
          <w:tcPr>
            <w:tcW w:w="679" w:type="pct"/>
            <w:tcBorders>
              <w:top w:val="nil"/>
              <w:left w:val="nil"/>
              <w:bottom w:val="nil"/>
              <w:right w:val="nil"/>
            </w:tcBorders>
          </w:tcPr>
          <w:p w14:paraId="789E8D0A"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-0.813</w:t>
            </w:r>
          </w:p>
        </w:tc>
        <w:tc>
          <w:tcPr>
            <w:tcW w:w="679" w:type="pct"/>
            <w:tcBorders>
              <w:top w:val="nil"/>
              <w:left w:val="nil"/>
              <w:bottom w:val="nil"/>
              <w:right w:val="nil"/>
            </w:tcBorders>
          </w:tcPr>
          <w:p w14:paraId="7595A580"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2.034</w:t>
            </w:r>
          </w:p>
        </w:tc>
        <w:tc>
          <w:tcPr>
            <w:tcW w:w="679" w:type="pct"/>
            <w:tcBorders>
              <w:top w:val="nil"/>
              <w:left w:val="nil"/>
              <w:bottom w:val="nil"/>
              <w:right w:val="nil"/>
            </w:tcBorders>
          </w:tcPr>
          <w:p w14:paraId="08FB1CDC"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1.738</w:t>
            </w:r>
          </w:p>
        </w:tc>
        <w:tc>
          <w:tcPr>
            <w:tcW w:w="679" w:type="pct"/>
            <w:tcBorders>
              <w:top w:val="nil"/>
              <w:left w:val="nil"/>
              <w:bottom w:val="nil"/>
              <w:right w:val="nil"/>
            </w:tcBorders>
          </w:tcPr>
          <w:p w14:paraId="248ED30E"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1.515***</w:t>
            </w:r>
          </w:p>
        </w:tc>
        <w:tc>
          <w:tcPr>
            <w:tcW w:w="822" w:type="pct"/>
            <w:tcBorders>
              <w:top w:val="nil"/>
              <w:left w:val="nil"/>
              <w:bottom w:val="nil"/>
              <w:right w:val="nil"/>
            </w:tcBorders>
          </w:tcPr>
          <w:p w14:paraId="16437D3B"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1.210*</w:t>
            </w:r>
          </w:p>
        </w:tc>
      </w:tr>
      <w:tr w:rsidR="00CD4846" w:rsidRPr="00CD4846" w14:paraId="3F4A3634" w14:textId="77777777" w:rsidTr="00B82EB9">
        <w:tc>
          <w:tcPr>
            <w:tcW w:w="1462" w:type="pct"/>
            <w:tcBorders>
              <w:top w:val="nil"/>
              <w:left w:val="nil"/>
              <w:bottom w:val="nil"/>
              <w:right w:val="nil"/>
            </w:tcBorders>
          </w:tcPr>
          <w:p w14:paraId="3706F4D5" w14:textId="57C25F2A" w:rsidR="00CD4846" w:rsidRPr="00DA465B" w:rsidRDefault="00CD4846" w:rsidP="00DA465B">
            <w:pPr>
              <w:widowControl w:val="0"/>
              <w:autoSpaceDE w:val="0"/>
              <w:autoSpaceDN w:val="0"/>
              <w:adjustRightInd w:val="0"/>
              <w:spacing w:line="240" w:lineRule="auto"/>
              <w:rPr>
                <w:rFonts w:cs="Times New Roman"/>
                <w:kern w:val="2"/>
                <w:sz w:val="20"/>
                <w:szCs w:val="20"/>
                <w:lang/>
              </w:rPr>
            </w:pPr>
          </w:p>
        </w:tc>
        <w:tc>
          <w:tcPr>
            <w:tcW w:w="679" w:type="pct"/>
            <w:tcBorders>
              <w:top w:val="nil"/>
              <w:left w:val="nil"/>
              <w:bottom w:val="nil"/>
              <w:right w:val="nil"/>
            </w:tcBorders>
          </w:tcPr>
          <w:p w14:paraId="20EB6792"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(1.867)</w:t>
            </w:r>
          </w:p>
        </w:tc>
        <w:tc>
          <w:tcPr>
            <w:tcW w:w="679" w:type="pct"/>
            <w:tcBorders>
              <w:top w:val="nil"/>
              <w:left w:val="nil"/>
              <w:bottom w:val="nil"/>
              <w:right w:val="nil"/>
            </w:tcBorders>
          </w:tcPr>
          <w:p w14:paraId="01F11DDD"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(2.314)</w:t>
            </w:r>
          </w:p>
        </w:tc>
        <w:tc>
          <w:tcPr>
            <w:tcW w:w="679" w:type="pct"/>
            <w:tcBorders>
              <w:top w:val="nil"/>
              <w:left w:val="nil"/>
              <w:bottom w:val="nil"/>
              <w:right w:val="nil"/>
            </w:tcBorders>
          </w:tcPr>
          <w:p w14:paraId="1A136840"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(2.797)</w:t>
            </w:r>
          </w:p>
        </w:tc>
        <w:tc>
          <w:tcPr>
            <w:tcW w:w="679" w:type="pct"/>
            <w:tcBorders>
              <w:top w:val="nil"/>
              <w:left w:val="nil"/>
              <w:bottom w:val="nil"/>
              <w:right w:val="nil"/>
            </w:tcBorders>
          </w:tcPr>
          <w:p w14:paraId="7593253C"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(0.345)</w:t>
            </w:r>
          </w:p>
        </w:tc>
        <w:tc>
          <w:tcPr>
            <w:tcW w:w="822" w:type="pct"/>
            <w:tcBorders>
              <w:top w:val="nil"/>
              <w:left w:val="nil"/>
              <w:bottom w:val="nil"/>
              <w:right w:val="nil"/>
            </w:tcBorders>
          </w:tcPr>
          <w:p w14:paraId="2908524E"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(0.638)</w:t>
            </w:r>
          </w:p>
        </w:tc>
      </w:tr>
      <w:tr w:rsidR="00CD4846" w:rsidRPr="00CD4846" w14:paraId="6C4B30BF" w14:textId="77777777" w:rsidTr="00B82EB9">
        <w:tc>
          <w:tcPr>
            <w:tcW w:w="1462" w:type="pct"/>
            <w:tcBorders>
              <w:top w:val="nil"/>
              <w:left w:val="nil"/>
              <w:bottom w:val="nil"/>
              <w:right w:val="nil"/>
            </w:tcBorders>
          </w:tcPr>
          <w:p w14:paraId="1D0E47C1" w14:textId="56C9B2E3"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Observations</w:t>
            </w:r>
          </w:p>
        </w:tc>
        <w:tc>
          <w:tcPr>
            <w:tcW w:w="679" w:type="pct"/>
            <w:tcBorders>
              <w:top w:val="nil"/>
              <w:left w:val="nil"/>
              <w:bottom w:val="nil"/>
              <w:right w:val="nil"/>
            </w:tcBorders>
          </w:tcPr>
          <w:p w14:paraId="47E368F1"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4610</w:t>
            </w:r>
          </w:p>
        </w:tc>
        <w:tc>
          <w:tcPr>
            <w:tcW w:w="679" w:type="pct"/>
            <w:tcBorders>
              <w:top w:val="nil"/>
              <w:left w:val="nil"/>
              <w:bottom w:val="nil"/>
              <w:right w:val="nil"/>
            </w:tcBorders>
          </w:tcPr>
          <w:p w14:paraId="7A3DB75F"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2080</w:t>
            </w:r>
          </w:p>
        </w:tc>
        <w:tc>
          <w:tcPr>
            <w:tcW w:w="679" w:type="pct"/>
            <w:tcBorders>
              <w:top w:val="nil"/>
              <w:left w:val="nil"/>
              <w:bottom w:val="nil"/>
              <w:right w:val="nil"/>
            </w:tcBorders>
          </w:tcPr>
          <w:p w14:paraId="2CB09ED7"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2076</w:t>
            </w:r>
          </w:p>
        </w:tc>
        <w:tc>
          <w:tcPr>
            <w:tcW w:w="679" w:type="pct"/>
            <w:tcBorders>
              <w:top w:val="nil"/>
              <w:left w:val="nil"/>
              <w:bottom w:val="nil"/>
              <w:right w:val="nil"/>
            </w:tcBorders>
          </w:tcPr>
          <w:p w14:paraId="0ECA642B"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22232</w:t>
            </w:r>
          </w:p>
        </w:tc>
        <w:tc>
          <w:tcPr>
            <w:tcW w:w="822" w:type="pct"/>
            <w:tcBorders>
              <w:top w:val="nil"/>
              <w:left w:val="nil"/>
              <w:bottom w:val="nil"/>
              <w:right w:val="nil"/>
            </w:tcBorders>
          </w:tcPr>
          <w:p w14:paraId="057172BB"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16601</w:t>
            </w:r>
          </w:p>
        </w:tc>
      </w:tr>
      <w:tr w:rsidR="00CD4846" w:rsidRPr="00CD4846" w14:paraId="290658BD" w14:textId="77777777" w:rsidTr="00B82EB9">
        <w:tc>
          <w:tcPr>
            <w:tcW w:w="1462" w:type="pct"/>
            <w:tcBorders>
              <w:top w:val="nil"/>
              <w:left w:val="nil"/>
              <w:bottom w:val="nil"/>
              <w:right w:val="nil"/>
            </w:tcBorders>
          </w:tcPr>
          <w:p w14:paraId="1B99EDCD" w14:textId="12E08622"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Pseudo R</w:t>
            </w:r>
            <w:r w:rsidRPr="00DA465B">
              <w:rPr>
                <w:rFonts w:cs="Times New Roman"/>
                <w:kern w:val="2"/>
                <w:sz w:val="20"/>
                <w:szCs w:val="20"/>
                <w:vertAlign w:val="superscript"/>
                <w:lang/>
              </w:rPr>
              <w:t>2</w:t>
            </w:r>
          </w:p>
        </w:tc>
        <w:tc>
          <w:tcPr>
            <w:tcW w:w="679" w:type="pct"/>
            <w:tcBorders>
              <w:top w:val="nil"/>
              <w:left w:val="nil"/>
              <w:bottom w:val="nil"/>
              <w:right w:val="nil"/>
            </w:tcBorders>
          </w:tcPr>
          <w:p w14:paraId="7B447FDA"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0.174</w:t>
            </w:r>
          </w:p>
        </w:tc>
        <w:tc>
          <w:tcPr>
            <w:tcW w:w="679" w:type="pct"/>
            <w:tcBorders>
              <w:top w:val="nil"/>
              <w:left w:val="nil"/>
              <w:bottom w:val="nil"/>
              <w:right w:val="nil"/>
            </w:tcBorders>
          </w:tcPr>
          <w:p w14:paraId="0DE9B8BF"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0.289</w:t>
            </w:r>
          </w:p>
        </w:tc>
        <w:tc>
          <w:tcPr>
            <w:tcW w:w="679" w:type="pct"/>
            <w:tcBorders>
              <w:top w:val="nil"/>
              <w:left w:val="nil"/>
              <w:bottom w:val="nil"/>
              <w:right w:val="nil"/>
            </w:tcBorders>
          </w:tcPr>
          <w:p w14:paraId="5A613640"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0.131</w:t>
            </w:r>
          </w:p>
        </w:tc>
        <w:tc>
          <w:tcPr>
            <w:tcW w:w="679" w:type="pct"/>
            <w:tcBorders>
              <w:top w:val="nil"/>
              <w:left w:val="nil"/>
              <w:bottom w:val="nil"/>
              <w:right w:val="nil"/>
            </w:tcBorders>
          </w:tcPr>
          <w:p w14:paraId="5E6B1E4C"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0.606</w:t>
            </w:r>
          </w:p>
        </w:tc>
        <w:tc>
          <w:tcPr>
            <w:tcW w:w="822" w:type="pct"/>
            <w:tcBorders>
              <w:top w:val="nil"/>
              <w:left w:val="nil"/>
              <w:bottom w:val="nil"/>
              <w:right w:val="nil"/>
            </w:tcBorders>
          </w:tcPr>
          <w:p w14:paraId="4E763CC6"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0.544</w:t>
            </w:r>
          </w:p>
        </w:tc>
      </w:tr>
      <w:tr w:rsidR="00CD4846" w:rsidRPr="00CD4846" w14:paraId="6C242E26" w14:textId="77777777" w:rsidTr="00B82EB9">
        <w:tc>
          <w:tcPr>
            <w:tcW w:w="1462" w:type="pct"/>
            <w:tcBorders>
              <w:top w:val="nil"/>
              <w:left w:val="nil"/>
              <w:bottom w:val="nil"/>
              <w:right w:val="nil"/>
            </w:tcBorders>
          </w:tcPr>
          <w:p w14:paraId="73871835" w14:textId="4A868DC2"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Chi</w:t>
            </w:r>
            <w:r w:rsidRPr="00DA465B">
              <w:rPr>
                <w:rFonts w:cs="Times New Roman"/>
                <w:kern w:val="2"/>
                <w:sz w:val="20"/>
                <w:szCs w:val="20"/>
                <w:vertAlign w:val="superscript"/>
                <w:lang/>
              </w:rPr>
              <w:t>2</w:t>
            </w:r>
          </w:p>
        </w:tc>
        <w:tc>
          <w:tcPr>
            <w:tcW w:w="679" w:type="pct"/>
            <w:tcBorders>
              <w:top w:val="nil"/>
              <w:left w:val="nil"/>
              <w:bottom w:val="nil"/>
              <w:right w:val="nil"/>
            </w:tcBorders>
          </w:tcPr>
          <w:p w14:paraId="20B8A962"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30</w:t>
            </w:r>
          </w:p>
        </w:tc>
        <w:tc>
          <w:tcPr>
            <w:tcW w:w="679" w:type="pct"/>
            <w:tcBorders>
              <w:top w:val="nil"/>
              <w:left w:val="nil"/>
              <w:bottom w:val="nil"/>
              <w:right w:val="nil"/>
            </w:tcBorders>
          </w:tcPr>
          <w:p w14:paraId="6746DF74"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137</w:t>
            </w:r>
          </w:p>
        </w:tc>
        <w:tc>
          <w:tcPr>
            <w:tcW w:w="679" w:type="pct"/>
            <w:tcBorders>
              <w:top w:val="nil"/>
              <w:left w:val="nil"/>
              <w:bottom w:val="nil"/>
              <w:right w:val="nil"/>
            </w:tcBorders>
          </w:tcPr>
          <w:p w14:paraId="24F75097"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23</w:t>
            </w:r>
          </w:p>
        </w:tc>
        <w:tc>
          <w:tcPr>
            <w:tcW w:w="679" w:type="pct"/>
            <w:tcBorders>
              <w:top w:val="nil"/>
              <w:left w:val="nil"/>
              <w:bottom w:val="nil"/>
              <w:right w:val="nil"/>
            </w:tcBorders>
          </w:tcPr>
          <w:p w14:paraId="3EDB7677"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85</w:t>
            </w:r>
          </w:p>
        </w:tc>
        <w:tc>
          <w:tcPr>
            <w:tcW w:w="822" w:type="pct"/>
            <w:tcBorders>
              <w:top w:val="nil"/>
              <w:left w:val="nil"/>
              <w:bottom w:val="nil"/>
              <w:right w:val="nil"/>
            </w:tcBorders>
          </w:tcPr>
          <w:p w14:paraId="045C8342"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47</w:t>
            </w:r>
          </w:p>
        </w:tc>
      </w:tr>
      <w:tr w:rsidR="00CD4846" w:rsidRPr="00CD4846" w14:paraId="15CB9B1F" w14:textId="77777777" w:rsidTr="00B82EB9">
        <w:tc>
          <w:tcPr>
            <w:tcW w:w="1462" w:type="pct"/>
            <w:tcBorders>
              <w:top w:val="nil"/>
              <w:left w:val="nil"/>
              <w:bottom w:val="nil"/>
              <w:right w:val="nil"/>
            </w:tcBorders>
          </w:tcPr>
          <w:p w14:paraId="430B6A54" w14:textId="26F9294A"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Log Likelihood</w:t>
            </w:r>
          </w:p>
        </w:tc>
        <w:tc>
          <w:tcPr>
            <w:tcW w:w="679" w:type="pct"/>
            <w:tcBorders>
              <w:top w:val="nil"/>
              <w:left w:val="nil"/>
              <w:bottom w:val="nil"/>
              <w:right w:val="nil"/>
            </w:tcBorders>
          </w:tcPr>
          <w:p w14:paraId="27FB028A"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-2228</w:t>
            </w:r>
          </w:p>
        </w:tc>
        <w:tc>
          <w:tcPr>
            <w:tcW w:w="679" w:type="pct"/>
            <w:tcBorders>
              <w:top w:val="nil"/>
              <w:left w:val="nil"/>
              <w:bottom w:val="nil"/>
              <w:right w:val="nil"/>
            </w:tcBorders>
          </w:tcPr>
          <w:p w14:paraId="639D42CB"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-1264</w:t>
            </w:r>
          </w:p>
        </w:tc>
        <w:tc>
          <w:tcPr>
            <w:tcW w:w="679" w:type="pct"/>
            <w:tcBorders>
              <w:top w:val="nil"/>
              <w:left w:val="nil"/>
              <w:bottom w:val="nil"/>
              <w:right w:val="nil"/>
            </w:tcBorders>
          </w:tcPr>
          <w:p w14:paraId="23185DB5"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-977</w:t>
            </w:r>
          </w:p>
        </w:tc>
        <w:tc>
          <w:tcPr>
            <w:tcW w:w="679" w:type="pct"/>
            <w:tcBorders>
              <w:top w:val="nil"/>
              <w:left w:val="nil"/>
              <w:bottom w:val="nil"/>
              <w:right w:val="nil"/>
            </w:tcBorders>
          </w:tcPr>
          <w:p w14:paraId="78CFBB2C"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-23660</w:t>
            </w:r>
          </w:p>
        </w:tc>
        <w:tc>
          <w:tcPr>
            <w:tcW w:w="822" w:type="pct"/>
            <w:tcBorders>
              <w:top w:val="nil"/>
              <w:left w:val="nil"/>
              <w:bottom w:val="nil"/>
              <w:right w:val="nil"/>
            </w:tcBorders>
          </w:tcPr>
          <w:p w14:paraId="544C7FB1"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-12583</w:t>
            </w:r>
          </w:p>
        </w:tc>
      </w:tr>
      <w:tr w:rsidR="00CD4846" w:rsidRPr="00CD4846" w14:paraId="1AB7F27F" w14:textId="77777777" w:rsidTr="00B82EB9">
        <w:tc>
          <w:tcPr>
            <w:tcW w:w="1462" w:type="pct"/>
            <w:tcBorders>
              <w:top w:val="nil"/>
              <w:left w:val="nil"/>
              <w:bottom w:val="nil"/>
              <w:right w:val="nil"/>
            </w:tcBorders>
          </w:tcPr>
          <w:p w14:paraId="3F0AA45E" w14:textId="3FB1BF3E"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Akaike’s Criterion</w:t>
            </w:r>
          </w:p>
        </w:tc>
        <w:tc>
          <w:tcPr>
            <w:tcW w:w="679" w:type="pct"/>
            <w:tcBorders>
              <w:top w:val="nil"/>
              <w:left w:val="nil"/>
              <w:bottom w:val="nil"/>
              <w:right w:val="nil"/>
            </w:tcBorders>
          </w:tcPr>
          <w:p w14:paraId="16507528"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4496</w:t>
            </w:r>
          </w:p>
        </w:tc>
        <w:tc>
          <w:tcPr>
            <w:tcW w:w="679" w:type="pct"/>
            <w:tcBorders>
              <w:top w:val="nil"/>
              <w:left w:val="nil"/>
              <w:bottom w:val="nil"/>
              <w:right w:val="nil"/>
            </w:tcBorders>
          </w:tcPr>
          <w:p w14:paraId="27AB2C31"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2569</w:t>
            </w:r>
          </w:p>
        </w:tc>
        <w:tc>
          <w:tcPr>
            <w:tcW w:w="679" w:type="pct"/>
            <w:tcBorders>
              <w:top w:val="nil"/>
              <w:left w:val="nil"/>
              <w:bottom w:val="nil"/>
              <w:right w:val="nil"/>
            </w:tcBorders>
          </w:tcPr>
          <w:p w14:paraId="6CCB112A"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1993</w:t>
            </w:r>
          </w:p>
        </w:tc>
        <w:tc>
          <w:tcPr>
            <w:tcW w:w="679" w:type="pct"/>
            <w:tcBorders>
              <w:top w:val="nil"/>
              <w:left w:val="nil"/>
              <w:bottom w:val="nil"/>
              <w:right w:val="nil"/>
            </w:tcBorders>
          </w:tcPr>
          <w:p w14:paraId="455E6F65"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47360</w:t>
            </w:r>
          </w:p>
        </w:tc>
        <w:tc>
          <w:tcPr>
            <w:tcW w:w="822" w:type="pct"/>
            <w:tcBorders>
              <w:top w:val="nil"/>
              <w:left w:val="nil"/>
              <w:bottom w:val="nil"/>
              <w:right w:val="nil"/>
            </w:tcBorders>
          </w:tcPr>
          <w:p w14:paraId="52E44856"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25207</w:t>
            </w:r>
          </w:p>
        </w:tc>
      </w:tr>
      <w:tr w:rsidR="00CD4846" w:rsidRPr="00CD4846" w14:paraId="6C9E58CC" w14:textId="77777777" w:rsidTr="00B82EB9">
        <w:tc>
          <w:tcPr>
            <w:tcW w:w="1462" w:type="pct"/>
            <w:tcBorders>
              <w:top w:val="nil"/>
              <w:left w:val="nil"/>
              <w:bottom w:val="nil"/>
              <w:right w:val="nil"/>
            </w:tcBorders>
          </w:tcPr>
          <w:p w14:paraId="1DDEB127" w14:textId="210292AE"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Bayesian Criterion</w:t>
            </w:r>
          </w:p>
        </w:tc>
        <w:tc>
          <w:tcPr>
            <w:tcW w:w="679" w:type="pct"/>
            <w:tcBorders>
              <w:top w:val="nil"/>
              <w:left w:val="nil"/>
              <w:bottom w:val="nil"/>
              <w:right w:val="nil"/>
            </w:tcBorders>
          </w:tcPr>
          <w:p w14:paraId="033EF5CB"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4624</w:t>
            </w:r>
          </w:p>
        </w:tc>
        <w:tc>
          <w:tcPr>
            <w:tcW w:w="679" w:type="pct"/>
            <w:tcBorders>
              <w:top w:val="nil"/>
              <w:left w:val="nil"/>
              <w:bottom w:val="nil"/>
              <w:right w:val="nil"/>
            </w:tcBorders>
          </w:tcPr>
          <w:p w14:paraId="2168314F"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2681</w:t>
            </w:r>
          </w:p>
        </w:tc>
        <w:tc>
          <w:tcPr>
            <w:tcW w:w="679" w:type="pct"/>
            <w:tcBorders>
              <w:top w:val="nil"/>
              <w:left w:val="nil"/>
              <w:bottom w:val="nil"/>
              <w:right w:val="nil"/>
            </w:tcBorders>
          </w:tcPr>
          <w:p w14:paraId="35385EE5"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2100</w:t>
            </w:r>
          </w:p>
        </w:tc>
        <w:tc>
          <w:tcPr>
            <w:tcW w:w="679" w:type="pct"/>
            <w:tcBorders>
              <w:top w:val="nil"/>
              <w:left w:val="nil"/>
              <w:bottom w:val="nil"/>
              <w:right w:val="nil"/>
            </w:tcBorders>
          </w:tcPr>
          <w:p w14:paraId="4E9D54B4"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47520</w:t>
            </w:r>
          </w:p>
        </w:tc>
        <w:tc>
          <w:tcPr>
            <w:tcW w:w="822" w:type="pct"/>
            <w:tcBorders>
              <w:top w:val="nil"/>
              <w:left w:val="nil"/>
              <w:bottom w:val="nil"/>
              <w:right w:val="nil"/>
            </w:tcBorders>
          </w:tcPr>
          <w:p w14:paraId="04C74B3F"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25361</w:t>
            </w:r>
          </w:p>
        </w:tc>
      </w:tr>
      <w:tr w:rsidR="00CD4846" w:rsidRPr="00CD4846" w14:paraId="27DC0BC9" w14:textId="77777777" w:rsidTr="00DA465B">
        <w:tc>
          <w:tcPr>
            <w:tcW w:w="1462" w:type="pct"/>
            <w:tcBorders>
              <w:top w:val="nil"/>
              <w:left w:val="nil"/>
              <w:right w:val="nil"/>
            </w:tcBorders>
          </w:tcPr>
          <w:p w14:paraId="11C16AB2"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County FE</w:t>
            </w:r>
          </w:p>
        </w:tc>
        <w:tc>
          <w:tcPr>
            <w:tcW w:w="679" w:type="pct"/>
            <w:tcBorders>
              <w:top w:val="nil"/>
              <w:left w:val="nil"/>
              <w:right w:val="nil"/>
            </w:tcBorders>
          </w:tcPr>
          <w:p w14:paraId="4426E763"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Yes</w:t>
            </w:r>
          </w:p>
        </w:tc>
        <w:tc>
          <w:tcPr>
            <w:tcW w:w="679" w:type="pct"/>
            <w:tcBorders>
              <w:top w:val="nil"/>
              <w:left w:val="nil"/>
              <w:right w:val="nil"/>
            </w:tcBorders>
          </w:tcPr>
          <w:p w14:paraId="238787B3"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Yes</w:t>
            </w:r>
          </w:p>
        </w:tc>
        <w:tc>
          <w:tcPr>
            <w:tcW w:w="679" w:type="pct"/>
            <w:tcBorders>
              <w:top w:val="nil"/>
              <w:left w:val="nil"/>
              <w:right w:val="nil"/>
            </w:tcBorders>
          </w:tcPr>
          <w:p w14:paraId="216DA37D"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Yes</w:t>
            </w:r>
          </w:p>
        </w:tc>
        <w:tc>
          <w:tcPr>
            <w:tcW w:w="679" w:type="pct"/>
            <w:tcBorders>
              <w:top w:val="nil"/>
              <w:left w:val="nil"/>
              <w:right w:val="nil"/>
            </w:tcBorders>
          </w:tcPr>
          <w:p w14:paraId="0625B480"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Yes</w:t>
            </w:r>
          </w:p>
        </w:tc>
        <w:tc>
          <w:tcPr>
            <w:tcW w:w="822" w:type="pct"/>
            <w:tcBorders>
              <w:top w:val="nil"/>
              <w:left w:val="nil"/>
              <w:right w:val="nil"/>
            </w:tcBorders>
          </w:tcPr>
          <w:p w14:paraId="6F8A4DEA"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Yes</w:t>
            </w:r>
          </w:p>
        </w:tc>
      </w:tr>
    </w:tbl>
    <w:p w14:paraId="02DB20F0" w14:textId="77777777" w:rsidR="003959BE" w:rsidRDefault="003959BE" w:rsidP="004C39A4">
      <w:pPr>
        <w:spacing w:line="240" w:lineRule="auto"/>
        <w:rPr>
          <w:b/>
          <w:bCs/>
        </w:rPr>
      </w:pPr>
    </w:p>
    <w:p w14:paraId="18018CD9" w14:textId="77777777" w:rsidR="003959BE" w:rsidRDefault="003959BE" w:rsidP="004C39A4">
      <w:pPr>
        <w:spacing w:line="240" w:lineRule="auto"/>
        <w:rPr>
          <w:b/>
          <w:bCs/>
        </w:rPr>
      </w:pPr>
    </w:p>
    <w:p w14:paraId="2436479E" w14:textId="77777777" w:rsidR="003959BE" w:rsidRDefault="003959BE" w:rsidP="004C39A4">
      <w:pPr>
        <w:spacing w:line="240" w:lineRule="auto"/>
        <w:rPr>
          <w:b/>
          <w:bCs/>
        </w:rPr>
      </w:pPr>
    </w:p>
    <w:p w14:paraId="5919A1B0" w14:textId="77777777" w:rsidR="003959BE" w:rsidRDefault="003959BE" w:rsidP="004C39A4">
      <w:pPr>
        <w:spacing w:line="240" w:lineRule="auto"/>
        <w:rPr>
          <w:b/>
          <w:bCs/>
        </w:rPr>
      </w:pPr>
    </w:p>
    <w:p w14:paraId="2E54C60A" w14:textId="5166355A" w:rsidR="002A6CED" w:rsidRPr="002A6CED" w:rsidRDefault="002A6CED" w:rsidP="004C39A4">
      <w:pPr>
        <w:spacing w:line="240" w:lineRule="auto"/>
        <w:rPr>
          <w:b/>
          <w:bCs/>
        </w:rPr>
      </w:pPr>
      <w:r w:rsidRPr="002A6CED">
        <w:rPr>
          <w:b/>
          <w:bCs/>
        </w:rPr>
        <w:lastRenderedPageBreak/>
        <w:t>Table A24 Continued</w:t>
      </w:r>
    </w:p>
    <w:tbl>
      <w:tblPr>
        <w:tblW w:w="5000" w:type="pct"/>
        <w:tblLook w:val="04A0" w:firstRow="1" w:lastRow="0" w:firstColumn="1" w:lastColumn="0" w:noHBand="0" w:noVBand="1"/>
      </w:tblPr>
      <w:tblGrid>
        <w:gridCol w:w="2737"/>
        <w:gridCol w:w="1271"/>
        <w:gridCol w:w="1271"/>
        <w:gridCol w:w="1271"/>
        <w:gridCol w:w="1271"/>
        <w:gridCol w:w="1539"/>
      </w:tblGrid>
      <w:tr w:rsidR="00DA465B" w:rsidRPr="00DA465B" w14:paraId="209DACF7" w14:textId="77777777" w:rsidTr="002A6CED">
        <w:tc>
          <w:tcPr>
            <w:tcW w:w="1462" w:type="pct"/>
            <w:tcBorders>
              <w:top w:val="single" w:sz="4" w:space="0" w:color="auto"/>
              <w:left w:val="nil"/>
              <w:bottom w:val="single" w:sz="4" w:space="0" w:color="auto"/>
              <w:right w:val="nil"/>
            </w:tcBorders>
          </w:tcPr>
          <w:p w14:paraId="4CBA311F" w14:textId="3FA4D943" w:rsidR="002A6CED" w:rsidRPr="00DA465B" w:rsidRDefault="002A6CED" w:rsidP="00DA465B">
            <w:pPr>
              <w:spacing w:line="240" w:lineRule="auto"/>
              <w:rPr>
                <w:b/>
                <w:bCs/>
                <w:sz w:val="20"/>
                <w:szCs w:val="20"/>
                <w:lang/>
              </w:rPr>
            </w:pPr>
            <w:r w:rsidRPr="00DA465B">
              <w:rPr>
                <w:b/>
                <w:bCs/>
                <w:sz w:val="20"/>
                <w:szCs w:val="20"/>
                <w:lang/>
              </w:rPr>
              <w:t>Variable</w:t>
            </w:r>
          </w:p>
        </w:tc>
        <w:tc>
          <w:tcPr>
            <w:tcW w:w="679" w:type="pct"/>
            <w:tcBorders>
              <w:top w:val="single" w:sz="4" w:space="0" w:color="auto"/>
              <w:left w:val="nil"/>
              <w:bottom w:val="single" w:sz="4" w:space="0" w:color="auto"/>
              <w:right w:val="nil"/>
            </w:tcBorders>
          </w:tcPr>
          <w:p w14:paraId="1DFB44FC" w14:textId="322FC64B" w:rsidR="002A6CED" w:rsidRPr="00DA465B" w:rsidRDefault="002A6CED" w:rsidP="00DA465B">
            <w:pPr>
              <w:spacing w:line="240" w:lineRule="auto"/>
              <w:rPr>
                <w:b/>
                <w:bCs/>
                <w:sz w:val="20"/>
                <w:szCs w:val="20"/>
                <w:lang/>
              </w:rPr>
            </w:pPr>
            <w:r w:rsidRPr="00DA465B">
              <w:rPr>
                <w:b/>
                <w:bCs/>
                <w:sz w:val="20"/>
                <w:szCs w:val="20"/>
                <w:lang/>
              </w:rPr>
              <w:t>NAICS 11</w:t>
            </w:r>
          </w:p>
        </w:tc>
        <w:tc>
          <w:tcPr>
            <w:tcW w:w="679" w:type="pct"/>
            <w:tcBorders>
              <w:top w:val="single" w:sz="4" w:space="0" w:color="auto"/>
              <w:left w:val="nil"/>
              <w:bottom w:val="single" w:sz="4" w:space="0" w:color="auto"/>
              <w:right w:val="nil"/>
            </w:tcBorders>
          </w:tcPr>
          <w:p w14:paraId="4B923F67" w14:textId="6DD6F4C0" w:rsidR="002A6CED" w:rsidRPr="00DA465B" w:rsidRDefault="002A6CED" w:rsidP="00DA465B">
            <w:pPr>
              <w:spacing w:line="240" w:lineRule="auto"/>
              <w:rPr>
                <w:b/>
                <w:bCs/>
                <w:sz w:val="20"/>
                <w:szCs w:val="20"/>
                <w:lang/>
              </w:rPr>
            </w:pPr>
            <w:r w:rsidRPr="00DA465B">
              <w:rPr>
                <w:b/>
                <w:bCs/>
                <w:sz w:val="20"/>
                <w:szCs w:val="20"/>
                <w:lang/>
              </w:rPr>
              <w:t>NAICS 21</w:t>
            </w:r>
          </w:p>
        </w:tc>
        <w:tc>
          <w:tcPr>
            <w:tcW w:w="679" w:type="pct"/>
            <w:tcBorders>
              <w:top w:val="single" w:sz="4" w:space="0" w:color="auto"/>
              <w:left w:val="nil"/>
              <w:bottom w:val="single" w:sz="4" w:space="0" w:color="auto"/>
              <w:right w:val="nil"/>
            </w:tcBorders>
          </w:tcPr>
          <w:p w14:paraId="449733AD" w14:textId="6A784ADB" w:rsidR="002A6CED" w:rsidRPr="00DA465B" w:rsidRDefault="002A6CED" w:rsidP="00DA465B">
            <w:pPr>
              <w:spacing w:line="240" w:lineRule="auto"/>
              <w:rPr>
                <w:b/>
                <w:bCs/>
                <w:sz w:val="20"/>
                <w:szCs w:val="20"/>
                <w:lang/>
              </w:rPr>
            </w:pPr>
            <w:r w:rsidRPr="00DA465B">
              <w:rPr>
                <w:b/>
                <w:bCs/>
                <w:sz w:val="20"/>
                <w:szCs w:val="20"/>
                <w:lang/>
              </w:rPr>
              <w:t>NAICS 22</w:t>
            </w:r>
          </w:p>
        </w:tc>
        <w:tc>
          <w:tcPr>
            <w:tcW w:w="679" w:type="pct"/>
            <w:tcBorders>
              <w:top w:val="single" w:sz="4" w:space="0" w:color="auto"/>
              <w:left w:val="nil"/>
              <w:bottom w:val="single" w:sz="4" w:space="0" w:color="auto"/>
              <w:right w:val="nil"/>
            </w:tcBorders>
          </w:tcPr>
          <w:p w14:paraId="77A644D8" w14:textId="23DC9CFC" w:rsidR="002A6CED" w:rsidRPr="00DA465B" w:rsidRDefault="002A6CED" w:rsidP="00DA465B">
            <w:pPr>
              <w:spacing w:line="240" w:lineRule="auto"/>
              <w:rPr>
                <w:b/>
                <w:bCs/>
                <w:sz w:val="20"/>
                <w:szCs w:val="20"/>
                <w:lang/>
              </w:rPr>
            </w:pPr>
            <w:r w:rsidRPr="00DA465B">
              <w:rPr>
                <w:b/>
                <w:bCs/>
                <w:sz w:val="20"/>
                <w:szCs w:val="20"/>
                <w:lang/>
              </w:rPr>
              <w:t>NAICS 23</w:t>
            </w:r>
          </w:p>
        </w:tc>
        <w:tc>
          <w:tcPr>
            <w:tcW w:w="822" w:type="pct"/>
            <w:tcBorders>
              <w:top w:val="single" w:sz="4" w:space="0" w:color="auto"/>
              <w:left w:val="nil"/>
              <w:bottom w:val="single" w:sz="4" w:space="0" w:color="auto"/>
              <w:right w:val="nil"/>
            </w:tcBorders>
          </w:tcPr>
          <w:p w14:paraId="40ABF9DF" w14:textId="617F38D3" w:rsidR="002A6CED" w:rsidRPr="00DA465B" w:rsidRDefault="002A6CED" w:rsidP="00DA465B">
            <w:pPr>
              <w:spacing w:line="240" w:lineRule="auto"/>
              <w:rPr>
                <w:b/>
                <w:bCs/>
                <w:sz w:val="20"/>
                <w:szCs w:val="20"/>
                <w:lang/>
              </w:rPr>
            </w:pPr>
            <w:r w:rsidRPr="00DA465B">
              <w:rPr>
                <w:b/>
                <w:bCs/>
                <w:sz w:val="20"/>
                <w:szCs w:val="20"/>
                <w:lang/>
              </w:rPr>
              <w:t>NAICS 31-33</w:t>
            </w:r>
          </w:p>
        </w:tc>
      </w:tr>
      <w:tr w:rsidR="00DA465B" w:rsidRPr="00DA465B" w14:paraId="7B5F8A0D" w14:textId="77777777" w:rsidTr="00DA465B">
        <w:tc>
          <w:tcPr>
            <w:tcW w:w="1462" w:type="pct"/>
            <w:tcBorders>
              <w:top w:val="single" w:sz="4" w:space="0" w:color="auto"/>
              <w:left w:val="nil"/>
              <w:right w:val="nil"/>
            </w:tcBorders>
          </w:tcPr>
          <w:p w14:paraId="12D57F3A" w14:textId="009EB627" w:rsidR="00DA465B" w:rsidRPr="00DA465B" w:rsidRDefault="00DA465B" w:rsidP="00DA465B">
            <w:pPr>
              <w:spacing w:line="240" w:lineRule="auto"/>
              <w:rPr>
                <w:sz w:val="20"/>
                <w:szCs w:val="20"/>
                <w:lang/>
              </w:rPr>
            </w:pPr>
            <w:r w:rsidRPr="00DA465B">
              <w:rPr>
                <w:sz w:val="20"/>
                <w:szCs w:val="20"/>
                <w:lang/>
              </w:rPr>
              <w:t>State by Year FE</w:t>
            </w:r>
          </w:p>
        </w:tc>
        <w:tc>
          <w:tcPr>
            <w:tcW w:w="679" w:type="pct"/>
            <w:tcBorders>
              <w:top w:val="single" w:sz="4" w:space="0" w:color="auto"/>
              <w:left w:val="nil"/>
              <w:right w:val="nil"/>
            </w:tcBorders>
          </w:tcPr>
          <w:p w14:paraId="237E8AC5" w14:textId="63BEAC0A" w:rsidR="00DA465B" w:rsidRPr="00DA465B" w:rsidRDefault="00DA465B" w:rsidP="00DA465B">
            <w:pPr>
              <w:spacing w:line="240" w:lineRule="auto"/>
              <w:rPr>
                <w:sz w:val="20"/>
                <w:szCs w:val="20"/>
                <w:lang/>
              </w:rPr>
            </w:pPr>
            <w:r w:rsidRPr="00DA465B">
              <w:rPr>
                <w:sz w:val="20"/>
                <w:szCs w:val="20"/>
                <w:lang/>
              </w:rPr>
              <w:t>Yes</w:t>
            </w:r>
          </w:p>
        </w:tc>
        <w:tc>
          <w:tcPr>
            <w:tcW w:w="679" w:type="pct"/>
            <w:tcBorders>
              <w:top w:val="single" w:sz="4" w:space="0" w:color="auto"/>
              <w:left w:val="nil"/>
              <w:right w:val="nil"/>
            </w:tcBorders>
          </w:tcPr>
          <w:p w14:paraId="489E71F8" w14:textId="24DAEC7A" w:rsidR="00DA465B" w:rsidRPr="00DA465B" w:rsidRDefault="00DA465B" w:rsidP="00DA465B">
            <w:pPr>
              <w:spacing w:line="240" w:lineRule="auto"/>
              <w:rPr>
                <w:sz w:val="20"/>
                <w:szCs w:val="20"/>
                <w:lang/>
              </w:rPr>
            </w:pPr>
            <w:r w:rsidRPr="00DA465B">
              <w:rPr>
                <w:sz w:val="20"/>
                <w:szCs w:val="20"/>
                <w:lang/>
              </w:rPr>
              <w:t>Yes</w:t>
            </w:r>
          </w:p>
        </w:tc>
        <w:tc>
          <w:tcPr>
            <w:tcW w:w="679" w:type="pct"/>
            <w:tcBorders>
              <w:top w:val="single" w:sz="4" w:space="0" w:color="auto"/>
              <w:left w:val="nil"/>
              <w:right w:val="nil"/>
            </w:tcBorders>
          </w:tcPr>
          <w:p w14:paraId="01871F19" w14:textId="7DAED863" w:rsidR="00DA465B" w:rsidRPr="00DA465B" w:rsidRDefault="00DA465B" w:rsidP="00DA465B">
            <w:pPr>
              <w:spacing w:line="240" w:lineRule="auto"/>
              <w:rPr>
                <w:sz w:val="20"/>
                <w:szCs w:val="20"/>
                <w:lang/>
              </w:rPr>
            </w:pPr>
            <w:r w:rsidRPr="00DA465B">
              <w:rPr>
                <w:sz w:val="20"/>
                <w:szCs w:val="20"/>
                <w:lang/>
              </w:rPr>
              <w:t>Yes</w:t>
            </w:r>
          </w:p>
        </w:tc>
        <w:tc>
          <w:tcPr>
            <w:tcW w:w="679" w:type="pct"/>
            <w:tcBorders>
              <w:top w:val="single" w:sz="4" w:space="0" w:color="auto"/>
              <w:left w:val="nil"/>
              <w:right w:val="nil"/>
            </w:tcBorders>
          </w:tcPr>
          <w:p w14:paraId="37C0BA0E" w14:textId="37B04686" w:rsidR="00DA465B" w:rsidRPr="00DA465B" w:rsidRDefault="00DA465B" w:rsidP="00DA465B">
            <w:pPr>
              <w:spacing w:line="240" w:lineRule="auto"/>
              <w:rPr>
                <w:sz w:val="20"/>
                <w:szCs w:val="20"/>
                <w:lang/>
              </w:rPr>
            </w:pPr>
            <w:r w:rsidRPr="00DA465B">
              <w:rPr>
                <w:sz w:val="20"/>
                <w:szCs w:val="20"/>
                <w:lang/>
              </w:rPr>
              <w:t>Yes</w:t>
            </w:r>
          </w:p>
        </w:tc>
        <w:tc>
          <w:tcPr>
            <w:tcW w:w="822" w:type="pct"/>
            <w:tcBorders>
              <w:top w:val="single" w:sz="4" w:space="0" w:color="auto"/>
              <w:left w:val="nil"/>
              <w:right w:val="nil"/>
            </w:tcBorders>
          </w:tcPr>
          <w:p w14:paraId="77AE78DC" w14:textId="008E6690" w:rsidR="00DA465B" w:rsidRPr="00DA465B" w:rsidRDefault="00DA465B" w:rsidP="00DA465B">
            <w:pPr>
              <w:spacing w:line="240" w:lineRule="auto"/>
              <w:rPr>
                <w:sz w:val="20"/>
                <w:szCs w:val="20"/>
                <w:lang/>
              </w:rPr>
            </w:pPr>
            <w:r w:rsidRPr="00DA465B">
              <w:rPr>
                <w:sz w:val="20"/>
                <w:szCs w:val="20"/>
                <w:lang/>
              </w:rPr>
              <w:t>Yes</w:t>
            </w:r>
          </w:p>
        </w:tc>
      </w:tr>
      <w:tr w:rsidR="00DA465B" w:rsidRPr="00DA465B" w14:paraId="4AAF7C56" w14:textId="77777777" w:rsidTr="00DA465B">
        <w:tc>
          <w:tcPr>
            <w:tcW w:w="1462" w:type="pct"/>
            <w:tcBorders>
              <w:left w:val="nil"/>
              <w:right w:val="nil"/>
            </w:tcBorders>
          </w:tcPr>
          <w:p w14:paraId="3E7559E2" w14:textId="77777777" w:rsidR="002A6CED" w:rsidRPr="00DA465B" w:rsidRDefault="002A6CED" w:rsidP="00DA465B">
            <w:pPr>
              <w:spacing w:line="240" w:lineRule="auto"/>
              <w:rPr>
                <w:sz w:val="20"/>
                <w:szCs w:val="20"/>
                <w:lang/>
              </w:rPr>
            </w:pPr>
            <w:r w:rsidRPr="00DA465B">
              <w:rPr>
                <w:sz w:val="20"/>
                <w:szCs w:val="20"/>
                <w:lang/>
              </w:rPr>
              <w:t>NAICS FE</w:t>
            </w:r>
          </w:p>
        </w:tc>
        <w:tc>
          <w:tcPr>
            <w:tcW w:w="679" w:type="pct"/>
            <w:tcBorders>
              <w:left w:val="nil"/>
              <w:right w:val="nil"/>
            </w:tcBorders>
          </w:tcPr>
          <w:p w14:paraId="3705FAF5" w14:textId="77777777" w:rsidR="002A6CED" w:rsidRPr="00DA465B" w:rsidRDefault="002A6CED" w:rsidP="00DA465B">
            <w:pPr>
              <w:spacing w:line="240" w:lineRule="auto"/>
              <w:rPr>
                <w:sz w:val="20"/>
                <w:szCs w:val="20"/>
                <w:lang/>
              </w:rPr>
            </w:pPr>
            <w:r w:rsidRPr="00DA465B">
              <w:rPr>
                <w:sz w:val="20"/>
                <w:szCs w:val="20"/>
                <w:lang/>
              </w:rPr>
              <w:t>Yes</w:t>
            </w:r>
          </w:p>
        </w:tc>
        <w:tc>
          <w:tcPr>
            <w:tcW w:w="679" w:type="pct"/>
            <w:tcBorders>
              <w:left w:val="nil"/>
              <w:right w:val="nil"/>
            </w:tcBorders>
          </w:tcPr>
          <w:p w14:paraId="7B796A42" w14:textId="77777777" w:rsidR="002A6CED" w:rsidRPr="00DA465B" w:rsidRDefault="002A6CED" w:rsidP="00DA465B">
            <w:pPr>
              <w:spacing w:line="240" w:lineRule="auto"/>
              <w:rPr>
                <w:sz w:val="20"/>
                <w:szCs w:val="20"/>
                <w:lang/>
              </w:rPr>
            </w:pPr>
            <w:r w:rsidRPr="00DA465B">
              <w:rPr>
                <w:sz w:val="20"/>
                <w:szCs w:val="20"/>
                <w:lang/>
              </w:rPr>
              <w:t>Yes</w:t>
            </w:r>
          </w:p>
        </w:tc>
        <w:tc>
          <w:tcPr>
            <w:tcW w:w="679" w:type="pct"/>
            <w:tcBorders>
              <w:left w:val="nil"/>
              <w:right w:val="nil"/>
            </w:tcBorders>
          </w:tcPr>
          <w:p w14:paraId="7BEE5D56" w14:textId="77777777" w:rsidR="002A6CED" w:rsidRPr="00DA465B" w:rsidRDefault="002A6CED" w:rsidP="00DA465B">
            <w:pPr>
              <w:spacing w:line="240" w:lineRule="auto"/>
              <w:rPr>
                <w:sz w:val="20"/>
                <w:szCs w:val="20"/>
                <w:lang/>
              </w:rPr>
            </w:pPr>
            <w:r w:rsidRPr="00DA465B">
              <w:rPr>
                <w:sz w:val="20"/>
                <w:szCs w:val="20"/>
                <w:lang/>
              </w:rPr>
              <w:t>Yes</w:t>
            </w:r>
          </w:p>
        </w:tc>
        <w:tc>
          <w:tcPr>
            <w:tcW w:w="679" w:type="pct"/>
            <w:tcBorders>
              <w:left w:val="nil"/>
              <w:right w:val="nil"/>
            </w:tcBorders>
          </w:tcPr>
          <w:p w14:paraId="027F93B9" w14:textId="77777777" w:rsidR="002A6CED" w:rsidRPr="00DA465B" w:rsidRDefault="002A6CED" w:rsidP="00DA465B">
            <w:pPr>
              <w:spacing w:line="240" w:lineRule="auto"/>
              <w:rPr>
                <w:sz w:val="20"/>
                <w:szCs w:val="20"/>
                <w:lang/>
              </w:rPr>
            </w:pPr>
            <w:r w:rsidRPr="00DA465B">
              <w:rPr>
                <w:sz w:val="20"/>
                <w:szCs w:val="20"/>
                <w:lang/>
              </w:rPr>
              <w:t>Yes</w:t>
            </w:r>
          </w:p>
        </w:tc>
        <w:tc>
          <w:tcPr>
            <w:tcW w:w="822" w:type="pct"/>
            <w:tcBorders>
              <w:left w:val="nil"/>
              <w:right w:val="nil"/>
            </w:tcBorders>
          </w:tcPr>
          <w:p w14:paraId="7352CDD6" w14:textId="77777777" w:rsidR="002A6CED" w:rsidRPr="00DA465B" w:rsidRDefault="002A6CED" w:rsidP="00DA465B">
            <w:pPr>
              <w:spacing w:line="240" w:lineRule="auto"/>
              <w:rPr>
                <w:sz w:val="20"/>
                <w:szCs w:val="20"/>
                <w:lang/>
              </w:rPr>
            </w:pPr>
            <w:r w:rsidRPr="00DA465B">
              <w:rPr>
                <w:sz w:val="20"/>
                <w:szCs w:val="20"/>
                <w:lang/>
              </w:rPr>
              <w:t>Yes</w:t>
            </w:r>
          </w:p>
        </w:tc>
      </w:tr>
      <w:tr w:rsidR="00DA465B" w:rsidRPr="00DA465B" w14:paraId="3AD072EB" w14:textId="77777777" w:rsidTr="00B82EB9">
        <w:tc>
          <w:tcPr>
            <w:tcW w:w="1462" w:type="pct"/>
            <w:tcBorders>
              <w:top w:val="nil"/>
              <w:left w:val="nil"/>
              <w:bottom w:val="single" w:sz="4" w:space="0" w:color="auto"/>
              <w:right w:val="nil"/>
            </w:tcBorders>
          </w:tcPr>
          <w:p w14:paraId="4941C7E2" w14:textId="77777777" w:rsidR="002A6CED" w:rsidRPr="00DA465B" w:rsidRDefault="002A6CED" w:rsidP="00DA465B">
            <w:pPr>
              <w:spacing w:line="240" w:lineRule="auto"/>
              <w:rPr>
                <w:rFonts w:eastAsia="Times New Roman"/>
                <w:sz w:val="20"/>
                <w:szCs w:val="20"/>
                <w:shd w:val="clear" w:color="auto" w:fill="FFFFFF"/>
                <w:lang/>
              </w:rPr>
            </w:pPr>
            <w:r w:rsidRPr="00DA465B">
              <w:rPr>
                <w:rFonts w:eastAsia="Times New Roman"/>
                <w:sz w:val="20"/>
                <w:szCs w:val="20"/>
                <w:lang/>
              </w:rPr>
              <w:t>PA-PA</w:t>
            </w:r>
            <w:r w:rsidRPr="00DA465B">
              <w:rPr>
                <w:rFonts w:eastAsia="Times New Roman"/>
                <w:i/>
                <w:sz w:val="20"/>
                <w:szCs w:val="20"/>
                <w:shd w:val="clear" w:color="auto" w:fill="FFFFFF"/>
                <w:lang/>
              </w:rPr>
              <w:t>²</w:t>
            </w:r>
            <w:r w:rsidRPr="00DA465B">
              <w:rPr>
                <w:i/>
                <w:sz w:val="20"/>
                <w:szCs w:val="20"/>
                <w:shd w:val="clear" w:color="auto" w:fill="FFFFFF"/>
                <w:lang/>
              </w:rPr>
              <w:t xml:space="preserve"> </w:t>
            </w:r>
            <w:r w:rsidRPr="00DA465B">
              <w:rPr>
                <w:rFonts w:eastAsia="Times New Roman"/>
                <w:sz w:val="20"/>
                <w:szCs w:val="20"/>
                <w:lang/>
              </w:rPr>
              <w:t xml:space="preserve">Joint Test </w:t>
            </w:r>
            <w:r w:rsidRPr="00DA465B">
              <w:rPr>
                <w:sz w:val="20"/>
                <w:szCs w:val="20"/>
                <w:lang/>
              </w:rPr>
              <w:t>p-value</w:t>
            </w:r>
          </w:p>
        </w:tc>
        <w:tc>
          <w:tcPr>
            <w:tcW w:w="679" w:type="pct"/>
            <w:tcBorders>
              <w:top w:val="nil"/>
              <w:left w:val="nil"/>
              <w:bottom w:val="single" w:sz="4" w:space="0" w:color="auto"/>
              <w:right w:val="nil"/>
            </w:tcBorders>
          </w:tcPr>
          <w:p w14:paraId="7B9DFE5E" w14:textId="77777777" w:rsidR="002A6CED" w:rsidRPr="00DA465B" w:rsidRDefault="002A6CED" w:rsidP="00DA465B">
            <w:pPr>
              <w:spacing w:line="240" w:lineRule="auto"/>
              <w:rPr>
                <w:sz w:val="20"/>
                <w:szCs w:val="20"/>
                <w:lang/>
              </w:rPr>
            </w:pPr>
            <w:r w:rsidRPr="00DA465B">
              <w:rPr>
                <w:sz w:val="20"/>
                <w:szCs w:val="20"/>
                <w:lang/>
              </w:rPr>
              <w:t>0.1222</w:t>
            </w:r>
          </w:p>
        </w:tc>
        <w:tc>
          <w:tcPr>
            <w:tcW w:w="679" w:type="pct"/>
            <w:tcBorders>
              <w:top w:val="nil"/>
              <w:left w:val="nil"/>
              <w:bottom w:val="single" w:sz="4" w:space="0" w:color="auto"/>
              <w:right w:val="nil"/>
            </w:tcBorders>
          </w:tcPr>
          <w:p w14:paraId="7734511C" w14:textId="77777777" w:rsidR="002A6CED" w:rsidRPr="00DA465B" w:rsidRDefault="002A6CED" w:rsidP="00DA465B">
            <w:pPr>
              <w:spacing w:line="240" w:lineRule="auto"/>
              <w:rPr>
                <w:sz w:val="20"/>
                <w:szCs w:val="20"/>
                <w:lang/>
              </w:rPr>
            </w:pPr>
            <w:r w:rsidRPr="00DA465B">
              <w:rPr>
                <w:sz w:val="20"/>
                <w:szCs w:val="20"/>
                <w:lang/>
              </w:rPr>
              <w:t>0.0000</w:t>
            </w:r>
          </w:p>
        </w:tc>
        <w:tc>
          <w:tcPr>
            <w:tcW w:w="679" w:type="pct"/>
            <w:tcBorders>
              <w:top w:val="nil"/>
              <w:left w:val="nil"/>
              <w:bottom w:val="single" w:sz="4" w:space="0" w:color="auto"/>
              <w:right w:val="nil"/>
            </w:tcBorders>
          </w:tcPr>
          <w:p w14:paraId="2D188DD8" w14:textId="77777777" w:rsidR="002A6CED" w:rsidRPr="00DA465B" w:rsidRDefault="002A6CED" w:rsidP="00DA465B">
            <w:pPr>
              <w:spacing w:line="240" w:lineRule="auto"/>
              <w:rPr>
                <w:sz w:val="20"/>
                <w:szCs w:val="20"/>
                <w:lang/>
              </w:rPr>
            </w:pPr>
            <w:r w:rsidRPr="00DA465B">
              <w:rPr>
                <w:sz w:val="20"/>
                <w:szCs w:val="20"/>
                <w:lang/>
              </w:rPr>
              <w:t>0.4867</w:t>
            </w:r>
          </w:p>
        </w:tc>
        <w:tc>
          <w:tcPr>
            <w:tcW w:w="679" w:type="pct"/>
            <w:tcBorders>
              <w:top w:val="nil"/>
              <w:left w:val="nil"/>
              <w:bottom w:val="single" w:sz="4" w:space="0" w:color="auto"/>
              <w:right w:val="nil"/>
            </w:tcBorders>
          </w:tcPr>
          <w:p w14:paraId="220655E3" w14:textId="77777777" w:rsidR="002A6CED" w:rsidRPr="00DA465B" w:rsidRDefault="002A6CED" w:rsidP="00DA465B">
            <w:pPr>
              <w:spacing w:line="240" w:lineRule="auto"/>
              <w:rPr>
                <w:sz w:val="20"/>
                <w:szCs w:val="20"/>
                <w:lang/>
              </w:rPr>
            </w:pPr>
            <w:r w:rsidRPr="00DA465B">
              <w:rPr>
                <w:sz w:val="20"/>
                <w:szCs w:val="20"/>
                <w:lang/>
              </w:rPr>
              <w:t>0.0569</w:t>
            </w:r>
          </w:p>
        </w:tc>
        <w:tc>
          <w:tcPr>
            <w:tcW w:w="822" w:type="pct"/>
            <w:tcBorders>
              <w:top w:val="nil"/>
              <w:left w:val="nil"/>
              <w:bottom w:val="single" w:sz="4" w:space="0" w:color="auto"/>
              <w:right w:val="nil"/>
            </w:tcBorders>
          </w:tcPr>
          <w:p w14:paraId="6819A4B4" w14:textId="77777777" w:rsidR="002A6CED" w:rsidRPr="00DA465B" w:rsidRDefault="002A6CED" w:rsidP="00DA465B">
            <w:pPr>
              <w:spacing w:line="240" w:lineRule="auto"/>
              <w:rPr>
                <w:sz w:val="20"/>
                <w:szCs w:val="20"/>
                <w:lang/>
              </w:rPr>
            </w:pPr>
            <w:r w:rsidRPr="00DA465B">
              <w:rPr>
                <w:sz w:val="20"/>
                <w:szCs w:val="20"/>
                <w:lang/>
              </w:rPr>
              <w:t>0.0047</w:t>
            </w:r>
          </w:p>
        </w:tc>
      </w:tr>
    </w:tbl>
    <w:p w14:paraId="69D57FEE" w14:textId="0C47F6AC" w:rsidR="00CD4846" w:rsidRPr="00DA465B" w:rsidRDefault="00CD4846" w:rsidP="00DA465B">
      <w:pPr>
        <w:spacing w:line="240" w:lineRule="auto"/>
        <w:rPr>
          <w:rFonts w:eastAsia="Times New Roman"/>
          <w:sz w:val="20"/>
          <w:szCs w:val="20"/>
          <w:lang/>
        </w:rPr>
      </w:pPr>
      <w:r w:rsidRPr="00DA465B">
        <w:rPr>
          <w:sz w:val="20"/>
          <w:szCs w:val="20"/>
          <w:lang/>
        </w:rPr>
        <w:t>Table A</w:t>
      </w:r>
      <w:r w:rsidRPr="00DA465B">
        <w:rPr>
          <w:sz w:val="20"/>
          <w:szCs w:val="20"/>
          <w:lang/>
        </w:rPr>
        <w:t>24</w:t>
      </w:r>
      <w:r w:rsidRPr="00DA465B">
        <w:rPr>
          <w:sz w:val="20"/>
          <w:szCs w:val="20"/>
          <w:lang/>
        </w:rPr>
        <w:t xml:space="preserve">: PPMLHDFE regression results on establishment </w:t>
      </w:r>
      <w:r w:rsidRPr="00DA465B">
        <w:rPr>
          <w:sz w:val="20"/>
          <w:szCs w:val="20"/>
          <w:lang/>
        </w:rPr>
        <w:t xml:space="preserve">outward relocations </w:t>
      </w:r>
      <w:r w:rsidRPr="00DA465B">
        <w:rPr>
          <w:sz w:val="20"/>
          <w:szCs w:val="20"/>
          <w:lang/>
        </w:rPr>
        <w:t xml:space="preserve">under </w:t>
      </w:r>
      <w:r w:rsidRPr="00DA465B">
        <w:rPr>
          <w:sz w:val="20"/>
          <w:szCs w:val="20"/>
          <w:lang/>
        </w:rPr>
        <w:t>strict</w:t>
      </w:r>
      <w:r w:rsidRPr="00DA465B">
        <w:rPr>
          <w:sz w:val="20"/>
          <w:szCs w:val="20"/>
          <w:lang/>
        </w:rPr>
        <w:t xml:space="preserve"> PADs (GAP 1-</w:t>
      </w:r>
      <w:r w:rsidRPr="00DA465B">
        <w:rPr>
          <w:sz w:val="20"/>
          <w:szCs w:val="20"/>
          <w:lang/>
        </w:rPr>
        <w:t>2</w:t>
      </w:r>
      <w:r w:rsidRPr="00DA465B">
        <w:rPr>
          <w:sz w:val="20"/>
          <w:szCs w:val="20"/>
          <w:lang/>
        </w:rPr>
        <w:t xml:space="preserve">) are presented above. Column names correspond to a specific NAICS sector. </w:t>
      </w:r>
      <w:r w:rsidR="002A78A3" w:rsidRPr="00C624DB">
        <w:rPr>
          <w:sz w:val="20"/>
          <w:szCs w:val="20"/>
          <w:lang/>
        </w:rPr>
        <w:t xml:space="preserve">Standard errors are </w:t>
      </w:r>
      <w:r w:rsidR="002A78A3">
        <w:rPr>
          <w:sz w:val="20"/>
          <w:szCs w:val="20"/>
          <w:lang/>
        </w:rPr>
        <w:t xml:space="preserve">in parentheses and are </w:t>
      </w:r>
      <w:r w:rsidR="002A78A3" w:rsidRPr="00C624DB">
        <w:rPr>
          <w:sz w:val="20"/>
          <w:szCs w:val="20"/>
          <w:lang/>
        </w:rPr>
        <w:t xml:space="preserve">clustered at the county level. </w:t>
      </w:r>
      <w:r w:rsidR="002A78A3" w:rsidRPr="002C0F11">
        <w:rPr>
          <w:sz w:val="20"/>
          <w:szCs w:val="20"/>
          <w:lang/>
        </w:rPr>
        <w:t>Statistically significant impacts are denoted by asterisks. These asterisks denote statistical significance at the following levels: ***p &lt; 0.01, **p &lt; 0.05, *p &lt; 0.1.</w:t>
      </w:r>
      <w:r w:rsidR="002A78A3">
        <w:rPr>
          <w:sz w:val="20"/>
          <w:szCs w:val="20"/>
          <w:lang/>
        </w:rPr>
        <w:t xml:space="preserve"> </w:t>
      </w:r>
      <w:r w:rsidRPr="00DA465B">
        <w:rPr>
          <w:sz w:val="20"/>
          <w:szCs w:val="20"/>
          <w:lang/>
        </w:rPr>
        <w:t>p-values of joint-tests on linear and quadratic PAD terms are shown in the last row.</w:t>
      </w:r>
    </w:p>
    <w:p w14:paraId="3E99B024" w14:textId="77777777" w:rsidR="00CD4846" w:rsidRPr="00CD4846" w:rsidRDefault="00CD4846" w:rsidP="004C39A4">
      <w:pPr>
        <w:spacing w:line="256" w:lineRule="auto"/>
        <w:rPr>
          <w:rFonts w:ascii="Garamond" w:hAnsi="Garamond" w:cs="Times New Roman"/>
          <w:b/>
          <w:bCs/>
          <w:kern w:val="2"/>
          <w:sz w:val="20"/>
          <w:szCs w:val="20"/>
          <w:lang/>
        </w:rPr>
      </w:pPr>
    </w:p>
    <w:p w14:paraId="29073763" w14:textId="77777777" w:rsidR="00CD4846" w:rsidRPr="00CD4846" w:rsidRDefault="00CD4846" w:rsidP="004C39A4">
      <w:pPr>
        <w:spacing w:line="259" w:lineRule="auto"/>
        <w:rPr>
          <w:rFonts w:ascii="Calibri Light" w:eastAsia="Times New Roman" w:hAnsi="Calibri Light" w:cs="Times New Roman"/>
          <w:b/>
          <w:bCs/>
          <w:color w:val="2F5496"/>
          <w:kern w:val="2"/>
          <w14:ligatures w14:val="standardContextual"/>
        </w:rPr>
      </w:pPr>
      <w:r w:rsidRPr="00CD4846">
        <w:rPr>
          <w:rFonts w:ascii="DengXian" w:hAnsi="DengXian" w:cs="Times New Roman"/>
          <w:b/>
          <w:bCs/>
          <w:kern w:val="2"/>
          <w:lang/>
        </w:rPr>
        <w:br w:type="page"/>
      </w:r>
    </w:p>
    <w:p w14:paraId="14E4906F" w14:textId="77777777" w:rsidR="00CD4846" w:rsidRPr="00EE4448" w:rsidRDefault="00CD4846" w:rsidP="00095E25">
      <w:pPr>
        <w:pStyle w:val="Title"/>
      </w:pPr>
      <w:bookmarkStart w:id="304" w:name="_Toc186799429"/>
      <w:bookmarkStart w:id="305" w:name="_Toc188359630"/>
      <w:bookmarkStart w:id="306" w:name="_Toc188359918"/>
      <w:bookmarkStart w:id="307" w:name="_Toc188361154"/>
      <w:bookmarkStart w:id="308" w:name="_Toc188366998"/>
      <w:r w:rsidRPr="00EE4448">
        <w:lastRenderedPageBreak/>
        <w:t>Table A25: Regression Results of Strict PADs on Intra-State Outward Relocations</w:t>
      </w:r>
      <w:bookmarkEnd w:id="304"/>
      <w:bookmarkEnd w:id="305"/>
      <w:bookmarkEnd w:id="306"/>
      <w:bookmarkEnd w:id="307"/>
      <w:bookmarkEnd w:id="308"/>
    </w:p>
    <w:tbl>
      <w:tblPr>
        <w:tblW w:w="5000" w:type="pct"/>
        <w:tblLook w:val="04A0" w:firstRow="1" w:lastRow="0" w:firstColumn="1" w:lastColumn="0" w:noHBand="0" w:noVBand="1"/>
      </w:tblPr>
      <w:tblGrid>
        <w:gridCol w:w="3464"/>
        <w:gridCol w:w="1402"/>
        <w:gridCol w:w="1400"/>
        <w:gridCol w:w="1400"/>
        <w:gridCol w:w="1694"/>
      </w:tblGrid>
      <w:tr w:rsidR="00CD4846" w:rsidRPr="00CD4846" w14:paraId="296CDFFF" w14:textId="77777777" w:rsidTr="00B82EB9">
        <w:tc>
          <w:tcPr>
            <w:tcW w:w="1850" w:type="pct"/>
            <w:tcBorders>
              <w:top w:val="single" w:sz="4" w:space="0" w:color="auto"/>
              <w:left w:val="nil"/>
              <w:bottom w:val="single" w:sz="4" w:space="0" w:color="auto"/>
              <w:right w:val="nil"/>
            </w:tcBorders>
          </w:tcPr>
          <w:p w14:paraId="1F85A008" w14:textId="31DB1BB0" w:rsidR="00CD4846" w:rsidRPr="00DA465B" w:rsidRDefault="00CD4846" w:rsidP="00DA465B">
            <w:pPr>
              <w:widowControl w:val="0"/>
              <w:autoSpaceDE w:val="0"/>
              <w:autoSpaceDN w:val="0"/>
              <w:adjustRightInd w:val="0"/>
              <w:spacing w:line="240" w:lineRule="auto"/>
              <w:rPr>
                <w:rFonts w:cs="Times New Roman"/>
                <w:b/>
                <w:bCs/>
                <w:kern w:val="2"/>
                <w:sz w:val="20"/>
                <w:szCs w:val="20"/>
                <w:lang/>
              </w:rPr>
            </w:pPr>
            <w:r w:rsidRPr="00DA465B">
              <w:rPr>
                <w:rFonts w:cs="Times New Roman"/>
                <w:b/>
                <w:bCs/>
                <w:kern w:val="2"/>
                <w:sz w:val="20"/>
                <w:szCs w:val="20"/>
                <w:lang/>
              </w:rPr>
              <w:t>Variable</w:t>
            </w:r>
          </w:p>
        </w:tc>
        <w:tc>
          <w:tcPr>
            <w:tcW w:w="749" w:type="pct"/>
            <w:tcBorders>
              <w:top w:val="single" w:sz="4" w:space="0" w:color="auto"/>
              <w:left w:val="nil"/>
              <w:bottom w:val="single" w:sz="4" w:space="0" w:color="auto"/>
              <w:right w:val="nil"/>
            </w:tcBorders>
          </w:tcPr>
          <w:p w14:paraId="6459251A" w14:textId="3DC20CE6" w:rsidR="00CD4846" w:rsidRPr="00DA465B" w:rsidRDefault="00CD4846" w:rsidP="00DA465B">
            <w:pPr>
              <w:widowControl w:val="0"/>
              <w:autoSpaceDE w:val="0"/>
              <w:autoSpaceDN w:val="0"/>
              <w:adjustRightInd w:val="0"/>
              <w:spacing w:line="240" w:lineRule="auto"/>
              <w:rPr>
                <w:rFonts w:cs="Times New Roman"/>
                <w:b/>
                <w:bCs/>
                <w:kern w:val="2"/>
                <w:sz w:val="20"/>
                <w:szCs w:val="20"/>
                <w:lang/>
              </w:rPr>
            </w:pPr>
            <w:r w:rsidRPr="00DA465B">
              <w:rPr>
                <w:rFonts w:cs="Times New Roman"/>
                <w:b/>
                <w:bCs/>
                <w:kern w:val="2"/>
                <w:sz w:val="20"/>
                <w:szCs w:val="20"/>
                <w:lang/>
              </w:rPr>
              <w:t>NAICS 11</w:t>
            </w:r>
          </w:p>
        </w:tc>
        <w:tc>
          <w:tcPr>
            <w:tcW w:w="748" w:type="pct"/>
            <w:tcBorders>
              <w:top w:val="single" w:sz="4" w:space="0" w:color="auto"/>
              <w:left w:val="nil"/>
              <w:bottom w:val="single" w:sz="4" w:space="0" w:color="auto"/>
              <w:right w:val="nil"/>
            </w:tcBorders>
          </w:tcPr>
          <w:p w14:paraId="4AF13A40" w14:textId="5875A4DA" w:rsidR="00CD4846" w:rsidRPr="00DA465B" w:rsidRDefault="00CD4846" w:rsidP="00DA465B">
            <w:pPr>
              <w:widowControl w:val="0"/>
              <w:autoSpaceDE w:val="0"/>
              <w:autoSpaceDN w:val="0"/>
              <w:adjustRightInd w:val="0"/>
              <w:spacing w:line="240" w:lineRule="auto"/>
              <w:rPr>
                <w:rFonts w:cs="Times New Roman"/>
                <w:b/>
                <w:bCs/>
                <w:kern w:val="2"/>
                <w:sz w:val="20"/>
                <w:szCs w:val="20"/>
                <w:lang/>
              </w:rPr>
            </w:pPr>
            <w:r w:rsidRPr="00DA465B">
              <w:rPr>
                <w:rFonts w:cs="Times New Roman"/>
                <w:b/>
                <w:bCs/>
                <w:kern w:val="2"/>
                <w:sz w:val="20"/>
                <w:szCs w:val="20"/>
                <w:lang/>
              </w:rPr>
              <w:t>NAICS 22</w:t>
            </w:r>
          </w:p>
        </w:tc>
        <w:tc>
          <w:tcPr>
            <w:tcW w:w="748" w:type="pct"/>
            <w:tcBorders>
              <w:top w:val="single" w:sz="4" w:space="0" w:color="auto"/>
              <w:left w:val="nil"/>
              <w:bottom w:val="single" w:sz="4" w:space="0" w:color="auto"/>
              <w:right w:val="nil"/>
            </w:tcBorders>
          </w:tcPr>
          <w:p w14:paraId="235480FE" w14:textId="34421C1C" w:rsidR="00CD4846" w:rsidRPr="00DA465B" w:rsidRDefault="00CD4846" w:rsidP="00DA465B">
            <w:pPr>
              <w:widowControl w:val="0"/>
              <w:autoSpaceDE w:val="0"/>
              <w:autoSpaceDN w:val="0"/>
              <w:adjustRightInd w:val="0"/>
              <w:spacing w:line="240" w:lineRule="auto"/>
              <w:rPr>
                <w:rFonts w:cs="Times New Roman"/>
                <w:b/>
                <w:bCs/>
                <w:kern w:val="2"/>
                <w:sz w:val="20"/>
                <w:szCs w:val="20"/>
                <w:lang/>
              </w:rPr>
            </w:pPr>
            <w:r w:rsidRPr="00DA465B">
              <w:rPr>
                <w:rFonts w:cs="Times New Roman"/>
                <w:b/>
                <w:bCs/>
                <w:kern w:val="2"/>
                <w:sz w:val="20"/>
                <w:szCs w:val="20"/>
                <w:lang/>
              </w:rPr>
              <w:t>NAICS 23</w:t>
            </w:r>
          </w:p>
        </w:tc>
        <w:tc>
          <w:tcPr>
            <w:tcW w:w="905" w:type="pct"/>
            <w:tcBorders>
              <w:top w:val="single" w:sz="4" w:space="0" w:color="auto"/>
              <w:left w:val="nil"/>
              <w:bottom w:val="single" w:sz="4" w:space="0" w:color="auto"/>
              <w:right w:val="nil"/>
            </w:tcBorders>
          </w:tcPr>
          <w:p w14:paraId="7BE55EA5" w14:textId="673D1AA3" w:rsidR="00CD4846" w:rsidRPr="00DA465B" w:rsidRDefault="00CD4846" w:rsidP="00DA465B">
            <w:pPr>
              <w:widowControl w:val="0"/>
              <w:autoSpaceDE w:val="0"/>
              <w:autoSpaceDN w:val="0"/>
              <w:adjustRightInd w:val="0"/>
              <w:spacing w:line="240" w:lineRule="auto"/>
              <w:rPr>
                <w:rFonts w:cs="Times New Roman"/>
                <w:b/>
                <w:bCs/>
                <w:kern w:val="2"/>
                <w:sz w:val="20"/>
                <w:szCs w:val="20"/>
                <w:lang/>
              </w:rPr>
            </w:pPr>
            <w:r w:rsidRPr="00DA465B">
              <w:rPr>
                <w:rFonts w:cs="Times New Roman"/>
                <w:b/>
                <w:bCs/>
                <w:kern w:val="2"/>
                <w:sz w:val="20"/>
                <w:szCs w:val="20"/>
                <w:lang/>
              </w:rPr>
              <w:t>NAICS 31-33</w:t>
            </w:r>
          </w:p>
        </w:tc>
      </w:tr>
      <w:tr w:rsidR="00CD4846" w:rsidRPr="00CD4846" w14:paraId="6F08BE74" w14:textId="77777777" w:rsidTr="00B82EB9">
        <w:tc>
          <w:tcPr>
            <w:tcW w:w="1850" w:type="pct"/>
            <w:tcBorders>
              <w:top w:val="single" w:sz="4" w:space="0" w:color="auto"/>
              <w:left w:val="nil"/>
              <w:bottom w:val="nil"/>
              <w:right w:val="nil"/>
            </w:tcBorders>
          </w:tcPr>
          <w:p w14:paraId="50D9FD72"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Strict PAD(t-1)</w:t>
            </w:r>
          </w:p>
        </w:tc>
        <w:tc>
          <w:tcPr>
            <w:tcW w:w="749" w:type="pct"/>
            <w:tcBorders>
              <w:top w:val="single" w:sz="4" w:space="0" w:color="auto"/>
              <w:left w:val="nil"/>
              <w:bottom w:val="nil"/>
              <w:right w:val="nil"/>
            </w:tcBorders>
          </w:tcPr>
          <w:p w14:paraId="55DCE703"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43.118**</w:t>
            </w:r>
          </w:p>
        </w:tc>
        <w:tc>
          <w:tcPr>
            <w:tcW w:w="748" w:type="pct"/>
            <w:tcBorders>
              <w:top w:val="single" w:sz="4" w:space="0" w:color="auto"/>
              <w:left w:val="nil"/>
              <w:bottom w:val="nil"/>
              <w:right w:val="nil"/>
            </w:tcBorders>
          </w:tcPr>
          <w:p w14:paraId="16974DD0"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-12.010</w:t>
            </w:r>
          </w:p>
        </w:tc>
        <w:tc>
          <w:tcPr>
            <w:tcW w:w="748" w:type="pct"/>
            <w:tcBorders>
              <w:top w:val="single" w:sz="4" w:space="0" w:color="auto"/>
              <w:left w:val="nil"/>
              <w:bottom w:val="nil"/>
              <w:right w:val="nil"/>
            </w:tcBorders>
          </w:tcPr>
          <w:p w14:paraId="4590D15F"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4.065**</w:t>
            </w:r>
          </w:p>
        </w:tc>
        <w:tc>
          <w:tcPr>
            <w:tcW w:w="905" w:type="pct"/>
            <w:tcBorders>
              <w:top w:val="single" w:sz="4" w:space="0" w:color="auto"/>
              <w:left w:val="nil"/>
              <w:bottom w:val="nil"/>
              <w:right w:val="nil"/>
            </w:tcBorders>
          </w:tcPr>
          <w:p w14:paraId="5FBCF4D0"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5.649**</w:t>
            </w:r>
          </w:p>
        </w:tc>
      </w:tr>
      <w:tr w:rsidR="00CD4846" w:rsidRPr="00CD4846" w14:paraId="443A0613" w14:textId="77777777" w:rsidTr="00B82EB9">
        <w:tc>
          <w:tcPr>
            <w:tcW w:w="1850" w:type="pct"/>
            <w:tcBorders>
              <w:top w:val="nil"/>
              <w:left w:val="nil"/>
              <w:bottom w:val="nil"/>
              <w:right w:val="nil"/>
            </w:tcBorders>
          </w:tcPr>
          <w:p w14:paraId="3D7F61C0" w14:textId="2E33CF75" w:rsidR="00CD4846" w:rsidRPr="00DA465B" w:rsidRDefault="00CD4846" w:rsidP="00DA465B">
            <w:pPr>
              <w:widowControl w:val="0"/>
              <w:autoSpaceDE w:val="0"/>
              <w:autoSpaceDN w:val="0"/>
              <w:adjustRightInd w:val="0"/>
              <w:spacing w:line="240" w:lineRule="auto"/>
              <w:rPr>
                <w:rFonts w:cs="Times New Roman"/>
                <w:kern w:val="2"/>
                <w:sz w:val="20"/>
                <w:szCs w:val="20"/>
                <w:lang/>
              </w:rPr>
            </w:pPr>
          </w:p>
        </w:tc>
        <w:tc>
          <w:tcPr>
            <w:tcW w:w="749" w:type="pct"/>
            <w:tcBorders>
              <w:top w:val="nil"/>
              <w:left w:val="nil"/>
              <w:bottom w:val="nil"/>
              <w:right w:val="nil"/>
            </w:tcBorders>
          </w:tcPr>
          <w:p w14:paraId="5AD5D518"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(21.068)</w:t>
            </w:r>
          </w:p>
        </w:tc>
        <w:tc>
          <w:tcPr>
            <w:tcW w:w="748" w:type="pct"/>
            <w:tcBorders>
              <w:top w:val="nil"/>
              <w:left w:val="nil"/>
              <w:bottom w:val="nil"/>
              <w:right w:val="nil"/>
            </w:tcBorders>
          </w:tcPr>
          <w:p w14:paraId="585CEB75"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(12.468)</w:t>
            </w:r>
          </w:p>
        </w:tc>
        <w:tc>
          <w:tcPr>
            <w:tcW w:w="748" w:type="pct"/>
            <w:tcBorders>
              <w:top w:val="nil"/>
              <w:left w:val="nil"/>
              <w:bottom w:val="nil"/>
              <w:right w:val="nil"/>
            </w:tcBorders>
          </w:tcPr>
          <w:p w14:paraId="7FC1DD5D"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(1.653)</w:t>
            </w:r>
          </w:p>
        </w:tc>
        <w:tc>
          <w:tcPr>
            <w:tcW w:w="905" w:type="pct"/>
            <w:tcBorders>
              <w:top w:val="nil"/>
              <w:left w:val="nil"/>
              <w:bottom w:val="nil"/>
              <w:right w:val="nil"/>
            </w:tcBorders>
          </w:tcPr>
          <w:p w14:paraId="4B562E46"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(2.196)</w:t>
            </w:r>
          </w:p>
        </w:tc>
      </w:tr>
      <w:tr w:rsidR="00CD4846" w:rsidRPr="00CD4846" w14:paraId="58942341" w14:textId="77777777" w:rsidTr="00B82EB9">
        <w:tc>
          <w:tcPr>
            <w:tcW w:w="1850" w:type="pct"/>
            <w:tcBorders>
              <w:top w:val="nil"/>
              <w:left w:val="nil"/>
              <w:bottom w:val="nil"/>
              <w:right w:val="nil"/>
            </w:tcBorders>
          </w:tcPr>
          <w:p w14:paraId="0107EE28"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Strict PAD Sq. (t-1)</w:t>
            </w:r>
          </w:p>
        </w:tc>
        <w:tc>
          <w:tcPr>
            <w:tcW w:w="749" w:type="pct"/>
            <w:tcBorders>
              <w:top w:val="nil"/>
              <w:left w:val="nil"/>
              <w:bottom w:val="nil"/>
              <w:right w:val="nil"/>
            </w:tcBorders>
          </w:tcPr>
          <w:p w14:paraId="2848338C"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-98.964*</w:t>
            </w:r>
          </w:p>
        </w:tc>
        <w:tc>
          <w:tcPr>
            <w:tcW w:w="748" w:type="pct"/>
            <w:tcBorders>
              <w:top w:val="nil"/>
              <w:left w:val="nil"/>
              <w:bottom w:val="nil"/>
              <w:right w:val="nil"/>
            </w:tcBorders>
          </w:tcPr>
          <w:p w14:paraId="74EE527B"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30.845</w:t>
            </w:r>
          </w:p>
        </w:tc>
        <w:tc>
          <w:tcPr>
            <w:tcW w:w="748" w:type="pct"/>
            <w:tcBorders>
              <w:top w:val="nil"/>
              <w:left w:val="nil"/>
              <w:bottom w:val="nil"/>
              <w:right w:val="nil"/>
            </w:tcBorders>
          </w:tcPr>
          <w:p w14:paraId="75DF2F1B"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-7.511*</w:t>
            </w:r>
          </w:p>
        </w:tc>
        <w:tc>
          <w:tcPr>
            <w:tcW w:w="905" w:type="pct"/>
            <w:tcBorders>
              <w:top w:val="nil"/>
              <w:left w:val="nil"/>
              <w:bottom w:val="nil"/>
              <w:right w:val="nil"/>
            </w:tcBorders>
          </w:tcPr>
          <w:p w14:paraId="0E1F0F21"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-5.094</w:t>
            </w:r>
          </w:p>
        </w:tc>
      </w:tr>
      <w:tr w:rsidR="00CD4846" w:rsidRPr="00CD4846" w14:paraId="6BA9321B" w14:textId="77777777" w:rsidTr="00B82EB9">
        <w:tc>
          <w:tcPr>
            <w:tcW w:w="1850" w:type="pct"/>
            <w:tcBorders>
              <w:top w:val="nil"/>
              <w:left w:val="nil"/>
              <w:bottom w:val="nil"/>
              <w:right w:val="nil"/>
            </w:tcBorders>
          </w:tcPr>
          <w:p w14:paraId="46194C48" w14:textId="14AA9918" w:rsidR="00CD4846" w:rsidRPr="00DA465B" w:rsidRDefault="00CD4846" w:rsidP="00DA465B">
            <w:pPr>
              <w:widowControl w:val="0"/>
              <w:autoSpaceDE w:val="0"/>
              <w:autoSpaceDN w:val="0"/>
              <w:adjustRightInd w:val="0"/>
              <w:spacing w:line="240" w:lineRule="auto"/>
              <w:rPr>
                <w:rFonts w:cs="Times New Roman"/>
                <w:kern w:val="2"/>
                <w:sz w:val="20"/>
                <w:szCs w:val="20"/>
                <w:lang/>
              </w:rPr>
            </w:pPr>
          </w:p>
        </w:tc>
        <w:tc>
          <w:tcPr>
            <w:tcW w:w="749" w:type="pct"/>
            <w:tcBorders>
              <w:top w:val="nil"/>
              <w:left w:val="nil"/>
              <w:bottom w:val="nil"/>
              <w:right w:val="nil"/>
            </w:tcBorders>
          </w:tcPr>
          <w:p w14:paraId="53902D90"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(51.929)</w:t>
            </w:r>
          </w:p>
        </w:tc>
        <w:tc>
          <w:tcPr>
            <w:tcW w:w="748" w:type="pct"/>
            <w:tcBorders>
              <w:top w:val="nil"/>
              <w:left w:val="nil"/>
              <w:bottom w:val="nil"/>
              <w:right w:val="nil"/>
            </w:tcBorders>
          </w:tcPr>
          <w:p w14:paraId="5D30CB1F"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(39.173)</w:t>
            </w:r>
          </w:p>
        </w:tc>
        <w:tc>
          <w:tcPr>
            <w:tcW w:w="748" w:type="pct"/>
            <w:tcBorders>
              <w:top w:val="nil"/>
              <w:left w:val="nil"/>
              <w:bottom w:val="nil"/>
              <w:right w:val="nil"/>
            </w:tcBorders>
          </w:tcPr>
          <w:p w14:paraId="33ED4DFD"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(4.522)</w:t>
            </w:r>
          </w:p>
        </w:tc>
        <w:tc>
          <w:tcPr>
            <w:tcW w:w="905" w:type="pct"/>
            <w:tcBorders>
              <w:top w:val="nil"/>
              <w:left w:val="nil"/>
              <w:bottom w:val="nil"/>
              <w:right w:val="nil"/>
            </w:tcBorders>
          </w:tcPr>
          <w:p w14:paraId="31D5A1B4"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(5.350)</w:t>
            </w:r>
          </w:p>
        </w:tc>
      </w:tr>
      <w:tr w:rsidR="00CD4846" w:rsidRPr="00CD4846" w14:paraId="2C9FEFCA" w14:textId="77777777" w:rsidTr="00B82EB9">
        <w:tc>
          <w:tcPr>
            <w:tcW w:w="1850" w:type="pct"/>
            <w:tcBorders>
              <w:top w:val="nil"/>
              <w:left w:val="nil"/>
              <w:bottom w:val="nil"/>
              <w:right w:val="nil"/>
            </w:tcBorders>
          </w:tcPr>
          <w:p w14:paraId="54F42D18" w14:textId="6FBFDC2C"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Loc. Economies (t-1) (10ks)</w:t>
            </w:r>
          </w:p>
        </w:tc>
        <w:tc>
          <w:tcPr>
            <w:tcW w:w="749" w:type="pct"/>
            <w:tcBorders>
              <w:top w:val="nil"/>
              <w:left w:val="nil"/>
              <w:bottom w:val="nil"/>
              <w:right w:val="nil"/>
            </w:tcBorders>
          </w:tcPr>
          <w:p w14:paraId="3672D227"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45.434</w:t>
            </w:r>
          </w:p>
        </w:tc>
        <w:tc>
          <w:tcPr>
            <w:tcW w:w="748" w:type="pct"/>
            <w:tcBorders>
              <w:top w:val="nil"/>
              <w:left w:val="nil"/>
              <w:bottom w:val="nil"/>
              <w:right w:val="nil"/>
            </w:tcBorders>
          </w:tcPr>
          <w:p w14:paraId="6DF4F33D"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432.855*</w:t>
            </w:r>
          </w:p>
        </w:tc>
        <w:tc>
          <w:tcPr>
            <w:tcW w:w="748" w:type="pct"/>
            <w:tcBorders>
              <w:top w:val="nil"/>
              <w:left w:val="nil"/>
              <w:bottom w:val="nil"/>
              <w:right w:val="nil"/>
            </w:tcBorders>
          </w:tcPr>
          <w:p w14:paraId="69245987"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0.982***</w:t>
            </w:r>
          </w:p>
        </w:tc>
        <w:tc>
          <w:tcPr>
            <w:tcW w:w="905" w:type="pct"/>
            <w:tcBorders>
              <w:top w:val="nil"/>
              <w:left w:val="nil"/>
              <w:bottom w:val="nil"/>
              <w:right w:val="nil"/>
            </w:tcBorders>
          </w:tcPr>
          <w:p w14:paraId="328B7F50"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0.303</w:t>
            </w:r>
          </w:p>
        </w:tc>
      </w:tr>
      <w:tr w:rsidR="00CD4846" w:rsidRPr="00CD4846" w14:paraId="038FCAF5" w14:textId="77777777" w:rsidTr="00B82EB9">
        <w:tc>
          <w:tcPr>
            <w:tcW w:w="1850" w:type="pct"/>
            <w:tcBorders>
              <w:top w:val="nil"/>
              <w:left w:val="nil"/>
              <w:bottom w:val="nil"/>
              <w:right w:val="nil"/>
            </w:tcBorders>
          </w:tcPr>
          <w:p w14:paraId="0EBED60D" w14:textId="2E6E7581" w:rsidR="00CD4846" w:rsidRPr="00DA465B" w:rsidRDefault="00CD4846" w:rsidP="00DA465B">
            <w:pPr>
              <w:widowControl w:val="0"/>
              <w:autoSpaceDE w:val="0"/>
              <w:autoSpaceDN w:val="0"/>
              <w:adjustRightInd w:val="0"/>
              <w:spacing w:line="240" w:lineRule="auto"/>
              <w:rPr>
                <w:rFonts w:cs="Times New Roman"/>
                <w:kern w:val="2"/>
                <w:sz w:val="20"/>
                <w:szCs w:val="20"/>
                <w:lang/>
              </w:rPr>
            </w:pPr>
          </w:p>
        </w:tc>
        <w:tc>
          <w:tcPr>
            <w:tcW w:w="749" w:type="pct"/>
            <w:tcBorders>
              <w:top w:val="nil"/>
              <w:left w:val="nil"/>
              <w:bottom w:val="nil"/>
              <w:right w:val="nil"/>
            </w:tcBorders>
          </w:tcPr>
          <w:p w14:paraId="4A267701"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(28.698)</w:t>
            </w:r>
          </w:p>
        </w:tc>
        <w:tc>
          <w:tcPr>
            <w:tcW w:w="748" w:type="pct"/>
            <w:tcBorders>
              <w:top w:val="nil"/>
              <w:left w:val="nil"/>
              <w:bottom w:val="nil"/>
              <w:right w:val="nil"/>
            </w:tcBorders>
          </w:tcPr>
          <w:p w14:paraId="40B049BD"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(250.532)</w:t>
            </w:r>
          </w:p>
        </w:tc>
        <w:tc>
          <w:tcPr>
            <w:tcW w:w="748" w:type="pct"/>
            <w:tcBorders>
              <w:top w:val="nil"/>
              <w:left w:val="nil"/>
              <w:bottom w:val="nil"/>
              <w:right w:val="nil"/>
            </w:tcBorders>
          </w:tcPr>
          <w:p w14:paraId="4609B279"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(0.264)</w:t>
            </w:r>
          </w:p>
        </w:tc>
        <w:tc>
          <w:tcPr>
            <w:tcW w:w="905" w:type="pct"/>
            <w:tcBorders>
              <w:top w:val="nil"/>
              <w:left w:val="nil"/>
              <w:bottom w:val="nil"/>
              <w:right w:val="nil"/>
            </w:tcBorders>
          </w:tcPr>
          <w:p w14:paraId="7D10AB7D"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(0.832)</w:t>
            </w:r>
          </w:p>
        </w:tc>
      </w:tr>
      <w:tr w:rsidR="00CD4846" w:rsidRPr="00CD4846" w14:paraId="19320C77" w14:textId="77777777" w:rsidTr="00B82EB9">
        <w:tc>
          <w:tcPr>
            <w:tcW w:w="1850" w:type="pct"/>
            <w:tcBorders>
              <w:top w:val="nil"/>
              <w:left w:val="nil"/>
              <w:bottom w:val="nil"/>
              <w:right w:val="nil"/>
            </w:tcBorders>
          </w:tcPr>
          <w:p w14:paraId="3E69C5E3" w14:textId="5E9E9088"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Median HH Income (100ks)</w:t>
            </w:r>
          </w:p>
        </w:tc>
        <w:tc>
          <w:tcPr>
            <w:tcW w:w="749" w:type="pct"/>
            <w:tcBorders>
              <w:top w:val="nil"/>
              <w:left w:val="nil"/>
              <w:bottom w:val="nil"/>
              <w:right w:val="nil"/>
            </w:tcBorders>
          </w:tcPr>
          <w:p w14:paraId="7AD967BC"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2.905</w:t>
            </w:r>
          </w:p>
        </w:tc>
        <w:tc>
          <w:tcPr>
            <w:tcW w:w="748" w:type="pct"/>
            <w:tcBorders>
              <w:top w:val="nil"/>
              <w:left w:val="nil"/>
              <w:bottom w:val="nil"/>
              <w:right w:val="nil"/>
            </w:tcBorders>
          </w:tcPr>
          <w:p w14:paraId="016D8213"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2.952</w:t>
            </w:r>
          </w:p>
        </w:tc>
        <w:tc>
          <w:tcPr>
            <w:tcW w:w="748" w:type="pct"/>
            <w:tcBorders>
              <w:top w:val="nil"/>
              <w:left w:val="nil"/>
              <w:bottom w:val="nil"/>
              <w:right w:val="nil"/>
            </w:tcBorders>
          </w:tcPr>
          <w:p w14:paraId="6123C03B"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-0.337</w:t>
            </w:r>
          </w:p>
        </w:tc>
        <w:tc>
          <w:tcPr>
            <w:tcW w:w="905" w:type="pct"/>
            <w:tcBorders>
              <w:top w:val="nil"/>
              <w:left w:val="nil"/>
              <w:bottom w:val="nil"/>
              <w:right w:val="nil"/>
            </w:tcBorders>
          </w:tcPr>
          <w:p w14:paraId="33929384"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-0.009</w:t>
            </w:r>
          </w:p>
        </w:tc>
      </w:tr>
      <w:tr w:rsidR="00CD4846" w:rsidRPr="00CD4846" w14:paraId="2D4A9BA4" w14:textId="77777777" w:rsidTr="00B82EB9">
        <w:tc>
          <w:tcPr>
            <w:tcW w:w="1850" w:type="pct"/>
            <w:tcBorders>
              <w:top w:val="nil"/>
              <w:left w:val="nil"/>
              <w:bottom w:val="nil"/>
              <w:right w:val="nil"/>
            </w:tcBorders>
          </w:tcPr>
          <w:p w14:paraId="3014FF15" w14:textId="041B93DE" w:rsidR="00CD4846" w:rsidRPr="00DA465B" w:rsidRDefault="00CD4846" w:rsidP="00DA465B">
            <w:pPr>
              <w:widowControl w:val="0"/>
              <w:autoSpaceDE w:val="0"/>
              <w:autoSpaceDN w:val="0"/>
              <w:adjustRightInd w:val="0"/>
              <w:spacing w:line="240" w:lineRule="auto"/>
              <w:rPr>
                <w:rFonts w:cs="Times New Roman"/>
                <w:kern w:val="2"/>
                <w:sz w:val="20"/>
                <w:szCs w:val="20"/>
                <w:lang/>
              </w:rPr>
            </w:pPr>
          </w:p>
        </w:tc>
        <w:tc>
          <w:tcPr>
            <w:tcW w:w="749" w:type="pct"/>
            <w:tcBorders>
              <w:top w:val="nil"/>
              <w:left w:val="nil"/>
              <w:bottom w:val="nil"/>
              <w:right w:val="nil"/>
            </w:tcBorders>
          </w:tcPr>
          <w:p w14:paraId="308A97E8"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(2.263)</w:t>
            </w:r>
          </w:p>
        </w:tc>
        <w:tc>
          <w:tcPr>
            <w:tcW w:w="748" w:type="pct"/>
            <w:tcBorders>
              <w:top w:val="nil"/>
              <w:left w:val="nil"/>
              <w:bottom w:val="nil"/>
              <w:right w:val="nil"/>
            </w:tcBorders>
          </w:tcPr>
          <w:p w14:paraId="4FF25980"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(3.143)</w:t>
            </w:r>
          </w:p>
        </w:tc>
        <w:tc>
          <w:tcPr>
            <w:tcW w:w="748" w:type="pct"/>
            <w:tcBorders>
              <w:top w:val="nil"/>
              <w:left w:val="nil"/>
              <w:bottom w:val="nil"/>
              <w:right w:val="nil"/>
            </w:tcBorders>
          </w:tcPr>
          <w:p w14:paraId="1F606283"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(0.336)</w:t>
            </w:r>
          </w:p>
        </w:tc>
        <w:tc>
          <w:tcPr>
            <w:tcW w:w="905" w:type="pct"/>
            <w:tcBorders>
              <w:top w:val="nil"/>
              <w:left w:val="nil"/>
              <w:bottom w:val="nil"/>
              <w:right w:val="nil"/>
            </w:tcBorders>
          </w:tcPr>
          <w:p w14:paraId="4FAFFB5A"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(0.570)</w:t>
            </w:r>
          </w:p>
        </w:tc>
      </w:tr>
      <w:tr w:rsidR="00CD4846" w:rsidRPr="00CD4846" w14:paraId="05AFD031" w14:textId="77777777" w:rsidTr="00B82EB9">
        <w:tc>
          <w:tcPr>
            <w:tcW w:w="1850" w:type="pct"/>
            <w:tcBorders>
              <w:top w:val="nil"/>
              <w:left w:val="nil"/>
              <w:bottom w:val="nil"/>
              <w:right w:val="nil"/>
            </w:tcBorders>
          </w:tcPr>
          <w:p w14:paraId="2241A44B" w14:textId="310452B0"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Housing Price Index (100s)</w:t>
            </w:r>
          </w:p>
        </w:tc>
        <w:tc>
          <w:tcPr>
            <w:tcW w:w="749" w:type="pct"/>
            <w:tcBorders>
              <w:top w:val="nil"/>
              <w:left w:val="nil"/>
              <w:bottom w:val="nil"/>
              <w:right w:val="nil"/>
            </w:tcBorders>
          </w:tcPr>
          <w:p w14:paraId="4B48902F"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-0.176</w:t>
            </w:r>
          </w:p>
        </w:tc>
        <w:tc>
          <w:tcPr>
            <w:tcW w:w="748" w:type="pct"/>
            <w:tcBorders>
              <w:top w:val="nil"/>
              <w:left w:val="nil"/>
              <w:bottom w:val="nil"/>
              <w:right w:val="nil"/>
            </w:tcBorders>
          </w:tcPr>
          <w:p w14:paraId="39D04B18"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-0.441*</w:t>
            </w:r>
          </w:p>
        </w:tc>
        <w:tc>
          <w:tcPr>
            <w:tcW w:w="748" w:type="pct"/>
            <w:tcBorders>
              <w:top w:val="nil"/>
              <w:left w:val="nil"/>
              <w:bottom w:val="nil"/>
              <w:right w:val="nil"/>
            </w:tcBorders>
          </w:tcPr>
          <w:p w14:paraId="06DDA067"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0.082***</w:t>
            </w:r>
          </w:p>
        </w:tc>
        <w:tc>
          <w:tcPr>
            <w:tcW w:w="905" w:type="pct"/>
            <w:tcBorders>
              <w:top w:val="nil"/>
              <w:left w:val="nil"/>
              <w:bottom w:val="nil"/>
              <w:right w:val="nil"/>
            </w:tcBorders>
          </w:tcPr>
          <w:p w14:paraId="7F5F4A3C"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-0.010</w:t>
            </w:r>
          </w:p>
        </w:tc>
      </w:tr>
      <w:tr w:rsidR="00CD4846" w:rsidRPr="00CD4846" w14:paraId="0DE587A9" w14:textId="77777777" w:rsidTr="00B82EB9">
        <w:tc>
          <w:tcPr>
            <w:tcW w:w="1850" w:type="pct"/>
            <w:tcBorders>
              <w:top w:val="nil"/>
              <w:left w:val="nil"/>
              <w:bottom w:val="nil"/>
              <w:right w:val="nil"/>
            </w:tcBorders>
          </w:tcPr>
          <w:p w14:paraId="44D2ACF6" w14:textId="0DE4F5C5" w:rsidR="00CD4846" w:rsidRPr="00DA465B" w:rsidRDefault="00CD4846" w:rsidP="00DA465B">
            <w:pPr>
              <w:widowControl w:val="0"/>
              <w:autoSpaceDE w:val="0"/>
              <w:autoSpaceDN w:val="0"/>
              <w:adjustRightInd w:val="0"/>
              <w:spacing w:line="240" w:lineRule="auto"/>
              <w:rPr>
                <w:rFonts w:cs="Times New Roman"/>
                <w:kern w:val="2"/>
                <w:sz w:val="20"/>
                <w:szCs w:val="20"/>
                <w:lang/>
              </w:rPr>
            </w:pPr>
          </w:p>
        </w:tc>
        <w:tc>
          <w:tcPr>
            <w:tcW w:w="749" w:type="pct"/>
            <w:tcBorders>
              <w:top w:val="nil"/>
              <w:left w:val="nil"/>
              <w:bottom w:val="nil"/>
              <w:right w:val="nil"/>
            </w:tcBorders>
          </w:tcPr>
          <w:p w14:paraId="614225F1"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(0.145)</w:t>
            </w:r>
          </w:p>
        </w:tc>
        <w:tc>
          <w:tcPr>
            <w:tcW w:w="748" w:type="pct"/>
            <w:tcBorders>
              <w:top w:val="nil"/>
              <w:left w:val="nil"/>
              <w:bottom w:val="nil"/>
              <w:right w:val="nil"/>
            </w:tcBorders>
          </w:tcPr>
          <w:p w14:paraId="41B680D1"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(0.233)</w:t>
            </w:r>
          </w:p>
        </w:tc>
        <w:tc>
          <w:tcPr>
            <w:tcW w:w="748" w:type="pct"/>
            <w:tcBorders>
              <w:top w:val="nil"/>
              <w:left w:val="nil"/>
              <w:bottom w:val="nil"/>
              <w:right w:val="nil"/>
            </w:tcBorders>
          </w:tcPr>
          <w:p w14:paraId="1178ABD8"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(0.025)</w:t>
            </w:r>
          </w:p>
        </w:tc>
        <w:tc>
          <w:tcPr>
            <w:tcW w:w="905" w:type="pct"/>
            <w:tcBorders>
              <w:top w:val="nil"/>
              <w:left w:val="nil"/>
              <w:bottom w:val="nil"/>
              <w:right w:val="nil"/>
            </w:tcBorders>
          </w:tcPr>
          <w:p w14:paraId="5D652FBF"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(0.037)</w:t>
            </w:r>
          </w:p>
        </w:tc>
      </w:tr>
      <w:tr w:rsidR="00CD4846" w:rsidRPr="00CD4846" w14:paraId="4762D03B" w14:textId="77777777" w:rsidTr="00B82EB9">
        <w:tc>
          <w:tcPr>
            <w:tcW w:w="1850" w:type="pct"/>
            <w:tcBorders>
              <w:top w:val="nil"/>
              <w:left w:val="nil"/>
              <w:bottom w:val="nil"/>
              <w:right w:val="nil"/>
            </w:tcBorders>
          </w:tcPr>
          <w:p w14:paraId="399206A2" w14:textId="23B5332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Poverty rate (100s)</w:t>
            </w:r>
          </w:p>
        </w:tc>
        <w:tc>
          <w:tcPr>
            <w:tcW w:w="749" w:type="pct"/>
            <w:tcBorders>
              <w:top w:val="nil"/>
              <w:left w:val="nil"/>
              <w:bottom w:val="nil"/>
              <w:right w:val="nil"/>
            </w:tcBorders>
          </w:tcPr>
          <w:p w14:paraId="32153D15"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-7.411*</w:t>
            </w:r>
          </w:p>
        </w:tc>
        <w:tc>
          <w:tcPr>
            <w:tcW w:w="748" w:type="pct"/>
            <w:tcBorders>
              <w:top w:val="nil"/>
              <w:left w:val="nil"/>
              <w:bottom w:val="nil"/>
              <w:right w:val="nil"/>
            </w:tcBorders>
          </w:tcPr>
          <w:p w14:paraId="73D52C5D"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-8.381</w:t>
            </w:r>
          </w:p>
        </w:tc>
        <w:tc>
          <w:tcPr>
            <w:tcW w:w="748" w:type="pct"/>
            <w:tcBorders>
              <w:top w:val="nil"/>
              <w:left w:val="nil"/>
              <w:bottom w:val="nil"/>
              <w:right w:val="nil"/>
            </w:tcBorders>
          </w:tcPr>
          <w:p w14:paraId="5413CE8A"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-2.055***</w:t>
            </w:r>
          </w:p>
        </w:tc>
        <w:tc>
          <w:tcPr>
            <w:tcW w:w="905" w:type="pct"/>
            <w:tcBorders>
              <w:top w:val="nil"/>
              <w:left w:val="nil"/>
              <w:bottom w:val="nil"/>
              <w:right w:val="nil"/>
            </w:tcBorders>
          </w:tcPr>
          <w:p w14:paraId="16E76D8F"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-0.224</w:t>
            </w:r>
          </w:p>
        </w:tc>
      </w:tr>
      <w:tr w:rsidR="00CD4846" w:rsidRPr="00CD4846" w14:paraId="7B2739D5" w14:textId="77777777" w:rsidTr="00B82EB9">
        <w:tc>
          <w:tcPr>
            <w:tcW w:w="1850" w:type="pct"/>
            <w:tcBorders>
              <w:top w:val="nil"/>
              <w:left w:val="nil"/>
              <w:bottom w:val="nil"/>
              <w:right w:val="nil"/>
            </w:tcBorders>
          </w:tcPr>
          <w:p w14:paraId="34DB33A3" w14:textId="79781590" w:rsidR="00CD4846" w:rsidRPr="00DA465B" w:rsidRDefault="00CD4846" w:rsidP="00DA465B">
            <w:pPr>
              <w:widowControl w:val="0"/>
              <w:autoSpaceDE w:val="0"/>
              <w:autoSpaceDN w:val="0"/>
              <w:adjustRightInd w:val="0"/>
              <w:spacing w:line="240" w:lineRule="auto"/>
              <w:rPr>
                <w:rFonts w:cs="Times New Roman"/>
                <w:kern w:val="2"/>
                <w:sz w:val="20"/>
                <w:szCs w:val="20"/>
                <w:lang/>
              </w:rPr>
            </w:pPr>
          </w:p>
        </w:tc>
        <w:tc>
          <w:tcPr>
            <w:tcW w:w="749" w:type="pct"/>
            <w:tcBorders>
              <w:top w:val="nil"/>
              <w:left w:val="nil"/>
              <w:bottom w:val="nil"/>
              <w:right w:val="nil"/>
            </w:tcBorders>
          </w:tcPr>
          <w:p w14:paraId="5858C3A3"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(3.826)</w:t>
            </w:r>
          </w:p>
        </w:tc>
        <w:tc>
          <w:tcPr>
            <w:tcW w:w="748" w:type="pct"/>
            <w:tcBorders>
              <w:top w:val="nil"/>
              <w:left w:val="nil"/>
              <w:bottom w:val="nil"/>
              <w:right w:val="nil"/>
            </w:tcBorders>
          </w:tcPr>
          <w:p w14:paraId="605632BC"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(5.833)</w:t>
            </w:r>
          </w:p>
        </w:tc>
        <w:tc>
          <w:tcPr>
            <w:tcW w:w="748" w:type="pct"/>
            <w:tcBorders>
              <w:top w:val="nil"/>
              <w:left w:val="nil"/>
              <w:bottom w:val="nil"/>
              <w:right w:val="nil"/>
            </w:tcBorders>
          </w:tcPr>
          <w:p w14:paraId="65E52D10"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(0.648)</w:t>
            </w:r>
          </w:p>
        </w:tc>
        <w:tc>
          <w:tcPr>
            <w:tcW w:w="905" w:type="pct"/>
            <w:tcBorders>
              <w:top w:val="nil"/>
              <w:left w:val="nil"/>
              <w:bottom w:val="nil"/>
              <w:right w:val="nil"/>
            </w:tcBorders>
          </w:tcPr>
          <w:p w14:paraId="23FEA5B1"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(1.070)</w:t>
            </w:r>
          </w:p>
        </w:tc>
      </w:tr>
      <w:tr w:rsidR="00CD4846" w:rsidRPr="00CD4846" w14:paraId="7CB69C17" w14:textId="77777777" w:rsidTr="00B82EB9">
        <w:tc>
          <w:tcPr>
            <w:tcW w:w="1850" w:type="pct"/>
            <w:tcBorders>
              <w:top w:val="nil"/>
              <w:left w:val="nil"/>
              <w:bottom w:val="nil"/>
              <w:right w:val="nil"/>
            </w:tcBorders>
          </w:tcPr>
          <w:p w14:paraId="2AE2ABF9" w14:textId="0EE03093"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Avg annual wages (100k)</w:t>
            </w:r>
          </w:p>
        </w:tc>
        <w:tc>
          <w:tcPr>
            <w:tcW w:w="749" w:type="pct"/>
            <w:tcBorders>
              <w:top w:val="nil"/>
              <w:left w:val="nil"/>
              <w:bottom w:val="nil"/>
              <w:right w:val="nil"/>
            </w:tcBorders>
          </w:tcPr>
          <w:p w14:paraId="54EC3238"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-0.084</w:t>
            </w:r>
          </w:p>
        </w:tc>
        <w:tc>
          <w:tcPr>
            <w:tcW w:w="748" w:type="pct"/>
            <w:tcBorders>
              <w:top w:val="nil"/>
              <w:left w:val="nil"/>
              <w:bottom w:val="nil"/>
              <w:right w:val="nil"/>
            </w:tcBorders>
          </w:tcPr>
          <w:p w14:paraId="044F621E"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0.061</w:t>
            </w:r>
          </w:p>
        </w:tc>
        <w:tc>
          <w:tcPr>
            <w:tcW w:w="748" w:type="pct"/>
            <w:tcBorders>
              <w:top w:val="nil"/>
              <w:left w:val="nil"/>
              <w:bottom w:val="nil"/>
              <w:right w:val="nil"/>
            </w:tcBorders>
          </w:tcPr>
          <w:p w14:paraId="7473CF38"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0.010</w:t>
            </w:r>
          </w:p>
        </w:tc>
        <w:tc>
          <w:tcPr>
            <w:tcW w:w="905" w:type="pct"/>
            <w:tcBorders>
              <w:top w:val="nil"/>
              <w:left w:val="nil"/>
              <w:bottom w:val="nil"/>
              <w:right w:val="nil"/>
            </w:tcBorders>
          </w:tcPr>
          <w:p w14:paraId="19E18BA3"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-0.017</w:t>
            </w:r>
          </w:p>
        </w:tc>
      </w:tr>
      <w:tr w:rsidR="00CD4846" w:rsidRPr="00CD4846" w14:paraId="3B2D903A" w14:textId="77777777" w:rsidTr="00B82EB9">
        <w:tc>
          <w:tcPr>
            <w:tcW w:w="1850" w:type="pct"/>
            <w:tcBorders>
              <w:top w:val="nil"/>
              <w:left w:val="nil"/>
              <w:bottom w:val="nil"/>
              <w:right w:val="nil"/>
            </w:tcBorders>
          </w:tcPr>
          <w:p w14:paraId="048F212F" w14:textId="49B4233C" w:rsidR="00CD4846" w:rsidRPr="00DA465B" w:rsidRDefault="00CD4846" w:rsidP="00DA465B">
            <w:pPr>
              <w:widowControl w:val="0"/>
              <w:autoSpaceDE w:val="0"/>
              <w:autoSpaceDN w:val="0"/>
              <w:adjustRightInd w:val="0"/>
              <w:spacing w:line="240" w:lineRule="auto"/>
              <w:rPr>
                <w:rFonts w:cs="Times New Roman"/>
                <w:kern w:val="2"/>
                <w:sz w:val="20"/>
                <w:szCs w:val="20"/>
                <w:lang/>
              </w:rPr>
            </w:pPr>
          </w:p>
        </w:tc>
        <w:tc>
          <w:tcPr>
            <w:tcW w:w="749" w:type="pct"/>
            <w:tcBorders>
              <w:top w:val="nil"/>
              <w:left w:val="nil"/>
              <w:bottom w:val="nil"/>
              <w:right w:val="nil"/>
            </w:tcBorders>
          </w:tcPr>
          <w:p w14:paraId="01F8C140"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(0.130)</w:t>
            </w:r>
          </w:p>
        </w:tc>
        <w:tc>
          <w:tcPr>
            <w:tcW w:w="748" w:type="pct"/>
            <w:tcBorders>
              <w:top w:val="nil"/>
              <w:left w:val="nil"/>
              <w:bottom w:val="nil"/>
              <w:right w:val="nil"/>
            </w:tcBorders>
          </w:tcPr>
          <w:p w14:paraId="3F1A5811"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(0.093)</w:t>
            </w:r>
          </w:p>
        </w:tc>
        <w:tc>
          <w:tcPr>
            <w:tcW w:w="748" w:type="pct"/>
            <w:tcBorders>
              <w:top w:val="nil"/>
              <w:left w:val="nil"/>
              <w:bottom w:val="nil"/>
              <w:right w:val="nil"/>
            </w:tcBorders>
          </w:tcPr>
          <w:p w14:paraId="70B15745"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(0.025)</w:t>
            </w:r>
          </w:p>
        </w:tc>
        <w:tc>
          <w:tcPr>
            <w:tcW w:w="905" w:type="pct"/>
            <w:tcBorders>
              <w:top w:val="nil"/>
              <w:left w:val="nil"/>
              <w:bottom w:val="nil"/>
              <w:right w:val="nil"/>
            </w:tcBorders>
          </w:tcPr>
          <w:p w14:paraId="5E6DF3C4"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(0.024)</w:t>
            </w:r>
          </w:p>
        </w:tc>
      </w:tr>
      <w:tr w:rsidR="00CD4846" w:rsidRPr="00CD4846" w14:paraId="0E869AB0" w14:textId="77777777" w:rsidTr="00B82EB9">
        <w:tc>
          <w:tcPr>
            <w:tcW w:w="1850" w:type="pct"/>
            <w:tcBorders>
              <w:top w:val="nil"/>
              <w:left w:val="nil"/>
              <w:bottom w:val="nil"/>
              <w:right w:val="nil"/>
            </w:tcBorders>
          </w:tcPr>
          <w:p w14:paraId="5E02DBBB" w14:textId="1EB8989B"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Attain. Status - CO (t-1)</w:t>
            </w:r>
          </w:p>
        </w:tc>
        <w:tc>
          <w:tcPr>
            <w:tcW w:w="749" w:type="pct"/>
            <w:tcBorders>
              <w:top w:val="nil"/>
              <w:left w:val="nil"/>
              <w:bottom w:val="nil"/>
              <w:right w:val="nil"/>
            </w:tcBorders>
          </w:tcPr>
          <w:p w14:paraId="2EB48CE5"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2.155</w:t>
            </w:r>
          </w:p>
        </w:tc>
        <w:tc>
          <w:tcPr>
            <w:tcW w:w="748" w:type="pct"/>
            <w:tcBorders>
              <w:top w:val="nil"/>
              <w:left w:val="nil"/>
              <w:bottom w:val="nil"/>
              <w:right w:val="nil"/>
            </w:tcBorders>
          </w:tcPr>
          <w:p w14:paraId="5F8DFF9C"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p>
        </w:tc>
        <w:tc>
          <w:tcPr>
            <w:tcW w:w="748" w:type="pct"/>
            <w:tcBorders>
              <w:top w:val="nil"/>
              <w:left w:val="nil"/>
              <w:bottom w:val="nil"/>
              <w:right w:val="nil"/>
            </w:tcBorders>
          </w:tcPr>
          <w:p w14:paraId="6593FC61"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0.720</w:t>
            </w:r>
          </w:p>
        </w:tc>
        <w:tc>
          <w:tcPr>
            <w:tcW w:w="905" w:type="pct"/>
            <w:tcBorders>
              <w:top w:val="nil"/>
              <w:left w:val="nil"/>
              <w:bottom w:val="nil"/>
              <w:right w:val="nil"/>
            </w:tcBorders>
          </w:tcPr>
          <w:p w14:paraId="794606FA"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0.672</w:t>
            </w:r>
          </w:p>
        </w:tc>
      </w:tr>
      <w:tr w:rsidR="00CD4846" w:rsidRPr="00CD4846" w14:paraId="5EA91D50" w14:textId="77777777" w:rsidTr="00B82EB9">
        <w:tc>
          <w:tcPr>
            <w:tcW w:w="1850" w:type="pct"/>
            <w:tcBorders>
              <w:top w:val="nil"/>
              <w:left w:val="nil"/>
              <w:bottom w:val="nil"/>
              <w:right w:val="nil"/>
            </w:tcBorders>
          </w:tcPr>
          <w:p w14:paraId="5CE8FAC6" w14:textId="2AC323B0" w:rsidR="00CD4846" w:rsidRPr="00DA465B" w:rsidRDefault="00CD4846" w:rsidP="00DA465B">
            <w:pPr>
              <w:widowControl w:val="0"/>
              <w:autoSpaceDE w:val="0"/>
              <w:autoSpaceDN w:val="0"/>
              <w:adjustRightInd w:val="0"/>
              <w:spacing w:line="240" w:lineRule="auto"/>
              <w:rPr>
                <w:rFonts w:cs="Times New Roman"/>
                <w:kern w:val="2"/>
                <w:sz w:val="20"/>
                <w:szCs w:val="20"/>
                <w:lang/>
              </w:rPr>
            </w:pPr>
          </w:p>
        </w:tc>
        <w:tc>
          <w:tcPr>
            <w:tcW w:w="749" w:type="pct"/>
            <w:tcBorders>
              <w:top w:val="nil"/>
              <w:left w:val="nil"/>
              <w:bottom w:val="nil"/>
              <w:right w:val="nil"/>
            </w:tcBorders>
          </w:tcPr>
          <w:p w14:paraId="70E9578B"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(2.103)</w:t>
            </w:r>
          </w:p>
        </w:tc>
        <w:tc>
          <w:tcPr>
            <w:tcW w:w="748" w:type="pct"/>
            <w:tcBorders>
              <w:top w:val="nil"/>
              <w:left w:val="nil"/>
              <w:bottom w:val="nil"/>
              <w:right w:val="nil"/>
            </w:tcBorders>
          </w:tcPr>
          <w:p w14:paraId="42D052A0"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p>
        </w:tc>
        <w:tc>
          <w:tcPr>
            <w:tcW w:w="748" w:type="pct"/>
            <w:tcBorders>
              <w:top w:val="nil"/>
              <w:left w:val="nil"/>
              <w:bottom w:val="nil"/>
              <w:right w:val="nil"/>
            </w:tcBorders>
          </w:tcPr>
          <w:p w14:paraId="4CFEA9F4"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(0.531)</w:t>
            </w:r>
          </w:p>
        </w:tc>
        <w:tc>
          <w:tcPr>
            <w:tcW w:w="905" w:type="pct"/>
            <w:tcBorders>
              <w:top w:val="nil"/>
              <w:left w:val="nil"/>
              <w:bottom w:val="nil"/>
              <w:right w:val="nil"/>
            </w:tcBorders>
          </w:tcPr>
          <w:p w14:paraId="60CAC9B5"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(0.523)</w:t>
            </w:r>
          </w:p>
        </w:tc>
      </w:tr>
      <w:tr w:rsidR="00CD4846" w:rsidRPr="00CD4846" w14:paraId="19F2D812" w14:textId="77777777" w:rsidTr="00B82EB9">
        <w:tc>
          <w:tcPr>
            <w:tcW w:w="1850" w:type="pct"/>
            <w:tcBorders>
              <w:top w:val="nil"/>
              <w:left w:val="nil"/>
              <w:bottom w:val="nil"/>
              <w:right w:val="nil"/>
            </w:tcBorders>
          </w:tcPr>
          <w:p w14:paraId="18D669DF" w14:textId="1B3CE551"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Attain. Status - Pb (t-1)</w:t>
            </w:r>
          </w:p>
        </w:tc>
        <w:tc>
          <w:tcPr>
            <w:tcW w:w="749" w:type="pct"/>
            <w:tcBorders>
              <w:top w:val="nil"/>
              <w:left w:val="nil"/>
              <w:bottom w:val="nil"/>
              <w:right w:val="nil"/>
            </w:tcBorders>
          </w:tcPr>
          <w:p w14:paraId="74A84163"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0.897</w:t>
            </w:r>
          </w:p>
        </w:tc>
        <w:tc>
          <w:tcPr>
            <w:tcW w:w="748" w:type="pct"/>
            <w:tcBorders>
              <w:top w:val="nil"/>
              <w:left w:val="nil"/>
              <w:bottom w:val="nil"/>
              <w:right w:val="nil"/>
            </w:tcBorders>
          </w:tcPr>
          <w:p w14:paraId="75E167B3"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2.742</w:t>
            </w:r>
          </w:p>
        </w:tc>
        <w:tc>
          <w:tcPr>
            <w:tcW w:w="748" w:type="pct"/>
            <w:tcBorders>
              <w:top w:val="nil"/>
              <w:left w:val="nil"/>
              <w:bottom w:val="nil"/>
              <w:right w:val="nil"/>
            </w:tcBorders>
          </w:tcPr>
          <w:p w14:paraId="63543E3A"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-0.058</w:t>
            </w:r>
          </w:p>
        </w:tc>
        <w:tc>
          <w:tcPr>
            <w:tcW w:w="905" w:type="pct"/>
            <w:tcBorders>
              <w:top w:val="nil"/>
              <w:left w:val="nil"/>
              <w:bottom w:val="nil"/>
              <w:right w:val="nil"/>
            </w:tcBorders>
          </w:tcPr>
          <w:p w14:paraId="31E42F2E"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-0.165</w:t>
            </w:r>
          </w:p>
        </w:tc>
      </w:tr>
      <w:tr w:rsidR="00CD4846" w:rsidRPr="00CD4846" w14:paraId="0D201C46" w14:textId="77777777" w:rsidTr="00B82EB9">
        <w:tc>
          <w:tcPr>
            <w:tcW w:w="1850" w:type="pct"/>
            <w:tcBorders>
              <w:top w:val="nil"/>
              <w:left w:val="nil"/>
              <w:bottom w:val="nil"/>
              <w:right w:val="nil"/>
            </w:tcBorders>
          </w:tcPr>
          <w:p w14:paraId="1457F4A5" w14:textId="0A3607C1" w:rsidR="00CD4846" w:rsidRPr="00DA465B" w:rsidRDefault="00CD4846" w:rsidP="00DA465B">
            <w:pPr>
              <w:widowControl w:val="0"/>
              <w:autoSpaceDE w:val="0"/>
              <w:autoSpaceDN w:val="0"/>
              <w:adjustRightInd w:val="0"/>
              <w:spacing w:line="240" w:lineRule="auto"/>
              <w:rPr>
                <w:rFonts w:cs="Times New Roman"/>
                <w:kern w:val="2"/>
                <w:sz w:val="20"/>
                <w:szCs w:val="20"/>
                <w:lang/>
              </w:rPr>
            </w:pPr>
          </w:p>
        </w:tc>
        <w:tc>
          <w:tcPr>
            <w:tcW w:w="749" w:type="pct"/>
            <w:tcBorders>
              <w:top w:val="nil"/>
              <w:left w:val="nil"/>
              <w:bottom w:val="nil"/>
              <w:right w:val="nil"/>
            </w:tcBorders>
          </w:tcPr>
          <w:p w14:paraId="0D512A12"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(1.014)</w:t>
            </w:r>
          </w:p>
        </w:tc>
        <w:tc>
          <w:tcPr>
            <w:tcW w:w="748" w:type="pct"/>
            <w:tcBorders>
              <w:top w:val="nil"/>
              <w:left w:val="nil"/>
              <w:bottom w:val="nil"/>
              <w:right w:val="nil"/>
            </w:tcBorders>
          </w:tcPr>
          <w:p w14:paraId="7DC7BCFE"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(1.853)</w:t>
            </w:r>
          </w:p>
        </w:tc>
        <w:tc>
          <w:tcPr>
            <w:tcW w:w="748" w:type="pct"/>
            <w:tcBorders>
              <w:top w:val="nil"/>
              <w:left w:val="nil"/>
              <w:bottom w:val="nil"/>
              <w:right w:val="nil"/>
            </w:tcBorders>
          </w:tcPr>
          <w:p w14:paraId="72AA4EE9"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(0.141)</w:t>
            </w:r>
          </w:p>
        </w:tc>
        <w:tc>
          <w:tcPr>
            <w:tcW w:w="905" w:type="pct"/>
            <w:tcBorders>
              <w:top w:val="nil"/>
              <w:left w:val="nil"/>
              <w:bottom w:val="nil"/>
              <w:right w:val="nil"/>
            </w:tcBorders>
          </w:tcPr>
          <w:p w14:paraId="0AA23D8E"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(0.183)</w:t>
            </w:r>
          </w:p>
        </w:tc>
      </w:tr>
      <w:tr w:rsidR="00CD4846" w:rsidRPr="00CD4846" w14:paraId="0D257DBF" w14:textId="77777777" w:rsidTr="00B82EB9">
        <w:tc>
          <w:tcPr>
            <w:tcW w:w="1850" w:type="pct"/>
            <w:tcBorders>
              <w:top w:val="nil"/>
              <w:left w:val="nil"/>
              <w:bottom w:val="nil"/>
              <w:right w:val="nil"/>
            </w:tcBorders>
          </w:tcPr>
          <w:p w14:paraId="23E958F0" w14:textId="55D43AD9"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Attain. Status - O3 (t-1)</w:t>
            </w:r>
          </w:p>
        </w:tc>
        <w:tc>
          <w:tcPr>
            <w:tcW w:w="749" w:type="pct"/>
            <w:tcBorders>
              <w:top w:val="nil"/>
              <w:left w:val="nil"/>
              <w:bottom w:val="nil"/>
              <w:right w:val="nil"/>
            </w:tcBorders>
          </w:tcPr>
          <w:p w14:paraId="4A05A8CF"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0.326</w:t>
            </w:r>
          </w:p>
        </w:tc>
        <w:tc>
          <w:tcPr>
            <w:tcW w:w="748" w:type="pct"/>
            <w:tcBorders>
              <w:top w:val="nil"/>
              <w:left w:val="nil"/>
              <w:bottom w:val="nil"/>
              <w:right w:val="nil"/>
            </w:tcBorders>
          </w:tcPr>
          <w:p w14:paraId="5629DAD3"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0.065</w:t>
            </w:r>
          </w:p>
        </w:tc>
        <w:tc>
          <w:tcPr>
            <w:tcW w:w="748" w:type="pct"/>
            <w:tcBorders>
              <w:top w:val="nil"/>
              <w:left w:val="nil"/>
              <w:bottom w:val="nil"/>
              <w:right w:val="nil"/>
            </w:tcBorders>
          </w:tcPr>
          <w:p w14:paraId="1EBCB163"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0.048</w:t>
            </w:r>
          </w:p>
        </w:tc>
        <w:tc>
          <w:tcPr>
            <w:tcW w:w="905" w:type="pct"/>
            <w:tcBorders>
              <w:top w:val="nil"/>
              <w:left w:val="nil"/>
              <w:bottom w:val="nil"/>
              <w:right w:val="nil"/>
            </w:tcBorders>
          </w:tcPr>
          <w:p w14:paraId="47EDE98C"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0.088</w:t>
            </w:r>
          </w:p>
        </w:tc>
      </w:tr>
      <w:tr w:rsidR="00CD4846" w:rsidRPr="00CD4846" w14:paraId="3F093345" w14:textId="77777777" w:rsidTr="00B82EB9">
        <w:tc>
          <w:tcPr>
            <w:tcW w:w="1850" w:type="pct"/>
            <w:tcBorders>
              <w:top w:val="nil"/>
              <w:left w:val="nil"/>
              <w:bottom w:val="nil"/>
              <w:right w:val="nil"/>
            </w:tcBorders>
          </w:tcPr>
          <w:p w14:paraId="7255D2B6" w14:textId="49E27877" w:rsidR="00CD4846" w:rsidRPr="00DA465B" w:rsidRDefault="00CD4846" w:rsidP="00DA465B">
            <w:pPr>
              <w:widowControl w:val="0"/>
              <w:autoSpaceDE w:val="0"/>
              <w:autoSpaceDN w:val="0"/>
              <w:adjustRightInd w:val="0"/>
              <w:spacing w:line="240" w:lineRule="auto"/>
              <w:rPr>
                <w:rFonts w:cs="Times New Roman"/>
                <w:kern w:val="2"/>
                <w:sz w:val="20"/>
                <w:szCs w:val="20"/>
                <w:lang/>
              </w:rPr>
            </w:pPr>
          </w:p>
        </w:tc>
        <w:tc>
          <w:tcPr>
            <w:tcW w:w="749" w:type="pct"/>
            <w:tcBorders>
              <w:top w:val="nil"/>
              <w:left w:val="nil"/>
              <w:bottom w:val="nil"/>
              <w:right w:val="nil"/>
            </w:tcBorders>
          </w:tcPr>
          <w:p w14:paraId="61819783"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(0.217)</w:t>
            </w:r>
          </w:p>
        </w:tc>
        <w:tc>
          <w:tcPr>
            <w:tcW w:w="748" w:type="pct"/>
            <w:tcBorders>
              <w:top w:val="nil"/>
              <w:left w:val="nil"/>
              <w:bottom w:val="nil"/>
              <w:right w:val="nil"/>
            </w:tcBorders>
          </w:tcPr>
          <w:p w14:paraId="439E5F1F"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(0.327)</w:t>
            </w:r>
          </w:p>
        </w:tc>
        <w:tc>
          <w:tcPr>
            <w:tcW w:w="748" w:type="pct"/>
            <w:tcBorders>
              <w:top w:val="nil"/>
              <w:left w:val="nil"/>
              <w:bottom w:val="nil"/>
              <w:right w:val="nil"/>
            </w:tcBorders>
          </w:tcPr>
          <w:p w14:paraId="2DB3FCA2"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(0.037)</w:t>
            </w:r>
          </w:p>
        </w:tc>
        <w:tc>
          <w:tcPr>
            <w:tcW w:w="905" w:type="pct"/>
            <w:tcBorders>
              <w:top w:val="nil"/>
              <w:left w:val="nil"/>
              <w:bottom w:val="nil"/>
              <w:right w:val="nil"/>
            </w:tcBorders>
          </w:tcPr>
          <w:p w14:paraId="6CEF9A8E"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(0.059)</w:t>
            </w:r>
          </w:p>
        </w:tc>
      </w:tr>
      <w:tr w:rsidR="00CD4846" w:rsidRPr="00CD4846" w14:paraId="7C927F88" w14:textId="77777777" w:rsidTr="00B82EB9">
        <w:tc>
          <w:tcPr>
            <w:tcW w:w="1850" w:type="pct"/>
            <w:tcBorders>
              <w:top w:val="nil"/>
              <w:left w:val="nil"/>
              <w:bottom w:val="nil"/>
              <w:right w:val="nil"/>
            </w:tcBorders>
          </w:tcPr>
          <w:p w14:paraId="5F00B74E" w14:textId="10343AB6"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Attain. Status - PM (t-1)</w:t>
            </w:r>
          </w:p>
        </w:tc>
        <w:tc>
          <w:tcPr>
            <w:tcW w:w="749" w:type="pct"/>
            <w:tcBorders>
              <w:top w:val="nil"/>
              <w:left w:val="nil"/>
              <w:bottom w:val="nil"/>
              <w:right w:val="nil"/>
            </w:tcBorders>
          </w:tcPr>
          <w:p w14:paraId="398511FD"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0.149</w:t>
            </w:r>
          </w:p>
        </w:tc>
        <w:tc>
          <w:tcPr>
            <w:tcW w:w="748" w:type="pct"/>
            <w:tcBorders>
              <w:top w:val="nil"/>
              <w:left w:val="nil"/>
              <w:bottom w:val="nil"/>
              <w:right w:val="nil"/>
            </w:tcBorders>
          </w:tcPr>
          <w:p w14:paraId="410FEAE8"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0.739**</w:t>
            </w:r>
          </w:p>
        </w:tc>
        <w:tc>
          <w:tcPr>
            <w:tcW w:w="748" w:type="pct"/>
            <w:tcBorders>
              <w:top w:val="nil"/>
              <w:left w:val="nil"/>
              <w:bottom w:val="nil"/>
              <w:right w:val="nil"/>
            </w:tcBorders>
          </w:tcPr>
          <w:p w14:paraId="1AB39183"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0.026</w:t>
            </w:r>
          </w:p>
        </w:tc>
        <w:tc>
          <w:tcPr>
            <w:tcW w:w="905" w:type="pct"/>
            <w:tcBorders>
              <w:top w:val="nil"/>
              <w:left w:val="nil"/>
              <w:bottom w:val="nil"/>
              <w:right w:val="nil"/>
            </w:tcBorders>
          </w:tcPr>
          <w:p w14:paraId="75E21026"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0.014</w:t>
            </w:r>
          </w:p>
        </w:tc>
      </w:tr>
      <w:tr w:rsidR="00CD4846" w:rsidRPr="00CD4846" w14:paraId="3C8DF287" w14:textId="77777777" w:rsidTr="00B82EB9">
        <w:tc>
          <w:tcPr>
            <w:tcW w:w="1850" w:type="pct"/>
            <w:tcBorders>
              <w:top w:val="nil"/>
              <w:left w:val="nil"/>
              <w:bottom w:val="nil"/>
              <w:right w:val="nil"/>
            </w:tcBorders>
          </w:tcPr>
          <w:p w14:paraId="1B337CD2" w14:textId="3EBD048D" w:rsidR="00CD4846" w:rsidRPr="00DA465B" w:rsidRDefault="00CD4846" w:rsidP="00DA465B">
            <w:pPr>
              <w:widowControl w:val="0"/>
              <w:autoSpaceDE w:val="0"/>
              <w:autoSpaceDN w:val="0"/>
              <w:adjustRightInd w:val="0"/>
              <w:spacing w:line="240" w:lineRule="auto"/>
              <w:rPr>
                <w:rFonts w:cs="Times New Roman"/>
                <w:kern w:val="2"/>
                <w:sz w:val="20"/>
                <w:szCs w:val="20"/>
                <w:lang/>
              </w:rPr>
            </w:pPr>
          </w:p>
        </w:tc>
        <w:tc>
          <w:tcPr>
            <w:tcW w:w="749" w:type="pct"/>
            <w:tcBorders>
              <w:top w:val="nil"/>
              <w:left w:val="nil"/>
              <w:bottom w:val="nil"/>
              <w:right w:val="nil"/>
            </w:tcBorders>
          </w:tcPr>
          <w:p w14:paraId="214833DF"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(0.188)</w:t>
            </w:r>
          </w:p>
        </w:tc>
        <w:tc>
          <w:tcPr>
            <w:tcW w:w="748" w:type="pct"/>
            <w:tcBorders>
              <w:top w:val="nil"/>
              <w:left w:val="nil"/>
              <w:bottom w:val="nil"/>
              <w:right w:val="nil"/>
            </w:tcBorders>
          </w:tcPr>
          <w:p w14:paraId="69FAB299"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(0.343)</w:t>
            </w:r>
          </w:p>
        </w:tc>
        <w:tc>
          <w:tcPr>
            <w:tcW w:w="748" w:type="pct"/>
            <w:tcBorders>
              <w:top w:val="nil"/>
              <w:left w:val="nil"/>
              <w:bottom w:val="nil"/>
              <w:right w:val="nil"/>
            </w:tcBorders>
          </w:tcPr>
          <w:p w14:paraId="51A28773"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(0.030)</w:t>
            </w:r>
          </w:p>
        </w:tc>
        <w:tc>
          <w:tcPr>
            <w:tcW w:w="905" w:type="pct"/>
            <w:tcBorders>
              <w:top w:val="nil"/>
              <w:left w:val="nil"/>
              <w:bottom w:val="nil"/>
              <w:right w:val="nil"/>
            </w:tcBorders>
          </w:tcPr>
          <w:p w14:paraId="633327E2"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(0.040)</w:t>
            </w:r>
          </w:p>
        </w:tc>
      </w:tr>
      <w:tr w:rsidR="00CD4846" w:rsidRPr="00CD4846" w14:paraId="5223220F" w14:textId="77777777" w:rsidTr="00B82EB9">
        <w:tc>
          <w:tcPr>
            <w:tcW w:w="1850" w:type="pct"/>
            <w:tcBorders>
              <w:top w:val="nil"/>
              <w:left w:val="nil"/>
              <w:bottom w:val="nil"/>
              <w:right w:val="nil"/>
            </w:tcBorders>
          </w:tcPr>
          <w:p w14:paraId="2C9DEE53"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Attain. Status - SO2 (t-1)</w:t>
            </w:r>
          </w:p>
        </w:tc>
        <w:tc>
          <w:tcPr>
            <w:tcW w:w="749" w:type="pct"/>
            <w:tcBorders>
              <w:top w:val="nil"/>
              <w:left w:val="nil"/>
              <w:bottom w:val="nil"/>
              <w:right w:val="nil"/>
            </w:tcBorders>
          </w:tcPr>
          <w:p w14:paraId="41CCB25B"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-0.075</w:t>
            </w:r>
          </w:p>
        </w:tc>
        <w:tc>
          <w:tcPr>
            <w:tcW w:w="748" w:type="pct"/>
            <w:tcBorders>
              <w:top w:val="nil"/>
              <w:left w:val="nil"/>
              <w:bottom w:val="nil"/>
              <w:right w:val="nil"/>
            </w:tcBorders>
          </w:tcPr>
          <w:p w14:paraId="64E31C7B"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0.609</w:t>
            </w:r>
          </w:p>
        </w:tc>
        <w:tc>
          <w:tcPr>
            <w:tcW w:w="748" w:type="pct"/>
            <w:tcBorders>
              <w:top w:val="nil"/>
              <w:left w:val="nil"/>
              <w:bottom w:val="nil"/>
              <w:right w:val="nil"/>
            </w:tcBorders>
          </w:tcPr>
          <w:p w14:paraId="77C88933"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0.165</w:t>
            </w:r>
          </w:p>
        </w:tc>
        <w:tc>
          <w:tcPr>
            <w:tcW w:w="905" w:type="pct"/>
            <w:tcBorders>
              <w:top w:val="nil"/>
              <w:left w:val="nil"/>
              <w:bottom w:val="nil"/>
              <w:right w:val="nil"/>
            </w:tcBorders>
          </w:tcPr>
          <w:p w14:paraId="634466A8"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-0.157</w:t>
            </w:r>
          </w:p>
        </w:tc>
      </w:tr>
      <w:tr w:rsidR="00CD4846" w:rsidRPr="00CD4846" w14:paraId="5C545D35" w14:textId="77777777" w:rsidTr="00B82EB9">
        <w:tc>
          <w:tcPr>
            <w:tcW w:w="1850" w:type="pct"/>
            <w:tcBorders>
              <w:top w:val="nil"/>
              <w:left w:val="nil"/>
              <w:bottom w:val="nil"/>
              <w:right w:val="nil"/>
            </w:tcBorders>
          </w:tcPr>
          <w:p w14:paraId="28DE69ED" w14:textId="7464640B" w:rsidR="00CD4846" w:rsidRPr="00DA465B" w:rsidRDefault="00CD4846" w:rsidP="00DA465B">
            <w:pPr>
              <w:widowControl w:val="0"/>
              <w:autoSpaceDE w:val="0"/>
              <w:autoSpaceDN w:val="0"/>
              <w:adjustRightInd w:val="0"/>
              <w:spacing w:line="240" w:lineRule="auto"/>
              <w:rPr>
                <w:rFonts w:cs="Times New Roman"/>
                <w:kern w:val="2"/>
                <w:sz w:val="20"/>
                <w:szCs w:val="20"/>
                <w:lang/>
              </w:rPr>
            </w:pPr>
          </w:p>
        </w:tc>
        <w:tc>
          <w:tcPr>
            <w:tcW w:w="749" w:type="pct"/>
            <w:tcBorders>
              <w:top w:val="nil"/>
              <w:left w:val="nil"/>
              <w:bottom w:val="nil"/>
              <w:right w:val="nil"/>
            </w:tcBorders>
          </w:tcPr>
          <w:p w14:paraId="77925FB8"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(0.803)</w:t>
            </w:r>
          </w:p>
        </w:tc>
        <w:tc>
          <w:tcPr>
            <w:tcW w:w="748" w:type="pct"/>
            <w:tcBorders>
              <w:top w:val="nil"/>
              <w:left w:val="nil"/>
              <w:bottom w:val="nil"/>
              <w:right w:val="nil"/>
            </w:tcBorders>
          </w:tcPr>
          <w:p w14:paraId="456EFFA4"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(1.146)</w:t>
            </w:r>
          </w:p>
        </w:tc>
        <w:tc>
          <w:tcPr>
            <w:tcW w:w="748" w:type="pct"/>
            <w:tcBorders>
              <w:top w:val="nil"/>
              <w:left w:val="nil"/>
              <w:bottom w:val="nil"/>
              <w:right w:val="nil"/>
            </w:tcBorders>
          </w:tcPr>
          <w:p w14:paraId="4E5222B3"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(0.128)</w:t>
            </w:r>
          </w:p>
        </w:tc>
        <w:tc>
          <w:tcPr>
            <w:tcW w:w="905" w:type="pct"/>
            <w:tcBorders>
              <w:top w:val="nil"/>
              <w:left w:val="nil"/>
              <w:bottom w:val="nil"/>
              <w:right w:val="nil"/>
            </w:tcBorders>
          </w:tcPr>
          <w:p w14:paraId="400A0AFD"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(0.190)</w:t>
            </w:r>
          </w:p>
        </w:tc>
      </w:tr>
      <w:tr w:rsidR="00CD4846" w:rsidRPr="00CD4846" w14:paraId="50424642" w14:textId="77777777" w:rsidTr="00B82EB9">
        <w:tc>
          <w:tcPr>
            <w:tcW w:w="1850" w:type="pct"/>
            <w:tcBorders>
              <w:top w:val="nil"/>
              <w:left w:val="nil"/>
              <w:bottom w:val="nil"/>
              <w:right w:val="nil"/>
            </w:tcBorders>
          </w:tcPr>
          <w:p w14:paraId="2B88972B" w14:textId="4A5EFD7F"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Density Employment</w:t>
            </w:r>
          </w:p>
        </w:tc>
        <w:tc>
          <w:tcPr>
            <w:tcW w:w="749" w:type="pct"/>
            <w:tcBorders>
              <w:top w:val="nil"/>
              <w:left w:val="nil"/>
              <w:bottom w:val="nil"/>
              <w:right w:val="nil"/>
            </w:tcBorders>
          </w:tcPr>
          <w:p w14:paraId="321C0917"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0.363</w:t>
            </w:r>
          </w:p>
        </w:tc>
        <w:tc>
          <w:tcPr>
            <w:tcW w:w="748" w:type="pct"/>
            <w:tcBorders>
              <w:top w:val="nil"/>
              <w:left w:val="nil"/>
              <w:bottom w:val="nil"/>
              <w:right w:val="nil"/>
            </w:tcBorders>
          </w:tcPr>
          <w:p w14:paraId="7895813B"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1.143</w:t>
            </w:r>
          </w:p>
        </w:tc>
        <w:tc>
          <w:tcPr>
            <w:tcW w:w="748" w:type="pct"/>
            <w:tcBorders>
              <w:top w:val="nil"/>
              <w:left w:val="nil"/>
              <w:bottom w:val="nil"/>
              <w:right w:val="nil"/>
            </w:tcBorders>
          </w:tcPr>
          <w:p w14:paraId="1A8BB863"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0.016</w:t>
            </w:r>
          </w:p>
        </w:tc>
        <w:tc>
          <w:tcPr>
            <w:tcW w:w="905" w:type="pct"/>
            <w:tcBorders>
              <w:top w:val="nil"/>
              <w:left w:val="nil"/>
              <w:bottom w:val="nil"/>
              <w:right w:val="nil"/>
            </w:tcBorders>
          </w:tcPr>
          <w:p w14:paraId="7D2D5C7E"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0.006</w:t>
            </w:r>
          </w:p>
        </w:tc>
      </w:tr>
      <w:tr w:rsidR="00CD4846" w:rsidRPr="00CD4846" w14:paraId="0576DFA5" w14:textId="77777777" w:rsidTr="00B82EB9">
        <w:tc>
          <w:tcPr>
            <w:tcW w:w="1850" w:type="pct"/>
            <w:tcBorders>
              <w:top w:val="nil"/>
              <w:left w:val="nil"/>
              <w:bottom w:val="nil"/>
              <w:right w:val="nil"/>
            </w:tcBorders>
          </w:tcPr>
          <w:p w14:paraId="198E2ED1" w14:textId="392FC296" w:rsidR="00CD4846" w:rsidRPr="00DA465B" w:rsidRDefault="00CD4846" w:rsidP="00DA465B">
            <w:pPr>
              <w:widowControl w:val="0"/>
              <w:autoSpaceDE w:val="0"/>
              <w:autoSpaceDN w:val="0"/>
              <w:adjustRightInd w:val="0"/>
              <w:spacing w:line="240" w:lineRule="auto"/>
              <w:rPr>
                <w:rFonts w:cs="Times New Roman"/>
                <w:kern w:val="2"/>
                <w:sz w:val="20"/>
                <w:szCs w:val="20"/>
                <w:lang/>
              </w:rPr>
            </w:pPr>
          </w:p>
        </w:tc>
        <w:tc>
          <w:tcPr>
            <w:tcW w:w="749" w:type="pct"/>
            <w:tcBorders>
              <w:top w:val="nil"/>
              <w:left w:val="nil"/>
              <w:bottom w:val="nil"/>
              <w:right w:val="nil"/>
            </w:tcBorders>
          </w:tcPr>
          <w:p w14:paraId="7EA6BD6C"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(0.514)</w:t>
            </w:r>
          </w:p>
        </w:tc>
        <w:tc>
          <w:tcPr>
            <w:tcW w:w="748" w:type="pct"/>
            <w:tcBorders>
              <w:top w:val="nil"/>
              <w:left w:val="nil"/>
              <w:bottom w:val="nil"/>
              <w:right w:val="nil"/>
            </w:tcBorders>
          </w:tcPr>
          <w:p w14:paraId="5DBDCC99"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(0.858)</w:t>
            </w:r>
          </w:p>
        </w:tc>
        <w:tc>
          <w:tcPr>
            <w:tcW w:w="748" w:type="pct"/>
            <w:tcBorders>
              <w:top w:val="nil"/>
              <w:left w:val="nil"/>
              <w:bottom w:val="nil"/>
              <w:right w:val="nil"/>
            </w:tcBorders>
          </w:tcPr>
          <w:p w14:paraId="555EE6DE"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(0.051)</w:t>
            </w:r>
          </w:p>
        </w:tc>
        <w:tc>
          <w:tcPr>
            <w:tcW w:w="905" w:type="pct"/>
            <w:tcBorders>
              <w:top w:val="nil"/>
              <w:left w:val="nil"/>
              <w:bottom w:val="nil"/>
              <w:right w:val="nil"/>
            </w:tcBorders>
          </w:tcPr>
          <w:p w14:paraId="34CBB1F5"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(0.051)</w:t>
            </w:r>
          </w:p>
        </w:tc>
      </w:tr>
      <w:tr w:rsidR="00CD4846" w:rsidRPr="00CD4846" w14:paraId="33D83632" w14:textId="77777777" w:rsidTr="00B82EB9">
        <w:tc>
          <w:tcPr>
            <w:tcW w:w="1850" w:type="pct"/>
            <w:tcBorders>
              <w:top w:val="nil"/>
              <w:left w:val="nil"/>
              <w:bottom w:val="nil"/>
              <w:right w:val="nil"/>
            </w:tcBorders>
          </w:tcPr>
          <w:p w14:paraId="3C6E760A"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Percent Black (100s)</w:t>
            </w:r>
          </w:p>
        </w:tc>
        <w:tc>
          <w:tcPr>
            <w:tcW w:w="749" w:type="pct"/>
            <w:tcBorders>
              <w:top w:val="nil"/>
              <w:left w:val="nil"/>
              <w:bottom w:val="nil"/>
              <w:right w:val="nil"/>
            </w:tcBorders>
          </w:tcPr>
          <w:p w14:paraId="74B320D7"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-7.672</w:t>
            </w:r>
          </w:p>
        </w:tc>
        <w:tc>
          <w:tcPr>
            <w:tcW w:w="748" w:type="pct"/>
            <w:tcBorders>
              <w:top w:val="nil"/>
              <w:left w:val="nil"/>
              <w:bottom w:val="nil"/>
              <w:right w:val="nil"/>
            </w:tcBorders>
          </w:tcPr>
          <w:p w14:paraId="16FFD5B0"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-1.628</w:t>
            </w:r>
          </w:p>
        </w:tc>
        <w:tc>
          <w:tcPr>
            <w:tcW w:w="748" w:type="pct"/>
            <w:tcBorders>
              <w:top w:val="nil"/>
              <w:left w:val="nil"/>
              <w:bottom w:val="nil"/>
              <w:right w:val="nil"/>
            </w:tcBorders>
          </w:tcPr>
          <w:p w14:paraId="6FB584E5"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1.449</w:t>
            </w:r>
          </w:p>
        </w:tc>
        <w:tc>
          <w:tcPr>
            <w:tcW w:w="905" w:type="pct"/>
            <w:tcBorders>
              <w:top w:val="nil"/>
              <w:left w:val="nil"/>
              <w:bottom w:val="nil"/>
              <w:right w:val="nil"/>
            </w:tcBorders>
          </w:tcPr>
          <w:p w14:paraId="21B83BBB"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-2.026</w:t>
            </w:r>
          </w:p>
        </w:tc>
      </w:tr>
      <w:tr w:rsidR="00CD4846" w:rsidRPr="00CD4846" w14:paraId="7E3B66EB" w14:textId="77777777" w:rsidTr="00B82EB9">
        <w:tc>
          <w:tcPr>
            <w:tcW w:w="1850" w:type="pct"/>
            <w:tcBorders>
              <w:top w:val="nil"/>
              <w:left w:val="nil"/>
              <w:bottom w:val="nil"/>
              <w:right w:val="nil"/>
            </w:tcBorders>
          </w:tcPr>
          <w:p w14:paraId="08A3FE06" w14:textId="7848B8F9" w:rsidR="00CD4846" w:rsidRPr="00DA465B" w:rsidRDefault="00CD4846" w:rsidP="00DA465B">
            <w:pPr>
              <w:widowControl w:val="0"/>
              <w:autoSpaceDE w:val="0"/>
              <w:autoSpaceDN w:val="0"/>
              <w:adjustRightInd w:val="0"/>
              <w:spacing w:line="240" w:lineRule="auto"/>
              <w:rPr>
                <w:rFonts w:cs="Times New Roman"/>
                <w:kern w:val="2"/>
                <w:sz w:val="20"/>
                <w:szCs w:val="20"/>
                <w:lang/>
              </w:rPr>
            </w:pPr>
          </w:p>
        </w:tc>
        <w:tc>
          <w:tcPr>
            <w:tcW w:w="749" w:type="pct"/>
            <w:tcBorders>
              <w:top w:val="nil"/>
              <w:left w:val="nil"/>
              <w:bottom w:val="nil"/>
              <w:right w:val="nil"/>
            </w:tcBorders>
          </w:tcPr>
          <w:p w14:paraId="1654E833"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(10.948)</w:t>
            </w:r>
          </w:p>
        </w:tc>
        <w:tc>
          <w:tcPr>
            <w:tcW w:w="748" w:type="pct"/>
            <w:tcBorders>
              <w:top w:val="nil"/>
              <w:left w:val="nil"/>
              <w:bottom w:val="nil"/>
              <w:right w:val="nil"/>
            </w:tcBorders>
          </w:tcPr>
          <w:p w14:paraId="525CB2F6"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(16.966)</w:t>
            </w:r>
          </w:p>
        </w:tc>
        <w:tc>
          <w:tcPr>
            <w:tcW w:w="748" w:type="pct"/>
            <w:tcBorders>
              <w:top w:val="nil"/>
              <w:left w:val="nil"/>
              <w:bottom w:val="nil"/>
              <w:right w:val="nil"/>
            </w:tcBorders>
          </w:tcPr>
          <w:p w14:paraId="494A5751"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(1.267)</w:t>
            </w:r>
          </w:p>
        </w:tc>
        <w:tc>
          <w:tcPr>
            <w:tcW w:w="905" w:type="pct"/>
            <w:tcBorders>
              <w:top w:val="nil"/>
              <w:left w:val="nil"/>
              <w:bottom w:val="nil"/>
              <w:right w:val="nil"/>
            </w:tcBorders>
          </w:tcPr>
          <w:p w14:paraId="440490FF"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(2.456)</w:t>
            </w:r>
          </w:p>
        </w:tc>
      </w:tr>
      <w:tr w:rsidR="00CD4846" w:rsidRPr="00CD4846" w14:paraId="6E5D2171" w14:textId="77777777" w:rsidTr="00B82EB9">
        <w:tc>
          <w:tcPr>
            <w:tcW w:w="1850" w:type="pct"/>
            <w:tcBorders>
              <w:top w:val="nil"/>
              <w:left w:val="nil"/>
              <w:bottom w:val="nil"/>
              <w:right w:val="nil"/>
            </w:tcBorders>
          </w:tcPr>
          <w:p w14:paraId="47E82EDF" w14:textId="18ED2969"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Population count (1ms)</w:t>
            </w:r>
          </w:p>
        </w:tc>
        <w:tc>
          <w:tcPr>
            <w:tcW w:w="749" w:type="pct"/>
            <w:tcBorders>
              <w:top w:val="nil"/>
              <w:left w:val="nil"/>
              <w:bottom w:val="nil"/>
              <w:right w:val="nil"/>
            </w:tcBorders>
          </w:tcPr>
          <w:p w14:paraId="315AF143"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-3.020**</w:t>
            </w:r>
          </w:p>
        </w:tc>
        <w:tc>
          <w:tcPr>
            <w:tcW w:w="748" w:type="pct"/>
            <w:tcBorders>
              <w:top w:val="nil"/>
              <w:left w:val="nil"/>
              <w:bottom w:val="nil"/>
              <w:right w:val="nil"/>
            </w:tcBorders>
          </w:tcPr>
          <w:p w14:paraId="08E65F6D"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-4.609</w:t>
            </w:r>
          </w:p>
        </w:tc>
        <w:tc>
          <w:tcPr>
            <w:tcW w:w="748" w:type="pct"/>
            <w:tcBorders>
              <w:top w:val="nil"/>
              <w:left w:val="nil"/>
              <w:bottom w:val="nil"/>
              <w:right w:val="nil"/>
            </w:tcBorders>
          </w:tcPr>
          <w:p w14:paraId="08E78209"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-0.619*</w:t>
            </w:r>
          </w:p>
        </w:tc>
        <w:tc>
          <w:tcPr>
            <w:tcW w:w="905" w:type="pct"/>
            <w:tcBorders>
              <w:top w:val="nil"/>
              <w:left w:val="nil"/>
              <w:bottom w:val="nil"/>
              <w:right w:val="nil"/>
            </w:tcBorders>
          </w:tcPr>
          <w:p w14:paraId="347457E8"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-0.710</w:t>
            </w:r>
          </w:p>
        </w:tc>
      </w:tr>
      <w:tr w:rsidR="00CD4846" w:rsidRPr="00CD4846" w14:paraId="32164A34" w14:textId="77777777" w:rsidTr="00B82EB9">
        <w:tc>
          <w:tcPr>
            <w:tcW w:w="1850" w:type="pct"/>
            <w:tcBorders>
              <w:top w:val="nil"/>
              <w:left w:val="nil"/>
              <w:bottom w:val="nil"/>
              <w:right w:val="nil"/>
            </w:tcBorders>
          </w:tcPr>
          <w:p w14:paraId="05D8D4CE" w14:textId="5D5A6BD9" w:rsidR="00CD4846" w:rsidRPr="00DA465B" w:rsidRDefault="00CD4846" w:rsidP="00DA465B">
            <w:pPr>
              <w:widowControl w:val="0"/>
              <w:autoSpaceDE w:val="0"/>
              <w:autoSpaceDN w:val="0"/>
              <w:adjustRightInd w:val="0"/>
              <w:spacing w:line="240" w:lineRule="auto"/>
              <w:rPr>
                <w:rFonts w:cs="Times New Roman"/>
                <w:kern w:val="2"/>
                <w:sz w:val="20"/>
                <w:szCs w:val="20"/>
                <w:lang/>
              </w:rPr>
            </w:pPr>
          </w:p>
        </w:tc>
        <w:tc>
          <w:tcPr>
            <w:tcW w:w="749" w:type="pct"/>
            <w:tcBorders>
              <w:top w:val="nil"/>
              <w:left w:val="nil"/>
              <w:bottom w:val="nil"/>
              <w:right w:val="nil"/>
            </w:tcBorders>
          </w:tcPr>
          <w:p w14:paraId="6A6893E9"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(1.457)</w:t>
            </w:r>
          </w:p>
        </w:tc>
        <w:tc>
          <w:tcPr>
            <w:tcW w:w="748" w:type="pct"/>
            <w:tcBorders>
              <w:top w:val="nil"/>
              <w:left w:val="nil"/>
              <w:bottom w:val="nil"/>
              <w:right w:val="nil"/>
            </w:tcBorders>
          </w:tcPr>
          <w:p w14:paraId="48FF50DF"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(3.704)</w:t>
            </w:r>
          </w:p>
        </w:tc>
        <w:tc>
          <w:tcPr>
            <w:tcW w:w="748" w:type="pct"/>
            <w:tcBorders>
              <w:top w:val="nil"/>
              <w:left w:val="nil"/>
              <w:bottom w:val="nil"/>
              <w:right w:val="nil"/>
            </w:tcBorders>
          </w:tcPr>
          <w:p w14:paraId="05CE6530"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(0.340)</w:t>
            </w:r>
          </w:p>
        </w:tc>
        <w:tc>
          <w:tcPr>
            <w:tcW w:w="905" w:type="pct"/>
            <w:tcBorders>
              <w:top w:val="nil"/>
              <w:left w:val="nil"/>
              <w:bottom w:val="nil"/>
              <w:right w:val="nil"/>
            </w:tcBorders>
          </w:tcPr>
          <w:p w14:paraId="5A0CA4AC"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(0.583)</w:t>
            </w:r>
          </w:p>
        </w:tc>
      </w:tr>
      <w:tr w:rsidR="00CD4846" w:rsidRPr="00CD4846" w14:paraId="514EA166" w14:textId="77777777" w:rsidTr="00B82EB9">
        <w:tc>
          <w:tcPr>
            <w:tcW w:w="1850" w:type="pct"/>
            <w:tcBorders>
              <w:top w:val="nil"/>
              <w:left w:val="nil"/>
              <w:bottom w:val="nil"/>
              <w:right w:val="nil"/>
            </w:tcBorders>
          </w:tcPr>
          <w:p w14:paraId="1C298010" w14:textId="70E8415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Unemployment rate (100s)</w:t>
            </w:r>
          </w:p>
        </w:tc>
        <w:tc>
          <w:tcPr>
            <w:tcW w:w="749" w:type="pct"/>
            <w:tcBorders>
              <w:top w:val="nil"/>
              <w:left w:val="nil"/>
              <w:bottom w:val="nil"/>
              <w:right w:val="nil"/>
            </w:tcBorders>
          </w:tcPr>
          <w:p w14:paraId="7F22B11D"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11.170*</w:t>
            </w:r>
          </w:p>
        </w:tc>
        <w:tc>
          <w:tcPr>
            <w:tcW w:w="748" w:type="pct"/>
            <w:tcBorders>
              <w:top w:val="nil"/>
              <w:left w:val="nil"/>
              <w:bottom w:val="nil"/>
              <w:right w:val="nil"/>
            </w:tcBorders>
          </w:tcPr>
          <w:p w14:paraId="70F1946D"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-5.699</w:t>
            </w:r>
          </w:p>
        </w:tc>
        <w:tc>
          <w:tcPr>
            <w:tcW w:w="748" w:type="pct"/>
            <w:tcBorders>
              <w:top w:val="nil"/>
              <w:left w:val="nil"/>
              <w:bottom w:val="nil"/>
              <w:right w:val="nil"/>
            </w:tcBorders>
          </w:tcPr>
          <w:p w14:paraId="7ED81334"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-0.357</w:t>
            </w:r>
          </w:p>
        </w:tc>
        <w:tc>
          <w:tcPr>
            <w:tcW w:w="905" w:type="pct"/>
            <w:tcBorders>
              <w:top w:val="nil"/>
              <w:left w:val="nil"/>
              <w:bottom w:val="nil"/>
              <w:right w:val="nil"/>
            </w:tcBorders>
          </w:tcPr>
          <w:p w14:paraId="4265AA9A"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-0.889</w:t>
            </w:r>
          </w:p>
        </w:tc>
      </w:tr>
      <w:tr w:rsidR="00CD4846" w:rsidRPr="00CD4846" w14:paraId="3B326538" w14:textId="77777777" w:rsidTr="00B82EB9">
        <w:tc>
          <w:tcPr>
            <w:tcW w:w="1850" w:type="pct"/>
            <w:tcBorders>
              <w:top w:val="nil"/>
              <w:left w:val="nil"/>
              <w:bottom w:val="nil"/>
              <w:right w:val="nil"/>
            </w:tcBorders>
          </w:tcPr>
          <w:p w14:paraId="50929C85" w14:textId="191F9AD2" w:rsidR="00CD4846" w:rsidRPr="00DA465B" w:rsidRDefault="00CD4846" w:rsidP="00DA465B">
            <w:pPr>
              <w:widowControl w:val="0"/>
              <w:autoSpaceDE w:val="0"/>
              <w:autoSpaceDN w:val="0"/>
              <w:adjustRightInd w:val="0"/>
              <w:spacing w:line="240" w:lineRule="auto"/>
              <w:rPr>
                <w:rFonts w:cs="Times New Roman"/>
                <w:kern w:val="2"/>
                <w:sz w:val="20"/>
                <w:szCs w:val="20"/>
                <w:lang/>
              </w:rPr>
            </w:pPr>
          </w:p>
        </w:tc>
        <w:tc>
          <w:tcPr>
            <w:tcW w:w="749" w:type="pct"/>
            <w:tcBorders>
              <w:top w:val="nil"/>
              <w:left w:val="nil"/>
              <w:bottom w:val="nil"/>
              <w:right w:val="nil"/>
            </w:tcBorders>
          </w:tcPr>
          <w:p w14:paraId="238B8BAF"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(6.460)</w:t>
            </w:r>
          </w:p>
        </w:tc>
        <w:tc>
          <w:tcPr>
            <w:tcW w:w="748" w:type="pct"/>
            <w:tcBorders>
              <w:top w:val="nil"/>
              <w:left w:val="nil"/>
              <w:bottom w:val="nil"/>
              <w:right w:val="nil"/>
            </w:tcBorders>
          </w:tcPr>
          <w:p w14:paraId="3B7A8B98"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(10.923)</w:t>
            </w:r>
          </w:p>
        </w:tc>
        <w:tc>
          <w:tcPr>
            <w:tcW w:w="748" w:type="pct"/>
            <w:tcBorders>
              <w:top w:val="nil"/>
              <w:left w:val="nil"/>
              <w:bottom w:val="nil"/>
              <w:right w:val="nil"/>
            </w:tcBorders>
          </w:tcPr>
          <w:p w14:paraId="674A29F2"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(1.243)</w:t>
            </w:r>
          </w:p>
        </w:tc>
        <w:tc>
          <w:tcPr>
            <w:tcW w:w="905" w:type="pct"/>
            <w:tcBorders>
              <w:top w:val="nil"/>
              <w:left w:val="nil"/>
              <w:bottom w:val="nil"/>
              <w:right w:val="nil"/>
            </w:tcBorders>
          </w:tcPr>
          <w:p w14:paraId="2338200D"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(2.061)</w:t>
            </w:r>
          </w:p>
        </w:tc>
      </w:tr>
      <w:tr w:rsidR="00CD4846" w:rsidRPr="00CD4846" w14:paraId="74D3132B" w14:textId="77777777" w:rsidTr="00B82EB9">
        <w:tc>
          <w:tcPr>
            <w:tcW w:w="1850" w:type="pct"/>
            <w:tcBorders>
              <w:top w:val="nil"/>
              <w:left w:val="nil"/>
              <w:bottom w:val="nil"/>
              <w:right w:val="nil"/>
            </w:tcBorders>
          </w:tcPr>
          <w:p w14:paraId="1761EEA9" w14:textId="6C8339A3"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Sales Volume (t-1)</w:t>
            </w:r>
          </w:p>
        </w:tc>
        <w:tc>
          <w:tcPr>
            <w:tcW w:w="749" w:type="pct"/>
            <w:tcBorders>
              <w:top w:val="nil"/>
              <w:left w:val="nil"/>
              <w:bottom w:val="nil"/>
              <w:right w:val="nil"/>
            </w:tcBorders>
          </w:tcPr>
          <w:p w14:paraId="230D90A7"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-14.822</w:t>
            </w:r>
          </w:p>
        </w:tc>
        <w:tc>
          <w:tcPr>
            <w:tcW w:w="748" w:type="pct"/>
            <w:tcBorders>
              <w:top w:val="nil"/>
              <w:left w:val="nil"/>
              <w:bottom w:val="nil"/>
              <w:right w:val="nil"/>
            </w:tcBorders>
          </w:tcPr>
          <w:p w14:paraId="5A73268A"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4.457</w:t>
            </w:r>
          </w:p>
        </w:tc>
        <w:tc>
          <w:tcPr>
            <w:tcW w:w="748" w:type="pct"/>
            <w:tcBorders>
              <w:top w:val="nil"/>
              <w:left w:val="nil"/>
              <w:bottom w:val="nil"/>
              <w:right w:val="nil"/>
            </w:tcBorders>
          </w:tcPr>
          <w:p w14:paraId="0E9A6E1A"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-7.998</w:t>
            </w:r>
          </w:p>
        </w:tc>
        <w:tc>
          <w:tcPr>
            <w:tcW w:w="905" w:type="pct"/>
            <w:tcBorders>
              <w:top w:val="nil"/>
              <w:left w:val="nil"/>
              <w:bottom w:val="nil"/>
              <w:right w:val="nil"/>
            </w:tcBorders>
          </w:tcPr>
          <w:p w14:paraId="557E997C"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-1.857</w:t>
            </w:r>
          </w:p>
        </w:tc>
      </w:tr>
      <w:tr w:rsidR="00CD4846" w:rsidRPr="00CD4846" w14:paraId="12538789" w14:textId="77777777" w:rsidTr="00B82EB9">
        <w:tc>
          <w:tcPr>
            <w:tcW w:w="1850" w:type="pct"/>
            <w:tcBorders>
              <w:top w:val="nil"/>
              <w:left w:val="nil"/>
              <w:bottom w:val="nil"/>
              <w:right w:val="nil"/>
            </w:tcBorders>
          </w:tcPr>
          <w:p w14:paraId="609352C1" w14:textId="014709C5" w:rsidR="00CD4846" w:rsidRPr="00DA465B" w:rsidRDefault="00CD4846" w:rsidP="00DA465B">
            <w:pPr>
              <w:widowControl w:val="0"/>
              <w:autoSpaceDE w:val="0"/>
              <w:autoSpaceDN w:val="0"/>
              <w:adjustRightInd w:val="0"/>
              <w:spacing w:line="240" w:lineRule="auto"/>
              <w:rPr>
                <w:rFonts w:cs="Times New Roman"/>
                <w:kern w:val="2"/>
                <w:sz w:val="20"/>
                <w:szCs w:val="20"/>
                <w:lang/>
              </w:rPr>
            </w:pPr>
          </w:p>
        </w:tc>
        <w:tc>
          <w:tcPr>
            <w:tcW w:w="749" w:type="pct"/>
            <w:tcBorders>
              <w:top w:val="nil"/>
              <w:left w:val="nil"/>
              <w:bottom w:val="nil"/>
              <w:right w:val="nil"/>
            </w:tcBorders>
          </w:tcPr>
          <w:p w14:paraId="0EDA92F4"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(21.894)</w:t>
            </w:r>
          </w:p>
        </w:tc>
        <w:tc>
          <w:tcPr>
            <w:tcW w:w="748" w:type="pct"/>
            <w:tcBorders>
              <w:top w:val="nil"/>
              <w:left w:val="nil"/>
              <w:bottom w:val="nil"/>
              <w:right w:val="nil"/>
            </w:tcBorders>
          </w:tcPr>
          <w:p w14:paraId="72445023"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(5.440)</w:t>
            </w:r>
          </w:p>
        </w:tc>
        <w:tc>
          <w:tcPr>
            <w:tcW w:w="748" w:type="pct"/>
            <w:tcBorders>
              <w:top w:val="nil"/>
              <w:left w:val="nil"/>
              <w:bottom w:val="nil"/>
              <w:right w:val="nil"/>
            </w:tcBorders>
          </w:tcPr>
          <w:p w14:paraId="41C34314"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(19.388)</w:t>
            </w:r>
          </w:p>
        </w:tc>
        <w:tc>
          <w:tcPr>
            <w:tcW w:w="905" w:type="pct"/>
            <w:tcBorders>
              <w:top w:val="nil"/>
              <w:left w:val="nil"/>
              <w:bottom w:val="nil"/>
              <w:right w:val="nil"/>
            </w:tcBorders>
          </w:tcPr>
          <w:p w14:paraId="7AF1338C"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(1.691)</w:t>
            </w:r>
          </w:p>
        </w:tc>
      </w:tr>
      <w:tr w:rsidR="00CD4846" w:rsidRPr="00CD4846" w14:paraId="3AE28716" w14:textId="77777777" w:rsidTr="00B82EB9">
        <w:tc>
          <w:tcPr>
            <w:tcW w:w="1850" w:type="pct"/>
            <w:tcBorders>
              <w:top w:val="nil"/>
              <w:left w:val="nil"/>
              <w:bottom w:val="nil"/>
              <w:right w:val="nil"/>
            </w:tcBorders>
          </w:tcPr>
          <w:p w14:paraId="2983480C" w14:textId="1D4E7F3E"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Prior Births (1ks)</w:t>
            </w:r>
          </w:p>
        </w:tc>
        <w:tc>
          <w:tcPr>
            <w:tcW w:w="749" w:type="pct"/>
            <w:tcBorders>
              <w:top w:val="nil"/>
              <w:left w:val="nil"/>
              <w:bottom w:val="nil"/>
              <w:right w:val="nil"/>
            </w:tcBorders>
          </w:tcPr>
          <w:p w14:paraId="2C6FAD75"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-4.476</w:t>
            </w:r>
          </w:p>
        </w:tc>
        <w:tc>
          <w:tcPr>
            <w:tcW w:w="748" w:type="pct"/>
            <w:tcBorders>
              <w:top w:val="nil"/>
              <w:left w:val="nil"/>
              <w:bottom w:val="nil"/>
              <w:right w:val="nil"/>
            </w:tcBorders>
          </w:tcPr>
          <w:p w14:paraId="535E24B7"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-36.652</w:t>
            </w:r>
          </w:p>
        </w:tc>
        <w:tc>
          <w:tcPr>
            <w:tcW w:w="748" w:type="pct"/>
            <w:tcBorders>
              <w:top w:val="nil"/>
              <w:left w:val="nil"/>
              <w:bottom w:val="nil"/>
              <w:right w:val="nil"/>
            </w:tcBorders>
          </w:tcPr>
          <w:p w14:paraId="5DB357B2"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-0.040</w:t>
            </w:r>
          </w:p>
        </w:tc>
        <w:tc>
          <w:tcPr>
            <w:tcW w:w="905" w:type="pct"/>
            <w:tcBorders>
              <w:top w:val="nil"/>
              <w:left w:val="nil"/>
              <w:bottom w:val="nil"/>
              <w:right w:val="nil"/>
            </w:tcBorders>
          </w:tcPr>
          <w:p w14:paraId="443831FD"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0.117</w:t>
            </w:r>
          </w:p>
        </w:tc>
      </w:tr>
      <w:tr w:rsidR="00CD4846" w:rsidRPr="00CD4846" w14:paraId="2FDA5726" w14:textId="77777777" w:rsidTr="00B82EB9">
        <w:tc>
          <w:tcPr>
            <w:tcW w:w="1850" w:type="pct"/>
            <w:tcBorders>
              <w:top w:val="nil"/>
              <w:left w:val="nil"/>
              <w:bottom w:val="nil"/>
              <w:right w:val="nil"/>
            </w:tcBorders>
          </w:tcPr>
          <w:p w14:paraId="1F65181B" w14:textId="67743B99" w:rsidR="00CD4846" w:rsidRPr="00DA465B" w:rsidRDefault="00CD4846" w:rsidP="00DA465B">
            <w:pPr>
              <w:widowControl w:val="0"/>
              <w:autoSpaceDE w:val="0"/>
              <w:autoSpaceDN w:val="0"/>
              <w:adjustRightInd w:val="0"/>
              <w:spacing w:line="240" w:lineRule="auto"/>
              <w:rPr>
                <w:rFonts w:cs="Times New Roman"/>
                <w:kern w:val="2"/>
                <w:sz w:val="20"/>
                <w:szCs w:val="20"/>
                <w:lang/>
              </w:rPr>
            </w:pPr>
          </w:p>
        </w:tc>
        <w:tc>
          <w:tcPr>
            <w:tcW w:w="749" w:type="pct"/>
            <w:tcBorders>
              <w:top w:val="nil"/>
              <w:left w:val="nil"/>
              <w:bottom w:val="nil"/>
              <w:right w:val="nil"/>
            </w:tcBorders>
          </w:tcPr>
          <w:p w14:paraId="045A97BB"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(4.190)</w:t>
            </w:r>
          </w:p>
        </w:tc>
        <w:tc>
          <w:tcPr>
            <w:tcW w:w="748" w:type="pct"/>
            <w:tcBorders>
              <w:top w:val="nil"/>
              <w:left w:val="nil"/>
              <w:bottom w:val="nil"/>
              <w:right w:val="nil"/>
            </w:tcBorders>
          </w:tcPr>
          <w:p w14:paraId="227BA532"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(22.768)</w:t>
            </w:r>
          </w:p>
        </w:tc>
        <w:tc>
          <w:tcPr>
            <w:tcW w:w="748" w:type="pct"/>
            <w:tcBorders>
              <w:top w:val="nil"/>
              <w:left w:val="nil"/>
              <w:bottom w:val="nil"/>
              <w:right w:val="nil"/>
            </w:tcBorders>
          </w:tcPr>
          <w:p w14:paraId="7C7D34D8"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(0.025)</w:t>
            </w:r>
          </w:p>
        </w:tc>
        <w:tc>
          <w:tcPr>
            <w:tcW w:w="905" w:type="pct"/>
            <w:tcBorders>
              <w:top w:val="nil"/>
              <w:left w:val="nil"/>
              <w:bottom w:val="nil"/>
              <w:right w:val="nil"/>
            </w:tcBorders>
          </w:tcPr>
          <w:p w14:paraId="6A613FD2"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(0.136)</w:t>
            </w:r>
          </w:p>
        </w:tc>
      </w:tr>
      <w:tr w:rsidR="00CD4846" w:rsidRPr="00CD4846" w14:paraId="5041AE76" w14:textId="77777777" w:rsidTr="00B82EB9">
        <w:tc>
          <w:tcPr>
            <w:tcW w:w="1850" w:type="pct"/>
            <w:tcBorders>
              <w:top w:val="nil"/>
              <w:left w:val="nil"/>
              <w:bottom w:val="nil"/>
              <w:right w:val="nil"/>
            </w:tcBorders>
          </w:tcPr>
          <w:p w14:paraId="664E09F2" w14:textId="711F4C43"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Prior Deaths (1ks)</w:t>
            </w:r>
          </w:p>
        </w:tc>
        <w:tc>
          <w:tcPr>
            <w:tcW w:w="749" w:type="pct"/>
            <w:tcBorders>
              <w:top w:val="nil"/>
              <w:left w:val="nil"/>
              <w:bottom w:val="nil"/>
              <w:right w:val="nil"/>
            </w:tcBorders>
          </w:tcPr>
          <w:p w14:paraId="5AE06B25"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2.346</w:t>
            </w:r>
          </w:p>
        </w:tc>
        <w:tc>
          <w:tcPr>
            <w:tcW w:w="748" w:type="pct"/>
            <w:tcBorders>
              <w:top w:val="nil"/>
              <w:left w:val="nil"/>
              <w:bottom w:val="nil"/>
              <w:right w:val="nil"/>
            </w:tcBorders>
          </w:tcPr>
          <w:p w14:paraId="6E7B494C"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5.878</w:t>
            </w:r>
          </w:p>
        </w:tc>
        <w:tc>
          <w:tcPr>
            <w:tcW w:w="748" w:type="pct"/>
            <w:tcBorders>
              <w:top w:val="nil"/>
              <w:left w:val="nil"/>
              <w:bottom w:val="nil"/>
              <w:right w:val="nil"/>
            </w:tcBorders>
          </w:tcPr>
          <w:p w14:paraId="0AB7E72B"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-0.241***</w:t>
            </w:r>
          </w:p>
        </w:tc>
        <w:tc>
          <w:tcPr>
            <w:tcW w:w="905" w:type="pct"/>
            <w:tcBorders>
              <w:top w:val="nil"/>
              <w:left w:val="nil"/>
              <w:bottom w:val="nil"/>
              <w:right w:val="nil"/>
            </w:tcBorders>
          </w:tcPr>
          <w:p w14:paraId="4C2C0827"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0.095</w:t>
            </w:r>
          </w:p>
        </w:tc>
      </w:tr>
      <w:tr w:rsidR="00CD4846" w:rsidRPr="00CD4846" w14:paraId="69F8990A" w14:textId="77777777" w:rsidTr="00B82EB9">
        <w:tc>
          <w:tcPr>
            <w:tcW w:w="1850" w:type="pct"/>
            <w:tcBorders>
              <w:top w:val="nil"/>
              <w:left w:val="nil"/>
              <w:bottom w:val="nil"/>
              <w:right w:val="nil"/>
            </w:tcBorders>
          </w:tcPr>
          <w:p w14:paraId="02CECD19" w14:textId="58BD893E" w:rsidR="00CD4846" w:rsidRPr="00DA465B" w:rsidRDefault="00CD4846" w:rsidP="00DA465B">
            <w:pPr>
              <w:widowControl w:val="0"/>
              <w:autoSpaceDE w:val="0"/>
              <w:autoSpaceDN w:val="0"/>
              <w:adjustRightInd w:val="0"/>
              <w:spacing w:line="240" w:lineRule="auto"/>
              <w:rPr>
                <w:rFonts w:cs="Times New Roman"/>
                <w:kern w:val="2"/>
                <w:sz w:val="20"/>
                <w:szCs w:val="20"/>
                <w:lang/>
              </w:rPr>
            </w:pPr>
          </w:p>
        </w:tc>
        <w:tc>
          <w:tcPr>
            <w:tcW w:w="749" w:type="pct"/>
            <w:tcBorders>
              <w:top w:val="nil"/>
              <w:left w:val="nil"/>
              <w:bottom w:val="nil"/>
              <w:right w:val="nil"/>
            </w:tcBorders>
          </w:tcPr>
          <w:p w14:paraId="529EDE98"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(5.407)</w:t>
            </w:r>
          </w:p>
        </w:tc>
        <w:tc>
          <w:tcPr>
            <w:tcW w:w="748" w:type="pct"/>
            <w:tcBorders>
              <w:top w:val="nil"/>
              <w:left w:val="nil"/>
              <w:bottom w:val="nil"/>
              <w:right w:val="nil"/>
            </w:tcBorders>
          </w:tcPr>
          <w:p w14:paraId="33CE54FF"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(14.481)</w:t>
            </w:r>
          </w:p>
        </w:tc>
        <w:tc>
          <w:tcPr>
            <w:tcW w:w="748" w:type="pct"/>
            <w:tcBorders>
              <w:top w:val="nil"/>
              <w:left w:val="nil"/>
              <w:bottom w:val="nil"/>
              <w:right w:val="nil"/>
            </w:tcBorders>
          </w:tcPr>
          <w:p w14:paraId="0D9F9B13"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(0.050)</w:t>
            </w:r>
          </w:p>
        </w:tc>
        <w:tc>
          <w:tcPr>
            <w:tcW w:w="905" w:type="pct"/>
            <w:tcBorders>
              <w:top w:val="nil"/>
              <w:left w:val="nil"/>
              <w:bottom w:val="nil"/>
              <w:right w:val="nil"/>
            </w:tcBorders>
          </w:tcPr>
          <w:p w14:paraId="3F0CD29D"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(0.094)</w:t>
            </w:r>
          </w:p>
        </w:tc>
      </w:tr>
      <w:tr w:rsidR="00CD4846" w:rsidRPr="00CD4846" w14:paraId="3F65A665" w14:textId="77777777" w:rsidTr="00B82EB9">
        <w:tc>
          <w:tcPr>
            <w:tcW w:w="1850" w:type="pct"/>
            <w:tcBorders>
              <w:top w:val="nil"/>
              <w:left w:val="nil"/>
              <w:bottom w:val="nil"/>
              <w:right w:val="nil"/>
            </w:tcBorders>
          </w:tcPr>
          <w:p w14:paraId="011403D5" w14:textId="7A4706BB"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Prior inward relocations (1ks)</w:t>
            </w:r>
          </w:p>
        </w:tc>
        <w:tc>
          <w:tcPr>
            <w:tcW w:w="749" w:type="pct"/>
            <w:tcBorders>
              <w:top w:val="nil"/>
              <w:left w:val="nil"/>
              <w:bottom w:val="nil"/>
              <w:right w:val="nil"/>
            </w:tcBorders>
          </w:tcPr>
          <w:p w14:paraId="77E3A4C5"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60.299</w:t>
            </w:r>
          </w:p>
        </w:tc>
        <w:tc>
          <w:tcPr>
            <w:tcW w:w="748" w:type="pct"/>
            <w:tcBorders>
              <w:top w:val="nil"/>
              <w:left w:val="nil"/>
              <w:bottom w:val="nil"/>
              <w:right w:val="nil"/>
            </w:tcBorders>
          </w:tcPr>
          <w:p w14:paraId="733501B7"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208.454</w:t>
            </w:r>
          </w:p>
        </w:tc>
        <w:tc>
          <w:tcPr>
            <w:tcW w:w="748" w:type="pct"/>
            <w:tcBorders>
              <w:top w:val="nil"/>
              <w:left w:val="nil"/>
              <w:bottom w:val="nil"/>
              <w:right w:val="nil"/>
            </w:tcBorders>
          </w:tcPr>
          <w:p w14:paraId="538FC14A"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5.187***</w:t>
            </w:r>
          </w:p>
        </w:tc>
        <w:tc>
          <w:tcPr>
            <w:tcW w:w="905" w:type="pct"/>
            <w:tcBorders>
              <w:top w:val="nil"/>
              <w:left w:val="nil"/>
              <w:bottom w:val="nil"/>
              <w:right w:val="nil"/>
            </w:tcBorders>
          </w:tcPr>
          <w:p w14:paraId="4CF71ECE"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19.921***</w:t>
            </w:r>
          </w:p>
        </w:tc>
      </w:tr>
      <w:tr w:rsidR="00CD4846" w:rsidRPr="00CD4846" w14:paraId="3EE6670D" w14:textId="77777777" w:rsidTr="00B82EB9">
        <w:tc>
          <w:tcPr>
            <w:tcW w:w="1850" w:type="pct"/>
            <w:tcBorders>
              <w:top w:val="nil"/>
              <w:left w:val="nil"/>
              <w:bottom w:val="nil"/>
              <w:right w:val="nil"/>
            </w:tcBorders>
          </w:tcPr>
          <w:p w14:paraId="39AD3733" w14:textId="11DA33C4" w:rsidR="00CD4846" w:rsidRPr="00DA465B" w:rsidRDefault="00CD4846" w:rsidP="00DA465B">
            <w:pPr>
              <w:widowControl w:val="0"/>
              <w:autoSpaceDE w:val="0"/>
              <w:autoSpaceDN w:val="0"/>
              <w:adjustRightInd w:val="0"/>
              <w:spacing w:line="240" w:lineRule="auto"/>
              <w:rPr>
                <w:rFonts w:cs="Times New Roman"/>
                <w:kern w:val="2"/>
                <w:sz w:val="20"/>
                <w:szCs w:val="20"/>
                <w:lang/>
              </w:rPr>
            </w:pPr>
          </w:p>
        </w:tc>
        <w:tc>
          <w:tcPr>
            <w:tcW w:w="749" w:type="pct"/>
            <w:tcBorders>
              <w:top w:val="nil"/>
              <w:left w:val="nil"/>
              <w:bottom w:val="nil"/>
              <w:right w:val="nil"/>
            </w:tcBorders>
          </w:tcPr>
          <w:p w14:paraId="452B7672"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(52.393)</w:t>
            </w:r>
          </w:p>
        </w:tc>
        <w:tc>
          <w:tcPr>
            <w:tcW w:w="748" w:type="pct"/>
            <w:tcBorders>
              <w:top w:val="nil"/>
              <w:left w:val="nil"/>
              <w:bottom w:val="nil"/>
              <w:right w:val="nil"/>
            </w:tcBorders>
          </w:tcPr>
          <w:p w14:paraId="2F6BC1DE"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(132.701)</w:t>
            </w:r>
          </w:p>
        </w:tc>
        <w:tc>
          <w:tcPr>
            <w:tcW w:w="748" w:type="pct"/>
            <w:tcBorders>
              <w:top w:val="nil"/>
              <w:left w:val="nil"/>
              <w:bottom w:val="nil"/>
              <w:right w:val="nil"/>
            </w:tcBorders>
          </w:tcPr>
          <w:p w14:paraId="53F91BF1"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(1.688)</w:t>
            </w:r>
          </w:p>
        </w:tc>
        <w:tc>
          <w:tcPr>
            <w:tcW w:w="905" w:type="pct"/>
            <w:tcBorders>
              <w:top w:val="nil"/>
              <w:left w:val="nil"/>
              <w:bottom w:val="nil"/>
              <w:right w:val="nil"/>
            </w:tcBorders>
          </w:tcPr>
          <w:p w14:paraId="16B1D288"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(5.120)</w:t>
            </w:r>
          </w:p>
        </w:tc>
      </w:tr>
      <w:tr w:rsidR="00CD4846" w:rsidRPr="00CD4846" w14:paraId="36F0270B" w14:textId="77777777" w:rsidTr="00B82EB9">
        <w:tc>
          <w:tcPr>
            <w:tcW w:w="1850" w:type="pct"/>
            <w:tcBorders>
              <w:top w:val="nil"/>
              <w:left w:val="nil"/>
              <w:bottom w:val="nil"/>
              <w:right w:val="nil"/>
            </w:tcBorders>
          </w:tcPr>
          <w:p w14:paraId="280C27AE"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Constant</w:t>
            </w:r>
          </w:p>
        </w:tc>
        <w:tc>
          <w:tcPr>
            <w:tcW w:w="749" w:type="pct"/>
            <w:tcBorders>
              <w:top w:val="nil"/>
              <w:left w:val="nil"/>
              <w:bottom w:val="nil"/>
              <w:right w:val="nil"/>
            </w:tcBorders>
          </w:tcPr>
          <w:p w14:paraId="755AFC66"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-0.856</w:t>
            </w:r>
          </w:p>
        </w:tc>
        <w:tc>
          <w:tcPr>
            <w:tcW w:w="748" w:type="pct"/>
            <w:tcBorders>
              <w:top w:val="nil"/>
              <w:left w:val="nil"/>
              <w:bottom w:val="nil"/>
              <w:right w:val="nil"/>
            </w:tcBorders>
          </w:tcPr>
          <w:p w14:paraId="3E91CC1E"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1.400</w:t>
            </w:r>
          </w:p>
        </w:tc>
        <w:tc>
          <w:tcPr>
            <w:tcW w:w="748" w:type="pct"/>
            <w:tcBorders>
              <w:top w:val="nil"/>
              <w:left w:val="nil"/>
              <w:bottom w:val="nil"/>
              <w:right w:val="nil"/>
            </w:tcBorders>
          </w:tcPr>
          <w:p w14:paraId="7A50667F"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1.436***</w:t>
            </w:r>
          </w:p>
        </w:tc>
        <w:tc>
          <w:tcPr>
            <w:tcW w:w="905" w:type="pct"/>
            <w:tcBorders>
              <w:top w:val="nil"/>
              <w:left w:val="nil"/>
              <w:bottom w:val="nil"/>
              <w:right w:val="nil"/>
            </w:tcBorders>
          </w:tcPr>
          <w:p w14:paraId="797920E7"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1.492**</w:t>
            </w:r>
          </w:p>
        </w:tc>
      </w:tr>
      <w:tr w:rsidR="00CD4846" w:rsidRPr="00CD4846" w14:paraId="694C5C9B" w14:textId="77777777" w:rsidTr="00B82EB9">
        <w:tc>
          <w:tcPr>
            <w:tcW w:w="1850" w:type="pct"/>
            <w:tcBorders>
              <w:top w:val="nil"/>
              <w:left w:val="nil"/>
              <w:bottom w:val="nil"/>
              <w:right w:val="nil"/>
            </w:tcBorders>
          </w:tcPr>
          <w:p w14:paraId="3616A4D7" w14:textId="7B00952E" w:rsidR="00CD4846" w:rsidRPr="00DA465B" w:rsidRDefault="00CD4846" w:rsidP="00DA465B">
            <w:pPr>
              <w:widowControl w:val="0"/>
              <w:autoSpaceDE w:val="0"/>
              <w:autoSpaceDN w:val="0"/>
              <w:adjustRightInd w:val="0"/>
              <w:spacing w:line="240" w:lineRule="auto"/>
              <w:rPr>
                <w:rFonts w:cs="Times New Roman"/>
                <w:kern w:val="2"/>
                <w:sz w:val="20"/>
                <w:szCs w:val="20"/>
                <w:lang/>
              </w:rPr>
            </w:pPr>
          </w:p>
        </w:tc>
        <w:tc>
          <w:tcPr>
            <w:tcW w:w="749" w:type="pct"/>
            <w:tcBorders>
              <w:top w:val="nil"/>
              <w:left w:val="nil"/>
              <w:bottom w:val="nil"/>
              <w:right w:val="nil"/>
            </w:tcBorders>
          </w:tcPr>
          <w:p w14:paraId="1DBEAFC3"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(1.930)</w:t>
            </w:r>
          </w:p>
        </w:tc>
        <w:tc>
          <w:tcPr>
            <w:tcW w:w="748" w:type="pct"/>
            <w:tcBorders>
              <w:top w:val="nil"/>
              <w:left w:val="nil"/>
              <w:bottom w:val="nil"/>
              <w:right w:val="nil"/>
            </w:tcBorders>
          </w:tcPr>
          <w:p w14:paraId="376995A5"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(3.034)</w:t>
            </w:r>
          </w:p>
        </w:tc>
        <w:tc>
          <w:tcPr>
            <w:tcW w:w="748" w:type="pct"/>
            <w:tcBorders>
              <w:top w:val="nil"/>
              <w:left w:val="nil"/>
              <w:bottom w:val="nil"/>
              <w:right w:val="nil"/>
            </w:tcBorders>
          </w:tcPr>
          <w:p w14:paraId="689EB18E"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(0.348)</w:t>
            </w:r>
          </w:p>
        </w:tc>
        <w:tc>
          <w:tcPr>
            <w:tcW w:w="905" w:type="pct"/>
            <w:tcBorders>
              <w:top w:val="nil"/>
              <w:left w:val="nil"/>
              <w:bottom w:val="nil"/>
              <w:right w:val="nil"/>
            </w:tcBorders>
          </w:tcPr>
          <w:p w14:paraId="2B0E93E4"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(0.736)</w:t>
            </w:r>
          </w:p>
        </w:tc>
      </w:tr>
      <w:tr w:rsidR="00CD4846" w:rsidRPr="00CD4846" w14:paraId="1C509CFA" w14:textId="77777777" w:rsidTr="00B82EB9">
        <w:tc>
          <w:tcPr>
            <w:tcW w:w="1850" w:type="pct"/>
            <w:tcBorders>
              <w:top w:val="nil"/>
              <w:left w:val="nil"/>
              <w:bottom w:val="nil"/>
              <w:right w:val="nil"/>
            </w:tcBorders>
          </w:tcPr>
          <w:p w14:paraId="31898ACA" w14:textId="606801A4"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Observations</w:t>
            </w:r>
          </w:p>
        </w:tc>
        <w:tc>
          <w:tcPr>
            <w:tcW w:w="749" w:type="pct"/>
            <w:tcBorders>
              <w:top w:val="nil"/>
              <w:left w:val="nil"/>
              <w:bottom w:val="nil"/>
              <w:right w:val="nil"/>
            </w:tcBorders>
          </w:tcPr>
          <w:p w14:paraId="049E311E"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4524</w:t>
            </w:r>
          </w:p>
        </w:tc>
        <w:tc>
          <w:tcPr>
            <w:tcW w:w="748" w:type="pct"/>
            <w:tcBorders>
              <w:top w:val="nil"/>
              <w:left w:val="nil"/>
              <w:bottom w:val="nil"/>
              <w:right w:val="nil"/>
            </w:tcBorders>
          </w:tcPr>
          <w:p w14:paraId="43CEF52F"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1843</w:t>
            </w:r>
          </w:p>
        </w:tc>
        <w:tc>
          <w:tcPr>
            <w:tcW w:w="748" w:type="pct"/>
            <w:tcBorders>
              <w:top w:val="nil"/>
              <w:left w:val="nil"/>
              <w:bottom w:val="nil"/>
              <w:right w:val="nil"/>
            </w:tcBorders>
          </w:tcPr>
          <w:p w14:paraId="75A0E922"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22035</w:t>
            </w:r>
          </w:p>
        </w:tc>
        <w:tc>
          <w:tcPr>
            <w:tcW w:w="905" w:type="pct"/>
            <w:tcBorders>
              <w:top w:val="nil"/>
              <w:left w:val="nil"/>
              <w:bottom w:val="nil"/>
              <w:right w:val="nil"/>
            </w:tcBorders>
          </w:tcPr>
          <w:p w14:paraId="391CAE1F"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15967</w:t>
            </w:r>
          </w:p>
        </w:tc>
      </w:tr>
      <w:tr w:rsidR="00CD4846" w:rsidRPr="00CD4846" w14:paraId="0142260E" w14:textId="77777777" w:rsidTr="00B82EB9">
        <w:tc>
          <w:tcPr>
            <w:tcW w:w="1850" w:type="pct"/>
            <w:tcBorders>
              <w:top w:val="nil"/>
              <w:left w:val="nil"/>
              <w:bottom w:val="nil"/>
              <w:right w:val="nil"/>
            </w:tcBorders>
          </w:tcPr>
          <w:p w14:paraId="5BA2E1C2" w14:textId="1113DB34"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Pseudo R</w:t>
            </w:r>
            <w:r w:rsidRPr="00DA465B">
              <w:rPr>
                <w:rFonts w:cs="Times New Roman"/>
                <w:kern w:val="2"/>
                <w:sz w:val="20"/>
                <w:szCs w:val="20"/>
                <w:vertAlign w:val="superscript"/>
                <w:lang/>
              </w:rPr>
              <w:t>2</w:t>
            </w:r>
          </w:p>
        </w:tc>
        <w:tc>
          <w:tcPr>
            <w:tcW w:w="749" w:type="pct"/>
            <w:tcBorders>
              <w:top w:val="nil"/>
              <w:left w:val="nil"/>
              <w:bottom w:val="nil"/>
              <w:right w:val="nil"/>
            </w:tcBorders>
          </w:tcPr>
          <w:p w14:paraId="12BBBF7F"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0.173</w:t>
            </w:r>
          </w:p>
        </w:tc>
        <w:tc>
          <w:tcPr>
            <w:tcW w:w="748" w:type="pct"/>
            <w:tcBorders>
              <w:top w:val="nil"/>
              <w:left w:val="nil"/>
              <w:bottom w:val="nil"/>
              <w:right w:val="nil"/>
            </w:tcBorders>
          </w:tcPr>
          <w:p w14:paraId="47AE33D1"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0.140</w:t>
            </w:r>
          </w:p>
        </w:tc>
        <w:tc>
          <w:tcPr>
            <w:tcW w:w="748" w:type="pct"/>
            <w:tcBorders>
              <w:top w:val="nil"/>
              <w:left w:val="nil"/>
              <w:bottom w:val="nil"/>
              <w:right w:val="nil"/>
            </w:tcBorders>
          </w:tcPr>
          <w:p w14:paraId="0106BA1D"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0.603</w:t>
            </w:r>
          </w:p>
        </w:tc>
        <w:tc>
          <w:tcPr>
            <w:tcW w:w="905" w:type="pct"/>
            <w:tcBorders>
              <w:top w:val="nil"/>
              <w:left w:val="nil"/>
              <w:bottom w:val="nil"/>
              <w:right w:val="nil"/>
            </w:tcBorders>
          </w:tcPr>
          <w:p w14:paraId="7A1E8E33"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0.521</w:t>
            </w:r>
          </w:p>
        </w:tc>
      </w:tr>
      <w:tr w:rsidR="00CD4846" w:rsidRPr="00CD4846" w14:paraId="3E53DB45" w14:textId="77777777" w:rsidTr="00B82EB9">
        <w:tc>
          <w:tcPr>
            <w:tcW w:w="1850" w:type="pct"/>
            <w:tcBorders>
              <w:top w:val="nil"/>
              <w:left w:val="nil"/>
              <w:bottom w:val="nil"/>
              <w:right w:val="nil"/>
            </w:tcBorders>
          </w:tcPr>
          <w:p w14:paraId="61BA98E9" w14:textId="41CD1F93"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Chi</w:t>
            </w:r>
            <w:r w:rsidRPr="00DA465B">
              <w:rPr>
                <w:rFonts w:cs="Times New Roman"/>
                <w:kern w:val="2"/>
                <w:sz w:val="20"/>
                <w:szCs w:val="20"/>
                <w:vertAlign w:val="superscript"/>
                <w:lang/>
              </w:rPr>
              <w:t>2</w:t>
            </w:r>
          </w:p>
        </w:tc>
        <w:tc>
          <w:tcPr>
            <w:tcW w:w="749" w:type="pct"/>
            <w:tcBorders>
              <w:top w:val="nil"/>
              <w:left w:val="nil"/>
              <w:bottom w:val="nil"/>
              <w:right w:val="nil"/>
            </w:tcBorders>
          </w:tcPr>
          <w:p w14:paraId="4E891AD5"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27</w:t>
            </w:r>
          </w:p>
        </w:tc>
        <w:tc>
          <w:tcPr>
            <w:tcW w:w="748" w:type="pct"/>
            <w:tcBorders>
              <w:top w:val="nil"/>
              <w:left w:val="nil"/>
              <w:bottom w:val="nil"/>
              <w:right w:val="nil"/>
            </w:tcBorders>
          </w:tcPr>
          <w:p w14:paraId="7CD729CD"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23</w:t>
            </w:r>
          </w:p>
        </w:tc>
        <w:tc>
          <w:tcPr>
            <w:tcW w:w="748" w:type="pct"/>
            <w:tcBorders>
              <w:top w:val="nil"/>
              <w:left w:val="nil"/>
              <w:bottom w:val="nil"/>
              <w:right w:val="nil"/>
            </w:tcBorders>
          </w:tcPr>
          <w:p w14:paraId="656BA82A"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83</w:t>
            </w:r>
          </w:p>
        </w:tc>
        <w:tc>
          <w:tcPr>
            <w:tcW w:w="905" w:type="pct"/>
            <w:tcBorders>
              <w:top w:val="nil"/>
              <w:left w:val="nil"/>
              <w:bottom w:val="nil"/>
              <w:right w:val="nil"/>
            </w:tcBorders>
          </w:tcPr>
          <w:p w14:paraId="6E1F357C"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55</w:t>
            </w:r>
          </w:p>
        </w:tc>
      </w:tr>
      <w:tr w:rsidR="00CD4846" w:rsidRPr="00CD4846" w14:paraId="7691C4A7" w14:textId="77777777" w:rsidTr="00B82EB9">
        <w:tc>
          <w:tcPr>
            <w:tcW w:w="1850" w:type="pct"/>
            <w:tcBorders>
              <w:top w:val="nil"/>
              <w:left w:val="nil"/>
              <w:bottom w:val="nil"/>
              <w:right w:val="nil"/>
            </w:tcBorders>
          </w:tcPr>
          <w:p w14:paraId="320FBE68" w14:textId="75412164"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Log Likelihood</w:t>
            </w:r>
          </w:p>
        </w:tc>
        <w:tc>
          <w:tcPr>
            <w:tcW w:w="749" w:type="pct"/>
            <w:tcBorders>
              <w:top w:val="nil"/>
              <w:left w:val="nil"/>
              <w:bottom w:val="nil"/>
              <w:right w:val="nil"/>
            </w:tcBorders>
          </w:tcPr>
          <w:p w14:paraId="21087B8B"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-2183</w:t>
            </w:r>
          </w:p>
        </w:tc>
        <w:tc>
          <w:tcPr>
            <w:tcW w:w="748" w:type="pct"/>
            <w:tcBorders>
              <w:top w:val="nil"/>
              <w:left w:val="nil"/>
              <w:bottom w:val="nil"/>
              <w:right w:val="nil"/>
            </w:tcBorders>
          </w:tcPr>
          <w:p w14:paraId="5D783C37"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-849</w:t>
            </w:r>
          </w:p>
        </w:tc>
        <w:tc>
          <w:tcPr>
            <w:tcW w:w="748" w:type="pct"/>
            <w:tcBorders>
              <w:top w:val="nil"/>
              <w:left w:val="nil"/>
              <w:bottom w:val="nil"/>
              <w:right w:val="nil"/>
            </w:tcBorders>
          </w:tcPr>
          <w:p w14:paraId="68AAF713"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-23308</w:t>
            </w:r>
          </w:p>
        </w:tc>
        <w:tc>
          <w:tcPr>
            <w:tcW w:w="905" w:type="pct"/>
            <w:tcBorders>
              <w:top w:val="nil"/>
              <w:left w:val="nil"/>
              <w:bottom w:val="nil"/>
              <w:right w:val="nil"/>
            </w:tcBorders>
          </w:tcPr>
          <w:p w14:paraId="01D57FBA"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-11682</w:t>
            </w:r>
          </w:p>
        </w:tc>
      </w:tr>
      <w:tr w:rsidR="00CD4846" w:rsidRPr="00CD4846" w14:paraId="7BE433D1" w14:textId="77777777" w:rsidTr="00B82EB9">
        <w:tc>
          <w:tcPr>
            <w:tcW w:w="1850" w:type="pct"/>
            <w:tcBorders>
              <w:top w:val="nil"/>
              <w:left w:val="nil"/>
              <w:bottom w:val="nil"/>
              <w:right w:val="nil"/>
            </w:tcBorders>
          </w:tcPr>
          <w:p w14:paraId="513242D0" w14:textId="5EAAF51C"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Akaike’s Criterion</w:t>
            </w:r>
          </w:p>
        </w:tc>
        <w:tc>
          <w:tcPr>
            <w:tcW w:w="749" w:type="pct"/>
            <w:tcBorders>
              <w:top w:val="nil"/>
              <w:left w:val="nil"/>
              <w:bottom w:val="nil"/>
              <w:right w:val="nil"/>
            </w:tcBorders>
          </w:tcPr>
          <w:p w14:paraId="103A17FB"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4406</w:t>
            </w:r>
          </w:p>
        </w:tc>
        <w:tc>
          <w:tcPr>
            <w:tcW w:w="748" w:type="pct"/>
            <w:tcBorders>
              <w:top w:val="nil"/>
              <w:left w:val="nil"/>
              <w:bottom w:val="nil"/>
              <w:right w:val="nil"/>
            </w:tcBorders>
          </w:tcPr>
          <w:p w14:paraId="1FB6B9AC"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1737</w:t>
            </w:r>
          </w:p>
        </w:tc>
        <w:tc>
          <w:tcPr>
            <w:tcW w:w="748" w:type="pct"/>
            <w:tcBorders>
              <w:top w:val="nil"/>
              <w:left w:val="nil"/>
              <w:bottom w:val="nil"/>
              <w:right w:val="nil"/>
            </w:tcBorders>
          </w:tcPr>
          <w:p w14:paraId="3FFDCBE2"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46656</w:t>
            </w:r>
          </w:p>
        </w:tc>
        <w:tc>
          <w:tcPr>
            <w:tcW w:w="905" w:type="pct"/>
            <w:tcBorders>
              <w:top w:val="nil"/>
              <w:left w:val="nil"/>
              <w:bottom w:val="nil"/>
              <w:right w:val="nil"/>
            </w:tcBorders>
          </w:tcPr>
          <w:p w14:paraId="06837320"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23405</w:t>
            </w:r>
          </w:p>
        </w:tc>
      </w:tr>
      <w:tr w:rsidR="00CD4846" w:rsidRPr="00CD4846" w14:paraId="226199C8" w14:textId="77777777" w:rsidTr="00B82EB9">
        <w:tc>
          <w:tcPr>
            <w:tcW w:w="1850" w:type="pct"/>
            <w:tcBorders>
              <w:top w:val="nil"/>
              <w:left w:val="nil"/>
              <w:bottom w:val="nil"/>
              <w:right w:val="nil"/>
            </w:tcBorders>
          </w:tcPr>
          <w:p w14:paraId="7CA4C4AB" w14:textId="5F8A0FB5"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Bayesian Criterion</w:t>
            </w:r>
          </w:p>
        </w:tc>
        <w:tc>
          <w:tcPr>
            <w:tcW w:w="749" w:type="pct"/>
            <w:tcBorders>
              <w:top w:val="nil"/>
              <w:left w:val="nil"/>
              <w:bottom w:val="nil"/>
              <w:right w:val="nil"/>
            </w:tcBorders>
          </w:tcPr>
          <w:p w14:paraId="5819DC1D"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4534</w:t>
            </w:r>
          </w:p>
        </w:tc>
        <w:tc>
          <w:tcPr>
            <w:tcW w:w="748" w:type="pct"/>
            <w:tcBorders>
              <w:top w:val="nil"/>
              <w:left w:val="nil"/>
              <w:bottom w:val="nil"/>
              <w:right w:val="nil"/>
            </w:tcBorders>
          </w:tcPr>
          <w:p w14:paraId="731E3872"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1842</w:t>
            </w:r>
          </w:p>
        </w:tc>
        <w:tc>
          <w:tcPr>
            <w:tcW w:w="748" w:type="pct"/>
            <w:tcBorders>
              <w:top w:val="nil"/>
              <w:left w:val="nil"/>
              <w:bottom w:val="nil"/>
              <w:right w:val="nil"/>
            </w:tcBorders>
          </w:tcPr>
          <w:p w14:paraId="69686D8A"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46816</w:t>
            </w:r>
          </w:p>
        </w:tc>
        <w:tc>
          <w:tcPr>
            <w:tcW w:w="905" w:type="pct"/>
            <w:tcBorders>
              <w:top w:val="nil"/>
              <w:left w:val="nil"/>
              <w:bottom w:val="nil"/>
              <w:right w:val="nil"/>
            </w:tcBorders>
          </w:tcPr>
          <w:p w14:paraId="663F3859"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23559</w:t>
            </w:r>
          </w:p>
        </w:tc>
      </w:tr>
      <w:tr w:rsidR="00CD4846" w:rsidRPr="00CD4846" w14:paraId="10E578D8" w14:textId="77777777" w:rsidTr="00DA465B">
        <w:tc>
          <w:tcPr>
            <w:tcW w:w="1850" w:type="pct"/>
            <w:tcBorders>
              <w:top w:val="nil"/>
              <w:left w:val="nil"/>
              <w:right w:val="nil"/>
            </w:tcBorders>
          </w:tcPr>
          <w:p w14:paraId="15555344"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County FE</w:t>
            </w:r>
          </w:p>
        </w:tc>
        <w:tc>
          <w:tcPr>
            <w:tcW w:w="749" w:type="pct"/>
            <w:tcBorders>
              <w:top w:val="nil"/>
              <w:left w:val="nil"/>
              <w:right w:val="nil"/>
            </w:tcBorders>
          </w:tcPr>
          <w:p w14:paraId="056827BB"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Yes</w:t>
            </w:r>
          </w:p>
        </w:tc>
        <w:tc>
          <w:tcPr>
            <w:tcW w:w="748" w:type="pct"/>
            <w:tcBorders>
              <w:top w:val="nil"/>
              <w:left w:val="nil"/>
              <w:right w:val="nil"/>
            </w:tcBorders>
          </w:tcPr>
          <w:p w14:paraId="07C8E41D"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Yes</w:t>
            </w:r>
          </w:p>
        </w:tc>
        <w:tc>
          <w:tcPr>
            <w:tcW w:w="748" w:type="pct"/>
            <w:tcBorders>
              <w:top w:val="nil"/>
              <w:left w:val="nil"/>
              <w:right w:val="nil"/>
            </w:tcBorders>
          </w:tcPr>
          <w:p w14:paraId="40E3E255"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Yes</w:t>
            </w:r>
          </w:p>
        </w:tc>
        <w:tc>
          <w:tcPr>
            <w:tcW w:w="905" w:type="pct"/>
            <w:tcBorders>
              <w:top w:val="nil"/>
              <w:left w:val="nil"/>
              <w:right w:val="nil"/>
            </w:tcBorders>
          </w:tcPr>
          <w:p w14:paraId="016EC0C2"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Yes</w:t>
            </w:r>
          </w:p>
        </w:tc>
      </w:tr>
    </w:tbl>
    <w:p w14:paraId="4A4A288F" w14:textId="77777777" w:rsidR="003959BE" w:rsidRDefault="003959BE" w:rsidP="004C39A4">
      <w:pPr>
        <w:spacing w:line="240" w:lineRule="auto"/>
        <w:rPr>
          <w:b/>
          <w:bCs/>
        </w:rPr>
      </w:pPr>
    </w:p>
    <w:p w14:paraId="7B994B24" w14:textId="77777777" w:rsidR="003959BE" w:rsidRDefault="003959BE" w:rsidP="004C39A4">
      <w:pPr>
        <w:spacing w:line="240" w:lineRule="auto"/>
        <w:rPr>
          <w:b/>
          <w:bCs/>
        </w:rPr>
      </w:pPr>
    </w:p>
    <w:p w14:paraId="5A4DFB01" w14:textId="77777777" w:rsidR="003959BE" w:rsidRDefault="003959BE" w:rsidP="004C39A4">
      <w:pPr>
        <w:spacing w:line="240" w:lineRule="auto"/>
        <w:rPr>
          <w:b/>
          <w:bCs/>
        </w:rPr>
      </w:pPr>
    </w:p>
    <w:p w14:paraId="1F5321A7" w14:textId="77777777" w:rsidR="003959BE" w:rsidRDefault="003959BE" w:rsidP="004C39A4">
      <w:pPr>
        <w:spacing w:line="240" w:lineRule="auto"/>
        <w:rPr>
          <w:b/>
          <w:bCs/>
        </w:rPr>
      </w:pPr>
    </w:p>
    <w:p w14:paraId="223B302A" w14:textId="7CA349CC" w:rsidR="00EE4448" w:rsidRPr="00EE4448" w:rsidRDefault="00EE4448" w:rsidP="004C39A4">
      <w:pPr>
        <w:spacing w:line="240" w:lineRule="auto"/>
        <w:rPr>
          <w:b/>
          <w:bCs/>
        </w:rPr>
      </w:pPr>
      <w:r w:rsidRPr="00EE4448">
        <w:rPr>
          <w:b/>
          <w:bCs/>
        </w:rPr>
        <w:lastRenderedPageBreak/>
        <w:t>Table A25 Continued</w:t>
      </w:r>
    </w:p>
    <w:tbl>
      <w:tblPr>
        <w:tblW w:w="5000" w:type="pct"/>
        <w:tblLook w:val="04A0" w:firstRow="1" w:lastRow="0" w:firstColumn="1" w:lastColumn="0" w:noHBand="0" w:noVBand="1"/>
      </w:tblPr>
      <w:tblGrid>
        <w:gridCol w:w="3464"/>
        <w:gridCol w:w="1402"/>
        <w:gridCol w:w="1400"/>
        <w:gridCol w:w="1400"/>
        <w:gridCol w:w="1694"/>
      </w:tblGrid>
      <w:tr w:rsidR="00EE4448" w:rsidRPr="00DA465B" w14:paraId="75730B0A" w14:textId="77777777" w:rsidTr="00EE4448">
        <w:tc>
          <w:tcPr>
            <w:tcW w:w="1850" w:type="pct"/>
            <w:tcBorders>
              <w:top w:val="single" w:sz="4" w:space="0" w:color="auto"/>
              <w:left w:val="nil"/>
              <w:bottom w:val="single" w:sz="4" w:space="0" w:color="auto"/>
              <w:right w:val="nil"/>
            </w:tcBorders>
          </w:tcPr>
          <w:p w14:paraId="1EA401D3" w14:textId="39947CA9" w:rsidR="00EE4448" w:rsidRPr="00DA465B" w:rsidRDefault="00EE4448" w:rsidP="00DA465B">
            <w:pPr>
              <w:spacing w:line="240" w:lineRule="auto"/>
              <w:rPr>
                <w:rFonts w:cs="Times New Roman"/>
                <w:b/>
                <w:bCs/>
                <w:sz w:val="20"/>
                <w:szCs w:val="20"/>
                <w:lang/>
              </w:rPr>
            </w:pPr>
            <w:r w:rsidRPr="00DA465B">
              <w:rPr>
                <w:rFonts w:cs="Times New Roman"/>
                <w:b/>
                <w:bCs/>
                <w:sz w:val="20"/>
                <w:szCs w:val="20"/>
                <w:lang/>
              </w:rPr>
              <w:t>Variable</w:t>
            </w:r>
          </w:p>
        </w:tc>
        <w:tc>
          <w:tcPr>
            <w:tcW w:w="749" w:type="pct"/>
            <w:tcBorders>
              <w:top w:val="single" w:sz="4" w:space="0" w:color="auto"/>
              <w:left w:val="nil"/>
              <w:bottom w:val="single" w:sz="4" w:space="0" w:color="auto"/>
              <w:right w:val="nil"/>
            </w:tcBorders>
          </w:tcPr>
          <w:p w14:paraId="14E6C48F" w14:textId="107F40BB" w:rsidR="00EE4448" w:rsidRPr="00DA465B" w:rsidRDefault="00EE4448" w:rsidP="00DA465B">
            <w:pPr>
              <w:spacing w:line="240" w:lineRule="auto"/>
              <w:rPr>
                <w:rFonts w:cs="Times New Roman"/>
                <w:b/>
                <w:bCs/>
                <w:sz w:val="20"/>
                <w:szCs w:val="20"/>
                <w:lang/>
              </w:rPr>
            </w:pPr>
            <w:r w:rsidRPr="00DA465B">
              <w:rPr>
                <w:rFonts w:cs="Times New Roman"/>
                <w:b/>
                <w:bCs/>
                <w:sz w:val="20"/>
                <w:szCs w:val="20"/>
                <w:lang/>
              </w:rPr>
              <w:t>NAICS 11</w:t>
            </w:r>
          </w:p>
        </w:tc>
        <w:tc>
          <w:tcPr>
            <w:tcW w:w="748" w:type="pct"/>
            <w:tcBorders>
              <w:top w:val="single" w:sz="4" w:space="0" w:color="auto"/>
              <w:left w:val="nil"/>
              <w:bottom w:val="single" w:sz="4" w:space="0" w:color="auto"/>
              <w:right w:val="nil"/>
            </w:tcBorders>
          </w:tcPr>
          <w:p w14:paraId="740F71AC" w14:textId="7CE2F788" w:rsidR="00EE4448" w:rsidRPr="00DA465B" w:rsidRDefault="00EE4448" w:rsidP="00DA465B">
            <w:pPr>
              <w:spacing w:line="240" w:lineRule="auto"/>
              <w:rPr>
                <w:rFonts w:cs="Times New Roman"/>
                <w:b/>
                <w:bCs/>
                <w:sz w:val="20"/>
                <w:szCs w:val="20"/>
                <w:lang/>
              </w:rPr>
            </w:pPr>
            <w:r w:rsidRPr="00DA465B">
              <w:rPr>
                <w:rFonts w:cs="Times New Roman"/>
                <w:b/>
                <w:bCs/>
                <w:sz w:val="20"/>
                <w:szCs w:val="20"/>
                <w:lang/>
              </w:rPr>
              <w:t>NAICS 22</w:t>
            </w:r>
          </w:p>
        </w:tc>
        <w:tc>
          <w:tcPr>
            <w:tcW w:w="748" w:type="pct"/>
            <w:tcBorders>
              <w:top w:val="single" w:sz="4" w:space="0" w:color="auto"/>
              <w:left w:val="nil"/>
              <w:bottom w:val="single" w:sz="4" w:space="0" w:color="auto"/>
              <w:right w:val="nil"/>
            </w:tcBorders>
          </w:tcPr>
          <w:p w14:paraId="0F88B784" w14:textId="2A3F260D" w:rsidR="00EE4448" w:rsidRPr="00DA465B" w:rsidRDefault="00EE4448" w:rsidP="00DA465B">
            <w:pPr>
              <w:spacing w:line="240" w:lineRule="auto"/>
              <w:rPr>
                <w:rFonts w:cs="Times New Roman"/>
                <w:b/>
                <w:bCs/>
                <w:sz w:val="20"/>
                <w:szCs w:val="20"/>
                <w:lang/>
              </w:rPr>
            </w:pPr>
            <w:r w:rsidRPr="00DA465B">
              <w:rPr>
                <w:rFonts w:cs="Times New Roman"/>
                <w:b/>
                <w:bCs/>
                <w:sz w:val="20"/>
                <w:szCs w:val="20"/>
                <w:lang/>
              </w:rPr>
              <w:t>NAICS 23</w:t>
            </w:r>
          </w:p>
        </w:tc>
        <w:tc>
          <w:tcPr>
            <w:tcW w:w="905" w:type="pct"/>
            <w:tcBorders>
              <w:top w:val="single" w:sz="4" w:space="0" w:color="auto"/>
              <w:left w:val="nil"/>
              <w:bottom w:val="single" w:sz="4" w:space="0" w:color="auto"/>
              <w:right w:val="nil"/>
            </w:tcBorders>
          </w:tcPr>
          <w:p w14:paraId="0AF50950" w14:textId="53A38E1F" w:rsidR="00EE4448" w:rsidRPr="00DA465B" w:rsidRDefault="00EE4448" w:rsidP="00DA465B">
            <w:pPr>
              <w:spacing w:line="240" w:lineRule="auto"/>
              <w:rPr>
                <w:rFonts w:cs="Times New Roman"/>
                <w:b/>
                <w:bCs/>
                <w:sz w:val="20"/>
                <w:szCs w:val="20"/>
                <w:lang/>
              </w:rPr>
            </w:pPr>
            <w:r w:rsidRPr="00DA465B">
              <w:rPr>
                <w:rFonts w:cs="Times New Roman"/>
                <w:b/>
                <w:bCs/>
                <w:sz w:val="20"/>
                <w:szCs w:val="20"/>
                <w:lang/>
              </w:rPr>
              <w:t>NAICS 31-33</w:t>
            </w:r>
          </w:p>
        </w:tc>
      </w:tr>
      <w:tr w:rsidR="00DA465B" w:rsidRPr="00DA465B" w14:paraId="08D95C14" w14:textId="77777777" w:rsidTr="00DA465B">
        <w:tc>
          <w:tcPr>
            <w:tcW w:w="1850" w:type="pct"/>
            <w:tcBorders>
              <w:top w:val="single" w:sz="4" w:space="0" w:color="auto"/>
              <w:left w:val="nil"/>
              <w:right w:val="nil"/>
            </w:tcBorders>
          </w:tcPr>
          <w:p w14:paraId="511380BA" w14:textId="6B1AA934" w:rsidR="00DA465B" w:rsidRPr="00DA465B" w:rsidRDefault="00DA465B" w:rsidP="00DA465B">
            <w:pPr>
              <w:spacing w:line="240" w:lineRule="auto"/>
              <w:rPr>
                <w:rFonts w:cs="Times New Roman"/>
                <w:sz w:val="20"/>
                <w:szCs w:val="20"/>
                <w:lang/>
              </w:rPr>
            </w:pPr>
            <w:r w:rsidRPr="00DA465B">
              <w:rPr>
                <w:rFonts w:cs="Times New Roman"/>
                <w:sz w:val="20"/>
                <w:szCs w:val="20"/>
                <w:lang/>
              </w:rPr>
              <w:t>State by Year FE</w:t>
            </w:r>
          </w:p>
        </w:tc>
        <w:tc>
          <w:tcPr>
            <w:tcW w:w="749" w:type="pct"/>
            <w:tcBorders>
              <w:top w:val="single" w:sz="4" w:space="0" w:color="auto"/>
              <w:left w:val="nil"/>
              <w:right w:val="nil"/>
            </w:tcBorders>
          </w:tcPr>
          <w:p w14:paraId="743E3031" w14:textId="78DA2440" w:rsidR="00DA465B" w:rsidRPr="00DA465B" w:rsidRDefault="00DA465B" w:rsidP="00DA465B">
            <w:pPr>
              <w:spacing w:line="240" w:lineRule="auto"/>
              <w:rPr>
                <w:rFonts w:cs="Times New Roman"/>
                <w:sz w:val="20"/>
                <w:szCs w:val="20"/>
                <w:lang/>
              </w:rPr>
            </w:pPr>
            <w:r w:rsidRPr="00DA465B">
              <w:rPr>
                <w:rFonts w:cs="Times New Roman"/>
                <w:sz w:val="20"/>
                <w:szCs w:val="20"/>
                <w:lang/>
              </w:rPr>
              <w:t>Yes</w:t>
            </w:r>
          </w:p>
        </w:tc>
        <w:tc>
          <w:tcPr>
            <w:tcW w:w="748" w:type="pct"/>
            <w:tcBorders>
              <w:top w:val="single" w:sz="4" w:space="0" w:color="auto"/>
              <w:left w:val="nil"/>
              <w:right w:val="nil"/>
            </w:tcBorders>
          </w:tcPr>
          <w:p w14:paraId="10CBB2BA" w14:textId="63ADAEE6" w:rsidR="00DA465B" w:rsidRPr="00DA465B" w:rsidRDefault="00DA465B" w:rsidP="00DA465B">
            <w:pPr>
              <w:spacing w:line="240" w:lineRule="auto"/>
              <w:rPr>
                <w:rFonts w:cs="Times New Roman"/>
                <w:sz w:val="20"/>
                <w:szCs w:val="20"/>
                <w:lang/>
              </w:rPr>
            </w:pPr>
            <w:r w:rsidRPr="00DA465B">
              <w:rPr>
                <w:rFonts w:cs="Times New Roman"/>
                <w:sz w:val="20"/>
                <w:szCs w:val="20"/>
                <w:lang/>
              </w:rPr>
              <w:t>Yes</w:t>
            </w:r>
          </w:p>
        </w:tc>
        <w:tc>
          <w:tcPr>
            <w:tcW w:w="748" w:type="pct"/>
            <w:tcBorders>
              <w:top w:val="single" w:sz="4" w:space="0" w:color="auto"/>
              <w:left w:val="nil"/>
              <w:right w:val="nil"/>
            </w:tcBorders>
          </w:tcPr>
          <w:p w14:paraId="719444D6" w14:textId="191B8CF1" w:rsidR="00DA465B" w:rsidRPr="00DA465B" w:rsidRDefault="00DA465B" w:rsidP="00DA465B">
            <w:pPr>
              <w:spacing w:line="240" w:lineRule="auto"/>
              <w:rPr>
                <w:rFonts w:cs="Times New Roman"/>
                <w:sz w:val="20"/>
                <w:szCs w:val="20"/>
                <w:lang/>
              </w:rPr>
            </w:pPr>
            <w:r w:rsidRPr="00DA465B">
              <w:rPr>
                <w:rFonts w:cs="Times New Roman"/>
                <w:sz w:val="20"/>
                <w:szCs w:val="20"/>
                <w:lang/>
              </w:rPr>
              <w:t>Yes</w:t>
            </w:r>
          </w:p>
        </w:tc>
        <w:tc>
          <w:tcPr>
            <w:tcW w:w="905" w:type="pct"/>
            <w:tcBorders>
              <w:top w:val="single" w:sz="4" w:space="0" w:color="auto"/>
              <w:left w:val="nil"/>
              <w:right w:val="nil"/>
            </w:tcBorders>
          </w:tcPr>
          <w:p w14:paraId="6021B994" w14:textId="50FAB5CB" w:rsidR="00DA465B" w:rsidRPr="00DA465B" w:rsidRDefault="00DA465B" w:rsidP="00DA465B">
            <w:pPr>
              <w:spacing w:line="240" w:lineRule="auto"/>
              <w:rPr>
                <w:rFonts w:cs="Times New Roman"/>
                <w:sz w:val="20"/>
                <w:szCs w:val="20"/>
                <w:lang/>
              </w:rPr>
            </w:pPr>
            <w:r w:rsidRPr="00DA465B">
              <w:rPr>
                <w:rFonts w:cs="Times New Roman"/>
                <w:sz w:val="20"/>
                <w:szCs w:val="20"/>
                <w:lang/>
              </w:rPr>
              <w:t>Yes</w:t>
            </w:r>
          </w:p>
        </w:tc>
      </w:tr>
      <w:tr w:rsidR="00EE4448" w:rsidRPr="00DA465B" w14:paraId="28796095" w14:textId="77777777" w:rsidTr="00DA465B">
        <w:tc>
          <w:tcPr>
            <w:tcW w:w="1850" w:type="pct"/>
            <w:tcBorders>
              <w:left w:val="nil"/>
              <w:right w:val="nil"/>
            </w:tcBorders>
          </w:tcPr>
          <w:p w14:paraId="3569B313" w14:textId="77777777" w:rsidR="00EE4448" w:rsidRPr="00DA465B" w:rsidRDefault="00EE4448" w:rsidP="00DA465B">
            <w:pPr>
              <w:spacing w:line="240" w:lineRule="auto"/>
              <w:rPr>
                <w:rFonts w:cs="Times New Roman"/>
                <w:sz w:val="20"/>
                <w:szCs w:val="20"/>
                <w:lang/>
              </w:rPr>
            </w:pPr>
            <w:r w:rsidRPr="00DA465B">
              <w:rPr>
                <w:rFonts w:cs="Times New Roman"/>
                <w:sz w:val="20"/>
                <w:szCs w:val="20"/>
                <w:lang/>
              </w:rPr>
              <w:t>NAICS FE</w:t>
            </w:r>
          </w:p>
        </w:tc>
        <w:tc>
          <w:tcPr>
            <w:tcW w:w="749" w:type="pct"/>
            <w:tcBorders>
              <w:left w:val="nil"/>
              <w:right w:val="nil"/>
            </w:tcBorders>
          </w:tcPr>
          <w:p w14:paraId="3307B672" w14:textId="77777777" w:rsidR="00EE4448" w:rsidRPr="00DA465B" w:rsidRDefault="00EE4448" w:rsidP="00DA465B">
            <w:pPr>
              <w:spacing w:line="240" w:lineRule="auto"/>
              <w:rPr>
                <w:rFonts w:cs="Times New Roman"/>
                <w:sz w:val="20"/>
                <w:szCs w:val="20"/>
                <w:lang/>
              </w:rPr>
            </w:pPr>
            <w:r w:rsidRPr="00DA465B">
              <w:rPr>
                <w:rFonts w:cs="Times New Roman"/>
                <w:sz w:val="20"/>
                <w:szCs w:val="20"/>
                <w:lang/>
              </w:rPr>
              <w:t>Yes</w:t>
            </w:r>
          </w:p>
        </w:tc>
        <w:tc>
          <w:tcPr>
            <w:tcW w:w="748" w:type="pct"/>
            <w:tcBorders>
              <w:left w:val="nil"/>
              <w:right w:val="nil"/>
            </w:tcBorders>
          </w:tcPr>
          <w:p w14:paraId="49EF0563" w14:textId="77777777" w:rsidR="00EE4448" w:rsidRPr="00DA465B" w:rsidRDefault="00EE4448" w:rsidP="00DA465B">
            <w:pPr>
              <w:spacing w:line="240" w:lineRule="auto"/>
              <w:rPr>
                <w:rFonts w:cs="Times New Roman"/>
                <w:sz w:val="20"/>
                <w:szCs w:val="20"/>
                <w:lang/>
              </w:rPr>
            </w:pPr>
            <w:r w:rsidRPr="00DA465B">
              <w:rPr>
                <w:rFonts w:cs="Times New Roman"/>
                <w:sz w:val="20"/>
                <w:szCs w:val="20"/>
                <w:lang/>
              </w:rPr>
              <w:t>Yes</w:t>
            </w:r>
          </w:p>
        </w:tc>
        <w:tc>
          <w:tcPr>
            <w:tcW w:w="748" w:type="pct"/>
            <w:tcBorders>
              <w:left w:val="nil"/>
              <w:right w:val="nil"/>
            </w:tcBorders>
          </w:tcPr>
          <w:p w14:paraId="71AE75DD" w14:textId="77777777" w:rsidR="00EE4448" w:rsidRPr="00DA465B" w:rsidRDefault="00EE4448" w:rsidP="00DA465B">
            <w:pPr>
              <w:spacing w:line="240" w:lineRule="auto"/>
              <w:rPr>
                <w:rFonts w:cs="Times New Roman"/>
                <w:sz w:val="20"/>
                <w:szCs w:val="20"/>
                <w:lang/>
              </w:rPr>
            </w:pPr>
            <w:r w:rsidRPr="00DA465B">
              <w:rPr>
                <w:rFonts w:cs="Times New Roman"/>
                <w:sz w:val="20"/>
                <w:szCs w:val="20"/>
                <w:lang/>
              </w:rPr>
              <w:t>Yes</w:t>
            </w:r>
          </w:p>
        </w:tc>
        <w:tc>
          <w:tcPr>
            <w:tcW w:w="905" w:type="pct"/>
            <w:tcBorders>
              <w:left w:val="nil"/>
              <w:right w:val="nil"/>
            </w:tcBorders>
          </w:tcPr>
          <w:p w14:paraId="4CEC8364" w14:textId="77777777" w:rsidR="00EE4448" w:rsidRPr="00DA465B" w:rsidRDefault="00EE4448" w:rsidP="00DA465B">
            <w:pPr>
              <w:spacing w:line="240" w:lineRule="auto"/>
              <w:rPr>
                <w:rFonts w:cs="Times New Roman"/>
                <w:sz w:val="20"/>
                <w:szCs w:val="20"/>
                <w:lang/>
              </w:rPr>
            </w:pPr>
            <w:r w:rsidRPr="00DA465B">
              <w:rPr>
                <w:rFonts w:cs="Times New Roman"/>
                <w:sz w:val="20"/>
                <w:szCs w:val="20"/>
                <w:lang/>
              </w:rPr>
              <w:t>Yes</w:t>
            </w:r>
          </w:p>
        </w:tc>
      </w:tr>
      <w:tr w:rsidR="00EE4448" w:rsidRPr="00DA465B" w14:paraId="7E1A87A4" w14:textId="77777777" w:rsidTr="00B82EB9">
        <w:tc>
          <w:tcPr>
            <w:tcW w:w="1850" w:type="pct"/>
            <w:tcBorders>
              <w:top w:val="nil"/>
              <w:left w:val="nil"/>
              <w:bottom w:val="single" w:sz="4" w:space="0" w:color="auto"/>
              <w:right w:val="nil"/>
            </w:tcBorders>
          </w:tcPr>
          <w:p w14:paraId="537AF205" w14:textId="77777777" w:rsidR="00EE4448" w:rsidRPr="00DA465B" w:rsidRDefault="00EE4448" w:rsidP="00DA465B">
            <w:pPr>
              <w:spacing w:line="240" w:lineRule="auto"/>
              <w:rPr>
                <w:rFonts w:eastAsia="Times New Roman" w:cs="Times New Roman"/>
                <w:color w:val="5F6368"/>
                <w:sz w:val="20"/>
                <w:szCs w:val="20"/>
                <w:shd w:val="clear" w:color="auto" w:fill="FFFFFF"/>
                <w:lang/>
              </w:rPr>
            </w:pPr>
            <w:r w:rsidRPr="00DA465B">
              <w:rPr>
                <w:rFonts w:eastAsia="Times New Roman" w:cs="Times New Roman"/>
                <w:sz w:val="20"/>
                <w:szCs w:val="20"/>
                <w:lang/>
              </w:rPr>
              <w:t>PA-PA</w:t>
            </w:r>
            <w:r w:rsidRPr="00DA465B">
              <w:rPr>
                <w:rFonts w:eastAsia="Times New Roman" w:cs="Times New Roman"/>
                <w:i/>
                <w:color w:val="5F6368"/>
                <w:sz w:val="20"/>
                <w:szCs w:val="20"/>
                <w:shd w:val="clear" w:color="auto" w:fill="FFFFFF"/>
                <w:lang/>
              </w:rPr>
              <w:t>²</w:t>
            </w:r>
            <w:r w:rsidRPr="00DA465B">
              <w:rPr>
                <w:rFonts w:cs="Times New Roman"/>
                <w:i/>
                <w:color w:val="5F6368"/>
                <w:sz w:val="20"/>
                <w:szCs w:val="20"/>
                <w:shd w:val="clear" w:color="auto" w:fill="FFFFFF"/>
                <w:lang/>
              </w:rPr>
              <w:t xml:space="preserve"> </w:t>
            </w:r>
            <w:r w:rsidRPr="00DA465B">
              <w:rPr>
                <w:rFonts w:eastAsia="Times New Roman" w:cs="Times New Roman"/>
                <w:sz w:val="20"/>
                <w:szCs w:val="20"/>
                <w:lang/>
              </w:rPr>
              <w:t xml:space="preserve">Joint Test </w:t>
            </w:r>
            <w:r w:rsidRPr="00DA465B">
              <w:rPr>
                <w:rFonts w:cs="Times New Roman"/>
                <w:sz w:val="20"/>
                <w:szCs w:val="20"/>
                <w:lang/>
              </w:rPr>
              <w:t>p-value</w:t>
            </w:r>
          </w:p>
        </w:tc>
        <w:tc>
          <w:tcPr>
            <w:tcW w:w="749" w:type="pct"/>
            <w:tcBorders>
              <w:top w:val="nil"/>
              <w:left w:val="nil"/>
              <w:bottom w:val="single" w:sz="4" w:space="0" w:color="auto"/>
              <w:right w:val="nil"/>
            </w:tcBorders>
          </w:tcPr>
          <w:p w14:paraId="2EA38501" w14:textId="77777777" w:rsidR="00EE4448" w:rsidRPr="00DA465B" w:rsidRDefault="00EE4448" w:rsidP="00DA465B">
            <w:pPr>
              <w:spacing w:line="240" w:lineRule="auto"/>
              <w:rPr>
                <w:rFonts w:cs="Times New Roman"/>
                <w:sz w:val="20"/>
                <w:szCs w:val="20"/>
                <w:lang/>
              </w:rPr>
            </w:pPr>
            <w:r w:rsidRPr="00DA465B">
              <w:rPr>
                <w:rFonts w:cs="Times New Roman"/>
                <w:sz w:val="20"/>
                <w:szCs w:val="20"/>
                <w:lang/>
              </w:rPr>
              <w:t>0.1174</w:t>
            </w:r>
          </w:p>
        </w:tc>
        <w:tc>
          <w:tcPr>
            <w:tcW w:w="748" w:type="pct"/>
            <w:tcBorders>
              <w:top w:val="nil"/>
              <w:left w:val="nil"/>
              <w:bottom w:val="single" w:sz="4" w:space="0" w:color="auto"/>
              <w:right w:val="nil"/>
            </w:tcBorders>
          </w:tcPr>
          <w:p w14:paraId="52325360" w14:textId="77777777" w:rsidR="00EE4448" w:rsidRPr="00DA465B" w:rsidRDefault="00EE4448" w:rsidP="00DA465B">
            <w:pPr>
              <w:spacing w:line="240" w:lineRule="auto"/>
              <w:rPr>
                <w:rFonts w:cs="Times New Roman"/>
                <w:sz w:val="20"/>
                <w:szCs w:val="20"/>
                <w:lang/>
              </w:rPr>
            </w:pPr>
            <w:r w:rsidRPr="00DA465B">
              <w:rPr>
                <w:rFonts w:cs="Times New Roman"/>
                <w:sz w:val="20"/>
                <w:szCs w:val="20"/>
                <w:lang/>
              </w:rPr>
              <w:t>0.6220</w:t>
            </w:r>
          </w:p>
        </w:tc>
        <w:tc>
          <w:tcPr>
            <w:tcW w:w="748" w:type="pct"/>
            <w:tcBorders>
              <w:top w:val="nil"/>
              <w:left w:val="nil"/>
              <w:bottom w:val="single" w:sz="4" w:space="0" w:color="auto"/>
              <w:right w:val="nil"/>
            </w:tcBorders>
          </w:tcPr>
          <w:p w14:paraId="6FB565CF" w14:textId="77777777" w:rsidR="00EE4448" w:rsidRPr="00DA465B" w:rsidRDefault="00EE4448" w:rsidP="00DA465B">
            <w:pPr>
              <w:spacing w:line="240" w:lineRule="auto"/>
              <w:rPr>
                <w:rFonts w:cs="Times New Roman"/>
                <w:sz w:val="20"/>
                <w:szCs w:val="20"/>
                <w:lang/>
              </w:rPr>
            </w:pPr>
            <w:r w:rsidRPr="00DA465B">
              <w:rPr>
                <w:rFonts w:cs="Times New Roman"/>
                <w:sz w:val="20"/>
                <w:szCs w:val="20"/>
                <w:lang/>
              </w:rPr>
              <w:t>0.0307</w:t>
            </w:r>
          </w:p>
        </w:tc>
        <w:tc>
          <w:tcPr>
            <w:tcW w:w="905" w:type="pct"/>
            <w:tcBorders>
              <w:top w:val="nil"/>
              <w:left w:val="nil"/>
              <w:bottom w:val="single" w:sz="4" w:space="0" w:color="auto"/>
              <w:right w:val="nil"/>
            </w:tcBorders>
          </w:tcPr>
          <w:p w14:paraId="1D0FB189" w14:textId="77777777" w:rsidR="00EE4448" w:rsidRPr="00DA465B" w:rsidRDefault="00EE4448" w:rsidP="00DA465B">
            <w:pPr>
              <w:spacing w:line="240" w:lineRule="auto"/>
              <w:rPr>
                <w:rFonts w:cs="Times New Roman"/>
                <w:sz w:val="20"/>
                <w:szCs w:val="20"/>
                <w:lang/>
              </w:rPr>
            </w:pPr>
            <w:r w:rsidRPr="00DA465B">
              <w:rPr>
                <w:rFonts w:cs="Times New Roman"/>
                <w:sz w:val="20"/>
                <w:szCs w:val="20"/>
                <w:lang/>
              </w:rPr>
              <w:t>0.0011</w:t>
            </w:r>
          </w:p>
        </w:tc>
      </w:tr>
    </w:tbl>
    <w:p w14:paraId="5AD2AB98" w14:textId="58554C80" w:rsidR="00CD4846" w:rsidRPr="00DA465B" w:rsidRDefault="00CD4846" w:rsidP="00DA465B">
      <w:pPr>
        <w:spacing w:line="240" w:lineRule="auto"/>
        <w:rPr>
          <w:rFonts w:eastAsia="Times New Roman" w:cs="Times New Roman"/>
          <w:sz w:val="20"/>
          <w:szCs w:val="20"/>
          <w:lang/>
        </w:rPr>
      </w:pPr>
      <w:r w:rsidRPr="00DA465B">
        <w:rPr>
          <w:rFonts w:cs="Times New Roman"/>
          <w:sz w:val="20"/>
          <w:szCs w:val="20"/>
          <w:lang/>
        </w:rPr>
        <w:t>Table A</w:t>
      </w:r>
      <w:r w:rsidRPr="00DA465B">
        <w:rPr>
          <w:rFonts w:cs="Times New Roman"/>
          <w:sz w:val="20"/>
          <w:szCs w:val="20"/>
          <w:lang/>
        </w:rPr>
        <w:t>25</w:t>
      </w:r>
      <w:r w:rsidRPr="00DA465B">
        <w:rPr>
          <w:rFonts w:cs="Times New Roman"/>
          <w:sz w:val="20"/>
          <w:szCs w:val="20"/>
          <w:lang/>
        </w:rPr>
        <w:t xml:space="preserve">: PPMLHDFE regression results on </w:t>
      </w:r>
      <w:r w:rsidRPr="00DA465B">
        <w:rPr>
          <w:rFonts w:cs="Times New Roman"/>
          <w:sz w:val="20"/>
          <w:szCs w:val="20"/>
          <w:lang/>
        </w:rPr>
        <w:t xml:space="preserve">establishment intra-state outward relocations </w:t>
      </w:r>
      <w:r w:rsidRPr="00DA465B">
        <w:rPr>
          <w:rFonts w:cs="Times New Roman"/>
          <w:sz w:val="20"/>
          <w:szCs w:val="20"/>
          <w:lang/>
        </w:rPr>
        <w:t xml:space="preserve">under </w:t>
      </w:r>
      <w:r w:rsidRPr="00DA465B">
        <w:rPr>
          <w:rFonts w:cs="Times New Roman"/>
          <w:sz w:val="20"/>
          <w:szCs w:val="20"/>
          <w:lang/>
        </w:rPr>
        <w:t>strict</w:t>
      </w:r>
      <w:r w:rsidRPr="00DA465B">
        <w:rPr>
          <w:rFonts w:cs="Times New Roman"/>
          <w:sz w:val="20"/>
          <w:szCs w:val="20"/>
          <w:lang/>
        </w:rPr>
        <w:t xml:space="preserve"> PADs (GAP 1-</w:t>
      </w:r>
      <w:r w:rsidRPr="00DA465B">
        <w:rPr>
          <w:rFonts w:cs="Times New Roman"/>
          <w:sz w:val="20"/>
          <w:szCs w:val="20"/>
          <w:lang/>
        </w:rPr>
        <w:t>2</w:t>
      </w:r>
      <w:r w:rsidRPr="00DA465B">
        <w:rPr>
          <w:rFonts w:cs="Times New Roman"/>
          <w:sz w:val="20"/>
          <w:szCs w:val="20"/>
          <w:lang/>
        </w:rPr>
        <w:t xml:space="preserve">) are presented above. Column names correspond to a specific NAICS sector. </w:t>
      </w:r>
      <w:r w:rsidR="002A78A3" w:rsidRPr="00C624DB">
        <w:rPr>
          <w:sz w:val="20"/>
          <w:szCs w:val="20"/>
          <w:lang/>
        </w:rPr>
        <w:t xml:space="preserve">Standard errors are </w:t>
      </w:r>
      <w:r w:rsidR="002A78A3">
        <w:rPr>
          <w:sz w:val="20"/>
          <w:szCs w:val="20"/>
          <w:lang/>
        </w:rPr>
        <w:t xml:space="preserve">in parentheses and are </w:t>
      </w:r>
      <w:r w:rsidR="002A78A3" w:rsidRPr="00C624DB">
        <w:rPr>
          <w:sz w:val="20"/>
          <w:szCs w:val="20"/>
          <w:lang/>
        </w:rPr>
        <w:t xml:space="preserve">clustered at the county level. </w:t>
      </w:r>
      <w:r w:rsidR="002A78A3" w:rsidRPr="002C0F11">
        <w:rPr>
          <w:sz w:val="20"/>
          <w:szCs w:val="20"/>
          <w:lang/>
        </w:rPr>
        <w:t>Statistically significant impacts are denoted by asterisks. These asterisks denote statistical significance at the following levels: ***p &lt; 0.01, **p &lt; 0.05, *p &lt; 0.1.</w:t>
      </w:r>
      <w:r w:rsidR="002A78A3">
        <w:rPr>
          <w:sz w:val="20"/>
          <w:szCs w:val="20"/>
          <w:lang/>
        </w:rPr>
        <w:t xml:space="preserve"> </w:t>
      </w:r>
      <w:r w:rsidRPr="00DA465B">
        <w:rPr>
          <w:rFonts w:cs="Times New Roman"/>
          <w:sz w:val="20"/>
          <w:szCs w:val="20"/>
          <w:lang/>
        </w:rPr>
        <w:t>p-values of joint-tests on linear and quadratic PAD terms are shown in the last row.</w:t>
      </w:r>
    </w:p>
    <w:p w14:paraId="5F0DBA5D" w14:textId="77777777" w:rsidR="00CD4846" w:rsidRPr="00CD4846" w:rsidRDefault="00CD4846" w:rsidP="004C39A4">
      <w:pPr>
        <w:spacing w:line="256" w:lineRule="auto"/>
        <w:rPr>
          <w:rFonts w:ascii="Garamond" w:hAnsi="Garamond" w:cs="Times New Roman"/>
          <w:b/>
          <w:bCs/>
          <w:kern w:val="2"/>
          <w:sz w:val="20"/>
          <w:szCs w:val="20"/>
          <w:lang/>
        </w:rPr>
      </w:pPr>
      <w:r w:rsidRPr="00CD4846">
        <w:rPr>
          <w:rFonts w:ascii="Garamond" w:hAnsi="Garamond" w:cs="Times New Roman"/>
          <w:b/>
          <w:bCs/>
          <w:kern w:val="2"/>
          <w:sz w:val="20"/>
          <w:szCs w:val="20"/>
          <w:lang/>
        </w:rPr>
        <w:br w:type="page"/>
      </w:r>
    </w:p>
    <w:p w14:paraId="2CB35AF4" w14:textId="77777777" w:rsidR="00CD4846" w:rsidRPr="00CD4846" w:rsidRDefault="00CD4846" w:rsidP="00095E25">
      <w:pPr>
        <w:pStyle w:val="Title"/>
      </w:pPr>
      <w:bookmarkStart w:id="309" w:name="_Toc186799430"/>
      <w:bookmarkStart w:id="310" w:name="_Toc188359631"/>
      <w:bookmarkStart w:id="311" w:name="_Toc188359919"/>
      <w:bookmarkStart w:id="312" w:name="_Toc188361155"/>
      <w:bookmarkStart w:id="313" w:name="_Toc188366999"/>
      <w:r w:rsidRPr="00CD4846">
        <w:lastRenderedPageBreak/>
        <w:t>Table A26: Regression Results of Strict PADs on Inter-State Outward Relocations</w:t>
      </w:r>
      <w:bookmarkEnd w:id="309"/>
      <w:bookmarkEnd w:id="310"/>
      <w:bookmarkEnd w:id="311"/>
      <w:bookmarkEnd w:id="312"/>
      <w:bookmarkEnd w:id="313"/>
    </w:p>
    <w:tbl>
      <w:tblPr>
        <w:tblW w:w="5000" w:type="pct"/>
        <w:tblLook w:val="04A0" w:firstRow="1" w:lastRow="0" w:firstColumn="1" w:lastColumn="0" w:noHBand="0" w:noVBand="1"/>
      </w:tblPr>
      <w:tblGrid>
        <w:gridCol w:w="4074"/>
        <w:gridCol w:w="1647"/>
        <w:gridCol w:w="1647"/>
        <w:gridCol w:w="1992"/>
      </w:tblGrid>
      <w:tr w:rsidR="00CD4846" w:rsidRPr="00CD4846" w14:paraId="51DBCDD7" w14:textId="77777777" w:rsidTr="00B82EB9">
        <w:tc>
          <w:tcPr>
            <w:tcW w:w="2176" w:type="pct"/>
            <w:tcBorders>
              <w:top w:val="single" w:sz="4" w:space="0" w:color="auto"/>
              <w:left w:val="nil"/>
              <w:bottom w:val="single" w:sz="4" w:space="0" w:color="auto"/>
              <w:right w:val="nil"/>
            </w:tcBorders>
          </w:tcPr>
          <w:p w14:paraId="77B4FBF5" w14:textId="68B5425C" w:rsidR="00CD4846" w:rsidRPr="00DA465B" w:rsidRDefault="00CD4846" w:rsidP="00DA465B">
            <w:pPr>
              <w:widowControl w:val="0"/>
              <w:autoSpaceDE w:val="0"/>
              <w:autoSpaceDN w:val="0"/>
              <w:adjustRightInd w:val="0"/>
              <w:spacing w:line="240" w:lineRule="auto"/>
              <w:rPr>
                <w:rFonts w:cs="Times New Roman"/>
                <w:b/>
                <w:bCs/>
                <w:kern w:val="2"/>
                <w:sz w:val="20"/>
                <w:szCs w:val="20"/>
                <w:lang/>
              </w:rPr>
            </w:pPr>
            <w:r w:rsidRPr="00DA465B">
              <w:rPr>
                <w:rFonts w:cs="Times New Roman"/>
                <w:b/>
                <w:bCs/>
                <w:kern w:val="2"/>
                <w:sz w:val="20"/>
                <w:szCs w:val="20"/>
                <w:lang/>
              </w:rPr>
              <w:t>Variable</w:t>
            </w:r>
          </w:p>
        </w:tc>
        <w:tc>
          <w:tcPr>
            <w:tcW w:w="880" w:type="pct"/>
            <w:tcBorders>
              <w:top w:val="single" w:sz="4" w:space="0" w:color="auto"/>
              <w:left w:val="nil"/>
              <w:bottom w:val="single" w:sz="4" w:space="0" w:color="auto"/>
              <w:right w:val="nil"/>
            </w:tcBorders>
          </w:tcPr>
          <w:p w14:paraId="7532E47B" w14:textId="0CBFA9ED" w:rsidR="00CD4846" w:rsidRPr="00DA465B" w:rsidRDefault="00CD4846" w:rsidP="00DA465B">
            <w:pPr>
              <w:widowControl w:val="0"/>
              <w:autoSpaceDE w:val="0"/>
              <w:autoSpaceDN w:val="0"/>
              <w:adjustRightInd w:val="0"/>
              <w:spacing w:line="240" w:lineRule="auto"/>
              <w:rPr>
                <w:rFonts w:cs="Times New Roman"/>
                <w:b/>
                <w:bCs/>
                <w:kern w:val="2"/>
                <w:sz w:val="20"/>
                <w:szCs w:val="20"/>
                <w:lang/>
              </w:rPr>
            </w:pPr>
            <w:r w:rsidRPr="00DA465B">
              <w:rPr>
                <w:rFonts w:cs="Times New Roman"/>
                <w:b/>
                <w:bCs/>
                <w:kern w:val="2"/>
                <w:sz w:val="20"/>
                <w:szCs w:val="20"/>
                <w:lang/>
              </w:rPr>
              <w:t>NAICS 21</w:t>
            </w:r>
          </w:p>
        </w:tc>
        <w:tc>
          <w:tcPr>
            <w:tcW w:w="880" w:type="pct"/>
            <w:tcBorders>
              <w:top w:val="single" w:sz="4" w:space="0" w:color="auto"/>
              <w:left w:val="nil"/>
              <w:bottom w:val="single" w:sz="4" w:space="0" w:color="auto"/>
              <w:right w:val="nil"/>
            </w:tcBorders>
          </w:tcPr>
          <w:p w14:paraId="3C7433E7" w14:textId="2FE6AF28" w:rsidR="00CD4846" w:rsidRPr="00DA465B" w:rsidRDefault="00CD4846" w:rsidP="00DA465B">
            <w:pPr>
              <w:widowControl w:val="0"/>
              <w:autoSpaceDE w:val="0"/>
              <w:autoSpaceDN w:val="0"/>
              <w:adjustRightInd w:val="0"/>
              <w:spacing w:line="240" w:lineRule="auto"/>
              <w:rPr>
                <w:rFonts w:cs="Times New Roman"/>
                <w:b/>
                <w:bCs/>
                <w:kern w:val="2"/>
                <w:sz w:val="20"/>
                <w:szCs w:val="20"/>
                <w:lang/>
              </w:rPr>
            </w:pPr>
            <w:r w:rsidRPr="00DA465B">
              <w:rPr>
                <w:rFonts w:cs="Times New Roman"/>
                <w:b/>
                <w:bCs/>
                <w:kern w:val="2"/>
                <w:sz w:val="20"/>
                <w:szCs w:val="20"/>
                <w:lang/>
              </w:rPr>
              <w:t>NAICS 23</w:t>
            </w:r>
          </w:p>
        </w:tc>
        <w:tc>
          <w:tcPr>
            <w:tcW w:w="1064" w:type="pct"/>
            <w:tcBorders>
              <w:top w:val="single" w:sz="4" w:space="0" w:color="auto"/>
              <w:left w:val="nil"/>
              <w:bottom w:val="single" w:sz="4" w:space="0" w:color="auto"/>
              <w:right w:val="nil"/>
            </w:tcBorders>
          </w:tcPr>
          <w:p w14:paraId="50F7EA13" w14:textId="3FDA6500" w:rsidR="00CD4846" w:rsidRPr="00DA465B" w:rsidRDefault="00CD4846" w:rsidP="00DA465B">
            <w:pPr>
              <w:widowControl w:val="0"/>
              <w:autoSpaceDE w:val="0"/>
              <w:autoSpaceDN w:val="0"/>
              <w:adjustRightInd w:val="0"/>
              <w:spacing w:line="240" w:lineRule="auto"/>
              <w:rPr>
                <w:rFonts w:cs="Times New Roman"/>
                <w:b/>
                <w:bCs/>
                <w:kern w:val="2"/>
                <w:sz w:val="20"/>
                <w:szCs w:val="20"/>
                <w:lang/>
              </w:rPr>
            </w:pPr>
            <w:r w:rsidRPr="00DA465B">
              <w:rPr>
                <w:rFonts w:cs="Times New Roman"/>
                <w:b/>
                <w:bCs/>
                <w:kern w:val="2"/>
                <w:sz w:val="20"/>
                <w:szCs w:val="20"/>
                <w:lang/>
              </w:rPr>
              <w:t>NAICS 31-33</w:t>
            </w:r>
          </w:p>
        </w:tc>
      </w:tr>
      <w:tr w:rsidR="00CD4846" w:rsidRPr="00CD4846" w14:paraId="53735E8F" w14:textId="77777777" w:rsidTr="00B82EB9">
        <w:tc>
          <w:tcPr>
            <w:tcW w:w="2176" w:type="pct"/>
            <w:tcBorders>
              <w:top w:val="single" w:sz="4" w:space="0" w:color="auto"/>
              <w:left w:val="nil"/>
              <w:bottom w:val="nil"/>
              <w:right w:val="nil"/>
            </w:tcBorders>
          </w:tcPr>
          <w:p w14:paraId="7874A35E"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Strict PAD(t-1)</w:t>
            </w:r>
          </w:p>
        </w:tc>
        <w:tc>
          <w:tcPr>
            <w:tcW w:w="880" w:type="pct"/>
            <w:tcBorders>
              <w:top w:val="single" w:sz="4" w:space="0" w:color="auto"/>
              <w:left w:val="nil"/>
              <w:bottom w:val="nil"/>
              <w:right w:val="nil"/>
            </w:tcBorders>
          </w:tcPr>
          <w:p w14:paraId="2DAC4D6D"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-25.269**</w:t>
            </w:r>
          </w:p>
        </w:tc>
        <w:tc>
          <w:tcPr>
            <w:tcW w:w="880" w:type="pct"/>
            <w:tcBorders>
              <w:top w:val="single" w:sz="4" w:space="0" w:color="auto"/>
              <w:left w:val="nil"/>
              <w:bottom w:val="nil"/>
              <w:right w:val="nil"/>
            </w:tcBorders>
          </w:tcPr>
          <w:p w14:paraId="4623273D"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3.174</w:t>
            </w:r>
          </w:p>
        </w:tc>
        <w:tc>
          <w:tcPr>
            <w:tcW w:w="1064" w:type="pct"/>
            <w:tcBorders>
              <w:top w:val="single" w:sz="4" w:space="0" w:color="auto"/>
              <w:left w:val="nil"/>
              <w:bottom w:val="nil"/>
              <w:right w:val="nil"/>
            </w:tcBorders>
          </w:tcPr>
          <w:p w14:paraId="4DA5246E"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-2.088</w:t>
            </w:r>
          </w:p>
        </w:tc>
      </w:tr>
      <w:tr w:rsidR="00CD4846" w:rsidRPr="00CD4846" w14:paraId="6B523FD2" w14:textId="77777777" w:rsidTr="00B82EB9">
        <w:tc>
          <w:tcPr>
            <w:tcW w:w="2176" w:type="pct"/>
            <w:tcBorders>
              <w:top w:val="nil"/>
              <w:left w:val="nil"/>
              <w:bottom w:val="nil"/>
              <w:right w:val="nil"/>
            </w:tcBorders>
          </w:tcPr>
          <w:p w14:paraId="0BFF828C" w14:textId="3861982D" w:rsidR="00CD4846" w:rsidRPr="00DA465B" w:rsidRDefault="00CD4846" w:rsidP="00DA465B">
            <w:pPr>
              <w:widowControl w:val="0"/>
              <w:autoSpaceDE w:val="0"/>
              <w:autoSpaceDN w:val="0"/>
              <w:adjustRightInd w:val="0"/>
              <w:spacing w:line="240" w:lineRule="auto"/>
              <w:rPr>
                <w:rFonts w:cs="Times New Roman"/>
                <w:kern w:val="2"/>
                <w:sz w:val="20"/>
                <w:szCs w:val="20"/>
                <w:lang/>
              </w:rPr>
            </w:pPr>
          </w:p>
        </w:tc>
        <w:tc>
          <w:tcPr>
            <w:tcW w:w="880" w:type="pct"/>
            <w:tcBorders>
              <w:top w:val="nil"/>
              <w:left w:val="nil"/>
              <w:bottom w:val="nil"/>
              <w:right w:val="nil"/>
            </w:tcBorders>
          </w:tcPr>
          <w:p w14:paraId="643FEC3B"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(12.524)</w:t>
            </w:r>
          </w:p>
        </w:tc>
        <w:tc>
          <w:tcPr>
            <w:tcW w:w="880" w:type="pct"/>
            <w:tcBorders>
              <w:top w:val="nil"/>
              <w:left w:val="nil"/>
              <w:bottom w:val="nil"/>
              <w:right w:val="nil"/>
            </w:tcBorders>
          </w:tcPr>
          <w:p w14:paraId="03567631"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(12.154)</w:t>
            </w:r>
          </w:p>
        </w:tc>
        <w:tc>
          <w:tcPr>
            <w:tcW w:w="1064" w:type="pct"/>
            <w:tcBorders>
              <w:top w:val="nil"/>
              <w:left w:val="nil"/>
              <w:bottom w:val="nil"/>
              <w:right w:val="nil"/>
            </w:tcBorders>
          </w:tcPr>
          <w:p w14:paraId="2700F8B7"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(4.086)</w:t>
            </w:r>
          </w:p>
        </w:tc>
      </w:tr>
      <w:tr w:rsidR="00CD4846" w:rsidRPr="00CD4846" w14:paraId="0C557034" w14:textId="77777777" w:rsidTr="00B82EB9">
        <w:tc>
          <w:tcPr>
            <w:tcW w:w="2176" w:type="pct"/>
            <w:tcBorders>
              <w:top w:val="nil"/>
              <w:left w:val="nil"/>
              <w:bottom w:val="nil"/>
              <w:right w:val="nil"/>
            </w:tcBorders>
          </w:tcPr>
          <w:p w14:paraId="4D675619"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Strict PAD Sq. (t-1)</w:t>
            </w:r>
          </w:p>
        </w:tc>
        <w:tc>
          <w:tcPr>
            <w:tcW w:w="880" w:type="pct"/>
            <w:tcBorders>
              <w:top w:val="nil"/>
              <w:left w:val="nil"/>
              <w:bottom w:val="nil"/>
              <w:right w:val="nil"/>
            </w:tcBorders>
          </w:tcPr>
          <w:p w14:paraId="105ECBD6"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73.752***</w:t>
            </w:r>
          </w:p>
        </w:tc>
        <w:tc>
          <w:tcPr>
            <w:tcW w:w="880" w:type="pct"/>
            <w:tcBorders>
              <w:top w:val="nil"/>
              <w:left w:val="nil"/>
              <w:bottom w:val="nil"/>
              <w:right w:val="nil"/>
            </w:tcBorders>
          </w:tcPr>
          <w:p w14:paraId="1FBE808C"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-12.923</w:t>
            </w:r>
          </w:p>
        </w:tc>
        <w:tc>
          <w:tcPr>
            <w:tcW w:w="1064" w:type="pct"/>
            <w:tcBorders>
              <w:top w:val="nil"/>
              <w:left w:val="nil"/>
              <w:bottom w:val="nil"/>
              <w:right w:val="nil"/>
            </w:tcBorders>
          </w:tcPr>
          <w:p w14:paraId="6A56505A"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4.083</w:t>
            </w:r>
          </w:p>
        </w:tc>
      </w:tr>
      <w:tr w:rsidR="00CD4846" w:rsidRPr="00CD4846" w14:paraId="755E34C4" w14:textId="77777777" w:rsidTr="00B82EB9">
        <w:tc>
          <w:tcPr>
            <w:tcW w:w="2176" w:type="pct"/>
            <w:tcBorders>
              <w:top w:val="nil"/>
              <w:left w:val="nil"/>
              <w:bottom w:val="nil"/>
              <w:right w:val="nil"/>
            </w:tcBorders>
          </w:tcPr>
          <w:p w14:paraId="44BE36C2" w14:textId="1317D4C3" w:rsidR="00CD4846" w:rsidRPr="00DA465B" w:rsidRDefault="00CD4846" w:rsidP="00DA465B">
            <w:pPr>
              <w:widowControl w:val="0"/>
              <w:autoSpaceDE w:val="0"/>
              <w:autoSpaceDN w:val="0"/>
              <w:adjustRightInd w:val="0"/>
              <w:spacing w:line="240" w:lineRule="auto"/>
              <w:rPr>
                <w:rFonts w:cs="Times New Roman"/>
                <w:kern w:val="2"/>
                <w:sz w:val="20"/>
                <w:szCs w:val="20"/>
                <w:lang/>
              </w:rPr>
            </w:pPr>
          </w:p>
        </w:tc>
        <w:tc>
          <w:tcPr>
            <w:tcW w:w="880" w:type="pct"/>
            <w:tcBorders>
              <w:top w:val="nil"/>
              <w:left w:val="nil"/>
              <w:bottom w:val="nil"/>
              <w:right w:val="nil"/>
            </w:tcBorders>
          </w:tcPr>
          <w:p w14:paraId="50478F56"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(19.141)</w:t>
            </w:r>
          </w:p>
        </w:tc>
        <w:tc>
          <w:tcPr>
            <w:tcW w:w="880" w:type="pct"/>
            <w:tcBorders>
              <w:top w:val="nil"/>
              <w:left w:val="nil"/>
              <w:bottom w:val="nil"/>
              <w:right w:val="nil"/>
            </w:tcBorders>
          </w:tcPr>
          <w:p w14:paraId="6452AE6E"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(25.635)</w:t>
            </w:r>
          </w:p>
        </w:tc>
        <w:tc>
          <w:tcPr>
            <w:tcW w:w="1064" w:type="pct"/>
            <w:tcBorders>
              <w:top w:val="nil"/>
              <w:left w:val="nil"/>
              <w:bottom w:val="nil"/>
              <w:right w:val="nil"/>
            </w:tcBorders>
          </w:tcPr>
          <w:p w14:paraId="52FAAA25"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(12.797)</w:t>
            </w:r>
          </w:p>
        </w:tc>
      </w:tr>
      <w:tr w:rsidR="00CD4846" w:rsidRPr="00CD4846" w14:paraId="13CEDE3B" w14:textId="77777777" w:rsidTr="00B82EB9">
        <w:tc>
          <w:tcPr>
            <w:tcW w:w="2176" w:type="pct"/>
            <w:tcBorders>
              <w:top w:val="nil"/>
              <w:left w:val="nil"/>
              <w:bottom w:val="nil"/>
              <w:right w:val="nil"/>
            </w:tcBorders>
          </w:tcPr>
          <w:p w14:paraId="3A1B2F8D" w14:textId="1449EB39"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Loc. Economies (t-1) (10ks)</w:t>
            </w:r>
          </w:p>
        </w:tc>
        <w:tc>
          <w:tcPr>
            <w:tcW w:w="880" w:type="pct"/>
            <w:tcBorders>
              <w:top w:val="nil"/>
              <w:left w:val="nil"/>
              <w:bottom w:val="nil"/>
              <w:right w:val="nil"/>
            </w:tcBorders>
          </w:tcPr>
          <w:p w14:paraId="3FFC00E0"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93.497***</w:t>
            </w:r>
          </w:p>
        </w:tc>
        <w:tc>
          <w:tcPr>
            <w:tcW w:w="880" w:type="pct"/>
            <w:tcBorders>
              <w:top w:val="nil"/>
              <w:left w:val="nil"/>
              <w:bottom w:val="nil"/>
              <w:right w:val="nil"/>
            </w:tcBorders>
          </w:tcPr>
          <w:p w14:paraId="41BA643F"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2.297</w:t>
            </w:r>
          </w:p>
        </w:tc>
        <w:tc>
          <w:tcPr>
            <w:tcW w:w="1064" w:type="pct"/>
            <w:tcBorders>
              <w:top w:val="nil"/>
              <w:left w:val="nil"/>
              <w:bottom w:val="nil"/>
              <w:right w:val="nil"/>
            </w:tcBorders>
          </w:tcPr>
          <w:p w14:paraId="26A49AAE"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3.402**</w:t>
            </w:r>
          </w:p>
        </w:tc>
      </w:tr>
      <w:tr w:rsidR="00CD4846" w:rsidRPr="00CD4846" w14:paraId="6E913C64" w14:textId="77777777" w:rsidTr="00B82EB9">
        <w:tc>
          <w:tcPr>
            <w:tcW w:w="2176" w:type="pct"/>
            <w:tcBorders>
              <w:top w:val="nil"/>
              <w:left w:val="nil"/>
              <w:bottom w:val="nil"/>
              <w:right w:val="nil"/>
            </w:tcBorders>
          </w:tcPr>
          <w:p w14:paraId="023028D2" w14:textId="72D1ADE4" w:rsidR="00CD4846" w:rsidRPr="00DA465B" w:rsidRDefault="00CD4846" w:rsidP="00DA465B">
            <w:pPr>
              <w:widowControl w:val="0"/>
              <w:autoSpaceDE w:val="0"/>
              <w:autoSpaceDN w:val="0"/>
              <w:adjustRightInd w:val="0"/>
              <w:spacing w:line="240" w:lineRule="auto"/>
              <w:rPr>
                <w:rFonts w:cs="Times New Roman"/>
                <w:kern w:val="2"/>
                <w:sz w:val="20"/>
                <w:szCs w:val="20"/>
                <w:lang/>
              </w:rPr>
            </w:pPr>
          </w:p>
        </w:tc>
        <w:tc>
          <w:tcPr>
            <w:tcW w:w="880" w:type="pct"/>
            <w:tcBorders>
              <w:top w:val="nil"/>
              <w:left w:val="nil"/>
              <w:bottom w:val="nil"/>
              <w:right w:val="nil"/>
            </w:tcBorders>
          </w:tcPr>
          <w:p w14:paraId="0C9ABA49"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(34.654)</w:t>
            </w:r>
          </w:p>
        </w:tc>
        <w:tc>
          <w:tcPr>
            <w:tcW w:w="880" w:type="pct"/>
            <w:tcBorders>
              <w:top w:val="nil"/>
              <w:left w:val="nil"/>
              <w:bottom w:val="nil"/>
              <w:right w:val="nil"/>
            </w:tcBorders>
          </w:tcPr>
          <w:p w14:paraId="26E94CA1"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(1.874)</w:t>
            </w:r>
          </w:p>
        </w:tc>
        <w:tc>
          <w:tcPr>
            <w:tcW w:w="1064" w:type="pct"/>
            <w:tcBorders>
              <w:top w:val="nil"/>
              <w:left w:val="nil"/>
              <w:bottom w:val="nil"/>
              <w:right w:val="nil"/>
            </w:tcBorders>
          </w:tcPr>
          <w:p w14:paraId="5F2D793F"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(1.708)</w:t>
            </w:r>
          </w:p>
        </w:tc>
      </w:tr>
      <w:tr w:rsidR="00CD4846" w:rsidRPr="00CD4846" w14:paraId="5C96568C" w14:textId="77777777" w:rsidTr="00B82EB9">
        <w:tc>
          <w:tcPr>
            <w:tcW w:w="2176" w:type="pct"/>
            <w:tcBorders>
              <w:top w:val="nil"/>
              <w:left w:val="nil"/>
              <w:bottom w:val="nil"/>
              <w:right w:val="nil"/>
            </w:tcBorders>
          </w:tcPr>
          <w:p w14:paraId="54C6AA09" w14:textId="7108E8E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Median HH Income (100ks)</w:t>
            </w:r>
          </w:p>
        </w:tc>
        <w:tc>
          <w:tcPr>
            <w:tcW w:w="880" w:type="pct"/>
            <w:tcBorders>
              <w:top w:val="nil"/>
              <w:left w:val="nil"/>
              <w:bottom w:val="nil"/>
              <w:right w:val="nil"/>
            </w:tcBorders>
          </w:tcPr>
          <w:p w14:paraId="6475EFB6"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-8.096*</w:t>
            </w:r>
          </w:p>
        </w:tc>
        <w:tc>
          <w:tcPr>
            <w:tcW w:w="880" w:type="pct"/>
            <w:tcBorders>
              <w:top w:val="nil"/>
              <w:left w:val="nil"/>
              <w:bottom w:val="nil"/>
              <w:right w:val="nil"/>
            </w:tcBorders>
          </w:tcPr>
          <w:p w14:paraId="1B7A0E28"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1.137</w:t>
            </w:r>
          </w:p>
        </w:tc>
        <w:tc>
          <w:tcPr>
            <w:tcW w:w="1064" w:type="pct"/>
            <w:tcBorders>
              <w:top w:val="nil"/>
              <w:left w:val="nil"/>
              <w:bottom w:val="nil"/>
              <w:right w:val="nil"/>
            </w:tcBorders>
          </w:tcPr>
          <w:p w14:paraId="347DE3BB"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-0.092</w:t>
            </w:r>
          </w:p>
        </w:tc>
      </w:tr>
      <w:tr w:rsidR="00CD4846" w:rsidRPr="00CD4846" w14:paraId="63A4E997" w14:textId="77777777" w:rsidTr="00B82EB9">
        <w:tc>
          <w:tcPr>
            <w:tcW w:w="2176" w:type="pct"/>
            <w:tcBorders>
              <w:top w:val="nil"/>
              <w:left w:val="nil"/>
              <w:bottom w:val="nil"/>
              <w:right w:val="nil"/>
            </w:tcBorders>
          </w:tcPr>
          <w:p w14:paraId="0E831BFE" w14:textId="7DDBE777" w:rsidR="00CD4846" w:rsidRPr="00DA465B" w:rsidRDefault="00CD4846" w:rsidP="00DA465B">
            <w:pPr>
              <w:widowControl w:val="0"/>
              <w:autoSpaceDE w:val="0"/>
              <w:autoSpaceDN w:val="0"/>
              <w:adjustRightInd w:val="0"/>
              <w:spacing w:line="240" w:lineRule="auto"/>
              <w:rPr>
                <w:rFonts w:cs="Times New Roman"/>
                <w:kern w:val="2"/>
                <w:sz w:val="20"/>
                <w:szCs w:val="20"/>
                <w:lang/>
              </w:rPr>
            </w:pPr>
          </w:p>
        </w:tc>
        <w:tc>
          <w:tcPr>
            <w:tcW w:w="880" w:type="pct"/>
            <w:tcBorders>
              <w:top w:val="nil"/>
              <w:left w:val="nil"/>
              <w:bottom w:val="nil"/>
              <w:right w:val="nil"/>
            </w:tcBorders>
          </w:tcPr>
          <w:p w14:paraId="56D59EA9"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(4.823)</w:t>
            </w:r>
          </w:p>
        </w:tc>
        <w:tc>
          <w:tcPr>
            <w:tcW w:w="880" w:type="pct"/>
            <w:tcBorders>
              <w:top w:val="nil"/>
              <w:left w:val="nil"/>
              <w:bottom w:val="nil"/>
              <w:right w:val="nil"/>
            </w:tcBorders>
          </w:tcPr>
          <w:p w14:paraId="5C34ACDC"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(2.364)</w:t>
            </w:r>
          </w:p>
        </w:tc>
        <w:tc>
          <w:tcPr>
            <w:tcW w:w="1064" w:type="pct"/>
            <w:tcBorders>
              <w:top w:val="nil"/>
              <w:left w:val="nil"/>
              <w:bottom w:val="nil"/>
              <w:right w:val="nil"/>
            </w:tcBorders>
          </w:tcPr>
          <w:p w14:paraId="6BD84A3D"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(1.531)</w:t>
            </w:r>
          </w:p>
        </w:tc>
      </w:tr>
      <w:tr w:rsidR="00CD4846" w:rsidRPr="00CD4846" w14:paraId="2B41A066" w14:textId="77777777" w:rsidTr="00B82EB9">
        <w:tc>
          <w:tcPr>
            <w:tcW w:w="2176" w:type="pct"/>
            <w:tcBorders>
              <w:top w:val="nil"/>
              <w:left w:val="nil"/>
              <w:bottom w:val="nil"/>
              <w:right w:val="nil"/>
            </w:tcBorders>
          </w:tcPr>
          <w:p w14:paraId="48A22131" w14:textId="784BC2AD"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Housing Price Index (100s)</w:t>
            </w:r>
          </w:p>
        </w:tc>
        <w:tc>
          <w:tcPr>
            <w:tcW w:w="880" w:type="pct"/>
            <w:tcBorders>
              <w:top w:val="nil"/>
              <w:left w:val="nil"/>
              <w:bottom w:val="nil"/>
              <w:right w:val="nil"/>
            </w:tcBorders>
          </w:tcPr>
          <w:p w14:paraId="0EE03EC1"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0.082</w:t>
            </w:r>
          </w:p>
        </w:tc>
        <w:tc>
          <w:tcPr>
            <w:tcW w:w="880" w:type="pct"/>
            <w:tcBorders>
              <w:top w:val="nil"/>
              <w:left w:val="nil"/>
              <w:bottom w:val="nil"/>
              <w:right w:val="nil"/>
            </w:tcBorders>
          </w:tcPr>
          <w:p w14:paraId="4BD41F72"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-0.260</w:t>
            </w:r>
          </w:p>
        </w:tc>
        <w:tc>
          <w:tcPr>
            <w:tcW w:w="1064" w:type="pct"/>
            <w:tcBorders>
              <w:top w:val="nil"/>
              <w:left w:val="nil"/>
              <w:bottom w:val="nil"/>
              <w:right w:val="nil"/>
            </w:tcBorders>
          </w:tcPr>
          <w:p w14:paraId="23C72E22"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-0.157</w:t>
            </w:r>
          </w:p>
        </w:tc>
      </w:tr>
      <w:tr w:rsidR="00CD4846" w:rsidRPr="00CD4846" w14:paraId="796B7818" w14:textId="77777777" w:rsidTr="00B82EB9">
        <w:tc>
          <w:tcPr>
            <w:tcW w:w="2176" w:type="pct"/>
            <w:tcBorders>
              <w:top w:val="nil"/>
              <w:left w:val="nil"/>
              <w:bottom w:val="nil"/>
              <w:right w:val="nil"/>
            </w:tcBorders>
          </w:tcPr>
          <w:p w14:paraId="0FB33EED" w14:textId="0D787032" w:rsidR="00CD4846" w:rsidRPr="00DA465B" w:rsidRDefault="00CD4846" w:rsidP="00DA465B">
            <w:pPr>
              <w:widowControl w:val="0"/>
              <w:autoSpaceDE w:val="0"/>
              <w:autoSpaceDN w:val="0"/>
              <w:adjustRightInd w:val="0"/>
              <w:spacing w:line="240" w:lineRule="auto"/>
              <w:rPr>
                <w:rFonts w:cs="Times New Roman"/>
                <w:kern w:val="2"/>
                <w:sz w:val="20"/>
                <w:szCs w:val="20"/>
                <w:lang/>
              </w:rPr>
            </w:pPr>
          </w:p>
        </w:tc>
        <w:tc>
          <w:tcPr>
            <w:tcW w:w="880" w:type="pct"/>
            <w:tcBorders>
              <w:top w:val="nil"/>
              <w:left w:val="nil"/>
              <w:bottom w:val="nil"/>
              <w:right w:val="nil"/>
            </w:tcBorders>
          </w:tcPr>
          <w:p w14:paraId="6A81C3B7"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(0.313)</w:t>
            </w:r>
          </w:p>
        </w:tc>
        <w:tc>
          <w:tcPr>
            <w:tcW w:w="880" w:type="pct"/>
            <w:tcBorders>
              <w:top w:val="nil"/>
              <w:left w:val="nil"/>
              <w:bottom w:val="nil"/>
              <w:right w:val="nil"/>
            </w:tcBorders>
          </w:tcPr>
          <w:p w14:paraId="0F3E3779"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(0.161)</w:t>
            </w:r>
          </w:p>
        </w:tc>
        <w:tc>
          <w:tcPr>
            <w:tcW w:w="1064" w:type="pct"/>
            <w:tcBorders>
              <w:top w:val="nil"/>
              <w:left w:val="nil"/>
              <w:bottom w:val="nil"/>
              <w:right w:val="nil"/>
            </w:tcBorders>
          </w:tcPr>
          <w:p w14:paraId="60E2D753"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(0.097)</w:t>
            </w:r>
          </w:p>
        </w:tc>
      </w:tr>
      <w:tr w:rsidR="00CD4846" w:rsidRPr="00CD4846" w14:paraId="67BFF17F" w14:textId="77777777" w:rsidTr="00B82EB9">
        <w:tc>
          <w:tcPr>
            <w:tcW w:w="2176" w:type="pct"/>
            <w:tcBorders>
              <w:top w:val="nil"/>
              <w:left w:val="nil"/>
              <w:bottom w:val="nil"/>
              <w:right w:val="nil"/>
            </w:tcBorders>
          </w:tcPr>
          <w:p w14:paraId="2AEB34F8" w14:textId="6074DFB1"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Poverty rate (100s)</w:t>
            </w:r>
          </w:p>
        </w:tc>
        <w:tc>
          <w:tcPr>
            <w:tcW w:w="880" w:type="pct"/>
            <w:tcBorders>
              <w:top w:val="nil"/>
              <w:left w:val="nil"/>
              <w:bottom w:val="nil"/>
              <w:right w:val="nil"/>
            </w:tcBorders>
          </w:tcPr>
          <w:p w14:paraId="1C5BD880"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-34.220***</w:t>
            </w:r>
          </w:p>
        </w:tc>
        <w:tc>
          <w:tcPr>
            <w:tcW w:w="880" w:type="pct"/>
            <w:tcBorders>
              <w:top w:val="nil"/>
              <w:left w:val="nil"/>
              <w:bottom w:val="nil"/>
              <w:right w:val="nil"/>
            </w:tcBorders>
          </w:tcPr>
          <w:p w14:paraId="0A8D6824"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3.644</w:t>
            </w:r>
          </w:p>
        </w:tc>
        <w:tc>
          <w:tcPr>
            <w:tcW w:w="1064" w:type="pct"/>
            <w:tcBorders>
              <w:top w:val="nil"/>
              <w:left w:val="nil"/>
              <w:bottom w:val="nil"/>
              <w:right w:val="nil"/>
            </w:tcBorders>
          </w:tcPr>
          <w:p w14:paraId="6DE0E50C"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-1.551</w:t>
            </w:r>
          </w:p>
        </w:tc>
      </w:tr>
      <w:tr w:rsidR="00CD4846" w:rsidRPr="00CD4846" w14:paraId="55210E1E" w14:textId="77777777" w:rsidTr="00B82EB9">
        <w:tc>
          <w:tcPr>
            <w:tcW w:w="2176" w:type="pct"/>
            <w:tcBorders>
              <w:top w:val="nil"/>
              <w:left w:val="nil"/>
              <w:bottom w:val="nil"/>
              <w:right w:val="nil"/>
            </w:tcBorders>
          </w:tcPr>
          <w:p w14:paraId="49A083F5" w14:textId="7EB6659C" w:rsidR="00CD4846" w:rsidRPr="00DA465B" w:rsidRDefault="00CD4846" w:rsidP="00DA465B">
            <w:pPr>
              <w:widowControl w:val="0"/>
              <w:autoSpaceDE w:val="0"/>
              <w:autoSpaceDN w:val="0"/>
              <w:adjustRightInd w:val="0"/>
              <w:spacing w:line="240" w:lineRule="auto"/>
              <w:rPr>
                <w:rFonts w:cs="Times New Roman"/>
                <w:kern w:val="2"/>
                <w:sz w:val="20"/>
                <w:szCs w:val="20"/>
                <w:lang/>
              </w:rPr>
            </w:pPr>
          </w:p>
        </w:tc>
        <w:tc>
          <w:tcPr>
            <w:tcW w:w="880" w:type="pct"/>
            <w:tcBorders>
              <w:top w:val="nil"/>
              <w:left w:val="nil"/>
              <w:bottom w:val="nil"/>
              <w:right w:val="nil"/>
            </w:tcBorders>
          </w:tcPr>
          <w:p w14:paraId="2DF31A48"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(11.974)</w:t>
            </w:r>
          </w:p>
        </w:tc>
        <w:tc>
          <w:tcPr>
            <w:tcW w:w="880" w:type="pct"/>
            <w:tcBorders>
              <w:top w:val="nil"/>
              <w:left w:val="nil"/>
              <w:bottom w:val="nil"/>
              <w:right w:val="nil"/>
            </w:tcBorders>
          </w:tcPr>
          <w:p w14:paraId="6244128C"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(4.674)</w:t>
            </w:r>
          </w:p>
        </w:tc>
        <w:tc>
          <w:tcPr>
            <w:tcW w:w="1064" w:type="pct"/>
            <w:tcBorders>
              <w:top w:val="nil"/>
              <w:left w:val="nil"/>
              <w:bottom w:val="nil"/>
              <w:right w:val="nil"/>
            </w:tcBorders>
          </w:tcPr>
          <w:p w14:paraId="68886F41"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(3.404)</w:t>
            </w:r>
          </w:p>
        </w:tc>
      </w:tr>
      <w:tr w:rsidR="00CD4846" w:rsidRPr="00CD4846" w14:paraId="344503C1" w14:textId="77777777" w:rsidTr="00B82EB9">
        <w:tc>
          <w:tcPr>
            <w:tcW w:w="2176" w:type="pct"/>
            <w:tcBorders>
              <w:top w:val="nil"/>
              <w:left w:val="nil"/>
              <w:bottom w:val="nil"/>
              <w:right w:val="nil"/>
            </w:tcBorders>
          </w:tcPr>
          <w:p w14:paraId="70277840" w14:textId="3665097C"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Avg annual wages (100k)</w:t>
            </w:r>
          </w:p>
        </w:tc>
        <w:tc>
          <w:tcPr>
            <w:tcW w:w="880" w:type="pct"/>
            <w:tcBorders>
              <w:top w:val="nil"/>
              <w:left w:val="nil"/>
              <w:bottom w:val="nil"/>
              <w:right w:val="nil"/>
            </w:tcBorders>
          </w:tcPr>
          <w:p w14:paraId="353D29E9"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-0.068</w:t>
            </w:r>
          </w:p>
        </w:tc>
        <w:tc>
          <w:tcPr>
            <w:tcW w:w="880" w:type="pct"/>
            <w:tcBorders>
              <w:top w:val="nil"/>
              <w:left w:val="nil"/>
              <w:bottom w:val="nil"/>
              <w:right w:val="nil"/>
            </w:tcBorders>
          </w:tcPr>
          <w:p w14:paraId="067D9076"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0.048</w:t>
            </w:r>
          </w:p>
        </w:tc>
        <w:tc>
          <w:tcPr>
            <w:tcW w:w="1064" w:type="pct"/>
            <w:tcBorders>
              <w:top w:val="nil"/>
              <w:left w:val="nil"/>
              <w:bottom w:val="nil"/>
              <w:right w:val="nil"/>
            </w:tcBorders>
          </w:tcPr>
          <w:p w14:paraId="1A1BB6EB"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-0.015</w:t>
            </w:r>
          </w:p>
        </w:tc>
      </w:tr>
      <w:tr w:rsidR="00CD4846" w:rsidRPr="00CD4846" w14:paraId="5518BC43" w14:textId="77777777" w:rsidTr="00B82EB9">
        <w:tc>
          <w:tcPr>
            <w:tcW w:w="2176" w:type="pct"/>
            <w:tcBorders>
              <w:top w:val="nil"/>
              <w:left w:val="nil"/>
              <w:bottom w:val="nil"/>
              <w:right w:val="nil"/>
            </w:tcBorders>
          </w:tcPr>
          <w:p w14:paraId="56ADC74C" w14:textId="5D299E9B" w:rsidR="00CD4846" w:rsidRPr="00DA465B" w:rsidRDefault="00CD4846" w:rsidP="00DA465B">
            <w:pPr>
              <w:widowControl w:val="0"/>
              <w:autoSpaceDE w:val="0"/>
              <w:autoSpaceDN w:val="0"/>
              <w:adjustRightInd w:val="0"/>
              <w:spacing w:line="240" w:lineRule="auto"/>
              <w:rPr>
                <w:rFonts w:cs="Times New Roman"/>
                <w:kern w:val="2"/>
                <w:sz w:val="20"/>
                <w:szCs w:val="20"/>
                <w:lang/>
              </w:rPr>
            </w:pPr>
          </w:p>
        </w:tc>
        <w:tc>
          <w:tcPr>
            <w:tcW w:w="880" w:type="pct"/>
            <w:tcBorders>
              <w:top w:val="nil"/>
              <w:left w:val="nil"/>
              <w:bottom w:val="nil"/>
              <w:right w:val="nil"/>
            </w:tcBorders>
          </w:tcPr>
          <w:p w14:paraId="63C393B0"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(0.079)</w:t>
            </w:r>
          </w:p>
        </w:tc>
        <w:tc>
          <w:tcPr>
            <w:tcW w:w="880" w:type="pct"/>
            <w:tcBorders>
              <w:top w:val="nil"/>
              <w:left w:val="nil"/>
              <w:bottom w:val="nil"/>
              <w:right w:val="nil"/>
            </w:tcBorders>
          </w:tcPr>
          <w:p w14:paraId="6105A20C"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(0.196)</w:t>
            </w:r>
          </w:p>
        </w:tc>
        <w:tc>
          <w:tcPr>
            <w:tcW w:w="1064" w:type="pct"/>
            <w:tcBorders>
              <w:top w:val="nil"/>
              <w:left w:val="nil"/>
              <w:bottom w:val="nil"/>
              <w:right w:val="nil"/>
            </w:tcBorders>
          </w:tcPr>
          <w:p w14:paraId="3026A1C4"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(0.048)</w:t>
            </w:r>
          </w:p>
        </w:tc>
      </w:tr>
      <w:tr w:rsidR="00CD4846" w:rsidRPr="00CD4846" w14:paraId="4A8E4293" w14:textId="77777777" w:rsidTr="00B82EB9">
        <w:tc>
          <w:tcPr>
            <w:tcW w:w="2176" w:type="pct"/>
            <w:tcBorders>
              <w:top w:val="nil"/>
              <w:left w:val="nil"/>
              <w:bottom w:val="nil"/>
              <w:right w:val="nil"/>
            </w:tcBorders>
          </w:tcPr>
          <w:p w14:paraId="30FB2AEF" w14:textId="20B681DE"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Attain. Status - CO (t-1)</w:t>
            </w:r>
          </w:p>
        </w:tc>
        <w:tc>
          <w:tcPr>
            <w:tcW w:w="880" w:type="pct"/>
            <w:tcBorders>
              <w:top w:val="nil"/>
              <w:left w:val="nil"/>
              <w:bottom w:val="nil"/>
              <w:right w:val="nil"/>
            </w:tcBorders>
          </w:tcPr>
          <w:p w14:paraId="2EAAEF70"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-2.143</w:t>
            </w:r>
          </w:p>
        </w:tc>
        <w:tc>
          <w:tcPr>
            <w:tcW w:w="880" w:type="pct"/>
            <w:tcBorders>
              <w:top w:val="nil"/>
              <w:left w:val="nil"/>
              <w:bottom w:val="nil"/>
              <w:right w:val="nil"/>
            </w:tcBorders>
          </w:tcPr>
          <w:p w14:paraId="6EB062A4"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21.989***</w:t>
            </w:r>
          </w:p>
        </w:tc>
        <w:tc>
          <w:tcPr>
            <w:tcW w:w="1064" w:type="pct"/>
            <w:tcBorders>
              <w:top w:val="nil"/>
              <w:left w:val="nil"/>
              <w:bottom w:val="nil"/>
              <w:right w:val="nil"/>
            </w:tcBorders>
          </w:tcPr>
          <w:p w14:paraId="7FC52E4D"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-2.961**</w:t>
            </w:r>
          </w:p>
        </w:tc>
      </w:tr>
      <w:tr w:rsidR="00CD4846" w:rsidRPr="00CD4846" w14:paraId="79307EE8" w14:textId="77777777" w:rsidTr="00B82EB9">
        <w:tc>
          <w:tcPr>
            <w:tcW w:w="2176" w:type="pct"/>
            <w:tcBorders>
              <w:top w:val="nil"/>
              <w:left w:val="nil"/>
              <w:bottom w:val="nil"/>
              <w:right w:val="nil"/>
            </w:tcBorders>
          </w:tcPr>
          <w:p w14:paraId="4E9CCBF5" w14:textId="14A0E829" w:rsidR="00CD4846" w:rsidRPr="00DA465B" w:rsidRDefault="00CD4846" w:rsidP="00DA465B">
            <w:pPr>
              <w:widowControl w:val="0"/>
              <w:autoSpaceDE w:val="0"/>
              <w:autoSpaceDN w:val="0"/>
              <w:adjustRightInd w:val="0"/>
              <w:spacing w:line="240" w:lineRule="auto"/>
              <w:rPr>
                <w:rFonts w:cs="Times New Roman"/>
                <w:kern w:val="2"/>
                <w:sz w:val="20"/>
                <w:szCs w:val="20"/>
                <w:lang/>
              </w:rPr>
            </w:pPr>
          </w:p>
        </w:tc>
        <w:tc>
          <w:tcPr>
            <w:tcW w:w="880" w:type="pct"/>
            <w:tcBorders>
              <w:top w:val="nil"/>
              <w:left w:val="nil"/>
              <w:bottom w:val="nil"/>
              <w:right w:val="nil"/>
            </w:tcBorders>
          </w:tcPr>
          <w:p w14:paraId="70494593"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(1.632)</w:t>
            </w:r>
          </w:p>
        </w:tc>
        <w:tc>
          <w:tcPr>
            <w:tcW w:w="880" w:type="pct"/>
            <w:tcBorders>
              <w:top w:val="nil"/>
              <w:left w:val="nil"/>
              <w:bottom w:val="nil"/>
              <w:right w:val="nil"/>
            </w:tcBorders>
          </w:tcPr>
          <w:p w14:paraId="45FF14DC"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(1.993)</w:t>
            </w:r>
          </w:p>
        </w:tc>
        <w:tc>
          <w:tcPr>
            <w:tcW w:w="1064" w:type="pct"/>
            <w:tcBorders>
              <w:top w:val="nil"/>
              <w:left w:val="nil"/>
              <w:bottom w:val="nil"/>
              <w:right w:val="nil"/>
            </w:tcBorders>
          </w:tcPr>
          <w:p w14:paraId="65D00A85"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(1.358)</w:t>
            </w:r>
          </w:p>
        </w:tc>
      </w:tr>
      <w:tr w:rsidR="00CD4846" w:rsidRPr="00CD4846" w14:paraId="46465166" w14:textId="77777777" w:rsidTr="00B82EB9">
        <w:tc>
          <w:tcPr>
            <w:tcW w:w="2176" w:type="pct"/>
            <w:tcBorders>
              <w:top w:val="nil"/>
              <w:left w:val="nil"/>
              <w:bottom w:val="nil"/>
              <w:right w:val="nil"/>
            </w:tcBorders>
          </w:tcPr>
          <w:p w14:paraId="54818E61" w14:textId="7BF71D72"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Attain. Status - Pb (t-1)</w:t>
            </w:r>
          </w:p>
        </w:tc>
        <w:tc>
          <w:tcPr>
            <w:tcW w:w="880" w:type="pct"/>
            <w:tcBorders>
              <w:top w:val="nil"/>
              <w:left w:val="nil"/>
              <w:bottom w:val="nil"/>
              <w:right w:val="nil"/>
            </w:tcBorders>
          </w:tcPr>
          <w:p w14:paraId="09400213"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-2.295</w:t>
            </w:r>
          </w:p>
        </w:tc>
        <w:tc>
          <w:tcPr>
            <w:tcW w:w="880" w:type="pct"/>
            <w:tcBorders>
              <w:top w:val="nil"/>
              <w:left w:val="nil"/>
              <w:bottom w:val="nil"/>
              <w:right w:val="nil"/>
            </w:tcBorders>
          </w:tcPr>
          <w:p w14:paraId="779C366A"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0.589</w:t>
            </w:r>
          </w:p>
        </w:tc>
        <w:tc>
          <w:tcPr>
            <w:tcW w:w="1064" w:type="pct"/>
            <w:tcBorders>
              <w:top w:val="nil"/>
              <w:left w:val="nil"/>
              <w:bottom w:val="nil"/>
              <w:right w:val="nil"/>
            </w:tcBorders>
          </w:tcPr>
          <w:p w14:paraId="3EE08475"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1.316***</w:t>
            </w:r>
          </w:p>
        </w:tc>
      </w:tr>
      <w:tr w:rsidR="00CD4846" w:rsidRPr="00CD4846" w14:paraId="715544A5" w14:textId="77777777" w:rsidTr="00B82EB9">
        <w:tc>
          <w:tcPr>
            <w:tcW w:w="2176" w:type="pct"/>
            <w:tcBorders>
              <w:top w:val="nil"/>
              <w:left w:val="nil"/>
              <w:bottom w:val="nil"/>
              <w:right w:val="nil"/>
            </w:tcBorders>
          </w:tcPr>
          <w:p w14:paraId="12AD882E" w14:textId="5231933A" w:rsidR="00CD4846" w:rsidRPr="00DA465B" w:rsidRDefault="00CD4846" w:rsidP="00DA465B">
            <w:pPr>
              <w:widowControl w:val="0"/>
              <w:autoSpaceDE w:val="0"/>
              <w:autoSpaceDN w:val="0"/>
              <w:adjustRightInd w:val="0"/>
              <w:spacing w:line="240" w:lineRule="auto"/>
              <w:rPr>
                <w:rFonts w:cs="Times New Roman"/>
                <w:kern w:val="2"/>
                <w:sz w:val="20"/>
                <w:szCs w:val="20"/>
                <w:lang/>
              </w:rPr>
            </w:pPr>
          </w:p>
        </w:tc>
        <w:tc>
          <w:tcPr>
            <w:tcW w:w="880" w:type="pct"/>
            <w:tcBorders>
              <w:top w:val="nil"/>
              <w:left w:val="nil"/>
              <w:bottom w:val="nil"/>
              <w:right w:val="nil"/>
            </w:tcBorders>
          </w:tcPr>
          <w:p w14:paraId="264E0330"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(1.798)</w:t>
            </w:r>
          </w:p>
        </w:tc>
        <w:tc>
          <w:tcPr>
            <w:tcW w:w="880" w:type="pct"/>
            <w:tcBorders>
              <w:top w:val="nil"/>
              <w:left w:val="nil"/>
              <w:bottom w:val="nil"/>
              <w:right w:val="nil"/>
            </w:tcBorders>
          </w:tcPr>
          <w:p w14:paraId="19DCFDF0"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(0.674)</w:t>
            </w:r>
          </w:p>
        </w:tc>
        <w:tc>
          <w:tcPr>
            <w:tcW w:w="1064" w:type="pct"/>
            <w:tcBorders>
              <w:top w:val="nil"/>
              <w:left w:val="nil"/>
              <w:bottom w:val="nil"/>
              <w:right w:val="nil"/>
            </w:tcBorders>
          </w:tcPr>
          <w:p w14:paraId="4E06AE30"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(0.462)</w:t>
            </w:r>
          </w:p>
        </w:tc>
      </w:tr>
      <w:tr w:rsidR="00CD4846" w:rsidRPr="00CD4846" w14:paraId="7608049E" w14:textId="77777777" w:rsidTr="00B82EB9">
        <w:tc>
          <w:tcPr>
            <w:tcW w:w="2176" w:type="pct"/>
            <w:tcBorders>
              <w:top w:val="nil"/>
              <w:left w:val="nil"/>
              <w:bottom w:val="nil"/>
              <w:right w:val="nil"/>
            </w:tcBorders>
          </w:tcPr>
          <w:p w14:paraId="6F376CA5" w14:textId="52E9F8CD"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Attain. Status - O3 (t-1)</w:t>
            </w:r>
          </w:p>
        </w:tc>
        <w:tc>
          <w:tcPr>
            <w:tcW w:w="880" w:type="pct"/>
            <w:tcBorders>
              <w:top w:val="nil"/>
              <w:left w:val="nil"/>
              <w:bottom w:val="nil"/>
              <w:right w:val="nil"/>
            </w:tcBorders>
          </w:tcPr>
          <w:p w14:paraId="3C4FD5C6"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0.546</w:t>
            </w:r>
          </w:p>
        </w:tc>
        <w:tc>
          <w:tcPr>
            <w:tcW w:w="880" w:type="pct"/>
            <w:tcBorders>
              <w:top w:val="nil"/>
              <w:left w:val="nil"/>
              <w:bottom w:val="nil"/>
              <w:right w:val="nil"/>
            </w:tcBorders>
          </w:tcPr>
          <w:p w14:paraId="5DC8F30E"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0.255</w:t>
            </w:r>
          </w:p>
        </w:tc>
        <w:tc>
          <w:tcPr>
            <w:tcW w:w="1064" w:type="pct"/>
            <w:tcBorders>
              <w:top w:val="nil"/>
              <w:left w:val="nil"/>
              <w:bottom w:val="nil"/>
              <w:right w:val="nil"/>
            </w:tcBorders>
          </w:tcPr>
          <w:p w14:paraId="01215008"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-0.088</w:t>
            </w:r>
          </w:p>
        </w:tc>
      </w:tr>
      <w:tr w:rsidR="00CD4846" w:rsidRPr="00CD4846" w14:paraId="0C14ED42" w14:textId="77777777" w:rsidTr="00B82EB9">
        <w:tc>
          <w:tcPr>
            <w:tcW w:w="2176" w:type="pct"/>
            <w:tcBorders>
              <w:top w:val="nil"/>
              <w:left w:val="nil"/>
              <w:bottom w:val="nil"/>
              <w:right w:val="nil"/>
            </w:tcBorders>
          </w:tcPr>
          <w:p w14:paraId="2CA606B4" w14:textId="74FABD6A" w:rsidR="00CD4846" w:rsidRPr="00DA465B" w:rsidRDefault="00CD4846" w:rsidP="00DA465B">
            <w:pPr>
              <w:widowControl w:val="0"/>
              <w:autoSpaceDE w:val="0"/>
              <w:autoSpaceDN w:val="0"/>
              <w:adjustRightInd w:val="0"/>
              <w:spacing w:line="240" w:lineRule="auto"/>
              <w:rPr>
                <w:rFonts w:cs="Times New Roman"/>
                <w:kern w:val="2"/>
                <w:sz w:val="20"/>
                <w:szCs w:val="20"/>
                <w:lang/>
              </w:rPr>
            </w:pPr>
          </w:p>
        </w:tc>
        <w:tc>
          <w:tcPr>
            <w:tcW w:w="880" w:type="pct"/>
            <w:tcBorders>
              <w:top w:val="nil"/>
              <w:left w:val="nil"/>
              <w:bottom w:val="nil"/>
              <w:right w:val="nil"/>
            </w:tcBorders>
          </w:tcPr>
          <w:p w14:paraId="785BFC95"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(0.495)</w:t>
            </w:r>
          </w:p>
        </w:tc>
        <w:tc>
          <w:tcPr>
            <w:tcW w:w="880" w:type="pct"/>
            <w:tcBorders>
              <w:top w:val="nil"/>
              <w:left w:val="nil"/>
              <w:bottom w:val="nil"/>
              <w:right w:val="nil"/>
            </w:tcBorders>
          </w:tcPr>
          <w:p w14:paraId="7BF5CE1F"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(0.186)</w:t>
            </w:r>
          </w:p>
        </w:tc>
        <w:tc>
          <w:tcPr>
            <w:tcW w:w="1064" w:type="pct"/>
            <w:tcBorders>
              <w:top w:val="nil"/>
              <w:left w:val="nil"/>
              <w:bottom w:val="nil"/>
              <w:right w:val="nil"/>
            </w:tcBorders>
          </w:tcPr>
          <w:p w14:paraId="1FF16DFB"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(0.146)</w:t>
            </w:r>
          </w:p>
        </w:tc>
      </w:tr>
      <w:tr w:rsidR="00CD4846" w:rsidRPr="00CD4846" w14:paraId="355AEDF9" w14:textId="77777777" w:rsidTr="00B82EB9">
        <w:tc>
          <w:tcPr>
            <w:tcW w:w="2176" w:type="pct"/>
            <w:tcBorders>
              <w:top w:val="nil"/>
              <w:left w:val="nil"/>
              <w:bottom w:val="nil"/>
              <w:right w:val="nil"/>
            </w:tcBorders>
          </w:tcPr>
          <w:p w14:paraId="19DEC3DD" w14:textId="52418FC1"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Attain. Status - PM (t-1)</w:t>
            </w:r>
          </w:p>
        </w:tc>
        <w:tc>
          <w:tcPr>
            <w:tcW w:w="880" w:type="pct"/>
            <w:tcBorders>
              <w:top w:val="nil"/>
              <w:left w:val="nil"/>
              <w:bottom w:val="nil"/>
              <w:right w:val="nil"/>
            </w:tcBorders>
          </w:tcPr>
          <w:p w14:paraId="120CA252"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0.252</w:t>
            </w:r>
          </w:p>
        </w:tc>
        <w:tc>
          <w:tcPr>
            <w:tcW w:w="880" w:type="pct"/>
            <w:tcBorders>
              <w:top w:val="nil"/>
              <w:left w:val="nil"/>
              <w:bottom w:val="nil"/>
              <w:right w:val="nil"/>
            </w:tcBorders>
          </w:tcPr>
          <w:p w14:paraId="09BBDDA3"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-0.292</w:t>
            </w:r>
          </w:p>
        </w:tc>
        <w:tc>
          <w:tcPr>
            <w:tcW w:w="1064" w:type="pct"/>
            <w:tcBorders>
              <w:top w:val="nil"/>
              <w:left w:val="nil"/>
              <w:bottom w:val="nil"/>
              <w:right w:val="nil"/>
            </w:tcBorders>
          </w:tcPr>
          <w:p w14:paraId="07327263"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0.039</w:t>
            </w:r>
          </w:p>
        </w:tc>
      </w:tr>
      <w:tr w:rsidR="00CD4846" w:rsidRPr="00CD4846" w14:paraId="0FFB3C9A" w14:textId="77777777" w:rsidTr="00B82EB9">
        <w:tc>
          <w:tcPr>
            <w:tcW w:w="2176" w:type="pct"/>
            <w:tcBorders>
              <w:top w:val="nil"/>
              <w:left w:val="nil"/>
              <w:bottom w:val="nil"/>
              <w:right w:val="nil"/>
            </w:tcBorders>
          </w:tcPr>
          <w:p w14:paraId="7C683129" w14:textId="3834CFE2" w:rsidR="00CD4846" w:rsidRPr="00DA465B" w:rsidRDefault="00CD4846" w:rsidP="00DA465B">
            <w:pPr>
              <w:widowControl w:val="0"/>
              <w:autoSpaceDE w:val="0"/>
              <w:autoSpaceDN w:val="0"/>
              <w:adjustRightInd w:val="0"/>
              <w:spacing w:line="240" w:lineRule="auto"/>
              <w:rPr>
                <w:rFonts w:cs="Times New Roman"/>
                <w:kern w:val="2"/>
                <w:sz w:val="20"/>
                <w:szCs w:val="20"/>
                <w:lang/>
              </w:rPr>
            </w:pPr>
          </w:p>
        </w:tc>
        <w:tc>
          <w:tcPr>
            <w:tcW w:w="880" w:type="pct"/>
            <w:tcBorders>
              <w:top w:val="nil"/>
              <w:left w:val="nil"/>
              <w:bottom w:val="nil"/>
              <w:right w:val="nil"/>
            </w:tcBorders>
          </w:tcPr>
          <w:p w14:paraId="4432EB94"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(0.412)</w:t>
            </w:r>
          </w:p>
        </w:tc>
        <w:tc>
          <w:tcPr>
            <w:tcW w:w="880" w:type="pct"/>
            <w:tcBorders>
              <w:top w:val="nil"/>
              <w:left w:val="nil"/>
              <w:bottom w:val="nil"/>
              <w:right w:val="nil"/>
            </w:tcBorders>
          </w:tcPr>
          <w:p w14:paraId="70846601"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(0.185)</w:t>
            </w:r>
          </w:p>
        </w:tc>
        <w:tc>
          <w:tcPr>
            <w:tcW w:w="1064" w:type="pct"/>
            <w:tcBorders>
              <w:top w:val="nil"/>
              <w:left w:val="nil"/>
              <w:bottom w:val="nil"/>
              <w:right w:val="nil"/>
            </w:tcBorders>
          </w:tcPr>
          <w:p w14:paraId="224A1B04"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(0.116)</w:t>
            </w:r>
          </w:p>
        </w:tc>
      </w:tr>
      <w:tr w:rsidR="00CD4846" w:rsidRPr="00CD4846" w14:paraId="49458B8C" w14:textId="77777777" w:rsidTr="00B82EB9">
        <w:tc>
          <w:tcPr>
            <w:tcW w:w="2176" w:type="pct"/>
            <w:tcBorders>
              <w:top w:val="nil"/>
              <w:left w:val="nil"/>
              <w:bottom w:val="nil"/>
              <w:right w:val="nil"/>
            </w:tcBorders>
          </w:tcPr>
          <w:p w14:paraId="345092BF"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Attain. Status - SO2 (t-1)</w:t>
            </w:r>
          </w:p>
        </w:tc>
        <w:tc>
          <w:tcPr>
            <w:tcW w:w="880" w:type="pct"/>
            <w:tcBorders>
              <w:top w:val="nil"/>
              <w:left w:val="nil"/>
              <w:bottom w:val="nil"/>
              <w:right w:val="nil"/>
            </w:tcBorders>
          </w:tcPr>
          <w:p w14:paraId="121A8913"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0.309</w:t>
            </w:r>
          </w:p>
        </w:tc>
        <w:tc>
          <w:tcPr>
            <w:tcW w:w="880" w:type="pct"/>
            <w:tcBorders>
              <w:top w:val="nil"/>
              <w:left w:val="nil"/>
              <w:bottom w:val="nil"/>
              <w:right w:val="nil"/>
            </w:tcBorders>
          </w:tcPr>
          <w:p w14:paraId="1F094FA8"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0.208</w:t>
            </w:r>
          </w:p>
        </w:tc>
        <w:tc>
          <w:tcPr>
            <w:tcW w:w="1064" w:type="pct"/>
            <w:tcBorders>
              <w:top w:val="nil"/>
              <w:left w:val="nil"/>
              <w:bottom w:val="nil"/>
              <w:right w:val="nil"/>
            </w:tcBorders>
          </w:tcPr>
          <w:p w14:paraId="4341AAE2"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0.087</w:t>
            </w:r>
          </w:p>
        </w:tc>
      </w:tr>
      <w:tr w:rsidR="00CD4846" w:rsidRPr="00CD4846" w14:paraId="40E84022" w14:textId="77777777" w:rsidTr="00B82EB9">
        <w:tc>
          <w:tcPr>
            <w:tcW w:w="2176" w:type="pct"/>
            <w:tcBorders>
              <w:top w:val="nil"/>
              <w:left w:val="nil"/>
              <w:bottom w:val="nil"/>
              <w:right w:val="nil"/>
            </w:tcBorders>
          </w:tcPr>
          <w:p w14:paraId="0C0765D6" w14:textId="5D17D2BD" w:rsidR="00CD4846" w:rsidRPr="00DA465B" w:rsidRDefault="00CD4846" w:rsidP="00DA465B">
            <w:pPr>
              <w:widowControl w:val="0"/>
              <w:autoSpaceDE w:val="0"/>
              <w:autoSpaceDN w:val="0"/>
              <w:adjustRightInd w:val="0"/>
              <w:spacing w:line="240" w:lineRule="auto"/>
              <w:rPr>
                <w:rFonts w:cs="Times New Roman"/>
                <w:kern w:val="2"/>
                <w:sz w:val="20"/>
                <w:szCs w:val="20"/>
                <w:lang/>
              </w:rPr>
            </w:pPr>
          </w:p>
        </w:tc>
        <w:tc>
          <w:tcPr>
            <w:tcW w:w="880" w:type="pct"/>
            <w:tcBorders>
              <w:top w:val="nil"/>
              <w:left w:val="nil"/>
              <w:bottom w:val="nil"/>
              <w:right w:val="nil"/>
            </w:tcBorders>
          </w:tcPr>
          <w:p w14:paraId="12DA6C68"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(1.698)</w:t>
            </w:r>
          </w:p>
        </w:tc>
        <w:tc>
          <w:tcPr>
            <w:tcW w:w="880" w:type="pct"/>
            <w:tcBorders>
              <w:top w:val="nil"/>
              <w:left w:val="nil"/>
              <w:bottom w:val="nil"/>
              <w:right w:val="nil"/>
            </w:tcBorders>
          </w:tcPr>
          <w:p w14:paraId="607D84F5"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(0.904)</w:t>
            </w:r>
          </w:p>
        </w:tc>
        <w:tc>
          <w:tcPr>
            <w:tcW w:w="1064" w:type="pct"/>
            <w:tcBorders>
              <w:top w:val="nil"/>
              <w:left w:val="nil"/>
              <w:bottom w:val="nil"/>
              <w:right w:val="nil"/>
            </w:tcBorders>
          </w:tcPr>
          <w:p w14:paraId="4A62872A"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(0.368)</w:t>
            </w:r>
          </w:p>
        </w:tc>
      </w:tr>
      <w:tr w:rsidR="00CD4846" w:rsidRPr="00CD4846" w14:paraId="071CC622" w14:textId="77777777" w:rsidTr="00B82EB9">
        <w:tc>
          <w:tcPr>
            <w:tcW w:w="2176" w:type="pct"/>
            <w:tcBorders>
              <w:top w:val="nil"/>
              <w:left w:val="nil"/>
              <w:bottom w:val="nil"/>
              <w:right w:val="nil"/>
            </w:tcBorders>
          </w:tcPr>
          <w:p w14:paraId="28F12514" w14:textId="75FC7AFE"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Density Employment</w:t>
            </w:r>
          </w:p>
        </w:tc>
        <w:tc>
          <w:tcPr>
            <w:tcW w:w="880" w:type="pct"/>
            <w:tcBorders>
              <w:top w:val="nil"/>
              <w:left w:val="nil"/>
              <w:bottom w:val="nil"/>
              <w:right w:val="nil"/>
            </w:tcBorders>
          </w:tcPr>
          <w:p w14:paraId="46284A1B"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-0.242</w:t>
            </w:r>
          </w:p>
        </w:tc>
        <w:tc>
          <w:tcPr>
            <w:tcW w:w="880" w:type="pct"/>
            <w:tcBorders>
              <w:top w:val="nil"/>
              <w:left w:val="nil"/>
              <w:bottom w:val="nil"/>
              <w:right w:val="nil"/>
            </w:tcBorders>
          </w:tcPr>
          <w:p w14:paraId="12AFBF7C"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0.303</w:t>
            </w:r>
          </w:p>
        </w:tc>
        <w:tc>
          <w:tcPr>
            <w:tcW w:w="1064" w:type="pct"/>
            <w:tcBorders>
              <w:top w:val="nil"/>
              <w:left w:val="nil"/>
              <w:bottom w:val="nil"/>
              <w:right w:val="nil"/>
            </w:tcBorders>
          </w:tcPr>
          <w:p w14:paraId="7B51AB12"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0.321***</w:t>
            </w:r>
          </w:p>
        </w:tc>
      </w:tr>
      <w:tr w:rsidR="00CD4846" w:rsidRPr="00CD4846" w14:paraId="70D7FB2F" w14:textId="77777777" w:rsidTr="00B82EB9">
        <w:tc>
          <w:tcPr>
            <w:tcW w:w="2176" w:type="pct"/>
            <w:tcBorders>
              <w:top w:val="nil"/>
              <w:left w:val="nil"/>
              <w:bottom w:val="nil"/>
              <w:right w:val="nil"/>
            </w:tcBorders>
          </w:tcPr>
          <w:p w14:paraId="75E9ABBD" w14:textId="72075669" w:rsidR="00CD4846" w:rsidRPr="00DA465B" w:rsidRDefault="00CD4846" w:rsidP="00DA465B">
            <w:pPr>
              <w:widowControl w:val="0"/>
              <w:autoSpaceDE w:val="0"/>
              <w:autoSpaceDN w:val="0"/>
              <w:adjustRightInd w:val="0"/>
              <w:spacing w:line="240" w:lineRule="auto"/>
              <w:rPr>
                <w:rFonts w:cs="Times New Roman"/>
                <w:kern w:val="2"/>
                <w:sz w:val="20"/>
                <w:szCs w:val="20"/>
                <w:lang/>
              </w:rPr>
            </w:pPr>
          </w:p>
        </w:tc>
        <w:tc>
          <w:tcPr>
            <w:tcW w:w="880" w:type="pct"/>
            <w:tcBorders>
              <w:top w:val="nil"/>
              <w:left w:val="nil"/>
              <w:bottom w:val="nil"/>
              <w:right w:val="nil"/>
            </w:tcBorders>
          </w:tcPr>
          <w:p w14:paraId="206E6401"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(0.587)</w:t>
            </w:r>
          </w:p>
        </w:tc>
        <w:tc>
          <w:tcPr>
            <w:tcW w:w="880" w:type="pct"/>
            <w:tcBorders>
              <w:top w:val="nil"/>
              <w:left w:val="nil"/>
              <w:bottom w:val="nil"/>
              <w:right w:val="nil"/>
            </w:tcBorders>
          </w:tcPr>
          <w:p w14:paraId="45FF3508"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(0.326)</w:t>
            </w:r>
          </w:p>
        </w:tc>
        <w:tc>
          <w:tcPr>
            <w:tcW w:w="1064" w:type="pct"/>
            <w:tcBorders>
              <w:top w:val="nil"/>
              <w:left w:val="nil"/>
              <w:bottom w:val="nil"/>
              <w:right w:val="nil"/>
            </w:tcBorders>
          </w:tcPr>
          <w:p w14:paraId="6AA2565C"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(0.105)</w:t>
            </w:r>
          </w:p>
        </w:tc>
      </w:tr>
      <w:tr w:rsidR="00CD4846" w:rsidRPr="00CD4846" w14:paraId="576521BC" w14:textId="77777777" w:rsidTr="00B82EB9">
        <w:tc>
          <w:tcPr>
            <w:tcW w:w="2176" w:type="pct"/>
            <w:tcBorders>
              <w:top w:val="nil"/>
              <w:left w:val="nil"/>
              <w:bottom w:val="nil"/>
              <w:right w:val="nil"/>
            </w:tcBorders>
          </w:tcPr>
          <w:p w14:paraId="28CC2C44"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Percent Black (100s)</w:t>
            </w:r>
          </w:p>
        </w:tc>
        <w:tc>
          <w:tcPr>
            <w:tcW w:w="880" w:type="pct"/>
            <w:tcBorders>
              <w:top w:val="nil"/>
              <w:left w:val="nil"/>
              <w:bottom w:val="nil"/>
              <w:right w:val="nil"/>
            </w:tcBorders>
          </w:tcPr>
          <w:p w14:paraId="3BCAFFA6"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-37.992</w:t>
            </w:r>
          </w:p>
        </w:tc>
        <w:tc>
          <w:tcPr>
            <w:tcW w:w="880" w:type="pct"/>
            <w:tcBorders>
              <w:top w:val="nil"/>
              <w:left w:val="nil"/>
              <w:bottom w:val="nil"/>
              <w:right w:val="nil"/>
            </w:tcBorders>
          </w:tcPr>
          <w:p w14:paraId="75BE6010"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-20.954**</w:t>
            </w:r>
          </w:p>
        </w:tc>
        <w:tc>
          <w:tcPr>
            <w:tcW w:w="1064" w:type="pct"/>
            <w:tcBorders>
              <w:top w:val="nil"/>
              <w:left w:val="nil"/>
              <w:bottom w:val="nil"/>
              <w:right w:val="nil"/>
            </w:tcBorders>
          </w:tcPr>
          <w:p w14:paraId="23784112"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-0.011</w:t>
            </w:r>
          </w:p>
        </w:tc>
      </w:tr>
      <w:tr w:rsidR="00CD4846" w:rsidRPr="00CD4846" w14:paraId="789B9716" w14:textId="77777777" w:rsidTr="00B82EB9">
        <w:tc>
          <w:tcPr>
            <w:tcW w:w="2176" w:type="pct"/>
            <w:tcBorders>
              <w:top w:val="nil"/>
              <w:left w:val="nil"/>
              <w:bottom w:val="nil"/>
              <w:right w:val="nil"/>
            </w:tcBorders>
          </w:tcPr>
          <w:p w14:paraId="5DCC0D1A" w14:textId="1E8AE8F7" w:rsidR="00CD4846" w:rsidRPr="00DA465B" w:rsidRDefault="00CD4846" w:rsidP="00DA465B">
            <w:pPr>
              <w:widowControl w:val="0"/>
              <w:autoSpaceDE w:val="0"/>
              <w:autoSpaceDN w:val="0"/>
              <w:adjustRightInd w:val="0"/>
              <w:spacing w:line="240" w:lineRule="auto"/>
              <w:rPr>
                <w:rFonts w:cs="Times New Roman"/>
                <w:kern w:val="2"/>
                <w:sz w:val="20"/>
                <w:szCs w:val="20"/>
                <w:lang/>
              </w:rPr>
            </w:pPr>
          </w:p>
        </w:tc>
        <w:tc>
          <w:tcPr>
            <w:tcW w:w="880" w:type="pct"/>
            <w:tcBorders>
              <w:top w:val="nil"/>
              <w:left w:val="nil"/>
              <w:bottom w:val="nil"/>
              <w:right w:val="nil"/>
            </w:tcBorders>
          </w:tcPr>
          <w:p w14:paraId="781F762F"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(29.692)</w:t>
            </w:r>
          </w:p>
        </w:tc>
        <w:tc>
          <w:tcPr>
            <w:tcW w:w="880" w:type="pct"/>
            <w:tcBorders>
              <w:top w:val="nil"/>
              <w:left w:val="nil"/>
              <w:bottom w:val="nil"/>
              <w:right w:val="nil"/>
            </w:tcBorders>
          </w:tcPr>
          <w:p w14:paraId="6A05DDCF"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(10.061)</w:t>
            </w:r>
          </w:p>
        </w:tc>
        <w:tc>
          <w:tcPr>
            <w:tcW w:w="1064" w:type="pct"/>
            <w:tcBorders>
              <w:top w:val="nil"/>
              <w:left w:val="nil"/>
              <w:bottom w:val="nil"/>
              <w:right w:val="nil"/>
            </w:tcBorders>
          </w:tcPr>
          <w:p w14:paraId="7E1B4E66"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(6.264)</w:t>
            </w:r>
          </w:p>
        </w:tc>
      </w:tr>
      <w:tr w:rsidR="00CD4846" w:rsidRPr="00CD4846" w14:paraId="0C425F40" w14:textId="77777777" w:rsidTr="00B82EB9">
        <w:tc>
          <w:tcPr>
            <w:tcW w:w="2176" w:type="pct"/>
            <w:tcBorders>
              <w:top w:val="nil"/>
              <w:left w:val="nil"/>
              <w:bottom w:val="nil"/>
              <w:right w:val="nil"/>
            </w:tcBorders>
          </w:tcPr>
          <w:p w14:paraId="040026E6" w14:textId="52181815"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Population count (1ms)</w:t>
            </w:r>
          </w:p>
        </w:tc>
        <w:tc>
          <w:tcPr>
            <w:tcW w:w="880" w:type="pct"/>
            <w:tcBorders>
              <w:top w:val="nil"/>
              <w:left w:val="nil"/>
              <w:bottom w:val="nil"/>
              <w:right w:val="nil"/>
            </w:tcBorders>
          </w:tcPr>
          <w:p w14:paraId="14E0FB6E"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-2.243</w:t>
            </w:r>
          </w:p>
        </w:tc>
        <w:tc>
          <w:tcPr>
            <w:tcW w:w="880" w:type="pct"/>
            <w:tcBorders>
              <w:top w:val="nil"/>
              <w:left w:val="nil"/>
              <w:bottom w:val="nil"/>
              <w:right w:val="nil"/>
            </w:tcBorders>
          </w:tcPr>
          <w:p w14:paraId="161A7571"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-0.620</w:t>
            </w:r>
          </w:p>
        </w:tc>
        <w:tc>
          <w:tcPr>
            <w:tcW w:w="1064" w:type="pct"/>
            <w:tcBorders>
              <w:top w:val="nil"/>
              <w:left w:val="nil"/>
              <w:bottom w:val="nil"/>
              <w:right w:val="nil"/>
            </w:tcBorders>
          </w:tcPr>
          <w:p w14:paraId="101838A9"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-1.224*</w:t>
            </w:r>
          </w:p>
        </w:tc>
      </w:tr>
      <w:tr w:rsidR="00CD4846" w:rsidRPr="00CD4846" w14:paraId="790ADBFC" w14:textId="77777777" w:rsidTr="00B82EB9">
        <w:tc>
          <w:tcPr>
            <w:tcW w:w="2176" w:type="pct"/>
            <w:tcBorders>
              <w:top w:val="nil"/>
              <w:left w:val="nil"/>
              <w:bottom w:val="nil"/>
              <w:right w:val="nil"/>
            </w:tcBorders>
          </w:tcPr>
          <w:p w14:paraId="694CC209" w14:textId="0160BAFE" w:rsidR="00CD4846" w:rsidRPr="00DA465B" w:rsidRDefault="00CD4846" w:rsidP="00DA465B">
            <w:pPr>
              <w:widowControl w:val="0"/>
              <w:autoSpaceDE w:val="0"/>
              <w:autoSpaceDN w:val="0"/>
              <w:adjustRightInd w:val="0"/>
              <w:spacing w:line="240" w:lineRule="auto"/>
              <w:rPr>
                <w:rFonts w:cs="Times New Roman"/>
                <w:kern w:val="2"/>
                <w:sz w:val="20"/>
                <w:szCs w:val="20"/>
                <w:lang/>
              </w:rPr>
            </w:pPr>
          </w:p>
        </w:tc>
        <w:tc>
          <w:tcPr>
            <w:tcW w:w="880" w:type="pct"/>
            <w:tcBorders>
              <w:top w:val="nil"/>
              <w:left w:val="nil"/>
              <w:bottom w:val="nil"/>
              <w:right w:val="nil"/>
            </w:tcBorders>
          </w:tcPr>
          <w:p w14:paraId="40BCBE6B"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(2.630)</w:t>
            </w:r>
          </w:p>
        </w:tc>
        <w:tc>
          <w:tcPr>
            <w:tcW w:w="880" w:type="pct"/>
            <w:tcBorders>
              <w:top w:val="nil"/>
              <w:left w:val="nil"/>
              <w:bottom w:val="nil"/>
              <w:right w:val="nil"/>
            </w:tcBorders>
          </w:tcPr>
          <w:p w14:paraId="23E1DEF9"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(1.271)</w:t>
            </w:r>
          </w:p>
        </w:tc>
        <w:tc>
          <w:tcPr>
            <w:tcW w:w="1064" w:type="pct"/>
            <w:tcBorders>
              <w:top w:val="nil"/>
              <w:left w:val="nil"/>
              <w:bottom w:val="nil"/>
              <w:right w:val="nil"/>
            </w:tcBorders>
          </w:tcPr>
          <w:p w14:paraId="2B33B09A"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(0.729)</w:t>
            </w:r>
          </w:p>
        </w:tc>
      </w:tr>
      <w:tr w:rsidR="00CD4846" w:rsidRPr="00CD4846" w14:paraId="6BF0FE7A" w14:textId="77777777" w:rsidTr="00B82EB9">
        <w:tc>
          <w:tcPr>
            <w:tcW w:w="2176" w:type="pct"/>
            <w:tcBorders>
              <w:top w:val="nil"/>
              <w:left w:val="nil"/>
              <w:bottom w:val="nil"/>
              <w:right w:val="nil"/>
            </w:tcBorders>
          </w:tcPr>
          <w:p w14:paraId="30A63CCC" w14:textId="76F2622F"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Unemployment rate (100s)</w:t>
            </w:r>
          </w:p>
        </w:tc>
        <w:tc>
          <w:tcPr>
            <w:tcW w:w="880" w:type="pct"/>
            <w:tcBorders>
              <w:top w:val="nil"/>
              <w:left w:val="nil"/>
              <w:bottom w:val="nil"/>
              <w:right w:val="nil"/>
            </w:tcBorders>
          </w:tcPr>
          <w:p w14:paraId="74772776"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-5.649</w:t>
            </w:r>
          </w:p>
        </w:tc>
        <w:tc>
          <w:tcPr>
            <w:tcW w:w="880" w:type="pct"/>
            <w:tcBorders>
              <w:top w:val="nil"/>
              <w:left w:val="nil"/>
              <w:bottom w:val="nil"/>
              <w:right w:val="nil"/>
            </w:tcBorders>
          </w:tcPr>
          <w:p w14:paraId="1A31D367"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-12.610</w:t>
            </w:r>
          </w:p>
        </w:tc>
        <w:tc>
          <w:tcPr>
            <w:tcW w:w="1064" w:type="pct"/>
            <w:tcBorders>
              <w:top w:val="nil"/>
              <w:left w:val="nil"/>
              <w:bottom w:val="nil"/>
              <w:right w:val="nil"/>
            </w:tcBorders>
          </w:tcPr>
          <w:p w14:paraId="0487E1E0"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10.411*</w:t>
            </w:r>
          </w:p>
        </w:tc>
      </w:tr>
      <w:tr w:rsidR="00CD4846" w:rsidRPr="00CD4846" w14:paraId="2E55513D" w14:textId="77777777" w:rsidTr="00B82EB9">
        <w:tc>
          <w:tcPr>
            <w:tcW w:w="2176" w:type="pct"/>
            <w:tcBorders>
              <w:top w:val="nil"/>
              <w:left w:val="nil"/>
              <w:bottom w:val="nil"/>
              <w:right w:val="nil"/>
            </w:tcBorders>
          </w:tcPr>
          <w:p w14:paraId="175F7FB1" w14:textId="4BADA2F4" w:rsidR="00CD4846" w:rsidRPr="00DA465B" w:rsidRDefault="00CD4846" w:rsidP="00DA465B">
            <w:pPr>
              <w:widowControl w:val="0"/>
              <w:autoSpaceDE w:val="0"/>
              <w:autoSpaceDN w:val="0"/>
              <w:adjustRightInd w:val="0"/>
              <w:spacing w:line="240" w:lineRule="auto"/>
              <w:rPr>
                <w:rFonts w:cs="Times New Roman"/>
                <w:kern w:val="2"/>
                <w:sz w:val="20"/>
                <w:szCs w:val="20"/>
                <w:lang/>
              </w:rPr>
            </w:pPr>
          </w:p>
        </w:tc>
        <w:tc>
          <w:tcPr>
            <w:tcW w:w="880" w:type="pct"/>
            <w:tcBorders>
              <w:top w:val="nil"/>
              <w:left w:val="nil"/>
              <w:bottom w:val="nil"/>
              <w:right w:val="nil"/>
            </w:tcBorders>
          </w:tcPr>
          <w:p w14:paraId="45B25608"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(26.188)</w:t>
            </w:r>
          </w:p>
        </w:tc>
        <w:tc>
          <w:tcPr>
            <w:tcW w:w="880" w:type="pct"/>
            <w:tcBorders>
              <w:top w:val="nil"/>
              <w:left w:val="nil"/>
              <w:bottom w:val="nil"/>
              <w:right w:val="nil"/>
            </w:tcBorders>
          </w:tcPr>
          <w:p w14:paraId="659B5B9A"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(10.273)</w:t>
            </w:r>
          </w:p>
        </w:tc>
        <w:tc>
          <w:tcPr>
            <w:tcW w:w="1064" w:type="pct"/>
            <w:tcBorders>
              <w:top w:val="nil"/>
              <w:left w:val="nil"/>
              <w:bottom w:val="nil"/>
              <w:right w:val="nil"/>
            </w:tcBorders>
          </w:tcPr>
          <w:p w14:paraId="141615F7"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(5.500)</w:t>
            </w:r>
          </w:p>
        </w:tc>
      </w:tr>
      <w:tr w:rsidR="00CD4846" w:rsidRPr="00CD4846" w14:paraId="0B0552C7" w14:textId="77777777" w:rsidTr="00B82EB9">
        <w:tc>
          <w:tcPr>
            <w:tcW w:w="2176" w:type="pct"/>
            <w:tcBorders>
              <w:top w:val="nil"/>
              <w:left w:val="nil"/>
              <w:bottom w:val="nil"/>
              <w:right w:val="nil"/>
            </w:tcBorders>
          </w:tcPr>
          <w:p w14:paraId="1A1A66F5" w14:textId="5F515603"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Sales Volume (t-1)</w:t>
            </w:r>
          </w:p>
        </w:tc>
        <w:tc>
          <w:tcPr>
            <w:tcW w:w="880" w:type="pct"/>
            <w:tcBorders>
              <w:top w:val="nil"/>
              <w:left w:val="nil"/>
              <w:bottom w:val="nil"/>
              <w:right w:val="nil"/>
            </w:tcBorders>
          </w:tcPr>
          <w:p w14:paraId="01EC77A9"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-25.017</w:t>
            </w:r>
          </w:p>
        </w:tc>
        <w:tc>
          <w:tcPr>
            <w:tcW w:w="880" w:type="pct"/>
            <w:tcBorders>
              <w:top w:val="nil"/>
              <w:left w:val="nil"/>
              <w:bottom w:val="nil"/>
              <w:right w:val="nil"/>
            </w:tcBorders>
          </w:tcPr>
          <w:p w14:paraId="67B739C7"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16.837</w:t>
            </w:r>
          </w:p>
        </w:tc>
        <w:tc>
          <w:tcPr>
            <w:tcW w:w="1064" w:type="pct"/>
            <w:tcBorders>
              <w:top w:val="nil"/>
              <w:left w:val="nil"/>
              <w:bottom w:val="nil"/>
              <w:right w:val="nil"/>
            </w:tcBorders>
          </w:tcPr>
          <w:p w14:paraId="7B3067A6"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-1.244</w:t>
            </w:r>
          </w:p>
        </w:tc>
      </w:tr>
      <w:tr w:rsidR="00CD4846" w:rsidRPr="00CD4846" w14:paraId="37D1AE48" w14:textId="77777777" w:rsidTr="00B82EB9">
        <w:tc>
          <w:tcPr>
            <w:tcW w:w="2176" w:type="pct"/>
            <w:tcBorders>
              <w:top w:val="nil"/>
              <w:left w:val="nil"/>
              <w:bottom w:val="nil"/>
              <w:right w:val="nil"/>
            </w:tcBorders>
          </w:tcPr>
          <w:p w14:paraId="66455F5A" w14:textId="4E5D9618" w:rsidR="00CD4846" w:rsidRPr="00DA465B" w:rsidRDefault="00CD4846" w:rsidP="00DA465B">
            <w:pPr>
              <w:widowControl w:val="0"/>
              <w:autoSpaceDE w:val="0"/>
              <w:autoSpaceDN w:val="0"/>
              <w:adjustRightInd w:val="0"/>
              <w:spacing w:line="240" w:lineRule="auto"/>
              <w:rPr>
                <w:rFonts w:cs="Times New Roman"/>
                <w:kern w:val="2"/>
                <w:sz w:val="20"/>
                <w:szCs w:val="20"/>
                <w:lang/>
              </w:rPr>
            </w:pPr>
          </w:p>
        </w:tc>
        <w:tc>
          <w:tcPr>
            <w:tcW w:w="880" w:type="pct"/>
            <w:tcBorders>
              <w:top w:val="nil"/>
              <w:left w:val="nil"/>
              <w:bottom w:val="nil"/>
              <w:right w:val="nil"/>
            </w:tcBorders>
          </w:tcPr>
          <w:p w14:paraId="0E67EF58"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(38.027)</w:t>
            </w:r>
          </w:p>
        </w:tc>
        <w:tc>
          <w:tcPr>
            <w:tcW w:w="880" w:type="pct"/>
            <w:tcBorders>
              <w:top w:val="nil"/>
              <w:left w:val="nil"/>
              <w:bottom w:val="nil"/>
              <w:right w:val="nil"/>
            </w:tcBorders>
          </w:tcPr>
          <w:p w14:paraId="4455A8CF"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(139.134)</w:t>
            </w:r>
          </w:p>
        </w:tc>
        <w:tc>
          <w:tcPr>
            <w:tcW w:w="1064" w:type="pct"/>
            <w:tcBorders>
              <w:top w:val="nil"/>
              <w:left w:val="nil"/>
              <w:bottom w:val="nil"/>
              <w:right w:val="nil"/>
            </w:tcBorders>
          </w:tcPr>
          <w:p w14:paraId="2539DCA0"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(2.132)</w:t>
            </w:r>
          </w:p>
        </w:tc>
      </w:tr>
      <w:tr w:rsidR="00CD4846" w:rsidRPr="00CD4846" w14:paraId="0992DB0E" w14:textId="77777777" w:rsidTr="00B82EB9">
        <w:tc>
          <w:tcPr>
            <w:tcW w:w="2176" w:type="pct"/>
            <w:tcBorders>
              <w:top w:val="nil"/>
              <w:left w:val="nil"/>
              <w:bottom w:val="nil"/>
              <w:right w:val="nil"/>
            </w:tcBorders>
          </w:tcPr>
          <w:p w14:paraId="0217D6ED" w14:textId="7753EADC"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Prior Births (1ks)</w:t>
            </w:r>
          </w:p>
        </w:tc>
        <w:tc>
          <w:tcPr>
            <w:tcW w:w="880" w:type="pct"/>
            <w:tcBorders>
              <w:top w:val="nil"/>
              <w:left w:val="nil"/>
              <w:bottom w:val="nil"/>
              <w:right w:val="nil"/>
            </w:tcBorders>
          </w:tcPr>
          <w:p w14:paraId="679D029C"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-5.219</w:t>
            </w:r>
          </w:p>
        </w:tc>
        <w:tc>
          <w:tcPr>
            <w:tcW w:w="880" w:type="pct"/>
            <w:tcBorders>
              <w:top w:val="nil"/>
              <w:left w:val="nil"/>
              <w:bottom w:val="nil"/>
              <w:right w:val="nil"/>
            </w:tcBorders>
          </w:tcPr>
          <w:p w14:paraId="0D7A0394"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-0.028</w:t>
            </w:r>
          </w:p>
        </w:tc>
        <w:tc>
          <w:tcPr>
            <w:tcW w:w="1064" w:type="pct"/>
            <w:tcBorders>
              <w:top w:val="nil"/>
              <w:left w:val="nil"/>
              <w:bottom w:val="nil"/>
              <w:right w:val="nil"/>
            </w:tcBorders>
          </w:tcPr>
          <w:p w14:paraId="1CE7F446"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-0.385</w:t>
            </w:r>
          </w:p>
        </w:tc>
      </w:tr>
      <w:tr w:rsidR="00CD4846" w:rsidRPr="00CD4846" w14:paraId="5D1C9DDB" w14:textId="77777777" w:rsidTr="00B82EB9">
        <w:tc>
          <w:tcPr>
            <w:tcW w:w="2176" w:type="pct"/>
            <w:tcBorders>
              <w:top w:val="nil"/>
              <w:left w:val="nil"/>
              <w:bottom w:val="nil"/>
              <w:right w:val="nil"/>
            </w:tcBorders>
          </w:tcPr>
          <w:p w14:paraId="61EA4F59" w14:textId="6965F973" w:rsidR="00CD4846" w:rsidRPr="00DA465B" w:rsidRDefault="00CD4846" w:rsidP="00DA465B">
            <w:pPr>
              <w:widowControl w:val="0"/>
              <w:autoSpaceDE w:val="0"/>
              <w:autoSpaceDN w:val="0"/>
              <w:adjustRightInd w:val="0"/>
              <w:spacing w:line="240" w:lineRule="auto"/>
              <w:rPr>
                <w:rFonts w:cs="Times New Roman"/>
                <w:kern w:val="2"/>
                <w:sz w:val="20"/>
                <w:szCs w:val="20"/>
                <w:lang/>
              </w:rPr>
            </w:pPr>
          </w:p>
        </w:tc>
        <w:tc>
          <w:tcPr>
            <w:tcW w:w="880" w:type="pct"/>
            <w:tcBorders>
              <w:top w:val="nil"/>
              <w:left w:val="nil"/>
              <w:bottom w:val="nil"/>
              <w:right w:val="nil"/>
            </w:tcBorders>
          </w:tcPr>
          <w:p w14:paraId="74F2EA10"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(4.903)</w:t>
            </w:r>
          </w:p>
        </w:tc>
        <w:tc>
          <w:tcPr>
            <w:tcW w:w="880" w:type="pct"/>
            <w:tcBorders>
              <w:top w:val="nil"/>
              <w:left w:val="nil"/>
              <w:bottom w:val="nil"/>
              <w:right w:val="nil"/>
            </w:tcBorders>
          </w:tcPr>
          <w:p w14:paraId="260A54C3"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(0.256)</w:t>
            </w:r>
          </w:p>
        </w:tc>
        <w:tc>
          <w:tcPr>
            <w:tcW w:w="1064" w:type="pct"/>
            <w:tcBorders>
              <w:top w:val="nil"/>
              <w:left w:val="nil"/>
              <w:bottom w:val="nil"/>
              <w:right w:val="nil"/>
            </w:tcBorders>
          </w:tcPr>
          <w:p w14:paraId="75627482"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(0.363)</w:t>
            </w:r>
          </w:p>
        </w:tc>
      </w:tr>
      <w:tr w:rsidR="00CD4846" w:rsidRPr="00CD4846" w14:paraId="7D92878A" w14:textId="77777777" w:rsidTr="00B82EB9">
        <w:tc>
          <w:tcPr>
            <w:tcW w:w="2176" w:type="pct"/>
            <w:tcBorders>
              <w:top w:val="nil"/>
              <w:left w:val="nil"/>
              <w:bottom w:val="nil"/>
              <w:right w:val="nil"/>
            </w:tcBorders>
          </w:tcPr>
          <w:p w14:paraId="2DE0B380" w14:textId="081F909D"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Prior Deaths (1ks)</w:t>
            </w:r>
          </w:p>
        </w:tc>
        <w:tc>
          <w:tcPr>
            <w:tcW w:w="880" w:type="pct"/>
            <w:tcBorders>
              <w:top w:val="nil"/>
              <w:left w:val="nil"/>
              <w:bottom w:val="nil"/>
              <w:right w:val="nil"/>
            </w:tcBorders>
          </w:tcPr>
          <w:p w14:paraId="20530048"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7.335</w:t>
            </w:r>
          </w:p>
        </w:tc>
        <w:tc>
          <w:tcPr>
            <w:tcW w:w="880" w:type="pct"/>
            <w:tcBorders>
              <w:top w:val="nil"/>
              <w:left w:val="nil"/>
              <w:bottom w:val="nil"/>
              <w:right w:val="nil"/>
            </w:tcBorders>
          </w:tcPr>
          <w:p w14:paraId="2B3E8846"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-0.532</w:t>
            </w:r>
          </w:p>
        </w:tc>
        <w:tc>
          <w:tcPr>
            <w:tcW w:w="1064" w:type="pct"/>
            <w:tcBorders>
              <w:top w:val="nil"/>
              <w:left w:val="nil"/>
              <w:bottom w:val="nil"/>
              <w:right w:val="nil"/>
            </w:tcBorders>
          </w:tcPr>
          <w:p w14:paraId="18FEAF29"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0.222</w:t>
            </w:r>
          </w:p>
        </w:tc>
      </w:tr>
      <w:tr w:rsidR="00CD4846" w:rsidRPr="00CD4846" w14:paraId="09694F05" w14:textId="77777777" w:rsidTr="00B82EB9">
        <w:tc>
          <w:tcPr>
            <w:tcW w:w="2176" w:type="pct"/>
            <w:tcBorders>
              <w:top w:val="nil"/>
              <w:left w:val="nil"/>
              <w:bottom w:val="nil"/>
              <w:right w:val="nil"/>
            </w:tcBorders>
          </w:tcPr>
          <w:p w14:paraId="7966BC8E" w14:textId="3DFB96BA" w:rsidR="00CD4846" w:rsidRPr="00DA465B" w:rsidRDefault="00CD4846" w:rsidP="00DA465B">
            <w:pPr>
              <w:widowControl w:val="0"/>
              <w:autoSpaceDE w:val="0"/>
              <w:autoSpaceDN w:val="0"/>
              <w:adjustRightInd w:val="0"/>
              <w:spacing w:line="240" w:lineRule="auto"/>
              <w:rPr>
                <w:rFonts w:cs="Times New Roman"/>
                <w:kern w:val="2"/>
                <w:sz w:val="20"/>
                <w:szCs w:val="20"/>
                <w:lang/>
              </w:rPr>
            </w:pPr>
          </w:p>
        </w:tc>
        <w:tc>
          <w:tcPr>
            <w:tcW w:w="880" w:type="pct"/>
            <w:tcBorders>
              <w:top w:val="nil"/>
              <w:left w:val="nil"/>
              <w:bottom w:val="nil"/>
              <w:right w:val="nil"/>
            </w:tcBorders>
          </w:tcPr>
          <w:p w14:paraId="755C8480"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(5.522)</w:t>
            </w:r>
          </w:p>
        </w:tc>
        <w:tc>
          <w:tcPr>
            <w:tcW w:w="880" w:type="pct"/>
            <w:tcBorders>
              <w:top w:val="nil"/>
              <w:left w:val="nil"/>
              <w:bottom w:val="nil"/>
              <w:right w:val="nil"/>
            </w:tcBorders>
          </w:tcPr>
          <w:p w14:paraId="79541882"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(0.414)</w:t>
            </w:r>
          </w:p>
        </w:tc>
        <w:tc>
          <w:tcPr>
            <w:tcW w:w="1064" w:type="pct"/>
            <w:tcBorders>
              <w:top w:val="nil"/>
              <w:left w:val="nil"/>
              <w:bottom w:val="nil"/>
              <w:right w:val="nil"/>
            </w:tcBorders>
          </w:tcPr>
          <w:p w14:paraId="2A3D36BA"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(0.229)</w:t>
            </w:r>
          </w:p>
        </w:tc>
      </w:tr>
      <w:tr w:rsidR="00CD4846" w:rsidRPr="00CD4846" w14:paraId="55B3B7B0" w14:textId="77777777" w:rsidTr="00B82EB9">
        <w:tc>
          <w:tcPr>
            <w:tcW w:w="2176" w:type="pct"/>
            <w:tcBorders>
              <w:top w:val="nil"/>
              <w:left w:val="nil"/>
              <w:bottom w:val="nil"/>
              <w:right w:val="nil"/>
            </w:tcBorders>
          </w:tcPr>
          <w:p w14:paraId="2809374D" w14:textId="77D2202E"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Prior inward relocations (1ks)</w:t>
            </w:r>
          </w:p>
        </w:tc>
        <w:tc>
          <w:tcPr>
            <w:tcW w:w="880" w:type="pct"/>
            <w:tcBorders>
              <w:top w:val="nil"/>
              <w:left w:val="nil"/>
              <w:bottom w:val="nil"/>
              <w:right w:val="nil"/>
            </w:tcBorders>
          </w:tcPr>
          <w:p w14:paraId="049B5F91"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19.008</w:t>
            </w:r>
          </w:p>
        </w:tc>
        <w:tc>
          <w:tcPr>
            <w:tcW w:w="880" w:type="pct"/>
            <w:tcBorders>
              <w:top w:val="nil"/>
              <w:left w:val="nil"/>
              <w:bottom w:val="nil"/>
              <w:right w:val="nil"/>
            </w:tcBorders>
          </w:tcPr>
          <w:p w14:paraId="57ADE1F1"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17.297</w:t>
            </w:r>
          </w:p>
        </w:tc>
        <w:tc>
          <w:tcPr>
            <w:tcW w:w="1064" w:type="pct"/>
            <w:tcBorders>
              <w:top w:val="nil"/>
              <w:left w:val="nil"/>
              <w:bottom w:val="nil"/>
              <w:right w:val="nil"/>
            </w:tcBorders>
          </w:tcPr>
          <w:p w14:paraId="44C1B118"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4.075</w:t>
            </w:r>
          </w:p>
        </w:tc>
      </w:tr>
      <w:tr w:rsidR="00CD4846" w:rsidRPr="00CD4846" w14:paraId="05B1DF38" w14:textId="77777777" w:rsidTr="00B82EB9">
        <w:tc>
          <w:tcPr>
            <w:tcW w:w="2176" w:type="pct"/>
            <w:tcBorders>
              <w:top w:val="nil"/>
              <w:left w:val="nil"/>
              <w:bottom w:val="nil"/>
              <w:right w:val="nil"/>
            </w:tcBorders>
          </w:tcPr>
          <w:p w14:paraId="6A9AD033" w14:textId="532970E8" w:rsidR="00CD4846" w:rsidRPr="00DA465B" w:rsidRDefault="00CD4846" w:rsidP="00DA465B">
            <w:pPr>
              <w:widowControl w:val="0"/>
              <w:autoSpaceDE w:val="0"/>
              <w:autoSpaceDN w:val="0"/>
              <w:adjustRightInd w:val="0"/>
              <w:spacing w:line="240" w:lineRule="auto"/>
              <w:rPr>
                <w:rFonts w:cs="Times New Roman"/>
                <w:kern w:val="2"/>
                <w:sz w:val="20"/>
                <w:szCs w:val="20"/>
                <w:lang/>
              </w:rPr>
            </w:pPr>
          </w:p>
        </w:tc>
        <w:tc>
          <w:tcPr>
            <w:tcW w:w="880" w:type="pct"/>
            <w:tcBorders>
              <w:top w:val="nil"/>
              <w:left w:val="nil"/>
              <w:bottom w:val="nil"/>
              <w:right w:val="nil"/>
            </w:tcBorders>
          </w:tcPr>
          <w:p w14:paraId="503218A2"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(71.295)</w:t>
            </w:r>
          </w:p>
        </w:tc>
        <w:tc>
          <w:tcPr>
            <w:tcW w:w="880" w:type="pct"/>
            <w:tcBorders>
              <w:top w:val="nil"/>
              <w:left w:val="nil"/>
              <w:bottom w:val="nil"/>
              <w:right w:val="nil"/>
            </w:tcBorders>
          </w:tcPr>
          <w:p w14:paraId="2CE7CC1B"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(11.070)</w:t>
            </w:r>
          </w:p>
        </w:tc>
        <w:tc>
          <w:tcPr>
            <w:tcW w:w="1064" w:type="pct"/>
            <w:tcBorders>
              <w:top w:val="nil"/>
              <w:left w:val="nil"/>
              <w:bottom w:val="nil"/>
              <w:right w:val="nil"/>
            </w:tcBorders>
          </w:tcPr>
          <w:p w14:paraId="538DE5B3"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(13.372)</w:t>
            </w:r>
          </w:p>
        </w:tc>
      </w:tr>
      <w:tr w:rsidR="00CD4846" w:rsidRPr="00CD4846" w14:paraId="040A17D9" w14:textId="77777777" w:rsidTr="00B82EB9">
        <w:tc>
          <w:tcPr>
            <w:tcW w:w="2176" w:type="pct"/>
            <w:tcBorders>
              <w:top w:val="nil"/>
              <w:left w:val="nil"/>
              <w:bottom w:val="nil"/>
              <w:right w:val="nil"/>
            </w:tcBorders>
          </w:tcPr>
          <w:p w14:paraId="13CD1CFF"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Constant</w:t>
            </w:r>
          </w:p>
        </w:tc>
        <w:tc>
          <w:tcPr>
            <w:tcW w:w="880" w:type="pct"/>
            <w:tcBorders>
              <w:top w:val="nil"/>
              <w:left w:val="nil"/>
              <w:bottom w:val="nil"/>
              <w:right w:val="nil"/>
            </w:tcBorders>
          </w:tcPr>
          <w:p w14:paraId="3EDE1836"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15.783***</w:t>
            </w:r>
          </w:p>
        </w:tc>
        <w:tc>
          <w:tcPr>
            <w:tcW w:w="880" w:type="pct"/>
            <w:tcBorders>
              <w:top w:val="nil"/>
              <w:left w:val="nil"/>
              <w:bottom w:val="nil"/>
              <w:right w:val="nil"/>
            </w:tcBorders>
          </w:tcPr>
          <w:p w14:paraId="6953A495"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2.799</w:t>
            </w:r>
          </w:p>
        </w:tc>
        <w:tc>
          <w:tcPr>
            <w:tcW w:w="1064" w:type="pct"/>
            <w:tcBorders>
              <w:top w:val="nil"/>
              <w:left w:val="nil"/>
              <w:bottom w:val="nil"/>
              <w:right w:val="nil"/>
            </w:tcBorders>
          </w:tcPr>
          <w:p w14:paraId="48DDE795"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0.309</w:t>
            </w:r>
          </w:p>
        </w:tc>
      </w:tr>
      <w:tr w:rsidR="00CD4846" w:rsidRPr="00CD4846" w14:paraId="37A026E0" w14:textId="77777777" w:rsidTr="00B82EB9">
        <w:tc>
          <w:tcPr>
            <w:tcW w:w="2176" w:type="pct"/>
            <w:tcBorders>
              <w:top w:val="nil"/>
              <w:left w:val="nil"/>
              <w:bottom w:val="nil"/>
              <w:right w:val="nil"/>
            </w:tcBorders>
          </w:tcPr>
          <w:p w14:paraId="124195B5" w14:textId="77DD5935" w:rsidR="00CD4846" w:rsidRPr="00DA465B" w:rsidRDefault="00CD4846" w:rsidP="00DA465B">
            <w:pPr>
              <w:widowControl w:val="0"/>
              <w:autoSpaceDE w:val="0"/>
              <w:autoSpaceDN w:val="0"/>
              <w:adjustRightInd w:val="0"/>
              <w:spacing w:line="240" w:lineRule="auto"/>
              <w:rPr>
                <w:rFonts w:cs="Times New Roman"/>
                <w:kern w:val="2"/>
                <w:sz w:val="20"/>
                <w:szCs w:val="20"/>
                <w:lang/>
              </w:rPr>
            </w:pPr>
          </w:p>
        </w:tc>
        <w:tc>
          <w:tcPr>
            <w:tcW w:w="880" w:type="pct"/>
            <w:tcBorders>
              <w:top w:val="nil"/>
              <w:left w:val="nil"/>
              <w:bottom w:val="nil"/>
              <w:right w:val="nil"/>
            </w:tcBorders>
          </w:tcPr>
          <w:p w14:paraId="79190B3B"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(5.894)</w:t>
            </w:r>
          </w:p>
        </w:tc>
        <w:tc>
          <w:tcPr>
            <w:tcW w:w="880" w:type="pct"/>
            <w:tcBorders>
              <w:top w:val="nil"/>
              <w:left w:val="nil"/>
              <w:bottom w:val="nil"/>
              <w:right w:val="nil"/>
            </w:tcBorders>
          </w:tcPr>
          <w:p w14:paraId="50D0C567"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(2.188)</w:t>
            </w:r>
          </w:p>
        </w:tc>
        <w:tc>
          <w:tcPr>
            <w:tcW w:w="1064" w:type="pct"/>
            <w:tcBorders>
              <w:top w:val="nil"/>
              <w:left w:val="nil"/>
              <w:bottom w:val="nil"/>
              <w:right w:val="nil"/>
            </w:tcBorders>
          </w:tcPr>
          <w:p w14:paraId="7431DAB4"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(1.492)</w:t>
            </w:r>
          </w:p>
        </w:tc>
      </w:tr>
      <w:tr w:rsidR="00CD4846" w:rsidRPr="00CD4846" w14:paraId="64CD799E" w14:textId="77777777" w:rsidTr="00B82EB9">
        <w:tc>
          <w:tcPr>
            <w:tcW w:w="2176" w:type="pct"/>
            <w:tcBorders>
              <w:top w:val="nil"/>
              <w:left w:val="nil"/>
              <w:bottom w:val="nil"/>
              <w:right w:val="nil"/>
            </w:tcBorders>
          </w:tcPr>
          <w:p w14:paraId="1600200A" w14:textId="01B439CC"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Observations</w:t>
            </w:r>
          </w:p>
        </w:tc>
        <w:tc>
          <w:tcPr>
            <w:tcW w:w="880" w:type="pct"/>
            <w:tcBorders>
              <w:top w:val="nil"/>
              <w:left w:val="nil"/>
              <w:bottom w:val="nil"/>
              <w:right w:val="nil"/>
            </w:tcBorders>
          </w:tcPr>
          <w:p w14:paraId="1DD9F01C"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633</w:t>
            </w:r>
          </w:p>
        </w:tc>
        <w:tc>
          <w:tcPr>
            <w:tcW w:w="880" w:type="pct"/>
            <w:tcBorders>
              <w:top w:val="nil"/>
              <w:left w:val="nil"/>
              <w:bottom w:val="nil"/>
              <w:right w:val="nil"/>
            </w:tcBorders>
          </w:tcPr>
          <w:p w14:paraId="4CDD18CB"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2867</w:t>
            </w:r>
          </w:p>
        </w:tc>
        <w:tc>
          <w:tcPr>
            <w:tcW w:w="1064" w:type="pct"/>
            <w:tcBorders>
              <w:top w:val="nil"/>
              <w:left w:val="nil"/>
              <w:bottom w:val="nil"/>
              <w:right w:val="nil"/>
            </w:tcBorders>
          </w:tcPr>
          <w:p w14:paraId="590D0D8B"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4668</w:t>
            </w:r>
          </w:p>
        </w:tc>
      </w:tr>
      <w:tr w:rsidR="00CD4846" w:rsidRPr="00CD4846" w14:paraId="1B53A3CD" w14:textId="77777777" w:rsidTr="00B82EB9">
        <w:tc>
          <w:tcPr>
            <w:tcW w:w="2176" w:type="pct"/>
            <w:tcBorders>
              <w:top w:val="nil"/>
              <w:left w:val="nil"/>
              <w:bottom w:val="nil"/>
              <w:right w:val="nil"/>
            </w:tcBorders>
          </w:tcPr>
          <w:p w14:paraId="39BF805C" w14:textId="7A19FE2E"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Pseudo R</w:t>
            </w:r>
            <w:r w:rsidRPr="00DA465B">
              <w:rPr>
                <w:rFonts w:cs="Times New Roman"/>
                <w:kern w:val="2"/>
                <w:sz w:val="20"/>
                <w:szCs w:val="20"/>
                <w:vertAlign w:val="superscript"/>
                <w:lang/>
              </w:rPr>
              <w:t>2</w:t>
            </w:r>
          </w:p>
        </w:tc>
        <w:tc>
          <w:tcPr>
            <w:tcW w:w="880" w:type="pct"/>
            <w:tcBorders>
              <w:top w:val="nil"/>
              <w:left w:val="nil"/>
              <w:bottom w:val="nil"/>
              <w:right w:val="nil"/>
            </w:tcBorders>
          </w:tcPr>
          <w:p w14:paraId="02AC1AB9"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0.268</w:t>
            </w:r>
          </w:p>
        </w:tc>
        <w:tc>
          <w:tcPr>
            <w:tcW w:w="880" w:type="pct"/>
            <w:tcBorders>
              <w:top w:val="nil"/>
              <w:left w:val="nil"/>
              <w:bottom w:val="nil"/>
              <w:right w:val="nil"/>
            </w:tcBorders>
          </w:tcPr>
          <w:p w14:paraId="1F89E1C2"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0.269</w:t>
            </w:r>
          </w:p>
        </w:tc>
        <w:tc>
          <w:tcPr>
            <w:tcW w:w="1064" w:type="pct"/>
            <w:tcBorders>
              <w:top w:val="nil"/>
              <w:left w:val="nil"/>
              <w:bottom w:val="nil"/>
              <w:right w:val="nil"/>
            </w:tcBorders>
          </w:tcPr>
          <w:p w14:paraId="07A68BF3"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0.303</w:t>
            </w:r>
          </w:p>
        </w:tc>
      </w:tr>
      <w:tr w:rsidR="00CD4846" w:rsidRPr="00CD4846" w14:paraId="20E2CAC7" w14:textId="77777777" w:rsidTr="00B82EB9">
        <w:tc>
          <w:tcPr>
            <w:tcW w:w="2176" w:type="pct"/>
            <w:tcBorders>
              <w:top w:val="nil"/>
              <w:left w:val="nil"/>
              <w:bottom w:val="nil"/>
              <w:right w:val="nil"/>
            </w:tcBorders>
          </w:tcPr>
          <w:p w14:paraId="72BF9DA0" w14:textId="523917F5"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Chi</w:t>
            </w:r>
            <w:r w:rsidRPr="00DA465B">
              <w:rPr>
                <w:rFonts w:cs="Times New Roman"/>
                <w:kern w:val="2"/>
                <w:sz w:val="20"/>
                <w:szCs w:val="20"/>
                <w:vertAlign w:val="superscript"/>
                <w:lang/>
              </w:rPr>
              <w:t>2</w:t>
            </w:r>
          </w:p>
        </w:tc>
        <w:tc>
          <w:tcPr>
            <w:tcW w:w="880" w:type="pct"/>
            <w:tcBorders>
              <w:top w:val="nil"/>
              <w:left w:val="nil"/>
              <w:bottom w:val="nil"/>
              <w:right w:val="nil"/>
            </w:tcBorders>
          </w:tcPr>
          <w:p w14:paraId="3C0EFF22"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76</w:t>
            </w:r>
          </w:p>
        </w:tc>
        <w:tc>
          <w:tcPr>
            <w:tcW w:w="880" w:type="pct"/>
            <w:tcBorders>
              <w:top w:val="nil"/>
              <w:left w:val="nil"/>
              <w:bottom w:val="nil"/>
              <w:right w:val="nil"/>
            </w:tcBorders>
          </w:tcPr>
          <w:p w14:paraId="265E8682"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15034</w:t>
            </w:r>
          </w:p>
        </w:tc>
        <w:tc>
          <w:tcPr>
            <w:tcW w:w="1064" w:type="pct"/>
            <w:tcBorders>
              <w:top w:val="nil"/>
              <w:left w:val="nil"/>
              <w:bottom w:val="nil"/>
              <w:right w:val="nil"/>
            </w:tcBorders>
          </w:tcPr>
          <w:p w14:paraId="135AE3D3"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70</w:t>
            </w:r>
          </w:p>
        </w:tc>
      </w:tr>
      <w:tr w:rsidR="00CD4846" w:rsidRPr="00CD4846" w14:paraId="293C2480" w14:textId="77777777" w:rsidTr="00B82EB9">
        <w:tc>
          <w:tcPr>
            <w:tcW w:w="2176" w:type="pct"/>
            <w:tcBorders>
              <w:top w:val="nil"/>
              <w:left w:val="nil"/>
              <w:bottom w:val="nil"/>
              <w:right w:val="nil"/>
            </w:tcBorders>
          </w:tcPr>
          <w:p w14:paraId="378A05D1" w14:textId="7358FC79"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Log Likelihood</w:t>
            </w:r>
          </w:p>
        </w:tc>
        <w:tc>
          <w:tcPr>
            <w:tcW w:w="880" w:type="pct"/>
            <w:tcBorders>
              <w:top w:val="nil"/>
              <w:left w:val="nil"/>
              <w:bottom w:val="nil"/>
              <w:right w:val="nil"/>
            </w:tcBorders>
          </w:tcPr>
          <w:p w14:paraId="450DEE61"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-372</w:t>
            </w:r>
          </w:p>
        </w:tc>
        <w:tc>
          <w:tcPr>
            <w:tcW w:w="880" w:type="pct"/>
            <w:tcBorders>
              <w:top w:val="nil"/>
              <w:left w:val="nil"/>
              <w:bottom w:val="nil"/>
              <w:right w:val="nil"/>
            </w:tcBorders>
          </w:tcPr>
          <w:p w14:paraId="427ED5B5"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-1493</w:t>
            </w:r>
          </w:p>
        </w:tc>
        <w:tc>
          <w:tcPr>
            <w:tcW w:w="1064" w:type="pct"/>
            <w:tcBorders>
              <w:top w:val="nil"/>
              <w:left w:val="nil"/>
              <w:bottom w:val="nil"/>
              <w:right w:val="nil"/>
            </w:tcBorders>
          </w:tcPr>
          <w:p w14:paraId="16D94BC3"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-2717</w:t>
            </w:r>
          </w:p>
        </w:tc>
      </w:tr>
      <w:tr w:rsidR="00CD4846" w:rsidRPr="00CD4846" w14:paraId="03063AE2" w14:textId="77777777" w:rsidTr="00B82EB9">
        <w:tc>
          <w:tcPr>
            <w:tcW w:w="2176" w:type="pct"/>
            <w:tcBorders>
              <w:top w:val="nil"/>
              <w:left w:val="nil"/>
              <w:bottom w:val="nil"/>
              <w:right w:val="nil"/>
            </w:tcBorders>
          </w:tcPr>
          <w:p w14:paraId="0350FFDF" w14:textId="37DAB26E"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Akaike’s Criterion</w:t>
            </w:r>
          </w:p>
        </w:tc>
        <w:tc>
          <w:tcPr>
            <w:tcW w:w="880" w:type="pct"/>
            <w:tcBorders>
              <w:top w:val="nil"/>
              <w:left w:val="nil"/>
              <w:bottom w:val="nil"/>
              <w:right w:val="nil"/>
            </w:tcBorders>
          </w:tcPr>
          <w:p w14:paraId="5574B86C"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784</w:t>
            </w:r>
          </w:p>
        </w:tc>
        <w:tc>
          <w:tcPr>
            <w:tcW w:w="880" w:type="pct"/>
            <w:tcBorders>
              <w:top w:val="nil"/>
              <w:left w:val="nil"/>
              <w:bottom w:val="nil"/>
              <w:right w:val="nil"/>
            </w:tcBorders>
          </w:tcPr>
          <w:p w14:paraId="79D3D9BB"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3027</w:t>
            </w:r>
          </w:p>
        </w:tc>
        <w:tc>
          <w:tcPr>
            <w:tcW w:w="1064" w:type="pct"/>
            <w:tcBorders>
              <w:top w:val="nil"/>
              <w:left w:val="nil"/>
              <w:bottom w:val="nil"/>
              <w:right w:val="nil"/>
            </w:tcBorders>
          </w:tcPr>
          <w:p w14:paraId="4F54CB40"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5474</w:t>
            </w:r>
          </w:p>
        </w:tc>
      </w:tr>
      <w:tr w:rsidR="00CD4846" w:rsidRPr="00CD4846" w14:paraId="33FFFD42" w14:textId="77777777" w:rsidTr="00B82EB9">
        <w:tc>
          <w:tcPr>
            <w:tcW w:w="2176" w:type="pct"/>
            <w:tcBorders>
              <w:top w:val="nil"/>
              <w:left w:val="nil"/>
              <w:bottom w:val="nil"/>
              <w:right w:val="nil"/>
            </w:tcBorders>
          </w:tcPr>
          <w:p w14:paraId="210DA168" w14:textId="5BFC0532"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Bayesian Criterion</w:t>
            </w:r>
          </w:p>
        </w:tc>
        <w:tc>
          <w:tcPr>
            <w:tcW w:w="880" w:type="pct"/>
            <w:tcBorders>
              <w:top w:val="nil"/>
              <w:left w:val="nil"/>
              <w:bottom w:val="nil"/>
              <w:right w:val="nil"/>
            </w:tcBorders>
          </w:tcPr>
          <w:p w14:paraId="22F5DA31"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873</w:t>
            </w:r>
          </w:p>
        </w:tc>
        <w:tc>
          <w:tcPr>
            <w:tcW w:w="880" w:type="pct"/>
            <w:tcBorders>
              <w:top w:val="nil"/>
              <w:left w:val="nil"/>
              <w:bottom w:val="nil"/>
              <w:right w:val="nil"/>
            </w:tcBorders>
          </w:tcPr>
          <w:p w14:paraId="4CC05840"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3146</w:t>
            </w:r>
          </w:p>
        </w:tc>
        <w:tc>
          <w:tcPr>
            <w:tcW w:w="1064" w:type="pct"/>
            <w:tcBorders>
              <w:top w:val="nil"/>
              <w:left w:val="nil"/>
              <w:bottom w:val="nil"/>
              <w:right w:val="nil"/>
            </w:tcBorders>
          </w:tcPr>
          <w:p w14:paraId="0A066FE9"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5603</w:t>
            </w:r>
          </w:p>
        </w:tc>
      </w:tr>
      <w:tr w:rsidR="00CD4846" w:rsidRPr="00CD4846" w14:paraId="776FB36F" w14:textId="77777777" w:rsidTr="00B82EB9">
        <w:tc>
          <w:tcPr>
            <w:tcW w:w="2176" w:type="pct"/>
            <w:tcBorders>
              <w:top w:val="nil"/>
              <w:left w:val="nil"/>
              <w:bottom w:val="nil"/>
              <w:right w:val="nil"/>
            </w:tcBorders>
          </w:tcPr>
          <w:p w14:paraId="7EA3AEFB"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County FE</w:t>
            </w:r>
          </w:p>
        </w:tc>
        <w:tc>
          <w:tcPr>
            <w:tcW w:w="880" w:type="pct"/>
            <w:tcBorders>
              <w:top w:val="nil"/>
              <w:left w:val="nil"/>
              <w:bottom w:val="nil"/>
              <w:right w:val="nil"/>
            </w:tcBorders>
          </w:tcPr>
          <w:p w14:paraId="687CC380"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Yes</w:t>
            </w:r>
          </w:p>
        </w:tc>
        <w:tc>
          <w:tcPr>
            <w:tcW w:w="880" w:type="pct"/>
            <w:tcBorders>
              <w:top w:val="nil"/>
              <w:left w:val="nil"/>
              <w:bottom w:val="nil"/>
              <w:right w:val="nil"/>
            </w:tcBorders>
          </w:tcPr>
          <w:p w14:paraId="1564EA22"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Yes</w:t>
            </w:r>
          </w:p>
        </w:tc>
        <w:tc>
          <w:tcPr>
            <w:tcW w:w="1064" w:type="pct"/>
            <w:tcBorders>
              <w:top w:val="nil"/>
              <w:left w:val="nil"/>
              <w:bottom w:val="nil"/>
              <w:right w:val="nil"/>
            </w:tcBorders>
          </w:tcPr>
          <w:p w14:paraId="5B76CBA7" w14:textId="77777777" w:rsidR="00CD4846" w:rsidRPr="00DA465B" w:rsidRDefault="00CD4846" w:rsidP="00DA465B">
            <w:pPr>
              <w:widowControl w:val="0"/>
              <w:autoSpaceDE w:val="0"/>
              <w:autoSpaceDN w:val="0"/>
              <w:adjustRightInd w:val="0"/>
              <w:spacing w:line="240" w:lineRule="auto"/>
              <w:rPr>
                <w:rFonts w:cs="Times New Roman"/>
                <w:kern w:val="2"/>
                <w:sz w:val="20"/>
                <w:szCs w:val="20"/>
                <w:lang/>
              </w:rPr>
            </w:pPr>
            <w:r w:rsidRPr="00DA465B">
              <w:rPr>
                <w:rFonts w:cs="Times New Roman"/>
                <w:kern w:val="2"/>
                <w:sz w:val="20"/>
                <w:szCs w:val="20"/>
                <w:lang/>
              </w:rPr>
              <w:t>Yes</w:t>
            </w:r>
          </w:p>
        </w:tc>
      </w:tr>
    </w:tbl>
    <w:p w14:paraId="2CEFDF78" w14:textId="77777777" w:rsidR="003959BE" w:rsidRDefault="003959BE" w:rsidP="004C39A4">
      <w:pPr>
        <w:spacing w:line="240" w:lineRule="auto"/>
        <w:rPr>
          <w:b/>
          <w:bCs/>
        </w:rPr>
      </w:pPr>
    </w:p>
    <w:p w14:paraId="498BF022" w14:textId="77777777" w:rsidR="003959BE" w:rsidRDefault="003959BE" w:rsidP="004C39A4">
      <w:pPr>
        <w:spacing w:line="240" w:lineRule="auto"/>
        <w:rPr>
          <w:b/>
          <w:bCs/>
        </w:rPr>
      </w:pPr>
    </w:p>
    <w:p w14:paraId="3C072748" w14:textId="77777777" w:rsidR="003959BE" w:rsidRDefault="003959BE" w:rsidP="004C39A4">
      <w:pPr>
        <w:spacing w:line="240" w:lineRule="auto"/>
        <w:rPr>
          <w:b/>
          <w:bCs/>
        </w:rPr>
      </w:pPr>
    </w:p>
    <w:p w14:paraId="74EB7AC2" w14:textId="77777777" w:rsidR="003959BE" w:rsidRDefault="003959BE" w:rsidP="004C39A4">
      <w:pPr>
        <w:spacing w:line="240" w:lineRule="auto"/>
        <w:rPr>
          <w:b/>
          <w:bCs/>
        </w:rPr>
      </w:pPr>
    </w:p>
    <w:p w14:paraId="33241F04" w14:textId="797ABE82" w:rsidR="00EE4448" w:rsidRDefault="00EE4448" w:rsidP="004C39A4">
      <w:pPr>
        <w:spacing w:line="240" w:lineRule="auto"/>
        <w:rPr>
          <w:b/>
          <w:bCs/>
        </w:rPr>
      </w:pPr>
      <w:r w:rsidRPr="00EE4448">
        <w:rPr>
          <w:b/>
          <w:bCs/>
        </w:rPr>
        <w:lastRenderedPageBreak/>
        <w:t>Table A26 Continued</w:t>
      </w:r>
    </w:p>
    <w:tbl>
      <w:tblPr>
        <w:tblW w:w="5000" w:type="pct"/>
        <w:tblLook w:val="04A0" w:firstRow="1" w:lastRow="0" w:firstColumn="1" w:lastColumn="0" w:noHBand="0" w:noVBand="1"/>
      </w:tblPr>
      <w:tblGrid>
        <w:gridCol w:w="4074"/>
        <w:gridCol w:w="1647"/>
        <w:gridCol w:w="1647"/>
        <w:gridCol w:w="1992"/>
      </w:tblGrid>
      <w:tr w:rsidR="00EE4448" w:rsidRPr="002833B6" w14:paraId="699F6D59" w14:textId="77777777" w:rsidTr="00EE4448">
        <w:tc>
          <w:tcPr>
            <w:tcW w:w="2176" w:type="pct"/>
            <w:tcBorders>
              <w:top w:val="single" w:sz="4" w:space="0" w:color="auto"/>
              <w:left w:val="nil"/>
              <w:bottom w:val="single" w:sz="4" w:space="0" w:color="auto"/>
              <w:right w:val="nil"/>
            </w:tcBorders>
          </w:tcPr>
          <w:p w14:paraId="3B8936A0" w14:textId="701F062B" w:rsidR="00EE4448" w:rsidRPr="002833B6" w:rsidRDefault="00EE4448" w:rsidP="002833B6">
            <w:pPr>
              <w:widowControl w:val="0"/>
              <w:autoSpaceDE w:val="0"/>
              <w:autoSpaceDN w:val="0"/>
              <w:adjustRightInd w:val="0"/>
              <w:spacing w:line="240" w:lineRule="auto"/>
              <w:rPr>
                <w:rFonts w:cs="Times New Roman"/>
                <w:kern w:val="2"/>
                <w:sz w:val="20"/>
                <w:szCs w:val="20"/>
                <w:lang/>
              </w:rPr>
            </w:pPr>
            <w:r w:rsidRPr="002833B6">
              <w:rPr>
                <w:rFonts w:cs="Times New Roman"/>
                <w:b/>
                <w:bCs/>
                <w:kern w:val="2"/>
                <w:sz w:val="20"/>
                <w:szCs w:val="20"/>
                <w:lang/>
              </w:rPr>
              <w:t>Variable</w:t>
            </w:r>
          </w:p>
        </w:tc>
        <w:tc>
          <w:tcPr>
            <w:tcW w:w="880" w:type="pct"/>
            <w:tcBorders>
              <w:top w:val="single" w:sz="4" w:space="0" w:color="auto"/>
              <w:left w:val="nil"/>
              <w:bottom w:val="single" w:sz="4" w:space="0" w:color="auto"/>
              <w:right w:val="nil"/>
            </w:tcBorders>
          </w:tcPr>
          <w:p w14:paraId="1A015A4A" w14:textId="713C818D" w:rsidR="00EE4448" w:rsidRPr="002833B6" w:rsidRDefault="00EE4448" w:rsidP="002833B6">
            <w:pPr>
              <w:widowControl w:val="0"/>
              <w:autoSpaceDE w:val="0"/>
              <w:autoSpaceDN w:val="0"/>
              <w:adjustRightInd w:val="0"/>
              <w:spacing w:line="240" w:lineRule="auto"/>
              <w:rPr>
                <w:rFonts w:cs="Times New Roman"/>
                <w:kern w:val="2"/>
                <w:sz w:val="20"/>
                <w:szCs w:val="20"/>
                <w:lang/>
              </w:rPr>
            </w:pPr>
            <w:r w:rsidRPr="002833B6">
              <w:rPr>
                <w:rFonts w:cs="Times New Roman"/>
                <w:b/>
                <w:bCs/>
                <w:kern w:val="2"/>
                <w:sz w:val="20"/>
                <w:szCs w:val="20"/>
                <w:lang/>
              </w:rPr>
              <w:t>NAICS 21</w:t>
            </w:r>
          </w:p>
        </w:tc>
        <w:tc>
          <w:tcPr>
            <w:tcW w:w="880" w:type="pct"/>
            <w:tcBorders>
              <w:top w:val="single" w:sz="4" w:space="0" w:color="auto"/>
              <w:left w:val="nil"/>
              <w:bottom w:val="single" w:sz="4" w:space="0" w:color="auto"/>
              <w:right w:val="nil"/>
            </w:tcBorders>
          </w:tcPr>
          <w:p w14:paraId="40F18B45" w14:textId="3942E7A6" w:rsidR="00EE4448" w:rsidRPr="002833B6" w:rsidRDefault="00EE4448" w:rsidP="002833B6">
            <w:pPr>
              <w:widowControl w:val="0"/>
              <w:autoSpaceDE w:val="0"/>
              <w:autoSpaceDN w:val="0"/>
              <w:adjustRightInd w:val="0"/>
              <w:spacing w:line="240" w:lineRule="auto"/>
              <w:rPr>
                <w:rFonts w:cs="Times New Roman"/>
                <w:kern w:val="2"/>
                <w:sz w:val="20"/>
                <w:szCs w:val="20"/>
                <w:lang/>
              </w:rPr>
            </w:pPr>
            <w:r w:rsidRPr="002833B6">
              <w:rPr>
                <w:rFonts w:cs="Times New Roman"/>
                <w:b/>
                <w:bCs/>
                <w:kern w:val="2"/>
                <w:sz w:val="20"/>
                <w:szCs w:val="20"/>
                <w:lang/>
              </w:rPr>
              <w:t>NAICS 23</w:t>
            </w:r>
          </w:p>
        </w:tc>
        <w:tc>
          <w:tcPr>
            <w:tcW w:w="1064" w:type="pct"/>
            <w:tcBorders>
              <w:top w:val="single" w:sz="4" w:space="0" w:color="auto"/>
              <w:left w:val="nil"/>
              <w:bottom w:val="single" w:sz="4" w:space="0" w:color="auto"/>
              <w:right w:val="nil"/>
            </w:tcBorders>
          </w:tcPr>
          <w:p w14:paraId="0D78AD5C" w14:textId="56BD94A9" w:rsidR="00EE4448" w:rsidRPr="002833B6" w:rsidRDefault="00EE4448" w:rsidP="002833B6">
            <w:pPr>
              <w:widowControl w:val="0"/>
              <w:autoSpaceDE w:val="0"/>
              <w:autoSpaceDN w:val="0"/>
              <w:adjustRightInd w:val="0"/>
              <w:spacing w:line="240" w:lineRule="auto"/>
              <w:rPr>
                <w:rFonts w:cs="Times New Roman"/>
                <w:kern w:val="2"/>
                <w:sz w:val="20"/>
                <w:szCs w:val="20"/>
                <w:lang/>
              </w:rPr>
            </w:pPr>
            <w:r w:rsidRPr="002833B6">
              <w:rPr>
                <w:rFonts w:cs="Times New Roman"/>
                <w:b/>
                <w:bCs/>
                <w:kern w:val="2"/>
                <w:sz w:val="20"/>
                <w:szCs w:val="20"/>
                <w:lang/>
              </w:rPr>
              <w:t>NAICS 31-33</w:t>
            </w:r>
          </w:p>
        </w:tc>
      </w:tr>
      <w:tr w:rsidR="00DA465B" w:rsidRPr="002833B6" w14:paraId="5DE2B42E" w14:textId="77777777" w:rsidTr="002833B6">
        <w:tc>
          <w:tcPr>
            <w:tcW w:w="2176" w:type="pct"/>
            <w:tcBorders>
              <w:top w:val="single" w:sz="4" w:space="0" w:color="auto"/>
              <w:left w:val="nil"/>
              <w:right w:val="nil"/>
            </w:tcBorders>
          </w:tcPr>
          <w:p w14:paraId="7FC821F2" w14:textId="5BF73016" w:rsidR="00DA465B" w:rsidRPr="002833B6" w:rsidRDefault="00DA465B" w:rsidP="002833B6">
            <w:pPr>
              <w:widowControl w:val="0"/>
              <w:autoSpaceDE w:val="0"/>
              <w:autoSpaceDN w:val="0"/>
              <w:adjustRightInd w:val="0"/>
              <w:spacing w:line="240" w:lineRule="auto"/>
              <w:rPr>
                <w:rFonts w:cs="Times New Roman"/>
                <w:kern w:val="2"/>
                <w:sz w:val="20"/>
                <w:szCs w:val="20"/>
                <w:lang/>
              </w:rPr>
            </w:pPr>
            <w:r w:rsidRPr="002833B6">
              <w:rPr>
                <w:rFonts w:cs="Times New Roman"/>
                <w:kern w:val="2"/>
                <w:sz w:val="20"/>
                <w:szCs w:val="20"/>
                <w:lang/>
              </w:rPr>
              <w:t>State by Year FE</w:t>
            </w:r>
          </w:p>
        </w:tc>
        <w:tc>
          <w:tcPr>
            <w:tcW w:w="880" w:type="pct"/>
            <w:tcBorders>
              <w:top w:val="single" w:sz="4" w:space="0" w:color="auto"/>
              <w:left w:val="nil"/>
              <w:right w:val="nil"/>
            </w:tcBorders>
          </w:tcPr>
          <w:p w14:paraId="3BCB3E92" w14:textId="34FCADF6" w:rsidR="00DA465B" w:rsidRPr="002833B6" w:rsidRDefault="00DA465B" w:rsidP="002833B6">
            <w:pPr>
              <w:widowControl w:val="0"/>
              <w:autoSpaceDE w:val="0"/>
              <w:autoSpaceDN w:val="0"/>
              <w:adjustRightInd w:val="0"/>
              <w:spacing w:line="240" w:lineRule="auto"/>
              <w:rPr>
                <w:rFonts w:cs="Times New Roman"/>
                <w:kern w:val="2"/>
                <w:sz w:val="20"/>
                <w:szCs w:val="20"/>
                <w:lang/>
              </w:rPr>
            </w:pPr>
            <w:r w:rsidRPr="002833B6">
              <w:rPr>
                <w:rFonts w:cs="Times New Roman"/>
                <w:kern w:val="2"/>
                <w:sz w:val="20"/>
                <w:szCs w:val="20"/>
                <w:lang/>
              </w:rPr>
              <w:t>Yes</w:t>
            </w:r>
          </w:p>
        </w:tc>
        <w:tc>
          <w:tcPr>
            <w:tcW w:w="880" w:type="pct"/>
            <w:tcBorders>
              <w:top w:val="single" w:sz="4" w:space="0" w:color="auto"/>
              <w:left w:val="nil"/>
              <w:right w:val="nil"/>
            </w:tcBorders>
          </w:tcPr>
          <w:p w14:paraId="7F2C320A" w14:textId="5CAA7468" w:rsidR="00DA465B" w:rsidRPr="002833B6" w:rsidRDefault="00DA465B" w:rsidP="002833B6">
            <w:pPr>
              <w:widowControl w:val="0"/>
              <w:autoSpaceDE w:val="0"/>
              <w:autoSpaceDN w:val="0"/>
              <w:adjustRightInd w:val="0"/>
              <w:spacing w:line="240" w:lineRule="auto"/>
              <w:rPr>
                <w:rFonts w:cs="Times New Roman"/>
                <w:kern w:val="2"/>
                <w:sz w:val="20"/>
                <w:szCs w:val="20"/>
                <w:lang/>
              </w:rPr>
            </w:pPr>
            <w:r w:rsidRPr="002833B6">
              <w:rPr>
                <w:rFonts w:cs="Times New Roman"/>
                <w:kern w:val="2"/>
                <w:sz w:val="20"/>
                <w:szCs w:val="20"/>
                <w:lang/>
              </w:rPr>
              <w:t>Yes</w:t>
            </w:r>
          </w:p>
        </w:tc>
        <w:tc>
          <w:tcPr>
            <w:tcW w:w="1064" w:type="pct"/>
            <w:tcBorders>
              <w:top w:val="single" w:sz="4" w:space="0" w:color="auto"/>
              <w:left w:val="nil"/>
              <w:right w:val="nil"/>
            </w:tcBorders>
          </w:tcPr>
          <w:p w14:paraId="5D88A304" w14:textId="1240A2E9" w:rsidR="00DA465B" w:rsidRPr="002833B6" w:rsidRDefault="00DA465B" w:rsidP="002833B6">
            <w:pPr>
              <w:widowControl w:val="0"/>
              <w:autoSpaceDE w:val="0"/>
              <w:autoSpaceDN w:val="0"/>
              <w:adjustRightInd w:val="0"/>
              <w:spacing w:line="240" w:lineRule="auto"/>
              <w:rPr>
                <w:rFonts w:cs="Times New Roman"/>
                <w:kern w:val="2"/>
                <w:sz w:val="20"/>
                <w:szCs w:val="20"/>
                <w:lang/>
              </w:rPr>
            </w:pPr>
            <w:r w:rsidRPr="002833B6">
              <w:rPr>
                <w:rFonts w:cs="Times New Roman"/>
                <w:kern w:val="2"/>
                <w:sz w:val="20"/>
                <w:szCs w:val="20"/>
                <w:lang/>
              </w:rPr>
              <w:t>Yes</w:t>
            </w:r>
          </w:p>
        </w:tc>
      </w:tr>
      <w:tr w:rsidR="00EE4448" w:rsidRPr="002833B6" w14:paraId="2C5E98CB" w14:textId="77777777" w:rsidTr="002833B6">
        <w:tc>
          <w:tcPr>
            <w:tcW w:w="2176" w:type="pct"/>
            <w:tcBorders>
              <w:left w:val="nil"/>
              <w:right w:val="nil"/>
            </w:tcBorders>
          </w:tcPr>
          <w:p w14:paraId="616CE506" w14:textId="77777777" w:rsidR="00EE4448" w:rsidRPr="002833B6" w:rsidRDefault="00EE4448" w:rsidP="002833B6">
            <w:pPr>
              <w:widowControl w:val="0"/>
              <w:autoSpaceDE w:val="0"/>
              <w:autoSpaceDN w:val="0"/>
              <w:adjustRightInd w:val="0"/>
              <w:spacing w:line="240" w:lineRule="auto"/>
              <w:rPr>
                <w:rFonts w:cs="Times New Roman"/>
                <w:kern w:val="2"/>
                <w:sz w:val="20"/>
                <w:szCs w:val="20"/>
                <w:lang/>
              </w:rPr>
            </w:pPr>
            <w:r w:rsidRPr="002833B6">
              <w:rPr>
                <w:rFonts w:cs="Times New Roman"/>
                <w:kern w:val="2"/>
                <w:sz w:val="20"/>
                <w:szCs w:val="20"/>
                <w:lang/>
              </w:rPr>
              <w:t>NAICS FE</w:t>
            </w:r>
          </w:p>
        </w:tc>
        <w:tc>
          <w:tcPr>
            <w:tcW w:w="880" w:type="pct"/>
            <w:tcBorders>
              <w:left w:val="nil"/>
              <w:right w:val="nil"/>
            </w:tcBorders>
          </w:tcPr>
          <w:p w14:paraId="299B0E9E" w14:textId="77777777" w:rsidR="00EE4448" w:rsidRPr="002833B6" w:rsidRDefault="00EE4448" w:rsidP="002833B6">
            <w:pPr>
              <w:widowControl w:val="0"/>
              <w:autoSpaceDE w:val="0"/>
              <w:autoSpaceDN w:val="0"/>
              <w:adjustRightInd w:val="0"/>
              <w:spacing w:line="240" w:lineRule="auto"/>
              <w:rPr>
                <w:rFonts w:cs="Times New Roman"/>
                <w:kern w:val="2"/>
                <w:sz w:val="20"/>
                <w:szCs w:val="20"/>
                <w:lang/>
              </w:rPr>
            </w:pPr>
            <w:r w:rsidRPr="002833B6">
              <w:rPr>
                <w:rFonts w:cs="Times New Roman"/>
                <w:kern w:val="2"/>
                <w:sz w:val="20"/>
                <w:szCs w:val="20"/>
                <w:lang/>
              </w:rPr>
              <w:t>Yes</w:t>
            </w:r>
          </w:p>
        </w:tc>
        <w:tc>
          <w:tcPr>
            <w:tcW w:w="880" w:type="pct"/>
            <w:tcBorders>
              <w:left w:val="nil"/>
              <w:right w:val="nil"/>
            </w:tcBorders>
          </w:tcPr>
          <w:p w14:paraId="3C8C8B68" w14:textId="77777777" w:rsidR="00EE4448" w:rsidRPr="002833B6" w:rsidRDefault="00EE4448" w:rsidP="002833B6">
            <w:pPr>
              <w:widowControl w:val="0"/>
              <w:autoSpaceDE w:val="0"/>
              <w:autoSpaceDN w:val="0"/>
              <w:adjustRightInd w:val="0"/>
              <w:spacing w:line="240" w:lineRule="auto"/>
              <w:rPr>
                <w:rFonts w:cs="Times New Roman"/>
                <w:kern w:val="2"/>
                <w:sz w:val="20"/>
                <w:szCs w:val="20"/>
                <w:lang/>
              </w:rPr>
            </w:pPr>
            <w:r w:rsidRPr="002833B6">
              <w:rPr>
                <w:rFonts w:cs="Times New Roman"/>
                <w:kern w:val="2"/>
                <w:sz w:val="20"/>
                <w:szCs w:val="20"/>
                <w:lang/>
              </w:rPr>
              <w:t>Yes</w:t>
            </w:r>
          </w:p>
        </w:tc>
        <w:tc>
          <w:tcPr>
            <w:tcW w:w="1064" w:type="pct"/>
            <w:tcBorders>
              <w:left w:val="nil"/>
              <w:right w:val="nil"/>
            </w:tcBorders>
          </w:tcPr>
          <w:p w14:paraId="76CCDD9C" w14:textId="77777777" w:rsidR="00EE4448" w:rsidRPr="002833B6" w:rsidRDefault="00EE4448" w:rsidP="002833B6">
            <w:pPr>
              <w:widowControl w:val="0"/>
              <w:autoSpaceDE w:val="0"/>
              <w:autoSpaceDN w:val="0"/>
              <w:adjustRightInd w:val="0"/>
              <w:spacing w:line="240" w:lineRule="auto"/>
              <w:rPr>
                <w:rFonts w:cs="Times New Roman"/>
                <w:kern w:val="2"/>
                <w:sz w:val="20"/>
                <w:szCs w:val="20"/>
                <w:lang/>
              </w:rPr>
            </w:pPr>
            <w:r w:rsidRPr="002833B6">
              <w:rPr>
                <w:rFonts w:cs="Times New Roman"/>
                <w:kern w:val="2"/>
                <w:sz w:val="20"/>
                <w:szCs w:val="20"/>
                <w:lang/>
              </w:rPr>
              <w:t>Yes</w:t>
            </w:r>
          </w:p>
        </w:tc>
      </w:tr>
      <w:tr w:rsidR="00EE4448" w:rsidRPr="002833B6" w14:paraId="578FD9F3" w14:textId="77777777" w:rsidTr="00B82EB9">
        <w:tc>
          <w:tcPr>
            <w:tcW w:w="2176" w:type="pct"/>
            <w:tcBorders>
              <w:top w:val="nil"/>
              <w:left w:val="nil"/>
              <w:bottom w:val="single" w:sz="4" w:space="0" w:color="auto"/>
              <w:right w:val="nil"/>
            </w:tcBorders>
          </w:tcPr>
          <w:p w14:paraId="4418659C" w14:textId="77777777" w:rsidR="00EE4448" w:rsidRPr="002833B6" w:rsidRDefault="00EE4448" w:rsidP="002833B6">
            <w:pPr>
              <w:widowControl w:val="0"/>
              <w:autoSpaceDE w:val="0"/>
              <w:autoSpaceDN w:val="0"/>
              <w:adjustRightInd w:val="0"/>
              <w:spacing w:line="240" w:lineRule="auto"/>
              <w:rPr>
                <w:rFonts w:eastAsia="Times New Roman" w:cs="Times New Roman"/>
                <w:b/>
                <w:bCs/>
                <w:color w:val="5F6368"/>
                <w:kern w:val="2"/>
                <w:sz w:val="20"/>
                <w:szCs w:val="20"/>
                <w:shd w:val="clear" w:color="auto" w:fill="FFFFFF"/>
                <w:lang/>
              </w:rPr>
            </w:pPr>
            <w:r w:rsidRPr="002833B6">
              <w:rPr>
                <w:rFonts w:eastAsia="Times New Roman" w:cs="Times New Roman"/>
                <w:kern w:val="2"/>
                <w:sz w:val="20"/>
                <w:szCs w:val="20"/>
                <w:lang/>
              </w:rPr>
              <w:t>PA-PA</w:t>
            </w:r>
            <w:r w:rsidRPr="002833B6">
              <w:rPr>
                <w:rFonts w:eastAsia="Times New Roman" w:cs="Times New Roman"/>
                <w:b/>
                <w:bCs/>
                <w:i/>
                <w:color w:val="5F6368"/>
                <w:kern w:val="2"/>
                <w:sz w:val="20"/>
                <w:szCs w:val="20"/>
                <w:shd w:val="clear" w:color="auto" w:fill="FFFFFF"/>
                <w:lang/>
              </w:rPr>
              <w:t>²</w:t>
            </w:r>
            <w:r w:rsidRPr="002833B6">
              <w:rPr>
                <w:rFonts w:cs="Times New Roman"/>
                <w:b/>
                <w:bCs/>
                <w:i/>
                <w:color w:val="5F6368"/>
                <w:kern w:val="2"/>
                <w:sz w:val="20"/>
                <w:szCs w:val="20"/>
                <w:shd w:val="clear" w:color="auto" w:fill="FFFFFF"/>
                <w:lang/>
              </w:rPr>
              <w:t xml:space="preserve"> </w:t>
            </w:r>
            <w:r w:rsidRPr="002833B6">
              <w:rPr>
                <w:rFonts w:eastAsia="Times New Roman" w:cs="Times New Roman"/>
                <w:kern w:val="2"/>
                <w:sz w:val="20"/>
                <w:szCs w:val="20"/>
                <w:lang/>
              </w:rPr>
              <w:t xml:space="preserve">Joint Test </w:t>
            </w:r>
            <w:r w:rsidRPr="002833B6">
              <w:rPr>
                <w:rFonts w:cs="Times New Roman"/>
                <w:kern w:val="2"/>
                <w:sz w:val="20"/>
                <w:szCs w:val="20"/>
                <w:lang/>
              </w:rPr>
              <w:t>p-value</w:t>
            </w:r>
          </w:p>
        </w:tc>
        <w:tc>
          <w:tcPr>
            <w:tcW w:w="880" w:type="pct"/>
            <w:tcBorders>
              <w:top w:val="nil"/>
              <w:left w:val="nil"/>
              <w:bottom w:val="single" w:sz="4" w:space="0" w:color="auto"/>
              <w:right w:val="nil"/>
            </w:tcBorders>
          </w:tcPr>
          <w:p w14:paraId="76FEDE8C" w14:textId="77777777" w:rsidR="00EE4448" w:rsidRPr="002833B6" w:rsidRDefault="00EE4448" w:rsidP="002833B6">
            <w:pPr>
              <w:widowControl w:val="0"/>
              <w:autoSpaceDE w:val="0"/>
              <w:autoSpaceDN w:val="0"/>
              <w:adjustRightInd w:val="0"/>
              <w:spacing w:line="240" w:lineRule="auto"/>
              <w:rPr>
                <w:rFonts w:cs="Times New Roman"/>
                <w:bCs/>
                <w:kern w:val="2"/>
                <w:sz w:val="20"/>
                <w:szCs w:val="20"/>
                <w:lang/>
              </w:rPr>
            </w:pPr>
            <w:r w:rsidRPr="002833B6">
              <w:rPr>
                <w:rFonts w:cs="Times New Roman"/>
                <w:bCs/>
                <w:kern w:val="2"/>
                <w:sz w:val="20"/>
                <w:szCs w:val="20"/>
                <w:lang/>
              </w:rPr>
              <w:t>0.0000</w:t>
            </w:r>
          </w:p>
        </w:tc>
        <w:tc>
          <w:tcPr>
            <w:tcW w:w="880" w:type="pct"/>
            <w:tcBorders>
              <w:top w:val="nil"/>
              <w:left w:val="nil"/>
              <w:bottom w:val="single" w:sz="4" w:space="0" w:color="auto"/>
              <w:right w:val="nil"/>
            </w:tcBorders>
          </w:tcPr>
          <w:p w14:paraId="2AAC88A3" w14:textId="77777777" w:rsidR="00EE4448" w:rsidRPr="002833B6" w:rsidRDefault="00EE4448" w:rsidP="002833B6">
            <w:pPr>
              <w:widowControl w:val="0"/>
              <w:autoSpaceDE w:val="0"/>
              <w:autoSpaceDN w:val="0"/>
              <w:adjustRightInd w:val="0"/>
              <w:spacing w:line="240" w:lineRule="auto"/>
              <w:rPr>
                <w:rFonts w:cs="Times New Roman"/>
                <w:kern w:val="2"/>
                <w:sz w:val="20"/>
                <w:szCs w:val="20"/>
                <w:lang/>
              </w:rPr>
            </w:pPr>
            <w:r w:rsidRPr="002833B6">
              <w:rPr>
                <w:rFonts w:cs="Times New Roman"/>
                <w:kern w:val="2"/>
                <w:sz w:val="20"/>
                <w:szCs w:val="20"/>
                <w:lang/>
              </w:rPr>
              <w:t>0.8436</w:t>
            </w:r>
          </w:p>
        </w:tc>
        <w:tc>
          <w:tcPr>
            <w:tcW w:w="1064" w:type="pct"/>
            <w:tcBorders>
              <w:top w:val="nil"/>
              <w:left w:val="nil"/>
              <w:bottom w:val="single" w:sz="4" w:space="0" w:color="auto"/>
              <w:right w:val="nil"/>
            </w:tcBorders>
          </w:tcPr>
          <w:p w14:paraId="38029EB8" w14:textId="77777777" w:rsidR="00EE4448" w:rsidRPr="002833B6" w:rsidRDefault="00EE4448" w:rsidP="002833B6">
            <w:pPr>
              <w:widowControl w:val="0"/>
              <w:autoSpaceDE w:val="0"/>
              <w:autoSpaceDN w:val="0"/>
              <w:adjustRightInd w:val="0"/>
              <w:spacing w:line="240" w:lineRule="auto"/>
              <w:rPr>
                <w:rFonts w:cs="Times New Roman"/>
                <w:kern w:val="2"/>
                <w:sz w:val="20"/>
                <w:szCs w:val="20"/>
                <w:lang/>
              </w:rPr>
            </w:pPr>
            <w:r w:rsidRPr="002833B6">
              <w:rPr>
                <w:rFonts w:cs="Times New Roman"/>
                <w:kern w:val="2"/>
                <w:sz w:val="20"/>
                <w:szCs w:val="20"/>
                <w:lang/>
              </w:rPr>
              <w:t>0.8694</w:t>
            </w:r>
          </w:p>
        </w:tc>
      </w:tr>
    </w:tbl>
    <w:p w14:paraId="44A928B4" w14:textId="63B51A92" w:rsidR="00CD4846" w:rsidRPr="002833B6" w:rsidRDefault="00CD4846" w:rsidP="002833B6">
      <w:pPr>
        <w:spacing w:line="240" w:lineRule="auto"/>
        <w:rPr>
          <w:rFonts w:eastAsia="Times New Roman" w:cs="Times New Roman"/>
          <w:sz w:val="20"/>
          <w:szCs w:val="20"/>
          <w:lang/>
        </w:rPr>
      </w:pPr>
      <w:r w:rsidRPr="002833B6">
        <w:rPr>
          <w:rFonts w:cs="Times New Roman"/>
          <w:sz w:val="20"/>
          <w:szCs w:val="20"/>
          <w:lang/>
        </w:rPr>
        <w:t>Table A</w:t>
      </w:r>
      <w:r w:rsidRPr="002833B6">
        <w:rPr>
          <w:rFonts w:cs="Times New Roman"/>
          <w:sz w:val="20"/>
          <w:szCs w:val="20"/>
          <w:lang/>
        </w:rPr>
        <w:t>26</w:t>
      </w:r>
      <w:r w:rsidRPr="002833B6">
        <w:rPr>
          <w:rFonts w:cs="Times New Roman"/>
          <w:sz w:val="20"/>
          <w:szCs w:val="20"/>
          <w:lang/>
        </w:rPr>
        <w:t xml:space="preserve">: PPMLHDFE regression results on establishment </w:t>
      </w:r>
      <w:r w:rsidRPr="002833B6">
        <w:rPr>
          <w:rFonts w:cs="Times New Roman"/>
          <w:sz w:val="20"/>
          <w:szCs w:val="20"/>
          <w:lang/>
        </w:rPr>
        <w:t xml:space="preserve">inter-state outward relocations </w:t>
      </w:r>
      <w:r w:rsidRPr="002833B6">
        <w:rPr>
          <w:rFonts w:cs="Times New Roman"/>
          <w:sz w:val="20"/>
          <w:szCs w:val="20"/>
          <w:lang/>
        </w:rPr>
        <w:t xml:space="preserve">under </w:t>
      </w:r>
      <w:r w:rsidRPr="002833B6">
        <w:rPr>
          <w:rFonts w:cs="Times New Roman"/>
          <w:sz w:val="20"/>
          <w:szCs w:val="20"/>
          <w:lang/>
        </w:rPr>
        <w:t>strict</w:t>
      </w:r>
      <w:r w:rsidRPr="002833B6">
        <w:rPr>
          <w:rFonts w:cs="Times New Roman"/>
          <w:sz w:val="20"/>
          <w:szCs w:val="20"/>
          <w:lang/>
        </w:rPr>
        <w:t xml:space="preserve"> PADs (GAP 1-</w:t>
      </w:r>
      <w:r w:rsidRPr="002833B6">
        <w:rPr>
          <w:rFonts w:cs="Times New Roman"/>
          <w:sz w:val="20"/>
          <w:szCs w:val="20"/>
          <w:lang/>
        </w:rPr>
        <w:t>2</w:t>
      </w:r>
      <w:r w:rsidRPr="002833B6">
        <w:rPr>
          <w:rFonts w:cs="Times New Roman"/>
          <w:sz w:val="20"/>
          <w:szCs w:val="20"/>
          <w:lang/>
        </w:rPr>
        <w:t xml:space="preserve">) are presented above. Column names correspond to a specific NAICS sector. </w:t>
      </w:r>
      <w:r w:rsidR="002A78A3" w:rsidRPr="00C624DB">
        <w:rPr>
          <w:sz w:val="20"/>
          <w:szCs w:val="20"/>
          <w:lang/>
        </w:rPr>
        <w:t xml:space="preserve">Standard errors are </w:t>
      </w:r>
      <w:r w:rsidR="002A78A3">
        <w:rPr>
          <w:sz w:val="20"/>
          <w:szCs w:val="20"/>
          <w:lang/>
        </w:rPr>
        <w:t xml:space="preserve">in parentheses and are </w:t>
      </w:r>
      <w:r w:rsidR="002A78A3" w:rsidRPr="00C624DB">
        <w:rPr>
          <w:sz w:val="20"/>
          <w:szCs w:val="20"/>
          <w:lang/>
        </w:rPr>
        <w:t xml:space="preserve">clustered at the county level. </w:t>
      </w:r>
      <w:r w:rsidR="002A78A3" w:rsidRPr="002C0F11">
        <w:rPr>
          <w:sz w:val="20"/>
          <w:szCs w:val="20"/>
          <w:lang/>
        </w:rPr>
        <w:t>Statistically significant impacts are denoted by asterisks. These asterisks denote statistical significance at the following levels: ***p &lt; 0.01, **p &lt; 0.05, *p &lt; 0.1.</w:t>
      </w:r>
      <w:r w:rsidR="002A78A3">
        <w:rPr>
          <w:sz w:val="20"/>
          <w:szCs w:val="20"/>
          <w:lang/>
        </w:rPr>
        <w:t xml:space="preserve"> </w:t>
      </w:r>
      <w:r w:rsidRPr="002833B6">
        <w:rPr>
          <w:rFonts w:cs="Times New Roman"/>
          <w:sz w:val="20"/>
          <w:szCs w:val="20"/>
          <w:lang/>
        </w:rPr>
        <w:t>p-values of joint-tests on linear and quadratic PAD terms are shown in the last row.</w:t>
      </w:r>
    </w:p>
    <w:p w14:paraId="30D39920" w14:textId="77777777" w:rsidR="00EE4448" w:rsidRPr="00F929D1" w:rsidRDefault="00EE4448" w:rsidP="004C39A4">
      <w:pPr>
        <w:rPr>
          <w:rStyle w:val="vlist-s"/>
        </w:rPr>
      </w:pPr>
    </w:p>
    <w:p w14:paraId="43D2FC44" w14:textId="77777777" w:rsidR="00EE4448" w:rsidRDefault="00EE4448" w:rsidP="004C39A4"/>
    <w:p w14:paraId="656E32A7" w14:textId="77777777" w:rsidR="00EE4448" w:rsidRDefault="00EE4448" w:rsidP="004C39A4"/>
    <w:p w14:paraId="63AEAD9A" w14:textId="77777777" w:rsidR="00EE4448" w:rsidRDefault="00EE4448" w:rsidP="004C39A4"/>
    <w:p w14:paraId="1E86222B" w14:textId="77777777" w:rsidR="00EE4448" w:rsidRDefault="00EE4448" w:rsidP="004C39A4"/>
    <w:p w14:paraId="2909C46C" w14:textId="77777777" w:rsidR="00EE4448" w:rsidRDefault="00EE4448" w:rsidP="004C39A4"/>
    <w:p w14:paraId="6C6DE94C" w14:textId="77777777" w:rsidR="00EE4448" w:rsidRDefault="00EE4448" w:rsidP="004C39A4"/>
    <w:p w14:paraId="304462B9" w14:textId="77777777" w:rsidR="00EE4448" w:rsidRDefault="00EE4448" w:rsidP="004C39A4"/>
    <w:p w14:paraId="0D442015" w14:textId="55CFE446" w:rsidR="00EE4448" w:rsidRDefault="00EE4448" w:rsidP="004C39A4"/>
    <w:p w14:paraId="23753E74" w14:textId="77777777" w:rsidR="00EE4448" w:rsidRDefault="00EE4448" w:rsidP="004C39A4"/>
    <w:p w14:paraId="5DFDEB4F" w14:textId="77777777" w:rsidR="00EE4448" w:rsidRDefault="00EE4448" w:rsidP="004C39A4"/>
    <w:p w14:paraId="15526FB4" w14:textId="77777777" w:rsidR="00EE4448" w:rsidRDefault="00EE4448" w:rsidP="004C39A4"/>
    <w:p w14:paraId="288B4AAC" w14:textId="63E9A6A1" w:rsidR="00CD4846" w:rsidRDefault="00CD4846" w:rsidP="004C39A4">
      <w:pPr>
        <w:rPr>
          <w:b/>
          <w:bCs/>
        </w:rPr>
      </w:pPr>
    </w:p>
    <w:p w14:paraId="5B5CC37E" w14:textId="12B82CE3" w:rsidR="00EE4448" w:rsidRDefault="00EE4448" w:rsidP="004C39A4">
      <w:pPr>
        <w:rPr>
          <w:b/>
          <w:bCs/>
        </w:rPr>
      </w:pPr>
    </w:p>
    <w:p w14:paraId="3E9EB8F6" w14:textId="6A2A8D8E" w:rsidR="00EE4448" w:rsidRDefault="00EE4448" w:rsidP="004C39A4">
      <w:pPr>
        <w:rPr>
          <w:b/>
          <w:bCs/>
        </w:rPr>
      </w:pPr>
    </w:p>
    <w:p w14:paraId="7D8578C4" w14:textId="047704E6" w:rsidR="00EE4448" w:rsidRDefault="00EE4448" w:rsidP="004C39A4">
      <w:pPr>
        <w:rPr>
          <w:b/>
          <w:bCs/>
        </w:rPr>
      </w:pPr>
    </w:p>
    <w:p w14:paraId="68701F05" w14:textId="3062E13A" w:rsidR="00EE4448" w:rsidRDefault="00EE4448" w:rsidP="004C39A4">
      <w:pPr>
        <w:rPr>
          <w:b/>
          <w:bCs/>
        </w:rPr>
      </w:pPr>
    </w:p>
    <w:p w14:paraId="61E851C9" w14:textId="77777777" w:rsidR="003959BE" w:rsidRDefault="003959BE" w:rsidP="004C39A4">
      <w:pPr>
        <w:rPr>
          <w:b/>
          <w:bCs/>
        </w:rPr>
      </w:pPr>
    </w:p>
    <w:p w14:paraId="316065F6" w14:textId="77777777" w:rsidR="003959BE" w:rsidRDefault="003959BE" w:rsidP="004C39A4">
      <w:pPr>
        <w:rPr>
          <w:b/>
          <w:bCs/>
        </w:rPr>
      </w:pPr>
    </w:p>
    <w:tbl>
      <w:tblPr>
        <w:tblpPr w:leftFromText="180" w:rightFromText="180" w:vertAnchor="text" w:horzAnchor="margin" w:tblpY="346"/>
        <w:tblW w:w="5000" w:type="pct"/>
        <w:tblLook w:val="04A0" w:firstRow="1" w:lastRow="0" w:firstColumn="1" w:lastColumn="0" w:noHBand="0" w:noVBand="1"/>
      </w:tblPr>
      <w:tblGrid>
        <w:gridCol w:w="2688"/>
        <w:gridCol w:w="1163"/>
        <w:gridCol w:w="1200"/>
        <w:gridCol w:w="1312"/>
        <w:gridCol w:w="1408"/>
        <w:gridCol w:w="1589"/>
      </w:tblGrid>
      <w:tr w:rsidR="00CE0D78" w:rsidRPr="00CD4846" w14:paraId="052AEE8E" w14:textId="77777777" w:rsidTr="00EE4448">
        <w:tc>
          <w:tcPr>
            <w:tcW w:w="1436" w:type="pct"/>
            <w:tcBorders>
              <w:top w:val="single" w:sz="4" w:space="0" w:color="auto"/>
              <w:left w:val="nil"/>
              <w:bottom w:val="single" w:sz="4" w:space="0" w:color="auto"/>
              <w:right w:val="nil"/>
            </w:tcBorders>
          </w:tcPr>
          <w:p w14:paraId="6465EB69" w14:textId="1398C52D" w:rsidR="00EE4448" w:rsidRPr="00695826" w:rsidRDefault="00EE4448" w:rsidP="00695826">
            <w:pPr>
              <w:widowControl w:val="0"/>
              <w:autoSpaceDE w:val="0"/>
              <w:autoSpaceDN w:val="0"/>
              <w:adjustRightInd w:val="0"/>
              <w:spacing w:line="240" w:lineRule="auto"/>
              <w:rPr>
                <w:rFonts w:cs="Times New Roman"/>
                <w:b/>
                <w:bCs/>
                <w:kern w:val="2"/>
                <w:sz w:val="20"/>
                <w:szCs w:val="20"/>
                <w:lang/>
              </w:rPr>
            </w:pPr>
            <w:bookmarkStart w:id="314" w:name="_Toc186799431"/>
            <w:r w:rsidRPr="00695826">
              <w:rPr>
                <w:rFonts w:cs="Times New Roman"/>
                <w:b/>
                <w:bCs/>
                <w:kern w:val="2"/>
                <w:sz w:val="20"/>
                <w:szCs w:val="20"/>
                <w:lang/>
              </w:rPr>
              <w:lastRenderedPageBreak/>
              <w:t>Variable</w:t>
            </w:r>
          </w:p>
        </w:tc>
        <w:tc>
          <w:tcPr>
            <w:tcW w:w="621" w:type="pct"/>
            <w:tcBorders>
              <w:top w:val="single" w:sz="4" w:space="0" w:color="auto"/>
              <w:left w:val="nil"/>
              <w:bottom w:val="single" w:sz="4" w:space="0" w:color="auto"/>
              <w:right w:val="nil"/>
            </w:tcBorders>
          </w:tcPr>
          <w:p w14:paraId="35050CD0" w14:textId="66D11687" w:rsidR="00EE4448" w:rsidRPr="00695826" w:rsidRDefault="00EE4448" w:rsidP="00695826">
            <w:pPr>
              <w:widowControl w:val="0"/>
              <w:autoSpaceDE w:val="0"/>
              <w:autoSpaceDN w:val="0"/>
              <w:adjustRightInd w:val="0"/>
              <w:spacing w:line="240" w:lineRule="auto"/>
              <w:rPr>
                <w:rFonts w:cs="Times New Roman"/>
                <w:b/>
                <w:bCs/>
                <w:kern w:val="2"/>
                <w:sz w:val="20"/>
                <w:szCs w:val="20"/>
                <w:lang/>
              </w:rPr>
            </w:pPr>
            <w:r w:rsidRPr="00695826">
              <w:rPr>
                <w:rFonts w:cs="Times New Roman"/>
                <w:b/>
                <w:bCs/>
                <w:kern w:val="2"/>
                <w:sz w:val="20"/>
                <w:szCs w:val="20"/>
                <w:lang/>
              </w:rPr>
              <w:t>NAICS 11</w:t>
            </w:r>
          </w:p>
        </w:tc>
        <w:tc>
          <w:tcPr>
            <w:tcW w:w="641" w:type="pct"/>
            <w:tcBorders>
              <w:top w:val="single" w:sz="4" w:space="0" w:color="auto"/>
              <w:left w:val="nil"/>
              <w:bottom w:val="single" w:sz="4" w:space="0" w:color="auto"/>
              <w:right w:val="nil"/>
            </w:tcBorders>
          </w:tcPr>
          <w:p w14:paraId="1DC95018" w14:textId="7E5A284F" w:rsidR="00EE4448" w:rsidRPr="00695826" w:rsidRDefault="00EE4448" w:rsidP="00695826">
            <w:pPr>
              <w:widowControl w:val="0"/>
              <w:autoSpaceDE w:val="0"/>
              <w:autoSpaceDN w:val="0"/>
              <w:adjustRightInd w:val="0"/>
              <w:spacing w:line="240" w:lineRule="auto"/>
              <w:rPr>
                <w:rFonts w:cs="Times New Roman"/>
                <w:b/>
                <w:bCs/>
                <w:kern w:val="2"/>
                <w:sz w:val="20"/>
                <w:szCs w:val="20"/>
                <w:lang/>
              </w:rPr>
            </w:pPr>
            <w:r w:rsidRPr="00695826">
              <w:rPr>
                <w:rFonts w:cs="Times New Roman"/>
                <w:b/>
                <w:bCs/>
                <w:kern w:val="2"/>
                <w:sz w:val="20"/>
                <w:szCs w:val="20"/>
                <w:lang/>
              </w:rPr>
              <w:t>NAICS 21</w:t>
            </w:r>
          </w:p>
        </w:tc>
        <w:tc>
          <w:tcPr>
            <w:tcW w:w="701" w:type="pct"/>
            <w:tcBorders>
              <w:top w:val="single" w:sz="4" w:space="0" w:color="auto"/>
              <w:left w:val="nil"/>
              <w:bottom w:val="single" w:sz="4" w:space="0" w:color="auto"/>
              <w:right w:val="nil"/>
            </w:tcBorders>
          </w:tcPr>
          <w:p w14:paraId="4F127BF7" w14:textId="63C954C9" w:rsidR="00EE4448" w:rsidRPr="00695826" w:rsidRDefault="00EE4448" w:rsidP="00695826">
            <w:pPr>
              <w:widowControl w:val="0"/>
              <w:autoSpaceDE w:val="0"/>
              <w:autoSpaceDN w:val="0"/>
              <w:adjustRightInd w:val="0"/>
              <w:spacing w:line="240" w:lineRule="auto"/>
              <w:rPr>
                <w:rFonts w:cs="Times New Roman"/>
                <w:b/>
                <w:bCs/>
                <w:kern w:val="2"/>
                <w:sz w:val="20"/>
                <w:szCs w:val="20"/>
                <w:lang/>
              </w:rPr>
            </w:pPr>
            <w:r w:rsidRPr="00695826">
              <w:rPr>
                <w:rFonts w:cs="Times New Roman"/>
                <w:b/>
                <w:bCs/>
                <w:kern w:val="2"/>
                <w:sz w:val="20"/>
                <w:szCs w:val="20"/>
                <w:lang/>
              </w:rPr>
              <w:t>NAICS 22</w:t>
            </w:r>
          </w:p>
        </w:tc>
        <w:tc>
          <w:tcPr>
            <w:tcW w:w="752" w:type="pct"/>
            <w:tcBorders>
              <w:top w:val="single" w:sz="4" w:space="0" w:color="auto"/>
              <w:left w:val="nil"/>
              <w:bottom w:val="single" w:sz="4" w:space="0" w:color="auto"/>
              <w:right w:val="nil"/>
            </w:tcBorders>
          </w:tcPr>
          <w:p w14:paraId="132A8501" w14:textId="3DC6870D" w:rsidR="00EE4448" w:rsidRPr="00695826" w:rsidRDefault="00EE4448" w:rsidP="00695826">
            <w:pPr>
              <w:widowControl w:val="0"/>
              <w:autoSpaceDE w:val="0"/>
              <w:autoSpaceDN w:val="0"/>
              <w:adjustRightInd w:val="0"/>
              <w:spacing w:line="240" w:lineRule="auto"/>
              <w:rPr>
                <w:rFonts w:cs="Times New Roman"/>
                <w:b/>
                <w:bCs/>
                <w:kern w:val="2"/>
                <w:sz w:val="20"/>
                <w:szCs w:val="20"/>
                <w:lang/>
              </w:rPr>
            </w:pPr>
            <w:r w:rsidRPr="00695826">
              <w:rPr>
                <w:rFonts w:cs="Times New Roman"/>
                <w:b/>
                <w:bCs/>
                <w:kern w:val="2"/>
                <w:sz w:val="20"/>
                <w:szCs w:val="20"/>
                <w:lang/>
              </w:rPr>
              <w:t>NAICS 23</w:t>
            </w:r>
          </w:p>
        </w:tc>
        <w:tc>
          <w:tcPr>
            <w:tcW w:w="849" w:type="pct"/>
            <w:tcBorders>
              <w:top w:val="single" w:sz="4" w:space="0" w:color="auto"/>
              <w:left w:val="nil"/>
              <w:bottom w:val="single" w:sz="4" w:space="0" w:color="auto"/>
              <w:right w:val="nil"/>
            </w:tcBorders>
          </w:tcPr>
          <w:p w14:paraId="613D3BC5" w14:textId="0437C402" w:rsidR="00EE4448" w:rsidRPr="00695826" w:rsidRDefault="00EE4448" w:rsidP="00695826">
            <w:pPr>
              <w:widowControl w:val="0"/>
              <w:autoSpaceDE w:val="0"/>
              <w:autoSpaceDN w:val="0"/>
              <w:adjustRightInd w:val="0"/>
              <w:spacing w:line="240" w:lineRule="auto"/>
              <w:rPr>
                <w:rFonts w:cs="Times New Roman"/>
                <w:b/>
                <w:bCs/>
                <w:kern w:val="2"/>
                <w:sz w:val="20"/>
                <w:szCs w:val="20"/>
                <w:lang/>
              </w:rPr>
            </w:pPr>
            <w:r w:rsidRPr="00695826">
              <w:rPr>
                <w:rFonts w:cs="Times New Roman"/>
                <w:b/>
                <w:bCs/>
                <w:kern w:val="2"/>
                <w:sz w:val="20"/>
                <w:szCs w:val="20"/>
                <w:lang/>
              </w:rPr>
              <w:t>NAICS 31-33</w:t>
            </w:r>
          </w:p>
        </w:tc>
      </w:tr>
      <w:tr w:rsidR="00CE0D78" w:rsidRPr="00CD4846" w14:paraId="216CDBD2" w14:textId="77777777" w:rsidTr="00EE4448">
        <w:tc>
          <w:tcPr>
            <w:tcW w:w="1436" w:type="pct"/>
            <w:tcBorders>
              <w:top w:val="single" w:sz="4" w:space="0" w:color="auto"/>
              <w:left w:val="nil"/>
              <w:bottom w:val="nil"/>
              <w:right w:val="nil"/>
            </w:tcBorders>
          </w:tcPr>
          <w:p w14:paraId="5B0E65F9"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Strict PAD(t-1)</w:t>
            </w:r>
          </w:p>
        </w:tc>
        <w:tc>
          <w:tcPr>
            <w:tcW w:w="621" w:type="pct"/>
            <w:tcBorders>
              <w:top w:val="single" w:sz="4" w:space="0" w:color="auto"/>
              <w:left w:val="nil"/>
              <w:bottom w:val="nil"/>
              <w:right w:val="nil"/>
            </w:tcBorders>
          </w:tcPr>
          <w:p w14:paraId="526AD7A0"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-1.991***</w:t>
            </w:r>
          </w:p>
        </w:tc>
        <w:tc>
          <w:tcPr>
            <w:tcW w:w="641" w:type="pct"/>
            <w:tcBorders>
              <w:top w:val="single" w:sz="4" w:space="0" w:color="auto"/>
              <w:left w:val="nil"/>
              <w:bottom w:val="nil"/>
              <w:right w:val="nil"/>
            </w:tcBorders>
          </w:tcPr>
          <w:p w14:paraId="67DEEA9E"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-1.091</w:t>
            </w:r>
          </w:p>
        </w:tc>
        <w:tc>
          <w:tcPr>
            <w:tcW w:w="701" w:type="pct"/>
            <w:tcBorders>
              <w:top w:val="single" w:sz="4" w:space="0" w:color="auto"/>
              <w:left w:val="nil"/>
              <w:bottom w:val="nil"/>
              <w:right w:val="nil"/>
            </w:tcBorders>
          </w:tcPr>
          <w:p w14:paraId="6DDB92E7"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-2.827*</w:t>
            </w:r>
          </w:p>
        </w:tc>
        <w:tc>
          <w:tcPr>
            <w:tcW w:w="752" w:type="pct"/>
            <w:tcBorders>
              <w:top w:val="single" w:sz="4" w:space="0" w:color="auto"/>
              <w:left w:val="nil"/>
              <w:bottom w:val="nil"/>
              <w:right w:val="nil"/>
            </w:tcBorders>
          </w:tcPr>
          <w:p w14:paraId="1B9F8A27"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-0.762</w:t>
            </w:r>
          </w:p>
        </w:tc>
        <w:tc>
          <w:tcPr>
            <w:tcW w:w="849" w:type="pct"/>
            <w:tcBorders>
              <w:top w:val="single" w:sz="4" w:space="0" w:color="auto"/>
              <w:left w:val="nil"/>
              <w:bottom w:val="nil"/>
              <w:right w:val="nil"/>
            </w:tcBorders>
          </w:tcPr>
          <w:p w14:paraId="5283B2BD"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2.149**</w:t>
            </w:r>
          </w:p>
        </w:tc>
      </w:tr>
      <w:tr w:rsidR="00CE0D78" w:rsidRPr="00CD4846" w14:paraId="3F683B72" w14:textId="77777777" w:rsidTr="00EE4448">
        <w:tc>
          <w:tcPr>
            <w:tcW w:w="1436" w:type="pct"/>
            <w:tcBorders>
              <w:top w:val="nil"/>
              <w:left w:val="nil"/>
              <w:bottom w:val="nil"/>
              <w:right w:val="nil"/>
            </w:tcBorders>
          </w:tcPr>
          <w:p w14:paraId="6839D4FD" w14:textId="6A6742BC" w:rsidR="00EE4448" w:rsidRPr="00695826" w:rsidRDefault="00EE4448" w:rsidP="00695826">
            <w:pPr>
              <w:widowControl w:val="0"/>
              <w:autoSpaceDE w:val="0"/>
              <w:autoSpaceDN w:val="0"/>
              <w:adjustRightInd w:val="0"/>
              <w:spacing w:line="240" w:lineRule="auto"/>
              <w:rPr>
                <w:rFonts w:cs="Times New Roman"/>
                <w:kern w:val="2"/>
                <w:sz w:val="20"/>
                <w:szCs w:val="20"/>
                <w:lang/>
              </w:rPr>
            </w:pPr>
          </w:p>
        </w:tc>
        <w:tc>
          <w:tcPr>
            <w:tcW w:w="621" w:type="pct"/>
            <w:tcBorders>
              <w:top w:val="nil"/>
              <w:left w:val="nil"/>
              <w:bottom w:val="nil"/>
              <w:right w:val="nil"/>
            </w:tcBorders>
          </w:tcPr>
          <w:p w14:paraId="0DACD59D"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(0.535)</w:t>
            </w:r>
          </w:p>
        </w:tc>
        <w:tc>
          <w:tcPr>
            <w:tcW w:w="641" w:type="pct"/>
            <w:tcBorders>
              <w:top w:val="nil"/>
              <w:left w:val="nil"/>
              <w:bottom w:val="nil"/>
              <w:right w:val="nil"/>
            </w:tcBorders>
          </w:tcPr>
          <w:p w14:paraId="3A8BAA7F"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(1.411)</w:t>
            </w:r>
          </w:p>
        </w:tc>
        <w:tc>
          <w:tcPr>
            <w:tcW w:w="701" w:type="pct"/>
            <w:tcBorders>
              <w:top w:val="nil"/>
              <w:left w:val="nil"/>
              <w:bottom w:val="nil"/>
              <w:right w:val="nil"/>
            </w:tcBorders>
          </w:tcPr>
          <w:p w14:paraId="1B18A866"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(1.477)</w:t>
            </w:r>
          </w:p>
        </w:tc>
        <w:tc>
          <w:tcPr>
            <w:tcW w:w="752" w:type="pct"/>
            <w:tcBorders>
              <w:top w:val="nil"/>
              <w:left w:val="nil"/>
              <w:bottom w:val="nil"/>
              <w:right w:val="nil"/>
            </w:tcBorders>
          </w:tcPr>
          <w:p w14:paraId="1C0117DD"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(0.603)</w:t>
            </w:r>
          </w:p>
        </w:tc>
        <w:tc>
          <w:tcPr>
            <w:tcW w:w="849" w:type="pct"/>
            <w:tcBorders>
              <w:top w:val="nil"/>
              <w:left w:val="nil"/>
              <w:bottom w:val="nil"/>
              <w:right w:val="nil"/>
            </w:tcBorders>
          </w:tcPr>
          <w:p w14:paraId="70FD45B6"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(1.015)</w:t>
            </w:r>
          </w:p>
        </w:tc>
      </w:tr>
      <w:tr w:rsidR="00CE0D78" w:rsidRPr="00CD4846" w14:paraId="73BF1DE4" w14:textId="77777777" w:rsidTr="00EE4448">
        <w:tc>
          <w:tcPr>
            <w:tcW w:w="1436" w:type="pct"/>
            <w:tcBorders>
              <w:top w:val="nil"/>
              <w:left w:val="nil"/>
              <w:bottom w:val="nil"/>
              <w:right w:val="nil"/>
            </w:tcBorders>
          </w:tcPr>
          <w:p w14:paraId="1CBD66A6"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Strict PAD Sq. (t-1)</w:t>
            </w:r>
          </w:p>
        </w:tc>
        <w:tc>
          <w:tcPr>
            <w:tcW w:w="621" w:type="pct"/>
            <w:tcBorders>
              <w:top w:val="nil"/>
              <w:left w:val="nil"/>
              <w:bottom w:val="nil"/>
              <w:right w:val="nil"/>
            </w:tcBorders>
          </w:tcPr>
          <w:p w14:paraId="2917A6CD"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2.196*</w:t>
            </w:r>
          </w:p>
        </w:tc>
        <w:tc>
          <w:tcPr>
            <w:tcW w:w="641" w:type="pct"/>
            <w:tcBorders>
              <w:top w:val="nil"/>
              <w:left w:val="nil"/>
              <w:bottom w:val="nil"/>
              <w:right w:val="nil"/>
            </w:tcBorders>
          </w:tcPr>
          <w:p w14:paraId="0B66DEAB"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6.922**</w:t>
            </w:r>
          </w:p>
        </w:tc>
        <w:tc>
          <w:tcPr>
            <w:tcW w:w="701" w:type="pct"/>
            <w:tcBorders>
              <w:top w:val="nil"/>
              <w:left w:val="nil"/>
              <w:bottom w:val="nil"/>
              <w:right w:val="nil"/>
            </w:tcBorders>
          </w:tcPr>
          <w:p w14:paraId="0478F195"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4.357</w:t>
            </w:r>
          </w:p>
        </w:tc>
        <w:tc>
          <w:tcPr>
            <w:tcW w:w="752" w:type="pct"/>
            <w:tcBorders>
              <w:top w:val="nil"/>
              <w:left w:val="nil"/>
              <w:bottom w:val="nil"/>
              <w:right w:val="nil"/>
            </w:tcBorders>
          </w:tcPr>
          <w:p w14:paraId="2ED8A218"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-0.583</w:t>
            </w:r>
          </w:p>
        </w:tc>
        <w:tc>
          <w:tcPr>
            <w:tcW w:w="849" w:type="pct"/>
            <w:tcBorders>
              <w:top w:val="nil"/>
              <w:left w:val="nil"/>
              <w:bottom w:val="nil"/>
              <w:right w:val="nil"/>
            </w:tcBorders>
          </w:tcPr>
          <w:p w14:paraId="47CF38B4"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-2.788*</w:t>
            </w:r>
          </w:p>
        </w:tc>
      </w:tr>
      <w:tr w:rsidR="00CE0D78" w:rsidRPr="00CD4846" w14:paraId="368FB202" w14:textId="77777777" w:rsidTr="00EE4448">
        <w:tc>
          <w:tcPr>
            <w:tcW w:w="1436" w:type="pct"/>
            <w:tcBorders>
              <w:top w:val="nil"/>
              <w:left w:val="nil"/>
              <w:bottom w:val="nil"/>
              <w:right w:val="nil"/>
            </w:tcBorders>
          </w:tcPr>
          <w:p w14:paraId="05EA9F21" w14:textId="1678277A" w:rsidR="00EE4448" w:rsidRPr="00695826" w:rsidRDefault="00EE4448" w:rsidP="00695826">
            <w:pPr>
              <w:widowControl w:val="0"/>
              <w:autoSpaceDE w:val="0"/>
              <w:autoSpaceDN w:val="0"/>
              <w:adjustRightInd w:val="0"/>
              <w:spacing w:line="240" w:lineRule="auto"/>
              <w:rPr>
                <w:rFonts w:cs="Times New Roman"/>
                <w:kern w:val="2"/>
                <w:sz w:val="20"/>
                <w:szCs w:val="20"/>
                <w:lang/>
              </w:rPr>
            </w:pPr>
          </w:p>
        </w:tc>
        <w:tc>
          <w:tcPr>
            <w:tcW w:w="621" w:type="pct"/>
            <w:tcBorders>
              <w:top w:val="nil"/>
              <w:left w:val="nil"/>
              <w:bottom w:val="nil"/>
              <w:right w:val="nil"/>
            </w:tcBorders>
          </w:tcPr>
          <w:p w14:paraId="14E76CAA"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(1.178)</w:t>
            </w:r>
          </w:p>
        </w:tc>
        <w:tc>
          <w:tcPr>
            <w:tcW w:w="641" w:type="pct"/>
            <w:tcBorders>
              <w:top w:val="nil"/>
              <w:left w:val="nil"/>
              <w:bottom w:val="nil"/>
              <w:right w:val="nil"/>
            </w:tcBorders>
          </w:tcPr>
          <w:p w14:paraId="0D4067AA"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(3.069)</w:t>
            </w:r>
          </w:p>
        </w:tc>
        <w:tc>
          <w:tcPr>
            <w:tcW w:w="701" w:type="pct"/>
            <w:tcBorders>
              <w:top w:val="nil"/>
              <w:left w:val="nil"/>
              <w:bottom w:val="nil"/>
              <w:right w:val="nil"/>
            </w:tcBorders>
          </w:tcPr>
          <w:p w14:paraId="7AD5972E"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(3.215)</w:t>
            </w:r>
          </w:p>
        </w:tc>
        <w:tc>
          <w:tcPr>
            <w:tcW w:w="752" w:type="pct"/>
            <w:tcBorders>
              <w:top w:val="nil"/>
              <w:left w:val="nil"/>
              <w:bottom w:val="nil"/>
              <w:right w:val="nil"/>
            </w:tcBorders>
          </w:tcPr>
          <w:p w14:paraId="6F15C947"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(1.040)</w:t>
            </w:r>
          </w:p>
        </w:tc>
        <w:tc>
          <w:tcPr>
            <w:tcW w:w="849" w:type="pct"/>
            <w:tcBorders>
              <w:top w:val="nil"/>
              <w:left w:val="nil"/>
              <w:bottom w:val="nil"/>
              <w:right w:val="nil"/>
            </w:tcBorders>
          </w:tcPr>
          <w:p w14:paraId="31D79584"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(1.516)</w:t>
            </w:r>
          </w:p>
        </w:tc>
      </w:tr>
      <w:tr w:rsidR="00CE0D78" w:rsidRPr="00CD4846" w14:paraId="6BA63E06" w14:textId="77777777" w:rsidTr="00EE4448">
        <w:tc>
          <w:tcPr>
            <w:tcW w:w="1436" w:type="pct"/>
            <w:tcBorders>
              <w:top w:val="nil"/>
              <w:left w:val="nil"/>
              <w:bottom w:val="nil"/>
              <w:right w:val="nil"/>
            </w:tcBorders>
          </w:tcPr>
          <w:p w14:paraId="41ACD463" w14:textId="1A8F2C7E"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Loc. Economies (t-1) (10ks)</w:t>
            </w:r>
          </w:p>
        </w:tc>
        <w:tc>
          <w:tcPr>
            <w:tcW w:w="621" w:type="pct"/>
            <w:tcBorders>
              <w:top w:val="nil"/>
              <w:left w:val="nil"/>
              <w:bottom w:val="nil"/>
              <w:right w:val="nil"/>
            </w:tcBorders>
          </w:tcPr>
          <w:p w14:paraId="1E5CB5C1"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74.274***</w:t>
            </w:r>
          </w:p>
        </w:tc>
        <w:tc>
          <w:tcPr>
            <w:tcW w:w="641" w:type="pct"/>
            <w:tcBorders>
              <w:top w:val="nil"/>
              <w:left w:val="nil"/>
              <w:bottom w:val="nil"/>
              <w:right w:val="nil"/>
            </w:tcBorders>
          </w:tcPr>
          <w:p w14:paraId="65B57425"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48.585***</w:t>
            </w:r>
          </w:p>
        </w:tc>
        <w:tc>
          <w:tcPr>
            <w:tcW w:w="701" w:type="pct"/>
            <w:tcBorders>
              <w:top w:val="nil"/>
              <w:left w:val="nil"/>
              <w:bottom w:val="nil"/>
              <w:right w:val="nil"/>
            </w:tcBorders>
          </w:tcPr>
          <w:p w14:paraId="7D3590C5"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259.295***</w:t>
            </w:r>
          </w:p>
        </w:tc>
        <w:tc>
          <w:tcPr>
            <w:tcW w:w="752" w:type="pct"/>
            <w:tcBorders>
              <w:top w:val="nil"/>
              <w:left w:val="nil"/>
              <w:bottom w:val="nil"/>
              <w:right w:val="nil"/>
            </w:tcBorders>
          </w:tcPr>
          <w:p w14:paraId="0AFFD3E6"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1.359***</w:t>
            </w:r>
          </w:p>
        </w:tc>
        <w:tc>
          <w:tcPr>
            <w:tcW w:w="849" w:type="pct"/>
            <w:tcBorders>
              <w:top w:val="nil"/>
              <w:left w:val="nil"/>
              <w:bottom w:val="nil"/>
              <w:right w:val="nil"/>
            </w:tcBorders>
          </w:tcPr>
          <w:p w14:paraId="1370DBA0"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1.866***</w:t>
            </w:r>
          </w:p>
        </w:tc>
      </w:tr>
      <w:tr w:rsidR="00CE0D78" w:rsidRPr="00CD4846" w14:paraId="4CD6C47C" w14:textId="77777777" w:rsidTr="00EE4448">
        <w:tc>
          <w:tcPr>
            <w:tcW w:w="1436" w:type="pct"/>
            <w:tcBorders>
              <w:top w:val="nil"/>
              <w:left w:val="nil"/>
              <w:bottom w:val="nil"/>
              <w:right w:val="nil"/>
            </w:tcBorders>
          </w:tcPr>
          <w:p w14:paraId="63A64F28" w14:textId="01AAA7F5" w:rsidR="00EE4448" w:rsidRPr="00695826" w:rsidRDefault="00EE4448" w:rsidP="00695826">
            <w:pPr>
              <w:widowControl w:val="0"/>
              <w:autoSpaceDE w:val="0"/>
              <w:autoSpaceDN w:val="0"/>
              <w:adjustRightInd w:val="0"/>
              <w:spacing w:line="240" w:lineRule="auto"/>
              <w:rPr>
                <w:rFonts w:cs="Times New Roman"/>
                <w:kern w:val="2"/>
                <w:sz w:val="20"/>
                <w:szCs w:val="20"/>
                <w:lang/>
              </w:rPr>
            </w:pPr>
          </w:p>
        </w:tc>
        <w:tc>
          <w:tcPr>
            <w:tcW w:w="621" w:type="pct"/>
            <w:tcBorders>
              <w:top w:val="nil"/>
              <w:left w:val="nil"/>
              <w:bottom w:val="nil"/>
              <w:right w:val="nil"/>
            </w:tcBorders>
          </w:tcPr>
          <w:p w14:paraId="7E37AFC8"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(9.476)</w:t>
            </w:r>
          </w:p>
        </w:tc>
        <w:tc>
          <w:tcPr>
            <w:tcW w:w="641" w:type="pct"/>
            <w:tcBorders>
              <w:top w:val="nil"/>
              <w:left w:val="nil"/>
              <w:bottom w:val="nil"/>
              <w:right w:val="nil"/>
            </w:tcBorders>
          </w:tcPr>
          <w:p w14:paraId="395F8E55"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(8.255)</w:t>
            </w:r>
          </w:p>
        </w:tc>
        <w:tc>
          <w:tcPr>
            <w:tcW w:w="701" w:type="pct"/>
            <w:tcBorders>
              <w:top w:val="nil"/>
              <w:left w:val="nil"/>
              <w:bottom w:val="nil"/>
              <w:right w:val="nil"/>
            </w:tcBorders>
          </w:tcPr>
          <w:p w14:paraId="21E42454"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(44.504)</w:t>
            </w:r>
          </w:p>
        </w:tc>
        <w:tc>
          <w:tcPr>
            <w:tcW w:w="752" w:type="pct"/>
            <w:tcBorders>
              <w:top w:val="nil"/>
              <w:left w:val="nil"/>
              <w:bottom w:val="nil"/>
              <w:right w:val="nil"/>
            </w:tcBorders>
          </w:tcPr>
          <w:p w14:paraId="48526F00"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(0.299)</w:t>
            </w:r>
          </w:p>
        </w:tc>
        <w:tc>
          <w:tcPr>
            <w:tcW w:w="849" w:type="pct"/>
            <w:tcBorders>
              <w:top w:val="nil"/>
              <w:left w:val="nil"/>
              <w:bottom w:val="nil"/>
              <w:right w:val="nil"/>
            </w:tcBorders>
          </w:tcPr>
          <w:p w14:paraId="1D792D97"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(0.610)</w:t>
            </w:r>
          </w:p>
        </w:tc>
      </w:tr>
      <w:tr w:rsidR="00CE0D78" w:rsidRPr="00CD4846" w14:paraId="487559C4" w14:textId="77777777" w:rsidTr="00EE4448">
        <w:tc>
          <w:tcPr>
            <w:tcW w:w="1436" w:type="pct"/>
            <w:tcBorders>
              <w:top w:val="nil"/>
              <w:left w:val="nil"/>
              <w:bottom w:val="nil"/>
              <w:right w:val="nil"/>
            </w:tcBorders>
          </w:tcPr>
          <w:p w14:paraId="663C9F96" w14:textId="0AFA0EBD"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Median HH Income (100ks)</w:t>
            </w:r>
          </w:p>
        </w:tc>
        <w:tc>
          <w:tcPr>
            <w:tcW w:w="621" w:type="pct"/>
            <w:tcBorders>
              <w:top w:val="nil"/>
              <w:left w:val="nil"/>
              <w:bottom w:val="nil"/>
              <w:right w:val="nil"/>
            </w:tcBorders>
          </w:tcPr>
          <w:p w14:paraId="3EC335D4"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-0.057</w:t>
            </w:r>
          </w:p>
        </w:tc>
        <w:tc>
          <w:tcPr>
            <w:tcW w:w="641" w:type="pct"/>
            <w:tcBorders>
              <w:top w:val="nil"/>
              <w:left w:val="nil"/>
              <w:bottom w:val="nil"/>
              <w:right w:val="nil"/>
            </w:tcBorders>
          </w:tcPr>
          <w:p w14:paraId="61F4D4EA"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-2.377**</w:t>
            </w:r>
          </w:p>
        </w:tc>
        <w:tc>
          <w:tcPr>
            <w:tcW w:w="701" w:type="pct"/>
            <w:tcBorders>
              <w:top w:val="nil"/>
              <w:left w:val="nil"/>
              <w:bottom w:val="nil"/>
              <w:right w:val="nil"/>
            </w:tcBorders>
          </w:tcPr>
          <w:p w14:paraId="0898F91E"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0.391</w:t>
            </w:r>
          </w:p>
        </w:tc>
        <w:tc>
          <w:tcPr>
            <w:tcW w:w="752" w:type="pct"/>
            <w:tcBorders>
              <w:top w:val="nil"/>
              <w:left w:val="nil"/>
              <w:bottom w:val="nil"/>
              <w:right w:val="nil"/>
            </w:tcBorders>
          </w:tcPr>
          <w:p w14:paraId="6F999AC9"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-0.216</w:t>
            </w:r>
          </w:p>
        </w:tc>
        <w:tc>
          <w:tcPr>
            <w:tcW w:w="849" w:type="pct"/>
            <w:tcBorders>
              <w:top w:val="nil"/>
              <w:left w:val="nil"/>
              <w:bottom w:val="nil"/>
              <w:right w:val="nil"/>
            </w:tcBorders>
          </w:tcPr>
          <w:p w14:paraId="72D3F545"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-0.338*</w:t>
            </w:r>
          </w:p>
        </w:tc>
      </w:tr>
      <w:tr w:rsidR="00CE0D78" w:rsidRPr="00CD4846" w14:paraId="099BF8B0" w14:textId="77777777" w:rsidTr="00EE4448">
        <w:tc>
          <w:tcPr>
            <w:tcW w:w="1436" w:type="pct"/>
            <w:tcBorders>
              <w:top w:val="nil"/>
              <w:left w:val="nil"/>
              <w:bottom w:val="nil"/>
              <w:right w:val="nil"/>
            </w:tcBorders>
          </w:tcPr>
          <w:p w14:paraId="59019E3A" w14:textId="36142CFF" w:rsidR="00EE4448" w:rsidRPr="00695826" w:rsidRDefault="00EE4448" w:rsidP="00695826">
            <w:pPr>
              <w:widowControl w:val="0"/>
              <w:autoSpaceDE w:val="0"/>
              <w:autoSpaceDN w:val="0"/>
              <w:adjustRightInd w:val="0"/>
              <w:spacing w:line="240" w:lineRule="auto"/>
              <w:rPr>
                <w:rFonts w:cs="Times New Roman"/>
                <w:kern w:val="2"/>
                <w:sz w:val="20"/>
                <w:szCs w:val="20"/>
                <w:lang/>
              </w:rPr>
            </w:pPr>
          </w:p>
        </w:tc>
        <w:tc>
          <w:tcPr>
            <w:tcW w:w="621" w:type="pct"/>
            <w:tcBorders>
              <w:top w:val="nil"/>
              <w:left w:val="nil"/>
              <w:bottom w:val="nil"/>
              <w:right w:val="nil"/>
            </w:tcBorders>
          </w:tcPr>
          <w:p w14:paraId="2E1FF1BC"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(0.247)</w:t>
            </w:r>
          </w:p>
        </w:tc>
        <w:tc>
          <w:tcPr>
            <w:tcW w:w="641" w:type="pct"/>
            <w:tcBorders>
              <w:top w:val="nil"/>
              <w:left w:val="nil"/>
              <w:bottom w:val="nil"/>
              <w:right w:val="nil"/>
            </w:tcBorders>
          </w:tcPr>
          <w:p w14:paraId="1A898AE5"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(0.982)</w:t>
            </w:r>
          </w:p>
        </w:tc>
        <w:tc>
          <w:tcPr>
            <w:tcW w:w="701" w:type="pct"/>
            <w:tcBorders>
              <w:top w:val="nil"/>
              <w:left w:val="nil"/>
              <w:bottom w:val="nil"/>
              <w:right w:val="nil"/>
            </w:tcBorders>
          </w:tcPr>
          <w:p w14:paraId="29A2459D"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(0.421)</w:t>
            </w:r>
          </w:p>
        </w:tc>
        <w:tc>
          <w:tcPr>
            <w:tcW w:w="752" w:type="pct"/>
            <w:tcBorders>
              <w:top w:val="nil"/>
              <w:left w:val="nil"/>
              <w:bottom w:val="nil"/>
              <w:right w:val="nil"/>
            </w:tcBorders>
          </w:tcPr>
          <w:p w14:paraId="51556A61"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(0.176)</w:t>
            </w:r>
          </w:p>
        </w:tc>
        <w:tc>
          <w:tcPr>
            <w:tcW w:w="849" w:type="pct"/>
            <w:tcBorders>
              <w:top w:val="nil"/>
              <w:left w:val="nil"/>
              <w:bottom w:val="nil"/>
              <w:right w:val="nil"/>
            </w:tcBorders>
          </w:tcPr>
          <w:p w14:paraId="54DEFCFA"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(0.173)</w:t>
            </w:r>
          </w:p>
        </w:tc>
      </w:tr>
      <w:tr w:rsidR="00CE0D78" w:rsidRPr="00CD4846" w14:paraId="51D0AFEA" w14:textId="77777777" w:rsidTr="00EE4448">
        <w:tc>
          <w:tcPr>
            <w:tcW w:w="1436" w:type="pct"/>
            <w:tcBorders>
              <w:top w:val="nil"/>
              <w:left w:val="nil"/>
              <w:bottom w:val="nil"/>
              <w:right w:val="nil"/>
            </w:tcBorders>
          </w:tcPr>
          <w:p w14:paraId="3FA020B3" w14:textId="3F0F1648"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Housing Price Index (100s)</w:t>
            </w:r>
          </w:p>
        </w:tc>
        <w:tc>
          <w:tcPr>
            <w:tcW w:w="621" w:type="pct"/>
            <w:tcBorders>
              <w:top w:val="nil"/>
              <w:left w:val="nil"/>
              <w:bottom w:val="nil"/>
              <w:right w:val="nil"/>
            </w:tcBorders>
          </w:tcPr>
          <w:p w14:paraId="7D1345AB"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-0.021</w:t>
            </w:r>
          </w:p>
        </w:tc>
        <w:tc>
          <w:tcPr>
            <w:tcW w:w="641" w:type="pct"/>
            <w:tcBorders>
              <w:top w:val="nil"/>
              <w:left w:val="nil"/>
              <w:bottom w:val="nil"/>
              <w:right w:val="nil"/>
            </w:tcBorders>
          </w:tcPr>
          <w:p w14:paraId="6764BEBC"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0.024</w:t>
            </w:r>
          </w:p>
        </w:tc>
        <w:tc>
          <w:tcPr>
            <w:tcW w:w="701" w:type="pct"/>
            <w:tcBorders>
              <w:top w:val="nil"/>
              <w:left w:val="nil"/>
              <w:bottom w:val="nil"/>
              <w:right w:val="nil"/>
            </w:tcBorders>
          </w:tcPr>
          <w:p w14:paraId="1EF617D4"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-0.085***</w:t>
            </w:r>
          </w:p>
        </w:tc>
        <w:tc>
          <w:tcPr>
            <w:tcW w:w="752" w:type="pct"/>
            <w:tcBorders>
              <w:top w:val="nil"/>
              <w:left w:val="nil"/>
              <w:bottom w:val="nil"/>
              <w:right w:val="nil"/>
            </w:tcBorders>
          </w:tcPr>
          <w:p w14:paraId="61FCD836"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0.043**</w:t>
            </w:r>
          </w:p>
        </w:tc>
        <w:tc>
          <w:tcPr>
            <w:tcW w:w="849" w:type="pct"/>
            <w:tcBorders>
              <w:top w:val="nil"/>
              <w:left w:val="nil"/>
              <w:bottom w:val="nil"/>
              <w:right w:val="nil"/>
            </w:tcBorders>
          </w:tcPr>
          <w:p w14:paraId="3BFF724C"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0.046***</w:t>
            </w:r>
          </w:p>
        </w:tc>
      </w:tr>
      <w:tr w:rsidR="00CE0D78" w:rsidRPr="00CD4846" w14:paraId="3D720B5A" w14:textId="77777777" w:rsidTr="00EE4448">
        <w:tc>
          <w:tcPr>
            <w:tcW w:w="1436" w:type="pct"/>
            <w:tcBorders>
              <w:top w:val="nil"/>
              <w:left w:val="nil"/>
              <w:bottom w:val="nil"/>
              <w:right w:val="nil"/>
            </w:tcBorders>
          </w:tcPr>
          <w:p w14:paraId="4DF989D6" w14:textId="40D6A90A" w:rsidR="00EE4448" w:rsidRPr="00695826" w:rsidRDefault="00EE4448" w:rsidP="00695826">
            <w:pPr>
              <w:widowControl w:val="0"/>
              <w:autoSpaceDE w:val="0"/>
              <w:autoSpaceDN w:val="0"/>
              <w:adjustRightInd w:val="0"/>
              <w:spacing w:line="240" w:lineRule="auto"/>
              <w:rPr>
                <w:rFonts w:cs="Times New Roman"/>
                <w:kern w:val="2"/>
                <w:sz w:val="20"/>
                <w:szCs w:val="20"/>
                <w:lang/>
              </w:rPr>
            </w:pPr>
          </w:p>
        </w:tc>
        <w:tc>
          <w:tcPr>
            <w:tcW w:w="621" w:type="pct"/>
            <w:tcBorders>
              <w:top w:val="nil"/>
              <w:left w:val="nil"/>
              <w:bottom w:val="nil"/>
              <w:right w:val="nil"/>
            </w:tcBorders>
          </w:tcPr>
          <w:p w14:paraId="7929AACF"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(0.020)</w:t>
            </w:r>
          </w:p>
        </w:tc>
        <w:tc>
          <w:tcPr>
            <w:tcW w:w="641" w:type="pct"/>
            <w:tcBorders>
              <w:top w:val="nil"/>
              <w:left w:val="nil"/>
              <w:bottom w:val="nil"/>
              <w:right w:val="nil"/>
            </w:tcBorders>
          </w:tcPr>
          <w:p w14:paraId="4E8ABFC2"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(0.052)</w:t>
            </w:r>
          </w:p>
        </w:tc>
        <w:tc>
          <w:tcPr>
            <w:tcW w:w="701" w:type="pct"/>
            <w:tcBorders>
              <w:top w:val="nil"/>
              <w:left w:val="nil"/>
              <w:bottom w:val="nil"/>
              <w:right w:val="nil"/>
            </w:tcBorders>
          </w:tcPr>
          <w:p w14:paraId="3BEB595B"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(0.027)</w:t>
            </w:r>
          </w:p>
        </w:tc>
        <w:tc>
          <w:tcPr>
            <w:tcW w:w="752" w:type="pct"/>
            <w:tcBorders>
              <w:top w:val="nil"/>
              <w:left w:val="nil"/>
              <w:bottom w:val="nil"/>
              <w:right w:val="nil"/>
            </w:tcBorders>
          </w:tcPr>
          <w:p w14:paraId="4ECFD6C4"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(0.018)</w:t>
            </w:r>
          </w:p>
        </w:tc>
        <w:tc>
          <w:tcPr>
            <w:tcW w:w="849" w:type="pct"/>
            <w:tcBorders>
              <w:top w:val="nil"/>
              <w:left w:val="nil"/>
              <w:bottom w:val="nil"/>
              <w:right w:val="nil"/>
            </w:tcBorders>
          </w:tcPr>
          <w:p w14:paraId="166F0DD3"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(0.013)</w:t>
            </w:r>
          </w:p>
        </w:tc>
      </w:tr>
      <w:tr w:rsidR="00CE0D78" w:rsidRPr="00CD4846" w14:paraId="50694CE2" w14:textId="77777777" w:rsidTr="00EE4448">
        <w:tc>
          <w:tcPr>
            <w:tcW w:w="1436" w:type="pct"/>
            <w:tcBorders>
              <w:top w:val="nil"/>
              <w:left w:val="nil"/>
              <w:bottom w:val="nil"/>
              <w:right w:val="nil"/>
            </w:tcBorders>
          </w:tcPr>
          <w:p w14:paraId="5B2A6245" w14:textId="061FB928"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Poverty rate (100s)</w:t>
            </w:r>
          </w:p>
        </w:tc>
        <w:tc>
          <w:tcPr>
            <w:tcW w:w="621" w:type="pct"/>
            <w:tcBorders>
              <w:top w:val="nil"/>
              <w:left w:val="nil"/>
              <w:bottom w:val="nil"/>
              <w:right w:val="nil"/>
            </w:tcBorders>
          </w:tcPr>
          <w:p w14:paraId="0408E476"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0.008</w:t>
            </w:r>
          </w:p>
        </w:tc>
        <w:tc>
          <w:tcPr>
            <w:tcW w:w="641" w:type="pct"/>
            <w:tcBorders>
              <w:top w:val="nil"/>
              <w:left w:val="nil"/>
              <w:bottom w:val="nil"/>
              <w:right w:val="nil"/>
            </w:tcBorders>
          </w:tcPr>
          <w:p w14:paraId="64312BDA"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-0.645</w:t>
            </w:r>
          </w:p>
        </w:tc>
        <w:tc>
          <w:tcPr>
            <w:tcW w:w="701" w:type="pct"/>
            <w:tcBorders>
              <w:top w:val="nil"/>
              <w:left w:val="nil"/>
              <w:bottom w:val="nil"/>
              <w:right w:val="nil"/>
            </w:tcBorders>
          </w:tcPr>
          <w:p w14:paraId="4D6C31BF"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0.177</w:t>
            </w:r>
          </w:p>
        </w:tc>
        <w:tc>
          <w:tcPr>
            <w:tcW w:w="752" w:type="pct"/>
            <w:tcBorders>
              <w:top w:val="nil"/>
              <w:left w:val="nil"/>
              <w:bottom w:val="nil"/>
              <w:right w:val="nil"/>
            </w:tcBorders>
          </w:tcPr>
          <w:p w14:paraId="4ABD4746"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-0.387</w:t>
            </w:r>
          </w:p>
        </w:tc>
        <w:tc>
          <w:tcPr>
            <w:tcW w:w="849" w:type="pct"/>
            <w:tcBorders>
              <w:top w:val="nil"/>
              <w:left w:val="nil"/>
              <w:bottom w:val="nil"/>
              <w:right w:val="nil"/>
            </w:tcBorders>
          </w:tcPr>
          <w:p w14:paraId="5A642EEE"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-0.222</w:t>
            </w:r>
          </w:p>
        </w:tc>
      </w:tr>
      <w:tr w:rsidR="00CE0D78" w:rsidRPr="00CD4846" w14:paraId="1672CF1E" w14:textId="77777777" w:rsidTr="00EE4448">
        <w:tc>
          <w:tcPr>
            <w:tcW w:w="1436" w:type="pct"/>
            <w:tcBorders>
              <w:top w:val="nil"/>
              <w:left w:val="nil"/>
              <w:bottom w:val="nil"/>
              <w:right w:val="nil"/>
            </w:tcBorders>
          </w:tcPr>
          <w:p w14:paraId="72B74D92" w14:textId="0A0EE2D1" w:rsidR="00EE4448" w:rsidRPr="00695826" w:rsidRDefault="00EE4448" w:rsidP="00695826">
            <w:pPr>
              <w:widowControl w:val="0"/>
              <w:autoSpaceDE w:val="0"/>
              <w:autoSpaceDN w:val="0"/>
              <w:adjustRightInd w:val="0"/>
              <w:spacing w:line="240" w:lineRule="auto"/>
              <w:rPr>
                <w:rFonts w:cs="Times New Roman"/>
                <w:kern w:val="2"/>
                <w:sz w:val="20"/>
                <w:szCs w:val="20"/>
                <w:lang/>
              </w:rPr>
            </w:pPr>
          </w:p>
        </w:tc>
        <w:tc>
          <w:tcPr>
            <w:tcW w:w="621" w:type="pct"/>
            <w:tcBorders>
              <w:top w:val="nil"/>
              <w:left w:val="nil"/>
              <w:bottom w:val="nil"/>
              <w:right w:val="nil"/>
            </w:tcBorders>
          </w:tcPr>
          <w:p w14:paraId="7D27C136"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(0.387)</w:t>
            </w:r>
          </w:p>
        </w:tc>
        <w:tc>
          <w:tcPr>
            <w:tcW w:w="641" w:type="pct"/>
            <w:tcBorders>
              <w:top w:val="nil"/>
              <w:left w:val="nil"/>
              <w:bottom w:val="nil"/>
              <w:right w:val="nil"/>
            </w:tcBorders>
          </w:tcPr>
          <w:p w14:paraId="792C3976"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(1.139)</w:t>
            </w:r>
          </w:p>
        </w:tc>
        <w:tc>
          <w:tcPr>
            <w:tcW w:w="701" w:type="pct"/>
            <w:tcBorders>
              <w:top w:val="nil"/>
              <w:left w:val="nil"/>
              <w:bottom w:val="nil"/>
              <w:right w:val="nil"/>
            </w:tcBorders>
          </w:tcPr>
          <w:p w14:paraId="30A56605"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(0.672)</w:t>
            </w:r>
          </w:p>
        </w:tc>
        <w:tc>
          <w:tcPr>
            <w:tcW w:w="752" w:type="pct"/>
            <w:tcBorders>
              <w:top w:val="nil"/>
              <w:left w:val="nil"/>
              <w:bottom w:val="nil"/>
              <w:right w:val="nil"/>
            </w:tcBorders>
          </w:tcPr>
          <w:p w14:paraId="544794EC"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(0.364)</w:t>
            </w:r>
          </w:p>
        </w:tc>
        <w:tc>
          <w:tcPr>
            <w:tcW w:w="849" w:type="pct"/>
            <w:tcBorders>
              <w:top w:val="nil"/>
              <w:left w:val="nil"/>
              <w:bottom w:val="nil"/>
              <w:right w:val="nil"/>
            </w:tcBorders>
          </w:tcPr>
          <w:p w14:paraId="59290A09"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(0.259)</w:t>
            </w:r>
          </w:p>
        </w:tc>
      </w:tr>
      <w:tr w:rsidR="00CE0D78" w:rsidRPr="00CD4846" w14:paraId="247FACBF" w14:textId="77777777" w:rsidTr="00EE4448">
        <w:tc>
          <w:tcPr>
            <w:tcW w:w="1436" w:type="pct"/>
            <w:tcBorders>
              <w:top w:val="nil"/>
              <w:left w:val="nil"/>
              <w:bottom w:val="nil"/>
              <w:right w:val="nil"/>
            </w:tcBorders>
          </w:tcPr>
          <w:p w14:paraId="4D806F30" w14:textId="782010A3"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Avg annual wages (100k)</w:t>
            </w:r>
          </w:p>
        </w:tc>
        <w:tc>
          <w:tcPr>
            <w:tcW w:w="621" w:type="pct"/>
            <w:tcBorders>
              <w:top w:val="nil"/>
              <w:left w:val="nil"/>
              <w:bottom w:val="nil"/>
              <w:right w:val="nil"/>
            </w:tcBorders>
          </w:tcPr>
          <w:p w14:paraId="5336749B"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-0.012</w:t>
            </w:r>
          </w:p>
        </w:tc>
        <w:tc>
          <w:tcPr>
            <w:tcW w:w="641" w:type="pct"/>
            <w:tcBorders>
              <w:top w:val="nil"/>
              <w:left w:val="nil"/>
              <w:bottom w:val="nil"/>
              <w:right w:val="nil"/>
            </w:tcBorders>
          </w:tcPr>
          <w:p w14:paraId="6B2434EC"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0.005</w:t>
            </w:r>
          </w:p>
        </w:tc>
        <w:tc>
          <w:tcPr>
            <w:tcW w:w="701" w:type="pct"/>
            <w:tcBorders>
              <w:top w:val="nil"/>
              <w:left w:val="nil"/>
              <w:bottom w:val="nil"/>
              <w:right w:val="nil"/>
            </w:tcBorders>
          </w:tcPr>
          <w:p w14:paraId="670F4109"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0.014</w:t>
            </w:r>
          </w:p>
        </w:tc>
        <w:tc>
          <w:tcPr>
            <w:tcW w:w="752" w:type="pct"/>
            <w:tcBorders>
              <w:top w:val="nil"/>
              <w:left w:val="nil"/>
              <w:bottom w:val="nil"/>
              <w:right w:val="nil"/>
            </w:tcBorders>
          </w:tcPr>
          <w:p w14:paraId="4F3EE77C"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0.006</w:t>
            </w:r>
          </w:p>
        </w:tc>
        <w:tc>
          <w:tcPr>
            <w:tcW w:w="849" w:type="pct"/>
            <w:tcBorders>
              <w:top w:val="nil"/>
              <w:left w:val="nil"/>
              <w:bottom w:val="nil"/>
              <w:right w:val="nil"/>
            </w:tcBorders>
          </w:tcPr>
          <w:p w14:paraId="3B436B7F"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-0.021**</w:t>
            </w:r>
          </w:p>
        </w:tc>
      </w:tr>
      <w:tr w:rsidR="00CE0D78" w:rsidRPr="00CD4846" w14:paraId="216FC6AE" w14:textId="77777777" w:rsidTr="00EE4448">
        <w:tc>
          <w:tcPr>
            <w:tcW w:w="1436" w:type="pct"/>
            <w:tcBorders>
              <w:top w:val="nil"/>
              <w:left w:val="nil"/>
              <w:bottom w:val="nil"/>
              <w:right w:val="nil"/>
            </w:tcBorders>
          </w:tcPr>
          <w:p w14:paraId="5112EB69" w14:textId="012B3D92" w:rsidR="00EE4448" w:rsidRPr="00695826" w:rsidRDefault="00EE4448" w:rsidP="00695826">
            <w:pPr>
              <w:widowControl w:val="0"/>
              <w:autoSpaceDE w:val="0"/>
              <w:autoSpaceDN w:val="0"/>
              <w:adjustRightInd w:val="0"/>
              <w:spacing w:line="240" w:lineRule="auto"/>
              <w:rPr>
                <w:rFonts w:cs="Times New Roman"/>
                <w:kern w:val="2"/>
                <w:sz w:val="20"/>
                <w:szCs w:val="20"/>
                <w:lang/>
              </w:rPr>
            </w:pPr>
          </w:p>
        </w:tc>
        <w:tc>
          <w:tcPr>
            <w:tcW w:w="621" w:type="pct"/>
            <w:tcBorders>
              <w:top w:val="nil"/>
              <w:left w:val="nil"/>
              <w:bottom w:val="nil"/>
              <w:right w:val="nil"/>
            </w:tcBorders>
          </w:tcPr>
          <w:p w14:paraId="5DDDF4AF"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(0.013)</w:t>
            </w:r>
          </w:p>
        </w:tc>
        <w:tc>
          <w:tcPr>
            <w:tcW w:w="641" w:type="pct"/>
            <w:tcBorders>
              <w:top w:val="nil"/>
              <w:left w:val="nil"/>
              <w:bottom w:val="nil"/>
              <w:right w:val="nil"/>
            </w:tcBorders>
          </w:tcPr>
          <w:p w14:paraId="2700B9BD"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(0.016)</w:t>
            </w:r>
          </w:p>
        </w:tc>
        <w:tc>
          <w:tcPr>
            <w:tcW w:w="701" w:type="pct"/>
            <w:tcBorders>
              <w:top w:val="nil"/>
              <w:left w:val="nil"/>
              <w:bottom w:val="nil"/>
              <w:right w:val="nil"/>
            </w:tcBorders>
          </w:tcPr>
          <w:p w14:paraId="61E24B2B"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(0.009)</w:t>
            </w:r>
          </w:p>
        </w:tc>
        <w:tc>
          <w:tcPr>
            <w:tcW w:w="752" w:type="pct"/>
            <w:tcBorders>
              <w:top w:val="nil"/>
              <w:left w:val="nil"/>
              <w:bottom w:val="nil"/>
              <w:right w:val="nil"/>
            </w:tcBorders>
          </w:tcPr>
          <w:p w14:paraId="416AA3B6"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(0.011)</w:t>
            </w:r>
          </w:p>
        </w:tc>
        <w:tc>
          <w:tcPr>
            <w:tcW w:w="849" w:type="pct"/>
            <w:tcBorders>
              <w:top w:val="nil"/>
              <w:left w:val="nil"/>
              <w:bottom w:val="nil"/>
              <w:right w:val="nil"/>
            </w:tcBorders>
          </w:tcPr>
          <w:p w14:paraId="331756F5"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(0.009)</w:t>
            </w:r>
          </w:p>
        </w:tc>
      </w:tr>
      <w:tr w:rsidR="00CE0D78" w:rsidRPr="00CD4846" w14:paraId="27442C82" w14:textId="77777777" w:rsidTr="00EE4448">
        <w:tc>
          <w:tcPr>
            <w:tcW w:w="1436" w:type="pct"/>
            <w:tcBorders>
              <w:top w:val="nil"/>
              <w:left w:val="nil"/>
              <w:bottom w:val="nil"/>
              <w:right w:val="nil"/>
            </w:tcBorders>
          </w:tcPr>
          <w:p w14:paraId="5825B43C" w14:textId="72E5C35B"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Attain. Status - CO (t-1)</w:t>
            </w:r>
          </w:p>
        </w:tc>
        <w:tc>
          <w:tcPr>
            <w:tcW w:w="621" w:type="pct"/>
            <w:tcBorders>
              <w:top w:val="nil"/>
              <w:left w:val="nil"/>
              <w:bottom w:val="nil"/>
              <w:right w:val="nil"/>
            </w:tcBorders>
          </w:tcPr>
          <w:p w14:paraId="39805663"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0.254</w:t>
            </w:r>
          </w:p>
        </w:tc>
        <w:tc>
          <w:tcPr>
            <w:tcW w:w="641" w:type="pct"/>
            <w:tcBorders>
              <w:top w:val="nil"/>
              <w:left w:val="nil"/>
              <w:bottom w:val="nil"/>
              <w:right w:val="nil"/>
            </w:tcBorders>
          </w:tcPr>
          <w:p w14:paraId="0B7EDFB9"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0.160</w:t>
            </w:r>
          </w:p>
        </w:tc>
        <w:tc>
          <w:tcPr>
            <w:tcW w:w="701" w:type="pct"/>
            <w:tcBorders>
              <w:top w:val="nil"/>
              <w:left w:val="nil"/>
              <w:bottom w:val="nil"/>
              <w:right w:val="nil"/>
            </w:tcBorders>
          </w:tcPr>
          <w:p w14:paraId="1D5961D3"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0.542</w:t>
            </w:r>
          </w:p>
        </w:tc>
        <w:tc>
          <w:tcPr>
            <w:tcW w:w="752" w:type="pct"/>
            <w:tcBorders>
              <w:top w:val="nil"/>
              <w:left w:val="nil"/>
              <w:bottom w:val="nil"/>
              <w:right w:val="nil"/>
            </w:tcBorders>
          </w:tcPr>
          <w:p w14:paraId="090A962D"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-0.317*</w:t>
            </w:r>
          </w:p>
        </w:tc>
        <w:tc>
          <w:tcPr>
            <w:tcW w:w="849" w:type="pct"/>
            <w:tcBorders>
              <w:top w:val="nil"/>
              <w:left w:val="nil"/>
              <w:bottom w:val="nil"/>
              <w:right w:val="nil"/>
            </w:tcBorders>
          </w:tcPr>
          <w:p w14:paraId="762FEA80"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-0.326***</w:t>
            </w:r>
          </w:p>
        </w:tc>
      </w:tr>
      <w:tr w:rsidR="00CE0D78" w:rsidRPr="00CD4846" w14:paraId="687B333D" w14:textId="77777777" w:rsidTr="00EE4448">
        <w:tc>
          <w:tcPr>
            <w:tcW w:w="1436" w:type="pct"/>
            <w:tcBorders>
              <w:top w:val="nil"/>
              <w:left w:val="nil"/>
              <w:bottom w:val="nil"/>
              <w:right w:val="nil"/>
            </w:tcBorders>
          </w:tcPr>
          <w:p w14:paraId="7D6C4260" w14:textId="73847889" w:rsidR="00EE4448" w:rsidRPr="00695826" w:rsidRDefault="00EE4448" w:rsidP="00695826">
            <w:pPr>
              <w:widowControl w:val="0"/>
              <w:autoSpaceDE w:val="0"/>
              <w:autoSpaceDN w:val="0"/>
              <w:adjustRightInd w:val="0"/>
              <w:spacing w:line="240" w:lineRule="auto"/>
              <w:rPr>
                <w:rFonts w:cs="Times New Roman"/>
                <w:kern w:val="2"/>
                <w:sz w:val="20"/>
                <w:szCs w:val="20"/>
                <w:lang/>
              </w:rPr>
            </w:pPr>
          </w:p>
        </w:tc>
        <w:tc>
          <w:tcPr>
            <w:tcW w:w="621" w:type="pct"/>
            <w:tcBorders>
              <w:top w:val="nil"/>
              <w:left w:val="nil"/>
              <w:bottom w:val="nil"/>
              <w:right w:val="nil"/>
            </w:tcBorders>
          </w:tcPr>
          <w:p w14:paraId="3D3B6432"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(0.172)</w:t>
            </w:r>
          </w:p>
        </w:tc>
        <w:tc>
          <w:tcPr>
            <w:tcW w:w="641" w:type="pct"/>
            <w:tcBorders>
              <w:top w:val="nil"/>
              <w:left w:val="nil"/>
              <w:bottom w:val="nil"/>
              <w:right w:val="nil"/>
            </w:tcBorders>
          </w:tcPr>
          <w:p w14:paraId="2A7FADCE"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(0.282)</w:t>
            </w:r>
          </w:p>
        </w:tc>
        <w:tc>
          <w:tcPr>
            <w:tcW w:w="701" w:type="pct"/>
            <w:tcBorders>
              <w:top w:val="nil"/>
              <w:left w:val="nil"/>
              <w:bottom w:val="nil"/>
              <w:right w:val="nil"/>
            </w:tcBorders>
          </w:tcPr>
          <w:p w14:paraId="7F3B70EE"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(0.354)</w:t>
            </w:r>
          </w:p>
        </w:tc>
        <w:tc>
          <w:tcPr>
            <w:tcW w:w="752" w:type="pct"/>
            <w:tcBorders>
              <w:top w:val="nil"/>
              <w:left w:val="nil"/>
              <w:bottom w:val="nil"/>
              <w:right w:val="nil"/>
            </w:tcBorders>
          </w:tcPr>
          <w:p w14:paraId="26684409"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(0.171)</w:t>
            </w:r>
          </w:p>
        </w:tc>
        <w:tc>
          <w:tcPr>
            <w:tcW w:w="849" w:type="pct"/>
            <w:tcBorders>
              <w:top w:val="nil"/>
              <w:left w:val="nil"/>
              <w:bottom w:val="nil"/>
              <w:right w:val="nil"/>
            </w:tcBorders>
          </w:tcPr>
          <w:p w14:paraId="0906E491"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(0.099)</w:t>
            </w:r>
          </w:p>
        </w:tc>
      </w:tr>
      <w:tr w:rsidR="00CE0D78" w:rsidRPr="00CD4846" w14:paraId="6EC737E8" w14:textId="77777777" w:rsidTr="00EE4448">
        <w:tc>
          <w:tcPr>
            <w:tcW w:w="1436" w:type="pct"/>
            <w:tcBorders>
              <w:top w:val="nil"/>
              <w:left w:val="nil"/>
              <w:bottom w:val="nil"/>
              <w:right w:val="nil"/>
            </w:tcBorders>
          </w:tcPr>
          <w:p w14:paraId="59699D93" w14:textId="3C111C8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Attain. Status - Pb (t-1)</w:t>
            </w:r>
          </w:p>
        </w:tc>
        <w:tc>
          <w:tcPr>
            <w:tcW w:w="621" w:type="pct"/>
            <w:tcBorders>
              <w:top w:val="nil"/>
              <w:left w:val="nil"/>
              <w:bottom w:val="nil"/>
              <w:right w:val="nil"/>
            </w:tcBorders>
          </w:tcPr>
          <w:p w14:paraId="43CEF841"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-0.017</w:t>
            </w:r>
          </w:p>
        </w:tc>
        <w:tc>
          <w:tcPr>
            <w:tcW w:w="641" w:type="pct"/>
            <w:tcBorders>
              <w:top w:val="nil"/>
              <w:left w:val="nil"/>
              <w:bottom w:val="nil"/>
              <w:right w:val="nil"/>
            </w:tcBorders>
          </w:tcPr>
          <w:p w14:paraId="7616A602"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0.011</w:t>
            </w:r>
          </w:p>
        </w:tc>
        <w:tc>
          <w:tcPr>
            <w:tcW w:w="701" w:type="pct"/>
            <w:tcBorders>
              <w:top w:val="nil"/>
              <w:left w:val="nil"/>
              <w:bottom w:val="nil"/>
              <w:right w:val="nil"/>
            </w:tcBorders>
          </w:tcPr>
          <w:p w14:paraId="5DEB971B"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-0.211*</w:t>
            </w:r>
          </w:p>
        </w:tc>
        <w:tc>
          <w:tcPr>
            <w:tcW w:w="752" w:type="pct"/>
            <w:tcBorders>
              <w:top w:val="nil"/>
              <w:left w:val="nil"/>
              <w:bottom w:val="nil"/>
              <w:right w:val="nil"/>
            </w:tcBorders>
          </w:tcPr>
          <w:p w14:paraId="3210D4BB"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-0.165***</w:t>
            </w:r>
          </w:p>
        </w:tc>
        <w:tc>
          <w:tcPr>
            <w:tcW w:w="849" w:type="pct"/>
            <w:tcBorders>
              <w:top w:val="nil"/>
              <w:left w:val="nil"/>
              <w:bottom w:val="nil"/>
              <w:right w:val="nil"/>
            </w:tcBorders>
          </w:tcPr>
          <w:p w14:paraId="4ABDCF51"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0.103</w:t>
            </w:r>
          </w:p>
        </w:tc>
      </w:tr>
      <w:tr w:rsidR="00CE0D78" w:rsidRPr="00CD4846" w14:paraId="5D0BDC82" w14:textId="77777777" w:rsidTr="00EE4448">
        <w:tc>
          <w:tcPr>
            <w:tcW w:w="1436" w:type="pct"/>
            <w:tcBorders>
              <w:top w:val="nil"/>
              <w:left w:val="nil"/>
              <w:bottom w:val="nil"/>
              <w:right w:val="nil"/>
            </w:tcBorders>
          </w:tcPr>
          <w:p w14:paraId="6BB8A52E" w14:textId="77802B26" w:rsidR="00EE4448" w:rsidRPr="00695826" w:rsidRDefault="00EE4448" w:rsidP="00695826">
            <w:pPr>
              <w:widowControl w:val="0"/>
              <w:autoSpaceDE w:val="0"/>
              <w:autoSpaceDN w:val="0"/>
              <w:adjustRightInd w:val="0"/>
              <w:spacing w:line="240" w:lineRule="auto"/>
              <w:rPr>
                <w:rFonts w:cs="Times New Roman"/>
                <w:kern w:val="2"/>
                <w:sz w:val="20"/>
                <w:szCs w:val="20"/>
                <w:lang/>
              </w:rPr>
            </w:pPr>
          </w:p>
        </w:tc>
        <w:tc>
          <w:tcPr>
            <w:tcW w:w="621" w:type="pct"/>
            <w:tcBorders>
              <w:top w:val="nil"/>
              <w:left w:val="nil"/>
              <w:bottom w:val="nil"/>
              <w:right w:val="nil"/>
            </w:tcBorders>
          </w:tcPr>
          <w:p w14:paraId="25A5D71D"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(0.112)</w:t>
            </w:r>
          </w:p>
        </w:tc>
        <w:tc>
          <w:tcPr>
            <w:tcW w:w="641" w:type="pct"/>
            <w:tcBorders>
              <w:top w:val="nil"/>
              <w:left w:val="nil"/>
              <w:bottom w:val="nil"/>
              <w:right w:val="nil"/>
            </w:tcBorders>
          </w:tcPr>
          <w:p w14:paraId="663A41AF"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(0.175)</w:t>
            </w:r>
          </w:p>
        </w:tc>
        <w:tc>
          <w:tcPr>
            <w:tcW w:w="701" w:type="pct"/>
            <w:tcBorders>
              <w:top w:val="nil"/>
              <w:left w:val="nil"/>
              <w:bottom w:val="nil"/>
              <w:right w:val="nil"/>
            </w:tcBorders>
          </w:tcPr>
          <w:p w14:paraId="63F6C1B8"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(0.118)</w:t>
            </w:r>
          </w:p>
        </w:tc>
        <w:tc>
          <w:tcPr>
            <w:tcW w:w="752" w:type="pct"/>
            <w:tcBorders>
              <w:top w:val="nil"/>
              <w:left w:val="nil"/>
              <w:bottom w:val="nil"/>
              <w:right w:val="nil"/>
            </w:tcBorders>
          </w:tcPr>
          <w:p w14:paraId="0C72A64F"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(0.062)</w:t>
            </w:r>
          </w:p>
        </w:tc>
        <w:tc>
          <w:tcPr>
            <w:tcW w:w="849" w:type="pct"/>
            <w:tcBorders>
              <w:top w:val="nil"/>
              <w:left w:val="nil"/>
              <w:bottom w:val="nil"/>
              <w:right w:val="nil"/>
            </w:tcBorders>
          </w:tcPr>
          <w:p w14:paraId="2562DED8"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(0.069)</w:t>
            </w:r>
          </w:p>
        </w:tc>
      </w:tr>
      <w:tr w:rsidR="00CE0D78" w:rsidRPr="00CD4846" w14:paraId="6A8B94BB" w14:textId="77777777" w:rsidTr="00EE4448">
        <w:tc>
          <w:tcPr>
            <w:tcW w:w="1436" w:type="pct"/>
            <w:tcBorders>
              <w:top w:val="nil"/>
              <w:left w:val="nil"/>
              <w:bottom w:val="nil"/>
              <w:right w:val="nil"/>
            </w:tcBorders>
          </w:tcPr>
          <w:p w14:paraId="2B17517A" w14:textId="0B045548"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Attain. Status - O3 (t-1)</w:t>
            </w:r>
          </w:p>
        </w:tc>
        <w:tc>
          <w:tcPr>
            <w:tcW w:w="621" w:type="pct"/>
            <w:tcBorders>
              <w:top w:val="nil"/>
              <w:left w:val="nil"/>
              <w:bottom w:val="nil"/>
              <w:right w:val="nil"/>
            </w:tcBorders>
          </w:tcPr>
          <w:p w14:paraId="389D7E87"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-0.034</w:t>
            </w:r>
          </w:p>
        </w:tc>
        <w:tc>
          <w:tcPr>
            <w:tcW w:w="641" w:type="pct"/>
            <w:tcBorders>
              <w:top w:val="nil"/>
              <w:left w:val="nil"/>
              <w:bottom w:val="nil"/>
              <w:right w:val="nil"/>
            </w:tcBorders>
          </w:tcPr>
          <w:p w14:paraId="0D0BC648"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0.144***</w:t>
            </w:r>
          </w:p>
        </w:tc>
        <w:tc>
          <w:tcPr>
            <w:tcW w:w="701" w:type="pct"/>
            <w:tcBorders>
              <w:top w:val="nil"/>
              <w:left w:val="nil"/>
              <w:bottom w:val="nil"/>
              <w:right w:val="nil"/>
            </w:tcBorders>
          </w:tcPr>
          <w:p w14:paraId="17C26557"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0.046</w:t>
            </w:r>
          </w:p>
        </w:tc>
        <w:tc>
          <w:tcPr>
            <w:tcW w:w="752" w:type="pct"/>
            <w:tcBorders>
              <w:top w:val="nil"/>
              <w:left w:val="nil"/>
              <w:bottom w:val="nil"/>
              <w:right w:val="nil"/>
            </w:tcBorders>
          </w:tcPr>
          <w:p w14:paraId="17B68264"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0.018</w:t>
            </w:r>
          </w:p>
        </w:tc>
        <w:tc>
          <w:tcPr>
            <w:tcW w:w="849" w:type="pct"/>
            <w:tcBorders>
              <w:top w:val="nil"/>
              <w:left w:val="nil"/>
              <w:bottom w:val="nil"/>
              <w:right w:val="nil"/>
            </w:tcBorders>
          </w:tcPr>
          <w:p w14:paraId="4FB4EA41"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-0.043**</w:t>
            </w:r>
          </w:p>
        </w:tc>
      </w:tr>
      <w:tr w:rsidR="00CE0D78" w:rsidRPr="00CD4846" w14:paraId="00E5E1B7" w14:textId="77777777" w:rsidTr="00EE4448">
        <w:tc>
          <w:tcPr>
            <w:tcW w:w="1436" w:type="pct"/>
            <w:tcBorders>
              <w:top w:val="nil"/>
              <w:left w:val="nil"/>
              <w:bottom w:val="nil"/>
              <w:right w:val="nil"/>
            </w:tcBorders>
          </w:tcPr>
          <w:p w14:paraId="07D5B0F7" w14:textId="40486407" w:rsidR="00EE4448" w:rsidRPr="00695826" w:rsidRDefault="00EE4448" w:rsidP="00695826">
            <w:pPr>
              <w:widowControl w:val="0"/>
              <w:autoSpaceDE w:val="0"/>
              <w:autoSpaceDN w:val="0"/>
              <w:adjustRightInd w:val="0"/>
              <w:spacing w:line="240" w:lineRule="auto"/>
              <w:rPr>
                <w:rFonts w:cs="Times New Roman"/>
                <w:kern w:val="2"/>
                <w:sz w:val="20"/>
                <w:szCs w:val="20"/>
                <w:lang/>
              </w:rPr>
            </w:pPr>
          </w:p>
        </w:tc>
        <w:tc>
          <w:tcPr>
            <w:tcW w:w="621" w:type="pct"/>
            <w:tcBorders>
              <w:top w:val="nil"/>
              <w:left w:val="nil"/>
              <w:bottom w:val="nil"/>
              <w:right w:val="nil"/>
            </w:tcBorders>
          </w:tcPr>
          <w:p w14:paraId="2BF29DD7"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(0.031)</w:t>
            </w:r>
          </w:p>
        </w:tc>
        <w:tc>
          <w:tcPr>
            <w:tcW w:w="641" w:type="pct"/>
            <w:tcBorders>
              <w:top w:val="nil"/>
              <w:left w:val="nil"/>
              <w:bottom w:val="nil"/>
              <w:right w:val="nil"/>
            </w:tcBorders>
          </w:tcPr>
          <w:p w14:paraId="159E1E18"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(0.050)</w:t>
            </w:r>
          </w:p>
        </w:tc>
        <w:tc>
          <w:tcPr>
            <w:tcW w:w="701" w:type="pct"/>
            <w:tcBorders>
              <w:top w:val="nil"/>
              <w:left w:val="nil"/>
              <w:bottom w:val="nil"/>
              <w:right w:val="nil"/>
            </w:tcBorders>
          </w:tcPr>
          <w:p w14:paraId="6DF54227"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(0.041)</w:t>
            </w:r>
          </w:p>
        </w:tc>
        <w:tc>
          <w:tcPr>
            <w:tcW w:w="752" w:type="pct"/>
            <w:tcBorders>
              <w:top w:val="nil"/>
              <w:left w:val="nil"/>
              <w:bottom w:val="nil"/>
              <w:right w:val="nil"/>
            </w:tcBorders>
          </w:tcPr>
          <w:p w14:paraId="74F7BE49"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(0.022)</w:t>
            </w:r>
          </w:p>
        </w:tc>
        <w:tc>
          <w:tcPr>
            <w:tcW w:w="849" w:type="pct"/>
            <w:tcBorders>
              <w:top w:val="nil"/>
              <w:left w:val="nil"/>
              <w:bottom w:val="nil"/>
              <w:right w:val="nil"/>
            </w:tcBorders>
          </w:tcPr>
          <w:p w14:paraId="5F4BFAEB"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(0.018)</w:t>
            </w:r>
          </w:p>
        </w:tc>
      </w:tr>
      <w:tr w:rsidR="00CE0D78" w:rsidRPr="00CD4846" w14:paraId="5607C731" w14:textId="77777777" w:rsidTr="00EE4448">
        <w:tc>
          <w:tcPr>
            <w:tcW w:w="1436" w:type="pct"/>
            <w:tcBorders>
              <w:top w:val="nil"/>
              <w:left w:val="nil"/>
              <w:bottom w:val="nil"/>
              <w:right w:val="nil"/>
            </w:tcBorders>
          </w:tcPr>
          <w:p w14:paraId="0E10E2E1" w14:textId="3432353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Attain. Status - PM (t-1)</w:t>
            </w:r>
          </w:p>
        </w:tc>
        <w:tc>
          <w:tcPr>
            <w:tcW w:w="621" w:type="pct"/>
            <w:tcBorders>
              <w:top w:val="nil"/>
              <w:left w:val="nil"/>
              <w:bottom w:val="nil"/>
              <w:right w:val="nil"/>
            </w:tcBorders>
          </w:tcPr>
          <w:p w14:paraId="38DC8A76"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0.137***</w:t>
            </w:r>
          </w:p>
        </w:tc>
        <w:tc>
          <w:tcPr>
            <w:tcW w:w="641" w:type="pct"/>
            <w:tcBorders>
              <w:top w:val="nil"/>
              <w:left w:val="nil"/>
              <w:bottom w:val="nil"/>
              <w:right w:val="nil"/>
            </w:tcBorders>
          </w:tcPr>
          <w:p w14:paraId="7FB8A319"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0.067*</w:t>
            </w:r>
          </w:p>
        </w:tc>
        <w:tc>
          <w:tcPr>
            <w:tcW w:w="701" w:type="pct"/>
            <w:tcBorders>
              <w:top w:val="nil"/>
              <w:left w:val="nil"/>
              <w:bottom w:val="nil"/>
              <w:right w:val="nil"/>
            </w:tcBorders>
          </w:tcPr>
          <w:p w14:paraId="6955F083"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0.074**</w:t>
            </w:r>
          </w:p>
        </w:tc>
        <w:tc>
          <w:tcPr>
            <w:tcW w:w="752" w:type="pct"/>
            <w:tcBorders>
              <w:top w:val="nil"/>
              <w:left w:val="nil"/>
              <w:bottom w:val="nil"/>
              <w:right w:val="nil"/>
            </w:tcBorders>
          </w:tcPr>
          <w:p w14:paraId="20F8CA4D"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0.045**</w:t>
            </w:r>
          </w:p>
        </w:tc>
        <w:tc>
          <w:tcPr>
            <w:tcW w:w="849" w:type="pct"/>
            <w:tcBorders>
              <w:top w:val="nil"/>
              <w:left w:val="nil"/>
              <w:bottom w:val="nil"/>
              <w:right w:val="nil"/>
            </w:tcBorders>
          </w:tcPr>
          <w:p w14:paraId="0375B75B"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0.054***</w:t>
            </w:r>
          </w:p>
        </w:tc>
      </w:tr>
      <w:tr w:rsidR="00CE0D78" w:rsidRPr="00CD4846" w14:paraId="7F90D725" w14:textId="77777777" w:rsidTr="00EE4448">
        <w:tc>
          <w:tcPr>
            <w:tcW w:w="1436" w:type="pct"/>
            <w:tcBorders>
              <w:top w:val="nil"/>
              <w:left w:val="nil"/>
              <w:bottom w:val="nil"/>
              <w:right w:val="nil"/>
            </w:tcBorders>
          </w:tcPr>
          <w:p w14:paraId="0371984B" w14:textId="05303C33" w:rsidR="00EE4448" w:rsidRPr="00695826" w:rsidRDefault="00EE4448" w:rsidP="00695826">
            <w:pPr>
              <w:widowControl w:val="0"/>
              <w:autoSpaceDE w:val="0"/>
              <w:autoSpaceDN w:val="0"/>
              <w:adjustRightInd w:val="0"/>
              <w:spacing w:line="240" w:lineRule="auto"/>
              <w:rPr>
                <w:rFonts w:cs="Times New Roman"/>
                <w:kern w:val="2"/>
                <w:sz w:val="20"/>
                <w:szCs w:val="20"/>
                <w:lang/>
              </w:rPr>
            </w:pPr>
          </w:p>
        </w:tc>
        <w:tc>
          <w:tcPr>
            <w:tcW w:w="621" w:type="pct"/>
            <w:tcBorders>
              <w:top w:val="nil"/>
              <w:left w:val="nil"/>
              <w:bottom w:val="nil"/>
              <w:right w:val="nil"/>
            </w:tcBorders>
          </w:tcPr>
          <w:p w14:paraId="37EC2188"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(0.032)</w:t>
            </w:r>
          </w:p>
        </w:tc>
        <w:tc>
          <w:tcPr>
            <w:tcW w:w="641" w:type="pct"/>
            <w:tcBorders>
              <w:top w:val="nil"/>
              <w:left w:val="nil"/>
              <w:bottom w:val="nil"/>
              <w:right w:val="nil"/>
            </w:tcBorders>
          </w:tcPr>
          <w:p w14:paraId="78CF1F4A"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(0.038)</w:t>
            </w:r>
          </w:p>
        </w:tc>
        <w:tc>
          <w:tcPr>
            <w:tcW w:w="701" w:type="pct"/>
            <w:tcBorders>
              <w:top w:val="nil"/>
              <w:left w:val="nil"/>
              <w:bottom w:val="nil"/>
              <w:right w:val="nil"/>
            </w:tcBorders>
          </w:tcPr>
          <w:p w14:paraId="3CF065A0"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(0.030)</w:t>
            </w:r>
          </w:p>
        </w:tc>
        <w:tc>
          <w:tcPr>
            <w:tcW w:w="752" w:type="pct"/>
            <w:tcBorders>
              <w:top w:val="nil"/>
              <w:left w:val="nil"/>
              <w:bottom w:val="nil"/>
              <w:right w:val="nil"/>
            </w:tcBorders>
          </w:tcPr>
          <w:p w14:paraId="6D777BD2"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(0.020)</w:t>
            </w:r>
          </w:p>
        </w:tc>
        <w:tc>
          <w:tcPr>
            <w:tcW w:w="849" w:type="pct"/>
            <w:tcBorders>
              <w:top w:val="nil"/>
              <w:left w:val="nil"/>
              <w:bottom w:val="nil"/>
              <w:right w:val="nil"/>
            </w:tcBorders>
          </w:tcPr>
          <w:p w14:paraId="1BD6192F"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(0.020)</w:t>
            </w:r>
          </w:p>
        </w:tc>
      </w:tr>
      <w:tr w:rsidR="00CE0D78" w:rsidRPr="00CD4846" w14:paraId="07F7D478" w14:textId="77777777" w:rsidTr="00EE4448">
        <w:tc>
          <w:tcPr>
            <w:tcW w:w="1436" w:type="pct"/>
            <w:tcBorders>
              <w:top w:val="nil"/>
              <w:left w:val="nil"/>
              <w:bottom w:val="nil"/>
              <w:right w:val="nil"/>
            </w:tcBorders>
          </w:tcPr>
          <w:p w14:paraId="729A93AF"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Attain. Status - SO2 (t-1)</w:t>
            </w:r>
          </w:p>
        </w:tc>
        <w:tc>
          <w:tcPr>
            <w:tcW w:w="621" w:type="pct"/>
            <w:tcBorders>
              <w:top w:val="nil"/>
              <w:left w:val="nil"/>
              <w:bottom w:val="nil"/>
              <w:right w:val="nil"/>
            </w:tcBorders>
          </w:tcPr>
          <w:p w14:paraId="2F209A7C"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-0.219**</w:t>
            </w:r>
          </w:p>
        </w:tc>
        <w:tc>
          <w:tcPr>
            <w:tcW w:w="641" w:type="pct"/>
            <w:tcBorders>
              <w:top w:val="nil"/>
              <w:left w:val="nil"/>
              <w:bottom w:val="nil"/>
              <w:right w:val="nil"/>
            </w:tcBorders>
          </w:tcPr>
          <w:p w14:paraId="10D34EE8"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0.119</w:t>
            </w:r>
          </w:p>
        </w:tc>
        <w:tc>
          <w:tcPr>
            <w:tcW w:w="701" w:type="pct"/>
            <w:tcBorders>
              <w:top w:val="nil"/>
              <w:left w:val="nil"/>
              <w:bottom w:val="nil"/>
              <w:right w:val="nil"/>
            </w:tcBorders>
          </w:tcPr>
          <w:p w14:paraId="1586D52E"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-0.022</w:t>
            </w:r>
          </w:p>
        </w:tc>
        <w:tc>
          <w:tcPr>
            <w:tcW w:w="752" w:type="pct"/>
            <w:tcBorders>
              <w:top w:val="nil"/>
              <w:left w:val="nil"/>
              <w:bottom w:val="nil"/>
              <w:right w:val="nil"/>
            </w:tcBorders>
          </w:tcPr>
          <w:p w14:paraId="70ACF058"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0.119*</w:t>
            </w:r>
          </w:p>
        </w:tc>
        <w:tc>
          <w:tcPr>
            <w:tcW w:w="849" w:type="pct"/>
            <w:tcBorders>
              <w:top w:val="nil"/>
              <w:left w:val="nil"/>
              <w:bottom w:val="nil"/>
              <w:right w:val="nil"/>
            </w:tcBorders>
          </w:tcPr>
          <w:p w14:paraId="358D475F"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0.135***</w:t>
            </w:r>
          </w:p>
        </w:tc>
      </w:tr>
      <w:tr w:rsidR="00CE0D78" w:rsidRPr="00CD4846" w14:paraId="28484104" w14:textId="77777777" w:rsidTr="00EE4448">
        <w:tc>
          <w:tcPr>
            <w:tcW w:w="1436" w:type="pct"/>
            <w:tcBorders>
              <w:top w:val="nil"/>
              <w:left w:val="nil"/>
              <w:bottom w:val="nil"/>
              <w:right w:val="nil"/>
            </w:tcBorders>
          </w:tcPr>
          <w:p w14:paraId="499EA19C" w14:textId="2682335E" w:rsidR="00EE4448" w:rsidRPr="00695826" w:rsidRDefault="00EE4448" w:rsidP="00695826">
            <w:pPr>
              <w:widowControl w:val="0"/>
              <w:autoSpaceDE w:val="0"/>
              <w:autoSpaceDN w:val="0"/>
              <w:adjustRightInd w:val="0"/>
              <w:spacing w:line="240" w:lineRule="auto"/>
              <w:rPr>
                <w:rFonts w:cs="Times New Roman"/>
                <w:kern w:val="2"/>
                <w:sz w:val="20"/>
                <w:szCs w:val="20"/>
                <w:lang/>
              </w:rPr>
            </w:pPr>
          </w:p>
        </w:tc>
        <w:tc>
          <w:tcPr>
            <w:tcW w:w="621" w:type="pct"/>
            <w:tcBorders>
              <w:top w:val="nil"/>
              <w:left w:val="nil"/>
              <w:bottom w:val="nil"/>
              <w:right w:val="nil"/>
            </w:tcBorders>
          </w:tcPr>
          <w:p w14:paraId="65AAC958"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(0.096)</w:t>
            </w:r>
          </w:p>
        </w:tc>
        <w:tc>
          <w:tcPr>
            <w:tcW w:w="641" w:type="pct"/>
            <w:tcBorders>
              <w:top w:val="nil"/>
              <w:left w:val="nil"/>
              <w:bottom w:val="nil"/>
              <w:right w:val="nil"/>
            </w:tcBorders>
          </w:tcPr>
          <w:p w14:paraId="63FB0F7B"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(0.145)</w:t>
            </w:r>
          </w:p>
        </w:tc>
        <w:tc>
          <w:tcPr>
            <w:tcW w:w="701" w:type="pct"/>
            <w:tcBorders>
              <w:top w:val="nil"/>
              <w:left w:val="nil"/>
              <w:bottom w:val="nil"/>
              <w:right w:val="nil"/>
            </w:tcBorders>
          </w:tcPr>
          <w:p w14:paraId="318DCBB5"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(0.131)</w:t>
            </w:r>
          </w:p>
        </w:tc>
        <w:tc>
          <w:tcPr>
            <w:tcW w:w="752" w:type="pct"/>
            <w:tcBorders>
              <w:top w:val="nil"/>
              <w:left w:val="nil"/>
              <w:bottom w:val="nil"/>
              <w:right w:val="nil"/>
            </w:tcBorders>
          </w:tcPr>
          <w:p w14:paraId="27CCB96B"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(0.062)</w:t>
            </w:r>
          </w:p>
        </w:tc>
        <w:tc>
          <w:tcPr>
            <w:tcW w:w="849" w:type="pct"/>
            <w:tcBorders>
              <w:top w:val="nil"/>
              <w:left w:val="nil"/>
              <w:bottom w:val="nil"/>
              <w:right w:val="nil"/>
            </w:tcBorders>
          </w:tcPr>
          <w:p w14:paraId="73F20F77"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(0.042)</w:t>
            </w:r>
          </w:p>
        </w:tc>
      </w:tr>
      <w:tr w:rsidR="00CE0D78" w:rsidRPr="00CD4846" w14:paraId="7AEA2EDC" w14:textId="77777777" w:rsidTr="00EE4448">
        <w:tc>
          <w:tcPr>
            <w:tcW w:w="1436" w:type="pct"/>
            <w:tcBorders>
              <w:top w:val="nil"/>
              <w:left w:val="nil"/>
              <w:bottom w:val="nil"/>
              <w:right w:val="nil"/>
            </w:tcBorders>
          </w:tcPr>
          <w:p w14:paraId="76F308CC" w14:textId="6BF95185"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Density Employment</w:t>
            </w:r>
          </w:p>
        </w:tc>
        <w:tc>
          <w:tcPr>
            <w:tcW w:w="621" w:type="pct"/>
            <w:tcBorders>
              <w:top w:val="nil"/>
              <w:left w:val="nil"/>
              <w:bottom w:val="nil"/>
              <w:right w:val="nil"/>
            </w:tcBorders>
          </w:tcPr>
          <w:p w14:paraId="64A56BD9"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-0.063</w:t>
            </w:r>
          </w:p>
        </w:tc>
        <w:tc>
          <w:tcPr>
            <w:tcW w:w="641" w:type="pct"/>
            <w:tcBorders>
              <w:top w:val="nil"/>
              <w:left w:val="nil"/>
              <w:bottom w:val="nil"/>
              <w:right w:val="nil"/>
            </w:tcBorders>
          </w:tcPr>
          <w:p w14:paraId="392759D8"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0.252***</w:t>
            </w:r>
          </w:p>
        </w:tc>
        <w:tc>
          <w:tcPr>
            <w:tcW w:w="701" w:type="pct"/>
            <w:tcBorders>
              <w:top w:val="nil"/>
              <w:left w:val="nil"/>
              <w:bottom w:val="nil"/>
              <w:right w:val="nil"/>
            </w:tcBorders>
          </w:tcPr>
          <w:p w14:paraId="35AE9088"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0.177</w:t>
            </w:r>
          </w:p>
        </w:tc>
        <w:tc>
          <w:tcPr>
            <w:tcW w:w="752" w:type="pct"/>
            <w:tcBorders>
              <w:top w:val="nil"/>
              <w:left w:val="nil"/>
              <w:bottom w:val="nil"/>
              <w:right w:val="nil"/>
            </w:tcBorders>
          </w:tcPr>
          <w:p w14:paraId="04EB7BD0"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0.042**</w:t>
            </w:r>
          </w:p>
        </w:tc>
        <w:tc>
          <w:tcPr>
            <w:tcW w:w="849" w:type="pct"/>
            <w:tcBorders>
              <w:top w:val="nil"/>
              <w:left w:val="nil"/>
              <w:bottom w:val="nil"/>
              <w:right w:val="nil"/>
            </w:tcBorders>
          </w:tcPr>
          <w:p w14:paraId="58F99C33"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0.022</w:t>
            </w:r>
          </w:p>
        </w:tc>
      </w:tr>
      <w:tr w:rsidR="00CE0D78" w:rsidRPr="00CD4846" w14:paraId="17B1B652" w14:textId="77777777" w:rsidTr="00EE4448">
        <w:tc>
          <w:tcPr>
            <w:tcW w:w="1436" w:type="pct"/>
            <w:tcBorders>
              <w:top w:val="nil"/>
              <w:left w:val="nil"/>
              <w:bottom w:val="nil"/>
              <w:right w:val="nil"/>
            </w:tcBorders>
          </w:tcPr>
          <w:p w14:paraId="0514A211" w14:textId="56B95A3E" w:rsidR="00EE4448" w:rsidRPr="00695826" w:rsidRDefault="00EE4448" w:rsidP="00695826">
            <w:pPr>
              <w:widowControl w:val="0"/>
              <w:autoSpaceDE w:val="0"/>
              <w:autoSpaceDN w:val="0"/>
              <w:adjustRightInd w:val="0"/>
              <w:spacing w:line="240" w:lineRule="auto"/>
              <w:rPr>
                <w:rFonts w:cs="Times New Roman"/>
                <w:kern w:val="2"/>
                <w:sz w:val="20"/>
                <w:szCs w:val="20"/>
                <w:lang/>
              </w:rPr>
            </w:pPr>
          </w:p>
        </w:tc>
        <w:tc>
          <w:tcPr>
            <w:tcW w:w="621" w:type="pct"/>
            <w:tcBorders>
              <w:top w:val="nil"/>
              <w:left w:val="nil"/>
              <w:bottom w:val="nil"/>
              <w:right w:val="nil"/>
            </w:tcBorders>
          </w:tcPr>
          <w:p w14:paraId="039A0846"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(0.051)</w:t>
            </w:r>
          </w:p>
        </w:tc>
        <w:tc>
          <w:tcPr>
            <w:tcW w:w="641" w:type="pct"/>
            <w:tcBorders>
              <w:top w:val="nil"/>
              <w:left w:val="nil"/>
              <w:bottom w:val="nil"/>
              <w:right w:val="nil"/>
            </w:tcBorders>
          </w:tcPr>
          <w:p w14:paraId="473C0B58"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(0.063)</w:t>
            </w:r>
          </w:p>
        </w:tc>
        <w:tc>
          <w:tcPr>
            <w:tcW w:w="701" w:type="pct"/>
            <w:tcBorders>
              <w:top w:val="nil"/>
              <w:left w:val="nil"/>
              <w:bottom w:val="nil"/>
              <w:right w:val="nil"/>
            </w:tcBorders>
          </w:tcPr>
          <w:p w14:paraId="658C055C"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(0.112)</w:t>
            </w:r>
          </w:p>
        </w:tc>
        <w:tc>
          <w:tcPr>
            <w:tcW w:w="752" w:type="pct"/>
            <w:tcBorders>
              <w:top w:val="nil"/>
              <w:left w:val="nil"/>
              <w:bottom w:val="nil"/>
              <w:right w:val="nil"/>
            </w:tcBorders>
          </w:tcPr>
          <w:p w14:paraId="47B684D2"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(0.021)</w:t>
            </w:r>
          </w:p>
        </w:tc>
        <w:tc>
          <w:tcPr>
            <w:tcW w:w="849" w:type="pct"/>
            <w:tcBorders>
              <w:top w:val="nil"/>
              <w:left w:val="nil"/>
              <w:bottom w:val="nil"/>
              <w:right w:val="nil"/>
            </w:tcBorders>
          </w:tcPr>
          <w:p w14:paraId="4012436E"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(0.026)</w:t>
            </w:r>
          </w:p>
        </w:tc>
      </w:tr>
      <w:tr w:rsidR="00CE0D78" w:rsidRPr="00CD4846" w14:paraId="18204654" w14:textId="77777777" w:rsidTr="00EE4448">
        <w:tc>
          <w:tcPr>
            <w:tcW w:w="1436" w:type="pct"/>
            <w:tcBorders>
              <w:top w:val="nil"/>
              <w:left w:val="nil"/>
              <w:bottom w:val="nil"/>
              <w:right w:val="nil"/>
            </w:tcBorders>
          </w:tcPr>
          <w:p w14:paraId="17AC15B9"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Percent Black (100s)</w:t>
            </w:r>
          </w:p>
        </w:tc>
        <w:tc>
          <w:tcPr>
            <w:tcW w:w="621" w:type="pct"/>
            <w:tcBorders>
              <w:top w:val="nil"/>
              <w:left w:val="nil"/>
              <w:bottom w:val="nil"/>
              <w:right w:val="nil"/>
            </w:tcBorders>
          </w:tcPr>
          <w:p w14:paraId="3FCA1AF2"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-2.241</w:t>
            </w:r>
          </w:p>
        </w:tc>
        <w:tc>
          <w:tcPr>
            <w:tcW w:w="641" w:type="pct"/>
            <w:tcBorders>
              <w:top w:val="nil"/>
              <w:left w:val="nil"/>
              <w:bottom w:val="nil"/>
              <w:right w:val="nil"/>
            </w:tcBorders>
          </w:tcPr>
          <w:p w14:paraId="47788D5B"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1.299</w:t>
            </w:r>
          </w:p>
        </w:tc>
        <w:tc>
          <w:tcPr>
            <w:tcW w:w="701" w:type="pct"/>
            <w:tcBorders>
              <w:top w:val="nil"/>
              <w:left w:val="nil"/>
              <w:bottom w:val="nil"/>
              <w:right w:val="nil"/>
            </w:tcBorders>
          </w:tcPr>
          <w:p w14:paraId="76D3B4EC"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-3.942**</w:t>
            </w:r>
          </w:p>
        </w:tc>
        <w:tc>
          <w:tcPr>
            <w:tcW w:w="752" w:type="pct"/>
            <w:tcBorders>
              <w:top w:val="nil"/>
              <w:left w:val="nil"/>
              <w:bottom w:val="nil"/>
              <w:right w:val="nil"/>
            </w:tcBorders>
          </w:tcPr>
          <w:p w14:paraId="32D0ABE9"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2.586***</w:t>
            </w:r>
          </w:p>
        </w:tc>
        <w:tc>
          <w:tcPr>
            <w:tcW w:w="849" w:type="pct"/>
            <w:tcBorders>
              <w:top w:val="nil"/>
              <w:left w:val="nil"/>
              <w:bottom w:val="nil"/>
              <w:right w:val="nil"/>
            </w:tcBorders>
          </w:tcPr>
          <w:p w14:paraId="0A5FCBF6"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0.971</w:t>
            </w:r>
          </w:p>
        </w:tc>
      </w:tr>
      <w:tr w:rsidR="00CE0D78" w:rsidRPr="00CD4846" w14:paraId="147398E5" w14:textId="77777777" w:rsidTr="00EE4448">
        <w:tc>
          <w:tcPr>
            <w:tcW w:w="1436" w:type="pct"/>
            <w:tcBorders>
              <w:top w:val="nil"/>
              <w:left w:val="nil"/>
              <w:bottom w:val="nil"/>
              <w:right w:val="nil"/>
            </w:tcBorders>
          </w:tcPr>
          <w:p w14:paraId="2936D391" w14:textId="1FC7F157" w:rsidR="00EE4448" w:rsidRPr="00695826" w:rsidRDefault="00EE4448" w:rsidP="00695826">
            <w:pPr>
              <w:widowControl w:val="0"/>
              <w:autoSpaceDE w:val="0"/>
              <w:autoSpaceDN w:val="0"/>
              <w:adjustRightInd w:val="0"/>
              <w:spacing w:line="240" w:lineRule="auto"/>
              <w:rPr>
                <w:rFonts w:cs="Times New Roman"/>
                <w:kern w:val="2"/>
                <w:sz w:val="20"/>
                <w:szCs w:val="20"/>
                <w:lang/>
              </w:rPr>
            </w:pPr>
          </w:p>
        </w:tc>
        <w:tc>
          <w:tcPr>
            <w:tcW w:w="621" w:type="pct"/>
            <w:tcBorders>
              <w:top w:val="nil"/>
              <w:left w:val="nil"/>
              <w:bottom w:val="nil"/>
              <w:right w:val="nil"/>
            </w:tcBorders>
          </w:tcPr>
          <w:p w14:paraId="375F2D5B"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(1.649)</w:t>
            </w:r>
          </w:p>
        </w:tc>
        <w:tc>
          <w:tcPr>
            <w:tcW w:w="641" w:type="pct"/>
            <w:tcBorders>
              <w:top w:val="nil"/>
              <w:left w:val="nil"/>
              <w:bottom w:val="nil"/>
              <w:right w:val="nil"/>
            </w:tcBorders>
          </w:tcPr>
          <w:p w14:paraId="595BC111"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(2.662)</w:t>
            </w:r>
          </w:p>
        </w:tc>
        <w:tc>
          <w:tcPr>
            <w:tcW w:w="701" w:type="pct"/>
            <w:tcBorders>
              <w:top w:val="nil"/>
              <w:left w:val="nil"/>
              <w:bottom w:val="nil"/>
              <w:right w:val="nil"/>
            </w:tcBorders>
          </w:tcPr>
          <w:p w14:paraId="300A8E2E"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(1.906)</w:t>
            </w:r>
          </w:p>
        </w:tc>
        <w:tc>
          <w:tcPr>
            <w:tcW w:w="752" w:type="pct"/>
            <w:tcBorders>
              <w:top w:val="nil"/>
              <w:left w:val="nil"/>
              <w:bottom w:val="nil"/>
              <w:right w:val="nil"/>
            </w:tcBorders>
          </w:tcPr>
          <w:p w14:paraId="1FFD4EDC"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(0.772)</w:t>
            </w:r>
          </w:p>
        </w:tc>
        <w:tc>
          <w:tcPr>
            <w:tcW w:w="849" w:type="pct"/>
            <w:tcBorders>
              <w:top w:val="nil"/>
              <w:left w:val="nil"/>
              <w:bottom w:val="nil"/>
              <w:right w:val="nil"/>
            </w:tcBorders>
          </w:tcPr>
          <w:p w14:paraId="53C700B9"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(0.769)</w:t>
            </w:r>
          </w:p>
        </w:tc>
      </w:tr>
      <w:tr w:rsidR="00CE0D78" w:rsidRPr="00CD4846" w14:paraId="0292A165" w14:textId="77777777" w:rsidTr="00EE4448">
        <w:tc>
          <w:tcPr>
            <w:tcW w:w="1436" w:type="pct"/>
            <w:tcBorders>
              <w:top w:val="nil"/>
              <w:left w:val="nil"/>
              <w:bottom w:val="nil"/>
              <w:right w:val="nil"/>
            </w:tcBorders>
          </w:tcPr>
          <w:p w14:paraId="31BD3AF2" w14:textId="548250E6"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Population count (1ms)</w:t>
            </w:r>
          </w:p>
        </w:tc>
        <w:tc>
          <w:tcPr>
            <w:tcW w:w="621" w:type="pct"/>
            <w:tcBorders>
              <w:top w:val="nil"/>
              <w:left w:val="nil"/>
              <w:bottom w:val="nil"/>
              <w:right w:val="nil"/>
            </w:tcBorders>
          </w:tcPr>
          <w:p w14:paraId="438B20C4"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-0.637***</w:t>
            </w:r>
          </w:p>
        </w:tc>
        <w:tc>
          <w:tcPr>
            <w:tcW w:w="641" w:type="pct"/>
            <w:tcBorders>
              <w:top w:val="nil"/>
              <w:left w:val="nil"/>
              <w:bottom w:val="nil"/>
              <w:right w:val="nil"/>
            </w:tcBorders>
          </w:tcPr>
          <w:p w14:paraId="4B74EAA6"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-0.327</w:t>
            </w:r>
          </w:p>
        </w:tc>
        <w:tc>
          <w:tcPr>
            <w:tcW w:w="701" w:type="pct"/>
            <w:tcBorders>
              <w:top w:val="nil"/>
              <w:left w:val="nil"/>
              <w:bottom w:val="nil"/>
              <w:right w:val="nil"/>
            </w:tcBorders>
          </w:tcPr>
          <w:p w14:paraId="5F5ACE46"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-1.759***</w:t>
            </w:r>
          </w:p>
        </w:tc>
        <w:tc>
          <w:tcPr>
            <w:tcW w:w="752" w:type="pct"/>
            <w:tcBorders>
              <w:top w:val="nil"/>
              <w:left w:val="nil"/>
              <w:bottom w:val="nil"/>
              <w:right w:val="nil"/>
            </w:tcBorders>
          </w:tcPr>
          <w:p w14:paraId="39A849D1"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-0.223</w:t>
            </w:r>
          </w:p>
        </w:tc>
        <w:tc>
          <w:tcPr>
            <w:tcW w:w="849" w:type="pct"/>
            <w:tcBorders>
              <w:top w:val="nil"/>
              <w:left w:val="nil"/>
              <w:bottom w:val="nil"/>
              <w:right w:val="nil"/>
            </w:tcBorders>
          </w:tcPr>
          <w:p w14:paraId="0824B078"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-0.110</w:t>
            </w:r>
          </w:p>
        </w:tc>
      </w:tr>
      <w:tr w:rsidR="00CE0D78" w:rsidRPr="00CD4846" w14:paraId="4A6E9F2F" w14:textId="77777777" w:rsidTr="00EE4448">
        <w:tc>
          <w:tcPr>
            <w:tcW w:w="1436" w:type="pct"/>
            <w:tcBorders>
              <w:top w:val="nil"/>
              <w:left w:val="nil"/>
              <w:bottom w:val="nil"/>
              <w:right w:val="nil"/>
            </w:tcBorders>
          </w:tcPr>
          <w:p w14:paraId="4E466334" w14:textId="26666D89" w:rsidR="00EE4448" w:rsidRPr="00695826" w:rsidRDefault="00EE4448" w:rsidP="00695826">
            <w:pPr>
              <w:widowControl w:val="0"/>
              <w:autoSpaceDE w:val="0"/>
              <w:autoSpaceDN w:val="0"/>
              <w:adjustRightInd w:val="0"/>
              <w:spacing w:line="240" w:lineRule="auto"/>
              <w:rPr>
                <w:rFonts w:cs="Times New Roman"/>
                <w:kern w:val="2"/>
                <w:sz w:val="20"/>
                <w:szCs w:val="20"/>
                <w:lang/>
              </w:rPr>
            </w:pPr>
          </w:p>
        </w:tc>
        <w:tc>
          <w:tcPr>
            <w:tcW w:w="621" w:type="pct"/>
            <w:tcBorders>
              <w:top w:val="nil"/>
              <w:left w:val="nil"/>
              <w:bottom w:val="nil"/>
              <w:right w:val="nil"/>
            </w:tcBorders>
          </w:tcPr>
          <w:p w14:paraId="7D588E9E"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(0.215)</w:t>
            </w:r>
          </w:p>
        </w:tc>
        <w:tc>
          <w:tcPr>
            <w:tcW w:w="641" w:type="pct"/>
            <w:tcBorders>
              <w:top w:val="nil"/>
              <w:left w:val="nil"/>
              <w:bottom w:val="nil"/>
              <w:right w:val="nil"/>
            </w:tcBorders>
          </w:tcPr>
          <w:p w14:paraId="4964343D"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(0.277)</w:t>
            </w:r>
          </w:p>
        </w:tc>
        <w:tc>
          <w:tcPr>
            <w:tcW w:w="701" w:type="pct"/>
            <w:tcBorders>
              <w:top w:val="nil"/>
              <w:left w:val="nil"/>
              <w:bottom w:val="nil"/>
              <w:right w:val="nil"/>
            </w:tcBorders>
          </w:tcPr>
          <w:p w14:paraId="2434F748"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(0.482)</w:t>
            </w:r>
          </w:p>
        </w:tc>
        <w:tc>
          <w:tcPr>
            <w:tcW w:w="752" w:type="pct"/>
            <w:tcBorders>
              <w:top w:val="nil"/>
              <w:left w:val="nil"/>
              <w:bottom w:val="nil"/>
              <w:right w:val="nil"/>
            </w:tcBorders>
          </w:tcPr>
          <w:p w14:paraId="1EFF46F2"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(0.201)</w:t>
            </w:r>
          </w:p>
        </w:tc>
        <w:tc>
          <w:tcPr>
            <w:tcW w:w="849" w:type="pct"/>
            <w:tcBorders>
              <w:top w:val="nil"/>
              <w:left w:val="nil"/>
              <w:bottom w:val="nil"/>
              <w:right w:val="nil"/>
            </w:tcBorders>
          </w:tcPr>
          <w:p w14:paraId="425177D3"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(0.094)</w:t>
            </w:r>
          </w:p>
        </w:tc>
      </w:tr>
      <w:tr w:rsidR="00CE0D78" w:rsidRPr="00CD4846" w14:paraId="15D0BABC" w14:textId="77777777" w:rsidTr="00EE4448">
        <w:tc>
          <w:tcPr>
            <w:tcW w:w="1436" w:type="pct"/>
            <w:tcBorders>
              <w:top w:val="nil"/>
              <w:left w:val="nil"/>
              <w:bottom w:val="nil"/>
              <w:right w:val="nil"/>
            </w:tcBorders>
          </w:tcPr>
          <w:p w14:paraId="10DDBD7F" w14:textId="4284DC6A"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Unemployment rate (100s)</w:t>
            </w:r>
          </w:p>
        </w:tc>
        <w:tc>
          <w:tcPr>
            <w:tcW w:w="621" w:type="pct"/>
            <w:tcBorders>
              <w:top w:val="nil"/>
              <w:left w:val="nil"/>
              <w:bottom w:val="nil"/>
              <w:right w:val="nil"/>
            </w:tcBorders>
          </w:tcPr>
          <w:p w14:paraId="25BB6870"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2.389***</w:t>
            </w:r>
          </w:p>
        </w:tc>
        <w:tc>
          <w:tcPr>
            <w:tcW w:w="641" w:type="pct"/>
            <w:tcBorders>
              <w:top w:val="nil"/>
              <w:left w:val="nil"/>
              <w:bottom w:val="nil"/>
              <w:right w:val="nil"/>
            </w:tcBorders>
          </w:tcPr>
          <w:p w14:paraId="21A2461D"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-1.435</w:t>
            </w:r>
          </w:p>
        </w:tc>
        <w:tc>
          <w:tcPr>
            <w:tcW w:w="701" w:type="pct"/>
            <w:tcBorders>
              <w:top w:val="nil"/>
              <w:left w:val="nil"/>
              <w:bottom w:val="nil"/>
              <w:right w:val="nil"/>
            </w:tcBorders>
          </w:tcPr>
          <w:p w14:paraId="69688D91"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4.398***</w:t>
            </w:r>
          </w:p>
        </w:tc>
        <w:tc>
          <w:tcPr>
            <w:tcW w:w="752" w:type="pct"/>
            <w:tcBorders>
              <w:top w:val="nil"/>
              <w:left w:val="nil"/>
              <w:bottom w:val="nil"/>
              <w:right w:val="nil"/>
            </w:tcBorders>
          </w:tcPr>
          <w:p w14:paraId="6B0BD501"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4.627***</w:t>
            </w:r>
          </w:p>
        </w:tc>
        <w:tc>
          <w:tcPr>
            <w:tcW w:w="849" w:type="pct"/>
            <w:tcBorders>
              <w:top w:val="nil"/>
              <w:left w:val="nil"/>
              <w:bottom w:val="nil"/>
              <w:right w:val="nil"/>
            </w:tcBorders>
          </w:tcPr>
          <w:p w14:paraId="3FF785B1"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3.271***</w:t>
            </w:r>
          </w:p>
        </w:tc>
      </w:tr>
      <w:tr w:rsidR="00CE0D78" w:rsidRPr="00CD4846" w14:paraId="688F4784" w14:textId="77777777" w:rsidTr="00EE4448">
        <w:tc>
          <w:tcPr>
            <w:tcW w:w="1436" w:type="pct"/>
            <w:tcBorders>
              <w:top w:val="nil"/>
              <w:left w:val="nil"/>
              <w:bottom w:val="nil"/>
              <w:right w:val="nil"/>
            </w:tcBorders>
          </w:tcPr>
          <w:p w14:paraId="03987333" w14:textId="7E089875" w:rsidR="00EE4448" w:rsidRPr="00695826" w:rsidRDefault="00EE4448" w:rsidP="00695826">
            <w:pPr>
              <w:widowControl w:val="0"/>
              <w:autoSpaceDE w:val="0"/>
              <w:autoSpaceDN w:val="0"/>
              <w:adjustRightInd w:val="0"/>
              <w:spacing w:line="240" w:lineRule="auto"/>
              <w:rPr>
                <w:rFonts w:cs="Times New Roman"/>
                <w:kern w:val="2"/>
                <w:sz w:val="20"/>
                <w:szCs w:val="20"/>
                <w:lang/>
              </w:rPr>
            </w:pPr>
          </w:p>
        </w:tc>
        <w:tc>
          <w:tcPr>
            <w:tcW w:w="621" w:type="pct"/>
            <w:tcBorders>
              <w:top w:val="nil"/>
              <w:left w:val="nil"/>
              <w:bottom w:val="nil"/>
              <w:right w:val="nil"/>
            </w:tcBorders>
          </w:tcPr>
          <w:p w14:paraId="0A882826"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(0.791)</w:t>
            </w:r>
          </w:p>
        </w:tc>
        <w:tc>
          <w:tcPr>
            <w:tcW w:w="641" w:type="pct"/>
            <w:tcBorders>
              <w:top w:val="nil"/>
              <w:left w:val="nil"/>
              <w:bottom w:val="nil"/>
              <w:right w:val="nil"/>
            </w:tcBorders>
          </w:tcPr>
          <w:p w14:paraId="2478EB42"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(2.619)</w:t>
            </w:r>
          </w:p>
        </w:tc>
        <w:tc>
          <w:tcPr>
            <w:tcW w:w="701" w:type="pct"/>
            <w:tcBorders>
              <w:top w:val="nil"/>
              <w:left w:val="nil"/>
              <w:bottom w:val="nil"/>
              <w:right w:val="nil"/>
            </w:tcBorders>
          </w:tcPr>
          <w:p w14:paraId="4DE61852"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(1.300)</w:t>
            </w:r>
          </w:p>
        </w:tc>
        <w:tc>
          <w:tcPr>
            <w:tcW w:w="752" w:type="pct"/>
            <w:tcBorders>
              <w:top w:val="nil"/>
              <w:left w:val="nil"/>
              <w:bottom w:val="nil"/>
              <w:right w:val="nil"/>
            </w:tcBorders>
          </w:tcPr>
          <w:p w14:paraId="0F3FD75C"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(0.683)</w:t>
            </w:r>
          </w:p>
        </w:tc>
        <w:tc>
          <w:tcPr>
            <w:tcW w:w="849" w:type="pct"/>
            <w:tcBorders>
              <w:top w:val="nil"/>
              <w:left w:val="nil"/>
              <w:bottom w:val="nil"/>
              <w:right w:val="nil"/>
            </w:tcBorders>
          </w:tcPr>
          <w:p w14:paraId="1F35A889"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(0.581)</w:t>
            </w:r>
          </w:p>
        </w:tc>
      </w:tr>
      <w:tr w:rsidR="00CE0D78" w:rsidRPr="00CD4846" w14:paraId="106EA332" w14:textId="77777777" w:rsidTr="00EE4448">
        <w:tc>
          <w:tcPr>
            <w:tcW w:w="1436" w:type="pct"/>
            <w:tcBorders>
              <w:top w:val="nil"/>
              <w:left w:val="nil"/>
              <w:bottom w:val="nil"/>
              <w:right w:val="nil"/>
            </w:tcBorders>
          </w:tcPr>
          <w:p w14:paraId="5BB77230" w14:textId="2ACDCB6C"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Sales Volume (t-1)</w:t>
            </w:r>
          </w:p>
        </w:tc>
        <w:tc>
          <w:tcPr>
            <w:tcW w:w="621" w:type="pct"/>
            <w:tcBorders>
              <w:top w:val="nil"/>
              <w:left w:val="nil"/>
              <w:bottom w:val="nil"/>
              <w:right w:val="nil"/>
            </w:tcBorders>
          </w:tcPr>
          <w:p w14:paraId="27A4701C"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4.507*</w:t>
            </w:r>
          </w:p>
        </w:tc>
        <w:tc>
          <w:tcPr>
            <w:tcW w:w="641" w:type="pct"/>
            <w:tcBorders>
              <w:top w:val="nil"/>
              <w:left w:val="nil"/>
              <w:bottom w:val="nil"/>
              <w:right w:val="nil"/>
            </w:tcBorders>
          </w:tcPr>
          <w:p w14:paraId="6A6D9F63"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0.109</w:t>
            </w:r>
          </w:p>
        </w:tc>
        <w:tc>
          <w:tcPr>
            <w:tcW w:w="701" w:type="pct"/>
            <w:tcBorders>
              <w:top w:val="nil"/>
              <w:left w:val="nil"/>
              <w:bottom w:val="nil"/>
              <w:right w:val="nil"/>
            </w:tcBorders>
          </w:tcPr>
          <w:p w14:paraId="0A88822B"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-0.288</w:t>
            </w:r>
          </w:p>
        </w:tc>
        <w:tc>
          <w:tcPr>
            <w:tcW w:w="752" w:type="pct"/>
            <w:tcBorders>
              <w:top w:val="nil"/>
              <w:left w:val="nil"/>
              <w:bottom w:val="nil"/>
              <w:right w:val="nil"/>
            </w:tcBorders>
          </w:tcPr>
          <w:p w14:paraId="31F65FFF"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-37.352**</w:t>
            </w:r>
          </w:p>
        </w:tc>
        <w:tc>
          <w:tcPr>
            <w:tcW w:w="849" w:type="pct"/>
            <w:tcBorders>
              <w:top w:val="nil"/>
              <w:left w:val="nil"/>
              <w:bottom w:val="nil"/>
              <w:right w:val="nil"/>
            </w:tcBorders>
          </w:tcPr>
          <w:p w14:paraId="53CD9233"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-0.147*</w:t>
            </w:r>
          </w:p>
        </w:tc>
      </w:tr>
      <w:tr w:rsidR="00CE0D78" w:rsidRPr="00CD4846" w14:paraId="672FDCE3" w14:textId="77777777" w:rsidTr="00EE4448">
        <w:tc>
          <w:tcPr>
            <w:tcW w:w="1436" w:type="pct"/>
            <w:tcBorders>
              <w:top w:val="nil"/>
              <w:left w:val="nil"/>
              <w:bottom w:val="nil"/>
              <w:right w:val="nil"/>
            </w:tcBorders>
          </w:tcPr>
          <w:p w14:paraId="7F776185" w14:textId="3401BF15" w:rsidR="00EE4448" w:rsidRPr="00695826" w:rsidRDefault="00EE4448" w:rsidP="00695826">
            <w:pPr>
              <w:widowControl w:val="0"/>
              <w:autoSpaceDE w:val="0"/>
              <w:autoSpaceDN w:val="0"/>
              <w:adjustRightInd w:val="0"/>
              <w:spacing w:line="240" w:lineRule="auto"/>
              <w:rPr>
                <w:rFonts w:cs="Times New Roman"/>
                <w:kern w:val="2"/>
                <w:sz w:val="20"/>
                <w:szCs w:val="20"/>
                <w:lang/>
              </w:rPr>
            </w:pPr>
          </w:p>
        </w:tc>
        <w:tc>
          <w:tcPr>
            <w:tcW w:w="621" w:type="pct"/>
            <w:tcBorders>
              <w:top w:val="nil"/>
              <w:left w:val="nil"/>
              <w:bottom w:val="nil"/>
              <w:right w:val="nil"/>
            </w:tcBorders>
          </w:tcPr>
          <w:p w14:paraId="21E5198A"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(2.608)</w:t>
            </w:r>
          </w:p>
        </w:tc>
        <w:tc>
          <w:tcPr>
            <w:tcW w:w="641" w:type="pct"/>
            <w:tcBorders>
              <w:top w:val="nil"/>
              <w:left w:val="nil"/>
              <w:bottom w:val="nil"/>
              <w:right w:val="nil"/>
            </w:tcBorders>
          </w:tcPr>
          <w:p w14:paraId="6D117E19"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(0.727)</w:t>
            </w:r>
          </w:p>
        </w:tc>
        <w:tc>
          <w:tcPr>
            <w:tcW w:w="701" w:type="pct"/>
            <w:tcBorders>
              <w:top w:val="nil"/>
              <w:left w:val="nil"/>
              <w:bottom w:val="nil"/>
              <w:right w:val="nil"/>
            </w:tcBorders>
          </w:tcPr>
          <w:p w14:paraId="531F8369"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(0.288)</w:t>
            </w:r>
          </w:p>
        </w:tc>
        <w:tc>
          <w:tcPr>
            <w:tcW w:w="752" w:type="pct"/>
            <w:tcBorders>
              <w:top w:val="nil"/>
              <w:left w:val="nil"/>
              <w:bottom w:val="nil"/>
              <w:right w:val="nil"/>
            </w:tcBorders>
          </w:tcPr>
          <w:p w14:paraId="7B013692"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(15.355)</w:t>
            </w:r>
          </w:p>
        </w:tc>
        <w:tc>
          <w:tcPr>
            <w:tcW w:w="849" w:type="pct"/>
            <w:tcBorders>
              <w:top w:val="nil"/>
              <w:left w:val="nil"/>
              <w:bottom w:val="nil"/>
              <w:right w:val="nil"/>
            </w:tcBorders>
          </w:tcPr>
          <w:p w14:paraId="789780A9"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(0.084)</w:t>
            </w:r>
          </w:p>
        </w:tc>
      </w:tr>
      <w:tr w:rsidR="00CE0D78" w:rsidRPr="00CD4846" w14:paraId="3AA192C8" w14:textId="77777777" w:rsidTr="00EE4448">
        <w:tc>
          <w:tcPr>
            <w:tcW w:w="1436" w:type="pct"/>
            <w:tcBorders>
              <w:top w:val="nil"/>
              <w:left w:val="nil"/>
              <w:bottom w:val="nil"/>
              <w:right w:val="nil"/>
            </w:tcBorders>
          </w:tcPr>
          <w:p w14:paraId="3239D64B" w14:textId="420C6218"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Prior Total Entries (1ks)</w:t>
            </w:r>
          </w:p>
        </w:tc>
        <w:tc>
          <w:tcPr>
            <w:tcW w:w="621" w:type="pct"/>
            <w:tcBorders>
              <w:top w:val="nil"/>
              <w:left w:val="nil"/>
              <w:bottom w:val="nil"/>
              <w:right w:val="nil"/>
            </w:tcBorders>
          </w:tcPr>
          <w:p w14:paraId="6FDECF50"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-1.704**</w:t>
            </w:r>
          </w:p>
        </w:tc>
        <w:tc>
          <w:tcPr>
            <w:tcW w:w="641" w:type="pct"/>
            <w:tcBorders>
              <w:top w:val="nil"/>
              <w:left w:val="nil"/>
              <w:bottom w:val="nil"/>
              <w:right w:val="nil"/>
            </w:tcBorders>
          </w:tcPr>
          <w:p w14:paraId="51C4289F"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-0.745**</w:t>
            </w:r>
          </w:p>
        </w:tc>
        <w:tc>
          <w:tcPr>
            <w:tcW w:w="701" w:type="pct"/>
            <w:tcBorders>
              <w:top w:val="nil"/>
              <w:left w:val="nil"/>
              <w:bottom w:val="nil"/>
              <w:right w:val="nil"/>
            </w:tcBorders>
          </w:tcPr>
          <w:p w14:paraId="6D573FA4"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-4.314***</w:t>
            </w:r>
          </w:p>
        </w:tc>
        <w:tc>
          <w:tcPr>
            <w:tcW w:w="752" w:type="pct"/>
            <w:tcBorders>
              <w:top w:val="nil"/>
              <w:left w:val="nil"/>
              <w:bottom w:val="nil"/>
              <w:right w:val="nil"/>
            </w:tcBorders>
          </w:tcPr>
          <w:p w14:paraId="4731554A"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-0.046***</w:t>
            </w:r>
          </w:p>
        </w:tc>
        <w:tc>
          <w:tcPr>
            <w:tcW w:w="849" w:type="pct"/>
            <w:tcBorders>
              <w:top w:val="nil"/>
              <w:left w:val="nil"/>
              <w:bottom w:val="nil"/>
              <w:right w:val="nil"/>
            </w:tcBorders>
          </w:tcPr>
          <w:p w14:paraId="4AA1C223"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-0.005</w:t>
            </w:r>
          </w:p>
        </w:tc>
      </w:tr>
      <w:tr w:rsidR="00CE0D78" w:rsidRPr="00CD4846" w14:paraId="6B9CEBB1" w14:textId="77777777" w:rsidTr="00EE4448">
        <w:tc>
          <w:tcPr>
            <w:tcW w:w="1436" w:type="pct"/>
            <w:tcBorders>
              <w:top w:val="nil"/>
              <w:left w:val="nil"/>
              <w:bottom w:val="nil"/>
              <w:right w:val="nil"/>
            </w:tcBorders>
          </w:tcPr>
          <w:p w14:paraId="6388C2DE" w14:textId="701C07E9" w:rsidR="00EE4448" w:rsidRPr="00695826" w:rsidRDefault="00EE4448" w:rsidP="00695826">
            <w:pPr>
              <w:widowControl w:val="0"/>
              <w:autoSpaceDE w:val="0"/>
              <w:autoSpaceDN w:val="0"/>
              <w:adjustRightInd w:val="0"/>
              <w:spacing w:line="240" w:lineRule="auto"/>
              <w:rPr>
                <w:rFonts w:cs="Times New Roman"/>
                <w:kern w:val="2"/>
                <w:sz w:val="20"/>
                <w:szCs w:val="20"/>
                <w:lang/>
              </w:rPr>
            </w:pPr>
          </w:p>
        </w:tc>
        <w:tc>
          <w:tcPr>
            <w:tcW w:w="621" w:type="pct"/>
            <w:tcBorders>
              <w:top w:val="nil"/>
              <w:left w:val="nil"/>
              <w:bottom w:val="nil"/>
              <w:right w:val="nil"/>
            </w:tcBorders>
          </w:tcPr>
          <w:p w14:paraId="10A8B20B"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(0.671)</w:t>
            </w:r>
          </w:p>
        </w:tc>
        <w:tc>
          <w:tcPr>
            <w:tcW w:w="641" w:type="pct"/>
            <w:tcBorders>
              <w:top w:val="nil"/>
              <w:left w:val="nil"/>
              <w:bottom w:val="nil"/>
              <w:right w:val="nil"/>
            </w:tcBorders>
          </w:tcPr>
          <w:p w14:paraId="32C2F8FC"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(0.304)</w:t>
            </w:r>
          </w:p>
        </w:tc>
        <w:tc>
          <w:tcPr>
            <w:tcW w:w="701" w:type="pct"/>
            <w:tcBorders>
              <w:top w:val="nil"/>
              <w:left w:val="nil"/>
              <w:bottom w:val="nil"/>
              <w:right w:val="nil"/>
            </w:tcBorders>
          </w:tcPr>
          <w:p w14:paraId="7CD69CBB"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(1.640)</w:t>
            </w:r>
          </w:p>
        </w:tc>
        <w:tc>
          <w:tcPr>
            <w:tcW w:w="752" w:type="pct"/>
            <w:tcBorders>
              <w:top w:val="nil"/>
              <w:left w:val="nil"/>
              <w:bottom w:val="nil"/>
              <w:right w:val="nil"/>
            </w:tcBorders>
          </w:tcPr>
          <w:p w14:paraId="5047B32F"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(0.009)</w:t>
            </w:r>
          </w:p>
        </w:tc>
        <w:tc>
          <w:tcPr>
            <w:tcW w:w="849" w:type="pct"/>
            <w:tcBorders>
              <w:top w:val="nil"/>
              <w:left w:val="nil"/>
              <w:bottom w:val="nil"/>
              <w:right w:val="nil"/>
            </w:tcBorders>
          </w:tcPr>
          <w:p w14:paraId="69B1F8A6"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(0.034)</w:t>
            </w:r>
          </w:p>
        </w:tc>
      </w:tr>
      <w:tr w:rsidR="00CE0D78" w:rsidRPr="00CD4846" w14:paraId="45248FC4" w14:textId="77777777" w:rsidTr="00EE4448">
        <w:tc>
          <w:tcPr>
            <w:tcW w:w="1436" w:type="pct"/>
            <w:tcBorders>
              <w:top w:val="nil"/>
              <w:left w:val="nil"/>
              <w:bottom w:val="nil"/>
              <w:right w:val="nil"/>
            </w:tcBorders>
          </w:tcPr>
          <w:p w14:paraId="7E0ADB02"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Constant</w:t>
            </w:r>
          </w:p>
        </w:tc>
        <w:tc>
          <w:tcPr>
            <w:tcW w:w="621" w:type="pct"/>
            <w:tcBorders>
              <w:top w:val="nil"/>
              <w:left w:val="nil"/>
              <w:bottom w:val="nil"/>
              <w:right w:val="nil"/>
            </w:tcBorders>
          </w:tcPr>
          <w:p w14:paraId="0180E9B8"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2.448***</w:t>
            </w:r>
          </w:p>
        </w:tc>
        <w:tc>
          <w:tcPr>
            <w:tcW w:w="641" w:type="pct"/>
            <w:tcBorders>
              <w:top w:val="nil"/>
              <w:left w:val="nil"/>
              <w:bottom w:val="nil"/>
              <w:right w:val="nil"/>
            </w:tcBorders>
          </w:tcPr>
          <w:p w14:paraId="4992F369"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2.661***</w:t>
            </w:r>
          </w:p>
        </w:tc>
        <w:tc>
          <w:tcPr>
            <w:tcW w:w="701" w:type="pct"/>
            <w:tcBorders>
              <w:top w:val="nil"/>
              <w:left w:val="nil"/>
              <w:bottom w:val="nil"/>
              <w:right w:val="nil"/>
            </w:tcBorders>
          </w:tcPr>
          <w:p w14:paraId="2590EC7F"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2.094***</w:t>
            </w:r>
          </w:p>
        </w:tc>
        <w:tc>
          <w:tcPr>
            <w:tcW w:w="752" w:type="pct"/>
            <w:tcBorders>
              <w:top w:val="nil"/>
              <w:left w:val="nil"/>
              <w:bottom w:val="nil"/>
              <w:right w:val="nil"/>
            </w:tcBorders>
          </w:tcPr>
          <w:p w14:paraId="43CD91EA"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4.895***</w:t>
            </w:r>
          </w:p>
        </w:tc>
        <w:tc>
          <w:tcPr>
            <w:tcW w:w="849" w:type="pct"/>
            <w:tcBorders>
              <w:top w:val="nil"/>
              <w:left w:val="nil"/>
              <w:bottom w:val="nil"/>
              <w:right w:val="nil"/>
            </w:tcBorders>
          </w:tcPr>
          <w:p w14:paraId="40638650"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4.193***</w:t>
            </w:r>
          </w:p>
        </w:tc>
      </w:tr>
      <w:tr w:rsidR="00CE0D78" w:rsidRPr="00CD4846" w14:paraId="41534F35" w14:textId="77777777" w:rsidTr="00EE4448">
        <w:tc>
          <w:tcPr>
            <w:tcW w:w="1436" w:type="pct"/>
            <w:tcBorders>
              <w:top w:val="nil"/>
              <w:left w:val="nil"/>
              <w:bottom w:val="nil"/>
              <w:right w:val="nil"/>
            </w:tcBorders>
          </w:tcPr>
          <w:p w14:paraId="26AC30D7" w14:textId="7E6863A3" w:rsidR="00EE4448" w:rsidRPr="00695826" w:rsidRDefault="00EE4448" w:rsidP="00695826">
            <w:pPr>
              <w:widowControl w:val="0"/>
              <w:autoSpaceDE w:val="0"/>
              <w:autoSpaceDN w:val="0"/>
              <w:adjustRightInd w:val="0"/>
              <w:spacing w:line="240" w:lineRule="auto"/>
              <w:rPr>
                <w:rFonts w:cs="Times New Roman"/>
                <w:kern w:val="2"/>
                <w:sz w:val="20"/>
                <w:szCs w:val="20"/>
                <w:lang/>
              </w:rPr>
            </w:pPr>
          </w:p>
        </w:tc>
        <w:tc>
          <w:tcPr>
            <w:tcW w:w="621" w:type="pct"/>
            <w:tcBorders>
              <w:top w:val="nil"/>
              <w:left w:val="nil"/>
              <w:bottom w:val="nil"/>
              <w:right w:val="nil"/>
            </w:tcBorders>
          </w:tcPr>
          <w:p w14:paraId="36DA6B64"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(0.211)</w:t>
            </w:r>
          </w:p>
        </w:tc>
        <w:tc>
          <w:tcPr>
            <w:tcW w:w="641" w:type="pct"/>
            <w:tcBorders>
              <w:top w:val="nil"/>
              <w:left w:val="nil"/>
              <w:bottom w:val="nil"/>
              <w:right w:val="nil"/>
            </w:tcBorders>
          </w:tcPr>
          <w:p w14:paraId="7456B983"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(0.862)</w:t>
            </w:r>
          </w:p>
        </w:tc>
        <w:tc>
          <w:tcPr>
            <w:tcW w:w="701" w:type="pct"/>
            <w:tcBorders>
              <w:top w:val="nil"/>
              <w:left w:val="nil"/>
              <w:bottom w:val="nil"/>
              <w:right w:val="nil"/>
            </w:tcBorders>
          </w:tcPr>
          <w:p w14:paraId="3E17BCCB"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(0.363)</w:t>
            </w:r>
          </w:p>
        </w:tc>
        <w:tc>
          <w:tcPr>
            <w:tcW w:w="752" w:type="pct"/>
            <w:tcBorders>
              <w:top w:val="nil"/>
              <w:left w:val="nil"/>
              <w:bottom w:val="nil"/>
              <w:right w:val="nil"/>
            </w:tcBorders>
          </w:tcPr>
          <w:p w14:paraId="2FB2884C"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(0.231)</w:t>
            </w:r>
          </w:p>
        </w:tc>
        <w:tc>
          <w:tcPr>
            <w:tcW w:w="849" w:type="pct"/>
            <w:tcBorders>
              <w:top w:val="nil"/>
              <w:left w:val="nil"/>
              <w:bottom w:val="nil"/>
              <w:right w:val="nil"/>
            </w:tcBorders>
          </w:tcPr>
          <w:p w14:paraId="6F238933"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(0.269)</w:t>
            </w:r>
          </w:p>
        </w:tc>
      </w:tr>
      <w:tr w:rsidR="00CE0D78" w:rsidRPr="00CD4846" w14:paraId="73530FFD" w14:textId="77777777" w:rsidTr="00EE4448">
        <w:tc>
          <w:tcPr>
            <w:tcW w:w="1436" w:type="pct"/>
            <w:tcBorders>
              <w:top w:val="nil"/>
              <w:left w:val="nil"/>
              <w:bottom w:val="nil"/>
              <w:right w:val="nil"/>
            </w:tcBorders>
          </w:tcPr>
          <w:p w14:paraId="34126A76" w14:textId="05C356EF"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Observations</w:t>
            </w:r>
          </w:p>
        </w:tc>
        <w:tc>
          <w:tcPr>
            <w:tcW w:w="621" w:type="pct"/>
            <w:tcBorders>
              <w:top w:val="nil"/>
              <w:left w:val="nil"/>
              <w:bottom w:val="nil"/>
              <w:right w:val="nil"/>
            </w:tcBorders>
          </w:tcPr>
          <w:p w14:paraId="418B1246"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15287</w:t>
            </w:r>
          </w:p>
        </w:tc>
        <w:tc>
          <w:tcPr>
            <w:tcW w:w="641" w:type="pct"/>
            <w:tcBorders>
              <w:top w:val="nil"/>
              <w:left w:val="nil"/>
              <w:bottom w:val="nil"/>
              <w:right w:val="nil"/>
            </w:tcBorders>
          </w:tcPr>
          <w:p w14:paraId="0F48E65E"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10129</w:t>
            </w:r>
          </w:p>
        </w:tc>
        <w:tc>
          <w:tcPr>
            <w:tcW w:w="701" w:type="pct"/>
            <w:tcBorders>
              <w:top w:val="nil"/>
              <w:left w:val="nil"/>
              <w:bottom w:val="nil"/>
              <w:right w:val="nil"/>
            </w:tcBorders>
          </w:tcPr>
          <w:p w14:paraId="7ABA5CF1"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15133</w:t>
            </w:r>
          </w:p>
        </w:tc>
        <w:tc>
          <w:tcPr>
            <w:tcW w:w="752" w:type="pct"/>
            <w:tcBorders>
              <w:top w:val="nil"/>
              <w:left w:val="nil"/>
              <w:bottom w:val="nil"/>
              <w:right w:val="nil"/>
            </w:tcBorders>
          </w:tcPr>
          <w:p w14:paraId="5A8C7D9D"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26461</w:t>
            </w:r>
          </w:p>
        </w:tc>
        <w:tc>
          <w:tcPr>
            <w:tcW w:w="849" w:type="pct"/>
            <w:tcBorders>
              <w:top w:val="nil"/>
              <w:left w:val="nil"/>
              <w:bottom w:val="nil"/>
              <w:right w:val="nil"/>
            </w:tcBorders>
          </w:tcPr>
          <w:p w14:paraId="5ABBD7CF"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26612</w:t>
            </w:r>
          </w:p>
        </w:tc>
      </w:tr>
      <w:tr w:rsidR="00CE0D78" w:rsidRPr="00CD4846" w14:paraId="3B3EF3AD" w14:textId="77777777" w:rsidTr="00EE4448">
        <w:tc>
          <w:tcPr>
            <w:tcW w:w="1436" w:type="pct"/>
            <w:tcBorders>
              <w:top w:val="nil"/>
              <w:left w:val="nil"/>
              <w:bottom w:val="nil"/>
              <w:right w:val="nil"/>
            </w:tcBorders>
          </w:tcPr>
          <w:p w14:paraId="54995D69" w14:textId="31EAC5E6"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Pseudo R</w:t>
            </w:r>
            <w:r w:rsidRPr="00695826">
              <w:rPr>
                <w:rFonts w:cs="Times New Roman"/>
                <w:kern w:val="2"/>
                <w:sz w:val="20"/>
                <w:szCs w:val="20"/>
                <w:vertAlign w:val="superscript"/>
                <w:lang/>
              </w:rPr>
              <w:t>2</w:t>
            </w:r>
          </w:p>
        </w:tc>
        <w:tc>
          <w:tcPr>
            <w:tcW w:w="621" w:type="pct"/>
            <w:tcBorders>
              <w:top w:val="nil"/>
              <w:left w:val="nil"/>
              <w:bottom w:val="nil"/>
              <w:right w:val="nil"/>
            </w:tcBorders>
          </w:tcPr>
          <w:p w14:paraId="1AA172C4"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0.648</w:t>
            </w:r>
          </w:p>
        </w:tc>
        <w:tc>
          <w:tcPr>
            <w:tcW w:w="641" w:type="pct"/>
            <w:tcBorders>
              <w:top w:val="nil"/>
              <w:left w:val="nil"/>
              <w:bottom w:val="nil"/>
              <w:right w:val="nil"/>
            </w:tcBorders>
          </w:tcPr>
          <w:p w14:paraId="3EBC9914"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0.708</w:t>
            </w:r>
          </w:p>
        </w:tc>
        <w:tc>
          <w:tcPr>
            <w:tcW w:w="701" w:type="pct"/>
            <w:tcBorders>
              <w:top w:val="nil"/>
              <w:left w:val="nil"/>
              <w:bottom w:val="nil"/>
              <w:right w:val="nil"/>
            </w:tcBorders>
          </w:tcPr>
          <w:p w14:paraId="64495FDE"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0.560</w:t>
            </w:r>
          </w:p>
        </w:tc>
        <w:tc>
          <w:tcPr>
            <w:tcW w:w="752" w:type="pct"/>
            <w:tcBorders>
              <w:top w:val="nil"/>
              <w:left w:val="nil"/>
              <w:bottom w:val="nil"/>
              <w:right w:val="nil"/>
            </w:tcBorders>
          </w:tcPr>
          <w:p w14:paraId="6DEFAC0D"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0.958</w:t>
            </w:r>
          </w:p>
        </w:tc>
        <w:tc>
          <w:tcPr>
            <w:tcW w:w="849" w:type="pct"/>
            <w:tcBorders>
              <w:top w:val="nil"/>
              <w:left w:val="nil"/>
              <w:bottom w:val="nil"/>
              <w:right w:val="nil"/>
            </w:tcBorders>
          </w:tcPr>
          <w:p w14:paraId="1EA857D9"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0.938</w:t>
            </w:r>
          </w:p>
        </w:tc>
      </w:tr>
      <w:tr w:rsidR="00CE0D78" w:rsidRPr="00CD4846" w14:paraId="1C540256" w14:textId="77777777" w:rsidTr="00EE4448">
        <w:tc>
          <w:tcPr>
            <w:tcW w:w="1436" w:type="pct"/>
            <w:tcBorders>
              <w:top w:val="nil"/>
              <w:left w:val="nil"/>
              <w:bottom w:val="nil"/>
              <w:right w:val="nil"/>
            </w:tcBorders>
          </w:tcPr>
          <w:p w14:paraId="79171780" w14:textId="16B6CF71"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Chi</w:t>
            </w:r>
            <w:r w:rsidRPr="00695826">
              <w:rPr>
                <w:rFonts w:cs="Times New Roman"/>
                <w:kern w:val="2"/>
                <w:sz w:val="20"/>
                <w:szCs w:val="20"/>
                <w:vertAlign w:val="superscript"/>
                <w:lang/>
              </w:rPr>
              <w:t>2</w:t>
            </w:r>
          </w:p>
        </w:tc>
        <w:tc>
          <w:tcPr>
            <w:tcW w:w="621" w:type="pct"/>
            <w:tcBorders>
              <w:top w:val="nil"/>
              <w:left w:val="nil"/>
              <w:bottom w:val="nil"/>
              <w:right w:val="nil"/>
            </w:tcBorders>
          </w:tcPr>
          <w:p w14:paraId="05ED79AC"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155</w:t>
            </w:r>
          </w:p>
        </w:tc>
        <w:tc>
          <w:tcPr>
            <w:tcW w:w="641" w:type="pct"/>
            <w:tcBorders>
              <w:top w:val="nil"/>
              <w:left w:val="nil"/>
              <w:bottom w:val="nil"/>
              <w:right w:val="nil"/>
            </w:tcBorders>
          </w:tcPr>
          <w:p w14:paraId="02616BD1"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161</w:t>
            </w:r>
          </w:p>
        </w:tc>
        <w:tc>
          <w:tcPr>
            <w:tcW w:w="701" w:type="pct"/>
            <w:tcBorders>
              <w:top w:val="nil"/>
              <w:left w:val="nil"/>
              <w:bottom w:val="nil"/>
              <w:right w:val="nil"/>
            </w:tcBorders>
          </w:tcPr>
          <w:p w14:paraId="6E71EA78"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127</w:t>
            </w:r>
          </w:p>
        </w:tc>
        <w:tc>
          <w:tcPr>
            <w:tcW w:w="752" w:type="pct"/>
            <w:tcBorders>
              <w:top w:val="nil"/>
              <w:left w:val="nil"/>
              <w:bottom w:val="nil"/>
              <w:right w:val="nil"/>
            </w:tcBorders>
          </w:tcPr>
          <w:p w14:paraId="233CEA9E"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188</w:t>
            </w:r>
          </w:p>
        </w:tc>
        <w:tc>
          <w:tcPr>
            <w:tcW w:w="849" w:type="pct"/>
            <w:tcBorders>
              <w:top w:val="nil"/>
              <w:left w:val="nil"/>
              <w:bottom w:val="nil"/>
              <w:right w:val="nil"/>
            </w:tcBorders>
          </w:tcPr>
          <w:p w14:paraId="730184E4"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114</w:t>
            </w:r>
          </w:p>
        </w:tc>
      </w:tr>
      <w:tr w:rsidR="00CE0D78" w:rsidRPr="00CD4846" w14:paraId="606777F2" w14:textId="77777777" w:rsidTr="00EE4448">
        <w:tc>
          <w:tcPr>
            <w:tcW w:w="1436" w:type="pct"/>
            <w:tcBorders>
              <w:top w:val="nil"/>
              <w:left w:val="nil"/>
              <w:bottom w:val="nil"/>
              <w:right w:val="nil"/>
            </w:tcBorders>
          </w:tcPr>
          <w:p w14:paraId="5DEA591C" w14:textId="7E40CF14"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Log Likelihood</w:t>
            </w:r>
          </w:p>
        </w:tc>
        <w:tc>
          <w:tcPr>
            <w:tcW w:w="621" w:type="pct"/>
            <w:tcBorders>
              <w:top w:val="nil"/>
              <w:left w:val="nil"/>
              <w:bottom w:val="nil"/>
              <w:right w:val="nil"/>
            </w:tcBorders>
          </w:tcPr>
          <w:p w14:paraId="02696609"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-32963</w:t>
            </w:r>
          </w:p>
        </w:tc>
        <w:tc>
          <w:tcPr>
            <w:tcW w:w="641" w:type="pct"/>
            <w:tcBorders>
              <w:top w:val="nil"/>
              <w:left w:val="nil"/>
              <w:bottom w:val="nil"/>
              <w:right w:val="nil"/>
            </w:tcBorders>
          </w:tcPr>
          <w:p w14:paraId="207C1919"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-16354</w:t>
            </w:r>
          </w:p>
        </w:tc>
        <w:tc>
          <w:tcPr>
            <w:tcW w:w="701" w:type="pct"/>
            <w:tcBorders>
              <w:top w:val="nil"/>
              <w:left w:val="nil"/>
              <w:bottom w:val="nil"/>
              <w:right w:val="nil"/>
            </w:tcBorders>
          </w:tcPr>
          <w:p w14:paraId="53DBA5E8"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-21825</w:t>
            </w:r>
          </w:p>
        </w:tc>
        <w:tc>
          <w:tcPr>
            <w:tcW w:w="752" w:type="pct"/>
            <w:tcBorders>
              <w:top w:val="nil"/>
              <w:left w:val="nil"/>
              <w:bottom w:val="nil"/>
              <w:right w:val="nil"/>
            </w:tcBorders>
          </w:tcPr>
          <w:p w14:paraId="2C788D40"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-116941</w:t>
            </w:r>
          </w:p>
        </w:tc>
        <w:tc>
          <w:tcPr>
            <w:tcW w:w="849" w:type="pct"/>
            <w:tcBorders>
              <w:top w:val="nil"/>
              <w:left w:val="nil"/>
              <w:bottom w:val="nil"/>
              <w:right w:val="nil"/>
            </w:tcBorders>
          </w:tcPr>
          <w:p w14:paraId="27CF8D2B"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-72734</w:t>
            </w:r>
          </w:p>
        </w:tc>
      </w:tr>
      <w:tr w:rsidR="00CE0D78" w:rsidRPr="00CD4846" w14:paraId="6B566CAA" w14:textId="77777777" w:rsidTr="00EE4448">
        <w:tc>
          <w:tcPr>
            <w:tcW w:w="1436" w:type="pct"/>
            <w:tcBorders>
              <w:top w:val="nil"/>
              <w:left w:val="nil"/>
              <w:bottom w:val="nil"/>
              <w:right w:val="nil"/>
            </w:tcBorders>
          </w:tcPr>
          <w:p w14:paraId="7C716A22" w14:textId="175538D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Akaike’s Criterion</w:t>
            </w:r>
          </w:p>
        </w:tc>
        <w:tc>
          <w:tcPr>
            <w:tcW w:w="621" w:type="pct"/>
            <w:tcBorders>
              <w:top w:val="nil"/>
              <w:left w:val="nil"/>
              <w:bottom w:val="nil"/>
              <w:right w:val="nil"/>
            </w:tcBorders>
          </w:tcPr>
          <w:p w14:paraId="260197C9"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65963</w:t>
            </w:r>
          </w:p>
        </w:tc>
        <w:tc>
          <w:tcPr>
            <w:tcW w:w="641" w:type="pct"/>
            <w:tcBorders>
              <w:top w:val="nil"/>
              <w:left w:val="nil"/>
              <w:bottom w:val="nil"/>
              <w:right w:val="nil"/>
            </w:tcBorders>
          </w:tcPr>
          <w:p w14:paraId="2628B032"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32744</w:t>
            </w:r>
          </w:p>
        </w:tc>
        <w:tc>
          <w:tcPr>
            <w:tcW w:w="701" w:type="pct"/>
            <w:tcBorders>
              <w:top w:val="nil"/>
              <w:left w:val="nil"/>
              <w:bottom w:val="nil"/>
              <w:right w:val="nil"/>
            </w:tcBorders>
          </w:tcPr>
          <w:p w14:paraId="01FC2E28"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43687</w:t>
            </w:r>
          </w:p>
        </w:tc>
        <w:tc>
          <w:tcPr>
            <w:tcW w:w="752" w:type="pct"/>
            <w:tcBorders>
              <w:top w:val="nil"/>
              <w:left w:val="nil"/>
              <w:bottom w:val="nil"/>
              <w:right w:val="nil"/>
            </w:tcBorders>
          </w:tcPr>
          <w:p w14:paraId="42836CA7"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233919</w:t>
            </w:r>
          </w:p>
        </w:tc>
        <w:tc>
          <w:tcPr>
            <w:tcW w:w="849" w:type="pct"/>
            <w:tcBorders>
              <w:top w:val="nil"/>
              <w:left w:val="nil"/>
              <w:bottom w:val="nil"/>
              <w:right w:val="nil"/>
            </w:tcBorders>
          </w:tcPr>
          <w:p w14:paraId="46EC1E62"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145505</w:t>
            </w:r>
          </w:p>
        </w:tc>
      </w:tr>
      <w:tr w:rsidR="00CE0D78" w:rsidRPr="00CD4846" w14:paraId="1BAE4CCC" w14:textId="77777777" w:rsidTr="00EE4448">
        <w:tc>
          <w:tcPr>
            <w:tcW w:w="1436" w:type="pct"/>
            <w:tcBorders>
              <w:top w:val="nil"/>
              <w:left w:val="nil"/>
              <w:bottom w:val="nil"/>
              <w:right w:val="nil"/>
            </w:tcBorders>
          </w:tcPr>
          <w:p w14:paraId="6D93B881" w14:textId="3B724C46"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Bayesian Criterion</w:t>
            </w:r>
          </w:p>
        </w:tc>
        <w:tc>
          <w:tcPr>
            <w:tcW w:w="621" w:type="pct"/>
            <w:tcBorders>
              <w:top w:val="nil"/>
              <w:left w:val="nil"/>
              <w:bottom w:val="nil"/>
              <w:right w:val="nil"/>
            </w:tcBorders>
          </w:tcPr>
          <w:p w14:paraId="571A2BB7"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66101</w:t>
            </w:r>
          </w:p>
        </w:tc>
        <w:tc>
          <w:tcPr>
            <w:tcW w:w="641" w:type="pct"/>
            <w:tcBorders>
              <w:top w:val="nil"/>
              <w:left w:val="nil"/>
              <w:bottom w:val="nil"/>
              <w:right w:val="nil"/>
            </w:tcBorders>
          </w:tcPr>
          <w:p w14:paraId="220BF941"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32874</w:t>
            </w:r>
          </w:p>
        </w:tc>
        <w:tc>
          <w:tcPr>
            <w:tcW w:w="701" w:type="pct"/>
            <w:tcBorders>
              <w:top w:val="nil"/>
              <w:left w:val="nil"/>
              <w:bottom w:val="nil"/>
              <w:right w:val="nil"/>
            </w:tcBorders>
          </w:tcPr>
          <w:p w14:paraId="4065EA0F"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43824</w:t>
            </w:r>
          </w:p>
        </w:tc>
        <w:tc>
          <w:tcPr>
            <w:tcW w:w="752" w:type="pct"/>
            <w:tcBorders>
              <w:top w:val="nil"/>
              <w:left w:val="nil"/>
              <w:bottom w:val="nil"/>
              <w:right w:val="nil"/>
            </w:tcBorders>
          </w:tcPr>
          <w:p w14:paraId="20D12B2D"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234066</w:t>
            </w:r>
          </w:p>
        </w:tc>
        <w:tc>
          <w:tcPr>
            <w:tcW w:w="849" w:type="pct"/>
            <w:tcBorders>
              <w:top w:val="nil"/>
              <w:left w:val="nil"/>
              <w:bottom w:val="nil"/>
              <w:right w:val="nil"/>
            </w:tcBorders>
          </w:tcPr>
          <w:p w14:paraId="13721C24"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145652</w:t>
            </w:r>
          </w:p>
        </w:tc>
      </w:tr>
      <w:tr w:rsidR="00CE0D78" w:rsidRPr="00CD4846" w14:paraId="2C1FEC99" w14:textId="77777777" w:rsidTr="00EE4448">
        <w:tc>
          <w:tcPr>
            <w:tcW w:w="1436" w:type="pct"/>
            <w:tcBorders>
              <w:top w:val="nil"/>
              <w:left w:val="nil"/>
              <w:bottom w:val="nil"/>
              <w:right w:val="nil"/>
            </w:tcBorders>
          </w:tcPr>
          <w:p w14:paraId="08C4FF09"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County FE</w:t>
            </w:r>
          </w:p>
        </w:tc>
        <w:tc>
          <w:tcPr>
            <w:tcW w:w="621" w:type="pct"/>
            <w:tcBorders>
              <w:top w:val="nil"/>
              <w:left w:val="nil"/>
              <w:bottom w:val="nil"/>
              <w:right w:val="nil"/>
            </w:tcBorders>
          </w:tcPr>
          <w:p w14:paraId="0878B658"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Yes</w:t>
            </w:r>
          </w:p>
        </w:tc>
        <w:tc>
          <w:tcPr>
            <w:tcW w:w="641" w:type="pct"/>
            <w:tcBorders>
              <w:top w:val="nil"/>
              <w:left w:val="nil"/>
              <w:bottom w:val="nil"/>
              <w:right w:val="nil"/>
            </w:tcBorders>
          </w:tcPr>
          <w:p w14:paraId="19F7F8AE"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Yes</w:t>
            </w:r>
          </w:p>
        </w:tc>
        <w:tc>
          <w:tcPr>
            <w:tcW w:w="701" w:type="pct"/>
            <w:tcBorders>
              <w:top w:val="nil"/>
              <w:left w:val="nil"/>
              <w:bottom w:val="nil"/>
              <w:right w:val="nil"/>
            </w:tcBorders>
          </w:tcPr>
          <w:p w14:paraId="590BF337"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Yes</w:t>
            </w:r>
          </w:p>
        </w:tc>
        <w:tc>
          <w:tcPr>
            <w:tcW w:w="752" w:type="pct"/>
            <w:tcBorders>
              <w:top w:val="nil"/>
              <w:left w:val="nil"/>
              <w:bottom w:val="nil"/>
              <w:right w:val="nil"/>
            </w:tcBorders>
          </w:tcPr>
          <w:p w14:paraId="3A7E742D"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Yes</w:t>
            </w:r>
          </w:p>
        </w:tc>
        <w:tc>
          <w:tcPr>
            <w:tcW w:w="849" w:type="pct"/>
            <w:tcBorders>
              <w:top w:val="nil"/>
              <w:left w:val="nil"/>
              <w:bottom w:val="nil"/>
              <w:right w:val="nil"/>
            </w:tcBorders>
          </w:tcPr>
          <w:p w14:paraId="203BAB1B"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Yes</w:t>
            </w:r>
          </w:p>
        </w:tc>
      </w:tr>
      <w:tr w:rsidR="00CE0D78" w:rsidRPr="00CD4846" w14:paraId="2457F4B5" w14:textId="77777777" w:rsidTr="00EE4448">
        <w:tc>
          <w:tcPr>
            <w:tcW w:w="1436" w:type="pct"/>
            <w:tcBorders>
              <w:top w:val="nil"/>
              <w:left w:val="nil"/>
              <w:bottom w:val="nil"/>
              <w:right w:val="nil"/>
            </w:tcBorders>
          </w:tcPr>
          <w:p w14:paraId="5FC46F7D"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State by Year FE</w:t>
            </w:r>
          </w:p>
        </w:tc>
        <w:tc>
          <w:tcPr>
            <w:tcW w:w="621" w:type="pct"/>
            <w:tcBorders>
              <w:top w:val="nil"/>
              <w:left w:val="nil"/>
              <w:bottom w:val="nil"/>
              <w:right w:val="nil"/>
            </w:tcBorders>
          </w:tcPr>
          <w:p w14:paraId="0DF5FA4F"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Yes</w:t>
            </w:r>
          </w:p>
        </w:tc>
        <w:tc>
          <w:tcPr>
            <w:tcW w:w="641" w:type="pct"/>
            <w:tcBorders>
              <w:top w:val="nil"/>
              <w:left w:val="nil"/>
              <w:bottom w:val="nil"/>
              <w:right w:val="nil"/>
            </w:tcBorders>
          </w:tcPr>
          <w:p w14:paraId="309071C1"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Yes</w:t>
            </w:r>
          </w:p>
        </w:tc>
        <w:tc>
          <w:tcPr>
            <w:tcW w:w="701" w:type="pct"/>
            <w:tcBorders>
              <w:top w:val="nil"/>
              <w:left w:val="nil"/>
              <w:bottom w:val="nil"/>
              <w:right w:val="nil"/>
            </w:tcBorders>
          </w:tcPr>
          <w:p w14:paraId="3068D6C6"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Yes</w:t>
            </w:r>
          </w:p>
        </w:tc>
        <w:tc>
          <w:tcPr>
            <w:tcW w:w="752" w:type="pct"/>
            <w:tcBorders>
              <w:top w:val="nil"/>
              <w:left w:val="nil"/>
              <w:bottom w:val="nil"/>
              <w:right w:val="nil"/>
            </w:tcBorders>
          </w:tcPr>
          <w:p w14:paraId="410445B8"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Yes</w:t>
            </w:r>
          </w:p>
        </w:tc>
        <w:tc>
          <w:tcPr>
            <w:tcW w:w="849" w:type="pct"/>
            <w:tcBorders>
              <w:top w:val="nil"/>
              <w:left w:val="nil"/>
              <w:bottom w:val="nil"/>
              <w:right w:val="nil"/>
            </w:tcBorders>
          </w:tcPr>
          <w:p w14:paraId="5BF36AE0" w14:textId="77777777" w:rsidR="00EE4448" w:rsidRPr="00695826" w:rsidRDefault="00EE4448"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Yes</w:t>
            </w:r>
          </w:p>
        </w:tc>
      </w:tr>
    </w:tbl>
    <w:p w14:paraId="52350A5F" w14:textId="0854A03B" w:rsidR="00EE4448" w:rsidRDefault="00EE4448" w:rsidP="00095E25">
      <w:pPr>
        <w:pStyle w:val="Title"/>
      </w:pPr>
      <w:bookmarkStart w:id="315" w:name="_Toc188359632"/>
      <w:bookmarkStart w:id="316" w:name="_Toc188359920"/>
      <w:bookmarkStart w:id="317" w:name="_Toc188361156"/>
      <w:bookmarkStart w:id="318" w:name="_Toc188367000"/>
      <w:r w:rsidRPr="00CD4846">
        <w:t>Table A27: Regression Results of Strict PADs on Total Exits</w:t>
      </w:r>
      <w:bookmarkEnd w:id="315"/>
      <w:bookmarkEnd w:id="316"/>
      <w:bookmarkEnd w:id="317"/>
      <w:bookmarkEnd w:id="318"/>
      <w:r>
        <w:t xml:space="preserve"> </w:t>
      </w:r>
      <w:r>
        <w:br w:type="page"/>
      </w:r>
    </w:p>
    <w:tbl>
      <w:tblPr>
        <w:tblpPr w:leftFromText="180" w:rightFromText="180" w:vertAnchor="text" w:horzAnchor="margin" w:tblpY="346"/>
        <w:tblW w:w="5000" w:type="pct"/>
        <w:tblLook w:val="04A0" w:firstRow="1" w:lastRow="0" w:firstColumn="1" w:lastColumn="0" w:noHBand="0" w:noVBand="1"/>
      </w:tblPr>
      <w:tblGrid>
        <w:gridCol w:w="2688"/>
        <w:gridCol w:w="1163"/>
        <w:gridCol w:w="1200"/>
        <w:gridCol w:w="1312"/>
        <w:gridCol w:w="1408"/>
        <w:gridCol w:w="1589"/>
      </w:tblGrid>
      <w:tr w:rsidR="00554AB3" w:rsidRPr="00695826" w14:paraId="6CE41C5D" w14:textId="77777777" w:rsidTr="00554AB3">
        <w:tc>
          <w:tcPr>
            <w:tcW w:w="1436" w:type="pct"/>
            <w:tcBorders>
              <w:top w:val="single" w:sz="4" w:space="0" w:color="auto"/>
              <w:left w:val="nil"/>
              <w:bottom w:val="single" w:sz="4" w:space="0" w:color="auto"/>
              <w:right w:val="nil"/>
            </w:tcBorders>
          </w:tcPr>
          <w:p w14:paraId="27FFB4F2" w14:textId="5C2A400B" w:rsidR="00554AB3" w:rsidRPr="00695826" w:rsidRDefault="00554AB3" w:rsidP="00695826">
            <w:pPr>
              <w:widowControl w:val="0"/>
              <w:autoSpaceDE w:val="0"/>
              <w:autoSpaceDN w:val="0"/>
              <w:adjustRightInd w:val="0"/>
              <w:spacing w:line="240" w:lineRule="auto"/>
              <w:rPr>
                <w:rFonts w:cs="Times New Roman"/>
                <w:kern w:val="2"/>
                <w:sz w:val="20"/>
                <w:szCs w:val="20"/>
                <w:lang/>
              </w:rPr>
            </w:pPr>
            <w:r w:rsidRPr="00695826">
              <w:rPr>
                <w:rFonts w:cs="Times New Roman"/>
                <w:b/>
                <w:bCs/>
                <w:kern w:val="2"/>
                <w:sz w:val="20"/>
                <w:szCs w:val="20"/>
                <w:lang/>
              </w:rPr>
              <w:lastRenderedPageBreak/>
              <w:t>Variable</w:t>
            </w:r>
          </w:p>
        </w:tc>
        <w:tc>
          <w:tcPr>
            <w:tcW w:w="621" w:type="pct"/>
            <w:tcBorders>
              <w:top w:val="single" w:sz="4" w:space="0" w:color="auto"/>
              <w:left w:val="nil"/>
              <w:bottom w:val="single" w:sz="4" w:space="0" w:color="auto"/>
              <w:right w:val="nil"/>
            </w:tcBorders>
          </w:tcPr>
          <w:p w14:paraId="17CD8068" w14:textId="5BE7DF74" w:rsidR="00554AB3" w:rsidRPr="00695826" w:rsidRDefault="00554AB3" w:rsidP="00695826">
            <w:pPr>
              <w:widowControl w:val="0"/>
              <w:autoSpaceDE w:val="0"/>
              <w:autoSpaceDN w:val="0"/>
              <w:adjustRightInd w:val="0"/>
              <w:spacing w:line="240" w:lineRule="auto"/>
              <w:rPr>
                <w:rFonts w:cs="Times New Roman"/>
                <w:kern w:val="2"/>
                <w:sz w:val="20"/>
                <w:szCs w:val="20"/>
                <w:lang/>
              </w:rPr>
            </w:pPr>
            <w:r w:rsidRPr="00695826">
              <w:rPr>
                <w:rFonts w:cs="Times New Roman"/>
                <w:b/>
                <w:bCs/>
                <w:kern w:val="2"/>
                <w:sz w:val="20"/>
                <w:szCs w:val="20"/>
                <w:lang/>
              </w:rPr>
              <w:t>NAICS 11</w:t>
            </w:r>
          </w:p>
        </w:tc>
        <w:tc>
          <w:tcPr>
            <w:tcW w:w="641" w:type="pct"/>
            <w:tcBorders>
              <w:top w:val="single" w:sz="4" w:space="0" w:color="auto"/>
              <w:left w:val="nil"/>
              <w:bottom w:val="single" w:sz="4" w:space="0" w:color="auto"/>
              <w:right w:val="nil"/>
            </w:tcBorders>
          </w:tcPr>
          <w:p w14:paraId="41C3DD1D" w14:textId="69744FD6" w:rsidR="00554AB3" w:rsidRPr="00695826" w:rsidRDefault="00554AB3" w:rsidP="00695826">
            <w:pPr>
              <w:widowControl w:val="0"/>
              <w:autoSpaceDE w:val="0"/>
              <w:autoSpaceDN w:val="0"/>
              <w:adjustRightInd w:val="0"/>
              <w:spacing w:line="240" w:lineRule="auto"/>
              <w:rPr>
                <w:rFonts w:cs="Times New Roman"/>
                <w:kern w:val="2"/>
                <w:sz w:val="20"/>
                <w:szCs w:val="20"/>
                <w:lang/>
              </w:rPr>
            </w:pPr>
            <w:r w:rsidRPr="00695826">
              <w:rPr>
                <w:rFonts w:cs="Times New Roman"/>
                <w:b/>
                <w:bCs/>
                <w:kern w:val="2"/>
                <w:sz w:val="20"/>
                <w:szCs w:val="20"/>
                <w:lang/>
              </w:rPr>
              <w:t>NAICS 21</w:t>
            </w:r>
          </w:p>
        </w:tc>
        <w:tc>
          <w:tcPr>
            <w:tcW w:w="701" w:type="pct"/>
            <w:tcBorders>
              <w:top w:val="single" w:sz="4" w:space="0" w:color="auto"/>
              <w:left w:val="nil"/>
              <w:bottom w:val="single" w:sz="4" w:space="0" w:color="auto"/>
              <w:right w:val="nil"/>
            </w:tcBorders>
          </w:tcPr>
          <w:p w14:paraId="12067861" w14:textId="2E27B7C2" w:rsidR="00554AB3" w:rsidRPr="00695826" w:rsidRDefault="00554AB3" w:rsidP="00695826">
            <w:pPr>
              <w:widowControl w:val="0"/>
              <w:autoSpaceDE w:val="0"/>
              <w:autoSpaceDN w:val="0"/>
              <w:adjustRightInd w:val="0"/>
              <w:spacing w:line="240" w:lineRule="auto"/>
              <w:rPr>
                <w:rFonts w:cs="Times New Roman"/>
                <w:kern w:val="2"/>
                <w:sz w:val="20"/>
                <w:szCs w:val="20"/>
                <w:lang/>
              </w:rPr>
            </w:pPr>
            <w:r w:rsidRPr="00695826">
              <w:rPr>
                <w:rFonts w:cs="Times New Roman"/>
                <w:b/>
                <w:bCs/>
                <w:kern w:val="2"/>
                <w:sz w:val="20"/>
                <w:szCs w:val="20"/>
                <w:lang/>
              </w:rPr>
              <w:t>NAICS 22</w:t>
            </w:r>
          </w:p>
        </w:tc>
        <w:tc>
          <w:tcPr>
            <w:tcW w:w="752" w:type="pct"/>
            <w:tcBorders>
              <w:top w:val="single" w:sz="4" w:space="0" w:color="auto"/>
              <w:left w:val="nil"/>
              <w:bottom w:val="single" w:sz="4" w:space="0" w:color="auto"/>
              <w:right w:val="nil"/>
            </w:tcBorders>
          </w:tcPr>
          <w:p w14:paraId="1D44E8B9" w14:textId="44C16059" w:rsidR="00554AB3" w:rsidRPr="00695826" w:rsidRDefault="00554AB3" w:rsidP="00695826">
            <w:pPr>
              <w:widowControl w:val="0"/>
              <w:autoSpaceDE w:val="0"/>
              <w:autoSpaceDN w:val="0"/>
              <w:adjustRightInd w:val="0"/>
              <w:spacing w:line="240" w:lineRule="auto"/>
              <w:rPr>
                <w:rFonts w:cs="Times New Roman"/>
                <w:kern w:val="2"/>
                <w:sz w:val="20"/>
                <w:szCs w:val="20"/>
                <w:lang/>
              </w:rPr>
            </w:pPr>
            <w:r w:rsidRPr="00695826">
              <w:rPr>
                <w:rFonts w:cs="Times New Roman"/>
                <w:b/>
                <w:bCs/>
                <w:kern w:val="2"/>
                <w:sz w:val="20"/>
                <w:szCs w:val="20"/>
                <w:lang/>
              </w:rPr>
              <w:t>NAICS 23</w:t>
            </w:r>
          </w:p>
        </w:tc>
        <w:tc>
          <w:tcPr>
            <w:tcW w:w="849" w:type="pct"/>
            <w:tcBorders>
              <w:top w:val="single" w:sz="4" w:space="0" w:color="auto"/>
              <w:left w:val="nil"/>
              <w:bottom w:val="single" w:sz="4" w:space="0" w:color="auto"/>
              <w:right w:val="nil"/>
            </w:tcBorders>
          </w:tcPr>
          <w:p w14:paraId="77A0BF9F" w14:textId="499A0C20" w:rsidR="00554AB3" w:rsidRPr="00695826" w:rsidRDefault="00554AB3" w:rsidP="00695826">
            <w:pPr>
              <w:widowControl w:val="0"/>
              <w:autoSpaceDE w:val="0"/>
              <w:autoSpaceDN w:val="0"/>
              <w:adjustRightInd w:val="0"/>
              <w:spacing w:line="240" w:lineRule="auto"/>
              <w:rPr>
                <w:rFonts w:cs="Times New Roman"/>
                <w:kern w:val="2"/>
                <w:sz w:val="20"/>
                <w:szCs w:val="20"/>
                <w:lang/>
              </w:rPr>
            </w:pPr>
            <w:r w:rsidRPr="00695826">
              <w:rPr>
                <w:rFonts w:cs="Times New Roman"/>
                <w:b/>
                <w:bCs/>
                <w:kern w:val="2"/>
                <w:sz w:val="20"/>
                <w:szCs w:val="20"/>
                <w:lang/>
              </w:rPr>
              <w:t>NAICS 31-33</w:t>
            </w:r>
          </w:p>
        </w:tc>
      </w:tr>
      <w:tr w:rsidR="004C39A4" w:rsidRPr="00695826" w14:paraId="33FA283B" w14:textId="77777777" w:rsidTr="002A78A3">
        <w:tc>
          <w:tcPr>
            <w:tcW w:w="1436" w:type="pct"/>
            <w:tcBorders>
              <w:top w:val="single" w:sz="4" w:space="0" w:color="auto"/>
              <w:left w:val="nil"/>
              <w:right w:val="nil"/>
            </w:tcBorders>
          </w:tcPr>
          <w:p w14:paraId="5D539BB8" w14:textId="6D82E917" w:rsidR="00554AB3" w:rsidRPr="00695826" w:rsidRDefault="00554AB3"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NAICS FE</w:t>
            </w:r>
          </w:p>
        </w:tc>
        <w:tc>
          <w:tcPr>
            <w:tcW w:w="621" w:type="pct"/>
            <w:tcBorders>
              <w:top w:val="single" w:sz="4" w:space="0" w:color="auto"/>
              <w:left w:val="nil"/>
              <w:right w:val="nil"/>
            </w:tcBorders>
          </w:tcPr>
          <w:p w14:paraId="6B89C51F" w14:textId="77777777" w:rsidR="00554AB3" w:rsidRPr="00695826" w:rsidRDefault="00554AB3"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Yes</w:t>
            </w:r>
          </w:p>
        </w:tc>
        <w:tc>
          <w:tcPr>
            <w:tcW w:w="641" w:type="pct"/>
            <w:tcBorders>
              <w:top w:val="single" w:sz="4" w:space="0" w:color="auto"/>
              <w:left w:val="nil"/>
              <w:right w:val="nil"/>
            </w:tcBorders>
          </w:tcPr>
          <w:p w14:paraId="1F5C29F4" w14:textId="77777777" w:rsidR="00554AB3" w:rsidRPr="00695826" w:rsidRDefault="00554AB3"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Yes</w:t>
            </w:r>
          </w:p>
        </w:tc>
        <w:tc>
          <w:tcPr>
            <w:tcW w:w="701" w:type="pct"/>
            <w:tcBorders>
              <w:top w:val="single" w:sz="4" w:space="0" w:color="auto"/>
              <w:left w:val="nil"/>
              <w:right w:val="nil"/>
            </w:tcBorders>
          </w:tcPr>
          <w:p w14:paraId="2DC23A80" w14:textId="77777777" w:rsidR="00554AB3" w:rsidRPr="00695826" w:rsidRDefault="00554AB3"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Yes</w:t>
            </w:r>
          </w:p>
        </w:tc>
        <w:tc>
          <w:tcPr>
            <w:tcW w:w="752" w:type="pct"/>
            <w:tcBorders>
              <w:top w:val="single" w:sz="4" w:space="0" w:color="auto"/>
              <w:left w:val="nil"/>
              <w:right w:val="nil"/>
            </w:tcBorders>
          </w:tcPr>
          <w:p w14:paraId="0F4B1792" w14:textId="77777777" w:rsidR="00554AB3" w:rsidRPr="00695826" w:rsidRDefault="00554AB3"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Yes</w:t>
            </w:r>
          </w:p>
        </w:tc>
        <w:tc>
          <w:tcPr>
            <w:tcW w:w="849" w:type="pct"/>
            <w:tcBorders>
              <w:top w:val="single" w:sz="4" w:space="0" w:color="auto"/>
              <w:left w:val="nil"/>
              <w:right w:val="nil"/>
            </w:tcBorders>
          </w:tcPr>
          <w:p w14:paraId="4ED3F210" w14:textId="77777777" w:rsidR="00554AB3" w:rsidRPr="00695826" w:rsidRDefault="00554AB3" w:rsidP="00695826">
            <w:pPr>
              <w:widowControl w:val="0"/>
              <w:autoSpaceDE w:val="0"/>
              <w:autoSpaceDN w:val="0"/>
              <w:adjustRightInd w:val="0"/>
              <w:spacing w:line="240" w:lineRule="auto"/>
              <w:rPr>
                <w:rFonts w:cs="Times New Roman"/>
                <w:kern w:val="2"/>
                <w:sz w:val="20"/>
                <w:szCs w:val="20"/>
                <w:lang/>
              </w:rPr>
            </w:pPr>
            <w:r w:rsidRPr="00695826">
              <w:rPr>
                <w:rFonts w:cs="Times New Roman"/>
                <w:kern w:val="2"/>
                <w:sz w:val="20"/>
                <w:szCs w:val="20"/>
                <w:lang/>
              </w:rPr>
              <w:t>Yes</w:t>
            </w:r>
          </w:p>
        </w:tc>
      </w:tr>
      <w:tr w:rsidR="00CE0D78" w:rsidRPr="00695826" w14:paraId="53F29BC5" w14:textId="77777777" w:rsidTr="002A78A3">
        <w:tc>
          <w:tcPr>
            <w:tcW w:w="1436" w:type="pct"/>
            <w:tcBorders>
              <w:top w:val="nil"/>
              <w:left w:val="nil"/>
              <w:bottom w:val="single" w:sz="4" w:space="0" w:color="auto"/>
              <w:right w:val="nil"/>
            </w:tcBorders>
          </w:tcPr>
          <w:p w14:paraId="1EE61FCD" w14:textId="77777777" w:rsidR="00554AB3" w:rsidRPr="00695826" w:rsidRDefault="00554AB3" w:rsidP="00695826">
            <w:pPr>
              <w:widowControl w:val="0"/>
              <w:autoSpaceDE w:val="0"/>
              <w:autoSpaceDN w:val="0"/>
              <w:adjustRightInd w:val="0"/>
              <w:spacing w:line="240" w:lineRule="auto"/>
              <w:rPr>
                <w:rFonts w:eastAsia="Times New Roman" w:cs="Times New Roman"/>
                <w:b/>
                <w:bCs/>
                <w:color w:val="5F6368"/>
                <w:kern w:val="2"/>
                <w:sz w:val="20"/>
                <w:szCs w:val="20"/>
                <w:shd w:val="clear" w:color="auto" w:fill="FFFFFF"/>
                <w:lang/>
              </w:rPr>
            </w:pPr>
            <w:r w:rsidRPr="00695826">
              <w:rPr>
                <w:rFonts w:eastAsia="Times New Roman" w:cs="Times New Roman"/>
                <w:kern w:val="2"/>
                <w:sz w:val="20"/>
                <w:szCs w:val="20"/>
                <w:lang/>
              </w:rPr>
              <w:t>PA-PA</w:t>
            </w:r>
            <w:r w:rsidRPr="00695826">
              <w:rPr>
                <w:rFonts w:eastAsia="Times New Roman" w:cs="Times New Roman"/>
                <w:b/>
                <w:bCs/>
                <w:i/>
                <w:color w:val="5F6368"/>
                <w:kern w:val="2"/>
                <w:sz w:val="20"/>
                <w:szCs w:val="20"/>
                <w:shd w:val="clear" w:color="auto" w:fill="FFFFFF"/>
                <w:lang/>
              </w:rPr>
              <w:t>²</w:t>
            </w:r>
            <w:r w:rsidRPr="00695826">
              <w:rPr>
                <w:rFonts w:cs="Times New Roman"/>
                <w:b/>
                <w:bCs/>
                <w:i/>
                <w:color w:val="5F6368"/>
                <w:kern w:val="2"/>
                <w:sz w:val="20"/>
                <w:szCs w:val="20"/>
                <w:shd w:val="clear" w:color="auto" w:fill="FFFFFF"/>
                <w:lang/>
              </w:rPr>
              <w:t xml:space="preserve"> </w:t>
            </w:r>
            <w:r w:rsidRPr="00695826">
              <w:rPr>
                <w:rFonts w:eastAsia="Times New Roman" w:cs="Times New Roman"/>
                <w:kern w:val="2"/>
                <w:sz w:val="20"/>
                <w:szCs w:val="20"/>
                <w:lang/>
              </w:rPr>
              <w:t xml:space="preserve">Joint Test </w:t>
            </w:r>
            <w:r w:rsidRPr="00695826">
              <w:rPr>
                <w:rFonts w:cs="Times New Roman"/>
                <w:kern w:val="2"/>
                <w:sz w:val="20"/>
                <w:szCs w:val="20"/>
                <w:lang/>
              </w:rPr>
              <w:t>p-value</w:t>
            </w:r>
          </w:p>
        </w:tc>
        <w:tc>
          <w:tcPr>
            <w:tcW w:w="621" w:type="pct"/>
            <w:tcBorders>
              <w:top w:val="nil"/>
              <w:left w:val="nil"/>
              <w:bottom w:val="single" w:sz="4" w:space="0" w:color="auto"/>
              <w:right w:val="nil"/>
            </w:tcBorders>
          </w:tcPr>
          <w:p w14:paraId="7D5EB012" w14:textId="77777777" w:rsidR="00554AB3" w:rsidRPr="00695826" w:rsidRDefault="00554AB3" w:rsidP="00695826">
            <w:pPr>
              <w:widowControl w:val="0"/>
              <w:autoSpaceDE w:val="0"/>
              <w:autoSpaceDN w:val="0"/>
              <w:adjustRightInd w:val="0"/>
              <w:spacing w:line="240" w:lineRule="auto"/>
              <w:rPr>
                <w:rFonts w:cs="Times New Roman"/>
                <w:bCs/>
                <w:kern w:val="2"/>
                <w:sz w:val="20"/>
                <w:szCs w:val="20"/>
                <w:lang/>
              </w:rPr>
            </w:pPr>
            <w:r w:rsidRPr="00695826">
              <w:rPr>
                <w:rFonts w:cs="Times New Roman"/>
                <w:bCs/>
                <w:kern w:val="2"/>
                <w:sz w:val="20"/>
                <w:szCs w:val="20"/>
                <w:lang/>
              </w:rPr>
              <w:t>0.0002</w:t>
            </w:r>
          </w:p>
        </w:tc>
        <w:tc>
          <w:tcPr>
            <w:tcW w:w="641" w:type="pct"/>
            <w:tcBorders>
              <w:top w:val="nil"/>
              <w:left w:val="nil"/>
              <w:bottom w:val="single" w:sz="4" w:space="0" w:color="auto"/>
              <w:right w:val="nil"/>
            </w:tcBorders>
          </w:tcPr>
          <w:p w14:paraId="34959003" w14:textId="77777777" w:rsidR="00554AB3" w:rsidRPr="00695826" w:rsidRDefault="00554AB3" w:rsidP="00695826">
            <w:pPr>
              <w:widowControl w:val="0"/>
              <w:autoSpaceDE w:val="0"/>
              <w:autoSpaceDN w:val="0"/>
              <w:adjustRightInd w:val="0"/>
              <w:spacing w:line="240" w:lineRule="auto"/>
              <w:rPr>
                <w:rFonts w:cs="Times New Roman"/>
                <w:bCs/>
                <w:kern w:val="2"/>
                <w:sz w:val="20"/>
                <w:szCs w:val="20"/>
                <w:lang/>
              </w:rPr>
            </w:pPr>
            <w:r w:rsidRPr="00695826">
              <w:rPr>
                <w:rFonts w:cs="Times New Roman"/>
                <w:bCs/>
                <w:kern w:val="2"/>
                <w:sz w:val="20"/>
                <w:szCs w:val="20"/>
                <w:lang/>
              </w:rPr>
              <w:t>0.0223</w:t>
            </w:r>
          </w:p>
        </w:tc>
        <w:tc>
          <w:tcPr>
            <w:tcW w:w="701" w:type="pct"/>
            <w:tcBorders>
              <w:top w:val="nil"/>
              <w:left w:val="nil"/>
              <w:bottom w:val="single" w:sz="4" w:space="0" w:color="auto"/>
              <w:right w:val="nil"/>
            </w:tcBorders>
          </w:tcPr>
          <w:p w14:paraId="68C28519" w14:textId="77777777" w:rsidR="00554AB3" w:rsidRPr="00695826" w:rsidRDefault="00554AB3" w:rsidP="00695826">
            <w:pPr>
              <w:widowControl w:val="0"/>
              <w:autoSpaceDE w:val="0"/>
              <w:autoSpaceDN w:val="0"/>
              <w:adjustRightInd w:val="0"/>
              <w:spacing w:line="240" w:lineRule="auto"/>
              <w:rPr>
                <w:rFonts w:cs="Times New Roman"/>
                <w:bCs/>
                <w:kern w:val="2"/>
                <w:sz w:val="20"/>
                <w:szCs w:val="20"/>
                <w:lang/>
              </w:rPr>
            </w:pPr>
            <w:r w:rsidRPr="00695826">
              <w:rPr>
                <w:rFonts w:cs="Times New Roman"/>
                <w:bCs/>
                <w:kern w:val="2"/>
                <w:sz w:val="20"/>
                <w:szCs w:val="20"/>
                <w:lang/>
              </w:rPr>
              <w:t>0.1439</w:t>
            </w:r>
          </w:p>
        </w:tc>
        <w:tc>
          <w:tcPr>
            <w:tcW w:w="752" w:type="pct"/>
            <w:tcBorders>
              <w:top w:val="nil"/>
              <w:left w:val="nil"/>
              <w:bottom w:val="single" w:sz="4" w:space="0" w:color="auto"/>
              <w:right w:val="nil"/>
            </w:tcBorders>
          </w:tcPr>
          <w:p w14:paraId="09791143" w14:textId="77777777" w:rsidR="00554AB3" w:rsidRPr="00695826" w:rsidRDefault="00554AB3" w:rsidP="00695826">
            <w:pPr>
              <w:widowControl w:val="0"/>
              <w:autoSpaceDE w:val="0"/>
              <w:autoSpaceDN w:val="0"/>
              <w:adjustRightInd w:val="0"/>
              <w:spacing w:line="240" w:lineRule="auto"/>
              <w:rPr>
                <w:rFonts w:cs="Times New Roman"/>
                <w:bCs/>
                <w:kern w:val="2"/>
                <w:sz w:val="20"/>
                <w:szCs w:val="20"/>
                <w:lang/>
              </w:rPr>
            </w:pPr>
            <w:r w:rsidRPr="00695826">
              <w:rPr>
                <w:rFonts w:cs="Times New Roman"/>
                <w:bCs/>
                <w:kern w:val="2"/>
                <w:sz w:val="20"/>
                <w:szCs w:val="20"/>
                <w:lang/>
              </w:rPr>
              <w:t>0.0037</w:t>
            </w:r>
          </w:p>
        </w:tc>
        <w:tc>
          <w:tcPr>
            <w:tcW w:w="849" w:type="pct"/>
            <w:tcBorders>
              <w:top w:val="nil"/>
              <w:left w:val="nil"/>
              <w:bottom w:val="single" w:sz="4" w:space="0" w:color="auto"/>
              <w:right w:val="nil"/>
            </w:tcBorders>
          </w:tcPr>
          <w:p w14:paraId="0497F084" w14:textId="77777777" w:rsidR="00554AB3" w:rsidRPr="00695826" w:rsidRDefault="00554AB3" w:rsidP="00695826">
            <w:pPr>
              <w:widowControl w:val="0"/>
              <w:autoSpaceDE w:val="0"/>
              <w:autoSpaceDN w:val="0"/>
              <w:adjustRightInd w:val="0"/>
              <w:spacing w:line="240" w:lineRule="auto"/>
              <w:rPr>
                <w:rFonts w:cs="Times New Roman"/>
                <w:bCs/>
                <w:kern w:val="2"/>
                <w:sz w:val="20"/>
                <w:szCs w:val="20"/>
                <w:lang/>
              </w:rPr>
            </w:pPr>
            <w:r w:rsidRPr="00695826">
              <w:rPr>
                <w:rFonts w:cs="Times New Roman"/>
                <w:bCs/>
                <w:kern w:val="2"/>
                <w:sz w:val="20"/>
                <w:szCs w:val="20"/>
                <w:lang/>
              </w:rPr>
              <w:t>0.0970</w:t>
            </w:r>
          </w:p>
        </w:tc>
      </w:tr>
    </w:tbl>
    <w:bookmarkEnd w:id="314"/>
    <w:p w14:paraId="5C6742D0" w14:textId="093320CB" w:rsidR="00EE4448" w:rsidRPr="00F83040" w:rsidRDefault="00554AB3" w:rsidP="00F83040">
      <w:pPr>
        <w:rPr>
          <w:b/>
          <w:bCs/>
        </w:rPr>
      </w:pPr>
      <w:r w:rsidRPr="00F83040">
        <w:rPr>
          <w:b/>
          <w:bCs/>
        </w:rPr>
        <w:t>Table A27 Continued</w:t>
      </w:r>
    </w:p>
    <w:p w14:paraId="1FEC1368" w14:textId="75C3E55C" w:rsidR="00CD4846" w:rsidRPr="00695826" w:rsidRDefault="00CD4846" w:rsidP="00695826">
      <w:pPr>
        <w:spacing w:line="240" w:lineRule="auto"/>
        <w:rPr>
          <w:rFonts w:eastAsia="Times New Roman"/>
          <w:sz w:val="20"/>
          <w:szCs w:val="20"/>
          <w:lang/>
        </w:rPr>
      </w:pPr>
      <w:r w:rsidRPr="00695826">
        <w:rPr>
          <w:rFonts w:cs="Times New Roman"/>
          <w:sz w:val="20"/>
          <w:szCs w:val="20"/>
          <w:lang/>
        </w:rPr>
        <w:t>Table A</w:t>
      </w:r>
      <w:r w:rsidRPr="00695826">
        <w:rPr>
          <w:rFonts w:cs="Times New Roman"/>
          <w:sz w:val="20"/>
          <w:szCs w:val="20"/>
          <w:lang/>
        </w:rPr>
        <w:t>27</w:t>
      </w:r>
      <w:r w:rsidRPr="00695826">
        <w:rPr>
          <w:rFonts w:cs="Times New Roman"/>
          <w:sz w:val="20"/>
          <w:szCs w:val="20"/>
          <w:lang/>
        </w:rPr>
        <w:t xml:space="preserve">: PPMLHDFE regression results on </w:t>
      </w:r>
      <w:r w:rsidRPr="00695826">
        <w:rPr>
          <w:rFonts w:cs="Times New Roman"/>
          <w:sz w:val="20"/>
          <w:szCs w:val="20"/>
          <w:lang/>
        </w:rPr>
        <w:t xml:space="preserve">total </w:t>
      </w:r>
      <w:r w:rsidRPr="00695826">
        <w:rPr>
          <w:rFonts w:cs="Times New Roman"/>
          <w:sz w:val="20"/>
          <w:szCs w:val="20"/>
          <w:lang/>
        </w:rPr>
        <w:t xml:space="preserve">establishment </w:t>
      </w:r>
      <w:r w:rsidRPr="00695826">
        <w:rPr>
          <w:rFonts w:cs="Times New Roman"/>
          <w:sz w:val="20"/>
          <w:szCs w:val="20"/>
          <w:lang/>
        </w:rPr>
        <w:t xml:space="preserve">exits </w:t>
      </w:r>
      <w:r w:rsidRPr="00695826">
        <w:rPr>
          <w:rFonts w:cs="Times New Roman"/>
          <w:sz w:val="20"/>
          <w:szCs w:val="20"/>
          <w:lang/>
        </w:rPr>
        <w:t xml:space="preserve">under </w:t>
      </w:r>
      <w:r w:rsidRPr="00695826">
        <w:rPr>
          <w:rFonts w:cs="Times New Roman"/>
          <w:sz w:val="20"/>
          <w:szCs w:val="20"/>
          <w:lang/>
        </w:rPr>
        <w:t>strict</w:t>
      </w:r>
      <w:r w:rsidRPr="00695826">
        <w:rPr>
          <w:rFonts w:cs="Times New Roman"/>
          <w:sz w:val="20"/>
          <w:szCs w:val="20"/>
          <w:lang/>
        </w:rPr>
        <w:t xml:space="preserve"> PADs (GAP 1-</w:t>
      </w:r>
      <w:r w:rsidRPr="00695826">
        <w:rPr>
          <w:rFonts w:cs="Times New Roman"/>
          <w:sz w:val="20"/>
          <w:szCs w:val="20"/>
          <w:lang/>
        </w:rPr>
        <w:t>2</w:t>
      </w:r>
      <w:r w:rsidRPr="00695826">
        <w:rPr>
          <w:rFonts w:cs="Times New Roman"/>
          <w:sz w:val="20"/>
          <w:szCs w:val="20"/>
          <w:lang/>
        </w:rPr>
        <w:t xml:space="preserve">) are presented above. Column names correspond to a specific NAICS sector. </w:t>
      </w:r>
      <w:r w:rsidR="002A78A3" w:rsidRPr="00C624DB">
        <w:rPr>
          <w:sz w:val="20"/>
          <w:szCs w:val="20"/>
          <w:lang/>
        </w:rPr>
        <w:t xml:space="preserve">Standard errors are </w:t>
      </w:r>
      <w:r w:rsidR="002A78A3">
        <w:rPr>
          <w:sz w:val="20"/>
          <w:szCs w:val="20"/>
          <w:lang/>
        </w:rPr>
        <w:t xml:space="preserve">in parentheses and are </w:t>
      </w:r>
      <w:r w:rsidR="002A78A3" w:rsidRPr="00C624DB">
        <w:rPr>
          <w:sz w:val="20"/>
          <w:szCs w:val="20"/>
          <w:lang/>
        </w:rPr>
        <w:t xml:space="preserve">clustered at the county level. </w:t>
      </w:r>
      <w:r w:rsidR="002A78A3" w:rsidRPr="002C0F11">
        <w:rPr>
          <w:sz w:val="20"/>
          <w:szCs w:val="20"/>
          <w:lang/>
        </w:rPr>
        <w:t>Statistically significant impacts are denoted by asterisks. These asterisks denote statistical significance at the following levels: ***p &lt; 0.01, **p &lt; 0.05, *p &lt; 0.1.</w:t>
      </w:r>
      <w:r w:rsidR="002A78A3">
        <w:rPr>
          <w:sz w:val="20"/>
          <w:szCs w:val="20"/>
          <w:lang/>
        </w:rPr>
        <w:t xml:space="preserve"> </w:t>
      </w:r>
      <w:r w:rsidRPr="00695826">
        <w:rPr>
          <w:rFonts w:cs="Times New Roman"/>
          <w:sz w:val="20"/>
          <w:szCs w:val="20"/>
          <w:lang/>
        </w:rPr>
        <w:t>p-values of joint-tests on linear and quadratic PAD terms are shown in the last row.</w:t>
      </w:r>
    </w:p>
    <w:p w14:paraId="3EB13581" w14:textId="77777777" w:rsidR="00CD4846" w:rsidRPr="00CD4846" w:rsidRDefault="00CD4846" w:rsidP="004C39A4">
      <w:pPr>
        <w:spacing w:line="259" w:lineRule="auto"/>
        <w:rPr>
          <w:rFonts w:ascii="DengXian" w:hAnsi="DengXian" w:cs="Times New Roman"/>
          <w:kern w:val="2"/>
          <w:sz w:val="22"/>
          <w:szCs w:val="22"/>
          <w:lang/>
        </w:rPr>
      </w:pPr>
      <w:r w:rsidRPr="00CD4846">
        <w:rPr>
          <w:rFonts w:ascii="DengXian" w:hAnsi="DengXian" w:cs="Times New Roman"/>
          <w:kern w:val="2"/>
          <w:sz w:val="22"/>
          <w:szCs w:val="22"/>
          <w:lang/>
        </w:rPr>
        <w:br w:type="page"/>
      </w:r>
    </w:p>
    <w:p w14:paraId="2F5E5C99" w14:textId="77777777" w:rsidR="00CD4846" w:rsidRPr="00CD4846" w:rsidRDefault="00CD4846" w:rsidP="00095E25">
      <w:pPr>
        <w:pStyle w:val="Title"/>
      </w:pPr>
      <w:bookmarkStart w:id="319" w:name="_Toc186799432"/>
      <w:bookmarkStart w:id="320" w:name="_Toc188359633"/>
      <w:bookmarkStart w:id="321" w:name="_Toc188359921"/>
      <w:bookmarkStart w:id="322" w:name="_Toc188361157"/>
      <w:bookmarkStart w:id="323" w:name="_Toc188367001"/>
      <w:r w:rsidRPr="00CD4846">
        <w:lastRenderedPageBreak/>
        <w:t>Table A28: Summary Statistics of Additional Sectoral Explanatory Variables</w:t>
      </w:r>
      <w:bookmarkEnd w:id="319"/>
      <w:bookmarkEnd w:id="320"/>
      <w:bookmarkEnd w:id="321"/>
      <w:bookmarkEnd w:id="322"/>
      <w:bookmarkEnd w:id="323"/>
      <w:r w:rsidRPr="00CD4846">
        <w:t xml:space="preserve"> </w:t>
      </w:r>
    </w:p>
    <w:tbl>
      <w:tblPr>
        <w:tblW w:w="5000" w:type="pct"/>
        <w:tblLook w:val="04A0" w:firstRow="1" w:lastRow="0" w:firstColumn="1" w:lastColumn="0" w:noHBand="0" w:noVBand="1"/>
      </w:tblPr>
      <w:tblGrid>
        <w:gridCol w:w="2570"/>
        <w:gridCol w:w="3375"/>
        <w:gridCol w:w="816"/>
        <w:gridCol w:w="6"/>
        <w:gridCol w:w="937"/>
        <w:gridCol w:w="16"/>
        <w:gridCol w:w="37"/>
        <w:gridCol w:w="535"/>
        <w:gridCol w:w="1068"/>
      </w:tblGrid>
      <w:tr w:rsidR="00695826" w:rsidRPr="00695826" w14:paraId="4A8AA3C8" w14:textId="77777777" w:rsidTr="00695826">
        <w:tc>
          <w:tcPr>
            <w:tcW w:w="1394" w:type="pct"/>
            <w:tcBorders>
              <w:top w:val="single" w:sz="4" w:space="0" w:color="auto"/>
              <w:left w:val="nil"/>
              <w:bottom w:val="single" w:sz="4" w:space="0" w:color="auto"/>
              <w:right w:val="nil"/>
            </w:tcBorders>
          </w:tcPr>
          <w:p w14:paraId="52131F0A" w14:textId="77777777" w:rsidR="00CD4846" w:rsidRPr="00695826" w:rsidRDefault="00CD4846" w:rsidP="00695826">
            <w:pPr>
              <w:spacing w:line="240" w:lineRule="auto"/>
              <w:rPr>
                <w:rFonts w:cs="Times New Roman"/>
                <w:b/>
                <w:bCs/>
                <w:sz w:val="20"/>
                <w:szCs w:val="20"/>
                <w:lang/>
              </w:rPr>
            </w:pPr>
            <w:r w:rsidRPr="00695826">
              <w:rPr>
                <w:rFonts w:cs="Times New Roman"/>
                <w:b/>
                <w:bCs/>
                <w:sz w:val="20"/>
                <w:szCs w:val="20"/>
                <w:lang/>
              </w:rPr>
              <w:t>NAICS Sector</w:t>
            </w:r>
          </w:p>
        </w:tc>
        <w:tc>
          <w:tcPr>
            <w:tcW w:w="1824" w:type="pct"/>
            <w:tcBorders>
              <w:top w:val="single" w:sz="4" w:space="0" w:color="auto"/>
              <w:left w:val="nil"/>
              <w:bottom w:val="single" w:sz="4" w:space="0" w:color="auto"/>
              <w:right w:val="nil"/>
            </w:tcBorders>
            <w:hideMark/>
          </w:tcPr>
          <w:p w14:paraId="429AAB15" w14:textId="77777777" w:rsidR="00CD4846" w:rsidRPr="00695826" w:rsidRDefault="00CD4846" w:rsidP="00695826">
            <w:pPr>
              <w:spacing w:line="240" w:lineRule="auto"/>
              <w:rPr>
                <w:rFonts w:cs="Times New Roman"/>
                <w:b/>
                <w:bCs/>
                <w:sz w:val="20"/>
                <w:szCs w:val="20"/>
                <w:lang/>
              </w:rPr>
            </w:pPr>
            <w:r w:rsidRPr="00695826">
              <w:rPr>
                <w:rFonts w:cs="Times New Roman"/>
                <w:b/>
                <w:bCs/>
                <w:sz w:val="20"/>
                <w:szCs w:val="20"/>
                <w:lang/>
              </w:rPr>
              <w:t>Variables</w:t>
            </w:r>
          </w:p>
        </w:tc>
        <w:tc>
          <w:tcPr>
            <w:tcW w:w="397" w:type="pct"/>
            <w:gridSpan w:val="2"/>
            <w:tcBorders>
              <w:top w:val="single" w:sz="4" w:space="0" w:color="auto"/>
              <w:left w:val="nil"/>
              <w:bottom w:val="single" w:sz="4" w:space="0" w:color="auto"/>
              <w:right w:val="nil"/>
            </w:tcBorders>
            <w:hideMark/>
          </w:tcPr>
          <w:p w14:paraId="42A22669" w14:textId="77777777" w:rsidR="00CD4846" w:rsidRPr="00695826" w:rsidRDefault="00CD4846" w:rsidP="00695826">
            <w:pPr>
              <w:spacing w:line="240" w:lineRule="auto"/>
              <w:rPr>
                <w:rFonts w:cs="Times New Roman"/>
                <w:b/>
                <w:bCs/>
                <w:sz w:val="20"/>
                <w:szCs w:val="20"/>
                <w:lang/>
              </w:rPr>
            </w:pPr>
            <w:r w:rsidRPr="00695826">
              <w:rPr>
                <w:rFonts w:cs="Times New Roman"/>
                <w:b/>
                <w:bCs/>
                <w:sz w:val="20"/>
                <w:szCs w:val="20"/>
                <w:lang/>
              </w:rPr>
              <w:t>Mean</w:t>
            </w:r>
          </w:p>
        </w:tc>
        <w:tc>
          <w:tcPr>
            <w:tcW w:w="533" w:type="pct"/>
            <w:gridSpan w:val="2"/>
            <w:tcBorders>
              <w:top w:val="single" w:sz="4" w:space="0" w:color="auto"/>
              <w:left w:val="nil"/>
              <w:bottom w:val="single" w:sz="4" w:space="0" w:color="auto"/>
              <w:right w:val="nil"/>
            </w:tcBorders>
            <w:hideMark/>
          </w:tcPr>
          <w:p w14:paraId="61A8658E" w14:textId="77777777" w:rsidR="00CD4846" w:rsidRPr="00695826" w:rsidRDefault="00CD4846" w:rsidP="00695826">
            <w:pPr>
              <w:spacing w:line="240" w:lineRule="auto"/>
              <w:rPr>
                <w:rFonts w:cs="Times New Roman"/>
                <w:b/>
                <w:bCs/>
                <w:sz w:val="20"/>
                <w:szCs w:val="20"/>
                <w:lang/>
              </w:rPr>
            </w:pPr>
            <w:r w:rsidRPr="00695826">
              <w:rPr>
                <w:rFonts w:cs="Times New Roman"/>
                <w:b/>
                <w:bCs/>
                <w:sz w:val="20"/>
                <w:szCs w:val="20"/>
                <w:lang/>
              </w:rPr>
              <w:t>SD</w:t>
            </w:r>
          </w:p>
        </w:tc>
        <w:tc>
          <w:tcPr>
            <w:tcW w:w="325" w:type="pct"/>
            <w:gridSpan w:val="2"/>
            <w:tcBorders>
              <w:top w:val="single" w:sz="4" w:space="0" w:color="auto"/>
              <w:left w:val="nil"/>
              <w:bottom w:val="single" w:sz="4" w:space="0" w:color="auto"/>
              <w:right w:val="nil"/>
            </w:tcBorders>
            <w:hideMark/>
          </w:tcPr>
          <w:p w14:paraId="144CE982" w14:textId="77777777" w:rsidR="00CD4846" w:rsidRPr="00695826" w:rsidRDefault="00CD4846" w:rsidP="00695826">
            <w:pPr>
              <w:spacing w:line="240" w:lineRule="auto"/>
              <w:rPr>
                <w:rFonts w:cs="Times New Roman"/>
                <w:b/>
                <w:bCs/>
                <w:sz w:val="20"/>
                <w:szCs w:val="20"/>
                <w:lang/>
              </w:rPr>
            </w:pPr>
            <w:r w:rsidRPr="00695826">
              <w:rPr>
                <w:rFonts w:cs="Times New Roman"/>
                <w:b/>
                <w:bCs/>
                <w:sz w:val="20"/>
                <w:szCs w:val="20"/>
                <w:lang/>
              </w:rPr>
              <w:t>Min</w:t>
            </w:r>
          </w:p>
        </w:tc>
        <w:tc>
          <w:tcPr>
            <w:tcW w:w="527" w:type="pct"/>
            <w:tcBorders>
              <w:top w:val="single" w:sz="4" w:space="0" w:color="auto"/>
              <w:left w:val="nil"/>
              <w:bottom w:val="single" w:sz="4" w:space="0" w:color="auto"/>
              <w:right w:val="nil"/>
            </w:tcBorders>
            <w:hideMark/>
          </w:tcPr>
          <w:p w14:paraId="65A6C96F" w14:textId="77777777" w:rsidR="00CD4846" w:rsidRPr="00695826" w:rsidRDefault="00CD4846" w:rsidP="00695826">
            <w:pPr>
              <w:spacing w:line="240" w:lineRule="auto"/>
              <w:rPr>
                <w:rFonts w:cs="Times New Roman"/>
                <w:b/>
                <w:bCs/>
                <w:sz w:val="20"/>
                <w:szCs w:val="20"/>
                <w:lang/>
              </w:rPr>
            </w:pPr>
            <w:r w:rsidRPr="00695826">
              <w:rPr>
                <w:rFonts w:cs="Times New Roman"/>
                <w:b/>
                <w:bCs/>
                <w:sz w:val="20"/>
                <w:szCs w:val="20"/>
                <w:lang/>
              </w:rPr>
              <w:t>Max</w:t>
            </w:r>
          </w:p>
        </w:tc>
      </w:tr>
      <w:tr w:rsidR="00695826" w:rsidRPr="00695826" w14:paraId="4D6959E6" w14:textId="77777777" w:rsidTr="00695826">
        <w:tc>
          <w:tcPr>
            <w:tcW w:w="1394" w:type="pct"/>
            <w:vMerge w:val="restart"/>
            <w:tcBorders>
              <w:top w:val="single" w:sz="4" w:space="0" w:color="auto"/>
              <w:left w:val="nil"/>
              <w:right w:val="nil"/>
            </w:tcBorders>
          </w:tcPr>
          <w:p w14:paraId="43B9FE2E" w14:textId="101E0511" w:rsidR="00CD4846" w:rsidRPr="00695826" w:rsidRDefault="00CD4846" w:rsidP="00695826">
            <w:pPr>
              <w:spacing w:line="240" w:lineRule="auto"/>
              <w:rPr>
                <w:rFonts w:cs="Times New Roman"/>
                <w:sz w:val="20"/>
                <w:szCs w:val="20"/>
                <w:lang/>
              </w:rPr>
            </w:pPr>
            <w:r w:rsidRPr="00695826">
              <w:rPr>
                <w:rFonts w:cs="Times New Roman"/>
                <w:sz w:val="20"/>
                <w:szCs w:val="20"/>
                <w:lang/>
              </w:rPr>
              <w:t>11</w:t>
            </w:r>
          </w:p>
          <w:p w14:paraId="51591256"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w:t>
            </w:r>
          </w:p>
          <w:p w14:paraId="28316750" w14:textId="3FB423AF" w:rsidR="00695826" w:rsidRPr="00695826" w:rsidRDefault="00CD4846" w:rsidP="00695826">
            <w:pPr>
              <w:spacing w:line="240" w:lineRule="auto"/>
              <w:rPr>
                <w:rFonts w:cs="Times New Roman"/>
                <w:sz w:val="20"/>
                <w:szCs w:val="20"/>
                <w:lang/>
              </w:rPr>
            </w:pPr>
            <w:r w:rsidRPr="00695826">
              <w:rPr>
                <w:rFonts w:cs="Times New Roman"/>
                <w:sz w:val="20"/>
                <w:szCs w:val="20"/>
                <w:lang/>
              </w:rPr>
              <w:t>Agriculture, Forestry, Fishing,</w:t>
            </w:r>
          </w:p>
          <w:p w14:paraId="61214F19" w14:textId="3E38E837" w:rsidR="00CD4846" w:rsidRPr="00695826" w:rsidRDefault="00CD4846" w:rsidP="00695826">
            <w:pPr>
              <w:spacing w:line="240" w:lineRule="auto"/>
              <w:rPr>
                <w:rFonts w:cs="Times New Roman"/>
                <w:sz w:val="20"/>
                <w:szCs w:val="20"/>
                <w:lang/>
              </w:rPr>
            </w:pPr>
            <w:r w:rsidRPr="00695826">
              <w:rPr>
                <w:rFonts w:cs="Times New Roman"/>
                <w:sz w:val="20"/>
                <w:szCs w:val="20"/>
                <w:lang/>
              </w:rPr>
              <w:t>and Hunting</w:t>
            </w:r>
          </w:p>
        </w:tc>
        <w:tc>
          <w:tcPr>
            <w:tcW w:w="1824" w:type="pct"/>
            <w:tcBorders>
              <w:top w:val="single" w:sz="4" w:space="0" w:color="auto"/>
              <w:left w:val="nil"/>
              <w:bottom w:val="nil"/>
              <w:right w:val="nil"/>
            </w:tcBorders>
            <w:hideMark/>
          </w:tcPr>
          <w:p w14:paraId="55E45476"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Births (t-1)</w:t>
            </w:r>
          </w:p>
        </w:tc>
        <w:tc>
          <w:tcPr>
            <w:tcW w:w="397" w:type="pct"/>
            <w:gridSpan w:val="2"/>
            <w:tcBorders>
              <w:top w:val="single" w:sz="4" w:space="0" w:color="auto"/>
              <w:left w:val="nil"/>
              <w:bottom w:val="nil"/>
              <w:right w:val="nil"/>
            </w:tcBorders>
            <w:hideMark/>
          </w:tcPr>
          <w:p w14:paraId="33891FAA"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4.84</w:t>
            </w:r>
          </w:p>
        </w:tc>
        <w:tc>
          <w:tcPr>
            <w:tcW w:w="533" w:type="pct"/>
            <w:gridSpan w:val="2"/>
            <w:tcBorders>
              <w:top w:val="single" w:sz="4" w:space="0" w:color="auto"/>
              <w:left w:val="nil"/>
              <w:bottom w:val="nil"/>
              <w:right w:val="nil"/>
            </w:tcBorders>
            <w:hideMark/>
          </w:tcPr>
          <w:p w14:paraId="2E908CB5"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8.96</w:t>
            </w:r>
          </w:p>
        </w:tc>
        <w:tc>
          <w:tcPr>
            <w:tcW w:w="325" w:type="pct"/>
            <w:gridSpan w:val="2"/>
            <w:tcBorders>
              <w:top w:val="single" w:sz="4" w:space="0" w:color="auto"/>
              <w:left w:val="nil"/>
              <w:bottom w:val="nil"/>
              <w:right w:val="nil"/>
            </w:tcBorders>
            <w:hideMark/>
          </w:tcPr>
          <w:p w14:paraId="7A72CE52"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0</w:t>
            </w:r>
          </w:p>
        </w:tc>
        <w:tc>
          <w:tcPr>
            <w:tcW w:w="527" w:type="pct"/>
            <w:tcBorders>
              <w:top w:val="single" w:sz="4" w:space="0" w:color="auto"/>
              <w:left w:val="nil"/>
              <w:bottom w:val="nil"/>
              <w:right w:val="nil"/>
            </w:tcBorders>
            <w:hideMark/>
          </w:tcPr>
          <w:p w14:paraId="21622670"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290</w:t>
            </w:r>
          </w:p>
        </w:tc>
      </w:tr>
      <w:tr w:rsidR="00695826" w:rsidRPr="00695826" w14:paraId="19EAB31C" w14:textId="77777777" w:rsidTr="00695826">
        <w:tc>
          <w:tcPr>
            <w:tcW w:w="1394" w:type="pct"/>
            <w:vMerge/>
            <w:tcBorders>
              <w:left w:val="nil"/>
              <w:right w:val="nil"/>
            </w:tcBorders>
          </w:tcPr>
          <w:p w14:paraId="5DAAA3C5" w14:textId="77777777" w:rsidR="00CD4846" w:rsidRPr="00695826" w:rsidRDefault="00CD4846" w:rsidP="00695826">
            <w:pPr>
              <w:spacing w:line="240" w:lineRule="auto"/>
              <w:rPr>
                <w:rFonts w:cs="Times New Roman"/>
                <w:sz w:val="20"/>
                <w:szCs w:val="20"/>
                <w:lang/>
              </w:rPr>
            </w:pPr>
          </w:p>
        </w:tc>
        <w:tc>
          <w:tcPr>
            <w:tcW w:w="1824" w:type="pct"/>
            <w:tcBorders>
              <w:top w:val="nil"/>
              <w:left w:val="nil"/>
              <w:bottom w:val="nil"/>
              <w:right w:val="nil"/>
            </w:tcBorders>
            <w:hideMark/>
          </w:tcPr>
          <w:p w14:paraId="7659A6E3"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Inward Relocations (t-1)</w:t>
            </w:r>
          </w:p>
        </w:tc>
        <w:tc>
          <w:tcPr>
            <w:tcW w:w="397" w:type="pct"/>
            <w:gridSpan w:val="2"/>
            <w:tcBorders>
              <w:top w:val="nil"/>
              <w:left w:val="nil"/>
              <w:bottom w:val="nil"/>
              <w:right w:val="nil"/>
            </w:tcBorders>
            <w:hideMark/>
          </w:tcPr>
          <w:p w14:paraId="68644900"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.171</w:t>
            </w:r>
          </w:p>
        </w:tc>
        <w:tc>
          <w:tcPr>
            <w:tcW w:w="533" w:type="pct"/>
            <w:gridSpan w:val="2"/>
            <w:tcBorders>
              <w:top w:val="nil"/>
              <w:left w:val="nil"/>
              <w:bottom w:val="nil"/>
              <w:right w:val="nil"/>
            </w:tcBorders>
            <w:hideMark/>
          </w:tcPr>
          <w:p w14:paraId="6A516CA0"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4.1</w:t>
            </w:r>
            <w:r w:rsidRPr="00695826">
              <w:rPr>
                <w:rFonts w:cs="Times New Roman"/>
                <w:sz w:val="20"/>
                <w:szCs w:val="20"/>
                <w:lang/>
              </w:rPr>
              <w:t>8</w:t>
            </w:r>
          </w:p>
        </w:tc>
        <w:tc>
          <w:tcPr>
            <w:tcW w:w="325" w:type="pct"/>
            <w:gridSpan w:val="2"/>
            <w:tcBorders>
              <w:top w:val="nil"/>
              <w:left w:val="nil"/>
              <w:bottom w:val="nil"/>
              <w:right w:val="nil"/>
            </w:tcBorders>
            <w:hideMark/>
          </w:tcPr>
          <w:p w14:paraId="50C117FB"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0</w:t>
            </w:r>
          </w:p>
        </w:tc>
        <w:tc>
          <w:tcPr>
            <w:tcW w:w="527" w:type="pct"/>
            <w:tcBorders>
              <w:top w:val="nil"/>
              <w:left w:val="nil"/>
              <w:bottom w:val="nil"/>
              <w:right w:val="nil"/>
            </w:tcBorders>
            <w:hideMark/>
          </w:tcPr>
          <w:p w14:paraId="1AC1DA91"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630</w:t>
            </w:r>
          </w:p>
        </w:tc>
      </w:tr>
      <w:tr w:rsidR="00695826" w:rsidRPr="00695826" w14:paraId="629C1F18" w14:textId="77777777" w:rsidTr="00695826">
        <w:tc>
          <w:tcPr>
            <w:tcW w:w="1394" w:type="pct"/>
            <w:vMerge/>
            <w:tcBorders>
              <w:left w:val="nil"/>
              <w:right w:val="nil"/>
            </w:tcBorders>
          </w:tcPr>
          <w:p w14:paraId="5BE6091E" w14:textId="77777777" w:rsidR="00CD4846" w:rsidRPr="00695826" w:rsidRDefault="00CD4846" w:rsidP="00695826">
            <w:pPr>
              <w:spacing w:line="240" w:lineRule="auto"/>
              <w:rPr>
                <w:rFonts w:cs="Times New Roman"/>
                <w:sz w:val="20"/>
                <w:szCs w:val="20"/>
                <w:lang/>
              </w:rPr>
            </w:pPr>
          </w:p>
        </w:tc>
        <w:tc>
          <w:tcPr>
            <w:tcW w:w="1824" w:type="pct"/>
            <w:tcBorders>
              <w:top w:val="nil"/>
              <w:left w:val="nil"/>
              <w:bottom w:val="nil"/>
              <w:right w:val="nil"/>
            </w:tcBorders>
            <w:hideMark/>
          </w:tcPr>
          <w:p w14:paraId="22F8BCD6"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Total Entries (t-1)</w:t>
            </w:r>
          </w:p>
        </w:tc>
        <w:tc>
          <w:tcPr>
            <w:tcW w:w="397" w:type="pct"/>
            <w:gridSpan w:val="2"/>
            <w:tcBorders>
              <w:top w:val="nil"/>
              <w:left w:val="nil"/>
              <w:bottom w:val="nil"/>
              <w:right w:val="nil"/>
            </w:tcBorders>
            <w:hideMark/>
          </w:tcPr>
          <w:p w14:paraId="3B7117AA"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5.01</w:t>
            </w:r>
          </w:p>
        </w:tc>
        <w:tc>
          <w:tcPr>
            <w:tcW w:w="533" w:type="pct"/>
            <w:gridSpan w:val="2"/>
            <w:tcBorders>
              <w:top w:val="nil"/>
              <w:left w:val="nil"/>
              <w:bottom w:val="nil"/>
              <w:right w:val="nil"/>
            </w:tcBorders>
            <w:hideMark/>
          </w:tcPr>
          <w:p w14:paraId="7CA597E4"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10.5</w:t>
            </w:r>
          </w:p>
        </w:tc>
        <w:tc>
          <w:tcPr>
            <w:tcW w:w="325" w:type="pct"/>
            <w:gridSpan w:val="2"/>
            <w:tcBorders>
              <w:top w:val="nil"/>
              <w:left w:val="nil"/>
              <w:bottom w:val="nil"/>
              <w:right w:val="nil"/>
            </w:tcBorders>
            <w:hideMark/>
          </w:tcPr>
          <w:p w14:paraId="77C0FC70"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0</w:t>
            </w:r>
          </w:p>
        </w:tc>
        <w:tc>
          <w:tcPr>
            <w:tcW w:w="527" w:type="pct"/>
            <w:tcBorders>
              <w:top w:val="nil"/>
              <w:left w:val="nil"/>
              <w:bottom w:val="nil"/>
              <w:right w:val="nil"/>
            </w:tcBorders>
            <w:hideMark/>
          </w:tcPr>
          <w:p w14:paraId="41A14335"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866</w:t>
            </w:r>
          </w:p>
        </w:tc>
      </w:tr>
      <w:tr w:rsidR="00695826" w:rsidRPr="00695826" w14:paraId="371AA636" w14:textId="77777777" w:rsidTr="00695826">
        <w:tc>
          <w:tcPr>
            <w:tcW w:w="1394" w:type="pct"/>
            <w:vMerge/>
            <w:tcBorders>
              <w:left w:val="nil"/>
              <w:right w:val="nil"/>
            </w:tcBorders>
          </w:tcPr>
          <w:p w14:paraId="1A61C991" w14:textId="77777777" w:rsidR="00CD4846" w:rsidRPr="00695826" w:rsidRDefault="00CD4846" w:rsidP="00695826">
            <w:pPr>
              <w:spacing w:line="240" w:lineRule="auto"/>
              <w:rPr>
                <w:rFonts w:cs="Times New Roman"/>
                <w:sz w:val="20"/>
                <w:szCs w:val="20"/>
                <w:lang/>
              </w:rPr>
            </w:pPr>
          </w:p>
        </w:tc>
        <w:tc>
          <w:tcPr>
            <w:tcW w:w="1824" w:type="pct"/>
            <w:tcBorders>
              <w:top w:val="nil"/>
              <w:left w:val="nil"/>
              <w:bottom w:val="nil"/>
              <w:right w:val="nil"/>
            </w:tcBorders>
            <w:hideMark/>
          </w:tcPr>
          <w:p w14:paraId="347E7E18"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Deaths (t-1)</w:t>
            </w:r>
          </w:p>
        </w:tc>
        <w:tc>
          <w:tcPr>
            <w:tcW w:w="397" w:type="pct"/>
            <w:gridSpan w:val="2"/>
            <w:tcBorders>
              <w:top w:val="nil"/>
              <w:left w:val="nil"/>
              <w:bottom w:val="nil"/>
              <w:right w:val="nil"/>
            </w:tcBorders>
            <w:hideMark/>
          </w:tcPr>
          <w:p w14:paraId="73B81DF5"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4.3</w:t>
            </w:r>
            <w:r w:rsidRPr="00695826">
              <w:rPr>
                <w:rFonts w:cs="Times New Roman"/>
                <w:sz w:val="20"/>
                <w:szCs w:val="20"/>
                <w:lang/>
              </w:rPr>
              <w:t>5</w:t>
            </w:r>
          </w:p>
        </w:tc>
        <w:tc>
          <w:tcPr>
            <w:tcW w:w="533" w:type="pct"/>
            <w:gridSpan w:val="2"/>
            <w:tcBorders>
              <w:top w:val="nil"/>
              <w:left w:val="nil"/>
              <w:bottom w:val="nil"/>
              <w:right w:val="nil"/>
            </w:tcBorders>
            <w:hideMark/>
          </w:tcPr>
          <w:p w14:paraId="79622587"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8.0</w:t>
            </w:r>
            <w:r w:rsidRPr="00695826">
              <w:rPr>
                <w:rFonts w:cs="Times New Roman"/>
                <w:sz w:val="20"/>
                <w:szCs w:val="20"/>
                <w:lang/>
              </w:rPr>
              <w:t>9</w:t>
            </w:r>
          </w:p>
        </w:tc>
        <w:tc>
          <w:tcPr>
            <w:tcW w:w="325" w:type="pct"/>
            <w:gridSpan w:val="2"/>
            <w:tcBorders>
              <w:top w:val="nil"/>
              <w:left w:val="nil"/>
              <w:bottom w:val="nil"/>
              <w:right w:val="nil"/>
            </w:tcBorders>
            <w:hideMark/>
          </w:tcPr>
          <w:p w14:paraId="4546B10A"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0</w:t>
            </w:r>
          </w:p>
        </w:tc>
        <w:tc>
          <w:tcPr>
            <w:tcW w:w="527" w:type="pct"/>
            <w:tcBorders>
              <w:top w:val="nil"/>
              <w:left w:val="nil"/>
              <w:bottom w:val="nil"/>
              <w:right w:val="nil"/>
            </w:tcBorders>
            <w:hideMark/>
          </w:tcPr>
          <w:p w14:paraId="4402B65B"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291</w:t>
            </w:r>
          </w:p>
        </w:tc>
      </w:tr>
      <w:tr w:rsidR="00695826" w:rsidRPr="00695826" w14:paraId="242ADBAA" w14:textId="77777777" w:rsidTr="00695826">
        <w:tc>
          <w:tcPr>
            <w:tcW w:w="1394" w:type="pct"/>
            <w:vMerge/>
            <w:tcBorders>
              <w:left w:val="nil"/>
              <w:right w:val="nil"/>
            </w:tcBorders>
          </w:tcPr>
          <w:p w14:paraId="146747B4" w14:textId="77777777" w:rsidR="00CD4846" w:rsidRPr="00695826" w:rsidRDefault="00CD4846" w:rsidP="00695826">
            <w:pPr>
              <w:spacing w:line="240" w:lineRule="auto"/>
              <w:rPr>
                <w:rFonts w:cs="Times New Roman"/>
                <w:sz w:val="20"/>
                <w:szCs w:val="20"/>
                <w:lang/>
              </w:rPr>
            </w:pPr>
          </w:p>
        </w:tc>
        <w:tc>
          <w:tcPr>
            <w:tcW w:w="1824" w:type="pct"/>
            <w:tcBorders>
              <w:top w:val="nil"/>
              <w:left w:val="nil"/>
              <w:bottom w:val="nil"/>
              <w:right w:val="nil"/>
            </w:tcBorders>
            <w:hideMark/>
          </w:tcPr>
          <w:p w14:paraId="59366EF3"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Outward Relo</w:t>
            </w:r>
            <w:r w:rsidRPr="00695826">
              <w:rPr>
                <w:rFonts w:cs="Times New Roman"/>
                <w:sz w:val="20"/>
                <w:szCs w:val="20"/>
                <w:lang/>
              </w:rPr>
              <w:t>c</w:t>
            </w:r>
            <w:r w:rsidRPr="00695826">
              <w:rPr>
                <w:rFonts w:cs="Times New Roman"/>
                <w:sz w:val="20"/>
                <w:szCs w:val="20"/>
                <w:lang/>
              </w:rPr>
              <w:t>ations (t-1)</w:t>
            </w:r>
          </w:p>
        </w:tc>
        <w:tc>
          <w:tcPr>
            <w:tcW w:w="397" w:type="pct"/>
            <w:gridSpan w:val="2"/>
            <w:tcBorders>
              <w:top w:val="nil"/>
              <w:left w:val="nil"/>
              <w:bottom w:val="nil"/>
              <w:right w:val="nil"/>
            </w:tcBorders>
            <w:hideMark/>
          </w:tcPr>
          <w:p w14:paraId="184B40B6"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.171</w:t>
            </w:r>
          </w:p>
        </w:tc>
        <w:tc>
          <w:tcPr>
            <w:tcW w:w="533" w:type="pct"/>
            <w:gridSpan w:val="2"/>
            <w:tcBorders>
              <w:top w:val="nil"/>
              <w:left w:val="nil"/>
              <w:bottom w:val="nil"/>
              <w:right w:val="nil"/>
            </w:tcBorders>
            <w:hideMark/>
          </w:tcPr>
          <w:p w14:paraId="19FE5731"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4.32</w:t>
            </w:r>
          </w:p>
        </w:tc>
        <w:tc>
          <w:tcPr>
            <w:tcW w:w="325" w:type="pct"/>
            <w:gridSpan w:val="2"/>
            <w:tcBorders>
              <w:top w:val="nil"/>
              <w:left w:val="nil"/>
              <w:bottom w:val="nil"/>
              <w:right w:val="nil"/>
            </w:tcBorders>
            <w:hideMark/>
          </w:tcPr>
          <w:p w14:paraId="4D63BACE"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0</w:t>
            </w:r>
          </w:p>
        </w:tc>
        <w:tc>
          <w:tcPr>
            <w:tcW w:w="527" w:type="pct"/>
            <w:tcBorders>
              <w:top w:val="nil"/>
              <w:left w:val="nil"/>
              <w:bottom w:val="nil"/>
              <w:right w:val="nil"/>
            </w:tcBorders>
            <w:hideMark/>
          </w:tcPr>
          <w:p w14:paraId="06026009"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695</w:t>
            </w:r>
          </w:p>
        </w:tc>
      </w:tr>
      <w:tr w:rsidR="00695826" w:rsidRPr="00695826" w14:paraId="2D0E879C" w14:textId="77777777" w:rsidTr="00695826">
        <w:tc>
          <w:tcPr>
            <w:tcW w:w="1394" w:type="pct"/>
            <w:vMerge/>
            <w:tcBorders>
              <w:left w:val="nil"/>
              <w:right w:val="nil"/>
            </w:tcBorders>
          </w:tcPr>
          <w:p w14:paraId="1B39CA8C" w14:textId="77777777" w:rsidR="00CD4846" w:rsidRPr="00695826" w:rsidRDefault="00CD4846" w:rsidP="00695826">
            <w:pPr>
              <w:spacing w:line="240" w:lineRule="auto"/>
              <w:rPr>
                <w:rFonts w:cs="Times New Roman"/>
                <w:sz w:val="20"/>
                <w:szCs w:val="20"/>
                <w:lang/>
              </w:rPr>
            </w:pPr>
          </w:p>
        </w:tc>
        <w:tc>
          <w:tcPr>
            <w:tcW w:w="1824" w:type="pct"/>
            <w:tcBorders>
              <w:top w:val="nil"/>
              <w:left w:val="nil"/>
              <w:bottom w:val="nil"/>
              <w:right w:val="nil"/>
            </w:tcBorders>
            <w:hideMark/>
          </w:tcPr>
          <w:p w14:paraId="131C22C5"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Total Exits (t-1)</w:t>
            </w:r>
          </w:p>
        </w:tc>
        <w:tc>
          <w:tcPr>
            <w:tcW w:w="397" w:type="pct"/>
            <w:gridSpan w:val="2"/>
            <w:tcBorders>
              <w:top w:val="nil"/>
              <w:left w:val="nil"/>
              <w:bottom w:val="nil"/>
              <w:right w:val="nil"/>
            </w:tcBorders>
            <w:hideMark/>
          </w:tcPr>
          <w:p w14:paraId="396EA51A"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4.5</w:t>
            </w:r>
            <w:r w:rsidRPr="00695826">
              <w:rPr>
                <w:rFonts w:cs="Times New Roman"/>
                <w:sz w:val="20"/>
                <w:szCs w:val="20"/>
                <w:lang/>
              </w:rPr>
              <w:t>2</w:t>
            </w:r>
          </w:p>
        </w:tc>
        <w:tc>
          <w:tcPr>
            <w:tcW w:w="533" w:type="pct"/>
            <w:gridSpan w:val="2"/>
            <w:tcBorders>
              <w:top w:val="nil"/>
              <w:left w:val="nil"/>
              <w:bottom w:val="nil"/>
              <w:right w:val="nil"/>
            </w:tcBorders>
            <w:hideMark/>
          </w:tcPr>
          <w:p w14:paraId="64C09F80"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9.74</w:t>
            </w:r>
          </w:p>
        </w:tc>
        <w:tc>
          <w:tcPr>
            <w:tcW w:w="325" w:type="pct"/>
            <w:gridSpan w:val="2"/>
            <w:tcBorders>
              <w:top w:val="nil"/>
              <w:left w:val="nil"/>
              <w:bottom w:val="nil"/>
              <w:right w:val="nil"/>
            </w:tcBorders>
            <w:hideMark/>
          </w:tcPr>
          <w:p w14:paraId="4CB3CF29"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0</w:t>
            </w:r>
          </w:p>
        </w:tc>
        <w:tc>
          <w:tcPr>
            <w:tcW w:w="527" w:type="pct"/>
            <w:tcBorders>
              <w:top w:val="nil"/>
              <w:left w:val="nil"/>
              <w:bottom w:val="nil"/>
              <w:right w:val="nil"/>
            </w:tcBorders>
            <w:hideMark/>
          </w:tcPr>
          <w:p w14:paraId="291F33AF"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867</w:t>
            </w:r>
          </w:p>
        </w:tc>
      </w:tr>
      <w:tr w:rsidR="00695826" w:rsidRPr="00695826" w14:paraId="246B0267" w14:textId="77777777" w:rsidTr="00695826">
        <w:tc>
          <w:tcPr>
            <w:tcW w:w="1394" w:type="pct"/>
            <w:vMerge/>
            <w:tcBorders>
              <w:left w:val="nil"/>
              <w:right w:val="nil"/>
            </w:tcBorders>
          </w:tcPr>
          <w:p w14:paraId="217526A5" w14:textId="77777777" w:rsidR="00CD4846" w:rsidRPr="00695826" w:rsidRDefault="00CD4846" w:rsidP="00695826">
            <w:pPr>
              <w:spacing w:line="240" w:lineRule="auto"/>
              <w:rPr>
                <w:rFonts w:cs="Times New Roman"/>
                <w:sz w:val="20"/>
                <w:szCs w:val="20"/>
                <w:lang/>
              </w:rPr>
            </w:pPr>
          </w:p>
        </w:tc>
        <w:tc>
          <w:tcPr>
            <w:tcW w:w="1824" w:type="pct"/>
            <w:tcBorders>
              <w:top w:val="nil"/>
              <w:left w:val="nil"/>
              <w:bottom w:val="nil"/>
              <w:right w:val="nil"/>
            </w:tcBorders>
            <w:hideMark/>
          </w:tcPr>
          <w:p w14:paraId="2658398C"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Sales Volume (t-1)</w:t>
            </w:r>
          </w:p>
        </w:tc>
        <w:tc>
          <w:tcPr>
            <w:tcW w:w="397" w:type="pct"/>
            <w:gridSpan w:val="2"/>
            <w:tcBorders>
              <w:top w:val="nil"/>
              <w:left w:val="nil"/>
              <w:bottom w:val="nil"/>
              <w:right w:val="nil"/>
            </w:tcBorders>
            <w:hideMark/>
          </w:tcPr>
          <w:p w14:paraId="21A46CC7"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32427</w:t>
            </w:r>
          </w:p>
        </w:tc>
        <w:tc>
          <w:tcPr>
            <w:tcW w:w="533" w:type="pct"/>
            <w:gridSpan w:val="2"/>
            <w:tcBorders>
              <w:top w:val="nil"/>
              <w:left w:val="nil"/>
              <w:bottom w:val="nil"/>
              <w:right w:val="nil"/>
            </w:tcBorders>
            <w:hideMark/>
          </w:tcPr>
          <w:p w14:paraId="3BEDDB9F"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127806</w:t>
            </w:r>
          </w:p>
        </w:tc>
        <w:tc>
          <w:tcPr>
            <w:tcW w:w="325" w:type="pct"/>
            <w:gridSpan w:val="2"/>
            <w:tcBorders>
              <w:top w:val="nil"/>
              <w:left w:val="nil"/>
              <w:bottom w:val="nil"/>
              <w:right w:val="nil"/>
            </w:tcBorders>
            <w:hideMark/>
          </w:tcPr>
          <w:p w14:paraId="2F0F279F"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0</w:t>
            </w:r>
          </w:p>
        </w:tc>
        <w:tc>
          <w:tcPr>
            <w:tcW w:w="527" w:type="pct"/>
            <w:tcBorders>
              <w:top w:val="nil"/>
              <w:left w:val="nil"/>
              <w:bottom w:val="nil"/>
              <w:right w:val="nil"/>
            </w:tcBorders>
            <w:hideMark/>
          </w:tcPr>
          <w:p w14:paraId="736FD5D3"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11548636</w:t>
            </w:r>
          </w:p>
        </w:tc>
      </w:tr>
      <w:tr w:rsidR="00695826" w:rsidRPr="00695826" w14:paraId="4F5576E9" w14:textId="77777777" w:rsidTr="00695826">
        <w:tc>
          <w:tcPr>
            <w:tcW w:w="1394" w:type="pct"/>
            <w:vMerge/>
            <w:tcBorders>
              <w:left w:val="nil"/>
              <w:bottom w:val="single" w:sz="6" w:space="0" w:color="auto"/>
              <w:right w:val="nil"/>
            </w:tcBorders>
          </w:tcPr>
          <w:p w14:paraId="384801E9" w14:textId="77777777" w:rsidR="00CD4846" w:rsidRPr="00695826" w:rsidRDefault="00CD4846" w:rsidP="00695826">
            <w:pPr>
              <w:spacing w:line="240" w:lineRule="auto"/>
              <w:rPr>
                <w:rFonts w:cs="Times New Roman"/>
                <w:sz w:val="20"/>
                <w:szCs w:val="20"/>
                <w:lang/>
              </w:rPr>
            </w:pPr>
          </w:p>
        </w:tc>
        <w:tc>
          <w:tcPr>
            <w:tcW w:w="1824" w:type="pct"/>
            <w:tcBorders>
              <w:top w:val="nil"/>
              <w:left w:val="nil"/>
              <w:bottom w:val="single" w:sz="6" w:space="0" w:color="auto"/>
              <w:right w:val="nil"/>
            </w:tcBorders>
          </w:tcPr>
          <w:p w14:paraId="3D7E0EFA"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Loc. Economies (t-1)</w:t>
            </w:r>
          </w:p>
        </w:tc>
        <w:tc>
          <w:tcPr>
            <w:tcW w:w="397" w:type="pct"/>
            <w:gridSpan w:val="2"/>
            <w:tcBorders>
              <w:top w:val="nil"/>
              <w:left w:val="nil"/>
              <w:bottom w:val="single" w:sz="6" w:space="0" w:color="auto"/>
              <w:right w:val="nil"/>
            </w:tcBorders>
          </w:tcPr>
          <w:p w14:paraId="281163AA"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25.8</w:t>
            </w:r>
          </w:p>
        </w:tc>
        <w:tc>
          <w:tcPr>
            <w:tcW w:w="533" w:type="pct"/>
            <w:gridSpan w:val="2"/>
            <w:tcBorders>
              <w:top w:val="nil"/>
              <w:left w:val="nil"/>
              <w:bottom w:val="single" w:sz="6" w:space="0" w:color="auto"/>
              <w:right w:val="nil"/>
            </w:tcBorders>
          </w:tcPr>
          <w:p w14:paraId="3E29383D"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34.6</w:t>
            </w:r>
          </w:p>
        </w:tc>
        <w:tc>
          <w:tcPr>
            <w:tcW w:w="325" w:type="pct"/>
            <w:gridSpan w:val="2"/>
            <w:tcBorders>
              <w:top w:val="nil"/>
              <w:left w:val="nil"/>
              <w:bottom w:val="single" w:sz="6" w:space="0" w:color="auto"/>
              <w:right w:val="nil"/>
            </w:tcBorders>
          </w:tcPr>
          <w:p w14:paraId="4E5F60F0"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0</w:t>
            </w:r>
          </w:p>
        </w:tc>
        <w:tc>
          <w:tcPr>
            <w:tcW w:w="527" w:type="pct"/>
            <w:tcBorders>
              <w:top w:val="nil"/>
              <w:left w:val="nil"/>
              <w:bottom w:val="single" w:sz="6" w:space="0" w:color="auto"/>
              <w:right w:val="nil"/>
            </w:tcBorders>
          </w:tcPr>
          <w:p w14:paraId="3C16BCCA"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874</w:t>
            </w:r>
          </w:p>
        </w:tc>
      </w:tr>
      <w:tr w:rsidR="00695826" w:rsidRPr="00695826" w14:paraId="744D03A5" w14:textId="77777777" w:rsidTr="00695826">
        <w:tc>
          <w:tcPr>
            <w:tcW w:w="1394" w:type="pct"/>
            <w:vMerge w:val="restart"/>
            <w:tcBorders>
              <w:top w:val="single" w:sz="4" w:space="0" w:color="auto"/>
              <w:left w:val="nil"/>
              <w:right w:val="nil"/>
            </w:tcBorders>
          </w:tcPr>
          <w:p w14:paraId="7F7E5891" w14:textId="7CC9CF0E" w:rsidR="00CD4846" w:rsidRPr="00695826" w:rsidRDefault="00CD4846" w:rsidP="00695826">
            <w:pPr>
              <w:spacing w:line="240" w:lineRule="auto"/>
              <w:rPr>
                <w:rFonts w:cs="Times New Roman"/>
                <w:sz w:val="20"/>
                <w:szCs w:val="20"/>
                <w:lang/>
              </w:rPr>
            </w:pPr>
            <w:r w:rsidRPr="00695826">
              <w:rPr>
                <w:rFonts w:cs="Times New Roman"/>
                <w:sz w:val="20"/>
                <w:szCs w:val="20"/>
                <w:lang/>
              </w:rPr>
              <w:t>21</w:t>
            </w:r>
          </w:p>
          <w:p w14:paraId="2D18BB59"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w:t>
            </w:r>
          </w:p>
          <w:p w14:paraId="5B2F2939" w14:textId="07C53245" w:rsidR="00695826" w:rsidRDefault="00CD4846" w:rsidP="00695826">
            <w:pPr>
              <w:spacing w:line="240" w:lineRule="auto"/>
              <w:rPr>
                <w:rFonts w:cs="Times New Roman"/>
                <w:sz w:val="20"/>
                <w:szCs w:val="20"/>
                <w:lang/>
              </w:rPr>
            </w:pPr>
            <w:r w:rsidRPr="00695826">
              <w:rPr>
                <w:rFonts w:cs="Times New Roman"/>
                <w:sz w:val="20"/>
                <w:szCs w:val="20"/>
                <w:lang/>
              </w:rPr>
              <w:t xml:space="preserve">Mining, </w:t>
            </w:r>
            <w:r w:rsidR="00695826" w:rsidRPr="00695826">
              <w:rPr>
                <w:rFonts w:cs="Times New Roman"/>
                <w:sz w:val="20"/>
                <w:szCs w:val="20"/>
                <w:lang/>
              </w:rPr>
              <w:t>Quarrying, and</w:t>
            </w:r>
            <w:r w:rsidRPr="00695826">
              <w:rPr>
                <w:rFonts w:cs="Times New Roman"/>
                <w:sz w:val="20"/>
                <w:szCs w:val="20"/>
                <w:lang/>
              </w:rPr>
              <w:t xml:space="preserve"> </w:t>
            </w:r>
          </w:p>
          <w:p w14:paraId="28D804CC" w14:textId="62CFDBC6" w:rsidR="00CD4846" w:rsidRPr="00695826" w:rsidRDefault="00CD4846" w:rsidP="00695826">
            <w:pPr>
              <w:spacing w:line="240" w:lineRule="auto"/>
              <w:rPr>
                <w:rFonts w:cs="Times New Roman"/>
                <w:sz w:val="20"/>
                <w:szCs w:val="20"/>
                <w:lang/>
              </w:rPr>
            </w:pPr>
            <w:r w:rsidRPr="00695826">
              <w:rPr>
                <w:rFonts w:cs="Times New Roman"/>
                <w:sz w:val="20"/>
                <w:szCs w:val="20"/>
                <w:lang/>
              </w:rPr>
              <w:t>Oil and Gas Extraction</w:t>
            </w:r>
          </w:p>
        </w:tc>
        <w:tc>
          <w:tcPr>
            <w:tcW w:w="1824" w:type="pct"/>
            <w:tcBorders>
              <w:top w:val="single" w:sz="4" w:space="0" w:color="auto"/>
              <w:left w:val="nil"/>
              <w:bottom w:val="nil"/>
              <w:right w:val="nil"/>
            </w:tcBorders>
            <w:hideMark/>
          </w:tcPr>
          <w:p w14:paraId="023CDA2F"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Births (t-1)</w:t>
            </w:r>
          </w:p>
        </w:tc>
        <w:tc>
          <w:tcPr>
            <w:tcW w:w="397" w:type="pct"/>
            <w:gridSpan w:val="2"/>
            <w:tcBorders>
              <w:top w:val="single" w:sz="4" w:space="0" w:color="auto"/>
              <w:left w:val="nil"/>
              <w:bottom w:val="nil"/>
              <w:right w:val="nil"/>
            </w:tcBorders>
            <w:hideMark/>
          </w:tcPr>
          <w:p w14:paraId="738AE8E8"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1.35</w:t>
            </w:r>
          </w:p>
        </w:tc>
        <w:tc>
          <w:tcPr>
            <w:tcW w:w="533" w:type="pct"/>
            <w:gridSpan w:val="2"/>
            <w:tcBorders>
              <w:top w:val="single" w:sz="4" w:space="0" w:color="auto"/>
              <w:left w:val="nil"/>
              <w:bottom w:val="nil"/>
              <w:right w:val="nil"/>
            </w:tcBorders>
            <w:hideMark/>
          </w:tcPr>
          <w:p w14:paraId="3315F017"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6.4</w:t>
            </w:r>
            <w:r w:rsidRPr="00695826">
              <w:rPr>
                <w:rFonts w:cs="Times New Roman"/>
                <w:sz w:val="20"/>
                <w:szCs w:val="20"/>
                <w:lang/>
              </w:rPr>
              <w:t>4</w:t>
            </w:r>
          </w:p>
        </w:tc>
        <w:tc>
          <w:tcPr>
            <w:tcW w:w="325" w:type="pct"/>
            <w:gridSpan w:val="2"/>
            <w:tcBorders>
              <w:top w:val="single" w:sz="4" w:space="0" w:color="auto"/>
              <w:left w:val="nil"/>
              <w:bottom w:val="nil"/>
              <w:right w:val="nil"/>
            </w:tcBorders>
            <w:hideMark/>
          </w:tcPr>
          <w:p w14:paraId="6BA86ACF"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0</w:t>
            </w:r>
          </w:p>
        </w:tc>
        <w:tc>
          <w:tcPr>
            <w:tcW w:w="527" w:type="pct"/>
            <w:tcBorders>
              <w:top w:val="single" w:sz="4" w:space="0" w:color="auto"/>
              <w:left w:val="nil"/>
              <w:bottom w:val="nil"/>
              <w:right w:val="nil"/>
            </w:tcBorders>
            <w:hideMark/>
          </w:tcPr>
          <w:p w14:paraId="371679D7"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627</w:t>
            </w:r>
          </w:p>
        </w:tc>
      </w:tr>
      <w:tr w:rsidR="00695826" w:rsidRPr="00695826" w14:paraId="1519DADD" w14:textId="77777777" w:rsidTr="00695826">
        <w:tc>
          <w:tcPr>
            <w:tcW w:w="1394" w:type="pct"/>
            <w:vMerge/>
            <w:tcBorders>
              <w:left w:val="nil"/>
              <w:right w:val="nil"/>
            </w:tcBorders>
          </w:tcPr>
          <w:p w14:paraId="4991C947" w14:textId="77777777" w:rsidR="00CD4846" w:rsidRPr="00695826" w:rsidRDefault="00CD4846" w:rsidP="00695826">
            <w:pPr>
              <w:spacing w:line="240" w:lineRule="auto"/>
              <w:rPr>
                <w:rFonts w:cs="Times New Roman"/>
                <w:sz w:val="20"/>
                <w:szCs w:val="20"/>
                <w:lang/>
              </w:rPr>
            </w:pPr>
          </w:p>
        </w:tc>
        <w:tc>
          <w:tcPr>
            <w:tcW w:w="1824" w:type="pct"/>
            <w:tcBorders>
              <w:top w:val="nil"/>
              <w:left w:val="nil"/>
              <w:bottom w:val="nil"/>
              <w:right w:val="nil"/>
            </w:tcBorders>
            <w:hideMark/>
          </w:tcPr>
          <w:p w14:paraId="78E377D7"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Inward Relocations (t-1)</w:t>
            </w:r>
          </w:p>
        </w:tc>
        <w:tc>
          <w:tcPr>
            <w:tcW w:w="397" w:type="pct"/>
            <w:gridSpan w:val="2"/>
            <w:tcBorders>
              <w:top w:val="nil"/>
              <w:left w:val="nil"/>
              <w:bottom w:val="nil"/>
              <w:right w:val="nil"/>
            </w:tcBorders>
            <w:hideMark/>
          </w:tcPr>
          <w:p w14:paraId="49796525"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.049</w:t>
            </w:r>
          </w:p>
        </w:tc>
        <w:tc>
          <w:tcPr>
            <w:tcW w:w="533" w:type="pct"/>
            <w:gridSpan w:val="2"/>
            <w:tcBorders>
              <w:top w:val="nil"/>
              <w:left w:val="nil"/>
              <w:bottom w:val="nil"/>
              <w:right w:val="nil"/>
            </w:tcBorders>
            <w:hideMark/>
          </w:tcPr>
          <w:p w14:paraId="512A27F6"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.818</w:t>
            </w:r>
          </w:p>
        </w:tc>
        <w:tc>
          <w:tcPr>
            <w:tcW w:w="325" w:type="pct"/>
            <w:gridSpan w:val="2"/>
            <w:tcBorders>
              <w:top w:val="nil"/>
              <w:left w:val="nil"/>
              <w:bottom w:val="nil"/>
              <w:right w:val="nil"/>
            </w:tcBorders>
            <w:hideMark/>
          </w:tcPr>
          <w:p w14:paraId="594BFB4E"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0</w:t>
            </w:r>
          </w:p>
        </w:tc>
        <w:tc>
          <w:tcPr>
            <w:tcW w:w="527" w:type="pct"/>
            <w:tcBorders>
              <w:top w:val="nil"/>
              <w:left w:val="nil"/>
              <w:bottom w:val="nil"/>
              <w:right w:val="nil"/>
            </w:tcBorders>
            <w:hideMark/>
          </w:tcPr>
          <w:p w14:paraId="52F4D19A"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140</w:t>
            </w:r>
          </w:p>
        </w:tc>
      </w:tr>
      <w:tr w:rsidR="00695826" w:rsidRPr="00695826" w14:paraId="7022D3D1" w14:textId="77777777" w:rsidTr="00695826">
        <w:tc>
          <w:tcPr>
            <w:tcW w:w="1394" w:type="pct"/>
            <w:vMerge/>
            <w:tcBorders>
              <w:left w:val="nil"/>
              <w:right w:val="nil"/>
            </w:tcBorders>
          </w:tcPr>
          <w:p w14:paraId="1BEE0291" w14:textId="77777777" w:rsidR="00CD4846" w:rsidRPr="00695826" w:rsidRDefault="00CD4846" w:rsidP="00695826">
            <w:pPr>
              <w:spacing w:line="240" w:lineRule="auto"/>
              <w:rPr>
                <w:rFonts w:cs="Times New Roman"/>
                <w:sz w:val="20"/>
                <w:szCs w:val="20"/>
                <w:lang/>
              </w:rPr>
            </w:pPr>
          </w:p>
        </w:tc>
        <w:tc>
          <w:tcPr>
            <w:tcW w:w="1824" w:type="pct"/>
            <w:tcBorders>
              <w:top w:val="nil"/>
              <w:left w:val="nil"/>
              <w:bottom w:val="nil"/>
              <w:right w:val="nil"/>
            </w:tcBorders>
            <w:hideMark/>
          </w:tcPr>
          <w:p w14:paraId="14E52395"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Total Entries (t-1)</w:t>
            </w:r>
          </w:p>
        </w:tc>
        <w:tc>
          <w:tcPr>
            <w:tcW w:w="397" w:type="pct"/>
            <w:gridSpan w:val="2"/>
            <w:tcBorders>
              <w:top w:val="nil"/>
              <w:left w:val="nil"/>
              <w:bottom w:val="nil"/>
              <w:right w:val="nil"/>
            </w:tcBorders>
            <w:hideMark/>
          </w:tcPr>
          <w:p w14:paraId="3592D9BB"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1.4</w:t>
            </w:r>
          </w:p>
        </w:tc>
        <w:tc>
          <w:tcPr>
            <w:tcW w:w="533" w:type="pct"/>
            <w:gridSpan w:val="2"/>
            <w:tcBorders>
              <w:top w:val="nil"/>
              <w:left w:val="nil"/>
              <w:bottom w:val="nil"/>
              <w:right w:val="nil"/>
            </w:tcBorders>
            <w:hideMark/>
          </w:tcPr>
          <w:p w14:paraId="5DB7A32A"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6.65</w:t>
            </w:r>
          </w:p>
        </w:tc>
        <w:tc>
          <w:tcPr>
            <w:tcW w:w="325" w:type="pct"/>
            <w:gridSpan w:val="2"/>
            <w:tcBorders>
              <w:top w:val="nil"/>
              <w:left w:val="nil"/>
              <w:bottom w:val="nil"/>
              <w:right w:val="nil"/>
            </w:tcBorders>
            <w:hideMark/>
          </w:tcPr>
          <w:p w14:paraId="68FB5FFE"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0</w:t>
            </w:r>
          </w:p>
        </w:tc>
        <w:tc>
          <w:tcPr>
            <w:tcW w:w="527" w:type="pct"/>
            <w:tcBorders>
              <w:top w:val="nil"/>
              <w:left w:val="nil"/>
              <w:bottom w:val="nil"/>
              <w:right w:val="nil"/>
            </w:tcBorders>
            <w:hideMark/>
          </w:tcPr>
          <w:p w14:paraId="0E9E7608"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627</w:t>
            </w:r>
          </w:p>
        </w:tc>
      </w:tr>
      <w:tr w:rsidR="00695826" w:rsidRPr="00695826" w14:paraId="0588BBBA" w14:textId="77777777" w:rsidTr="00695826">
        <w:tc>
          <w:tcPr>
            <w:tcW w:w="1394" w:type="pct"/>
            <w:vMerge/>
            <w:tcBorders>
              <w:left w:val="nil"/>
              <w:right w:val="nil"/>
            </w:tcBorders>
          </w:tcPr>
          <w:p w14:paraId="0324DAA3" w14:textId="77777777" w:rsidR="00CD4846" w:rsidRPr="00695826" w:rsidRDefault="00CD4846" w:rsidP="00695826">
            <w:pPr>
              <w:spacing w:line="240" w:lineRule="auto"/>
              <w:rPr>
                <w:rFonts w:cs="Times New Roman"/>
                <w:sz w:val="20"/>
                <w:szCs w:val="20"/>
                <w:lang/>
              </w:rPr>
            </w:pPr>
          </w:p>
        </w:tc>
        <w:tc>
          <w:tcPr>
            <w:tcW w:w="1824" w:type="pct"/>
            <w:tcBorders>
              <w:top w:val="nil"/>
              <w:left w:val="nil"/>
              <w:bottom w:val="nil"/>
              <w:right w:val="nil"/>
            </w:tcBorders>
            <w:hideMark/>
          </w:tcPr>
          <w:p w14:paraId="37E44D4C"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Deaths (t-1)</w:t>
            </w:r>
          </w:p>
        </w:tc>
        <w:tc>
          <w:tcPr>
            <w:tcW w:w="397" w:type="pct"/>
            <w:gridSpan w:val="2"/>
            <w:tcBorders>
              <w:top w:val="nil"/>
              <w:left w:val="nil"/>
              <w:bottom w:val="nil"/>
              <w:right w:val="nil"/>
            </w:tcBorders>
            <w:hideMark/>
          </w:tcPr>
          <w:p w14:paraId="4C762B49"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1.</w:t>
            </w:r>
            <w:r w:rsidRPr="00695826">
              <w:rPr>
                <w:rFonts w:cs="Times New Roman"/>
                <w:sz w:val="20"/>
                <w:szCs w:val="20"/>
                <w:lang/>
              </w:rPr>
              <w:t>40</w:t>
            </w:r>
          </w:p>
        </w:tc>
        <w:tc>
          <w:tcPr>
            <w:tcW w:w="533" w:type="pct"/>
            <w:gridSpan w:val="2"/>
            <w:tcBorders>
              <w:top w:val="nil"/>
              <w:left w:val="nil"/>
              <w:bottom w:val="nil"/>
              <w:right w:val="nil"/>
            </w:tcBorders>
            <w:hideMark/>
          </w:tcPr>
          <w:p w14:paraId="6C6775B8"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6.7</w:t>
            </w:r>
            <w:r w:rsidRPr="00695826">
              <w:rPr>
                <w:rFonts w:cs="Times New Roman"/>
                <w:sz w:val="20"/>
                <w:szCs w:val="20"/>
                <w:lang/>
              </w:rPr>
              <w:t>1</w:t>
            </w:r>
          </w:p>
        </w:tc>
        <w:tc>
          <w:tcPr>
            <w:tcW w:w="325" w:type="pct"/>
            <w:gridSpan w:val="2"/>
            <w:tcBorders>
              <w:top w:val="nil"/>
              <w:left w:val="nil"/>
              <w:bottom w:val="nil"/>
              <w:right w:val="nil"/>
            </w:tcBorders>
            <w:hideMark/>
          </w:tcPr>
          <w:p w14:paraId="581C0AC1"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0</w:t>
            </w:r>
          </w:p>
        </w:tc>
        <w:tc>
          <w:tcPr>
            <w:tcW w:w="527" w:type="pct"/>
            <w:tcBorders>
              <w:top w:val="nil"/>
              <w:left w:val="nil"/>
              <w:bottom w:val="nil"/>
              <w:right w:val="nil"/>
            </w:tcBorders>
            <w:hideMark/>
          </w:tcPr>
          <w:p w14:paraId="46D57224"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620</w:t>
            </w:r>
          </w:p>
        </w:tc>
      </w:tr>
      <w:tr w:rsidR="00695826" w:rsidRPr="00695826" w14:paraId="2B251962" w14:textId="77777777" w:rsidTr="00695826">
        <w:tc>
          <w:tcPr>
            <w:tcW w:w="1394" w:type="pct"/>
            <w:vMerge/>
            <w:tcBorders>
              <w:left w:val="nil"/>
              <w:right w:val="nil"/>
            </w:tcBorders>
          </w:tcPr>
          <w:p w14:paraId="69969094" w14:textId="77777777" w:rsidR="00CD4846" w:rsidRPr="00695826" w:rsidRDefault="00CD4846" w:rsidP="00695826">
            <w:pPr>
              <w:spacing w:line="240" w:lineRule="auto"/>
              <w:rPr>
                <w:rFonts w:cs="Times New Roman"/>
                <w:sz w:val="20"/>
                <w:szCs w:val="20"/>
                <w:lang/>
              </w:rPr>
            </w:pPr>
          </w:p>
        </w:tc>
        <w:tc>
          <w:tcPr>
            <w:tcW w:w="1824" w:type="pct"/>
            <w:tcBorders>
              <w:top w:val="nil"/>
              <w:left w:val="nil"/>
              <w:bottom w:val="nil"/>
              <w:right w:val="nil"/>
            </w:tcBorders>
            <w:hideMark/>
          </w:tcPr>
          <w:p w14:paraId="50357EF1"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Outward Relo</w:t>
            </w:r>
            <w:r w:rsidRPr="00695826">
              <w:rPr>
                <w:rFonts w:cs="Times New Roman"/>
                <w:sz w:val="20"/>
                <w:szCs w:val="20"/>
                <w:lang/>
              </w:rPr>
              <w:t>c</w:t>
            </w:r>
            <w:r w:rsidRPr="00695826">
              <w:rPr>
                <w:rFonts w:cs="Times New Roman"/>
                <w:sz w:val="20"/>
                <w:szCs w:val="20"/>
                <w:lang/>
              </w:rPr>
              <w:t>ations (t-1)</w:t>
            </w:r>
          </w:p>
        </w:tc>
        <w:tc>
          <w:tcPr>
            <w:tcW w:w="397" w:type="pct"/>
            <w:gridSpan w:val="2"/>
            <w:tcBorders>
              <w:top w:val="nil"/>
              <w:left w:val="nil"/>
              <w:bottom w:val="nil"/>
              <w:right w:val="nil"/>
            </w:tcBorders>
            <w:hideMark/>
          </w:tcPr>
          <w:p w14:paraId="2F53C316"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.049</w:t>
            </w:r>
          </w:p>
        </w:tc>
        <w:tc>
          <w:tcPr>
            <w:tcW w:w="533" w:type="pct"/>
            <w:gridSpan w:val="2"/>
            <w:tcBorders>
              <w:top w:val="nil"/>
              <w:left w:val="nil"/>
              <w:bottom w:val="nil"/>
              <w:right w:val="nil"/>
            </w:tcBorders>
            <w:hideMark/>
          </w:tcPr>
          <w:p w14:paraId="3B6FED2C"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.824</w:t>
            </w:r>
          </w:p>
        </w:tc>
        <w:tc>
          <w:tcPr>
            <w:tcW w:w="325" w:type="pct"/>
            <w:gridSpan w:val="2"/>
            <w:tcBorders>
              <w:top w:val="nil"/>
              <w:left w:val="nil"/>
              <w:bottom w:val="nil"/>
              <w:right w:val="nil"/>
            </w:tcBorders>
            <w:hideMark/>
          </w:tcPr>
          <w:p w14:paraId="4FEA8414"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0</w:t>
            </w:r>
          </w:p>
        </w:tc>
        <w:tc>
          <w:tcPr>
            <w:tcW w:w="527" w:type="pct"/>
            <w:tcBorders>
              <w:top w:val="nil"/>
              <w:left w:val="nil"/>
              <w:bottom w:val="nil"/>
              <w:right w:val="nil"/>
            </w:tcBorders>
            <w:hideMark/>
          </w:tcPr>
          <w:p w14:paraId="72D9DDF6"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140</w:t>
            </w:r>
          </w:p>
        </w:tc>
      </w:tr>
      <w:tr w:rsidR="00695826" w:rsidRPr="00695826" w14:paraId="6BA51E77" w14:textId="77777777" w:rsidTr="00695826">
        <w:tc>
          <w:tcPr>
            <w:tcW w:w="1394" w:type="pct"/>
            <w:vMerge/>
            <w:tcBorders>
              <w:left w:val="nil"/>
              <w:right w:val="nil"/>
            </w:tcBorders>
          </w:tcPr>
          <w:p w14:paraId="494B978C" w14:textId="77777777" w:rsidR="00CD4846" w:rsidRPr="00695826" w:rsidRDefault="00CD4846" w:rsidP="00695826">
            <w:pPr>
              <w:spacing w:line="240" w:lineRule="auto"/>
              <w:rPr>
                <w:rFonts w:cs="Times New Roman"/>
                <w:sz w:val="20"/>
                <w:szCs w:val="20"/>
                <w:lang/>
              </w:rPr>
            </w:pPr>
          </w:p>
        </w:tc>
        <w:tc>
          <w:tcPr>
            <w:tcW w:w="1824" w:type="pct"/>
            <w:tcBorders>
              <w:top w:val="nil"/>
              <w:left w:val="nil"/>
              <w:bottom w:val="nil"/>
              <w:right w:val="nil"/>
            </w:tcBorders>
            <w:hideMark/>
          </w:tcPr>
          <w:p w14:paraId="7401B29E"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Total Exits (t-1)</w:t>
            </w:r>
          </w:p>
        </w:tc>
        <w:tc>
          <w:tcPr>
            <w:tcW w:w="397" w:type="pct"/>
            <w:gridSpan w:val="2"/>
            <w:tcBorders>
              <w:top w:val="nil"/>
              <w:left w:val="nil"/>
              <w:bottom w:val="nil"/>
              <w:right w:val="nil"/>
            </w:tcBorders>
            <w:hideMark/>
          </w:tcPr>
          <w:p w14:paraId="002E52A9"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1.45</w:t>
            </w:r>
          </w:p>
        </w:tc>
        <w:tc>
          <w:tcPr>
            <w:tcW w:w="533" w:type="pct"/>
            <w:gridSpan w:val="2"/>
            <w:tcBorders>
              <w:top w:val="nil"/>
              <w:left w:val="nil"/>
              <w:bottom w:val="nil"/>
              <w:right w:val="nil"/>
            </w:tcBorders>
            <w:hideMark/>
          </w:tcPr>
          <w:p w14:paraId="0C25C93B"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6.9</w:t>
            </w:r>
            <w:r w:rsidRPr="00695826">
              <w:rPr>
                <w:rFonts w:cs="Times New Roman"/>
                <w:sz w:val="20"/>
                <w:szCs w:val="20"/>
                <w:lang/>
              </w:rPr>
              <w:t>2</w:t>
            </w:r>
          </w:p>
        </w:tc>
        <w:tc>
          <w:tcPr>
            <w:tcW w:w="325" w:type="pct"/>
            <w:gridSpan w:val="2"/>
            <w:tcBorders>
              <w:top w:val="nil"/>
              <w:left w:val="nil"/>
              <w:bottom w:val="nil"/>
              <w:right w:val="nil"/>
            </w:tcBorders>
            <w:hideMark/>
          </w:tcPr>
          <w:p w14:paraId="20A599E1"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0</w:t>
            </w:r>
          </w:p>
        </w:tc>
        <w:tc>
          <w:tcPr>
            <w:tcW w:w="527" w:type="pct"/>
            <w:tcBorders>
              <w:top w:val="nil"/>
              <w:left w:val="nil"/>
              <w:bottom w:val="nil"/>
              <w:right w:val="nil"/>
            </w:tcBorders>
            <w:hideMark/>
          </w:tcPr>
          <w:p w14:paraId="0C0D0C7F"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621</w:t>
            </w:r>
          </w:p>
        </w:tc>
      </w:tr>
      <w:tr w:rsidR="00695826" w:rsidRPr="00695826" w14:paraId="4C97BFF1" w14:textId="77777777" w:rsidTr="00695826">
        <w:tc>
          <w:tcPr>
            <w:tcW w:w="1394" w:type="pct"/>
            <w:vMerge/>
            <w:tcBorders>
              <w:left w:val="nil"/>
              <w:right w:val="nil"/>
            </w:tcBorders>
          </w:tcPr>
          <w:p w14:paraId="388EB7E0" w14:textId="77777777" w:rsidR="00CD4846" w:rsidRPr="00695826" w:rsidRDefault="00CD4846" w:rsidP="00695826">
            <w:pPr>
              <w:spacing w:line="240" w:lineRule="auto"/>
              <w:rPr>
                <w:rFonts w:cs="Times New Roman"/>
                <w:sz w:val="20"/>
                <w:szCs w:val="20"/>
                <w:lang/>
              </w:rPr>
            </w:pPr>
          </w:p>
        </w:tc>
        <w:tc>
          <w:tcPr>
            <w:tcW w:w="1824" w:type="pct"/>
            <w:tcBorders>
              <w:top w:val="nil"/>
              <w:left w:val="nil"/>
              <w:bottom w:val="nil"/>
              <w:right w:val="nil"/>
            </w:tcBorders>
            <w:hideMark/>
          </w:tcPr>
          <w:p w14:paraId="5630D92D"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Sales Volume (t-1)</w:t>
            </w:r>
          </w:p>
        </w:tc>
        <w:tc>
          <w:tcPr>
            <w:tcW w:w="397" w:type="pct"/>
            <w:gridSpan w:val="2"/>
            <w:tcBorders>
              <w:top w:val="nil"/>
              <w:left w:val="nil"/>
              <w:bottom w:val="nil"/>
              <w:right w:val="nil"/>
            </w:tcBorders>
            <w:hideMark/>
          </w:tcPr>
          <w:p w14:paraId="2B087428"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45035</w:t>
            </w:r>
          </w:p>
        </w:tc>
        <w:tc>
          <w:tcPr>
            <w:tcW w:w="533" w:type="pct"/>
            <w:gridSpan w:val="2"/>
            <w:tcBorders>
              <w:top w:val="nil"/>
              <w:left w:val="nil"/>
              <w:bottom w:val="nil"/>
              <w:right w:val="nil"/>
            </w:tcBorders>
            <w:hideMark/>
          </w:tcPr>
          <w:p w14:paraId="7E5CF014"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695120</w:t>
            </w:r>
          </w:p>
        </w:tc>
        <w:tc>
          <w:tcPr>
            <w:tcW w:w="325" w:type="pct"/>
            <w:gridSpan w:val="2"/>
            <w:tcBorders>
              <w:top w:val="nil"/>
              <w:left w:val="nil"/>
              <w:bottom w:val="nil"/>
              <w:right w:val="nil"/>
            </w:tcBorders>
            <w:hideMark/>
          </w:tcPr>
          <w:p w14:paraId="4E732F64"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0</w:t>
            </w:r>
          </w:p>
        </w:tc>
        <w:tc>
          <w:tcPr>
            <w:tcW w:w="527" w:type="pct"/>
            <w:tcBorders>
              <w:top w:val="nil"/>
              <w:left w:val="nil"/>
              <w:bottom w:val="nil"/>
              <w:right w:val="nil"/>
            </w:tcBorders>
            <w:hideMark/>
          </w:tcPr>
          <w:p w14:paraId="33EE008C"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79516648</w:t>
            </w:r>
          </w:p>
        </w:tc>
      </w:tr>
      <w:tr w:rsidR="00695826" w:rsidRPr="00695826" w14:paraId="4CDE11AB" w14:textId="77777777" w:rsidTr="00695826">
        <w:tc>
          <w:tcPr>
            <w:tcW w:w="1394" w:type="pct"/>
            <w:vMerge/>
            <w:tcBorders>
              <w:left w:val="nil"/>
              <w:bottom w:val="single" w:sz="6" w:space="0" w:color="auto"/>
              <w:right w:val="nil"/>
            </w:tcBorders>
          </w:tcPr>
          <w:p w14:paraId="74AB6C85" w14:textId="77777777" w:rsidR="00CD4846" w:rsidRPr="00695826" w:rsidRDefault="00CD4846" w:rsidP="00695826">
            <w:pPr>
              <w:spacing w:line="240" w:lineRule="auto"/>
              <w:rPr>
                <w:rFonts w:cs="Times New Roman"/>
                <w:sz w:val="20"/>
                <w:szCs w:val="20"/>
                <w:lang/>
              </w:rPr>
            </w:pPr>
          </w:p>
        </w:tc>
        <w:tc>
          <w:tcPr>
            <w:tcW w:w="1824" w:type="pct"/>
            <w:tcBorders>
              <w:top w:val="nil"/>
              <w:left w:val="nil"/>
              <w:bottom w:val="single" w:sz="6" w:space="0" w:color="auto"/>
              <w:right w:val="nil"/>
            </w:tcBorders>
          </w:tcPr>
          <w:p w14:paraId="6F6F20B3"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Loc. Economies (t-1)</w:t>
            </w:r>
          </w:p>
        </w:tc>
        <w:tc>
          <w:tcPr>
            <w:tcW w:w="397" w:type="pct"/>
            <w:gridSpan w:val="2"/>
            <w:tcBorders>
              <w:top w:val="nil"/>
              <w:left w:val="nil"/>
              <w:bottom w:val="single" w:sz="6" w:space="0" w:color="auto"/>
              <w:right w:val="nil"/>
            </w:tcBorders>
          </w:tcPr>
          <w:p w14:paraId="154672EF"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6.82</w:t>
            </w:r>
          </w:p>
        </w:tc>
        <w:tc>
          <w:tcPr>
            <w:tcW w:w="533" w:type="pct"/>
            <w:gridSpan w:val="2"/>
            <w:tcBorders>
              <w:top w:val="nil"/>
              <w:left w:val="nil"/>
              <w:bottom w:val="single" w:sz="6" w:space="0" w:color="auto"/>
              <w:right w:val="nil"/>
            </w:tcBorders>
          </w:tcPr>
          <w:p w14:paraId="4AB3F0B3"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32.</w:t>
            </w:r>
            <w:r w:rsidRPr="00695826">
              <w:rPr>
                <w:rFonts w:cs="Times New Roman"/>
                <w:sz w:val="20"/>
                <w:szCs w:val="20"/>
                <w:lang/>
              </w:rPr>
              <w:t>5</w:t>
            </w:r>
          </w:p>
        </w:tc>
        <w:tc>
          <w:tcPr>
            <w:tcW w:w="325" w:type="pct"/>
            <w:gridSpan w:val="2"/>
            <w:tcBorders>
              <w:top w:val="nil"/>
              <w:left w:val="nil"/>
              <w:bottom w:val="single" w:sz="6" w:space="0" w:color="auto"/>
              <w:right w:val="nil"/>
            </w:tcBorders>
          </w:tcPr>
          <w:p w14:paraId="7425CD81"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0</w:t>
            </w:r>
          </w:p>
        </w:tc>
        <w:tc>
          <w:tcPr>
            <w:tcW w:w="527" w:type="pct"/>
            <w:tcBorders>
              <w:top w:val="nil"/>
              <w:left w:val="nil"/>
              <w:bottom w:val="single" w:sz="6" w:space="0" w:color="auto"/>
              <w:right w:val="nil"/>
            </w:tcBorders>
          </w:tcPr>
          <w:p w14:paraId="6949BCD4"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1416</w:t>
            </w:r>
          </w:p>
        </w:tc>
      </w:tr>
      <w:tr w:rsidR="00695826" w:rsidRPr="00695826" w14:paraId="259445C4" w14:textId="77777777" w:rsidTr="00695826">
        <w:tc>
          <w:tcPr>
            <w:tcW w:w="1394" w:type="pct"/>
            <w:vMerge w:val="restart"/>
            <w:tcBorders>
              <w:top w:val="single" w:sz="4" w:space="0" w:color="auto"/>
              <w:left w:val="nil"/>
              <w:right w:val="nil"/>
            </w:tcBorders>
          </w:tcPr>
          <w:p w14:paraId="2954E530" w14:textId="061A6C3F" w:rsidR="00CD4846" w:rsidRPr="00695826" w:rsidRDefault="00CD4846" w:rsidP="00695826">
            <w:pPr>
              <w:spacing w:line="240" w:lineRule="auto"/>
              <w:rPr>
                <w:rFonts w:cs="Times New Roman"/>
                <w:sz w:val="20"/>
                <w:szCs w:val="20"/>
                <w:lang/>
              </w:rPr>
            </w:pPr>
            <w:r w:rsidRPr="00695826">
              <w:rPr>
                <w:rFonts w:cs="Times New Roman"/>
                <w:sz w:val="20"/>
                <w:szCs w:val="20"/>
                <w:lang/>
              </w:rPr>
              <w:t>22</w:t>
            </w:r>
          </w:p>
          <w:p w14:paraId="38E932FC"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w:t>
            </w:r>
          </w:p>
          <w:p w14:paraId="6555D180" w14:textId="3EB75E1D" w:rsidR="00CD4846" w:rsidRPr="00695826" w:rsidRDefault="00CD4846" w:rsidP="00695826">
            <w:pPr>
              <w:spacing w:line="240" w:lineRule="auto"/>
              <w:rPr>
                <w:rFonts w:cs="Times New Roman"/>
                <w:sz w:val="20"/>
                <w:szCs w:val="20"/>
                <w:lang/>
              </w:rPr>
            </w:pPr>
            <w:r w:rsidRPr="00695826">
              <w:rPr>
                <w:rFonts w:cs="Times New Roman"/>
                <w:sz w:val="20"/>
                <w:szCs w:val="20"/>
                <w:lang/>
              </w:rPr>
              <w:t>Utilities</w:t>
            </w:r>
          </w:p>
        </w:tc>
        <w:tc>
          <w:tcPr>
            <w:tcW w:w="1824" w:type="pct"/>
            <w:tcBorders>
              <w:top w:val="single" w:sz="4" w:space="0" w:color="auto"/>
              <w:left w:val="nil"/>
              <w:bottom w:val="nil"/>
              <w:right w:val="nil"/>
            </w:tcBorders>
            <w:hideMark/>
          </w:tcPr>
          <w:p w14:paraId="2853012E"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Births (t-1)</w:t>
            </w:r>
          </w:p>
        </w:tc>
        <w:tc>
          <w:tcPr>
            <w:tcW w:w="397" w:type="pct"/>
            <w:gridSpan w:val="2"/>
            <w:tcBorders>
              <w:top w:val="single" w:sz="4" w:space="0" w:color="auto"/>
              <w:left w:val="nil"/>
              <w:bottom w:val="nil"/>
              <w:right w:val="nil"/>
            </w:tcBorders>
            <w:hideMark/>
          </w:tcPr>
          <w:p w14:paraId="136107D9"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1.52</w:t>
            </w:r>
          </w:p>
        </w:tc>
        <w:tc>
          <w:tcPr>
            <w:tcW w:w="533" w:type="pct"/>
            <w:gridSpan w:val="2"/>
            <w:tcBorders>
              <w:top w:val="single" w:sz="4" w:space="0" w:color="auto"/>
              <w:left w:val="nil"/>
              <w:bottom w:val="nil"/>
              <w:right w:val="nil"/>
            </w:tcBorders>
            <w:hideMark/>
          </w:tcPr>
          <w:p w14:paraId="0C76C3E9"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3.66</w:t>
            </w:r>
          </w:p>
        </w:tc>
        <w:tc>
          <w:tcPr>
            <w:tcW w:w="325" w:type="pct"/>
            <w:gridSpan w:val="2"/>
            <w:tcBorders>
              <w:top w:val="single" w:sz="4" w:space="0" w:color="auto"/>
              <w:left w:val="nil"/>
              <w:bottom w:val="nil"/>
              <w:right w:val="nil"/>
            </w:tcBorders>
            <w:hideMark/>
          </w:tcPr>
          <w:p w14:paraId="43467E56"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0</w:t>
            </w:r>
          </w:p>
        </w:tc>
        <w:tc>
          <w:tcPr>
            <w:tcW w:w="527" w:type="pct"/>
            <w:tcBorders>
              <w:top w:val="single" w:sz="4" w:space="0" w:color="auto"/>
              <w:left w:val="nil"/>
              <w:bottom w:val="nil"/>
              <w:right w:val="nil"/>
            </w:tcBorders>
            <w:hideMark/>
          </w:tcPr>
          <w:p w14:paraId="02698808"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129</w:t>
            </w:r>
          </w:p>
        </w:tc>
      </w:tr>
      <w:tr w:rsidR="00695826" w:rsidRPr="00695826" w14:paraId="30E8274F" w14:textId="77777777" w:rsidTr="00695826">
        <w:tc>
          <w:tcPr>
            <w:tcW w:w="1394" w:type="pct"/>
            <w:vMerge/>
            <w:tcBorders>
              <w:left w:val="nil"/>
              <w:right w:val="nil"/>
            </w:tcBorders>
          </w:tcPr>
          <w:p w14:paraId="44454626" w14:textId="77777777" w:rsidR="00CD4846" w:rsidRPr="00695826" w:rsidRDefault="00CD4846" w:rsidP="00695826">
            <w:pPr>
              <w:spacing w:line="240" w:lineRule="auto"/>
              <w:rPr>
                <w:rFonts w:cs="Times New Roman"/>
                <w:sz w:val="20"/>
                <w:szCs w:val="20"/>
                <w:lang/>
              </w:rPr>
            </w:pPr>
          </w:p>
        </w:tc>
        <w:tc>
          <w:tcPr>
            <w:tcW w:w="1824" w:type="pct"/>
            <w:tcBorders>
              <w:top w:val="nil"/>
              <w:left w:val="nil"/>
              <w:bottom w:val="nil"/>
              <w:right w:val="nil"/>
            </w:tcBorders>
            <w:hideMark/>
          </w:tcPr>
          <w:p w14:paraId="30A0F766"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Inward Relocations (t-1)</w:t>
            </w:r>
          </w:p>
        </w:tc>
        <w:tc>
          <w:tcPr>
            <w:tcW w:w="397" w:type="pct"/>
            <w:gridSpan w:val="2"/>
            <w:tcBorders>
              <w:top w:val="nil"/>
              <w:left w:val="nil"/>
              <w:bottom w:val="nil"/>
              <w:right w:val="nil"/>
            </w:tcBorders>
            <w:hideMark/>
          </w:tcPr>
          <w:p w14:paraId="2A3FC47F"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.035</w:t>
            </w:r>
          </w:p>
        </w:tc>
        <w:tc>
          <w:tcPr>
            <w:tcW w:w="533" w:type="pct"/>
            <w:gridSpan w:val="2"/>
            <w:tcBorders>
              <w:top w:val="nil"/>
              <w:left w:val="nil"/>
              <w:bottom w:val="nil"/>
              <w:right w:val="nil"/>
            </w:tcBorders>
            <w:hideMark/>
          </w:tcPr>
          <w:p w14:paraId="6B61F7B4"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.299</w:t>
            </w:r>
          </w:p>
        </w:tc>
        <w:tc>
          <w:tcPr>
            <w:tcW w:w="325" w:type="pct"/>
            <w:gridSpan w:val="2"/>
            <w:tcBorders>
              <w:top w:val="nil"/>
              <w:left w:val="nil"/>
              <w:bottom w:val="nil"/>
              <w:right w:val="nil"/>
            </w:tcBorders>
            <w:hideMark/>
          </w:tcPr>
          <w:p w14:paraId="28689DBE"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0</w:t>
            </w:r>
          </w:p>
        </w:tc>
        <w:tc>
          <w:tcPr>
            <w:tcW w:w="527" w:type="pct"/>
            <w:tcBorders>
              <w:top w:val="nil"/>
              <w:left w:val="nil"/>
              <w:bottom w:val="nil"/>
              <w:right w:val="nil"/>
            </w:tcBorders>
            <w:hideMark/>
          </w:tcPr>
          <w:p w14:paraId="5078447C"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26</w:t>
            </w:r>
          </w:p>
        </w:tc>
      </w:tr>
      <w:tr w:rsidR="00695826" w:rsidRPr="00695826" w14:paraId="1C2841B2" w14:textId="77777777" w:rsidTr="00695826">
        <w:tc>
          <w:tcPr>
            <w:tcW w:w="1394" w:type="pct"/>
            <w:vMerge/>
            <w:tcBorders>
              <w:left w:val="nil"/>
              <w:right w:val="nil"/>
            </w:tcBorders>
          </w:tcPr>
          <w:p w14:paraId="5538C881" w14:textId="77777777" w:rsidR="00CD4846" w:rsidRPr="00695826" w:rsidRDefault="00CD4846" w:rsidP="00695826">
            <w:pPr>
              <w:spacing w:line="240" w:lineRule="auto"/>
              <w:rPr>
                <w:rFonts w:cs="Times New Roman"/>
                <w:sz w:val="20"/>
                <w:szCs w:val="20"/>
                <w:lang/>
              </w:rPr>
            </w:pPr>
          </w:p>
        </w:tc>
        <w:tc>
          <w:tcPr>
            <w:tcW w:w="1824" w:type="pct"/>
            <w:tcBorders>
              <w:top w:val="nil"/>
              <w:left w:val="nil"/>
              <w:bottom w:val="nil"/>
              <w:right w:val="nil"/>
            </w:tcBorders>
            <w:hideMark/>
          </w:tcPr>
          <w:p w14:paraId="7E70EFA6"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Total Entries (t-1)</w:t>
            </w:r>
          </w:p>
        </w:tc>
        <w:tc>
          <w:tcPr>
            <w:tcW w:w="397" w:type="pct"/>
            <w:gridSpan w:val="2"/>
            <w:tcBorders>
              <w:top w:val="nil"/>
              <w:left w:val="nil"/>
              <w:bottom w:val="nil"/>
              <w:right w:val="nil"/>
            </w:tcBorders>
            <w:hideMark/>
          </w:tcPr>
          <w:p w14:paraId="4DA6BDFF"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1.5</w:t>
            </w:r>
            <w:r w:rsidRPr="00695826">
              <w:rPr>
                <w:rFonts w:cs="Times New Roman"/>
                <w:sz w:val="20"/>
                <w:szCs w:val="20"/>
                <w:lang/>
              </w:rPr>
              <w:t>6</w:t>
            </w:r>
          </w:p>
        </w:tc>
        <w:tc>
          <w:tcPr>
            <w:tcW w:w="533" w:type="pct"/>
            <w:gridSpan w:val="2"/>
            <w:tcBorders>
              <w:top w:val="nil"/>
              <w:left w:val="nil"/>
              <w:bottom w:val="nil"/>
              <w:right w:val="nil"/>
            </w:tcBorders>
            <w:hideMark/>
          </w:tcPr>
          <w:p w14:paraId="10D3C1DF"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3.7</w:t>
            </w:r>
            <w:r w:rsidRPr="00695826">
              <w:rPr>
                <w:rFonts w:cs="Times New Roman"/>
                <w:sz w:val="20"/>
                <w:szCs w:val="20"/>
                <w:lang/>
              </w:rPr>
              <w:t>2</w:t>
            </w:r>
          </w:p>
        </w:tc>
        <w:tc>
          <w:tcPr>
            <w:tcW w:w="325" w:type="pct"/>
            <w:gridSpan w:val="2"/>
            <w:tcBorders>
              <w:top w:val="nil"/>
              <w:left w:val="nil"/>
              <w:bottom w:val="nil"/>
              <w:right w:val="nil"/>
            </w:tcBorders>
            <w:hideMark/>
          </w:tcPr>
          <w:p w14:paraId="26C14082"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0</w:t>
            </w:r>
          </w:p>
        </w:tc>
        <w:tc>
          <w:tcPr>
            <w:tcW w:w="527" w:type="pct"/>
            <w:tcBorders>
              <w:top w:val="nil"/>
              <w:left w:val="nil"/>
              <w:bottom w:val="nil"/>
              <w:right w:val="nil"/>
            </w:tcBorders>
            <w:hideMark/>
          </w:tcPr>
          <w:p w14:paraId="5ED4936A"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129</w:t>
            </w:r>
          </w:p>
        </w:tc>
      </w:tr>
      <w:tr w:rsidR="00695826" w:rsidRPr="00695826" w14:paraId="39701C90" w14:textId="77777777" w:rsidTr="00695826">
        <w:tc>
          <w:tcPr>
            <w:tcW w:w="1394" w:type="pct"/>
            <w:vMerge/>
            <w:tcBorders>
              <w:left w:val="nil"/>
              <w:right w:val="nil"/>
            </w:tcBorders>
          </w:tcPr>
          <w:p w14:paraId="4F6D0AA0" w14:textId="77777777" w:rsidR="00CD4846" w:rsidRPr="00695826" w:rsidRDefault="00CD4846" w:rsidP="00695826">
            <w:pPr>
              <w:spacing w:line="240" w:lineRule="auto"/>
              <w:rPr>
                <w:rFonts w:cs="Times New Roman"/>
                <w:sz w:val="20"/>
                <w:szCs w:val="20"/>
                <w:lang/>
              </w:rPr>
            </w:pPr>
          </w:p>
        </w:tc>
        <w:tc>
          <w:tcPr>
            <w:tcW w:w="1824" w:type="pct"/>
            <w:tcBorders>
              <w:top w:val="nil"/>
              <w:left w:val="nil"/>
              <w:bottom w:val="nil"/>
              <w:right w:val="nil"/>
            </w:tcBorders>
            <w:hideMark/>
          </w:tcPr>
          <w:p w14:paraId="253D8879"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Deaths (t-1)</w:t>
            </w:r>
          </w:p>
        </w:tc>
        <w:tc>
          <w:tcPr>
            <w:tcW w:w="397" w:type="pct"/>
            <w:gridSpan w:val="2"/>
            <w:tcBorders>
              <w:top w:val="nil"/>
              <w:left w:val="nil"/>
              <w:bottom w:val="nil"/>
              <w:right w:val="nil"/>
            </w:tcBorders>
            <w:hideMark/>
          </w:tcPr>
          <w:p w14:paraId="44A95675"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1.3</w:t>
            </w:r>
            <w:r w:rsidRPr="00695826">
              <w:rPr>
                <w:rFonts w:cs="Times New Roman"/>
                <w:sz w:val="20"/>
                <w:szCs w:val="20"/>
                <w:lang/>
              </w:rPr>
              <w:t>5</w:t>
            </w:r>
          </w:p>
        </w:tc>
        <w:tc>
          <w:tcPr>
            <w:tcW w:w="533" w:type="pct"/>
            <w:gridSpan w:val="2"/>
            <w:tcBorders>
              <w:top w:val="nil"/>
              <w:left w:val="nil"/>
              <w:bottom w:val="nil"/>
              <w:right w:val="nil"/>
            </w:tcBorders>
            <w:hideMark/>
          </w:tcPr>
          <w:p w14:paraId="2F66B1CD"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3.36</w:t>
            </w:r>
          </w:p>
        </w:tc>
        <w:tc>
          <w:tcPr>
            <w:tcW w:w="325" w:type="pct"/>
            <w:gridSpan w:val="2"/>
            <w:tcBorders>
              <w:top w:val="nil"/>
              <w:left w:val="nil"/>
              <w:bottom w:val="nil"/>
              <w:right w:val="nil"/>
            </w:tcBorders>
            <w:hideMark/>
          </w:tcPr>
          <w:p w14:paraId="11BFE383"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0</w:t>
            </w:r>
          </w:p>
        </w:tc>
        <w:tc>
          <w:tcPr>
            <w:tcW w:w="527" w:type="pct"/>
            <w:tcBorders>
              <w:top w:val="nil"/>
              <w:left w:val="nil"/>
              <w:bottom w:val="nil"/>
              <w:right w:val="nil"/>
            </w:tcBorders>
            <w:hideMark/>
          </w:tcPr>
          <w:p w14:paraId="0987CA7F"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124</w:t>
            </w:r>
          </w:p>
        </w:tc>
      </w:tr>
      <w:tr w:rsidR="00695826" w:rsidRPr="00695826" w14:paraId="01EA995E" w14:textId="77777777" w:rsidTr="00695826">
        <w:tc>
          <w:tcPr>
            <w:tcW w:w="1394" w:type="pct"/>
            <w:vMerge/>
            <w:tcBorders>
              <w:left w:val="nil"/>
              <w:right w:val="nil"/>
            </w:tcBorders>
          </w:tcPr>
          <w:p w14:paraId="1D04A385" w14:textId="77777777" w:rsidR="00CD4846" w:rsidRPr="00695826" w:rsidRDefault="00CD4846" w:rsidP="00695826">
            <w:pPr>
              <w:spacing w:line="240" w:lineRule="auto"/>
              <w:rPr>
                <w:rFonts w:cs="Times New Roman"/>
                <w:sz w:val="20"/>
                <w:szCs w:val="20"/>
                <w:lang/>
              </w:rPr>
            </w:pPr>
          </w:p>
        </w:tc>
        <w:tc>
          <w:tcPr>
            <w:tcW w:w="1824" w:type="pct"/>
            <w:tcBorders>
              <w:top w:val="nil"/>
              <w:left w:val="nil"/>
              <w:bottom w:val="nil"/>
              <w:right w:val="nil"/>
            </w:tcBorders>
            <w:hideMark/>
          </w:tcPr>
          <w:p w14:paraId="5601EBAC"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Outward Relo</w:t>
            </w:r>
            <w:r w:rsidRPr="00695826">
              <w:rPr>
                <w:rFonts w:cs="Times New Roman"/>
                <w:sz w:val="20"/>
                <w:szCs w:val="20"/>
                <w:lang/>
              </w:rPr>
              <w:t>c</w:t>
            </w:r>
            <w:r w:rsidRPr="00695826">
              <w:rPr>
                <w:rFonts w:cs="Times New Roman"/>
                <w:sz w:val="20"/>
                <w:szCs w:val="20"/>
                <w:lang/>
              </w:rPr>
              <w:t>ations (t-1)</w:t>
            </w:r>
          </w:p>
        </w:tc>
        <w:tc>
          <w:tcPr>
            <w:tcW w:w="397" w:type="pct"/>
            <w:gridSpan w:val="2"/>
            <w:tcBorders>
              <w:top w:val="nil"/>
              <w:left w:val="nil"/>
              <w:bottom w:val="nil"/>
              <w:right w:val="nil"/>
            </w:tcBorders>
            <w:hideMark/>
          </w:tcPr>
          <w:p w14:paraId="22BB14D4"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.035</w:t>
            </w:r>
          </w:p>
        </w:tc>
        <w:tc>
          <w:tcPr>
            <w:tcW w:w="533" w:type="pct"/>
            <w:gridSpan w:val="2"/>
            <w:tcBorders>
              <w:top w:val="nil"/>
              <w:left w:val="nil"/>
              <w:bottom w:val="nil"/>
              <w:right w:val="nil"/>
            </w:tcBorders>
            <w:hideMark/>
          </w:tcPr>
          <w:p w14:paraId="7E1ADFB4"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.315</w:t>
            </w:r>
          </w:p>
        </w:tc>
        <w:tc>
          <w:tcPr>
            <w:tcW w:w="325" w:type="pct"/>
            <w:gridSpan w:val="2"/>
            <w:tcBorders>
              <w:top w:val="nil"/>
              <w:left w:val="nil"/>
              <w:bottom w:val="nil"/>
              <w:right w:val="nil"/>
            </w:tcBorders>
            <w:hideMark/>
          </w:tcPr>
          <w:p w14:paraId="680502A9"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0</w:t>
            </w:r>
          </w:p>
        </w:tc>
        <w:tc>
          <w:tcPr>
            <w:tcW w:w="527" w:type="pct"/>
            <w:tcBorders>
              <w:top w:val="nil"/>
              <w:left w:val="nil"/>
              <w:bottom w:val="nil"/>
              <w:right w:val="nil"/>
            </w:tcBorders>
            <w:hideMark/>
          </w:tcPr>
          <w:p w14:paraId="2343FA6B"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32</w:t>
            </w:r>
          </w:p>
        </w:tc>
      </w:tr>
      <w:tr w:rsidR="00695826" w:rsidRPr="00695826" w14:paraId="61F05BFB" w14:textId="77777777" w:rsidTr="00695826">
        <w:tc>
          <w:tcPr>
            <w:tcW w:w="1394" w:type="pct"/>
            <w:vMerge/>
            <w:tcBorders>
              <w:left w:val="nil"/>
              <w:right w:val="nil"/>
            </w:tcBorders>
          </w:tcPr>
          <w:p w14:paraId="200A4AFF" w14:textId="77777777" w:rsidR="00CD4846" w:rsidRPr="00695826" w:rsidRDefault="00CD4846" w:rsidP="00695826">
            <w:pPr>
              <w:spacing w:line="240" w:lineRule="auto"/>
              <w:rPr>
                <w:rFonts w:cs="Times New Roman"/>
                <w:sz w:val="20"/>
                <w:szCs w:val="20"/>
                <w:lang/>
              </w:rPr>
            </w:pPr>
          </w:p>
        </w:tc>
        <w:tc>
          <w:tcPr>
            <w:tcW w:w="1824" w:type="pct"/>
            <w:tcBorders>
              <w:top w:val="nil"/>
              <w:left w:val="nil"/>
              <w:bottom w:val="nil"/>
              <w:right w:val="nil"/>
            </w:tcBorders>
            <w:hideMark/>
          </w:tcPr>
          <w:p w14:paraId="45EBD3AF"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Total Exits (t-1)</w:t>
            </w:r>
          </w:p>
        </w:tc>
        <w:tc>
          <w:tcPr>
            <w:tcW w:w="397" w:type="pct"/>
            <w:gridSpan w:val="2"/>
            <w:tcBorders>
              <w:top w:val="nil"/>
              <w:left w:val="nil"/>
              <w:bottom w:val="nil"/>
              <w:right w:val="nil"/>
            </w:tcBorders>
            <w:hideMark/>
          </w:tcPr>
          <w:p w14:paraId="0324B027"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1.38</w:t>
            </w:r>
          </w:p>
        </w:tc>
        <w:tc>
          <w:tcPr>
            <w:tcW w:w="533" w:type="pct"/>
            <w:gridSpan w:val="2"/>
            <w:tcBorders>
              <w:top w:val="nil"/>
              <w:left w:val="nil"/>
              <w:bottom w:val="nil"/>
              <w:right w:val="nil"/>
            </w:tcBorders>
            <w:hideMark/>
          </w:tcPr>
          <w:p w14:paraId="318677E6"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3.4</w:t>
            </w:r>
            <w:r w:rsidRPr="00695826">
              <w:rPr>
                <w:rFonts w:cs="Times New Roman"/>
                <w:sz w:val="20"/>
                <w:szCs w:val="20"/>
                <w:lang/>
              </w:rPr>
              <w:t>2</w:t>
            </w:r>
          </w:p>
        </w:tc>
        <w:tc>
          <w:tcPr>
            <w:tcW w:w="325" w:type="pct"/>
            <w:gridSpan w:val="2"/>
            <w:tcBorders>
              <w:top w:val="nil"/>
              <w:left w:val="nil"/>
              <w:bottom w:val="nil"/>
              <w:right w:val="nil"/>
            </w:tcBorders>
            <w:hideMark/>
          </w:tcPr>
          <w:p w14:paraId="0EB28116"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0</w:t>
            </w:r>
          </w:p>
        </w:tc>
        <w:tc>
          <w:tcPr>
            <w:tcW w:w="527" w:type="pct"/>
            <w:tcBorders>
              <w:top w:val="nil"/>
              <w:left w:val="nil"/>
              <w:bottom w:val="nil"/>
              <w:right w:val="nil"/>
            </w:tcBorders>
            <w:hideMark/>
          </w:tcPr>
          <w:p w14:paraId="710EDAE4"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124</w:t>
            </w:r>
          </w:p>
        </w:tc>
      </w:tr>
      <w:tr w:rsidR="00695826" w:rsidRPr="00695826" w14:paraId="3B96924B" w14:textId="77777777" w:rsidTr="00695826">
        <w:tc>
          <w:tcPr>
            <w:tcW w:w="1394" w:type="pct"/>
            <w:vMerge/>
            <w:tcBorders>
              <w:left w:val="nil"/>
              <w:right w:val="nil"/>
            </w:tcBorders>
          </w:tcPr>
          <w:p w14:paraId="5D058F76" w14:textId="77777777" w:rsidR="00CD4846" w:rsidRPr="00695826" w:rsidRDefault="00CD4846" w:rsidP="00695826">
            <w:pPr>
              <w:spacing w:line="240" w:lineRule="auto"/>
              <w:rPr>
                <w:rFonts w:cs="Times New Roman"/>
                <w:sz w:val="20"/>
                <w:szCs w:val="20"/>
                <w:lang/>
              </w:rPr>
            </w:pPr>
          </w:p>
        </w:tc>
        <w:tc>
          <w:tcPr>
            <w:tcW w:w="1824" w:type="pct"/>
            <w:tcBorders>
              <w:top w:val="nil"/>
              <w:left w:val="nil"/>
              <w:bottom w:val="nil"/>
              <w:right w:val="nil"/>
            </w:tcBorders>
            <w:hideMark/>
          </w:tcPr>
          <w:p w14:paraId="395D958F"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Sales Volume (t-1)</w:t>
            </w:r>
          </w:p>
        </w:tc>
        <w:tc>
          <w:tcPr>
            <w:tcW w:w="397" w:type="pct"/>
            <w:gridSpan w:val="2"/>
            <w:tcBorders>
              <w:top w:val="nil"/>
              <w:left w:val="nil"/>
              <w:bottom w:val="nil"/>
              <w:right w:val="nil"/>
            </w:tcBorders>
            <w:hideMark/>
          </w:tcPr>
          <w:p w14:paraId="563F53CF"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97903</w:t>
            </w:r>
          </w:p>
        </w:tc>
        <w:tc>
          <w:tcPr>
            <w:tcW w:w="533" w:type="pct"/>
            <w:gridSpan w:val="2"/>
            <w:tcBorders>
              <w:top w:val="nil"/>
              <w:left w:val="nil"/>
              <w:bottom w:val="nil"/>
              <w:right w:val="nil"/>
            </w:tcBorders>
            <w:hideMark/>
          </w:tcPr>
          <w:p w14:paraId="567F0344"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322095</w:t>
            </w:r>
          </w:p>
        </w:tc>
        <w:tc>
          <w:tcPr>
            <w:tcW w:w="325" w:type="pct"/>
            <w:gridSpan w:val="2"/>
            <w:tcBorders>
              <w:top w:val="nil"/>
              <w:left w:val="nil"/>
              <w:bottom w:val="nil"/>
              <w:right w:val="nil"/>
            </w:tcBorders>
            <w:hideMark/>
          </w:tcPr>
          <w:p w14:paraId="61AD2417"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0</w:t>
            </w:r>
          </w:p>
        </w:tc>
        <w:tc>
          <w:tcPr>
            <w:tcW w:w="527" w:type="pct"/>
            <w:tcBorders>
              <w:top w:val="nil"/>
              <w:left w:val="nil"/>
              <w:bottom w:val="nil"/>
              <w:right w:val="nil"/>
            </w:tcBorders>
            <w:hideMark/>
          </w:tcPr>
          <w:p w14:paraId="4A4E5EC5"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20420646</w:t>
            </w:r>
          </w:p>
        </w:tc>
      </w:tr>
      <w:tr w:rsidR="00695826" w:rsidRPr="00695826" w14:paraId="7B022573" w14:textId="77777777" w:rsidTr="00695826">
        <w:tc>
          <w:tcPr>
            <w:tcW w:w="1394" w:type="pct"/>
            <w:vMerge/>
            <w:tcBorders>
              <w:left w:val="nil"/>
              <w:bottom w:val="single" w:sz="6" w:space="0" w:color="auto"/>
              <w:right w:val="nil"/>
            </w:tcBorders>
          </w:tcPr>
          <w:p w14:paraId="1A772236" w14:textId="77777777" w:rsidR="00CD4846" w:rsidRPr="00695826" w:rsidRDefault="00CD4846" w:rsidP="00695826">
            <w:pPr>
              <w:spacing w:line="240" w:lineRule="auto"/>
              <w:rPr>
                <w:rFonts w:cs="Times New Roman"/>
                <w:sz w:val="20"/>
                <w:szCs w:val="20"/>
                <w:lang/>
              </w:rPr>
            </w:pPr>
          </w:p>
        </w:tc>
        <w:tc>
          <w:tcPr>
            <w:tcW w:w="1824" w:type="pct"/>
            <w:tcBorders>
              <w:top w:val="nil"/>
              <w:left w:val="nil"/>
              <w:bottom w:val="single" w:sz="6" w:space="0" w:color="auto"/>
              <w:right w:val="nil"/>
            </w:tcBorders>
          </w:tcPr>
          <w:p w14:paraId="676838B9"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Loc. Economies (t-1)</w:t>
            </w:r>
          </w:p>
        </w:tc>
        <w:tc>
          <w:tcPr>
            <w:tcW w:w="397" w:type="pct"/>
            <w:gridSpan w:val="2"/>
            <w:tcBorders>
              <w:top w:val="nil"/>
              <w:left w:val="nil"/>
              <w:bottom w:val="single" w:sz="6" w:space="0" w:color="auto"/>
              <w:right w:val="nil"/>
            </w:tcBorders>
          </w:tcPr>
          <w:p w14:paraId="2454F982"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7.89</w:t>
            </w:r>
          </w:p>
        </w:tc>
        <w:tc>
          <w:tcPr>
            <w:tcW w:w="533" w:type="pct"/>
            <w:gridSpan w:val="2"/>
            <w:tcBorders>
              <w:top w:val="nil"/>
              <w:left w:val="nil"/>
              <w:bottom w:val="single" w:sz="6" w:space="0" w:color="auto"/>
              <w:right w:val="nil"/>
            </w:tcBorders>
          </w:tcPr>
          <w:p w14:paraId="6AF4C412"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12.7</w:t>
            </w:r>
          </w:p>
        </w:tc>
        <w:tc>
          <w:tcPr>
            <w:tcW w:w="325" w:type="pct"/>
            <w:gridSpan w:val="2"/>
            <w:tcBorders>
              <w:top w:val="nil"/>
              <w:left w:val="nil"/>
              <w:bottom w:val="single" w:sz="6" w:space="0" w:color="auto"/>
              <w:right w:val="nil"/>
            </w:tcBorders>
          </w:tcPr>
          <w:p w14:paraId="4B12CA31"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1</w:t>
            </w:r>
          </w:p>
        </w:tc>
        <w:tc>
          <w:tcPr>
            <w:tcW w:w="527" w:type="pct"/>
            <w:tcBorders>
              <w:top w:val="nil"/>
              <w:left w:val="nil"/>
              <w:bottom w:val="single" w:sz="6" w:space="0" w:color="auto"/>
              <w:right w:val="nil"/>
            </w:tcBorders>
          </w:tcPr>
          <w:p w14:paraId="2AE3AA1F"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420</w:t>
            </w:r>
          </w:p>
        </w:tc>
      </w:tr>
      <w:tr w:rsidR="00695826" w:rsidRPr="00695826" w14:paraId="5669D5A4" w14:textId="77777777" w:rsidTr="00695826">
        <w:tc>
          <w:tcPr>
            <w:tcW w:w="1394" w:type="pct"/>
            <w:vMerge w:val="restart"/>
            <w:tcBorders>
              <w:top w:val="single" w:sz="4" w:space="0" w:color="auto"/>
              <w:left w:val="nil"/>
              <w:right w:val="nil"/>
            </w:tcBorders>
          </w:tcPr>
          <w:p w14:paraId="35913AB6" w14:textId="1BA26557" w:rsidR="00CD4846" w:rsidRPr="00695826" w:rsidRDefault="00CD4846" w:rsidP="00695826">
            <w:pPr>
              <w:spacing w:line="240" w:lineRule="auto"/>
              <w:rPr>
                <w:rFonts w:cs="Times New Roman"/>
                <w:sz w:val="20"/>
                <w:szCs w:val="20"/>
                <w:lang/>
              </w:rPr>
            </w:pPr>
            <w:r w:rsidRPr="00695826">
              <w:rPr>
                <w:rFonts w:cs="Times New Roman"/>
                <w:sz w:val="20"/>
                <w:szCs w:val="20"/>
                <w:lang/>
              </w:rPr>
              <w:t>23</w:t>
            </w:r>
          </w:p>
          <w:p w14:paraId="1F861629"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w:t>
            </w:r>
          </w:p>
          <w:p w14:paraId="760CE5A7" w14:textId="4016762C" w:rsidR="00CD4846" w:rsidRPr="00695826" w:rsidRDefault="00CD4846" w:rsidP="00695826">
            <w:pPr>
              <w:spacing w:line="240" w:lineRule="auto"/>
              <w:rPr>
                <w:rFonts w:cs="Times New Roman"/>
                <w:sz w:val="20"/>
                <w:szCs w:val="20"/>
                <w:lang/>
              </w:rPr>
            </w:pPr>
            <w:r w:rsidRPr="00695826">
              <w:rPr>
                <w:rFonts w:cs="Times New Roman"/>
                <w:sz w:val="20"/>
                <w:szCs w:val="20"/>
                <w:lang/>
              </w:rPr>
              <w:t>Construction</w:t>
            </w:r>
          </w:p>
        </w:tc>
        <w:tc>
          <w:tcPr>
            <w:tcW w:w="1824" w:type="pct"/>
            <w:tcBorders>
              <w:top w:val="single" w:sz="4" w:space="0" w:color="auto"/>
              <w:left w:val="nil"/>
              <w:bottom w:val="nil"/>
              <w:right w:val="nil"/>
            </w:tcBorders>
            <w:hideMark/>
          </w:tcPr>
          <w:p w14:paraId="67D331CD"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Births (t-1)</w:t>
            </w:r>
          </w:p>
        </w:tc>
        <w:tc>
          <w:tcPr>
            <w:tcW w:w="394" w:type="pct"/>
            <w:tcBorders>
              <w:top w:val="single" w:sz="4" w:space="0" w:color="auto"/>
              <w:left w:val="nil"/>
              <w:bottom w:val="nil"/>
              <w:right w:val="nil"/>
            </w:tcBorders>
            <w:hideMark/>
          </w:tcPr>
          <w:p w14:paraId="2C2A624F"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60.7</w:t>
            </w:r>
          </w:p>
        </w:tc>
        <w:tc>
          <w:tcPr>
            <w:tcW w:w="525" w:type="pct"/>
            <w:gridSpan w:val="2"/>
            <w:tcBorders>
              <w:top w:val="single" w:sz="4" w:space="0" w:color="auto"/>
              <w:left w:val="nil"/>
              <w:bottom w:val="nil"/>
              <w:right w:val="nil"/>
            </w:tcBorders>
            <w:hideMark/>
          </w:tcPr>
          <w:p w14:paraId="710A4C8F"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21</w:t>
            </w:r>
            <w:r w:rsidRPr="00695826">
              <w:rPr>
                <w:rFonts w:cs="Times New Roman"/>
                <w:sz w:val="20"/>
                <w:szCs w:val="20"/>
                <w:lang/>
              </w:rPr>
              <w:t>9</w:t>
            </w:r>
          </w:p>
        </w:tc>
        <w:tc>
          <w:tcPr>
            <w:tcW w:w="336" w:type="pct"/>
            <w:gridSpan w:val="3"/>
            <w:tcBorders>
              <w:top w:val="single" w:sz="4" w:space="0" w:color="auto"/>
              <w:left w:val="nil"/>
              <w:bottom w:val="nil"/>
              <w:right w:val="nil"/>
            </w:tcBorders>
            <w:hideMark/>
          </w:tcPr>
          <w:p w14:paraId="3327FE50"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0</w:t>
            </w:r>
          </w:p>
        </w:tc>
        <w:tc>
          <w:tcPr>
            <w:tcW w:w="527" w:type="pct"/>
            <w:tcBorders>
              <w:top w:val="single" w:sz="4" w:space="0" w:color="auto"/>
              <w:left w:val="nil"/>
              <w:bottom w:val="nil"/>
              <w:right w:val="nil"/>
            </w:tcBorders>
            <w:hideMark/>
          </w:tcPr>
          <w:p w14:paraId="2054205A"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12223</w:t>
            </w:r>
          </w:p>
        </w:tc>
      </w:tr>
      <w:tr w:rsidR="00695826" w:rsidRPr="00695826" w14:paraId="24A0749B" w14:textId="77777777" w:rsidTr="00695826">
        <w:tc>
          <w:tcPr>
            <w:tcW w:w="1394" w:type="pct"/>
            <w:vMerge/>
            <w:tcBorders>
              <w:left w:val="nil"/>
              <w:right w:val="nil"/>
            </w:tcBorders>
          </w:tcPr>
          <w:p w14:paraId="3535D037" w14:textId="77777777" w:rsidR="00CD4846" w:rsidRPr="00695826" w:rsidRDefault="00CD4846" w:rsidP="00695826">
            <w:pPr>
              <w:spacing w:line="240" w:lineRule="auto"/>
              <w:rPr>
                <w:rFonts w:cs="Times New Roman"/>
                <w:sz w:val="20"/>
                <w:szCs w:val="20"/>
                <w:lang/>
              </w:rPr>
            </w:pPr>
          </w:p>
        </w:tc>
        <w:tc>
          <w:tcPr>
            <w:tcW w:w="1824" w:type="pct"/>
            <w:tcBorders>
              <w:top w:val="nil"/>
              <w:left w:val="nil"/>
              <w:bottom w:val="nil"/>
              <w:right w:val="nil"/>
            </w:tcBorders>
            <w:hideMark/>
          </w:tcPr>
          <w:p w14:paraId="6C81AD70"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Inward Relocations (t-1)</w:t>
            </w:r>
          </w:p>
        </w:tc>
        <w:tc>
          <w:tcPr>
            <w:tcW w:w="394" w:type="pct"/>
            <w:tcBorders>
              <w:top w:val="nil"/>
              <w:left w:val="nil"/>
              <w:bottom w:val="nil"/>
              <w:right w:val="nil"/>
            </w:tcBorders>
            <w:hideMark/>
          </w:tcPr>
          <w:p w14:paraId="45E78B43"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2.5</w:t>
            </w:r>
            <w:r w:rsidRPr="00695826">
              <w:rPr>
                <w:rFonts w:cs="Times New Roman"/>
                <w:sz w:val="20"/>
                <w:szCs w:val="20"/>
                <w:lang/>
              </w:rPr>
              <w:t>6</w:t>
            </w:r>
          </w:p>
        </w:tc>
        <w:tc>
          <w:tcPr>
            <w:tcW w:w="525" w:type="pct"/>
            <w:gridSpan w:val="2"/>
            <w:tcBorders>
              <w:top w:val="nil"/>
              <w:left w:val="nil"/>
              <w:bottom w:val="nil"/>
              <w:right w:val="nil"/>
            </w:tcBorders>
            <w:hideMark/>
          </w:tcPr>
          <w:p w14:paraId="5ED660A1"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46.2</w:t>
            </w:r>
          </w:p>
        </w:tc>
        <w:tc>
          <w:tcPr>
            <w:tcW w:w="336" w:type="pct"/>
            <w:gridSpan w:val="3"/>
            <w:tcBorders>
              <w:top w:val="nil"/>
              <w:left w:val="nil"/>
              <w:bottom w:val="nil"/>
              <w:right w:val="nil"/>
            </w:tcBorders>
            <w:hideMark/>
          </w:tcPr>
          <w:p w14:paraId="6145F1C7"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0</w:t>
            </w:r>
          </w:p>
        </w:tc>
        <w:tc>
          <w:tcPr>
            <w:tcW w:w="527" w:type="pct"/>
            <w:tcBorders>
              <w:top w:val="nil"/>
              <w:left w:val="nil"/>
              <w:bottom w:val="nil"/>
              <w:right w:val="nil"/>
            </w:tcBorders>
            <w:hideMark/>
          </w:tcPr>
          <w:p w14:paraId="535951B5"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4225</w:t>
            </w:r>
          </w:p>
        </w:tc>
      </w:tr>
      <w:tr w:rsidR="00695826" w:rsidRPr="00695826" w14:paraId="2FC1A447" w14:textId="77777777" w:rsidTr="00695826">
        <w:tc>
          <w:tcPr>
            <w:tcW w:w="1394" w:type="pct"/>
            <w:vMerge/>
            <w:tcBorders>
              <w:left w:val="nil"/>
              <w:right w:val="nil"/>
            </w:tcBorders>
          </w:tcPr>
          <w:p w14:paraId="3AA62EB5" w14:textId="77777777" w:rsidR="00CD4846" w:rsidRPr="00695826" w:rsidRDefault="00CD4846" w:rsidP="00695826">
            <w:pPr>
              <w:spacing w:line="240" w:lineRule="auto"/>
              <w:rPr>
                <w:rFonts w:cs="Times New Roman"/>
                <w:sz w:val="20"/>
                <w:szCs w:val="20"/>
                <w:lang/>
              </w:rPr>
            </w:pPr>
          </w:p>
        </w:tc>
        <w:tc>
          <w:tcPr>
            <w:tcW w:w="1824" w:type="pct"/>
            <w:tcBorders>
              <w:top w:val="nil"/>
              <w:left w:val="nil"/>
              <w:bottom w:val="nil"/>
              <w:right w:val="nil"/>
            </w:tcBorders>
            <w:hideMark/>
          </w:tcPr>
          <w:p w14:paraId="145AABC6"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Total Entries (t-1)</w:t>
            </w:r>
          </w:p>
        </w:tc>
        <w:tc>
          <w:tcPr>
            <w:tcW w:w="394" w:type="pct"/>
            <w:tcBorders>
              <w:top w:val="nil"/>
              <w:left w:val="nil"/>
              <w:bottom w:val="nil"/>
              <w:right w:val="nil"/>
            </w:tcBorders>
            <w:hideMark/>
          </w:tcPr>
          <w:p w14:paraId="757C927C"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63.3</w:t>
            </w:r>
          </w:p>
        </w:tc>
        <w:tc>
          <w:tcPr>
            <w:tcW w:w="525" w:type="pct"/>
            <w:gridSpan w:val="2"/>
            <w:tcBorders>
              <w:top w:val="nil"/>
              <w:left w:val="nil"/>
              <w:bottom w:val="nil"/>
              <w:right w:val="nil"/>
            </w:tcBorders>
            <w:hideMark/>
          </w:tcPr>
          <w:p w14:paraId="470C8ACB"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231</w:t>
            </w:r>
          </w:p>
        </w:tc>
        <w:tc>
          <w:tcPr>
            <w:tcW w:w="336" w:type="pct"/>
            <w:gridSpan w:val="3"/>
            <w:tcBorders>
              <w:top w:val="nil"/>
              <w:left w:val="nil"/>
              <w:bottom w:val="nil"/>
              <w:right w:val="nil"/>
            </w:tcBorders>
            <w:hideMark/>
          </w:tcPr>
          <w:p w14:paraId="47356F61"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0</w:t>
            </w:r>
          </w:p>
        </w:tc>
        <w:tc>
          <w:tcPr>
            <w:tcW w:w="527" w:type="pct"/>
            <w:tcBorders>
              <w:top w:val="nil"/>
              <w:left w:val="nil"/>
              <w:bottom w:val="nil"/>
              <w:right w:val="nil"/>
            </w:tcBorders>
            <w:hideMark/>
          </w:tcPr>
          <w:p w14:paraId="67FEA9B6"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12223</w:t>
            </w:r>
          </w:p>
        </w:tc>
      </w:tr>
      <w:tr w:rsidR="00695826" w:rsidRPr="00695826" w14:paraId="43F00A70" w14:textId="77777777" w:rsidTr="00695826">
        <w:tc>
          <w:tcPr>
            <w:tcW w:w="1394" w:type="pct"/>
            <w:vMerge/>
            <w:tcBorders>
              <w:left w:val="nil"/>
              <w:right w:val="nil"/>
            </w:tcBorders>
          </w:tcPr>
          <w:p w14:paraId="32C8069E" w14:textId="77777777" w:rsidR="00CD4846" w:rsidRPr="00695826" w:rsidRDefault="00CD4846" w:rsidP="00695826">
            <w:pPr>
              <w:spacing w:line="240" w:lineRule="auto"/>
              <w:rPr>
                <w:rFonts w:cs="Times New Roman"/>
                <w:sz w:val="20"/>
                <w:szCs w:val="20"/>
                <w:lang/>
              </w:rPr>
            </w:pPr>
          </w:p>
        </w:tc>
        <w:tc>
          <w:tcPr>
            <w:tcW w:w="1824" w:type="pct"/>
            <w:tcBorders>
              <w:top w:val="nil"/>
              <w:left w:val="nil"/>
              <w:bottom w:val="nil"/>
              <w:right w:val="nil"/>
            </w:tcBorders>
            <w:hideMark/>
          </w:tcPr>
          <w:p w14:paraId="3EB2B889"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Deaths (t-1)</w:t>
            </w:r>
          </w:p>
        </w:tc>
        <w:tc>
          <w:tcPr>
            <w:tcW w:w="394" w:type="pct"/>
            <w:tcBorders>
              <w:top w:val="nil"/>
              <w:left w:val="nil"/>
              <w:bottom w:val="nil"/>
              <w:right w:val="nil"/>
            </w:tcBorders>
            <w:hideMark/>
          </w:tcPr>
          <w:p w14:paraId="695E3124"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58.7</w:t>
            </w:r>
          </w:p>
        </w:tc>
        <w:tc>
          <w:tcPr>
            <w:tcW w:w="525" w:type="pct"/>
            <w:gridSpan w:val="2"/>
            <w:tcBorders>
              <w:top w:val="nil"/>
              <w:left w:val="nil"/>
              <w:bottom w:val="nil"/>
              <w:right w:val="nil"/>
            </w:tcBorders>
            <w:hideMark/>
          </w:tcPr>
          <w:p w14:paraId="5D9015F5"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21</w:t>
            </w:r>
            <w:r w:rsidRPr="00695826">
              <w:rPr>
                <w:rFonts w:cs="Times New Roman"/>
                <w:sz w:val="20"/>
                <w:szCs w:val="20"/>
                <w:lang/>
              </w:rPr>
              <w:t>1</w:t>
            </w:r>
          </w:p>
        </w:tc>
        <w:tc>
          <w:tcPr>
            <w:tcW w:w="336" w:type="pct"/>
            <w:gridSpan w:val="3"/>
            <w:tcBorders>
              <w:top w:val="nil"/>
              <w:left w:val="nil"/>
              <w:bottom w:val="nil"/>
              <w:right w:val="nil"/>
            </w:tcBorders>
            <w:hideMark/>
          </w:tcPr>
          <w:p w14:paraId="7BA736B6"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0</w:t>
            </w:r>
          </w:p>
        </w:tc>
        <w:tc>
          <w:tcPr>
            <w:tcW w:w="527" w:type="pct"/>
            <w:tcBorders>
              <w:top w:val="nil"/>
              <w:left w:val="nil"/>
              <w:bottom w:val="nil"/>
              <w:right w:val="nil"/>
            </w:tcBorders>
            <w:hideMark/>
          </w:tcPr>
          <w:p w14:paraId="58EAD4BC"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13257</w:t>
            </w:r>
          </w:p>
        </w:tc>
      </w:tr>
      <w:tr w:rsidR="00695826" w:rsidRPr="00695826" w14:paraId="5F215A56" w14:textId="77777777" w:rsidTr="00695826">
        <w:tc>
          <w:tcPr>
            <w:tcW w:w="1394" w:type="pct"/>
            <w:vMerge/>
            <w:tcBorders>
              <w:left w:val="nil"/>
              <w:right w:val="nil"/>
            </w:tcBorders>
          </w:tcPr>
          <w:p w14:paraId="6ACD31DE" w14:textId="77777777" w:rsidR="00CD4846" w:rsidRPr="00695826" w:rsidRDefault="00CD4846" w:rsidP="00695826">
            <w:pPr>
              <w:spacing w:line="240" w:lineRule="auto"/>
              <w:rPr>
                <w:rFonts w:cs="Times New Roman"/>
                <w:sz w:val="20"/>
                <w:szCs w:val="20"/>
                <w:lang/>
              </w:rPr>
            </w:pPr>
          </w:p>
        </w:tc>
        <w:tc>
          <w:tcPr>
            <w:tcW w:w="1824" w:type="pct"/>
            <w:tcBorders>
              <w:top w:val="nil"/>
              <w:left w:val="nil"/>
              <w:bottom w:val="nil"/>
              <w:right w:val="nil"/>
            </w:tcBorders>
            <w:hideMark/>
          </w:tcPr>
          <w:p w14:paraId="5CFF00EA"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Outward Relo</w:t>
            </w:r>
            <w:r w:rsidRPr="00695826">
              <w:rPr>
                <w:rFonts w:cs="Times New Roman"/>
                <w:sz w:val="20"/>
                <w:szCs w:val="20"/>
                <w:lang/>
              </w:rPr>
              <w:t>c</w:t>
            </w:r>
            <w:r w:rsidRPr="00695826">
              <w:rPr>
                <w:rFonts w:cs="Times New Roman"/>
                <w:sz w:val="20"/>
                <w:szCs w:val="20"/>
                <w:lang/>
              </w:rPr>
              <w:t>ations (t-1)</w:t>
            </w:r>
          </w:p>
        </w:tc>
        <w:tc>
          <w:tcPr>
            <w:tcW w:w="394" w:type="pct"/>
            <w:tcBorders>
              <w:top w:val="nil"/>
              <w:left w:val="nil"/>
              <w:bottom w:val="nil"/>
              <w:right w:val="nil"/>
            </w:tcBorders>
            <w:hideMark/>
          </w:tcPr>
          <w:p w14:paraId="3DD3072C"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2.</w:t>
            </w:r>
            <w:r w:rsidRPr="00695826">
              <w:rPr>
                <w:rFonts w:cs="Times New Roman"/>
                <w:sz w:val="20"/>
                <w:szCs w:val="20"/>
                <w:lang/>
              </w:rPr>
              <w:t>60</w:t>
            </w:r>
          </w:p>
        </w:tc>
        <w:tc>
          <w:tcPr>
            <w:tcW w:w="525" w:type="pct"/>
            <w:gridSpan w:val="2"/>
            <w:tcBorders>
              <w:top w:val="nil"/>
              <w:left w:val="nil"/>
              <w:bottom w:val="nil"/>
              <w:right w:val="nil"/>
            </w:tcBorders>
            <w:hideMark/>
          </w:tcPr>
          <w:p w14:paraId="63C6E79E"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47.7</w:t>
            </w:r>
          </w:p>
        </w:tc>
        <w:tc>
          <w:tcPr>
            <w:tcW w:w="336" w:type="pct"/>
            <w:gridSpan w:val="3"/>
            <w:tcBorders>
              <w:top w:val="nil"/>
              <w:left w:val="nil"/>
              <w:bottom w:val="nil"/>
              <w:right w:val="nil"/>
            </w:tcBorders>
            <w:hideMark/>
          </w:tcPr>
          <w:p w14:paraId="60B080EC"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0</w:t>
            </w:r>
          </w:p>
        </w:tc>
        <w:tc>
          <w:tcPr>
            <w:tcW w:w="527" w:type="pct"/>
            <w:tcBorders>
              <w:top w:val="nil"/>
              <w:left w:val="nil"/>
              <w:bottom w:val="nil"/>
              <w:right w:val="nil"/>
            </w:tcBorders>
            <w:hideMark/>
          </w:tcPr>
          <w:p w14:paraId="6E4EC67B"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4520</w:t>
            </w:r>
          </w:p>
        </w:tc>
      </w:tr>
      <w:tr w:rsidR="00695826" w:rsidRPr="00695826" w14:paraId="1F637594" w14:textId="77777777" w:rsidTr="00695826">
        <w:tc>
          <w:tcPr>
            <w:tcW w:w="1394" w:type="pct"/>
            <w:vMerge/>
            <w:tcBorders>
              <w:left w:val="nil"/>
              <w:right w:val="nil"/>
            </w:tcBorders>
          </w:tcPr>
          <w:p w14:paraId="1D93869C" w14:textId="77777777" w:rsidR="00CD4846" w:rsidRPr="00695826" w:rsidRDefault="00CD4846" w:rsidP="00695826">
            <w:pPr>
              <w:spacing w:line="240" w:lineRule="auto"/>
              <w:rPr>
                <w:rFonts w:cs="Times New Roman"/>
                <w:sz w:val="20"/>
                <w:szCs w:val="20"/>
                <w:lang/>
              </w:rPr>
            </w:pPr>
          </w:p>
        </w:tc>
        <w:tc>
          <w:tcPr>
            <w:tcW w:w="1824" w:type="pct"/>
            <w:tcBorders>
              <w:top w:val="nil"/>
              <w:left w:val="nil"/>
              <w:bottom w:val="nil"/>
              <w:right w:val="nil"/>
            </w:tcBorders>
            <w:hideMark/>
          </w:tcPr>
          <w:p w14:paraId="3F9FE1B1"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Total Exits (t-1)</w:t>
            </w:r>
          </w:p>
        </w:tc>
        <w:tc>
          <w:tcPr>
            <w:tcW w:w="394" w:type="pct"/>
            <w:tcBorders>
              <w:top w:val="nil"/>
              <w:left w:val="nil"/>
              <w:bottom w:val="nil"/>
              <w:right w:val="nil"/>
            </w:tcBorders>
            <w:hideMark/>
          </w:tcPr>
          <w:p w14:paraId="73A22707"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61.3</w:t>
            </w:r>
          </w:p>
        </w:tc>
        <w:tc>
          <w:tcPr>
            <w:tcW w:w="525" w:type="pct"/>
            <w:gridSpan w:val="2"/>
            <w:tcBorders>
              <w:top w:val="nil"/>
              <w:left w:val="nil"/>
              <w:bottom w:val="nil"/>
              <w:right w:val="nil"/>
            </w:tcBorders>
            <w:hideMark/>
          </w:tcPr>
          <w:p w14:paraId="2EC02EAE"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22</w:t>
            </w:r>
            <w:r w:rsidRPr="00695826">
              <w:rPr>
                <w:rFonts w:cs="Times New Roman"/>
                <w:sz w:val="20"/>
                <w:szCs w:val="20"/>
                <w:lang/>
              </w:rPr>
              <w:t>3</w:t>
            </w:r>
          </w:p>
        </w:tc>
        <w:tc>
          <w:tcPr>
            <w:tcW w:w="336" w:type="pct"/>
            <w:gridSpan w:val="3"/>
            <w:tcBorders>
              <w:top w:val="nil"/>
              <w:left w:val="nil"/>
              <w:bottom w:val="nil"/>
              <w:right w:val="nil"/>
            </w:tcBorders>
            <w:hideMark/>
          </w:tcPr>
          <w:p w14:paraId="1DCB9BDC"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0</w:t>
            </w:r>
          </w:p>
        </w:tc>
        <w:tc>
          <w:tcPr>
            <w:tcW w:w="527" w:type="pct"/>
            <w:tcBorders>
              <w:top w:val="nil"/>
              <w:left w:val="nil"/>
              <w:bottom w:val="nil"/>
              <w:right w:val="nil"/>
            </w:tcBorders>
            <w:hideMark/>
          </w:tcPr>
          <w:p w14:paraId="272707D0"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13258</w:t>
            </w:r>
          </w:p>
        </w:tc>
      </w:tr>
      <w:tr w:rsidR="00695826" w:rsidRPr="00695826" w14:paraId="4F884625" w14:textId="77777777" w:rsidTr="00695826">
        <w:tc>
          <w:tcPr>
            <w:tcW w:w="1394" w:type="pct"/>
            <w:vMerge/>
            <w:tcBorders>
              <w:left w:val="nil"/>
              <w:right w:val="nil"/>
            </w:tcBorders>
          </w:tcPr>
          <w:p w14:paraId="45A27F63" w14:textId="77777777" w:rsidR="00CD4846" w:rsidRPr="00695826" w:rsidRDefault="00CD4846" w:rsidP="00695826">
            <w:pPr>
              <w:spacing w:line="240" w:lineRule="auto"/>
              <w:rPr>
                <w:rFonts w:cs="Times New Roman"/>
                <w:sz w:val="20"/>
                <w:szCs w:val="20"/>
                <w:lang/>
              </w:rPr>
            </w:pPr>
          </w:p>
        </w:tc>
        <w:tc>
          <w:tcPr>
            <w:tcW w:w="1824" w:type="pct"/>
            <w:tcBorders>
              <w:top w:val="nil"/>
              <w:left w:val="nil"/>
              <w:bottom w:val="nil"/>
              <w:right w:val="nil"/>
            </w:tcBorders>
            <w:hideMark/>
          </w:tcPr>
          <w:p w14:paraId="05FDE3E4"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Sales Volume (t-1)</w:t>
            </w:r>
          </w:p>
        </w:tc>
        <w:tc>
          <w:tcPr>
            <w:tcW w:w="394" w:type="pct"/>
            <w:tcBorders>
              <w:top w:val="nil"/>
              <w:left w:val="nil"/>
              <w:bottom w:val="nil"/>
              <w:right w:val="nil"/>
            </w:tcBorders>
            <w:hideMark/>
          </w:tcPr>
          <w:p w14:paraId="781C5D05"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456758</w:t>
            </w:r>
          </w:p>
        </w:tc>
        <w:tc>
          <w:tcPr>
            <w:tcW w:w="525" w:type="pct"/>
            <w:gridSpan w:val="2"/>
            <w:tcBorders>
              <w:top w:val="nil"/>
              <w:left w:val="nil"/>
              <w:bottom w:val="nil"/>
              <w:right w:val="nil"/>
            </w:tcBorders>
            <w:hideMark/>
          </w:tcPr>
          <w:p w14:paraId="732975AF"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1642687</w:t>
            </w:r>
          </w:p>
        </w:tc>
        <w:tc>
          <w:tcPr>
            <w:tcW w:w="336" w:type="pct"/>
            <w:gridSpan w:val="3"/>
            <w:tcBorders>
              <w:top w:val="nil"/>
              <w:left w:val="nil"/>
              <w:bottom w:val="nil"/>
              <w:right w:val="nil"/>
            </w:tcBorders>
            <w:hideMark/>
          </w:tcPr>
          <w:p w14:paraId="1894B7EF"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0</w:t>
            </w:r>
          </w:p>
        </w:tc>
        <w:tc>
          <w:tcPr>
            <w:tcW w:w="527" w:type="pct"/>
            <w:tcBorders>
              <w:top w:val="nil"/>
              <w:left w:val="nil"/>
              <w:bottom w:val="nil"/>
              <w:right w:val="nil"/>
            </w:tcBorders>
            <w:hideMark/>
          </w:tcPr>
          <w:p w14:paraId="1C60FAF5"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1.058e+08</w:t>
            </w:r>
          </w:p>
        </w:tc>
      </w:tr>
      <w:tr w:rsidR="00695826" w:rsidRPr="00695826" w14:paraId="31798BC8" w14:textId="77777777" w:rsidTr="00695826">
        <w:tc>
          <w:tcPr>
            <w:tcW w:w="1394" w:type="pct"/>
            <w:vMerge/>
            <w:tcBorders>
              <w:left w:val="nil"/>
              <w:bottom w:val="single" w:sz="6" w:space="0" w:color="auto"/>
              <w:right w:val="nil"/>
            </w:tcBorders>
          </w:tcPr>
          <w:p w14:paraId="39F7DBAC" w14:textId="77777777" w:rsidR="00CD4846" w:rsidRPr="00695826" w:rsidRDefault="00CD4846" w:rsidP="00695826">
            <w:pPr>
              <w:spacing w:line="240" w:lineRule="auto"/>
              <w:rPr>
                <w:rFonts w:cs="Times New Roman"/>
                <w:sz w:val="20"/>
                <w:szCs w:val="20"/>
                <w:lang/>
              </w:rPr>
            </w:pPr>
          </w:p>
        </w:tc>
        <w:tc>
          <w:tcPr>
            <w:tcW w:w="1824" w:type="pct"/>
            <w:tcBorders>
              <w:top w:val="nil"/>
              <w:left w:val="nil"/>
              <w:bottom w:val="single" w:sz="6" w:space="0" w:color="auto"/>
              <w:right w:val="nil"/>
            </w:tcBorders>
          </w:tcPr>
          <w:p w14:paraId="74B33457"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Loc. Economies (t-1)</w:t>
            </w:r>
          </w:p>
        </w:tc>
        <w:tc>
          <w:tcPr>
            <w:tcW w:w="394" w:type="pct"/>
            <w:tcBorders>
              <w:top w:val="nil"/>
              <w:left w:val="nil"/>
              <w:bottom w:val="single" w:sz="6" w:space="0" w:color="auto"/>
              <w:right w:val="nil"/>
            </w:tcBorders>
          </w:tcPr>
          <w:p w14:paraId="19EBEC29"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289</w:t>
            </w:r>
          </w:p>
        </w:tc>
        <w:tc>
          <w:tcPr>
            <w:tcW w:w="525" w:type="pct"/>
            <w:gridSpan w:val="2"/>
            <w:tcBorders>
              <w:top w:val="nil"/>
              <w:left w:val="nil"/>
              <w:bottom w:val="single" w:sz="6" w:space="0" w:color="auto"/>
              <w:right w:val="nil"/>
            </w:tcBorders>
          </w:tcPr>
          <w:p w14:paraId="0ACFB2CB"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812</w:t>
            </w:r>
          </w:p>
        </w:tc>
        <w:tc>
          <w:tcPr>
            <w:tcW w:w="336" w:type="pct"/>
            <w:gridSpan w:val="3"/>
            <w:tcBorders>
              <w:top w:val="nil"/>
              <w:left w:val="nil"/>
              <w:bottom w:val="single" w:sz="6" w:space="0" w:color="auto"/>
              <w:right w:val="nil"/>
            </w:tcBorders>
          </w:tcPr>
          <w:p w14:paraId="5D0ADDAD"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0</w:t>
            </w:r>
          </w:p>
        </w:tc>
        <w:tc>
          <w:tcPr>
            <w:tcW w:w="527" w:type="pct"/>
            <w:tcBorders>
              <w:top w:val="nil"/>
              <w:left w:val="nil"/>
              <w:bottom w:val="single" w:sz="6" w:space="0" w:color="auto"/>
              <w:right w:val="nil"/>
            </w:tcBorders>
          </w:tcPr>
          <w:p w14:paraId="04E71E14"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26029</w:t>
            </w:r>
          </w:p>
        </w:tc>
      </w:tr>
      <w:tr w:rsidR="00695826" w:rsidRPr="00695826" w14:paraId="3A4F8B35" w14:textId="77777777" w:rsidTr="00695826">
        <w:tc>
          <w:tcPr>
            <w:tcW w:w="1394" w:type="pct"/>
            <w:vMerge w:val="restart"/>
            <w:tcBorders>
              <w:top w:val="single" w:sz="4" w:space="0" w:color="auto"/>
              <w:left w:val="nil"/>
              <w:right w:val="nil"/>
            </w:tcBorders>
          </w:tcPr>
          <w:p w14:paraId="1A3E30F9" w14:textId="38C05F56" w:rsidR="00CD4846" w:rsidRPr="00695826" w:rsidRDefault="00CD4846" w:rsidP="00695826">
            <w:pPr>
              <w:spacing w:line="240" w:lineRule="auto"/>
              <w:rPr>
                <w:rFonts w:cs="Times New Roman"/>
                <w:sz w:val="20"/>
                <w:szCs w:val="20"/>
                <w:lang/>
              </w:rPr>
            </w:pPr>
            <w:r w:rsidRPr="00695826">
              <w:rPr>
                <w:rFonts w:cs="Times New Roman"/>
                <w:sz w:val="20"/>
                <w:szCs w:val="20"/>
                <w:lang/>
              </w:rPr>
              <w:t>31-33</w:t>
            </w:r>
          </w:p>
          <w:p w14:paraId="28C89388" w14:textId="31D08E51" w:rsidR="00695826" w:rsidRPr="00695826" w:rsidRDefault="00695826" w:rsidP="00695826">
            <w:pPr>
              <w:spacing w:line="240" w:lineRule="auto"/>
              <w:rPr>
                <w:rFonts w:cs="Times New Roman"/>
                <w:sz w:val="20"/>
                <w:szCs w:val="20"/>
                <w:lang/>
              </w:rPr>
            </w:pPr>
            <w:r w:rsidRPr="00695826">
              <w:rPr>
                <w:rFonts w:cs="Times New Roman"/>
                <w:sz w:val="20"/>
                <w:szCs w:val="20"/>
                <w:lang/>
              </w:rPr>
              <w:t>-</w:t>
            </w:r>
          </w:p>
          <w:p w14:paraId="5EE9743B" w14:textId="2D436C6C" w:rsidR="00CD4846" w:rsidRPr="00695826" w:rsidRDefault="00CD4846" w:rsidP="00695826">
            <w:pPr>
              <w:spacing w:line="240" w:lineRule="auto"/>
              <w:rPr>
                <w:rFonts w:cs="Times New Roman"/>
                <w:sz w:val="20"/>
                <w:szCs w:val="20"/>
                <w:lang/>
              </w:rPr>
            </w:pPr>
            <w:r w:rsidRPr="00695826">
              <w:rPr>
                <w:rFonts w:cs="Times New Roman"/>
                <w:sz w:val="20"/>
                <w:szCs w:val="20"/>
                <w:lang/>
              </w:rPr>
              <w:t>Manufacturing</w:t>
            </w:r>
          </w:p>
        </w:tc>
        <w:tc>
          <w:tcPr>
            <w:tcW w:w="1824" w:type="pct"/>
            <w:tcBorders>
              <w:top w:val="single" w:sz="4" w:space="0" w:color="auto"/>
              <w:left w:val="nil"/>
              <w:bottom w:val="nil"/>
              <w:right w:val="nil"/>
            </w:tcBorders>
            <w:hideMark/>
          </w:tcPr>
          <w:p w14:paraId="3D1CE8FB"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Births (t-1)</w:t>
            </w:r>
          </w:p>
        </w:tc>
        <w:tc>
          <w:tcPr>
            <w:tcW w:w="391" w:type="pct"/>
            <w:tcBorders>
              <w:top w:val="single" w:sz="4" w:space="0" w:color="auto"/>
              <w:left w:val="nil"/>
              <w:bottom w:val="nil"/>
              <w:right w:val="nil"/>
            </w:tcBorders>
            <w:hideMark/>
          </w:tcPr>
          <w:p w14:paraId="1922AE17"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29</w:t>
            </w:r>
            <w:r w:rsidRPr="00695826">
              <w:rPr>
                <w:rFonts w:cs="Times New Roman"/>
                <w:sz w:val="20"/>
                <w:szCs w:val="20"/>
                <w:lang/>
              </w:rPr>
              <w:t>.0</w:t>
            </w:r>
          </w:p>
        </w:tc>
        <w:tc>
          <w:tcPr>
            <w:tcW w:w="557" w:type="pct"/>
            <w:gridSpan w:val="4"/>
            <w:tcBorders>
              <w:top w:val="single" w:sz="4" w:space="0" w:color="auto"/>
              <w:left w:val="nil"/>
              <w:bottom w:val="nil"/>
              <w:right w:val="nil"/>
            </w:tcBorders>
            <w:hideMark/>
          </w:tcPr>
          <w:p w14:paraId="627D7814"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133</w:t>
            </w:r>
          </w:p>
        </w:tc>
        <w:tc>
          <w:tcPr>
            <w:tcW w:w="306" w:type="pct"/>
            <w:tcBorders>
              <w:top w:val="single" w:sz="4" w:space="0" w:color="auto"/>
              <w:left w:val="nil"/>
              <w:bottom w:val="nil"/>
              <w:right w:val="nil"/>
            </w:tcBorders>
            <w:hideMark/>
          </w:tcPr>
          <w:p w14:paraId="02747B4D"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0</w:t>
            </w:r>
          </w:p>
        </w:tc>
        <w:tc>
          <w:tcPr>
            <w:tcW w:w="527" w:type="pct"/>
            <w:tcBorders>
              <w:top w:val="single" w:sz="4" w:space="0" w:color="auto"/>
              <w:left w:val="nil"/>
              <w:bottom w:val="nil"/>
              <w:right w:val="nil"/>
            </w:tcBorders>
            <w:hideMark/>
          </w:tcPr>
          <w:p w14:paraId="49AAD8E4"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9539</w:t>
            </w:r>
          </w:p>
        </w:tc>
      </w:tr>
      <w:tr w:rsidR="00695826" w:rsidRPr="00695826" w14:paraId="5E31A6EF" w14:textId="77777777" w:rsidTr="00695826">
        <w:tc>
          <w:tcPr>
            <w:tcW w:w="1394" w:type="pct"/>
            <w:vMerge/>
            <w:tcBorders>
              <w:left w:val="nil"/>
              <w:right w:val="nil"/>
            </w:tcBorders>
          </w:tcPr>
          <w:p w14:paraId="189C3BB6" w14:textId="77777777" w:rsidR="00CD4846" w:rsidRPr="00695826" w:rsidRDefault="00CD4846" w:rsidP="00695826">
            <w:pPr>
              <w:spacing w:line="240" w:lineRule="auto"/>
              <w:rPr>
                <w:rFonts w:cs="Times New Roman"/>
                <w:sz w:val="20"/>
                <w:szCs w:val="20"/>
                <w:lang/>
              </w:rPr>
            </w:pPr>
          </w:p>
        </w:tc>
        <w:tc>
          <w:tcPr>
            <w:tcW w:w="1824" w:type="pct"/>
            <w:tcBorders>
              <w:top w:val="nil"/>
              <w:left w:val="nil"/>
              <w:bottom w:val="nil"/>
              <w:right w:val="nil"/>
            </w:tcBorders>
            <w:hideMark/>
          </w:tcPr>
          <w:p w14:paraId="3CAB6539"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Inward Relocations (t-1)</w:t>
            </w:r>
          </w:p>
        </w:tc>
        <w:tc>
          <w:tcPr>
            <w:tcW w:w="391" w:type="pct"/>
            <w:tcBorders>
              <w:top w:val="nil"/>
              <w:left w:val="nil"/>
              <w:bottom w:val="nil"/>
              <w:right w:val="nil"/>
            </w:tcBorders>
            <w:hideMark/>
          </w:tcPr>
          <w:p w14:paraId="165706B7"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1.0</w:t>
            </w:r>
            <w:r w:rsidRPr="00695826">
              <w:rPr>
                <w:rFonts w:cs="Times New Roman"/>
                <w:sz w:val="20"/>
                <w:szCs w:val="20"/>
                <w:lang/>
              </w:rPr>
              <w:t>5</w:t>
            </w:r>
          </w:p>
        </w:tc>
        <w:tc>
          <w:tcPr>
            <w:tcW w:w="557" w:type="pct"/>
            <w:gridSpan w:val="4"/>
            <w:tcBorders>
              <w:top w:val="nil"/>
              <w:left w:val="nil"/>
              <w:bottom w:val="nil"/>
              <w:right w:val="nil"/>
            </w:tcBorders>
            <w:hideMark/>
          </w:tcPr>
          <w:p w14:paraId="23A94724"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22.4</w:t>
            </w:r>
          </w:p>
        </w:tc>
        <w:tc>
          <w:tcPr>
            <w:tcW w:w="306" w:type="pct"/>
            <w:tcBorders>
              <w:top w:val="nil"/>
              <w:left w:val="nil"/>
              <w:bottom w:val="nil"/>
              <w:right w:val="nil"/>
            </w:tcBorders>
            <w:hideMark/>
          </w:tcPr>
          <w:p w14:paraId="301AED72"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0</w:t>
            </w:r>
          </w:p>
        </w:tc>
        <w:tc>
          <w:tcPr>
            <w:tcW w:w="527" w:type="pct"/>
            <w:tcBorders>
              <w:top w:val="nil"/>
              <w:left w:val="nil"/>
              <w:bottom w:val="nil"/>
              <w:right w:val="nil"/>
            </w:tcBorders>
            <w:hideMark/>
          </w:tcPr>
          <w:p w14:paraId="1413FF31"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3159</w:t>
            </w:r>
          </w:p>
        </w:tc>
      </w:tr>
      <w:tr w:rsidR="00695826" w:rsidRPr="00695826" w14:paraId="2F4B2FC4" w14:textId="77777777" w:rsidTr="00695826">
        <w:tc>
          <w:tcPr>
            <w:tcW w:w="1394" w:type="pct"/>
            <w:vMerge/>
            <w:tcBorders>
              <w:left w:val="nil"/>
              <w:right w:val="nil"/>
            </w:tcBorders>
          </w:tcPr>
          <w:p w14:paraId="31DDF824" w14:textId="77777777" w:rsidR="00CD4846" w:rsidRPr="00695826" w:rsidRDefault="00CD4846" w:rsidP="00695826">
            <w:pPr>
              <w:spacing w:line="240" w:lineRule="auto"/>
              <w:rPr>
                <w:rFonts w:cs="Times New Roman"/>
                <w:sz w:val="20"/>
                <w:szCs w:val="20"/>
                <w:lang/>
              </w:rPr>
            </w:pPr>
          </w:p>
        </w:tc>
        <w:tc>
          <w:tcPr>
            <w:tcW w:w="1824" w:type="pct"/>
            <w:tcBorders>
              <w:top w:val="nil"/>
              <w:left w:val="nil"/>
              <w:bottom w:val="nil"/>
              <w:right w:val="nil"/>
            </w:tcBorders>
            <w:hideMark/>
          </w:tcPr>
          <w:p w14:paraId="2B854456"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Total Entries (t-1)</w:t>
            </w:r>
          </w:p>
        </w:tc>
        <w:tc>
          <w:tcPr>
            <w:tcW w:w="391" w:type="pct"/>
            <w:tcBorders>
              <w:top w:val="nil"/>
              <w:left w:val="nil"/>
              <w:bottom w:val="nil"/>
              <w:right w:val="nil"/>
            </w:tcBorders>
            <w:hideMark/>
          </w:tcPr>
          <w:p w14:paraId="329B671E"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30.5</w:t>
            </w:r>
          </w:p>
        </w:tc>
        <w:tc>
          <w:tcPr>
            <w:tcW w:w="557" w:type="pct"/>
            <w:gridSpan w:val="4"/>
            <w:tcBorders>
              <w:top w:val="nil"/>
              <w:left w:val="nil"/>
              <w:bottom w:val="nil"/>
              <w:right w:val="nil"/>
            </w:tcBorders>
            <w:hideMark/>
          </w:tcPr>
          <w:p w14:paraId="0ECFB581"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141</w:t>
            </w:r>
          </w:p>
        </w:tc>
        <w:tc>
          <w:tcPr>
            <w:tcW w:w="306" w:type="pct"/>
            <w:tcBorders>
              <w:top w:val="nil"/>
              <w:left w:val="nil"/>
              <w:bottom w:val="nil"/>
              <w:right w:val="nil"/>
            </w:tcBorders>
            <w:hideMark/>
          </w:tcPr>
          <w:p w14:paraId="5172D3E7"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0</w:t>
            </w:r>
          </w:p>
        </w:tc>
        <w:tc>
          <w:tcPr>
            <w:tcW w:w="527" w:type="pct"/>
            <w:tcBorders>
              <w:top w:val="nil"/>
              <w:left w:val="nil"/>
              <w:bottom w:val="nil"/>
              <w:right w:val="nil"/>
            </w:tcBorders>
            <w:hideMark/>
          </w:tcPr>
          <w:p w14:paraId="3D382E0B"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12580</w:t>
            </w:r>
          </w:p>
        </w:tc>
      </w:tr>
      <w:tr w:rsidR="00695826" w:rsidRPr="00695826" w14:paraId="650F3B64" w14:textId="77777777" w:rsidTr="00695826">
        <w:tc>
          <w:tcPr>
            <w:tcW w:w="1394" w:type="pct"/>
            <w:vMerge/>
            <w:tcBorders>
              <w:left w:val="nil"/>
              <w:right w:val="nil"/>
            </w:tcBorders>
          </w:tcPr>
          <w:p w14:paraId="72744EE3" w14:textId="77777777" w:rsidR="00CD4846" w:rsidRPr="00695826" w:rsidRDefault="00CD4846" w:rsidP="00695826">
            <w:pPr>
              <w:spacing w:line="240" w:lineRule="auto"/>
              <w:rPr>
                <w:rFonts w:cs="Times New Roman"/>
                <w:sz w:val="20"/>
                <w:szCs w:val="20"/>
                <w:lang/>
              </w:rPr>
            </w:pPr>
          </w:p>
        </w:tc>
        <w:tc>
          <w:tcPr>
            <w:tcW w:w="1824" w:type="pct"/>
            <w:tcBorders>
              <w:top w:val="nil"/>
              <w:left w:val="nil"/>
              <w:bottom w:val="nil"/>
              <w:right w:val="nil"/>
            </w:tcBorders>
            <w:hideMark/>
          </w:tcPr>
          <w:p w14:paraId="73034EC0"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Deaths (t-1)</w:t>
            </w:r>
          </w:p>
        </w:tc>
        <w:tc>
          <w:tcPr>
            <w:tcW w:w="391" w:type="pct"/>
            <w:tcBorders>
              <w:top w:val="nil"/>
              <w:left w:val="nil"/>
              <w:bottom w:val="nil"/>
              <w:right w:val="nil"/>
            </w:tcBorders>
            <w:hideMark/>
          </w:tcPr>
          <w:p w14:paraId="60F1185B"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30.9</w:t>
            </w:r>
          </w:p>
        </w:tc>
        <w:tc>
          <w:tcPr>
            <w:tcW w:w="557" w:type="pct"/>
            <w:gridSpan w:val="4"/>
            <w:tcBorders>
              <w:top w:val="nil"/>
              <w:left w:val="nil"/>
              <w:bottom w:val="nil"/>
              <w:right w:val="nil"/>
            </w:tcBorders>
            <w:hideMark/>
          </w:tcPr>
          <w:p w14:paraId="1C403799"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14</w:t>
            </w:r>
            <w:r w:rsidRPr="00695826">
              <w:rPr>
                <w:rFonts w:cs="Times New Roman"/>
                <w:sz w:val="20"/>
                <w:szCs w:val="20"/>
                <w:lang/>
              </w:rPr>
              <w:t>1</w:t>
            </w:r>
          </w:p>
        </w:tc>
        <w:tc>
          <w:tcPr>
            <w:tcW w:w="306" w:type="pct"/>
            <w:tcBorders>
              <w:top w:val="nil"/>
              <w:left w:val="nil"/>
              <w:bottom w:val="nil"/>
              <w:right w:val="nil"/>
            </w:tcBorders>
            <w:hideMark/>
          </w:tcPr>
          <w:p w14:paraId="66A1A892"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0</w:t>
            </w:r>
          </w:p>
        </w:tc>
        <w:tc>
          <w:tcPr>
            <w:tcW w:w="527" w:type="pct"/>
            <w:tcBorders>
              <w:top w:val="nil"/>
              <w:left w:val="nil"/>
              <w:bottom w:val="nil"/>
              <w:right w:val="nil"/>
            </w:tcBorders>
            <w:hideMark/>
          </w:tcPr>
          <w:p w14:paraId="62CCC786"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10206</w:t>
            </w:r>
          </w:p>
        </w:tc>
      </w:tr>
      <w:tr w:rsidR="00695826" w:rsidRPr="00695826" w14:paraId="3AF7D365" w14:textId="77777777" w:rsidTr="00695826">
        <w:tc>
          <w:tcPr>
            <w:tcW w:w="1394" w:type="pct"/>
            <w:vMerge/>
            <w:tcBorders>
              <w:left w:val="nil"/>
              <w:right w:val="nil"/>
            </w:tcBorders>
          </w:tcPr>
          <w:p w14:paraId="146651C2" w14:textId="77777777" w:rsidR="00CD4846" w:rsidRPr="00695826" w:rsidRDefault="00CD4846" w:rsidP="00695826">
            <w:pPr>
              <w:spacing w:line="240" w:lineRule="auto"/>
              <w:rPr>
                <w:rFonts w:cs="Times New Roman"/>
                <w:sz w:val="20"/>
                <w:szCs w:val="20"/>
                <w:lang/>
              </w:rPr>
            </w:pPr>
          </w:p>
        </w:tc>
        <w:tc>
          <w:tcPr>
            <w:tcW w:w="1824" w:type="pct"/>
            <w:tcBorders>
              <w:top w:val="nil"/>
              <w:left w:val="nil"/>
              <w:bottom w:val="nil"/>
              <w:right w:val="nil"/>
            </w:tcBorders>
            <w:hideMark/>
          </w:tcPr>
          <w:p w14:paraId="345B3E91"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Outward Relo</w:t>
            </w:r>
            <w:r w:rsidRPr="00695826">
              <w:rPr>
                <w:rFonts w:cs="Times New Roman"/>
                <w:sz w:val="20"/>
                <w:szCs w:val="20"/>
                <w:lang/>
              </w:rPr>
              <w:t>c</w:t>
            </w:r>
            <w:r w:rsidRPr="00695826">
              <w:rPr>
                <w:rFonts w:cs="Times New Roman"/>
                <w:sz w:val="20"/>
                <w:szCs w:val="20"/>
                <w:lang/>
              </w:rPr>
              <w:t>ations (t-1)</w:t>
            </w:r>
          </w:p>
        </w:tc>
        <w:tc>
          <w:tcPr>
            <w:tcW w:w="391" w:type="pct"/>
            <w:tcBorders>
              <w:top w:val="nil"/>
              <w:left w:val="nil"/>
              <w:bottom w:val="nil"/>
              <w:right w:val="nil"/>
            </w:tcBorders>
            <w:hideMark/>
          </w:tcPr>
          <w:p w14:paraId="2B7C1845"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1.0</w:t>
            </w:r>
            <w:r w:rsidRPr="00695826">
              <w:rPr>
                <w:rFonts w:cs="Times New Roman"/>
                <w:sz w:val="20"/>
                <w:szCs w:val="20"/>
                <w:lang/>
              </w:rPr>
              <w:t>5</w:t>
            </w:r>
          </w:p>
        </w:tc>
        <w:tc>
          <w:tcPr>
            <w:tcW w:w="557" w:type="pct"/>
            <w:gridSpan w:val="4"/>
            <w:tcBorders>
              <w:top w:val="nil"/>
              <w:left w:val="nil"/>
              <w:bottom w:val="nil"/>
              <w:right w:val="nil"/>
            </w:tcBorders>
            <w:hideMark/>
          </w:tcPr>
          <w:p w14:paraId="52BBCF81"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22.9</w:t>
            </w:r>
          </w:p>
        </w:tc>
        <w:tc>
          <w:tcPr>
            <w:tcW w:w="306" w:type="pct"/>
            <w:tcBorders>
              <w:top w:val="nil"/>
              <w:left w:val="nil"/>
              <w:bottom w:val="nil"/>
              <w:right w:val="nil"/>
            </w:tcBorders>
            <w:hideMark/>
          </w:tcPr>
          <w:p w14:paraId="0A1469CC"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0</w:t>
            </w:r>
          </w:p>
        </w:tc>
        <w:tc>
          <w:tcPr>
            <w:tcW w:w="527" w:type="pct"/>
            <w:tcBorders>
              <w:top w:val="nil"/>
              <w:left w:val="nil"/>
              <w:bottom w:val="nil"/>
              <w:right w:val="nil"/>
            </w:tcBorders>
            <w:hideMark/>
          </w:tcPr>
          <w:p w14:paraId="4C2B7A18"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3575</w:t>
            </w:r>
          </w:p>
        </w:tc>
      </w:tr>
      <w:tr w:rsidR="00695826" w:rsidRPr="00695826" w14:paraId="628B2CE9" w14:textId="77777777" w:rsidTr="00695826">
        <w:tc>
          <w:tcPr>
            <w:tcW w:w="1394" w:type="pct"/>
            <w:vMerge/>
            <w:tcBorders>
              <w:left w:val="nil"/>
              <w:right w:val="nil"/>
            </w:tcBorders>
          </w:tcPr>
          <w:p w14:paraId="50759A04" w14:textId="77777777" w:rsidR="00CD4846" w:rsidRPr="00695826" w:rsidRDefault="00CD4846" w:rsidP="00695826">
            <w:pPr>
              <w:spacing w:line="240" w:lineRule="auto"/>
              <w:rPr>
                <w:rFonts w:cs="Times New Roman"/>
                <w:sz w:val="20"/>
                <w:szCs w:val="20"/>
                <w:lang/>
              </w:rPr>
            </w:pPr>
          </w:p>
        </w:tc>
        <w:tc>
          <w:tcPr>
            <w:tcW w:w="1824" w:type="pct"/>
            <w:tcBorders>
              <w:top w:val="nil"/>
              <w:left w:val="nil"/>
              <w:bottom w:val="nil"/>
              <w:right w:val="nil"/>
            </w:tcBorders>
            <w:hideMark/>
          </w:tcPr>
          <w:p w14:paraId="4AA25A81"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Total Exits (t-1)</w:t>
            </w:r>
          </w:p>
        </w:tc>
        <w:tc>
          <w:tcPr>
            <w:tcW w:w="391" w:type="pct"/>
            <w:tcBorders>
              <w:top w:val="nil"/>
              <w:left w:val="nil"/>
              <w:bottom w:val="nil"/>
              <w:right w:val="nil"/>
            </w:tcBorders>
            <w:hideMark/>
          </w:tcPr>
          <w:p w14:paraId="5176D28A"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3</w:t>
            </w:r>
            <w:r w:rsidRPr="00695826">
              <w:rPr>
                <w:rFonts w:cs="Times New Roman"/>
                <w:sz w:val="20"/>
                <w:szCs w:val="20"/>
                <w:lang/>
              </w:rPr>
              <w:t>2.0</w:t>
            </w:r>
          </w:p>
        </w:tc>
        <w:tc>
          <w:tcPr>
            <w:tcW w:w="557" w:type="pct"/>
            <w:gridSpan w:val="4"/>
            <w:tcBorders>
              <w:top w:val="nil"/>
              <w:left w:val="nil"/>
              <w:bottom w:val="nil"/>
              <w:right w:val="nil"/>
            </w:tcBorders>
            <w:hideMark/>
          </w:tcPr>
          <w:p w14:paraId="5677E381"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149</w:t>
            </w:r>
          </w:p>
        </w:tc>
        <w:tc>
          <w:tcPr>
            <w:tcW w:w="306" w:type="pct"/>
            <w:tcBorders>
              <w:top w:val="nil"/>
              <w:left w:val="nil"/>
              <w:bottom w:val="nil"/>
              <w:right w:val="nil"/>
            </w:tcBorders>
            <w:hideMark/>
          </w:tcPr>
          <w:p w14:paraId="505FB0DE"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0</w:t>
            </w:r>
          </w:p>
        </w:tc>
        <w:tc>
          <w:tcPr>
            <w:tcW w:w="527" w:type="pct"/>
            <w:tcBorders>
              <w:top w:val="nil"/>
              <w:left w:val="nil"/>
              <w:bottom w:val="nil"/>
              <w:right w:val="nil"/>
            </w:tcBorders>
            <w:hideMark/>
          </w:tcPr>
          <w:p w14:paraId="021108CC"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11862</w:t>
            </w:r>
          </w:p>
        </w:tc>
      </w:tr>
      <w:tr w:rsidR="00695826" w:rsidRPr="00695826" w14:paraId="50C7C692" w14:textId="77777777" w:rsidTr="00695826">
        <w:tc>
          <w:tcPr>
            <w:tcW w:w="1394" w:type="pct"/>
            <w:vMerge/>
            <w:tcBorders>
              <w:left w:val="nil"/>
              <w:right w:val="nil"/>
            </w:tcBorders>
          </w:tcPr>
          <w:p w14:paraId="1046C655" w14:textId="77777777" w:rsidR="00CD4846" w:rsidRPr="00695826" w:rsidRDefault="00CD4846" w:rsidP="00695826">
            <w:pPr>
              <w:spacing w:line="240" w:lineRule="auto"/>
              <w:rPr>
                <w:rFonts w:cs="Times New Roman"/>
                <w:sz w:val="20"/>
                <w:szCs w:val="20"/>
                <w:lang/>
              </w:rPr>
            </w:pPr>
          </w:p>
        </w:tc>
        <w:tc>
          <w:tcPr>
            <w:tcW w:w="1824" w:type="pct"/>
            <w:tcBorders>
              <w:top w:val="nil"/>
              <w:left w:val="nil"/>
              <w:bottom w:val="nil"/>
              <w:right w:val="nil"/>
            </w:tcBorders>
            <w:hideMark/>
          </w:tcPr>
          <w:p w14:paraId="063373A3"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Sales Volume (t-1)</w:t>
            </w:r>
          </w:p>
        </w:tc>
        <w:tc>
          <w:tcPr>
            <w:tcW w:w="391" w:type="pct"/>
            <w:tcBorders>
              <w:top w:val="nil"/>
              <w:left w:val="nil"/>
              <w:bottom w:val="nil"/>
              <w:right w:val="nil"/>
            </w:tcBorders>
            <w:hideMark/>
          </w:tcPr>
          <w:p w14:paraId="7EE7F600"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98624</w:t>
            </w:r>
            <w:r w:rsidRPr="00695826">
              <w:rPr>
                <w:rFonts w:cs="Times New Roman"/>
                <w:sz w:val="20"/>
                <w:szCs w:val="20"/>
                <w:lang/>
              </w:rPr>
              <w:t>1</w:t>
            </w:r>
          </w:p>
        </w:tc>
        <w:tc>
          <w:tcPr>
            <w:tcW w:w="557" w:type="pct"/>
            <w:gridSpan w:val="4"/>
            <w:tcBorders>
              <w:top w:val="nil"/>
              <w:left w:val="nil"/>
              <w:bottom w:val="nil"/>
              <w:right w:val="nil"/>
            </w:tcBorders>
            <w:hideMark/>
          </w:tcPr>
          <w:p w14:paraId="23D54A46"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3946004</w:t>
            </w:r>
          </w:p>
        </w:tc>
        <w:tc>
          <w:tcPr>
            <w:tcW w:w="306" w:type="pct"/>
            <w:tcBorders>
              <w:top w:val="nil"/>
              <w:left w:val="nil"/>
              <w:bottom w:val="nil"/>
              <w:right w:val="nil"/>
            </w:tcBorders>
            <w:hideMark/>
          </w:tcPr>
          <w:p w14:paraId="488F250A"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0</w:t>
            </w:r>
          </w:p>
        </w:tc>
        <w:tc>
          <w:tcPr>
            <w:tcW w:w="527" w:type="pct"/>
            <w:tcBorders>
              <w:top w:val="nil"/>
              <w:left w:val="nil"/>
              <w:bottom w:val="nil"/>
              <w:right w:val="nil"/>
            </w:tcBorders>
            <w:hideMark/>
          </w:tcPr>
          <w:p w14:paraId="368CC0A8"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1.99e+08</w:t>
            </w:r>
          </w:p>
        </w:tc>
      </w:tr>
      <w:tr w:rsidR="00695826" w:rsidRPr="00695826" w14:paraId="1AF39B02" w14:textId="77777777" w:rsidTr="00695826">
        <w:tc>
          <w:tcPr>
            <w:tcW w:w="1394" w:type="pct"/>
            <w:vMerge/>
            <w:tcBorders>
              <w:left w:val="nil"/>
              <w:bottom w:val="single" w:sz="6" w:space="0" w:color="auto"/>
              <w:right w:val="nil"/>
            </w:tcBorders>
          </w:tcPr>
          <w:p w14:paraId="1B19AB34" w14:textId="77777777" w:rsidR="00CD4846" w:rsidRPr="00695826" w:rsidRDefault="00CD4846" w:rsidP="00695826">
            <w:pPr>
              <w:spacing w:line="240" w:lineRule="auto"/>
              <w:rPr>
                <w:rFonts w:cs="Times New Roman"/>
                <w:sz w:val="20"/>
                <w:szCs w:val="20"/>
                <w:lang/>
              </w:rPr>
            </w:pPr>
          </w:p>
        </w:tc>
        <w:tc>
          <w:tcPr>
            <w:tcW w:w="1824" w:type="pct"/>
            <w:tcBorders>
              <w:top w:val="nil"/>
              <w:left w:val="nil"/>
              <w:bottom w:val="single" w:sz="6" w:space="0" w:color="auto"/>
              <w:right w:val="nil"/>
            </w:tcBorders>
          </w:tcPr>
          <w:p w14:paraId="42C9AD67"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Loc. Economies (t-1)</w:t>
            </w:r>
          </w:p>
        </w:tc>
        <w:tc>
          <w:tcPr>
            <w:tcW w:w="391" w:type="pct"/>
            <w:tcBorders>
              <w:top w:val="nil"/>
              <w:left w:val="nil"/>
              <w:bottom w:val="single" w:sz="6" w:space="0" w:color="auto"/>
              <w:right w:val="nil"/>
            </w:tcBorders>
          </w:tcPr>
          <w:p w14:paraId="4E0E1525"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14</w:t>
            </w:r>
            <w:r w:rsidRPr="00695826">
              <w:rPr>
                <w:rFonts w:cs="Times New Roman"/>
                <w:sz w:val="20"/>
                <w:szCs w:val="20"/>
                <w:lang/>
              </w:rPr>
              <w:t>8</w:t>
            </w:r>
          </w:p>
        </w:tc>
        <w:tc>
          <w:tcPr>
            <w:tcW w:w="557" w:type="pct"/>
            <w:gridSpan w:val="4"/>
            <w:tcBorders>
              <w:top w:val="nil"/>
              <w:left w:val="nil"/>
              <w:bottom w:val="single" w:sz="6" w:space="0" w:color="auto"/>
              <w:right w:val="nil"/>
            </w:tcBorders>
          </w:tcPr>
          <w:p w14:paraId="0D4E0649"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570</w:t>
            </w:r>
          </w:p>
        </w:tc>
        <w:tc>
          <w:tcPr>
            <w:tcW w:w="306" w:type="pct"/>
            <w:tcBorders>
              <w:top w:val="nil"/>
              <w:left w:val="nil"/>
              <w:bottom w:val="single" w:sz="6" w:space="0" w:color="auto"/>
              <w:right w:val="nil"/>
            </w:tcBorders>
          </w:tcPr>
          <w:p w14:paraId="0553C9D5"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1</w:t>
            </w:r>
          </w:p>
        </w:tc>
        <w:tc>
          <w:tcPr>
            <w:tcW w:w="527" w:type="pct"/>
            <w:tcBorders>
              <w:top w:val="nil"/>
              <w:left w:val="nil"/>
              <w:bottom w:val="single" w:sz="6" w:space="0" w:color="auto"/>
              <w:right w:val="nil"/>
            </w:tcBorders>
          </w:tcPr>
          <w:p w14:paraId="7A72A367" w14:textId="77777777" w:rsidR="00CD4846" w:rsidRPr="00695826" w:rsidRDefault="00CD4846" w:rsidP="00695826">
            <w:pPr>
              <w:spacing w:line="240" w:lineRule="auto"/>
              <w:rPr>
                <w:rFonts w:cs="Times New Roman"/>
                <w:sz w:val="20"/>
                <w:szCs w:val="20"/>
                <w:lang/>
              </w:rPr>
            </w:pPr>
            <w:r w:rsidRPr="00695826">
              <w:rPr>
                <w:rFonts w:cs="Times New Roman"/>
                <w:sz w:val="20"/>
                <w:szCs w:val="20"/>
                <w:lang/>
              </w:rPr>
              <w:t>27802</w:t>
            </w:r>
          </w:p>
        </w:tc>
      </w:tr>
    </w:tbl>
    <w:p w14:paraId="0E8E677B" w14:textId="3E85C9F7" w:rsidR="00CD4846" w:rsidRPr="00695826" w:rsidRDefault="00CD4846" w:rsidP="00695826">
      <w:pPr>
        <w:spacing w:line="240" w:lineRule="auto"/>
        <w:rPr>
          <w:sz w:val="18"/>
          <w:szCs w:val="18"/>
          <w:lang/>
        </w:rPr>
      </w:pPr>
      <w:r w:rsidRPr="00695826">
        <w:rPr>
          <w:sz w:val="20"/>
          <w:szCs w:val="20"/>
          <w:lang/>
        </w:rPr>
        <w:t>T</w:t>
      </w:r>
      <w:r w:rsidRPr="00695826">
        <w:rPr>
          <w:sz w:val="20"/>
          <w:szCs w:val="20"/>
          <w:lang/>
        </w:rPr>
        <w:t xml:space="preserve">able </w:t>
      </w:r>
      <w:r w:rsidRPr="00695826">
        <w:rPr>
          <w:sz w:val="20"/>
          <w:szCs w:val="20"/>
          <w:lang/>
        </w:rPr>
        <w:t>A28</w:t>
      </w:r>
      <w:r w:rsidR="002A78A3">
        <w:rPr>
          <w:sz w:val="20"/>
          <w:szCs w:val="20"/>
          <w:lang/>
        </w:rPr>
        <w:t>:</w:t>
      </w:r>
      <w:r w:rsidRPr="00695826">
        <w:rPr>
          <w:sz w:val="20"/>
          <w:szCs w:val="20"/>
          <w:lang/>
        </w:rPr>
        <w:t xml:space="preserve"> </w:t>
      </w:r>
      <w:r w:rsidR="002A78A3">
        <w:rPr>
          <w:sz w:val="20"/>
          <w:szCs w:val="20"/>
          <w:lang/>
        </w:rPr>
        <w:t>S</w:t>
      </w:r>
      <w:r w:rsidRPr="00695826">
        <w:rPr>
          <w:sz w:val="20"/>
          <w:szCs w:val="20"/>
          <w:lang/>
        </w:rPr>
        <w:t>ummary statistics (mean, standard deviation, minimum, and maximum) for lagged sector-specific explanatory variables across individual LIS sectors (NAICS 11, 21, 22, and 23) and the representative non-LIS sector (NAICS 31–33). The variables include lagged establishment dynamics (e.g., births, deaths, total entries and exits, and relocations by type) and key economic indicators (e.g., sales volume and localization economies). These variables capture intertemporal dependencies in business location outcomes, contributing to the robustness of econometric models. Values are based on county-level observations between 1998 and 2018.</w:t>
      </w:r>
    </w:p>
    <w:p w14:paraId="0824A5AA" w14:textId="77777777" w:rsidR="00CD4846" w:rsidRPr="00CD4846" w:rsidRDefault="00CD4846" w:rsidP="004C39A4">
      <w:pPr>
        <w:spacing w:line="259" w:lineRule="auto"/>
        <w:rPr>
          <w:rFonts w:ascii="Calibri Light" w:eastAsia="Times New Roman" w:hAnsi="Calibri Light" w:cs="Times New Roman"/>
          <w:b/>
          <w:bCs/>
          <w:color w:val="2F5496"/>
          <w:kern w:val="2"/>
          <w14:ligatures w14:val="standardContextual"/>
        </w:rPr>
      </w:pPr>
      <w:r w:rsidRPr="00CD4846">
        <w:rPr>
          <w:rFonts w:ascii="DengXian" w:hAnsi="DengXian" w:cs="Times New Roman"/>
          <w:b/>
          <w:bCs/>
          <w:kern w:val="2"/>
          <w:lang/>
        </w:rPr>
        <w:br w:type="page"/>
      </w:r>
    </w:p>
    <w:p w14:paraId="00F42548" w14:textId="77777777" w:rsidR="00CD4846" w:rsidRPr="00CD4846" w:rsidRDefault="00CD4846" w:rsidP="00095E25">
      <w:pPr>
        <w:pStyle w:val="Title"/>
      </w:pPr>
      <w:bookmarkStart w:id="324" w:name="_Toc186799433"/>
      <w:bookmarkStart w:id="325" w:name="_Toc188359634"/>
      <w:bookmarkStart w:id="326" w:name="_Toc188359922"/>
      <w:bookmarkStart w:id="327" w:name="_Toc188361158"/>
      <w:bookmarkStart w:id="328" w:name="_Toc188367002"/>
      <w:r w:rsidRPr="00CD4846">
        <w:lastRenderedPageBreak/>
        <w:t>Table A29: Summary Statistics of Sector Outcome Variables</w:t>
      </w:r>
      <w:bookmarkEnd w:id="324"/>
      <w:bookmarkEnd w:id="325"/>
      <w:bookmarkEnd w:id="326"/>
      <w:bookmarkEnd w:id="327"/>
      <w:bookmarkEnd w:id="328"/>
      <w:r w:rsidRPr="00CD4846">
        <w:t xml:space="preserve"> </w:t>
      </w:r>
    </w:p>
    <w:tbl>
      <w:tblPr>
        <w:tblW w:w="5000" w:type="pct"/>
        <w:tblLook w:val="04A0" w:firstRow="1" w:lastRow="0" w:firstColumn="1" w:lastColumn="0" w:noHBand="0" w:noVBand="1"/>
      </w:tblPr>
      <w:tblGrid>
        <w:gridCol w:w="2541"/>
        <w:gridCol w:w="3404"/>
        <w:gridCol w:w="705"/>
        <w:gridCol w:w="1074"/>
        <w:gridCol w:w="14"/>
        <w:gridCol w:w="738"/>
        <w:gridCol w:w="884"/>
      </w:tblGrid>
      <w:tr w:rsidR="0057442E" w:rsidRPr="00695826" w14:paraId="067DCE3F" w14:textId="77777777" w:rsidTr="001D05EE">
        <w:tc>
          <w:tcPr>
            <w:tcW w:w="1358" w:type="pct"/>
            <w:tcBorders>
              <w:top w:val="single" w:sz="4" w:space="0" w:color="auto"/>
              <w:left w:val="nil"/>
              <w:bottom w:val="single" w:sz="12" w:space="0" w:color="auto"/>
              <w:right w:val="nil"/>
            </w:tcBorders>
          </w:tcPr>
          <w:p w14:paraId="3146E950" w14:textId="77777777" w:rsidR="00CD4846" w:rsidRPr="00695826" w:rsidRDefault="00CD4846" w:rsidP="00695826">
            <w:pPr>
              <w:spacing w:line="240" w:lineRule="auto"/>
              <w:rPr>
                <w:rFonts w:cs="Times New Roman"/>
                <w:b/>
                <w:bCs/>
                <w:kern w:val="2"/>
                <w:sz w:val="20"/>
                <w:szCs w:val="20"/>
                <w:lang/>
              </w:rPr>
            </w:pPr>
            <w:r w:rsidRPr="00695826">
              <w:rPr>
                <w:rFonts w:cs="Times New Roman"/>
                <w:b/>
                <w:bCs/>
                <w:kern w:val="2"/>
                <w:sz w:val="20"/>
                <w:szCs w:val="20"/>
                <w:lang/>
              </w:rPr>
              <w:t>NAICS Sector</w:t>
            </w:r>
          </w:p>
        </w:tc>
        <w:tc>
          <w:tcPr>
            <w:tcW w:w="1819" w:type="pct"/>
            <w:tcBorders>
              <w:top w:val="single" w:sz="4" w:space="0" w:color="auto"/>
              <w:left w:val="nil"/>
              <w:bottom w:val="single" w:sz="12" w:space="0" w:color="auto"/>
              <w:right w:val="nil"/>
            </w:tcBorders>
            <w:hideMark/>
          </w:tcPr>
          <w:p w14:paraId="087177B6" w14:textId="77777777" w:rsidR="00CD4846" w:rsidRPr="00695826" w:rsidRDefault="00CD4846" w:rsidP="00695826">
            <w:pPr>
              <w:spacing w:line="240" w:lineRule="auto"/>
              <w:rPr>
                <w:rFonts w:cs="Times New Roman"/>
                <w:b/>
                <w:bCs/>
                <w:kern w:val="2"/>
                <w:sz w:val="20"/>
                <w:szCs w:val="20"/>
                <w:lang/>
              </w:rPr>
            </w:pPr>
            <w:r w:rsidRPr="00695826">
              <w:rPr>
                <w:rFonts w:cs="Times New Roman"/>
                <w:b/>
                <w:bCs/>
                <w:kern w:val="2"/>
                <w:sz w:val="20"/>
                <w:szCs w:val="20"/>
                <w:lang/>
              </w:rPr>
              <w:t>Variables</w:t>
            </w:r>
          </w:p>
        </w:tc>
        <w:tc>
          <w:tcPr>
            <w:tcW w:w="375" w:type="pct"/>
            <w:tcBorders>
              <w:top w:val="single" w:sz="4" w:space="0" w:color="auto"/>
              <w:left w:val="nil"/>
              <w:bottom w:val="single" w:sz="12" w:space="0" w:color="auto"/>
              <w:right w:val="nil"/>
            </w:tcBorders>
            <w:hideMark/>
          </w:tcPr>
          <w:p w14:paraId="040A3156" w14:textId="77777777" w:rsidR="00CD4846" w:rsidRPr="00695826" w:rsidRDefault="00CD4846" w:rsidP="00695826">
            <w:pPr>
              <w:spacing w:line="240" w:lineRule="auto"/>
              <w:rPr>
                <w:rFonts w:cs="Times New Roman"/>
                <w:b/>
                <w:bCs/>
                <w:kern w:val="2"/>
                <w:sz w:val="20"/>
                <w:szCs w:val="20"/>
                <w:lang/>
              </w:rPr>
            </w:pPr>
            <w:r w:rsidRPr="00695826">
              <w:rPr>
                <w:rFonts w:cs="Times New Roman"/>
                <w:b/>
                <w:bCs/>
                <w:kern w:val="2"/>
                <w:sz w:val="20"/>
                <w:szCs w:val="20"/>
                <w:lang/>
              </w:rPr>
              <w:t>Mean</w:t>
            </w:r>
          </w:p>
        </w:tc>
        <w:tc>
          <w:tcPr>
            <w:tcW w:w="574" w:type="pct"/>
            <w:tcBorders>
              <w:top w:val="single" w:sz="4" w:space="0" w:color="auto"/>
              <w:left w:val="nil"/>
              <w:bottom w:val="single" w:sz="12" w:space="0" w:color="auto"/>
              <w:right w:val="nil"/>
            </w:tcBorders>
            <w:hideMark/>
          </w:tcPr>
          <w:p w14:paraId="16137285" w14:textId="77777777" w:rsidR="00CD4846" w:rsidRPr="00695826" w:rsidRDefault="00CD4846" w:rsidP="00695826">
            <w:pPr>
              <w:spacing w:line="240" w:lineRule="auto"/>
              <w:rPr>
                <w:rFonts w:cs="Times New Roman"/>
                <w:b/>
                <w:bCs/>
                <w:kern w:val="2"/>
                <w:sz w:val="20"/>
                <w:szCs w:val="20"/>
                <w:lang/>
              </w:rPr>
            </w:pPr>
            <w:r w:rsidRPr="00695826">
              <w:rPr>
                <w:rFonts w:cs="Times New Roman"/>
                <w:b/>
                <w:bCs/>
                <w:kern w:val="2"/>
                <w:sz w:val="20"/>
                <w:szCs w:val="20"/>
                <w:lang/>
              </w:rPr>
              <w:t>SD</w:t>
            </w:r>
          </w:p>
        </w:tc>
        <w:tc>
          <w:tcPr>
            <w:tcW w:w="402" w:type="pct"/>
            <w:gridSpan w:val="2"/>
            <w:tcBorders>
              <w:top w:val="single" w:sz="4" w:space="0" w:color="auto"/>
              <w:left w:val="nil"/>
              <w:bottom w:val="single" w:sz="12" w:space="0" w:color="auto"/>
              <w:right w:val="nil"/>
            </w:tcBorders>
            <w:hideMark/>
          </w:tcPr>
          <w:p w14:paraId="031D11FA" w14:textId="77777777" w:rsidR="00CD4846" w:rsidRPr="00695826" w:rsidRDefault="00CD4846" w:rsidP="00695826">
            <w:pPr>
              <w:spacing w:line="240" w:lineRule="auto"/>
              <w:rPr>
                <w:rFonts w:cs="Times New Roman"/>
                <w:b/>
                <w:bCs/>
                <w:kern w:val="2"/>
                <w:sz w:val="20"/>
                <w:szCs w:val="20"/>
                <w:lang/>
              </w:rPr>
            </w:pPr>
            <w:r w:rsidRPr="00695826">
              <w:rPr>
                <w:rFonts w:cs="Times New Roman"/>
                <w:b/>
                <w:bCs/>
                <w:kern w:val="2"/>
                <w:sz w:val="20"/>
                <w:szCs w:val="20"/>
                <w:lang/>
              </w:rPr>
              <w:t>Min</w:t>
            </w:r>
          </w:p>
        </w:tc>
        <w:tc>
          <w:tcPr>
            <w:tcW w:w="472" w:type="pct"/>
            <w:tcBorders>
              <w:top w:val="single" w:sz="4" w:space="0" w:color="auto"/>
              <w:left w:val="nil"/>
              <w:bottom w:val="single" w:sz="12" w:space="0" w:color="auto"/>
              <w:right w:val="nil"/>
            </w:tcBorders>
            <w:hideMark/>
          </w:tcPr>
          <w:p w14:paraId="0D4761C1" w14:textId="77777777" w:rsidR="00CD4846" w:rsidRPr="00695826" w:rsidRDefault="00CD4846" w:rsidP="00695826">
            <w:pPr>
              <w:spacing w:line="240" w:lineRule="auto"/>
              <w:rPr>
                <w:rFonts w:cs="Times New Roman"/>
                <w:b/>
                <w:bCs/>
                <w:kern w:val="2"/>
                <w:sz w:val="20"/>
                <w:szCs w:val="20"/>
                <w:lang/>
              </w:rPr>
            </w:pPr>
            <w:r w:rsidRPr="00695826">
              <w:rPr>
                <w:rFonts w:cs="Times New Roman"/>
                <w:b/>
                <w:bCs/>
                <w:kern w:val="2"/>
                <w:sz w:val="20"/>
                <w:szCs w:val="20"/>
                <w:lang/>
              </w:rPr>
              <w:t>Max</w:t>
            </w:r>
          </w:p>
        </w:tc>
      </w:tr>
      <w:tr w:rsidR="0057442E" w:rsidRPr="00695826" w14:paraId="144FEE0D" w14:textId="77777777" w:rsidTr="001D05EE">
        <w:tc>
          <w:tcPr>
            <w:tcW w:w="1358" w:type="pct"/>
            <w:vMerge w:val="restart"/>
            <w:tcBorders>
              <w:top w:val="single" w:sz="12" w:space="0" w:color="auto"/>
              <w:left w:val="nil"/>
              <w:right w:val="nil"/>
            </w:tcBorders>
          </w:tcPr>
          <w:p w14:paraId="235DFE4A" w14:textId="7A88593E" w:rsidR="00CD4846" w:rsidRPr="001D05EE" w:rsidRDefault="00CD4846" w:rsidP="00695826">
            <w:pPr>
              <w:spacing w:line="240" w:lineRule="auto"/>
              <w:rPr>
                <w:rFonts w:cs="Times New Roman"/>
                <w:kern w:val="2"/>
                <w:sz w:val="20"/>
                <w:szCs w:val="20"/>
                <w:lang/>
              </w:rPr>
            </w:pPr>
            <w:r w:rsidRPr="001D05EE">
              <w:rPr>
                <w:rFonts w:cs="Times New Roman"/>
                <w:kern w:val="2"/>
                <w:sz w:val="20"/>
                <w:szCs w:val="20"/>
                <w:lang/>
              </w:rPr>
              <w:t>11</w:t>
            </w:r>
          </w:p>
          <w:p w14:paraId="67F120AE" w14:textId="77777777" w:rsidR="00CD4846" w:rsidRPr="001D05EE" w:rsidRDefault="00CD4846" w:rsidP="00695826">
            <w:pPr>
              <w:spacing w:line="240" w:lineRule="auto"/>
              <w:rPr>
                <w:rFonts w:cs="Times New Roman"/>
                <w:kern w:val="2"/>
                <w:sz w:val="20"/>
                <w:szCs w:val="20"/>
                <w:lang/>
              </w:rPr>
            </w:pPr>
            <w:r w:rsidRPr="001D05EE">
              <w:rPr>
                <w:rFonts w:cs="Times New Roman"/>
                <w:kern w:val="2"/>
                <w:sz w:val="20"/>
                <w:szCs w:val="20"/>
                <w:lang/>
              </w:rPr>
              <w:t>-</w:t>
            </w:r>
          </w:p>
          <w:p w14:paraId="287FB2EE" w14:textId="5BD492D6" w:rsidR="00CD4846" w:rsidRPr="001D05EE" w:rsidRDefault="00CD4846" w:rsidP="00695826">
            <w:pPr>
              <w:spacing w:line="240" w:lineRule="auto"/>
              <w:rPr>
                <w:rFonts w:cs="Times New Roman"/>
                <w:kern w:val="2"/>
                <w:sz w:val="20"/>
                <w:szCs w:val="20"/>
                <w:lang/>
              </w:rPr>
            </w:pPr>
            <w:r w:rsidRPr="001D05EE">
              <w:rPr>
                <w:rFonts w:cs="Times New Roman"/>
                <w:kern w:val="2"/>
                <w:sz w:val="20"/>
                <w:szCs w:val="20"/>
                <w:lang/>
              </w:rPr>
              <w:t>Agriculture, Forestry, Fishing, and Hunting</w:t>
            </w:r>
          </w:p>
        </w:tc>
        <w:tc>
          <w:tcPr>
            <w:tcW w:w="1819" w:type="pct"/>
            <w:tcBorders>
              <w:top w:val="single" w:sz="12" w:space="0" w:color="auto"/>
              <w:left w:val="nil"/>
              <w:bottom w:val="nil"/>
              <w:right w:val="nil"/>
            </w:tcBorders>
            <w:hideMark/>
          </w:tcPr>
          <w:p w14:paraId="46000C0F"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B</w:t>
            </w:r>
            <w:r w:rsidRPr="00695826">
              <w:rPr>
                <w:rFonts w:cs="Times New Roman"/>
                <w:kern w:val="2"/>
                <w:sz w:val="20"/>
                <w:szCs w:val="20"/>
                <w:lang/>
              </w:rPr>
              <w:t>irths</w:t>
            </w:r>
          </w:p>
        </w:tc>
        <w:tc>
          <w:tcPr>
            <w:tcW w:w="375" w:type="pct"/>
            <w:tcBorders>
              <w:top w:val="single" w:sz="12" w:space="0" w:color="auto"/>
              <w:left w:val="nil"/>
              <w:bottom w:val="nil"/>
              <w:right w:val="nil"/>
            </w:tcBorders>
            <w:hideMark/>
          </w:tcPr>
          <w:p w14:paraId="0ADB6CC0"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4.95</w:t>
            </w:r>
          </w:p>
        </w:tc>
        <w:tc>
          <w:tcPr>
            <w:tcW w:w="574" w:type="pct"/>
            <w:tcBorders>
              <w:top w:val="single" w:sz="12" w:space="0" w:color="auto"/>
              <w:left w:val="nil"/>
              <w:bottom w:val="nil"/>
              <w:right w:val="nil"/>
            </w:tcBorders>
            <w:hideMark/>
          </w:tcPr>
          <w:p w14:paraId="1EE7B84D"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9.08</w:t>
            </w:r>
          </w:p>
        </w:tc>
        <w:tc>
          <w:tcPr>
            <w:tcW w:w="402" w:type="pct"/>
            <w:gridSpan w:val="2"/>
            <w:tcBorders>
              <w:top w:val="single" w:sz="12" w:space="0" w:color="auto"/>
              <w:left w:val="nil"/>
              <w:bottom w:val="nil"/>
              <w:right w:val="nil"/>
            </w:tcBorders>
            <w:hideMark/>
          </w:tcPr>
          <w:p w14:paraId="3A961E71"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0</w:t>
            </w:r>
          </w:p>
        </w:tc>
        <w:tc>
          <w:tcPr>
            <w:tcW w:w="472" w:type="pct"/>
            <w:tcBorders>
              <w:top w:val="single" w:sz="12" w:space="0" w:color="auto"/>
              <w:left w:val="nil"/>
              <w:bottom w:val="nil"/>
              <w:right w:val="nil"/>
            </w:tcBorders>
            <w:hideMark/>
          </w:tcPr>
          <w:p w14:paraId="2C1A9EEE"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290</w:t>
            </w:r>
          </w:p>
        </w:tc>
      </w:tr>
      <w:tr w:rsidR="0057442E" w:rsidRPr="00695826" w14:paraId="525BEEE0" w14:textId="77777777" w:rsidTr="001D05EE">
        <w:tc>
          <w:tcPr>
            <w:tcW w:w="1358" w:type="pct"/>
            <w:vMerge/>
            <w:tcBorders>
              <w:left w:val="nil"/>
              <w:right w:val="nil"/>
            </w:tcBorders>
          </w:tcPr>
          <w:p w14:paraId="596C172D" w14:textId="77777777" w:rsidR="00CD4846" w:rsidRPr="001D05EE" w:rsidRDefault="00CD4846" w:rsidP="00695826">
            <w:pPr>
              <w:spacing w:line="240" w:lineRule="auto"/>
              <w:rPr>
                <w:rFonts w:cs="Times New Roman"/>
                <w:kern w:val="2"/>
                <w:sz w:val="20"/>
                <w:szCs w:val="20"/>
                <w:lang/>
              </w:rPr>
            </w:pPr>
          </w:p>
        </w:tc>
        <w:tc>
          <w:tcPr>
            <w:tcW w:w="1819" w:type="pct"/>
            <w:tcBorders>
              <w:top w:val="nil"/>
              <w:left w:val="nil"/>
              <w:bottom w:val="nil"/>
              <w:right w:val="nil"/>
            </w:tcBorders>
            <w:hideMark/>
          </w:tcPr>
          <w:p w14:paraId="22C20ADE"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I</w:t>
            </w:r>
            <w:r w:rsidRPr="00695826">
              <w:rPr>
                <w:rFonts w:cs="Times New Roman"/>
                <w:kern w:val="2"/>
                <w:sz w:val="20"/>
                <w:szCs w:val="20"/>
                <w:lang/>
              </w:rPr>
              <w:t xml:space="preserve">nward </w:t>
            </w:r>
            <w:r w:rsidRPr="00695826">
              <w:rPr>
                <w:rFonts w:cs="Times New Roman"/>
                <w:kern w:val="2"/>
                <w:sz w:val="20"/>
                <w:szCs w:val="20"/>
                <w:lang/>
              </w:rPr>
              <w:t>R</w:t>
            </w:r>
            <w:r w:rsidRPr="00695826">
              <w:rPr>
                <w:rFonts w:cs="Times New Roman"/>
                <w:kern w:val="2"/>
                <w:sz w:val="20"/>
                <w:szCs w:val="20"/>
                <w:lang/>
              </w:rPr>
              <w:t>elocations</w:t>
            </w:r>
          </w:p>
        </w:tc>
        <w:tc>
          <w:tcPr>
            <w:tcW w:w="375" w:type="pct"/>
            <w:tcBorders>
              <w:top w:val="nil"/>
              <w:left w:val="nil"/>
              <w:bottom w:val="nil"/>
              <w:right w:val="nil"/>
            </w:tcBorders>
            <w:hideMark/>
          </w:tcPr>
          <w:p w14:paraId="0927A13F"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.165</w:t>
            </w:r>
          </w:p>
        </w:tc>
        <w:tc>
          <w:tcPr>
            <w:tcW w:w="574" w:type="pct"/>
            <w:tcBorders>
              <w:top w:val="nil"/>
              <w:left w:val="nil"/>
              <w:bottom w:val="nil"/>
              <w:right w:val="nil"/>
            </w:tcBorders>
            <w:hideMark/>
          </w:tcPr>
          <w:p w14:paraId="5061A303"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4.0</w:t>
            </w:r>
            <w:r w:rsidRPr="00695826">
              <w:rPr>
                <w:rFonts w:cs="Times New Roman"/>
                <w:kern w:val="2"/>
                <w:sz w:val="20"/>
                <w:szCs w:val="20"/>
                <w:lang/>
              </w:rPr>
              <w:t>8</w:t>
            </w:r>
          </w:p>
        </w:tc>
        <w:tc>
          <w:tcPr>
            <w:tcW w:w="402" w:type="pct"/>
            <w:gridSpan w:val="2"/>
            <w:tcBorders>
              <w:top w:val="nil"/>
              <w:left w:val="nil"/>
              <w:bottom w:val="nil"/>
              <w:right w:val="nil"/>
            </w:tcBorders>
            <w:hideMark/>
          </w:tcPr>
          <w:p w14:paraId="4CB77B9D"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0</w:t>
            </w:r>
          </w:p>
        </w:tc>
        <w:tc>
          <w:tcPr>
            <w:tcW w:w="472" w:type="pct"/>
            <w:tcBorders>
              <w:top w:val="nil"/>
              <w:left w:val="nil"/>
              <w:bottom w:val="nil"/>
              <w:right w:val="nil"/>
            </w:tcBorders>
            <w:hideMark/>
          </w:tcPr>
          <w:p w14:paraId="360E017D"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630</w:t>
            </w:r>
          </w:p>
        </w:tc>
      </w:tr>
      <w:tr w:rsidR="0057442E" w:rsidRPr="00695826" w14:paraId="2CC7B752" w14:textId="77777777" w:rsidTr="001D05EE">
        <w:tc>
          <w:tcPr>
            <w:tcW w:w="1358" w:type="pct"/>
            <w:vMerge/>
            <w:tcBorders>
              <w:left w:val="nil"/>
              <w:right w:val="nil"/>
            </w:tcBorders>
          </w:tcPr>
          <w:p w14:paraId="2BE7F8BE" w14:textId="77777777" w:rsidR="00CD4846" w:rsidRPr="001D05EE" w:rsidRDefault="00CD4846" w:rsidP="00695826">
            <w:pPr>
              <w:spacing w:line="240" w:lineRule="auto"/>
              <w:rPr>
                <w:rFonts w:cs="Times New Roman"/>
                <w:kern w:val="2"/>
                <w:sz w:val="20"/>
                <w:szCs w:val="20"/>
                <w:lang/>
              </w:rPr>
            </w:pPr>
          </w:p>
        </w:tc>
        <w:tc>
          <w:tcPr>
            <w:tcW w:w="1819" w:type="pct"/>
            <w:tcBorders>
              <w:top w:val="nil"/>
              <w:left w:val="nil"/>
              <w:bottom w:val="nil"/>
              <w:right w:val="nil"/>
            </w:tcBorders>
            <w:hideMark/>
          </w:tcPr>
          <w:p w14:paraId="7D3E640A"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I</w:t>
            </w:r>
            <w:r w:rsidRPr="00695826">
              <w:rPr>
                <w:rFonts w:cs="Times New Roman"/>
                <w:kern w:val="2"/>
                <w:sz w:val="20"/>
                <w:szCs w:val="20"/>
                <w:lang/>
              </w:rPr>
              <w:t>ntra-state</w:t>
            </w:r>
            <w:r w:rsidRPr="00695826">
              <w:rPr>
                <w:rFonts w:cs="Times New Roman"/>
                <w:kern w:val="2"/>
                <w:sz w:val="20"/>
                <w:szCs w:val="20"/>
                <w:lang/>
              </w:rPr>
              <w:t xml:space="preserve"> I</w:t>
            </w:r>
            <w:r w:rsidRPr="00695826">
              <w:rPr>
                <w:rFonts w:cs="Times New Roman"/>
                <w:kern w:val="2"/>
                <w:sz w:val="20"/>
                <w:szCs w:val="20"/>
                <w:lang/>
              </w:rPr>
              <w:t xml:space="preserve">nward </w:t>
            </w:r>
            <w:r w:rsidRPr="00695826">
              <w:rPr>
                <w:rFonts w:cs="Times New Roman"/>
                <w:kern w:val="2"/>
                <w:sz w:val="20"/>
                <w:szCs w:val="20"/>
                <w:lang/>
              </w:rPr>
              <w:t>R</w:t>
            </w:r>
            <w:r w:rsidRPr="00695826">
              <w:rPr>
                <w:rFonts w:cs="Times New Roman"/>
                <w:kern w:val="2"/>
                <w:sz w:val="20"/>
                <w:szCs w:val="20"/>
                <w:lang/>
              </w:rPr>
              <w:t>elocations</w:t>
            </w:r>
          </w:p>
        </w:tc>
        <w:tc>
          <w:tcPr>
            <w:tcW w:w="375" w:type="pct"/>
            <w:tcBorders>
              <w:top w:val="nil"/>
              <w:left w:val="nil"/>
              <w:bottom w:val="nil"/>
              <w:right w:val="nil"/>
            </w:tcBorders>
            <w:hideMark/>
          </w:tcPr>
          <w:p w14:paraId="5D90DDB9"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.164</w:t>
            </w:r>
          </w:p>
        </w:tc>
        <w:tc>
          <w:tcPr>
            <w:tcW w:w="574" w:type="pct"/>
            <w:tcBorders>
              <w:top w:val="nil"/>
              <w:left w:val="nil"/>
              <w:bottom w:val="nil"/>
              <w:right w:val="nil"/>
            </w:tcBorders>
            <w:hideMark/>
          </w:tcPr>
          <w:p w14:paraId="1996F96C"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4.0</w:t>
            </w:r>
            <w:r w:rsidRPr="00695826">
              <w:rPr>
                <w:rFonts w:cs="Times New Roman"/>
                <w:kern w:val="2"/>
                <w:sz w:val="20"/>
                <w:szCs w:val="20"/>
                <w:lang/>
              </w:rPr>
              <w:t>8</w:t>
            </w:r>
          </w:p>
        </w:tc>
        <w:tc>
          <w:tcPr>
            <w:tcW w:w="402" w:type="pct"/>
            <w:gridSpan w:val="2"/>
            <w:tcBorders>
              <w:top w:val="nil"/>
              <w:left w:val="nil"/>
              <w:bottom w:val="nil"/>
              <w:right w:val="nil"/>
            </w:tcBorders>
            <w:hideMark/>
          </w:tcPr>
          <w:p w14:paraId="4FEB5756"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0</w:t>
            </w:r>
          </w:p>
        </w:tc>
        <w:tc>
          <w:tcPr>
            <w:tcW w:w="472" w:type="pct"/>
            <w:tcBorders>
              <w:top w:val="nil"/>
              <w:left w:val="nil"/>
              <w:bottom w:val="nil"/>
              <w:right w:val="nil"/>
            </w:tcBorders>
            <w:hideMark/>
          </w:tcPr>
          <w:p w14:paraId="12825370"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630</w:t>
            </w:r>
          </w:p>
        </w:tc>
      </w:tr>
      <w:tr w:rsidR="0057442E" w:rsidRPr="00695826" w14:paraId="50233A2A" w14:textId="77777777" w:rsidTr="001D05EE">
        <w:tc>
          <w:tcPr>
            <w:tcW w:w="1358" w:type="pct"/>
            <w:vMerge/>
            <w:tcBorders>
              <w:left w:val="nil"/>
              <w:right w:val="nil"/>
            </w:tcBorders>
          </w:tcPr>
          <w:p w14:paraId="04D09125" w14:textId="77777777" w:rsidR="00CD4846" w:rsidRPr="001D05EE" w:rsidRDefault="00CD4846" w:rsidP="00695826">
            <w:pPr>
              <w:spacing w:line="240" w:lineRule="auto"/>
              <w:rPr>
                <w:rFonts w:cs="Times New Roman"/>
                <w:kern w:val="2"/>
                <w:sz w:val="20"/>
                <w:szCs w:val="20"/>
                <w:lang/>
              </w:rPr>
            </w:pPr>
          </w:p>
        </w:tc>
        <w:tc>
          <w:tcPr>
            <w:tcW w:w="1819" w:type="pct"/>
            <w:tcBorders>
              <w:top w:val="nil"/>
              <w:left w:val="nil"/>
              <w:bottom w:val="nil"/>
              <w:right w:val="nil"/>
            </w:tcBorders>
            <w:hideMark/>
          </w:tcPr>
          <w:p w14:paraId="505CEF70"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I</w:t>
            </w:r>
            <w:r w:rsidRPr="00695826">
              <w:rPr>
                <w:rFonts w:cs="Times New Roman"/>
                <w:kern w:val="2"/>
                <w:sz w:val="20"/>
                <w:szCs w:val="20"/>
                <w:lang/>
              </w:rPr>
              <w:t>nter-state</w:t>
            </w:r>
            <w:r w:rsidRPr="00695826">
              <w:rPr>
                <w:rFonts w:cs="Times New Roman"/>
                <w:kern w:val="2"/>
                <w:sz w:val="20"/>
                <w:szCs w:val="20"/>
                <w:lang/>
              </w:rPr>
              <w:t xml:space="preserve"> I</w:t>
            </w:r>
            <w:r w:rsidRPr="00695826">
              <w:rPr>
                <w:rFonts w:cs="Times New Roman"/>
                <w:kern w:val="2"/>
                <w:sz w:val="20"/>
                <w:szCs w:val="20"/>
                <w:lang/>
              </w:rPr>
              <w:t xml:space="preserve">nward </w:t>
            </w:r>
            <w:r w:rsidRPr="00695826">
              <w:rPr>
                <w:rFonts w:cs="Times New Roman"/>
                <w:kern w:val="2"/>
                <w:sz w:val="20"/>
                <w:szCs w:val="20"/>
                <w:lang/>
              </w:rPr>
              <w:t>R</w:t>
            </w:r>
            <w:r w:rsidRPr="00695826">
              <w:rPr>
                <w:rFonts w:cs="Times New Roman"/>
                <w:kern w:val="2"/>
                <w:sz w:val="20"/>
                <w:szCs w:val="20"/>
                <w:lang/>
              </w:rPr>
              <w:t>elocations</w:t>
            </w:r>
          </w:p>
        </w:tc>
        <w:tc>
          <w:tcPr>
            <w:tcW w:w="375" w:type="pct"/>
            <w:tcBorders>
              <w:top w:val="nil"/>
              <w:left w:val="nil"/>
              <w:bottom w:val="nil"/>
              <w:right w:val="nil"/>
            </w:tcBorders>
            <w:hideMark/>
          </w:tcPr>
          <w:p w14:paraId="185A81F8"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.001</w:t>
            </w:r>
          </w:p>
        </w:tc>
        <w:tc>
          <w:tcPr>
            <w:tcW w:w="574" w:type="pct"/>
            <w:tcBorders>
              <w:top w:val="nil"/>
              <w:left w:val="nil"/>
              <w:bottom w:val="nil"/>
              <w:right w:val="nil"/>
            </w:tcBorders>
            <w:hideMark/>
          </w:tcPr>
          <w:p w14:paraId="6338B83F"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.024</w:t>
            </w:r>
          </w:p>
        </w:tc>
        <w:tc>
          <w:tcPr>
            <w:tcW w:w="402" w:type="pct"/>
            <w:gridSpan w:val="2"/>
            <w:tcBorders>
              <w:top w:val="nil"/>
              <w:left w:val="nil"/>
              <w:bottom w:val="nil"/>
              <w:right w:val="nil"/>
            </w:tcBorders>
            <w:hideMark/>
          </w:tcPr>
          <w:p w14:paraId="120128B9"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0</w:t>
            </w:r>
          </w:p>
        </w:tc>
        <w:tc>
          <w:tcPr>
            <w:tcW w:w="472" w:type="pct"/>
            <w:tcBorders>
              <w:top w:val="nil"/>
              <w:left w:val="nil"/>
              <w:bottom w:val="nil"/>
              <w:right w:val="nil"/>
            </w:tcBorders>
            <w:hideMark/>
          </w:tcPr>
          <w:p w14:paraId="518400E5"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2</w:t>
            </w:r>
          </w:p>
        </w:tc>
      </w:tr>
      <w:tr w:rsidR="0057442E" w:rsidRPr="00695826" w14:paraId="5765C71A" w14:textId="77777777" w:rsidTr="001D05EE">
        <w:tc>
          <w:tcPr>
            <w:tcW w:w="1358" w:type="pct"/>
            <w:vMerge/>
            <w:tcBorders>
              <w:left w:val="nil"/>
              <w:right w:val="nil"/>
            </w:tcBorders>
          </w:tcPr>
          <w:p w14:paraId="727B4974" w14:textId="77777777" w:rsidR="00CD4846" w:rsidRPr="001D05EE" w:rsidRDefault="00CD4846" w:rsidP="00695826">
            <w:pPr>
              <w:spacing w:line="240" w:lineRule="auto"/>
              <w:rPr>
                <w:rFonts w:cs="Times New Roman"/>
                <w:kern w:val="2"/>
                <w:sz w:val="20"/>
                <w:szCs w:val="20"/>
                <w:lang/>
              </w:rPr>
            </w:pPr>
          </w:p>
        </w:tc>
        <w:tc>
          <w:tcPr>
            <w:tcW w:w="1819" w:type="pct"/>
            <w:tcBorders>
              <w:top w:val="nil"/>
              <w:left w:val="nil"/>
              <w:bottom w:val="nil"/>
              <w:right w:val="nil"/>
            </w:tcBorders>
            <w:hideMark/>
          </w:tcPr>
          <w:p w14:paraId="7EBDCC11"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Total E</w:t>
            </w:r>
            <w:r w:rsidRPr="00695826">
              <w:rPr>
                <w:rFonts w:cs="Times New Roman"/>
                <w:kern w:val="2"/>
                <w:sz w:val="20"/>
                <w:szCs w:val="20"/>
                <w:lang/>
              </w:rPr>
              <w:t>ntries</w:t>
            </w:r>
          </w:p>
        </w:tc>
        <w:tc>
          <w:tcPr>
            <w:tcW w:w="375" w:type="pct"/>
            <w:tcBorders>
              <w:top w:val="nil"/>
              <w:left w:val="nil"/>
              <w:bottom w:val="nil"/>
              <w:right w:val="nil"/>
            </w:tcBorders>
            <w:hideMark/>
          </w:tcPr>
          <w:p w14:paraId="524A9BCA"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5.1</w:t>
            </w:r>
            <w:r w:rsidRPr="00695826">
              <w:rPr>
                <w:rFonts w:cs="Times New Roman"/>
                <w:kern w:val="2"/>
                <w:sz w:val="20"/>
                <w:szCs w:val="20"/>
                <w:lang/>
              </w:rPr>
              <w:t>2</w:t>
            </w:r>
          </w:p>
        </w:tc>
        <w:tc>
          <w:tcPr>
            <w:tcW w:w="574" w:type="pct"/>
            <w:tcBorders>
              <w:top w:val="nil"/>
              <w:left w:val="nil"/>
              <w:bottom w:val="nil"/>
              <w:right w:val="nil"/>
            </w:tcBorders>
            <w:hideMark/>
          </w:tcPr>
          <w:p w14:paraId="134778B7"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10.</w:t>
            </w:r>
            <w:r w:rsidRPr="00695826">
              <w:rPr>
                <w:rFonts w:cs="Times New Roman"/>
                <w:kern w:val="2"/>
                <w:sz w:val="20"/>
                <w:szCs w:val="20"/>
                <w:lang/>
              </w:rPr>
              <w:t>6</w:t>
            </w:r>
          </w:p>
        </w:tc>
        <w:tc>
          <w:tcPr>
            <w:tcW w:w="402" w:type="pct"/>
            <w:gridSpan w:val="2"/>
            <w:tcBorders>
              <w:top w:val="nil"/>
              <w:left w:val="nil"/>
              <w:bottom w:val="nil"/>
              <w:right w:val="nil"/>
            </w:tcBorders>
            <w:hideMark/>
          </w:tcPr>
          <w:p w14:paraId="37EEC046"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0</w:t>
            </w:r>
          </w:p>
        </w:tc>
        <w:tc>
          <w:tcPr>
            <w:tcW w:w="472" w:type="pct"/>
            <w:tcBorders>
              <w:top w:val="nil"/>
              <w:left w:val="nil"/>
              <w:bottom w:val="nil"/>
              <w:right w:val="nil"/>
            </w:tcBorders>
            <w:hideMark/>
          </w:tcPr>
          <w:p w14:paraId="5D531552"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866</w:t>
            </w:r>
          </w:p>
        </w:tc>
      </w:tr>
      <w:tr w:rsidR="0057442E" w:rsidRPr="00695826" w14:paraId="40BDF6D0" w14:textId="77777777" w:rsidTr="001D05EE">
        <w:tc>
          <w:tcPr>
            <w:tcW w:w="1358" w:type="pct"/>
            <w:vMerge/>
            <w:tcBorders>
              <w:left w:val="nil"/>
              <w:right w:val="nil"/>
            </w:tcBorders>
          </w:tcPr>
          <w:p w14:paraId="769401E4" w14:textId="77777777" w:rsidR="00CD4846" w:rsidRPr="001D05EE" w:rsidRDefault="00CD4846" w:rsidP="00695826">
            <w:pPr>
              <w:spacing w:line="240" w:lineRule="auto"/>
              <w:rPr>
                <w:rFonts w:cs="Times New Roman"/>
                <w:kern w:val="2"/>
                <w:sz w:val="20"/>
                <w:szCs w:val="20"/>
                <w:lang/>
              </w:rPr>
            </w:pPr>
          </w:p>
        </w:tc>
        <w:tc>
          <w:tcPr>
            <w:tcW w:w="1819" w:type="pct"/>
            <w:tcBorders>
              <w:top w:val="nil"/>
              <w:left w:val="nil"/>
              <w:bottom w:val="nil"/>
              <w:right w:val="nil"/>
            </w:tcBorders>
            <w:hideMark/>
          </w:tcPr>
          <w:p w14:paraId="271972AD"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D</w:t>
            </w:r>
            <w:r w:rsidRPr="00695826">
              <w:rPr>
                <w:rFonts w:cs="Times New Roman"/>
                <w:kern w:val="2"/>
                <w:sz w:val="20"/>
                <w:szCs w:val="20"/>
                <w:lang/>
              </w:rPr>
              <w:t>eaths</w:t>
            </w:r>
          </w:p>
        </w:tc>
        <w:tc>
          <w:tcPr>
            <w:tcW w:w="375" w:type="pct"/>
            <w:tcBorders>
              <w:top w:val="nil"/>
              <w:left w:val="nil"/>
              <w:bottom w:val="nil"/>
              <w:right w:val="nil"/>
            </w:tcBorders>
            <w:hideMark/>
          </w:tcPr>
          <w:p w14:paraId="16513197"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4.49</w:t>
            </w:r>
          </w:p>
        </w:tc>
        <w:tc>
          <w:tcPr>
            <w:tcW w:w="574" w:type="pct"/>
            <w:tcBorders>
              <w:top w:val="nil"/>
              <w:left w:val="nil"/>
              <w:bottom w:val="nil"/>
              <w:right w:val="nil"/>
            </w:tcBorders>
            <w:hideMark/>
          </w:tcPr>
          <w:p w14:paraId="43E8200F"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8.1</w:t>
            </w:r>
            <w:r w:rsidRPr="00695826">
              <w:rPr>
                <w:rFonts w:cs="Times New Roman"/>
                <w:kern w:val="2"/>
                <w:sz w:val="20"/>
                <w:szCs w:val="20"/>
                <w:lang/>
              </w:rPr>
              <w:t>3</w:t>
            </w:r>
          </w:p>
        </w:tc>
        <w:tc>
          <w:tcPr>
            <w:tcW w:w="402" w:type="pct"/>
            <w:gridSpan w:val="2"/>
            <w:tcBorders>
              <w:top w:val="nil"/>
              <w:left w:val="nil"/>
              <w:bottom w:val="nil"/>
              <w:right w:val="nil"/>
            </w:tcBorders>
            <w:hideMark/>
          </w:tcPr>
          <w:p w14:paraId="3B22ADC0"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0</w:t>
            </w:r>
          </w:p>
        </w:tc>
        <w:tc>
          <w:tcPr>
            <w:tcW w:w="472" w:type="pct"/>
            <w:tcBorders>
              <w:top w:val="nil"/>
              <w:left w:val="nil"/>
              <w:bottom w:val="nil"/>
              <w:right w:val="nil"/>
            </w:tcBorders>
            <w:hideMark/>
          </w:tcPr>
          <w:p w14:paraId="3C707179"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291</w:t>
            </w:r>
          </w:p>
        </w:tc>
      </w:tr>
      <w:tr w:rsidR="0057442E" w:rsidRPr="00695826" w14:paraId="018BBC99" w14:textId="77777777" w:rsidTr="001D05EE">
        <w:tc>
          <w:tcPr>
            <w:tcW w:w="1358" w:type="pct"/>
            <w:vMerge/>
            <w:tcBorders>
              <w:left w:val="nil"/>
              <w:right w:val="nil"/>
            </w:tcBorders>
          </w:tcPr>
          <w:p w14:paraId="52B26AD2" w14:textId="77777777" w:rsidR="00CD4846" w:rsidRPr="001D05EE" w:rsidRDefault="00CD4846" w:rsidP="00695826">
            <w:pPr>
              <w:spacing w:line="240" w:lineRule="auto"/>
              <w:rPr>
                <w:rFonts w:cs="Times New Roman"/>
                <w:kern w:val="2"/>
                <w:sz w:val="20"/>
                <w:szCs w:val="20"/>
                <w:lang/>
              </w:rPr>
            </w:pPr>
          </w:p>
        </w:tc>
        <w:tc>
          <w:tcPr>
            <w:tcW w:w="1819" w:type="pct"/>
            <w:tcBorders>
              <w:top w:val="nil"/>
              <w:left w:val="nil"/>
              <w:bottom w:val="nil"/>
              <w:right w:val="nil"/>
            </w:tcBorders>
            <w:hideMark/>
          </w:tcPr>
          <w:p w14:paraId="21B8CB4A"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O</w:t>
            </w:r>
            <w:r w:rsidRPr="00695826">
              <w:rPr>
                <w:rFonts w:cs="Times New Roman"/>
                <w:kern w:val="2"/>
                <w:sz w:val="20"/>
                <w:szCs w:val="20"/>
                <w:lang/>
              </w:rPr>
              <w:t xml:space="preserve">utward </w:t>
            </w:r>
            <w:r w:rsidRPr="00695826">
              <w:rPr>
                <w:rFonts w:cs="Times New Roman"/>
                <w:kern w:val="2"/>
                <w:sz w:val="20"/>
                <w:szCs w:val="20"/>
                <w:lang/>
              </w:rPr>
              <w:t>R</w:t>
            </w:r>
            <w:r w:rsidRPr="00695826">
              <w:rPr>
                <w:rFonts w:cs="Times New Roman"/>
                <w:kern w:val="2"/>
                <w:sz w:val="20"/>
                <w:szCs w:val="20"/>
                <w:lang/>
              </w:rPr>
              <w:t>elocation</w:t>
            </w:r>
            <w:r w:rsidRPr="00695826">
              <w:rPr>
                <w:rFonts w:cs="Times New Roman"/>
                <w:kern w:val="2"/>
                <w:sz w:val="20"/>
                <w:szCs w:val="20"/>
                <w:lang/>
              </w:rPr>
              <w:t>s</w:t>
            </w:r>
          </w:p>
        </w:tc>
        <w:tc>
          <w:tcPr>
            <w:tcW w:w="375" w:type="pct"/>
            <w:tcBorders>
              <w:top w:val="nil"/>
              <w:left w:val="nil"/>
              <w:bottom w:val="nil"/>
              <w:right w:val="nil"/>
            </w:tcBorders>
            <w:hideMark/>
          </w:tcPr>
          <w:p w14:paraId="495B96EC"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.165</w:t>
            </w:r>
          </w:p>
        </w:tc>
        <w:tc>
          <w:tcPr>
            <w:tcW w:w="574" w:type="pct"/>
            <w:tcBorders>
              <w:top w:val="nil"/>
              <w:left w:val="nil"/>
              <w:bottom w:val="nil"/>
              <w:right w:val="nil"/>
            </w:tcBorders>
            <w:hideMark/>
          </w:tcPr>
          <w:p w14:paraId="59B9A8AF"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4.2</w:t>
            </w:r>
            <w:r w:rsidRPr="00695826">
              <w:rPr>
                <w:rFonts w:cs="Times New Roman"/>
                <w:kern w:val="2"/>
                <w:sz w:val="20"/>
                <w:szCs w:val="20"/>
                <w:lang/>
              </w:rPr>
              <w:t>2</w:t>
            </w:r>
          </w:p>
        </w:tc>
        <w:tc>
          <w:tcPr>
            <w:tcW w:w="402" w:type="pct"/>
            <w:gridSpan w:val="2"/>
            <w:tcBorders>
              <w:top w:val="nil"/>
              <w:left w:val="nil"/>
              <w:bottom w:val="nil"/>
              <w:right w:val="nil"/>
            </w:tcBorders>
            <w:hideMark/>
          </w:tcPr>
          <w:p w14:paraId="42893052"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0</w:t>
            </w:r>
          </w:p>
        </w:tc>
        <w:tc>
          <w:tcPr>
            <w:tcW w:w="472" w:type="pct"/>
            <w:tcBorders>
              <w:top w:val="nil"/>
              <w:left w:val="nil"/>
              <w:bottom w:val="nil"/>
              <w:right w:val="nil"/>
            </w:tcBorders>
            <w:hideMark/>
          </w:tcPr>
          <w:p w14:paraId="240F7F1A"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695</w:t>
            </w:r>
          </w:p>
        </w:tc>
      </w:tr>
      <w:tr w:rsidR="0057442E" w:rsidRPr="00695826" w14:paraId="75123787" w14:textId="77777777" w:rsidTr="001D05EE">
        <w:tc>
          <w:tcPr>
            <w:tcW w:w="1358" w:type="pct"/>
            <w:vMerge/>
            <w:tcBorders>
              <w:left w:val="nil"/>
              <w:right w:val="nil"/>
            </w:tcBorders>
          </w:tcPr>
          <w:p w14:paraId="68CEFD3D" w14:textId="77777777" w:rsidR="00CD4846" w:rsidRPr="001D05EE" w:rsidRDefault="00CD4846" w:rsidP="00695826">
            <w:pPr>
              <w:spacing w:line="240" w:lineRule="auto"/>
              <w:rPr>
                <w:rFonts w:cs="Times New Roman"/>
                <w:kern w:val="2"/>
                <w:sz w:val="20"/>
                <w:szCs w:val="20"/>
                <w:lang/>
              </w:rPr>
            </w:pPr>
          </w:p>
        </w:tc>
        <w:tc>
          <w:tcPr>
            <w:tcW w:w="1819" w:type="pct"/>
            <w:tcBorders>
              <w:top w:val="nil"/>
              <w:left w:val="nil"/>
              <w:bottom w:val="nil"/>
              <w:right w:val="nil"/>
            </w:tcBorders>
            <w:hideMark/>
          </w:tcPr>
          <w:p w14:paraId="67D60E30"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I</w:t>
            </w:r>
            <w:r w:rsidRPr="00695826">
              <w:rPr>
                <w:rFonts w:cs="Times New Roman"/>
                <w:kern w:val="2"/>
                <w:sz w:val="20"/>
                <w:szCs w:val="20"/>
                <w:lang/>
              </w:rPr>
              <w:t>ntra</w:t>
            </w:r>
            <w:r w:rsidRPr="00695826">
              <w:rPr>
                <w:rFonts w:cs="Times New Roman"/>
                <w:kern w:val="2"/>
                <w:sz w:val="20"/>
                <w:szCs w:val="20"/>
                <w:lang/>
              </w:rPr>
              <w:t>-S</w:t>
            </w:r>
            <w:r w:rsidRPr="00695826">
              <w:rPr>
                <w:rFonts w:cs="Times New Roman"/>
                <w:kern w:val="2"/>
                <w:sz w:val="20"/>
                <w:szCs w:val="20"/>
                <w:lang/>
              </w:rPr>
              <w:t>tat</w:t>
            </w:r>
            <w:r w:rsidRPr="00695826">
              <w:rPr>
                <w:rFonts w:cs="Times New Roman"/>
                <w:kern w:val="2"/>
                <w:sz w:val="20"/>
                <w:szCs w:val="20"/>
                <w:lang/>
              </w:rPr>
              <w:t>e O</w:t>
            </w:r>
            <w:r w:rsidRPr="00695826">
              <w:rPr>
                <w:rFonts w:cs="Times New Roman"/>
                <w:kern w:val="2"/>
                <w:sz w:val="20"/>
                <w:szCs w:val="20"/>
                <w:lang/>
              </w:rPr>
              <w:t xml:space="preserve">utward </w:t>
            </w:r>
            <w:r w:rsidRPr="00695826">
              <w:rPr>
                <w:rFonts w:cs="Times New Roman"/>
                <w:kern w:val="2"/>
                <w:sz w:val="20"/>
                <w:szCs w:val="20"/>
                <w:lang/>
              </w:rPr>
              <w:t>R</w:t>
            </w:r>
            <w:r w:rsidRPr="00695826">
              <w:rPr>
                <w:rFonts w:cs="Times New Roman"/>
                <w:kern w:val="2"/>
                <w:sz w:val="20"/>
                <w:szCs w:val="20"/>
                <w:lang/>
              </w:rPr>
              <w:t>elocation</w:t>
            </w:r>
            <w:r w:rsidRPr="00695826">
              <w:rPr>
                <w:rFonts w:cs="Times New Roman"/>
                <w:kern w:val="2"/>
                <w:sz w:val="20"/>
                <w:szCs w:val="20"/>
                <w:lang/>
              </w:rPr>
              <w:t>s</w:t>
            </w:r>
          </w:p>
        </w:tc>
        <w:tc>
          <w:tcPr>
            <w:tcW w:w="375" w:type="pct"/>
            <w:tcBorders>
              <w:top w:val="nil"/>
              <w:left w:val="nil"/>
              <w:bottom w:val="nil"/>
              <w:right w:val="nil"/>
            </w:tcBorders>
            <w:hideMark/>
          </w:tcPr>
          <w:p w14:paraId="19EB2480"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.164</w:t>
            </w:r>
          </w:p>
        </w:tc>
        <w:tc>
          <w:tcPr>
            <w:tcW w:w="574" w:type="pct"/>
            <w:tcBorders>
              <w:top w:val="nil"/>
              <w:left w:val="nil"/>
              <w:bottom w:val="nil"/>
              <w:right w:val="nil"/>
            </w:tcBorders>
            <w:hideMark/>
          </w:tcPr>
          <w:p w14:paraId="6CE40CE7"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4.2</w:t>
            </w:r>
            <w:r w:rsidRPr="00695826">
              <w:rPr>
                <w:rFonts w:cs="Times New Roman"/>
                <w:kern w:val="2"/>
                <w:sz w:val="20"/>
                <w:szCs w:val="20"/>
                <w:lang/>
              </w:rPr>
              <w:t>2</w:t>
            </w:r>
          </w:p>
        </w:tc>
        <w:tc>
          <w:tcPr>
            <w:tcW w:w="402" w:type="pct"/>
            <w:gridSpan w:val="2"/>
            <w:tcBorders>
              <w:top w:val="nil"/>
              <w:left w:val="nil"/>
              <w:bottom w:val="nil"/>
              <w:right w:val="nil"/>
            </w:tcBorders>
            <w:hideMark/>
          </w:tcPr>
          <w:p w14:paraId="03CFE1EC"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0</w:t>
            </w:r>
          </w:p>
        </w:tc>
        <w:tc>
          <w:tcPr>
            <w:tcW w:w="472" w:type="pct"/>
            <w:tcBorders>
              <w:top w:val="nil"/>
              <w:left w:val="nil"/>
              <w:bottom w:val="nil"/>
              <w:right w:val="nil"/>
            </w:tcBorders>
            <w:hideMark/>
          </w:tcPr>
          <w:p w14:paraId="591AD2B4"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695</w:t>
            </w:r>
          </w:p>
        </w:tc>
      </w:tr>
      <w:tr w:rsidR="0057442E" w:rsidRPr="00695826" w14:paraId="4ED62329" w14:textId="77777777" w:rsidTr="001D05EE">
        <w:tc>
          <w:tcPr>
            <w:tcW w:w="1358" w:type="pct"/>
            <w:vMerge/>
            <w:tcBorders>
              <w:left w:val="nil"/>
              <w:right w:val="nil"/>
            </w:tcBorders>
          </w:tcPr>
          <w:p w14:paraId="56E924B6" w14:textId="77777777" w:rsidR="00CD4846" w:rsidRPr="001D05EE" w:rsidRDefault="00CD4846" w:rsidP="00695826">
            <w:pPr>
              <w:spacing w:line="240" w:lineRule="auto"/>
              <w:rPr>
                <w:rFonts w:cs="Times New Roman"/>
                <w:kern w:val="2"/>
                <w:sz w:val="20"/>
                <w:szCs w:val="20"/>
                <w:lang/>
              </w:rPr>
            </w:pPr>
          </w:p>
        </w:tc>
        <w:tc>
          <w:tcPr>
            <w:tcW w:w="1819" w:type="pct"/>
            <w:tcBorders>
              <w:top w:val="nil"/>
              <w:left w:val="nil"/>
              <w:bottom w:val="nil"/>
              <w:right w:val="nil"/>
            </w:tcBorders>
            <w:hideMark/>
          </w:tcPr>
          <w:p w14:paraId="49323EE5"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I</w:t>
            </w:r>
            <w:r w:rsidRPr="00695826">
              <w:rPr>
                <w:rFonts w:cs="Times New Roman"/>
                <w:kern w:val="2"/>
                <w:sz w:val="20"/>
                <w:szCs w:val="20"/>
                <w:lang/>
              </w:rPr>
              <w:t>nter-</w:t>
            </w:r>
            <w:r w:rsidRPr="00695826">
              <w:rPr>
                <w:rFonts w:cs="Times New Roman"/>
                <w:kern w:val="2"/>
                <w:sz w:val="20"/>
                <w:szCs w:val="20"/>
                <w:lang/>
              </w:rPr>
              <w:t>S</w:t>
            </w:r>
            <w:r w:rsidRPr="00695826">
              <w:rPr>
                <w:rFonts w:cs="Times New Roman"/>
                <w:kern w:val="2"/>
                <w:sz w:val="20"/>
                <w:szCs w:val="20"/>
                <w:lang/>
              </w:rPr>
              <w:t>tat</w:t>
            </w:r>
            <w:r w:rsidRPr="00695826">
              <w:rPr>
                <w:rFonts w:cs="Times New Roman"/>
                <w:kern w:val="2"/>
                <w:sz w:val="20"/>
                <w:szCs w:val="20"/>
                <w:lang/>
              </w:rPr>
              <w:t>e O</w:t>
            </w:r>
            <w:r w:rsidRPr="00695826">
              <w:rPr>
                <w:rFonts w:cs="Times New Roman"/>
                <w:kern w:val="2"/>
                <w:sz w:val="20"/>
                <w:szCs w:val="20"/>
                <w:lang/>
              </w:rPr>
              <w:t xml:space="preserve">utward </w:t>
            </w:r>
            <w:r w:rsidRPr="00695826">
              <w:rPr>
                <w:rFonts w:cs="Times New Roman"/>
                <w:kern w:val="2"/>
                <w:sz w:val="20"/>
                <w:szCs w:val="20"/>
                <w:lang/>
              </w:rPr>
              <w:t>R</w:t>
            </w:r>
            <w:r w:rsidRPr="00695826">
              <w:rPr>
                <w:rFonts w:cs="Times New Roman"/>
                <w:kern w:val="2"/>
                <w:sz w:val="20"/>
                <w:szCs w:val="20"/>
                <w:lang/>
              </w:rPr>
              <w:t>elocation</w:t>
            </w:r>
            <w:r w:rsidRPr="00695826">
              <w:rPr>
                <w:rFonts w:cs="Times New Roman"/>
                <w:kern w:val="2"/>
                <w:sz w:val="20"/>
                <w:szCs w:val="20"/>
                <w:lang/>
              </w:rPr>
              <w:t>s</w:t>
            </w:r>
          </w:p>
        </w:tc>
        <w:tc>
          <w:tcPr>
            <w:tcW w:w="375" w:type="pct"/>
            <w:tcBorders>
              <w:top w:val="nil"/>
              <w:left w:val="nil"/>
              <w:bottom w:val="nil"/>
              <w:right w:val="nil"/>
            </w:tcBorders>
            <w:hideMark/>
          </w:tcPr>
          <w:p w14:paraId="27A3BCCC"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.001</w:t>
            </w:r>
          </w:p>
        </w:tc>
        <w:tc>
          <w:tcPr>
            <w:tcW w:w="574" w:type="pct"/>
            <w:tcBorders>
              <w:top w:val="nil"/>
              <w:left w:val="nil"/>
              <w:bottom w:val="nil"/>
              <w:right w:val="nil"/>
            </w:tcBorders>
            <w:hideMark/>
          </w:tcPr>
          <w:p w14:paraId="4F8E9D46"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.026</w:t>
            </w:r>
          </w:p>
        </w:tc>
        <w:tc>
          <w:tcPr>
            <w:tcW w:w="402" w:type="pct"/>
            <w:gridSpan w:val="2"/>
            <w:tcBorders>
              <w:top w:val="nil"/>
              <w:left w:val="nil"/>
              <w:bottom w:val="nil"/>
              <w:right w:val="nil"/>
            </w:tcBorders>
            <w:hideMark/>
          </w:tcPr>
          <w:p w14:paraId="2D3464FE"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0</w:t>
            </w:r>
          </w:p>
        </w:tc>
        <w:tc>
          <w:tcPr>
            <w:tcW w:w="472" w:type="pct"/>
            <w:tcBorders>
              <w:top w:val="nil"/>
              <w:left w:val="nil"/>
              <w:bottom w:val="nil"/>
              <w:right w:val="nil"/>
            </w:tcBorders>
            <w:hideMark/>
          </w:tcPr>
          <w:p w14:paraId="4E132097"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2</w:t>
            </w:r>
          </w:p>
        </w:tc>
      </w:tr>
      <w:tr w:rsidR="0057442E" w:rsidRPr="00695826" w14:paraId="60AB8030" w14:textId="77777777" w:rsidTr="001D05EE">
        <w:tc>
          <w:tcPr>
            <w:tcW w:w="1358" w:type="pct"/>
            <w:vMerge/>
            <w:tcBorders>
              <w:left w:val="nil"/>
              <w:bottom w:val="single" w:sz="4" w:space="0" w:color="auto"/>
              <w:right w:val="nil"/>
            </w:tcBorders>
          </w:tcPr>
          <w:p w14:paraId="080FC1BA" w14:textId="77777777" w:rsidR="00CD4846" w:rsidRPr="001D05EE" w:rsidRDefault="00CD4846" w:rsidP="00695826">
            <w:pPr>
              <w:spacing w:line="240" w:lineRule="auto"/>
              <w:rPr>
                <w:rFonts w:cs="Times New Roman"/>
                <w:kern w:val="2"/>
                <w:sz w:val="20"/>
                <w:szCs w:val="20"/>
                <w:lang/>
              </w:rPr>
            </w:pPr>
          </w:p>
        </w:tc>
        <w:tc>
          <w:tcPr>
            <w:tcW w:w="1819" w:type="pct"/>
            <w:tcBorders>
              <w:top w:val="nil"/>
              <w:left w:val="nil"/>
              <w:bottom w:val="single" w:sz="4" w:space="0" w:color="auto"/>
              <w:right w:val="nil"/>
            </w:tcBorders>
            <w:hideMark/>
          </w:tcPr>
          <w:p w14:paraId="5F87AA46"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Total E</w:t>
            </w:r>
            <w:r w:rsidRPr="00695826">
              <w:rPr>
                <w:rFonts w:cs="Times New Roman"/>
                <w:kern w:val="2"/>
                <w:sz w:val="20"/>
                <w:szCs w:val="20"/>
                <w:lang/>
              </w:rPr>
              <w:t>xits</w:t>
            </w:r>
          </w:p>
        </w:tc>
        <w:tc>
          <w:tcPr>
            <w:tcW w:w="375" w:type="pct"/>
            <w:tcBorders>
              <w:top w:val="nil"/>
              <w:left w:val="nil"/>
              <w:bottom w:val="single" w:sz="4" w:space="0" w:color="auto"/>
              <w:right w:val="nil"/>
            </w:tcBorders>
            <w:hideMark/>
          </w:tcPr>
          <w:p w14:paraId="729C37FD"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4.6</w:t>
            </w:r>
            <w:r w:rsidRPr="00695826">
              <w:rPr>
                <w:rFonts w:cs="Times New Roman"/>
                <w:kern w:val="2"/>
                <w:sz w:val="20"/>
                <w:szCs w:val="20"/>
                <w:lang/>
              </w:rPr>
              <w:t>6</w:t>
            </w:r>
          </w:p>
        </w:tc>
        <w:tc>
          <w:tcPr>
            <w:tcW w:w="574" w:type="pct"/>
            <w:tcBorders>
              <w:top w:val="nil"/>
              <w:left w:val="nil"/>
              <w:bottom w:val="single" w:sz="4" w:space="0" w:color="auto"/>
              <w:right w:val="nil"/>
            </w:tcBorders>
            <w:hideMark/>
          </w:tcPr>
          <w:p w14:paraId="6E1CC8B6"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9.7</w:t>
            </w:r>
            <w:r w:rsidRPr="00695826">
              <w:rPr>
                <w:rFonts w:cs="Times New Roman"/>
                <w:kern w:val="2"/>
                <w:sz w:val="20"/>
                <w:szCs w:val="20"/>
                <w:lang/>
              </w:rPr>
              <w:t>1</w:t>
            </w:r>
          </w:p>
        </w:tc>
        <w:tc>
          <w:tcPr>
            <w:tcW w:w="402" w:type="pct"/>
            <w:gridSpan w:val="2"/>
            <w:tcBorders>
              <w:top w:val="nil"/>
              <w:left w:val="nil"/>
              <w:bottom w:val="single" w:sz="4" w:space="0" w:color="auto"/>
              <w:right w:val="nil"/>
            </w:tcBorders>
            <w:hideMark/>
          </w:tcPr>
          <w:p w14:paraId="614CEC38"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0</w:t>
            </w:r>
          </w:p>
        </w:tc>
        <w:tc>
          <w:tcPr>
            <w:tcW w:w="472" w:type="pct"/>
            <w:tcBorders>
              <w:top w:val="nil"/>
              <w:left w:val="nil"/>
              <w:bottom w:val="single" w:sz="4" w:space="0" w:color="auto"/>
              <w:right w:val="nil"/>
            </w:tcBorders>
            <w:hideMark/>
          </w:tcPr>
          <w:p w14:paraId="5F0F1528"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867</w:t>
            </w:r>
          </w:p>
        </w:tc>
      </w:tr>
      <w:tr w:rsidR="0057442E" w:rsidRPr="00695826" w14:paraId="2AEAA384" w14:textId="77777777" w:rsidTr="001D05EE">
        <w:tblPrEx>
          <w:tblBorders>
            <w:top w:val="single" w:sz="4" w:space="0" w:color="auto"/>
            <w:bottom w:val="single" w:sz="4" w:space="0" w:color="auto"/>
          </w:tblBorders>
        </w:tblPrEx>
        <w:tc>
          <w:tcPr>
            <w:tcW w:w="1358" w:type="pct"/>
            <w:vMerge w:val="restart"/>
          </w:tcPr>
          <w:p w14:paraId="70FA9F83" w14:textId="05120A91" w:rsidR="00CD4846" w:rsidRPr="001D05EE" w:rsidRDefault="00CD4846" w:rsidP="00695826">
            <w:pPr>
              <w:spacing w:line="240" w:lineRule="auto"/>
              <w:rPr>
                <w:rFonts w:cs="Times New Roman"/>
                <w:kern w:val="2"/>
                <w:sz w:val="20"/>
                <w:szCs w:val="20"/>
                <w:lang/>
              </w:rPr>
            </w:pPr>
            <w:r w:rsidRPr="001D05EE">
              <w:rPr>
                <w:rFonts w:cs="Times New Roman"/>
                <w:kern w:val="2"/>
                <w:sz w:val="20"/>
                <w:szCs w:val="20"/>
                <w:lang/>
              </w:rPr>
              <w:t>21</w:t>
            </w:r>
          </w:p>
          <w:p w14:paraId="59C654E8" w14:textId="77777777" w:rsidR="00CD4846" w:rsidRPr="001D05EE" w:rsidRDefault="00CD4846" w:rsidP="00695826">
            <w:pPr>
              <w:spacing w:line="240" w:lineRule="auto"/>
              <w:rPr>
                <w:rFonts w:cs="Times New Roman"/>
                <w:kern w:val="2"/>
                <w:sz w:val="20"/>
                <w:szCs w:val="20"/>
                <w:lang/>
              </w:rPr>
            </w:pPr>
            <w:r w:rsidRPr="001D05EE">
              <w:rPr>
                <w:rFonts w:cs="Times New Roman"/>
                <w:kern w:val="2"/>
                <w:sz w:val="20"/>
                <w:szCs w:val="20"/>
                <w:lang/>
              </w:rPr>
              <w:t>–</w:t>
            </w:r>
          </w:p>
          <w:p w14:paraId="28B42CE9" w14:textId="202C0297" w:rsidR="00CD4846" w:rsidRPr="001D05EE" w:rsidRDefault="00CD4846" w:rsidP="00695826">
            <w:pPr>
              <w:spacing w:line="240" w:lineRule="auto"/>
              <w:rPr>
                <w:rFonts w:cs="Times New Roman"/>
                <w:kern w:val="2"/>
                <w:sz w:val="20"/>
                <w:szCs w:val="20"/>
                <w:lang/>
              </w:rPr>
            </w:pPr>
            <w:r w:rsidRPr="001D05EE">
              <w:rPr>
                <w:rFonts w:cs="Times New Roman"/>
                <w:kern w:val="2"/>
                <w:sz w:val="20"/>
                <w:szCs w:val="20"/>
                <w:lang/>
              </w:rPr>
              <w:t>Mining, Quarrying, and Oil and Gas Extraction</w:t>
            </w:r>
          </w:p>
        </w:tc>
        <w:tc>
          <w:tcPr>
            <w:tcW w:w="1819" w:type="pct"/>
            <w:hideMark/>
          </w:tcPr>
          <w:p w14:paraId="232BBE50"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B</w:t>
            </w:r>
            <w:r w:rsidRPr="00695826">
              <w:rPr>
                <w:rFonts w:cs="Times New Roman"/>
                <w:kern w:val="2"/>
                <w:sz w:val="20"/>
                <w:szCs w:val="20"/>
                <w:lang/>
              </w:rPr>
              <w:t>irths</w:t>
            </w:r>
          </w:p>
        </w:tc>
        <w:tc>
          <w:tcPr>
            <w:tcW w:w="375" w:type="pct"/>
            <w:hideMark/>
          </w:tcPr>
          <w:p w14:paraId="6030CA78" w14:textId="536C313F"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1.34</w:t>
            </w:r>
          </w:p>
        </w:tc>
        <w:tc>
          <w:tcPr>
            <w:tcW w:w="574" w:type="pct"/>
            <w:hideMark/>
          </w:tcPr>
          <w:p w14:paraId="4AD43B67"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6.36</w:t>
            </w:r>
          </w:p>
        </w:tc>
        <w:tc>
          <w:tcPr>
            <w:tcW w:w="402" w:type="pct"/>
            <w:gridSpan w:val="2"/>
            <w:hideMark/>
          </w:tcPr>
          <w:p w14:paraId="4AF7C824"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0</w:t>
            </w:r>
          </w:p>
        </w:tc>
        <w:tc>
          <w:tcPr>
            <w:tcW w:w="472" w:type="pct"/>
            <w:hideMark/>
          </w:tcPr>
          <w:p w14:paraId="1EC5F23C"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627</w:t>
            </w:r>
          </w:p>
        </w:tc>
      </w:tr>
      <w:tr w:rsidR="0057442E" w:rsidRPr="00695826" w14:paraId="5ED5E8B1" w14:textId="77777777" w:rsidTr="001D05EE">
        <w:tblPrEx>
          <w:tblBorders>
            <w:top w:val="single" w:sz="4" w:space="0" w:color="auto"/>
            <w:bottom w:val="single" w:sz="4" w:space="0" w:color="auto"/>
          </w:tblBorders>
        </w:tblPrEx>
        <w:tc>
          <w:tcPr>
            <w:tcW w:w="1358" w:type="pct"/>
            <w:vMerge/>
          </w:tcPr>
          <w:p w14:paraId="068FCFE1" w14:textId="77777777" w:rsidR="00CD4846" w:rsidRPr="001D05EE" w:rsidRDefault="00CD4846" w:rsidP="00695826">
            <w:pPr>
              <w:spacing w:line="240" w:lineRule="auto"/>
              <w:rPr>
                <w:rFonts w:cs="Times New Roman"/>
                <w:kern w:val="2"/>
                <w:sz w:val="20"/>
                <w:szCs w:val="20"/>
                <w:lang/>
              </w:rPr>
            </w:pPr>
          </w:p>
        </w:tc>
        <w:tc>
          <w:tcPr>
            <w:tcW w:w="1819" w:type="pct"/>
            <w:hideMark/>
          </w:tcPr>
          <w:p w14:paraId="5626A4CF"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I</w:t>
            </w:r>
            <w:r w:rsidRPr="00695826">
              <w:rPr>
                <w:rFonts w:cs="Times New Roman"/>
                <w:kern w:val="2"/>
                <w:sz w:val="20"/>
                <w:szCs w:val="20"/>
                <w:lang/>
              </w:rPr>
              <w:t xml:space="preserve">nward </w:t>
            </w:r>
            <w:r w:rsidRPr="00695826">
              <w:rPr>
                <w:rFonts w:cs="Times New Roman"/>
                <w:kern w:val="2"/>
                <w:sz w:val="20"/>
                <w:szCs w:val="20"/>
                <w:lang/>
              </w:rPr>
              <w:t>R</w:t>
            </w:r>
            <w:r w:rsidRPr="00695826">
              <w:rPr>
                <w:rFonts w:cs="Times New Roman"/>
                <w:kern w:val="2"/>
                <w:sz w:val="20"/>
                <w:szCs w:val="20"/>
                <w:lang/>
              </w:rPr>
              <w:t>elocations</w:t>
            </w:r>
          </w:p>
        </w:tc>
        <w:tc>
          <w:tcPr>
            <w:tcW w:w="375" w:type="pct"/>
            <w:hideMark/>
          </w:tcPr>
          <w:p w14:paraId="238D6A46" w14:textId="78AA2848"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.048</w:t>
            </w:r>
          </w:p>
        </w:tc>
        <w:tc>
          <w:tcPr>
            <w:tcW w:w="574" w:type="pct"/>
            <w:hideMark/>
          </w:tcPr>
          <w:p w14:paraId="0332C771"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.799</w:t>
            </w:r>
          </w:p>
        </w:tc>
        <w:tc>
          <w:tcPr>
            <w:tcW w:w="402" w:type="pct"/>
            <w:gridSpan w:val="2"/>
            <w:hideMark/>
          </w:tcPr>
          <w:p w14:paraId="4E19DC84"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0</w:t>
            </w:r>
          </w:p>
        </w:tc>
        <w:tc>
          <w:tcPr>
            <w:tcW w:w="472" w:type="pct"/>
            <w:hideMark/>
          </w:tcPr>
          <w:p w14:paraId="512DA313"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140</w:t>
            </w:r>
          </w:p>
        </w:tc>
      </w:tr>
      <w:tr w:rsidR="0057442E" w:rsidRPr="00695826" w14:paraId="56C28711" w14:textId="77777777" w:rsidTr="001D05EE">
        <w:tblPrEx>
          <w:tblBorders>
            <w:top w:val="single" w:sz="4" w:space="0" w:color="auto"/>
            <w:bottom w:val="single" w:sz="4" w:space="0" w:color="auto"/>
          </w:tblBorders>
        </w:tblPrEx>
        <w:tc>
          <w:tcPr>
            <w:tcW w:w="1358" w:type="pct"/>
            <w:vMerge/>
          </w:tcPr>
          <w:p w14:paraId="4F4CB181" w14:textId="77777777" w:rsidR="00CD4846" w:rsidRPr="001D05EE" w:rsidRDefault="00CD4846" w:rsidP="00695826">
            <w:pPr>
              <w:spacing w:line="240" w:lineRule="auto"/>
              <w:rPr>
                <w:rFonts w:cs="Times New Roman"/>
                <w:kern w:val="2"/>
                <w:sz w:val="20"/>
                <w:szCs w:val="20"/>
                <w:lang/>
              </w:rPr>
            </w:pPr>
          </w:p>
        </w:tc>
        <w:tc>
          <w:tcPr>
            <w:tcW w:w="1819" w:type="pct"/>
            <w:hideMark/>
          </w:tcPr>
          <w:p w14:paraId="4C428E95"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I</w:t>
            </w:r>
            <w:r w:rsidRPr="00695826">
              <w:rPr>
                <w:rFonts w:cs="Times New Roman"/>
                <w:kern w:val="2"/>
                <w:sz w:val="20"/>
                <w:szCs w:val="20"/>
                <w:lang/>
              </w:rPr>
              <w:t>ntra-state</w:t>
            </w:r>
            <w:r w:rsidRPr="00695826">
              <w:rPr>
                <w:rFonts w:cs="Times New Roman"/>
                <w:kern w:val="2"/>
                <w:sz w:val="20"/>
                <w:szCs w:val="20"/>
                <w:lang/>
              </w:rPr>
              <w:t xml:space="preserve"> I</w:t>
            </w:r>
            <w:r w:rsidRPr="00695826">
              <w:rPr>
                <w:rFonts w:cs="Times New Roman"/>
                <w:kern w:val="2"/>
                <w:sz w:val="20"/>
                <w:szCs w:val="20"/>
                <w:lang/>
              </w:rPr>
              <w:t xml:space="preserve">nward </w:t>
            </w:r>
            <w:r w:rsidRPr="00695826">
              <w:rPr>
                <w:rFonts w:cs="Times New Roman"/>
                <w:kern w:val="2"/>
                <w:sz w:val="20"/>
                <w:szCs w:val="20"/>
                <w:lang/>
              </w:rPr>
              <w:t>R</w:t>
            </w:r>
            <w:r w:rsidRPr="00695826">
              <w:rPr>
                <w:rFonts w:cs="Times New Roman"/>
                <w:kern w:val="2"/>
                <w:sz w:val="20"/>
                <w:szCs w:val="20"/>
                <w:lang/>
              </w:rPr>
              <w:t>elocations</w:t>
            </w:r>
          </w:p>
        </w:tc>
        <w:tc>
          <w:tcPr>
            <w:tcW w:w="375" w:type="pct"/>
            <w:hideMark/>
          </w:tcPr>
          <w:p w14:paraId="3064D979" w14:textId="32D84FAA"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.043</w:t>
            </w:r>
          </w:p>
        </w:tc>
        <w:tc>
          <w:tcPr>
            <w:tcW w:w="574" w:type="pct"/>
            <w:hideMark/>
          </w:tcPr>
          <w:p w14:paraId="27F7CDA7"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.786</w:t>
            </w:r>
          </w:p>
        </w:tc>
        <w:tc>
          <w:tcPr>
            <w:tcW w:w="402" w:type="pct"/>
            <w:gridSpan w:val="2"/>
            <w:hideMark/>
          </w:tcPr>
          <w:p w14:paraId="68993936"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0</w:t>
            </w:r>
          </w:p>
        </w:tc>
        <w:tc>
          <w:tcPr>
            <w:tcW w:w="472" w:type="pct"/>
            <w:hideMark/>
          </w:tcPr>
          <w:p w14:paraId="5934B9A3"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140</w:t>
            </w:r>
          </w:p>
        </w:tc>
      </w:tr>
      <w:tr w:rsidR="0057442E" w:rsidRPr="00695826" w14:paraId="5B2CF840" w14:textId="77777777" w:rsidTr="001D05EE">
        <w:tblPrEx>
          <w:tblBorders>
            <w:top w:val="single" w:sz="4" w:space="0" w:color="auto"/>
            <w:bottom w:val="single" w:sz="4" w:space="0" w:color="auto"/>
          </w:tblBorders>
        </w:tblPrEx>
        <w:tc>
          <w:tcPr>
            <w:tcW w:w="1358" w:type="pct"/>
            <w:vMerge/>
          </w:tcPr>
          <w:p w14:paraId="7FC483BE" w14:textId="77777777" w:rsidR="00CD4846" w:rsidRPr="001D05EE" w:rsidRDefault="00CD4846" w:rsidP="00695826">
            <w:pPr>
              <w:spacing w:line="240" w:lineRule="auto"/>
              <w:rPr>
                <w:rFonts w:cs="Times New Roman"/>
                <w:kern w:val="2"/>
                <w:sz w:val="20"/>
                <w:szCs w:val="20"/>
                <w:lang/>
              </w:rPr>
            </w:pPr>
          </w:p>
        </w:tc>
        <w:tc>
          <w:tcPr>
            <w:tcW w:w="1819" w:type="pct"/>
            <w:hideMark/>
          </w:tcPr>
          <w:p w14:paraId="30FF17CB"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I</w:t>
            </w:r>
            <w:r w:rsidRPr="00695826">
              <w:rPr>
                <w:rFonts w:cs="Times New Roman"/>
                <w:kern w:val="2"/>
                <w:sz w:val="20"/>
                <w:szCs w:val="20"/>
                <w:lang/>
              </w:rPr>
              <w:t>nter-state</w:t>
            </w:r>
            <w:r w:rsidRPr="00695826">
              <w:rPr>
                <w:rFonts w:cs="Times New Roman"/>
                <w:kern w:val="2"/>
                <w:sz w:val="20"/>
                <w:szCs w:val="20"/>
                <w:lang/>
              </w:rPr>
              <w:t xml:space="preserve"> I</w:t>
            </w:r>
            <w:r w:rsidRPr="00695826">
              <w:rPr>
                <w:rFonts w:cs="Times New Roman"/>
                <w:kern w:val="2"/>
                <w:sz w:val="20"/>
                <w:szCs w:val="20"/>
                <w:lang/>
              </w:rPr>
              <w:t xml:space="preserve">nward </w:t>
            </w:r>
            <w:r w:rsidRPr="00695826">
              <w:rPr>
                <w:rFonts w:cs="Times New Roman"/>
                <w:kern w:val="2"/>
                <w:sz w:val="20"/>
                <w:szCs w:val="20"/>
                <w:lang/>
              </w:rPr>
              <w:t>R</w:t>
            </w:r>
            <w:r w:rsidRPr="00695826">
              <w:rPr>
                <w:rFonts w:cs="Times New Roman"/>
                <w:kern w:val="2"/>
                <w:sz w:val="20"/>
                <w:szCs w:val="20"/>
                <w:lang/>
              </w:rPr>
              <w:t>elocations</w:t>
            </w:r>
          </w:p>
        </w:tc>
        <w:tc>
          <w:tcPr>
            <w:tcW w:w="375" w:type="pct"/>
            <w:hideMark/>
          </w:tcPr>
          <w:p w14:paraId="4540A5AE" w14:textId="2F74E9D3"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.005</w:t>
            </w:r>
          </w:p>
        </w:tc>
        <w:tc>
          <w:tcPr>
            <w:tcW w:w="574" w:type="pct"/>
            <w:hideMark/>
          </w:tcPr>
          <w:p w14:paraId="5C20E35E"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.098</w:t>
            </w:r>
          </w:p>
        </w:tc>
        <w:tc>
          <w:tcPr>
            <w:tcW w:w="402" w:type="pct"/>
            <w:gridSpan w:val="2"/>
            <w:hideMark/>
          </w:tcPr>
          <w:p w14:paraId="74BF8136"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0</w:t>
            </w:r>
          </w:p>
        </w:tc>
        <w:tc>
          <w:tcPr>
            <w:tcW w:w="472" w:type="pct"/>
            <w:hideMark/>
          </w:tcPr>
          <w:p w14:paraId="71CCDC51"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7</w:t>
            </w:r>
          </w:p>
        </w:tc>
      </w:tr>
      <w:tr w:rsidR="0057442E" w:rsidRPr="00695826" w14:paraId="55F204A1" w14:textId="77777777" w:rsidTr="001D05EE">
        <w:tblPrEx>
          <w:tblBorders>
            <w:top w:val="single" w:sz="4" w:space="0" w:color="auto"/>
            <w:bottom w:val="single" w:sz="4" w:space="0" w:color="auto"/>
          </w:tblBorders>
        </w:tblPrEx>
        <w:tc>
          <w:tcPr>
            <w:tcW w:w="1358" w:type="pct"/>
            <w:vMerge/>
          </w:tcPr>
          <w:p w14:paraId="673C8D95" w14:textId="77777777" w:rsidR="00CD4846" w:rsidRPr="001D05EE" w:rsidRDefault="00CD4846" w:rsidP="00695826">
            <w:pPr>
              <w:spacing w:line="240" w:lineRule="auto"/>
              <w:rPr>
                <w:rFonts w:cs="Times New Roman"/>
                <w:kern w:val="2"/>
                <w:sz w:val="20"/>
                <w:szCs w:val="20"/>
                <w:lang/>
              </w:rPr>
            </w:pPr>
          </w:p>
        </w:tc>
        <w:tc>
          <w:tcPr>
            <w:tcW w:w="1819" w:type="pct"/>
            <w:hideMark/>
          </w:tcPr>
          <w:p w14:paraId="19108145"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Total E</w:t>
            </w:r>
            <w:r w:rsidRPr="00695826">
              <w:rPr>
                <w:rFonts w:cs="Times New Roman"/>
                <w:kern w:val="2"/>
                <w:sz w:val="20"/>
                <w:szCs w:val="20"/>
                <w:lang/>
              </w:rPr>
              <w:t>ntries</w:t>
            </w:r>
          </w:p>
        </w:tc>
        <w:tc>
          <w:tcPr>
            <w:tcW w:w="375" w:type="pct"/>
            <w:hideMark/>
          </w:tcPr>
          <w:p w14:paraId="293BFC60" w14:textId="333B1EEB"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1.3</w:t>
            </w:r>
            <w:r w:rsidRPr="00695826">
              <w:rPr>
                <w:rFonts w:cs="Times New Roman"/>
                <w:kern w:val="2"/>
                <w:sz w:val="20"/>
                <w:szCs w:val="20"/>
                <w:lang/>
              </w:rPr>
              <w:t>9</w:t>
            </w:r>
          </w:p>
        </w:tc>
        <w:tc>
          <w:tcPr>
            <w:tcW w:w="574" w:type="pct"/>
            <w:hideMark/>
          </w:tcPr>
          <w:p w14:paraId="7D4DAD36"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6.57</w:t>
            </w:r>
          </w:p>
        </w:tc>
        <w:tc>
          <w:tcPr>
            <w:tcW w:w="402" w:type="pct"/>
            <w:gridSpan w:val="2"/>
            <w:hideMark/>
          </w:tcPr>
          <w:p w14:paraId="27FAF59E"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0</w:t>
            </w:r>
          </w:p>
        </w:tc>
        <w:tc>
          <w:tcPr>
            <w:tcW w:w="472" w:type="pct"/>
            <w:hideMark/>
          </w:tcPr>
          <w:p w14:paraId="61AD71C2"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627</w:t>
            </w:r>
          </w:p>
        </w:tc>
      </w:tr>
      <w:tr w:rsidR="0057442E" w:rsidRPr="00695826" w14:paraId="7A7B7F4E" w14:textId="77777777" w:rsidTr="001D05EE">
        <w:tblPrEx>
          <w:tblBorders>
            <w:top w:val="single" w:sz="4" w:space="0" w:color="auto"/>
            <w:bottom w:val="single" w:sz="4" w:space="0" w:color="auto"/>
          </w:tblBorders>
        </w:tblPrEx>
        <w:tc>
          <w:tcPr>
            <w:tcW w:w="1358" w:type="pct"/>
            <w:vMerge/>
          </w:tcPr>
          <w:p w14:paraId="40A87692" w14:textId="77777777" w:rsidR="00CD4846" w:rsidRPr="001D05EE" w:rsidRDefault="00CD4846" w:rsidP="00695826">
            <w:pPr>
              <w:spacing w:line="240" w:lineRule="auto"/>
              <w:rPr>
                <w:rFonts w:cs="Times New Roman"/>
                <w:kern w:val="2"/>
                <w:sz w:val="20"/>
                <w:szCs w:val="20"/>
                <w:lang/>
              </w:rPr>
            </w:pPr>
          </w:p>
        </w:tc>
        <w:tc>
          <w:tcPr>
            <w:tcW w:w="1819" w:type="pct"/>
            <w:hideMark/>
          </w:tcPr>
          <w:p w14:paraId="19D98FF7"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D</w:t>
            </w:r>
            <w:r w:rsidRPr="00695826">
              <w:rPr>
                <w:rFonts w:cs="Times New Roman"/>
                <w:kern w:val="2"/>
                <w:sz w:val="20"/>
                <w:szCs w:val="20"/>
                <w:lang/>
              </w:rPr>
              <w:t>eaths</w:t>
            </w:r>
          </w:p>
        </w:tc>
        <w:tc>
          <w:tcPr>
            <w:tcW w:w="375" w:type="pct"/>
            <w:hideMark/>
          </w:tcPr>
          <w:p w14:paraId="4A74B0CD" w14:textId="7E1DD9FC"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1.39</w:t>
            </w:r>
          </w:p>
        </w:tc>
        <w:tc>
          <w:tcPr>
            <w:tcW w:w="574" w:type="pct"/>
            <w:hideMark/>
          </w:tcPr>
          <w:p w14:paraId="79AF798B"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6.66</w:t>
            </w:r>
          </w:p>
        </w:tc>
        <w:tc>
          <w:tcPr>
            <w:tcW w:w="402" w:type="pct"/>
            <w:gridSpan w:val="2"/>
            <w:hideMark/>
          </w:tcPr>
          <w:p w14:paraId="5BD6B7DD"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0</w:t>
            </w:r>
          </w:p>
        </w:tc>
        <w:tc>
          <w:tcPr>
            <w:tcW w:w="472" w:type="pct"/>
            <w:hideMark/>
          </w:tcPr>
          <w:p w14:paraId="5758888D"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620</w:t>
            </w:r>
          </w:p>
        </w:tc>
      </w:tr>
      <w:tr w:rsidR="0057442E" w:rsidRPr="00695826" w14:paraId="6ABE0000" w14:textId="77777777" w:rsidTr="001D05EE">
        <w:tblPrEx>
          <w:tblBorders>
            <w:top w:val="single" w:sz="4" w:space="0" w:color="auto"/>
            <w:bottom w:val="single" w:sz="4" w:space="0" w:color="auto"/>
          </w:tblBorders>
        </w:tblPrEx>
        <w:tc>
          <w:tcPr>
            <w:tcW w:w="1358" w:type="pct"/>
            <w:vMerge/>
          </w:tcPr>
          <w:p w14:paraId="6ECFDDBA" w14:textId="77777777" w:rsidR="00CD4846" w:rsidRPr="001D05EE" w:rsidRDefault="00CD4846" w:rsidP="00695826">
            <w:pPr>
              <w:spacing w:line="240" w:lineRule="auto"/>
              <w:rPr>
                <w:rFonts w:cs="Times New Roman"/>
                <w:kern w:val="2"/>
                <w:sz w:val="20"/>
                <w:szCs w:val="20"/>
                <w:lang/>
              </w:rPr>
            </w:pPr>
          </w:p>
        </w:tc>
        <w:tc>
          <w:tcPr>
            <w:tcW w:w="1819" w:type="pct"/>
            <w:hideMark/>
          </w:tcPr>
          <w:p w14:paraId="377A154B"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O</w:t>
            </w:r>
            <w:r w:rsidRPr="00695826">
              <w:rPr>
                <w:rFonts w:cs="Times New Roman"/>
                <w:kern w:val="2"/>
                <w:sz w:val="20"/>
                <w:szCs w:val="20"/>
                <w:lang/>
              </w:rPr>
              <w:t xml:space="preserve">utward </w:t>
            </w:r>
            <w:r w:rsidRPr="00695826">
              <w:rPr>
                <w:rFonts w:cs="Times New Roman"/>
                <w:kern w:val="2"/>
                <w:sz w:val="20"/>
                <w:szCs w:val="20"/>
                <w:lang/>
              </w:rPr>
              <w:t>R</w:t>
            </w:r>
            <w:r w:rsidRPr="00695826">
              <w:rPr>
                <w:rFonts w:cs="Times New Roman"/>
                <w:kern w:val="2"/>
                <w:sz w:val="20"/>
                <w:szCs w:val="20"/>
                <w:lang/>
              </w:rPr>
              <w:t>elocation</w:t>
            </w:r>
            <w:r w:rsidRPr="00695826">
              <w:rPr>
                <w:rFonts w:cs="Times New Roman"/>
                <w:kern w:val="2"/>
                <w:sz w:val="20"/>
                <w:szCs w:val="20"/>
                <w:lang/>
              </w:rPr>
              <w:t>s</w:t>
            </w:r>
          </w:p>
        </w:tc>
        <w:tc>
          <w:tcPr>
            <w:tcW w:w="375" w:type="pct"/>
            <w:hideMark/>
          </w:tcPr>
          <w:p w14:paraId="618FA74D" w14:textId="5A4096BA"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.048</w:t>
            </w:r>
          </w:p>
        </w:tc>
        <w:tc>
          <w:tcPr>
            <w:tcW w:w="574" w:type="pct"/>
            <w:hideMark/>
          </w:tcPr>
          <w:p w14:paraId="5F1212A2"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.805</w:t>
            </w:r>
          </w:p>
        </w:tc>
        <w:tc>
          <w:tcPr>
            <w:tcW w:w="402" w:type="pct"/>
            <w:gridSpan w:val="2"/>
            <w:hideMark/>
          </w:tcPr>
          <w:p w14:paraId="5361ACA3"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0</w:t>
            </w:r>
          </w:p>
        </w:tc>
        <w:tc>
          <w:tcPr>
            <w:tcW w:w="472" w:type="pct"/>
            <w:hideMark/>
          </w:tcPr>
          <w:p w14:paraId="6528D69C"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140</w:t>
            </w:r>
          </w:p>
        </w:tc>
      </w:tr>
      <w:tr w:rsidR="0057442E" w:rsidRPr="00695826" w14:paraId="49D58976" w14:textId="77777777" w:rsidTr="001D05EE">
        <w:tblPrEx>
          <w:tblBorders>
            <w:top w:val="single" w:sz="4" w:space="0" w:color="auto"/>
            <w:bottom w:val="single" w:sz="4" w:space="0" w:color="auto"/>
          </w:tblBorders>
        </w:tblPrEx>
        <w:tc>
          <w:tcPr>
            <w:tcW w:w="1358" w:type="pct"/>
            <w:vMerge/>
          </w:tcPr>
          <w:p w14:paraId="1612FE55" w14:textId="77777777" w:rsidR="00CD4846" w:rsidRPr="001D05EE" w:rsidRDefault="00CD4846" w:rsidP="00695826">
            <w:pPr>
              <w:spacing w:line="240" w:lineRule="auto"/>
              <w:rPr>
                <w:rFonts w:cs="Times New Roman"/>
                <w:kern w:val="2"/>
                <w:sz w:val="20"/>
                <w:szCs w:val="20"/>
                <w:lang/>
              </w:rPr>
            </w:pPr>
          </w:p>
        </w:tc>
        <w:tc>
          <w:tcPr>
            <w:tcW w:w="1819" w:type="pct"/>
            <w:hideMark/>
          </w:tcPr>
          <w:p w14:paraId="71B3BFCB"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I</w:t>
            </w:r>
            <w:r w:rsidRPr="00695826">
              <w:rPr>
                <w:rFonts w:cs="Times New Roman"/>
                <w:kern w:val="2"/>
                <w:sz w:val="20"/>
                <w:szCs w:val="20"/>
                <w:lang/>
              </w:rPr>
              <w:t>ntra</w:t>
            </w:r>
            <w:r w:rsidRPr="00695826">
              <w:rPr>
                <w:rFonts w:cs="Times New Roman"/>
                <w:kern w:val="2"/>
                <w:sz w:val="20"/>
                <w:szCs w:val="20"/>
                <w:lang/>
              </w:rPr>
              <w:t>-S</w:t>
            </w:r>
            <w:r w:rsidRPr="00695826">
              <w:rPr>
                <w:rFonts w:cs="Times New Roman"/>
                <w:kern w:val="2"/>
                <w:sz w:val="20"/>
                <w:szCs w:val="20"/>
                <w:lang/>
              </w:rPr>
              <w:t>tat</w:t>
            </w:r>
            <w:r w:rsidRPr="00695826">
              <w:rPr>
                <w:rFonts w:cs="Times New Roman"/>
                <w:kern w:val="2"/>
                <w:sz w:val="20"/>
                <w:szCs w:val="20"/>
                <w:lang/>
              </w:rPr>
              <w:t>e O</w:t>
            </w:r>
            <w:r w:rsidRPr="00695826">
              <w:rPr>
                <w:rFonts w:cs="Times New Roman"/>
                <w:kern w:val="2"/>
                <w:sz w:val="20"/>
                <w:szCs w:val="20"/>
                <w:lang/>
              </w:rPr>
              <w:t xml:space="preserve">utward </w:t>
            </w:r>
            <w:r w:rsidRPr="00695826">
              <w:rPr>
                <w:rFonts w:cs="Times New Roman"/>
                <w:kern w:val="2"/>
                <w:sz w:val="20"/>
                <w:szCs w:val="20"/>
                <w:lang/>
              </w:rPr>
              <w:t>R</w:t>
            </w:r>
            <w:r w:rsidRPr="00695826">
              <w:rPr>
                <w:rFonts w:cs="Times New Roman"/>
                <w:kern w:val="2"/>
                <w:sz w:val="20"/>
                <w:szCs w:val="20"/>
                <w:lang/>
              </w:rPr>
              <w:t>elocation</w:t>
            </w:r>
            <w:r w:rsidRPr="00695826">
              <w:rPr>
                <w:rFonts w:cs="Times New Roman"/>
                <w:kern w:val="2"/>
                <w:sz w:val="20"/>
                <w:szCs w:val="20"/>
                <w:lang/>
              </w:rPr>
              <w:t>s</w:t>
            </w:r>
          </w:p>
        </w:tc>
        <w:tc>
          <w:tcPr>
            <w:tcW w:w="375" w:type="pct"/>
            <w:hideMark/>
          </w:tcPr>
          <w:p w14:paraId="17D1C270" w14:textId="7AE332E9"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.043</w:t>
            </w:r>
          </w:p>
        </w:tc>
        <w:tc>
          <w:tcPr>
            <w:tcW w:w="574" w:type="pct"/>
            <w:hideMark/>
          </w:tcPr>
          <w:p w14:paraId="651D078B"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.795</w:t>
            </w:r>
          </w:p>
        </w:tc>
        <w:tc>
          <w:tcPr>
            <w:tcW w:w="402" w:type="pct"/>
            <w:gridSpan w:val="2"/>
            <w:hideMark/>
          </w:tcPr>
          <w:p w14:paraId="25B75CEE"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0</w:t>
            </w:r>
          </w:p>
        </w:tc>
        <w:tc>
          <w:tcPr>
            <w:tcW w:w="472" w:type="pct"/>
            <w:hideMark/>
          </w:tcPr>
          <w:p w14:paraId="0674CC7D"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140</w:t>
            </w:r>
          </w:p>
        </w:tc>
      </w:tr>
      <w:tr w:rsidR="0057442E" w:rsidRPr="00695826" w14:paraId="08A6C97E" w14:textId="77777777" w:rsidTr="001D05EE">
        <w:tblPrEx>
          <w:tblBorders>
            <w:top w:val="single" w:sz="4" w:space="0" w:color="auto"/>
            <w:bottom w:val="single" w:sz="4" w:space="0" w:color="auto"/>
          </w:tblBorders>
        </w:tblPrEx>
        <w:tc>
          <w:tcPr>
            <w:tcW w:w="1358" w:type="pct"/>
            <w:vMerge/>
          </w:tcPr>
          <w:p w14:paraId="20075A99" w14:textId="77777777" w:rsidR="00CD4846" w:rsidRPr="001D05EE" w:rsidRDefault="00CD4846" w:rsidP="00695826">
            <w:pPr>
              <w:spacing w:line="240" w:lineRule="auto"/>
              <w:rPr>
                <w:rFonts w:cs="Times New Roman"/>
                <w:kern w:val="2"/>
                <w:sz w:val="20"/>
                <w:szCs w:val="20"/>
                <w:lang/>
              </w:rPr>
            </w:pPr>
          </w:p>
        </w:tc>
        <w:tc>
          <w:tcPr>
            <w:tcW w:w="1819" w:type="pct"/>
            <w:hideMark/>
          </w:tcPr>
          <w:p w14:paraId="552B542E"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I</w:t>
            </w:r>
            <w:r w:rsidRPr="00695826">
              <w:rPr>
                <w:rFonts w:cs="Times New Roman"/>
                <w:kern w:val="2"/>
                <w:sz w:val="20"/>
                <w:szCs w:val="20"/>
                <w:lang/>
              </w:rPr>
              <w:t>nter-</w:t>
            </w:r>
            <w:r w:rsidRPr="00695826">
              <w:rPr>
                <w:rFonts w:cs="Times New Roman"/>
                <w:kern w:val="2"/>
                <w:sz w:val="20"/>
                <w:szCs w:val="20"/>
                <w:lang/>
              </w:rPr>
              <w:t>S</w:t>
            </w:r>
            <w:r w:rsidRPr="00695826">
              <w:rPr>
                <w:rFonts w:cs="Times New Roman"/>
                <w:kern w:val="2"/>
                <w:sz w:val="20"/>
                <w:szCs w:val="20"/>
                <w:lang/>
              </w:rPr>
              <w:t>tat</w:t>
            </w:r>
            <w:r w:rsidRPr="00695826">
              <w:rPr>
                <w:rFonts w:cs="Times New Roman"/>
                <w:kern w:val="2"/>
                <w:sz w:val="20"/>
                <w:szCs w:val="20"/>
                <w:lang/>
              </w:rPr>
              <w:t>e O</w:t>
            </w:r>
            <w:r w:rsidRPr="00695826">
              <w:rPr>
                <w:rFonts w:cs="Times New Roman"/>
                <w:kern w:val="2"/>
                <w:sz w:val="20"/>
                <w:szCs w:val="20"/>
                <w:lang/>
              </w:rPr>
              <w:t xml:space="preserve">utward </w:t>
            </w:r>
            <w:r w:rsidRPr="00695826">
              <w:rPr>
                <w:rFonts w:cs="Times New Roman"/>
                <w:kern w:val="2"/>
                <w:sz w:val="20"/>
                <w:szCs w:val="20"/>
                <w:lang/>
              </w:rPr>
              <w:t>R</w:t>
            </w:r>
            <w:r w:rsidRPr="00695826">
              <w:rPr>
                <w:rFonts w:cs="Times New Roman"/>
                <w:kern w:val="2"/>
                <w:sz w:val="20"/>
                <w:szCs w:val="20"/>
                <w:lang/>
              </w:rPr>
              <w:t>elocation</w:t>
            </w:r>
            <w:r w:rsidRPr="00695826">
              <w:rPr>
                <w:rFonts w:cs="Times New Roman"/>
                <w:kern w:val="2"/>
                <w:sz w:val="20"/>
                <w:szCs w:val="20"/>
                <w:lang/>
              </w:rPr>
              <w:t>s</w:t>
            </w:r>
          </w:p>
        </w:tc>
        <w:tc>
          <w:tcPr>
            <w:tcW w:w="375" w:type="pct"/>
            <w:hideMark/>
          </w:tcPr>
          <w:p w14:paraId="7A49562E" w14:textId="79251093"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.005</w:t>
            </w:r>
          </w:p>
        </w:tc>
        <w:tc>
          <w:tcPr>
            <w:tcW w:w="574" w:type="pct"/>
            <w:hideMark/>
          </w:tcPr>
          <w:p w14:paraId="6A7C0B02"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.089</w:t>
            </w:r>
          </w:p>
        </w:tc>
        <w:tc>
          <w:tcPr>
            <w:tcW w:w="402" w:type="pct"/>
            <w:gridSpan w:val="2"/>
            <w:hideMark/>
          </w:tcPr>
          <w:p w14:paraId="33BF45F0"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0</w:t>
            </w:r>
          </w:p>
        </w:tc>
        <w:tc>
          <w:tcPr>
            <w:tcW w:w="472" w:type="pct"/>
            <w:hideMark/>
          </w:tcPr>
          <w:p w14:paraId="4BEAC57A"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6</w:t>
            </w:r>
          </w:p>
        </w:tc>
      </w:tr>
      <w:tr w:rsidR="0057442E" w:rsidRPr="00695826" w14:paraId="40E6790B" w14:textId="77777777" w:rsidTr="001D05EE">
        <w:tblPrEx>
          <w:tblBorders>
            <w:top w:val="single" w:sz="4" w:space="0" w:color="auto"/>
            <w:bottom w:val="single" w:sz="4" w:space="0" w:color="auto"/>
          </w:tblBorders>
        </w:tblPrEx>
        <w:tc>
          <w:tcPr>
            <w:tcW w:w="1358" w:type="pct"/>
            <w:vMerge/>
            <w:tcBorders>
              <w:bottom w:val="single" w:sz="4" w:space="0" w:color="auto"/>
            </w:tcBorders>
          </w:tcPr>
          <w:p w14:paraId="018C9708" w14:textId="77777777" w:rsidR="00CD4846" w:rsidRPr="001D05EE" w:rsidRDefault="00CD4846" w:rsidP="00695826">
            <w:pPr>
              <w:spacing w:line="240" w:lineRule="auto"/>
              <w:rPr>
                <w:rFonts w:cs="Times New Roman"/>
                <w:kern w:val="2"/>
                <w:sz w:val="20"/>
                <w:szCs w:val="20"/>
                <w:lang/>
              </w:rPr>
            </w:pPr>
          </w:p>
        </w:tc>
        <w:tc>
          <w:tcPr>
            <w:tcW w:w="1819" w:type="pct"/>
            <w:tcBorders>
              <w:bottom w:val="single" w:sz="4" w:space="0" w:color="auto"/>
            </w:tcBorders>
            <w:hideMark/>
          </w:tcPr>
          <w:p w14:paraId="098AC07D"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Total E</w:t>
            </w:r>
            <w:r w:rsidRPr="00695826">
              <w:rPr>
                <w:rFonts w:cs="Times New Roman"/>
                <w:kern w:val="2"/>
                <w:sz w:val="20"/>
                <w:szCs w:val="20"/>
                <w:lang/>
              </w:rPr>
              <w:t>xits</w:t>
            </w:r>
          </w:p>
        </w:tc>
        <w:tc>
          <w:tcPr>
            <w:tcW w:w="375" w:type="pct"/>
            <w:tcBorders>
              <w:bottom w:val="single" w:sz="4" w:space="0" w:color="auto"/>
            </w:tcBorders>
            <w:hideMark/>
          </w:tcPr>
          <w:p w14:paraId="2B071FD4" w14:textId="1DF9C20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1.4</w:t>
            </w:r>
            <w:r w:rsidRPr="00695826">
              <w:rPr>
                <w:rFonts w:cs="Times New Roman"/>
                <w:kern w:val="2"/>
                <w:sz w:val="20"/>
                <w:szCs w:val="20"/>
                <w:lang/>
              </w:rPr>
              <w:t>4</w:t>
            </w:r>
          </w:p>
        </w:tc>
        <w:tc>
          <w:tcPr>
            <w:tcW w:w="574" w:type="pct"/>
            <w:tcBorders>
              <w:bottom w:val="single" w:sz="4" w:space="0" w:color="auto"/>
            </w:tcBorders>
            <w:hideMark/>
          </w:tcPr>
          <w:p w14:paraId="4B5CD1A2"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6.86</w:t>
            </w:r>
          </w:p>
        </w:tc>
        <w:tc>
          <w:tcPr>
            <w:tcW w:w="402" w:type="pct"/>
            <w:gridSpan w:val="2"/>
            <w:tcBorders>
              <w:bottom w:val="single" w:sz="4" w:space="0" w:color="auto"/>
            </w:tcBorders>
            <w:hideMark/>
          </w:tcPr>
          <w:p w14:paraId="42E30C3B"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0</w:t>
            </w:r>
          </w:p>
        </w:tc>
        <w:tc>
          <w:tcPr>
            <w:tcW w:w="472" w:type="pct"/>
            <w:tcBorders>
              <w:bottom w:val="single" w:sz="4" w:space="0" w:color="auto"/>
            </w:tcBorders>
            <w:hideMark/>
          </w:tcPr>
          <w:p w14:paraId="1B590376"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621</w:t>
            </w:r>
          </w:p>
        </w:tc>
      </w:tr>
      <w:tr w:rsidR="001D05EE" w:rsidRPr="00695826" w14:paraId="1B3EAC35" w14:textId="77777777" w:rsidTr="001D05EE">
        <w:tblPrEx>
          <w:tblBorders>
            <w:top w:val="single" w:sz="4" w:space="0" w:color="auto"/>
            <w:bottom w:val="single" w:sz="4" w:space="0" w:color="auto"/>
          </w:tblBorders>
        </w:tblPrEx>
        <w:tc>
          <w:tcPr>
            <w:tcW w:w="1358" w:type="pct"/>
            <w:vMerge w:val="restart"/>
            <w:tcBorders>
              <w:top w:val="single" w:sz="4" w:space="0" w:color="auto"/>
              <w:bottom w:val="nil"/>
            </w:tcBorders>
          </w:tcPr>
          <w:p w14:paraId="79EE2367" w14:textId="11954C4E" w:rsidR="00CD4846" w:rsidRPr="001D05EE" w:rsidRDefault="00CD4846" w:rsidP="00695826">
            <w:pPr>
              <w:spacing w:line="240" w:lineRule="auto"/>
              <w:rPr>
                <w:rFonts w:cs="Times New Roman"/>
                <w:kern w:val="2"/>
                <w:sz w:val="20"/>
                <w:szCs w:val="20"/>
                <w:lang/>
              </w:rPr>
            </w:pPr>
            <w:r w:rsidRPr="001D05EE">
              <w:rPr>
                <w:rFonts w:cs="Times New Roman"/>
                <w:kern w:val="2"/>
                <w:sz w:val="20"/>
                <w:szCs w:val="20"/>
                <w:lang/>
              </w:rPr>
              <w:t>22</w:t>
            </w:r>
          </w:p>
          <w:p w14:paraId="3FD11982" w14:textId="77777777" w:rsidR="00CD4846" w:rsidRPr="001D05EE" w:rsidRDefault="00CD4846" w:rsidP="00695826">
            <w:pPr>
              <w:spacing w:line="240" w:lineRule="auto"/>
              <w:rPr>
                <w:rFonts w:cs="Times New Roman"/>
                <w:kern w:val="2"/>
                <w:sz w:val="20"/>
                <w:szCs w:val="20"/>
                <w:lang/>
              </w:rPr>
            </w:pPr>
            <w:r w:rsidRPr="001D05EE">
              <w:rPr>
                <w:rFonts w:cs="Times New Roman"/>
                <w:kern w:val="2"/>
                <w:sz w:val="20"/>
                <w:szCs w:val="20"/>
                <w:lang/>
              </w:rPr>
              <w:t>-</w:t>
            </w:r>
          </w:p>
          <w:p w14:paraId="53CC6A11" w14:textId="279D03EF" w:rsidR="00CD4846" w:rsidRPr="001D05EE" w:rsidRDefault="00CD4846" w:rsidP="00695826">
            <w:pPr>
              <w:spacing w:line="240" w:lineRule="auto"/>
              <w:rPr>
                <w:rFonts w:cs="Times New Roman"/>
                <w:kern w:val="2"/>
                <w:sz w:val="20"/>
                <w:szCs w:val="20"/>
                <w:lang/>
              </w:rPr>
            </w:pPr>
            <w:r w:rsidRPr="001D05EE">
              <w:rPr>
                <w:rFonts w:cs="Times New Roman"/>
                <w:kern w:val="2"/>
                <w:sz w:val="20"/>
                <w:szCs w:val="20"/>
                <w:lang/>
              </w:rPr>
              <w:t>Utilities</w:t>
            </w:r>
          </w:p>
        </w:tc>
        <w:tc>
          <w:tcPr>
            <w:tcW w:w="1819" w:type="pct"/>
            <w:tcBorders>
              <w:top w:val="single" w:sz="4" w:space="0" w:color="auto"/>
              <w:bottom w:val="nil"/>
            </w:tcBorders>
            <w:hideMark/>
          </w:tcPr>
          <w:p w14:paraId="640DDFD9"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B</w:t>
            </w:r>
            <w:r w:rsidRPr="00695826">
              <w:rPr>
                <w:rFonts w:cs="Times New Roman"/>
                <w:kern w:val="2"/>
                <w:sz w:val="20"/>
                <w:szCs w:val="20"/>
                <w:lang/>
              </w:rPr>
              <w:t>irths</w:t>
            </w:r>
          </w:p>
        </w:tc>
        <w:tc>
          <w:tcPr>
            <w:tcW w:w="375" w:type="pct"/>
            <w:tcBorders>
              <w:top w:val="single" w:sz="4" w:space="0" w:color="auto"/>
              <w:bottom w:val="nil"/>
            </w:tcBorders>
            <w:hideMark/>
          </w:tcPr>
          <w:p w14:paraId="0351613A"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1.49</w:t>
            </w:r>
          </w:p>
        </w:tc>
        <w:tc>
          <w:tcPr>
            <w:tcW w:w="582" w:type="pct"/>
            <w:gridSpan w:val="2"/>
            <w:tcBorders>
              <w:top w:val="single" w:sz="4" w:space="0" w:color="auto"/>
              <w:bottom w:val="nil"/>
            </w:tcBorders>
            <w:hideMark/>
          </w:tcPr>
          <w:p w14:paraId="640B95EE"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3.</w:t>
            </w:r>
            <w:r w:rsidRPr="00695826">
              <w:rPr>
                <w:rFonts w:cs="Times New Roman"/>
                <w:kern w:val="2"/>
                <w:sz w:val="20"/>
                <w:szCs w:val="20"/>
                <w:lang/>
              </w:rPr>
              <w:t>60</w:t>
            </w:r>
          </w:p>
        </w:tc>
        <w:tc>
          <w:tcPr>
            <w:tcW w:w="394" w:type="pct"/>
            <w:tcBorders>
              <w:top w:val="single" w:sz="4" w:space="0" w:color="auto"/>
              <w:bottom w:val="nil"/>
            </w:tcBorders>
            <w:hideMark/>
          </w:tcPr>
          <w:p w14:paraId="2B83BD95"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0</w:t>
            </w:r>
          </w:p>
        </w:tc>
        <w:tc>
          <w:tcPr>
            <w:tcW w:w="472" w:type="pct"/>
            <w:tcBorders>
              <w:top w:val="single" w:sz="4" w:space="0" w:color="auto"/>
              <w:bottom w:val="nil"/>
            </w:tcBorders>
            <w:hideMark/>
          </w:tcPr>
          <w:p w14:paraId="780CB9BE"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129</w:t>
            </w:r>
          </w:p>
        </w:tc>
      </w:tr>
      <w:tr w:rsidR="001D05EE" w:rsidRPr="00695826" w14:paraId="6D7D7171" w14:textId="77777777" w:rsidTr="001D05EE">
        <w:tblPrEx>
          <w:tblBorders>
            <w:top w:val="single" w:sz="4" w:space="0" w:color="auto"/>
            <w:bottom w:val="single" w:sz="4" w:space="0" w:color="auto"/>
          </w:tblBorders>
        </w:tblPrEx>
        <w:tc>
          <w:tcPr>
            <w:tcW w:w="1358" w:type="pct"/>
            <w:vMerge/>
            <w:tcBorders>
              <w:top w:val="nil"/>
            </w:tcBorders>
          </w:tcPr>
          <w:p w14:paraId="4E611C3C" w14:textId="77777777" w:rsidR="00CD4846" w:rsidRPr="001D05EE" w:rsidRDefault="00CD4846" w:rsidP="00695826">
            <w:pPr>
              <w:spacing w:line="240" w:lineRule="auto"/>
              <w:rPr>
                <w:rFonts w:cs="Times New Roman"/>
                <w:kern w:val="2"/>
                <w:sz w:val="20"/>
                <w:szCs w:val="20"/>
                <w:lang/>
              </w:rPr>
            </w:pPr>
          </w:p>
        </w:tc>
        <w:tc>
          <w:tcPr>
            <w:tcW w:w="1819" w:type="pct"/>
            <w:tcBorders>
              <w:top w:val="nil"/>
            </w:tcBorders>
            <w:hideMark/>
          </w:tcPr>
          <w:p w14:paraId="7E84FF5D"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I</w:t>
            </w:r>
            <w:r w:rsidRPr="00695826">
              <w:rPr>
                <w:rFonts w:cs="Times New Roman"/>
                <w:kern w:val="2"/>
                <w:sz w:val="20"/>
                <w:szCs w:val="20"/>
                <w:lang/>
              </w:rPr>
              <w:t xml:space="preserve">nward </w:t>
            </w:r>
            <w:r w:rsidRPr="00695826">
              <w:rPr>
                <w:rFonts w:cs="Times New Roman"/>
                <w:kern w:val="2"/>
                <w:sz w:val="20"/>
                <w:szCs w:val="20"/>
                <w:lang/>
              </w:rPr>
              <w:t>R</w:t>
            </w:r>
            <w:r w:rsidRPr="00695826">
              <w:rPr>
                <w:rFonts w:cs="Times New Roman"/>
                <w:kern w:val="2"/>
                <w:sz w:val="20"/>
                <w:szCs w:val="20"/>
                <w:lang/>
              </w:rPr>
              <w:t>elocations</w:t>
            </w:r>
          </w:p>
        </w:tc>
        <w:tc>
          <w:tcPr>
            <w:tcW w:w="375" w:type="pct"/>
            <w:tcBorders>
              <w:top w:val="nil"/>
            </w:tcBorders>
            <w:hideMark/>
          </w:tcPr>
          <w:p w14:paraId="4F457D42"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.034</w:t>
            </w:r>
          </w:p>
        </w:tc>
        <w:tc>
          <w:tcPr>
            <w:tcW w:w="582" w:type="pct"/>
            <w:gridSpan w:val="2"/>
            <w:tcBorders>
              <w:top w:val="nil"/>
            </w:tcBorders>
            <w:hideMark/>
          </w:tcPr>
          <w:p w14:paraId="37E32B2A"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.293</w:t>
            </w:r>
          </w:p>
        </w:tc>
        <w:tc>
          <w:tcPr>
            <w:tcW w:w="394" w:type="pct"/>
            <w:tcBorders>
              <w:top w:val="nil"/>
            </w:tcBorders>
            <w:hideMark/>
          </w:tcPr>
          <w:p w14:paraId="20FBAA19"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0</w:t>
            </w:r>
          </w:p>
        </w:tc>
        <w:tc>
          <w:tcPr>
            <w:tcW w:w="472" w:type="pct"/>
            <w:tcBorders>
              <w:top w:val="nil"/>
            </w:tcBorders>
            <w:hideMark/>
          </w:tcPr>
          <w:p w14:paraId="71B951A1"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26</w:t>
            </w:r>
          </w:p>
        </w:tc>
      </w:tr>
      <w:tr w:rsidR="001D05EE" w:rsidRPr="00695826" w14:paraId="728C7627" w14:textId="77777777" w:rsidTr="001D05EE">
        <w:tblPrEx>
          <w:tblBorders>
            <w:top w:val="single" w:sz="4" w:space="0" w:color="auto"/>
            <w:bottom w:val="single" w:sz="4" w:space="0" w:color="auto"/>
          </w:tblBorders>
        </w:tblPrEx>
        <w:tc>
          <w:tcPr>
            <w:tcW w:w="1358" w:type="pct"/>
            <w:vMerge/>
          </w:tcPr>
          <w:p w14:paraId="0075E1E2" w14:textId="77777777" w:rsidR="00CD4846" w:rsidRPr="001D05EE" w:rsidRDefault="00CD4846" w:rsidP="00695826">
            <w:pPr>
              <w:spacing w:line="240" w:lineRule="auto"/>
              <w:rPr>
                <w:rFonts w:cs="Times New Roman"/>
                <w:kern w:val="2"/>
                <w:sz w:val="20"/>
                <w:szCs w:val="20"/>
                <w:lang/>
              </w:rPr>
            </w:pPr>
          </w:p>
        </w:tc>
        <w:tc>
          <w:tcPr>
            <w:tcW w:w="1819" w:type="pct"/>
            <w:hideMark/>
          </w:tcPr>
          <w:p w14:paraId="456748E2"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I</w:t>
            </w:r>
            <w:r w:rsidRPr="00695826">
              <w:rPr>
                <w:rFonts w:cs="Times New Roman"/>
                <w:kern w:val="2"/>
                <w:sz w:val="20"/>
                <w:szCs w:val="20"/>
                <w:lang/>
              </w:rPr>
              <w:t>ntra-state</w:t>
            </w:r>
            <w:r w:rsidRPr="00695826">
              <w:rPr>
                <w:rFonts w:cs="Times New Roman"/>
                <w:kern w:val="2"/>
                <w:sz w:val="20"/>
                <w:szCs w:val="20"/>
                <w:lang/>
              </w:rPr>
              <w:t xml:space="preserve"> I</w:t>
            </w:r>
            <w:r w:rsidRPr="00695826">
              <w:rPr>
                <w:rFonts w:cs="Times New Roman"/>
                <w:kern w:val="2"/>
                <w:sz w:val="20"/>
                <w:szCs w:val="20"/>
                <w:lang/>
              </w:rPr>
              <w:t xml:space="preserve">nward </w:t>
            </w:r>
            <w:r w:rsidRPr="00695826">
              <w:rPr>
                <w:rFonts w:cs="Times New Roman"/>
                <w:kern w:val="2"/>
                <w:sz w:val="20"/>
                <w:szCs w:val="20"/>
                <w:lang/>
              </w:rPr>
              <w:t>R</w:t>
            </w:r>
            <w:r w:rsidRPr="00695826">
              <w:rPr>
                <w:rFonts w:cs="Times New Roman"/>
                <w:kern w:val="2"/>
                <w:sz w:val="20"/>
                <w:szCs w:val="20"/>
                <w:lang/>
              </w:rPr>
              <w:t>elocations</w:t>
            </w:r>
          </w:p>
        </w:tc>
        <w:tc>
          <w:tcPr>
            <w:tcW w:w="375" w:type="pct"/>
            <w:hideMark/>
          </w:tcPr>
          <w:p w14:paraId="2663DF45"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.033</w:t>
            </w:r>
          </w:p>
        </w:tc>
        <w:tc>
          <w:tcPr>
            <w:tcW w:w="582" w:type="pct"/>
            <w:gridSpan w:val="2"/>
            <w:hideMark/>
          </w:tcPr>
          <w:p w14:paraId="60791ED9"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.29</w:t>
            </w:r>
          </w:p>
        </w:tc>
        <w:tc>
          <w:tcPr>
            <w:tcW w:w="394" w:type="pct"/>
            <w:hideMark/>
          </w:tcPr>
          <w:p w14:paraId="21A1614C"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0</w:t>
            </w:r>
          </w:p>
        </w:tc>
        <w:tc>
          <w:tcPr>
            <w:tcW w:w="472" w:type="pct"/>
            <w:hideMark/>
          </w:tcPr>
          <w:p w14:paraId="471E5AC1"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26</w:t>
            </w:r>
          </w:p>
        </w:tc>
      </w:tr>
      <w:tr w:rsidR="001D05EE" w:rsidRPr="00695826" w14:paraId="2DCEA015" w14:textId="77777777" w:rsidTr="001D05EE">
        <w:tblPrEx>
          <w:tblBorders>
            <w:top w:val="single" w:sz="4" w:space="0" w:color="auto"/>
            <w:bottom w:val="single" w:sz="4" w:space="0" w:color="auto"/>
          </w:tblBorders>
        </w:tblPrEx>
        <w:tc>
          <w:tcPr>
            <w:tcW w:w="1358" w:type="pct"/>
            <w:vMerge/>
          </w:tcPr>
          <w:p w14:paraId="119DA06B" w14:textId="77777777" w:rsidR="00CD4846" w:rsidRPr="001D05EE" w:rsidRDefault="00CD4846" w:rsidP="00695826">
            <w:pPr>
              <w:spacing w:line="240" w:lineRule="auto"/>
              <w:rPr>
                <w:rFonts w:cs="Times New Roman"/>
                <w:kern w:val="2"/>
                <w:sz w:val="20"/>
                <w:szCs w:val="20"/>
                <w:lang/>
              </w:rPr>
            </w:pPr>
          </w:p>
        </w:tc>
        <w:tc>
          <w:tcPr>
            <w:tcW w:w="1819" w:type="pct"/>
            <w:hideMark/>
          </w:tcPr>
          <w:p w14:paraId="671FF239"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I</w:t>
            </w:r>
            <w:r w:rsidRPr="00695826">
              <w:rPr>
                <w:rFonts w:cs="Times New Roman"/>
                <w:kern w:val="2"/>
                <w:sz w:val="20"/>
                <w:szCs w:val="20"/>
                <w:lang/>
              </w:rPr>
              <w:t>nter-state</w:t>
            </w:r>
            <w:r w:rsidRPr="00695826">
              <w:rPr>
                <w:rFonts w:cs="Times New Roman"/>
                <w:kern w:val="2"/>
                <w:sz w:val="20"/>
                <w:szCs w:val="20"/>
                <w:lang/>
              </w:rPr>
              <w:t xml:space="preserve"> I</w:t>
            </w:r>
            <w:r w:rsidRPr="00695826">
              <w:rPr>
                <w:rFonts w:cs="Times New Roman"/>
                <w:kern w:val="2"/>
                <w:sz w:val="20"/>
                <w:szCs w:val="20"/>
                <w:lang/>
              </w:rPr>
              <w:t xml:space="preserve">nward </w:t>
            </w:r>
            <w:r w:rsidRPr="00695826">
              <w:rPr>
                <w:rFonts w:cs="Times New Roman"/>
                <w:kern w:val="2"/>
                <w:sz w:val="20"/>
                <w:szCs w:val="20"/>
                <w:lang/>
              </w:rPr>
              <w:t>R</w:t>
            </w:r>
            <w:r w:rsidRPr="00695826">
              <w:rPr>
                <w:rFonts w:cs="Times New Roman"/>
                <w:kern w:val="2"/>
                <w:sz w:val="20"/>
                <w:szCs w:val="20"/>
                <w:lang/>
              </w:rPr>
              <w:t>elocations</w:t>
            </w:r>
          </w:p>
        </w:tc>
        <w:tc>
          <w:tcPr>
            <w:tcW w:w="375" w:type="pct"/>
            <w:hideMark/>
          </w:tcPr>
          <w:p w14:paraId="4F9C6E3D"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.001</w:t>
            </w:r>
          </w:p>
        </w:tc>
        <w:tc>
          <w:tcPr>
            <w:tcW w:w="582" w:type="pct"/>
            <w:gridSpan w:val="2"/>
            <w:hideMark/>
          </w:tcPr>
          <w:p w14:paraId="3F3E0BD4"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.04</w:t>
            </w:r>
          </w:p>
        </w:tc>
        <w:tc>
          <w:tcPr>
            <w:tcW w:w="394" w:type="pct"/>
            <w:hideMark/>
          </w:tcPr>
          <w:p w14:paraId="4A588C8C"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0</w:t>
            </w:r>
          </w:p>
        </w:tc>
        <w:tc>
          <w:tcPr>
            <w:tcW w:w="472" w:type="pct"/>
            <w:hideMark/>
          </w:tcPr>
          <w:p w14:paraId="4214AA1B"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4</w:t>
            </w:r>
          </w:p>
        </w:tc>
      </w:tr>
      <w:tr w:rsidR="001D05EE" w:rsidRPr="00695826" w14:paraId="2D70EECB" w14:textId="77777777" w:rsidTr="001D05EE">
        <w:tblPrEx>
          <w:tblBorders>
            <w:top w:val="single" w:sz="4" w:space="0" w:color="auto"/>
            <w:bottom w:val="single" w:sz="4" w:space="0" w:color="auto"/>
          </w:tblBorders>
        </w:tblPrEx>
        <w:tc>
          <w:tcPr>
            <w:tcW w:w="1358" w:type="pct"/>
            <w:vMerge/>
          </w:tcPr>
          <w:p w14:paraId="6AE00A09" w14:textId="77777777" w:rsidR="00CD4846" w:rsidRPr="001D05EE" w:rsidRDefault="00CD4846" w:rsidP="00695826">
            <w:pPr>
              <w:spacing w:line="240" w:lineRule="auto"/>
              <w:rPr>
                <w:rFonts w:cs="Times New Roman"/>
                <w:kern w:val="2"/>
                <w:sz w:val="20"/>
                <w:szCs w:val="20"/>
                <w:lang/>
              </w:rPr>
            </w:pPr>
          </w:p>
        </w:tc>
        <w:tc>
          <w:tcPr>
            <w:tcW w:w="1819" w:type="pct"/>
            <w:hideMark/>
          </w:tcPr>
          <w:p w14:paraId="2FEDF541"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Total E</w:t>
            </w:r>
            <w:r w:rsidRPr="00695826">
              <w:rPr>
                <w:rFonts w:cs="Times New Roman"/>
                <w:kern w:val="2"/>
                <w:sz w:val="20"/>
                <w:szCs w:val="20"/>
                <w:lang/>
              </w:rPr>
              <w:t>ntries</w:t>
            </w:r>
          </w:p>
        </w:tc>
        <w:tc>
          <w:tcPr>
            <w:tcW w:w="375" w:type="pct"/>
            <w:hideMark/>
          </w:tcPr>
          <w:p w14:paraId="56E68D5D"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1.52</w:t>
            </w:r>
          </w:p>
        </w:tc>
        <w:tc>
          <w:tcPr>
            <w:tcW w:w="582" w:type="pct"/>
            <w:gridSpan w:val="2"/>
            <w:hideMark/>
          </w:tcPr>
          <w:p w14:paraId="65C9FEF3"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3.6</w:t>
            </w:r>
            <w:r w:rsidRPr="00695826">
              <w:rPr>
                <w:rFonts w:cs="Times New Roman"/>
                <w:kern w:val="2"/>
                <w:sz w:val="20"/>
                <w:szCs w:val="20"/>
                <w:lang/>
              </w:rPr>
              <w:t>5</w:t>
            </w:r>
          </w:p>
        </w:tc>
        <w:tc>
          <w:tcPr>
            <w:tcW w:w="394" w:type="pct"/>
            <w:hideMark/>
          </w:tcPr>
          <w:p w14:paraId="1146AC23"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0</w:t>
            </w:r>
          </w:p>
        </w:tc>
        <w:tc>
          <w:tcPr>
            <w:tcW w:w="472" w:type="pct"/>
            <w:hideMark/>
          </w:tcPr>
          <w:p w14:paraId="5F4677DB"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129</w:t>
            </w:r>
          </w:p>
        </w:tc>
      </w:tr>
      <w:tr w:rsidR="001D05EE" w:rsidRPr="00695826" w14:paraId="6A60B360" w14:textId="77777777" w:rsidTr="001D05EE">
        <w:tblPrEx>
          <w:tblBorders>
            <w:top w:val="single" w:sz="4" w:space="0" w:color="auto"/>
            <w:bottom w:val="single" w:sz="4" w:space="0" w:color="auto"/>
          </w:tblBorders>
        </w:tblPrEx>
        <w:tc>
          <w:tcPr>
            <w:tcW w:w="1358" w:type="pct"/>
            <w:vMerge/>
          </w:tcPr>
          <w:p w14:paraId="60859A3E" w14:textId="77777777" w:rsidR="00CD4846" w:rsidRPr="001D05EE" w:rsidRDefault="00CD4846" w:rsidP="00695826">
            <w:pPr>
              <w:spacing w:line="240" w:lineRule="auto"/>
              <w:rPr>
                <w:rFonts w:cs="Times New Roman"/>
                <w:kern w:val="2"/>
                <w:sz w:val="20"/>
                <w:szCs w:val="20"/>
                <w:lang/>
              </w:rPr>
            </w:pPr>
          </w:p>
        </w:tc>
        <w:tc>
          <w:tcPr>
            <w:tcW w:w="1819" w:type="pct"/>
            <w:hideMark/>
          </w:tcPr>
          <w:p w14:paraId="007B14B8"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D</w:t>
            </w:r>
            <w:r w:rsidRPr="00695826">
              <w:rPr>
                <w:rFonts w:cs="Times New Roman"/>
                <w:kern w:val="2"/>
                <w:sz w:val="20"/>
                <w:szCs w:val="20"/>
                <w:lang/>
              </w:rPr>
              <w:t>eaths</w:t>
            </w:r>
          </w:p>
        </w:tc>
        <w:tc>
          <w:tcPr>
            <w:tcW w:w="375" w:type="pct"/>
            <w:hideMark/>
          </w:tcPr>
          <w:p w14:paraId="0CD6824E"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1.38</w:t>
            </w:r>
          </w:p>
        </w:tc>
        <w:tc>
          <w:tcPr>
            <w:tcW w:w="582" w:type="pct"/>
            <w:gridSpan w:val="2"/>
            <w:hideMark/>
          </w:tcPr>
          <w:p w14:paraId="1C51AB4D"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3.</w:t>
            </w:r>
            <w:r w:rsidRPr="00695826">
              <w:rPr>
                <w:rFonts w:cs="Times New Roman"/>
                <w:kern w:val="2"/>
                <w:sz w:val="20"/>
                <w:szCs w:val="20"/>
                <w:lang/>
              </w:rPr>
              <w:t>40</w:t>
            </w:r>
          </w:p>
        </w:tc>
        <w:tc>
          <w:tcPr>
            <w:tcW w:w="394" w:type="pct"/>
            <w:hideMark/>
          </w:tcPr>
          <w:p w14:paraId="04257A76"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0</w:t>
            </w:r>
          </w:p>
        </w:tc>
        <w:tc>
          <w:tcPr>
            <w:tcW w:w="472" w:type="pct"/>
            <w:hideMark/>
          </w:tcPr>
          <w:p w14:paraId="2CD7B5A8"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124</w:t>
            </w:r>
          </w:p>
        </w:tc>
      </w:tr>
      <w:tr w:rsidR="001D05EE" w:rsidRPr="00695826" w14:paraId="3C9500C7" w14:textId="77777777" w:rsidTr="001D05EE">
        <w:tblPrEx>
          <w:tblBorders>
            <w:top w:val="single" w:sz="4" w:space="0" w:color="auto"/>
            <w:bottom w:val="single" w:sz="4" w:space="0" w:color="auto"/>
          </w:tblBorders>
        </w:tblPrEx>
        <w:tc>
          <w:tcPr>
            <w:tcW w:w="1358" w:type="pct"/>
            <w:vMerge/>
          </w:tcPr>
          <w:p w14:paraId="1ACE5B0F" w14:textId="77777777" w:rsidR="00CD4846" w:rsidRPr="001D05EE" w:rsidRDefault="00CD4846" w:rsidP="00695826">
            <w:pPr>
              <w:spacing w:line="240" w:lineRule="auto"/>
              <w:rPr>
                <w:rFonts w:cs="Times New Roman"/>
                <w:kern w:val="2"/>
                <w:sz w:val="20"/>
                <w:szCs w:val="20"/>
                <w:lang/>
              </w:rPr>
            </w:pPr>
          </w:p>
        </w:tc>
        <w:tc>
          <w:tcPr>
            <w:tcW w:w="1819" w:type="pct"/>
            <w:hideMark/>
          </w:tcPr>
          <w:p w14:paraId="7987FCE7"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O</w:t>
            </w:r>
            <w:r w:rsidRPr="00695826">
              <w:rPr>
                <w:rFonts w:cs="Times New Roman"/>
                <w:kern w:val="2"/>
                <w:sz w:val="20"/>
                <w:szCs w:val="20"/>
                <w:lang/>
              </w:rPr>
              <w:t xml:space="preserve">utward </w:t>
            </w:r>
            <w:r w:rsidRPr="00695826">
              <w:rPr>
                <w:rFonts w:cs="Times New Roman"/>
                <w:kern w:val="2"/>
                <w:sz w:val="20"/>
                <w:szCs w:val="20"/>
                <w:lang/>
              </w:rPr>
              <w:t>R</w:t>
            </w:r>
            <w:r w:rsidRPr="00695826">
              <w:rPr>
                <w:rFonts w:cs="Times New Roman"/>
                <w:kern w:val="2"/>
                <w:sz w:val="20"/>
                <w:szCs w:val="20"/>
                <w:lang/>
              </w:rPr>
              <w:t>elocation</w:t>
            </w:r>
            <w:r w:rsidRPr="00695826">
              <w:rPr>
                <w:rFonts w:cs="Times New Roman"/>
                <w:kern w:val="2"/>
                <w:sz w:val="20"/>
                <w:szCs w:val="20"/>
                <w:lang/>
              </w:rPr>
              <w:t>s</w:t>
            </w:r>
          </w:p>
        </w:tc>
        <w:tc>
          <w:tcPr>
            <w:tcW w:w="375" w:type="pct"/>
            <w:hideMark/>
          </w:tcPr>
          <w:p w14:paraId="70FE1B6F"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.034</w:t>
            </w:r>
          </w:p>
        </w:tc>
        <w:tc>
          <w:tcPr>
            <w:tcW w:w="582" w:type="pct"/>
            <w:gridSpan w:val="2"/>
            <w:hideMark/>
          </w:tcPr>
          <w:p w14:paraId="5F6F525B"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.309</w:t>
            </w:r>
          </w:p>
        </w:tc>
        <w:tc>
          <w:tcPr>
            <w:tcW w:w="394" w:type="pct"/>
            <w:hideMark/>
          </w:tcPr>
          <w:p w14:paraId="4CB74F97"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0</w:t>
            </w:r>
          </w:p>
        </w:tc>
        <w:tc>
          <w:tcPr>
            <w:tcW w:w="472" w:type="pct"/>
            <w:hideMark/>
          </w:tcPr>
          <w:p w14:paraId="2F75283A"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32</w:t>
            </w:r>
          </w:p>
        </w:tc>
      </w:tr>
      <w:tr w:rsidR="001D05EE" w:rsidRPr="00695826" w14:paraId="23AF2A35" w14:textId="77777777" w:rsidTr="001D05EE">
        <w:tblPrEx>
          <w:tblBorders>
            <w:top w:val="single" w:sz="4" w:space="0" w:color="auto"/>
            <w:bottom w:val="single" w:sz="4" w:space="0" w:color="auto"/>
          </w:tblBorders>
        </w:tblPrEx>
        <w:tc>
          <w:tcPr>
            <w:tcW w:w="1358" w:type="pct"/>
            <w:vMerge/>
          </w:tcPr>
          <w:p w14:paraId="3B4BA59D" w14:textId="77777777" w:rsidR="00CD4846" w:rsidRPr="001D05EE" w:rsidRDefault="00CD4846" w:rsidP="00695826">
            <w:pPr>
              <w:spacing w:line="240" w:lineRule="auto"/>
              <w:rPr>
                <w:rFonts w:cs="Times New Roman"/>
                <w:kern w:val="2"/>
                <w:sz w:val="20"/>
                <w:szCs w:val="20"/>
                <w:lang/>
              </w:rPr>
            </w:pPr>
          </w:p>
        </w:tc>
        <w:tc>
          <w:tcPr>
            <w:tcW w:w="1819" w:type="pct"/>
            <w:hideMark/>
          </w:tcPr>
          <w:p w14:paraId="601D5146"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I</w:t>
            </w:r>
            <w:r w:rsidRPr="00695826">
              <w:rPr>
                <w:rFonts w:cs="Times New Roman"/>
                <w:kern w:val="2"/>
                <w:sz w:val="20"/>
                <w:szCs w:val="20"/>
                <w:lang/>
              </w:rPr>
              <w:t>ntra</w:t>
            </w:r>
            <w:r w:rsidRPr="00695826">
              <w:rPr>
                <w:rFonts w:cs="Times New Roman"/>
                <w:kern w:val="2"/>
                <w:sz w:val="20"/>
                <w:szCs w:val="20"/>
                <w:lang/>
              </w:rPr>
              <w:t>-S</w:t>
            </w:r>
            <w:r w:rsidRPr="00695826">
              <w:rPr>
                <w:rFonts w:cs="Times New Roman"/>
                <w:kern w:val="2"/>
                <w:sz w:val="20"/>
                <w:szCs w:val="20"/>
                <w:lang/>
              </w:rPr>
              <w:t>tat</w:t>
            </w:r>
            <w:r w:rsidRPr="00695826">
              <w:rPr>
                <w:rFonts w:cs="Times New Roman"/>
                <w:kern w:val="2"/>
                <w:sz w:val="20"/>
                <w:szCs w:val="20"/>
                <w:lang/>
              </w:rPr>
              <w:t>e O</w:t>
            </w:r>
            <w:r w:rsidRPr="00695826">
              <w:rPr>
                <w:rFonts w:cs="Times New Roman"/>
                <w:kern w:val="2"/>
                <w:sz w:val="20"/>
                <w:szCs w:val="20"/>
                <w:lang/>
              </w:rPr>
              <w:t xml:space="preserve">utward </w:t>
            </w:r>
            <w:r w:rsidRPr="00695826">
              <w:rPr>
                <w:rFonts w:cs="Times New Roman"/>
                <w:kern w:val="2"/>
                <w:sz w:val="20"/>
                <w:szCs w:val="20"/>
                <w:lang/>
              </w:rPr>
              <w:t>R</w:t>
            </w:r>
            <w:r w:rsidRPr="00695826">
              <w:rPr>
                <w:rFonts w:cs="Times New Roman"/>
                <w:kern w:val="2"/>
                <w:sz w:val="20"/>
                <w:szCs w:val="20"/>
                <w:lang/>
              </w:rPr>
              <w:t>elocation</w:t>
            </w:r>
            <w:r w:rsidRPr="00695826">
              <w:rPr>
                <w:rFonts w:cs="Times New Roman"/>
                <w:kern w:val="2"/>
                <w:sz w:val="20"/>
                <w:szCs w:val="20"/>
                <w:lang/>
              </w:rPr>
              <w:t>s</w:t>
            </w:r>
          </w:p>
        </w:tc>
        <w:tc>
          <w:tcPr>
            <w:tcW w:w="375" w:type="pct"/>
            <w:hideMark/>
          </w:tcPr>
          <w:p w14:paraId="5FC3D114"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.033</w:t>
            </w:r>
          </w:p>
        </w:tc>
        <w:tc>
          <w:tcPr>
            <w:tcW w:w="582" w:type="pct"/>
            <w:gridSpan w:val="2"/>
            <w:hideMark/>
          </w:tcPr>
          <w:p w14:paraId="7638E69F"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.306</w:t>
            </w:r>
          </w:p>
        </w:tc>
        <w:tc>
          <w:tcPr>
            <w:tcW w:w="394" w:type="pct"/>
            <w:hideMark/>
          </w:tcPr>
          <w:p w14:paraId="7FF45359"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0</w:t>
            </w:r>
          </w:p>
        </w:tc>
        <w:tc>
          <w:tcPr>
            <w:tcW w:w="472" w:type="pct"/>
            <w:hideMark/>
          </w:tcPr>
          <w:p w14:paraId="5B2E8B9F"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32</w:t>
            </w:r>
          </w:p>
        </w:tc>
      </w:tr>
      <w:tr w:rsidR="001D05EE" w:rsidRPr="00695826" w14:paraId="59632864" w14:textId="77777777" w:rsidTr="001D05EE">
        <w:tblPrEx>
          <w:tblBorders>
            <w:top w:val="single" w:sz="4" w:space="0" w:color="auto"/>
            <w:bottom w:val="single" w:sz="4" w:space="0" w:color="auto"/>
          </w:tblBorders>
        </w:tblPrEx>
        <w:tc>
          <w:tcPr>
            <w:tcW w:w="1358" w:type="pct"/>
            <w:vMerge/>
          </w:tcPr>
          <w:p w14:paraId="11F2E5C2" w14:textId="77777777" w:rsidR="00CD4846" w:rsidRPr="001D05EE" w:rsidRDefault="00CD4846" w:rsidP="00695826">
            <w:pPr>
              <w:spacing w:line="240" w:lineRule="auto"/>
              <w:rPr>
                <w:rFonts w:cs="Times New Roman"/>
                <w:kern w:val="2"/>
                <w:sz w:val="20"/>
                <w:szCs w:val="20"/>
                <w:lang/>
              </w:rPr>
            </w:pPr>
          </w:p>
        </w:tc>
        <w:tc>
          <w:tcPr>
            <w:tcW w:w="1819" w:type="pct"/>
            <w:hideMark/>
          </w:tcPr>
          <w:p w14:paraId="2E65074A"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I</w:t>
            </w:r>
            <w:r w:rsidRPr="00695826">
              <w:rPr>
                <w:rFonts w:cs="Times New Roman"/>
                <w:kern w:val="2"/>
                <w:sz w:val="20"/>
                <w:szCs w:val="20"/>
                <w:lang/>
              </w:rPr>
              <w:t>nter-</w:t>
            </w:r>
            <w:r w:rsidRPr="00695826">
              <w:rPr>
                <w:rFonts w:cs="Times New Roman"/>
                <w:kern w:val="2"/>
                <w:sz w:val="20"/>
                <w:szCs w:val="20"/>
                <w:lang/>
              </w:rPr>
              <w:t>S</w:t>
            </w:r>
            <w:r w:rsidRPr="00695826">
              <w:rPr>
                <w:rFonts w:cs="Times New Roman"/>
                <w:kern w:val="2"/>
                <w:sz w:val="20"/>
                <w:szCs w:val="20"/>
                <w:lang/>
              </w:rPr>
              <w:t>tat</w:t>
            </w:r>
            <w:r w:rsidRPr="00695826">
              <w:rPr>
                <w:rFonts w:cs="Times New Roman"/>
                <w:kern w:val="2"/>
                <w:sz w:val="20"/>
                <w:szCs w:val="20"/>
                <w:lang/>
              </w:rPr>
              <w:t>e O</w:t>
            </w:r>
            <w:r w:rsidRPr="00695826">
              <w:rPr>
                <w:rFonts w:cs="Times New Roman"/>
                <w:kern w:val="2"/>
                <w:sz w:val="20"/>
                <w:szCs w:val="20"/>
                <w:lang/>
              </w:rPr>
              <w:t xml:space="preserve">utward </w:t>
            </w:r>
            <w:r w:rsidRPr="00695826">
              <w:rPr>
                <w:rFonts w:cs="Times New Roman"/>
                <w:kern w:val="2"/>
                <w:sz w:val="20"/>
                <w:szCs w:val="20"/>
                <w:lang/>
              </w:rPr>
              <w:t>R</w:t>
            </w:r>
            <w:r w:rsidRPr="00695826">
              <w:rPr>
                <w:rFonts w:cs="Times New Roman"/>
                <w:kern w:val="2"/>
                <w:sz w:val="20"/>
                <w:szCs w:val="20"/>
                <w:lang/>
              </w:rPr>
              <w:t>elocation</w:t>
            </w:r>
            <w:r w:rsidRPr="00695826">
              <w:rPr>
                <w:rFonts w:cs="Times New Roman"/>
                <w:kern w:val="2"/>
                <w:sz w:val="20"/>
                <w:szCs w:val="20"/>
                <w:lang/>
              </w:rPr>
              <w:t>s</w:t>
            </w:r>
          </w:p>
        </w:tc>
        <w:tc>
          <w:tcPr>
            <w:tcW w:w="375" w:type="pct"/>
            <w:hideMark/>
          </w:tcPr>
          <w:p w14:paraId="74D5641E"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.001</w:t>
            </w:r>
          </w:p>
        </w:tc>
        <w:tc>
          <w:tcPr>
            <w:tcW w:w="582" w:type="pct"/>
            <w:gridSpan w:val="2"/>
            <w:hideMark/>
          </w:tcPr>
          <w:p w14:paraId="396EC29E"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.037</w:t>
            </w:r>
          </w:p>
        </w:tc>
        <w:tc>
          <w:tcPr>
            <w:tcW w:w="394" w:type="pct"/>
            <w:hideMark/>
          </w:tcPr>
          <w:p w14:paraId="692CFAA4"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0</w:t>
            </w:r>
          </w:p>
        </w:tc>
        <w:tc>
          <w:tcPr>
            <w:tcW w:w="472" w:type="pct"/>
            <w:hideMark/>
          </w:tcPr>
          <w:p w14:paraId="7D985E36"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2</w:t>
            </w:r>
          </w:p>
        </w:tc>
      </w:tr>
      <w:tr w:rsidR="001D05EE" w:rsidRPr="00695826" w14:paraId="79BC7DB9" w14:textId="77777777" w:rsidTr="001D05EE">
        <w:tblPrEx>
          <w:tblBorders>
            <w:top w:val="single" w:sz="4" w:space="0" w:color="auto"/>
            <w:bottom w:val="single" w:sz="4" w:space="0" w:color="auto"/>
          </w:tblBorders>
        </w:tblPrEx>
        <w:tc>
          <w:tcPr>
            <w:tcW w:w="1358" w:type="pct"/>
            <w:vMerge/>
            <w:tcBorders>
              <w:bottom w:val="single" w:sz="4" w:space="0" w:color="auto"/>
            </w:tcBorders>
          </w:tcPr>
          <w:p w14:paraId="4C115806" w14:textId="77777777" w:rsidR="00CD4846" w:rsidRPr="001D05EE" w:rsidRDefault="00CD4846" w:rsidP="00695826">
            <w:pPr>
              <w:spacing w:line="240" w:lineRule="auto"/>
              <w:rPr>
                <w:rFonts w:cs="Times New Roman"/>
                <w:kern w:val="2"/>
                <w:sz w:val="20"/>
                <w:szCs w:val="20"/>
                <w:lang/>
              </w:rPr>
            </w:pPr>
          </w:p>
        </w:tc>
        <w:tc>
          <w:tcPr>
            <w:tcW w:w="1819" w:type="pct"/>
            <w:tcBorders>
              <w:bottom w:val="single" w:sz="4" w:space="0" w:color="auto"/>
            </w:tcBorders>
            <w:hideMark/>
          </w:tcPr>
          <w:p w14:paraId="506AB3E6"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Total E</w:t>
            </w:r>
            <w:r w:rsidRPr="00695826">
              <w:rPr>
                <w:rFonts w:cs="Times New Roman"/>
                <w:kern w:val="2"/>
                <w:sz w:val="20"/>
                <w:szCs w:val="20"/>
                <w:lang/>
              </w:rPr>
              <w:t>xits</w:t>
            </w:r>
          </w:p>
        </w:tc>
        <w:tc>
          <w:tcPr>
            <w:tcW w:w="375" w:type="pct"/>
            <w:tcBorders>
              <w:bottom w:val="single" w:sz="4" w:space="0" w:color="auto"/>
            </w:tcBorders>
            <w:hideMark/>
          </w:tcPr>
          <w:p w14:paraId="2884509A"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1.4</w:t>
            </w:r>
            <w:r w:rsidRPr="00695826">
              <w:rPr>
                <w:rFonts w:cs="Times New Roman"/>
                <w:kern w:val="2"/>
                <w:sz w:val="20"/>
                <w:szCs w:val="20"/>
                <w:lang/>
              </w:rPr>
              <w:t>2</w:t>
            </w:r>
          </w:p>
        </w:tc>
        <w:tc>
          <w:tcPr>
            <w:tcW w:w="582" w:type="pct"/>
            <w:gridSpan w:val="2"/>
            <w:tcBorders>
              <w:bottom w:val="single" w:sz="4" w:space="0" w:color="auto"/>
            </w:tcBorders>
            <w:hideMark/>
          </w:tcPr>
          <w:p w14:paraId="7714F9CF"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3.45</w:t>
            </w:r>
          </w:p>
        </w:tc>
        <w:tc>
          <w:tcPr>
            <w:tcW w:w="394" w:type="pct"/>
            <w:tcBorders>
              <w:bottom w:val="single" w:sz="4" w:space="0" w:color="auto"/>
            </w:tcBorders>
            <w:hideMark/>
          </w:tcPr>
          <w:p w14:paraId="7AC0808B"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0</w:t>
            </w:r>
          </w:p>
        </w:tc>
        <w:tc>
          <w:tcPr>
            <w:tcW w:w="472" w:type="pct"/>
            <w:tcBorders>
              <w:bottom w:val="single" w:sz="4" w:space="0" w:color="auto"/>
            </w:tcBorders>
            <w:hideMark/>
          </w:tcPr>
          <w:p w14:paraId="4610488F"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124</w:t>
            </w:r>
          </w:p>
        </w:tc>
      </w:tr>
      <w:tr w:rsidR="0057442E" w:rsidRPr="00695826" w14:paraId="438BA17A" w14:textId="77777777" w:rsidTr="001D05EE">
        <w:tblPrEx>
          <w:tblBorders>
            <w:top w:val="single" w:sz="4" w:space="0" w:color="auto"/>
            <w:bottom w:val="single" w:sz="4" w:space="0" w:color="auto"/>
          </w:tblBorders>
        </w:tblPrEx>
        <w:tc>
          <w:tcPr>
            <w:tcW w:w="1358" w:type="pct"/>
            <w:vMerge w:val="restart"/>
            <w:tcBorders>
              <w:top w:val="single" w:sz="4" w:space="0" w:color="auto"/>
              <w:bottom w:val="nil"/>
            </w:tcBorders>
          </w:tcPr>
          <w:p w14:paraId="022F6425" w14:textId="4DACB91F" w:rsidR="00CD4846" w:rsidRPr="001D05EE" w:rsidRDefault="00CD4846" w:rsidP="00695826">
            <w:pPr>
              <w:spacing w:line="240" w:lineRule="auto"/>
              <w:rPr>
                <w:rFonts w:cs="Times New Roman"/>
                <w:kern w:val="2"/>
                <w:sz w:val="20"/>
                <w:szCs w:val="20"/>
                <w:lang/>
              </w:rPr>
            </w:pPr>
            <w:r w:rsidRPr="001D05EE">
              <w:rPr>
                <w:rFonts w:cs="Times New Roman"/>
                <w:kern w:val="2"/>
                <w:sz w:val="20"/>
                <w:szCs w:val="20"/>
                <w:lang/>
              </w:rPr>
              <w:t>23</w:t>
            </w:r>
          </w:p>
          <w:p w14:paraId="6F218042" w14:textId="7646B72B" w:rsidR="00CD4846" w:rsidRPr="001D05EE" w:rsidRDefault="00CD4846" w:rsidP="00695826">
            <w:pPr>
              <w:spacing w:line="240" w:lineRule="auto"/>
              <w:rPr>
                <w:rFonts w:cs="Times New Roman"/>
                <w:kern w:val="2"/>
                <w:sz w:val="20"/>
                <w:szCs w:val="20"/>
                <w:lang/>
              </w:rPr>
            </w:pPr>
            <w:r w:rsidRPr="001D05EE">
              <w:rPr>
                <w:rFonts w:cs="Times New Roman"/>
                <w:kern w:val="2"/>
                <w:sz w:val="20"/>
                <w:szCs w:val="20"/>
                <w:lang/>
              </w:rPr>
              <w:t>-</w:t>
            </w:r>
          </w:p>
          <w:p w14:paraId="7342533F" w14:textId="77777777" w:rsidR="00CD4846" w:rsidRPr="001D05EE" w:rsidRDefault="00CD4846" w:rsidP="00695826">
            <w:pPr>
              <w:spacing w:line="240" w:lineRule="auto"/>
              <w:rPr>
                <w:rFonts w:cs="Times New Roman"/>
                <w:kern w:val="2"/>
                <w:sz w:val="20"/>
                <w:szCs w:val="20"/>
                <w:lang/>
              </w:rPr>
            </w:pPr>
            <w:r w:rsidRPr="001D05EE">
              <w:rPr>
                <w:rFonts w:cs="Times New Roman"/>
                <w:kern w:val="2"/>
                <w:sz w:val="20"/>
                <w:szCs w:val="20"/>
                <w:lang/>
              </w:rPr>
              <w:t>Construction</w:t>
            </w:r>
          </w:p>
        </w:tc>
        <w:tc>
          <w:tcPr>
            <w:tcW w:w="1819" w:type="pct"/>
            <w:tcBorders>
              <w:top w:val="single" w:sz="4" w:space="0" w:color="auto"/>
              <w:bottom w:val="nil"/>
            </w:tcBorders>
            <w:hideMark/>
          </w:tcPr>
          <w:p w14:paraId="52807E9D"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B</w:t>
            </w:r>
            <w:r w:rsidRPr="00695826">
              <w:rPr>
                <w:rFonts w:cs="Times New Roman"/>
                <w:kern w:val="2"/>
                <w:sz w:val="20"/>
                <w:szCs w:val="20"/>
                <w:lang/>
              </w:rPr>
              <w:t>irths</w:t>
            </w:r>
          </w:p>
        </w:tc>
        <w:tc>
          <w:tcPr>
            <w:tcW w:w="375" w:type="pct"/>
            <w:tcBorders>
              <w:top w:val="single" w:sz="4" w:space="0" w:color="auto"/>
              <w:bottom w:val="nil"/>
            </w:tcBorders>
            <w:hideMark/>
          </w:tcPr>
          <w:p w14:paraId="26862813"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59.</w:t>
            </w:r>
            <w:r w:rsidRPr="00695826">
              <w:rPr>
                <w:rFonts w:cs="Times New Roman"/>
                <w:kern w:val="2"/>
                <w:sz w:val="20"/>
                <w:szCs w:val="20"/>
                <w:lang/>
              </w:rPr>
              <w:t>9</w:t>
            </w:r>
          </w:p>
        </w:tc>
        <w:tc>
          <w:tcPr>
            <w:tcW w:w="582" w:type="pct"/>
            <w:gridSpan w:val="2"/>
            <w:tcBorders>
              <w:top w:val="single" w:sz="4" w:space="0" w:color="auto"/>
              <w:bottom w:val="nil"/>
            </w:tcBorders>
            <w:hideMark/>
          </w:tcPr>
          <w:p w14:paraId="03BC2EFB"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215</w:t>
            </w:r>
          </w:p>
        </w:tc>
        <w:tc>
          <w:tcPr>
            <w:tcW w:w="394" w:type="pct"/>
            <w:tcBorders>
              <w:top w:val="single" w:sz="4" w:space="0" w:color="auto"/>
              <w:bottom w:val="nil"/>
            </w:tcBorders>
            <w:hideMark/>
          </w:tcPr>
          <w:p w14:paraId="656310FF"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0</w:t>
            </w:r>
          </w:p>
        </w:tc>
        <w:tc>
          <w:tcPr>
            <w:tcW w:w="472" w:type="pct"/>
            <w:tcBorders>
              <w:top w:val="single" w:sz="4" w:space="0" w:color="auto"/>
              <w:bottom w:val="nil"/>
            </w:tcBorders>
            <w:hideMark/>
          </w:tcPr>
          <w:p w14:paraId="24900139"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12223</w:t>
            </w:r>
          </w:p>
        </w:tc>
      </w:tr>
      <w:tr w:rsidR="0057442E" w:rsidRPr="00695826" w14:paraId="38EC3DCE" w14:textId="77777777" w:rsidTr="001D05EE">
        <w:tblPrEx>
          <w:tblBorders>
            <w:top w:val="single" w:sz="4" w:space="0" w:color="auto"/>
            <w:bottom w:val="single" w:sz="4" w:space="0" w:color="auto"/>
          </w:tblBorders>
        </w:tblPrEx>
        <w:tc>
          <w:tcPr>
            <w:tcW w:w="1358" w:type="pct"/>
            <w:vMerge/>
            <w:tcBorders>
              <w:top w:val="nil"/>
            </w:tcBorders>
          </w:tcPr>
          <w:p w14:paraId="5EBEA0E2" w14:textId="77777777" w:rsidR="00CD4846" w:rsidRPr="001D05EE" w:rsidRDefault="00CD4846" w:rsidP="00695826">
            <w:pPr>
              <w:spacing w:line="240" w:lineRule="auto"/>
              <w:rPr>
                <w:rFonts w:cs="Times New Roman"/>
                <w:kern w:val="2"/>
                <w:sz w:val="20"/>
                <w:szCs w:val="20"/>
                <w:lang/>
              </w:rPr>
            </w:pPr>
          </w:p>
        </w:tc>
        <w:tc>
          <w:tcPr>
            <w:tcW w:w="1819" w:type="pct"/>
            <w:tcBorders>
              <w:top w:val="nil"/>
            </w:tcBorders>
            <w:hideMark/>
          </w:tcPr>
          <w:p w14:paraId="522ED697"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I</w:t>
            </w:r>
            <w:r w:rsidRPr="00695826">
              <w:rPr>
                <w:rFonts w:cs="Times New Roman"/>
                <w:kern w:val="2"/>
                <w:sz w:val="20"/>
                <w:szCs w:val="20"/>
                <w:lang/>
              </w:rPr>
              <w:t xml:space="preserve">nward </w:t>
            </w:r>
            <w:r w:rsidRPr="00695826">
              <w:rPr>
                <w:rFonts w:cs="Times New Roman"/>
                <w:kern w:val="2"/>
                <w:sz w:val="20"/>
                <w:szCs w:val="20"/>
                <w:lang/>
              </w:rPr>
              <w:t>R</w:t>
            </w:r>
            <w:r w:rsidRPr="00695826">
              <w:rPr>
                <w:rFonts w:cs="Times New Roman"/>
                <w:kern w:val="2"/>
                <w:sz w:val="20"/>
                <w:szCs w:val="20"/>
                <w:lang/>
              </w:rPr>
              <w:t>elocations</w:t>
            </w:r>
          </w:p>
        </w:tc>
        <w:tc>
          <w:tcPr>
            <w:tcW w:w="375" w:type="pct"/>
            <w:tcBorders>
              <w:top w:val="nil"/>
            </w:tcBorders>
            <w:hideMark/>
          </w:tcPr>
          <w:p w14:paraId="69EB4C8C"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2.5</w:t>
            </w:r>
            <w:r w:rsidRPr="00695826">
              <w:rPr>
                <w:rFonts w:cs="Times New Roman"/>
                <w:kern w:val="2"/>
                <w:sz w:val="20"/>
                <w:szCs w:val="20"/>
                <w:lang/>
              </w:rPr>
              <w:t>2</w:t>
            </w:r>
          </w:p>
        </w:tc>
        <w:tc>
          <w:tcPr>
            <w:tcW w:w="582" w:type="pct"/>
            <w:gridSpan w:val="2"/>
            <w:tcBorders>
              <w:top w:val="nil"/>
            </w:tcBorders>
            <w:hideMark/>
          </w:tcPr>
          <w:p w14:paraId="02E49412"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45.</w:t>
            </w:r>
            <w:r w:rsidRPr="00695826">
              <w:rPr>
                <w:rFonts w:cs="Times New Roman"/>
                <w:kern w:val="2"/>
                <w:sz w:val="20"/>
                <w:szCs w:val="20"/>
                <w:lang/>
              </w:rPr>
              <w:t>1</w:t>
            </w:r>
          </w:p>
        </w:tc>
        <w:tc>
          <w:tcPr>
            <w:tcW w:w="394" w:type="pct"/>
            <w:tcBorders>
              <w:top w:val="nil"/>
            </w:tcBorders>
            <w:hideMark/>
          </w:tcPr>
          <w:p w14:paraId="161117A9"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0</w:t>
            </w:r>
          </w:p>
        </w:tc>
        <w:tc>
          <w:tcPr>
            <w:tcW w:w="472" w:type="pct"/>
            <w:tcBorders>
              <w:top w:val="nil"/>
            </w:tcBorders>
            <w:hideMark/>
          </w:tcPr>
          <w:p w14:paraId="28C56CD0"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4225</w:t>
            </w:r>
          </w:p>
        </w:tc>
      </w:tr>
      <w:tr w:rsidR="0057442E" w:rsidRPr="00695826" w14:paraId="0D15A74A" w14:textId="77777777" w:rsidTr="001D05EE">
        <w:tblPrEx>
          <w:tblBorders>
            <w:top w:val="single" w:sz="4" w:space="0" w:color="auto"/>
            <w:bottom w:val="single" w:sz="4" w:space="0" w:color="auto"/>
          </w:tblBorders>
        </w:tblPrEx>
        <w:tc>
          <w:tcPr>
            <w:tcW w:w="1358" w:type="pct"/>
            <w:vMerge/>
          </w:tcPr>
          <w:p w14:paraId="5A0BE44C" w14:textId="77777777" w:rsidR="00CD4846" w:rsidRPr="001D05EE" w:rsidRDefault="00CD4846" w:rsidP="00695826">
            <w:pPr>
              <w:spacing w:line="240" w:lineRule="auto"/>
              <w:rPr>
                <w:rFonts w:cs="Times New Roman"/>
                <w:kern w:val="2"/>
                <w:sz w:val="20"/>
                <w:szCs w:val="20"/>
                <w:lang/>
              </w:rPr>
            </w:pPr>
          </w:p>
        </w:tc>
        <w:tc>
          <w:tcPr>
            <w:tcW w:w="1819" w:type="pct"/>
            <w:hideMark/>
          </w:tcPr>
          <w:p w14:paraId="154216FF"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I</w:t>
            </w:r>
            <w:r w:rsidRPr="00695826">
              <w:rPr>
                <w:rFonts w:cs="Times New Roman"/>
                <w:kern w:val="2"/>
                <w:sz w:val="20"/>
                <w:szCs w:val="20"/>
                <w:lang/>
              </w:rPr>
              <w:t>ntra-state</w:t>
            </w:r>
            <w:r w:rsidRPr="00695826">
              <w:rPr>
                <w:rFonts w:cs="Times New Roman"/>
                <w:kern w:val="2"/>
                <w:sz w:val="20"/>
                <w:szCs w:val="20"/>
                <w:lang/>
              </w:rPr>
              <w:t xml:space="preserve"> I</w:t>
            </w:r>
            <w:r w:rsidRPr="00695826">
              <w:rPr>
                <w:rFonts w:cs="Times New Roman"/>
                <w:kern w:val="2"/>
                <w:sz w:val="20"/>
                <w:szCs w:val="20"/>
                <w:lang/>
              </w:rPr>
              <w:t xml:space="preserve">nward </w:t>
            </w:r>
            <w:r w:rsidRPr="00695826">
              <w:rPr>
                <w:rFonts w:cs="Times New Roman"/>
                <w:kern w:val="2"/>
                <w:sz w:val="20"/>
                <w:szCs w:val="20"/>
                <w:lang/>
              </w:rPr>
              <w:t>R</w:t>
            </w:r>
            <w:r w:rsidRPr="00695826">
              <w:rPr>
                <w:rFonts w:cs="Times New Roman"/>
                <w:kern w:val="2"/>
                <w:sz w:val="20"/>
                <w:szCs w:val="20"/>
                <w:lang/>
              </w:rPr>
              <w:t>elocations</w:t>
            </w:r>
          </w:p>
        </w:tc>
        <w:tc>
          <w:tcPr>
            <w:tcW w:w="375" w:type="pct"/>
            <w:hideMark/>
          </w:tcPr>
          <w:p w14:paraId="2378F0E2"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2.50</w:t>
            </w:r>
          </w:p>
        </w:tc>
        <w:tc>
          <w:tcPr>
            <w:tcW w:w="582" w:type="pct"/>
            <w:gridSpan w:val="2"/>
            <w:hideMark/>
          </w:tcPr>
          <w:p w14:paraId="71BDC313"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45.</w:t>
            </w:r>
            <w:r w:rsidRPr="00695826">
              <w:rPr>
                <w:rFonts w:cs="Times New Roman"/>
                <w:kern w:val="2"/>
                <w:sz w:val="20"/>
                <w:szCs w:val="20"/>
                <w:lang/>
              </w:rPr>
              <w:t>1</w:t>
            </w:r>
          </w:p>
        </w:tc>
        <w:tc>
          <w:tcPr>
            <w:tcW w:w="394" w:type="pct"/>
            <w:hideMark/>
          </w:tcPr>
          <w:p w14:paraId="17F199DB"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0</w:t>
            </w:r>
          </w:p>
        </w:tc>
        <w:tc>
          <w:tcPr>
            <w:tcW w:w="472" w:type="pct"/>
            <w:hideMark/>
          </w:tcPr>
          <w:p w14:paraId="2AA8140B"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4225</w:t>
            </w:r>
          </w:p>
        </w:tc>
      </w:tr>
      <w:tr w:rsidR="0057442E" w:rsidRPr="00695826" w14:paraId="1ED3EC43" w14:textId="77777777" w:rsidTr="001D05EE">
        <w:tblPrEx>
          <w:tblBorders>
            <w:top w:val="single" w:sz="4" w:space="0" w:color="auto"/>
            <w:bottom w:val="single" w:sz="4" w:space="0" w:color="auto"/>
          </w:tblBorders>
        </w:tblPrEx>
        <w:tc>
          <w:tcPr>
            <w:tcW w:w="1358" w:type="pct"/>
            <w:vMerge/>
          </w:tcPr>
          <w:p w14:paraId="12BF8BB1" w14:textId="77777777" w:rsidR="00CD4846" w:rsidRPr="001D05EE" w:rsidRDefault="00CD4846" w:rsidP="00695826">
            <w:pPr>
              <w:spacing w:line="240" w:lineRule="auto"/>
              <w:rPr>
                <w:rFonts w:cs="Times New Roman"/>
                <w:kern w:val="2"/>
                <w:sz w:val="20"/>
                <w:szCs w:val="20"/>
                <w:lang/>
              </w:rPr>
            </w:pPr>
          </w:p>
        </w:tc>
        <w:tc>
          <w:tcPr>
            <w:tcW w:w="1819" w:type="pct"/>
            <w:hideMark/>
          </w:tcPr>
          <w:p w14:paraId="595EB58E"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I</w:t>
            </w:r>
            <w:r w:rsidRPr="00695826">
              <w:rPr>
                <w:rFonts w:cs="Times New Roman"/>
                <w:kern w:val="2"/>
                <w:sz w:val="20"/>
                <w:szCs w:val="20"/>
                <w:lang/>
              </w:rPr>
              <w:t>nter-state</w:t>
            </w:r>
            <w:r w:rsidRPr="00695826">
              <w:rPr>
                <w:rFonts w:cs="Times New Roman"/>
                <w:kern w:val="2"/>
                <w:sz w:val="20"/>
                <w:szCs w:val="20"/>
                <w:lang/>
              </w:rPr>
              <w:t xml:space="preserve"> I</w:t>
            </w:r>
            <w:r w:rsidRPr="00695826">
              <w:rPr>
                <w:rFonts w:cs="Times New Roman"/>
                <w:kern w:val="2"/>
                <w:sz w:val="20"/>
                <w:szCs w:val="20"/>
                <w:lang/>
              </w:rPr>
              <w:t xml:space="preserve">nward </w:t>
            </w:r>
            <w:r w:rsidRPr="00695826">
              <w:rPr>
                <w:rFonts w:cs="Times New Roman"/>
                <w:kern w:val="2"/>
                <w:sz w:val="20"/>
                <w:szCs w:val="20"/>
                <w:lang/>
              </w:rPr>
              <w:t>R</w:t>
            </w:r>
            <w:r w:rsidRPr="00695826">
              <w:rPr>
                <w:rFonts w:cs="Times New Roman"/>
                <w:kern w:val="2"/>
                <w:sz w:val="20"/>
                <w:szCs w:val="20"/>
                <w:lang/>
              </w:rPr>
              <w:t>elocations</w:t>
            </w:r>
          </w:p>
        </w:tc>
        <w:tc>
          <w:tcPr>
            <w:tcW w:w="375" w:type="pct"/>
            <w:hideMark/>
          </w:tcPr>
          <w:p w14:paraId="2167E187"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.012</w:t>
            </w:r>
          </w:p>
        </w:tc>
        <w:tc>
          <w:tcPr>
            <w:tcW w:w="582" w:type="pct"/>
            <w:gridSpan w:val="2"/>
            <w:hideMark/>
          </w:tcPr>
          <w:p w14:paraId="2943C2D3"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.145</w:t>
            </w:r>
          </w:p>
        </w:tc>
        <w:tc>
          <w:tcPr>
            <w:tcW w:w="394" w:type="pct"/>
            <w:hideMark/>
          </w:tcPr>
          <w:p w14:paraId="2795D6C5"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0</w:t>
            </w:r>
          </w:p>
        </w:tc>
        <w:tc>
          <w:tcPr>
            <w:tcW w:w="472" w:type="pct"/>
            <w:hideMark/>
          </w:tcPr>
          <w:p w14:paraId="3A5D0D4C"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17</w:t>
            </w:r>
          </w:p>
        </w:tc>
      </w:tr>
      <w:tr w:rsidR="0057442E" w:rsidRPr="00695826" w14:paraId="0E8D044D" w14:textId="77777777" w:rsidTr="001D05EE">
        <w:tblPrEx>
          <w:tblBorders>
            <w:top w:val="single" w:sz="4" w:space="0" w:color="auto"/>
            <w:bottom w:val="single" w:sz="4" w:space="0" w:color="auto"/>
          </w:tblBorders>
        </w:tblPrEx>
        <w:tc>
          <w:tcPr>
            <w:tcW w:w="1358" w:type="pct"/>
            <w:vMerge/>
          </w:tcPr>
          <w:p w14:paraId="431B7D0A" w14:textId="77777777" w:rsidR="00CD4846" w:rsidRPr="001D05EE" w:rsidRDefault="00CD4846" w:rsidP="00695826">
            <w:pPr>
              <w:spacing w:line="240" w:lineRule="auto"/>
              <w:rPr>
                <w:rFonts w:cs="Times New Roman"/>
                <w:kern w:val="2"/>
                <w:sz w:val="20"/>
                <w:szCs w:val="20"/>
                <w:lang/>
              </w:rPr>
            </w:pPr>
          </w:p>
        </w:tc>
        <w:tc>
          <w:tcPr>
            <w:tcW w:w="1819" w:type="pct"/>
            <w:hideMark/>
          </w:tcPr>
          <w:p w14:paraId="1098B30A"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Total E</w:t>
            </w:r>
            <w:r w:rsidRPr="00695826">
              <w:rPr>
                <w:rFonts w:cs="Times New Roman"/>
                <w:kern w:val="2"/>
                <w:sz w:val="20"/>
                <w:szCs w:val="20"/>
                <w:lang/>
              </w:rPr>
              <w:t>ntries</w:t>
            </w:r>
          </w:p>
        </w:tc>
        <w:tc>
          <w:tcPr>
            <w:tcW w:w="375" w:type="pct"/>
            <w:hideMark/>
          </w:tcPr>
          <w:p w14:paraId="4D194845"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62.</w:t>
            </w:r>
            <w:r w:rsidRPr="00695826">
              <w:rPr>
                <w:rFonts w:cs="Times New Roman"/>
                <w:kern w:val="2"/>
                <w:sz w:val="20"/>
                <w:szCs w:val="20"/>
                <w:lang/>
              </w:rPr>
              <w:t>4</w:t>
            </w:r>
          </w:p>
        </w:tc>
        <w:tc>
          <w:tcPr>
            <w:tcW w:w="582" w:type="pct"/>
            <w:gridSpan w:val="2"/>
            <w:hideMark/>
          </w:tcPr>
          <w:p w14:paraId="5DF65D66"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22</w:t>
            </w:r>
            <w:r w:rsidRPr="00695826">
              <w:rPr>
                <w:rFonts w:cs="Times New Roman"/>
                <w:kern w:val="2"/>
                <w:sz w:val="20"/>
                <w:szCs w:val="20"/>
                <w:lang/>
              </w:rPr>
              <w:t>8</w:t>
            </w:r>
          </w:p>
        </w:tc>
        <w:tc>
          <w:tcPr>
            <w:tcW w:w="394" w:type="pct"/>
            <w:hideMark/>
          </w:tcPr>
          <w:p w14:paraId="4F6A0631"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0</w:t>
            </w:r>
          </w:p>
        </w:tc>
        <w:tc>
          <w:tcPr>
            <w:tcW w:w="472" w:type="pct"/>
            <w:hideMark/>
          </w:tcPr>
          <w:p w14:paraId="317C7479"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12223</w:t>
            </w:r>
          </w:p>
        </w:tc>
      </w:tr>
      <w:tr w:rsidR="0057442E" w:rsidRPr="00695826" w14:paraId="0EDAD65D" w14:textId="77777777" w:rsidTr="001D05EE">
        <w:tblPrEx>
          <w:tblBorders>
            <w:top w:val="single" w:sz="4" w:space="0" w:color="auto"/>
            <w:bottom w:val="single" w:sz="4" w:space="0" w:color="auto"/>
          </w:tblBorders>
        </w:tblPrEx>
        <w:tc>
          <w:tcPr>
            <w:tcW w:w="1358" w:type="pct"/>
            <w:vMerge/>
          </w:tcPr>
          <w:p w14:paraId="52EAB63E" w14:textId="77777777" w:rsidR="00CD4846" w:rsidRPr="001D05EE" w:rsidRDefault="00CD4846" w:rsidP="00695826">
            <w:pPr>
              <w:spacing w:line="240" w:lineRule="auto"/>
              <w:rPr>
                <w:rFonts w:cs="Times New Roman"/>
                <w:kern w:val="2"/>
                <w:sz w:val="20"/>
                <w:szCs w:val="20"/>
                <w:lang/>
              </w:rPr>
            </w:pPr>
          </w:p>
        </w:tc>
        <w:tc>
          <w:tcPr>
            <w:tcW w:w="1819" w:type="pct"/>
            <w:hideMark/>
          </w:tcPr>
          <w:p w14:paraId="115E522D"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D</w:t>
            </w:r>
            <w:r w:rsidRPr="00695826">
              <w:rPr>
                <w:rFonts w:cs="Times New Roman"/>
                <w:kern w:val="2"/>
                <w:sz w:val="20"/>
                <w:szCs w:val="20"/>
                <w:lang/>
              </w:rPr>
              <w:t>eaths</w:t>
            </w:r>
          </w:p>
        </w:tc>
        <w:tc>
          <w:tcPr>
            <w:tcW w:w="375" w:type="pct"/>
            <w:hideMark/>
          </w:tcPr>
          <w:p w14:paraId="6A83402B"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58.</w:t>
            </w:r>
            <w:r w:rsidRPr="00695826">
              <w:rPr>
                <w:rFonts w:cs="Times New Roman"/>
                <w:kern w:val="2"/>
                <w:sz w:val="20"/>
                <w:szCs w:val="20"/>
                <w:lang/>
              </w:rPr>
              <w:t>1</w:t>
            </w:r>
          </w:p>
        </w:tc>
        <w:tc>
          <w:tcPr>
            <w:tcW w:w="582" w:type="pct"/>
            <w:gridSpan w:val="2"/>
            <w:hideMark/>
          </w:tcPr>
          <w:p w14:paraId="484197D3"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20</w:t>
            </w:r>
            <w:r w:rsidRPr="00695826">
              <w:rPr>
                <w:rFonts w:cs="Times New Roman"/>
                <w:kern w:val="2"/>
                <w:sz w:val="20"/>
                <w:szCs w:val="20"/>
                <w:lang/>
              </w:rPr>
              <w:t>8</w:t>
            </w:r>
          </w:p>
        </w:tc>
        <w:tc>
          <w:tcPr>
            <w:tcW w:w="394" w:type="pct"/>
            <w:hideMark/>
          </w:tcPr>
          <w:p w14:paraId="176A4A34"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0</w:t>
            </w:r>
          </w:p>
        </w:tc>
        <w:tc>
          <w:tcPr>
            <w:tcW w:w="472" w:type="pct"/>
            <w:hideMark/>
          </w:tcPr>
          <w:p w14:paraId="63AD6A7B"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13257</w:t>
            </w:r>
          </w:p>
        </w:tc>
      </w:tr>
      <w:tr w:rsidR="0057442E" w:rsidRPr="00695826" w14:paraId="29AFB59E" w14:textId="77777777" w:rsidTr="001D05EE">
        <w:tblPrEx>
          <w:tblBorders>
            <w:top w:val="single" w:sz="4" w:space="0" w:color="auto"/>
            <w:bottom w:val="single" w:sz="4" w:space="0" w:color="auto"/>
          </w:tblBorders>
        </w:tblPrEx>
        <w:tc>
          <w:tcPr>
            <w:tcW w:w="1358" w:type="pct"/>
            <w:vMerge/>
          </w:tcPr>
          <w:p w14:paraId="7C5E73EA" w14:textId="77777777" w:rsidR="00CD4846" w:rsidRPr="001D05EE" w:rsidRDefault="00CD4846" w:rsidP="00695826">
            <w:pPr>
              <w:spacing w:line="240" w:lineRule="auto"/>
              <w:rPr>
                <w:rFonts w:cs="Times New Roman"/>
                <w:kern w:val="2"/>
                <w:sz w:val="20"/>
                <w:szCs w:val="20"/>
                <w:lang/>
              </w:rPr>
            </w:pPr>
          </w:p>
        </w:tc>
        <w:tc>
          <w:tcPr>
            <w:tcW w:w="1819" w:type="pct"/>
            <w:hideMark/>
          </w:tcPr>
          <w:p w14:paraId="4E91D8CF"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O</w:t>
            </w:r>
            <w:r w:rsidRPr="00695826">
              <w:rPr>
                <w:rFonts w:cs="Times New Roman"/>
                <w:kern w:val="2"/>
                <w:sz w:val="20"/>
                <w:szCs w:val="20"/>
                <w:lang/>
              </w:rPr>
              <w:t xml:space="preserve">utward </w:t>
            </w:r>
            <w:r w:rsidRPr="00695826">
              <w:rPr>
                <w:rFonts w:cs="Times New Roman"/>
                <w:kern w:val="2"/>
                <w:sz w:val="20"/>
                <w:szCs w:val="20"/>
                <w:lang/>
              </w:rPr>
              <w:t>R</w:t>
            </w:r>
            <w:r w:rsidRPr="00695826">
              <w:rPr>
                <w:rFonts w:cs="Times New Roman"/>
                <w:kern w:val="2"/>
                <w:sz w:val="20"/>
                <w:szCs w:val="20"/>
                <w:lang/>
              </w:rPr>
              <w:t>elocation</w:t>
            </w:r>
            <w:r w:rsidRPr="00695826">
              <w:rPr>
                <w:rFonts w:cs="Times New Roman"/>
                <w:kern w:val="2"/>
                <w:sz w:val="20"/>
                <w:szCs w:val="20"/>
                <w:lang/>
              </w:rPr>
              <w:t>s</w:t>
            </w:r>
          </w:p>
        </w:tc>
        <w:tc>
          <w:tcPr>
            <w:tcW w:w="375" w:type="pct"/>
            <w:hideMark/>
          </w:tcPr>
          <w:p w14:paraId="4C376054"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2.5</w:t>
            </w:r>
            <w:r w:rsidRPr="00695826">
              <w:rPr>
                <w:rFonts w:cs="Times New Roman"/>
                <w:kern w:val="2"/>
                <w:sz w:val="20"/>
                <w:szCs w:val="20"/>
                <w:lang/>
              </w:rPr>
              <w:t>2</w:t>
            </w:r>
          </w:p>
        </w:tc>
        <w:tc>
          <w:tcPr>
            <w:tcW w:w="582" w:type="pct"/>
            <w:gridSpan w:val="2"/>
            <w:hideMark/>
          </w:tcPr>
          <w:p w14:paraId="03775C46"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46.</w:t>
            </w:r>
            <w:r w:rsidRPr="00695826">
              <w:rPr>
                <w:rFonts w:cs="Times New Roman"/>
                <w:kern w:val="2"/>
                <w:sz w:val="20"/>
                <w:szCs w:val="20"/>
                <w:lang/>
              </w:rPr>
              <w:t>6</w:t>
            </w:r>
          </w:p>
        </w:tc>
        <w:tc>
          <w:tcPr>
            <w:tcW w:w="394" w:type="pct"/>
            <w:hideMark/>
          </w:tcPr>
          <w:p w14:paraId="151B902C"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0</w:t>
            </w:r>
          </w:p>
        </w:tc>
        <w:tc>
          <w:tcPr>
            <w:tcW w:w="472" w:type="pct"/>
            <w:hideMark/>
          </w:tcPr>
          <w:p w14:paraId="5D7697F0"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4520</w:t>
            </w:r>
          </w:p>
        </w:tc>
      </w:tr>
      <w:tr w:rsidR="0057442E" w:rsidRPr="00695826" w14:paraId="25C5E924" w14:textId="77777777" w:rsidTr="001D05EE">
        <w:tblPrEx>
          <w:tblBorders>
            <w:top w:val="single" w:sz="4" w:space="0" w:color="auto"/>
            <w:bottom w:val="single" w:sz="4" w:space="0" w:color="auto"/>
          </w:tblBorders>
        </w:tblPrEx>
        <w:tc>
          <w:tcPr>
            <w:tcW w:w="1358" w:type="pct"/>
            <w:vMerge/>
          </w:tcPr>
          <w:p w14:paraId="54D749A9" w14:textId="77777777" w:rsidR="00CD4846" w:rsidRPr="001D05EE" w:rsidRDefault="00CD4846" w:rsidP="00695826">
            <w:pPr>
              <w:spacing w:line="240" w:lineRule="auto"/>
              <w:rPr>
                <w:rFonts w:cs="Times New Roman"/>
                <w:kern w:val="2"/>
                <w:sz w:val="20"/>
                <w:szCs w:val="20"/>
                <w:lang/>
              </w:rPr>
            </w:pPr>
          </w:p>
        </w:tc>
        <w:tc>
          <w:tcPr>
            <w:tcW w:w="1819" w:type="pct"/>
            <w:hideMark/>
          </w:tcPr>
          <w:p w14:paraId="6231BB5F"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I</w:t>
            </w:r>
            <w:r w:rsidRPr="00695826">
              <w:rPr>
                <w:rFonts w:cs="Times New Roman"/>
                <w:kern w:val="2"/>
                <w:sz w:val="20"/>
                <w:szCs w:val="20"/>
                <w:lang/>
              </w:rPr>
              <w:t>ntra</w:t>
            </w:r>
            <w:r w:rsidRPr="00695826">
              <w:rPr>
                <w:rFonts w:cs="Times New Roman"/>
                <w:kern w:val="2"/>
                <w:sz w:val="20"/>
                <w:szCs w:val="20"/>
                <w:lang/>
              </w:rPr>
              <w:t>-S</w:t>
            </w:r>
            <w:r w:rsidRPr="00695826">
              <w:rPr>
                <w:rFonts w:cs="Times New Roman"/>
                <w:kern w:val="2"/>
                <w:sz w:val="20"/>
                <w:szCs w:val="20"/>
                <w:lang/>
              </w:rPr>
              <w:t>tat</w:t>
            </w:r>
            <w:r w:rsidRPr="00695826">
              <w:rPr>
                <w:rFonts w:cs="Times New Roman"/>
                <w:kern w:val="2"/>
                <w:sz w:val="20"/>
                <w:szCs w:val="20"/>
                <w:lang/>
              </w:rPr>
              <w:t>e O</w:t>
            </w:r>
            <w:r w:rsidRPr="00695826">
              <w:rPr>
                <w:rFonts w:cs="Times New Roman"/>
                <w:kern w:val="2"/>
                <w:sz w:val="20"/>
                <w:szCs w:val="20"/>
                <w:lang/>
              </w:rPr>
              <w:t xml:space="preserve">utward </w:t>
            </w:r>
            <w:r w:rsidRPr="00695826">
              <w:rPr>
                <w:rFonts w:cs="Times New Roman"/>
                <w:kern w:val="2"/>
                <w:sz w:val="20"/>
                <w:szCs w:val="20"/>
                <w:lang/>
              </w:rPr>
              <w:t>R</w:t>
            </w:r>
            <w:r w:rsidRPr="00695826">
              <w:rPr>
                <w:rFonts w:cs="Times New Roman"/>
                <w:kern w:val="2"/>
                <w:sz w:val="20"/>
                <w:szCs w:val="20"/>
                <w:lang/>
              </w:rPr>
              <w:t>elocation</w:t>
            </w:r>
            <w:r w:rsidRPr="00695826">
              <w:rPr>
                <w:rFonts w:cs="Times New Roman"/>
                <w:kern w:val="2"/>
                <w:sz w:val="20"/>
                <w:szCs w:val="20"/>
                <w:lang/>
              </w:rPr>
              <w:t>s</w:t>
            </w:r>
          </w:p>
        </w:tc>
        <w:tc>
          <w:tcPr>
            <w:tcW w:w="375" w:type="pct"/>
            <w:hideMark/>
          </w:tcPr>
          <w:p w14:paraId="28EE29B1"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2.50</w:t>
            </w:r>
          </w:p>
        </w:tc>
        <w:tc>
          <w:tcPr>
            <w:tcW w:w="582" w:type="pct"/>
            <w:gridSpan w:val="2"/>
            <w:hideMark/>
          </w:tcPr>
          <w:p w14:paraId="53C240A5"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46.</w:t>
            </w:r>
            <w:r w:rsidRPr="00695826">
              <w:rPr>
                <w:rFonts w:cs="Times New Roman"/>
                <w:kern w:val="2"/>
                <w:sz w:val="20"/>
                <w:szCs w:val="20"/>
                <w:lang/>
              </w:rPr>
              <w:t>6</w:t>
            </w:r>
          </w:p>
        </w:tc>
        <w:tc>
          <w:tcPr>
            <w:tcW w:w="394" w:type="pct"/>
            <w:hideMark/>
          </w:tcPr>
          <w:p w14:paraId="5E36CF82"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0</w:t>
            </w:r>
          </w:p>
        </w:tc>
        <w:tc>
          <w:tcPr>
            <w:tcW w:w="472" w:type="pct"/>
            <w:hideMark/>
          </w:tcPr>
          <w:p w14:paraId="77C398B2"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4520</w:t>
            </w:r>
          </w:p>
        </w:tc>
      </w:tr>
      <w:tr w:rsidR="0057442E" w:rsidRPr="00695826" w14:paraId="3849F63C" w14:textId="77777777" w:rsidTr="001D05EE">
        <w:tblPrEx>
          <w:tblBorders>
            <w:top w:val="single" w:sz="4" w:space="0" w:color="auto"/>
            <w:bottom w:val="single" w:sz="4" w:space="0" w:color="auto"/>
          </w:tblBorders>
        </w:tblPrEx>
        <w:tc>
          <w:tcPr>
            <w:tcW w:w="1358" w:type="pct"/>
            <w:vMerge/>
          </w:tcPr>
          <w:p w14:paraId="348DC2F3" w14:textId="77777777" w:rsidR="00CD4846" w:rsidRPr="001D05EE" w:rsidRDefault="00CD4846" w:rsidP="00695826">
            <w:pPr>
              <w:spacing w:line="240" w:lineRule="auto"/>
              <w:rPr>
                <w:rFonts w:cs="Times New Roman"/>
                <w:kern w:val="2"/>
                <w:sz w:val="20"/>
                <w:szCs w:val="20"/>
                <w:lang/>
              </w:rPr>
            </w:pPr>
          </w:p>
        </w:tc>
        <w:tc>
          <w:tcPr>
            <w:tcW w:w="1819" w:type="pct"/>
            <w:hideMark/>
          </w:tcPr>
          <w:p w14:paraId="3D7CB8F2"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I</w:t>
            </w:r>
            <w:r w:rsidRPr="00695826">
              <w:rPr>
                <w:rFonts w:cs="Times New Roman"/>
                <w:kern w:val="2"/>
                <w:sz w:val="20"/>
                <w:szCs w:val="20"/>
                <w:lang/>
              </w:rPr>
              <w:t>nter-</w:t>
            </w:r>
            <w:r w:rsidRPr="00695826">
              <w:rPr>
                <w:rFonts w:cs="Times New Roman"/>
                <w:kern w:val="2"/>
                <w:sz w:val="20"/>
                <w:szCs w:val="20"/>
                <w:lang/>
              </w:rPr>
              <w:t>S</w:t>
            </w:r>
            <w:r w:rsidRPr="00695826">
              <w:rPr>
                <w:rFonts w:cs="Times New Roman"/>
                <w:kern w:val="2"/>
                <w:sz w:val="20"/>
                <w:szCs w:val="20"/>
                <w:lang/>
              </w:rPr>
              <w:t>tat</w:t>
            </w:r>
            <w:r w:rsidRPr="00695826">
              <w:rPr>
                <w:rFonts w:cs="Times New Roman"/>
                <w:kern w:val="2"/>
                <w:sz w:val="20"/>
                <w:szCs w:val="20"/>
                <w:lang/>
              </w:rPr>
              <w:t>e O</w:t>
            </w:r>
            <w:r w:rsidRPr="00695826">
              <w:rPr>
                <w:rFonts w:cs="Times New Roman"/>
                <w:kern w:val="2"/>
                <w:sz w:val="20"/>
                <w:szCs w:val="20"/>
                <w:lang/>
              </w:rPr>
              <w:t xml:space="preserve">utward </w:t>
            </w:r>
            <w:r w:rsidRPr="00695826">
              <w:rPr>
                <w:rFonts w:cs="Times New Roman"/>
                <w:kern w:val="2"/>
                <w:sz w:val="20"/>
                <w:szCs w:val="20"/>
                <w:lang/>
              </w:rPr>
              <w:t>R</w:t>
            </w:r>
            <w:r w:rsidRPr="00695826">
              <w:rPr>
                <w:rFonts w:cs="Times New Roman"/>
                <w:kern w:val="2"/>
                <w:sz w:val="20"/>
                <w:szCs w:val="20"/>
                <w:lang/>
              </w:rPr>
              <w:t>elocation</w:t>
            </w:r>
            <w:r w:rsidRPr="00695826">
              <w:rPr>
                <w:rFonts w:cs="Times New Roman"/>
                <w:kern w:val="2"/>
                <w:sz w:val="20"/>
                <w:szCs w:val="20"/>
                <w:lang/>
              </w:rPr>
              <w:t>s</w:t>
            </w:r>
          </w:p>
        </w:tc>
        <w:tc>
          <w:tcPr>
            <w:tcW w:w="375" w:type="pct"/>
            <w:hideMark/>
          </w:tcPr>
          <w:p w14:paraId="74CFFF7E"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.012</w:t>
            </w:r>
          </w:p>
        </w:tc>
        <w:tc>
          <w:tcPr>
            <w:tcW w:w="582" w:type="pct"/>
            <w:gridSpan w:val="2"/>
            <w:hideMark/>
          </w:tcPr>
          <w:p w14:paraId="6A896DF8"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.147</w:t>
            </w:r>
          </w:p>
        </w:tc>
        <w:tc>
          <w:tcPr>
            <w:tcW w:w="394" w:type="pct"/>
            <w:hideMark/>
          </w:tcPr>
          <w:p w14:paraId="354CC432"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0</w:t>
            </w:r>
          </w:p>
        </w:tc>
        <w:tc>
          <w:tcPr>
            <w:tcW w:w="472" w:type="pct"/>
            <w:hideMark/>
          </w:tcPr>
          <w:p w14:paraId="5D0F8ABA"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19</w:t>
            </w:r>
          </w:p>
        </w:tc>
      </w:tr>
      <w:tr w:rsidR="0057442E" w:rsidRPr="00695826" w14:paraId="439282C6" w14:textId="77777777" w:rsidTr="0082071D">
        <w:tblPrEx>
          <w:tblBorders>
            <w:top w:val="single" w:sz="4" w:space="0" w:color="auto"/>
            <w:bottom w:val="single" w:sz="4" w:space="0" w:color="auto"/>
          </w:tblBorders>
        </w:tblPrEx>
        <w:tc>
          <w:tcPr>
            <w:tcW w:w="1358" w:type="pct"/>
            <w:vMerge/>
            <w:tcBorders>
              <w:bottom w:val="single" w:sz="4" w:space="0" w:color="auto"/>
            </w:tcBorders>
          </w:tcPr>
          <w:p w14:paraId="08782E85" w14:textId="77777777" w:rsidR="00CD4846" w:rsidRPr="001D05EE" w:rsidRDefault="00CD4846" w:rsidP="00695826">
            <w:pPr>
              <w:spacing w:line="240" w:lineRule="auto"/>
              <w:rPr>
                <w:rFonts w:cs="Times New Roman"/>
                <w:kern w:val="2"/>
                <w:sz w:val="20"/>
                <w:szCs w:val="20"/>
                <w:lang/>
              </w:rPr>
            </w:pPr>
          </w:p>
        </w:tc>
        <w:tc>
          <w:tcPr>
            <w:tcW w:w="1819" w:type="pct"/>
            <w:tcBorders>
              <w:bottom w:val="single" w:sz="4" w:space="0" w:color="auto"/>
            </w:tcBorders>
            <w:hideMark/>
          </w:tcPr>
          <w:p w14:paraId="059D6C2D"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Total E</w:t>
            </w:r>
            <w:r w:rsidRPr="00695826">
              <w:rPr>
                <w:rFonts w:cs="Times New Roman"/>
                <w:kern w:val="2"/>
                <w:sz w:val="20"/>
                <w:szCs w:val="20"/>
                <w:lang/>
              </w:rPr>
              <w:t>xits</w:t>
            </w:r>
          </w:p>
        </w:tc>
        <w:tc>
          <w:tcPr>
            <w:tcW w:w="375" w:type="pct"/>
            <w:tcBorders>
              <w:bottom w:val="single" w:sz="4" w:space="0" w:color="auto"/>
            </w:tcBorders>
            <w:hideMark/>
          </w:tcPr>
          <w:p w14:paraId="034BB53F"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60.</w:t>
            </w:r>
            <w:r w:rsidRPr="00695826">
              <w:rPr>
                <w:rFonts w:cs="Times New Roman"/>
                <w:kern w:val="2"/>
                <w:sz w:val="20"/>
                <w:szCs w:val="20"/>
                <w:lang/>
              </w:rPr>
              <w:t>6</w:t>
            </w:r>
          </w:p>
        </w:tc>
        <w:tc>
          <w:tcPr>
            <w:tcW w:w="582" w:type="pct"/>
            <w:gridSpan w:val="2"/>
            <w:tcBorders>
              <w:bottom w:val="single" w:sz="4" w:space="0" w:color="auto"/>
            </w:tcBorders>
            <w:hideMark/>
          </w:tcPr>
          <w:p w14:paraId="0A74DC86"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2</w:t>
            </w:r>
            <w:r w:rsidRPr="00695826">
              <w:rPr>
                <w:rFonts w:cs="Times New Roman"/>
                <w:kern w:val="2"/>
                <w:sz w:val="20"/>
                <w:szCs w:val="20"/>
                <w:lang/>
              </w:rPr>
              <w:t>20</w:t>
            </w:r>
          </w:p>
        </w:tc>
        <w:tc>
          <w:tcPr>
            <w:tcW w:w="394" w:type="pct"/>
            <w:tcBorders>
              <w:bottom w:val="single" w:sz="4" w:space="0" w:color="auto"/>
            </w:tcBorders>
            <w:hideMark/>
          </w:tcPr>
          <w:p w14:paraId="403CC1B8"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0</w:t>
            </w:r>
          </w:p>
        </w:tc>
        <w:tc>
          <w:tcPr>
            <w:tcW w:w="472" w:type="pct"/>
            <w:tcBorders>
              <w:bottom w:val="single" w:sz="4" w:space="0" w:color="auto"/>
            </w:tcBorders>
            <w:hideMark/>
          </w:tcPr>
          <w:p w14:paraId="75E093C9"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13258</w:t>
            </w:r>
          </w:p>
        </w:tc>
      </w:tr>
      <w:tr w:rsidR="0057442E" w:rsidRPr="00695826" w14:paraId="05407DB1" w14:textId="77777777" w:rsidTr="001D05EE">
        <w:tblPrEx>
          <w:tblBorders>
            <w:top w:val="single" w:sz="4" w:space="0" w:color="auto"/>
            <w:bottom w:val="single" w:sz="4" w:space="0" w:color="auto"/>
          </w:tblBorders>
        </w:tblPrEx>
        <w:tc>
          <w:tcPr>
            <w:tcW w:w="1358" w:type="pct"/>
            <w:vMerge w:val="restart"/>
            <w:tcBorders>
              <w:top w:val="single" w:sz="4" w:space="0" w:color="auto"/>
              <w:bottom w:val="nil"/>
            </w:tcBorders>
          </w:tcPr>
          <w:p w14:paraId="01DADD88" w14:textId="11EDF5D1" w:rsidR="00CD4846" w:rsidRPr="001D05EE" w:rsidRDefault="00CD4846" w:rsidP="00695826">
            <w:pPr>
              <w:spacing w:line="240" w:lineRule="auto"/>
              <w:rPr>
                <w:rFonts w:cs="Times New Roman"/>
                <w:kern w:val="2"/>
                <w:sz w:val="20"/>
                <w:szCs w:val="20"/>
                <w:lang/>
              </w:rPr>
            </w:pPr>
            <w:r w:rsidRPr="001D05EE">
              <w:rPr>
                <w:rFonts w:cs="Times New Roman"/>
                <w:kern w:val="2"/>
                <w:sz w:val="20"/>
                <w:szCs w:val="20"/>
                <w:lang/>
              </w:rPr>
              <w:t>31-33</w:t>
            </w:r>
          </w:p>
          <w:p w14:paraId="44716347" w14:textId="70FC1CE1" w:rsidR="00CD4846" w:rsidRPr="001D05EE" w:rsidRDefault="00CD4846" w:rsidP="00695826">
            <w:pPr>
              <w:spacing w:line="240" w:lineRule="auto"/>
              <w:rPr>
                <w:rFonts w:cs="Times New Roman"/>
                <w:kern w:val="2"/>
                <w:sz w:val="20"/>
                <w:szCs w:val="20"/>
                <w:lang/>
              </w:rPr>
            </w:pPr>
            <w:r w:rsidRPr="001D05EE">
              <w:rPr>
                <w:rFonts w:cs="Times New Roman"/>
                <w:kern w:val="2"/>
                <w:sz w:val="20"/>
                <w:szCs w:val="20"/>
                <w:lang/>
              </w:rPr>
              <w:t>-</w:t>
            </w:r>
          </w:p>
          <w:p w14:paraId="4CFA6F77" w14:textId="77777777" w:rsidR="00CD4846" w:rsidRPr="001D05EE" w:rsidRDefault="00CD4846" w:rsidP="00695826">
            <w:pPr>
              <w:spacing w:line="240" w:lineRule="auto"/>
              <w:rPr>
                <w:rFonts w:cs="Times New Roman"/>
                <w:kern w:val="2"/>
                <w:sz w:val="20"/>
                <w:szCs w:val="20"/>
                <w:lang/>
              </w:rPr>
            </w:pPr>
            <w:r w:rsidRPr="001D05EE">
              <w:rPr>
                <w:rFonts w:cs="Times New Roman"/>
                <w:kern w:val="2"/>
                <w:sz w:val="20"/>
                <w:szCs w:val="20"/>
                <w:lang/>
              </w:rPr>
              <w:t>Manufacturing</w:t>
            </w:r>
          </w:p>
        </w:tc>
        <w:tc>
          <w:tcPr>
            <w:tcW w:w="1819" w:type="pct"/>
            <w:tcBorders>
              <w:top w:val="single" w:sz="4" w:space="0" w:color="auto"/>
              <w:bottom w:val="nil"/>
            </w:tcBorders>
            <w:hideMark/>
          </w:tcPr>
          <w:p w14:paraId="3E92FC73"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B</w:t>
            </w:r>
            <w:r w:rsidRPr="00695826">
              <w:rPr>
                <w:rFonts w:cs="Times New Roman"/>
                <w:kern w:val="2"/>
                <w:sz w:val="20"/>
                <w:szCs w:val="20"/>
                <w:lang/>
              </w:rPr>
              <w:t>irths</w:t>
            </w:r>
          </w:p>
        </w:tc>
        <w:tc>
          <w:tcPr>
            <w:tcW w:w="375" w:type="pct"/>
            <w:tcBorders>
              <w:top w:val="single" w:sz="4" w:space="0" w:color="auto"/>
              <w:bottom w:val="nil"/>
            </w:tcBorders>
            <w:hideMark/>
          </w:tcPr>
          <w:p w14:paraId="27EBA7EA"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2</w:t>
            </w:r>
            <w:r w:rsidRPr="00695826">
              <w:rPr>
                <w:rFonts w:cs="Times New Roman"/>
                <w:kern w:val="2"/>
                <w:sz w:val="20"/>
                <w:szCs w:val="20"/>
                <w:lang/>
              </w:rPr>
              <w:t>9.0</w:t>
            </w:r>
          </w:p>
        </w:tc>
        <w:tc>
          <w:tcPr>
            <w:tcW w:w="582" w:type="pct"/>
            <w:gridSpan w:val="2"/>
            <w:tcBorders>
              <w:top w:val="single" w:sz="4" w:space="0" w:color="auto"/>
              <w:bottom w:val="nil"/>
            </w:tcBorders>
            <w:hideMark/>
          </w:tcPr>
          <w:p w14:paraId="16957136"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13</w:t>
            </w:r>
            <w:r w:rsidRPr="00695826">
              <w:rPr>
                <w:rFonts w:cs="Times New Roman"/>
                <w:kern w:val="2"/>
                <w:sz w:val="20"/>
                <w:szCs w:val="20"/>
                <w:lang/>
              </w:rPr>
              <w:t>1</w:t>
            </w:r>
          </w:p>
        </w:tc>
        <w:tc>
          <w:tcPr>
            <w:tcW w:w="394" w:type="pct"/>
            <w:tcBorders>
              <w:top w:val="single" w:sz="4" w:space="0" w:color="auto"/>
              <w:bottom w:val="nil"/>
            </w:tcBorders>
            <w:hideMark/>
          </w:tcPr>
          <w:p w14:paraId="7E24D6BE"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0</w:t>
            </w:r>
          </w:p>
        </w:tc>
        <w:tc>
          <w:tcPr>
            <w:tcW w:w="472" w:type="pct"/>
            <w:tcBorders>
              <w:top w:val="single" w:sz="4" w:space="0" w:color="auto"/>
              <w:bottom w:val="nil"/>
            </w:tcBorders>
            <w:hideMark/>
          </w:tcPr>
          <w:p w14:paraId="664F24B7"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9539</w:t>
            </w:r>
          </w:p>
        </w:tc>
      </w:tr>
      <w:tr w:rsidR="0057442E" w:rsidRPr="00695826" w14:paraId="53FDB7D6" w14:textId="77777777" w:rsidTr="0082071D">
        <w:tblPrEx>
          <w:tblBorders>
            <w:top w:val="single" w:sz="4" w:space="0" w:color="auto"/>
            <w:bottom w:val="single" w:sz="4" w:space="0" w:color="auto"/>
          </w:tblBorders>
        </w:tblPrEx>
        <w:tc>
          <w:tcPr>
            <w:tcW w:w="1358" w:type="pct"/>
            <w:vMerge/>
            <w:tcBorders>
              <w:top w:val="nil"/>
              <w:bottom w:val="nil"/>
            </w:tcBorders>
          </w:tcPr>
          <w:p w14:paraId="1622906C" w14:textId="77777777" w:rsidR="00CD4846" w:rsidRPr="00695826" w:rsidRDefault="00CD4846" w:rsidP="00695826">
            <w:pPr>
              <w:spacing w:line="240" w:lineRule="auto"/>
              <w:rPr>
                <w:rFonts w:cs="Times New Roman"/>
                <w:kern w:val="2"/>
                <w:sz w:val="20"/>
                <w:szCs w:val="20"/>
                <w:lang/>
              </w:rPr>
            </w:pPr>
          </w:p>
        </w:tc>
        <w:tc>
          <w:tcPr>
            <w:tcW w:w="1819" w:type="pct"/>
            <w:tcBorders>
              <w:top w:val="nil"/>
              <w:bottom w:val="nil"/>
            </w:tcBorders>
            <w:hideMark/>
          </w:tcPr>
          <w:p w14:paraId="470B3DA6"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I</w:t>
            </w:r>
            <w:r w:rsidRPr="00695826">
              <w:rPr>
                <w:rFonts w:cs="Times New Roman"/>
                <w:kern w:val="2"/>
                <w:sz w:val="20"/>
                <w:szCs w:val="20"/>
                <w:lang/>
              </w:rPr>
              <w:t xml:space="preserve">nward </w:t>
            </w:r>
            <w:r w:rsidRPr="00695826">
              <w:rPr>
                <w:rFonts w:cs="Times New Roman"/>
                <w:kern w:val="2"/>
                <w:sz w:val="20"/>
                <w:szCs w:val="20"/>
                <w:lang/>
              </w:rPr>
              <w:t>R</w:t>
            </w:r>
            <w:r w:rsidRPr="00695826">
              <w:rPr>
                <w:rFonts w:cs="Times New Roman"/>
                <w:kern w:val="2"/>
                <w:sz w:val="20"/>
                <w:szCs w:val="20"/>
                <w:lang/>
              </w:rPr>
              <w:t>elocations</w:t>
            </w:r>
          </w:p>
        </w:tc>
        <w:tc>
          <w:tcPr>
            <w:tcW w:w="375" w:type="pct"/>
            <w:tcBorders>
              <w:top w:val="nil"/>
              <w:bottom w:val="nil"/>
            </w:tcBorders>
            <w:hideMark/>
          </w:tcPr>
          <w:p w14:paraId="1548EEE9"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1.01</w:t>
            </w:r>
          </w:p>
        </w:tc>
        <w:tc>
          <w:tcPr>
            <w:tcW w:w="582" w:type="pct"/>
            <w:gridSpan w:val="2"/>
            <w:tcBorders>
              <w:top w:val="nil"/>
              <w:bottom w:val="nil"/>
            </w:tcBorders>
            <w:hideMark/>
          </w:tcPr>
          <w:p w14:paraId="2A021FD0"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21.9</w:t>
            </w:r>
          </w:p>
        </w:tc>
        <w:tc>
          <w:tcPr>
            <w:tcW w:w="394" w:type="pct"/>
            <w:tcBorders>
              <w:top w:val="nil"/>
              <w:bottom w:val="nil"/>
            </w:tcBorders>
            <w:hideMark/>
          </w:tcPr>
          <w:p w14:paraId="2E8B26C3"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0</w:t>
            </w:r>
          </w:p>
        </w:tc>
        <w:tc>
          <w:tcPr>
            <w:tcW w:w="472" w:type="pct"/>
            <w:tcBorders>
              <w:top w:val="nil"/>
              <w:bottom w:val="nil"/>
            </w:tcBorders>
            <w:hideMark/>
          </w:tcPr>
          <w:p w14:paraId="2B5AC329"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3159</w:t>
            </w:r>
          </w:p>
        </w:tc>
      </w:tr>
      <w:tr w:rsidR="0057442E" w:rsidRPr="00695826" w14:paraId="129585B7" w14:textId="77777777" w:rsidTr="0082071D">
        <w:tblPrEx>
          <w:tblBorders>
            <w:top w:val="single" w:sz="4" w:space="0" w:color="auto"/>
            <w:bottom w:val="single" w:sz="4" w:space="0" w:color="auto"/>
          </w:tblBorders>
        </w:tblPrEx>
        <w:tc>
          <w:tcPr>
            <w:tcW w:w="1358" w:type="pct"/>
            <w:vMerge/>
            <w:tcBorders>
              <w:top w:val="nil"/>
              <w:bottom w:val="nil"/>
            </w:tcBorders>
          </w:tcPr>
          <w:p w14:paraId="47827292" w14:textId="77777777" w:rsidR="00CD4846" w:rsidRPr="00695826" w:rsidRDefault="00CD4846" w:rsidP="00695826">
            <w:pPr>
              <w:spacing w:line="240" w:lineRule="auto"/>
              <w:rPr>
                <w:rFonts w:cs="Times New Roman"/>
                <w:kern w:val="2"/>
                <w:sz w:val="20"/>
                <w:szCs w:val="20"/>
                <w:lang/>
              </w:rPr>
            </w:pPr>
          </w:p>
        </w:tc>
        <w:tc>
          <w:tcPr>
            <w:tcW w:w="1819" w:type="pct"/>
            <w:tcBorders>
              <w:top w:val="nil"/>
              <w:bottom w:val="nil"/>
            </w:tcBorders>
            <w:hideMark/>
          </w:tcPr>
          <w:p w14:paraId="72721F1B"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I</w:t>
            </w:r>
            <w:r w:rsidRPr="00695826">
              <w:rPr>
                <w:rFonts w:cs="Times New Roman"/>
                <w:kern w:val="2"/>
                <w:sz w:val="20"/>
                <w:szCs w:val="20"/>
                <w:lang/>
              </w:rPr>
              <w:t>ntra-state</w:t>
            </w:r>
            <w:r w:rsidRPr="00695826">
              <w:rPr>
                <w:rFonts w:cs="Times New Roman"/>
                <w:kern w:val="2"/>
                <w:sz w:val="20"/>
                <w:szCs w:val="20"/>
                <w:lang/>
              </w:rPr>
              <w:t xml:space="preserve"> I</w:t>
            </w:r>
            <w:r w:rsidRPr="00695826">
              <w:rPr>
                <w:rFonts w:cs="Times New Roman"/>
                <w:kern w:val="2"/>
                <w:sz w:val="20"/>
                <w:szCs w:val="20"/>
                <w:lang/>
              </w:rPr>
              <w:t xml:space="preserve">nward </w:t>
            </w:r>
            <w:r w:rsidRPr="00695826">
              <w:rPr>
                <w:rFonts w:cs="Times New Roman"/>
                <w:kern w:val="2"/>
                <w:sz w:val="20"/>
                <w:szCs w:val="20"/>
                <w:lang/>
              </w:rPr>
              <w:t>R</w:t>
            </w:r>
            <w:r w:rsidRPr="00695826">
              <w:rPr>
                <w:rFonts w:cs="Times New Roman"/>
                <w:kern w:val="2"/>
                <w:sz w:val="20"/>
                <w:szCs w:val="20"/>
                <w:lang/>
              </w:rPr>
              <w:t>elocations</w:t>
            </w:r>
          </w:p>
        </w:tc>
        <w:tc>
          <w:tcPr>
            <w:tcW w:w="375" w:type="pct"/>
            <w:tcBorders>
              <w:top w:val="nil"/>
              <w:bottom w:val="nil"/>
            </w:tcBorders>
            <w:hideMark/>
          </w:tcPr>
          <w:p w14:paraId="1F20475F"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.974</w:t>
            </w:r>
          </w:p>
        </w:tc>
        <w:tc>
          <w:tcPr>
            <w:tcW w:w="582" w:type="pct"/>
            <w:gridSpan w:val="2"/>
            <w:tcBorders>
              <w:top w:val="nil"/>
              <w:bottom w:val="nil"/>
            </w:tcBorders>
            <w:hideMark/>
          </w:tcPr>
          <w:p w14:paraId="345EC507"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21.9</w:t>
            </w:r>
          </w:p>
        </w:tc>
        <w:tc>
          <w:tcPr>
            <w:tcW w:w="394" w:type="pct"/>
            <w:tcBorders>
              <w:top w:val="nil"/>
              <w:bottom w:val="nil"/>
            </w:tcBorders>
            <w:hideMark/>
          </w:tcPr>
          <w:p w14:paraId="32B97C41"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0</w:t>
            </w:r>
          </w:p>
        </w:tc>
        <w:tc>
          <w:tcPr>
            <w:tcW w:w="472" w:type="pct"/>
            <w:tcBorders>
              <w:top w:val="nil"/>
              <w:bottom w:val="nil"/>
            </w:tcBorders>
            <w:hideMark/>
          </w:tcPr>
          <w:p w14:paraId="10E093DF"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3158</w:t>
            </w:r>
          </w:p>
        </w:tc>
      </w:tr>
      <w:tr w:rsidR="0057442E" w:rsidRPr="00695826" w14:paraId="05A18E37" w14:textId="77777777" w:rsidTr="0082071D">
        <w:tblPrEx>
          <w:tblBorders>
            <w:top w:val="single" w:sz="4" w:space="0" w:color="auto"/>
            <w:bottom w:val="single" w:sz="4" w:space="0" w:color="auto"/>
          </w:tblBorders>
        </w:tblPrEx>
        <w:tc>
          <w:tcPr>
            <w:tcW w:w="1358" w:type="pct"/>
            <w:vMerge/>
            <w:tcBorders>
              <w:top w:val="nil"/>
              <w:bottom w:val="nil"/>
            </w:tcBorders>
          </w:tcPr>
          <w:p w14:paraId="0D377DB3" w14:textId="77777777" w:rsidR="00CD4846" w:rsidRPr="00695826" w:rsidRDefault="00CD4846" w:rsidP="00695826">
            <w:pPr>
              <w:spacing w:line="240" w:lineRule="auto"/>
              <w:rPr>
                <w:rFonts w:cs="Times New Roman"/>
                <w:kern w:val="2"/>
                <w:sz w:val="20"/>
                <w:szCs w:val="20"/>
                <w:lang/>
              </w:rPr>
            </w:pPr>
          </w:p>
        </w:tc>
        <w:tc>
          <w:tcPr>
            <w:tcW w:w="1819" w:type="pct"/>
            <w:tcBorders>
              <w:top w:val="nil"/>
              <w:bottom w:val="nil"/>
            </w:tcBorders>
            <w:hideMark/>
          </w:tcPr>
          <w:p w14:paraId="24DDE2B1"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I</w:t>
            </w:r>
            <w:r w:rsidRPr="00695826">
              <w:rPr>
                <w:rFonts w:cs="Times New Roman"/>
                <w:kern w:val="2"/>
                <w:sz w:val="20"/>
                <w:szCs w:val="20"/>
                <w:lang/>
              </w:rPr>
              <w:t>nter-state</w:t>
            </w:r>
            <w:r w:rsidRPr="00695826">
              <w:rPr>
                <w:rFonts w:cs="Times New Roman"/>
                <w:kern w:val="2"/>
                <w:sz w:val="20"/>
                <w:szCs w:val="20"/>
                <w:lang/>
              </w:rPr>
              <w:t xml:space="preserve"> I</w:t>
            </w:r>
            <w:r w:rsidRPr="00695826">
              <w:rPr>
                <w:rFonts w:cs="Times New Roman"/>
                <w:kern w:val="2"/>
                <w:sz w:val="20"/>
                <w:szCs w:val="20"/>
                <w:lang/>
              </w:rPr>
              <w:t xml:space="preserve">nward </w:t>
            </w:r>
            <w:r w:rsidRPr="00695826">
              <w:rPr>
                <w:rFonts w:cs="Times New Roman"/>
                <w:kern w:val="2"/>
                <w:sz w:val="20"/>
                <w:szCs w:val="20"/>
                <w:lang/>
              </w:rPr>
              <w:t>R</w:t>
            </w:r>
            <w:r w:rsidRPr="00695826">
              <w:rPr>
                <w:rFonts w:cs="Times New Roman"/>
                <w:kern w:val="2"/>
                <w:sz w:val="20"/>
                <w:szCs w:val="20"/>
                <w:lang/>
              </w:rPr>
              <w:t>elocations</w:t>
            </w:r>
          </w:p>
        </w:tc>
        <w:tc>
          <w:tcPr>
            <w:tcW w:w="375" w:type="pct"/>
            <w:tcBorders>
              <w:top w:val="nil"/>
              <w:bottom w:val="nil"/>
            </w:tcBorders>
            <w:hideMark/>
          </w:tcPr>
          <w:p w14:paraId="6F4E6FA6"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.04</w:t>
            </w:r>
          </w:p>
        </w:tc>
        <w:tc>
          <w:tcPr>
            <w:tcW w:w="582" w:type="pct"/>
            <w:gridSpan w:val="2"/>
            <w:tcBorders>
              <w:top w:val="nil"/>
              <w:bottom w:val="nil"/>
            </w:tcBorders>
            <w:hideMark/>
          </w:tcPr>
          <w:p w14:paraId="2F1E1ADB"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.306</w:t>
            </w:r>
          </w:p>
        </w:tc>
        <w:tc>
          <w:tcPr>
            <w:tcW w:w="394" w:type="pct"/>
            <w:tcBorders>
              <w:top w:val="nil"/>
              <w:bottom w:val="nil"/>
            </w:tcBorders>
            <w:hideMark/>
          </w:tcPr>
          <w:p w14:paraId="30F91E99"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0</w:t>
            </w:r>
          </w:p>
        </w:tc>
        <w:tc>
          <w:tcPr>
            <w:tcW w:w="472" w:type="pct"/>
            <w:tcBorders>
              <w:top w:val="nil"/>
              <w:bottom w:val="nil"/>
            </w:tcBorders>
            <w:hideMark/>
          </w:tcPr>
          <w:p w14:paraId="6017A1A8"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35</w:t>
            </w:r>
          </w:p>
        </w:tc>
      </w:tr>
      <w:tr w:rsidR="0057442E" w:rsidRPr="00695826" w14:paraId="44D50729" w14:textId="77777777" w:rsidTr="0082071D">
        <w:tblPrEx>
          <w:tblBorders>
            <w:top w:val="single" w:sz="4" w:space="0" w:color="auto"/>
            <w:bottom w:val="single" w:sz="4" w:space="0" w:color="auto"/>
          </w:tblBorders>
        </w:tblPrEx>
        <w:tc>
          <w:tcPr>
            <w:tcW w:w="1358" w:type="pct"/>
            <w:vMerge/>
            <w:tcBorders>
              <w:top w:val="nil"/>
              <w:bottom w:val="nil"/>
            </w:tcBorders>
          </w:tcPr>
          <w:p w14:paraId="21D981D7" w14:textId="77777777" w:rsidR="00CD4846" w:rsidRPr="00695826" w:rsidRDefault="00CD4846" w:rsidP="00695826">
            <w:pPr>
              <w:spacing w:line="240" w:lineRule="auto"/>
              <w:rPr>
                <w:rFonts w:cs="Times New Roman"/>
                <w:kern w:val="2"/>
                <w:sz w:val="20"/>
                <w:szCs w:val="20"/>
                <w:lang/>
              </w:rPr>
            </w:pPr>
          </w:p>
        </w:tc>
        <w:tc>
          <w:tcPr>
            <w:tcW w:w="1819" w:type="pct"/>
            <w:tcBorders>
              <w:top w:val="nil"/>
              <w:bottom w:val="nil"/>
            </w:tcBorders>
            <w:hideMark/>
          </w:tcPr>
          <w:p w14:paraId="3056CEE0"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Total E</w:t>
            </w:r>
            <w:r w:rsidRPr="00695826">
              <w:rPr>
                <w:rFonts w:cs="Times New Roman"/>
                <w:kern w:val="2"/>
                <w:sz w:val="20"/>
                <w:szCs w:val="20"/>
                <w:lang/>
              </w:rPr>
              <w:t>ntries</w:t>
            </w:r>
          </w:p>
        </w:tc>
        <w:tc>
          <w:tcPr>
            <w:tcW w:w="375" w:type="pct"/>
            <w:tcBorders>
              <w:top w:val="nil"/>
              <w:bottom w:val="nil"/>
            </w:tcBorders>
            <w:hideMark/>
          </w:tcPr>
          <w:p w14:paraId="0D4B42F1"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30</w:t>
            </w:r>
          </w:p>
        </w:tc>
        <w:tc>
          <w:tcPr>
            <w:tcW w:w="582" w:type="pct"/>
            <w:gridSpan w:val="2"/>
            <w:tcBorders>
              <w:top w:val="nil"/>
              <w:bottom w:val="nil"/>
            </w:tcBorders>
            <w:hideMark/>
          </w:tcPr>
          <w:p w14:paraId="1B53C9AE"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139</w:t>
            </w:r>
          </w:p>
        </w:tc>
        <w:tc>
          <w:tcPr>
            <w:tcW w:w="394" w:type="pct"/>
            <w:tcBorders>
              <w:top w:val="nil"/>
              <w:bottom w:val="nil"/>
            </w:tcBorders>
            <w:hideMark/>
          </w:tcPr>
          <w:p w14:paraId="786CDF8A"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0</w:t>
            </w:r>
          </w:p>
        </w:tc>
        <w:tc>
          <w:tcPr>
            <w:tcW w:w="472" w:type="pct"/>
            <w:tcBorders>
              <w:top w:val="nil"/>
              <w:bottom w:val="nil"/>
            </w:tcBorders>
            <w:hideMark/>
          </w:tcPr>
          <w:p w14:paraId="03C8AE58"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12580</w:t>
            </w:r>
          </w:p>
        </w:tc>
      </w:tr>
      <w:tr w:rsidR="0057442E" w:rsidRPr="00695826" w14:paraId="3254A085" w14:textId="77777777" w:rsidTr="0082071D">
        <w:tblPrEx>
          <w:tblBorders>
            <w:top w:val="single" w:sz="4" w:space="0" w:color="auto"/>
            <w:bottom w:val="single" w:sz="4" w:space="0" w:color="auto"/>
          </w:tblBorders>
        </w:tblPrEx>
        <w:tc>
          <w:tcPr>
            <w:tcW w:w="1358" w:type="pct"/>
            <w:vMerge/>
            <w:tcBorders>
              <w:top w:val="nil"/>
              <w:bottom w:val="nil"/>
            </w:tcBorders>
          </w:tcPr>
          <w:p w14:paraId="3B809BA4" w14:textId="77777777" w:rsidR="00CD4846" w:rsidRPr="00695826" w:rsidRDefault="00CD4846" w:rsidP="00695826">
            <w:pPr>
              <w:spacing w:line="240" w:lineRule="auto"/>
              <w:rPr>
                <w:rFonts w:cs="Times New Roman"/>
                <w:kern w:val="2"/>
                <w:sz w:val="20"/>
                <w:szCs w:val="20"/>
                <w:lang/>
              </w:rPr>
            </w:pPr>
          </w:p>
        </w:tc>
        <w:tc>
          <w:tcPr>
            <w:tcW w:w="1819" w:type="pct"/>
            <w:tcBorders>
              <w:top w:val="nil"/>
              <w:bottom w:val="nil"/>
            </w:tcBorders>
            <w:hideMark/>
          </w:tcPr>
          <w:p w14:paraId="4FDFC40F"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D</w:t>
            </w:r>
            <w:r w:rsidRPr="00695826">
              <w:rPr>
                <w:rFonts w:cs="Times New Roman"/>
                <w:kern w:val="2"/>
                <w:sz w:val="20"/>
                <w:szCs w:val="20"/>
                <w:lang/>
              </w:rPr>
              <w:t>eaths</w:t>
            </w:r>
          </w:p>
        </w:tc>
        <w:tc>
          <w:tcPr>
            <w:tcW w:w="375" w:type="pct"/>
            <w:tcBorders>
              <w:top w:val="nil"/>
              <w:bottom w:val="nil"/>
            </w:tcBorders>
            <w:hideMark/>
          </w:tcPr>
          <w:p w14:paraId="5671595A"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30.2</w:t>
            </w:r>
          </w:p>
        </w:tc>
        <w:tc>
          <w:tcPr>
            <w:tcW w:w="582" w:type="pct"/>
            <w:gridSpan w:val="2"/>
            <w:tcBorders>
              <w:top w:val="nil"/>
              <w:bottom w:val="nil"/>
            </w:tcBorders>
            <w:hideMark/>
          </w:tcPr>
          <w:p w14:paraId="557DACBB"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138</w:t>
            </w:r>
          </w:p>
        </w:tc>
        <w:tc>
          <w:tcPr>
            <w:tcW w:w="394" w:type="pct"/>
            <w:tcBorders>
              <w:top w:val="nil"/>
              <w:bottom w:val="nil"/>
            </w:tcBorders>
            <w:hideMark/>
          </w:tcPr>
          <w:p w14:paraId="5158765F"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0</w:t>
            </w:r>
          </w:p>
        </w:tc>
        <w:tc>
          <w:tcPr>
            <w:tcW w:w="472" w:type="pct"/>
            <w:tcBorders>
              <w:top w:val="nil"/>
              <w:bottom w:val="nil"/>
            </w:tcBorders>
            <w:hideMark/>
          </w:tcPr>
          <w:p w14:paraId="49C1FEB1"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10206</w:t>
            </w:r>
          </w:p>
        </w:tc>
      </w:tr>
      <w:tr w:rsidR="0057442E" w:rsidRPr="00695826" w14:paraId="7FD0EFDC" w14:textId="77777777" w:rsidTr="0082071D">
        <w:tblPrEx>
          <w:tblBorders>
            <w:top w:val="single" w:sz="4" w:space="0" w:color="auto"/>
            <w:bottom w:val="single" w:sz="4" w:space="0" w:color="auto"/>
          </w:tblBorders>
        </w:tblPrEx>
        <w:tc>
          <w:tcPr>
            <w:tcW w:w="1358" w:type="pct"/>
            <w:vMerge/>
            <w:tcBorders>
              <w:top w:val="nil"/>
              <w:bottom w:val="nil"/>
            </w:tcBorders>
          </w:tcPr>
          <w:p w14:paraId="739EEE72" w14:textId="77777777" w:rsidR="00CD4846" w:rsidRPr="00695826" w:rsidRDefault="00CD4846" w:rsidP="00695826">
            <w:pPr>
              <w:spacing w:line="240" w:lineRule="auto"/>
              <w:rPr>
                <w:rFonts w:cs="Times New Roman"/>
                <w:kern w:val="2"/>
                <w:sz w:val="20"/>
                <w:szCs w:val="20"/>
                <w:lang/>
              </w:rPr>
            </w:pPr>
          </w:p>
        </w:tc>
        <w:tc>
          <w:tcPr>
            <w:tcW w:w="1819" w:type="pct"/>
            <w:tcBorders>
              <w:top w:val="nil"/>
              <w:bottom w:val="nil"/>
            </w:tcBorders>
            <w:hideMark/>
          </w:tcPr>
          <w:p w14:paraId="332E8D57"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O</w:t>
            </w:r>
            <w:r w:rsidRPr="00695826">
              <w:rPr>
                <w:rFonts w:cs="Times New Roman"/>
                <w:kern w:val="2"/>
                <w:sz w:val="20"/>
                <w:szCs w:val="20"/>
                <w:lang/>
              </w:rPr>
              <w:t xml:space="preserve">utward </w:t>
            </w:r>
            <w:r w:rsidRPr="00695826">
              <w:rPr>
                <w:rFonts w:cs="Times New Roman"/>
                <w:kern w:val="2"/>
                <w:sz w:val="20"/>
                <w:szCs w:val="20"/>
                <w:lang/>
              </w:rPr>
              <w:t>R</w:t>
            </w:r>
            <w:r w:rsidRPr="00695826">
              <w:rPr>
                <w:rFonts w:cs="Times New Roman"/>
                <w:kern w:val="2"/>
                <w:sz w:val="20"/>
                <w:szCs w:val="20"/>
                <w:lang/>
              </w:rPr>
              <w:t>elocation</w:t>
            </w:r>
            <w:r w:rsidRPr="00695826">
              <w:rPr>
                <w:rFonts w:cs="Times New Roman"/>
                <w:kern w:val="2"/>
                <w:sz w:val="20"/>
                <w:szCs w:val="20"/>
                <w:lang/>
              </w:rPr>
              <w:t>s</w:t>
            </w:r>
          </w:p>
        </w:tc>
        <w:tc>
          <w:tcPr>
            <w:tcW w:w="375" w:type="pct"/>
            <w:tcBorders>
              <w:top w:val="nil"/>
              <w:bottom w:val="nil"/>
            </w:tcBorders>
            <w:hideMark/>
          </w:tcPr>
          <w:p w14:paraId="1BF11B40"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1.01</w:t>
            </w:r>
          </w:p>
        </w:tc>
        <w:tc>
          <w:tcPr>
            <w:tcW w:w="582" w:type="pct"/>
            <w:gridSpan w:val="2"/>
            <w:tcBorders>
              <w:top w:val="nil"/>
              <w:bottom w:val="nil"/>
            </w:tcBorders>
            <w:hideMark/>
          </w:tcPr>
          <w:p w14:paraId="0BAF1529"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22.</w:t>
            </w:r>
            <w:r w:rsidRPr="00695826">
              <w:rPr>
                <w:rFonts w:cs="Times New Roman"/>
                <w:kern w:val="2"/>
                <w:sz w:val="20"/>
                <w:szCs w:val="20"/>
                <w:lang/>
              </w:rPr>
              <w:t>4</w:t>
            </w:r>
          </w:p>
        </w:tc>
        <w:tc>
          <w:tcPr>
            <w:tcW w:w="394" w:type="pct"/>
            <w:tcBorders>
              <w:top w:val="nil"/>
              <w:bottom w:val="nil"/>
            </w:tcBorders>
            <w:hideMark/>
          </w:tcPr>
          <w:p w14:paraId="56CB6E21"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0</w:t>
            </w:r>
          </w:p>
        </w:tc>
        <w:tc>
          <w:tcPr>
            <w:tcW w:w="472" w:type="pct"/>
            <w:tcBorders>
              <w:top w:val="nil"/>
              <w:bottom w:val="nil"/>
            </w:tcBorders>
            <w:hideMark/>
          </w:tcPr>
          <w:p w14:paraId="554CD695"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3575</w:t>
            </w:r>
          </w:p>
        </w:tc>
      </w:tr>
      <w:tr w:rsidR="0057442E" w:rsidRPr="00695826" w14:paraId="52E0B690" w14:textId="77777777" w:rsidTr="0082071D">
        <w:tblPrEx>
          <w:tblBorders>
            <w:top w:val="single" w:sz="4" w:space="0" w:color="auto"/>
            <w:bottom w:val="single" w:sz="4" w:space="0" w:color="auto"/>
          </w:tblBorders>
        </w:tblPrEx>
        <w:tc>
          <w:tcPr>
            <w:tcW w:w="1358" w:type="pct"/>
            <w:vMerge/>
            <w:tcBorders>
              <w:top w:val="nil"/>
              <w:bottom w:val="nil"/>
            </w:tcBorders>
          </w:tcPr>
          <w:p w14:paraId="0D8ED40B" w14:textId="77777777" w:rsidR="00CD4846" w:rsidRPr="00695826" w:rsidRDefault="00CD4846" w:rsidP="00695826">
            <w:pPr>
              <w:spacing w:line="240" w:lineRule="auto"/>
              <w:rPr>
                <w:rFonts w:cs="Times New Roman"/>
                <w:kern w:val="2"/>
                <w:sz w:val="20"/>
                <w:szCs w:val="20"/>
                <w:lang/>
              </w:rPr>
            </w:pPr>
          </w:p>
        </w:tc>
        <w:tc>
          <w:tcPr>
            <w:tcW w:w="1819" w:type="pct"/>
            <w:tcBorders>
              <w:top w:val="nil"/>
              <w:bottom w:val="nil"/>
            </w:tcBorders>
            <w:hideMark/>
          </w:tcPr>
          <w:p w14:paraId="3B696D0F"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I</w:t>
            </w:r>
            <w:r w:rsidRPr="00695826">
              <w:rPr>
                <w:rFonts w:cs="Times New Roman"/>
                <w:kern w:val="2"/>
                <w:sz w:val="20"/>
                <w:szCs w:val="20"/>
                <w:lang/>
              </w:rPr>
              <w:t>ntra</w:t>
            </w:r>
            <w:r w:rsidRPr="00695826">
              <w:rPr>
                <w:rFonts w:cs="Times New Roman"/>
                <w:kern w:val="2"/>
                <w:sz w:val="20"/>
                <w:szCs w:val="20"/>
                <w:lang/>
              </w:rPr>
              <w:t>-S</w:t>
            </w:r>
            <w:r w:rsidRPr="00695826">
              <w:rPr>
                <w:rFonts w:cs="Times New Roman"/>
                <w:kern w:val="2"/>
                <w:sz w:val="20"/>
                <w:szCs w:val="20"/>
                <w:lang/>
              </w:rPr>
              <w:t>tat</w:t>
            </w:r>
            <w:r w:rsidRPr="00695826">
              <w:rPr>
                <w:rFonts w:cs="Times New Roman"/>
                <w:kern w:val="2"/>
                <w:sz w:val="20"/>
                <w:szCs w:val="20"/>
                <w:lang/>
              </w:rPr>
              <w:t>e O</w:t>
            </w:r>
            <w:r w:rsidRPr="00695826">
              <w:rPr>
                <w:rFonts w:cs="Times New Roman"/>
                <w:kern w:val="2"/>
                <w:sz w:val="20"/>
                <w:szCs w:val="20"/>
                <w:lang/>
              </w:rPr>
              <w:t xml:space="preserve">utward </w:t>
            </w:r>
            <w:r w:rsidRPr="00695826">
              <w:rPr>
                <w:rFonts w:cs="Times New Roman"/>
                <w:kern w:val="2"/>
                <w:sz w:val="20"/>
                <w:szCs w:val="20"/>
                <w:lang/>
              </w:rPr>
              <w:t>R</w:t>
            </w:r>
            <w:r w:rsidRPr="00695826">
              <w:rPr>
                <w:rFonts w:cs="Times New Roman"/>
                <w:kern w:val="2"/>
                <w:sz w:val="20"/>
                <w:szCs w:val="20"/>
                <w:lang/>
              </w:rPr>
              <w:t>elocation</w:t>
            </w:r>
            <w:r w:rsidRPr="00695826">
              <w:rPr>
                <w:rFonts w:cs="Times New Roman"/>
                <w:kern w:val="2"/>
                <w:sz w:val="20"/>
                <w:szCs w:val="20"/>
                <w:lang/>
              </w:rPr>
              <w:t>s</w:t>
            </w:r>
          </w:p>
        </w:tc>
        <w:tc>
          <w:tcPr>
            <w:tcW w:w="375" w:type="pct"/>
            <w:tcBorders>
              <w:top w:val="nil"/>
              <w:bottom w:val="nil"/>
            </w:tcBorders>
            <w:hideMark/>
          </w:tcPr>
          <w:p w14:paraId="5689A1BA"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.974</w:t>
            </w:r>
          </w:p>
        </w:tc>
        <w:tc>
          <w:tcPr>
            <w:tcW w:w="582" w:type="pct"/>
            <w:gridSpan w:val="2"/>
            <w:tcBorders>
              <w:top w:val="nil"/>
              <w:bottom w:val="nil"/>
            </w:tcBorders>
            <w:hideMark/>
          </w:tcPr>
          <w:p w14:paraId="790E4F22"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22.</w:t>
            </w:r>
            <w:r w:rsidRPr="00695826">
              <w:rPr>
                <w:rFonts w:cs="Times New Roman"/>
                <w:kern w:val="2"/>
                <w:sz w:val="20"/>
                <w:szCs w:val="20"/>
                <w:lang/>
              </w:rPr>
              <w:t>4</w:t>
            </w:r>
          </w:p>
        </w:tc>
        <w:tc>
          <w:tcPr>
            <w:tcW w:w="394" w:type="pct"/>
            <w:tcBorders>
              <w:top w:val="nil"/>
              <w:bottom w:val="nil"/>
            </w:tcBorders>
            <w:hideMark/>
          </w:tcPr>
          <w:p w14:paraId="34FEC124"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0</w:t>
            </w:r>
          </w:p>
        </w:tc>
        <w:tc>
          <w:tcPr>
            <w:tcW w:w="472" w:type="pct"/>
            <w:tcBorders>
              <w:top w:val="nil"/>
              <w:bottom w:val="nil"/>
            </w:tcBorders>
            <w:hideMark/>
          </w:tcPr>
          <w:p w14:paraId="2C444A3C" w14:textId="77777777" w:rsidR="00CD4846" w:rsidRPr="00695826" w:rsidRDefault="00CD4846" w:rsidP="00695826">
            <w:pPr>
              <w:spacing w:line="240" w:lineRule="auto"/>
              <w:rPr>
                <w:rFonts w:cs="Times New Roman"/>
                <w:kern w:val="2"/>
                <w:sz w:val="20"/>
                <w:szCs w:val="20"/>
                <w:lang/>
              </w:rPr>
            </w:pPr>
            <w:r w:rsidRPr="00695826">
              <w:rPr>
                <w:rFonts w:cs="Times New Roman"/>
                <w:kern w:val="2"/>
                <w:sz w:val="20"/>
                <w:szCs w:val="20"/>
                <w:lang/>
              </w:rPr>
              <w:t>3574</w:t>
            </w:r>
          </w:p>
        </w:tc>
      </w:tr>
    </w:tbl>
    <w:p w14:paraId="3E8F3998" w14:textId="77777777" w:rsidR="003959BE" w:rsidRDefault="003959BE" w:rsidP="004C39A4">
      <w:pPr>
        <w:spacing w:line="240" w:lineRule="auto"/>
        <w:rPr>
          <w:b/>
          <w:bCs/>
        </w:rPr>
      </w:pPr>
    </w:p>
    <w:p w14:paraId="23BFCB81" w14:textId="77777777" w:rsidR="003959BE" w:rsidRDefault="003959BE" w:rsidP="004C39A4">
      <w:pPr>
        <w:spacing w:line="240" w:lineRule="auto"/>
        <w:rPr>
          <w:b/>
          <w:bCs/>
        </w:rPr>
      </w:pPr>
    </w:p>
    <w:p w14:paraId="56456792" w14:textId="77777777" w:rsidR="003959BE" w:rsidRDefault="003959BE" w:rsidP="004C39A4">
      <w:pPr>
        <w:spacing w:line="240" w:lineRule="auto"/>
        <w:rPr>
          <w:b/>
          <w:bCs/>
        </w:rPr>
      </w:pPr>
    </w:p>
    <w:p w14:paraId="714CF645" w14:textId="77777777" w:rsidR="003959BE" w:rsidRDefault="003959BE" w:rsidP="004C39A4">
      <w:pPr>
        <w:spacing w:line="240" w:lineRule="auto"/>
        <w:rPr>
          <w:b/>
          <w:bCs/>
        </w:rPr>
      </w:pPr>
    </w:p>
    <w:p w14:paraId="449AA436" w14:textId="3FA32847" w:rsidR="00554AB3" w:rsidRPr="00554AB3" w:rsidRDefault="00554AB3" w:rsidP="004C39A4">
      <w:pPr>
        <w:spacing w:line="240" w:lineRule="auto"/>
        <w:rPr>
          <w:b/>
          <w:bCs/>
        </w:rPr>
      </w:pPr>
      <w:r w:rsidRPr="00554AB3">
        <w:rPr>
          <w:b/>
          <w:bCs/>
        </w:rPr>
        <w:lastRenderedPageBreak/>
        <w:t>Table A29 Continued</w:t>
      </w:r>
    </w:p>
    <w:tbl>
      <w:tblPr>
        <w:tblW w:w="5000" w:type="pct"/>
        <w:tblBorders>
          <w:top w:val="single" w:sz="4" w:space="0" w:color="auto"/>
          <w:bottom w:val="single" w:sz="4" w:space="0" w:color="auto"/>
        </w:tblBorders>
        <w:tblLook w:val="04A0" w:firstRow="1" w:lastRow="0" w:firstColumn="1" w:lastColumn="0" w:noHBand="0" w:noVBand="1"/>
      </w:tblPr>
      <w:tblGrid>
        <w:gridCol w:w="2579"/>
        <w:gridCol w:w="3349"/>
        <w:gridCol w:w="706"/>
        <w:gridCol w:w="1106"/>
        <w:gridCol w:w="738"/>
        <w:gridCol w:w="882"/>
      </w:tblGrid>
      <w:tr w:rsidR="00554AB3" w:rsidRPr="00CD4846" w14:paraId="5AC8A8D1" w14:textId="77777777" w:rsidTr="0082071D">
        <w:tc>
          <w:tcPr>
            <w:tcW w:w="1378" w:type="pct"/>
            <w:tcBorders>
              <w:top w:val="single" w:sz="4" w:space="0" w:color="auto"/>
              <w:bottom w:val="single" w:sz="4" w:space="0" w:color="auto"/>
            </w:tcBorders>
          </w:tcPr>
          <w:p w14:paraId="40EB215D" w14:textId="2CBF0900" w:rsidR="00554AB3" w:rsidRPr="00CD4846" w:rsidRDefault="00554AB3" w:rsidP="0082071D">
            <w:pPr>
              <w:spacing w:line="240" w:lineRule="auto"/>
              <w:rPr>
                <w:rFonts w:ascii="Garamond" w:hAnsi="Garamond" w:cs="Times New Roman"/>
                <w:kern w:val="2"/>
                <w:sz w:val="20"/>
                <w:szCs w:val="20"/>
                <w:lang/>
              </w:rPr>
            </w:pPr>
            <w:r w:rsidRPr="00CD4846">
              <w:rPr>
                <w:rFonts w:ascii="Garamond" w:hAnsi="Garamond" w:cs="Times New Roman"/>
                <w:b/>
                <w:bCs/>
                <w:kern w:val="2"/>
                <w:sz w:val="20"/>
                <w:szCs w:val="20"/>
                <w:lang/>
              </w:rPr>
              <w:t>NAICS Sector</w:t>
            </w:r>
          </w:p>
        </w:tc>
        <w:tc>
          <w:tcPr>
            <w:tcW w:w="1789" w:type="pct"/>
            <w:tcBorders>
              <w:top w:val="single" w:sz="4" w:space="0" w:color="auto"/>
              <w:bottom w:val="single" w:sz="4" w:space="0" w:color="auto"/>
            </w:tcBorders>
          </w:tcPr>
          <w:p w14:paraId="176BC222" w14:textId="37C91998" w:rsidR="00554AB3" w:rsidRPr="00CD4846" w:rsidRDefault="00554AB3" w:rsidP="0082071D">
            <w:pPr>
              <w:spacing w:line="240" w:lineRule="auto"/>
              <w:rPr>
                <w:rFonts w:ascii="Garamond" w:hAnsi="Garamond" w:cs="Times New Roman"/>
                <w:kern w:val="2"/>
                <w:sz w:val="20"/>
                <w:szCs w:val="20"/>
                <w:lang/>
              </w:rPr>
            </w:pPr>
            <w:r w:rsidRPr="00CD4846">
              <w:rPr>
                <w:rFonts w:ascii="Garamond" w:hAnsi="Garamond" w:cs="Times New Roman"/>
                <w:b/>
                <w:bCs/>
                <w:kern w:val="2"/>
                <w:sz w:val="20"/>
                <w:szCs w:val="20"/>
                <w:lang/>
              </w:rPr>
              <w:t>Variables</w:t>
            </w:r>
          </w:p>
        </w:tc>
        <w:tc>
          <w:tcPr>
            <w:tcW w:w="377" w:type="pct"/>
            <w:tcBorders>
              <w:top w:val="single" w:sz="4" w:space="0" w:color="auto"/>
              <w:bottom w:val="single" w:sz="4" w:space="0" w:color="auto"/>
            </w:tcBorders>
          </w:tcPr>
          <w:p w14:paraId="1C03418F" w14:textId="38E7B8D5" w:rsidR="00554AB3" w:rsidRPr="00CD4846" w:rsidRDefault="00554AB3" w:rsidP="0082071D">
            <w:pPr>
              <w:spacing w:line="240" w:lineRule="auto"/>
              <w:rPr>
                <w:rFonts w:ascii="Garamond" w:hAnsi="Garamond" w:cs="Times New Roman"/>
                <w:kern w:val="2"/>
                <w:sz w:val="20"/>
                <w:lang/>
              </w:rPr>
            </w:pPr>
            <w:r w:rsidRPr="00CD4846">
              <w:rPr>
                <w:rFonts w:ascii="Garamond" w:hAnsi="Garamond" w:cs="Times New Roman"/>
                <w:b/>
                <w:bCs/>
                <w:kern w:val="2"/>
                <w:sz w:val="20"/>
                <w:szCs w:val="20"/>
                <w:lang/>
              </w:rPr>
              <w:t>Mean</w:t>
            </w:r>
          </w:p>
        </w:tc>
        <w:tc>
          <w:tcPr>
            <w:tcW w:w="591" w:type="pct"/>
            <w:tcBorders>
              <w:top w:val="single" w:sz="4" w:space="0" w:color="auto"/>
              <w:bottom w:val="single" w:sz="4" w:space="0" w:color="auto"/>
            </w:tcBorders>
          </w:tcPr>
          <w:p w14:paraId="43F6CF0F" w14:textId="2CAA8A56" w:rsidR="00554AB3" w:rsidRPr="00CD4846" w:rsidRDefault="00554AB3" w:rsidP="0082071D">
            <w:pPr>
              <w:spacing w:line="240" w:lineRule="auto"/>
              <w:rPr>
                <w:rFonts w:ascii="Garamond" w:hAnsi="Garamond" w:cs="Times New Roman"/>
                <w:kern w:val="2"/>
                <w:sz w:val="20"/>
                <w:lang/>
              </w:rPr>
            </w:pPr>
            <w:r w:rsidRPr="00CD4846">
              <w:rPr>
                <w:rFonts w:ascii="Garamond" w:hAnsi="Garamond" w:cs="Times New Roman"/>
                <w:b/>
                <w:bCs/>
                <w:kern w:val="2"/>
                <w:sz w:val="20"/>
                <w:szCs w:val="20"/>
                <w:lang/>
              </w:rPr>
              <w:t>SD</w:t>
            </w:r>
          </w:p>
        </w:tc>
        <w:tc>
          <w:tcPr>
            <w:tcW w:w="394" w:type="pct"/>
            <w:tcBorders>
              <w:top w:val="single" w:sz="4" w:space="0" w:color="auto"/>
              <w:bottom w:val="single" w:sz="4" w:space="0" w:color="auto"/>
            </w:tcBorders>
          </w:tcPr>
          <w:p w14:paraId="6E72508F" w14:textId="2589DF9C" w:rsidR="00554AB3" w:rsidRPr="00CD4846" w:rsidRDefault="00554AB3" w:rsidP="0082071D">
            <w:pPr>
              <w:spacing w:line="240" w:lineRule="auto"/>
              <w:rPr>
                <w:rFonts w:ascii="Garamond" w:hAnsi="Garamond" w:cs="Times New Roman"/>
                <w:kern w:val="2"/>
                <w:sz w:val="20"/>
                <w:lang/>
              </w:rPr>
            </w:pPr>
            <w:r w:rsidRPr="00CD4846">
              <w:rPr>
                <w:rFonts w:ascii="Garamond" w:hAnsi="Garamond" w:cs="Times New Roman"/>
                <w:b/>
                <w:bCs/>
                <w:kern w:val="2"/>
                <w:sz w:val="20"/>
                <w:szCs w:val="20"/>
                <w:lang/>
              </w:rPr>
              <w:t>Min</w:t>
            </w:r>
          </w:p>
        </w:tc>
        <w:tc>
          <w:tcPr>
            <w:tcW w:w="471" w:type="pct"/>
            <w:tcBorders>
              <w:top w:val="single" w:sz="4" w:space="0" w:color="auto"/>
              <w:bottom w:val="single" w:sz="4" w:space="0" w:color="auto"/>
            </w:tcBorders>
          </w:tcPr>
          <w:p w14:paraId="32895D2F" w14:textId="35541965" w:rsidR="00554AB3" w:rsidRPr="00CD4846" w:rsidRDefault="00554AB3" w:rsidP="0082071D">
            <w:pPr>
              <w:spacing w:line="240" w:lineRule="auto"/>
              <w:rPr>
                <w:rFonts w:ascii="Garamond" w:hAnsi="Garamond" w:cs="Times New Roman"/>
                <w:kern w:val="2"/>
                <w:sz w:val="20"/>
                <w:lang/>
              </w:rPr>
            </w:pPr>
            <w:r w:rsidRPr="00CD4846">
              <w:rPr>
                <w:rFonts w:ascii="Garamond" w:hAnsi="Garamond" w:cs="Times New Roman"/>
                <w:b/>
                <w:bCs/>
                <w:kern w:val="2"/>
                <w:sz w:val="20"/>
                <w:szCs w:val="20"/>
                <w:lang/>
              </w:rPr>
              <w:t>Max</w:t>
            </w:r>
          </w:p>
        </w:tc>
      </w:tr>
      <w:tr w:rsidR="001D05EE" w:rsidRPr="00CD4846" w14:paraId="5D70253F" w14:textId="77777777" w:rsidTr="0082071D">
        <w:tc>
          <w:tcPr>
            <w:tcW w:w="1378" w:type="pct"/>
            <w:tcBorders>
              <w:top w:val="single" w:sz="4" w:space="0" w:color="auto"/>
              <w:bottom w:val="nil"/>
            </w:tcBorders>
          </w:tcPr>
          <w:p w14:paraId="07A15BD9" w14:textId="77777777" w:rsidR="001D05EE" w:rsidRPr="00CD4846" w:rsidRDefault="001D05EE" w:rsidP="001D05EE">
            <w:pPr>
              <w:spacing w:line="240" w:lineRule="auto"/>
              <w:rPr>
                <w:rFonts w:ascii="Garamond" w:hAnsi="Garamond" w:cs="Times New Roman"/>
                <w:kern w:val="2"/>
                <w:sz w:val="20"/>
                <w:szCs w:val="20"/>
                <w:lang/>
              </w:rPr>
            </w:pPr>
          </w:p>
        </w:tc>
        <w:tc>
          <w:tcPr>
            <w:tcW w:w="1789" w:type="pct"/>
            <w:tcBorders>
              <w:top w:val="single" w:sz="4" w:space="0" w:color="auto"/>
              <w:bottom w:val="nil"/>
            </w:tcBorders>
          </w:tcPr>
          <w:p w14:paraId="544D58D7" w14:textId="6FDCE2AC" w:rsidR="001D05EE" w:rsidRPr="00CD4846" w:rsidRDefault="001D05EE" w:rsidP="001D05EE">
            <w:pPr>
              <w:spacing w:line="240" w:lineRule="auto"/>
              <w:rPr>
                <w:rFonts w:ascii="Garamond" w:hAnsi="Garamond" w:cs="Times New Roman"/>
                <w:kern w:val="2"/>
                <w:sz w:val="20"/>
                <w:szCs w:val="20"/>
                <w:lang/>
              </w:rPr>
            </w:pPr>
            <w:r w:rsidRPr="00695826">
              <w:rPr>
                <w:rFonts w:cs="Times New Roman"/>
                <w:kern w:val="2"/>
                <w:sz w:val="20"/>
                <w:szCs w:val="20"/>
                <w:lang/>
              </w:rPr>
              <w:t>I</w:t>
            </w:r>
            <w:r w:rsidRPr="00695826">
              <w:rPr>
                <w:rFonts w:cs="Times New Roman"/>
                <w:kern w:val="2"/>
                <w:sz w:val="20"/>
                <w:szCs w:val="20"/>
                <w:lang/>
              </w:rPr>
              <w:t>nter-</w:t>
            </w:r>
            <w:r w:rsidRPr="00695826">
              <w:rPr>
                <w:rFonts w:cs="Times New Roman"/>
                <w:kern w:val="2"/>
                <w:sz w:val="20"/>
                <w:szCs w:val="20"/>
                <w:lang/>
              </w:rPr>
              <w:t>S</w:t>
            </w:r>
            <w:r w:rsidRPr="00695826">
              <w:rPr>
                <w:rFonts w:cs="Times New Roman"/>
                <w:kern w:val="2"/>
                <w:sz w:val="20"/>
                <w:szCs w:val="20"/>
                <w:lang/>
              </w:rPr>
              <w:t>tat</w:t>
            </w:r>
            <w:r w:rsidRPr="00695826">
              <w:rPr>
                <w:rFonts w:cs="Times New Roman"/>
                <w:kern w:val="2"/>
                <w:sz w:val="20"/>
                <w:szCs w:val="20"/>
                <w:lang/>
              </w:rPr>
              <w:t>e O</w:t>
            </w:r>
            <w:r w:rsidRPr="00695826">
              <w:rPr>
                <w:rFonts w:cs="Times New Roman"/>
                <w:kern w:val="2"/>
                <w:sz w:val="20"/>
                <w:szCs w:val="20"/>
                <w:lang/>
              </w:rPr>
              <w:t xml:space="preserve">utward </w:t>
            </w:r>
            <w:r w:rsidRPr="00695826">
              <w:rPr>
                <w:rFonts w:cs="Times New Roman"/>
                <w:kern w:val="2"/>
                <w:sz w:val="20"/>
                <w:szCs w:val="20"/>
                <w:lang/>
              </w:rPr>
              <w:t>R</w:t>
            </w:r>
            <w:r w:rsidRPr="00695826">
              <w:rPr>
                <w:rFonts w:cs="Times New Roman"/>
                <w:kern w:val="2"/>
                <w:sz w:val="20"/>
                <w:szCs w:val="20"/>
                <w:lang/>
              </w:rPr>
              <w:t>elocation</w:t>
            </w:r>
            <w:r w:rsidRPr="00695826">
              <w:rPr>
                <w:rFonts w:cs="Times New Roman"/>
                <w:kern w:val="2"/>
                <w:sz w:val="20"/>
                <w:szCs w:val="20"/>
                <w:lang/>
              </w:rPr>
              <w:t>s</w:t>
            </w:r>
          </w:p>
        </w:tc>
        <w:tc>
          <w:tcPr>
            <w:tcW w:w="377" w:type="pct"/>
            <w:tcBorders>
              <w:top w:val="single" w:sz="4" w:space="0" w:color="auto"/>
              <w:bottom w:val="nil"/>
            </w:tcBorders>
          </w:tcPr>
          <w:p w14:paraId="3656151C" w14:textId="07F0E303" w:rsidR="001D05EE" w:rsidRPr="00CD4846" w:rsidRDefault="001D05EE" w:rsidP="001D05EE">
            <w:pPr>
              <w:spacing w:line="240" w:lineRule="auto"/>
              <w:rPr>
                <w:rFonts w:ascii="Garamond" w:hAnsi="Garamond" w:cs="Times New Roman"/>
                <w:kern w:val="2"/>
                <w:sz w:val="20"/>
                <w:lang/>
              </w:rPr>
            </w:pPr>
            <w:r w:rsidRPr="00695826">
              <w:rPr>
                <w:rFonts w:cs="Times New Roman"/>
                <w:kern w:val="2"/>
                <w:sz w:val="20"/>
                <w:szCs w:val="20"/>
                <w:lang/>
              </w:rPr>
              <w:t>.04</w:t>
            </w:r>
          </w:p>
        </w:tc>
        <w:tc>
          <w:tcPr>
            <w:tcW w:w="591" w:type="pct"/>
            <w:tcBorders>
              <w:top w:val="single" w:sz="4" w:space="0" w:color="auto"/>
              <w:bottom w:val="nil"/>
            </w:tcBorders>
          </w:tcPr>
          <w:p w14:paraId="1F74A752" w14:textId="3F41ADC0" w:rsidR="001D05EE" w:rsidRPr="00CD4846" w:rsidRDefault="001D05EE" w:rsidP="001D05EE">
            <w:pPr>
              <w:spacing w:line="240" w:lineRule="auto"/>
              <w:rPr>
                <w:rFonts w:ascii="Garamond" w:hAnsi="Garamond" w:cs="Times New Roman"/>
                <w:kern w:val="2"/>
                <w:sz w:val="20"/>
                <w:lang/>
              </w:rPr>
            </w:pPr>
            <w:r w:rsidRPr="00695826">
              <w:rPr>
                <w:rFonts w:cs="Times New Roman"/>
                <w:kern w:val="2"/>
                <w:sz w:val="20"/>
                <w:szCs w:val="20"/>
                <w:lang/>
              </w:rPr>
              <w:t>.318</w:t>
            </w:r>
          </w:p>
        </w:tc>
        <w:tc>
          <w:tcPr>
            <w:tcW w:w="394" w:type="pct"/>
            <w:tcBorders>
              <w:top w:val="single" w:sz="4" w:space="0" w:color="auto"/>
              <w:bottom w:val="nil"/>
            </w:tcBorders>
          </w:tcPr>
          <w:p w14:paraId="5943A797" w14:textId="55B3796A" w:rsidR="001D05EE" w:rsidRPr="00CD4846" w:rsidRDefault="001D05EE" w:rsidP="001D05EE">
            <w:pPr>
              <w:spacing w:line="240" w:lineRule="auto"/>
              <w:rPr>
                <w:rFonts w:ascii="Garamond" w:hAnsi="Garamond" w:cs="Times New Roman"/>
                <w:kern w:val="2"/>
                <w:sz w:val="20"/>
                <w:lang/>
              </w:rPr>
            </w:pPr>
            <w:r w:rsidRPr="00695826">
              <w:rPr>
                <w:rFonts w:cs="Times New Roman"/>
                <w:kern w:val="2"/>
                <w:sz w:val="20"/>
                <w:szCs w:val="20"/>
                <w:lang/>
              </w:rPr>
              <w:t>0</w:t>
            </w:r>
          </w:p>
        </w:tc>
        <w:tc>
          <w:tcPr>
            <w:tcW w:w="471" w:type="pct"/>
            <w:tcBorders>
              <w:top w:val="single" w:sz="4" w:space="0" w:color="auto"/>
              <w:bottom w:val="nil"/>
            </w:tcBorders>
          </w:tcPr>
          <w:p w14:paraId="13812B8B" w14:textId="6145A91A" w:rsidR="001D05EE" w:rsidRPr="00CD4846" w:rsidRDefault="001D05EE" w:rsidP="001D05EE">
            <w:pPr>
              <w:spacing w:line="240" w:lineRule="auto"/>
              <w:rPr>
                <w:rFonts w:ascii="Garamond" w:hAnsi="Garamond" w:cs="Times New Roman"/>
                <w:kern w:val="2"/>
                <w:sz w:val="20"/>
                <w:lang/>
              </w:rPr>
            </w:pPr>
            <w:r w:rsidRPr="00695826">
              <w:rPr>
                <w:rFonts w:cs="Times New Roman"/>
                <w:kern w:val="2"/>
                <w:sz w:val="20"/>
                <w:szCs w:val="20"/>
                <w:lang/>
              </w:rPr>
              <w:t>40</w:t>
            </w:r>
          </w:p>
        </w:tc>
      </w:tr>
      <w:tr w:rsidR="001D05EE" w:rsidRPr="00CD4846" w14:paraId="27D58226" w14:textId="77777777" w:rsidTr="0082071D">
        <w:tc>
          <w:tcPr>
            <w:tcW w:w="1378" w:type="pct"/>
            <w:tcBorders>
              <w:top w:val="nil"/>
              <w:bottom w:val="single" w:sz="4" w:space="0" w:color="auto"/>
            </w:tcBorders>
          </w:tcPr>
          <w:p w14:paraId="7811A81D" w14:textId="77777777" w:rsidR="001D05EE" w:rsidRPr="00CD4846" w:rsidRDefault="001D05EE" w:rsidP="001D05EE">
            <w:pPr>
              <w:spacing w:line="240" w:lineRule="auto"/>
              <w:rPr>
                <w:rFonts w:ascii="Garamond" w:hAnsi="Garamond" w:cs="Times New Roman"/>
                <w:kern w:val="2"/>
                <w:sz w:val="20"/>
                <w:szCs w:val="20"/>
                <w:lang/>
              </w:rPr>
            </w:pPr>
          </w:p>
        </w:tc>
        <w:tc>
          <w:tcPr>
            <w:tcW w:w="1789" w:type="pct"/>
            <w:tcBorders>
              <w:top w:val="nil"/>
              <w:bottom w:val="single" w:sz="4" w:space="0" w:color="auto"/>
            </w:tcBorders>
            <w:hideMark/>
          </w:tcPr>
          <w:p w14:paraId="586B51FA" w14:textId="77777777" w:rsidR="001D05EE" w:rsidRPr="00CD4846" w:rsidRDefault="001D05EE" w:rsidP="001D05EE">
            <w:pPr>
              <w:spacing w:line="240" w:lineRule="auto"/>
              <w:rPr>
                <w:rFonts w:ascii="Garamond" w:hAnsi="Garamond" w:cs="Times New Roman"/>
                <w:kern w:val="2"/>
                <w:sz w:val="20"/>
                <w:szCs w:val="20"/>
                <w:lang/>
              </w:rPr>
            </w:pPr>
            <w:r w:rsidRPr="00CD4846">
              <w:rPr>
                <w:rFonts w:ascii="Garamond" w:hAnsi="Garamond" w:cs="Times New Roman"/>
                <w:kern w:val="2"/>
                <w:sz w:val="20"/>
                <w:szCs w:val="20"/>
                <w:lang/>
              </w:rPr>
              <w:t>Total E</w:t>
            </w:r>
            <w:r w:rsidRPr="00CD4846">
              <w:rPr>
                <w:rFonts w:ascii="Garamond" w:hAnsi="Garamond" w:cs="Times New Roman"/>
                <w:kern w:val="2"/>
                <w:sz w:val="20"/>
                <w:szCs w:val="20"/>
                <w:lang/>
              </w:rPr>
              <w:t>xits</w:t>
            </w:r>
          </w:p>
        </w:tc>
        <w:tc>
          <w:tcPr>
            <w:tcW w:w="377" w:type="pct"/>
            <w:tcBorders>
              <w:top w:val="nil"/>
              <w:bottom w:val="single" w:sz="4" w:space="0" w:color="auto"/>
            </w:tcBorders>
            <w:hideMark/>
          </w:tcPr>
          <w:p w14:paraId="2834BDF6" w14:textId="77777777" w:rsidR="001D05EE" w:rsidRPr="00CD4846" w:rsidRDefault="001D05EE" w:rsidP="001D05EE">
            <w:pPr>
              <w:spacing w:line="240" w:lineRule="auto"/>
              <w:rPr>
                <w:rFonts w:ascii="Garamond" w:hAnsi="Garamond" w:cs="Times New Roman"/>
                <w:kern w:val="2"/>
                <w:sz w:val="20"/>
                <w:szCs w:val="20"/>
                <w:lang/>
              </w:rPr>
            </w:pPr>
            <w:r w:rsidRPr="00CD4846">
              <w:rPr>
                <w:rFonts w:ascii="Garamond" w:hAnsi="Garamond" w:cs="Times New Roman"/>
                <w:kern w:val="2"/>
                <w:sz w:val="20"/>
                <w:lang/>
              </w:rPr>
              <w:t>31.3</w:t>
            </w:r>
          </w:p>
        </w:tc>
        <w:tc>
          <w:tcPr>
            <w:tcW w:w="591" w:type="pct"/>
            <w:tcBorders>
              <w:top w:val="nil"/>
              <w:bottom w:val="single" w:sz="4" w:space="0" w:color="auto"/>
            </w:tcBorders>
            <w:hideMark/>
          </w:tcPr>
          <w:p w14:paraId="0A684D8D" w14:textId="77777777" w:rsidR="001D05EE" w:rsidRPr="00CD4846" w:rsidRDefault="001D05EE" w:rsidP="001D05EE">
            <w:pPr>
              <w:spacing w:line="240" w:lineRule="auto"/>
              <w:rPr>
                <w:rFonts w:ascii="Garamond" w:hAnsi="Garamond" w:cs="Times New Roman"/>
                <w:kern w:val="2"/>
                <w:sz w:val="20"/>
                <w:szCs w:val="20"/>
                <w:lang/>
              </w:rPr>
            </w:pPr>
            <w:r w:rsidRPr="00CD4846">
              <w:rPr>
                <w:rFonts w:ascii="Garamond" w:hAnsi="Garamond" w:cs="Times New Roman"/>
                <w:kern w:val="2"/>
                <w:sz w:val="20"/>
                <w:lang/>
              </w:rPr>
              <w:t>14</w:t>
            </w:r>
            <w:r w:rsidRPr="00CD4846">
              <w:rPr>
                <w:rFonts w:ascii="Garamond" w:hAnsi="Garamond" w:cs="Times New Roman"/>
                <w:kern w:val="2"/>
                <w:sz w:val="20"/>
                <w:lang/>
              </w:rPr>
              <w:t>6</w:t>
            </w:r>
          </w:p>
        </w:tc>
        <w:tc>
          <w:tcPr>
            <w:tcW w:w="394" w:type="pct"/>
            <w:tcBorders>
              <w:top w:val="nil"/>
              <w:bottom w:val="single" w:sz="4" w:space="0" w:color="auto"/>
            </w:tcBorders>
            <w:hideMark/>
          </w:tcPr>
          <w:p w14:paraId="5E73E320" w14:textId="77777777" w:rsidR="001D05EE" w:rsidRPr="00CD4846" w:rsidRDefault="001D05EE" w:rsidP="001D05EE">
            <w:pPr>
              <w:spacing w:line="240" w:lineRule="auto"/>
              <w:rPr>
                <w:rFonts w:ascii="Garamond" w:hAnsi="Garamond" w:cs="Times New Roman"/>
                <w:kern w:val="2"/>
                <w:sz w:val="20"/>
                <w:szCs w:val="20"/>
                <w:lang/>
              </w:rPr>
            </w:pPr>
            <w:r w:rsidRPr="00CD4846">
              <w:rPr>
                <w:rFonts w:ascii="Garamond" w:hAnsi="Garamond" w:cs="Times New Roman"/>
                <w:kern w:val="2"/>
                <w:sz w:val="20"/>
                <w:lang/>
              </w:rPr>
              <w:t>0</w:t>
            </w:r>
          </w:p>
        </w:tc>
        <w:tc>
          <w:tcPr>
            <w:tcW w:w="471" w:type="pct"/>
            <w:tcBorders>
              <w:top w:val="nil"/>
              <w:bottom w:val="single" w:sz="4" w:space="0" w:color="auto"/>
            </w:tcBorders>
            <w:hideMark/>
          </w:tcPr>
          <w:p w14:paraId="1EDD38B7" w14:textId="77777777" w:rsidR="001D05EE" w:rsidRPr="00CD4846" w:rsidRDefault="001D05EE" w:rsidP="001D05EE">
            <w:pPr>
              <w:spacing w:line="240" w:lineRule="auto"/>
              <w:rPr>
                <w:rFonts w:ascii="Garamond" w:hAnsi="Garamond" w:cs="Times New Roman"/>
                <w:kern w:val="2"/>
                <w:sz w:val="20"/>
                <w:szCs w:val="20"/>
                <w:lang/>
              </w:rPr>
            </w:pPr>
            <w:r w:rsidRPr="00CD4846">
              <w:rPr>
                <w:rFonts w:ascii="Garamond" w:hAnsi="Garamond" w:cs="Times New Roman"/>
                <w:kern w:val="2"/>
                <w:sz w:val="20"/>
                <w:lang/>
              </w:rPr>
              <w:t>11862</w:t>
            </w:r>
          </w:p>
        </w:tc>
      </w:tr>
    </w:tbl>
    <w:p w14:paraId="1565DD5C" w14:textId="115B748E" w:rsidR="0057442E" w:rsidRDefault="00CD4846" w:rsidP="001D05EE">
      <w:pPr>
        <w:spacing w:line="240" w:lineRule="auto"/>
        <w:rPr>
          <w:sz w:val="20"/>
          <w:szCs w:val="20"/>
          <w:lang/>
        </w:rPr>
        <w:sectPr w:rsidR="0057442E" w:rsidSect="003959BE">
          <w:pgSz w:w="12240" w:h="15840" w:code="1"/>
          <w:pgMar w:top="1440" w:right="1440" w:bottom="1440" w:left="1440" w:header="720" w:footer="0" w:gutter="0"/>
          <w:cols w:space="720"/>
          <w:noEndnote/>
          <w:docGrid w:linePitch="360"/>
        </w:sectPr>
      </w:pPr>
      <w:r w:rsidRPr="0029191B">
        <w:rPr>
          <w:sz w:val="20"/>
          <w:szCs w:val="20"/>
          <w:lang/>
        </w:rPr>
        <w:t>T</w:t>
      </w:r>
      <w:r w:rsidRPr="0029191B">
        <w:rPr>
          <w:sz w:val="20"/>
          <w:szCs w:val="20"/>
          <w:lang/>
        </w:rPr>
        <w:t xml:space="preserve">able </w:t>
      </w:r>
      <w:r w:rsidRPr="0029191B">
        <w:rPr>
          <w:sz w:val="20"/>
          <w:szCs w:val="20"/>
          <w:lang/>
        </w:rPr>
        <w:t>A29</w:t>
      </w:r>
      <w:r w:rsidR="002A78A3">
        <w:rPr>
          <w:sz w:val="20"/>
          <w:szCs w:val="20"/>
          <w:lang/>
        </w:rPr>
        <w:t>:</w:t>
      </w:r>
      <w:r w:rsidRPr="0029191B">
        <w:rPr>
          <w:sz w:val="20"/>
          <w:szCs w:val="20"/>
          <w:lang/>
        </w:rPr>
        <w:t xml:space="preserve"> </w:t>
      </w:r>
      <w:r w:rsidR="002A78A3">
        <w:rPr>
          <w:sz w:val="20"/>
          <w:szCs w:val="20"/>
          <w:lang/>
        </w:rPr>
        <w:t>S</w:t>
      </w:r>
      <w:r w:rsidRPr="0029191B">
        <w:rPr>
          <w:sz w:val="20"/>
          <w:szCs w:val="20"/>
          <w:lang/>
        </w:rPr>
        <w:t>ummary statistics (mean, standard deviation, minimum, and maximum) for sector-specific outcome variables across individual LIS sectors (NAICS 11, 21, 22, and 23) and the representative non-LIS sector (NAICS 31–33). Outcome variables include establishment births, deaths, total entries and exits, and relocations (categorized as intra-state and inter-state, inward and outward). Sales volume is also included as a key economic indicator. These statistics summarize the variation in business location dynamics at the county level between 1998 and 2018, providing foundational context for econometric analysis.</w:t>
      </w:r>
    </w:p>
    <w:p w14:paraId="0B0DCA8A" w14:textId="47291FB5" w:rsidR="009F55A7" w:rsidRDefault="003E13FE" w:rsidP="003959BE">
      <w:pPr>
        <w:pStyle w:val="Heading1"/>
      </w:pPr>
      <w:bookmarkStart w:id="329" w:name="_Toc188379005"/>
      <w:r w:rsidRPr="003E13FE">
        <w:lastRenderedPageBreak/>
        <w:t>CHAPTER 2</w:t>
      </w:r>
      <w:r w:rsidR="004C39A4">
        <w:rPr>
          <w:lang w:val="en-US"/>
        </w:rPr>
        <w:t xml:space="preserve">: </w:t>
      </w:r>
      <w:r w:rsidR="009F55A7" w:rsidRPr="003E13FE">
        <w:t>NAVIGATING THE INFERNO</w:t>
      </w:r>
      <w:bookmarkEnd w:id="329"/>
    </w:p>
    <w:p w14:paraId="0EC56234" w14:textId="38288773" w:rsidR="00CE3A3E" w:rsidRPr="003E13FE" w:rsidRDefault="009F55A7" w:rsidP="003959BE">
      <w:pPr>
        <w:jc w:val="center"/>
        <w:rPr>
          <w:b/>
          <w:bCs/>
        </w:rPr>
      </w:pPr>
      <w:r w:rsidRPr="009F55A7">
        <w:rPr>
          <w:b/>
          <w:bCs/>
        </w:rPr>
        <w:t>UNDERSTANDING THE ECONOMIC IMPACTS OF CALIFORNIA WILDFIRES: AN EMPIRICAL STUDY ON SECTOR-SPECIFIC INDUSTRIAL LOCATION CHOICES, ESTABLISHMENT PERFORMANCE AND LABOR MARKET OUTCOMES.</w:t>
      </w:r>
    </w:p>
    <w:p w14:paraId="0EC56235" w14:textId="77777777" w:rsidR="00F71ADC" w:rsidRPr="00525895" w:rsidRDefault="00CE3A3E" w:rsidP="004C39A4">
      <w:pPr>
        <w:rPr>
          <w:rFonts w:cs="Times New Roman"/>
        </w:rPr>
      </w:pPr>
      <w:r w:rsidRPr="00525895">
        <w:rPr>
          <w:rFonts w:cs="Times New Roman"/>
        </w:rPr>
        <w:br w:type="page"/>
      </w:r>
    </w:p>
    <w:p w14:paraId="367BB94A" w14:textId="77777777" w:rsidR="00D61046" w:rsidRPr="00D61046" w:rsidRDefault="00D61046" w:rsidP="00E4693E">
      <w:pPr>
        <w:pStyle w:val="Heading2"/>
      </w:pPr>
      <w:bookmarkStart w:id="330" w:name="_Toc187556285"/>
      <w:bookmarkStart w:id="331" w:name="_Toc188379006"/>
      <w:bookmarkStart w:id="332" w:name="_Toc289175842"/>
      <w:bookmarkStart w:id="333" w:name="_Toc175638327"/>
      <w:r w:rsidRPr="00D61046">
        <w:lastRenderedPageBreak/>
        <w:t>Abstract</w:t>
      </w:r>
      <w:bookmarkEnd w:id="330"/>
      <w:bookmarkEnd w:id="331"/>
    </w:p>
    <w:p w14:paraId="43802B91" w14:textId="77777777" w:rsidR="00D61046" w:rsidRPr="00D61046" w:rsidRDefault="00D61046" w:rsidP="009908F2">
      <w:pPr>
        <w:rPr>
          <w:rFonts w:eastAsia="Calibri" w:cs="Times New Roman"/>
        </w:rPr>
      </w:pPr>
      <w:r w:rsidRPr="00D61046">
        <w:rPr>
          <w:rFonts w:eastAsia="Calibri" w:cs="Times New Roman"/>
        </w:rPr>
        <w:t>Wildfires, escalating in frequency and intensity, pose significant economic challenges to industries and regional development. This study examines the impacts of wildfire frequency (annual fire count) and intensity (proportion of county area burned) on establishment dynamics, employment, and sales performance across land-intensive sectors (LIS)—including Agriculture, Mining, Utilities, and Construction—and the Manufacturing sector in California from 1998 to 2018. Using establishment-level data aggregated at the county level and wildfire exposure metrics, we employ a Poisson Pseudo-Maximum Likelihood (PPML) regression model with high-dimensional fixed effects to estimate the nonlinear effects of wildfire risks.</w:t>
      </w:r>
    </w:p>
    <w:p w14:paraId="271431CB" w14:textId="77777777" w:rsidR="00D61046" w:rsidRPr="00D61046" w:rsidRDefault="00D61046" w:rsidP="009908F2">
      <w:pPr>
        <w:rPr>
          <w:rFonts w:eastAsia="Calibri" w:cs="Times New Roman"/>
        </w:rPr>
      </w:pPr>
      <w:r w:rsidRPr="00D61046">
        <w:rPr>
          <w:rFonts w:eastAsia="Calibri" w:cs="Times New Roman"/>
        </w:rPr>
        <w:t>The results reveal that wildfire frequency increases establishment deaths (+0.94%) and outward relocations (+14%), destabilizing local economies. Wildfire intensity suppresses establishment births (-1.75%) but boosts sales performance in recovery-focused sectors like Construction (+2.01%) and Utilities (+1.90%). Sectoral heterogeneity is evident: Agriculture experiences substantial declines in employment (-2.74%) and births due to its reliance on stable land conditions, while Manufacturing demonstrates resilience by leveraging recovery demand, despite production disruptions.</w:t>
      </w:r>
    </w:p>
    <w:p w14:paraId="73DFAF50" w14:textId="398D3603" w:rsidR="00D61046" w:rsidRPr="00525895" w:rsidRDefault="00D61046" w:rsidP="009908F2">
      <w:pPr>
        <w:rPr>
          <w:rFonts w:cs="Times New Roman"/>
          <w:b/>
          <w:bCs/>
          <w:iCs/>
        </w:rPr>
      </w:pPr>
      <w:r w:rsidRPr="00525895">
        <w:rPr>
          <w:rFonts w:eastAsia="Calibri" w:cs="Times New Roman"/>
        </w:rPr>
        <w:t>These findings underscore the dual nature of wildfire impacts, exposing vulnerabilities in land-dependent sectors while highlighting opportunities for recovery-oriented industries. This research advances understanding in disaster economics, industrial organization, and climate adaptation, offering actionable insights for enhancing economic resilience and supporting policy design in wildfire-prone regions.</w:t>
      </w:r>
    </w:p>
    <w:p w14:paraId="71ED60A2" w14:textId="0F060855" w:rsidR="00D61046" w:rsidRPr="00D61046" w:rsidRDefault="0057442E" w:rsidP="00E4693E">
      <w:pPr>
        <w:pStyle w:val="Heading2"/>
        <w:rPr>
          <w:lang/>
        </w:rPr>
      </w:pPr>
      <w:bookmarkStart w:id="334" w:name="_Toc188379007"/>
      <w:bookmarkEnd w:id="332"/>
      <w:bookmarkEnd w:id="333"/>
      <w:r>
        <w:lastRenderedPageBreak/>
        <w:t>2.</w:t>
      </w:r>
      <w:r w:rsidR="008B3DD3">
        <w:t xml:space="preserve">1 </w:t>
      </w:r>
      <w:bookmarkStart w:id="335" w:name="_Toc187556286"/>
      <w:r w:rsidR="00D61046" w:rsidRPr="00D61046">
        <w:t>Introduction</w:t>
      </w:r>
      <w:bookmarkEnd w:id="334"/>
      <w:bookmarkEnd w:id="335"/>
    </w:p>
    <w:p w14:paraId="3AA12B66" w14:textId="77777777" w:rsidR="00D61046" w:rsidRPr="00D61046" w:rsidRDefault="00D61046" w:rsidP="009908F2">
      <w:pPr>
        <w:rPr>
          <w:rFonts w:eastAsia="Calibri" w:cs="Times New Roman"/>
          <w:lang/>
        </w:rPr>
      </w:pPr>
      <w:r w:rsidRPr="00D61046">
        <w:rPr>
          <w:rFonts w:eastAsia="Calibri" w:cs="Times New Roman"/>
          <w:lang/>
        </w:rPr>
        <w:t>The economic consequences of natural disasters have garnered increasing attention due to climate change, which has intensified their frequency, scale, and unpredictability (Deryugina et al., 2018). While extensive research has explored the impacts of hurricanes, floods, and earthquakes on business dynamics and labor markets (Cavallo &amp; Noy, 2010; Kousky, 2014), the economic implications of wildfires remain underexplored. This gap is particularly critical as wildfires have become more frequent and severe, with California emerging as a global hotspot. Understanding how wildfires reshape local economies is essential for designing strategies to enhance resilience and adaptive capacity in vulnerable regions.</w:t>
      </w:r>
    </w:p>
    <w:p w14:paraId="540ACE55" w14:textId="77777777" w:rsidR="00D61046" w:rsidRPr="00D61046" w:rsidRDefault="00D61046" w:rsidP="009908F2">
      <w:pPr>
        <w:rPr>
          <w:rFonts w:eastAsia="Calibri" w:cs="Times New Roman"/>
          <w:lang/>
        </w:rPr>
      </w:pPr>
      <w:r w:rsidRPr="00D61046">
        <w:rPr>
          <w:rFonts w:eastAsia="Calibri" w:cs="Times New Roman"/>
          <w:lang/>
        </w:rPr>
        <w:t>This study investigates the economic impacts of wildfires in California from 1998 to 2018, analyzing how wildfire frequency (measured as annual fire count) and intensity (measured as the proportion of county land area burned by wildfires) affect establishment dynamics, employment, and sales performance. By incorporating both temporal and spatial dimensions of wildfire risks, the analysis provides a nuanced understanding of how recurring and severe wildfires disrupt local economies and catalyze sector-specific adaptation strategies.</w:t>
      </w:r>
    </w:p>
    <w:p w14:paraId="3D9A6A65" w14:textId="77777777" w:rsidR="00D61046" w:rsidRPr="00D61046" w:rsidRDefault="00D61046" w:rsidP="009908F2">
      <w:pPr>
        <w:rPr>
          <w:rFonts w:eastAsia="Calibri" w:cs="Times New Roman"/>
          <w:lang/>
        </w:rPr>
      </w:pPr>
      <w:r w:rsidRPr="00D61046">
        <w:rPr>
          <w:rFonts w:eastAsia="Calibri" w:cs="Times New Roman"/>
          <w:lang/>
        </w:rPr>
        <w:t>The study focuses on Land-Intensive Sectors (LIS), including Agriculture, Mining, Utilities, and Construction, alongside Manufacturing as a representative non-LIS sector. These sectors exhibit varying degrees of dependency on land, operational flexibility, and exposure to wildfire risks, making them ideal for analyzing the heterogeneity of wildfire impacts. Six key economic outcomes are assessed: establishment births, deaths, inward relocations, outward relocations, employment, and sales performance. These outcomes capture the broad spectrum of wildfire-</w:t>
      </w:r>
      <w:r w:rsidRPr="00D61046">
        <w:rPr>
          <w:rFonts w:eastAsia="Calibri" w:cs="Times New Roman"/>
          <w:lang/>
        </w:rPr>
        <w:lastRenderedPageBreak/>
        <w:t>induced disruptions, from business creation and closures to labor market stability and recovery-driven economic activity.</w:t>
      </w:r>
    </w:p>
    <w:p w14:paraId="67F08486" w14:textId="77777777" w:rsidR="00D61046" w:rsidRPr="00D61046" w:rsidRDefault="00D61046" w:rsidP="009908F2">
      <w:pPr>
        <w:rPr>
          <w:rFonts w:eastAsia="Calibri" w:cs="Times New Roman"/>
          <w:lang/>
        </w:rPr>
      </w:pPr>
      <w:r w:rsidRPr="00D61046">
        <w:rPr>
          <w:rFonts w:eastAsia="Calibri" w:cs="Times New Roman"/>
          <w:lang/>
        </w:rPr>
        <w:t>To achieve these objectives, this research utilizes a novel dataset combining wildfire metrics from the California Department of Forestry and Fire Protection (CAL FIRE) with socio-economic data from the U.S. Census Bureau and Bureau of Labor Statistics (BLS). Proprietary establishment-level data from Data Axle’s historical business dataset enhances the granularity of the analysis. The Poisson Pseudo-Maximum Likelihood (PPML) regression model with high-dimensional fixed effects</w:t>
      </w:r>
      <w:r w:rsidRPr="00D61046">
        <w:rPr>
          <w:rFonts w:eastAsia="Calibri" w:cs="Times New Roman"/>
        </w:rPr>
        <w:t xml:space="preserve"> (HDFE)</w:t>
      </w:r>
      <w:r w:rsidRPr="00D61046">
        <w:rPr>
          <w:rFonts w:eastAsia="Calibri" w:cs="Times New Roman"/>
          <w:lang/>
        </w:rPr>
        <w:t xml:space="preserve"> is employed to account for unobserved heterogeneity, ensuring robust and interpretable estimates of the economic impacts of wildfire frequency and intensity.</w:t>
      </w:r>
    </w:p>
    <w:p w14:paraId="1118EEBC" w14:textId="77777777" w:rsidR="00D61046" w:rsidRPr="00D61046" w:rsidRDefault="00D61046" w:rsidP="009908F2">
      <w:pPr>
        <w:rPr>
          <w:rFonts w:eastAsia="Calibri" w:cs="Times New Roman"/>
          <w:lang/>
        </w:rPr>
      </w:pPr>
      <w:r w:rsidRPr="00D61046">
        <w:rPr>
          <w:rFonts w:eastAsia="Calibri" w:cs="Times New Roman"/>
          <w:lang/>
        </w:rPr>
        <w:t>We define the marginal effects as a 100-fire increase in wildfire frequency and a 1% increase in county area burned. The findings reveal distinct and measurable economic impacts. For the aggregate LIS, a 100-fire increase raises establishment deaths by 0.94% and outward relocations by 14.0%, demonstrating the destabilizing effects of recurring wildfires. Simultaneously, a 1% increase in burned area reduces establishment births by 0.84% but boosts sales performance by 2.26%, driven by post-disaster reconstruction demand. Sectoral analyses highlight Agriculture’s acute vulnerability, with a 1% increase in burned area reducing births by 1.75% and a 100-fire increase cutting employment by 2</w:t>
      </w:r>
      <w:r w:rsidRPr="00D61046">
        <w:rPr>
          <w:rFonts w:eastAsia="Calibri" w:cs="Times New Roman"/>
        </w:rPr>
        <w:t>.</w:t>
      </w:r>
      <w:r w:rsidRPr="00D61046">
        <w:rPr>
          <w:rFonts w:eastAsia="Calibri" w:cs="Times New Roman"/>
          <w:lang/>
        </w:rPr>
        <w:t>74%. In contrast, Utilities and Construction exhibit resilience, benefiting from recovery-driven demand. Wildfire frequency raises Utilities’ employment by 4.09% and sales by 7</w:t>
      </w:r>
      <w:r w:rsidRPr="00D61046">
        <w:rPr>
          <w:rFonts w:eastAsia="Calibri" w:cs="Times New Roman"/>
        </w:rPr>
        <w:t>.</w:t>
      </w:r>
      <w:r w:rsidRPr="00D61046">
        <w:rPr>
          <w:rFonts w:eastAsia="Calibri" w:cs="Times New Roman"/>
          <w:lang/>
        </w:rPr>
        <w:t>3</w:t>
      </w:r>
      <w:r w:rsidRPr="00D61046">
        <w:rPr>
          <w:rFonts w:eastAsia="Calibri" w:cs="Times New Roman"/>
        </w:rPr>
        <w:t>1</w:t>
      </w:r>
      <w:r w:rsidRPr="00D61046">
        <w:rPr>
          <w:rFonts w:eastAsia="Calibri" w:cs="Times New Roman"/>
          <w:lang/>
        </w:rPr>
        <w:t xml:space="preserve">%, while intensity increases sales in Utilities (+1.90%) and Construction (+2.01%). Manufacturing, the sole non-LIS sector analyzed, reflects resilience in sales </w:t>
      </w:r>
      <w:r w:rsidRPr="00D61046">
        <w:rPr>
          <w:rFonts w:eastAsia="Calibri" w:cs="Times New Roman"/>
          <w:lang/>
        </w:rPr>
        <w:lastRenderedPageBreak/>
        <w:t>performance (+1.47% under wildfire intensity) but faces challenges such as employment declines (-0.34%).</w:t>
      </w:r>
    </w:p>
    <w:p w14:paraId="048B64E9" w14:textId="77777777" w:rsidR="00D61046" w:rsidRPr="00D61046" w:rsidRDefault="00D61046" w:rsidP="009908F2">
      <w:pPr>
        <w:rPr>
          <w:rFonts w:eastAsia="Calibri" w:cs="Times New Roman"/>
          <w:lang/>
        </w:rPr>
      </w:pPr>
      <w:r w:rsidRPr="00D61046">
        <w:rPr>
          <w:rFonts w:eastAsia="Calibri" w:cs="Times New Roman"/>
          <w:lang/>
        </w:rPr>
        <w:t>These results underscore the dual nature of wildfires: while recurring and severe wildfires disrupt business continuity and labor markets, they also create short-term recovery-driven opportunities in certain sectors. The pronounced vulnerability of Agriculture highlights the need for targeted climate adaptation policies, including land restoration and fire-resilient farming practices. Conversely, the resilience demonstrated by Utilities and Construction underscores their critical roles in stabilizing regional economies after wildfires.</w:t>
      </w:r>
    </w:p>
    <w:p w14:paraId="72AB047A" w14:textId="77777777" w:rsidR="00D61046" w:rsidRPr="00D61046" w:rsidRDefault="00D61046" w:rsidP="009908F2">
      <w:pPr>
        <w:rPr>
          <w:rFonts w:eastAsia="Calibri" w:cs="Times New Roman"/>
          <w:lang/>
        </w:rPr>
      </w:pPr>
      <w:r w:rsidRPr="00D61046">
        <w:rPr>
          <w:rFonts w:eastAsia="Calibri" w:cs="Times New Roman"/>
          <w:lang/>
        </w:rPr>
        <w:t>This study makes three major contributions to the literature. First, it advances disaster economics by isolating the differential impacts of wildfire frequency and intensity, capturing both their destructive and recovery-driven dimensions. Second, it enhances understanding of sectoral heterogeneity by linking resource dependencies, operational flexibility, and exposure to wildfire risks to sector-specific responses. Third, by including Manufacturing as a non-LIS comparison, the study broadens the scope of wildfire economics, demonstrating how less land-reliant sectors adapt to and recover from wildfire disruptions. Together, these contributions provide actionable insights for policymakers, including prioritizing investments in fire-resistant infrastructure, supporting recovery-focused sectors, and fostering climate resilience in wildfire-prone economies.</w:t>
      </w:r>
    </w:p>
    <w:p w14:paraId="25D7A140" w14:textId="30CD9824" w:rsidR="00D61046" w:rsidRPr="00D61046" w:rsidRDefault="0057442E" w:rsidP="004C39A4">
      <w:pPr>
        <w:pStyle w:val="Heading3"/>
      </w:pPr>
      <w:bookmarkStart w:id="336" w:name="_Toc187556287"/>
      <w:bookmarkStart w:id="337" w:name="_Toc188379008"/>
      <w:r>
        <w:rPr>
          <w:lang w:val="en-US"/>
        </w:rPr>
        <w:lastRenderedPageBreak/>
        <w:t>2.</w:t>
      </w:r>
      <w:r w:rsidR="00D61046" w:rsidRPr="00D61046">
        <w:t>1.1 Research Objectives, Research Questions, and Hypotheses</w:t>
      </w:r>
      <w:bookmarkEnd w:id="336"/>
      <w:bookmarkEnd w:id="337"/>
    </w:p>
    <w:p w14:paraId="5C51E180" w14:textId="25B20930" w:rsidR="00D61046" w:rsidRPr="00D61046" w:rsidRDefault="0057442E" w:rsidP="001953BB">
      <w:pPr>
        <w:pStyle w:val="Heading4"/>
      </w:pPr>
      <w:bookmarkStart w:id="338" w:name="_Toc187556288"/>
      <w:r>
        <w:t>2.</w:t>
      </w:r>
      <w:r w:rsidR="00D61046" w:rsidRPr="00D61046">
        <w:t>1.1.1 Research Objectives</w:t>
      </w:r>
      <w:bookmarkEnd w:id="338"/>
    </w:p>
    <w:p w14:paraId="4C44CFC1" w14:textId="77777777" w:rsidR="00D61046" w:rsidRPr="00D61046" w:rsidRDefault="00D61046" w:rsidP="009908F2">
      <w:pPr>
        <w:rPr>
          <w:rFonts w:eastAsia="Times New Roman" w:cs="Times New Roman"/>
          <w:lang/>
        </w:rPr>
      </w:pPr>
      <w:r w:rsidRPr="00D61046">
        <w:rPr>
          <w:rFonts w:eastAsia="Times New Roman" w:cs="Times New Roman"/>
          <w:lang/>
        </w:rPr>
        <w:t>The increasing frequency and intensity of wildfires in California present significant challenges for regional economies, particularly for land-intensive sectors (LIS) such as Agriculture (NAICS 11), Mining (NAICS 21), Utilities (NAICS 22), and Construction (NAICS 23). These sectors are heavily reliant on natural resources and physical land use, making them highly vulnerable to wildfire-induced disruptions. Together, these industries constitute the aggregate LIS, which is analyzed as a composite grouping to capture overarching trends, as well as in their individual sectors to uncover subsector-specific dynamics.</w:t>
      </w:r>
    </w:p>
    <w:p w14:paraId="06E2FA4E" w14:textId="77777777" w:rsidR="00D61046" w:rsidRPr="00D61046" w:rsidRDefault="00D61046" w:rsidP="009908F2">
      <w:pPr>
        <w:rPr>
          <w:rFonts w:eastAsia="Times New Roman" w:cs="Times New Roman"/>
          <w:lang/>
        </w:rPr>
      </w:pPr>
      <w:r w:rsidRPr="00D61046">
        <w:rPr>
          <w:rFonts w:eastAsia="Times New Roman" w:cs="Times New Roman"/>
          <w:lang/>
        </w:rPr>
        <w:t>In addition, this study includes Manufacturing (NAICS 31–33) as the non-LIS representative sector. Manufacturing, while less dependent on land, is critical for supply chains, labor-intensive production processes, and post-disaster recovery, providing a counterpoint to LIS in terms of resilience and adaptability to wildfire risks.</w:t>
      </w:r>
    </w:p>
    <w:p w14:paraId="4CA937FC" w14:textId="77777777" w:rsidR="00D61046" w:rsidRPr="00D61046" w:rsidRDefault="00D61046" w:rsidP="009908F2">
      <w:pPr>
        <w:rPr>
          <w:rFonts w:eastAsia="Times New Roman" w:cs="Times New Roman"/>
          <w:lang/>
        </w:rPr>
      </w:pPr>
      <w:r w:rsidRPr="00D61046">
        <w:rPr>
          <w:rFonts w:eastAsia="Times New Roman" w:cs="Times New Roman"/>
          <w:lang/>
        </w:rPr>
        <w:t xml:space="preserve">This study investigates the impacts of wildfire frequency (measured as the annual fire count) and intensity (measured as the annual </w:t>
      </w:r>
      <w:r w:rsidRPr="00D61046">
        <w:rPr>
          <w:rFonts w:eastAsia="Calibri" w:cs="Times New Roman"/>
        </w:rPr>
        <w:t>proportion</w:t>
      </w:r>
      <w:r w:rsidRPr="00D61046">
        <w:rPr>
          <w:rFonts w:eastAsia="Times New Roman" w:cs="Times New Roman"/>
          <w:lang/>
        </w:rPr>
        <w:t xml:space="preserve"> of county land area burned) on six key economic outcomes:</w:t>
      </w:r>
    </w:p>
    <w:p w14:paraId="12D59A7D" w14:textId="77777777" w:rsidR="00D61046" w:rsidRPr="00D61046" w:rsidRDefault="00D61046" w:rsidP="009908F2">
      <w:pPr>
        <w:rPr>
          <w:rFonts w:eastAsia="Times New Roman" w:cs="Times New Roman"/>
          <w:lang/>
        </w:rPr>
      </w:pPr>
      <w:r w:rsidRPr="00D61046">
        <w:rPr>
          <w:rFonts w:eastAsia="Times New Roman" w:cs="Times New Roman"/>
          <w:b/>
          <w:bCs/>
          <w:lang/>
        </w:rPr>
        <w:t>Establishment dynamics:</w:t>
      </w:r>
      <w:r w:rsidRPr="00D61046">
        <w:rPr>
          <w:rFonts w:eastAsia="Times New Roman" w:cs="Times New Roman"/>
          <w:lang/>
        </w:rPr>
        <w:t xml:space="preserve"> </w:t>
      </w:r>
      <w:r w:rsidRPr="00D61046">
        <w:rPr>
          <w:rFonts w:eastAsia="Times New Roman" w:cs="Times New Roman"/>
        </w:rPr>
        <w:t>B</w:t>
      </w:r>
      <w:r w:rsidRPr="00D61046">
        <w:rPr>
          <w:rFonts w:eastAsia="Times New Roman" w:cs="Times New Roman"/>
          <w:lang/>
        </w:rPr>
        <w:t>irths, deaths, inward relocations, and outward relocations.</w:t>
      </w:r>
    </w:p>
    <w:p w14:paraId="27945C04" w14:textId="77777777" w:rsidR="00D61046" w:rsidRPr="00D61046" w:rsidRDefault="00D61046" w:rsidP="009908F2">
      <w:pPr>
        <w:rPr>
          <w:rFonts w:eastAsia="Times New Roman" w:cs="Times New Roman"/>
          <w:lang/>
        </w:rPr>
      </w:pPr>
      <w:r w:rsidRPr="00D61046">
        <w:rPr>
          <w:rFonts w:eastAsia="Times New Roman" w:cs="Times New Roman"/>
          <w:b/>
          <w:bCs/>
          <w:lang/>
        </w:rPr>
        <w:t>Employment levels:</w:t>
      </w:r>
      <w:r w:rsidRPr="00D61046">
        <w:rPr>
          <w:rFonts w:eastAsia="Times New Roman" w:cs="Times New Roman"/>
          <w:lang/>
        </w:rPr>
        <w:t xml:space="preserve"> </w:t>
      </w:r>
      <w:r w:rsidRPr="00D61046">
        <w:rPr>
          <w:rFonts w:eastAsia="Times New Roman" w:cs="Times New Roman"/>
        </w:rPr>
        <w:t>L</w:t>
      </w:r>
      <w:r w:rsidRPr="00D61046">
        <w:rPr>
          <w:rFonts w:eastAsia="Times New Roman" w:cs="Times New Roman"/>
          <w:lang/>
        </w:rPr>
        <w:t>abor market stability and job losses.</w:t>
      </w:r>
    </w:p>
    <w:p w14:paraId="019ADE8C" w14:textId="77777777" w:rsidR="00D61046" w:rsidRPr="00D61046" w:rsidRDefault="00D61046" w:rsidP="009908F2">
      <w:pPr>
        <w:rPr>
          <w:rFonts w:eastAsia="Times New Roman" w:cs="Times New Roman"/>
          <w:lang/>
        </w:rPr>
      </w:pPr>
      <w:r w:rsidRPr="00D61046">
        <w:rPr>
          <w:rFonts w:eastAsia="Times New Roman" w:cs="Times New Roman"/>
          <w:b/>
          <w:bCs/>
          <w:lang/>
        </w:rPr>
        <w:t>Sales performance:</w:t>
      </w:r>
      <w:r w:rsidRPr="00D61046">
        <w:rPr>
          <w:rFonts w:eastAsia="Times New Roman" w:cs="Times New Roman"/>
          <w:lang/>
        </w:rPr>
        <w:t xml:space="preserve"> </w:t>
      </w:r>
      <w:r w:rsidRPr="00D61046">
        <w:rPr>
          <w:rFonts w:eastAsia="Times New Roman" w:cs="Times New Roman"/>
        </w:rPr>
        <w:t>B</w:t>
      </w:r>
      <w:r w:rsidRPr="00D61046">
        <w:rPr>
          <w:rFonts w:eastAsia="Times New Roman" w:cs="Times New Roman"/>
          <w:lang/>
        </w:rPr>
        <w:t>usiness revenue and market activity.</w:t>
      </w:r>
    </w:p>
    <w:p w14:paraId="2D585336" w14:textId="77777777" w:rsidR="00D61046" w:rsidRPr="00D61046" w:rsidRDefault="00D61046" w:rsidP="009908F2">
      <w:pPr>
        <w:rPr>
          <w:rFonts w:eastAsia="Times New Roman" w:cs="Times New Roman"/>
          <w:lang/>
        </w:rPr>
      </w:pPr>
      <w:r w:rsidRPr="00D61046">
        <w:rPr>
          <w:rFonts w:eastAsia="Times New Roman" w:cs="Times New Roman"/>
          <w:lang/>
        </w:rPr>
        <w:t xml:space="preserve">By focusing on the aggregate LIS, its individual subsectors, and Manufacturing, this study captures a comprehensive view of how wildfires reshape business activity, labor market </w:t>
      </w:r>
      <w:r w:rsidRPr="00D61046">
        <w:rPr>
          <w:rFonts w:eastAsia="Times New Roman" w:cs="Times New Roman"/>
          <w:lang/>
        </w:rPr>
        <w:lastRenderedPageBreak/>
        <w:t>dynamics, and revenue streams across vulnerable and resilient industries. These insights aim to inform evidence-based policies to mitigate economic risks, stabilize at-risk industries, and foster regional resilience.</w:t>
      </w:r>
    </w:p>
    <w:p w14:paraId="307D1ADB" w14:textId="27AF70A9" w:rsidR="00D61046" w:rsidRPr="00D61046" w:rsidRDefault="0057442E" w:rsidP="001953BB">
      <w:pPr>
        <w:pStyle w:val="Heading4"/>
      </w:pPr>
      <w:bookmarkStart w:id="339" w:name="_Toc187556289"/>
      <w:r>
        <w:t>2.</w:t>
      </w:r>
      <w:r w:rsidR="00D61046" w:rsidRPr="00D61046">
        <w:t>1.1.2 Research Questions</w:t>
      </w:r>
      <w:bookmarkEnd w:id="339"/>
    </w:p>
    <w:p w14:paraId="4A7C198A" w14:textId="77777777" w:rsidR="00D61046" w:rsidRPr="00D61046" w:rsidRDefault="00D61046" w:rsidP="009908F2">
      <w:pPr>
        <w:rPr>
          <w:rFonts w:eastAsia="Times New Roman" w:cs="Times New Roman"/>
          <w:lang/>
        </w:rPr>
      </w:pPr>
      <w:r w:rsidRPr="00D61046">
        <w:rPr>
          <w:rFonts w:eastAsia="Times New Roman" w:cs="Times New Roman"/>
          <w:lang/>
        </w:rPr>
        <w:t xml:space="preserve">The following </w:t>
      </w:r>
      <w:r w:rsidRPr="00D61046">
        <w:rPr>
          <w:rFonts w:eastAsia="Times New Roman" w:cs="Times New Roman"/>
        </w:rPr>
        <w:t xml:space="preserve">two </w:t>
      </w:r>
      <w:r w:rsidRPr="00D61046">
        <w:rPr>
          <w:rFonts w:eastAsia="Times New Roman" w:cs="Times New Roman"/>
          <w:lang/>
        </w:rPr>
        <w:t>research questions guide the analysis:</w:t>
      </w:r>
    </w:p>
    <w:p w14:paraId="30EBA2A1" w14:textId="0C9E2F91" w:rsidR="00D61046" w:rsidRPr="00D61046" w:rsidRDefault="00D61046" w:rsidP="009908F2">
      <w:pPr>
        <w:outlineLvl w:val="3"/>
        <w:rPr>
          <w:rFonts w:eastAsia="Times New Roman" w:cs="Times New Roman"/>
          <w:lang/>
        </w:rPr>
      </w:pPr>
      <w:r w:rsidRPr="00D61046">
        <w:rPr>
          <w:rFonts w:eastAsia="Times New Roman" w:cs="Times New Roman"/>
          <w:b/>
          <w:bCs/>
          <w:lang/>
        </w:rPr>
        <w:t>RQ1: Wildfire Impacts on Economic Outcomes</w:t>
      </w:r>
      <w:r w:rsidR="002042A1">
        <w:rPr>
          <w:rFonts w:eastAsia="Times New Roman" w:cs="Times New Roman"/>
          <w:b/>
          <w:bCs/>
          <w:lang/>
        </w:rPr>
        <w:t xml:space="preserve">: </w:t>
      </w:r>
      <w:r w:rsidRPr="00D61046">
        <w:rPr>
          <w:rFonts w:eastAsia="Times New Roman" w:cs="Times New Roman"/>
          <w:lang/>
        </w:rPr>
        <w:t>How do wildfire frequency and intensity affect establishment births, deaths, inward relocations, outward relocations, employment, and sales performance</w:t>
      </w:r>
      <w:r w:rsidRPr="00D61046">
        <w:rPr>
          <w:rFonts w:eastAsia="Times New Roman" w:cs="Times New Roman"/>
        </w:rPr>
        <w:t xml:space="preserve"> in the Aggregate LIS</w:t>
      </w:r>
      <w:r w:rsidRPr="00D61046">
        <w:rPr>
          <w:rFonts w:eastAsia="Times New Roman" w:cs="Times New Roman"/>
          <w:lang/>
        </w:rPr>
        <w:t>?</w:t>
      </w:r>
    </w:p>
    <w:p w14:paraId="31043A6A" w14:textId="5ED1E13B" w:rsidR="00D61046" w:rsidRPr="00D61046" w:rsidRDefault="00D61046" w:rsidP="009908F2">
      <w:pPr>
        <w:outlineLvl w:val="3"/>
        <w:rPr>
          <w:rFonts w:eastAsia="Times New Roman" w:cs="Times New Roman"/>
          <w:lang/>
        </w:rPr>
      </w:pPr>
      <w:r w:rsidRPr="00D61046">
        <w:rPr>
          <w:rFonts w:cs="Times New Roman"/>
          <w:b/>
          <w:bCs/>
          <w:lang/>
        </w:rPr>
        <w:t>RQ2: Sectoral Differences</w:t>
      </w:r>
      <w:r w:rsidR="002042A1">
        <w:rPr>
          <w:rFonts w:cs="Times New Roman"/>
          <w:b/>
          <w:bCs/>
          <w:lang/>
        </w:rPr>
        <w:t xml:space="preserve">: </w:t>
      </w:r>
      <w:r w:rsidRPr="00D61046">
        <w:rPr>
          <w:rFonts w:eastAsia="Times New Roman" w:cs="Times New Roman"/>
          <w:lang/>
        </w:rPr>
        <w:t xml:space="preserve">How do wildfire frequency and intensity affect these six economic outcomes across the individual </w:t>
      </w:r>
      <w:r w:rsidRPr="00D61046">
        <w:rPr>
          <w:rFonts w:eastAsia="Times New Roman" w:cs="Times New Roman"/>
        </w:rPr>
        <w:t xml:space="preserve">LIS </w:t>
      </w:r>
      <w:r w:rsidRPr="00D61046">
        <w:rPr>
          <w:rFonts w:eastAsia="Times New Roman" w:cs="Times New Roman"/>
          <w:lang/>
        </w:rPr>
        <w:t>subsectors (NAICS 11, 21, 22, and 23), and the non-LIS sector (NAICS 31–33)?</w:t>
      </w:r>
    </w:p>
    <w:p w14:paraId="0A41C6DC" w14:textId="604DA143" w:rsidR="00D61046" w:rsidRPr="00D61046" w:rsidRDefault="0057442E" w:rsidP="001953BB">
      <w:pPr>
        <w:pStyle w:val="Heading4"/>
      </w:pPr>
      <w:bookmarkStart w:id="340" w:name="_Toc187556290"/>
      <w:r>
        <w:t>2.</w:t>
      </w:r>
      <w:r w:rsidR="00D61046" w:rsidRPr="00D61046">
        <w:t>1.1.3 Hypotheses</w:t>
      </w:r>
      <w:bookmarkEnd w:id="340"/>
    </w:p>
    <w:p w14:paraId="18768AF0" w14:textId="77777777" w:rsidR="00D61046" w:rsidRPr="00D61046" w:rsidRDefault="00D61046" w:rsidP="009908F2">
      <w:pPr>
        <w:rPr>
          <w:rFonts w:eastAsia="Times New Roman" w:cs="Times New Roman"/>
          <w:lang/>
        </w:rPr>
      </w:pPr>
      <w:r w:rsidRPr="00D61046">
        <w:rPr>
          <w:rFonts w:eastAsia="Times New Roman" w:cs="Times New Roman"/>
          <w:b/>
          <w:bCs/>
          <w:lang/>
        </w:rPr>
        <w:t>H1:</w:t>
      </w:r>
      <w:r w:rsidRPr="00D61046">
        <w:rPr>
          <w:rFonts w:eastAsia="Times New Roman" w:cs="Times New Roman"/>
          <w:lang/>
        </w:rPr>
        <w:t xml:space="preserve"> Wildfire frequency and intensity negatively affect establishment births and positively affect establishment deaths.</w:t>
      </w:r>
    </w:p>
    <w:p w14:paraId="16BCE8B0" w14:textId="77777777" w:rsidR="00D61046" w:rsidRPr="00D61046" w:rsidRDefault="00D61046" w:rsidP="009908F2">
      <w:pPr>
        <w:rPr>
          <w:rFonts w:eastAsia="Times New Roman" w:cs="Times New Roman"/>
          <w:lang/>
        </w:rPr>
      </w:pPr>
      <w:r w:rsidRPr="00D61046">
        <w:rPr>
          <w:rFonts w:eastAsia="Times New Roman" w:cs="Times New Roman"/>
          <w:b/>
          <w:bCs/>
          <w:lang/>
        </w:rPr>
        <w:t>Rationale:</w:t>
      </w:r>
      <w:r w:rsidRPr="00D61046">
        <w:rPr>
          <w:rFonts w:eastAsia="Times New Roman" w:cs="Times New Roman"/>
          <w:lang/>
        </w:rPr>
        <w:t xml:space="preserve"> Wildfires create uncertainty, infrastructure damage, and resource loss, deterring new business formation while increasing closures (Moritz et al., 2014; Kunreuther &amp; Pauly, 2019). This is particularly severe for LIS subsectors like Agriculture, where land degradation directly affects productivity, and Mining, where operational disruptions are costly to resolve. In contrast, Manufacturing may face indirect disruptions, such as supply chain bottlenecks, rather than direct losses, potentially reducing the magnitude of these impacts.</w:t>
      </w:r>
    </w:p>
    <w:p w14:paraId="6837770F" w14:textId="77777777" w:rsidR="00D61046" w:rsidRPr="00D61046" w:rsidRDefault="00D61046" w:rsidP="009908F2">
      <w:pPr>
        <w:rPr>
          <w:rFonts w:eastAsia="Times New Roman" w:cs="Times New Roman"/>
          <w:lang/>
        </w:rPr>
      </w:pPr>
      <w:r w:rsidRPr="00D61046">
        <w:rPr>
          <w:rFonts w:eastAsia="Times New Roman" w:cs="Times New Roman"/>
          <w:b/>
          <w:bCs/>
          <w:lang/>
        </w:rPr>
        <w:lastRenderedPageBreak/>
        <w:t>H2:</w:t>
      </w:r>
      <w:r w:rsidRPr="00D61046">
        <w:rPr>
          <w:rFonts w:eastAsia="Times New Roman" w:cs="Times New Roman"/>
          <w:lang/>
        </w:rPr>
        <w:t xml:space="preserve"> Wildfire frequency and intensity positively influence establishment outward relocations and negatively affect inward relocations.</w:t>
      </w:r>
    </w:p>
    <w:p w14:paraId="32DF7376" w14:textId="77777777" w:rsidR="00D61046" w:rsidRPr="00D61046" w:rsidRDefault="00D61046" w:rsidP="009908F2">
      <w:pPr>
        <w:rPr>
          <w:rFonts w:eastAsia="Times New Roman" w:cs="Times New Roman"/>
          <w:lang/>
        </w:rPr>
      </w:pPr>
      <w:r w:rsidRPr="00D61046">
        <w:rPr>
          <w:rFonts w:eastAsia="Times New Roman" w:cs="Times New Roman"/>
          <w:b/>
          <w:bCs/>
          <w:lang/>
        </w:rPr>
        <w:t>Rationale:</w:t>
      </w:r>
      <w:r w:rsidRPr="00D61046">
        <w:rPr>
          <w:rFonts w:eastAsia="Times New Roman" w:cs="Times New Roman"/>
          <w:lang/>
        </w:rPr>
        <w:t xml:space="preserve"> Businesses in wildfire-prone areas incur increased costs (e.g., insurance premiums, labor shortages) and heightened risks, prompting relocations to safer regions (Hsiang et al., 2017). This effect is magnified for sectors like Construction, where proximity to affected areas is essential, and Utilities, which may relocate assets to ensure operational continuity. Manufacturing, with more centralized operations, may experience lower relocation rates but still face regional disruptions.</w:t>
      </w:r>
    </w:p>
    <w:p w14:paraId="415D36C1" w14:textId="77777777" w:rsidR="00D61046" w:rsidRPr="00D61046" w:rsidRDefault="00D61046" w:rsidP="009908F2">
      <w:pPr>
        <w:rPr>
          <w:rFonts w:eastAsia="Times New Roman" w:cs="Times New Roman"/>
          <w:lang/>
        </w:rPr>
      </w:pPr>
      <w:r w:rsidRPr="00D61046">
        <w:rPr>
          <w:rFonts w:eastAsia="Times New Roman" w:cs="Times New Roman"/>
          <w:b/>
          <w:bCs/>
          <w:lang/>
        </w:rPr>
        <w:t>H3:</w:t>
      </w:r>
      <w:r w:rsidRPr="00D61046">
        <w:rPr>
          <w:rFonts w:eastAsia="Times New Roman" w:cs="Times New Roman"/>
          <w:lang/>
        </w:rPr>
        <w:t xml:space="preserve"> Wildfire frequency and intensity reduce employment levels, particularly in LIS sectors.</w:t>
      </w:r>
    </w:p>
    <w:p w14:paraId="300A6F7E" w14:textId="77777777" w:rsidR="00D61046" w:rsidRPr="00D61046" w:rsidRDefault="00D61046" w:rsidP="009908F2">
      <w:pPr>
        <w:rPr>
          <w:rFonts w:eastAsia="Times New Roman" w:cs="Times New Roman"/>
          <w:lang/>
        </w:rPr>
      </w:pPr>
      <w:r w:rsidRPr="00D61046">
        <w:rPr>
          <w:rFonts w:eastAsia="Times New Roman" w:cs="Times New Roman"/>
          <w:b/>
          <w:bCs/>
          <w:lang/>
        </w:rPr>
        <w:t>Rationale:</w:t>
      </w:r>
      <w:r w:rsidRPr="00D61046">
        <w:rPr>
          <w:rFonts w:eastAsia="Times New Roman" w:cs="Times New Roman"/>
          <w:lang/>
        </w:rPr>
        <w:t xml:space="preserve"> Employment losses result from temporary shutdowns, worker displacement, and longer-term closures (Bayham et al., 2022). The aggregate LIS experiences pronounced effects, as outdoor labor in Agriculture and Construction is highly exposed to fire risks. Utilities may show resilience due to their role in recovery, while Manufacturing's employment impacts may be mitigated by its ability to adopt remote work or automation.</w:t>
      </w:r>
    </w:p>
    <w:p w14:paraId="1B640566" w14:textId="77777777" w:rsidR="00D61046" w:rsidRPr="00D61046" w:rsidRDefault="00D61046" w:rsidP="009908F2">
      <w:pPr>
        <w:rPr>
          <w:rFonts w:eastAsia="Times New Roman" w:cs="Times New Roman"/>
          <w:lang/>
        </w:rPr>
      </w:pPr>
      <w:r w:rsidRPr="00D61046">
        <w:rPr>
          <w:rFonts w:eastAsia="Times New Roman" w:cs="Times New Roman"/>
          <w:b/>
          <w:bCs/>
          <w:lang/>
        </w:rPr>
        <w:t>H4:</w:t>
      </w:r>
      <w:r w:rsidRPr="00D61046">
        <w:rPr>
          <w:rFonts w:eastAsia="Times New Roman" w:cs="Times New Roman"/>
          <w:lang/>
        </w:rPr>
        <w:t xml:space="preserve"> Wildfire intensity negatively affects sales performance across sectors, particularly in LIS.</w:t>
      </w:r>
    </w:p>
    <w:p w14:paraId="672FDE9D" w14:textId="77777777" w:rsidR="00D61046" w:rsidRPr="00D61046" w:rsidRDefault="00D61046" w:rsidP="009908F2">
      <w:pPr>
        <w:rPr>
          <w:rFonts w:eastAsia="Times New Roman" w:cs="Times New Roman"/>
          <w:lang/>
        </w:rPr>
      </w:pPr>
      <w:r w:rsidRPr="00D61046">
        <w:rPr>
          <w:rFonts w:eastAsia="Times New Roman" w:cs="Times New Roman"/>
          <w:b/>
          <w:bCs/>
          <w:lang/>
        </w:rPr>
        <w:t>Rationale:</w:t>
      </w:r>
      <w:r w:rsidRPr="00D61046">
        <w:rPr>
          <w:rFonts w:eastAsia="Times New Roman" w:cs="Times New Roman"/>
          <w:lang/>
        </w:rPr>
        <w:t xml:space="preserve"> Wildfires disrupt sales through supply chain interruptions, damaged infrastructure, and reduced consumer demand (Prestemon et al., 2020). Agriculture and Forestry are acutely affected by destroyed resources, while Construction may see temporary gains during recovery phases. Manufacturing’s sales impacts may be mitigated by diversified markets and increased demand for recovery-related goods.</w:t>
      </w:r>
    </w:p>
    <w:p w14:paraId="327C0E98" w14:textId="77777777" w:rsidR="00D61046" w:rsidRPr="00D61046" w:rsidRDefault="00D61046" w:rsidP="009908F2">
      <w:pPr>
        <w:rPr>
          <w:rFonts w:eastAsia="Times New Roman" w:cs="Times New Roman"/>
          <w:lang/>
        </w:rPr>
      </w:pPr>
      <w:r w:rsidRPr="00D61046">
        <w:rPr>
          <w:rFonts w:eastAsia="Times New Roman" w:cs="Times New Roman"/>
          <w:b/>
          <w:bCs/>
          <w:lang/>
        </w:rPr>
        <w:lastRenderedPageBreak/>
        <w:t>H5:</w:t>
      </w:r>
      <w:r w:rsidRPr="00D61046">
        <w:rPr>
          <w:rFonts w:eastAsia="Times New Roman" w:cs="Times New Roman"/>
          <w:lang/>
        </w:rPr>
        <w:t xml:space="preserve"> The impacts of wildfire frequency and intensity on establishment dynamics, employment, and sales performance vary across the aggregate LIS, its individual subsectors, and Manufacturing.</w:t>
      </w:r>
    </w:p>
    <w:p w14:paraId="5C48A3BA" w14:textId="77777777" w:rsidR="00D61046" w:rsidRPr="00D61046" w:rsidRDefault="00D61046" w:rsidP="009908F2">
      <w:pPr>
        <w:rPr>
          <w:rFonts w:eastAsia="Times New Roman" w:cs="Times New Roman"/>
          <w:lang/>
        </w:rPr>
      </w:pPr>
      <w:r w:rsidRPr="00D61046">
        <w:rPr>
          <w:rFonts w:eastAsia="Times New Roman" w:cs="Times New Roman"/>
          <w:b/>
          <w:bCs/>
          <w:lang/>
        </w:rPr>
        <w:t>Rationale:</w:t>
      </w:r>
      <w:r w:rsidRPr="00D61046">
        <w:rPr>
          <w:rFonts w:eastAsia="Times New Roman" w:cs="Times New Roman"/>
          <w:lang/>
        </w:rPr>
        <w:t xml:space="preserve"> Resource reliance, exposure to wildfire risks, and operational flexibility drive sectoral differences. Agriculture and Mining exhibit higher vulnerability due to direct dependence on land, while Utilities </w:t>
      </w:r>
      <w:r w:rsidRPr="00D61046">
        <w:rPr>
          <w:rFonts w:eastAsia="Times New Roman" w:cs="Times New Roman"/>
        </w:rPr>
        <w:t xml:space="preserve">and Construction </w:t>
      </w:r>
      <w:r w:rsidRPr="00D61046">
        <w:rPr>
          <w:rFonts w:eastAsia="Times New Roman" w:cs="Times New Roman"/>
          <w:lang/>
        </w:rPr>
        <w:t>benefit from increased post-disaster demand. Manufacturing demonstrates adaptability through diversification and supply chain resilience (Calkins et al., 2021; Deryugina et al., 2018).</w:t>
      </w:r>
    </w:p>
    <w:p w14:paraId="69BDED7C" w14:textId="77777777" w:rsidR="00D61046" w:rsidRPr="00D61046" w:rsidRDefault="00D61046" w:rsidP="009908F2">
      <w:pPr>
        <w:rPr>
          <w:rFonts w:eastAsia="Times New Roman" w:cs="Times New Roman"/>
          <w:lang/>
        </w:rPr>
      </w:pPr>
      <w:r w:rsidRPr="00D61046">
        <w:rPr>
          <w:rFonts w:eastAsia="Times New Roman" w:cs="Times New Roman"/>
          <w:lang/>
        </w:rPr>
        <w:t>This section outlines the research objectives, questions, and hypotheses that underpin the study’s analysis of wildfire-induced economic impacts. By integrating the aggregate LIS, its individual subsectors, and Manufacturing, the study offers a detailed examination of sectoral heterogeneity in vulnerability and resilience. These findings contribute to the literature on disaster economics, industrial organization, and regional resilience, while providing actionable insights for policymakers seeking to stabilize at-risk industries and foster long-term economic recovery.</w:t>
      </w:r>
    </w:p>
    <w:p w14:paraId="364CA2DC" w14:textId="77777777" w:rsidR="00D61046" w:rsidRPr="00D61046" w:rsidRDefault="00D61046" w:rsidP="009908F2">
      <w:pPr>
        <w:rPr>
          <w:rFonts w:eastAsia="Calibri" w:cs="Times New Roman"/>
          <w:lang/>
        </w:rPr>
      </w:pPr>
      <w:r w:rsidRPr="00D61046">
        <w:rPr>
          <w:rFonts w:eastAsia="Calibri" w:cs="Times New Roman"/>
          <w:lang/>
        </w:rPr>
        <w:t xml:space="preserve">The remainder of this paper is structured as follows: Section 2 reviews the relevant literature, situating this study within the broader fields of disaster economics, industrial organization, and regional economic resilience. Section 3 describes the data sources and presents the descriptive statistics, highlighting the key metrics and explanatory variables used in the analysis. Section 4 outlines the methodological framework, detailing the Poisson Pseudo-Maximum Likelihood (PPML) regression approach and the inclusion of high-dimensional fixed effects to address endogeneity concerns. Section 5 presents the results and interpretation, analysing the impacts of </w:t>
      </w:r>
      <w:r w:rsidRPr="00D61046">
        <w:rPr>
          <w:rFonts w:eastAsia="Calibri" w:cs="Times New Roman"/>
          <w:lang/>
        </w:rPr>
        <w:lastRenderedPageBreak/>
        <w:t>wildfire frequency and intensity on establishment dynamics, employment, and sales performance across sectors. Section 6 discusses the findings, drawing out their theoretical implications and offering actionable policy recommendations. Section 7 concludes with a summary of the study’s contributions and suggestions for future research, followed by the comprehensive reference list in Section 8.</w:t>
      </w:r>
    </w:p>
    <w:p w14:paraId="5C9FBDBE" w14:textId="7D23DB96" w:rsidR="00D61046" w:rsidRPr="002042A1" w:rsidRDefault="0057442E" w:rsidP="00E4693E">
      <w:pPr>
        <w:pStyle w:val="Heading2"/>
      </w:pPr>
      <w:bookmarkStart w:id="341" w:name="_Toc187556291"/>
      <w:bookmarkStart w:id="342" w:name="_Toc188379009"/>
      <w:r>
        <w:t>2.</w:t>
      </w:r>
      <w:r w:rsidR="00D61046" w:rsidRPr="002042A1">
        <w:t>2 Literature Review</w:t>
      </w:r>
      <w:bookmarkEnd w:id="341"/>
      <w:bookmarkEnd w:id="342"/>
    </w:p>
    <w:p w14:paraId="773F0407" w14:textId="77777777" w:rsidR="00D61046" w:rsidRPr="00D61046" w:rsidRDefault="00D61046" w:rsidP="009908F2">
      <w:pPr>
        <w:rPr>
          <w:rFonts w:eastAsia="Calibri" w:cs="Times New Roman"/>
        </w:rPr>
      </w:pPr>
      <w:r w:rsidRPr="00D61046">
        <w:rPr>
          <w:rFonts w:eastAsia="Calibri" w:cs="Times New Roman"/>
        </w:rPr>
        <w:t>The economic consequences of natural disasters, particularly wildfires, have been a significant focus of empirical and theoretical research, with studies exploring impacts on municipal finances, labor markets, sectoral dynamics, and regional economies. This study integrates these themes to bridge gaps in understanding the specific economic consequences of wildfires on business establishments and sectoral performance.</w:t>
      </w:r>
    </w:p>
    <w:p w14:paraId="478A70DC" w14:textId="77777777" w:rsidR="00D61046" w:rsidRPr="00D61046" w:rsidRDefault="00D61046" w:rsidP="009908F2">
      <w:pPr>
        <w:rPr>
          <w:rFonts w:eastAsia="Calibri" w:cs="Times New Roman"/>
        </w:rPr>
      </w:pPr>
      <w:r w:rsidRPr="00D61046">
        <w:rPr>
          <w:rFonts w:eastAsia="Calibri" w:cs="Times New Roman"/>
        </w:rPr>
        <w:t xml:space="preserve">Theoretical foundations emphasize the dual nature of disasters as both disruptive and transformational events. </w:t>
      </w:r>
      <w:proofErr w:type="spellStart"/>
      <w:r w:rsidRPr="00D61046">
        <w:rPr>
          <w:rFonts w:eastAsia="Calibri" w:cs="Times New Roman"/>
        </w:rPr>
        <w:t>Hallegatte</w:t>
      </w:r>
      <w:proofErr w:type="spellEnd"/>
      <w:r w:rsidRPr="00D61046">
        <w:rPr>
          <w:rFonts w:eastAsia="Calibri" w:cs="Times New Roman"/>
        </w:rPr>
        <w:t xml:space="preserve"> (2014) introduces resilience pathways, demonstrating how disaster-affected regions adjust their recovery trajectories. Albala-Bertrand (1993) posits that disasters create opportunities for economic renewal, particularly in sectors aligned with recovery and reconstruction. </w:t>
      </w:r>
      <w:proofErr w:type="spellStart"/>
      <w:r w:rsidRPr="00D61046">
        <w:rPr>
          <w:rFonts w:eastAsia="Calibri" w:cs="Times New Roman"/>
        </w:rPr>
        <w:t>Boustan</w:t>
      </w:r>
      <w:proofErr w:type="spellEnd"/>
      <w:r w:rsidRPr="00D61046">
        <w:rPr>
          <w:rFonts w:eastAsia="Calibri" w:cs="Times New Roman"/>
        </w:rPr>
        <w:t xml:space="preserve"> et al. (2020), leveraging a century of disaster data, find that severe events reduce local productivity and labor demand, leading to out-migration and declining property values, particularly when disasters convey heightened risk information. These theoretical insights underscore the localized and heterogeneous nature of disaster impacts.</w:t>
      </w:r>
    </w:p>
    <w:p w14:paraId="25188C8D" w14:textId="77777777" w:rsidR="00D61046" w:rsidRPr="00D61046" w:rsidRDefault="00D61046" w:rsidP="009908F2">
      <w:pPr>
        <w:rPr>
          <w:rFonts w:eastAsia="Calibri" w:cs="Times New Roman"/>
        </w:rPr>
      </w:pPr>
      <w:r w:rsidRPr="00D61046">
        <w:rPr>
          <w:rFonts w:eastAsia="Calibri" w:cs="Times New Roman"/>
        </w:rPr>
        <w:t xml:space="preserve">Empirical studies provide robust evidence of the economic effects of wildfires across multiple domains. Liao and </w:t>
      </w:r>
      <w:proofErr w:type="spellStart"/>
      <w:r w:rsidRPr="00D61046">
        <w:rPr>
          <w:rFonts w:eastAsia="Calibri" w:cs="Times New Roman"/>
        </w:rPr>
        <w:t>Kousky</w:t>
      </w:r>
      <w:proofErr w:type="spellEnd"/>
      <w:r w:rsidRPr="00D61046">
        <w:rPr>
          <w:rFonts w:eastAsia="Calibri" w:cs="Times New Roman"/>
        </w:rPr>
        <w:t xml:space="preserve"> (2022), using a difference-in-differences (</w:t>
      </w:r>
      <w:proofErr w:type="spellStart"/>
      <w:r w:rsidRPr="00D61046">
        <w:rPr>
          <w:rFonts w:eastAsia="Calibri" w:cs="Times New Roman"/>
        </w:rPr>
        <w:t>DiD</w:t>
      </w:r>
      <w:proofErr w:type="spellEnd"/>
      <w:r w:rsidRPr="00D61046">
        <w:rPr>
          <w:rFonts w:eastAsia="Calibri" w:cs="Times New Roman"/>
        </w:rPr>
        <w:t xml:space="preserve">) framework and </w:t>
      </w:r>
      <w:r w:rsidRPr="00D61046">
        <w:rPr>
          <w:rFonts w:eastAsia="Calibri" w:cs="Times New Roman"/>
        </w:rPr>
        <w:lastRenderedPageBreak/>
        <w:t>municipal finance data from California, identify that wildfires result in increased property tax revenues due to reassessment laws, alongside elevated spending on public safety and community development. However, these benefits are outweighed by net fiscal deficits, challenging the fiscal resilience of municipalities. Nielsen-Pincus et al. (2014), focusing on the Western U.S., show that wildfires temporarily boost employment during suppression efforts but cause significant disruptions in leisure, hospitality, and natural resource sectors, with lingering adverse effects on local employment for up to two years.</w:t>
      </w:r>
    </w:p>
    <w:p w14:paraId="39D4D4E4" w14:textId="77777777" w:rsidR="00D61046" w:rsidRPr="00D61046" w:rsidRDefault="00D61046" w:rsidP="009908F2">
      <w:pPr>
        <w:rPr>
          <w:rFonts w:eastAsia="Calibri" w:cs="Times New Roman"/>
        </w:rPr>
      </w:pPr>
      <w:r w:rsidRPr="00D61046">
        <w:rPr>
          <w:rFonts w:eastAsia="Calibri" w:cs="Times New Roman"/>
        </w:rPr>
        <w:t xml:space="preserve">Sector-specific research further elaborates on the economic heterogeneity of wildfire impacts. </w:t>
      </w:r>
      <w:proofErr w:type="spellStart"/>
      <w:r w:rsidRPr="00D61046">
        <w:rPr>
          <w:rFonts w:eastAsia="Calibri" w:cs="Times New Roman"/>
        </w:rPr>
        <w:t>Borgschulte</w:t>
      </w:r>
      <w:proofErr w:type="spellEnd"/>
      <w:r w:rsidRPr="00D61046">
        <w:rPr>
          <w:rFonts w:eastAsia="Calibri" w:cs="Times New Roman"/>
        </w:rPr>
        <w:t xml:space="preserve"> et al. (2019) employ satellite-derived wildfire smoke data linked with labor market outcomes to reveal that wildfire smoke exposure reduces annual labor income by 1.26%, lowers labor force participation, and increases Social Security claims. These findings highlight the spillover effects of wildfires beyond immediate zones of destruction. Similarly, Meier et al. (2023), focusing on Southern Europe, use satellite data on burned areas and Eurostat economic indicators to quantify wildfire-induced GDP losses ranging from €13–21 billion annually. They document negative employment effects in retail and tourism sectors but offsetting gains in insurance and real estate, emphasizing sectoral vulnerability and adaptation.</w:t>
      </w:r>
    </w:p>
    <w:p w14:paraId="34F7F63C" w14:textId="77777777" w:rsidR="00D61046" w:rsidRPr="00D61046" w:rsidRDefault="00D61046" w:rsidP="009908F2">
      <w:pPr>
        <w:rPr>
          <w:rFonts w:eastAsia="Calibri" w:cs="Times New Roman"/>
        </w:rPr>
      </w:pPr>
      <w:r w:rsidRPr="00D61046">
        <w:rPr>
          <w:rFonts w:eastAsia="Calibri" w:cs="Times New Roman"/>
        </w:rPr>
        <w:t xml:space="preserve">Tourism and outdoor recreation, as highly wildfire-sensitive sectors, have received detailed attention. Gellman et al. (2022), analyzing campground visitation data in the Western U.S., estimate that wildfires and smoke reduce visitor-days by up to 1 million annually. They find that while smoke does not significantly deter visitors from public lands, it imposes welfare losses through health risks. </w:t>
      </w:r>
      <w:proofErr w:type="spellStart"/>
      <w:r w:rsidRPr="00D61046">
        <w:rPr>
          <w:rFonts w:eastAsia="Calibri" w:cs="Times New Roman"/>
        </w:rPr>
        <w:t>Otrachshenko</w:t>
      </w:r>
      <w:proofErr w:type="spellEnd"/>
      <w:r w:rsidRPr="00D61046">
        <w:rPr>
          <w:rFonts w:eastAsia="Calibri" w:cs="Times New Roman"/>
        </w:rPr>
        <w:t xml:space="preserve"> and Nunes (2021), focusing on Portugal, demonstrate that </w:t>
      </w:r>
      <w:r w:rsidRPr="00D61046">
        <w:rPr>
          <w:rFonts w:eastAsia="Calibri" w:cs="Times New Roman"/>
        </w:rPr>
        <w:lastRenderedPageBreak/>
        <w:t>increased wildfire activity substantially reduces both domestic and inbound tourist arrivals, with projected annual costs to tourism rising fourfold by 2050 under climate change scenarios. These findings illustrate the compounded economic risks posed by wildfires to regions reliant on tourism.</w:t>
      </w:r>
    </w:p>
    <w:p w14:paraId="27AE399C" w14:textId="77777777" w:rsidR="00D61046" w:rsidRPr="00D61046" w:rsidRDefault="00D61046" w:rsidP="009908F2">
      <w:pPr>
        <w:rPr>
          <w:rFonts w:eastAsia="Calibri" w:cs="Times New Roman"/>
        </w:rPr>
      </w:pPr>
      <w:r w:rsidRPr="00D61046">
        <w:rPr>
          <w:rFonts w:eastAsia="Calibri" w:cs="Times New Roman"/>
        </w:rPr>
        <w:t>The indirect effects of wildfires on supply chains and regional economies have been explored in studies like Wang et al. (2021). Using input-output models, they estimate that California’s 2018 wildfires caused $148.5 billion in economic losses, of which 59% were indirect, stemming from supply chain disruptions and regional interdependencies. Their study emphasizes the far-reaching economic footprint of wildfires, extending well beyond the directly affected areas. Jia et al. (2022) provide complementary insights into disaster-induced risk effects, showing that increased flood risk—analogous to wildfire risks—reduces firm entry and employment, reshaping local economic geography.</w:t>
      </w:r>
    </w:p>
    <w:p w14:paraId="61E4D908" w14:textId="77777777" w:rsidR="00D61046" w:rsidRPr="00D61046" w:rsidRDefault="00D61046" w:rsidP="009908F2">
      <w:pPr>
        <w:rPr>
          <w:rFonts w:eastAsia="Calibri" w:cs="Times New Roman"/>
        </w:rPr>
      </w:pPr>
      <w:r w:rsidRPr="00D61046">
        <w:rPr>
          <w:rFonts w:eastAsia="Calibri" w:cs="Times New Roman"/>
        </w:rPr>
        <w:t xml:space="preserve">Lastly, Alves et al. (2022) investigate the resilience of businesses to disasters through the lens of subsidized credit policies. Their study on the 2011 Rio de Janeiro landslides demonstrates that while credit programs prevented business closures, they were less effective in preserving employment, highlighting the limitations of financial interventions in disaster recovery. Similarly, Liao and </w:t>
      </w:r>
      <w:proofErr w:type="spellStart"/>
      <w:r w:rsidRPr="00D61046">
        <w:rPr>
          <w:rFonts w:eastAsia="Calibri" w:cs="Times New Roman"/>
        </w:rPr>
        <w:t>Kousky</w:t>
      </w:r>
      <w:proofErr w:type="spellEnd"/>
      <w:r w:rsidRPr="00D61046">
        <w:rPr>
          <w:rFonts w:eastAsia="Calibri" w:cs="Times New Roman"/>
        </w:rPr>
        <w:t xml:space="preserve"> (2022) argue that wildfire impacts on municipal budgets may discourage local investments in risk mitigation, given the asymmetric burden-sharing between local and federal governments in wildfire management.</w:t>
      </w:r>
    </w:p>
    <w:p w14:paraId="2366ED10" w14:textId="77777777" w:rsidR="00D61046" w:rsidRPr="00D61046" w:rsidRDefault="00D61046" w:rsidP="009908F2">
      <w:pPr>
        <w:rPr>
          <w:rFonts w:eastAsia="Calibri" w:cs="Times New Roman"/>
        </w:rPr>
      </w:pPr>
      <w:r w:rsidRPr="00D61046">
        <w:rPr>
          <w:rFonts w:eastAsia="Calibri" w:cs="Times New Roman"/>
        </w:rPr>
        <w:t xml:space="preserve">This study makes key contributions to these strands of literature. By focusing on wildfire-specific impacts, it addresses gaps in generalized disaster studies that often obscure the unique </w:t>
      </w:r>
      <w:r w:rsidRPr="00D61046">
        <w:rPr>
          <w:rFonts w:eastAsia="Calibri" w:cs="Times New Roman"/>
        </w:rPr>
        <w:lastRenderedPageBreak/>
        <w:t>economic dynamics of wildfires. Furthermore, it extends the understanding of sectoral heterogeneity, particularly in land-intensive sectors. Methodologically, the use of advanced econometric techniques, such as PPML, enhances the precision of impact estimates, aligning with recent advancements in disaster economics research. These findings contribute actionable insights for policymakers to enhance resilience and mitigate the economic fallout of wildfires.</w:t>
      </w:r>
    </w:p>
    <w:p w14:paraId="3EA13A88" w14:textId="11B8A84D" w:rsidR="00D61046" w:rsidRPr="00D61046" w:rsidRDefault="0057442E" w:rsidP="00E4693E">
      <w:pPr>
        <w:pStyle w:val="Heading2"/>
      </w:pPr>
      <w:bookmarkStart w:id="343" w:name="_Toc187556292"/>
      <w:bookmarkStart w:id="344" w:name="_Toc188379010"/>
      <w:r>
        <w:t>2.</w:t>
      </w:r>
      <w:r w:rsidR="00D61046" w:rsidRPr="00D61046">
        <w:t>3 Data and descriptive statistics</w:t>
      </w:r>
      <w:bookmarkEnd w:id="343"/>
      <w:bookmarkEnd w:id="344"/>
    </w:p>
    <w:p w14:paraId="4A4F4454" w14:textId="23AD4B0D" w:rsidR="00D61046" w:rsidRPr="00D61046" w:rsidRDefault="0057442E" w:rsidP="004C39A4">
      <w:pPr>
        <w:pStyle w:val="Heading3"/>
      </w:pPr>
      <w:bookmarkStart w:id="345" w:name="_Toc187556293"/>
      <w:bookmarkStart w:id="346" w:name="_Toc188379011"/>
      <w:r>
        <w:rPr>
          <w:lang w:val="en-US"/>
        </w:rPr>
        <w:t>2.</w:t>
      </w:r>
      <w:r w:rsidR="00D61046" w:rsidRPr="00D61046">
        <w:t>3.1 Dependent variable: Establishment Data</w:t>
      </w:r>
      <w:bookmarkEnd w:id="345"/>
      <w:bookmarkEnd w:id="346"/>
    </w:p>
    <w:p w14:paraId="5DFD2AF2" w14:textId="77777777" w:rsidR="00D61046" w:rsidRPr="00D61046" w:rsidRDefault="00D61046" w:rsidP="009908F2">
      <w:pPr>
        <w:rPr>
          <w:rFonts w:eastAsia="Calibri" w:cs="Times New Roman"/>
          <w:lang/>
        </w:rPr>
      </w:pPr>
      <w:r w:rsidRPr="00D61046">
        <w:rPr>
          <w:rFonts w:eastAsia="Calibri" w:cs="Times New Roman"/>
          <w:lang/>
        </w:rPr>
        <w:t>Analysing business location decisions requires granular establishment-level data. While public datasets such as the County Business Patterns (CBP), Quarterly Census of Employment and Wages (QCEW), and Bureau of Labor Statistics (BLS) offer valuable insights, they often suppress data to protect confidentiality, particularly in sparsely populated counties (Jarmin &amp; Miranda, 2002; Abowd &amp; Vilhuber, 2008). This suppression limits observations on establishment entries and exits, presenting challenges for county-level analyses.</w:t>
      </w:r>
    </w:p>
    <w:p w14:paraId="54657D59" w14:textId="77777777" w:rsidR="00D61046" w:rsidRPr="00D61046" w:rsidRDefault="00D61046" w:rsidP="009908F2">
      <w:pPr>
        <w:rPr>
          <w:rFonts w:eastAsia="Calibri" w:cs="Times New Roman"/>
          <w:lang/>
        </w:rPr>
      </w:pPr>
      <w:r w:rsidRPr="00D61046">
        <w:rPr>
          <w:rFonts w:eastAsia="Calibri" w:cs="Times New Roman"/>
          <w:lang/>
        </w:rPr>
        <w:t>To address these issues, this study utilizes the proprietary Data Axle historical business dataset (formerly Infogroup). This dataset provides unsuppressed, annual establishment-level data for U.S. businesses from 1997 to 2019, including geolocation, employment count, sales volume, and NAICS sector classifications. Each establishment is uniquely identified with an American Business Information (ABI) code</w:t>
      </w:r>
      <w:r w:rsidRPr="00D61046">
        <w:rPr>
          <w:rFonts w:eastAsia="Calibri" w:cs="Times New Roman"/>
        </w:rPr>
        <w:t>, and tracked annually</w:t>
      </w:r>
      <w:r w:rsidRPr="00D61046">
        <w:rPr>
          <w:rFonts w:eastAsia="Calibri" w:cs="Times New Roman"/>
          <w:lang/>
        </w:rPr>
        <w:t>.</w:t>
      </w:r>
    </w:p>
    <w:p w14:paraId="5486ADB3" w14:textId="77777777" w:rsidR="00D61046" w:rsidRPr="00D61046" w:rsidRDefault="00D61046" w:rsidP="009908F2">
      <w:pPr>
        <w:rPr>
          <w:rFonts w:eastAsia="Calibri" w:cs="Times New Roman"/>
          <w:b/>
          <w:bCs/>
          <w:lang/>
        </w:rPr>
      </w:pPr>
      <w:r w:rsidRPr="00D61046">
        <w:rPr>
          <w:rFonts w:eastAsia="Calibri" w:cs="Times New Roman"/>
          <w:lang/>
        </w:rPr>
        <w:t xml:space="preserve">Using this dataset, county-level, sector-specific measures of the outcome variables were constructed for California’s 58 counties over the 1998–2018 period. This period aligns with available socio-economic, demographic, and environmental data. The analysis focuses on </w:t>
      </w:r>
      <w:r w:rsidRPr="00D61046">
        <w:rPr>
          <w:rFonts w:eastAsia="Calibri" w:cs="Times New Roman"/>
          <w:lang/>
        </w:rPr>
        <w:lastRenderedPageBreak/>
        <w:t xml:space="preserve">Agriculture, Forestry, Fishing and Hunting (NAICS 11); Mining, Quarrying, and Oil and Gas Extraction (NAICS 21); Utilities (NAICS 22); and Construction (NAICS 23), collectively forming the aggregate Land-Intensive Sector (LIS). Additionally, Manufacturing (NAICS 31–33) is included </w:t>
      </w:r>
      <w:r w:rsidRPr="00D61046">
        <w:rPr>
          <w:rFonts w:eastAsia="Calibri" w:cs="Times New Roman"/>
        </w:rPr>
        <w:t xml:space="preserve">as the representative non-LIS </w:t>
      </w:r>
      <w:r w:rsidRPr="00D61046">
        <w:rPr>
          <w:rFonts w:eastAsia="Calibri" w:cs="Times New Roman"/>
          <w:lang/>
        </w:rPr>
        <w:t>in the analysis. Data from 1997 and 2019 were excluded due to missing prior-year (1996) and subsequent-year (2020) data needed to compute establishment entries and exits</w:t>
      </w:r>
      <w:r w:rsidRPr="00D61046">
        <w:rPr>
          <w:rFonts w:eastAsia="Calibri" w:cs="Times New Roman"/>
        </w:rPr>
        <w:t xml:space="preserve"> for 1997 and 2019, respectively</w:t>
      </w:r>
      <w:r w:rsidRPr="00D61046">
        <w:rPr>
          <w:rFonts w:eastAsia="Calibri" w:cs="Times New Roman"/>
          <w:lang/>
        </w:rPr>
        <w:t>.</w:t>
      </w:r>
    </w:p>
    <w:p w14:paraId="4DC29B38" w14:textId="09816D44" w:rsidR="00D61046" w:rsidRPr="00D61046" w:rsidRDefault="0057442E" w:rsidP="001953BB">
      <w:pPr>
        <w:pStyle w:val="Heading4"/>
      </w:pPr>
      <w:bookmarkStart w:id="347" w:name="_Toc187556294"/>
      <w:r>
        <w:t>2.</w:t>
      </w:r>
      <w:r w:rsidR="00D61046" w:rsidRPr="00D61046">
        <w:t>3.1.1 Definition of Outcome Variables</w:t>
      </w:r>
      <w:bookmarkEnd w:id="347"/>
    </w:p>
    <w:p w14:paraId="3DC9A276" w14:textId="77777777" w:rsidR="00D61046" w:rsidRPr="00D61046" w:rsidRDefault="00D61046" w:rsidP="009908F2">
      <w:pPr>
        <w:rPr>
          <w:rFonts w:eastAsia="Calibri" w:cs="Times New Roman"/>
          <w:lang/>
        </w:rPr>
      </w:pPr>
      <w:r w:rsidRPr="00D61046">
        <w:rPr>
          <w:rFonts w:eastAsia="Calibri" w:cs="Times New Roman"/>
          <w:lang/>
        </w:rPr>
        <w:t>Following conventions in the industrial location literature</w:t>
      </w:r>
      <w:r w:rsidRPr="00D61046">
        <w:rPr>
          <w:rFonts w:eastAsia="Calibri" w:cs="Times New Roman"/>
        </w:rPr>
        <w:t xml:space="preserve"> (Neumark et al., 2005)</w:t>
      </w:r>
      <w:r w:rsidRPr="00D61046">
        <w:rPr>
          <w:rFonts w:eastAsia="Calibri" w:cs="Times New Roman"/>
          <w:lang/>
        </w:rPr>
        <w:t>, the dependent variables were defined as follows:</w:t>
      </w:r>
    </w:p>
    <w:p w14:paraId="7B6A7104" w14:textId="77777777" w:rsidR="00D61046" w:rsidRPr="00D61046" w:rsidRDefault="00D61046" w:rsidP="00030874">
      <w:pPr>
        <w:numPr>
          <w:ilvl w:val="0"/>
          <w:numId w:val="17"/>
        </w:numPr>
        <w:ind w:left="360"/>
        <w:contextualSpacing/>
        <w:rPr>
          <w:rFonts w:cs="Times New Roman"/>
          <w:lang/>
        </w:rPr>
      </w:pPr>
      <w:r w:rsidRPr="00D61046">
        <w:rPr>
          <w:rFonts w:cs="Times New Roman"/>
          <w:b/>
          <w:bCs/>
          <w:lang/>
        </w:rPr>
        <w:t>Births</w:t>
      </w:r>
      <w:r w:rsidRPr="00D61046">
        <w:rPr>
          <w:rFonts w:cs="Times New Roman"/>
          <w:lang/>
        </w:rPr>
        <w:t xml:space="preserve">: An establishment is present in a California county </w:t>
      </w:r>
      <m:oMath>
        <m:r>
          <w:rPr>
            <w:rFonts w:ascii="Cambria Math" w:hAnsi="Cambria Math" w:cs="Times New Roman"/>
            <w:lang/>
          </w:rPr>
          <m:t>C</m:t>
        </m:r>
      </m:oMath>
      <w:r w:rsidRPr="00D61046">
        <w:rPr>
          <w:rFonts w:cs="Times New Roman"/>
          <w:lang/>
        </w:rPr>
        <w:t xml:space="preserve"> </w:t>
      </w:r>
      <w:r w:rsidRPr="00D61046">
        <w:rPr>
          <w:rFonts w:cs="Times New Roman"/>
          <w:lang/>
        </w:rPr>
        <w:t xml:space="preserve">in year </w:t>
      </w:r>
      <m:oMath>
        <m:r>
          <w:rPr>
            <w:rFonts w:ascii="Cambria Math" w:hAnsi="Cambria Math" w:cs="Times New Roman"/>
            <w:lang/>
          </w:rPr>
          <m:t>T</m:t>
        </m:r>
      </m:oMath>
      <w:r w:rsidRPr="00D61046">
        <w:rPr>
          <w:rFonts w:cs="Times New Roman"/>
          <w:lang/>
        </w:rPr>
        <w:t xml:space="preserve"> but absent in any California county in </w:t>
      </w:r>
      <m:oMath>
        <m:r>
          <w:rPr>
            <w:rFonts w:ascii="Cambria Math" w:hAnsi="Cambria Math" w:cs="Times New Roman"/>
            <w:lang/>
          </w:rPr>
          <m:t>T-1</m:t>
        </m:r>
      </m:oMath>
      <w:r w:rsidRPr="00D61046">
        <w:rPr>
          <w:rFonts w:cs="Times New Roman"/>
          <w:lang/>
        </w:rPr>
        <w:t>.</w:t>
      </w:r>
    </w:p>
    <w:p w14:paraId="3D7E92BA" w14:textId="77777777" w:rsidR="00D61046" w:rsidRPr="00D61046" w:rsidRDefault="00D61046" w:rsidP="00030874">
      <w:pPr>
        <w:numPr>
          <w:ilvl w:val="0"/>
          <w:numId w:val="17"/>
        </w:numPr>
        <w:ind w:left="360"/>
        <w:contextualSpacing/>
        <w:rPr>
          <w:rFonts w:cs="Times New Roman"/>
          <w:lang/>
        </w:rPr>
      </w:pPr>
      <w:r w:rsidRPr="00D61046">
        <w:rPr>
          <w:rFonts w:cs="Times New Roman"/>
          <w:b/>
          <w:bCs/>
          <w:lang/>
        </w:rPr>
        <w:t>Inward Relocations</w:t>
      </w:r>
      <w:r w:rsidRPr="00D61046">
        <w:rPr>
          <w:rFonts w:cs="Times New Roman"/>
          <w:lang/>
        </w:rPr>
        <w:t xml:space="preserve">: An establishment is present in county </w:t>
      </w:r>
      <m:oMath>
        <m:r>
          <w:rPr>
            <w:rFonts w:ascii="Cambria Math" w:hAnsi="Cambria Math" w:cs="Times New Roman"/>
            <w:lang/>
          </w:rPr>
          <m:t>C</m:t>
        </m:r>
      </m:oMath>
      <w:r w:rsidRPr="00D61046">
        <w:rPr>
          <w:rFonts w:cs="Times New Roman"/>
          <w:lang/>
        </w:rPr>
        <w:t xml:space="preserve"> in </w:t>
      </w:r>
      <m:oMath>
        <m:r>
          <w:rPr>
            <w:rFonts w:ascii="Cambria Math" w:hAnsi="Cambria Math" w:cs="Times New Roman"/>
            <w:lang/>
          </w:rPr>
          <m:t>T</m:t>
        </m:r>
      </m:oMath>
      <w:r w:rsidRPr="00D61046">
        <w:rPr>
          <w:rFonts w:cs="Times New Roman"/>
          <w:lang/>
        </w:rPr>
        <w:t xml:space="preserve"> but located in a different California county in </w:t>
      </w:r>
      <m:oMath>
        <m:r>
          <w:rPr>
            <w:rFonts w:ascii="Cambria Math" w:hAnsi="Cambria Math" w:cs="Times New Roman"/>
            <w:lang/>
          </w:rPr>
          <m:t>T-1</m:t>
        </m:r>
      </m:oMath>
      <w:r w:rsidRPr="00D61046">
        <w:rPr>
          <w:rFonts w:cs="Times New Roman"/>
          <w:lang/>
        </w:rPr>
        <w:t>.</w:t>
      </w:r>
    </w:p>
    <w:p w14:paraId="3BCFAF2E" w14:textId="77777777" w:rsidR="00D61046" w:rsidRPr="00D61046" w:rsidRDefault="00D61046" w:rsidP="00030874">
      <w:pPr>
        <w:numPr>
          <w:ilvl w:val="0"/>
          <w:numId w:val="17"/>
        </w:numPr>
        <w:ind w:left="360"/>
        <w:contextualSpacing/>
        <w:rPr>
          <w:rFonts w:cs="Times New Roman"/>
          <w:lang/>
        </w:rPr>
      </w:pPr>
      <w:r w:rsidRPr="00D61046">
        <w:rPr>
          <w:rFonts w:cs="Times New Roman"/>
          <w:b/>
          <w:bCs/>
          <w:lang/>
        </w:rPr>
        <w:t>Deaths</w:t>
      </w:r>
      <w:r w:rsidRPr="00D61046">
        <w:rPr>
          <w:rFonts w:cs="Times New Roman"/>
          <w:lang/>
        </w:rPr>
        <w:t xml:space="preserve">: An establishment is present in county </w:t>
      </w:r>
      <m:oMath>
        <m:r>
          <w:rPr>
            <w:rFonts w:ascii="Cambria Math" w:hAnsi="Cambria Math" w:cs="Times New Roman"/>
            <w:lang/>
          </w:rPr>
          <m:t>C</m:t>
        </m:r>
      </m:oMath>
      <w:r w:rsidRPr="00D61046">
        <w:rPr>
          <w:rFonts w:cs="Times New Roman"/>
          <w:lang/>
        </w:rPr>
        <w:t xml:space="preserve"> in </w:t>
      </w:r>
      <m:oMath>
        <m:r>
          <w:rPr>
            <w:rFonts w:ascii="Cambria Math" w:hAnsi="Cambria Math" w:cs="Times New Roman"/>
            <w:lang/>
          </w:rPr>
          <m:t>T-1</m:t>
        </m:r>
      </m:oMath>
      <w:r w:rsidRPr="00D61046">
        <w:rPr>
          <w:rFonts w:cs="Times New Roman"/>
          <w:lang/>
        </w:rPr>
        <w:t xml:space="preserve"> </w:t>
      </w:r>
      <w:r w:rsidRPr="00D61046">
        <w:rPr>
          <w:rFonts w:cs="Times New Roman"/>
          <w:lang/>
        </w:rPr>
        <w:t xml:space="preserve">but absent in any California county in </w:t>
      </w:r>
      <m:oMath>
        <m:r>
          <w:rPr>
            <w:rFonts w:ascii="Cambria Math" w:hAnsi="Cambria Math" w:cs="Times New Roman"/>
            <w:lang/>
          </w:rPr>
          <m:t>T</m:t>
        </m:r>
      </m:oMath>
      <w:r w:rsidRPr="00D61046">
        <w:rPr>
          <w:rFonts w:cs="Times New Roman"/>
          <w:lang/>
        </w:rPr>
        <w:t>.</w:t>
      </w:r>
    </w:p>
    <w:p w14:paraId="298047BC" w14:textId="77777777" w:rsidR="00D61046" w:rsidRPr="00D61046" w:rsidRDefault="00D61046" w:rsidP="00030874">
      <w:pPr>
        <w:numPr>
          <w:ilvl w:val="0"/>
          <w:numId w:val="17"/>
        </w:numPr>
        <w:ind w:left="360"/>
        <w:contextualSpacing/>
        <w:rPr>
          <w:rFonts w:cs="Times New Roman"/>
          <w:lang/>
        </w:rPr>
      </w:pPr>
      <w:r w:rsidRPr="00D61046">
        <w:rPr>
          <w:rFonts w:cs="Times New Roman"/>
          <w:b/>
          <w:bCs/>
          <w:lang/>
        </w:rPr>
        <w:t>Outward Relocations</w:t>
      </w:r>
      <w:r w:rsidRPr="00D61046">
        <w:rPr>
          <w:rFonts w:cs="Times New Roman"/>
          <w:lang/>
        </w:rPr>
        <w:t xml:space="preserve">: An establishment is present in county </w:t>
      </w:r>
      <m:oMath>
        <m:r>
          <w:rPr>
            <w:rFonts w:ascii="Cambria Math" w:hAnsi="Cambria Math" w:cs="Times New Roman"/>
            <w:lang/>
          </w:rPr>
          <m:t>C</m:t>
        </m:r>
      </m:oMath>
      <w:r w:rsidRPr="00D61046">
        <w:rPr>
          <w:rFonts w:cs="Times New Roman"/>
          <w:lang/>
        </w:rPr>
        <w:t xml:space="preserve"> in </w:t>
      </w:r>
      <m:oMath>
        <m:r>
          <w:rPr>
            <w:rFonts w:ascii="Cambria Math" w:hAnsi="Cambria Math" w:cs="Times New Roman"/>
            <w:lang/>
          </w:rPr>
          <m:t>T-1</m:t>
        </m:r>
      </m:oMath>
      <w:r w:rsidRPr="00D61046">
        <w:rPr>
          <w:rFonts w:cs="Times New Roman"/>
          <w:lang/>
        </w:rPr>
        <w:t xml:space="preserve"> but located in a different California county in </w:t>
      </w:r>
      <m:oMath>
        <m:r>
          <w:rPr>
            <w:rFonts w:ascii="Cambria Math" w:hAnsi="Cambria Math" w:cs="Times New Roman"/>
            <w:lang/>
          </w:rPr>
          <m:t>T</m:t>
        </m:r>
      </m:oMath>
      <w:r w:rsidRPr="00D61046">
        <w:rPr>
          <w:rFonts w:cs="Times New Roman"/>
          <w:lang/>
        </w:rPr>
        <w:t>.</w:t>
      </w:r>
    </w:p>
    <w:p w14:paraId="394CD0D6" w14:textId="77777777" w:rsidR="00D61046" w:rsidRPr="00D61046" w:rsidRDefault="00D61046" w:rsidP="00030874">
      <w:pPr>
        <w:numPr>
          <w:ilvl w:val="0"/>
          <w:numId w:val="18"/>
        </w:numPr>
        <w:ind w:left="360"/>
        <w:contextualSpacing/>
        <w:rPr>
          <w:rFonts w:cs="Times New Roman"/>
          <w:lang/>
        </w:rPr>
      </w:pPr>
      <w:r w:rsidRPr="00D61046">
        <w:rPr>
          <w:rFonts w:cs="Times New Roman"/>
          <w:b/>
          <w:bCs/>
          <w:lang/>
        </w:rPr>
        <w:t>Employment</w:t>
      </w:r>
      <w:r w:rsidRPr="00D61046">
        <w:rPr>
          <w:rFonts w:cs="Times New Roman"/>
          <w:lang/>
        </w:rPr>
        <w:t>: The total number of employees within a sector in a California county.</w:t>
      </w:r>
    </w:p>
    <w:p w14:paraId="52F47DE7" w14:textId="77777777" w:rsidR="00D61046" w:rsidRPr="00D61046" w:rsidRDefault="00D61046" w:rsidP="00030874">
      <w:pPr>
        <w:numPr>
          <w:ilvl w:val="0"/>
          <w:numId w:val="18"/>
        </w:numPr>
        <w:ind w:left="360"/>
        <w:contextualSpacing/>
        <w:rPr>
          <w:rFonts w:cs="Times New Roman"/>
          <w:lang/>
        </w:rPr>
      </w:pPr>
      <w:r w:rsidRPr="00D61046">
        <w:rPr>
          <w:rFonts w:cs="Times New Roman"/>
          <w:b/>
          <w:bCs/>
          <w:lang/>
        </w:rPr>
        <w:t>Sales Volume</w:t>
      </w:r>
      <w:r w:rsidRPr="00D61046">
        <w:rPr>
          <w:rFonts w:cs="Times New Roman"/>
          <w:lang/>
        </w:rPr>
        <w:t>: The total sales volume for a specific sector in a California county.</w:t>
      </w:r>
    </w:p>
    <w:p w14:paraId="088EF0CC" w14:textId="77777777" w:rsidR="00D61046" w:rsidRPr="00D61046" w:rsidRDefault="00D61046" w:rsidP="009908F2">
      <w:pPr>
        <w:rPr>
          <w:rFonts w:cs="Times New Roman"/>
          <w:lang/>
        </w:rPr>
      </w:pPr>
      <w:r w:rsidRPr="00D61046">
        <w:rPr>
          <w:rFonts w:cs="Times New Roman"/>
          <w:lang/>
        </w:rPr>
        <w:lastRenderedPageBreak/>
        <w:t xml:space="preserve">County-level aggregates of these </w:t>
      </w:r>
      <w:r w:rsidRPr="00D61046">
        <w:rPr>
          <w:rFonts w:cs="Times New Roman"/>
          <w:lang/>
        </w:rPr>
        <w:t xml:space="preserve">six </w:t>
      </w:r>
      <w:r w:rsidRPr="00D61046">
        <w:rPr>
          <w:rFonts w:cs="Times New Roman"/>
          <w:lang/>
        </w:rPr>
        <w:t>variables were computed annually for each</w:t>
      </w:r>
      <w:r w:rsidRPr="00D61046">
        <w:rPr>
          <w:rFonts w:cs="Times New Roman"/>
          <w:lang/>
        </w:rPr>
        <w:t xml:space="preserve"> of the five</w:t>
      </w:r>
      <w:r w:rsidRPr="00D61046">
        <w:rPr>
          <w:rFonts w:cs="Times New Roman"/>
          <w:lang/>
        </w:rPr>
        <w:t xml:space="preserve"> </w:t>
      </w:r>
      <w:r w:rsidRPr="00D61046">
        <w:rPr>
          <w:rFonts w:cs="Times New Roman"/>
          <w:lang/>
        </w:rPr>
        <w:t xml:space="preserve">NAICS </w:t>
      </w:r>
      <w:r w:rsidRPr="00D61046">
        <w:rPr>
          <w:rFonts w:cs="Times New Roman"/>
          <w:lang/>
        </w:rPr>
        <w:t>sector</w:t>
      </w:r>
      <w:r w:rsidRPr="00D61046">
        <w:rPr>
          <w:rFonts w:cs="Times New Roman"/>
          <w:lang/>
        </w:rPr>
        <w:t xml:space="preserve">s, as well as for the </w:t>
      </w:r>
      <w:r w:rsidRPr="00D61046">
        <w:rPr>
          <w:rFonts w:cs="Times New Roman"/>
          <w:lang/>
        </w:rPr>
        <w:t>aggregate LIS sector</w:t>
      </w:r>
      <w:r w:rsidRPr="00D61046">
        <w:rPr>
          <w:rFonts w:cs="Times New Roman"/>
          <w:lang/>
        </w:rPr>
        <w:t xml:space="preserve"> which is composed of establishments from NAICS 11, 21, 22, 23</w:t>
      </w:r>
      <w:r w:rsidRPr="00D61046">
        <w:rPr>
          <w:rFonts w:cs="Times New Roman"/>
          <w:lang/>
        </w:rPr>
        <w:t>. Additional outcome variables include:</w:t>
      </w:r>
    </w:p>
    <w:p w14:paraId="6EB86878" w14:textId="65EF5244" w:rsidR="00D61046" w:rsidRPr="00D61046" w:rsidRDefault="00030874" w:rsidP="001953BB">
      <w:pPr>
        <w:pStyle w:val="Heading4"/>
      </w:pPr>
      <w:bookmarkStart w:id="348" w:name="_Toc187556295"/>
      <w:r>
        <w:t>2.</w:t>
      </w:r>
      <w:r w:rsidR="00D61046" w:rsidRPr="00D61046">
        <w:t>3.1.2 Summary Statistics of Dependent Variables</w:t>
      </w:r>
      <w:bookmarkEnd w:id="348"/>
    </w:p>
    <w:p w14:paraId="338CC3CC" w14:textId="69CC340B" w:rsidR="00D61046" w:rsidRPr="00D61046" w:rsidRDefault="00D61046" w:rsidP="009908F2">
      <w:pPr>
        <w:rPr>
          <w:rFonts w:eastAsia="Calibri" w:cs="Times New Roman"/>
          <w:lang/>
        </w:rPr>
      </w:pPr>
      <w:r w:rsidRPr="00455BDE">
        <w:rPr>
          <w:rFonts w:eastAsia="Calibri" w:cs="Times New Roman"/>
          <w:b/>
          <w:bCs/>
          <w:lang/>
        </w:rPr>
        <w:t xml:space="preserve">Table </w:t>
      </w:r>
      <w:r w:rsidRPr="00455BDE">
        <w:rPr>
          <w:rFonts w:eastAsia="Calibri" w:cs="Times New Roman"/>
          <w:b/>
          <w:bCs/>
        </w:rPr>
        <w:t>A</w:t>
      </w:r>
      <w:r w:rsidR="00D36345" w:rsidRPr="00455BDE">
        <w:rPr>
          <w:rFonts w:eastAsia="Calibri" w:cs="Times New Roman"/>
          <w:b/>
          <w:bCs/>
        </w:rPr>
        <w:t>30</w:t>
      </w:r>
      <w:r w:rsidRPr="00D61046">
        <w:rPr>
          <w:rFonts w:eastAsia="Calibri" w:cs="Times New Roman"/>
          <w:lang/>
        </w:rPr>
        <w:t xml:space="preserve"> provides summary statistics for the dependent variables across five key sectors (NAICS 11, 21, 22, 23, and 31-33), aggregated at the county-year level. The dataset covers 58 California counties over a 21-year period (1998–2018), offering a comprehensive view of sectoral economic activity, including sales volume, employment, and establishment dynamics (births, deaths, inward relocations, and outward relocations).</w:t>
      </w:r>
      <w:r w:rsidRPr="00D61046">
        <w:rPr>
          <w:rFonts w:eastAsia="Calibri" w:cs="Times New Roman"/>
        </w:rPr>
        <w:t xml:space="preserve"> </w:t>
      </w:r>
      <w:r w:rsidRPr="00D61046">
        <w:rPr>
          <w:rFonts w:eastAsia="Calibri" w:cs="Times New Roman"/>
          <w:lang/>
        </w:rPr>
        <w:t>Observations with zero sales volume or employees reflect establishments that were temporarily closed, inactive, or had incomplete data. These are included to account for the full range of economic outcomes, capturing downturns or inactivity relevant to understanding sectoral resilience.</w:t>
      </w:r>
    </w:p>
    <w:p w14:paraId="3A403ADB" w14:textId="77777777" w:rsidR="00D61046" w:rsidRPr="00D61046" w:rsidRDefault="00D61046" w:rsidP="009908F2">
      <w:pPr>
        <w:rPr>
          <w:rFonts w:eastAsia="Calibri" w:cs="Times New Roman"/>
        </w:rPr>
      </w:pPr>
      <w:proofErr w:type="gramStart"/>
      <w:r w:rsidRPr="00D61046">
        <w:rPr>
          <w:rFonts w:eastAsia="Calibri" w:cs="Times New Roman"/>
        </w:rPr>
        <w:t>In regards to</w:t>
      </w:r>
      <w:proofErr w:type="gramEnd"/>
      <w:r w:rsidRPr="00D61046">
        <w:rPr>
          <w:rFonts w:eastAsia="Calibri" w:cs="Times New Roman"/>
        </w:rPr>
        <w:t xml:space="preserve"> NAICS 11, Agriculture shows modest levels of average </w:t>
      </w:r>
      <w:r w:rsidRPr="00D61046">
        <w:rPr>
          <w:rFonts w:eastAsia="Calibri" w:cs="Times New Roman"/>
          <w:lang/>
        </w:rPr>
        <w:t>sales volume ($</w:t>
      </w:r>
      <w:r w:rsidRPr="00D61046">
        <w:rPr>
          <w:rFonts w:eastAsia="Calibri" w:cs="Times New Roman"/>
        </w:rPr>
        <w:t>288,897</w:t>
      </w:r>
      <w:r w:rsidRPr="00D61046">
        <w:rPr>
          <w:rFonts w:eastAsia="Calibri" w:cs="Times New Roman"/>
          <w:lang/>
        </w:rPr>
        <w:t xml:space="preserve"> per county-year), with relatively low employment (1,833 employees on average).</w:t>
      </w:r>
      <w:r w:rsidRPr="00D61046">
        <w:rPr>
          <w:rFonts w:eastAsia="Calibri" w:cs="Times New Roman"/>
        </w:rPr>
        <w:t xml:space="preserve"> </w:t>
      </w:r>
      <w:r w:rsidRPr="00D61046">
        <w:rPr>
          <w:rFonts w:eastAsia="Calibri" w:cs="Times New Roman"/>
          <w:lang/>
        </w:rPr>
        <w:t>Establishment dynamics are steady, with moderate levels of births and relocations, reflecting the sector's low mobility and dependence on regional natural resources.</w:t>
      </w:r>
      <w:r w:rsidRPr="00D61046">
        <w:rPr>
          <w:rFonts w:eastAsia="Calibri" w:cs="Times New Roman"/>
        </w:rPr>
        <w:t xml:space="preserve"> </w:t>
      </w:r>
      <w:proofErr w:type="gramStart"/>
      <w:r w:rsidRPr="00D61046">
        <w:rPr>
          <w:rFonts w:eastAsia="Calibri" w:cs="Times New Roman"/>
        </w:rPr>
        <w:t>In regards to</w:t>
      </w:r>
      <w:proofErr w:type="gramEnd"/>
      <w:r w:rsidRPr="00D61046">
        <w:rPr>
          <w:rFonts w:eastAsia="Calibri" w:cs="Times New Roman"/>
        </w:rPr>
        <w:t xml:space="preserve"> </w:t>
      </w:r>
      <w:r w:rsidRPr="00D61046">
        <w:rPr>
          <w:rFonts w:eastAsia="Calibri" w:cs="Times New Roman"/>
          <w:lang/>
        </w:rPr>
        <w:t>NAICS 21</w:t>
      </w:r>
      <w:r w:rsidRPr="00D61046">
        <w:rPr>
          <w:rFonts w:eastAsia="Calibri" w:cs="Times New Roman"/>
        </w:rPr>
        <w:t xml:space="preserve">, </w:t>
      </w:r>
      <w:r w:rsidRPr="00D61046">
        <w:rPr>
          <w:rFonts w:eastAsia="Calibri" w:cs="Times New Roman"/>
          <w:lang/>
        </w:rPr>
        <w:t>Mining has the lowest average sales volume ($</w:t>
      </w:r>
      <w:r w:rsidRPr="00D61046">
        <w:rPr>
          <w:rFonts w:eastAsia="Calibri" w:cs="Times New Roman"/>
        </w:rPr>
        <w:t>125,771</w:t>
      </w:r>
      <w:r w:rsidRPr="00D61046">
        <w:rPr>
          <w:rFonts w:eastAsia="Calibri" w:cs="Times New Roman"/>
          <w:lang/>
        </w:rPr>
        <w:t>) and employment (305 employees), indicative of its niche focus and high capital intensity.</w:t>
      </w:r>
      <w:r w:rsidRPr="00D61046">
        <w:rPr>
          <w:rFonts w:eastAsia="Calibri" w:cs="Times New Roman"/>
        </w:rPr>
        <w:t xml:space="preserve"> </w:t>
      </w:r>
      <w:r w:rsidRPr="00D61046">
        <w:rPr>
          <w:rFonts w:eastAsia="Calibri" w:cs="Times New Roman"/>
          <w:lang/>
        </w:rPr>
        <w:t>Establishment births and relocations are infrequent, reflecting the sector’s static nature due to high entry costs and location-specific resource constraints.</w:t>
      </w:r>
      <w:r w:rsidRPr="00D61046">
        <w:rPr>
          <w:rFonts w:eastAsia="Calibri" w:cs="Times New Roman"/>
        </w:rPr>
        <w:t xml:space="preserve"> </w:t>
      </w:r>
      <w:proofErr w:type="gramStart"/>
      <w:r w:rsidRPr="00D61046">
        <w:rPr>
          <w:rFonts w:eastAsia="Calibri" w:cs="Times New Roman"/>
        </w:rPr>
        <w:t>In regards to</w:t>
      </w:r>
      <w:proofErr w:type="gramEnd"/>
      <w:r w:rsidRPr="00D61046">
        <w:rPr>
          <w:rFonts w:eastAsia="Calibri" w:cs="Times New Roman"/>
        </w:rPr>
        <w:t xml:space="preserve"> </w:t>
      </w:r>
      <w:r w:rsidRPr="00D61046">
        <w:rPr>
          <w:rFonts w:eastAsia="Calibri" w:cs="Times New Roman"/>
          <w:lang/>
        </w:rPr>
        <w:t>NAICS 22</w:t>
      </w:r>
      <w:r w:rsidRPr="00D61046">
        <w:rPr>
          <w:rFonts w:eastAsia="Calibri" w:cs="Times New Roman"/>
        </w:rPr>
        <w:t xml:space="preserve">, </w:t>
      </w:r>
      <w:r w:rsidRPr="00D61046">
        <w:rPr>
          <w:rFonts w:eastAsia="Calibri" w:cs="Times New Roman"/>
          <w:lang/>
        </w:rPr>
        <w:t>Utilities report the highest mean sales volume ($</w:t>
      </w:r>
      <w:r w:rsidRPr="00D61046">
        <w:rPr>
          <w:rFonts w:eastAsia="Calibri" w:cs="Times New Roman"/>
        </w:rPr>
        <w:t>340,319</w:t>
      </w:r>
      <w:r w:rsidRPr="00D61046">
        <w:rPr>
          <w:rFonts w:eastAsia="Calibri" w:cs="Times New Roman"/>
          <w:lang/>
        </w:rPr>
        <w:t>), underscoring their role as critical infrastructure providers.</w:t>
      </w:r>
      <w:r w:rsidRPr="00D61046">
        <w:rPr>
          <w:rFonts w:eastAsia="Calibri" w:cs="Times New Roman"/>
        </w:rPr>
        <w:t xml:space="preserve"> </w:t>
      </w:r>
      <w:r w:rsidRPr="00D61046">
        <w:rPr>
          <w:rFonts w:eastAsia="Calibri" w:cs="Times New Roman"/>
          <w:lang/>
        </w:rPr>
        <w:t xml:space="preserve">Employment levels are moderate (813 </w:t>
      </w:r>
      <w:r w:rsidRPr="00D61046">
        <w:rPr>
          <w:rFonts w:eastAsia="Calibri" w:cs="Times New Roman"/>
          <w:lang/>
        </w:rPr>
        <w:lastRenderedPageBreak/>
        <w:t>employees on average), and establishment relocations are rare, consistent with the sector's infrastructure-driven stability.</w:t>
      </w:r>
      <w:r w:rsidRPr="00D61046">
        <w:rPr>
          <w:rFonts w:eastAsia="Calibri" w:cs="Times New Roman"/>
        </w:rPr>
        <w:t xml:space="preserve"> </w:t>
      </w:r>
    </w:p>
    <w:p w14:paraId="4D1EC3EA" w14:textId="77777777" w:rsidR="00D61046" w:rsidRPr="00D61046" w:rsidRDefault="00D61046" w:rsidP="009908F2">
      <w:pPr>
        <w:rPr>
          <w:rFonts w:eastAsia="Calibri" w:cs="Times New Roman"/>
          <w:lang/>
        </w:rPr>
      </w:pPr>
      <w:proofErr w:type="gramStart"/>
      <w:r w:rsidRPr="00D61046">
        <w:rPr>
          <w:rFonts w:eastAsia="Calibri" w:cs="Times New Roman"/>
        </w:rPr>
        <w:t>In regards to</w:t>
      </w:r>
      <w:proofErr w:type="gramEnd"/>
      <w:r w:rsidRPr="00D61046">
        <w:rPr>
          <w:rFonts w:eastAsia="Calibri" w:cs="Times New Roman"/>
        </w:rPr>
        <w:t xml:space="preserve"> </w:t>
      </w:r>
      <w:r w:rsidRPr="00D61046">
        <w:rPr>
          <w:rFonts w:eastAsia="Calibri" w:cs="Times New Roman"/>
          <w:lang/>
        </w:rPr>
        <w:t>NAICS 23</w:t>
      </w:r>
      <w:r w:rsidRPr="00D61046">
        <w:rPr>
          <w:rFonts w:eastAsia="Calibri" w:cs="Times New Roman"/>
        </w:rPr>
        <w:t xml:space="preserve">, </w:t>
      </w:r>
      <w:r w:rsidRPr="00D61046">
        <w:rPr>
          <w:rFonts w:eastAsia="Calibri" w:cs="Times New Roman"/>
          <w:lang/>
        </w:rPr>
        <w:t>Construction shows high sales volume ($</w:t>
      </w:r>
      <w:r w:rsidRPr="00D61046">
        <w:rPr>
          <w:rFonts w:eastAsia="Calibri" w:cs="Times New Roman"/>
        </w:rPr>
        <w:t>2,596,628</w:t>
      </w:r>
      <w:r w:rsidRPr="00D61046">
        <w:rPr>
          <w:rFonts w:eastAsia="Calibri" w:cs="Times New Roman"/>
          <w:lang/>
        </w:rPr>
        <w:t>) and employment (12,400 employees on average), driven by its pivotal role in economic development and disaster recovery.</w:t>
      </w:r>
      <w:r w:rsidRPr="00D61046">
        <w:rPr>
          <w:rFonts w:eastAsia="Calibri" w:cs="Times New Roman"/>
        </w:rPr>
        <w:t xml:space="preserve"> </w:t>
      </w:r>
      <w:r w:rsidRPr="00D61046">
        <w:rPr>
          <w:rFonts w:eastAsia="Calibri" w:cs="Times New Roman"/>
          <w:lang/>
        </w:rPr>
        <w:t>Construction demonstrates the highest establishment births (338 per county-year) and relocation activity, reflecting its responsiveness to economic cycles and post-wildfire rebuilding efforts.</w:t>
      </w:r>
      <w:r w:rsidRPr="00D61046">
        <w:rPr>
          <w:rFonts w:eastAsia="Calibri" w:cs="Times New Roman"/>
        </w:rPr>
        <w:t xml:space="preserve"> </w:t>
      </w:r>
      <w:proofErr w:type="gramStart"/>
      <w:r w:rsidRPr="00D61046">
        <w:rPr>
          <w:rFonts w:eastAsia="Calibri" w:cs="Times New Roman"/>
        </w:rPr>
        <w:t>In regards to</w:t>
      </w:r>
      <w:proofErr w:type="gramEnd"/>
      <w:r w:rsidRPr="00D61046">
        <w:rPr>
          <w:rFonts w:eastAsia="Calibri" w:cs="Times New Roman"/>
        </w:rPr>
        <w:t xml:space="preserve"> </w:t>
      </w:r>
      <w:r w:rsidRPr="00D61046">
        <w:rPr>
          <w:rFonts w:eastAsia="Calibri" w:cs="Times New Roman"/>
          <w:lang/>
        </w:rPr>
        <w:t>NAICS 31-33</w:t>
      </w:r>
      <w:r w:rsidRPr="00D61046">
        <w:rPr>
          <w:rFonts w:eastAsia="Calibri" w:cs="Times New Roman"/>
        </w:rPr>
        <w:t xml:space="preserve">, </w:t>
      </w:r>
      <w:r w:rsidRPr="00D61046">
        <w:rPr>
          <w:rFonts w:eastAsia="Calibri" w:cs="Times New Roman"/>
          <w:lang/>
        </w:rPr>
        <w:t>Manufacturing ranks second in sales volume ($</w:t>
      </w:r>
      <w:r w:rsidRPr="00D61046">
        <w:rPr>
          <w:rFonts w:eastAsia="Calibri" w:cs="Times New Roman"/>
        </w:rPr>
        <w:t>4,809,024</w:t>
      </w:r>
      <w:r w:rsidRPr="00D61046">
        <w:rPr>
          <w:rFonts w:eastAsia="Calibri" w:cs="Times New Roman"/>
          <w:lang/>
        </w:rPr>
        <w:t>) and leads in employment (23,981 employees on average), emphasizing its importance to California’s economy.</w:t>
      </w:r>
      <w:r w:rsidRPr="00D61046">
        <w:rPr>
          <w:rFonts w:eastAsia="Calibri" w:cs="Times New Roman"/>
        </w:rPr>
        <w:t xml:space="preserve"> </w:t>
      </w:r>
      <w:r w:rsidRPr="00D61046">
        <w:rPr>
          <w:rFonts w:eastAsia="Calibri" w:cs="Times New Roman"/>
          <w:lang/>
        </w:rPr>
        <w:t>The sector also shows notable relocation activity, driven by supply chain demands and competitive regional dynamics.</w:t>
      </w:r>
    </w:p>
    <w:p w14:paraId="304ED87A" w14:textId="77777777" w:rsidR="00D61046" w:rsidRPr="00D61046" w:rsidRDefault="00D61046" w:rsidP="009908F2">
      <w:pPr>
        <w:rPr>
          <w:rFonts w:eastAsia="Calibri" w:cs="Times New Roman"/>
          <w:lang/>
        </w:rPr>
      </w:pPr>
      <w:r w:rsidRPr="00D61046">
        <w:rPr>
          <w:rFonts w:eastAsia="Calibri" w:cs="Times New Roman"/>
        </w:rPr>
        <w:t xml:space="preserve">Through the </w:t>
      </w:r>
      <w:r w:rsidRPr="00D61046">
        <w:rPr>
          <w:rFonts w:eastAsia="Calibri" w:cs="Times New Roman"/>
          <w:lang/>
        </w:rPr>
        <w:t xml:space="preserve">comparative </w:t>
      </w:r>
      <w:r w:rsidRPr="00D61046">
        <w:rPr>
          <w:rFonts w:eastAsia="Calibri" w:cs="Times New Roman"/>
        </w:rPr>
        <w:t xml:space="preserve">lenses, we find that </w:t>
      </w:r>
      <w:r w:rsidRPr="00D61046">
        <w:rPr>
          <w:rFonts w:eastAsia="Calibri" w:cs="Times New Roman"/>
          <w:lang/>
        </w:rPr>
        <w:t>Utilities and Manufacturing dominate sales, reflecting their substantial economic contributions, while Agriculture and Mining represent smaller-scale sectors.</w:t>
      </w:r>
      <w:r w:rsidRPr="00D61046">
        <w:rPr>
          <w:rFonts w:eastAsia="Calibri" w:cs="Times New Roman"/>
        </w:rPr>
        <w:t xml:space="preserve"> </w:t>
      </w:r>
      <w:r w:rsidRPr="00D61046">
        <w:rPr>
          <w:rFonts w:eastAsia="Calibri" w:cs="Times New Roman"/>
          <w:lang/>
        </w:rPr>
        <w:t xml:space="preserve">Manufacturing and Construction lead in workforce size, whereas Agriculture and Mining show smaller, more localized employment structures. Construction exhibits the most dynamic establishment activity, </w:t>
      </w:r>
      <w:r w:rsidRPr="00D61046">
        <w:rPr>
          <w:rFonts w:eastAsia="Calibri" w:cs="Times New Roman"/>
        </w:rPr>
        <w:t xml:space="preserve">possibly </w:t>
      </w:r>
      <w:r w:rsidRPr="00D61046">
        <w:rPr>
          <w:rFonts w:eastAsia="Calibri" w:cs="Times New Roman"/>
          <w:lang/>
        </w:rPr>
        <w:t>reflecting its flexibility and responsiveness to demand surges, particularly during recovery periods. In contrast, Utilities and Mining show greater stability</w:t>
      </w:r>
      <w:r w:rsidRPr="00D61046">
        <w:rPr>
          <w:rFonts w:eastAsia="Calibri" w:cs="Times New Roman"/>
        </w:rPr>
        <w:t>, probably</w:t>
      </w:r>
      <w:r w:rsidRPr="00D61046">
        <w:rPr>
          <w:rFonts w:eastAsia="Calibri" w:cs="Times New Roman"/>
          <w:lang/>
        </w:rPr>
        <w:t xml:space="preserve"> due to fixed infrastructure and sector-specific constraints.</w:t>
      </w:r>
    </w:p>
    <w:p w14:paraId="5BD38C72" w14:textId="77777777" w:rsidR="00D61046" w:rsidRPr="00D61046" w:rsidRDefault="00D61046" w:rsidP="009908F2">
      <w:pPr>
        <w:rPr>
          <w:rFonts w:eastAsia="Calibri" w:cs="Times New Roman"/>
          <w:lang/>
        </w:rPr>
      </w:pPr>
      <w:r w:rsidRPr="00D61046">
        <w:rPr>
          <w:rFonts w:eastAsia="Calibri" w:cs="Times New Roman"/>
          <w:lang/>
        </w:rPr>
        <w:t xml:space="preserve">These </w:t>
      </w:r>
      <w:r w:rsidRPr="00D61046">
        <w:rPr>
          <w:rFonts w:eastAsia="Calibri" w:cs="Times New Roman"/>
        </w:rPr>
        <w:t xml:space="preserve">summary </w:t>
      </w:r>
      <w:r w:rsidRPr="00D61046">
        <w:rPr>
          <w:rFonts w:eastAsia="Calibri" w:cs="Times New Roman"/>
          <w:lang/>
        </w:rPr>
        <w:t xml:space="preserve">statistics reveal significant sectoral variations in economic activity, workforce composition, and establishment dynamics, which are critical for understanding sectoral vulnerabilities and resilience to wildfire risks. For instance, sectors like Construction and </w:t>
      </w:r>
      <w:r w:rsidRPr="00D61046">
        <w:rPr>
          <w:rFonts w:eastAsia="Calibri" w:cs="Times New Roman"/>
          <w:lang/>
        </w:rPr>
        <w:lastRenderedPageBreak/>
        <w:t>Manufacturing, with high establishment mobility, may be more adaptable to disruptions, while those with fixed infrastructure, such as Utilities and Mining, may face greater challenges. These insights are essential for designing targeted policy interventions to enhance resilience and mitigate economic losses in wildfire-prone regions.</w:t>
      </w:r>
    </w:p>
    <w:p w14:paraId="5DBFE03B" w14:textId="47E8C214" w:rsidR="00D61046" w:rsidRPr="00D61046" w:rsidRDefault="00030874" w:rsidP="009908F2">
      <w:pPr>
        <w:pStyle w:val="Heading3"/>
      </w:pPr>
      <w:bookmarkStart w:id="349" w:name="_Toc187556296"/>
      <w:bookmarkStart w:id="350" w:name="_Toc188379012"/>
      <w:r>
        <w:rPr>
          <w:lang w:val="en-US"/>
        </w:rPr>
        <w:t>2.</w:t>
      </w:r>
      <w:r w:rsidR="00D61046" w:rsidRPr="00D61046">
        <w:t>3.2 Control Variables</w:t>
      </w:r>
      <w:bookmarkEnd w:id="349"/>
      <w:bookmarkEnd w:id="350"/>
    </w:p>
    <w:p w14:paraId="250A2A13" w14:textId="0D9425B8" w:rsidR="00D61046" w:rsidRPr="00D61046" w:rsidRDefault="00D61046" w:rsidP="009908F2">
      <w:pPr>
        <w:rPr>
          <w:rFonts w:eastAsia="Calibri" w:cs="Times New Roman"/>
          <w:b/>
          <w:bCs/>
          <w:lang/>
        </w:rPr>
      </w:pPr>
      <w:r w:rsidRPr="00D61046">
        <w:rPr>
          <w:rFonts w:eastAsia="Calibri" w:cs="Times New Roman"/>
          <w:lang/>
        </w:rPr>
        <w:t xml:space="preserve">To address potential confounding factors influencing establishment location decisions, labor market outcomes, and establishment performance, a comprehensive set of control variables was incorporated at the county level. These include wildfire-related metrics, socio-economic and demographic indicators, and environmental variables, drawing on methodologies established in prior research (e.g., List, 2001; Greenstone, 2002; Bollinger et al., 2018; Kim et al., 2019; Moretti, 2011). </w:t>
      </w:r>
      <w:r w:rsidRPr="00455BDE">
        <w:rPr>
          <w:rFonts w:eastAsia="Calibri" w:cs="Times New Roman"/>
          <w:b/>
          <w:bCs/>
          <w:lang/>
        </w:rPr>
        <w:t>Table A</w:t>
      </w:r>
      <w:r w:rsidR="00D36345" w:rsidRPr="00455BDE">
        <w:rPr>
          <w:rFonts w:eastAsia="Calibri" w:cs="Times New Roman"/>
          <w:b/>
          <w:bCs/>
        </w:rPr>
        <w:t>31</w:t>
      </w:r>
      <w:r w:rsidRPr="00D61046">
        <w:rPr>
          <w:rFonts w:eastAsia="Calibri" w:cs="Times New Roman"/>
          <w:lang/>
        </w:rPr>
        <w:t xml:space="preserve"> summarizes the descriptive statistics for these control variables, measured annually at the county level over the 1998–2018 period.</w:t>
      </w:r>
    </w:p>
    <w:p w14:paraId="11FCF14C" w14:textId="5337192C" w:rsidR="00D61046" w:rsidRPr="00D61046" w:rsidRDefault="00030874" w:rsidP="001953BB">
      <w:pPr>
        <w:pStyle w:val="Heading4"/>
      </w:pPr>
      <w:bookmarkStart w:id="351" w:name="_Toc187556297"/>
      <w:r>
        <w:t>2.</w:t>
      </w:r>
      <w:r w:rsidR="00D61046" w:rsidRPr="00D61046">
        <w:t>3.2.1 Wildfire Data</w:t>
      </w:r>
      <w:bookmarkEnd w:id="351"/>
    </w:p>
    <w:p w14:paraId="2FC1B4A5" w14:textId="77777777" w:rsidR="00D61046" w:rsidRPr="00D61046" w:rsidRDefault="00D61046" w:rsidP="009908F2">
      <w:pPr>
        <w:rPr>
          <w:rFonts w:eastAsia="Calibri" w:cs="Times New Roman"/>
        </w:rPr>
      </w:pPr>
      <w:r w:rsidRPr="00D61046">
        <w:rPr>
          <w:rFonts w:eastAsia="Calibri" w:cs="Times New Roman"/>
        </w:rPr>
        <w:t>H</w:t>
      </w:r>
      <w:r w:rsidRPr="00D61046">
        <w:rPr>
          <w:rFonts w:eastAsia="Calibri" w:cs="Times New Roman"/>
          <w:lang/>
        </w:rPr>
        <w:t xml:space="preserve">istorical wildfire data </w:t>
      </w:r>
      <w:r w:rsidRPr="00D61046">
        <w:rPr>
          <w:rFonts w:eastAsia="Calibri" w:cs="Times New Roman"/>
        </w:rPr>
        <w:t xml:space="preserve">was </w:t>
      </w:r>
      <w:r w:rsidRPr="00D61046">
        <w:rPr>
          <w:rFonts w:eastAsia="Calibri" w:cs="Times New Roman"/>
          <w:lang/>
        </w:rPr>
        <w:t xml:space="preserve">sourced from </w:t>
      </w:r>
      <w:r w:rsidRPr="00D61046">
        <w:rPr>
          <w:rFonts w:eastAsia="Calibri" w:cs="Times New Roman"/>
        </w:rPr>
        <w:t xml:space="preserve">the </w:t>
      </w:r>
      <w:r w:rsidRPr="00D61046">
        <w:rPr>
          <w:rFonts w:eastAsia="Calibri" w:cs="Times New Roman"/>
          <w:color w:val="000000"/>
          <w:lang/>
        </w:rPr>
        <w:t>California Department of Forestry and Fire Protection</w:t>
      </w:r>
      <w:r w:rsidRPr="00D61046">
        <w:rPr>
          <w:rFonts w:eastAsia="Calibri" w:cs="Times New Roman"/>
          <w:color w:val="000000"/>
        </w:rPr>
        <w:t xml:space="preserve"> (</w:t>
      </w:r>
      <w:r w:rsidRPr="00D61046">
        <w:rPr>
          <w:rFonts w:eastAsia="Calibri" w:cs="Times New Roman"/>
          <w:lang/>
        </w:rPr>
        <w:t>CAL FIRE</w:t>
      </w:r>
      <w:proofErr w:type="gramStart"/>
      <w:r w:rsidRPr="00D61046">
        <w:rPr>
          <w:rFonts w:eastAsia="Calibri" w:cs="Times New Roman"/>
        </w:rPr>
        <w:t>), and</w:t>
      </w:r>
      <w:proofErr w:type="gramEnd"/>
      <w:r w:rsidRPr="00D61046">
        <w:rPr>
          <w:rFonts w:eastAsia="Calibri" w:cs="Times New Roman"/>
        </w:rPr>
        <w:t xml:space="preserve"> cross-checked it with</w:t>
      </w:r>
      <w:r w:rsidRPr="00D61046">
        <w:rPr>
          <w:rFonts w:eastAsia="Calibri" w:cs="Times New Roman"/>
          <w:lang/>
        </w:rPr>
        <w:t xml:space="preserve"> the National Interagency Fire Center (NIFC), and the US Geological Survey (USGS)</w:t>
      </w:r>
      <w:r w:rsidRPr="00D61046">
        <w:rPr>
          <w:rFonts w:eastAsia="Calibri" w:cs="Times New Roman"/>
        </w:rPr>
        <w:t>. Our compiled Wildfire dataset</w:t>
      </w:r>
      <w:r w:rsidRPr="00D61046">
        <w:rPr>
          <w:rFonts w:eastAsia="Calibri" w:cs="Times New Roman"/>
          <w:lang/>
        </w:rPr>
        <w:t xml:space="preserve"> include</w:t>
      </w:r>
      <w:r w:rsidRPr="00D61046">
        <w:rPr>
          <w:rFonts w:eastAsia="Calibri" w:cs="Times New Roman"/>
        </w:rPr>
        <w:t>d</w:t>
      </w:r>
      <w:r w:rsidRPr="00D61046">
        <w:rPr>
          <w:rFonts w:eastAsia="Calibri" w:cs="Times New Roman"/>
          <w:lang/>
        </w:rPr>
        <w:t xml:space="preserve"> detailed information on each wildfire, such as unique identifiers, reporting agencies, fire names, fire years, causes (e.g., natural or human-induced), discovery and suppression dates, locations, and acres burned (CalFire, 2021; NIFC, 2021; USGS, 2021).</w:t>
      </w:r>
      <w:r w:rsidRPr="00D61046">
        <w:rPr>
          <w:rFonts w:eastAsia="Calibri" w:cs="Times New Roman"/>
        </w:rPr>
        <w:t xml:space="preserve"> </w:t>
      </w:r>
    </w:p>
    <w:p w14:paraId="353BF516" w14:textId="5B2C225E" w:rsidR="00D61046" w:rsidRPr="00D61046" w:rsidRDefault="00D61046" w:rsidP="009908F2">
      <w:pPr>
        <w:rPr>
          <w:rFonts w:eastAsia="Calibri" w:cs="Times New Roman"/>
          <w:lang/>
        </w:rPr>
      </w:pPr>
      <w:proofErr w:type="gramStart"/>
      <w:r w:rsidRPr="00D61046">
        <w:rPr>
          <w:rFonts w:eastAsia="Calibri" w:cs="Times New Roman"/>
          <w:color w:val="000000"/>
        </w:rPr>
        <w:t>For the purpose of</w:t>
      </w:r>
      <w:proofErr w:type="gramEnd"/>
      <w:r w:rsidRPr="00D61046">
        <w:rPr>
          <w:rFonts w:eastAsia="Calibri" w:cs="Times New Roman"/>
          <w:color w:val="000000"/>
        </w:rPr>
        <w:t xml:space="preserve"> our analysis, we used ARCGIS Pro to construct </w:t>
      </w:r>
      <w:r w:rsidRPr="00D61046">
        <w:rPr>
          <w:rFonts w:eastAsia="Calibri" w:cs="Times New Roman"/>
        </w:rPr>
        <w:t xml:space="preserve">our two county-level wildfire variables which served as measures for the frequency and intensity of wildfires. Firstly, the </w:t>
      </w:r>
      <w:r w:rsidRPr="00D61046">
        <w:rPr>
          <w:rFonts w:eastAsia="Calibri" w:cs="Times New Roman"/>
        </w:rPr>
        <w:lastRenderedPageBreak/>
        <w:t xml:space="preserve">annual count of wildfires within each county and secondly the annual total proportion of county land area burned by wildfires. </w:t>
      </w:r>
      <w:r w:rsidRPr="00D61046">
        <w:rPr>
          <w:rFonts w:eastAsia="Calibri" w:cs="Times New Roman"/>
          <w:color w:val="000000"/>
        </w:rPr>
        <w:t xml:space="preserve">For descriptive purposes, we present the </w:t>
      </w:r>
      <w:r w:rsidRPr="00D61046">
        <w:rPr>
          <w:rFonts w:eastAsia="Calibri" w:cs="Times New Roman"/>
          <w:color w:val="000000"/>
          <w:lang/>
        </w:rPr>
        <w:t>trends and patterns in wildfire-related variables</w:t>
      </w:r>
      <w:r w:rsidRPr="00D61046">
        <w:rPr>
          <w:rFonts w:eastAsia="Calibri" w:cs="Times New Roman"/>
          <w:color w:val="000000"/>
        </w:rPr>
        <w:t xml:space="preserve"> for the 1998-2018 period, as shown in </w:t>
      </w:r>
      <w:r w:rsidRPr="003D770C">
        <w:rPr>
          <w:rFonts w:eastAsia="Calibri" w:cs="Times New Roman"/>
          <w:b/>
          <w:bCs/>
          <w:color w:val="000000"/>
        </w:rPr>
        <w:t>Figure A1</w:t>
      </w:r>
      <w:r w:rsidR="00D36345" w:rsidRPr="003D770C">
        <w:rPr>
          <w:rFonts w:eastAsia="Calibri" w:cs="Times New Roman"/>
          <w:b/>
          <w:bCs/>
          <w:color w:val="000000"/>
        </w:rPr>
        <w:t>3</w:t>
      </w:r>
      <w:r w:rsidRPr="00D61046">
        <w:rPr>
          <w:rFonts w:eastAsia="Calibri" w:cs="Times New Roman"/>
          <w:color w:val="000000"/>
        </w:rPr>
        <w:t xml:space="preserve"> and </w:t>
      </w:r>
      <w:r w:rsidRPr="003D770C">
        <w:rPr>
          <w:rFonts w:eastAsia="Calibri" w:cs="Times New Roman"/>
          <w:b/>
          <w:bCs/>
          <w:color w:val="000000"/>
        </w:rPr>
        <w:t>Figure A</w:t>
      </w:r>
      <w:r w:rsidR="00D36345" w:rsidRPr="003D770C">
        <w:rPr>
          <w:rFonts w:eastAsia="Calibri" w:cs="Times New Roman"/>
          <w:b/>
          <w:bCs/>
          <w:color w:val="000000"/>
        </w:rPr>
        <w:t>14</w:t>
      </w:r>
      <w:r w:rsidRPr="00D61046">
        <w:rPr>
          <w:rFonts w:eastAsia="Calibri" w:cs="Times New Roman"/>
          <w:color w:val="000000"/>
          <w:lang/>
        </w:rPr>
        <w:t xml:space="preserve">. </w:t>
      </w:r>
    </w:p>
    <w:p w14:paraId="583609FC" w14:textId="4FE9C230" w:rsidR="00D61046" w:rsidRPr="00D61046" w:rsidRDefault="00D61046" w:rsidP="009908F2">
      <w:pPr>
        <w:rPr>
          <w:rFonts w:cs="Times New Roman"/>
          <w:lang/>
        </w:rPr>
      </w:pPr>
      <w:bookmarkStart w:id="352" w:name="_Toc159609331"/>
      <w:r w:rsidRPr="003D770C">
        <w:rPr>
          <w:rFonts w:cs="Times New Roman"/>
          <w:b/>
          <w:bCs/>
          <w:lang/>
        </w:rPr>
        <w:t xml:space="preserve">Figure </w:t>
      </w:r>
      <w:r w:rsidRPr="003D770C">
        <w:rPr>
          <w:rFonts w:cs="Times New Roman"/>
          <w:b/>
          <w:bCs/>
          <w:lang/>
        </w:rPr>
        <w:t>A</w:t>
      </w:r>
      <w:r w:rsidRPr="003D770C">
        <w:rPr>
          <w:rFonts w:cs="Times New Roman"/>
          <w:b/>
          <w:bCs/>
          <w:lang/>
        </w:rPr>
        <w:t>1</w:t>
      </w:r>
      <w:r w:rsidR="00D36345" w:rsidRPr="003D770C">
        <w:rPr>
          <w:rFonts w:cs="Times New Roman"/>
          <w:b/>
          <w:bCs/>
          <w:lang/>
        </w:rPr>
        <w:t>3</w:t>
      </w:r>
      <w:r w:rsidRPr="00D61046">
        <w:rPr>
          <w:rFonts w:cs="Times New Roman"/>
          <w:lang/>
        </w:rPr>
        <w:t xml:space="preserve"> illustrates the geographic distribution of establishments (top panel) and wildfires (bottom panel) across California from 1997 to 2018, color-coded by year. This visualization provides a clear depiction of the spatial and temporal dynamics of economic activity and wildfire exposure during the study period.</w:t>
      </w:r>
    </w:p>
    <w:p w14:paraId="2C29DCD8" w14:textId="77777777" w:rsidR="00D61046" w:rsidRPr="00D61046" w:rsidRDefault="00D61046" w:rsidP="009908F2">
      <w:pPr>
        <w:rPr>
          <w:rFonts w:cs="Times New Roman"/>
          <w:lang/>
        </w:rPr>
      </w:pPr>
      <w:r w:rsidRPr="00D61046">
        <w:rPr>
          <w:rFonts w:cs="Times New Roman"/>
          <w:b/>
          <w:bCs/>
          <w:lang/>
        </w:rPr>
        <w:t>Geographic Distribution of Establishments</w:t>
      </w:r>
      <w:r w:rsidRPr="00D61046">
        <w:rPr>
          <w:rFonts w:cs="Times New Roman"/>
          <w:b/>
          <w:bCs/>
          <w:lang/>
        </w:rPr>
        <w:t xml:space="preserve">: </w:t>
      </w:r>
      <w:r w:rsidRPr="00D61046">
        <w:rPr>
          <w:rFonts w:cs="Times New Roman"/>
          <w:lang/>
        </w:rPr>
        <w:t>Establishments are densely clustered in major urban centers such as the Bay Area, Los Angeles, and San Diego, reflecting California’s urban-centric economy. Over time, there is evidence of gradual expansion toward inland regions, driven by urban sprawl, regional diversification, and economic growth. Despite this outward diffusion, urban clusters remain dominant, underscoring the importance of market accessibility, infrastructure, and labor availability in shaping business location decisions.</w:t>
      </w:r>
    </w:p>
    <w:p w14:paraId="5D0A0B35" w14:textId="77777777" w:rsidR="00D61046" w:rsidRPr="00D61046" w:rsidRDefault="00D61046" w:rsidP="009908F2">
      <w:pPr>
        <w:rPr>
          <w:rFonts w:cs="Times New Roman"/>
          <w:lang/>
        </w:rPr>
      </w:pPr>
      <w:r w:rsidRPr="00D61046">
        <w:rPr>
          <w:rFonts w:cs="Times New Roman"/>
          <w:b/>
          <w:bCs/>
          <w:lang/>
        </w:rPr>
        <w:t>Geographic Distribution of Wildfires</w:t>
      </w:r>
      <w:r w:rsidRPr="00D61046">
        <w:rPr>
          <w:rFonts w:cs="Times New Roman"/>
          <w:b/>
          <w:bCs/>
          <w:lang/>
        </w:rPr>
        <w:t xml:space="preserve">: </w:t>
      </w:r>
      <w:r w:rsidRPr="00D61046">
        <w:rPr>
          <w:rFonts w:cs="Times New Roman"/>
          <w:lang/>
        </w:rPr>
        <w:t>Wildfires are widespread, with higher concentrations in northern and central California, particularly in forested and mountainous regions like the Sierra Nevada and coastal ranges. Their persistent presence throughout the study period reflects the chronic nature of wildfire risks, driven by climate variability, vegetation accumulation, and land management practices.</w:t>
      </w:r>
    </w:p>
    <w:p w14:paraId="655CC7B1" w14:textId="77777777" w:rsidR="00D61046" w:rsidRPr="00D61046" w:rsidRDefault="00D61046" w:rsidP="009908F2">
      <w:pPr>
        <w:rPr>
          <w:rFonts w:cs="Times New Roman"/>
          <w:lang/>
        </w:rPr>
      </w:pPr>
      <w:r w:rsidRPr="00D61046">
        <w:rPr>
          <w:rFonts w:cs="Times New Roman"/>
          <w:b/>
          <w:bCs/>
          <w:lang/>
        </w:rPr>
        <w:t>Intersection of Economic Activity and Wildfire Risk</w:t>
      </w:r>
      <w:r w:rsidRPr="00D61046">
        <w:rPr>
          <w:rFonts w:cs="Times New Roman"/>
          <w:b/>
          <w:bCs/>
          <w:lang/>
        </w:rPr>
        <w:t xml:space="preserve">: </w:t>
      </w:r>
      <w:r w:rsidRPr="00D61046">
        <w:rPr>
          <w:rFonts w:cs="Times New Roman"/>
          <w:lang/>
        </w:rPr>
        <w:t xml:space="preserve">The proximity of establishments to wildfire-prone regions highlights the intersection of economic vulnerability and environmental risk. Many businesses are located near wildfire hotspots, particularly in areas with dense </w:t>
      </w:r>
      <w:r w:rsidRPr="00D61046">
        <w:rPr>
          <w:rFonts w:cs="Times New Roman"/>
          <w:lang/>
        </w:rPr>
        <w:lastRenderedPageBreak/>
        <w:t>vegetation and complex topography. This spatial overlap suggests that businesses in these regions face elevated risks of disruption, property damage, and operational challenges, influencing location and investment decisions.</w:t>
      </w:r>
    </w:p>
    <w:p w14:paraId="3365D088" w14:textId="77777777" w:rsidR="00D61046" w:rsidRPr="00D61046" w:rsidRDefault="00D61046" w:rsidP="009908F2">
      <w:pPr>
        <w:rPr>
          <w:rFonts w:cs="Times New Roman"/>
          <w:lang/>
        </w:rPr>
      </w:pPr>
      <w:r w:rsidRPr="00D61046">
        <w:rPr>
          <w:rFonts w:cs="Times New Roman"/>
          <w:b/>
          <w:bCs/>
          <w:lang/>
        </w:rPr>
        <w:t xml:space="preserve">Possible </w:t>
      </w:r>
      <w:r w:rsidRPr="00D61046">
        <w:rPr>
          <w:rFonts w:cs="Times New Roman"/>
          <w:b/>
          <w:bCs/>
          <w:lang/>
        </w:rPr>
        <w:t>Implications for Economic and Policy Outcomes</w:t>
      </w:r>
      <w:r w:rsidRPr="00D61046">
        <w:rPr>
          <w:rFonts w:cs="Times New Roman"/>
          <w:b/>
          <w:bCs/>
          <w:lang/>
        </w:rPr>
        <w:t xml:space="preserve">: </w:t>
      </w:r>
      <w:r w:rsidRPr="00D61046">
        <w:rPr>
          <w:rFonts w:cs="Times New Roman"/>
          <w:lang/>
        </w:rPr>
        <w:t>The spatial patterns observed have significant implications for economic outcomes. Businesses in high-risk areas are more likely to experience negative impacts such as increased costs, closures, or relocations, directly affecting local economies. At the same time, recovery-focused sectors, such as construction, may experience temporary benefits from post-wildfire rebuilding efforts. These insights underscore the need for strategic interventions, such as enhancing fire management, investing in fire-resistant infrastructure, and supporting vulnerable sectors, to safeguard local economies and foster long-term resilience.</w:t>
      </w:r>
    </w:p>
    <w:bookmarkEnd w:id="352"/>
    <w:p w14:paraId="63FDB537" w14:textId="5899159F" w:rsidR="00D61046" w:rsidRPr="00D61046" w:rsidRDefault="00D61046" w:rsidP="009908F2">
      <w:pPr>
        <w:rPr>
          <w:rFonts w:eastAsia="Calibri" w:cs="Times New Roman"/>
          <w:lang/>
        </w:rPr>
      </w:pPr>
      <w:r w:rsidRPr="003D770C">
        <w:rPr>
          <w:rFonts w:eastAsia="Calibri" w:cs="Times New Roman"/>
          <w:b/>
          <w:bCs/>
          <w:lang/>
        </w:rPr>
        <w:t>Figure A</w:t>
      </w:r>
      <w:r w:rsidR="00D36345" w:rsidRPr="003D770C">
        <w:rPr>
          <w:rFonts w:eastAsia="Calibri" w:cs="Times New Roman"/>
          <w:b/>
          <w:bCs/>
        </w:rPr>
        <w:t>14</w:t>
      </w:r>
      <w:r w:rsidRPr="00D61046">
        <w:rPr>
          <w:rFonts w:eastAsia="Calibri" w:cs="Times New Roman"/>
          <w:lang/>
        </w:rPr>
        <w:t xml:space="preserve"> illustrates the annual total acreage burned by wildfires in California from 1998 to 2018, highlighting significant variability and a clear upward trend in recent years. The peaks in 2008 and 2018 are particularly notable. In 2008, widespread wildfires in Northern California, exacerbated by lightning storms and dry conditions, drove a dramatic increase in acreage burned. The 2018 peak, the highest in the study period, reflects catastrophic events like the Camp Fire and Woolsey Fire, which caused substantial damage near urban areas. </w:t>
      </w:r>
    </w:p>
    <w:p w14:paraId="171DE795" w14:textId="77777777" w:rsidR="00D61046" w:rsidRPr="00D61046" w:rsidRDefault="00D61046" w:rsidP="009908F2">
      <w:pPr>
        <w:rPr>
          <w:rFonts w:cs="Times New Roman"/>
          <w:lang/>
        </w:rPr>
      </w:pPr>
      <w:r w:rsidRPr="00D61046">
        <w:rPr>
          <w:rFonts w:cs="Times New Roman"/>
          <w:lang/>
        </w:rPr>
        <w:t xml:space="preserve">The rising trend in total acreage burned over time aligns with evidence linking climate change to intensifying wildfire activity through higher temperatures, prolonged droughts, and reduced humidity. Although annual fluctuations occur due to varying weather patterns, fuel availability, and fire suppression efforts, the growing severity of wildfires underscores their potential to </w:t>
      </w:r>
      <w:r w:rsidRPr="00D61046">
        <w:rPr>
          <w:rFonts w:cs="Times New Roman"/>
          <w:lang/>
        </w:rPr>
        <w:lastRenderedPageBreak/>
        <w:t>disrupt local economies. This trend is central to the study’s focus on quantifying the economic impacts of wildfires, particularly on business dynamics, employment, and regional economic performance.</w:t>
      </w:r>
    </w:p>
    <w:p w14:paraId="714A087B" w14:textId="7FBCD2AE" w:rsidR="00D61046" w:rsidRPr="00D61046" w:rsidRDefault="00030874" w:rsidP="001953BB">
      <w:pPr>
        <w:pStyle w:val="Heading4"/>
      </w:pPr>
      <w:bookmarkStart w:id="353" w:name="_Toc187556298"/>
      <w:r>
        <w:t>2.</w:t>
      </w:r>
      <w:r w:rsidR="00D61046" w:rsidRPr="00D61046">
        <w:t>3.2.2 Wildfire Variables (Frequency and Intensity)</w:t>
      </w:r>
      <w:bookmarkEnd w:id="353"/>
    </w:p>
    <w:p w14:paraId="40345038" w14:textId="77777777" w:rsidR="00D61046" w:rsidRPr="00D61046" w:rsidRDefault="00D61046" w:rsidP="009908F2">
      <w:pPr>
        <w:rPr>
          <w:rFonts w:eastAsia="Calibri" w:cs="Times New Roman"/>
        </w:rPr>
      </w:pPr>
      <w:r w:rsidRPr="00D61046">
        <w:rPr>
          <w:rFonts w:eastAsia="Calibri" w:cs="Times New Roman"/>
        </w:rPr>
        <w:t xml:space="preserve">We employ two core wildfire-related variables: Fires (1000s) (Count) (t-1) and % County Area Burned (t-1). Fire count captures the frequency of wildfire events within a county, while burned area measures their intensity and scale by assessing the proportion of land impacted. Together, these variables provide a nuanced understanding of wildfire disruptions, enabling an analysis of how both frequent smaller fires and large, destructive events contribute to economic impacts </w:t>
      </w:r>
      <w:r w:rsidRPr="00D61046">
        <w:rPr>
          <w:rFonts w:eastAsia="Calibri" w:cs="Times New Roman"/>
          <w:lang/>
        </w:rPr>
        <w:t>(Otrachshenko &amp; Nunes, 2022)</w:t>
      </w:r>
      <w:r w:rsidRPr="00D61046">
        <w:rPr>
          <w:rFonts w:eastAsia="Calibri" w:cs="Times New Roman"/>
        </w:rPr>
        <w:t xml:space="preserve">. </w:t>
      </w:r>
    </w:p>
    <w:p w14:paraId="31F63FCC" w14:textId="77777777" w:rsidR="00D61046" w:rsidRPr="00D61046" w:rsidRDefault="00D61046" w:rsidP="009908F2">
      <w:pPr>
        <w:rPr>
          <w:rFonts w:eastAsia="Calibri" w:cs="Times New Roman"/>
        </w:rPr>
      </w:pPr>
      <w:r w:rsidRPr="00D61046">
        <w:rPr>
          <w:rFonts w:eastAsia="Calibri" w:cs="Times New Roman"/>
        </w:rPr>
        <w:t>Frequent fires can lead to cumulative effects, such as increased suppression costs and diminished investment confidence, while larger fires that burn significant portions of land may result in immediate, widespread economic losses, including damage to infrastructure, disruptions to labor markets, and reduced property values. By combining these measures, the study evaluates the dual dimensions of wildfire activity—frequency and severity—and their implications for regional economic resilience and business dynamics.</w:t>
      </w:r>
    </w:p>
    <w:p w14:paraId="4EFA4B93" w14:textId="676D3846" w:rsidR="00D61046" w:rsidRPr="00D61046" w:rsidRDefault="00D61046" w:rsidP="009908F2">
      <w:pPr>
        <w:rPr>
          <w:rFonts w:eastAsia="Calibri" w:cs="Times New Roman"/>
        </w:rPr>
      </w:pPr>
      <w:r w:rsidRPr="00D61046">
        <w:rPr>
          <w:rFonts w:eastAsia="Calibri" w:cs="Times New Roman"/>
          <w:b/>
          <w:bCs/>
        </w:rPr>
        <w:t>Fires (1000s) (Count) (t-1):</w:t>
      </w:r>
      <w:r w:rsidRPr="00D61046">
        <w:rPr>
          <w:rFonts w:eastAsia="Calibri" w:cs="Times New Roman"/>
        </w:rPr>
        <w:t xml:space="preserve"> This variable measures the number of wildfires in a county during the preceding year, scaled by 1,000. Referring to </w:t>
      </w:r>
      <w:r w:rsidRPr="00455BDE">
        <w:rPr>
          <w:rFonts w:eastAsia="Calibri" w:cs="Times New Roman"/>
          <w:b/>
          <w:bCs/>
        </w:rPr>
        <w:t>Table A</w:t>
      </w:r>
      <w:r w:rsidR="00D36345" w:rsidRPr="00455BDE">
        <w:rPr>
          <w:rFonts w:eastAsia="Calibri" w:cs="Times New Roman"/>
          <w:b/>
          <w:bCs/>
        </w:rPr>
        <w:t>31</w:t>
      </w:r>
      <w:r w:rsidRPr="00D61046">
        <w:rPr>
          <w:rFonts w:eastAsia="Calibri" w:cs="Times New Roman"/>
        </w:rPr>
        <w:t xml:space="preserve">, the mean of 0.161 indicates an average annual wildfire count of 161 fires, with a maximum of 7,902 fires in the most affected counties. The standard deviation of 0.433 highlights significant variation in wildfire frequency across counties. Frequent wildfires, even if individually small, can cumulatively degrade air </w:t>
      </w:r>
      <w:r w:rsidRPr="00D61046">
        <w:rPr>
          <w:rFonts w:eastAsia="Calibri" w:cs="Times New Roman"/>
        </w:rPr>
        <w:lastRenderedPageBreak/>
        <w:t>quality, increase suppression costs, and diminish regional investment confidence. However, frequency alone does not fully capture the economic impacts of wildfires, necessitating additional measures to account for the severity of these events.</w:t>
      </w:r>
    </w:p>
    <w:p w14:paraId="733237C4" w14:textId="42B5F817" w:rsidR="00D61046" w:rsidRPr="00D61046" w:rsidRDefault="00D61046" w:rsidP="009908F2">
      <w:pPr>
        <w:rPr>
          <w:rFonts w:eastAsia="Calibri" w:cs="Times New Roman"/>
        </w:rPr>
      </w:pPr>
      <w:r w:rsidRPr="00D61046">
        <w:rPr>
          <w:rFonts w:eastAsia="Calibri" w:cs="Times New Roman"/>
          <w:b/>
          <w:bCs/>
        </w:rPr>
        <w:t>% County Area Burned (t-1):</w:t>
      </w:r>
      <w:r w:rsidRPr="00D61046">
        <w:rPr>
          <w:rFonts w:eastAsia="Calibri" w:cs="Times New Roman"/>
        </w:rPr>
        <w:t xml:space="preserve"> This variable measures the percentage of a county’s land burned in the prior year, scaled by 100, reflecting the severity of wildfire events. Referring to </w:t>
      </w:r>
      <w:r w:rsidRPr="00455BDE">
        <w:rPr>
          <w:rFonts w:eastAsia="Calibri" w:cs="Times New Roman"/>
          <w:b/>
          <w:bCs/>
        </w:rPr>
        <w:t>Table A</w:t>
      </w:r>
      <w:r w:rsidR="00D36345" w:rsidRPr="00455BDE">
        <w:rPr>
          <w:rFonts w:eastAsia="Calibri" w:cs="Times New Roman"/>
          <w:b/>
          <w:bCs/>
        </w:rPr>
        <w:t>31</w:t>
      </w:r>
      <w:r w:rsidRPr="00D61046">
        <w:rPr>
          <w:rFonts w:eastAsia="Calibri" w:cs="Times New Roman"/>
        </w:rPr>
        <w:t>, the mean of 0.007 (0.7%) and the maximum of 0.199 (19.9%) demonstrate substantial variability in fire severity, while the standard deviation of 0.02 (2%) highlights the localized nature of large-scale fire impacts. This measure is particularly useful for capturing the lasting disruptions caused by significant fires, such as reduced property values, delayed business openings, increased insurance costs, and prolonged recovery efforts. Large fires that burn substantial portions of a county’s land area often have far-reaching economic and social consequences, particularly in rural and land-intensive regions.</w:t>
      </w:r>
    </w:p>
    <w:p w14:paraId="68925396" w14:textId="2742E80C" w:rsidR="00D61046" w:rsidRPr="00D61046" w:rsidRDefault="00030874" w:rsidP="001953BB">
      <w:pPr>
        <w:pStyle w:val="Heading4"/>
      </w:pPr>
      <w:bookmarkStart w:id="354" w:name="_Toc187556299"/>
      <w:r>
        <w:t>2.</w:t>
      </w:r>
      <w:r w:rsidR="00D61046" w:rsidRPr="00D61046">
        <w:t>3.2.3 Other Environmental Variables</w:t>
      </w:r>
      <w:bookmarkEnd w:id="354"/>
    </w:p>
    <w:p w14:paraId="509D8539" w14:textId="039291ED" w:rsidR="00D61046" w:rsidRPr="00D61046" w:rsidRDefault="00F50AF6" w:rsidP="009908F2">
      <w:pPr>
        <w:rPr>
          <w:rFonts w:eastAsia="Calibri" w:cs="Times New Roman"/>
        </w:rPr>
      </w:pPr>
      <m:oMath>
        <m:r>
          <m:rPr>
            <m:sty m:val="bi"/>
          </m:rPr>
          <w:rPr>
            <w:rFonts w:ascii="Cambria Math" w:eastAsia="Calibri" w:hAnsi="Cambria Math" w:cs="Times New Roman"/>
            <w:lang/>
          </w:rPr>
          <m:t>% CPAD (100</m:t>
        </m:r>
        <m:r>
          <m:rPr>
            <m:sty m:val="bi"/>
          </m:rPr>
          <w:rPr>
            <w:rFonts w:ascii="Cambria Math" w:eastAsia="Calibri" w:hAnsi="Cambria Math" w:cs="Times New Roman"/>
            <w:lang/>
          </w:rPr>
          <m:t>s) (t-1)</m:t>
        </m:r>
      </m:oMath>
      <w:r w:rsidR="00D61046" w:rsidRPr="00D61046">
        <w:rPr>
          <w:rFonts w:eastAsia="Calibri" w:cs="Times New Roman"/>
          <w:b/>
          <w:bCs/>
          <w:lang/>
        </w:rPr>
        <w:t>:</w:t>
      </w:r>
      <w:r w:rsidR="00D61046" w:rsidRPr="00D61046">
        <w:rPr>
          <w:rFonts w:eastAsia="Calibri" w:cs="Times New Roman"/>
          <w:b/>
          <w:bCs/>
        </w:rPr>
        <w:t xml:space="preserve"> </w:t>
      </w:r>
      <w:r w:rsidR="00D61046" w:rsidRPr="00D61046">
        <w:rPr>
          <w:rFonts w:eastAsia="Calibri" w:cs="Times New Roman"/>
        </w:rPr>
        <w:t>This variable captures the percentage of land area under Protected Area Designation (PAD), under all GAP status codes, for each California county in the previous year, scaled by 100. Shapefiles were downloaded from the California Protected Areas Database (CPAD) website. The variable was constructed using GIS tools in ArcGIS Pro, summing protected area acreage for each county annually and dividing it by the county’s total land area. The inclusion of this conservation variable aligns with prior research in environmental federalism and land conservation, as validated in the first dissertation chapter.</w:t>
      </w:r>
    </w:p>
    <w:p w14:paraId="460CAC7B" w14:textId="77777777" w:rsidR="00D61046" w:rsidRPr="00D61046" w:rsidRDefault="00D61046" w:rsidP="009908F2">
      <w:pPr>
        <w:rPr>
          <w:rFonts w:eastAsia="Calibri" w:cs="Times New Roman"/>
        </w:rPr>
      </w:pPr>
      <w:r w:rsidRPr="00D61046">
        <w:rPr>
          <w:rFonts w:eastAsia="Calibri" w:cs="Times New Roman"/>
        </w:rPr>
        <w:lastRenderedPageBreak/>
        <w:t>To address anomalies in CPAD data, where overlaps led to inflated percentages, counties with PAD coverage exceeding 88% were excluded from the analysis. This adjustment affected less than 1% of the dataset, and sensitivity analyses confirmed that these exclusions did not affect the statistical robustness of the results. Supplemental data was provided by Professor Maria de Santos from the University of Zurich to partially fill in missing designation dates for some PADs within California, improving temporal accuracy. Remaining CPADs without recorded designation dates were assumed to have been established before the study period, based on consultations with CPAD representatives.</w:t>
      </w:r>
    </w:p>
    <w:p w14:paraId="6F41BD2D" w14:textId="77777777" w:rsidR="00D61046" w:rsidRPr="00D61046" w:rsidRDefault="00D61046" w:rsidP="009908F2">
      <w:pPr>
        <w:rPr>
          <w:rFonts w:eastAsia="Calibri" w:cs="Times New Roman"/>
        </w:rPr>
      </w:pPr>
      <w:r w:rsidRPr="00D61046">
        <w:rPr>
          <w:rFonts w:eastAsia="Calibri" w:cs="Times New Roman"/>
        </w:rPr>
        <w:t>While the PAD variable was included in both linear and quadratic forms in the first and third dissertation chapters, where the analysis spanned all counties in the conterminous United States, diagnostic tests specific to the California-focused analysis in this chapter indicated that the quadratic form did not add explanatory power. Model selection criteria, including goodness-of-fit measures and regression diagnostics, consistently demonstrated that the linear form alone sufficiently captured the relationship between protected areas and the dependent variables. Consequently, only the linear form of % CPAD is included in this analysis to maintain model parsimony while reflecting the geographic specificity of the data.</w:t>
      </w:r>
    </w:p>
    <w:p w14:paraId="48036706" w14:textId="3F01C63D" w:rsidR="00D61046" w:rsidRPr="00D61046" w:rsidRDefault="00D61046" w:rsidP="009908F2">
      <w:pPr>
        <w:rPr>
          <w:rFonts w:eastAsia="Calibri" w:cs="Times New Roman"/>
        </w:rPr>
      </w:pPr>
      <w:r w:rsidRPr="00D61046">
        <w:rPr>
          <w:rFonts w:eastAsia="Calibri" w:cs="Times New Roman"/>
        </w:rPr>
        <w:t xml:space="preserve">This metric serves as a core environmental control, reflecting conservation intensity. Referring to </w:t>
      </w:r>
      <w:r w:rsidRPr="00455BDE">
        <w:rPr>
          <w:rFonts w:eastAsia="Calibri" w:cs="Times New Roman"/>
          <w:b/>
          <w:bCs/>
        </w:rPr>
        <w:t>Table A</w:t>
      </w:r>
      <w:r w:rsidR="00D36345" w:rsidRPr="00455BDE">
        <w:rPr>
          <w:rFonts w:eastAsia="Calibri" w:cs="Times New Roman"/>
          <w:b/>
          <w:bCs/>
        </w:rPr>
        <w:t>31</w:t>
      </w:r>
      <w:r w:rsidRPr="00D61046">
        <w:rPr>
          <w:rFonts w:eastAsia="Calibri" w:cs="Times New Roman"/>
        </w:rPr>
        <w:t>, the mean percentage of protected land area is 42.9%, with a standard deviation of 23.4%, ranging from a minimum of 1.2% to a maximum of 87.0%. These figures underscore significant variability in conservation coverage across California counties, highlighting the diverse environmental profiles that shape local economic and land-use dynamics.</w:t>
      </w:r>
    </w:p>
    <w:p w14:paraId="45943ECD" w14:textId="77777777" w:rsidR="00D61046" w:rsidRPr="00D61046" w:rsidRDefault="00D61046" w:rsidP="009908F2">
      <w:pPr>
        <w:rPr>
          <w:rFonts w:eastAsia="Calibri" w:cs="Times New Roman"/>
        </w:rPr>
      </w:pPr>
      <w:r w:rsidRPr="00D61046">
        <w:rPr>
          <w:rFonts w:eastAsia="Calibri" w:cs="Times New Roman"/>
          <w:b/>
          <w:bCs/>
          <w:lang/>
        </w:rPr>
        <w:lastRenderedPageBreak/>
        <w:t>Non-Attainment Status</w:t>
      </w:r>
      <w:r w:rsidRPr="00D61046">
        <w:rPr>
          <w:rFonts w:eastAsia="Calibri" w:cs="Times New Roman"/>
          <w:b/>
          <w:bCs/>
          <w:lang/>
        </w:rPr>
        <w:t>:</w:t>
      </w:r>
      <w:r w:rsidRPr="00D61046">
        <w:rPr>
          <w:rFonts w:eastAsia="Calibri" w:cs="Times New Roman"/>
          <w:b/>
          <w:bCs/>
        </w:rPr>
        <w:t xml:space="preserve"> </w:t>
      </w:r>
      <w:r w:rsidRPr="00D61046">
        <w:rPr>
          <w:rFonts w:eastAsia="Calibri" w:cs="Times New Roman"/>
        </w:rPr>
        <w:t xml:space="preserve">Air quality indicators based on the National Ambient Air Quality Standards (NAAQS) capture regulatory stringency across California counties. These were downloaded </w:t>
      </w:r>
      <w:proofErr w:type="gramStart"/>
      <w:r w:rsidRPr="00D61046">
        <w:rPr>
          <w:rFonts w:eastAsia="Calibri" w:cs="Times New Roman"/>
        </w:rPr>
        <w:t>from on</w:t>
      </w:r>
      <w:proofErr w:type="gramEnd"/>
      <w:r w:rsidRPr="00D61046">
        <w:rPr>
          <w:rFonts w:eastAsia="Calibri" w:cs="Times New Roman"/>
        </w:rPr>
        <w:t xml:space="preserve"> EPA’s Greenbook website. After careful tests (VIF, stepwise, and correlation tests), we retained county attainment status data only on two criteria pollutants, namely Ozone (O₃) and Particulate Matter (PM). Approximately 59.4% of counties meet O₃ attainment standards, while 44.8% meet PM standards. Counties in non-attainment face stricter regulatory oversight, which may influence business operations and location decisions by increasing compliance costs. We included the prior year’s county attainment status vis a vis these two criteria pollutants in our model.</w:t>
      </w:r>
    </w:p>
    <w:p w14:paraId="633A0E58" w14:textId="6A48A9D0" w:rsidR="00D61046" w:rsidRPr="00D61046" w:rsidRDefault="00030874" w:rsidP="001953BB">
      <w:pPr>
        <w:pStyle w:val="Heading4"/>
      </w:pPr>
      <w:bookmarkStart w:id="355" w:name="_Toc187556300"/>
      <w:r>
        <w:t>2.</w:t>
      </w:r>
      <w:r w:rsidR="00D61046" w:rsidRPr="00D61046">
        <w:t>3.2.4 Socio-Economic and Demographic Variables</w:t>
      </w:r>
      <w:bookmarkEnd w:id="355"/>
    </w:p>
    <w:p w14:paraId="454537EF" w14:textId="77777777" w:rsidR="00D61046" w:rsidRPr="00D61046" w:rsidRDefault="00D61046" w:rsidP="009908F2">
      <w:pPr>
        <w:rPr>
          <w:rFonts w:eastAsia="Calibri" w:cs="Times New Roman"/>
        </w:rPr>
      </w:pPr>
      <w:r w:rsidRPr="00D61046">
        <w:rPr>
          <w:rFonts w:eastAsia="Calibri" w:cs="Times New Roman"/>
        </w:rPr>
        <w:t>The socio-economic controls were sourced from the County Business Patterns (CBP) and American Community Survey (ACS), reflecting local economic conditions and population characteristics.</w:t>
      </w:r>
    </w:p>
    <w:p w14:paraId="0B7FB03B" w14:textId="77777777" w:rsidR="00D61046" w:rsidRPr="00D61046" w:rsidRDefault="00D61046" w:rsidP="009908F2">
      <w:pPr>
        <w:rPr>
          <w:rFonts w:eastAsia="Calibri" w:cs="Times New Roman"/>
        </w:rPr>
      </w:pPr>
      <w:r w:rsidRPr="00D61046">
        <w:rPr>
          <w:rFonts w:eastAsia="Calibri" w:cs="Times New Roman"/>
          <w:b/>
          <w:bCs/>
        </w:rPr>
        <w:t>Housing Price Index (100s):</w:t>
      </w:r>
      <w:r w:rsidRPr="00D61046">
        <w:rPr>
          <w:rFonts w:eastAsia="Calibri" w:cs="Times New Roman"/>
        </w:rPr>
        <w:t xml:space="preserve"> The mean housing price index of 6.324 (scaled by 100) reflects significant variation in property values, ranging from 1 to 20.849. Higher values often indicate economic vitality but may also suggest greater vulnerability to declines after wildfires.</w:t>
      </w:r>
    </w:p>
    <w:p w14:paraId="3C988A32" w14:textId="77777777" w:rsidR="00D61046" w:rsidRPr="00D61046" w:rsidRDefault="00D61046" w:rsidP="009908F2">
      <w:pPr>
        <w:rPr>
          <w:rFonts w:eastAsia="Calibri" w:cs="Times New Roman"/>
        </w:rPr>
      </w:pPr>
      <w:r w:rsidRPr="00D61046">
        <w:rPr>
          <w:rFonts w:eastAsia="Calibri" w:cs="Times New Roman"/>
          <w:b/>
          <w:bCs/>
        </w:rPr>
        <w:t>Poverty Rate and Median Household Income (100s):</w:t>
      </w:r>
      <w:r w:rsidRPr="00D61046">
        <w:rPr>
          <w:rFonts w:eastAsia="Calibri" w:cs="Times New Roman"/>
        </w:rPr>
        <w:t xml:space="preserve"> The mean poverty rate is 14.7% (0.147), while median household income averages $51,000 (0.51, scaled by 100s). These indicators capture economic resilience and vulnerability, influencing how communities cope with wildfire disruptions and recovery efforts.</w:t>
      </w:r>
    </w:p>
    <w:p w14:paraId="42FA73EF" w14:textId="77777777" w:rsidR="00D61046" w:rsidRPr="00D61046" w:rsidRDefault="00D61046" w:rsidP="009908F2">
      <w:pPr>
        <w:rPr>
          <w:rFonts w:eastAsia="Calibri" w:cs="Times New Roman"/>
        </w:rPr>
      </w:pPr>
      <w:r w:rsidRPr="00D61046">
        <w:rPr>
          <w:rFonts w:eastAsia="Calibri" w:cs="Times New Roman"/>
          <w:b/>
          <w:bCs/>
        </w:rPr>
        <w:lastRenderedPageBreak/>
        <w:t>Population Density (100s):</w:t>
      </w:r>
      <w:r w:rsidRPr="00D61046">
        <w:rPr>
          <w:rFonts w:eastAsia="Calibri" w:cs="Times New Roman"/>
        </w:rPr>
        <w:t xml:space="preserve"> With a mean of 0.11 (scaled by 100s), this variable reflects the diverse population distribution across California, spanning dense urban centers and sparsely populated rural areas. Urban areas often see higher fire ignition rates due to human activity, while rural regions are more exposed to large-scale fires.</w:t>
      </w:r>
    </w:p>
    <w:p w14:paraId="1D3E7483" w14:textId="350AFC2A" w:rsidR="00D61046" w:rsidRPr="00D61046" w:rsidRDefault="00030874" w:rsidP="001953BB">
      <w:pPr>
        <w:pStyle w:val="Heading4"/>
      </w:pPr>
      <w:bookmarkStart w:id="356" w:name="_Toc187556301"/>
      <w:r>
        <w:t>2.</w:t>
      </w:r>
      <w:r w:rsidR="00D61046" w:rsidRPr="00D61046">
        <w:t>3.2.5 Weather-Climate Controls</w:t>
      </w:r>
      <w:bookmarkEnd w:id="356"/>
    </w:p>
    <w:p w14:paraId="00089385" w14:textId="77777777" w:rsidR="00D61046" w:rsidRPr="00D61046" w:rsidRDefault="00D61046" w:rsidP="009908F2">
      <w:pPr>
        <w:rPr>
          <w:rFonts w:eastAsia="Calibri" w:cs="Times New Roman"/>
          <w:lang/>
        </w:rPr>
      </w:pPr>
      <w:r w:rsidRPr="00D61046">
        <w:rPr>
          <w:rFonts w:eastAsia="Calibri" w:cs="Times New Roman"/>
          <w:lang/>
        </w:rPr>
        <w:t xml:space="preserve">This study incorporates precipitation and temperature as critical weather-related controls to analyse how broader climatic variability influences wildfire dynamics, establishment location decisions, labor markets, and sectoral performance. These variables capture both direct and indirect pathways through which environmental conditions shape economic outcomes, complementing the primary wildfire variables—Fire Count and </w:t>
      </w:r>
      <w:r w:rsidRPr="00D61046">
        <w:rPr>
          <w:rFonts w:eastAsia="Calibri" w:cs="Times New Roman"/>
        </w:rPr>
        <w:t>Proportion</w:t>
      </w:r>
      <w:r w:rsidRPr="00D61046">
        <w:rPr>
          <w:rFonts w:eastAsia="Calibri" w:cs="Times New Roman"/>
          <w:lang/>
        </w:rPr>
        <w:t xml:space="preserve"> of County Land Burned.</w:t>
      </w:r>
    </w:p>
    <w:p w14:paraId="64100532" w14:textId="77777777" w:rsidR="00D61046" w:rsidRPr="00D61046" w:rsidRDefault="00D61046" w:rsidP="009908F2">
      <w:pPr>
        <w:rPr>
          <w:rFonts w:eastAsia="Calibri" w:cs="Times New Roman"/>
          <w:lang/>
        </w:rPr>
      </w:pPr>
      <w:r w:rsidRPr="00D61046">
        <w:rPr>
          <w:rFonts w:eastAsia="Calibri" w:cs="Times New Roman"/>
          <w:lang/>
        </w:rPr>
        <w:t>Precipitation plays a dual and paradoxical role in wildfire dynamics and economic systems. Higher rainfall reduces short-term fire risks by increasing soil and fuel moisture, but it also fosters vegetation growth, heightening fuel loads during subsequent dry periods. This cyclic vulnerability, as highlighted by Abatzoglou and Williams (2016), exacerbates wildfire risks over time. Precipitation also directly affects agricultural productivity, water availability for hydropower, and the viability of water-dependent industries (Lobell et al., 2011). For example, insufficient rainfall can impair businesses reliant on agriculture and forestry, while excess precipitation may cause flooding and logistical disruptions. Across California counties, annual precipitation varies significantly, with a mean of 27.3 inches and a range of 0.62 to 112 inches, reflecting substantial geographic variability in exposure.</w:t>
      </w:r>
    </w:p>
    <w:p w14:paraId="55A42BA0" w14:textId="77777777" w:rsidR="00D61046" w:rsidRPr="00D61046" w:rsidRDefault="00D61046" w:rsidP="009908F2">
      <w:pPr>
        <w:rPr>
          <w:rFonts w:eastAsia="Calibri" w:cs="Times New Roman"/>
          <w:lang/>
        </w:rPr>
      </w:pPr>
      <w:r w:rsidRPr="00D61046">
        <w:rPr>
          <w:rFonts w:eastAsia="Calibri" w:cs="Times New Roman"/>
          <w:lang/>
        </w:rPr>
        <w:lastRenderedPageBreak/>
        <w:t>Temperature similarly influences wildfire and economic outcomes. Higher temperatures amplify wildfire risks by drying vegetation, reducing soil moisture, and creating conditions conducive to ignition and rapid-fire spread. Beyond wildfire dynamics, temperature impacts labor productivity, particularly in outdoor sectors such as agriculture and construction, as noted by Deschênes and Greenstone (2011). Furthermore, Burke et al. (2015) find that prolonged high temperatures negatively affect crop yields and raise operational costs for temperature-sensitive industries. The annual mean temperature across California counties is 57.8°F, with a range from 41.6°F to 76.5°F, highlighting the varied climatic challenges faced by different regions.</w:t>
      </w:r>
    </w:p>
    <w:p w14:paraId="162A8626" w14:textId="77777777" w:rsidR="00D61046" w:rsidRPr="00D61046" w:rsidRDefault="00D61046" w:rsidP="009908F2">
      <w:pPr>
        <w:rPr>
          <w:rFonts w:eastAsia="Calibri" w:cs="Times New Roman"/>
          <w:lang/>
        </w:rPr>
      </w:pPr>
      <w:r w:rsidRPr="00D61046">
        <w:rPr>
          <w:rFonts w:eastAsia="Calibri" w:cs="Times New Roman"/>
          <w:lang/>
        </w:rPr>
        <w:t>Incorporating precipitation and temperature as control variables ensures that broader climatic influences on economic outcomes are accounted for, minimizing potential confounding effects when analysing the economic impacts of wildfire frequency and intensity. The inclusion of these variables complements the explanatory power of wildfire metrics while reducing the risk of multicollinearity.</w:t>
      </w:r>
    </w:p>
    <w:p w14:paraId="78691E4B" w14:textId="65BF9FA3" w:rsidR="00D61046" w:rsidRPr="00D61046" w:rsidRDefault="00D61046" w:rsidP="009908F2">
      <w:pPr>
        <w:rPr>
          <w:rFonts w:eastAsia="Calibri" w:cs="Times New Roman"/>
          <w:lang/>
        </w:rPr>
      </w:pPr>
      <w:r w:rsidRPr="00D61046">
        <w:rPr>
          <w:rFonts w:eastAsia="Calibri" w:cs="Times New Roman"/>
          <w:lang/>
        </w:rPr>
        <w:t xml:space="preserve">Trends in precipitation and temperature, as shown in </w:t>
      </w:r>
      <w:r w:rsidRPr="003D770C">
        <w:rPr>
          <w:rFonts w:eastAsia="Calibri" w:cs="Times New Roman"/>
          <w:b/>
          <w:bCs/>
          <w:lang/>
        </w:rPr>
        <w:t>Figure A</w:t>
      </w:r>
      <w:r w:rsidR="00D36345" w:rsidRPr="003D770C">
        <w:rPr>
          <w:rFonts w:eastAsia="Calibri" w:cs="Times New Roman"/>
          <w:b/>
          <w:bCs/>
        </w:rPr>
        <w:t>15</w:t>
      </w:r>
      <w:r w:rsidRPr="00D61046">
        <w:rPr>
          <w:rFonts w:eastAsia="Calibri" w:cs="Times New Roman"/>
          <w:lang/>
        </w:rPr>
        <w:t>, reveal their inverse relationship over the study period (1998–2018), with critical climatic events such as severe droughts in 2014 and 2018 coinciding with heightened wildfire activity. Wetter years like 2010 mitigated wildfire risks but increased vulnerabilities for flood-sensitive sectors. Conversely, drier, hotter years, such as 2018, exacerbated wildfire activity and its associated economic disruptions.</w:t>
      </w:r>
    </w:p>
    <w:p w14:paraId="73BC0FD0" w14:textId="77777777" w:rsidR="00D61046" w:rsidRPr="00D61046" w:rsidRDefault="00D61046" w:rsidP="009908F2">
      <w:pPr>
        <w:rPr>
          <w:rFonts w:eastAsia="Calibri" w:cs="Times New Roman"/>
          <w:lang/>
        </w:rPr>
      </w:pPr>
      <w:r w:rsidRPr="00D61046">
        <w:rPr>
          <w:rFonts w:eastAsia="Calibri" w:cs="Times New Roman"/>
          <w:lang/>
        </w:rPr>
        <w:t xml:space="preserve">By including precipitation and temperature in the analysis, this study provides a more comprehensive understanding of how climatic variability interacts with wildfire behaviour and </w:t>
      </w:r>
      <w:r w:rsidRPr="00D61046">
        <w:rPr>
          <w:rFonts w:eastAsia="Calibri" w:cs="Times New Roman"/>
          <w:lang/>
        </w:rPr>
        <w:lastRenderedPageBreak/>
        <w:t>economic outcomes across California’s diverse sectors. These variables enable the isolation of wildfire impacts on outcomes such as establishment births, deaths, relocations, employment, and sales volume, while accounting for broader environmental influences.</w:t>
      </w:r>
    </w:p>
    <w:p w14:paraId="10B7A669" w14:textId="0C322026" w:rsidR="00D61046" w:rsidRPr="00D61046" w:rsidRDefault="00030874" w:rsidP="001953BB">
      <w:pPr>
        <w:pStyle w:val="Heading4"/>
      </w:pPr>
      <w:bookmarkStart w:id="357" w:name="_Toc187556302"/>
      <w:r>
        <w:t>2.</w:t>
      </w:r>
      <w:r w:rsidR="00D61046" w:rsidRPr="00D61046">
        <w:t>3.2.6 Additional Sector-Specific Controls</w:t>
      </w:r>
      <w:bookmarkEnd w:id="357"/>
    </w:p>
    <w:p w14:paraId="7077C9C2" w14:textId="77777777" w:rsidR="00D61046" w:rsidRPr="00D61046" w:rsidRDefault="00D61046" w:rsidP="009908F2">
      <w:pPr>
        <w:rPr>
          <w:rFonts w:eastAsia="Calibri" w:cs="Times New Roman"/>
        </w:rPr>
      </w:pPr>
      <w:r w:rsidRPr="00D61046">
        <w:rPr>
          <w:rFonts w:eastAsia="Calibri" w:cs="Times New Roman"/>
        </w:rPr>
        <w:t>To improve the explanatory power of the regression models, additional variables were included to account for localized economic dynamics and establishment interactions. Across all location outcome variables—births, inward relocations, deaths, and outward relocations—a measure of localization economies, represented by the number of establishments in the prior period, was added. This variable captures the influence of agglomeration economies, where a higher density of businesses fosters knowledge spillovers, supply chain efficiencies, and labor pooling, ultimately affecting establishment decisions (Glaeser et al., 1992; Henderson, 1997).</w:t>
      </w:r>
    </w:p>
    <w:p w14:paraId="3E83F97C" w14:textId="77777777" w:rsidR="00D61046" w:rsidRPr="00D61046" w:rsidRDefault="00D61046" w:rsidP="009908F2">
      <w:pPr>
        <w:rPr>
          <w:rFonts w:eastAsia="Calibri" w:cs="Times New Roman"/>
        </w:rPr>
      </w:pPr>
      <w:r w:rsidRPr="00D61046">
        <w:rPr>
          <w:rFonts w:eastAsia="Calibri" w:cs="Times New Roman"/>
        </w:rPr>
        <w:t>For entry-type outcomes, such as births and inward relocations, the number of prior-year establishment exits was included as an explanatory variable. Prior exits can signal opportunities for new entrants by freeing resources like market share, infrastructure, and labor, as shown by Schumpeter's (1942) "creative destruction" hypothesis and empirical evidence from Meltzer et al. (2020). Conversely, for exit-type outcomes, including deaths and outward relocations, the number of prior-year establishment entries was added to account for potential market congestion and competitive displacement. Carlton (1983) and Dunne et al. (1989) document how increased competition from new entrants can destabilize less resilient firms, leading to exits or relocations.</w:t>
      </w:r>
    </w:p>
    <w:p w14:paraId="6806D400" w14:textId="77777777" w:rsidR="00D61046" w:rsidRPr="00D61046" w:rsidRDefault="00D61046" w:rsidP="009908F2">
      <w:pPr>
        <w:rPr>
          <w:rFonts w:eastAsia="Calibri" w:cs="Times New Roman"/>
        </w:rPr>
      </w:pPr>
      <w:r w:rsidRPr="00D61046">
        <w:rPr>
          <w:rFonts w:eastAsia="Calibri" w:cs="Times New Roman"/>
        </w:rPr>
        <w:lastRenderedPageBreak/>
        <w:t>These variables ensure the models capture dynamic relationships within regional business ecosystems, allowing for a more precise analysis of how external factors, such as wildfire activity and climatic conditions, influence establishment outcomes.</w:t>
      </w:r>
    </w:p>
    <w:p w14:paraId="68FFE88D" w14:textId="2C21D753" w:rsidR="00D61046" w:rsidRPr="00D61046" w:rsidRDefault="00030874" w:rsidP="009908F2">
      <w:pPr>
        <w:pStyle w:val="Heading3"/>
      </w:pPr>
      <w:bookmarkStart w:id="358" w:name="_Toc187556303"/>
      <w:bookmarkStart w:id="359" w:name="_Toc188379013"/>
      <w:r>
        <w:rPr>
          <w:lang w:val="en-US"/>
        </w:rPr>
        <w:t>2.</w:t>
      </w:r>
      <w:r w:rsidR="00D61046" w:rsidRPr="00D61046">
        <w:t>3.3 Conclusion of the Data and Descriptive Section</w:t>
      </w:r>
      <w:bookmarkEnd w:id="358"/>
      <w:bookmarkEnd w:id="359"/>
    </w:p>
    <w:p w14:paraId="3C896049" w14:textId="77777777" w:rsidR="00D61046" w:rsidRPr="00D61046" w:rsidRDefault="00D61046" w:rsidP="009908F2">
      <w:pPr>
        <w:rPr>
          <w:rFonts w:cs="Times New Roman"/>
          <w:lang/>
        </w:rPr>
      </w:pPr>
      <w:r w:rsidRPr="00D61046">
        <w:rPr>
          <w:rFonts w:cs="Times New Roman"/>
          <w:lang/>
        </w:rPr>
        <w:t xml:space="preserve">This study's descriptive analysis highlights the escalating severity of wildfire activity in California and its profound economic implications. By integrating wildfire frequency and intensity measures alongside socio-economic and weather-related controls, </w:t>
      </w:r>
      <w:r w:rsidRPr="00D61046">
        <w:rPr>
          <w:rFonts w:cs="Times New Roman"/>
          <w:lang/>
        </w:rPr>
        <w:t>our</w:t>
      </w:r>
      <w:r w:rsidRPr="00D61046">
        <w:rPr>
          <w:rFonts w:cs="Times New Roman"/>
          <w:lang/>
        </w:rPr>
        <w:t xml:space="preserve"> dataset aims to provide a nuanced understanding of how these variables influence economic outcomes, in the aggregate LIS</w:t>
      </w:r>
      <w:r w:rsidRPr="00D61046">
        <w:rPr>
          <w:rFonts w:cs="Times New Roman"/>
          <w:lang/>
        </w:rPr>
        <w:t xml:space="preserve">, </w:t>
      </w:r>
      <w:r w:rsidRPr="00D61046">
        <w:rPr>
          <w:rFonts w:cs="Times New Roman"/>
          <w:lang/>
        </w:rPr>
        <w:t>its constituent sectors</w:t>
      </w:r>
      <w:r w:rsidRPr="00D61046">
        <w:rPr>
          <w:rFonts w:cs="Times New Roman"/>
          <w:lang/>
        </w:rPr>
        <w:t>, and the non-LIS</w:t>
      </w:r>
      <w:r w:rsidRPr="00D61046">
        <w:rPr>
          <w:rFonts w:cs="Times New Roman"/>
          <w:lang/>
        </w:rPr>
        <w:t xml:space="preserve">. These insights lay the groundwork for the econometric modelling detailed in the next section, where a Pseudo-Poisson Maximum Likelihood framework with high-dimensional fixed effects is employed to quantify the economic impacts of wildfires. </w:t>
      </w:r>
    </w:p>
    <w:p w14:paraId="0C5255CC" w14:textId="6AF0E9FB" w:rsidR="00D61046" w:rsidRPr="00D61046" w:rsidRDefault="00030874" w:rsidP="00E4693E">
      <w:pPr>
        <w:pStyle w:val="Heading2"/>
      </w:pPr>
      <w:bookmarkStart w:id="360" w:name="_Toc187556304"/>
      <w:bookmarkStart w:id="361" w:name="_Toc188379014"/>
      <w:r>
        <w:t>2.</w:t>
      </w:r>
      <w:r w:rsidR="00D61046" w:rsidRPr="00D61046">
        <w:t>4 Methodology</w:t>
      </w:r>
      <w:bookmarkEnd w:id="360"/>
      <w:bookmarkEnd w:id="361"/>
    </w:p>
    <w:p w14:paraId="4DB23A11" w14:textId="299F85A6" w:rsidR="00D61046" w:rsidRPr="00D61046" w:rsidRDefault="00030874" w:rsidP="004C39A4">
      <w:pPr>
        <w:pStyle w:val="Heading3"/>
      </w:pPr>
      <w:bookmarkStart w:id="362" w:name="_Toc187556305"/>
      <w:bookmarkStart w:id="363" w:name="_Toc188379015"/>
      <w:r>
        <w:rPr>
          <w:lang w:val="en-US"/>
        </w:rPr>
        <w:t>2.</w:t>
      </w:r>
      <w:r w:rsidR="00D61046" w:rsidRPr="00D61046">
        <w:t>4.1 Conceptual Model</w:t>
      </w:r>
      <w:bookmarkEnd w:id="362"/>
      <w:bookmarkEnd w:id="363"/>
    </w:p>
    <w:p w14:paraId="496A788A" w14:textId="77777777" w:rsidR="00D61046" w:rsidRPr="00D61046" w:rsidRDefault="00D61046" w:rsidP="009908F2">
      <w:pPr>
        <w:rPr>
          <w:rFonts w:eastAsia="Calibri" w:cs="Times New Roman"/>
        </w:rPr>
      </w:pPr>
      <w:r w:rsidRPr="00D61046">
        <w:rPr>
          <w:rFonts w:eastAsia="Calibri" w:cs="Times New Roman"/>
        </w:rPr>
        <w:t>Wildfires in California act as external shocks, disrupting businesses, workers, and economic systems. To understand how wildfire frequency (annual fire counts) and intensity (proportion of county area burned) shape economic outcomes, this study employs a conceptual model grounded in economic and disaster resilience theory. The model provides a structured framework to analyze the pathways through which wildfires affect establishment dynamics, employment, and sales performance.</w:t>
      </w:r>
    </w:p>
    <w:p w14:paraId="149F2239" w14:textId="77777777" w:rsidR="00D61046" w:rsidRPr="00D61046" w:rsidRDefault="00D61046" w:rsidP="009908F2">
      <w:pPr>
        <w:rPr>
          <w:rFonts w:eastAsia="Calibri" w:cs="Times New Roman"/>
        </w:rPr>
      </w:pPr>
      <w:r w:rsidRPr="00D61046">
        <w:rPr>
          <w:rFonts w:eastAsia="Calibri" w:cs="Times New Roman"/>
        </w:rPr>
        <w:lastRenderedPageBreak/>
        <w:t>Wildfire frequency captures the recurrence of fire events, while intensity reflects the severity and scale of damage. These variables represent external disturbances that directly and indirectly impact businesses by altering operational costs, risk perceptions, and decision-making processes (Helmers et al., 2020; Keeley &amp; Syphard, 2016). Frequent or severe wildfires often deter new investments, encourage closures, and prompt relocations, particularly in sectors heavily reliant on land or natural resources (</w:t>
      </w:r>
      <w:proofErr w:type="spellStart"/>
      <w:r w:rsidRPr="00D61046">
        <w:rPr>
          <w:rFonts w:eastAsia="Calibri" w:cs="Times New Roman"/>
        </w:rPr>
        <w:t>Prestemon</w:t>
      </w:r>
      <w:proofErr w:type="spellEnd"/>
      <w:r w:rsidRPr="00D61046">
        <w:rPr>
          <w:rFonts w:eastAsia="Calibri" w:cs="Times New Roman"/>
        </w:rPr>
        <w:t xml:space="preserve"> et al., 2019). Businesses evaluate wildfire risks in the context of market accessibility, labor availability, infrastructure quality, and resource dependencies, creating sector-specific patterns of vulnerability and resilience.</w:t>
      </w:r>
    </w:p>
    <w:p w14:paraId="37F0A140" w14:textId="77777777" w:rsidR="00D61046" w:rsidRPr="00D61046" w:rsidRDefault="00D61046" w:rsidP="009908F2">
      <w:pPr>
        <w:rPr>
          <w:rFonts w:eastAsia="Calibri" w:cs="Times New Roman"/>
        </w:rPr>
      </w:pPr>
      <w:r w:rsidRPr="00D61046">
        <w:rPr>
          <w:rFonts w:eastAsia="Calibri" w:cs="Times New Roman"/>
        </w:rPr>
        <w:t>This study focuses on six key outcomes to capture wildfire-induced disruptions across economic systems:</w:t>
      </w:r>
    </w:p>
    <w:p w14:paraId="2566E519" w14:textId="77777777" w:rsidR="00D61046" w:rsidRPr="00D61046" w:rsidRDefault="00D61046" w:rsidP="009908F2">
      <w:pPr>
        <w:rPr>
          <w:rFonts w:eastAsia="Calibri" w:cs="Times New Roman"/>
        </w:rPr>
      </w:pPr>
      <w:r w:rsidRPr="00D61046">
        <w:rPr>
          <w:rFonts w:eastAsia="Calibri" w:cs="Times New Roman"/>
          <w:b/>
          <w:bCs/>
        </w:rPr>
        <w:t>Establishment Dynamics:</w:t>
      </w:r>
      <w:r w:rsidRPr="00D61046">
        <w:rPr>
          <w:rFonts w:eastAsia="Calibri" w:cs="Times New Roman"/>
        </w:rPr>
        <w:t xml:space="preserve"> Births, deaths, inward relocations, and outward relocations.</w:t>
      </w:r>
    </w:p>
    <w:p w14:paraId="776FC98B" w14:textId="77777777" w:rsidR="00D61046" w:rsidRPr="00D61046" w:rsidRDefault="00D61046" w:rsidP="009908F2">
      <w:pPr>
        <w:rPr>
          <w:rFonts w:eastAsia="Calibri" w:cs="Times New Roman"/>
        </w:rPr>
      </w:pPr>
      <w:r w:rsidRPr="00D61046">
        <w:rPr>
          <w:rFonts w:eastAsia="Calibri" w:cs="Times New Roman"/>
          <w:b/>
          <w:bCs/>
        </w:rPr>
        <w:t>Employment Levels:</w:t>
      </w:r>
      <w:r w:rsidRPr="00D61046">
        <w:rPr>
          <w:rFonts w:eastAsia="Calibri" w:cs="Times New Roman"/>
        </w:rPr>
        <w:t xml:space="preserve"> A measure of workforce participation in affected regions.</w:t>
      </w:r>
    </w:p>
    <w:p w14:paraId="1693D50E" w14:textId="77777777" w:rsidR="00D61046" w:rsidRPr="00D61046" w:rsidRDefault="00D61046" w:rsidP="009908F2">
      <w:pPr>
        <w:rPr>
          <w:rFonts w:eastAsia="Calibri" w:cs="Times New Roman"/>
        </w:rPr>
      </w:pPr>
      <w:r w:rsidRPr="00D61046">
        <w:rPr>
          <w:rFonts w:eastAsia="Calibri" w:cs="Times New Roman"/>
          <w:b/>
          <w:bCs/>
        </w:rPr>
        <w:t>Sales Volume:</w:t>
      </w:r>
      <w:r w:rsidRPr="00D61046">
        <w:rPr>
          <w:rFonts w:eastAsia="Calibri" w:cs="Times New Roman"/>
        </w:rPr>
        <w:t xml:space="preserve"> A proxy for business performance and regional economic vitality.</w:t>
      </w:r>
    </w:p>
    <w:p w14:paraId="406141CB" w14:textId="77777777" w:rsidR="00D61046" w:rsidRPr="00D61046" w:rsidRDefault="00D61046" w:rsidP="009908F2">
      <w:pPr>
        <w:rPr>
          <w:rFonts w:eastAsia="Calibri" w:cs="Times New Roman"/>
        </w:rPr>
      </w:pPr>
      <w:r w:rsidRPr="00D61046">
        <w:rPr>
          <w:rFonts w:eastAsia="Calibri" w:cs="Times New Roman"/>
        </w:rPr>
        <w:t>These outcomes are examined at the aggregate LIS level and across its constituent subsectors—Agriculture, Mining, Utilities, and Construction—along with Manufacturing as a representative non-LIS sector. The model explicitly accounts for business mobility, capturing adaptive strategies in mobile sectors like Construction through relocation metrics, while identifying prolonged disruptions in less mobile, resource-dependent sectors like Agriculture.</w:t>
      </w:r>
    </w:p>
    <w:p w14:paraId="6E25DC10" w14:textId="77777777" w:rsidR="00D61046" w:rsidRPr="00D61046" w:rsidRDefault="00D61046" w:rsidP="009908F2">
      <w:pPr>
        <w:rPr>
          <w:rFonts w:eastAsia="Calibri" w:cs="Times New Roman"/>
        </w:rPr>
      </w:pPr>
      <w:r w:rsidRPr="00D61046">
        <w:rPr>
          <w:rFonts w:eastAsia="Calibri" w:cs="Times New Roman"/>
        </w:rPr>
        <w:t xml:space="preserve">The mediating role of financial resources, local policy responses, and infrastructure conditions </w:t>
      </w:r>
      <w:proofErr w:type="gramStart"/>
      <w:r w:rsidRPr="00D61046">
        <w:rPr>
          <w:rFonts w:eastAsia="Calibri" w:cs="Times New Roman"/>
        </w:rPr>
        <w:t>shapes</w:t>
      </w:r>
      <w:proofErr w:type="gramEnd"/>
      <w:r w:rsidRPr="00D61046">
        <w:rPr>
          <w:rFonts w:eastAsia="Calibri" w:cs="Times New Roman"/>
        </w:rPr>
        <w:t xml:space="preserve"> how wildfires affect these outcomes. For instance, businesses with greater mobility or access to recovery funding may adapt by reallocating resources to safer locations, while fixed-</w:t>
      </w:r>
      <w:r w:rsidRPr="00D61046">
        <w:rPr>
          <w:rFonts w:eastAsia="Calibri" w:cs="Times New Roman"/>
        </w:rPr>
        <w:lastRenderedPageBreak/>
        <w:t xml:space="preserve">resource enterprises, such as farms, may endure prolonged economic losses (Calkins et al., 2021; </w:t>
      </w:r>
      <w:proofErr w:type="spellStart"/>
      <w:r w:rsidRPr="00D61046">
        <w:rPr>
          <w:rFonts w:eastAsia="Calibri" w:cs="Times New Roman"/>
        </w:rPr>
        <w:t>Radeloff</w:t>
      </w:r>
      <w:proofErr w:type="spellEnd"/>
      <w:r w:rsidRPr="00D61046">
        <w:rPr>
          <w:rFonts w:eastAsia="Calibri" w:cs="Times New Roman"/>
        </w:rPr>
        <w:t xml:space="preserve"> et al., 2018).</w:t>
      </w:r>
    </w:p>
    <w:p w14:paraId="3D78516A" w14:textId="77777777" w:rsidR="00D61046" w:rsidRPr="00D61046" w:rsidRDefault="00D61046" w:rsidP="009908F2">
      <w:pPr>
        <w:rPr>
          <w:rFonts w:eastAsia="Calibri" w:cs="Times New Roman"/>
        </w:rPr>
      </w:pPr>
      <w:r w:rsidRPr="00D61046">
        <w:rPr>
          <w:rFonts w:eastAsia="Calibri" w:cs="Times New Roman"/>
        </w:rPr>
        <w:t>By linking wildfire impacts to establishment dynamics, labor markets, and sales performance, this model enables the identification of vulnerabilities and resilience mechanisms within and across sectors. Understanding these dynamics is essential for designing targeted interventions to stabilize regional economies, support recovery efforts, and enhance resilience in wildfire-prone areas.</w:t>
      </w:r>
    </w:p>
    <w:p w14:paraId="4BD8363C" w14:textId="3BE82940" w:rsidR="00D61046" w:rsidRPr="00D61046" w:rsidRDefault="00030874" w:rsidP="009908F2">
      <w:pPr>
        <w:pStyle w:val="Heading3"/>
      </w:pPr>
      <w:bookmarkStart w:id="364" w:name="_Toc187556306"/>
      <w:bookmarkStart w:id="365" w:name="_Toc188379016"/>
      <w:r>
        <w:rPr>
          <w:lang w:val="en-US"/>
        </w:rPr>
        <w:t>2.</w:t>
      </w:r>
      <w:r w:rsidR="00D61046" w:rsidRPr="00D61046">
        <w:t>4.2 Model Specification</w:t>
      </w:r>
      <w:bookmarkEnd w:id="364"/>
      <w:bookmarkEnd w:id="365"/>
    </w:p>
    <w:p w14:paraId="40A576C3" w14:textId="77777777" w:rsidR="00D61046" w:rsidRPr="00D61046" w:rsidRDefault="00D61046" w:rsidP="009908F2">
      <w:pPr>
        <w:rPr>
          <w:rFonts w:eastAsia="Calibri" w:cs="Times New Roman"/>
        </w:rPr>
      </w:pPr>
      <w:r w:rsidRPr="00D61046">
        <w:rPr>
          <w:rFonts w:eastAsia="Calibri" w:cs="Times New Roman"/>
        </w:rPr>
        <w:t>Analyzing the economic impacts of wildfires requires a model that accommodates nonlinearity, count data characteristics, and zero-inflated distributions. The Pseudo-Poisson Maximum Likelihood (PPML) regression model with high-dimensional fixed effects (HDFE) addresses these challenges effectively. The model is specified as:</w:t>
      </w:r>
    </w:p>
    <w:p w14:paraId="26C9DDF3" w14:textId="77777777" w:rsidR="00D61046" w:rsidRPr="00030874" w:rsidRDefault="00000000" w:rsidP="009908F2">
      <w:pPr>
        <w:spacing w:line="259" w:lineRule="auto"/>
        <w:rPr>
          <w:rFonts w:eastAsia="Times New Roman" w:cs="Times New Roman"/>
          <w:sz w:val="21"/>
          <w:szCs w:val="21"/>
        </w:rPr>
      </w:pPr>
      <m:oMathPara>
        <m:oMath>
          <m:sSub>
            <m:sSubPr>
              <m:ctrlPr>
                <w:rPr>
                  <w:rFonts w:ascii="Cambria Math" w:eastAsia="Calibri" w:hAnsi="Cambria Math" w:cs="Times New Roman"/>
                  <w:i/>
                  <w:sz w:val="21"/>
                  <w:szCs w:val="21"/>
                </w:rPr>
              </m:ctrlPr>
            </m:sSubPr>
            <m:e>
              <m:r>
                <w:rPr>
                  <w:rFonts w:ascii="Cambria Math" w:eastAsia="Calibri" w:hAnsi="Cambria Math" w:cs="Times New Roman"/>
                  <w:sz w:val="21"/>
                  <w:szCs w:val="21"/>
                </w:rPr>
                <m:t>Y</m:t>
              </m:r>
            </m:e>
            <m:sub>
              <m:r>
                <w:rPr>
                  <w:rFonts w:ascii="Cambria Math" w:eastAsia="Calibri" w:hAnsi="Cambria Math" w:cs="Times New Roman"/>
                  <w:sz w:val="21"/>
                  <w:szCs w:val="21"/>
                </w:rPr>
                <m:t>its</m:t>
              </m:r>
            </m:sub>
          </m:sSub>
          <m:r>
            <w:rPr>
              <w:rFonts w:ascii="Cambria Math" w:eastAsia="Calibri" w:hAnsi="Cambria Math" w:cs="Times New Roman"/>
              <w:sz w:val="21"/>
              <w:szCs w:val="21"/>
            </w:rPr>
            <m:t>=</m:t>
          </m:r>
          <m:func>
            <m:funcPr>
              <m:ctrlPr>
                <w:rPr>
                  <w:rFonts w:ascii="Cambria Math" w:eastAsia="Calibri" w:hAnsi="Cambria Math" w:cs="Times New Roman"/>
                  <w:sz w:val="21"/>
                  <w:szCs w:val="21"/>
                </w:rPr>
              </m:ctrlPr>
            </m:funcPr>
            <m:fName>
              <m:r>
                <m:rPr>
                  <m:sty m:val="p"/>
                </m:rPr>
                <w:rPr>
                  <w:rFonts w:ascii="Cambria Math" w:eastAsia="Calibri" w:hAnsi="Cambria Math" w:cs="Times New Roman"/>
                  <w:sz w:val="21"/>
                  <w:szCs w:val="21"/>
                </w:rPr>
                <m:t>exp</m:t>
              </m:r>
            </m:fName>
            <m:e>
              <m:d>
                <m:dPr>
                  <m:ctrlPr>
                    <w:rPr>
                      <w:rFonts w:ascii="Cambria Math" w:eastAsia="Calibri" w:hAnsi="Cambria Math" w:cs="Times New Roman"/>
                      <w:i/>
                      <w:sz w:val="21"/>
                      <w:szCs w:val="21"/>
                    </w:rPr>
                  </m:ctrlPr>
                </m:dPr>
                <m:e>
                  <m:sSub>
                    <m:sSubPr>
                      <m:ctrlPr>
                        <w:rPr>
                          <w:rFonts w:ascii="Cambria Math" w:eastAsia="Calibri" w:hAnsi="Cambria Math" w:cs="Times New Roman"/>
                          <w:i/>
                          <w:sz w:val="21"/>
                          <w:szCs w:val="21"/>
                        </w:rPr>
                      </m:ctrlPr>
                    </m:sSubPr>
                    <m:e>
                      <m:r>
                        <w:rPr>
                          <w:rFonts w:ascii="Cambria Math" w:eastAsia="Calibri" w:hAnsi="Cambria Math" w:cs="Times New Roman"/>
                          <w:sz w:val="21"/>
                          <w:szCs w:val="21"/>
                        </w:rPr>
                        <m:t>β</m:t>
                      </m:r>
                    </m:e>
                    <m:sub>
                      <m:r>
                        <w:rPr>
                          <w:rFonts w:ascii="Cambria Math" w:eastAsia="Calibri" w:hAnsi="Cambria Math" w:cs="Times New Roman"/>
                          <w:sz w:val="21"/>
                          <w:szCs w:val="21"/>
                        </w:rPr>
                        <m:t>0</m:t>
                      </m:r>
                    </m:sub>
                  </m:sSub>
                  <m:r>
                    <w:rPr>
                      <w:rFonts w:ascii="Cambria Math" w:eastAsia="Calibri" w:hAnsi="Cambria Math" w:cs="Times New Roman"/>
                      <w:sz w:val="21"/>
                      <w:szCs w:val="21"/>
                    </w:rPr>
                    <m:t>+</m:t>
                  </m:r>
                  <m:sSub>
                    <m:sSubPr>
                      <m:ctrlPr>
                        <w:rPr>
                          <w:rFonts w:ascii="Cambria Math" w:eastAsia="Calibri" w:hAnsi="Cambria Math" w:cs="Times New Roman"/>
                          <w:i/>
                          <w:sz w:val="21"/>
                          <w:szCs w:val="21"/>
                        </w:rPr>
                      </m:ctrlPr>
                    </m:sSubPr>
                    <m:e>
                      <m:r>
                        <w:rPr>
                          <w:rFonts w:ascii="Cambria Math" w:eastAsia="Calibri" w:hAnsi="Cambria Math" w:cs="Times New Roman"/>
                          <w:sz w:val="21"/>
                          <w:szCs w:val="21"/>
                        </w:rPr>
                        <m:t>β</m:t>
                      </m:r>
                    </m:e>
                    <m:sub>
                      <m:r>
                        <w:rPr>
                          <w:rFonts w:ascii="Cambria Math" w:eastAsia="Calibri" w:hAnsi="Cambria Math" w:cs="Times New Roman"/>
                          <w:sz w:val="21"/>
                          <w:szCs w:val="21"/>
                        </w:rPr>
                        <m:t>1</m:t>
                      </m:r>
                    </m:sub>
                  </m:sSub>
                  <m:r>
                    <w:rPr>
                      <w:rFonts w:ascii="Cambria Math" w:eastAsia="Calibri" w:hAnsi="Cambria Math" w:cs="Times New Roman"/>
                      <w:sz w:val="21"/>
                      <w:szCs w:val="21"/>
                    </w:rPr>
                    <m:t>Fire Coun</m:t>
                  </m:r>
                  <m:sSub>
                    <m:sSubPr>
                      <m:ctrlPr>
                        <w:rPr>
                          <w:rFonts w:ascii="Cambria Math" w:eastAsia="Calibri" w:hAnsi="Cambria Math" w:cs="Times New Roman"/>
                          <w:i/>
                          <w:sz w:val="21"/>
                          <w:szCs w:val="21"/>
                        </w:rPr>
                      </m:ctrlPr>
                    </m:sSubPr>
                    <m:e>
                      <m:r>
                        <w:rPr>
                          <w:rFonts w:ascii="Cambria Math" w:eastAsia="Calibri" w:hAnsi="Cambria Math" w:cs="Times New Roman"/>
                          <w:sz w:val="21"/>
                          <w:szCs w:val="21"/>
                        </w:rPr>
                        <m:t>t</m:t>
                      </m:r>
                    </m:e>
                    <m:sub>
                      <m:r>
                        <w:rPr>
                          <w:rFonts w:ascii="Cambria Math" w:eastAsia="Calibri" w:hAnsi="Cambria Math" w:cs="Times New Roman"/>
                          <w:sz w:val="21"/>
                          <w:szCs w:val="21"/>
                        </w:rPr>
                        <m:t>i,t-1</m:t>
                      </m:r>
                    </m:sub>
                  </m:sSub>
                  <m:r>
                    <w:rPr>
                      <w:rFonts w:ascii="Cambria Math" w:eastAsia="Calibri" w:hAnsi="Cambria Math" w:cs="Times New Roman"/>
                      <w:sz w:val="21"/>
                      <w:szCs w:val="21"/>
                    </w:rPr>
                    <m:t>+</m:t>
                  </m:r>
                  <m:sSub>
                    <m:sSubPr>
                      <m:ctrlPr>
                        <w:rPr>
                          <w:rFonts w:ascii="Cambria Math" w:eastAsia="Calibri" w:hAnsi="Cambria Math" w:cs="Times New Roman"/>
                          <w:i/>
                          <w:sz w:val="21"/>
                          <w:szCs w:val="21"/>
                        </w:rPr>
                      </m:ctrlPr>
                    </m:sSubPr>
                    <m:e>
                      <m:r>
                        <w:rPr>
                          <w:rFonts w:ascii="Cambria Math" w:eastAsia="Calibri" w:hAnsi="Cambria Math" w:cs="Times New Roman"/>
                          <w:sz w:val="21"/>
                          <w:szCs w:val="21"/>
                        </w:rPr>
                        <m:t>β</m:t>
                      </m:r>
                    </m:e>
                    <m:sub>
                      <m:r>
                        <w:rPr>
                          <w:rFonts w:ascii="Cambria Math" w:eastAsia="Calibri" w:hAnsi="Cambria Math" w:cs="Times New Roman"/>
                          <w:sz w:val="21"/>
                          <w:szCs w:val="21"/>
                        </w:rPr>
                        <m:t>2</m:t>
                      </m:r>
                    </m:sub>
                  </m:sSub>
                  <m:r>
                    <w:rPr>
                      <w:rFonts w:ascii="Cambria Math" w:eastAsia="Calibri" w:hAnsi="Cambria Math" w:cs="Times New Roman"/>
                      <w:sz w:val="21"/>
                      <w:szCs w:val="21"/>
                    </w:rPr>
                    <m:t>Burned Area</m:t>
                  </m:r>
                  <m:sSub>
                    <m:sSubPr>
                      <m:ctrlPr>
                        <w:rPr>
                          <w:rFonts w:ascii="Cambria Math" w:eastAsia="Calibri" w:hAnsi="Cambria Math" w:cs="Times New Roman"/>
                          <w:i/>
                          <w:sz w:val="21"/>
                          <w:szCs w:val="21"/>
                        </w:rPr>
                      </m:ctrlPr>
                    </m:sSubPr>
                    <m:e>
                      <m:r>
                        <w:rPr>
                          <w:rFonts w:ascii="Cambria Math" w:eastAsia="Calibri" w:hAnsi="Cambria Math" w:cs="Times New Roman"/>
                          <w:sz w:val="21"/>
                          <w:szCs w:val="21"/>
                        </w:rPr>
                        <m:t>s</m:t>
                      </m:r>
                    </m:e>
                    <m:sub>
                      <m:r>
                        <w:rPr>
                          <w:rFonts w:ascii="Cambria Math" w:eastAsia="Calibri" w:hAnsi="Cambria Math" w:cs="Times New Roman"/>
                          <w:sz w:val="21"/>
                          <w:szCs w:val="21"/>
                        </w:rPr>
                        <m:t>i,t-1</m:t>
                      </m:r>
                    </m:sub>
                  </m:sSub>
                  <m:r>
                    <w:rPr>
                      <w:rFonts w:ascii="Cambria Math" w:eastAsia="Calibri" w:hAnsi="Cambria Math" w:cs="Times New Roman"/>
                      <w:sz w:val="21"/>
                      <w:szCs w:val="21"/>
                    </w:rPr>
                    <m:t>+</m:t>
                  </m:r>
                  <m:sSub>
                    <m:sSubPr>
                      <m:ctrlPr>
                        <w:rPr>
                          <w:rFonts w:ascii="Cambria Math" w:eastAsia="Calibri" w:hAnsi="Cambria Math" w:cs="Times New Roman"/>
                          <w:i/>
                          <w:sz w:val="21"/>
                          <w:szCs w:val="21"/>
                        </w:rPr>
                      </m:ctrlPr>
                    </m:sSubPr>
                    <m:e>
                      <m:r>
                        <w:rPr>
                          <w:rFonts w:ascii="Cambria Math" w:eastAsia="Calibri" w:hAnsi="Cambria Math" w:cs="Times New Roman"/>
                          <w:sz w:val="21"/>
                          <w:szCs w:val="21"/>
                        </w:rPr>
                        <m:t>β</m:t>
                      </m:r>
                    </m:e>
                    <m:sub>
                      <m:r>
                        <w:rPr>
                          <w:rFonts w:ascii="Cambria Math" w:eastAsia="Calibri" w:hAnsi="Cambria Math" w:cs="Times New Roman"/>
                          <w:sz w:val="21"/>
                          <w:szCs w:val="21"/>
                        </w:rPr>
                        <m:t>3</m:t>
                      </m:r>
                    </m:sub>
                  </m:sSub>
                  <m:sSub>
                    <m:sSubPr>
                      <m:ctrlPr>
                        <w:rPr>
                          <w:rFonts w:ascii="Cambria Math" w:eastAsia="Calibri" w:hAnsi="Cambria Math" w:cs="Times New Roman"/>
                          <w:i/>
                          <w:sz w:val="21"/>
                          <w:szCs w:val="21"/>
                        </w:rPr>
                      </m:ctrlPr>
                    </m:sSubPr>
                    <m:e>
                      <m:r>
                        <w:rPr>
                          <w:rFonts w:ascii="Cambria Math" w:eastAsia="Calibri" w:hAnsi="Cambria Math" w:cs="Times New Roman"/>
                          <w:sz w:val="21"/>
                          <w:szCs w:val="21"/>
                        </w:rPr>
                        <m:t>Z</m:t>
                      </m:r>
                    </m:e>
                    <m:sub>
                      <m:r>
                        <w:rPr>
                          <w:rFonts w:ascii="Cambria Math" w:eastAsia="Calibri" w:hAnsi="Cambria Math" w:cs="Times New Roman"/>
                          <w:sz w:val="21"/>
                          <w:szCs w:val="21"/>
                        </w:rPr>
                        <m:t>is,t-1</m:t>
                      </m:r>
                    </m:sub>
                  </m:sSub>
                  <m:r>
                    <w:rPr>
                      <w:rFonts w:ascii="Cambria Math" w:eastAsia="Calibri" w:hAnsi="Cambria Math" w:cs="Times New Roman"/>
                      <w:sz w:val="21"/>
                      <w:szCs w:val="21"/>
                    </w:rPr>
                    <m:t>+</m:t>
                  </m:r>
                  <m:nary>
                    <m:naryPr>
                      <m:chr m:val="∑"/>
                      <m:limLoc m:val="undOvr"/>
                      <m:ctrlPr>
                        <w:rPr>
                          <w:rFonts w:ascii="Cambria Math" w:eastAsia="Calibri" w:hAnsi="Cambria Math" w:cs="Times New Roman"/>
                          <w:i/>
                          <w:sz w:val="21"/>
                          <w:szCs w:val="21"/>
                        </w:rPr>
                      </m:ctrlPr>
                    </m:naryPr>
                    <m:sub>
                      <m:r>
                        <w:rPr>
                          <w:rFonts w:ascii="Cambria Math" w:eastAsia="Calibri" w:hAnsi="Cambria Math" w:cs="Times New Roman"/>
                          <w:sz w:val="21"/>
                          <w:szCs w:val="21"/>
                        </w:rPr>
                        <m:t>k=1</m:t>
                      </m:r>
                    </m:sub>
                    <m:sup>
                      <m:r>
                        <w:rPr>
                          <w:rFonts w:ascii="Cambria Math" w:eastAsia="Calibri" w:hAnsi="Cambria Math" w:cs="Times New Roman"/>
                          <w:sz w:val="21"/>
                          <w:szCs w:val="21"/>
                        </w:rPr>
                        <m:t>N</m:t>
                      </m:r>
                    </m:sup>
                    <m:e>
                      <m:sSub>
                        <m:sSubPr>
                          <m:ctrlPr>
                            <w:rPr>
                              <w:rFonts w:ascii="Cambria Math" w:eastAsia="Calibri" w:hAnsi="Cambria Math" w:cs="Times New Roman"/>
                              <w:i/>
                              <w:sz w:val="21"/>
                              <w:szCs w:val="21"/>
                            </w:rPr>
                          </m:ctrlPr>
                        </m:sSubPr>
                        <m:e>
                          <m:r>
                            <w:rPr>
                              <w:rFonts w:ascii="Cambria Math" w:eastAsia="Calibri" w:hAnsi="Cambria Math" w:cs="Times New Roman"/>
                              <w:sz w:val="21"/>
                              <w:szCs w:val="21"/>
                            </w:rPr>
                            <m:t>β</m:t>
                          </m:r>
                        </m:e>
                        <m:sub>
                          <m:r>
                            <w:rPr>
                              <w:rFonts w:ascii="Cambria Math" w:eastAsia="Calibri" w:hAnsi="Cambria Math" w:cs="Times New Roman"/>
                              <w:sz w:val="21"/>
                              <w:szCs w:val="21"/>
                            </w:rPr>
                            <m:t>k</m:t>
                          </m:r>
                        </m:sub>
                      </m:sSub>
                      <m:sSub>
                        <m:sSubPr>
                          <m:ctrlPr>
                            <w:rPr>
                              <w:rFonts w:ascii="Cambria Math" w:eastAsia="Calibri" w:hAnsi="Cambria Math" w:cs="Times New Roman"/>
                              <w:i/>
                              <w:sz w:val="21"/>
                              <w:szCs w:val="21"/>
                            </w:rPr>
                          </m:ctrlPr>
                        </m:sSubPr>
                        <m:e>
                          <m:r>
                            <w:rPr>
                              <w:rFonts w:ascii="Cambria Math" w:eastAsia="Calibri" w:hAnsi="Cambria Math" w:cs="Times New Roman"/>
                              <w:sz w:val="21"/>
                              <w:szCs w:val="21"/>
                            </w:rPr>
                            <m:t>X</m:t>
                          </m:r>
                        </m:e>
                        <m:sub>
                          <m:r>
                            <w:rPr>
                              <w:rFonts w:ascii="Cambria Math" w:eastAsia="Calibri" w:hAnsi="Cambria Math" w:cs="Times New Roman"/>
                              <w:sz w:val="21"/>
                              <w:szCs w:val="21"/>
                            </w:rPr>
                            <m:t>kit</m:t>
                          </m:r>
                        </m:sub>
                      </m:sSub>
                    </m:e>
                  </m:nary>
                  <m:r>
                    <w:rPr>
                      <w:rFonts w:ascii="Cambria Math" w:eastAsia="Calibri" w:hAnsi="Cambria Math" w:cs="Times New Roman"/>
                      <w:sz w:val="21"/>
                      <w:szCs w:val="21"/>
                    </w:rPr>
                    <m:t>+</m:t>
                  </m:r>
                  <m:sSub>
                    <m:sSubPr>
                      <m:ctrlPr>
                        <w:rPr>
                          <w:rFonts w:ascii="Cambria Math" w:eastAsia="Calibri" w:hAnsi="Cambria Math" w:cs="Times New Roman"/>
                          <w:i/>
                          <w:sz w:val="21"/>
                          <w:szCs w:val="21"/>
                        </w:rPr>
                      </m:ctrlPr>
                    </m:sSubPr>
                    <m:e>
                      <m:r>
                        <w:rPr>
                          <w:rFonts w:ascii="Cambria Math" w:eastAsia="Calibri" w:hAnsi="Cambria Math" w:cs="Times New Roman"/>
                          <w:sz w:val="21"/>
                          <w:szCs w:val="21"/>
                        </w:rPr>
                        <m:t>α</m:t>
                      </m:r>
                    </m:e>
                    <m:sub>
                      <m:r>
                        <w:rPr>
                          <w:rFonts w:ascii="Cambria Math" w:eastAsia="Calibri" w:hAnsi="Cambria Math" w:cs="Times New Roman"/>
                          <w:sz w:val="21"/>
                          <w:szCs w:val="21"/>
                        </w:rPr>
                        <m:t>i</m:t>
                      </m:r>
                    </m:sub>
                  </m:sSub>
                  <m:r>
                    <w:rPr>
                      <w:rFonts w:ascii="Cambria Math" w:eastAsia="Calibri" w:hAnsi="Cambria Math" w:cs="Times New Roman"/>
                      <w:sz w:val="21"/>
                      <w:szCs w:val="21"/>
                    </w:rPr>
                    <m:t>+</m:t>
                  </m:r>
                  <m:sSub>
                    <m:sSubPr>
                      <m:ctrlPr>
                        <w:rPr>
                          <w:rFonts w:ascii="Cambria Math" w:eastAsia="Calibri" w:hAnsi="Cambria Math" w:cs="Times New Roman"/>
                          <w:i/>
                          <w:sz w:val="21"/>
                          <w:szCs w:val="21"/>
                        </w:rPr>
                      </m:ctrlPr>
                    </m:sSubPr>
                    <m:e>
                      <m:r>
                        <w:rPr>
                          <w:rFonts w:ascii="Cambria Math" w:eastAsia="Calibri" w:hAnsi="Cambria Math" w:cs="Times New Roman"/>
                          <w:sz w:val="21"/>
                          <w:szCs w:val="21"/>
                        </w:rPr>
                        <m:t>λ</m:t>
                      </m:r>
                    </m:e>
                    <m:sub>
                      <m:r>
                        <w:rPr>
                          <w:rFonts w:ascii="Cambria Math" w:eastAsia="Calibri" w:hAnsi="Cambria Math" w:cs="Times New Roman"/>
                          <w:sz w:val="21"/>
                          <w:szCs w:val="21"/>
                        </w:rPr>
                        <m:t>t</m:t>
                      </m:r>
                    </m:sub>
                  </m:sSub>
                  <m:r>
                    <w:rPr>
                      <w:rFonts w:ascii="Cambria Math" w:eastAsia="Calibri" w:hAnsi="Cambria Math" w:cs="Times New Roman"/>
                      <w:sz w:val="21"/>
                      <w:szCs w:val="21"/>
                    </w:rPr>
                    <m:t>+</m:t>
                  </m:r>
                  <m:sSub>
                    <m:sSubPr>
                      <m:ctrlPr>
                        <w:rPr>
                          <w:rFonts w:ascii="Cambria Math" w:eastAsia="Calibri" w:hAnsi="Cambria Math" w:cs="Times New Roman"/>
                          <w:i/>
                          <w:sz w:val="21"/>
                          <w:szCs w:val="21"/>
                        </w:rPr>
                      </m:ctrlPr>
                    </m:sSubPr>
                    <m:e>
                      <m:r>
                        <w:rPr>
                          <w:rFonts w:ascii="Cambria Math" w:eastAsia="Calibri" w:hAnsi="Cambria Math" w:cs="Times New Roman"/>
                          <w:sz w:val="21"/>
                          <w:szCs w:val="21"/>
                        </w:rPr>
                        <m:t>γ</m:t>
                      </m:r>
                    </m:e>
                    <m:sub>
                      <m:r>
                        <w:rPr>
                          <w:rFonts w:ascii="Cambria Math" w:eastAsia="Calibri" w:hAnsi="Cambria Math" w:cs="Times New Roman"/>
                          <w:sz w:val="21"/>
                          <w:szCs w:val="21"/>
                        </w:rPr>
                        <m:t>s</m:t>
                      </m:r>
                    </m:sub>
                  </m:sSub>
                </m:e>
              </m:d>
            </m:e>
          </m:func>
          <m:r>
            <w:rPr>
              <w:rFonts w:ascii="Cambria Math" w:eastAsia="Calibri" w:hAnsi="Cambria Math" w:cs="Times New Roman"/>
              <w:sz w:val="21"/>
              <w:szCs w:val="21"/>
            </w:rPr>
            <m:t>+</m:t>
          </m:r>
          <m:sSub>
            <m:sSubPr>
              <m:ctrlPr>
                <w:rPr>
                  <w:rFonts w:ascii="Cambria Math" w:eastAsia="Calibri" w:hAnsi="Cambria Math" w:cs="Times New Roman"/>
                  <w:i/>
                  <w:sz w:val="21"/>
                  <w:szCs w:val="21"/>
                </w:rPr>
              </m:ctrlPr>
            </m:sSubPr>
            <m:e>
              <m:r>
                <w:rPr>
                  <w:rFonts w:ascii="Cambria Math" w:eastAsia="Calibri" w:hAnsi="Cambria Math" w:cs="Times New Roman"/>
                  <w:sz w:val="21"/>
                  <w:szCs w:val="21"/>
                </w:rPr>
                <m:t>ϵ</m:t>
              </m:r>
            </m:e>
            <m:sub>
              <m:r>
                <w:rPr>
                  <w:rFonts w:ascii="Cambria Math" w:eastAsia="Calibri" w:hAnsi="Cambria Math" w:cs="Times New Roman"/>
                  <w:sz w:val="21"/>
                  <w:szCs w:val="21"/>
                </w:rPr>
                <m:t>it</m:t>
              </m:r>
            </m:sub>
          </m:sSub>
        </m:oMath>
      </m:oMathPara>
    </w:p>
    <w:p w14:paraId="29547537" w14:textId="77777777" w:rsidR="00D61046" w:rsidRPr="00D61046" w:rsidRDefault="00D61046" w:rsidP="009908F2">
      <w:pPr>
        <w:spacing w:line="259" w:lineRule="auto"/>
        <w:rPr>
          <w:rFonts w:eastAsia="Times New Roman" w:cs="Times New Roman"/>
        </w:rPr>
      </w:pPr>
      <w:r w:rsidRPr="00D61046">
        <w:rPr>
          <w:rFonts w:eastAsia="Times New Roman" w:cs="Times New Roman"/>
        </w:rPr>
        <w:t>Where:</w:t>
      </w:r>
    </w:p>
    <w:p w14:paraId="282192D4" w14:textId="77777777" w:rsidR="00D61046" w:rsidRPr="00D61046" w:rsidRDefault="00000000" w:rsidP="009908F2">
      <w:pPr>
        <w:numPr>
          <w:ilvl w:val="0"/>
          <w:numId w:val="21"/>
        </w:numPr>
        <w:contextualSpacing/>
        <w:rPr>
          <w:rFonts w:eastAsia="Calibri" w:cs="Times New Roman"/>
          <w:lang/>
        </w:rPr>
      </w:pPr>
      <m:oMath>
        <m:sSub>
          <m:sSubPr>
            <m:ctrlPr>
              <w:rPr>
                <w:rFonts w:ascii="Cambria Math" w:eastAsia="Calibri" w:hAnsi="Cambria Math" w:cs="Times New Roman"/>
                <w:i/>
              </w:rPr>
            </m:ctrlPr>
          </m:sSubPr>
          <m:e>
            <m:r>
              <w:rPr>
                <w:rFonts w:ascii="Cambria Math" w:eastAsia="Calibri" w:hAnsi="Cambria Math" w:cs="Times New Roman"/>
              </w:rPr>
              <m:t>Y</m:t>
            </m:r>
          </m:e>
          <m:sub>
            <m:r>
              <w:rPr>
                <w:rFonts w:ascii="Cambria Math" w:eastAsia="Calibri" w:hAnsi="Cambria Math" w:cs="Times New Roman"/>
              </w:rPr>
              <m:t>its</m:t>
            </m:r>
          </m:sub>
        </m:sSub>
      </m:oMath>
      <w:r w:rsidR="00D61046" w:rsidRPr="00D61046">
        <w:rPr>
          <w:rFonts w:eastAsia="Times New Roman" w:cs="Times New Roman"/>
        </w:rPr>
        <w:t xml:space="preserve">: Economic outcome </w:t>
      </w:r>
      <w:r w:rsidR="00D61046" w:rsidRPr="00D61046">
        <w:rPr>
          <w:rFonts w:eastAsia="Calibri" w:cs="Times New Roman"/>
          <w:lang/>
        </w:rPr>
        <w:t>(e.g., Establishment Births, Deaths, Inward Relocations, Outward Relocations, Employment, Sales Volume) in sector s, county i, year t.</w:t>
      </w:r>
    </w:p>
    <w:p w14:paraId="2B0A8C4F" w14:textId="77777777" w:rsidR="00D61046" w:rsidRPr="00D61046" w:rsidRDefault="00D61046" w:rsidP="009908F2">
      <w:pPr>
        <w:numPr>
          <w:ilvl w:val="0"/>
          <w:numId w:val="21"/>
        </w:numPr>
        <w:contextualSpacing/>
        <w:rPr>
          <w:rFonts w:eastAsia="Calibri" w:cs="Times New Roman"/>
          <w:lang/>
        </w:rPr>
      </w:pPr>
      <m:oMath>
        <m:r>
          <w:rPr>
            <w:rFonts w:ascii="Cambria Math" w:eastAsia="Calibri" w:hAnsi="Cambria Math" w:cs="Times New Roman"/>
          </w:rPr>
          <m:t>Fire Coun</m:t>
        </m:r>
        <m:sSub>
          <m:sSubPr>
            <m:ctrlPr>
              <w:rPr>
                <w:rFonts w:ascii="Cambria Math" w:eastAsia="Calibri" w:hAnsi="Cambria Math" w:cs="Times New Roman"/>
                <w:i/>
              </w:rPr>
            </m:ctrlPr>
          </m:sSubPr>
          <m:e>
            <m:r>
              <w:rPr>
                <w:rFonts w:ascii="Cambria Math" w:eastAsia="Calibri" w:hAnsi="Cambria Math" w:cs="Times New Roman"/>
              </w:rPr>
              <m:t>t</m:t>
            </m:r>
          </m:e>
          <m:sub>
            <m:r>
              <w:rPr>
                <w:rFonts w:ascii="Cambria Math" w:eastAsia="Calibri" w:hAnsi="Cambria Math" w:cs="Times New Roman"/>
              </w:rPr>
              <m:t>i,t-1</m:t>
            </m:r>
          </m:sub>
        </m:sSub>
      </m:oMath>
      <w:r w:rsidRPr="00D61046">
        <w:rPr>
          <w:rFonts w:eastAsia="Times New Roman" w:cs="Times New Roman"/>
        </w:rPr>
        <w:t>: Number of wildfires in prior year.</w:t>
      </w:r>
    </w:p>
    <w:p w14:paraId="4EB57C81" w14:textId="77777777" w:rsidR="00D61046" w:rsidRPr="00D61046" w:rsidRDefault="00D61046" w:rsidP="009908F2">
      <w:pPr>
        <w:numPr>
          <w:ilvl w:val="0"/>
          <w:numId w:val="21"/>
        </w:numPr>
        <w:contextualSpacing/>
        <w:rPr>
          <w:rFonts w:eastAsia="Calibri" w:cs="Times New Roman"/>
          <w:lang/>
        </w:rPr>
      </w:pPr>
      <m:oMath>
        <m:r>
          <w:rPr>
            <w:rFonts w:ascii="Cambria Math" w:eastAsia="Calibri" w:hAnsi="Cambria Math" w:cs="Times New Roman"/>
          </w:rPr>
          <m:t>Burned Area</m:t>
        </m:r>
        <m:sSub>
          <m:sSubPr>
            <m:ctrlPr>
              <w:rPr>
                <w:rFonts w:ascii="Cambria Math" w:eastAsia="Calibri" w:hAnsi="Cambria Math" w:cs="Times New Roman"/>
                <w:i/>
              </w:rPr>
            </m:ctrlPr>
          </m:sSubPr>
          <m:e>
            <m:r>
              <w:rPr>
                <w:rFonts w:ascii="Cambria Math" w:eastAsia="Calibri" w:hAnsi="Cambria Math" w:cs="Times New Roman"/>
              </w:rPr>
              <m:t>s</m:t>
            </m:r>
          </m:e>
          <m:sub>
            <m:r>
              <w:rPr>
                <w:rFonts w:ascii="Cambria Math" w:eastAsia="Calibri" w:hAnsi="Cambria Math" w:cs="Times New Roman"/>
              </w:rPr>
              <m:t>i,t-1</m:t>
            </m:r>
          </m:sub>
        </m:sSub>
      </m:oMath>
      <w:r w:rsidRPr="00D61046">
        <w:rPr>
          <w:rFonts w:eastAsia="Times New Roman" w:cs="Times New Roman"/>
        </w:rPr>
        <w:t>: Proportion of county area burned by wildfires in prior year.</w:t>
      </w:r>
    </w:p>
    <w:p w14:paraId="2376377C" w14:textId="77777777" w:rsidR="00D61046" w:rsidRPr="00D61046" w:rsidRDefault="00000000" w:rsidP="009908F2">
      <w:pPr>
        <w:numPr>
          <w:ilvl w:val="0"/>
          <w:numId w:val="21"/>
        </w:numPr>
        <w:contextualSpacing/>
        <w:rPr>
          <w:rFonts w:eastAsia="Calibri" w:cs="Times New Roman"/>
          <w:lang/>
        </w:rPr>
      </w:pPr>
      <m:oMath>
        <m:sSub>
          <m:sSubPr>
            <m:ctrlPr>
              <w:rPr>
                <w:rFonts w:ascii="Cambria Math" w:eastAsia="Calibri" w:hAnsi="Cambria Math" w:cs="Times New Roman"/>
                <w:i/>
                <w:lang/>
              </w:rPr>
            </m:ctrlPr>
          </m:sSubPr>
          <m:e>
            <m:r>
              <w:rPr>
                <w:rFonts w:ascii="Cambria Math" w:eastAsia="Calibri" w:hAnsi="Cambria Math" w:cs="Times New Roman"/>
                <w:lang/>
              </w:rPr>
              <m:t>α</m:t>
            </m:r>
          </m:e>
          <m:sub>
            <m:r>
              <w:rPr>
                <w:rFonts w:ascii="Cambria Math" w:eastAsia="Calibri" w:hAnsi="Cambria Math" w:cs="Times New Roman"/>
                <w:lang/>
              </w:rPr>
              <m:t>i</m:t>
            </m:r>
          </m:sub>
        </m:sSub>
        <m:r>
          <w:rPr>
            <w:rFonts w:ascii="Cambria Math" w:eastAsia="Calibri" w:hAnsi="Cambria Math" w:cs="Times New Roman"/>
            <w:lang/>
          </w:rPr>
          <m:t>,</m:t>
        </m:r>
        <m:sSub>
          <m:sSubPr>
            <m:ctrlPr>
              <w:rPr>
                <w:rFonts w:ascii="Cambria Math" w:eastAsia="Calibri" w:hAnsi="Cambria Math" w:cs="Times New Roman"/>
                <w:i/>
                <w:lang/>
              </w:rPr>
            </m:ctrlPr>
          </m:sSubPr>
          <m:e>
            <m:r>
              <w:rPr>
                <w:rFonts w:ascii="Cambria Math" w:eastAsia="Calibri" w:hAnsi="Cambria Math" w:cs="Times New Roman"/>
                <w:lang/>
              </w:rPr>
              <m:t>λ</m:t>
            </m:r>
          </m:e>
          <m:sub>
            <m:r>
              <w:rPr>
                <w:rFonts w:ascii="Cambria Math" w:eastAsia="Calibri" w:hAnsi="Cambria Math" w:cs="Times New Roman"/>
                <w:lang/>
              </w:rPr>
              <m:t>t</m:t>
            </m:r>
          </m:sub>
        </m:sSub>
        <m:r>
          <w:rPr>
            <w:rFonts w:ascii="Cambria Math" w:eastAsia="Calibri" w:hAnsi="Cambria Math" w:cs="Times New Roman"/>
            <w:lang/>
          </w:rPr>
          <m:t>,</m:t>
        </m:r>
        <m:sSub>
          <m:sSubPr>
            <m:ctrlPr>
              <w:rPr>
                <w:rFonts w:ascii="Cambria Math" w:eastAsia="Calibri" w:hAnsi="Cambria Math" w:cs="Times New Roman"/>
                <w:i/>
                <w:lang/>
              </w:rPr>
            </m:ctrlPr>
          </m:sSubPr>
          <m:e>
            <m:r>
              <w:rPr>
                <w:rFonts w:ascii="Cambria Math" w:eastAsia="Calibri" w:hAnsi="Cambria Math" w:cs="Times New Roman"/>
                <w:lang/>
              </w:rPr>
              <m:t>γ</m:t>
            </m:r>
          </m:e>
          <m:sub>
            <m:r>
              <w:rPr>
                <w:rFonts w:ascii="Cambria Math" w:eastAsia="Calibri" w:hAnsi="Cambria Math" w:cs="Times New Roman"/>
                <w:lang/>
              </w:rPr>
              <m:t>s</m:t>
            </m:r>
          </m:sub>
        </m:sSub>
      </m:oMath>
      <w:r w:rsidR="00D61046" w:rsidRPr="00D61046">
        <w:rPr>
          <w:rFonts w:eastAsia="Calibri" w:cs="Times New Roman"/>
          <w:lang/>
        </w:rPr>
        <w:t>​: Fixed effects controlling for county, year, and sector-specific unobserved heterogeneity.</w:t>
      </w:r>
    </w:p>
    <w:p w14:paraId="093B42A1" w14:textId="77777777" w:rsidR="00D61046" w:rsidRPr="00D61046" w:rsidRDefault="00000000" w:rsidP="009908F2">
      <w:pPr>
        <w:numPr>
          <w:ilvl w:val="0"/>
          <w:numId w:val="21"/>
        </w:numPr>
        <w:contextualSpacing/>
        <w:rPr>
          <w:rFonts w:eastAsia="Calibri" w:cs="Times New Roman"/>
          <w:lang/>
        </w:rPr>
      </w:pPr>
      <m:oMath>
        <m:sSub>
          <m:sSubPr>
            <m:ctrlPr>
              <w:rPr>
                <w:rFonts w:ascii="Cambria Math" w:eastAsia="Calibri" w:hAnsi="Cambria Math" w:cs="Times New Roman"/>
                <w:i/>
              </w:rPr>
            </m:ctrlPr>
          </m:sSubPr>
          <m:e>
            <m:r>
              <w:rPr>
                <w:rFonts w:ascii="Cambria Math" w:eastAsia="Calibri" w:hAnsi="Cambria Math" w:cs="Times New Roman"/>
              </w:rPr>
              <m:t>X</m:t>
            </m:r>
          </m:e>
          <m:sub>
            <m:r>
              <w:rPr>
                <w:rFonts w:ascii="Cambria Math" w:eastAsia="Calibri" w:hAnsi="Cambria Math" w:cs="Times New Roman"/>
              </w:rPr>
              <m:t>kit</m:t>
            </m:r>
          </m:sub>
        </m:sSub>
        <m:r>
          <w:rPr>
            <w:rFonts w:ascii="Cambria Math" w:eastAsia="Times New Roman" w:hAnsi="Cambria Math" w:cs="Times New Roman"/>
          </w:rPr>
          <m:t>:</m:t>
        </m:r>
      </m:oMath>
      <w:r w:rsidR="00D61046" w:rsidRPr="00D61046">
        <w:rPr>
          <w:rFonts w:eastAsia="Calibri" w:cs="Times New Roman"/>
          <w:lang/>
        </w:rPr>
        <w:t xml:space="preserve"> Vector of socio-economic explanatory variables.</w:t>
      </w:r>
    </w:p>
    <w:p w14:paraId="4177BEE7" w14:textId="77777777" w:rsidR="00D61046" w:rsidRPr="00D61046" w:rsidRDefault="00000000" w:rsidP="009908F2">
      <w:pPr>
        <w:numPr>
          <w:ilvl w:val="0"/>
          <w:numId w:val="21"/>
        </w:numPr>
        <w:contextualSpacing/>
        <w:rPr>
          <w:rFonts w:eastAsia="Times New Roman" w:cs="Times New Roman"/>
        </w:rPr>
      </w:pPr>
      <m:oMath>
        <m:sSub>
          <m:sSubPr>
            <m:ctrlPr>
              <w:rPr>
                <w:rFonts w:ascii="Cambria Math" w:eastAsia="Calibri" w:hAnsi="Cambria Math" w:cs="Times New Roman"/>
                <w:i/>
              </w:rPr>
            </m:ctrlPr>
          </m:sSubPr>
          <m:e>
            <m:r>
              <w:rPr>
                <w:rFonts w:ascii="Cambria Math" w:eastAsia="Calibri" w:hAnsi="Cambria Math" w:cs="Times New Roman"/>
              </w:rPr>
              <m:t>Z</m:t>
            </m:r>
          </m:e>
          <m:sub>
            <m:r>
              <w:rPr>
                <w:rFonts w:ascii="Cambria Math" w:eastAsia="Calibri" w:hAnsi="Cambria Math" w:cs="Times New Roman"/>
              </w:rPr>
              <m:t>is,t-1</m:t>
            </m:r>
          </m:sub>
        </m:sSub>
        <m:r>
          <w:rPr>
            <w:rFonts w:ascii="Cambria Math" w:eastAsia="Calibri" w:hAnsi="Cambria Math" w:cs="Times New Roman"/>
          </w:rPr>
          <m:t>:</m:t>
        </m:r>
      </m:oMath>
      <w:r w:rsidR="00D61046" w:rsidRPr="00D61046">
        <w:rPr>
          <w:rFonts w:eastAsia="Times New Roman" w:cs="Times New Roman"/>
        </w:rPr>
        <w:t xml:space="preserve"> Lagged sector-specific controls.</w:t>
      </w:r>
    </w:p>
    <w:p w14:paraId="29E38866" w14:textId="77777777" w:rsidR="00D61046" w:rsidRPr="00D61046" w:rsidRDefault="00000000" w:rsidP="009908F2">
      <w:pPr>
        <w:numPr>
          <w:ilvl w:val="0"/>
          <w:numId w:val="21"/>
        </w:numPr>
        <w:contextualSpacing/>
        <w:rPr>
          <w:rFonts w:eastAsia="Times New Roman" w:cs="Times New Roman"/>
        </w:rPr>
      </w:pPr>
      <m:oMath>
        <m:sSub>
          <m:sSubPr>
            <m:ctrlPr>
              <w:rPr>
                <w:rFonts w:ascii="Cambria Math" w:eastAsia="Calibri" w:hAnsi="Cambria Math" w:cs="Times New Roman"/>
                <w:i/>
              </w:rPr>
            </m:ctrlPr>
          </m:sSubPr>
          <m:e>
            <m:r>
              <w:rPr>
                <w:rFonts w:ascii="Cambria Math" w:eastAsia="Calibri" w:hAnsi="Cambria Math" w:cs="Times New Roman"/>
              </w:rPr>
              <m:t>ϵ</m:t>
            </m:r>
          </m:e>
          <m:sub>
            <m:r>
              <w:rPr>
                <w:rFonts w:ascii="Cambria Math" w:eastAsia="Calibri" w:hAnsi="Cambria Math" w:cs="Times New Roman"/>
              </w:rPr>
              <m:t>it</m:t>
            </m:r>
          </m:sub>
        </m:sSub>
        <m:r>
          <w:rPr>
            <w:rFonts w:ascii="Cambria Math" w:eastAsia="Calibri" w:hAnsi="Cambria Math" w:cs="Times New Roman"/>
          </w:rPr>
          <m:t>:</m:t>
        </m:r>
      </m:oMath>
      <w:r w:rsidR="00D61046" w:rsidRPr="00D61046">
        <w:rPr>
          <w:rFonts w:eastAsia="Times New Roman" w:cs="Times New Roman"/>
        </w:rPr>
        <w:t xml:space="preserve"> Error term</w:t>
      </w:r>
    </w:p>
    <w:p w14:paraId="18F47AC9" w14:textId="77777777" w:rsidR="00D61046" w:rsidRPr="00D61046" w:rsidRDefault="00D61046" w:rsidP="009908F2">
      <w:pPr>
        <w:rPr>
          <w:rFonts w:eastAsia="Times New Roman" w:cs="Times New Roman"/>
        </w:rPr>
      </w:pPr>
      <w:r w:rsidRPr="00D61046">
        <w:rPr>
          <w:rFonts w:eastAsia="Times New Roman" w:cs="Times New Roman"/>
          <w:b/>
          <w:bCs/>
        </w:rPr>
        <w:t xml:space="preserve">Coefficient </w:t>
      </w:r>
      <w:r w:rsidRPr="00D61046">
        <w:rPr>
          <w:rFonts w:eastAsia="Calibri" w:cs="Times New Roman"/>
          <w:b/>
          <w:bCs/>
          <w:lang/>
        </w:rPr>
        <w:t>Interpretations</w:t>
      </w:r>
      <w:r w:rsidRPr="00D61046">
        <w:rPr>
          <w:rFonts w:eastAsia="Calibri" w:cs="Times New Roman"/>
          <w:b/>
          <w:bCs/>
          <w:lang/>
        </w:rPr>
        <w:t xml:space="preserve">: </w:t>
      </w:r>
      <w:r w:rsidRPr="00D61046">
        <w:rPr>
          <w:rFonts w:eastAsia="Times New Roman" w:cs="Times New Roman"/>
          <w:lang/>
        </w:rPr>
        <w:t>The coefficients (</w:t>
      </w:r>
      <m:oMath>
        <m:sSub>
          <m:sSubPr>
            <m:ctrlPr>
              <w:rPr>
                <w:rFonts w:ascii="Cambria Math" w:hAnsi="Cambria Math" w:cs="Times New Roman"/>
                <w:i/>
                <w:lang/>
              </w:rPr>
            </m:ctrlPr>
          </m:sSubPr>
          <m:e>
            <m:r>
              <w:rPr>
                <w:rFonts w:ascii="Cambria Math" w:eastAsia="Times New Roman" w:hAnsi="Cambria Math" w:cs="Times New Roman"/>
                <w:lang/>
              </w:rPr>
              <m:t>β</m:t>
            </m:r>
          </m:e>
          <m:sub>
            <m:r>
              <w:rPr>
                <w:rFonts w:ascii="Cambria Math" w:eastAsia="Times New Roman" w:hAnsi="Cambria Math" w:cs="Times New Roman"/>
                <w:lang/>
              </w:rPr>
              <m:t>k</m:t>
            </m:r>
          </m:sub>
        </m:sSub>
      </m:oMath>
      <w:r w:rsidRPr="00D61046">
        <w:rPr>
          <w:rFonts w:eastAsia="Times New Roman" w:cs="Times New Roman"/>
          <w:lang/>
        </w:rPr>
        <w:t xml:space="preserve">​) are semi-elasticities, indicating the percentage change in </w:t>
      </w:r>
      <m:oMath>
        <m:sSub>
          <m:sSubPr>
            <m:ctrlPr>
              <w:rPr>
                <w:rFonts w:ascii="Cambria Math" w:hAnsi="Cambria Math" w:cs="Times New Roman"/>
                <w:i/>
                <w:lang/>
              </w:rPr>
            </m:ctrlPr>
          </m:sSubPr>
          <m:e>
            <m:r>
              <w:rPr>
                <w:rFonts w:ascii="Cambria Math" w:eastAsia="Times New Roman" w:hAnsi="Cambria Math" w:cs="Times New Roman"/>
                <w:lang/>
              </w:rPr>
              <m:t>Y</m:t>
            </m:r>
          </m:e>
          <m:sub>
            <m:r>
              <w:rPr>
                <w:rFonts w:ascii="Cambria Math" w:eastAsia="Times New Roman" w:hAnsi="Cambria Math" w:cs="Times New Roman"/>
                <w:lang/>
              </w:rPr>
              <m:t>its</m:t>
            </m:r>
          </m:sub>
        </m:sSub>
      </m:oMath>
      <w:r w:rsidRPr="00D61046">
        <w:rPr>
          <w:rFonts w:eastAsia="Times New Roman" w:cs="Times New Roman"/>
          <w:lang/>
        </w:rPr>
        <w:t xml:space="preserve"> for a one-unit change in </w:t>
      </w:r>
      <m:oMath>
        <m:sSub>
          <m:sSubPr>
            <m:ctrlPr>
              <w:rPr>
                <w:rFonts w:ascii="Cambria Math" w:hAnsi="Cambria Math" w:cs="Times New Roman"/>
                <w:i/>
                <w:lang/>
              </w:rPr>
            </m:ctrlPr>
          </m:sSubPr>
          <m:e>
            <m:r>
              <w:rPr>
                <w:rFonts w:ascii="Cambria Math" w:eastAsia="Times New Roman" w:hAnsi="Cambria Math" w:cs="Times New Roman"/>
                <w:lang/>
              </w:rPr>
              <m:t>X</m:t>
            </m:r>
          </m:e>
          <m:sub>
            <m:r>
              <w:rPr>
                <w:rFonts w:ascii="Cambria Math" w:eastAsia="Times New Roman" w:hAnsi="Cambria Math" w:cs="Times New Roman"/>
                <w:lang/>
              </w:rPr>
              <m:t>kit</m:t>
            </m:r>
          </m:sub>
        </m:sSub>
      </m:oMath>
      <w:r w:rsidRPr="00D61046">
        <w:rPr>
          <w:rFonts w:eastAsia="Times New Roman" w:cs="Times New Roman"/>
          <w:lang/>
        </w:rPr>
        <w:t>​, holding all else constant.</w:t>
      </w:r>
    </w:p>
    <w:p w14:paraId="761740AA" w14:textId="77777777" w:rsidR="00D61046" w:rsidRPr="00D61046" w:rsidRDefault="00D61046" w:rsidP="009908F2">
      <w:pPr>
        <w:numPr>
          <w:ilvl w:val="0"/>
          <w:numId w:val="22"/>
        </w:numPr>
        <w:contextualSpacing/>
        <w:rPr>
          <w:rFonts w:eastAsia="Calibri" w:cs="Times New Roman"/>
          <w:lang/>
        </w:rPr>
      </w:pPr>
      <w:r w:rsidRPr="00D61046">
        <w:rPr>
          <w:rFonts w:eastAsia="Calibri" w:cs="Times New Roman"/>
          <w:b/>
          <w:bCs/>
          <w:lang/>
        </w:rPr>
        <w:t>Scaled Variable:</w:t>
      </w:r>
      <w:r w:rsidRPr="00D61046">
        <w:rPr>
          <w:rFonts w:eastAsia="Calibri" w:cs="Times New Roman"/>
          <w:lang/>
        </w:rPr>
        <w:t xml:space="preserve"> The fire count variable is scaled by 1,000. </w:t>
      </w:r>
      <w:r w:rsidRPr="00D61046">
        <w:rPr>
          <w:rFonts w:eastAsia="Calibri" w:cs="Times New Roman"/>
          <w:lang/>
        </w:rPr>
        <w:t xml:space="preserve">If </w:t>
      </w:r>
      <w:r w:rsidRPr="00D61046">
        <w:rPr>
          <w:rFonts w:eastAsia="Times New Roman" w:cs="Times New Roman"/>
          <w:lang/>
        </w:rPr>
        <w:t xml:space="preserve">the coefficient </w:t>
      </w:r>
      <w:r w:rsidRPr="00D61046">
        <w:rPr>
          <w:rFonts w:eastAsia="Calibri" w:cs="Times New Roman"/>
          <w:lang/>
        </w:rPr>
        <w:t>(</w:t>
      </w:r>
      <m:oMath>
        <m:sSub>
          <m:sSubPr>
            <m:ctrlPr>
              <w:rPr>
                <w:rFonts w:ascii="Cambria Math" w:eastAsia="Calibri" w:hAnsi="Cambria Math" w:cs="Times New Roman"/>
                <w:i/>
                <w:lang/>
              </w:rPr>
            </m:ctrlPr>
          </m:sSubPr>
          <m:e>
            <m:r>
              <w:rPr>
                <w:rFonts w:ascii="Cambria Math" w:eastAsia="Calibri" w:hAnsi="Cambria Math" w:cs="Times New Roman"/>
                <w:lang/>
              </w:rPr>
              <m:t>β</m:t>
            </m:r>
          </m:e>
          <m:sub>
            <m:r>
              <w:rPr>
                <w:rFonts w:ascii="Cambria Math" w:eastAsia="Calibri" w:hAnsi="Cambria Math" w:cs="Times New Roman"/>
                <w:lang/>
              </w:rPr>
              <m:t>1​</m:t>
            </m:r>
          </m:sub>
        </m:sSub>
        <m:r>
          <w:rPr>
            <w:rFonts w:ascii="Cambria Math" w:eastAsia="Calibri" w:hAnsi="Cambria Math" w:cs="Times New Roman"/>
            <w:lang/>
          </w:rPr>
          <m:t>)</m:t>
        </m:r>
      </m:oMath>
      <w:r w:rsidRPr="00D61046">
        <w:rPr>
          <w:rFonts w:eastAsia="Times New Roman" w:cs="Times New Roman"/>
          <w:lang/>
        </w:rPr>
        <w:t xml:space="preserve"> on the </w:t>
      </w:r>
      <w:r w:rsidRPr="00D61046">
        <w:rPr>
          <w:rFonts w:eastAsia="Calibri" w:cs="Times New Roman"/>
          <w:lang/>
        </w:rPr>
        <w:t xml:space="preserve">Fire Count </w:t>
      </w:r>
      <w:r w:rsidRPr="00D61046">
        <w:rPr>
          <w:rFonts w:eastAsia="Calibri" w:cs="Times New Roman"/>
          <w:lang/>
        </w:rPr>
        <w:t xml:space="preserve">variable </w:t>
      </w:r>
      <w:r w:rsidRPr="00D61046">
        <w:rPr>
          <w:rFonts w:eastAsia="Calibri" w:cs="Times New Roman"/>
          <w:lang/>
        </w:rPr>
        <w:t xml:space="preserve">is </w:t>
      </w:r>
      <m:oMath>
        <m:r>
          <w:rPr>
            <w:rFonts w:ascii="Cambria Math" w:eastAsia="Calibri" w:hAnsi="Cambria Math" w:cs="Times New Roman"/>
            <w:lang/>
          </w:rPr>
          <m:t>-0.05</m:t>
        </m:r>
      </m:oMath>
      <w:r w:rsidRPr="00D61046">
        <w:rPr>
          <w:rFonts w:eastAsia="Calibri" w:cs="Times New Roman"/>
          <w:lang/>
        </w:rPr>
        <w:t xml:space="preserve">, this implies that </w:t>
      </w:r>
      <w:r w:rsidRPr="00D61046">
        <w:rPr>
          <w:rFonts w:eastAsia="Calibri" w:cs="Times New Roman"/>
          <w:lang/>
        </w:rPr>
        <w:t xml:space="preserve">a one-unit increase in </w:t>
      </w:r>
      <w:r w:rsidRPr="00D61046">
        <w:rPr>
          <w:rFonts w:eastAsia="Calibri" w:cs="Times New Roman"/>
          <w:lang/>
        </w:rPr>
        <w:t xml:space="preserve">the </w:t>
      </w:r>
      <w:r w:rsidRPr="00D61046">
        <w:rPr>
          <w:rFonts w:eastAsia="Calibri" w:cs="Times New Roman"/>
          <w:lang/>
        </w:rPr>
        <w:t xml:space="preserve">Fire Count </w:t>
      </w:r>
      <w:r w:rsidRPr="00D61046">
        <w:rPr>
          <w:rFonts w:eastAsia="Calibri" w:cs="Times New Roman"/>
          <w:lang/>
        </w:rPr>
        <w:t xml:space="preserve">variable translates to a 1,000 increase in wildfire count which altogether </w:t>
      </w:r>
      <w:r w:rsidRPr="00D61046">
        <w:rPr>
          <w:rFonts w:eastAsia="Calibri" w:cs="Times New Roman"/>
          <w:lang/>
        </w:rPr>
        <w:t>corresponds to a 5% decrease in the dependent variable</w:t>
      </w:r>
    </w:p>
    <w:p w14:paraId="7518BD2E" w14:textId="77777777" w:rsidR="00D61046" w:rsidRPr="00D61046" w:rsidRDefault="00D61046" w:rsidP="009908F2">
      <w:pPr>
        <w:numPr>
          <w:ilvl w:val="0"/>
          <w:numId w:val="22"/>
        </w:numPr>
        <w:contextualSpacing/>
        <w:rPr>
          <w:rFonts w:eastAsia="Calibri" w:cs="Times New Roman"/>
          <w:lang/>
        </w:rPr>
      </w:pPr>
      <w:r w:rsidRPr="00D61046">
        <w:rPr>
          <w:rFonts w:eastAsia="Calibri" w:cs="Times New Roman"/>
          <w:b/>
          <w:bCs/>
          <w:lang/>
        </w:rPr>
        <w:t>Unscaled Variable:</w:t>
      </w:r>
      <w:r w:rsidRPr="00D61046">
        <w:rPr>
          <w:rFonts w:eastAsia="Calibri" w:cs="Times New Roman"/>
          <w:lang/>
        </w:rPr>
        <w:t xml:space="preserve"> L</w:t>
      </w:r>
      <w:r w:rsidRPr="00D61046">
        <w:rPr>
          <w:rFonts w:eastAsia="Calibri" w:cs="Times New Roman"/>
          <w:lang/>
        </w:rPr>
        <w:t xml:space="preserve">agged establishment exits </w:t>
      </w:r>
      <w:r w:rsidRPr="00D61046">
        <w:rPr>
          <w:rFonts w:eastAsia="Calibri" w:cs="Times New Roman"/>
          <w:lang/>
        </w:rPr>
        <w:t xml:space="preserve">is an unscaled control. </w:t>
      </w:r>
      <w:r w:rsidRPr="00D61046">
        <w:rPr>
          <w:rFonts w:eastAsia="Calibri" w:cs="Times New Roman"/>
          <w:lang/>
        </w:rPr>
        <w:t xml:space="preserve">If </w:t>
      </w:r>
      <w:r w:rsidRPr="00D61046">
        <w:rPr>
          <w:rFonts w:eastAsia="Times New Roman" w:cs="Times New Roman"/>
          <w:lang/>
        </w:rPr>
        <w:t xml:space="preserve">its coefficient </w:t>
      </w:r>
      <w:r w:rsidRPr="00D61046">
        <w:rPr>
          <w:rFonts w:eastAsia="Calibri" w:cs="Times New Roman"/>
          <w:lang/>
        </w:rPr>
        <w:t xml:space="preserve">is </w:t>
      </w:r>
      <m:oMath>
        <m:r>
          <w:rPr>
            <w:rFonts w:ascii="Cambria Math" w:eastAsia="Calibri" w:hAnsi="Cambria Math" w:cs="Times New Roman"/>
            <w:lang/>
          </w:rPr>
          <m:t>0.2</m:t>
        </m:r>
      </m:oMath>
      <w:r w:rsidRPr="00D61046">
        <w:rPr>
          <w:rFonts w:eastAsia="Calibri" w:cs="Times New Roman"/>
          <w:lang/>
        </w:rPr>
        <w:t xml:space="preserve">, </w:t>
      </w:r>
      <w:r w:rsidRPr="00D61046">
        <w:rPr>
          <w:rFonts w:eastAsia="Calibri" w:cs="Times New Roman"/>
          <w:lang/>
        </w:rPr>
        <w:t xml:space="preserve">then we would interpret that </w:t>
      </w:r>
      <w:r w:rsidRPr="00D61046">
        <w:rPr>
          <w:rFonts w:eastAsia="Calibri" w:cs="Times New Roman"/>
          <w:lang/>
        </w:rPr>
        <w:t xml:space="preserve">a </w:t>
      </w:r>
      <w:r w:rsidRPr="00D61046">
        <w:rPr>
          <w:rFonts w:eastAsia="Calibri" w:cs="Times New Roman"/>
          <w:lang/>
        </w:rPr>
        <w:t xml:space="preserve">1-unit increase in that variable, which corresponds to an additional exit count in the prior period, will translate into an increase of </w:t>
      </w:r>
      <m:oMath>
        <m:r>
          <w:rPr>
            <w:rFonts w:ascii="Cambria Math" w:eastAsia="Calibri" w:hAnsi="Cambria Math" w:cs="Times New Roman"/>
            <w:lang/>
          </w:rPr>
          <m:t>20%</m:t>
        </m:r>
      </m:oMath>
      <w:r w:rsidRPr="00D61046">
        <w:rPr>
          <w:rFonts w:eastAsia="Times New Roman" w:cs="Times New Roman"/>
          <w:lang/>
        </w:rPr>
        <w:t xml:space="preserve"> in the outcome variable.</w:t>
      </w:r>
    </w:p>
    <w:p w14:paraId="19ECB624" w14:textId="5E390B7C" w:rsidR="00D61046" w:rsidRPr="00D61046" w:rsidRDefault="00D61046" w:rsidP="009908F2">
      <w:pPr>
        <w:rPr>
          <w:rFonts w:eastAsia="Calibri" w:cs="Times New Roman"/>
          <w:lang/>
        </w:rPr>
      </w:pPr>
      <w:r w:rsidRPr="00D61046">
        <w:rPr>
          <w:rFonts w:eastAsia="Calibri" w:cs="Times New Roman"/>
          <w:b/>
          <w:bCs/>
          <w:lang/>
        </w:rPr>
        <w:t>Advantages of the PPMLHDFE Model</w:t>
      </w:r>
      <w:r w:rsidR="003D4D56">
        <w:rPr>
          <w:rFonts w:eastAsia="Calibri" w:cs="Times New Roman"/>
          <w:b/>
          <w:bCs/>
          <w:lang/>
        </w:rPr>
        <w:t xml:space="preserve">: </w:t>
      </w:r>
      <w:r w:rsidRPr="00D61046">
        <w:rPr>
          <w:rFonts w:eastAsia="Calibri" w:cs="Times New Roman"/>
          <w:lang/>
        </w:rPr>
        <w:t xml:space="preserve">The PPMLHDFE model, based on the foundational work of </w:t>
      </w:r>
      <w:bookmarkStart w:id="366" w:name="_Hlk187246525"/>
      <w:r w:rsidRPr="00D61046">
        <w:rPr>
          <w:rFonts w:eastAsia="Calibri" w:cs="Times New Roman"/>
          <w:lang/>
        </w:rPr>
        <w:t xml:space="preserve">Santos Silva and Tenreyro (2006) </w:t>
      </w:r>
      <w:bookmarkEnd w:id="366"/>
      <w:r w:rsidRPr="00D61046">
        <w:rPr>
          <w:rFonts w:eastAsia="Calibri" w:cs="Times New Roman"/>
          <w:lang/>
        </w:rPr>
        <w:t xml:space="preserve">and </w:t>
      </w:r>
      <w:bookmarkStart w:id="367" w:name="_Hlk187246536"/>
      <w:r w:rsidRPr="00D61046">
        <w:rPr>
          <w:rFonts w:eastAsia="Calibri" w:cs="Times New Roman"/>
          <w:lang/>
        </w:rPr>
        <w:t>Correia, Guimarães, and Zylkin (2020)</w:t>
      </w:r>
      <w:bookmarkEnd w:id="367"/>
      <w:r w:rsidRPr="00D61046">
        <w:rPr>
          <w:rFonts w:eastAsia="Calibri" w:cs="Times New Roman"/>
          <w:lang/>
        </w:rPr>
        <w:t>, offers several key advantages that make it ideal for this study:</w:t>
      </w:r>
    </w:p>
    <w:p w14:paraId="291439C7" w14:textId="77777777" w:rsidR="00D61046" w:rsidRPr="00D61046" w:rsidRDefault="00D61046" w:rsidP="009908F2">
      <w:pPr>
        <w:numPr>
          <w:ilvl w:val="0"/>
          <w:numId w:val="16"/>
        </w:numPr>
        <w:contextualSpacing/>
        <w:rPr>
          <w:rFonts w:eastAsia="Calibri" w:cs="Times New Roman"/>
          <w:lang/>
        </w:rPr>
      </w:pPr>
      <w:r w:rsidRPr="00D61046">
        <w:rPr>
          <w:rFonts w:eastAsia="Calibri" w:cs="Times New Roman"/>
          <w:b/>
          <w:bCs/>
          <w:lang/>
        </w:rPr>
        <w:t>Zero-Inflated Data:</w:t>
      </w:r>
      <w:r w:rsidRPr="00D61046">
        <w:rPr>
          <w:rFonts w:eastAsia="Calibri" w:cs="Times New Roman"/>
          <w:b/>
          <w:bCs/>
          <w:lang/>
        </w:rPr>
        <w:t xml:space="preserve"> </w:t>
      </w:r>
      <w:r w:rsidRPr="00D61046">
        <w:rPr>
          <w:rFonts w:eastAsia="Calibri" w:cs="Times New Roman"/>
          <w:lang/>
        </w:rPr>
        <w:t>The model handles zero-heavy distributions, common in economic outcomes like establishment births and relocations. Unlike linear models, PPML provides consistent and unbiased estimates in such contexts.</w:t>
      </w:r>
    </w:p>
    <w:p w14:paraId="07F951B3" w14:textId="77777777" w:rsidR="00D61046" w:rsidRPr="00D61046" w:rsidRDefault="00D61046" w:rsidP="009908F2">
      <w:pPr>
        <w:numPr>
          <w:ilvl w:val="0"/>
          <w:numId w:val="16"/>
        </w:numPr>
        <w:contextualSpacing/>
        <w:rPr>
          <w:rFonts w:eastAsia="Calibri" w:cs="Times New Roman"/>
          <w:lang/>
        </w:rPr>
      </w:pPr>
      <w:r w:rsidRPr="00D61046">
        <w:rPr>
          <w:rFonts w:eastAsia="Calibri" w:cs="Times New Roman"/>
          <w:b/>
          <w:bCs/>
          <w:lang/>
        </w:rPr>
        <w:t>Nonlinear Relationships:</w:t>
      </w:r>
      <w:r w:rsidRPr="00D61046">
        <w:rPr>
          <w:rFonts w:eastAsia="Calibri" w:cs="Times New Roman"/>
          <w:lang/>
        </w:rPr>
        <w:t xml:space="preserve"> </w:t>
      </w:r>
      <w:r w:rsidRPr="00D61046">
        <w:rPr>
          <w:rFonts w:eastAsia="Calibri" w:cs="Times New Roman"/>
          <w:lang/>
        </w:rPr>
        <w:t xml:space="preserve">Wildfire impacts are often nonlinear—minor increases in fire frequency may have negligible effects, while large-scale wildfires induce </w:t>
      </w:r>
      <w:r w:rsidRPr="00D61046">
        <w:rPr>
          <w:rFonts w:eastAsia="Calibri" w:cs="Times New Roman"/>
          <w:lang/>
        </w:rPr>
        <w:lastRenderedPageBreak/>
        <w:t>disproportionate disruptions. PPML accommodates these dynamics by modeling outcomes in multiplicative terms, aligning with real-world complexities.</w:t>
      </w:r>
    </w:p>
    <w:p w14:paraId="02C001AB" w14:textId="77777777" w:rsidR="00D61046" w:rsidRPr="00D61046" w:rsidRDefault="00D61046" w:rsidP="009908F2">
      <w:pPr>
        <w:numPr>
          <w:ilvl w:val="0"/>
          <w:numId w:val="16"/>
        </w:numPr>
        <w:contextualSpacing/>
        <w:rPr>
          <w:rFonts w:eastAsia="Calibri" w:cs="Times New Roman"/>
          <w:lang/>
        </w:rPr>
      </w:pPr>
      <w:r w:rsidRPr="00D61046">
        <w:rPr>
          <w:rFonts w:eastAsia="Calibri" w:cs="Times New Roman"/>
          <w:b/>
          <w:bCs/>
          <w:lang/>
        </w:rPr>
        <w:t>Heteroskedasticity Robustness:</w:t>
      </w:r>
      <w:r w:rsidRPr="00D61046">
        <w:rPr>
          <w:rFonts w:eastAsia="Calibri" w:cs="Times New Roman"/>
          <w:b/>
          <w:bCs/>
          <w:lang/>
        </w:rPr>
        <w:t xml:space="preserve"> </w:t>
      </w:r>
      <w:r w:rsidRPr="00D61046">
        <w:rPr>
          <w:rFonts w:eastAsia="Calibri" w:cs="Times New Roman"/>
          <w:lang/>
        </w:rPr>
        <w:t>PPML inherently accounts for heteroskedasticity, a frequent issue in datasets with varied scales of economic activity, ensuring consistent coefficient estimation.</w:t>
      </w:r>
    </w:p>
    <w:p w14:paraId="1B0CB518" w14:textId="77777777" w:rsidR="00D61046" w:rsidRPr="00D61046" w:rsidRDefault="00D61046" w:rsidP="009908F2">
      <w:pPr>
        <w:numPr>
          <w:ilvl w:val="0"/>
          <w:numId w:val="16"/>
        </w:numPr>
        <w:contextualSpacing/>
        <w:rPr>
          <w:rFonts w:eastAsia="Calibri" w:cs="Times New Roman"/>
          <w:lang/>
        </w:rPr>
      </w:pPr>
      <w:r w:rsidRPr="00D61046">
        <w:rPr>
          <w:rFonts w:eastAsia="Calibri" w:cs="Times New Roman"/>
          <w:b/>
          <w:bCs/>
          <w:lang/>
        </w:rPr>
        <w:t>High-Dimensional Fixed Effects (HDFE):</w:t>
      </w:r>
      <w:r w:rsidRPr="00D61046">
        <w:rPr>
          <w:rFonts w:eastAsia="Calibri" w:cs="Times New Roman"/>
          <w:lang/>
        </w:rPr>
        <w:t xml:space="preserve"> </w:t>
      </w:r>
      <w:bookmarkStart w:id="368" w:name="_Hlk187246551"/>
      <w:r w:rsidRPr="00D61046">
        <w:rPr>
          <w:rFonts w:eastAsia="Calibri" w:cs="Times New Roman"/>
          <w:lang/>
        </w:rPr>
        <w:t>Correia et al. (2020)</w:t>
      </w:r>
      <w:bookmarkEnd w:id="368"/>
      <w:r w:rsidRPr="00D61046">
        <w:rPr>
          <w:rFonts w:eastAsia="Calibri" w:cs="Times New Roman"/>
          <w:lang/>
        </w:rPr>
        <w:t xml:space="preserve"> enhanced PPML to integrate fixed effects across multiple dimensions efficiently. This feature allows robust control over county-specific, year-specific, and sector-specific unobserved heterogeneity, isolating the true effects of wildfire frequency and intensity.</w:t>
      </w:r>
    </w:p>
    <w:p w14:paraId="518C277F" w14:textId="77777777" w:rsidR="00D61046" w:rsidRPr="00D61046" w:rsidRDefault="00D61046" w:rsidP="009908F2">
      <w:pPr>
        <w:numPr>
          <w:ilvl w:val="0"/>
          <w:numId w:val="16"/>
        </w:numPr>
        <w:contextualSpacing/>
        <w:rPr>
          <w:rFonts w:eastAsia="Calibri" w:cs="Times New Roman"/>
          <w:lang/>
        </w:rPr>
      </w:pPr>
      <w:r w:rsidRPr="00D61046">
        <w:rPr>
          <w:rFonts w:eastAsia="Calibri" w:cs="Times New Roman"/>
          <w:b/>
          <w:bCs/>
          <w:lang/>
        </w:rPr>
        <w:t>Interpretability and Policy Relevance:</w:t>
      </w:r>
      <w:r w:rsidRPr="00D61046">
        <w:rPr>
          <w:rFonts w:eastAsia="Calibri" w:cs="Times New Roman"/>
          <w:lang/>
        </w:rPr>
        <w:t xml:space="preserve"> </w:t>
      </w:r>
      <w:r w:rsidRPr="00D61046">
        <w:rPr>
          <w:rFonts w:eastAsia="Calibri" w:cs="Times New Roman"/>
          <w:lang/>
        </w:rPr>
        <w:t>Coefficients are directly interpretable as percentage changes, offering clear, actionable insights for policymakers. For example, understanding the exact percentage drop in employment due to a 1% increase in burned area provides critical information for disaster preparedness and economic stabilization efforts.</w:t>
      </w:r>
    </w:p>
    <w:p w14:paraId="08D41273" w14:textId="77777777" w:rsidR="00D61046" w:rsidRPr="00D61046" w:rsidRDefault="00D61046" w:rsidP="009908F2">
      <w:pPr>
        <w:rPr>
          <w:rFonts w:eastAsia="Calibri" w:cs="Times New Roman"/>
          <w:lang/>
        </w:rPr>
      </w:pPr>
      <w:r w:rsidRPr="00D61046">
        <w:rPr>
          <w:rFonts w:eastAsia="Calibri" w:cs="Times New Roman"/>
          <w:lang/>
        </w:rPr>
        <w:t>This methodology leverages the strengths of PPMLHDFE to produce robust, policy-relevant insights into the economic impacts of wildfires. By accommodating the intricacies of count data, heterogeneity, and nonlinear dynamics, this model ensures rigorous analysis aligned with the study’s objectives.</w:t>
      </w:r>
    </w:p>
    <w:p w14:paraId="4AD47B0D" w14:textId="7B079314" w:rsidR="00D61046" w:rsidRPr="00D61046" w:rsidRDefault="00030874" w:rsidP="009908F2">
      <w:pPr>
        <w:pStyle w:val="Heading3"/>
      </w:pPr>
      <w:bookmarkStart w:id="369" w:name="_Toc187556307"/>
      <w:bookmarkStart w:id="370" w:name="_Toc188379017"/>
      <w:r>
        <w:rPr>
          <w:lang w:val="en-US"/>
        </w:rPr>
        <w:t>2.</w:t>
      </w:r>
      <w:r w:rsidR="00D61046" w:rsidRPr="00D61046">
        <w:t>4.3 Variable Selection and Multicollinearity</w:t>
      </w:r>
      <w:bookmarkEnd w:id="369"/>
      <w:bookmarkEnd w:id="370"/>
    </w:p>
    <w:p w14:paraId="5481812E" w14:textId="77777777" w:rsidR="00D61046" w:rsidRPr="00D61046" w:rsidRDefault="00D61046" w:rsidP="009908F2">
      <w:pPr>
        <w:rPr>
          <w:rFonts w:eastAsia="Calibri" w:cs="Times New Roman"/>
          <w:lang/>
        </w:rPr>
      </w:pPr>
      <w:r w:rsidRPr="00D61046">
        <w:rPr>
          <w:rFonts w:eastAsia="Calibri" w:cs="Times New Roman"/>
          <w:lang/>
        </w:rPr>
        <w:t xml:space="preserve">The selection of explanatory variables was informed by economic theory, prior research, and diagnostic testing to ensure robustness and interpretability. After identifying an initial set of </w:t>
      </w:r>
      <w:r w:rsidRPr="00D61046">
        <w:rPr>
          <w:rFonts w:eastAsia="Calibri" w:cs="Times New Roman"/>
          <w:lang/>
        </w:rPr>
        <w:lastRenderedPageBreak/>
        <w:t>variables, diagnostic measures—including correlation analysis, Variance Inflation Factor (VIF) tests, and stepwise regression (forward and backward)—were conducted. Model refinement was further guided by Akaike Information Criterion (AIC) and Bayesian Information Criterion (BIC), ensuring a balance between explanatory power and parsimony.</w:t>
      </w:r>
    </w:p>
    <w:p w14:paraId="0745AB4A" w14:textId="7D6612BC" w:rsidR="00D61046" w:rsidRPr="00D61046" w:rsidRDefault="00D61046" w:rsidP="009908F2">
      <w:pPr>
        <w:rPr>
          <w:rFonts w:eastAsia="Calibri" w:cs="Times New Roman"/>
          <w:lang/>
        </w:rPr>
      </w:pPr>
      <w:r w:rsidRPr="00D61046">
        <w:rPr>
          <w:rFonts w:eastAsia="Calibri" w:cs="Times New Roman"/>
          <w:lang/>
        </w:rPr>
        <w:t>The correlation heatmap (</w:t>
      </w:r>
      <w:r w:rsidRPr="003D770C">
        <w:rPr>
          <w:rFonts w:eastAsia="Calibri" w:cs="Times New Roman"/>
          <w:b/>
          <w:bCs/>
          <w:lang/>
        </w:rPr>
        <w:t>Figure A</w:t>
      </w:r>
      <w:r w:rsidR="00D36345" w:rsidRPr="003D770C">
        <w:rPr>
          <w:rFonts w:eastAsia="Calibri" w:cs="Times New Roman"/>
          <w:b/>
          <w:bCs/>
          <w:lang/>
        </w:rPr>
        <w:t>16</w:t>
      </w:r>
      <w:r w:rsidRPr="00D61046">
        <w:rPr>
          <w:rFonts w:eastAsia="Calibri" w:cs="Times New Roman"/>
          <w:lang/>
        </w:rPr>
        <w:t>, Appendix) illustrates pairwise relationships among the explanatory variables. All correlations are below 0.6, indicating a low-to-moderate level of association among the predictors and minimizing concerns about multicollinearity. Median Household Income and Housing Price Index (HPI), with a correlation just below 0.6, show a moderate relationship, reflecting common economic dynamics between income levels and housing markets. Both variables were retained in the model due to their distinct theoretical relevance—HPI represents housing market fluctuations, while Median Household Income captures broader economic well-being.</w:t>
      </w:r>
    </w:p>
    <w:p w14:paraId="16C8E6BD" w14:textId="77777777" w:rsidR="00D61046" w:rsidRPr="00D61046" w:rsidRDefault="00D61046" w:rsidP="009908F2">
      <w:pPr>
        <w:rPr>
          <w:rFonts w:eastAsia="Calibri" w:cs="Times New Roman"/>
          <w:lang/>
        </w:rPr>
      </w:pPr>
      <w:r w:rsidRPr="00D61046">
        <w:rPr>
          <w:rFonts w:eastAsia="Calibri" w:cs="Times New Roman"/>
          <w:lang/>
        </w:rPr>
        <w:t>Fire Count is negatively correlated with Protected Areas and Precipitation, consistent with expectations that regions with higher environmental protections or greater rainfall experience fewer wildfires. These negative correlations align with established wildfire literature, reinforcing the importance of environmental characteristics in wildfire risk assessment.</w:t>
      </w:r>
      <w:r w:rsidRPr="00D61046">
        <w:rPr>
          <w:rFonts w:eastAsia="Calibri" w:cs="Times New Roman"/>
          <w:lang/>
        </w:rPr>
        <w:t xml:space="preserve"> </w:t>
      </w:r>
      <w:r w:rsidRPr="00D61046">
        <w:rPr>
          <w:rFonts w:eastAsia="Calibri" w:cs="Times New Roman"/>
          <w:lang/>
        </w:rPr>
        <w:t>% County Burned, representing wildfire intensity, exhibits low correlations with other variables, confirming its independent contribution to the model.</w:t>
      </w:r>
      <w:r w:rsidRPr="00D61046">
        <w:rPr>
          <w:rFonts w:eastAsia="Calibri" w:cs="Times New Roman"/>
          <w:lang/>
        </w:rPr>
        <w:t xml:space="preserve"> </w:t>
      </w:r>
      <w:r w:rsidRPr="00D61046">
        <w:rPr>
          <w:rFonts w:eastAsia="Calibri" w:cs="Times New Roman"/>
          <w:lang/>
        </w:rPr>
        <w:t>Socio-demographic variables such as Population Density, Poverty Rate, and Median Household Income exhibit modest correlations, reflecting their typical interconnectedness in regional economic contexts.</w:t>
      </w:r>
    </w:p>
    <w:p w14:paraId="3448A49F" w14:textId="77777777" w:rsidR="00D61046" w:rsidRPr="00D61046" w:rsidRDefault="00D61046" w:rsidP="009908F2">
      <w:pPr>
        <w:rPr>
          <w:rFonts w:eastAsia="Calibri" w:cs="Times New Roman"/>
          <w:lang/>
        </w:rPr>
      </w:pPr>
      <w:r w:rsidRPr="00D61046">
        <w:rPr>
          <w:rFonts w:eastAsia="Calibri" w:cs="Times New Roman"/>
          <w:lang/>
        </w:rPr>
        <w:lastRenderedPageBreak/>
        <w:t>The VIF tests confirm that no variables exhibit problematic levels of multicollinearity, with all VIF values remaining well below standard thresholds. By ensuring that each variable provides unique and meaningful insights, the final econometric model captures the multi-dimensional impacts of wildfire frequency and intensity on establishment dynamics, employment, and sales performance while maintaining stability and interpretability.</w:t>
      </w:r>
    </w:p>
    <w:p w14:paraId="71CEB34C" w14:textId="03E4935F" w:rsidR="00D61046" w:rsidRPr="00D61046" w:rsidRDefault="00030874" w:rsidP="00E4693E">
      <w:pPr>
        <w:pStyle w:val="Heading2"/>
        <w:rPr>
          <w:lang/>
        </w:rPr>
      </w:pPr>
      <w:bookmarkStart w:id="371" w:name="_Toc187556308"/>
      <w:bookmarkStart w:id="372" w:name="_Toc188379018"/>
      <w:r>
        <w:t>2.</w:t>
      </w:r>
      <w:r w:rsidR="00D61046" w:rsidRPr="00D61046">
        <w:rPr>
          <w:lang/>
        </w:rPr>
        <w:t>5 Results and Interpretation</w:t>
      </w:r>
      <w:bookmarkEnd w:id="371"/>
      <w:bookmarkEnd w:id="372"/>
    </w:p>
    <w:p w14:paraId="21C164E5" w14:textId="77777777" w:rsidR="00D61046" w:rsidRPr="00D61046" w:rsidRDefault="00D61046" w:rsidP="009908F2">
      <w:pPr>
        <w:rPr>
          <w:rFonts w:eastAsia="Calibri" w:cs="Times New Roman"/>
          <w:lang/>
        </w:rPr>
      </w:pPr>
      <w:r w:rsidRPr="00D61046">
        <w:rPr>
          <w:rFonts w:eastAsia="Calibri" w:cs="Times New Roman"/>
          <w:lang/>
        </w:rPr>
        <w:t>This section presents the results of the PPMLHDFE regression models, which assess the economic impacts of wildfires on six key outcomes: establishment births, deaths, inward relocations, outward relocations, employment, and sales</w:t>
      </w:r>
      <w:r w:rsidRPr="00D61046">
        <w:rPr>
          <w:rFonts w:eastAsia="Calibri" w:cs="Times New Roman"/>
          <w:lang/>
        </w:rPr>
        <w:t xml:space="preserve"> volume</w:t>
      </w:r>
      <w:r w:rsidRPr="00D61046">
        <w:rPr>
          <w:rFonts w:eastAsia="Calibri" w:cs="Times New Roman"/>
          <w:lang/>
        </w:rPr>
        <w:t xml:space="preserve"> performance. Our focus is on the interpretation of results for the two primary wildfire variables: wildfire frequency (measured as the annual fire count, scaled by 1,000) and wildfire intensity (measured as the proportion of county land area burned, bounded between 0 and 1). Results for non-wildfire variables are discussed in detail in the Appendix for conciseness.</w:t>
      </w:r>
    </w:p>
    <w:p w14:paraId="13486974" w14:textId="77777777" w:rsidR="00D61046" w:rsidRPr="00D61046" w:rsidRDefault="00D61046" w:rsidP="009908F2">
      <w:pPr>
        <w:rPr>
          <w:rFonts w:eastAsia="Calibri" w:cs="Times New Roman"/>
          <w:lang/>
        </w:rPr>
      </w:pPr>
      <w:r w:rsidRPr="00D61046">
        <w:rPr>
          <w:rFonts w:eastAsia="Calibri" w:cs="Times New Roman"/>
          <w:lang/>
        </w:rPr>
        <w:t xml:space="preserve">To ensure the robustness and interpretability of the results, the analysis adopts the normalization assumption </w:t>
      </w:r>
      <w:r w:rsidRPr="00D61046">
        <w:rPr>
          <w:rFonts w:ascii="Cambria Math" w:eastAsia="Calibri" w:hAnsi="Cambria Math" w:cs="Cambria Math"/>
          <w:lang/>
        </w:rPr>
        <w:t>𝐸</w:t>
      </w:r>
      <w:r w:rsidRPr="00D61046">
        <w:rPr>
          <w:rFonts w:eastAsia="Calibri" w:cs="Times New Roman"/>
          <w:lang/>
        </w:rPr>
        <w:t>[</w:t>
      </w:r>
      <w:r w:rsidRPr="00D61046">
        <w:rPr>
          <w:rFonts w:ascii="Cambria Math" w:eastAsia="Calibri" w:hAnsi="Cambria Math" w:cs="Cambria Math"/>
          <w:lang/>
        </w:rPr>
        <w:t>𝑌∣𝑋</w:t>
      </w:r>
      <w:r w:rsidRPr="00D61046">
        <w:rPr>
          <w:rFonts w:eastAsia="Calibri" w:cs="Times New Roman"/>
          <w:lang/>
        </w:rPr>
        <w:t>]=1, standard in PPML regression models. This assumption enhances theoretical rigor and simplifies interpretation, enabling coefficients to be understood as semi-elasticities, representing percentage changes in the dependent variable in response to one-unit changes in the independent variable, holding other factors constant. This approach aligns with econometric best practices as outlined by Cameron and Trivedi (2013) and Wooldridge (2010). Additional details on the normalization assumption and its theoretical justification are provided in the Appendix.</w:t>
      </w:r>
    </w:p>
    <w:p w14:paraId="5C024CD3" w14:textId="77777777" w:rsidR="00D61046" w:rsidRPr="00D61046" w:rsidRDefault="00D61046" w:rsidP="009908F2">
      <w:pPr>
        <w:rPr>
          <w:rFonts w:eastAsia="Calibri" w:cs="Times New Roman"/>
          <w:b/>
          <w:bCs/>
          <w:lang/>
        </w:rPr>
      </w:pPr>
      <w:r w:rsidRPr="00D61046">
        <w:rPr>
          <w:rFonts w:eastAsia="Calibri" w:cs="Times New Roman"/>
          <w:b/>
          <w:bCs/>
          <w:lang/>
        </w:rPr>
        <w:lastRenderedPageBreak/>
        <w:t>Interpretation Framework</w:t>
      </w:r>
    </w:p>
    <w:p w14:paraId="5F4A11A4" w14:textId="77777777" w:rsidR="00D61046" w:rsidRPr="00D61046" w:rsidRDefault="00D61046" w:rsidP="009908F2">
      <w:pPr>
        <w:rPr>
          <w:rFonts w:eastAsia="Calibri" w:cs="Times New Roman"/>
          <w:lang/>
        </w:rPr>
      </w:pPr>
      <w:r w:rsidRPr="00D61046">
        <w:rPr>
          <w:rFonts w:eastAsia="Calibri" w:cs="Times New Roman"/>
          <w:lang/>
        </w:rPr>
        <w:t>To facilitate intuitive and meaningful interpretation:</w:t>
      </w:r>
    </w:p>
    <w:p w14:paraId="3793BC5C" w14:textId="77777777" w:rsidR="00D61046" w:rsidRPr="00D61046" w:rsidRDefault="00D61046" w:rsidP="009908F2">
      <w:pPr>
        <w:rPr>
          <w:rFonts w:eastAsia="Calibri" w:cs="Times New Roman"/>
          <w:lang/>
        </w:rPr>
      </w:pPr>
      <w:r w:rsidRPr="00D61046">
        <w:rPr>
          <w:rFonts w:eastAsia="Calibri" w:cs="Times New Roman"/>
          <w:lang/>
        </w:rPr>
        <w:t>For wildfire frequency (Fire Count (t-1) (1000s)), a one-unit increase corresponds to an additional 1,000 fires. If the coefficient for this variable is estimated at 0.10, it implies that an additional 1,000 fires are associated with a 10% increase in the dependent variable. For more realistic increments, such as a 100-fire increase, the effect would be proportional, yielding a 1% increase in the dependent variable.</w:t>
      </w:r>
    </w:p>
    <w:p w14:paraId="39ADF1F6" w14:textId="77777777" w:rsidR="00D61046" w:rsidRPr="00D61046" w:rsidRDefault="00D61046" w:rsidP="009908F2">
      <w:pPr>
        <w:rPr>
          <w:rFonts w:eastAsia="Calibri" w:cs="Times New Roman"/>
          <w:lang/>
        </w:rPr>
      </w:pPr>
      <w:r w:rsidRPr="00D61046">
        <w:rPr>
          <w:rFonts w:eastAsia="Calibri" w:cs="Times New Roman"/>
          <w:lang/>
        </w:rPr>
        <w:t>For wildfire intensity (% County Burned (t-1) (100s)), a one-unit increase corresponds to a 100% increase in county land area burned. For instance, if the coefficient for this variable is estimated at -0.842, it implies that a 100% increase in the burned area is associated with an 84.2% decrease in the dependent variable. For a more realistic increment of a 1% increase in county area burned, the effect would be proportional, resulting in a 0.842% decrease in the dependent variable.</w:t>
      </w:r>
    </w:p>
    <w:p w14:paraId="61282A5B" w14:textId="77777777" w:rsidR="00D61046" w:rsidRPr="00D61046" w:rsidRDefault="00D61046" w:rsidP="009908F2">
      <w:pPr>
        <w:rPr>
          <w:rFonts w:eastAsia="Calibri" w:cs="Times New Roman"/>
          <w:lang/>
        </w:rPr>
      </w:pPr>
      <w:r w:rsidRPr="00D61046">
        <w:rPr>
          <w:rFonts w:eastAsia="Calibri" w:cs="Times New Roman"/>
          <w:lang/>
        </w:rPr>
        <w:t>To ensure clarity, comparability, and relevance to observed wildfire activity, the results are consistently interpreted using increments of an additional 100 fires for frequency and a 1% increase in county area burned for intensity. These standard increments are applied throughout this section to highlight the practical implications of the findings for stakeholders and policymakers.</w:t>
      </w:r>
    </w:p>
    <w:p w14:paraId="5CEDC38B" w14:textId="77777777" w:rsidR="00D61046" w:rsidRPr="00D61046" w:rsidRDefault="00D61046" w:rsidP="009908F2">
      <w:pPr>
        <w:rPr>
          <w:rFonts w:eastAsia="Calibri" w:cs="Times New Roman"/>
          <w:b/>
          <w:bCs/>
          <w:lang/>
        </w:rPr>
      </w:pPr>
      <w:r w:rsidRPr="00D61046">
        <w:rPr>
          <w:rFonts w:eastAsia="Calibri" w:cs="Times New Roman"/>
          <w:b/>
          <w:bCs/>
          <w:lang/>
        </w:rPr>
        <w:t>Results Overview</w:t>
      </w:r>
    </w:p>
    <w:p w14:paraId="28738736" w14:textId="77777777" w:rsidR="00D61046" w:rsidRPr="00D61046" w:rsidRDefault="00D61046" w:rsidP="009908F2">
      <w:pPr>
        <w:rPr>
          <w:rFonts w:eastAsia="Calibri" w:cs="Times New Roman"/>
          <w:lang/>
        </w:rPr>
      </w:pPr>
      <w:r w:rsidRPr="00D61046">
        <w:rPr>
          <w:rFonts w:eastAsia="Calibri" w:cs="Times New Roman"/>
          <w:lang/>
        </w:rPr>
        <w:t xml:space="preserve">The following subsections detail the regression results, beginning with the Aggregate Land-Intensive Sector (LIS), followed by the four LIS subsectors (Agriculture, Mining, Utilities, and Construction), and concluding with the non-LIS representative sector, Manufacturing. Each </w:t>
      </w:r>
      <w:r w:rsidRPr="00D61046">
        <w:rPr>
          <w:rFonts w:eastAsia="Calibri" w:cs="Times New Roman"/>
          <w:lang/>
        </w:rPr>
        <w:lastRenderedPageBreak/>
        <w:t>subsection emphasizes the key economic outcomes, the differential impacts of wildfire frequency and intensity, and their broader implications for resilience, adaptation, and sectoral heterogeneity.</w:t>
      </w:r>
    </w:p>
    <w:p w14:paraId="7316E2AE" w14:textId="704B8FE1" w:rsidR="00D61046" w:rsidRPr="00D61046" w:rsidRDefault="00030874" w:rsidP="009908F2">
      <w:pPr>
        <w:pStyle w:val="Heading3"/>
      </w:pPr>
      <w:bookmarkStart w:id="373" w:name="_Toc187556309"/>
      <w:bookmarkStart w:id="374" w:name="_Toc188379019"/>
      <w:r>
        <w:rPr>
          <w:lang w:val="en-US"/>
        </w:rPr>
        <w:t>2.</w:t>
      </w:r>
      <w:r w:rsidR="00D61046" w:rsidRPr="00D61046">
        <w:t>5.1 Land-Intensive Sector</w:t>
      </w:r>
      <w:bookmarkEnd w:id="373"/>
      <w:bookmarkEnd w:id="374"/>
    </w:p>
    <w:p w14:paraId="500312AA" w14:textId="174D9D35" w:rsidR="00D61046" w:rsidRPr="00D61046" w:rsidRDefault="00D61046" w:rsidP="009908F2">
      <w:pPr>
        <w:rPr>
          <w:rFonts w:eastAsia="Calibri" w:cs="Times New Roman"/>
          <w:b/>
          <w:bCs/>
          <w:lang/>
        </w:rPr>
      </w:pPr>
      <w:r w:rsidRPr="00D61046">
        <w:rPr>
          <w:rFonts w:eastAsia="Calibri" w:cs="Times New Roman"/>
          <w:lang/>
        </w:rPr>
        <w:t xml:space="preserve">The aggregate LIS is composed of establishments from NAICS 11, 21, 22, and 23, all of which are heavily reliant on land and natural resources, and as such are highly sensitive to wildfire disruptions. </w:t>
      </w:r>
      <w:r w:rsidRPr="00455BDE">
        <w:rPr>
          <w:rFonts w:eastAsia="Calibri" w:cs="Times New Roman"/>
          <w:b/>
          <w:bCs/>
          <w:lang/>
        </w:rPr>
        <w:t>Table A3</w:t>
      </w:r>
      <w:r w:rsidR="00D36345" w:rsidRPr="00455BDE">
        <w:rPr>
          <w:rFonts w:eastAsia="Calibri" w:cs="Times New Roman"/>
          <w:b/>
          <w:bCs/>
        </w:rPr>
        <w:t>2</w:t>
      </w:r>
      <w:r w:rsidRPr="00D61046">
        <w:rPr>
          <w:rFonts w:eastAsia="Calibri" w:cs="Times New Roman"/>
          <w:lang/>
        </w:rPr>
        <w:t xml:space="preserve"> presents summarized regression results </w:t>
      </w:r>
      <w:r w:rsidRPr="00D61046">
        <w:rPr>
          <w:rFonts w:eastAsia="Calibri" w:cs="Times New Roman"/>
        </w:rPr>
        <w:t>on the coefficients of the wildfire variables only. T</w:t>
      </w:r>
      <w:r w:rsidRPr="00D61046">
        <w:rPr>
          <w:rFonts w:eastAsia="Calibri" w:cs="Times New Roman"/>
          <w:lang/>
        </w:rPr>
        <w:t xml:space="preserve">he full regression results are available in </w:t>
      </w:r>
      <w:r w:rsidRPr="00455BDE">
        <w:rPr>
          <w:rFonts w:eastAsia="Calibri" w:cs="Times New Roman"/>
          <w:b/>
          <w:bCs/>
          <w:lang/>
        </w:rPr>
        <w:t>Table A</w:t>
      </w:r>
      <w:r w:rsidR="00D36345" w:rsidRPr="00455BDE">
        <w:rPr>
          <w:rFonts w:eastAsia="Calibri" w:cs="Times New Roman"/>
          <w:b/>
          <w:bCs/>
        </w:rPr>
        <w:t>35</w:t>
      </w:r>
      <w:r w:rsidRPr="00D61046">
        <w:rPr>
          <w:rFonts w:eastAsia="Calibri" w:cs="Times New Roman"/>
          <w:lang/>
        </w:rPr>
        <w:t>.</w:t>
      </w:r>
    </w:p>
    <w:p w14:paraId="20EFDB80" w14:textId="0ED7F5B3" w:rsidR="00D61046" w:rsidRPr="00D61046" w:rsidRDefault="00030874" w:rsidP="001953BB">
      <w:pPr>
        <w:pStyle w:val="Heading4"/>
      </w:pPr>
      <w:bookmarkStart w:id="375" w:name="_Toc187556310"/>
      <w:r>
        <w:t>2.</w:t>
      </w:r>
      <w:r w:rsidR="00D61046" w:rsidRPr="00D61046">
        <w:t>5.1.1 Wildfire Frequency (Fire Count)</w:t>
      </w:r>
      <w:bookmarkEnd w:id="375"/>
    </w:p>
    <w:p w14:paraId="2CC48BE0" w14:textId="21E9FBF6" w:rsidR="00D61046" w:rsidRPr="00D61046" w:rsidRDefault="00D61046" w:rsidP="009908F2">
      <w:pPr>
        <w:rPr>
          <w:rFonts w:eastAsia="Calibri" w:cs="Times New Roman"/>
        </w:rPr>
      </w:pPr>
      <w:r w:rsidRPr="00D61046">
        <w:rPr>
          <w:rFonts w:eastAsia="Calibri" w:cs="Times New Roman"/>
        </w:rPr>
        <w:t>Our results (</w:t>
      </w:r>
      <w:r w:rsidRPr="00455BDE">
        <w:rPr>
          <w:rFonts w:eastAsia="Calibri" w:cs="Times New Roman"/>
          <w:b/>
          <w:bCs/>
        </w:rPr>
        <w:t>Table A3</w:t>
      </w:r>
      <w:r w:rsidR="00D36345" w:rsidRPr="00455BDE">
        <w:rPr>
          <w:rFonts w:eastAsia="Calibri" w:cs="Times New Roman"/>
          <w:b/>
          <w:bCs/>
        </w:rPr>
        <w:t>2</w:t>
      </w:r>
      <w:r w:rsidRPr="00D61046">
        <w:rPr>
          <w:rFonts w:eastAsia="Calibri" w:cs="Times New Roman"/>
        </w:rPr>
        <w:t xml:space="preserve"> and </w:t>
      </w:r>
      <w:r w:rsidR="00455BDE" w:rsidRPr="00455BDE">
        <w:rPr>
          <w:rFonts w:eastAsia="Calibri" w:cs="Times New Roman"/>
          <w:b/>
          <w:bCs/>
        </w:rPr>
        <w:t xml:space="preserve">Table </w:t>
      </w:r>
      <w:r w:rsidRPr="00455BDE">
        <w:rPr>
          <w:rFonts w:eastAsia="Calibri" w:cs="Times New Roman"/>
          <w:b/>
          <w:bCs/>
        </w:rPr>
        <w:t>A</w:t>
      </w:r>
      <w:r w:rsidR="00D36345" w:rsidRPr="00455BDE">
        <w:rPr>
          <w:rFonts w:eastAsia="Calibri" w:cs="Times New Roman"/>
          <w:b/>
          <w:bCs/>
        </w:rPr>
        <w:t>35</w:t>
      </w:r>
      <w:r w:rsidRPr="00D61046">
        <w:rPr>
          <w:rFonts w:eastAsia="Calibri" w:cs="Times New Roman"/>
        </w:rPr>
        <w:t>) indicate that wildfire frequency significantly affects business continuity and mobility in the LIS:</w:t>
      </w:r>
    </w:p>
    <w:p w14:paraId="0B36EA11" w14:textId="77777777" w:rsidR="00D61046" w:rsidRPr="00D61046" w:rsidRDefault="00D61046" w:rsidP="009908F2">
      <w:pPr>
        <w:rPr>
          <w:rFonts w:eastAsia="Calibri" w:cs="Times New Roman"/>
        </w:rPr>
      </w:pPr>
      <w:r w:rsidRPr="00D61046">
        <w:rPr>
          <w:rFonts w:eastAsia="Calibri" w:cs="Times New Roman"/>
          <w:b/>
          <w:bCs/>
        </w:rPr>
        <w:t>Establishment Deaths:</w:t>
      </w:r>
      <w:r w:rsidRPr="00D61046">
        <w:rPr>
          <w:rFonts w:eastAsia="Calibri" w:cs="Times New Roman"/>
        </w:rPr>
        <w:t xml:space="preserve"> A 100-fire increase leads to a 0.94% increase in establishment deaths. While the magnitude appears modest, the result highlights the cumulative toll of recurring wildfires on business closures, consistent with disaster economics literature </w:t>
      </w:r>
      <w:bookmarkStart w:id="376" w:name="_Hlk187246715"/>
      <w:r w:rsidRPr="00D61046">
        <w:rPr>
          <w:rFonts w:eastAsia="Calibri" w:cs="Times New Roman"/>
        </w:rPr>
        <w:t>(</w:t>
      </w:r>
      <w:proofErr w:type="spellStart"/>
      <w:r w:rsidRPr="00D61046">
        <w:rPr>
          <w:rFonts w:eastAsia="Calibri" w:cs="Times New Roman"/>
        </w:rPr>
        <w:t>Hallegatte</w:t>
      </w:r>
      <w:proofErr w:type="spellEnd"/>
      <w:r w:rsidRPr="00D61046">
        <w:rPr>
          <w:rFonts w:eastAsia="Calibri" w:cs="Times New Roman"/>
        </w:rPr>
        <w:t xml:space="preserve">, 2014). </w:t>
      </w:r>
      <w:bookmarkEnd w:id="376"/>
      <w:r w:rsidRPr="00D61046">
        <w:rPr>
          <w:rFonts w:eastAsia="Calibri" w:cs="Times New Roman"/>
        </w:rPr>
        <w:t>This supports H1, emphasizing the vulnerability of land-intensive industries to frequent environmental disturbances.</w:t>
      </w:r>
    </w:p>
    <w:p w14:paraId="54BE51E9" w14:textId="77777777" w:rsidR="00D61046" w:rsidRPr="00D61046" w:rsidRDefault="00D61046" w:rsidP="009908F2">
      <w:pPr>
        <w:rPr>
          <w:rFonts w:eastAsia="Calibri" w:cs="Times New Roman"/>
        </w:rPr>
      </w:pPr>
      <w:r w:rsidRPr="00D61046">
        <w:rPr>
          <w:rFonts w:eastAsia="Calibri" w:cs="Times New Roman"/>
          <w:b/>
          <w:bCs/>
        </w:rPr>
        <w:t>Outward Migrations:</w:t>
      </w:r>
      <w:r w:rsidRPr="00D61046">
        <w:rPr>
          <w:rFonts w:eastAsia="Calibri" w:cs="Times New Roman"/>
        </w:rPr>
        <w:t xml:space="preserve"> A 100-fire increase results in a 14.0% increase in outward relocations, demonstrating the substantial role of wildfire frequency in driving businesses to relocate. These findings align with theories of "environmental mobility," where recurring ecological risks prompt businesses to seek safer operational environments (Black et al., 2011). This supports H2, underscoring the challenges of business retention in wildfire-prone regions. </w:t>
      </w:r>
    </w:p>
    <w:p w14:paraId="24593947" w14:textId="77777777" w:rsidR="00D61046" w:rsidRPr="00D61046" w:rsidRDefault="00D61046" w:rsidP="009908F2">
      <w:pPr>
        <w:rPr>
          <w:rFonts w:eastAsia="Calibri" w:cs="Times New Roman"/>
        </w:rPr>
      </w:pPr>
      <w:r w:rsidRPr="00D61046">
        <w:rPr>
          <w:rFonts w:eastAsia="Calibri" w:cs="Times New Roman"/>
          <w:b/>
          <w:bCs/>
        </w:rPr>
        <w:lastRenderedPageBreak/>
        <w:t>Births and Inward Relocations:</w:t>
      </w:r>
      <w:r w:rsidRPr="00D61046">
        <w:rPr>
          <w:rFonts w:eastAsia="Calibri" w:cs="Times New Roman"/>
        </w:rPr>
        <w:t xml:space="preserve"> Unlike deaths and outward migrations, wildfire frequency does not significantly affect establishment births or inward relocations at the aggregate LIS level. This indicates that businesses are more likely to react to wildfire frequency by exiting affected regions rather than new businesses avoiding entry. </w:t>
      </w:r>
    </w:p>
    <w:p w14:paraId="0DF72646" w14:textId="77777777" w:rsidR="00D61046" w:rsidRPr="00D61046" w:rsidRDefault="00D61046" w:rsidP="009908F2">
      <w:pPr>
        <w:rPr>
          <w:rFonts w:eastAsia="Calibri" w:cs="Times New Roman"/>
          <w:b/>
          <w:bCs/>
        </w:rPr>
      </w:pPr>
      <w:r w:rsidRPr="00D61046">
        <w:rPr>
          <w:rFonts w:eastAsia="Calibri" w:cs="Times New Roman"/>
        </w:rPr>
        <w:t xml:space="preserve">Our findings </w:t>
      </w:r>
      <w:proofErr w:type="gramStart"/>
      <w:r w:rsidRPr="00D61046">
        <w:rPr>
          <w:rFonts w:eastAsia="Calibri" w:cs="Times New Roman"/>
        </w:rPr>
        <w:t>in regards to</w:t>
      </w:r>
      <w:proofErr w:type="gramEnd"/>
      <w:r w:rsidRPr="00D61046">
        <w:rPr>
          <w:rFonts w:eastAsia="Calibri" w:cs="Times New Roman"/>
        </w:rPr>
        <w:t xml:space="preserve"> wildfire frequency support H1 (positive relationship between wildfire frequency and establishment deaths), H2 (positive relationship between wildfire frequency and outward relocations), and provide partial support for the absence of significant effects on births and inward relocations.</w:t>
      </w:r>
    </w:p>
    <w:p w14:paraId="5D83F7DC" w14:textId="37CA9D4E" w:rsidR="00D61046" w:rsidRPr="00D61046" w:rsidRDefault="00030874" w:rsidP="001953BB">
      <w:pPr>
        <w:pStyle w:val="Heading4"/>
      </w:pPr>
      <w:bookmarkStart w:id="377" w:name="_Toc187556311"/>
      <w:r>
        <w:t>2.</w:t>
      </w:r>
      <w:r w:rsidR="00D61046" w:rsidRPr="00D61046">
        <w:t>5.1.2 Wildfire Severity (Burned Areas)</w:t>
      </w:r>
      <w:bookmarkEnd w:id="377"/>
    </w:p>
    <w:p w14:paraId="2AC8A81D" w14:textId="1C6F2D96" w:rsidR="00D61046" w:rsidRPr="00D61046" w:rsidRDefault="00D61046" w:rsidP="009908F2">
      <w:pPr>
        <w:rPr>
          <w:rFonts w:eastAsia="Calibri" w:cs="Times New Roman"/>
        </w:rPr>
      </w:pPr>
      <w:r w:rsidRPr="00D61046">
        <w:rPr>
          <w:rFonts w:eastAsia="Calibri" w:cs="Times New Roman"/>
        </w:rPr>
        <w:t>Our results (</w:t>
      </w:r>
      <w:r w:rsidRPr="00455BDE">
        <w:rPr>
          <w:rFonts w:eastAsia="Calibri" w:cs="Times New Roman"/>
          <w:b/>
          <w:bCs/>
        </w:rPr>
        <w:t>Table A3</w:t>
      </w:r>
      <w:r w:rsidR="00D36345" w:rsidRPr="00455BDE">
        <w:rPr>
          <w:rFonts w:eastAsia="Calibri" w:cs="Times New Roman"/>
          <w:b/>
          <w:bCs/>
        </w:rPr>
        <w:t>2</w:t>
      </w:r>
      <w:r w:rsidRPr="00D61046">
        <w:rPr>
          <w:rFonts w:eastAsia="Calibri" w:cs="Times New Roman"/>
        </w:rPr>
        <w:t xml:space="preserve"> and </w:t>
      </w:r>
      <w:r w:rsidR="00455BDE" w:rsidRPr="00455BDE">
        <w:rPr>
          <w:rFonts w:eastAsia="Calibri" w:cs="Times New Roman"/>
          <w:b/>
          <w:bCs/>
        </w:rPr>
        <w:t xml:space="preserve">Table </w:t>
      </w:r>
      <w:r w:rsidRPr="00455BDE">
        <w:rPr>
          <w:rFonts w:eastAsia="Calibri" w:cs="Times New Roman"/>
          <w:b/>
          <w:bCs/>
        </w:rPr>
        <w:t>A</w:t>
      </w:r>
      <w:r w:rsidR="00D36345" w:rsidRPr="00455BDE">
        <w:rPr>
          <w:rFonts w:eastAsia="Calibri" w:cs="Times New Roman"/>
          <w:b/>
          <w:bCs/>
        </w:rPr>
        <w:t>35</w:t>
      </w:r>
      <w:r w:rsidRPr="00D61046">
        <w:rPr>
          <w:rFonts w:eastAsia="Calibri" w:cs="Times New Roman"/>
        </w:rPr>
        <w:t>) reveal that wildfire intensity has distinct and significant effects on establishment births and sales performance in the LIS:</w:t>
      </w:r>
    </w:p>
    <w:p w14:paraId="6EE6174E" w14:textId="77777777" w:rsidR="00D61046" w:rsidRPr="00D61046" w:rsidRDefault="00D61046" w:rsidP="009908F2">
      <w:pPr>
        <w:rPr>
          <w:rFonts w:eastAsia="Calibri" w:cs="Times New Roman"/>
        </w:rPr>
      </w:pPr>
      <w:r w:rsidRPr="00D61046">
        <w:rPr>
          <w:rFonts w:eastAsia="Calibri" w:cs="Times New Roman"/>
          <w:b/>
          <w:bCs/>
        </w:rPr>
        <w:t>Establishment Births:</w:t>
      </w:r>
      <w:r w:rsidRPr="00D61046">
        <w:rPr>
          <w:rFonts w:eastAsia="Calibri" w:cs="Times New Roman"/>
        </w:rPr>
        <w:t xml:space="preserve"> A 1% increase in burned areas leads to a 0.842% decrease in establishment births. This substantial deterrent effect reflects how visible environmental degradation discourages entrepreneurship, consistent with research on environmental uncertainty and its impact on business formation </w:t>
      </w:r>
      <w:bookmarkStart w:id="378" w:name="_Hlk187246741"/>
      <w:r w:rsidRPr="00D61046">
        <w:rPr>
          <w:rFonts w:eastAsia="Calibri" w:cs="Times New Roman"/>
        </w:rPr>
        <w:t xml:space="preserve">(Turner et al., 1994). </w:t>
      </w:r>
      <w:bookmarkEnd w:id="378"/>
      <w:r w:rsidRPr="00D61046">
        <w:rPr>
          <w:rFonts w:eastAsia="Calibri" w:cs="Times New Roman"/>
        </w:rPr>
        <w:t xml:space="preserve">This finding supports H1, highlighting the risks posed by severe wildfires to new business creation. </w:t>
      </w:r>
    </w:p>
    <w:p w14:paraId="0C190313" w14:textId="77777777" w:rsidR="00D61046" w:rsidRPr="00D61046" w:rsidRDefault="00D61046" w:rsidP="009908F2">
      <w:pPr>
        <w:rPr>
          <w:rFonts w:eastAsia="Calibri" w:cs="Times New Roman"/>
        </w:rPr>
      </w:pPr>
      <w:r w:rsidRPr="00D61046">
        <w:rPr>
          <w:rFonts w:eastAsia="Calibri" w:cs="Times New Roman"/>
          <w:b/>
          <w:bCs/>
        </w:rPr>
        <w:t>Sales Performance:</w:t>
      </w:r>
      <w:r w:rsidRPr="00D61046">
        <w:rPr>
          <w:rFonts w:eastAsia="Calibri" w:cs="Times New Roman"/>
        </w:rPr>
        <w:t xml:space="preserve"> Conversely, a 1% increase in burned areas leads to a 2.26% increase in sales performance. This result underscores the temporary economic boost possibly driven by post-wildfire reconstruction activities, particularly in recovery-focused industries such as Construction </w:t>
      </w:r>
      <w:bookmarkStart w:id="379" w:name="_Hlk187246751"/>
      <w:r w:rsidRPr="00D61046">
        <w:rPr>
          <w:rFonts w:eastAsia="Calibri" w:cs="Times New Roman"/>
        </w:rPr>
        <w:t>(</w:t>
      </w:r>
      <w:proofErr w:type="spellStart"/>
      <w:r w:rsidRPr="00D61046">
        <w:rPr>
          <w:rFonts w:eastAsia="Calibri" w:cs="Times New Roman"/>
        </w:rPr>
        <w:t>Comerio</w:t>
      </w:r>
      <w:proofErr w:type="spellEnd"/>
      <w:r w:rsidRPr="00D61046">
        <w:rPr>
          <w:rFonts w:eastAsia="Calibri" w:cs="Times New Roman"/>
        </w:rPr>
        <w:t xml:space="preserve">, 1998). </w:t>
      </w:r>
      <w:bookmarkEnd w:id="379"/>
      <w:r w:rsidRPr="00D61046">
        <w:rPr>
          <w:rFonts w:eastAsia="Calibri" w:cs="Times New Roman"/>
        </w:rPr>
        <w:t>This supports H4, which posits that while wildfires generally disrupt economic activity, they can create opportunities in certain sectors.</w:t>
      </w:r>
    </w:p>
    <w:p w14:paraId="3697AD92" w14:textId="77777777" w:rsidR="00D61046" w:rsidRPr="00D61046" w:rsidRDefault="00D61046" w:rsidP="009908F2">
      <w:pPr>
        <w:rPr>
          <w:rFonts w:eastAsia="Calibri" w:cs="Times New Roman"/>
        </w:rPr>
      </w:pPr>
      <w:r w:rsidRPr="00D61046">
        <w:rPr>
          <w:rFonts w:eastAsia="Calibri" w:cs="Times New Roman"/>
          <w:b/>
          <w:bCs/>
        </w:rPr>
        <w:lastRenderedPageBreak/>
        <w:t>Deaths, Relocations, and Employment:</w:t>
      </w:r>
      <w:r w:rsidRPr="00D61046">
        <w:rPr>
          <w:rFonts w:eastAsia="Calibri" w:cs="Times New Roman"/>
        </w:rPr>
        <w:t xml:space="preserve"> Unlike wildfire frequency, burned area does not significantly affect establishment deaths, relocations, or employment at the aggregate LIS level. This distinction underscores how wildfire frequency and intensity exert differing pressures on business dynamics, with intensity more closely tied to localized recovery opportunities. </w:t>
      </w:r>
    </w:p>
    <w:p w14:paraId="73EA8052" w14:textId="77777777" w:rsidR="00D61046" w:rsidRPr="00D61046" w:rsidRDefault="00D61046" w:rsidP="009908F2">
      <w:pPr>
        <w:rPr>
          <w:rFonts w:eastAsia="Calibri" w:cs="Times New Roman"/>
        </w:rPr>
      </w:pPr>
      <w:r w:rsidRPr="00D61046">
        <w:rPr>
          <w:rFonts w:eastAsia="Calibri" w:cs="Times New Roman"/>
        </w:rPr>
        <w:t xml:space="preserve">Overall findings </w:t>
      </w:r>
      <w:proofErr w:type="gramStart"/>
      <w:r w:rsidRPr="00D61046">
        <w:rPr>
          <w:rFonts w:eastAsia="Calibri" w:cs="Times New Roman"/>
        </w:rPr>
        <w:t>in regards to</w:t>
      </w:r>
      <w:proofErr w:type="gramEnd"/>
      <w:r w:rsidRPr="00D61046">
        <w:rPr>
          <w:rFonts w:eastAsia="Calibri" w:cs="Times New Roman"/>
        </w:rPr>
        <w:t xml:space="preserve"> wildfire intensity support H1 (negative effect of wildfire intensity on establishment births) and H4 (dual nature of wildfire impacts, with reduced births offset by temporary boosts in sales performance).</w:t>
      </w:r>
    </w:p>
    <w:p w14:paraId="0649B22B" w14:textId="1D1C26AC" w:rsidR="00D61046" w:rsidRPr="00D61046" w:rsidRDefault="00030874" w:rsidP="001953BB">
      <w:pPr>
        <w:pStyle w:val="Heading4"/>
      </w:pPr>
      <w:bookmarkStart w:id="380" w:name="_Toc187556312"/>
      <w:r>
        <w:t>2.</w:t>
      </w:r>
      <w:r w:rsidR="00D61046" w:rsidRPr="00D61046">
        <w:t>5.1.3 Contribution to Research Objectives</w:t>
      </w:r>
      <w:bookmarkEnd w:id="380"/>
    </w:p>
    <w:p w14:paraId="5444D025" w14:textId="77777777" w:rsidR="00D61046" w:rsidRPr="00D61046" w:rsidRDefault="00D61046" w:rsidP="009908F2">
      <w:pPr>
        <w:rPr>
          <w:rFonts w:eastAsia="Calibri" w:cs="Times New Roman"/>
        </w:rPr>
      </w:pPr>
      <w:r w:rsidRPr="00D61046">
        <w:rPr>
          <w:rFonts w:eastAsia="Calibri" w:cs="Times New Roman"/>
          <w:lang/>
        </w:rPr>
        <w:t>The results for the aggregate LIS demonstrate how wildfire frequency and intensity distinctly impact establishment dynamics and economic outcomes, fulfilling key components of the study's research objectives</w:t>
      </w:r>
      <w:r w:rsidRPr="00D61046">
        <w:rPr>
          <w:rFonts w:eastAsia="Calibri" w:cs="Times New Roman"/>
        </w:rPr>
        <w:t>:</w:t>
      </w:r>
    </w:p>
    <w:p w14:paraId="6EF201F1" w14:textId="77777777" w:rsidR="00D61046" w:rsidRPr="00D61046" w:rsidRDefault="00D61046" w:rsidP="009908F2">
      <w:pPr>
        <w:rPr>
          <w:rFonts w:eastAsia="Calibri" w:cs="Times New Roman"/>
          <w:lang/>
        </w:rPr>
      </w:pPr>
      <w:r w:rsidRPr="00D61046">
        <w:rPr>
          <w:rFonts w:eastAsia="Calibri" w:cs="Times New Roman"/>
          <w:b/>
          <w:bCs/>
          <w:lang/>
        </w:rPr>
        <w:t>Addressing RQ1:</w:t>
      </w:r>
      <w:r w:rsidRPr="00D61046">
        <w:rPr>
          <w:rFonts w:eastAsia="Calibri" w:cs="Times New Roman"/>
          <w:b/>
          <w:bCs/>
        </w:rPr>
        <w:t xml:space="preserve"> </w:t>
      </w:r>
      <w:r w:rsidRPr="00D61046">
        <w:rPr>
          <w:rFonts w:eastAsia="Calibri" w:cs="Times New Roman"/>
          <w:lang/>
        </w:rPr>
        <w:t>Wildfire frequency significantly increases establishment deaths and outward relocations, confirming the hypothesized disruptions to business continuity and mobility (H1, H2).</w:t>
      </w:r>
      <w:r w:rsidRPr="00D61046">
        <w:rPr>
          <w:rFonts w:eastAsia="Calibri" w:cs="Times New Roman"/>
        </w:rPr>
        <w:t xml:space="preserve"> </w:t>
      </w:r>
      <w:r w:rsidRPr="00D61046">
        <w:rPr>
          <w:rFonts w:eastAsia="Calibri" w:cs="Times New Roman"/>
          <w:lang/>
        </w:rPr>
        <w:t>Wildfire intensity reduces establishment births while boosting sales performance, reflecting both the destructive and recovery-driven dimensions of wildfire impacts (H1, H4).</w:t>
      </w:r>
    </w:p>
    <w:p w14:paraId="554166F9" w14:textId="77777777" w:rsidR="00D61046" w:rsidRPr="00D61046" w:rsidRDefault="00D61046" w:rsidP="009908F2">
      <w:pPr>
        <w:rPr>
          <w:rFonts w:eastAsia="Calibri" w:cs="Times New Roman"/>
          <w:lang/>
        </w:rPr>
      </w:pPr>
      <w:r w:rsidRPr="00D61046">
        <w:rPr>
          <w:rFonts w:eastAsia="Calibri" w:cs="Times New Roman"/>
          <w:b/>
          <w:bCs/>
          <w:lang/>
        </w:rPr>
        <w:t>Advancing Hypotheses Testing:</w:t>
      </w:r>
      <w:r w:rsidRPr="00D61046">
        <w:rPr>
          <w:rFonts w:eastAsia="Calibri" w:cs="Times New Roman"/>
          <w:b/>
          <w:bCs/>
        </w:rPr>
        <w:t xml:space="preserve"> </w:t>
      </w:r>
      <w:r w:rsidRPr="00D61046">
        <w:rPr>
          <w:rFonts w:eastAsia="Calibri" w:cs="Times New Roman"/>
        </w:rPr>
        <w:t>Our</w:t>
      </w:r>
      <w:r w:rsidRPr="00D61046">
        <w:rPr>
          <w:rFonts w:eastAsia="Calibri" w:cs="Times New Roman"/>
          <w:lang/>
        </w:rPr>
        <w:t xml:space="preserve"> findings confirm hypothesized relationships (H1, H2, H4) while highlighting areas where frequency and intensity exhibit divergent impacts, particularly in terms of establishment dynamics.</w:t>
      </w:r>
      <w:r w:rsidRPr="00D61046">
        <w:rPr>
          <w:rFonts w:eastAsia="Calibri" w:cs="Times New Roman"/>
        </w:rPr>
        <w:t xml:space="preserve"> </w:t>
      </w:r>
      <w:r w:rsidRPr="00D61046">
        <w:rPr>
          <w:rFonts w:eastAsia="Calibri" w:cs="Times New Roman"/>
          <w:lang/>
        </w:rPr>
        <w:t>This detailed interpretation lays the groundwork for the sector-specific analysis in Section 5.2, where sectoral heterogeneity within the LIS is explored</w:t>
      </w:r>
      <w:r w:rsidRPr="00D61046">
        <w:rPr>
          <w:rFonts w:eastAsia="Calibri" w:cs="Times New Roman"/>
        </w:rPr>
        <w:t>, as well as identifying the main drivers behind our Aggregate LIS results</w:t>
      </w:r>
      <w:r w:rsidRPr="00D61046">
        <w:rPr>
          <w:rFonts w:eastAsia="Calibri" w:cs="Times New Roman"/>
          <w:lang/>
        </w:rPr>
        <w:t>.</w:t>
      </w:r>
    </w:p>
    <w:p w14:paraId="49183200" w14:textId="2B383AD1" w:rsidR="00D61046" w:rsidRPr="00D61046" w:rsidRDefault="00030874" w:rsidP="009908F2">
      <w:pPr>
        <w:pStyle w:val="Heading3"/>
      </w:pPr>
      <w:bookmarkStart w:id="381" w:name="_Toc187556313"/>
      <w:bookmarkStart w:id="382" w:name="_Toc188379020"/>
      <w:r>
        <w:rPr>
          <w:lang w:val="en-US"/>
        </w:rPr>
        <w:lastRenderedPageBreak/>
        <w:t>2.</w:t>
      </w:r>
      <w:r w:rsidR="00D61046" w:rsidRPr="00D61046">
        <w:t>5.2 Sector-Specific Impacts Across LIS</w:t>
      </w:r>
      <w:bookmarkEnd w:id="381"/>
      <w:bookmarkEnd w:id="382"/>
      <w:r w:rsidR="00D61046" w:rsidRPr="00D61046">
        <w:t xml:space="preserve"> </w:t>
      </w:r>
    </w:p>
    <w:p w14:paraId="40431825" w14:textId="6AC5F2AB" w:rsidR="00D61046" w:rsidRPr="00D61046" w:rsidRDefault="00D61046" w:rsidP="009908F2">
      <w:pPr>
        <w:rPr>
          <w:rFonts w:eastAsia="Calibri" w:cs="Times New Roman"/>
          <w:lang/>
        </w:rPr>
      </w:pPr>
      <w:bookmarkStart w:id="383" w:name="_Toc176365880"/>
      <w:r w:rsidRPr="00D61046">
        <w:rPr>
          <w:rFonts w:eastAsia="Calibri" w:cs="Times New Roman"/>
          <w:lang/>
        </w:rPr>
        <w:t>The LIS, comprising Agriculture (NAICS 11), Mining (NAICS 21), Utilities (NAICS 22), and Construction (NAICS 23), reveals significant heterogeneity in responses to wildfire frequency and intensity.</w:t>
      </w:r>
      <w:r w:rsidRPr="00D61046">
        <w:rPr>
          <w:rFonts w:eastAsia="Calibri" w:cs="Times New Roman"/>
          <w:lang/>
        </w:rPr>
        <w:t xml:space="preserve"> The summarized regression results are presented in </w:t>
      </w:r>
      <w:r w:rsidRPr="00455BDE">
        <w:rPr>
          <w:rFonts w:eastAsia="Calibri" w:cs="Times New Roman"/>
          <w:b/>
          <w:bCs/>
          <w:lang/>
        </w:rPr>
        <w:t>Table A</w:t>
      </w:r>
      <w:r w:rsidR="00D36345" w:rsidRPr="00455BDE">
        <w:rPr>
          <w:rFonts w:eastAsia="Calibri" w:cs="Times New Roman"/>
          <w:b/>
          <w:bCs/>
          <w:lang/>
        </w:rPr>
        <w:t>33</w:t>
      </w:r>
      <w:r w:rsidRPr="00D61046">
        <w:rPr>
          <w:rFonts w:eastAsia="Calibri" w:cs="Times New Roman"/>
          <w:lang/>
        </w:rPr>
        <w:t xml:space="preserve"> and </w:t>
      </w:r>
      <w:r w:rsidR="00455BDE" w:rsidRPr="00455BDE">
        <w:rPr>
          <w:rFonts w:eastAsia="Calibri" w:cs="Times New Roman"/>
          <w:b/>
          <w:bCs/>
        </w:rPr>
        <w:t>Table</w:t>
      </w:r>
      <w:r w:rsidR="00455BDE" w:rsidRPr="00455BDE">
        <w:rPr>
          <w:rFonts w:eastAsia="Calibri" w:cs="Times New Roman"/>
          <w:b/>
          <w:bCs/>
          <w:lang/>
        </w:rPr>
        <w:t xml:space="preserve"> </w:t>
      </w:r>
      <w:r w:rsidRPr="00455BDE">
        <w:rPr>
          <w:rFonts w:eastAsia="Calibri" w:cs="Times New Roman"/>
          <w:b/>
          <w:bCs/>
          <w:lang/>
        </w:rPr>
        <w:t>A</w:t>
      </w:r>
      <w:r w:rsidR="00D36345" w:rsidRPr="00455BDE">
        <w:rPr>
          <w:rFonts w:eastAsia="Calibri" w:cs="Times New Roman"/>
          <w:b/>
          <w:bCs/>
          <w:lang/>
        </w:rPr>
        <w:t>34</w:t>
      </w:r>
      <w:r w:rsidRPr="00D61046">
        <w:rPr>
          <w:rFonts w:eastAsia="Calibri" w:cs="Times New Roman"/>
          <w:lang/>
        </w:rPr>
        <w:t xml:space="preserve">, with full regression results available </w:t>
      </w:r>
      <w:r w:rsidR="00455BDE">
        <w:rPr>
          <w:rFonts w:eastAsia="Calibri" w:cs="Times New Roman"/>
          <w:lang/>
        </w:rPr>
        <w:t>from</w:t>
      </w:r>
      <w:r w:rsidRPr="00D61046">
        <w:rPr>
          <w:rFonts w:eastAsia="Calibri" w:cs="Times New Roman"/>
          <w:lang/>
        </w:rPr>
        <w:t xml:space="preserve"> </w:t>
      </w:r>
      <w:r w:rsidRPr="00455BDE">
        <w:rPr>
          <w:rFonts w:eastAsia="Calibri" w:cs="Times New Roman"/>
          <w:b/>
          <w:bCs/>
          <w:lang/>
        </w:rPr>
        <w:t>Table A</w:t>
      </w:r>
      <w:r w:rsidR="00D36345" w:rsidRPr="00455BDE">
        <w:rPr>
          <w:rFonts w:eastAsia="Calibri" w:cs="Times New Roman"/>
          <w:b/>
          <w:bCs/>
          <w:lang/>
        </w:rPr>
        <w:t>36</w:t>
      </w:r>
      <w:r w:rsidR="00455BDE">
        <w:rPr>
          <w:rFonts w:eastAsia="Calibri" w:cs="Times New Roman"/>
          <w:lang/>
        </w:rPr>
        <w:t xml:space="preserve"> to </w:t>
      </w:r>
      <w:r w:rsidR="00455BDE" w:rsidRPr="00455BDE">
        <w:rPr>
          <w:rFonts w:eastAsia="Calibri" w:cs="Times New Roman"/>
          <w:b/>
          <w:bCs/>
        </w:rPr>
        <w:t>Table</w:t>
      </w:r>
      <w:r w:rsidR="00455BDE" w:rsidRPr="00455BDE">
        <w:rPr>
          <w:rFonts w:eastAsia="Calibri" w:cs="Times New Roman"/>
          <w:b/>
          <w:bCs/>
          <w:lang/>
        </w:rPr>
        <w:t xml:space="preserve"> </w:t>
      </w:r>
      <w:r w:rsidRPr="00455BDE">
        <w:rPr>
          <w:rFonts w:eastAsia="Calibri" w:cs="Times New Roman"/>
          <w:b/>
          <w:bCs/>
          <w:lang/>
        </w:rPr>
        <w:t>A</w:t>
      </w:r>
      <w:r w:rsidR="00D36345" w:rsidRPr="00455BDE">
        <w:rPr>
          <w:rFonts w:eastAsia="Calibri" w:cs="Times New Roman"/>
          <w:b/>
          <w:bCs/>
          <w:lang/>
        </w:rPr>
        <w:t>39</w:t>
      </w:r>
      <w:r w:rsidRPr="00D61046">
        <w:rPr>
          <w:rFonts w:eastAsia="Calibri" w:cs="Times New Roman"/>
          <w:lang/>
        </w:rPr>
        <w:t>.</w:t>
      </w:r>
    </w:p>
    <w:p w14:paraId="69021DBA" w14:textId="3E72F230" w:rsidR="00D61046" w:rsidRPr="00D61046" w:rsidRDefault="00030874" w:rsidP="001953BB">
      <w:pPr>
        <w:pStyle w:val="Heading4"/>
      </w:pPr>
      <w:bookmarkStart w:id="384" w:name="_Toc187556314"/>
      <w:r>
        <w:t>2.</w:t>
      </w:r>
      <w:r w:rsidR="00D61046" w:rsidRPr="00D61046">
        <w:t>5.2.1 Similarities Across LIS Subsectors</w:t>
      </w:r>
      <w:bookmarkEnd w:id="384"/>
    </w:p>
    <w:p w14:paraId="113B640E" w14:textId="3FE55577" w:rsidR="00D61046" w:rsidRPr="00D61046" w:rsidRDefault="00D61046" w:rsidP="009908F2">
      <w:pPr>
        <w:rPr>
          <w:rFonts w:eastAsia="Calibri" w:cs="Times New Roman"/>
          <w:lang/>
        </w:rPr>
      </w:pPr>
      <w:r w:rsidRPr="00D61046">
        <w:rPr>
          <w:rFonts w:eastAsia="Calibri" w:cs="Times New Roman"/>
          <w:b/>
          <w:bCs/>
          <w:lang/>
        </w:rPr>
        <w:t>Deaths (H1):</w:t>
      </w:r>
      <w:r w:rsidRPr="00D61046">
        <w:rPr>
          <w:rFonts w:eastAsia="Calibri" w:cs="Times New Roman"/>
          <w:lang/>
        </w:rPr>
        <w:t xml:space="preserve"> </w:t>
      </w:r>
      <w:r w:rsidRPr="00D61046">
        <w:rPr>
          <w:rFonts w:eastAsia="Calibri" w:cs="Times New Roman"/>
        </w:rPr>
        <w:t xml:space="preserve">A 100-fire increase </w:t>
      </w:r>
      <w:r w:rsidRPr="00D61046">
        <w:rPr>
          <w:rFonts w:eastAsia="Calibri" w:cs="Times New Roman"/>
          <w:lang/>
        </w:rPr>
        <w:t>significantly increases deaths in Agriculture (+1</w:t>
      </w:r>
      <w:r w:rsidRPr="00D61046">
        <w:rPr>
          <w:rFonts w:eastAsia="Calibri" w:cs="Times New Roman"/>
          <w:lang/>
        </w:rPr>
        <w:t>.</w:t>
      </w:r>
      <w:r w:rsidRPr="00D61046">
        <w:rPr>
          <w:rFonts w:eastAsia="Calibri" w:cs="Times New Roman"/>
          <w:lang/>
        </w:rPr>
        <w:t>56%) and Utilities (+3</w:t>
      </w:r>
      <w:r w:rsidRPr="00D61046">
        <w:rPr>
          <w:rFonts w:eastAsia="Calibri" w:cs="Times New Roman"/>
          <w:lang/>
        </w:rPr>
        <w:t>.</w:t>
      </w:r>
      <w:r w:rsidRPr="00D61046">
        <w:rPr>
          <w:rFonts w:eastAsia="Calibri" w:cs="Times New Roman"/>
          <w:lang/>
        </w:rPr>
        <w:t>59%), reflecting heightened vulnerability to recurring wildfires. These results align with H1, indicating how operational disruptions and infrastructure damage exacerbate establishment closures.</w:t>
      </w:r>
      <w:r w:rsidRPr="00D61046">
        <w:rPr>
          <w:rFonts w:eastAsia="Calibri" w:cs="Times New Roman"/>
          <w:lang/>
        </w:rPr>
        <w:t xml:space="preserve"> </w:t>
      </w:r>
      <w:r w:rsidR="00D36345">
        <w:rPr>
          <w:rFonts w:eastAsia="Calibri" w:cs="Times New Roman"/>
          <w:lang/>
        </w:rPr>
        <w:t xml:space="preserve">Results </w:t>
      </w:r>
      <w:proofErr w:type="gramStart"/>
      <w:r w:rsidR="005C5F2C">
        <w:rPr>
          <w:rFonts w:eastAsia="Calibri" w:cs="Times New Roman"/>
          <w:lang/>
        </w:rPr>
        <w:t>are located</w:t>
      </w:r>
      <w:r w:rsidR="00D36345">
        <w:rPr>
          <w:rFonts w:eastAsia="Calibri" w:cs="Times New Roman"/>
          <w:lang/>
        </w:rPr>
        <w:t xml:space="preserve"> in</w:t>
      </w:r>
      <w:proofErr w:type="gramEnd"/>
      <w:r w:rsidR="00D36345">
        <w:rPr>
          <w:rFonts w:eastAsia="Calibri" w:cs="Times New Roman"/>
          <w:lang/>
        </w:rPr>
        <w:t xml:space="preserve"> </w:t>
      </w:r>
      <w:r w:rsidRPr="00455BDE">
        <w:rPr>
          <w:rFonts w:eastAsia="Calibri" w:cs="Times New Roman"/>
          <w:b/>
          <w:bCs/>
          <w:lang/>
        </w:rPr>
        <w:t>Table A</w:t>
      </w:r>
      <w:r w:rsidR="00D36345" w:rsidRPr="00455BDE">
        <w:rPr>
          <w:rFonts w:eastAsia="Calibri" w:cs="Times New Roman"/>
          <w:b/>
          <w:bCs/>
          <w:lang/>
        </w:rPr>
        <w:t>33</w:t>
      </w:r>
      <w:r w:rsidRPr="00D61046">
        <w:rPr>
          <w:rFonts w:eastAsia="Calibri" w:cs="Times New Roman"/>
          <w:lang/>
        </w:rPr>
        <w:t xml:space="preserve">, </w:t>
      </w:r>
      <w:r w:rsidR="00455BDE" w:rsidRPr="00455BDE">
        <w:rPr>
          <w:rFonts w:eastAsia="Calibri" w:cs="Times New Roman"/>
          <w:b/>
          <w:bCs/>
        </w:rPr>
        <w:t>Table</w:t>
      </w:r>
      <w:r w:rsidR="00455BDE" w:rsidRPr="00455BDE">
        <w:rPr>
          <w:rFonts w:eastAsia="Calibri" w:cs="Times New Roman"/>
          <w:b/>
          <w:bCs/>
          <w:lang/>
        </w:rPr>
        <w:t xml:space="preserve"> </w:t>
      </w:r>
      <w:r w:rsidRPr="00455BDE">
        <w:rPr>
          <w:rFonts w:eastAsia="Calibri" w:cs="Times New Roman"/>
          <w:b/>
          <w:bCs/>
          <w:lang/>
        </w:rPr>
        <w:t>A</w:t>
      </w:r>
      <w:r w:rsidR="00D36345" w:rsidRPr="00455BDE">
        <w:rPr>
          <w:rFonts w:eastAsia="Calibri" w:cs="Times New Roman"/>
          <w:b/>
          <w:bCs/>
          <w:lang/>
        </w:rPr>
        <w:t>36</w:t>
      </w:r>
      <w:r w:rsidR="005C5F2C">
        <w:rPr>
          <w:rFonts w:eastAsia="Calibri" w:cs="Times New Roman"/>
          <w:lang/>
        </w:rPr>
        <w:t xml:space="preserve">, </w:t>
      </w:r>
      <w:r w:rsidR="00455BDE" w:rsidRPr="00455BDE">
        <w:rPr>
          <w:rFonts w:eastAsia="Calibri" w:cs="Times New Roman"/>
          <w:b/>
          <w:bCs/>
        </w:rPr>
        <w:t>Table</w:t>
      </w:r>
      <w:r w:rsidR="00455BDE" w:rsidRPr="00455BDE">
        <w:rPr>
          <w:rFonts w:eastAsia="Calibri" w:cs="Times New Roman"/>
          <w:b/>
          <w:bCs/>
          <w:lang/>
        </w:rPr>
        <w:t xml:space="preserve"> </w:t>
      </w:r>
      <w:r w:rsidR="005C5F2C" w:rsidRPr="00455BDE">
        <w:rPr>
          <w:rFonts w:eastAsia="Calibri" w:cs="Times New Roman"/>
          <w:b/>
          <w:bCs/>
          <w:lang/>
        </w:rPr>
        <w:t>A37</w:t>
      </w:r>
      <w:r w:rsidR="005C5F2C">
        <w:rPr>
          <w:rFonts w:eastAsia="Calibri" w:cs="Times New Roman"/>
          <w:lang/>
        </w:rPr>
        <w:t xml:space="preserve">, and </w:t>
      </w:r>
      <w:r w:rsidR="00455BDE" w:rsidRPr="00455BDE">
        <w:rPr>
          <w:rFonts w:eastAsia="Calibri" w:cs="Times New Roman"/>
          <w:b/>
          <w:bCs/>
        </w:rPr>
        <w:t>Table</w:t>
      </w:r>
      <w:r w:rsidR="00455BDE" w:rsidRPr="00455BDE">
        <w:rPr>
          <w:rFonts w:eastAsia="Calibri" w:cs="Times New Roman"/>
          <w:b/>
          <w:bCs/>
          <w:lang/>
        </w:rPr>
        <w:t xml:space="preserve"> </w:t>
      </w:r>
      <w:r w:rsidRPr="00455BDE">
        <w:rPr>
          <w:rFonts w:eastAsia="Calibri" w:cs="Times New Roman"/>
          <w:b/>
          <w:bCs/>
          <w:lang/>
        </w:rPr>
        <w:t>A</w:t>
      </w:r>
      <w:r w:rsidR="00D36345" w:rsidRPr="00455BDE">
        <w:rPr>
          <w:rFonts w:eastAsia="Calibri" w:cs="Times New Roman"/>
          <w:b/>
          <w:bCs/>
          <w:lang/>
        </w:rPr>
        <w:t>38</w:t>
      </w:r>
      <w:r w:rsidR="005C5F2C">
        <w:rPr>
          <w:rFonts w:eastAsia="Calibri" w:cs="Times New Roman"/>
          <w:lang/>
        </w:rPr>
        <w:t>.</w:t>
      </w:r>
    </w:p>
    <w:p w14:paraId="2E7A2DC0" w14:textId="06D22909" w:rsidR="00D61046" w:rsidRPr="00D61046" w:rsidRDefault="00D61046" w:rsidP="009908F2">
      <w:pPr>
        <w:rPr>
          <w:rFonts w:eastAsia="Calibri" w:cs="Times New Roman"/>
          <w:lang/>
        </w:rPr>
      </w:pPr>
      <w:r w:rsidRPr="00D61046">
        <w:rPr>
          <w:rFonts w:eastAsia="Calibri" w:cs="Times New Roman"/>
          <w:b/>
          <w:bCs/>
          <w:lang/>
        </w:rPr>
        <w:t>Outward Migrations (H2):</w:t>
      </w:r>
      <w:r w:rsidRPr="00D61046">
        <w:rPr>
          <w:rFonts w:eastAsia="Calibri" w:cs="Times New Roman"/>
          <w:lang/>
        </w:rPr>
        <w:t xml:space="preserve"> </w:t>
      </w:r>
      <w:r w:rsidRPr="00D61046">
        <w:rPr>
          <w:rFonts w:eastAsia="Calibri" w:cs="Times New Roman"/>
        </w:rPr>
        <w:t xml:space="preserve">A 100-fire increase </w:t>
      </w:r>
      <w:r w:rsidRPr="00D61046">
        <w:rPr>
          <w:rFonts w:eastAsia="Calibri" w:cs="Times New Roman"/>
          <w:lang/>
        </w:rPr>
        <w:t xml:space="preserve">significantly increases </w:t>
      </w:r>
      <w:r w:rsidRPr="00D61046">
        <w:rPr>
          <w:rFonts w:eastAsia="Calibri" w:cs="Times New Roman"/>
          <w:lang/>
        </w:rPr>
        <w:t xml:space="preserve">outward migrations in </w:t>
      </w:r>
      <w:r w:rsidRPr="00D61046">
        <w:rPr>
          <w:rFonts w:eastAsia="Calibri" w:cs="Times New Roman"/>
          <w:lang/>
        </w:rPr>
        <w:t>Mining (+29</w:t>
      </w:r>
      <w:r w:rsidRPr="00D61046">
        <w:rPr>
          <w:rFonts w:eastAsia="Calibri" w:cs="Times New Roman"/>
          <w:lang/>
        </w:rPr>
        <w:t>.2</w:t>
      </w:r>
      <w:r w:rsidRPr="00D61046">
        <w:rPr>
          <w:rFonts w:eastAsia="Calibri" w:cs="Times New Roman"/>
          <w:lang/>
        </w:rPr>
        <w:t>%) and Construction (+6</w:t>
      </w:r>
      <w:r w:rsidRPr="00D61046">
        <w:rPr>
          <w:rFonts w:eastAsia="Calibri" w:cs="Times New Roman"/>
          <w:lang/>
        </w:rPr>
        <w:t>.</w:t>
      </w:r>
      <w:r w:rsidRPr="00D61046">
        <w:rPr>
          <w:rFonts w:eastAsia="Calibri" w:cs="Times New Roman"/>
          <w:lang/>
        </w:rPr>
        <w:t>59%), showcasing "environmental mobility" as businesses migrate to mitigate risks. This supports H2 and highlights the shared adaptive strategies of relocation in wildfire-affected regions.</w:t>
      </w:r>
      <w:r w:rsidRPr="00D61046">
        <w:rPr>
          <w:rFonts w:eastAsia="Calibri" w:cs="Times New Roman"/>
          <w:lang/>
        </w:rPr>
        <w:t xml:space="preserve"> </w:t>
      </w:r>
      <w:r w:rsidR="005C5F2C">
        <w:rPr>
          <w:rFonts w:eastAsia="Calibri" w:cs="Times New Roman"/>
          <w:lang/>
        </w:rPr>
        <w:t xml:space="preserve">Results </w:t>
      </w:r>
      <w:proofErr w:type="gramStart"/>
      <w:r w:rsidR="005C5F2C">
        <w:rPr>
          <w:rFonts w:eastAsia="Calibri" w:cs="Times New Roman"/>
          <w:lang/>
        </w:rPr>
        <w:t>are located in</w:t>
      </w:r>
      <w:proofErr w:type="gramEnd"/>
      <w:r w:rsidR="005C5F2C">
        <w:rPr>
          <w:rFonts w:eastAsia="Calibri" w:cs="Times New Roman"/>
          <w:lang/>
        </w:rPr>
        <w:t xml:space="preserve"> </w:t>
      </w:r>
      <w:r w:rsidRPr="00455BDE">
        <w:rPr>
          <w:rFonts w:eastAsia="Calibri" w:cs="Times New Roman"/>
          <w:b/>
          <w:bCs/>
          <w:lang/>
        </w:rPr>
        <w:t>Table A</w:t>
      </w:r>
      <w:r w:rsidR="00D36345" w:rsidRPr="00455BDE">
        <w:rPr>
          <w:rFonts w:eastAsia="Calibri" w:cs="Times New Roman"/>
          <w:b/>
          <w:bCs/>
          <w:lang/>
        </w:rPr>
        <w:t>33</w:t>
      </w:r>
      <w:r w:rsidRPr="00D61046">
        <w:rPr>
          <w:rFonts w:eastAsia="Calibri" w:cs="Times New Roman"/>
          <w:lang/>
        </w:rPr>
        <w:t xml:space="preserve">, </w:t>
      </w:r>
      <w:r w:rsidR="00455BDE" w:rsidRPr="00455BDE">
        <w:rPr>
          <w:rFonts w:eastAsia="Calibri" w:cs="Times New Roman"/>
          <w:b/>
          <w:bCs/>
        </w:rPr>
        <w:t>Table</w:t>
      </w:r>
      <w:r w:rsidR="00455BDE" w:rsidRPr="00455BDE">
        <w:rPr>
          <w:rFonts w:eastAsia="Calibri" w:cs="Times New Roman"/>
          <w:b/>
          <w:bCs/>
          <w:lang/>
        </w:rPr>
        <w:t xml:space="preserve"> </w:t>
      </w:r>
      <w:r w:rsidRPr="00455BDE">
        <w:rPr>
          <w:rFonts w:eastAsia="Calibri" w:cs="Times New Roman"/>
          <w:b/>
          <w:bCs/>
          <w:lang/>
        </w:rPr>
        <w:t>A</w:t>
      </w:r>
      <w:r w:rsidR="00D36345" w:rsidRPr="00455BDE">
        <w:rPr>
          <w:rFonts w:eastAsia="Calibri" w:cs="Times New Roman"/>
          <w:b/>
          <w:bCs/>
          <w:lang/>
        </w:rPr>
        <w:t>37</w:t>
      </w:r>
      <w:r w:rsidRPr="00D61046">
        <w:rPr>
          <w:rFonts w:eastAsia="Calibri" w:cs="Times New Roman"/>
          <w:lang/>
        </w:rPr>
        <w:t xml:space="preserve">, </w:t>
      </w:r>
      <w:r w:rsidR="005C5F2C">
        <w:rPr>
          <w:rFonts w:eastAsia="Calibri" w:cs="Times New Roman"/>
          <w:lang/>
        </w:rPr>
        <w:t xml:space="preserve">and </w:t>
      </w:r>
      <w:r w:rsidR="00455BDE" w:rsidRPr="00455BDE">
        <w:rPr>
          <w:rFonts w:eastAsia="Calibri" w:cs="Times New Roman"/>
          <w:b/>
          <w:bCs/>
        </w:rPr>
        <w:t>Table</w:t>
      </w:r>
      <w:r w:rsidR="00455BDE" w:rsidRPr="00455BDE">
        <w:rPr>
          <w:rFonts w:eastAsia="Calibri" w:cs="Times New Roman"/>
          <w:b/>
          <w:bCs/>
          <w:lang/>
        </w:rPr>
        <w:t xml:space="preserve"> </w:t>
      </w:r>
      <w:r w:rsidRPr="00455BDE">
        <w:rPr>
          <w:rFonts w:eastAsia="Calibri" w:cs="Times New Roman"/>
          <w:b/>
          <w:bCs/>
          <w:lang/>
        </w:rPr>
        <w:t>A</w:t>
      </w:r>
      <w:r w:rsidR="00D36345" w:rsidRPr="00455BDE">
        <w:rPr>
          <w:rFonts w:eastAsia="Calibri" w:cs="Times New Roman"/>
          <w:b/>
          <w:bCs/>
          <w:lang/>
        </w:rPr>
        <w:t>39</w:t>
      </w:r>
      <w:r w:rsidR="005C5F2C">
        <w:rPr>
          <w:rFonts w:eastAsia="Calibri" w:cs="Times New Roman"/>
          <w:lang/>
        </w:rPr>
        <w:t>.</w:t>
      </w:r>
    </w:p>
    <w:p w14:paraId="2039EF3A" w14:textId="03F517F1" w:rsidR="00D61046" w:rsidRPr="00D61046" w:rsidRDefault="00D61046" w:rsidP="009908F2">
      <w:pPr>
        <w:rPr>
          <w:rFonts w:eastAsia="Calibri" w:cs="Times New Roman"/>
          <w:lang/>
        </w:rPr>
      </w:pPr>
      <w:r w:rsidRPr="00D61046">
        <w:rPr>
          <w:rFonts w:eastAsia="Calibri" w:cs="Times New Roman"/>
          <w:b/>
          <w:bCs/>
          <w:lang/>
        </w:rPr>
        <w:t>Sales Performance (H4):</w:t>
      </w:r>
      <w:r w:rsidRPr="00D61046">
        <w:rPr>
          <w:rFonts w:eastAsia="Calibri" w:cs="Times New Roman"/>
          <w:lang/>
        </w:rPr>
        <w:t xml:space="preserve"> A 1% increase in county land area b</w:t>
      </w:r>
      <w:r w:rsidRPr="00D61046">
        <w:rPr>
          <w:rFonts w:eastAsia="Calibri" w:cs="Times New Roman"/>
          <w:lang/>
        </w:rPr>
        <w:t xml:space="preserve">urned </w:t>
      </w:r>
      <w:r w:rsidRPr="00D61046">
        <w:rPr>
          <w:rFonts w:eastAsia="Calibri" w:cs="Times New Roman"/>
          <w:lang/>
        </w:rPr>
        <w:t xml:space="preserve">by wildfires </w:t>
      </w:r>
      <w:r w:rsidRPr="00D61046">
        <w:rPr>
          <w:rFonts w:eastAsia="Calibri" w:cs="Times New Roman"/>
          <w:lang/>
        </w:rPr>
        <w:t>boost sales performance in Utilities (+1</w:t>
      </w:r>
      <w:r w:rsidRPr="00D61046">
        <w:rPr>
          <w:rFonts w:eastAsia="Calibri" w:cs="Times New Roman"/>
          <w:lang/>
        </w:rPr>
        <w:t>.90</w:t>
      </w:r>
      <w:r w:rsidRPr="00D61046">
        <w:rPr>
          <w:rFonts w:eastAsia="Calibri" w:cs="Times New Roman"/>
          <w:lang/>
        </w:rPr>
        <w:t>%) and Construction (+2</w:t>
      </w:r>
      <w:r w:rsidRPr="00D61046">
        <w:rPr>
          <w:rFonts w:eastAsia="Calibri" w:cs="Times New Roman"/>
          <w:lang/>
        </w:rPr>
        <w:t>.</w:t>
      </w:r>
      <w:r w:rsidRPr="00D61046">
        <w:rPr>
          <w:rFonts w:eastAsia="Calibri" w:cs="Times New Roman"/>
          <w:lang/>
        </w:rPr>
        <w:t>0</w:t>
      </w:r>
      <w:r w:rsidRPr="00D61046">
        <w:rPr>
          <w:rFonts w:eastAsia="Calibri" w:cs="Times New Roman"/>
          <w:lang/>
        </w:rPr>
        <w:t>1</w:t>
      </w:r>
      <w:r w:rsidRPr="00D61046">
        <w:rPr>
          <w:rFonts w:eastAsia="Calibri" w:cs="Times New Roman"/>
          <w:lang/>
        </w:rPr>
        <w:t xml:space="preserve">%) </w:t>
      </w:r>
      <w:r w:rsidRPr="00D61046">
        <w:rPr>
          <w:rFonts w:eastAsia="Calibri" w:cs="Times New Roman"/>
          <w:lang/>
        </w:rPr>
        <w:t xml:space="preserve">possibly </w:t>
      </w:r>
      <w:r w:rsidRPr="00D61046">
        <w:rPr>
          <w:rFonts w:eastAsia="Calibri" w:cs="Times New Roman"/>
          <w:lang/>
        </w:rPr>
        <w:t>due to post-wildfire reconstruction demands. These similarities underscore the critical roles of both sectors in disaster recovery efforts, aligning with H4 and the disaster economics literature (Cavallo &amp; Noy, 2010).</w:t>
      </w:r>
      <w:r w:rsidRPr="00D61046">
        <w:rPr>
          <w:rFonts w:eastAsia="Calibri" w:cs="Times New Roman"/>
          <w:lang/>
        </w:rPr>
        <w:t xml:space="preserve"> </w:t>
      </w:r>
      <w:r w:rsidR="005C5F2C">
        <w:rPr>
          <w:rFonts w:eastAsia="Calibri" w:cs="Times New Roman"/>
          <w:lang/>
        </w:rPr>
        <w:t xml:space="preserve">Results </w:t>
      </w:r>
      <w:proofErr w:type="gramStart"/>
      <w:r w:rsidR="005C5F2C">
        <w:rPr>
          <w:rFonts w:eastAsia="Calibri" w:cs="Times New Roman"/>
          <w:lang/>
        </w:rPr>
        <w:t>are located in</w:t>
      </w:r>
      <w:proofErr w:type="gramEnd"/>
      <w:r w:rsidR="005C5F2C">
        <w:rPr>
          <w:rFonts w:eastAsia="Calibri" w:cs="Times New Roman"/>
          <w:lang/>
        </w:rPr>
        <w:t xml:space="preserve"> </w:t>
      </w:r>
      <w:r w:rsidRPr="00455BDE">
        <w:rPr>
          <w:rFonts w:eastAsia="Calibri" w:cs="Times New Roman"/>
          <w:b/>
          <w:bCs/>
          <w:lang/>
        </w:rPr>
        <w:t>Table A</w:t>
      </w:r>
      <w:r w:rsidR="005C5F2C" w:rsidRPr="00455BDE">
        <w:rPr>
          <w:rFonts w:eastAsia="Calibri" w:cs="Times New Roman"/>
          <w:b/>
          <w:bCs/>
          <w:lang/>
        </w:rPr>
        <w:t>34</w:t>
      </w:r>
      <w:r w:rsidRPr="00D61046">
        <w:rPr>
          <w:rFonts w:eastAsia="Calibri" w:cs="Times New Roman"/>
          <w:lang/>
        </w:rPr>
        <w:t xml:space="preserve">, </w:t>
      </w:r>
      <w:r w:rsidR="00455BDE" w:rsidRPr="00455BDE">
        <w:rPr>
          <w:rFonts w:eastAsia="Calibri" w:cs="Times New Roman"/>
          <w:b/>
          <w:bCs/>
        </w:rPr>
        <w:t>Table</w:t>
      </w:r>
      <w:r w:rsidR="00455BDE" w:rsidRPr="00455BDE">
        <w:rPr>
          <w:rFonts w:eastAsia="Calibri" w:cs="Times New Roman"/>
          <w:b/>
          <w:bCs/>
          <w:lang/>
        </w:rPr>
        <w:t xml:space="preserve"> </w:t>
      </w:r>
      <w:r w:rsidRPr="00455BDE">
        <w:rPr>
          <w:rFonts w:eastAsia="Calibri" w:cs="Times New Roman"/>
          <w:b/>
          <w:bCs/>
          <w:lang/>
        </w:rPr>
        <w:t>A</w:t>
      </w:r>
      <w:r w:rsidR="005C5F2C" w:rsidRPr="00455BDE">
        <w:rPr>
          <w:rFonts w:eastAsia="Calibri" w:cs="Times New Roman"/>
          <w:b/>
          <w:bCs/>
          <w:lang/>
        </w:rPr>
        <w:t>38</w:t>
      </w:r>
      <w:r w:rsidRPr="00D61046">
        <w:rPr>
          <w:rFonts w:eastAsia="Calibri" w:cs="Times New Roman"/>
          <w:lang/>
        </w:rPr>
        <w:t xml:space="preserve">, </w:t>
      </w:r>
      <w:r w:rsidR="005C5F2C">
        <w:rPr>
          <w:rFonts w:eastAsia="Calibri" w:cs="Times New Roman"/>
          <w:lang/>
        </w:rPr>
        <w:t xml:space="preserve">and </w:t>
      </w:r>
      <w:r w:rsidR="00455BDE" w:rsidRPr="00455BDE">
        <w:rPr>
          <w:rFonts w:eastAsia="Calibri" w:cs="Times New Roman"/>
          <w:b/>
          <w:bCs/>
        </w:rPr>
        <w:t>Table</w:t>
      </w:r>
      <w:r w:rsidR="00455BDE" w:rsidRPr="00455BDE">
        <w:rPr>
          <w:rFonts w:eastAsia="Calibri" w:cs="Times New Roman"/>
          <w:b/>
          <w:bCs/>
          <w:lang/>
        </w:rPr>
        <w:t xml:space="preserve"> </w:t>
      </w:r>
      <w:r w:rsidRPr="00455BDE">
        <w:rPr>
          <w:rFonts w:eastAsia="Calibri" w:cs="Times New Roman"/>
          <w:b/>
          <w:bCs/>
          <w:lang/>
        </w:rPr>
        <w:t>A</w:t>
      </w:r>
      <w:r w:rsidR="005C5F2C" w:rsidRPr="00455BDE">
        <w:rPr>
          <w:rFonts w:eastAsia="Calibri" w:cs="Times New Roman"/>
          <w:b/>
          <w:bCs/>
          <w:lang/>
        </w:rPr>
        <w:t>39</w:t>
      </w:r>
      <w:r w:rsidR="005C5F2C">
        <w:rPr>
          <w:rFonts w:eastAsia="Calibri" w:cs="Times New Roman"/>
          <w:lang/>
        </w:rPr>
        <w:t>.</w:t>
      </w:r>
    </w:p>
    <w:p w14:paraId="699B3AB1" w14:textId="5EF9AA4E" w:rsidR="00D61046" w:rsidRPr="00D61046" w:rsidRDefault="00030874" w:rsidP="001953BB">
      <w:pPr>
        <w:pStyle w:val="Heading4"/>
      </w:pPr>
      <w:bookmarkStart w:id="385" w:name="_Toc187556315"/>
      <w:r>
        <w:lastRenderedPageBreak/>
        <w:t>2.</w:t>
      </w:r>
      <w:r w:rsidR="00D61046" w:rsidRPr="00D61046">
        <w:t>5.2.2 Differences Across LIS Subsectors</w:t>
      </w:r>
      <w:bookmarkEnd w:id="385"/>
    </w:p>
    <w:p w14:paraId="0327821B" w14:textId="57DDB89F" w:rsidR="00D61046" w:rsidRPr="00D61046" w:rsidRDefault="00D61046" w:rsidP="009908F2">
      <w:pPr>
        <w:rPr>
          <w:rFonts w:eastAsia="Calibri" w:cs="Times New Roman"/>
          <w:lang/>
        </w:rPr>
      </w:pPr>
      <w:r w:rsidRPr="00D61046">
        <w:rPr>
          <w:rFonts w:eastAsia="Calibri" w:cs="Times New Roman"/>
          <w:b/>
          <w:bCs/>
          <w:lang/>
        </w:rPr>
        <w:t>Births (H1):</w:t>
      </w:r>
      <w:r w:rsidRPr="00D61046">
        <w:rPr>
          <w:rFonts w:eastAsia="Calibri" w:cs="Times New Roman"/>
          <w:lang/>
        </w:rPr>
        <w:t xml:space="preserve"> A 1% increase in county land area b</w:t>
      </w:r>
      <w:r w:rsidRPr="00D61046">
        <w:rPr>
          <w:rFonts w:eastAsia="Calibri" w:cs="Times New Roman"/>
          <w:lang/>
        </w:rPr>
        <w:t>urned significantly reduce establishment births in Agriculture (-1</w:t>
      </w:r>
      <w:r w:rsidRPr="00D61046">
        <w:rPr>
          <w:rFonts w:eastAsia="Calibri" w:cs="Times New Roman"/>
          <w:lang/>
        </w:rPr>
        <w:t>.</w:t>
      </w:r>
      <w:r w:rsidRPr="00D61046">
        <w:rPr>
          <w:rFonts w:eastAsia="Calibri" w:cs="Times New Roman"/>
          <w:lang/>
        </w:rPr>
        <w:t>75%) and Construction (-</w:t>
      </w:r>
      <w:r w:rsidRPr="00D61046">
        <w:rPr>
          <w:rFonts w:eastAsia="Calibri" w:cs="Times New Roman"/>
          <w:lang/>
        </w:rPr>
        <w:t>0.</w:t>
      </w:r>
      <w:r w:rsidRPr="00D61046">
        <w:rPr>
          <w:rFonts w:eastAsia="Calibri" w:cs="Times New Roman"/>
          <w:lang/>
        </w:rPr>
        <w:t>746%) but increase births in Mining (+2</w:t>
      </w:r>
      <w:r w:rsidRPr="00D61046">
        <w:rPr>
          <w:rFonts w:eastAsia="Calibri" w:cs="Times New Roman"/>
          <w:lang/>
        </w:rPr>
        <w:t>.</w:t>
      </w:r>
      <w:r w:rsidRPr="00D61046">
        <w:rPr>
          <w:rFonts w:eastAsia="Calibri" w:cs="Times New Roman"/>
          <w:lang/>
        </w:rPr>
        <w:t xml:space="preserve">28%). Agriculture's vulnerability reflects the adverse effects of degraded land and heightened risks (Turner et al., 1994), while Mining </w:t>
      </w:r>
      <w:r w:rsidRPr="00D61046">
        <w:rPr>
          <w:rFonts w:eastAsia="Calibri" w:cs="Times New Roman"/>
          <w:lang/>
        </w:rPr>
        <w:t xml:space="preserve">possibly </w:t>
      </w:r>
      <w:r w:rsidRPr="00D61046">
        <w:rPr>
          <w:rFonts w:eastAsia="Calibri" w:cs="Times New Roman"/>
          <w:lang/>
        </w:rPr>
        <w:t>benefits from post-disaster resource demand and investment opportunities.</w:t>
      </w:r>
      <w:r w:rsidRPr="00D61046">
        <w:rPr>
          <w:rFonts w:eastAsia="Calibri" w:cs="Times New Roman"/>
          <w:lang/>
        </w:rPr>
        <w:t xml:space="preserve"> </w:t>
      </w:r>
      <w:r w:rsidR="005C5F2C">
        <w:rPr>
          <w:rFonts w:eastAsia="Calibri" w:cs="Times New Roman"/>
          <w:lang/>
        </w:rPr>
        <w:t xml:space="preserve">Results </w:t>
      </w:r>
      <w:proofErr w:type="gramStart"/>
      <w:r w:rsidR="005C5F2C">
        <w:rPr>
          <w:rFonts w:eastAsia="Calibri" w:cs="Times New Roman"/>
          <w:lang/>
        </w:rPr>
        <w:t>are located in</w:t>
      </w:r>
      <w:proofErr w:type="gramEnd"/>
      <w:r w:rsidR="005C5F2C">
        <w:rPr>
          <w:rFonts w:eastAsia="Calibri" w:cs="Times New Roman"/>
          <w:lang/>
        </w:rPr>
        <w:t xml:space="preserve"> </w:t>
      </w:r>
      <w:r w:rsidRPr="00455BDE">
        <w:rPr>
          <w:rFonts w:eastAsia="Calibri" w:cs="Times New Roman"/>
          <w:b/>
          <w:bCs/>
          <w:lang/>
        </w:rPr>
        <w:t>Table A</w:t>
      </w:r>
      <w:r w:rsidR="005C5F2C" w:rsidRPr="00455BDE">
        <w:rPr>
          <w:rFonts w:eastAsia="Calibri" w:cs="Times New Roman"/>
          <w:b/>
          <w:bCs/>
          <w:lang/>
        </w:rPr>
        <w:t>34</w:t>
      </w:r>
      <w:r w:rsidRPr="00D61046">
        <w:rPr>
          <w:rFonts w:eastAsia="Calibri" w:cs="Times New Roman"/>
          <w:lang/>
        </w:rPr>
        <w:t xml:space="preserve">, </w:t>
      </w:r>
      <w:r w:rsidR="00455BDE" w:rsidRPr="00455BDE">
        <w:rPr>
          <w:rFonts w:eastAsia="Calibri" w:cs="Times New Roman"/>
          <w:b/>
          <w:bCs/>
        </w:rPr>
        <w:t>Table</w:t>
      </w:r>
      <w:r w:rsidR="00455BDE" w:rsidRPr="00455BDE">
        <w:rPr>
          <w:rFonts w:eastAsia="Calibri" w:cs="Times New Roman"/>
          <w:b/>
          <w:bCs/>
          <w:lang/>
        </w:rPr>
        <w:t xml:space="preserve"> </w:t>
      </w:r>
      <w:r w:rsidRPr="00455BDE">
        <w:rPr>
          <w:rFonts w:eastAsia="Calibri" w:cs="Times New Roman"/>
          <w:b/>
          <w:bCs/>
          <w:lang/>
        </w:rPr>
        <w:t>A</w:t>
      </w:r>
      <w:r w:rsidR="005C5F2C" w:rsidRPr="00455BDE">
        <w:rPr>
          <w:rFonts w:eastAsia="Calibri" w:cs="Times New Roman"/>
          <w:b/>
          <w:bCs/>
          <w:lang/>
        </w:rPr>
        <w:t>36</w:t>
      </w:r>
      <w:r w:rsidRPr="00D61046">
        <w:rPr>
          <w:rFonts w:eastAsia="Calibri" w:cs="Times New Roman"/>
          <w:lang/>
        </w:rPr>
        <w:t xml:space="preserve">, </w:t>
      </w:r>
      <w:r w:rsidR="00455BDE" w:rsidRPr="00455BDE">
        <w:rPr>
          <w:rFonts w:eastAsia="Calibri" w:cs="Times New Roman"/>
          <w:b/>
          <w:bCs/>
        </w:rPr>
        <w:t>Table</w:t>
      </w:r>
      <w:r w:rsidR="00455BDE" w:rsidRPr="00455BDE">
        <w:rPr>
          <w:rFonts w:eastAsia="Calibri" w:cs="Times New Roman"/>
          <w:b/>
          <w:bCs/>
          <w:lang/>
        </w:rPr>
        <w:t xml:space="preserve"> </w:t>
      </w:r>
      <w:r w:rsidRPr="00455BDE">
        <w:rPr>
          <w:rFonts w:eastAsia="Calibri" w:cs="Times New Roman"/>
          <w:b/>
          <w:bCs/>
          <w:lang/>
        </w:rPr>
        <w:t>A</w:t>
      </w:r>
      <w:r w:rsidR="005C5F2C" w:rsidRPr="00455BDE">
        <w:rPr>
          <w:rFonts w:eastAsia="Calibri" w:cs="Times New Roman"/>
          <w:b/>
          <w:bCs/>
          <w:lang/>
        </w:rPr>
        <w:t>37</w:t>
      </w:r>
      <w:r w:rsidRPr="00D61046">
        <w:rPr>
          <w:rFonts w:eastAsia="Calibri" w:cs="Times New Roman"/>
          <w:lang/>
        </w:rPr>
        <w:t xml:space="preserve">, </w:t>
      </w:r>
      <w:r w:rsidR="005C5F2C">
        <w:rPr>
          <w:rFonts w:eastAsia="Calibri" w:cs="Times New Roman"/>
          <w:lang/>
        </w:rPr>
        <w:t xml:space="preserve">and </w:t>
      </w:r>
      <w:r w:rsidR="00455BDE" w:rsidRPr="00455BDE">
        <w:rPr>
          <w:rFonts w:eastAsia="Calibri" w:cs="Times New Roman"/>
          <w:b/>
          <w:bCs/>
        </w:rPr>
        <w:t>Table</w:t>
      </w:r>
      <w:r w:rsidR="00455BDE" w:rsidRPr="00455BDE">
        <w:rPr>
          <w:rFonts w:eastAsia="Calibri" w:cs="Times New Roman"/>
          <w:b/>
          <w:bCs/>
          <w:lang/>
        </w:rPr>
        <w:t xml:space="preserve"> </w:t>
      </w:r>
      <w:r w:rsidRPr="00455BDE">
        <w:rPr>
          <w:rFonts w:eastAsia="Calibri" w:cs="Times New Roman"/>
          <w:b/>
          <w:bCs/>
          <w:lang/>
        </w:rPr>
        <w:t>A</w:t>
      </w:r>
      <w:r w:rsidR="005C5F2C" w:rsidRPr="00455BDE">
        <w:rPr>
          <w:rFonts w:eastAsia="Calibri" w:cs="Times New Roman"/>
          <w:b/>
          <w:bCs/>
          <w:lang/>
        </w:rPr>
        <w:t>39</w:t>
      </w:r>
      <w:r w:rsidR="005C5F2C">
        <w:rPr>
          <w:rFonts w:eastAsia="Calibri" w:cs="Times New Roman"/>
          <w:lang/>
        </w:rPr>
        <w:t>.</w:t>
      </w:r>
    </w:p>
    <w:p w14:paraId="1DB6E535" w14:textId="15F3EF9E" w:rsidR="00D61046" w:rsidRPr="00D61046" w:rsidRDefault="00D61046" w:rsidP="009908F2">
      <w:pPr>
        <w:rPr>
          <w:rFonts w:eastAsia="Calibri" w:cs="Times New Roman"/>
          <w:lang/>
        </w:rPr>
      </w:pPr>
      <w:r w:rsidRPr="00D61046">
        <w:rPr>
          <w:rFonts w:eastAsia="Calibri" w:cs="Times New Roman"/>
          <w:b/>
          <w:bCs/>
          <w:lang/>
        </w:rPr>
        <w:t>Employment (H3):</w:t>
      </w:r>
      <w:r w:rsidRPr="00D61046">
        <w:rPr>
          <w:rFonts w:eastAsia="Calibri" w:cs="Times New Roman"/>
          <w:lang/>
        </w:rPr>
        <w:t xml:space="preserve"> </w:t>
      </w:r>
      <w:r w:rsidRPr="00D61046">
        <w:rPr>
          <w:rFonts w:eastAsia="Calibri" w:cs="Times New Roman"/>
          <w:lang/>
        </w:rPr>
        <w:t xml:space="preserve">Employment outcomes diverge sharply across subsectors. </w:t>
      </w:r>
      <w:r w:rsidRPr="00D61046">
        <w:rPr>
          <w:rFonts w:eastAsia="Calibri" w:cs="Times New Roman"/>
          <w:lang/>
        </w:rPr>
        <w:t xml:space="preserve">For every 100 additional fires, </w:t>
      </w:r>
      <w:r w:rsidRPr="00D61046">
        <w:rPr>
          <w:rFonts w:eastAsia="Calibri" w:cs="Times New Roman"/>
          <w:lang/>
        </w:rPr>
        <w:t>Agriculture suffers a decline in jobs (-2</w:t>
      </w:r>
      <w:r w:rsidRPr="00D61046">
        <w:rPr>
          <w:rFonts w:eastAsia="Calibri" w:cs="Times New Roman"/>
          <w:lang/>
        </w:rPr>
        <w:t>.</w:t>
      </w:r>
      <w:r w:rsidRPr="00D61046">
        <w:rPr>
          <w:rFonts w:eastAsia="Calibri" w:cs="Times New Roman"/>
          <w:lang/>
        </w:rPr>
        <w:t xml:space="preserve">74%) </w:t>
      </w:r>
      <w:r w:rsidRPr="00D61046">
        <w:rPr>
          <w:rFonts w:eastAsia="Calibri" w:cs="Times New Roman"/>
          <w:lang/>
        </w:rPr>
        <w:t xml:space="preserve">possibly </w:t>
      </w:r>
      <w:r w:rsidRPr="00D61046">
        <w:rPr>
          <w:rFonts w:eastAsia="Calibri" w:cs="Times New Roman"/>
          <w:lang/>
        </w:rPr>
        <w:t>due to destroyed crops and disrupted labor markets, while Utilities experience a notable employment increase (+4</w:t>
      </w:r>
      <w:r w:rsidRPr="00D61046">
        <w:rPr>
          <w:rFonts w:eastAsia="Calibri" w:cs="Times New Roman"/>
          <w:lang/>
        </w:rPr>
        <w:t>.</w:t>
      </w:r>
      <w:r w:rsidRPr="00D61046">
        <w:rPr>
          <w:rFonts w:eastAsia="Calibri" w:cs="Times New Roman"/>
          <w:lang/>
        </w:rPr>
        <w:t xml:space="preserve">09%), </w:t>
      </w:r>
      <w:r w:rsidRPr="00D61046">
        <w:rPr>
          <w:rFonts w:eastAsia="Calibri" w:cs="Times New Roman"/>
          <w:lang/>
        </w:rPr>
        <w:t xml:space="preserve">probably </w:t>
      </w:r>
      <w:r w:rsidRPr="00D61046">
        <w:rPr>
          <w:rFonts w:eastAsia="Calibri" w:cs="Times New Roman"/>
          <w:lang/>
        </w:rPr>
        <w:t>driven by emergency repairs and operational demands.</w:t>
      </w:r>
      <w:r w:rsidRPr="00D61046">
        <w:rPr>
          <w:rFonts w:eastAsia="Calibri" w:cs="Times New Roman"/>
          <w:lang/>
        </w:rPr>
        <w:t xml:space="preserve"> </w:t>
      </w:r>
      <w:r w:rsidR="005C5F2C">
        <w:rPr>
          <w:rFonts w:eastAsia="Calibri" w:cs="Times New Roman"/>
          <w:lang/>
        </w:rPr>
        <w:t xml:space="preserve">Results </w:t>
      </w:r>
      <w:proofErr w:type="gramStart"/>
      <w:r w:rsidR="005C5F2C">
        <w:rPr>
          <w:rFonts w:eastAsia="Calibri" w:cs="Times New Roman"/>
          <w:lang/>
        </w:rPr>
        <w:t>are located in</w:t>
      </w:r>
      <w:proofErr w:type="gramEnd"/>
      <w:r w:rsidR="005C5F2C">
        <w:rPr>
          <w:rFonts w:eastAsia="Calibri" w:cs="Times New Roman"/>
          <w:lang/>
        </w:rPr>
        <w:t xml:space="preserve"> </w:t>
      </w:r>
      <w:r w:rsidRPr="00455BDE">
        <w:rPr>
          <w:rFonts w:eastAsia="Calibri" w:cs="Times New Roman"/>
          <w:b/>
          <w:bCs/>
          <w:lang/>
        </w:rPr>
        <w:t>Table A</w:t>
      </w:r>
      <w:r w:rsidR="005C5F2C" w:rsidRPr="00455BDE">
        <w:rPr>
          <w:rFonts w:eastAsia="Calibri" w:cs="Times New Roman"/>
          <w:b/>
          <w:bCs/>
          <w:lang/>
        </w:rPr>
        <w:t>33</w:t>
      </w:r>
      <w:r w:rsidRPr="00D61046">
        <w:rPr>
          <w:rFonts w:eastAsia="Calibri" w:cs="Times New Roman"/>
          <w:lang/>
        </w:rPr>
        <w:t xml:space="preserve">, </w:t>
      </w:r>
      <w:r w:rsidR="00455BDE" w:rsidRPr="00455BDE">
        <w:rPr>
          <w:rFonts w:eastAsia="Calibri" w:cs="Times New Roman"/>
          <w:b/>
          <w:bCs/>
        </w:rPr>
        <w:t>Table</w:t>
      </w:r>
      <w:r w:rsidR="00455BDE" w:rsidRPr="00455BDE">
        <w:rPr>
          <w:rFonts w:eastAsia="Calibri" w:cs="Times New Roman"/>
          <w:b/>
          <w:bCs/>
          <w:lang/>
        </w:rPr>
        <w:t xml:space="preserve"> </w:t>
      </w:r>
      <w:r w:rsidRPr="00455BDE">
        <w:rPr>
          <w:rFonts w:eastAsia="Calibri" w:cs="Times New Roman"/>
          <w:b/>
          <w:bCs/>
          <w:lang/>
        </w:rPr>
        <w:t>A</w:t>
      </w:r>
      <w:r w:rsidR="005C5F2C" w:rsidRPr="00455BDE">
        <w:rPr>
          <w:rFonts w:eastAsia="Calibri" w:cs="Times New Roman"/>
          <w:b/>
          <w:bCs/>
          <w:lang/>
        </w:rPr>
        <w:t>36</w:t>
      </w:r>
      <w:r w:rsidRPr="00D61046">
        <w:rPr>
          <w:rFonts w:eastAsia="Calibri" w:cs="Times New Roman"/>
          <w:lang/>
        </w:rPr>
        <w:t xml:space="preserve">, </w:t>
      </w:r>
      <w:r w:rsidR="005C5F2C">
        <w:rPr>
          <w:rFonts w:eastAsia="Calibri" w:cs="Times New Roman"/>
          <w:lang/>
        </w:rPr>
        <w:t xml:space="preserve">and </w:t>
      </w:r>
      <w:r w:rsidR="00455BDE" w:rsidRPr="00455BDE">
        <w:rPr>
          <w:rFonts w:eastAsia="Calibri" w:cs="Times New Roman"/>
          <w:b/>
          <w:bCs/>
        </w:rPr>
        <w:t>Table</w:t>
      </w:r>
      <w:r w:rsidR="00455BDE" w:rsidRPr="00455BDE">
        <w:rPr>
          <w:rFonts w:eastAsia="Calibri" w:cs="Times New Roman"/>
          <w:b/>
          <w:bCs/>
          <w:lang/>
        </w:rPr>
        <w:t xml:space="preserve"> </w:t>
      </w:r>
      <w:r w:rsidRPr="00455BDE">
        <w:rPr>
          <w:rFonts w:eastAsia="Calibri" w:cs="Times New Roman"/>
          <w:b/>
          <w:bCs/>
          <w:lang/>
        </w:rPr>
        <w:t>A</w:t>
      </w:r>
      <w:r w:rsidR="005C5F2C" w:rsidRPr="00455BDE">
        <w:rPr>
          <w:rFonts w:eastAsia="Calibri" w:cs="Times New Roman"/>
          <w:b/>
          <w:bCs/>
          <w:lang/>
        </w:rPr>
        <w:t>38</w:t>
      </w:r>
      <w:r w:rsidR="005C5F2C">
        <w:rPr>
          <w:rFonts w:eastAsia="Calibri" w:cs="Times New Roman"/>
          <w:lang/>
        </w:rPr>
        <w:t>.</w:t>
      </w:r>
    </w:p>
    <w:p w14:paraId="0C83D9DB" w14:textId="427AFA65" w:rsidR="00D61046" w:rsidRPr="00D61046" w:rsidRDefault="00D61046" w:rsidP="009908F2">
      <w:pPr>
        <w:rPr>
          <w:rFonts w:eastAsia="Calibri" w:cs="Times New Roman"/>
          <w:lang/>
        </w:rPr>
      </w:pPr>
      <w:r w:rsidRPr="00D61046">
        <w:rPr>
          <w:rFonts w:eastAsia="Calibri" w:cs="Times New Roman"/>
          <w:b/>
          <w:bCs/>
          <w:lang/>
        </w:rPr>
        <w:t>Deaths (H1):</w:t>
      </w:r>
      <w:r w:rsidRPr="00D61046">
        <w:rPr>
          <w:rFonts w:eastAsia="Calibri" w:cs="Times New Roman"/>
          <w:lang/>
        </w:rPr>
        <w:t xml:space="preserve"> </w:t>
      </w:r>
      <w:r w:rsidRPr="00D61046">
        <w:rPr>
          <w:rFonts w:eastAsia="Calibri" w:cs="Times New Roman"/>
          <w:lang/>
        </w:rPr>
        <w:t xml:space="preserve">Under wildfire intensity, </w:t>
      </w:r>
      <w:r w:rsidRPr="00D61046">
        <w:rPr>
          <w:rFonts w:eastAsia="Calibri" w:cs="Times New Roman"/>
          <w:lang/>
        </w:rPr>
        <w:t xml:space="preserve">we find that a 1% increase in county land area burned by wildfires results in significant reduction in establishment deaths in the </w:t>
      </w:r>
      <w:r w:rsidRPr="00D61046">
        <w:rPr>
          <w:rFonts w:eastAsia="Calibri" w:cs="Times New Roman"/>
          <w:lang/>
        </w:rPr>
        <w:t>Mining (-2</w:t>
      </w:r>
      <w:r w:rsidRPr="00D61046">
        <w:rPr>
          <w:rFonts w:eastAsia="Calibri" w:cs="Times New Roman"/>
          <w:lang/>
        </w:rPr>
        <w:t>.</w:t>
      </w:r>
      <w:r w:rsidRPr="00D61046">
        <w:rPr>
          <w:rFonts w:eastAsia="Calibri" w:cs="Times New Roman"/>
          <w:lang/>
        </w:rPr>
        <w:t>0</w:t>
      </w:r>
      <w:r w:rsidRPr="00D61046">
        <w:rPr>
          <w:rFonts w:eastAsia="Calibri" w:cs="Times New Roman"/>
          <w:lang/>
        </w:rPr>
        <w:t>6</w:t>
      </w:r>
      <w:r w:rsidRPr="00D61046">
        <w:rPr>
          <w:rFonts w:eastAsia="Calibri" w:cs="Times New Roman"/>
          <w:lang/>
        </w:rPr>
        <w:t>%) and Utilities (-2</w:t>
      </w:r>
      <w:r w:rsidRPr="00D61046">
        <w:rPr>
          <w:rFonts w:eastAsia="Calibri" w:cs="Times New Roman"/>
          <w:lang/>
        </w:rPr>
        <w:t>.</w:t>
      </w:r>
      <w:r w:rsidRPr="00D61046">
        <w:rPr>
          <w:rFonts w:eastAsia="Calibri" w:cs="Times New Roman"/>
          <w:lang/>
        </w:rPr>
        <w:t>3</w:t>
      </w:r>
      <w:r w:rsidRPr="00D61046">
        <w:rPr>
          <w:rFonts w:eastAsia="Calibri" w:cs="Times New Roman"/>
          <w:lang/>
        </w:rPr>
        <w:t>5</w:t>
      </w:r>
      <w:r w:rsidRPr="00D61046">
        <w:rPr>
          <w:rFonts w:eastAsia="Calibri" w:cs="Times New Roman"/>
          <w:lang/>
        </w:rPr>
        <w:t xml:space="preserve">%) </w:t>
      </w:r>
      <w:r w:rsidRPr="00D61046">
        <w:rPr>
          <w:rFonts w:eastAsia="Calibri" w:cs="Times New Roman"/>
          <w:lang/>
        </w:rPr>
        <w:t>sectors</w:t>
      </w:r>
      <w:r w:rsidRPr="00D61046">
        <w:rPr>
          <w:rFonts w:eastAsia="Calibri" w:cs="Times New Roman"/>
          <w:lang/>
        </w:rPr>
        <w:t>, likely reflecting pre</w:t>
      </w:r>
      <w:r w:rsidRPr="00D61046">
        <w:rPr>
          <w:rFonts w:eastAsia="Calibri" w:cs="Times New Roman"/>
          <w:lang/>
        </w:rPr>
        <w:t>-</w:t>
      </w:r>
      <w:r w:rsidRPr="00D61046">
        <w:rPr>
          <w:rFonts w:eastAsia="Calibri" w:cs="Times New Roman"/>
          <w:lang/>
        </w:rPr>
        <w:t>emptive relocations and proactive mitigation strategies. These findings contrast with Agriculture, where no significant reductions are observed, underscoring its limited resilience to severe wildfires.</w:t>
      </w:r>
      <w:r w:rsidR="005C5F2C">
        <w:rPr>
          <w:rFonts w:eastAsia="Calibri" w:cs="Times New Roman"/>
          <w:lang/>
        </w:rPr>
        <w:t xml:space="preserve"> Results </w:t>
      </w:r>
      <w:proofErr w:type="gramStart"/>
      <w:r w:rsidR="005C5F2C">
        <w:rPr>
          <w:rFonts w:eastAsia="Calibri" w:cs="Times New Roman"/>
          <w:lang/>
        </w:rPr>
        <w:t>are located in</w:t>
      </w:r>
      <w:proofErr w:type="gramEnd"/>
      <w:r w:rsidR="005C5F2C">
        <w:rPr>
          <w:rFonts w:eastAsia="Calibri" w:cs="Times New Roman"/>
          <w:lang/>
        </w:rPr>
        <w:t xml:space="preserve"> </w:t>
      </w:r>
      <w:r w:rsidRPr="00455BDE">
        <w:rPr>
          <w:rFonts w:eastAsia="Calibri" w:cs="Times New Roman"/>
          <w:b/>
          <w:bCs/>
          <w:lang/>
        </w:rPr>
        <w:t>Table A5</w:t>
      </w:r>
      <w:r w:rsidRPr="00D61046">
        <w:rPr>
          <w:rFonts w:eastAsia="Calibri" w:cs="Times New Roman"/>
          <w:lang/>
        </w:rPr>
        <w:t xml:space="preserve">, </w:t>
      </w:r>
      <w:r w:rsidR="00455BDE" w:rsidRPr="00455BDE">
        <w:rPr>
          <w:rFonts w:eastAsia="Calibri" w:cs="Times New Roman"/>
          <w:b/>
          <w:bCs/>
        </w:rPr>
        <w:t>Table</w:t>
      </w:r>
      <w:r w:rsidR="00455BDE" w:rsidRPr="00455BDE">
        <w:rPr>
          <w:rFonts w:eastAsia="Calibri" w:cs="Times New Roman"/>
          <w:b/>
          <w:bCs/>
          <w:lang/>
        </w:rPr>
        <w:t xml:space="preserve"> </w:t>
      </w:r>
      <w:r w:rsidRPr="00455BDE">
        <w:rPr>
          <w:rFonts w:eastAsia="Calibri" w:cs="Times New Roman"/>
          <w:b/>
          <w:bCs/>
          <w:lang/>
        </w:rPr>
        <w:t>A7</w:t>
      </w:r>
      <w:r w:rsidR="005C5F2C">
        <w:rPr>
          <w:rFonts w:eastAsia="Calibri" w:cs="Times New Roman"/>
          <w:lang/>
        </w:rPr>
        <w:t xml:space="preserve">, </w:t>
      </w:r>
      <w:r w:rsidR="00455BDE" w:rsidRPr="00455BDE">
        <w:rPr>
          <w:rFonts w:eastAsia="Calibri" w:cs="Times New Roman"/>
          <w:b/>
          <w:bCs/>
        </w:rPr>
        <w:t>Table</w:t>
      </w:r>
      <w:r w:rsidR="00455BDE" w:rsidRPr="00455BDE">
        <w:rPr>
          <w:rFonts w:eastAsia="Calibri" w:cs="Times New Roman"/>
          <w:b/>
          <w:bCs/>
          <w:lang/>
        </w:rPr>
        <w:t xml:space="preserve"> </w:t>
      </w:r>
      <w:r w:rsidR="005C5F2C" w:rsidRPr="00455BDE">
        <w:rPr>
          <w:rFonts w:eastAsia="Calibri" w:cs="Times New Roman"/>
          <w:b/>
          <w:bCs/>
          <w:lang/>
        </w:rPr>
        <w:t>A8</w:t>
      </w:r>
      <w:r w:rsidR="005C5F2C">
        <w:rPr>
          <w:rFonts w:eastAsia="Calibri" w:cs="Times New Roman"/>
          <w:lang/>
        </w:rPr>
        <w:t xml:space="preserve"> and </w:t>
      </w:r>
      <w:r w:rsidR="00455BDE" w:rsidRPr="00455BDE">
        <w:rPr>
          <w:rFonts w:eastAsia="Calibri" w:cs="Times New Roman"/>
          <w:b/>
          <w:bCs/>
        </w:rPr>
        <w:t>Table</w:t>
      </w:r>
      <w:r w:rsidR="00455BDE" w:rsidRPr="00455BDE">
        <w:rPr>
          <w:rFonts w:eastAsia="Calibri" w:cs="Times New Roman"/>
          <w:b/>
          <w:bCs/>
          <w:lang/>
        </w:rPr>
        <w:t xml:space="preserve"> </w:t>
      </w:r>
      <w:r w:rsidRPr="00455BDE">
        <w:rPr>
          <w:rFonts w:eastAsia="Calibri" w:cs="Times New Roman"/>
          <w:b/>
          <w:bCs/>
          <w:lang/>
        </w:rPr>
        <w:t>A9</w:t>
      </w:r>
      <w:r w:rsidR="005C5F2C">
        <w:rPr>
          <w:rFonts w:eastAsia="Calibri" w:cs="Times New Roman"/>
          <w:lang/>
        </w:rPr>
        <w:t>.</w:t>
      </w:r>
    </w:p>
    <w:p w14:paraId="3949687F" w14:textId="77777777" w:rsidR="00D61046" w:rsidRPr="00D61046" w:rsidRDefault="00D61046" w:rsidP="009908F2">
      <w:pPr>
        <w:rPr>
          <w:rFonts w:eastAsia="Calibri" w:cs="Times New Roman"/>
          <w:b/>
          <w:bCs/>
          <w:lang/>
        </w:rPr>
      </w:pPr>
      <w:r w:rsidRPr="00D61046">
        <w:rPr>
          <w:rFonts w:eastAsia="Calibri" w:cs="Times New Roman"/>
          <w:b/>
          <w:bCs/>
          <w:lang/>
        </w:rPr>
        <w:t>Conclusion</w:t>
      </w:r>
    </w:p>
    <w:p w14:paraId="503AA3FB" w14:textId="77777777" w:rsidR="00D61046" w:rsidRPr="00D61046" w:rsidRDefault="00D61046" w:rsidP="009908F2">
      <w:pPr>
        <w:rPr>
          <w:rFonts w:eastAsia="Calibri" w:cs="Times New Roman"/>
          <w:lang/>
        </w:rPr>
      </w:pPr>
      <w:r w:rsidRPr="00D61046">
        <w:rPr>
          <w:rFonts w:eastAsia="Calibri" w:cs="Times New Roman"/>
          <w:lang/>
        </w:rPr>
        <w:t xml:space="preserve">Our results demonstrate that wildfire frequency and intensity impact LIS subsectors in both similar and divergent ways, addressing RQ2. Substantial heterogeneity across subsectors </w:t>
      </w:r>
      <w:r w:rsidRPr="00D61046">
        <w:rPr>
          <w:rFonts w:eastAsia="Calibri" w:cs="Times New Roman"/>
          <w:lang/>
        </w:rPr>
        <w:lastRenderedPageBreak/>
        <w:t>supports H5, reflecting varying levels of vulnerability, reliance on land, and post-disaster resilience. Furthermore, the findings validate hypotheses H1–H4, showing how recurring and severe wildfires disrupt establishment dynamics and employment while driving demand-driven recovery in Utilities and Construction. These insights provide critical evidence for policymakers aiming to tailor climate adaptation strategies to sector-specific needs.</w:t>
      </w:r>
    </w:p>
    <w:p w14:paraId="74B1B7D6" w14:textId="5720F10C" w:rsidR="00D61046" w:rsidRPr="00D61046" w:rsidRDefault="00030874" w:rsidP="001953BB">
      <w:pPr>
        <w:pStyle w:val="Heading4"/>
      </w:pPr>
      <w:bookmarkStart w:id="386" w:name="_Toc187556316"/>
      <w:r>
        <w:t>2.</w:t>
      </w:r>
      <w:r w:rsidR="00D61046" w:rsidRPr="00D61046">
        <w:t>5.2.3 Main Drivers of Aggregate LIS Results</w:t>
      </w:r>
      <w:bookmarkEnd w:id="386"/>
    </w:p>
    <w:p w14:paraId="60E67CE8" w14:textId="77777777" w:rsidR="00D61046" w:rsidRPr="00D61046" w:rsidRDefault="00D61046" w:rsidP="009908F2">
      <w:pPr>
        <w:rPr>
          <w:rFonts w:eastAsia="Calibri" w:cs="Times New Roman"/>
          <w:lang/>
        </w:rPr>
      </w:pPr>
      <w:r w:rsidRPr="00D61046">
        <w:rPr>
          <w:rFonts w:eastAsia="Calibri" w:cs="Times New Roman"/>
          <w:lang/>
        </w:rPr>
        <w:t>The aggregate LIS results reflect the combined effects of its constituent sectors. Analyzing the drivers clarifies which subsectors dominate observed trends.</w:t>
      </w:r>
    </w:p>
    <w:p w14:paraId="0552CD57" w14:textId="77777777" w:rsidR="00D61046" w:rsidRPr="00D61046" w:rsidRDefault="00D61046" w:rsidP="009908F2">
      <w:pPr>
        <w:rPr>
          <w:rFonts w:eastAsia="Calibri" w:cs="Times New Roman"/>
          <w:lang/>
        </w:rPr>
      </w:pPr>
      <w:r w:rsidRPr="00D61046">
        <w:rPr>
          <w:rFonts w:eastAsia="Calibri" w:cs="Times New Roman"/>
          <w:b/>
          <w:bCs/>
          <w:lang/>
        </w:rPr>
        <w:t>Wildfire Frequency (100-</w:t>
      </w:r>
      <w:r w:rsidRPr="00D61046">
        <w:rPr>
          <w:rFonts w:eastAsia="Calibri" w:cs="Times New Roman"/>
          <w:b/>
          <w:bCs/>
          <w:lang/>
        </w:rPr>
        <w:t>Fire Count</w:t>
      </w:r>
      <w:r w:rsidRPr="00D61046">
        <w:rPr>
          <w:rFonts w:eastAsia="Calibri" w:cs="Times New Roman"/>
          <w:b/>
          <w:bCs/>
          <w:lang/>
        </w:rPr>
        <w:t xml:space="preserve"> Increase)</w:t>
      </w:r>
      <w:r w:rsidRPr="00D61046">
        <w:rPr>
          <w:rFonts w:eastAsia="Calibri" w:cs="Times New Roman"/>
          <w:b/>
          <w:bCs/>
          <w:lang/>
        </w:rPr>
        <w:t>:</w:t>
      </w:r>
      <w:r w:rsidRPr="00D61046">
        <w:rPr>
          <w:rFonts w:eastAsia="Calibri" w:cs="Times New Roman"/>
          <w:lang/>
        </w:rPr>
        <w:t xml:space="preserve"> </w:t>
      </w:r>
      <w:r w:rsidRPr="00D61046">
        <w:rPr>
          <w:rFonts w:eastAsia="Calibri" w:cs="Times New Roman"/>
          <w:lang/>
        </w:rPr>
        <w:t xml:space="preserve">The </w:t>
      </w:r>
      <w:r w:rsidRPr="00D61046">
        <w:rPr>
          <w:rFonts w:eastAsia="Calibri" w:cs="Times New Roman"/>
          <w:lang/>
        </w:rPr>
        <w:t>0.</w:t>
      </w:r>
      <w:r w:rsidRPr="00D61046">
        <w:rPr>
          <w:rFonts w:eastAsia="Calibri" w:cs="Times New Roman"/>
          <w:lang/>
        </w:rPr>
        <w:t xml:space="preserve">94% increase in </w:t>
      </w:r>
      <w:r w:rsidRPr="00D61046">
        <w:rPr>
          <w:rFonts w:eastAsia="Calibri" w:cs="Times New Roman"/>
          <w:lang/>
        </w:rPr>
        <w:t xml:space="preserve">Aggregate LIS </w:t>
      </w:r>
      <w:r w:rsidRPr="00D61046">
        <w:rPr>
          <w:rFonts w:eastAsia="Calibri" w:cs="Times New Roman"/>
          <w:lang/>
        </w:rPr>
        <w:t>deaths is driven primarily by Utilities (+3</w:t>
      </w:r>
      <w:r w:rsidRPr="00D61046">
        <w:rPr>
          <w:rFonts w:eastAsia="Calibri" w:cs="Times New Roman"/>
          <w:lang/>
        </w:rPr>
        <w:t>.</w:t>
      </w:r>
      <w:r w:rsidRPr="00D61046">
        <w:rPr>
          <w:rFonts w:eastAsia="Calibri" w:cs="Times New Roman"/>
          <w:lang/>
        </w:rPr>
        <w:t>59%) and Agriculture (+1</w:t>
      </w:r>
      <w:r w:rsidRPr="00D61046">
        <w:rPr>
          <w:rFonts w:eastAsia="Calibri" w:cs="Times New Roman"/>
          <w:lang/>
        </w:rPr>
        <w:t>.</w:t>
      </w:r>
      <w:r w:rsidRPr="00D61046">
        <w:rPr>
          <w:rFonts w:eastAsia="Calibri" w:cs="Times New Roman"/>
          <w:lang/>
        </w:rPr>
        <w:t>56%), as both sectors face heightened vulnerability to wildfire frequency.</w:t>
      </w:r>
      <w:r w:rsidRPr="00D61046">
        <w:rPr>
          <w:rFonts w:eastAsia="Calibri" w:cs="Times New Roman"/>
          <w:lang/>
        </w:rPr>
        <w:t xml:space="preserve"> </w:t>
      </w:r>
      <w:r w:rsidRPr="00D61046">
        <w:rPr>
          <w:rFonts w:eastAsia="Calibri" w:cs="Times New Roman"/>
          <w:lang/>
        </w:rPr>
        <w:t>The 14.</w:t>
      </w:r>
      <w:r w:rsidRPr="00D61046">
        <w:rPr>
          <w:rFonts w:eastAsia="Calibri" w:cs="Times New Roman"/>
          <w:lang/>
        </w:rPr>
        <w:t>0</w:t>
      </w:r>
      <w:r w:rsidRPr="00D61046">
        <w:rPr>
          <w:rFonts w:eastAsia="Calibri" w:cs="Times New Roman"/>
          <w:lang/>
        </w:rPr>
        <w:t xml:space="preserve">% increase in </w:t>
      </w:r>
      <w:r w:rsidRPr="00D61046">
        <w:rPr>
          <w:rFonts w:eastAsia="Calibri" w:cs="Times New Roman"/>
          <w:lang/>
        </w:rPr>
        <w:t xml:space="preserve">Aggregate LIS </w:t>
      </w:r>
      <w:r w:rsidRPr="00D61046">
        <w:rPr>
          <w:rFonts w:eastAsia="Calibri" w:cs="Times New Roman"/>
          <w:lang/>
        </w:rPr>
        <w:t>outward migrations stems largely from Mining (+29</w:t>
      </w:r>
      <w:r w:rsidRPr="00D61046">
        <w:rPr>
          <w:rFonts w:eastAsia="Calibri" w:cs="Times New Roman"/>
          <w:lang/>
        </w:rPr>
        <w:t>.2</w:t>
      </w:r>
      <w:r w:rsidRPr="00D61046">
        <w:rPr>
          <w:rFonts w:eastAsia="Calibri" w:cs="Times New Roman"/>
          <w:lang/>
        </w:rPr>
        <w:t>%) and Construction (+6</w:t>
      </w:r>
      <w:r w:rsidRPr="00D61046">
        <w:rPr>
          <w:rFonts w:eastAsia="Calibri" w:cs="Times New Roman"/>
          <w:lang/>
        </w:rPr>
        <w:t>.</w:t>
      </w:r>
      <w:r w:rsidRPr="00D61046">
        <w:rPr>
          <w:rFonts w:eastAsia="Calibri" w:cs="Times New Roman"/>
          <w:lang/>
        </w:rPr>
        <w:t>59%), reflecting their reliance on relocation as a key adaptive response.</w:t>
      </w:r>
    </w:p>
    <w:p w14:paraId="549C3C26" w14:textId="77777777" w:rsidR="00D61046" w:rsidRPr="00D61046" w:rsidRDefault="00D61046" w:rsidP="009908F2">
      <w:pPr>
        <w:rPr>
          <w:rFonts w:eastAsia="Calibri" w:cs="Times New Roman"/>
          <w:lang/>
        </w:rPr>
      </w:pPr>
      <w:r w:rsidRPr="00D61046">
        <w:rPr>
          <w:rFonts w:eastAsia="Calibri" w:cs="Times New Roman"/>
          <w:b/>
          <w:bCs/>
          <w:lang/>
        </w:rPr>
        <w:t xml:space="preserve">Wildfire Intensity (1% Increase in County Area </w:t>
      </w:r>
      <w:r w:rsidRPr="00D61046">
        <w:rPr>
          <w:rFonts w:eastAsia="Calibri" w:cs="Times New Roman"/>
          <w:b/>
          <w:bCs/>
          <w:lang/>
        </w:rPr>
        <w:t>Burned</w:t>
      </w:r>
      <w:r w:rsidRPr="00D61046">
        <w:rPr>
          <w:rFonts w:eastAsia="Calibri" w:cs="Times New Roman"/>
          <w:b/>
          <w:bCs/>
          <w:lang/>
        </w:rPr>
        <w:t>)</w:t>
      </w:r>
      <w:r w:rsidRPr="00D61046">
        <w:rPr>
          <w:rFonts w:eastAsia="Calibri" w:cs="Times New Roman"/>
          <w:b/>
          <w:bCs/>
          <w:lang/>
        </w:rPr>
        <w:t>:</w:t>
      </w:r>
      <w:r w:rsidRPr="00D61046">
        <w:rPr>
          <w:rFonts w:eastAsia="Calibri" w:cs="Times New Roman"/>
          <w:lang/>
        </w:rPr>
        <w:t xml:space="preserve"> </w:t>
      </w:r>
      <w:r w:rsidRPr="00D61046">
        <w:rPr>
          <w:rFonts w:eastAsia="Calibri" w:cs="Times New Roman"/>
          <w:lang/>
        </w:rPr>
        <w:t xml:space="preserve">The </w:t>
      </w:r>
      <w:r w:rsidRPr="00D61046">
        <w:rPr>
          <w:rFonts w:eastAsia="Calibri" w:cs="Times New Roman"/>
          <w:lang/>
        </w:rPr>
        <w:t>0.</w:t>
      </w:r>
      <w:r w:rsidRPr="00D61046">
        <w:rPr>
          <w:rFonts w:eastAsia="Calibri" w:cs="Times New Roman"/>
          <w:lang/>
        </w:rPr>
        <w:t>842% decline in births is predominantly influenced by Agriculture (-1</w:t>
      </w:r>
      <w:r w:rsidRPr="00D61046">
        <w:rPr>
          <w:rFonts w:eastAsia="Calibri" w:cs="Times New Roman"/>
          <w:lang/>
        </w:rPr>
        <w:t>.</w:t>
      </w:r>
      <w:r w:rsidRPr="00D61046">
        <w:rPr>
          <w:rFonts w:eastAsia="Calibri" w:cs="Times New Roman"/>
          <w:lang/>
        </w:rPr>
        <w:t>75%) and Construction (-</w:t>
      </w:r>
      <w:r w:rsidRPr="00D61046">
        <w:rPr>
          <w:rFonts w:eastAsia="Calibri" w:cs="Times New Roman"/>
          <w:lang/>
        </w:rPr>
        <w:t>0.</w:t>
      </w:r>
      <w:r w:rsidRPr="00D61046">
        <w:rPr>
          <w:rFonts w:eastAsia="Calibri" w:cs="Times New Roman"/>
          <w:lang/>
        </w:rPr>
        <w:t xml:space="preserve">746%), which face significant </w:t>
      </w:r>
      <w:r w:rsidRPr="00D61046">
        <w:rPr>
          <w:rFonts w:eastAsia="Calibri" w:cs="Times New Roman"/>
          <w:lang/>
        </w:rPr>
        <w:t>barriers to new business formation</w:t>
      </w:r>
      <w:r w:rsidRPr="00D61046">
        <w:rPr>
          <w:rFonts w:eastAsia="Calibri" w:cs="Times New Roman"/>
          <w:lang/>
        </w:rPr>
        <w:t>.</w:t>
      </w:r>
      <w:r w:rsidRPr="00D61046">
        <w:rPr>
          <w:rFonts w:eastAsia="Calibri" w:cs="Times New Roman"/>
          <w:lang/>
        </w:rPr>
        <w:t xml:space="preserve"> </w:t>
      </w:r>
      <w:r w:rsidRPr="00D61046">
        <w:rPr>
          <w:rFonts w:eastAsia="Calibri" w:cs="Times New Roman"/>
          <w:lang/>
        </w:rPr>
        <w:t>Positive sales performance (+2.</w:t>
      </w:r>
      <w:r w:rsidRPr="00D61046">
        <w:rPr>
          <w:rFonts w:eastAsia="Calibri" w:cs="Times New Roman"/>
          <w:lang/>
        </w:rPr>
        <w:t>26</w:t>
      </w:r>
      <w:r w:rsidRPr="00D61046">
        <w:rPr>
          <w:rFonts w:eastAsia="Calibri" w:cs="Times New Roman"/>
          <w:lang/>
        </w:rPr>
        <w:t>%) is primarily driven by Utilities (+1</w:t>
      </w:r>
      <w:r w:rsidRPr="00D61046">
        <w:rPr>
          <w:rFonts w:eastAsia="Calibri" w:cs="Times New Roman"/>
          <w:lang/>
        </w:rPr>
        <w:t>.</w:t>
      </w:r>
      <w:r w:rsidRPr="00D61046">
        <w:rPr>
          <w:rFonts w:eastAsia="Calibri" w:cs="Times New Roman"/>
          <w:lang/>
        </w:rPr>
        <w:t>9</w:t>
      </w:r>
      <w:r w:rsidRPr="00D61046">
        <w:rPr>
          <w:rFonts w:eastAsia="Calibri" w:cs="Times New Roman"/>
          <w:lang/>
        </w:rPr>
        <w:t>0</w:t>
      </w:r>
      <w:r w:rsidRPr="00D61046">
        <w:rPr>
          <w:rFonts w:eastAsia="Calibri" w:cs="Times New Roman"/>
          <w:lang/>
        </w:rPr>
        <w:t>%) and Construction (+2</w:t>
      </w:r>
      <w:r w:rsidRPr="00D61046">
        <w:rPr>
          <w:rFonts w:eastAsia="Calibri" w:cs="Times New Roman"/>
          <w:lang/>
        </w:rPr>
        <w:t>.</w:t>
      </w:r>
      <w:r w:rsidRPr="00D61046">
        <w:rPr>
          <w:rFonts w:eastAsia="Calibri" w:cs="Times New Roman"/>
          <w:lang/>
        </w:rPr>
        <w:t>0</w:t>
      </w:r>
      <w:r w:rsidRPr="00D61046">
        <w:rPr>
          <w:rFonts w:eastAsia="Calibri" w:cs="Times New Roman"/>
          <w:lang/>
        </w:rPr>
        <w:t>1</w:t>
      </w:r>
      <w:r w:rsidRPr="00D61046">
        <w:rPr>
          <w:rFonts w:eastAsia="Calibri" w:cs="Times New Roman"/>
          <w:lang/>
        </w:rPr>
        <w:t>%), underscoring their pivotal roles in post-disaster recovery efforts.</w:t>
      </w:r>
    </w:p>
    <w:p w14:paraId="08BC6AD4" w14:textId="25DABCF1" w:rsidR="00D61046" w:rsidRPr="00D61046" w:rsidRDefault="00030874" w:rsidP="009908F2">
      <w:pPr>
        <w:pStyle w:val="Heading3"/>
      </w:pPr>
      <w:bookmarkStart w:id="387" w:name="_Toc187556317"/>
      <w:bookmarkStart w:id="388" w:name="_Toc188379021"/>
      <w:r>
        <w:rPr>
          <w:lang w:val="en-US"/>
        </w:rPr>
        <w:t>2.</w:t>
      </w:r>
      <w:r w:rsidR="00D61046" w:rsidRPr="00D61046">
        <w:t>5.3 Manufacturing as the Representative Non-LIS</w:t>
      </w:r>
      <w:bookmarkEnd w:id="387"/>
      <w:bookmarkEnd w:id="388"/>
    </w:p>
    <w:p w14:paraId="3F5B0582" w14:textId="4AA7D52C" w:rsidR="00D61046" w:rsidRPr="00D61046" w:rsidRDefault="00D61046" w:rsidP="009908F2">
      <w:pPr>
        <w:rPr>
          <w:rFonts w:eastAsia="Calibri" w:cs="Times New Roman"/>
          <w:b/>
          <w:bCs/>
          <w:lang/>
        </w:rPr>
      </w:pPr>
      <w:r w:rsidRPr="00D61046">
        <w:rPr>
          <w:rFonts w:eastAsia="Calibri" w:cs="Times New Roman"/>
          <w:lang/>
        </w:rPr>
        <w:t xml:space="preserve">Manufacturing (NAICS 31–33) is chosen as the representative non-LIS sector due to its lower land dependency and distinct role in production, supply chains, and post-disaster recovery. The </w:t>
      </w:r>
      <w:r w:rsidRPr="00D61046">
        <w:rPr>
          <w:rFonts w:eastAsia="Calibri" w:cs="Times New Roman"/>
          <w:lang/>
        </w:rPr>
        <w:lastRenderedPageBreak/>
        <w:t xml:space="preserve">inclusion of Manufacturing allows for a comparative analysis of wildfire impacts across sectors with differing land reliance. The summarized regression results for wildfire frequency and intensity are provided in </w:t>
      </w:r>
      <w:r w:rsidRPr="004E4775">
        <w:rPr>
          <w:rFonts w:eastAsia="Calibri" w:cs="Times New Roman"/>
          <w:b/>
          <w:bCs/>
          <w:lang/>
        </w:rPr>
        <w:t>Table A</w:t>
      </w:r>
      <w:r w:rsidR="005C5F2C" w:rsidRPr="004E4775">
        <w:rPr>
          <w:rFonts w:eastAsia="Calibri" w:cs="Times New Roman"/>
          <w:b/>
          <w:bCs/>
        </w:rPr>
        <w:t>33</w:t>
      </w:r>
      <w:r w:rsidRPr="00D61046">
        <w:rPr>
          <w:rFonts w:eastAsia="Calibri" w:cs="Times New Roman"/>
          <w:lang/>
        </w:rPr>
        <w:t xml:space="preserve"> and </w:t>
      </w:r>
      <w:r w:rsidR="004E4775" w:rsidRPr="004E4775">
        <w:rPr>
          <w:rFonts w:eastAsia="Calibri" w:cs="Times New Roman"/>
          <w:b/>
          <w:bCs/>
        </w:rPr>
        <w:t>Table</w:t>
      </w:r>
      <w:r w:rsidR="004E4775" w:rsidRPr="004E4775">
        <w:rPr>
          <w:rFonts w:eastAsia="Calibri" w:cs="Times New Roman"/>
          <w:b/>
          <w:bCs/>
          <w:lang/>
        </w:rPr>
        <w:t xml:space="preserve"> </w:t>
      </w:r>
      <w:r w:rsidRPr="004E4775">
        <w:rPr>
          <w:rFonts w:eastAsia="Calibri" w:cs="Times New Roman"/>
          <w:b/>
          <w:bCs/>
          <w:lang/>
        </w:rPr>
        <w:t>A</w:t>
      </w:r>
      <w:r w:rsidR="005C5F2C" w:rsidRPr="004E4775">
        <w:rPr>
          <w:rFonts w:eastAsia="Calibri" w:cs="Times New Roman"/>
          <w:b/>
          <w:bCs/>
        </w:rPr>
        <w:t>34</w:t>
      </w:r>
      <w:r w:rsidRPr="00D61046">
        <w:rPr>
          <w:rFonts w:eastAsia="Calibri" w:cs="Times New Roman"/>
          <w:lang/>
        </w:rPr>
        <w:t xml:space="preserve">, while the full regression results are detailed in </w:t>
      </w:r>
      <w:r w:rsidRPr="004E4775">
        <w:rPr>
          <w:rFonts w:eastAsia="Calibri" w:cs="Times New Roman"/>
          <w:b/>
          <w:bCs/>
          <w:lang/>
        </w:rPr>
        <w:t>Table A</w:t>
      </w:r>
      <w:r w:rsidR="005C5F2C" w:rsidRPr="004E4775">
        <w:rPr>
          <w:rFonts w:eastAsia="Calibri" w:cs="Times New Roman"/>
          <w:b/>
          <w:bCs/>
        </w:rPr>
        <w:t>40</w:t>
      </w:r>
      <w:r w:rsidRPr="00D61046">
        <w:rPr>
          <w:rFonts w:eastAsia="Calibri" w:cs="Times New Roman"/>
          <w:lang/>
        </w:rPr>
        <w:t>.</w:t>
      </w:r>
    </w:p>
    <w:p w14:paraId="21EF1270" w14:textId="38CBB401" w:rsidR="00D61046" w:rsidRPr="00D61046" w:rsidRDefault="00030874" w:rsidP="001953BB">
      <w:pPr>
        <w:pStyle w:val="Heading4"/>
      </w:pPr>
      <w:bookmarkStart w:id="389" w:name="_Toc187556318"/>
      <w:r>
        <w:t>2.</w:t>
      </w:r>
      <w:r w:rsidR="00D61046" w:rsidRPr="00D61046">
        <w:t>5.3.1 Wildfire Frequency</w:t>
      </w:r>
      <w:bookmarkEnd w:id="389"/>
    </w:p>
    <w:p w14:paraId="6BA30DBB" w14:textId="77777777" w:rsidR="00D61046" w:rsidRPr="00D61046" w:rsidRDefault="00D61046" w:rsidP="009908F2">
      <w:pPr>
        <w:rPr>
          <w:rFonts w:eastAsia="Calibri" w:cs="Times New Roman"/>
        </w:rPr>
      </w:pPr>
      <w:r w:rsidRPr="00D61046">
        <w:rPr>
          <w:rFonts w:eastAsia="Calibri" w:cs="Times New Roman"/>
        </w:rPr>
        <w:t xml:space="preserve">We find the following impact, for every 100-count increase in Wildfires: </w:t>
      </w:r>
    </w:p>
    <w:p w14:paraId="69529DDE" w14:textId="77777777" w:rsidR="00D61046" w:rsidRPr="00D61046" w:rsidRDefault="00D61046" w:rsidP="009908F2">
      <w:pPr>
        <w:rPr>
          <w:rFonts w:eastAsia="Calibri" w:cs="Times New Roman"/>
          <w:lang/>
        </w:rPr>
      </w:pPr>
      <w:r w:rsidRPr="00D61046">
        <w:rPr>
          <w:rFonts w:eastAsia="Calibri" w:cs="Times New Roman"/>
          <w:b/>
          <w:bCs/>
          <w:lang/>
        </w:rPr>
        <w:t>Births (H1):</w:t>
      </w:r>
      <w:r w:rsidRPr="00D61046">
        <w:rPr>
          <w:rFonts w:eastAsia="Calibri" w:cs="Times New Roman"/>
          <w:lang/>
        </w:rPr>
        <w:t xml:space="preserve"> </w:t>
      </w:r>
      <w:r w:rsidRPr="00D61046">
        <w:rPr>
          <w:rFonts w:eastAsia="Calibri" w:cs="Times New Roman"/>
          <w:lang/>
        </w:rPr>
        <w:t>Manufacturing births increase by 1</w:t>
      </w:r>
      <w:r w:rsidRPr="00D61046">
        <w:rPr>
          <w:rFonts w:eastAsia="Calibri" w:cs="Times New Roman"/>
          <w:lang/>
        </w:rPr>
        <w:t>.</w:t>
      </w:r>
      <w:r w:rsidRPr="00D61046">
        <w:rPr>
          <w:rFonts w:eastAsia="Calibri" w:cs="Times New Roman"/>
          <w:lang/>
        </w:rPr>
        <w:t>22%, reflecting growth opportunities in the aftermath of wildfires, possibly driven by heightened demand for durable goods in recovery efforts.</w:t>
      </w:r>
    </w:p>
    <w:p w14:paraId="217F2CE2" w14:textId="77777777" w:rsidR="00D61046" w:rsidRPr="00D61046" w:rsidRDefault="00D61046" w:rsidP="009908F2">
      <w:pPr>
        <w:rPr>
          <w:rFonts w:eastAsia="Calibri" w:cs="Times New Roman"/>
          <w:lang/>
        </w:rPr>
      </w:pPr>
      <w:r w:rsidRPr="00D61046">
        <w:rPr>
          <w:rFonts w:eastAsia="Calibri" w:cs="Times New Roman"/>
          <w:b/>
          <w:bCs/>
          <w:lang/>
        </w:rPr>
        <w:t>Outward Migrations (H2):</w:t>
      </w:r>
      <w:r w:rsidRPr="00D61046">
        <w:rPr>
          <w:rFonts w:eastAsia="Calibri" w:cs="Times New Roman"/>
          <w:lang/>
        </w:rPr>
        <w:t xml:space="preserve"> </w:t>
      </w:r>
      <w:r w:rsidRPr="00D61046">
        <w:rPr>
          <w:rFonts w:eastAsia="Calibri" w:cs="Times New Roman"/>
          <w:lang/>
        </w:rPr>
        <w:t>Wildfire frequency significantly drives relocations (+16</w:t>
      </w:r>
      <w:r w:rsidRPr="00D61046">
        <w:rPr>
          <w:rFonts w:eastAsia="Calibri" w:cs="Times New Roman"/>
          <w:lang/>
        </w:rPr>
        <w:t>.</w:t>
      </w:r>
      <w:r w:rsidRPr="00D61046">
        <w:rPr>
          <w:rFonts w:eastAsia="Calibri" w:cs="Times New Roman"/>
          <w:lang/>
        </w:rPr>
        <w:t>4%), indicating operational challenges similar to those seen in Mining and Construction.</w:t>
      </w:r>
    </w:p>
    <w:p w14:paraId="26E9AEC6" w14:textId="77777777" w:rsidR="00D61046" w:rsidRPr="00D61046" w:rsidRDefault="00D61046" w:rsidP="009908F2">
      <w:pPr>
        <w:rPr>
          <w:rFonts w:eastAsia="Calibri" w:cs="Times New Roman"/>
          <w:lang/>
        </w:rPr>
      </w:pPr>
      <w:r w:rsidRPr="00D61046">
        <w:rPr>
          <w:rFonts w:eastAsia="Calibri" w:cs="Times New Roman"/>
          <w:b/>
          <w:bCs/>
          <w:lang/>
        </w:rPr>
        <w:t>Deaths and Employment (H3):</w:t>
      </w:r>
      <w:r w:rsidRPr="00D61046">
        <w:rPr>
          <w:rFonts w:eastAsia="Calibri" w:cs="Times New Roman"/>
          <w:lang/>
        </w:rPr>
        <w:t xml:space="preserve"> </w:t>
      </w:r>
      <w:r w:rsidRPr="00D61046">
        <w:rPr>
          <w:rFonts w:eastAsia="Calibri" w:cs="Times New Roman"/>
          <w:lang/>
        </w:rPr>
        <w:t>Deaths increase modestly (+</w:t>
      </w:r>
      <w:r w:rsidRPr="00D61046">
        <w:rPr>
          <w:rFonts w:eastAsia="Calibri" w:cs="Times New Roman"/>
          <w:lang/>
        </w:rPr>
        <w:t>0.</w:t>
      </w:r>
      <w:r w:rsidRPr="00D61046">
        <w:rPr>
          <w:rFonts w:eastAsia="Calibri" w:cs="Times New Roman"/>
          <w:lang/>
        </w:rPr>
        <w:t>71%), while employment rises slightly (+</w:t>
      </w:r>
      <w:r w:rsidRPr="00D61046">
        <w:rPr>
          <w:rFonts w:eastAsia="Calibri" w:cs="Times New Roman"/>
          <w:lang/>
        </w:rPr>
        <w:t>0.</w:t>
      </w:r>
      <w:r w:rsidRPr="00D61046">
        <w:rPr>
          <w:rFonts w:eastAsia="Calibri" w:cs="Times New Roman"/>
          <w:lang/>
        </w:rPr>
        <w:t>70%), suggesting resilience through increased production demands but also exposure to operational risks.</w:t>
      </w:r>
    </w:p>
    <w:p w14:paraId="6DE29F25" w14:textId="21775509" w:rsidR="00D61046" w:rsidRPr="00D61046" w:rsidRDefault="00030874" w:rsidP="001953BB">
      <w:pPr>
        <w:pStyle w:val="Heading4"/>
      </w:pPr>
      <w:bookmarkStart w:id="390" w:name="_Toc187556319"/>
      <w:r>
        <w:t>2.</w:t>
      </w:r>
      <w:r w:rsidR="00D61046" w:rsidRPr="00D61046">
        <w:t>5.3.2 Wildfire Intensity</w:t>
      </w:r>
      <w:bookmarkEnd w:id="390"/>
    </w:p>
    <w:p w14:paraId="2A0037A4" w14:textId="77777777" w:rsidR="00D61046" w:rsidRPr="00D61046" w:rsidRDefault="00D61046" w:rsidP="009908F2">
      <w:pPr>
        <w:rPr>
          <w:rFonts w:eastAsia="Calibri" w:cs="Times New Roman"/>
        </w:rPr>
      </w:pPr>
      <w:r w:rsidRPr="00D61046">
        <w:rPr>
          <w:rFonts w:eastAsia="Calibri" w:cs="Times New Roman"/>
        </w:rPr>
        <w:t xml:space="preserve">We find the following impact, for every 1% increase in county land area burned: </w:t>
      </w:r>
    </w:p>
    <w:p w14:paraId="65636950" w14:textId="77777777" w:rsidR="00D61046" w:rsidRPr="00D61046" w:rsidRDefault="00D61046" w:rsidP="009908F2">
      <w:pPr>
        <w:rPr>
          <w:rFonts w:eastAsia="Calibri" w:cs="Times New Roman"/>
          <w:lang/>
        </w:rPr>
      </w:pPr>
      <w:r w:rsidRPr="00D61046">
        <w:rPr>
          <w:rFonts w:eastAsia="Calibri" w:cs="Times New Roman"/>
          <w:b/>
          <w:bCs/>
          <w:lang/>
        </w:rPr>
        <w:t>Deaths (H1):</w:t>
      </w:r>
      <w:r w:rsidRPr="00D61046">
        <w:rPr>
          <w:rFonts w:eastAsia="Calibri" w:cs="Times New Roman"/>
          <w:lang/>
        </w:rPr>
        <w:t xml:space="preserve"> We find an increase of 0.788% in establishment deaths. </w:t>
      </w:r>
      <w:r w:rsidRPr="00D61046">
        <w:rPr>
          <w:rFonts w:eastAsia="Calibri" w:cs="Times New Roman"/>
          <w:lang/>
        </w:rPr>
        <w:t>Th</w:t>
      </w:r>
      <w:r w:rsidRPr="00D61046">
        <w:rPr>
          <w:rFonts w:eastAsia="Calibri" w:cs="Times New Roman"/>
          <w:lang/>
        </w:rPr>
        <w:t xml:space="preserve">is </w:t>
      </w:r>
      <w:r w:rsidRPr="00D61046">
        <w:rPr>
          <w:rFonts w:eastAsia="Calibri" w:cs="Times New Roman"/>
          <w:lang/>
        </w:rPr>
        <w:t>result align</w:t>
      </w:r>
      <w:r w:rsidRPr="00D61046">
        <w:rPr>
          <w:rFonts w:eastAsia="Calibri" w:cs="Times New Roman"/>
          <w:lang/>
        </w:rPr>
        <w:t>s</w:t>
      </w:r>
      <w:r w:rsidRPr="00D61046">
        <w:rPr>
          <w:rFonts w:eastAsia="Calibri" w:cs="Times New Roman"/>
          <w:lang/>
        </w:rPr>
        <w:t xml:space="preserve"> with H1, indicating how operational disruptions and infrastructure damage exacerbate establishment closures.</w:t>
      </w:r>
    </w:p>
    <w:p w14:paraId="31CC20FE" w14:textId="77777777" w:rsidR="00D61046" w:rsidRPr="00D61046" w:rsidRDefault="00D61046" w:rsidP="009908F2">
      <w:pPr>
        <w:rPr>
          <w:rFonts w:eastAsia="Calibri" w:cs="Times New Roman"/>
          <w:lang/>
        </w:rPr>
      </w:pPr>
      <w:r w:rsidRPr="00D61046">
        <w:rPr>
          <w:rFonts w:eastAsia="Calibri" w:cs="Times New Roman"/>
          <w:b/>
          <w:bCs/>
          <w:lang/>
        </w:rPr>
        <w:t>Outward Migrations (H2):</w:t>
      </w:r>
      <w:r w:rsidRPr="00D61046">
        <w:rPr>
          <w:rFonts w:eastAsia="Calibri" w:cs="Times New Roman"/>
          <w:lang/>
        </w:rPr>
        <w:t xml:space="preserve"> </w:t>
      </w:r>
      <w:r w:rsidRPr="00D61046">
        <w:rPr>
          <w:rFonts w:eastAsia="Calibri" w:cs="Times New Roman"/>
          <w:lang/>
        </w:rPr>
        <w:t>Wildfire intensity drives substantial relocations (+8</w:t>
      </w:r>
      <w:r w:rsidRPr="00D61046">
        <w:rPr>
          <w:rFonts w:eastAsia="Calibri" w:cs="Times New Roman"/>
          <w:lang/>
        </w:rPr>
        <w:t>.</w:t>
      </w:r>
      <w:r w:rsidRPr="00D61046">
        <w:rPr>
          <w:rFonts w:eastAsia="Calibri" w:cs="Times New Roman"/>
          <w:lang/>
        </w:rPr>
        <w:t>2</w:t>
      </w:r>
      <w:r w:rsidRPr="00D61046">
        <w:rPr>
          <w:rFonts w:eastAsia="Calibri" w:cs="Times New Roman"/>
          <w:lang/>
        </w:rPr>
        <w:t>7</w:t>
      </w:r>
      <w:r w:rsidRPr="00D61046">
        <w:rPr>
          <w:rFonts w:eastAsia="Calibri" w:cs="Times New Roman"/>
          <w:lang/>
        </w:rPr>
        <w:t>%), highlighting the sensitivity of Manufacturing to severe disruptions.</w:t>
      </w:r>
    </w:p>
    <w:p w14:paraId="7F1A7E92" w14:textId="77777777" w:rsidR="00D61046" w:rsidRPr="00D61046" w:rsidRDefault="00D61046" w:rsidP="009908F2">
      <w:pPr>
        <w:rPr>
          <w:rFonts w:eastAsia="Calibri" w:cs="Times New Roman"/>
          <w:lang/>
        </w:rPr>
      </w:pPr>
      <w:r w:rsidRPr="00D61046">
        <w:rPr>
          <w:rFonts w:eastAsia="Calibri" w:cs="Times New Roman"/>
          <w:b/>
          <w:bCs/>
          <w:lang/>
        </w:rPr>
        <w:lastRenderedPageBreak/>
        <w:t>Employment (H3):</w:t>
      </w:r>
      <w:r w:rsidRPr="00D61046">
        <w:rPr>
          <w:rFonts w:eastAsia="Calibri" w:cs="Times New Roman"/>
          <w:lang/>
        </w:rPr>
        <w:t xml:space="preserve"> </w:t>
      </w:r>
      <w:r w:rsidRPr="00D61046">
        <w:rPr>
          <w:rFonts w:eastAsia="Calibri" w:cs="Times New Roman"/>
          <w:lang/>
        </w:rPr>
        <w:t>Employment declines (-</w:t>
      </w:r>
      <w:r w:rsidRPr="00D61046">
        <w:rPr>
          <w:rFonts w:eastAsia="Calibri" w:cs="Times New Roman"/>
          <w:lang/>
        </w:rPr>
        <w:t>0.</w:t>
      </w:r>
      <w:r w:rsidRPr="00D61046">
        <w:rPr>
          <w:rFonts w:eastAsia="Calibri" w:cs="Times New Roman"/>
          <w:lang/>
        </w:rPr>
        <w:t>344%), reflecting operational disruptions and workforce displacement in the face of severe wildfires.</w:t>
      </w:r>
    </w:p>
    <w:p w14:paraId="3676A020" w14:textId="77777777" w:rsidR="00D61046" w:rsidRPr="00D61046" w:rsidRDefault="00D61046" w:rsidP="009908F2">
      <w:pPr>
        <w:rPr>
          <w:rFonts w:eastAsia="Calibri" w:cs="Times New Roman"/>
          <w:lang/>
        </w:rPr>
      </w:pPr>
      <w:r w:rsidRPr="00D61046">
        <w:rPr>
          <w:rFonts w:eastAsia="Calibri" w:cs="Times New Roman"/>
          <w:b/>
          <w:bCs/>
          <w:lang/>
        </w:rPr>
        <w:t>Sales Performance (H4):</w:t>
      </w:r>
      <w:r w:rsidRPr="00D61046">
        <w:rPr>
          <w:rFonts w:eastAsia="Calibri" w:cs="Times New Roman"/>
          <w:lang/>
        </w:rPr>
        <w:t xml:space="preserve"> </w:t>
      </w:r>
      <w:r w:rsidRPr="00D61046">
        <w:rPr>
          <w:rFonts w:eastAsia="Calibri" w:cs="Times New Roman"/>
          <w:lang/>
        </w:rPr>
        <w:t>Sales performance improves significantly (+1</w:t>
      </w:r>
      <w:r w:rsidRPr="00D61046">
        <w:rPr>
          <w:rFonts w:eastAsia="Calibri" w:cs="Times New Roman"/>
          <w:lang/>
        </w:rPr>
        <w:t>.</w:t>
      </w:r>
      <w:r w:rsidRPr="00D61046">
        <w:rPr>
          <w:rFonts w:eastAsia="Calibri" w:cs="Times New Roman"/>
          <w:lang/>
        </w:rPr>
        <w:t>47%), likely fuelled by post-disaster reconstruction demands, mirroring trends in Utilities and Construction.</w:t>
      </w:r>
    </w:p>
    <w:p w14:paraId="7FE9B37A" w14:textId="521C776F" w:rsidR="00D61046" w:rsidRPr="00D61046" w:rsidRDefault="00030874" w:rsidP="009908F2">
      <w:pPr>
        <w:pStyle w:val="Heading3"/>
      </w:pPr>
      <w:bookmarkStart w:id="391" w:name="_Toc187556320"/>
      <w:bookmarkStart w:id="392" w:name="_Toc188379022"/>
      <w:r>
        <w:rPr>
          <w:lang w:val="en-US"/>
        </w:rPr>
        <w:t>2.</w:t>
      </w:r>
      <w:r w:rsidR="00D61046" w:rsidRPr="00D61046">
        <w:t>5.4 Addressing Research Questions and Hypotheses</w:t>
      </w:r>
      <w:bookmarkEnd w:id="391"/>
      <w:bookmarkEnd w:id="392"/>
    </w:p>
    <w:p w14:paraId="439756F1" w14:textId="77777777" w:rsidR="00D61046" w:rsidRPr="00D61046" w:rsidRDefault="00D61046" w:rsidP="009908F2">
      <w:pPr>
        <w:rPr>
          <w:rFonts w:eastAsia="Calibri" w:cs="Times New Roman"/>
          <w:lang/>
        </w:rPr>
      </w:pPr>
      <w:r w:rsidRPr="00D61046">
        <w:rPr>
          <w:rFonts w:eastAsia="Calibri" w:cs="Times New Roman"/>
          <w:lang/>
        </w:rPr>
        <w:t xml:space="preserve">This section integrates </w:t>
      </w:r>
      <w:r w:rsidRPr="00D61046">
        <w:rPr>
          <w:rFonts w:eastAsia="Calibri" w:cs="Times New Roman"/>
          <w:lang/>
        </w:rPr>
        <w:t>our</w:t>
      </w:r>
      <w:r w:rsidRPr="00D61046">
        <w:rPr>
          <w:rFonts w:eastAsia="Calibri" w:cs="Times New Roman"/>
          <w:lang/>
        </w:rPr>
        <w:t xml:space="preserve"> findings </w:t>
      </w:r>
      <w:r w:rsidRPr="00D61046">
        <w:rPr>
          <w:rFonts w:eastAsia="Calibri" w:cs="Times New Roman"/>
          <w:lang/>
        </w:rPr>
        <w:t>in</w:t>
      </w:r>
      <w:r w:rsidRPr="00D61046">
        <w:rPr>
          <w:rFonts w:eastAsia="Calibri" w:cs="Times New Roman"/>
          <w:lang/>
        </w:rPr>
        <w:t xml:space="preserve"> address</w:t>
      </w:r>
      <w:proofErr w:type="spellStart"/>
      <w:r w:rsidRPr="00D61046">
        <w:rPr>
          <w:rFonts w:eastAsia="Calibri" w:cs="Times New Roman"/>
          <w:lang/>
        </w:rPr>
        <w:t>ing</w:t>
      </w:r>
      <w:proofErr w:type="spellEnd"/>
      <w:r w:rsidRPr="00D61046">
        <w:rPr>
          <w:rFonts w:eastAsia="Calibri" w:cs="Times New Roman"/>
          <w:lang/>
        </w:rPr>
        <w:t xml:space="preserve"> </w:t>
      </w:r>
      <w:r w:rsidRPr="00D61046">
        <w:rPr>
          <w:rFonts w:eastAsia="Calibri" w:cs="Times New Roman"/>
          <w:lang/>
        </w:rPr>
        <w:t>our</w:t>
      </w:r>
      <w:r w:rsidRPr="00D61046">
        <w:rPr>
          <w:rFonts w:eastAsia="Calibri" w:cs="Times New Roman"/>
          <w:lang/>
        </w:rPr>
        <w:t xml:space="preserve"> study’s research questions and hypotheses. By comparing wildfire frequency and intensity, </w:t>
      </w:r>
      <w:r w:rsidRPr="00D61046">
        <w:rPr>
          <w:rFonts w:eastAsia="Calibri" w:cs="Times New Roman"/>
          <w:lang/>
        </w:rPr>
        <w:t>our</w:t>
      </w:r>
      <w:r w:rsidRPr="00D61046">
        <w:rPr>
          <w:rFonts w:eastAsia="Calibri" w:cs="Times New Roman"/>
          <w:lang/>
        </w:rPr>
        <w:t xml:space="preserve"> results reveal the distinct mechanisms through which recurring and severe wildfires impact economic outcomes.</w:t>
      </w:r>
    </w:p>
    <w:p w14:paraId="1FEF2CB3" w14:textId="1D67F546" w:rsidR="00D61046" w:rsidRPr="00D61046" w:rsidRDefault="00030874" w:rsidP="001953BB">
      <w:pPr>
        <w:pStyle w:val="Heading4"/>
      </w:pPr>
      <w:bookmarkStart w:id="393" w:name="_Toc187556321"/>
      <w:r>
        <w:t>2.</w:t>
      </w:r>
      <w:r w:rsidR="00D61046" w:rsidRPr="00D61046">
        <w:t>5.4.1 Research Questions</w:t>
      </w:r>
      <w:bookmarkEnd w:id="393"/>
    </w:p>
    <w:p w14:paraId="54C45112" w14:textId="69869CB2" w:rsidR="00D61046" w:rsidRPr="00D61046" w:rsidRDefault="00D61046" w:rsidP="009908F2">
      <w:pPr>
        <w:rPr>
          <w:rFonts w:eastAsia="Calibri" w:cs="Times New Roman"/>
          <w:lang/>
        </w:rPr>
      </w:pPr>
      <w:r w:rsidRPr="00D61046">
        <w:rPr>
          <w:rFonts w:eastAsia="Calibri" w:cs="Times New Roman"/>
          <w:b/>
          <w:bCs/>
          <w:lang/>
        </w:rPr>
        <w:t>RQ1: Wildfire Impacts on Economic Outcomes</w:t>
      </w:r>
      <w:r w:rsidR="002A16BA">
        <w:rPr>
          <w:rFonts w:eastAsia="Calibri" w:cs="Times New Roman"/>
          <w:b/>
          <w:bCs/>
          <w:lang/>
        </w:rPr>
        <w:t xml:space="preserve">: </w:t>
      </w:r>
      <w:r w:rsidRPr="00D61046">
        <w:rPr>
          <w:rFonts w:eastAsia="Calibri" w:cs="Times New Roman"/>
          <w:lang/>
        </w:rPr>
        <w:t>The aggregate LIS results demonstrate that wildfire frequency significantly increases establishment deaths and outward relocations. These findings highlight the disruptive nature of recurring wildfires on business continuity and mobility, supporting the hypothesized relationships in H1 and H2. Similarly, burned areas reduce establishment births and enhance sales performance, illustrating the dual nature of wildfire intensity, where long-term deterrents to new business formation are offset by short-term recovery-driven demand, particularly in sectors like Utilities and Construction. These results directly address RQ1 by quantifying the distinct economic effects of wildfire frequency and intensity at the aggregate level.</w:t>
      </w:r>
    </w:p>
    <w:p w14:paraId="2EB88A89" w14:textId="65BAFE9C" w:rsidR="00D61046" w:rsidRPr="00D61046" w:rsidRDefault="00D61046" w:rsidP="009908F2">
      <w:pPr>
        <w:rPr>
          <w:rFonts w:eastAsia="Calibri" w:cs="Times New Roman"/>
          <w:lang/>
        </w:rPr>
      </w:pPr>
      <w:r w:rsidRPr="00D61046">
        <w:rPr>
          <w:rFonts w:eastAsia="Calibri" w:cs="Times New Roman"/>
          <w:b/>
          <w:bCs/>
          <w:lang/>
        </w:rPr>
        <w:t>RQ2: Sectoral Differences</w:t>
      </w:r>
      <w:r w:rsidR="002A16BA">
        <w:rPr>
          <w:rFonts w:eastAsia="Calibri" w:cs="Times New Roman"/>
          <w:b/>
          <w:bCs/>
          <w:lang/>
        </w:rPr>
        <w:t xml:space="preserve">: </w:t>
      </w:r>
      <w:r w:rsidRPr="00D61046">
        <w:rPr>
          <w:rFonts w:eastAsia="Calibri" w:cs="Times New Roman"/>
          <w:lang/>
        </w:rPr>
        <w:t>Sub</w:t>
      </w:r>
      <w:r w:rsidR="002A16BA">
        <w:rPr>
          <w:rFonts w:eastAsia="Calibri" w:cs="Times New Roman"/>
          <w:lang/>
        </w:rPr>
        <w:t>-</w:t>
      </w:r>
      <w:r w:rsidRPr="00D61046">
        <w:rPr>
          <w:rFonts w:eastAsia="Calibri" w:cs="Times New Roman"/>
          <w:lang/>
        </w:rPr>
        <w:t xml:space="preserve">sectoral analysis reveals significant heterogeneity within the LIS, as well as key differences between LIS and Manufacturing. Agriculture exhibits the greatest vulnerability, with substantial declines in births and employment due to land degradation and </w:t>
      </w:r>
      <w:r w:rsidRPr="00D61046">
        <w:rPr>
          <w:rFonts w:eastAsia="Calibri" w:cs="Times New Roman"/>
          <w:lang/>
        </w:rPr>
        <w:lastRenderedPageBreak/>
        <w:t>disrupted labor markets. In contrast, Utilities and Construction demonstrate resilience, with employment and sales performance bolstered by post-disaster reconstruction efforts. Mining and Manufacturing, while similarly affected by outward relocations, capitalize on opportunities for resource extraction and durable goods production, respectively, reflecting sector-specific adaptations. These findings address RQ2 by showcasing the differential impacts of wildfire frequency and intensity across LIS subsectors and the representative non-LIS sector.</w:t>
      </w:r>
    </w:p>
    <w:p w14:paraId="78A7816F" w14:textId="066195C4" w:rsidR="00D61046" w:rsidRPr="00D61046" w:rsidRDefault="00030874" w:rsidP="001953BB">
      <w:pPr>
        <w:pStyle w:val="Heading4"/>
      </w:pPr>
      <w:bookmarkStart w:id="394" w:name="_Toc187556322"/>
      <w:r>
        <w:t>2.</w:t>
      </w:r>
      <w:r w:rsidR="00D61046" w:rsidRPr="00D61046">
        <w:t>5.4.2 Hypotheses</w:t>
      </w:r>
      <w:bookmarkEnd w:id="394"/>
    </w:p>
    <w:p w14:paraId="7CEF0F9A" w14:textId="70A0AE36" w:rsidR="00D61046" w:rsidRPr="00D61046" w:rsidRDefault="00D61046" w:rsidP="009908F2">
      <w:pPr>
        <w:rPr>
          <w:rFonts w:eastAsia="Calibri" w:cs="Times New Roman"/>
          <w:lang/>
        </w:rPr>
      </w:pPr>
      <w:r w:rsidRPr="00D61046">
        <w:rPr>
          <w:rFonts w:eastAsia="Calibri" w:cs="Times New Roman"/>
          <w:b/>
          <w:bCs/>
          <w:lang/>
        </w:rPr>
        <w:t>H1: Births and Deaths</w:t>
      </w:r>
      <w:r w:rsidR="002A16BA">
        <w:rPr>
          <w:rFonts w:eastAsia="Calibri" w:cs="Times New Roman"/>
          <w:b/>
          <w:bCs/>
          <w:lang/>
        </w:rPr>
        <w:t xml:space="preserve">: </w:t>
      </w:r>
      <w:r w:rsidRPr="00D61046">
        <w:rPr>
          <w:rFonts w:eastAsia="Calibri" w:cs="Times New Roman"/>
          <w:lang/>
        </w:rPr>
        <w:t>The findings support H1, as wildfire frequency and intensity reduce establishment births and increase deaths in vulnerable LIS subsectors. For instance, Agriculture and Construction experience significant reductions in births, while wildfire frequency increases deaths in sectors like Utilities and Agriculture. These results validate the predicted effects of wildfire-related disruptions on establishment dynamics.</w:t>
      </w:r>
    </w:p>
    <w:p w14:paraId="16988940" w14:textId="75BE04FF" w:rsidR="00D61046" w:rsidRPr="00D61046" w:rsidRDefault="00D61046" w:rsidP="009908F2">
      <w:pPr>
        <w:rPr>
          <w:rFonts w:eastAsia="Calibri" w:cs="Times New Roman"/>
          <w:lang/>
        </w:rPr>
      </w:pPr>
      <w:r w:rsidRPr="00D61046">
        <w:rPr>
          <w:rFonts w:eastAsia="Calibri" w:cs="Times New Roman"/>
          <w:b/>
          <w:bCs/>
          <w:lang/>
        </w:rPr>
        <w:t>H2: Relocations</w:t>
      </w:r>
      <w:r w:rsidR="002A16BA">
        <w:rPr>
          <w:rFonts w:eastAsia="Calibri" w:cs="Times New Roman"/>
          <w:b/>
          <w:bCs/>
          <w:lang/>
        </w:rPr>
        <w:t xml:space="preserve">: </w:t>
      </w:r>
      <w:r w:rsidRPr="00D61046">
        <w:rPr>
          <w:rFonts w:eastAsia="Calibri" w:cs="Times New Roman"/>
          <w:lang/>
        </w:rPr>
        <w:t>The results confirm H2, as wildfire frequency and intensity significantly drive outward relocations in Mining, Construction, and Manufacturing. These findings highlight mobility as a key adaptive strategy in wildfire-prone regions, reflecting the increased costs and risks faced by businesses in these sectors.</w:t>
      </w:r>
    </w:p>
    <w:p w14:paraId="5473953D" w14:textId="76644F2E" w:rsidR="00D61046" w:rsidRPr="00D61046" w:rsidRDefault="00D61046" w:rsidP="009908F2">
      <w:pPr>
        <w:rPr>
          <w:rFonts w:eastAsia="Calibri" w:cs="Times New Roman"/>
          <w:lang/>
        </w:rPr>
      </w:pPr>
      <w:r w:rsidRPr="00D61046">
        <w:rPr>
          <w:rFonts w:eastAsia="Calibri" w:cs="Times New Roman"/>
          <w:b/>
          <w:bCs/>
          <w:lang/>
        </w:rPr>
        <w:t>H3: Employment</w:t>
      </w:r>
      <w:r w:rsidR="002A16BA">
        <w:rPr>
          <w:rFonts w:eastAsia="Calibri" w:cs="Times New Roman"/>
          <w:b/>
          <w:bCs/>
          <w:lang/>
        </w:rPr>
        <w:t xml:space="preserve">: </w:t>
      </w:r>
      <w:r w:rsidRPr="00D61046">
        <w:rPr>
          <w:rFonts w:eastAsia="Calibri" w:cs="Times New Roman"/>
          <w:lang/>
        </w:rPr>
        <w:t>The evidence partially supports H3, as wildfire frequency and intensity reduce employment in vulnerable sectors like Agriculture and Manufacturing while increasing employment in Utilities. These mixed effects demonstrate that labor market responses to wildfires depend on sectoral roles in recovery and operational resilience.</w:t>
      </w:r>
    </w:p>
    <w:p w14:paraId="078CF180" w14:textId="6C2AE78E" w:rsidR="00D61046" w:rsidRPr="00D61046" w:rsidRDefault="00D61046" w:rsidP="009908F2">
      <w:pPr>
        <w:rPr>
          <w:rFonts w:eastAsia="Calibri" w:cs="Times New Roman"/>
          <w:lang/>
        </w:rPr>
      </w:pPr>
      <w:r w:rsidRPr="00D61046">
        <w:rPr>
          <w:rFonts w:eastAsia="Calibri" w:cs="Times New Roman"/>
          <w:b/>
          <w:bCs/>
          <w:lang/>
        </w:rPr>
        <w:lastRenderedPageBreak/>
        <w:t>H4: Sales Performance</w:t>
      </w:r>
      <w:r w:rsidR="002A16BA">
        <w:rPr>
          <w:rFonts w:eastAsia="Calibri" w:cs="Times New Roman"/>
          <w:b/>
          <w:bCs/>
          <w:lang/>
        </w:rPr>
        <w:t xml:space="preserve">: </w:t>
      </w:r>
      <w:r w:rsidRPr="00D61046">
        <w:rPr>
          <w:rFonts w:eastAsia="Calibri" w:cs="Times New Roman"/>
          <w:lang/>
        </w:rPr>
        <w:t>The results provide partial support for H4, as sales performance declines in Agriculture but rises significantly in Utilities, Construction, and Manufacturing. These increases align with the hypothesized recovery-driven demand, showcasing how wildfires create temporary economic opportunities for certain sectors.</w:t>
      </w:r>
    </w:p>
    <w:p w14:paraId="7A75CD7E" w14:textId="74EFC62D" w:rsidR="00D61046" w:rsidRPr="00D61046" w:rsidRDefault="00D61046" w:rsidP="009908F2">
      <w:pPr>
        <w:rPr>
          <w:rFonts w:eastAsia="Calibri" w:cs="Times New Roman"/>
          <w:lang/>
        </w:rPr>
      </w:pPr>
      <w:r w:rsidRPr="00D61046">
        <w:rPr>
          <w:rFonts w:eastAsia="Calibri" w:cs="Times New Roman"/>
          <w:b/>
          <w:bCs/>
          <w:lang/>
        </w:rPr>
        <w:t>H5: Sectoral Heterogeneity</w:t>
      </w:r>
      <w:r w:rsidR="002A16BA">
        <w:rPr>
          <w:rFonts w:eastAsia="Calibri" w:cs="Times New Roman"/>
          <w:b/>
          <w:bCs/>
          <w:lang/>
        </w:rPr>
        <w:t xml:space="preserve">: </w:t>
      </w:r>
      <w:r w:rsidRPr="00D61046">
        <w:rPr>
          <w:rFonts w:eastAsia="Calibri" w:cs="Times New Roman"/>
          <w:lang/>
        </w:rPr>
        <w:t xml:space="preserve">The findings strongly support H5, revealing substantial variability in wildfire impacts across LIS subsectors and between LIS and Manufacturing. Sectoral differences are </w:t>
      </w:r>
      <w:r w:rsidRPr="00D61046">
        <w:rPr>
          <w:rFonts w:eastAsia="Calibri" w:cs="Times New Roman"/>
          <w:lang/>
        </w:rPr>
        <w:t xml:space="preserve">possibly </w:t>
      </w:r>
      <w:r w:rsidRPr="00D61046">
        <w:rPr>
          <w:rFonts w:eastAsia="Calibri" w:cs="Times New Roman"/>
          <w:lang/>
        </w:rPr>
        <w:t>driven by variations in resource reliance, operational flexibility, and exposure to wildfire risks. For instance, Utilities and Construction demonstrate resilience through recovery-focused demand, while Agriculture and Mining exhibit heightened vulnerability due to their dependence on land and resource extraction.</w:t>
      </w:r>
    </w:p>
    <w:p w14:paraId="145945D9" w14:textId="70E869D0" w:rsidR="00D61046" w:rsidRPr="00D61046" w:rsidRDefault="00030874" w:rsidP="009908F2">
      <w:pPr>
        <w:pStyle w:val="Heading3"/>
      </w:pPr>
      <w:bookmarkStart w:id="395" w:name="_Toc187556323"/>
      <w:bookmarkStart w:id="396" w:name="_Toc188379023"/>
      <w:r>
        <w:rPr>
          <w:lang w:val="en-US"/>
        </w:rPr>
        <w:t>2.</w:t>
      </w:r>
      <w:r w:rsidR="00D61046" w:rsidRPr="00D61046">
        <w:t>5.5 Conclusion</w:t>
      </w:r>
      <w:bookmarkEnd w:id="395"/>
      <w:bookmarkEnd w:id="396"/>
    </w:p>
    <w:p w14:paraId="3FD95F0A" w14:textId="77777777" w:rsidR="00D61046" w:rsidRPr="00D61046" w:rsidRDefault="00D61046" w:rsidP="009908F2">
      <w:pPr>
        <w:rPr>
          <w:rFonts w:eastAsia="Calibri" w:cs="Times New Roman"/>
          <w:lang/>
        </w:rPr>
      </w:pPr>
      <w:r w:rsidRPr="00D61046">
        <w:rPr>
          <w:rFonts w:eastAsia="Calibri" w:cs="Times New Roman"/>
          <w:lang/>
        </w:rPr>
        <w:t xml:space="preserve">This refined analysis highlights the complex and differential impacts of wildfire frequency and intensity across </w:t>
      </w:r>
      <w:r w:rsidRPr="00D61046">
        <w:rPr>
          <w:rFonts w:eastAsia="Calibri" w:cs="Times New Roman"/>
          <w:lang/>
        </w:rPr>
        <w:t xml:space="preserve">the </w:t>
      </w:r>
      <w:r w:rsidRPr="00D61046">
        <w:rPr>
          <w:rFonts w:eastAsia="Calibri" w:cs="Times New Roman"/>
          <w:lang/>
        </w:rPr>
        <w:t xml:space="preserve">LIS </w:t>
      </w:r>
      <w:r w:rsidRPr="00D61046">
        <w:rPr>
          <w:rFonts w:eastAsia="Calibri" w:cs="Times New Roman"/>
          <w:lang/>
        </w:rPr>
        <w:t>and non-LIS</w:t>
      </w:r>
      <w:r w:rsidRPr="00D61046">
        <w:rPr>
          <w:rFonts w:eastAsia="Calibri" w:cs="Times New Roman"/>
          <w:lang/>
        </w:rPr>
        <w:t xml:space="preserve">. The results underscore the significant heterogeneity in responses, with Utilities and Construction emerging as drivers of resilience within LIS due to their roles in post-disaster recovery. In contrast, Agriculture faces disproportionate challenges from recurring and severe wildfires, reflecting its reliance on degraded natural resources and limited adaptive capacity. Manufacturing mirrors the resilience of Utilities and Construction, </w:t>
      </w:r>
      <w:r w:rsidRPr="00D61046">
        <w:rPr>
          <w:rFonts w:eastAsia="Calibri" w:cs="Times New Roman"/>
          <w:lang/>
        </w:rPr>
        <w:t xml:space="preserve">possibly </w:t>
      </w:r>
      <w:r w:rsidRPr="00D61046">
        <w:rPr>
          <w:rFonts w:eastAsia="Calibri" w:cs="Times New Roman"/>
          <w:lang/>
        </w:rPr>
        <w:t>benefiting from increased demand for durable goods during recovery efforts, but also experiences labor market disruptions and relocations.</w:t>
      </w:r>
    </w:p>
    <w:p w14:paraId="111FC7DF" w14:textId="77777777" w:rsidR="00D61046" w:rsidRPr="00D61046" w:rsidRDefault="00D61046" w:rsidP="009908F2">
      <w:pPr>
        <w:rPr>
          <w:rFonts w:eastAsia="Calibri" w:cs="Times New Roman"/>
          <w:lang/>
        </w:rPr>
      </w:pPr>
      <w:r w:rsidRPr="00D61046">
        <w:rPr>
          <w:rFonts w:eastAsia="Calibri" w:cs="Times New Roman"/>
          <w:lang/>
        </w:rPr>
        <w:t>T</w:t>
      </w:r>
      <w:r w:rsidRPr="00D61046">
        <w:rPr>
          <w:rFonts w:eastAsia="Calibri" w:cs="Times New Roman"/>
          <w:lang/>
        </w:rPr>
        <w:t xml:space="preserve">hese findings directly address the study’s research questions, validating key hypotheses regarding the disruptive and adaptive effects of wildfires on economic outcomes. By quantifying </w:t>
      </w:r>
      <w:r w:rsidRPr="00D61046">
        <w:rPr>
          <w:rFonts w:eastAsia="Calibri" w:cs="Times New Roman"/>
          <w:lang/>
        </w:rPr>
        <w:lastRenderedPageBreak/>
        <w:t>the mechanisms through which wildfire frequency and intensity reshape establishment dynamics, employment, and sales performance, this study provides actionable insights for policymakers. Targeted strategies to mitigate wildfire risks, enhance resilience, and support recovery efforts can be designed by prioritizing the unique needs of vulnerable sectors like Agriculture, while leveraging the recovery-driven roles of Utilities, Construction, and Manufacturing.</w:t>
      </w:r>
    </w:p>
    <w:p w14:paraId="33413CF2" w14:textId="79C4D786" w:rsidR="00D61046" w:rsidRPr="00D61046" w:rsidRDefault="00030874" w:rsidP="00E4693E">
      <w:pPr>
        <w:pStyle w:val="Heading2"/>
      </w:pPr>
      <w:bookmarkStart w:id="397" w:name="_Toc187556324"/>
      <w:bookmarkStart w:id="398" w:name="_Toc188379024"/>
      <w:r>
        <w:t>2.</w:t>
      </w:r>
      <w:r w:rsidR="00D61046" w:rsidRPr="00D61046">
        <w:t>6 Robustness Checks</w:t>
      </w:r>
      <w:bookmarkEnd w:id="397"/>
      <w:bookmarkEnd w:id="398"/>
    </w:p>
    <w:p w14:paraId="68CBEA33" w14:textId="77777777" w:rsidR="00D61046" w:rsidRPr="00D61046" w:rsidRDefault="00D61046" w:rsidP="00554455">
      <w:pPr>
        <w:rPr>
          <w:rFonts w:eastAsia="Calibri" w:cs="Times New Roman"/>
          <w:lang/>
        </w:rPr>
      </w:pPr>
      <w:r w:rsidRPr="00D61046">
        <w:rPr>
          <w:rFonts w:eastAsia="Calibri" w:cs="Times New Roman"/>
          <w:lang/>
        </w:rPr>
        <w:t>To ensure the reliability and validity of the findings, this study conducted a series of robustness checks and sensitivity analyses. These analyses validate the consistency of the results across alternative specifications, varied assumptions, and counterfactual tests, reinforcing the soundness of the empirical approach.</w:t>
      </w:r>
    </w:p>
    <w:p w14:paraId="71E4A202" w14:textId="77777777" w:rsidR="00D61046" w:rsidRPr="00D61046" w:rsidRDefault="00D61046" w:rsidP="00554455">
      <w:pPr>
        <w:rPr>
          <w:rFonts w:eastAsia="Calibri" w:cs="Times New Roman"/>
          <w:lang/>
        </w:rPr>
      </w:pPr>
      <w:r w:rsidRPr="00D61046">
        <w:rPr>
          <w:rFonts w:eastAsia="Calibri" w:cs="Times New Roman"/>
          <w:lang/>
        </w:rPr>
        <w:t>First, a counterfactual analysis incorporating leads and lags of wildfire variables (Fire Count and Burned Areas) was performed to address potential temporal dynamics and causality concerns. Lagged variables, up to three periods revealed that wildfire impacts persist over time, with significant delayed effects on establishment dynamics, employment, and outward relocations. In contrast, leads up to two periods served as placebo tests and demonstrated no significant effects, confirming the absence of anticipatory behavior or reverse causation.</w:t>
      </w:r>
    </w:p>
    <w:p w14:paraId="6B280DC0" w14:textId="77777777" w:rsidR="00D61046" w:rsidRPr="00D61046" w:rsidRDefault="00D61046" w:rsidP="00554455">
      <w:pPr>
        <w:rPr>
          <w:rFonts w:eastAsia="Calibri" w:cs="Times New Roman"/>
          <w:lang/>
        </w:rPr>
      </w:pPr>
      <w:r w:rsidRPr="00D61046">
        <w:rPr>
          <w:rFonts w:eastAsia="Calibri" w:cs="Times New Roman"/>
          <w:lang/>
        </w:rPr>
        <w:t>Second, alternative model specifications, including Zero-Inflated Poisson (ZIP) and Negative Binomial regressions, were employed to account for overdispersion and zero inflation in the count data. The results were consistent with the Poisson Pseudo-Maximum Likelihood (PPML) approach, further validating the choice of PPML as the preferred model for analyzing wildfire impacts on establishment dynamics and economic outcomes.</w:t>
      </w:r>
    </w:p>
    <w:p w14:paraId="7AA475A8" w14:textId="77777777" w:rsidR="00D61046" w:rsidRPr="00D61046" w:rsidRDefault="00D61046" w:rsidP="00554455">
      <w:pPr>
        <w:rPr>
          <w:rFonts w:eastAsia="Calibri" w:cs="Times New Roman"/>
          <w:lang/>
        </w:rPr>
      </w:pPr>
      <w:r w:rsidRPr="00D61046">
        <w:rPr>
          <w:rFonts w:eastAsia="Calibri" w:cs="Times New Roman"/>
          <w:lang/>
        </w:rPr>
        <w:lastRenderedPageBreak/>
        <w:t>Third, placebo tests using randomized wildfire events—either by assigning wildfire occurrences to unaffected counties or by randomly altering wildfire timing—were conducted. These placebo tests yielded insignificant coefficients, confirming that the observed impacts are directly attributable to actual wildfire events and not driven by spurious correlations.</w:t>
      </w:r>
    </w:p>
    <w:p w14:paraId="1242B86D" w14:textId="77777777" w:rsidR="00D61046" w:rsidRPr="00D61046" w:rsidRDefault="00D61046" w:rsidP="00554455">
      <w:pPr>
        <w:rPr>
          <w:rFonts w:eastAsia="Calibri" w:cs="Times New Roman"/>
          <w:lang/>
        </w:rPr>
      </w:pPr>
      <w:r w:rsidRPr="00D61046">
        <w:rPr>
          <w:rFonts w:eastAsia="Calibri" w:cs="Times New Roman"/>
          <w:lang/>
        </w:rPr>
        <w:t>Fourth, interaction terms were introduced between wildfire variables and socio-demographic factors, such as income and population density, to assess heterogeneous effects. The results revealed that wildfire impacts were more pronounced in lower-income and densely populated counties, while higher-income regions exhibited greater resilience in establishment births and employment.</w:t>
      </w:r>
    </w:p>
    <w:p w14:paraId="24A9F3F5" w14:textId="77777777" w:rsidR="00D61046" w:rsidRPr="00D61046" w:rsidRDefault="00D61046" w:rsidP="00554455">
      <w:pPr>
        <w:rPr>
          <w:rFonts w:eastAsia="Calibri" w:cs="Times New Roman"/>
          <w:lang/>
        </w:rPr>
      </w:pPr>
      <w:r w:rsidRPr="00D61046">
        <w:rPr>
          <w:rFonts w:eastAsia="Calibri" w:cs="Times New Roman"/>
          <w:lang/>
        </w:rPr>
        <w:t>Finally, the inclusion of additional weather control variables (e.g., precipitation, temperature) in the regressions confirmed that the primary wildfire variables maintained their statistical significance, indicating that the observed economic impacts of wildfires are distinct and not confounded by broader climate trends.</w:t>
      </w:r>
    </w:p>
    <w:p w14:paraId="2700C6FC" w14:textId="77777777" w:rsidR="00D61046" w:rsidRPr="00D61046" w:rsidRDefault="00D61046" w:rsidP="00554455">
      <w:pPr>
        <w:rPr>
          <w:rFonts w:eastAsia="Calibri" w:cs="Times New Roman"/>
          <w:lang/>
        </w:rPr>
      </w:pPr>
      <w:r w:rsidRPr="00D61046">
        <w:rPr>
          <w:rFonts w:eastAsia="Calibri" w:cs="Times New Roman"/>
          <w:lang/>
        </w:rPr>
        <w:t>Together, these robustness checks provide strong evidence that the findings are reliable, robust, and consistent across a range of alternative assumptions and model specifications. These analyses reinforce the credibility of the observed impacts of wildfire frequency and intensity on establishment dynamics, employment, and sales performance.</w:t>
      </w:r>
    </w:p>
    <w:p w14:paraId="63DE883D" w14:textId="22DCA2B1" w:rsidR="00D61046" w:rsidRPr="00D61046" w:rsidRDefault="00030874" w:rsidP="00E4693E">
      <w:pPr>
        <w:pStyle w:val="Heading2"/>
        <w:rPr>
          <w:lang/>
        </w:rPr>
      </w:pPr>
      <w:bookmarkStart w:id="399" w:name="_Toc187556325"/>
      <w:bookmarkStart w:id="400" w:name="_Toc188379025"/>
      <w:r>
        <w:t>2.</w:t>
      </w:r>
      <w:r w:rsidR="00D61046" w:rsidRPr="00D61046">
        <w:t>7</w:t>
      </w:r>
      <w:r w:rsidR="00D61046" w:rsidRPr="00D61046">
        <w:rPr>
          <w:lang/>
        </w:rPr>
        <w:t xml:space="preserve"> Discussion and Policy Implications</w:t>
      </w:r>
      <w:bookmarkEnd w:id="399"/>
      <w:bookmarkEnd w:id="400"/>
    </w:p>
    <w:p w14:paraId="6B1D6C11" w14:textId="6D4DB899" w:rsidR="00D61046" w:rsidRPr="00D61046" w:rsidRDefault="00030874" w:rsidP="00554455">
      <w:pPr>
        <w:pStyle w:val="Heading3"/>
      </w:pPr>
      <w:bookmarkStart w:id="401" w:name="_Toc187556326"/>
      <w:bookmarkStart w:id="402" w:name="_Toc188379026"/>
      <w:r>
        <w:rPr>
          <w:lang w:val="en-US"/>
        </w:rPr>
        <w:t>2.</w:t>
      </w:r>
      <w:r w:rsidR="00D61046" w:rsidRPr="00D61046">
        <w:t>7.1 Summary of Findings and Contributions</w:t>
      </w:r>
      <w:bookmarkEnd w:id="401"/>
      <w:bookmarkEnd w:id="402"/>
    </w:p>
    <w:p w14:paraId="62C7B532" w14:textId="77777777" w:rsidR="00D61046" w:rsidRPr="00D61046" w:rsidRDefault="00D61046" w:rsidP="00554455">
      <w:pPr>
        <w:rPr>
          <w:rFonts w:eastAsia="Calibri" w:cs="Times New Roman"/>
          <w:b/>
          <w:bCs/>
          <w:lang/>
        </w:rPr>
      </w:pPr>
      <w:r w:rsidRPr="00D61046">
        <w:rPr>
          <w:rFonts w:eastAsia="Calibri" w:cs="Times New Roman"/>
          <w:lang/>
        </w:rPr>
        <w:t xml:space="preserve">This study examines the economic impacts of wildfire frequency (fire count) and intensity (burned area) on establishment dynamics and economic performance across California’s LIS </w:t>
      </w:r>
      <w:r w:rsidRPr="00D61046">
        <w:rPr>
          <w:rFonts w:eastAsia="Calibri" w:cs="Times New Roman"/>
          <w:lang/>
        </w:rPr>
        <w:lastRenderedPageBreak/>
        <w:t xml:space="preserve">sectors (NAICS 11, 21, 22, 23) and </w:t>
      </w:r>
      <w:r w:rsidRPr="00D61046">
        <w:rPr>
          <w:rFonts w:eastAsia="Calibri" w:cs="Times New Roman"/>
        </w:rPr>
        <w:t xml:space="preserve">non-LIS </w:t>
      </w:r>
      <w:r w:rsidRPr="00D61046">
        <w:rPr>
          <w:rFonts w:eastAsia="Calibri" w:cs="Times New Roman"/>
          <w:lang/>
        </w:rPr>
        <w:t>(NAICS 31–33). By addressing the research objectives and validating the hypotheses, the findings reveal that wildfires disrupt business continuity, mobility, and employment, while simultaneously creating temporary, recovery-driven economic opportunities. These results contribute to multiple fields, including disaster economics, sectoral resilience, and land-use policy.</w:t>
      </w:r>
    </w:p>
    <w:p w14:paraId="227F2418" w14:textId="77777777" w:rsidR="00D61046" w:rsidRPr="008B3DD3" w:rsidRDefault="00D61046" w:rsidP="00554455">
      <w:pPr>
        <w:rPr>
          <w:b/>
          <w:bCs/>
          <w:lang/>
        </w:rPr>
      </w:pPr>
      <w:bookmarkStart w:id="403" w:name="_Toc187556327"/>
      <w:r w:rsidRPr="008B3DD3">
        <w:rPr>
          <w:b/>
          <w:bCs/>
          <w:lang/>
        </w:rPr>
        <w:t>Contributions to Literature</w:t>
      </w:r>
      <w:bookmarkEnd w:id="403"/>
    </w:p>
    <w:p w14:paraId="029879E6" w14:textId="77777777" w:rsidR="00D61046" w:rsidRPr="00D61046" w:rsidRDefault="00D61046" w:rsidP="00554455">
      <w:pPr>
        <w:numPr>
          <w:ilvl w:val="0"/>
          <w:numId w:val="20"/>
        </w:numPr>
        <w:contextualSpacing/>
        <w:rPr>
          <w:rFonts w:eastAsia="Calibri" w:cs="Times New Roman"/>
          <w:lang/>
        </w:rPr>
      </w:pPr>
      <w:r w:rsidRPr="00D61046">
        <w:rPr>
          <w:rFonts w:eastAsia="Calibri" w:cs="Times New Roman"/>
          <w:b/>
          <w:bCs/>
          <w:lang/>
        </w:rPr>
        <w:t>Wildfire Frequency as a Disruptor of Economic Stability</w:t>
      </w:r>
      <w:r w:rsidRPr="00D61046">
        <w:rPr>
          <w:rFonts w:eastAsia="Calibri" w:cs="Times New Roman"/>
          <w:b/>
          <w:bCs/>
        </w:rPr>
        <w:t xml:space="preserve">: </w:t>
      </w:r>
      <w:r w:rsidRPr="00D61046">
        <w:rPr>
          <w:rFonts w:eastAsia="Calibri" w:cs="Times New Roman"/>
          <w:lang/>
        </w:rPr>
        <w:t>Recurring wildfires significantly increase establishment deaths and outward relocations, underscoring the risks of cumulative environmental disturbances.</w:t>
      </w:r>
      <w:r w:rsidRPr="00D61046">
        <w:rPr>
          <w:rFonts w:eastAsia="Calibri" w:cs="Times New Roman"/>
        </w:rPr>
        <w:t xml:space="preserve"> </w:t>
      </w:r>
      <w:r w:rsidRPr="00D61046">
        <w:rPr>
          <w:rFonts w:eastAsia="Calibri" w:cs="Times New Roman"/>
          <w:lang/>
        </w:rPr>
        <w:t xml:space="preserve">These findings validate H1 and H2, contributing to theories of business disruption (Hallegatte, 2014) and "environmental mobility" </w:t>
      </w:r>
      <w:bookmarkStart w:id="404" w:name="_Hlk187246850"/>
      <w:r w:rsidRPr="00D61046">
        <w:rPr>
          <w:rFonts w:eastAsia="Calibri" w:cs="Times New Roman"/>
          <w:lang/>
        </w:rPr>
        <w:t>(Black et al., 2011).</w:t>
      </w:r>
      <w:bookmarkEnd w:id="404"/>
    </w:p>
    <w:p w14:paraId="2E89237B" w14:textId="77777777" w:rsidR="00D61046" w:rsidRPr="00D61046" w:rsidRDefault="00D61046" w:rsidP="00554455">
      <w:pPr>
        <w:numPr>
          <w:ilvl w:val="0"/>
          <w:numId w:val="20"/>
        </w:numPr>
        <w:contextualSpacing/>
        <w:rPr>
          <w:rFonts w:eastAsia="Calibri" w:cs="Times New Roman"/>
          <w:b/>
          <w:bCs/>
          <w:lang/>
        </w:rPr>
      </w:pPr>
      <w:r w:rsidRPr="00D61046">
        <w:rPr>
          <w:rFonts w:eastAsia="Calibri" w:cs="Times New Roman"/>
          <w:b/>
          <w:bCs/>
          <w:lang/>
        </w:rPr>
        <w:t>Dual Nature of Wildfire Intensity</w:t>
      </w:r>
      <w:r w:rsidRPr="00D61046">
        <w:rPr>
          <w:rFonts w:eastAsia="Calibri" w:cs="Times New Roman"/>
          <w:b/>
          <w:bCs/>
        </w:rPr>
        <w:t xml:space="preserve">: </w:t>
      </w:r>
      <w:r w:rsidRPr="00D61046">
        <w:rPr>
          <w:rFonts w:eastAsia="Calibri" w:cs="Times New Roman"/>
          <w:lang/>
        </w:rPr>
        <w:t xml:space="preserve">Intense wildfires discourage new business formation </w:t>
      </w:r>
      <w:r w:rsidRPr="00D61046">
        <w:rPr>
          <w:rFonts w:eastAsia="Calibri" w:cs="Times New Roman"/>
        </w:rPr>
        <w:t xml:space="preserve">in </w:t>
      </w:r>
      <w:r w:rsidRPr="00D61046">
        <w:rPr>
          <w:rFonts w:eastAsia="Calibri" w:cs="Times New Roman"/>
          <w:lang/>
        </w:rPr>
        <w:t>Agriculture</w:t>
      </w:r>
      <w:r w:rsidRPr="00D61046">
        <w:rPr>
          <w:rFonts w:eastAsia="Calibri" w:cs="Times New Roman"/>
        </w:rPr>
        <w:t xml:space="preserve"> for instance</w:t>
      </w:r>
      <w:r w:rsidRPr="00D61046">
        <w:rPr>
          <w:rFonts w:eastAsia="Calibri" w:cs="Times New Roman"/>
          <w:lang/>
        </w:rPr>
        <w:t xml:space="preserve"> but boost sales in recovery-focused sectors</w:t>
      </w:r>
      <w:r w:rsidRPr="00D61046">
        <w:rPr>
          <w:rFonts w:eastAsia="Calibri" w:cs="Times New Roman"/>
        </w:rPr>
        <w:t>, such as Construction</w:t>
      </w:r>
      <w:r w:rsidRPr="00D61046">
        <w:rPr>
          <w:rFonts w:eastAsia="Calibri" w:cs="Times New Roman"/>
          <w:lang/>
        </w:rPr>
        <w:t>.</w:t>
      </w:r>
      <w:r w:rsidRPr="00D61046">
        <w:rPr>
          <w:rFonts w:eastAsia="Calibri" w:cs="Times New Roman"/>
        </w:rPr>
        <w:t xml:space="preserve"> </w:t>
      </w:r>
      <w:r w:rsidRPr="00D61046">
        <w:rPr>
          <w:rFonts w:eastAsia="Calibri" w:cs="Times New Roman"/>
          <w:lang/>
        </w:rPr>
        <w:t xml:space="preserve">This duality aligns with H4 and complements disaster recovery literature by demonstrating how reconstruction activities stimulate temporary economic growth </w:t>
      </w:r>
      <w:bookmarkStart w:id="405" w:name="_Hlk187246862"/>
      <w:r w:rsidRPr="00D61046">
        <w:rPr>
          <w:rFonts w:eastAsia="Calibri" w:cs="Times New Roman"/>
          <w:lang/>
        </w:rPr>
        <w:t>(Albala-Bertrand, 1993).</w:t>
      </w:r>
    </w:p>
    <w:bookmarkEnd w:id="405"/>
    <w:p w14:paraId="5E22DEA1" w14:textId="77777777" w:rsidR="00D61046" w:rsidRPr="00D61046" w:rsidRDefault="00D61046" w:rsidP="00554455">
      <w:pPr>
        <w:numPr>
          <w:ilvl w:val="0"/>
          <w:numId w:val="20"/>
        </w:numPr>
        <w:contextualSpacing/>
        <w:rPr>
          <w:rFonts w:eastAsia="Calibri" w:cs="Times New Roman"/>
          <w:b/>
          <w:bCs/>
          <w:lang/>
        </w:rPr>
      </w:pPr>
      <w:r w:rsidRPr="00D61046">
        <w:rPr>
          <w:rFonts w:eastAsia="Calibri" w:cs="Times New Roman"/>
          <w:b/>
          <w:bCs/>
          <w:lang/>
        </w:rPr>
        <w:t>Sectoral Heterogeneity and Resilience Patterns</w:t>
      </w:r>
      <w:r w:rsidRPr="00D61046">
        <w:rPr>
          <w:rFonts w:eastAsia="Calibri" w:cs="Times New Roman"/>
          <w:b/>
          <w:bCs/>
        </w:rPr>
        <w:t xml:space="preserve">: </w:t>
      </w:r>
      <w:r w:rsidRPr="00D61046">
        <w:rPr>
          <w:rFonts w:eastAsia="Calibri" w:cs="Times New Roman"/>
          <w:lang/>
        </w:rPr>
        <w:t>Agriculture emerges as the most vulnerable LIS subsector, with significant declines in births and employment, while Utilities and Construction display adaptive resilience through positive employment and sales outcomes.</w:t>
      </w:r>
      <w:r w:rsidRPr="00D61046">
        <w:rPr>
          <w:rFonts w:eastAsia="Calibri" w:cs="Times New Roman"/>
        </w:rPr>
        <w:t xml:space="preserve"> </w:t>
      </w:r>
      <w:r w:rsidRPr="00D61046">
        <w:rPr>
          <w:rFonts w:eastAsia="Calibri" w:cs="Times New Roman"/>
          <w:lang/>
        </w:rPr>
        <w:t xml:space="preserve">These results extend H5 and provide empirical support for sectoral differentiation frameworks in disaster economics </w:t>
      </w:r>
      <w:bookmarkStart w:id="406" w:name="_Hlk187246896"/>
      <w:r w:rsidRPr="00D61046">
        <w:rPr>
          <w:rFonts w:eastAsia="Calibri" w:cs="Times New Roman"/>
          <w:lang/>
        </w:rPr>
        <w:t>(Abatzoglou &amp; Williams, 2016).</w:t>
      </w:r>
      <w:bookmarkEnd w:id="406"/>
    </w:p>
    <w:p w14:paraId="7AC3B920" w14:textId="77777777" w:rsidR="00D61046" w:rsidRPr="00D61046" w:rsidRDefault="00D61046" w:rsidP="00554455">
      <w:pPr>
        <w:numPr>
          <w:ilvl w:val="0"/>
          <w:numId w:val="20"/>
        </w:numPr>
        <w:contextualSpacing/>
        <w:rPr>
          <w:rFonts w:eastAsia="Calibri" w:cs="Times New Roman"/>
          <w:b/>
          <w:bCs/>
          <w:lang/>
        </w:rPr>
      </w:pPr>
      <w:r w:rsidRPr="00D61046">
        <w:rPr>
          <w:rFonts w:eastAsia="Calibri" w:cs="Times New Roman"/>
          <w:b/>
          <w:bCs/>
          <w:lang/>
        </w:rPr>
        <w:lastRenderedPageBreak/>
        <w:t>Broadening Disaster Economics with Manufacturing Insights</w:t>
      </w:r>
      <w:r w:rsidRPr="00D61046">
        <w:rPr>
          <w:rFonts w:eastAsia="Calibri" w:cs="Times New Roman"/>
          <w:b/>
          <w:bCs/>
        </w:rPr>
        <w:t xml:space="preserve">: </w:t>
      </w:r>
      <w:r w:rsidRPr="00D61046">
        <w:rPr>
          <w:rFonts w:eastAsia="Calibri" w:cs="Times New Roman"/>
          <w:lang/>
        </w:rPr>
        <w:t xml:space="preserve">As a non-LIS sector, Manufacturing mirrors LIS trends, with increased relocations and boosted sales during recovery phases. These findings reinforce the universality of wildfire impacts, enriching cross-sectoral analyses </w:t>
      </w:r>
      <w:bookmarkStart w:id="407" w:name="_Hlk187246906"/>
      <w:r w:rsidRPr="00D61046">
        <w:rPr>
          <w:rFonts w:eastAsia="Calibri" w:cs="Times New Roman"/>
          <w:lang/>
        </w:rPr>
        <w:t>(Venn &amp; Quiggin, 2007).</w:t>
      </w:r>
    </w:p>
    <w:p w14:paraId="41A1FD61" w14:textId="45BC935B" w:rsidR="00D61046" w:rsidRPr="00D61046" w:rsidRDefault="00030874" w:rsidP="00554455">
      <w:pPr>
        <w:pStyle w:val="Heading3"/>
      </w:pPr>
      <w:bookmarkStart w:id="408" w:name="_Toc187556328"/>
      <w:bookmarkStart w:id="409" w:name="_Toc188379027"/>
      <w:bookmarkEnd w:id="407"/>
      <w:r>
        <w:rPr>
          <w:lang w:val="en-US"/>
        </w:rPr>
        <w:t>2.</w:t>
      </w:r>
      <w:r w:rsidR="00D61046" w:rsidRPr="00D61046">
        <w:t>7.2 Addressing Research Questions and Hypotheses</w:t>
      </w:r>
      <w:bookmarkEnd w:id="408"/>
      <w:bookmarkEnd w:id="409"/>
    </w:p>
    <w:p w14:paraId="7E825CB5" w14:textId="77777777" w:rsidR="00D61046" w:rsidRPr="00D61046" w:rsidRDefault="00D61046" w:rsidP="00554455">
      <w:pPr>
        <w:rPr>
          <w:rFonts w:eastAsia="Calibri" w:cs="Times New Roman"/>
          <w:b/>
          <w:bCs/>
          <w:lang/>
        </w:rPr>
      </w:pPr>
      <w:r w:rsidRPr="00D61046">
        <w:rPr>
          <w:rFonts w:eastAsia="Calibri" w:cs="Times New Roman"/>
          <w:b/>
          <w:bCs/>
          <w:lang/>
        </w:rPr>
        <w:t>Research Question 1: What are the impacts of wildfire frequency and intensity on establishment births, deaths, relocations, employment, and sales in the aggregate LIS?</w:t>
      </w:r>
    </w:p>
    <w:p w14:paraId="6A2B903A" w14:textId="77777777" w:rsidR="00D61046" w:rsidRPr="00D61046" w:rsidRDefault="00D61046" w:rsidP="00554455">
      <w:pPr>
        <w:rPr>
          <w:rFonts w:eastAsia="Calibri" w:cs="Times New Roman"/>
          <w:lang/>
        </w:rPr>
      </w:pPr>
      <w:r w:rsidRPr="00D61046">
        <w:rPr>
          <w:rFonts w:eastAsia="Calibri" w:cs="Times New Roman"/>
          <w:lang/>
        </w:rPr>
        <w:t>Wildfire frequency disrupts business continuity through increased establishment deaths and outward relocations. Wildfire intensity suppresses establishment births  but temporarily boosts sales in recovery-focused sectors. These findings validate H1, H2, and H4, illustrating both the disruptive and adaptive dynamics of wildfires at the aggregate level.</w:t>
      </w:r>
    </w:p>
    <w:p w14:paraId="2448E04E" w14:textId="77777777" w:rsidR="00D61046" w:rsidRPr="00D61046" w:rsidRDefault="00D61046" w:rsidP="00554455">
      <w:pPr>
        <w:rPr>
          <w:rFonts w:eastAsia="Calibri" w:cs="Times New Roman"/>
          <w:b/>
          <w:bCs/>
          <w:lang/>
        </w:rPr>
      </w:pPr>
      <w:r w:rsidRPr="00D61046">
        <w:rPr>
          <w:rFonts w:eastAsia="Calibri" w:cs="Times New Roman"/>
          <w:b/>
          <w:bCs/>
          <w:lang/>
        </w:rPr>
        <w:t>Research Question 2: How do these impacts vary across LIS subsectors?</w:t>
      </w:r>
    </w:p>
    <w:p w14:paraId="1AD1E502" w14:textId="77777777" w:rsidR="00D61046" w:rsidRPr="00D61046" w:rsidRDefault="00D61046" w:rsidP="00554455">
      <w:pPr>
        <w:rPr>
          <w:rFonts w:eastAsia="Calibri" w:cs="Times New Roman"/>
          <w:lang/>
        </w:rPr>
      </w:pPr>
      <w:r w:rsidRPr="00D61046">
        <w:rPr>
          <w:rFonts w:eastAsia="Calibri" w:cs="Times New Roman"/>
          <w:lang/>
        </w:rPr>
        <w:t>The sub-sectoral analysis reveals substantial heterogeneity in responses to wildfire risks. Agriculture emerges as highly vulnerable, with significant declines in establishment births and employment, reflecting its dependence on stable land conditions and environmental predictability. In contrast, Utilities demonstrate resilience, with positive employment and sales driven by heightened demand during recovery efforts. Mining and Construction exhibit substantial outward relocations, underscoring mobility as a key adaptive strategy in response to wildfire risks. These findings strongly support H5, emphasizing sectoral differences in vulnerability and adaptive capacity to wildfire-induced disruptions.</w:t>
      </w:r>
    </w:p>
    <w:p w14:paraId="014B3AF2" w14:textId="0787EED8" w:rsidR="00D61046" w:rsidRPr="00D61046" w:rsidRDefault="00030874" w:rsidP="00554455">
      <w:pPr>
        <w:pStyle w:val="Heading3"/>
      </w:pPr>
      <w:bookmarkStart w:id="410" w:name="_Toc187556329"/>
      <w:bookmarkStart w:id="411" w:name="_Toc188379028"/>
      <w:r>
        <w:rPr>
          <w:lang w:val="en-US"/>
        </w:rPr>
        <w:lastRenderedPageBreak/>
        <w:t>2.</w:t>
      </w:r>
      <w:r w:rsidR="00D61046" w:rsidRPr="00D61046">
        <w:t>7.3 Theoretical Implications</w:t>
      </w:r>
      <w:bookmarkEnd w:id="410"/>
      <w:bookmarkEnd w:id="411"/>
    </w:p>
    <w:p w14:paraId="3E2118C0" w14:textId="0243D80E" w:rsidR="00D61046" w:rsidRPr="00D61046" w:rsidRDefault="00030874" w:rsidP="001953BB">
      <w:pPr>
        <w:pStyle w:val="Heading4"/>
      </w:pPr>
      <w:bookmarkStart w:id="412" w:name="_Toc187556330"/>
      <w:r>
        <w:t>2.</w:t>
      </w:r>
      <w:r w:rsidR="00D61046" w:rsidRPr="00D61046">
        <w:t>7.3.1 Disaster Economics and Environmental Mobility</w:t>
      </w:r>
      <w:bookmarkEnd w:id="412"/>
    </w:p>
    <w:p w14:paraId="16BF587E" w14:textId="77777777" w:rsidR="00D61046" w:rsidRPr="00D61046" w:rsidRDefault="00D61046" w:rsidP="00554455">
      <w:pPr>
        <w:rPr>
          <w:rFonts w:eastAsia="Calibri" w:cs="Times New Roman"/>
          <w:lang/>
        </w:rPr>
      </w:pPr>
      <w:r w:rsidRPr="00D61046">
        <w:rPr>
          <w:rFonts w:eastAsia="Calibri" w:cs="Times New Roman"/>
          <w:lang/>
        </w:rPr>
        <w:t xml:space="preserve">This study contributes to </w:t>
      </w:r>
      <w:r w:rsidRPr="00D61046">
        <w:rPr>
          <w:rFonts w:eastAsia="Calibri" w:cs="Times New Roman"/>
        </w:rPr>
        <w:t xml:space="preserve">the </w:t>
      </w:r>
      <w:r w:rsidRPr="00D61046">
        <w:rPr>
          <w:rFonts w:eastAsia="Calibri" w:cs="Times New Roman"/>
          <w:lang/>
        </w:rPr>
        <w:t xml:space="preserve">disaster economics </w:t>
      </w:r>
      <w:r w:rsidRPr="00D61046">
        <w:rPr>
          <w:rFonts w:eastAsia="Calibri" w:cs="Times New Roman"/>
        </w:rPr>
        <w:t xml:space="preserve">literature </w:t>
      </w:r>
      <w:r w:rsidRPr="00D61046">
        <w:rPr>
          <w:rFonts w:eastAsia="Calibri" w:cs="Times New Roman"/>
          <w:lang/>
        </w:rPr>
        <w:t xml:space="preserve">by demonstrating how wildfire frequency disrupts business stability and drives relocations, validating theories of "environmental mobility" </w:t>
      </w:r>
      <w:bookmarkStart w:id="413" w:name="_Hlk187246927"/>
      <w:r w:rsidRPr="00D61046">
        <w:rPr>
          <w:rFonts w:eastAsia="Calibri" w:cs="Times New Roman"/>
          <w:lang/>
        </w:rPr>
        <w:t xml:space="preserve">(Black et al., 2011). </w:t>
      </w:r>
      <w:bookmarkEnd w:id="413"/>
      <w:r w:rsidRPr="00D61046">
        <w:rPr>
          <w:rFonts w:eastAsia="Calibri" w:cs="Times New Roman"/>
          <w:lang/>
        </w:rPr>
        <w:t xml:space="preserve">The findings expand on location theory </w:t>
      </w:r>
      <w:bookmarkStart w:id="414" w:name="_Hlk187246937"/>
      <w:r w:rsidRPr="00D61046">
        <w:rPr>
          <w:rFonts w:eastAsia="Calibri" w:cs="Times New Roman"/>
          <w:lang/>
        </w:rPr>
        <w:t>(Fujita et al., 1999)</w:t>
      </w:r>
      <w:r w:rsidRPr="00D61046">
        <w:rPr>
          <w:rFonts w:eastAsia="Calibri" w:cs="Times New Roman"/>
          <w:b/>
          <w:bCs/>
          <w:lang/>
        </w:rPr>
        <w:t xml:space="preserve"> </w:t>
      </w:r>
      <w:bookmarkEnd w:id="414"/>
      <w:r w:rsidRPr="00D61046">
        <w:rPr>
          <w:rFonts w:eastAsia="Calibri" w:cs="Times New Roman"/>
          <w:lang/>
        </w:rPr>
        <w:t>by showing that recurring wildfires amplify operational costs and uncertainty, pushing businesses toward safer regions.</w:t>
      </w:r>
    </w:p>
    <w:p w14:paraId="45B29770" w14:textId="26F1A0B7" w:rsidR="00D61046" w:rsidRPr="00D61046" w:rsidRDefault="00030874" w:rsidP="001953BB">
      <w:pPr>
        <w:pStyle w:val="Heading4"/>
      </w:pPr>
      <w:bookmarkStart w:id="415" w:name="_Toc187556331"/>
      <w:r>
        <w:t>2.</w:t>
      </w:r>
      <w:r w:rsidR="00D61046" w:rsidRPr="00D61046">
        <w:t>7.3.2 Sectoral Vulnerability and Resilience Frameworks</w:t>
      </w:r>
      <w:bookmarkEnd w:id="415"/>
    </w:p>
    <w:p w14:paraId="6F689055" w14:textId="77777777" w:rsidR="00D61046" w:rsidRPr="00D61046" w:rsidRDefault="00D61046" w:rsidP="00554455">
      <w:pPr>
        <w:rPr>
          <w:rFonts w:eastAsia="Calibri" w:cs="Times New Roman"/>
          <w:lang/>
        </w:rPr>
      </w:pPr>
      <w:r w:rsidRPr="00D61046">
        <w:rPr>
          <w:rFonts w:eastAsia="Calibri" w:cs="Times New Roman"/>
          <w:lang/>
        </w:rPr>
        <w:t xml:space="preserve">The results advance sectoral vulnerability frameworks by identifying Agriculture as highly sensitive to wildfires due to its dependency on stable environmental conditions, while Utilities leverage post-disaster demand to build resilience. These insights align with </w:t>
      </w:r>
      <w:bookmarkStart w:id="416" w:name="_Hlk187246945"/>
      <w:r w:rsidRPr="00D61046">
        <w:rPr>
          <w:rFonts w:eastAsia="Calibri" w:cs="Times New Roman"/>
          <w:lang/>
        </w:rPr>
        <w:t xml:space="preserve">Dillon et al. (2011) </w:t>
      </w:r>
      <w:bookmarkEnd w:id="416"/>
      <w:r w:rsidRPr="00D61046">
        <w:rPr>
          <w:rFonts w:eastAsia="Calibri" w:cs="Times New Roman"/>
          <w:lang/>
        </w:rPr>
        <w:t>and extend understanding of sector-specific adaptive capacities.</w:t>
      </w:r>
    </w:p>
    <w:p w14:paraId="1975F542" w14:textId="45382009" w:rsidR="00D61046" w:rsidRPr="00D61046" w:rsidRDefault="00030874" w:rsidP="001953BB">
      <w:pPr>
        <w:pStyle w:val="Heading4"/>
      </w:pPr>
      <w:bookmarkStart w:id="417" w:name="_Toc187556332"/>
      <w:r>
        <w:t>2.</w:t>
      </w:r>
      <w:r w:rsidR="00D61046" w:rsidRPr="00D61046">
        <w:t>7.3.3 Dual Impacts of Wildfires on Economic Dynamics</w:t>
      </w:r>
      <w:bookmarkEnd w:id="417"/>
    </w:p>
    <w:p w14:paraId="5D4E9980" w14:textId="77777777" w:rsidR="00D61046" w:rsidRPr="00D61046" w:rsidRDefault="00D61046" w:rsidP="00554455">
      <w:pPr>
        <w:rPr>
          <w:rFonts w:eastAsia="Calibri" w:cs="Times New Roman"/>
          <w:lang/>
        </w:rPr>
      </w:pPr>
      <w:r w:rsidRPr="00D61046">
        <w:rPr>
          <w:rFonts w:eastAsia="Calibri" w:cs="Times New Roman"/>
          <w:lang/>
        </w:rPr>
        <w:t xml:space="preserve">The study highlights the dual nature of wildfire impacts, where intense fires disrupt establishment births but simultaneously create recovery-driven sales opportunities. This finding aligns with disaster recovery economics </w:t>
      </w:r>
      <w:bookmarkStart w:id="418" w:name="_Hlk187247011"/>
      <w:r w:rsidRPr="00D61046">
        <w:rPr>
          <w:rFonts w:eastAsia="Calibri" w:cs="Times New Roman"/>
          <w:lang/>
        </w:rPr>
        <w:t>(Albala-Bertrand, 1993)</w:t>
      </w:r>
      <w:bookmarkEnd w:id="418"/>
      <w:r w:rsidRPr="00D61046">
        <w:rPr>
          <w:rFonts w:eastAsia="Calibri" w:cs="Times New Roman"/>
          <w:lang/>
        </w:rPr>
        <w:t xml:space="preserve"> and emphasizes the need for policies that balance immediate recovery with long-term sustainability.</w:t>
      </w:r>
    </w:p>
    <w:p w14:paraId="2B63AA01" w14:textId="355415A3" w:rsidR="00D61046" w:rsidRPr="00D61046" w:rsidRDefault="00030874" w:rsidP="00554455">
      <w:pPr>
        <w:pStyle w:val="Heading3"/>
      </w:pPr>
      <w:bookmarkStart w:id="419" w:name="_Toc187556333"/>
      <w:bookmarkStart w:id="420" w:name="_Toc188379029"/>
      <w:r>
        <w:rPr>
          <w:lang w:val="en-US"/>
        </w:rPr>
        <w:t>2.</w:t>
      </w:r>
      <w:r w:rsidR="00D61046" w:rsidRPr="00D61046">
        <w:t>7.4 Policy Implications</w:t>
      </w:r>
      <w:bookmarkEnd w:id="419"/>
      <w:bookmarkEnd w:id="420"/>
    </w:p>
    <w:p w14:paraId="297DAE6C" w14:textId="77777777" w:rsidR="00D61046" w:rsidRPr="00D61046" w:rsidRDefault="00D61046" w:rsidP="00554455">
      <w:pPr>
        <w:rPr>
          <w:rFonts w:cs="Times New Roman"/>
          <w:lang/>
        </w:rPr>
      </w:pPr>
      <w:r w:rsidRPr="00D61046">
        <w:rPr>
          <w:rFonts w:cs="Times New Roman"/>
          <w:lang/>
        </w:rPr>
        <w:t xml:space="preserve">The findings of this study provide a foundation for targeted policies to mitigate wildfire-induced economic disruptions and enhance resilience in affected sectors. By addressing the distinct </w:t>
      </w:r>
      <w:r w:rsidRPr="00D61046">
        <w:rPr>
          <w:rFonts w:cs="Times New Roman"/>
          <w:lang/>
        </w:rPr>
        <w:lastRenderedPageBreak/>
        <w:t>impacts of wildfire frequency and intensity, these recommendations focus on actionable strategies aligned with the empirical results.</w:t>
      </w:r>
    </w:p>
    <w:p w14:paraId="559938B4" w14:textId="1A0B9C67" w:rsidR="00D61046" w:rsidRPr="00D61046" w:rsidRDefault="00030874" w:rsidP="001953BB">
      <w:pPr>
        <w:pStyle w:val="Heading4"/>
      </w:pPr>
      <w:bookmarkStart w:id="421" w:name="_Toc187556334"/>
      <w:r>
        <w:t>2.</w:t>
      </w:r>
      <w:r w:rsidR="00D61046" w:rsidRPr="00D61046">
        <w:t>7.4.1 Strengthening Resilience in Vulnerable Sectors</w:t>
      </w:r>
      <w:bookmarkEnd w:id="421"/>
    </w:p>
    <w:p w14:paraId="72213890" w14:textId="77777777" w:rsidR="00D61046" w:rsidRPr="00D61046" w:rsidRDefault="00D61046" w:rsidP="00554455">
      <w:pPr>
        <w:rPr>
          <w:rFonts w:cs="Times New Roman"/>
          <w:lang/>
        </w:rPr>
      </w:pPr>
      <w:r w:rsidRPr="00D61046">
        <w:rPr>
          <w:rFonts w:cs="Times New Roman"/>
          <w:b/>
          <w:bCs/>
          <w:lang/>
        </w:rPr>
        <w:t>Agriculture:</w:t>
      </w:r>
      <w:r w:rsidRPr="00D61046">
        <w:rPr>
          <w:rFonts w:cs="Times New Roman"/>
          <w:lang/>
        </w:rPr>
        <w:t xml:space="preserve"> As the sector most vulnerable to wildfires, Agriculture experiences significant declines in establishment births and employment due to land degradation, environmental instability, and reduced soil fertility. Wildfires can exacerbate desertification, especially in regions with arid or semi-arid climates, where vegetation loss leads to soil erosion, reduced water retention, and long-term declines in land productivity (D’Odorico et al., 2013). Policymakers should promote climate-resilient farming practices, such as drought-resistant crops, improved irrigation systems, and sustainable land management, to mitigate these risks and improve adaptive capacity.</w:t>
      </w:r>
    </w:p>
    <w:p w14:paraId="7F83F115" w14:textId="77777777" w:rsidR="00D61046" w:rsidRPr="00D61046" w:rsidRDefault="00D61046" w:rsidP="00554455">
      <w:pPr>
        <w:rPr>
          <w:rFonts w:cs="Times New Roman"/>
          <w:lang/>
        </w:rPr>
      </w:pPr>
      <w:r w:rsidRPr="00D61046">
        <w:rPr>
          <w:rFonts w:cs="Times New Roman"/>
          <w:lang/>
        </w:rPr>
        <w:t>Monoculture farming systems, which dominate in some wildfire-prone regions, increase vulnerability by reducing biodiversity and ecosystem resilience. These systems create homogenous landscapes that can accelerate the spread and intensity of wildfires while diminishing the soil’s ability to recover after fire events (Pausas &amp; Keeley, 2021). Encouraging a transition to regenerative agriculture, which includes practices such as crop rotation, cover cropping, and agroforestry, can enhance soil health, boost biodiversity, and reduce wildfire risks. Regenerative practices not only improve ecosystem resilience but also offer economic benefits by increasing the sustainability and profitability of agricultural operations (Lal, 2020).</w:t>
      </w:r>
    </w:p>
    <w:p w14:paraId="03C4ADBD" w14:textId="77777777" w:rsidR="00D61046" w:rsidRPr="00D61046" w:rsidRDefault="00D61046" w:rsidP="00554455">
      <w:pPr>
        <w:rPr>
          <w:rFonts w:cs="Times New Roman"/>
          <w:lang/>
        </w:rPr>
      </w:pPr>
      <w:r w:rsidRPr="00D61046">
        <w:rPr>
          <w:rFonts w:cs="Times New Roman"/>
          <w:lang/>
        </w:rPr>
        <w:t xml:space="preserve">Land restoration programs play a critical role in rehabilitating degraded areas post-wildfire. Restoring native vegetation, stabilizing soil, and improving water management can prevent </w:t>
      </w:r>
      <w:r w:rsidRPr="00D61046">
        <w:rPr>
          <w:rFonts w:cs="Times New Roman"/>
          <w:lang/>
        </w:rPr>
        <w:lastRenderedPageBreak/>
        <w:t>further soil erosion and foster ecological recovery. These initiatives are essential for economic recovery, encouraging new business formation in agricultural regions, and mitigating the long-term impacts of wildfires. Integrating these strategies into regional climate adaptation plans can bolster the resilience of agricultural communities in wildfire-prone regions, ensuring sustainable livelihoods while reducing exposure to future risks.</w:t>
      </w:r>
    </w:p>
    <w:p w14:paraId="2B49EFEC" w14:textId="77777777" w:rsidR="00D61046" w:rsidRPr="00D61046" w:rsidRDefault="00D61046" w:rsidP="00554455">
      <w:pPr>
        <w:rPr>
          <w:rFonts w:cs="Times New Roman"/>
          <w:lang/>
        </w:rPr>
      </w:pPr>
      <w:r w:rsidRPr="00D61046">
        <w:rPr>
          <w:rFonts w:cs="Times New Roman"/>
          <w:b/>
          <w:bCs/>
          <w:lang/>
        </w:rPr>
        <w:t>Construction:</w:t>
      </w:r>
      <w:r w:rsidRPr="00D61046">
        <w:rPr>
          <w:rFonts w:cs="Times New Roman"/>
          <w:lang/>
        </w:rPr>
        <w:t xml:space="preserve"> Given its pivotal role in post-wildfire recovery, Construction requires policy support to enhance resilience and sustainability. Enforcing fire-resistant building codes, incentivizing the use of sustainable materials, and investing in advanced construction technologies can help reduce future wildfire risks while supporting recovery efforts.</w:t>
      </w:r>
    </w:p>
    <w:p w14:paraId="4E85F66B" w14:textId="77777777" w:rsidR="00D61046" w:rsidRPr="00D61046" w:rsidRDefault="00D61046" w:rsidP="00554455">
      <w:pPr>
        <w:rPr>
          <w:rFonts w:cs="Times New Roman"/>
          <w:lang/>
        </w:rPr>
      </w:pPr>
      <w:r w:rsidRPr="00D61046">
        <w:rPr>
          <w:rFonts w:cs="Times New Roman"/>
          <w:b/>
          <w:bCs/>
          <w:lang/>
        </w:rPr>
        <w:t>Utilities:</w:t>
      </w:r>
      <w:r w:rsidRPr="00D61046">
        <w:rPr>
          <w:rFonts w:cs="Times New Roman"/>
          <w:lang/>
        </w:rPr>
        <w:t xml:space="preserve"> Utilities demonstrate resilience under wildfire intensity, benefiting from recovery-driven demand for emergency and restoration services. To strengthen this sector’s adaptive capacity, policymakers should prioritize investments in resilient infrastructure, such as underground power lines and wildfire-resistant grid systems, which can minimize service disruptions and reduce economic losses.</w:t>
      </w:r>
    </w:p>
    <w:p w14:paraId="044B3DDE" w14:textId="0E0FD296" w:rsidR="00D61046" w:rsidRPr="00D61046" w:rsidRDefault="00030874" w:rsidP="001953BB">
      <w:pPr>
        <w:pStyle w:val="Heading4"/>
      </w:pPr>
      <w:bookmarkStart w:id="422" w:name="_Toc187556335"/>
      <w:r>
        <w:t>2.</w:t>
      </w:r>
      <w:r w:rsidR="00D61046" w:rsidRPr="00D61046">
        <w:t>7.4.2 Reducing Outward Migrations and Supporting Business Retention</w:t>
      </w:r>
      <w:bookmarkEnd w:id="422"/>
    </w:p>
    <w:p w14:paraId="55911CB4" w14:textId="77777777" w:rsidR="00D61046" w:rsidRPr="00D61046" w:rsidRDefault="00D61046" w:rsidP="00554455">
      <w:pPr>
        <w:rPr>
          <w:rFonts w:cs="Times New Roman"/>
          <w:lang/>
        </w:rPr>
      </w:pPr>
      <w:r w:rsidRPr="00D61046">
        <w:rPr>
          <w:rFonts w:cs="Times New Roman"/>
          <w:b/>
          <w:bCs/>
          <w:lang/>
        </w:rPr>
        <w:t>Business Retention Incentives:</w:t>
      </w:r>
      <w:r w:rsidRPr="00D61046">
        <w:rPr>
          <w:rFonts w:cs="Times New Roman"/>
          <w:lang/>
        </w:rPr>
        <w:t xml:space="preserve"> Wildfire frequency drives outward relocations, particularly in Mining, Construction, and Manufacturing, as businesses seek safer operational environments. Policymakers should offer tax incentives, grants, and subsidies to encourage investments in fire-resistant technologies and infrastructure, reducing the economic pressures that lead to relocation.</w:t>
      </w:r>
    </w:p>
    <w:p w14:paraId="3B0701ED" w14:textId="77777777" w:rsidR="00D61046" w:rsidRPr="00D61046" w:rsidRDefault="00D61046" w:rsidP="00554455">
      <w:pPr>
        <w:rPr>
          <w:rFonts w:cs="Times New Roman"/>
          <w:lang/>
        </w:rPr>
      </w:pPr>
      <w:r w:rsidRPr="00D61046">
        <w:rPr>
          <w:rFonts w:cs="Times New Roman"/>
          <w:b/>
          <w:bCs/>
          <w:lang/>
        </w:rPr>
        <w:lastRenderedPageBreak/>
        <w:t>Risk Mitigation Programs:</w:t>
      </w:r>
      <w:r w:rsidRPr="00D61046">
        <w:rPr>
          <w:rFonts w:cs="Times New Roman"/>
          <w:lang/>
        </w:rPr>
        <w:t xml:space="preserve"> Public-private risk-sharing mechanisms, such as subsidized insurance premiums or wildfire recovery loans, can offset the costs of disruptions for businesses, making it more feasible for them to remain in high-risk areas.</w:t>
      </w:r>
    </w:p>
    <w:p w14:paraId="16E1C774" w14:textId="77777777" w:rsidR="00D61046" w:rsidRPr="00D61046" w:rsidRDefault="00D61046" w:rsidP="00554455">
      <w:pPr>
        <w:rPr>
          <w:rFonts w:cs="Times New Roman"/>
          <w:lang/>
        </w:rPr>
      </w:pPr>
      <w:r w:rsidRPr="00D61046">
        <w:rPr>
          <w:rFonts w:cs="Times New Roman"/>
          <w:b/>
          <w:bCs/>
          <w:lang/>
        </w:rPr>
        <w:t>Improved Risk Communication:</w:t>
      </w:r>
      <w:r w:rsidRPr="00D61046">
        <w:rPr>
          <w:rFonts w:cs="Times New Roman"/>
          <w:lang/>
        </w:rPr>
        <w:t xml:space="preserve"> Transparent communication of wildfire risks and preparedness measures is essential to restoring confidence in wildfire-prone regions. Policymakers can establish centralized platforms to provide real-time updates, risk assessments, and guidance on recovery efforts, enabling businesses to plan more effectively and remain operational.</w:t>
      </w:r>
    </w:p>
    <w:p w14:paraId="6EAD6542" w14:textId="1736EA18" w:rsidR="00D61046" w:rsidRPr="00D61046" w:rsidRDefault="00030874" w:rsidP="001953BB">
      <w:pPr>
        <w:pStyle w:val="Heading4"/>
      </w:pPr>
      <w:bookmarkStart w:id="423" w:name="_Toc187556336"/>
      <w:r>
        <w:t>2.</w:t>
      </w:r>
      <w:r w:rsidR="00D61046" w:rsidRPr="00D61046">
        <w:t>7.4.3 Promoting Recovery and Workforce Adaptation</w:t>
      </w:r>
      <w:bookmarkEnd w:id="423"/>
    </w:p>
    <w:p w14:paraId="0D12970E" w14:textId="77777777" w:rsidR="00D61046" w:rsidRPr="00D61046" w:rsidRDefault="00D61046" w:rsidP="00554455">
      <w:pPr>
        <w:rPr>
          <w:rFonts w:cs="Times New Roman"/>
          <w:lang/>
        </w:rPr>
      </w:pPr>
      <w:r w:rsidRPr="00D61046">
        <w:rPr>
          <w:rFonts w:cs="Times New Roman"/>
          <w:b/>
          <w:bCs/>
          <w:lang/>
        </w:rPr>
        <w:t>Job Training and Workforce Mobility:</w:t>
      </w:r>
      <w:r w:rsidRPr="00D61046">
        <w:rPr>
          <w:rFonts w:cs="Times New Roman"/>
          <w:lang/>
        </w:rPr>
        <w:t xml:space="preserve"> Wildfires disrupt employment in vulnerable sectors like Agriculture while creating opportunities in recovery-focused industries such as Construction and Utilities. Job training programs should target displaced workers, equipping them with skills in construction technology, utility restoration, and disaster management. This can help fill labor gaps in recovery-driven sectors while mitigating unemployment in wildfire-affected areas.</w:t>
      </w:r>
    </w:p>
    <w:p w14:paraId="1D39B427" w14:textId="77777777" w:rsidR="00D61046" w:rsidRPr="00D61046" w:rsidRDefault="00D61046" w:rsidP="00554455">
      <w:pPr>
        <w:rPr>
          <w:rFonts w:cs="Times New Roman"/>
          <w:lang/>
        </w:rPr>
      </w:pPr>
      <w:r w:rsidRPr="00D61046">
        <w:rPr>
          <w:rFonts w:cs="Times New Roman"/>
          <w:b/>
          <w:bCs/>
          <w:lang/>
        </w:rPr>
        <w:t>Equitable Recovery Strategies:</w:t>
      </w:r>
      <w:r w:rsidRPr="00D61046">
        <w:rPr>
          <w:rFonts w:cs="Times New Roman"/>
          <w:lang/>
        </w:rPr>
        <w:t xml:space="preserve"> Recovery efforts must prioritize support for disadvantaged communities and small businesses disproportionately affected by wildfires. Targeted grants and microloans, combined with technical assistance programs, can ensure that these groups have equitable access to recovery resources, reducing long-term economic disparities in fire-prone regions.</w:t>
      </w:r>
    </w:p>
    <w:p w14:paraId="49C0FB42" w14:textId="77777777" w:rsidR="00D61046" w:rsidRPr="00D61046" w:rsidRDefault="00D61046" w:rsidP="00554455">
      <w:pPr>
        <w:rPr>
          <w:rFonts w:cs="Times New Roman"/>
          <w:lang/>
        </w:rPr>
      </w:pPr>
      <w:r w:rsidRPr="00D61046">
        <w:rPr>
          <w:rFonts w:cs="Times New Roman"/>
          <w:b/>
          <w:bCs/>
          <w:lang/>
        </w:rPr>
        <w:t>Balancing Recovery with Sustainability:</w:t>
      </w:r>
      <w:r w:rsidRPr="00D61046">
        <w:rPr>
          <w:rFonts w:cs="Times New Roman"/>
          <w:lang/>
        </w:rPr>
        <w:t xml:space="preserve"> While recovery activities generate temporary economic boosts, overreliance on post-disaster rebuilding can perpetuate vulnerabilities. </w:t>
      </w:r>
      <w:r w:rsidRPr="00D61046">
        <w:rPr>
          <w:rFonts w:cs="Times New Roman"/>
          <w:lang/>
        </w:rPr>
        <w:lastRenderedPageBreak/>
        <w:t>Policymakers should balance immediate recovery investments with strategies that reduce future risks, such as fire-resilient land-use planning, sustainable resource management, and integrated community-led preparedness programs.</w:t>
      </w:r>
    </w:p>
    <w:p w14:paraId="0B73EA92" w14:textId="38CE0751" w:rsidR="00D61046" w:rsidRPr="00D61046" w:rsidRDefault="00030874" w:rsidP="001953BB">
      <w:pPr>
        <w:pStyle w:val="Heading4"/>
      </w:pPr>
      <w:bookmarkStart w:id="424" w:name="_Toc187556337"/>
      <w:r>
        <w:t>2.</w:t>
      </w:r>
      <w:r w:rsidR="00D61046" w:rsidRPr="00D61046">
        <w:t>7.4.4 Coordinating Cross-Sectoral Collaboration</w:t>
      </w:r>
      <w:bookmarkEnd w:id="424"/>
    </w:p>
    <w:p w14:paraId="78FAA379" w14:textId="77777777" w:rsidR="00D61046" w:rsidRPr="00D61046" w:rsidRDefault="00D61046" w:rsidP="00554455">
      <w:pPr>
        <w:rPr>
          <w:rFonts w:cs="Times New Roman"/>
          <w:lang/>
        </w:rPr>
      </w:pPr>
      <w:r w:rsidRPr="00D61046">
        <w:rPr>
          <w:rFonts w:cs="Times New Roman"/>
          <w:lang/>
        </w:rPr>
        <w:t>Effective resilience strategies require coordination between public and private stakeholders, academic researchers, and community organizations. Public-private partnerships can drive large-scale infrastructure improvements, such as wildfire-resistant grids and regional firebreak systems. Academic contributions can inform evidence-based policy design, ensuring that resilience measures align with the latest empirical findings. Localized initiatives, including participatory planning and citizen-led recovery programs, can enhance community preparedness and ensure recovery efforts are inclusive and impactful.</w:t>
      </w:r>
    </w:p>
    <w:p w14:paraId="425E6140" w14:textId="1490C26F" w:rsidR="00D61046" w:rsidRPr="00D61046" w:rsidRDefault="00030874" w:rsidP="00554455">
      <w:pPr>
        <w:pStyle w:val="Heading3"/>
      </w:pPr>
      <w:bookmarkStart w:id="425" w:name="_Toc187556338"/>
      <w:bookmarkStart w:id="426" w:name="_Toc188379030"/>
      <w:r>
        <w:rPr>
          <w:lang w:val="en-US"/>
        </w:rPr>
        <w:t>2.</w:t>
      </w:r>
      <w:r w:rsidR="00D61046" w:rsidRPr="00D61046">
        <w:t>7.5 Limitations</w:t>
      </w:r>
      <w:bookmarkEnd w:id="425"/>
      <w:bookmarkEnd w:id="426"/>
    </w:p>
    <w:p w14:paraId="39C5BDAD" w14:textId="77777777" w:rsidR="00D61046" w:rsidRPr="00D61046" w:rsidRDefault="00D61046" w:rsidP="00554455">
      <w:pPr>
        <w:rPr>
          <w:rFonts w:eastAsia="Calibri" w:cs="Times New Roman"/>
          <w:lang/>
        </w:rPr>
      </w:pPr>
      <w:r w:rsidRPr="00D61046">
        <w:rPr>
          <w:rFonts w:eastAsia="Calibri" w:cs="Times New Roman"/>
          <w:lang/>
        </w:rPr>
        <w:t xml:space="preserve">This study provides valuable insights into the economic impacts of wildfire frequency and intensity across California's LIS sectors and </w:t>
      </w:r>
      <w:r w:rsidRPr="00D61046">
        <w:rPr>
          <w:rFonts w:eastAsia="Calibri" w:cs="Times New Roman"/>
          <w:lang/>
        </w:rPr>
        <w:t>non-LIS</w:t>
      </w:r>
      <w:r w:rsidRPr="00D61046">
        <w:rPr>
          <w:rFonts w:eastAsia="Calibri" w:cs="Times New Roman"/>
          <w:lang/>
        </w:rPr>
        <w:t xml:space="preserve">. However, certain limitations must be acknowledged. First, the use of county-level data may obscure important intra-county variations in wildfire impacts, particularly for large or geographically diverse counties. Second, the analysis primarily focuses on </w:t>
      </w:r>
      <w:r w:rsidRPr="00D61046">
        <w:rPr>
          <w:rFonts w:eastAsia="Calibri" w:cs="Times New Roman"/>
          <w:lang/>
        </w:rPr>
        <w:t>immediate</w:t>
      </w:r>
      <w:r w:rsidRPr="00D61046">
        <w:rPr>
          <w:rFonts w:eastAsia="Calibri" w:cs="Times New Roman"/>
          <w:lang/>
        </w:rPr>
        <w:t xml:space="preserve"> impacts, leaving longer-term recovery trajectories and structural economic adjustments unexplored. Third, while the study examines wildfire impacts at the 2-digit NAICS </w:t>
      </w:r>
      <w:r w:rsidRPr="00D61046">
        <w:rPr>
          <w:rFonts w:eastAsia="Calibri" w:cs="Times New Roman"/>
          <w:lang/>
        </w:rPr>
        <w:t>Super</w:t>
      </w:r>
      <w:r w:rsidRPr="00D61046">
        <w:rPr>
          <w:rFonts w:eastAsia="Calibri" w:cs="Times New Roman"/>
          <w:lang/>
        </w:rPr>
        <w:t xml:space="preserve">sector level, analyzing more granular 3-, 4-, and 5-digit NAICS subsectors could yield deeper insights into within-sector variations, such as specific vulnerabilities or resilience strategies in subindustries. Finally, the sectoral scope, while comprehensive for </w:t>
      </w:r>
      <w:r w:rsidRPr="00D61046">
        <w:rPr>
          <w:rFonts w:eastAsia="Calibri" w:cs="Times New Roman"/>
          <w:lang/>
        </w:rPr>
        <w:t xml:space="preserve">the </w:t>
      </w:r>
      <w:r w:rsidRPr="00D61046">
        <w:rPr>
          <w:rFonts w:eastAsia="Calibri" w:cs="Times New Roman"/>
          <w:lang/>
        </w:rPr>
        <w:lastRenderedPageBreak/>
        <w:t>LIS and Manufacturing, excludes other potentially affected sectors, such as Retail, Tourism, and Healthcare, which could exhibit distinct responses to wildfire risks.</w:t>
      </w:r>
    </w:p>
    <w:p w14:paraId="720A5F20" w14:textId="1225BF38" w:rsidR="00D61046" w:rsidRPr="00D61046" w:rsidRDefault="00030874" w:rsidP="00554455">
      <w:pPr>
        <w:pStyle w:val="Heading3"/>
      </w:pPr>
      <w:bookmarkStart w:id="427" w:name="_Toc187556339"/>
      <w:bookmarkStart w:id="428" w:name="_Toc188379031"/>
      <w:r>
        <w:rPr>
          <w:lang w:val="en-US"/>
        </w:rPr>
        <w:t>2.</w:t>
      </w:r>
      <w:r w:rsidR="00D61046" w:rsidRPr="00D61046">
        <w:t>7.6 Conclusion</w:t>
      </w:r>
      <w:bookmarkEnd w:id="427"/>
      <w:bookmarkEnd w:id="428"/>
    </w:p>
    <w:bookmarkEnd w:id="383"/>
    <w:p w14:paraId="12F04132" w14:textId="77777777" w:rsidR="00D61046" w:rsidRPr="00D61046" w:rsidRDefault="00D61046" w:rsidP="00554455">
      <w:pPr>
        <w:rPr>
          <w:rFonts w:eastAsia="Calibri" w:cs="Times New Roman"/>
          <w:lang/>
        </w:rPr>
      </w:pPr>
      <w:r w:rsidRPr="00D61046">
        <w:rPr>
          <w:rFonts w:eastAsia="Calibri" w:cs="Times New Roman"/>
          <w:lang/>
        </w:rPr>
        <w:t>This study provides empirical evidence on how wildfire frequency and intensity reshape economic outcomes across California’s land-intensive sectors (LIS) and the representative non-LIS sector, Manufacturing. By disentangling the disruptive impacts of recurring wildfires from the recovery-driven opportunities associated with severe burned areas, the findings offer important contributions to disaster economics and resilience policy.</w:t>
      </w:r>
    </w:p>
    <w:p w14:paraId="2601C44D" w14:textId="77777777" w:rsidR="00D61046" w:rsidRPr="00D61046" w:rsidRDefault="00D61046" w:rsidP="00554455">
      <w:pPr>
        <w:rPr>
          <w:rFonts w:eastAsia="Calibri" w:cs="Times New Roman"/>
          <w:lang/>
        </w:rPr>
      </w:pPr>
      <w:r w:rsidRPr="00D61046">
        <w:rPr>
          <w:rFonts w:eastAsia="Calibri" w:cs="Times New Roman"/>
          <w:lang/>
        </w:rPr>
        <w:t>Wildfire frequency emerges as a persistent disruptor, significantly increasing establishment deaths and outward relocations at both the aggregate LIS level and across its subsectors. Wildfire intensity, while suppressing establishment births, drives sales growth in recovery-oriented sectors such as Construction and Utilities. Agriculture stands out as the most vulnerable sector, suffering sharp declines in births and employment due to its dependency on stable environmental conditions. In contrast, Utilities and Construction exhibit resilience by leveraging recovery demand to support employment and sales, while Mining and Manufacturing adopt mobility-driven adaptations to mitigate wildfire risks.</w:t>
      </w:r>
    </w:p>
    <w:p w14:paraId="2CD48D19" w14:textId="77777777" w:rsidR="00D61046" w:rsidRPr="00D61046" w:rsidRDefault="00D61046" w:rsidP="00554455">
      <w:pPr>
        <w:rPr>
          <w:rFonts w:eastAsia="Calibri" w:cs="Times New Roman"/>
          <w:lang/>
        </w:rPr>
      </w:pPr>
      <w:r w:rsidRPr="00D61046">
        <w:rPr>
          <w:rFonts w:eastAsia="Calibri" w:cs="Times New Roman"/>
          <w:lang/>
        </w:rPr>
        <w:t xml:space="preserve">This research advances disaster economics by validating theories of environmental mobility and resilience, demonstrating how wildfires disrupt business continuity while catalyzing recovery-driven economic activity. It also highlights sectoral heterogeneity, linking resource dependency and recovery roles to adaptive capacity. Finally, it provides policymakers with actionable insights for mitigating wildfire-induced economic risks, emphasizing the need for tailored </w:t>
      </w:r>
      <w:r w:rsidRPr="00D61046">
        <w:rPr>
          <w:rFonts w:eastAsia="Calibri" w:cs="Times New Roman"/>
          <w:lang/>
        </w:rPr>
        <w:lastRenderedPageBreak/>
        <w:t>strategies that enhance resilience in vulnerable sectors while supporting recovery-driven industries.</w:t>
      </w:r>
    </w:p>
    <w:p w14:paraId="7135CABA" w14:textId="77777777" w:rsidR="00D61046" w:rsidRPr="00D61046" w:rsidRDefault="00D61046" w:rsidP="00554455">
      <w:pPr>
        <w:rPr>
          <w:rFonts w:eastAsia="Calibri" w:cs="Times New Roman"/>
          <w:lang/>
        </w:rPr>
      </w:pPr>
      <w:r w:rsidRPr="00D61046">
        <w:rPr>
          <w:rFonts w:eastAsia="Calibri" w:cs="Times New Roman"/>
          <w:lang/>
        </w:rPr>
        <w:t>These findings underscore the necessity of balancing immediate recovery efforts with sustainable long-term strategies. Addressing the dual nature of wildfire impacts and focusing on sector-specific vulnerabilities and opportunities equips policymakers with evidence-based tools to strengthen regional economies in the face of escalating climate challenges.</w:t>
      </w:r>
    </w:p>
    <w:p w14:paraId="37AF28D3" w14:textId="77777777" w:rsidR="00D61046" w:rsidRPr="00D61046" w:rsidRDefault="00D61046" w:rsidP="00554455">
      <w:pPr>
        <w:rPr>
          <w:rFonts w:eastAsia="Calibri" w:cs="Times New Roman"/>
          <w:lang/>
        </w:rPr>
      </w:pPr>
      <w:r w:rsidRPr="00D61046">
        <w:rPr>
          <w:rFonts w:eastAsia="Calibri" w:cs="Times New Roman"/>
          <w:lang/>
        </w:rPr>
        <w:t>The final section synthesizes these insights, situates them within the broader literature, and outlines the path forward for translating this evidence into effective policies to enhance economic resilience and sustainability in wildfire-prone regions.</w:t>
      </w:r>
    </w:p>
    <w:p w14:paraId="55BDE5D1" w14:textId="335AFA29" w:rsidR="00D61046" w:rsidRPr="00D61046" w:rsidRDefault="00030874" w:rsidP="00E4693E">
      <w:pPr>
        <w:pStyle w:val="Heading2"/>
        <w:rPr>
          <w:lang/>
        </w:rPr>
      </w:pPr>
      <w:bookmarkStart w:id="429" w:name="_Toc187556340"/>
      <w:bookmarkStart w:id="430" w:name="_Toc188379032"/>
      <w:r>
        <w:t>2.</w:t>
      </w:r>
      <w:r w:rsidR="00D61046" w:rsidRPr="00D61046">
        <w:t>8</w:t>
      </w:r>
      <w:r w:rsidR="00D61046" w:rsidRPr="00D61046">
        <w:rPr>
          <w:lang/>
        </w:rPr>
        <w:t xml:space="preserve"> Conclusion</w:t>
      </w:r>
      <w:bookmarkEnd w:id="429"/>
      <w:bookmarkEnd w:id="430"/>
    </w:p>
    <w:p w14:paraId="7126617C" w14:textId="77777777" w:rsidR="00D61046" w:rsidRPr="00D61046" w:rsidRDefault="00D61046" w:rsidP="00554455">
      <w:pPr>
        <w:rPr>
          <w:rFonts w:eastAsia="Calibri" w:cs="Times New Roman"/>
          <w:lang/>
        </w:rPr>
      </w:pPr>
      <w:r w:rsidRPr="00D61046">
        <w:rPr>
          <w:rFonts w:eastAsia="Calibri" w:cs="Times New Roman"/>
          <w:lang/>
        </w:rPr>
        <w:t>This study rigorously examines the economic impacts of wildfire frequency and intensity on California’s land-intensive sectors (LIS) and Manufacturing, providing empirical evidence on how wildfires reshape establishment dynamics, employment, and sales performance. By employing Poisson Pseudo-Maximum Likelihood (PPML) with high-dimensional fixed effects, the analysis disentangles the disruptive effects of recurring wildfires from the recovery-driven opportunities created by severe burned areas, addressing key research objectives.</w:t>
      </w:r>
    </w:p>
    <w:p w14:paraId="6876B4BA" w14:textId="77777777" w:rsidR="00D61046" w:rsidRPr="00D61046" w:rsidRDefault="00D61046" w:rsidP="00554455">
      <w:pPr>
        <w:rPr>
          <w:rFonts w:eastAsia="Calibri" w:cs="Times New Roman"/>
          <w:lang/>
        </w:rPr>
      </w:pPr>
      <w:r w:rsidRPr="00D61046">
        <w:rPr>
          <w:rFonts w:eastAsia="Calibri" w:cs="Times New Roman"/>
          <w:lang/>
        </w:rPr>
        <w:t xml:space="preserve">The findings reveal that wildfire frequency destabilizes local economies by increasing establishment deaths (+0.94%) and outward relocations (+14%), particularly in Agriculture and Mining, which depend on stable environmental conditions and physical resources. Wildfire intensity, while suppressing establishment births (-1.75% in Agriculture), stimulates sales growth </w:t>
      </w:r>
      <w:r w:rsidRPr="00D61046">
        <w:rPr>
          <w:rFonts w:eastAsia="Calibri" w:cs="Times New Roman"/>
          <w:lang/>
        </w:rPr>
        <w:lastRenderedPageBreak/>
        <w:t>in recovery-oriented sectors such as Construction (+2.01%) and Utilities (+1.90%), demonstrating the dual nature of wildfires as both disruptors and drivers of localized recovery.</w:t>
      </w:r>
    </w:p>
    <w:p w14:paraId="2D0025F4" w14:textId="77777777" w:rsidR="00D61046" w:rsidRPr="00D61046" w:rsidRDefault="00D61046" w:rsidP="00554455">
      <w:pPr>
        <w:rPr>
          <w:rFonts w:eastAsia="Calibri" w:cs="Times New Roman"/>
          <w:lang/>
        </w:rPr>
      </w:pPr>
      <w:r w:rsidRPr="00D61046">
        <w:rPr>
          <w:rFonts w:eastAsia="Calibri" w:cs="Times New Roman"/>
          <w:lang/>
        </w:rPr>
        <w:t>Sectoral heterogeneity emerges as a defining feature of wildfire impacts. Agriculture is the most vulnerable sector, experiencing sharp declines in births and employment due to land degradation and environmental instability. In contrast, Utilities and Construction exhibit resilience, leveraging recovery-driven demand to achieve employment and sales gains. Manufacturing mirrors some LIS trends, including relocations and recovery-driven sales growth, but faces unique challenges such as production disruptions and workforce displacement under intense wildfires. These insights confirm the sector-specific dynamics outlined in the research objectives and advance understanding of the differential impacts of wildfires.</w:t>
      </w:r>
    </w:p>
    <w:p w14:paraId="79BCC812" w14:textId="77777777" w:rsidR="00D61046" w:rsidRPr="00D61046" w:rsidRDefault="00D61046" w:rsidP="00554455">
      <w:pPr>
        <w:rPr>
          <w:rFonts w:eastAsia="Calibri" w:cs="Times New Roman"/>
          <w:lang/>
        </w:rPr>
      </w:pPr>
      <w:r w:rsidRPr="00D61046">
        <w:rPr>
          <w:rFonts w:eastAsia="Calibri" w:cs="Times New Roman"/>
          <w:lang/>
        </w:rPr>
        <w:t>This research makes significant contributions to multiple literatures. In disaster economics, it validates theories of environmental mobility and resilience by illustrating how wildfires disrupt traditional business stability while fostering recovery-driven growth. It also advances industrial organization and location theory by showing how wildfire risks reshape business location decisions, with capital mobility playing a central role in adaptation. In land-use economics, the findings provide empirical evidence on the interplay between environmental degradation and economic activity, emphasizing the role of resource dependency in shaping sectoral vulnerability and resilience.</w:t>
      </w:r>
    </w:p>
    <w:p w14:paraId="5A5450D9" w14:textId="77777777" w:rsidR="00D61046" w:rsidRPr="00D61046" w:rsidRDefault="00D61046" w:rsidP="00554455">
      <w:pPr>
        <w:rPr>
          <w:rFonts w:eastAsia="Calibri" w:cs="Times New Roman"/>
          <w:lang/>
        </w:rPr>
      </w:pPr>
      <w:r w:rsidRPr="00D61046">
        <w:rPr>
          <w:rFonts w:eastAsia="Calibri" w:cs="Times New Roman"/>
          <w:lang/>
        </w:rPr>
        <w:t xml:space="preserve">The policy implications are clear and actionable. Climate-resilient farming practices, such as regenerative agriculture and land restoration programs, not only mitigate economic losses in Agriculture but also reduce wildfire risks, enhance ecosystem resilience, and support sustainable </w:t>
      </w:r>
      <w:r w:rsidRPr="00D61046">
        <w:rPr>
          <w:rFonts w:eastAsia="Calibri" w:cs="Times New Roman"/>
          <w:lang/>
        </w:rPr>
        <w:lastRenderedPageBreak/>
        <w:t>recovery. Investments in fire-resistant infrastructure and advanced technologies for Utilities and Construction can stabilize regional economies, minimize disruptions, and prepare for future wildfire events. Business retention policies, including risk-sharing mechanisms, tax incentives, and improved risk communication, are essential for reducing outward relocations and fostering economic stability in fire-prone regions. These strategies should be complemented by equitable recovery efforts that prioritize vulnerable communities and small businesses.</w:t>
      </w:r>
    </w:p>
    <w:p w14:paraId="6FAE8DD7" w14:textId="77777777" w:rsidR="00D61046" w:rsidRPr="00D61046" w:rsidRDefault="00D61046" w:rsidP="00554455">
      <w:pPr>
        <w:rPr>
          <w:rFonts w:eastAsia="Calibri" w:cs="Times New Roman"/>
          <w:lang/>
        </w:rPr>
      </w:pPr>
      <w:r w:rsidRPr="00D61046">
        <w:rPr>
          <w:rFonts w:eastAsia="Calibri" w:cs="Times New Roman"/>
          <w:lang/>
        </w:rPr>
        <w:t>In sum, this study provides a robust framework for understanding the transformative economic impacts of wildfires, bridging gaps in disaster economics by linking disruption with recovery-driven growth. By highlighting sector-specific vulnerabilities, recovery opportunities, and adaptive strategies, it equips policymakers, businesses, and stakeholders with evidence-based insights to foster resilient, adaptive economies in an era of intensifying climate risks. These findings underscore the importance of integrating resilience-building measures into broader climate adaptation plans, ensuring that recovery efforts address both immediate needs and long-term sustainability.</w:t>
      </w:r>
    </w:p>
    <w:p w14:paraId="1684585C" w14:textId="77777777" w:rsidR="00D61046" w:rsidRPr="00D61046" w:rsidRDefault="00D61046" w:rsidP="004C39A4">
      <w:pPr>
        <w:jc w:val="both"/>
        <w:rPr>
          <w:rFonts w:eastAsia="Calibri" w:cs="Times New Roman"/>
          <w:lang/>
        </w:rPr>
      </w:pPr>
      <w:r w:rsidRPr="00D61046">
        <w:rPr>
          <w:rFonts w:eastAsia="Calibri" w:cs="Times New Roman"/>
          <w:lang/>
        </w:rPr>
        <w:br w:type="page"/>
      </w:r>
    </w:p>
    <w:p w14:paraId="6E3E8095" w14:textId="238B59B1" w:rsidR="00D61046" w:rsidRPr="00D61046" w:rsidRDefault="00D61046" w:rsidP="006876D1">
      <w:pPr>
        <w:pStyle w:val="Heading2"/>
      </w:pPr>
      <w:bookmarkStart w:id="431" w:name="_Toc187556341"/>
      <w:bookmarkStart w:id="432" w:name="_Toc188379033"/>
      <w:r w:rsidRPr="00D61046">
        <w:lastRenderedPageBreak/>
        <w:t>References</w:t>
      </w:r>
      <w:bookmarkEnd w:id="431"/>
      <w:bookmarkEnd w:id="432"/>
    </w:p>
    <w:p w14:paraId="7D60D167" w14:textId="6AFC3745" w:rsidR="006015F2" w:rsidRPr="006015F2" w:rsidRDefault="006015F2" w:rsidP="006876D1">
      <w:pPr>
        <w:pStyle w:val="ListParagraph"/>
        <w:numPr>
          <w:ilvl w:val="0"/>
          <w:numId w:val="47"/>
        </w:numPr>
        <w:spacing w:before="0" w:beforeAutospacing="0" w:after="0" w:line="480" w:lineRule="auto"/>
        <w:ind w:left="360"/>
        <w:rPr>
          <w:rFonts w:ascii="Times New Roman" w:hAnsi="Times New Roman"/>
          <w:sz w:val="24"/>
          <w:szCs w:val="24"/>
          <w:lang/>
        </w:rPr>
      </w:pPr>
      <w:r w:rsidRPr="006015F2">
        <w:rPr>
          <w:rFonts w:ascii="Times New Roman" w:hAnsi="Times New Roman"/>
          <w:sz w:val="24"/>
          <w:szCs w:val="24"/>
          <w:lang/>
        </w:rPr>
        <w:t xml:space="preserve">Abatzoglou, J. T., &amp; Williams, A. P. (2016). Impact of anthropogenic climate change on wildfire across western US forests. </w:t>
      </w:r>
      <w:r w:rsidRPr="006015F2">
        <w:rPr>
          <w:rFonts w:ascii="Times New Roman" w:hAnsi="Times New Roman"/>
          <w:i/>
          <w:iCs/>
          <w:sz w:val="24"/>
          <w:szCs w:val="24"/>
          <w:lang/>
        </w:rPr>
        <w:t>Proceedings of the National Academy of Sciences, 113</w:t>
      </w:r>
      <w:r w:rsidRPr="006015F2">
        <w:rPr>
          <w:rFonts w:ascii="Times New Roman" w:hAnsi="Times New Roman"/>
          <w:sz w:val="24"/>
          <w:szCs w:val="24"/>
          <w:lang/>
        </w:rPr>
        <w:t>(42), 11770–11775. https://doi.org/10.1073/pnas.1607171113</w:t>
      </w:r>
    </w:p>
    <w:p w14:paraId="064E5B47" w14:textId="77777777" w:rsidR="006015F2" w:rsidRPr="006015F2" w:rsidRDefault="006015F2" w:rsidP="006015F2">
      <w:pPr>
        <w:pStyle w:val="ListParagraph"/>
        <w:numPr>
          <w:ilvl w:val="0"/>
          <w:numId w:val="47"/>
        </w:numPr>
        <w:spacing w:line="480" w:lineRule="auto"/>
        <w:ind w:left="360"/>
        <w:rPr>
          <w:rFonts w:ascii="Times New Roman" w:hAnsi="Times New Roman"/>
          <w:sz w:val="24"/>
          <w:szCs w:val="24"/>
          <w:lang/>
        </w:rPr>
      </w:pPr>
      <w:r w:rsidRPr="006015F2">
        <w:rPr>
          <w:rFonts w:ascii="Times New Roman" w:hAnsi="Times New Roman"/>
          <w:sz w:val="24"/>
          <w:szCs w:val="24"/>
          <w:lang/>
        </w:rPr>
        <w:t xml:space="preserve">Abe, N., &amp; Shimizutani, S. (2012). The long-term impacts of natural disasters on business mobility. </w:t>
      </w:r>
      <w:r w:rsidRPr="006015F2">
        <w:rPr>
          <w:rFonts w:ascii="Times New Roman" w:hAnsi="Times New Roman"/>
          <w:i/>
          <w:iCs/>
          <w:sz w:val="24"/>
          <w:szCs w:val="24"/>
          <w:lang/>
        </w:rPr>
        <w:t>Economic Census of Japan</w:t>
      </w:r>
      <w:r w:rsidRPr="006015F2">
        <w:rPr>
          <w:rFonts w:ascii="Times New Roman" w:hAnsi="Times New Roman"/>
          <w:sz w:val="24"/>
          <w:szCs w:val="24"/>
          <w:lang/>
        </w:rPr>
        <w:t>.</w:t>
      </w:r>
    </w:p>
    <w:p w14:paraId="071053D7" w14:textId="4363837A" w:rsidR="006015F2" w:rsidRPr="006015F2" w:rsidRDefault="006015F2" w:rsidP="006015F2">
      <w:pPr>
        <w:pStyle w:val="ListParagraph"/>
        <w:numPr>
          <w:ilvl w:val="0"/>
          <w:numId w:val="47"/>
        </w:numPr>
        <w:spacing w:line="480" w:lineRule="auto"/>
        <w:ind w:left="360"/>
        <w:rPr>
          <w:rFonts w:ascii="Times New Roman" w:hAnsi="Times New Roman"/>
          <w:sz w:val="24"/>
          <w:szCs w:val="24"/>
          <w:lang/>
        </w:rPr>
      </w:pPr>
      <w:r w:rsidRPr="006015F2">
        <w:rPr>
          <w:rFonts w:ascii="Times New Roman" w:hAnsi="Times New Roman"/>
          <w:sz w:val="24"/>
          <w:szCs w:val="24"/>
          <w:lang/>
        </w:rPr>
        <w:t xml:space="preserve">Abowd, J. M., &amp; Vilhuber, L. (2008). How protective are synthetic data? </w:t>
      </w:r>
      <w:r w:rsidRPr="006015F2">
        <w:rPr>
          <w:rFonts w:ascii="Times New Roman" w:hAnsi="Times New Roman"/>
          <w:i/>
          <w:iCs/>
          <w:sz w:val="24"/>
          <w:szCs w:val="24"/>
          <w:lang/>
        </w:rPr>
        <w:t>Privacy in Statistical Databases, Lecture Notes in Computer Science, 5262</w:t>
      </w:r>
      <w:r w:rsidRPr="006015F2">
        <w:rPr>
          <w:rFonts w:ascii="Times New Roman" w:hAnsi="Times New Roman"/>
          <w:sz w:val="24"/>
          <w:szCs w:val="24"/>
          <w:lang/>
        </w:rPr>
        <w:t>, 239–246. https://doi.org/10.1007/978-3-540-87471-3_17</w:t>
      </w:r>
    </w:p>
    <w:p w14:paraId="186D168E" w14:textId="77777777" w:rsidR="006015F2" w:rsidRPr="006015F2" w:rsidRDefault="006015F2" w:rsidP="006015F2">
      <w:pPr>
        <w:pStyle w:val="ListParagraph"/>
        <w:numPr>
          <w:ilvl w:val="0"/>
          <w:numId w:val="47"/>
        </w:numPr>
        <w:spacing w:line="480" w:lineRule="auto"/>
        <w:ind w:left="360"/>
        <w:rPr>
          <w:rFonts w:ascii="Times New Roman" w:hAnsi="Times New Roman"/>
          <w:sz w:val="24"/>
          <w:szCs w:val="24"/>
          <w:lang/>
        </w:rPr>
      </w:pPr>
      <w:r w:rsidRPr="006015F2">
        <w:rPr>
          <w:rFonts w:ascii="Times New Roman" w:hAnsi="Times New Roman"/>
          <w:sz w:val="24"/>
          <w:szCs w:val="24"/>
          <w:lang/>
        </w:rPr>
        <w:t xml:space="preserve">Albala-Bertrand, J. M. (1993). </w:t>
      </w:r>
      <w:r w:rsidRPr="006015F2">
        <w:rPr>
          <w:rFonts w:ascii="Times New Roman" w:hAnsi="Times New Roman"/>
          <w:i/>
          <w:iCs/>
          <w:sz w:val="24"/>
          <w:szCs w:val="24"/>
          <w:lang/>
        </w:rPr>
        <w:t>Political economy of large natural disasters: With special reference to developing countries</w:t>
      </w:r>
      <w:r w:rsidRPr="006015F2">
        <w:rPr>
          <w:rFonts w:ascii="Times New Roman" w:hAnsi="Times New Roman"/>
          <w:sz w:val="24"/>
          <w:szCs w:val="24"/>
          <w:lang/>
        </w:rPr>
        <w:t>. Oxford University Press.</w:t>
      </w:r>
    </w:p>
    <w:p w14:paraId="2C0708F3" w14:textId="34E20D90" w:rsidR="006015F2" w:rsidRPr="006015F2" w:rsidRDefault="006015F2" w:rsidP="006015F2">
      <w:pPr>
        <w:pStyle w:val="ListParagraph"/>
        <w:numPr>
          <w:ilvl w:val="0"/>
          <w:numId w:val="47"/>
        </w:numPr>
        <w:spacing w:line="480" w:lineRule="auto"/>
        <w:ind w:left="360"/>
        <w:rPr>
          <w:rFonts w:ascii="Times New Roman" w:hAnsi="Times New Roman"/>
          <w:sz w:val="24"/>
          <w:szCs w:val="24"/>
          <w:lang/>
        </w:rPr>
      </w:pPr>
      <w:r w:rsidRPr="006015F2">
        <w:rPr>
          <w:rFonts w:ascii="Times New Roman" w:hAnsi="Times New Roman"/>
          <w:sz w:val="24"/>
          <w:szCs w:val="24"/>
          <w:lang/>
        </w:rPr>
        <w:t xml:space="preserve">Alves, P. J., Lima, R. C. A., &amp; Emanuel, L. (2022). Natural disasters and establishment performance: Evidence from the 2011 Rio de Janeiro landslides. </w:t>
      </w:r>
      <w:r w:rsidRPr="006015F2">
        <w:rPr>
          <w:rFonts w:ascii="Times New Roman" w:hAnsi="Times New Roman"/>
          <w:i/>
          <w:iCs/>
          <w:sz w:val="24"/>
          <w:szCs w:val="24"/>
          <w:lang/>
        </w:rPr>
        <w:t>Regional Science and Urban Economics, 95</w:t>
      </w:r>
      <w:r w:rsidRPr="006015F2">
        <w:rPr>
          <w:rFonts w:ascii="Times New Roman" w:hAnsi="Times New Roman"/>
          <w:sz w:val="24"/>
          <w:szCs w:val="24"/>
          <w:lang/>
        </w:rPr>
        <w:t>, 103761. https://doi.org/10.1016/j.regsciurbeco.2021.103761</w:t>
      </w:r>
    </w:p>
    <w:p w14:paraId="24EF1112" w14:textId="2F5F9072" w:rsidR="006015F2" w:rsidRPr="006015F2" w:rsidRDefault="006015F2" w:rsidP="006015F2">
      <w:pPr>
        <w:pStyle w:val="ListParagraph"/>
        <w:numPr>
          <w:ilvl w:val="0"/>
          <w:numId w:val="47"/>
        </w:numPr>
        <w:spacing w:line="480" w:lineRule="auto"/>
        <w:ind w:left="360"/>
        <w:rPr>
          <w:rFonts w:ascii="Times New Roman" w:hAnsi="Times New Roman"/>
          <w:sz w:val="24"/>
          <w:szCs w:val="24"/>
          <w:lang/>
        </w:rPr>
      </w:pPr>
      <w:r w:rsidRPr="006015F2">
        <w:rPr>
          <w:rFonts w:ascii="Times New Roman" w:hAnsi="Times New Roman"/>
          <w:sz w:val="24"/>
          <w:szCs w:val="24"/>
          <w:lang/>
        </w:rPr>
        <w:t xml:space="preserve">Auffhammer, M., Hsiang, S. M., Schlenker, W., &amp; Sobel, A. (2013). Using weather data and climate models to estimate the economic impacts of climate change. </w:t>
      </w:r>
      <w:r w:rsidRPr="006015F2">
        <w:rPr>
          <w:rFonts w:ascii="Times New Roman" w:hAnsi="Times New Roman"/>
          <w:i/>
          <w:iCs/>
          <w:sz w:val="24"/>
          <w:szCs w:val="24"/>
          <w:lang/>
        </w:rPr>
        <w:t>Review of Environmental Economics and Policy, 7</w:t>
      </w:r>
      <w:r w:rsidRPr="006015F2">
        <w:rPr>
          <w:rFonts w:ascii="Times New Roman" w:hAnsi="Times New Roman"/>
          <w:sz w:val="24"/>
          <w:szCs w:val="24"/>
          <w:lang/>
        </w:rPr>
        <w:t>(2), 181–198. https://doi.org/10.1093/reep/ret016</w:t>
      </w:r>
    </w:p>
    <w:p w14:paraId="026E9B43" w14:textId="77777777" w:rsidR="006015F2" w:rsidRPr="006015F2" w:rsidRDefault="006015F2" w:rsidP="006015F2">
      <w:pPr>
        <w:pStyle w:val="ListParagraph"/>
        <w:numPr>
          <w:ilvl w:val="0"/>
          <w:numId w:val="47"/>
        </w:numPr>
        <w:spacing w:line="480" w:lineRule="auto"/>
        <w:ind w:left="360"/>
        <w:rPr>
          <w:rFonts w:ascii="Times New Roman" w:hAnsi="Times New Roman"/>
          <w:sz w:val="24"/>
          <w:szCs w:val="24"/>
          <w:lang/>
        </w:rPr>
      </w:pPr>
      <w:r w:rsidRPr="006015F2">
        <w:rPr>
          <w:rFonts w:ascii="Times New Roman" w:hAnsi="Times New Roman"/>
          <w:sz w:val="24"/>
          <w:szCs w:val="24"/>
          <w:lang/>
        </w:rPr>
        <w:t xml:space="preserve">Bartik, A. W., Bertrand, M., Cullen, Z., Glaeser, E. L., Luca, M., &amp; Stanton, C. (2020). The impact of COVID-19 on small business outcomes and expectations. </w:t>
      </w:r>
      <w:r w:rsidRPr="006015F2">
        <w:rPr>
          <w:rFonts w:ascii="Times New Roman" w:hAnsi="Times New Roman"/>
          <w:i/>
          <w:iCs/>
          <w:sz w:val="24"/>
          <w:szCs w:val="24"/>
          <w:lang/>
        </w:rPr>
        <w:t>Proceedings of the National Academy of Sciences, 117</w:t>
      </w:r>
      <w:r w:rsidRPr="006015F2">
        <w:rPr>
          <w:rFonts w:ascii="Times New Roman" w:hAnsi="Times New Roman"/>
          <w:sz w:val="24"/>
          <w:szCs w:val="24"/>
          <w:lang/>
        </w:rPr>
        <w:t>(30), 17656–17666. https://doi.org/10.1073/pnas.2006991117</w:t>
      </w:r>
    </w:p>
    <w:p w14:paraId="684703E6" w14:textId="77777777" w:rsidR="006015F2" w:rsidRPr="006015F2" w:rsidRDefault="006015F2" w:rsidP="006015F2">
      <w:pPr>
        <w:pStyle w:val="ListParagraph"/>
        <w:numPr>
          <w:ilvl w:val="0"/>
          <w:numId w:val="47"/>
        </w:numPr>
        <w:spacing w:line="480" w:lineRule="auto"/>
        <w:ind w:left="360"/>
        <w:rPr>
          <w:rFonts w:ascii="Times New Roman" w:hAnsi="Times New Roman"/>
          <w:sz w:val="24"/>
          <w:szCs w:val="24"/>
          <w:lang/>
        </w:rPr>
      </w:pPr>
      <w:r w:rsidRPr="006015F2">
        <w:rPr>
          <w:rFonts w:ascii="Times New Roman" w:hAnsi="Times New Roman"/>
          <w:sz w:val="24"/>
          <w:szCs w:val="24"/>
          <w:lang/>
        </w:rPr>
        <w:lastRenderedPageBreak/>
        <w:t xml:space="preserve">Basker, E., &amp; Miranda, J. (2018). Taken by storm: Business financing and survival in the aftermath of Hurricane Katrina. </w:t>
      </w:r>
      <w:r w:rsidRPr="006015F2">
        <w:rPr>
          <w:rFonts w:ascii="Times New Roman" w:hAnsi="Times New Roman"/>
          <w:i/>
          <w:iCs/>
          <w:sz w:val="24"/>
          <w:szCs w:val="24"/>
          <w:lang/>
        </w:rPr>
        <w:t>Journal of Economic Geography, 18</w:t>
      </w:r>
      <w:r w:rsidRPr="006015F2">
        <w:rPr>
          <w:rFonts w:ascii="Times New Roman" w:hAnsi="Times New Roman"/>
          <w:sz w:val="24"/>
          <w:szCs w:val="24"/>
          <w:lang/>
        </w:rPr>
        <w:t>(6), 1285–1313.</w:t>
      </w:r>
    </w:p>
    <w:p w14:paraId="076D6EFE" w14:textId="11F71E42" w:rsidR="006015F2" w:rsidRPr="006015F2" w:rsidRDefault="006015F2" w:rsidP="006015F2">
      <w:pPr>
        <w:pStyle w:val="ListParagraph"/>
        <w:numPr>
          <w:ilvl w:val="0"/>
          <w:numId w:val="47"/>
        </w:numPr>
        <w:spacing w:line="480" w:lineRule="auto"/>
        <w:ind w:left="360"/>
        <w:rPr>
          <w:rFonts w:ascii="Times New Roman" w:hAnsi="Times New Roman"/>
          <w:sz w:val="24"/>
          <w:szCs w:val="24"/>
          <w:lang/>
        </w:rPr>
      </w:pPr>
      <w:r w:rsidRPr="006015F2">
        <w:rPr>
          <w:rFonts w:ascii="Times New Roman" w:hAnsi="Times New Roman"/>
          <w:sz w:val="24"/>
          <w:szCs w:val="24"/>
          <w:lang/>
        </w:rPr>
        <w:t xml:space="preserve">Bayham, J., Yoder, J. K., Champ, P. A., &amp; Calkin, D. E. (2022). The economics of wildfire in the United States. </w:t>
      </w:r>
      <w:r w:rsidRPr="006015F2">
        <w:rPr>
          <w:rFonts w:ascii="Times New Roman" w:hAnsi="Times New Roman"/>
          <w:i/>
          <w:iCs/>
          <w:sz w:val="24"/>
          <w:szCs w:val="24"/>
          <w:lang/>
        </w:rPr>
        <w:t>Annual Review of Resource Economics, 14</w:t>
      </w:r>
      <w:r w:rsidRPr="006015F2">
        <w:rPr>
          <w:rFonts w:ascii="Times New Roman" w:hAnsi="Times New Roman"/>
          <w:sz w:val="24"/>
          <w:szCs w:val="24"/>
          <w:lang/>
        </w:rPr>
        <w:t>(1), 379–401. https://doi.org/10.1146/annurev-resource-110119-024819</w:t>
      </w:r>
    </w:p>
    <w:p w14:paraId="0C47C7FD" w14:textId="3DDAC94C" w:rsidR="006015F2" w:rsidRPr="006015F2" w:rsidRDefault="006015F2" w:rsidP="006015F2">
      <w:pPr>
        <w:pStyle w:val="ListParagraph"/>
        <w:numPr>
          <w:ilvl w:val="0"/>
          <w:numId w:val="47"/>
        </w:numPr>
        <w:spacing w:line="480" w:lineRule="auto"/>
        <w:ind w:left="360"/>
        <w:rPr>
          <w:rFonts w:ascii="Times New Roman" w:hAnsi="Times New Roman"/>
          <w:sz w:val="24"/>
          <w:szCs w:val="24"/>
          <w:lang/>
        </w:rPr>
      </w:pPr>
      <w:r w:rsidRPr="006015F2">
        <w:rPr>
          <w:rFonts w:ascii="Times New Roman" w:hAnsi="Times New Roman"/>
          <w:sz w:val="24"/>
          <w:szCs w:val="24"/>
          <w:lang/>
        </w:rPr>
        <w:t xml:space="preserve">Black, R., Adger, W. N., Arnell, N. W., Dercon, S., Geddes, A., &amp; Thomas, D. (2011). The effect of environmental change on human migration. </w:t>
      </w:r>
      <w:r w:rsidRPr="006015F2">
        <w:rPr>
          <w:rFonts w:ascii="Times New Roman" w:hAnsi="Times New Roman"/>
          <w:i/>
          <w:iCs/>
          <w:sz w:val="24"/>
          <w:szCs w:val="24"/>
          <w:lang/>
        </w:rPr>
        <w:t>Global Environmental Change, 21</w:t>
      </w:r>
      <w:r w:rsidRPr="006015F2">
        <w:rPr>
          <w:rFonts w:ascii="Times New Roman" w:hAnsi="Times New Roman"/>
          <w:sz w:val="24"/>
          <w:szCs w:val="24"/>
          <w:lang/>
        </w:rPr>
        <w:t>(Supplement 1), S3–S11. https://doi.org/10.1016/j.gloenvcha.2011.10.001</w:t>
      </w:r>
    </w:p>
    <w:p w14:paraId="38CFF3DA" w14:textId="19B6EC7F" w:rsidR="006015F2" w:rsidRPr="006015F2" w:rsidRDefault="006015F2" w:rsidP="006015F2">
      <w:pPr>
        <w:pStyle w:val="ListParagraph"/>
        <w:numPr>
          <w:ilvl w:val="0"/>
          <w:numId w:val="47"/>
        </w:numPr>
        <w:spacing w:line="480" w:lineRule="auto"/>
        <w:ind w:left="360"/>
        <w:rPr>
          <w:rFonts w:ascii="Times New Roman" w:hAnsi="Times New Roman"/>
          <w:sz w:val="24"/>
          <w:szCs w:val="24"/>
          <w:lang/>
        </w:rPr>
      </w:pPr>
      <w:r w:rsidRPr="006015F2">
        <w:rPr>
          <w:rFonts w:ascii="Times New Roman" w:hAnsi="Times New Roman"/>
          <w:sz w:val="24"/>
          <w:szCs w:val="24"/>
          <w:lang/>
        </w:rPr>
        <w:t xml:space="preserve">BNDES. (2011). BNDES cria dois programas de socorro aos municípios atingidos pelas enchentes no Rio. </w:t>
      </w:r>
      <w:r w:rsidRPr="006015F2">
        <w:rPr>
          <w:rFonts w:ascii="Times New Roman" w:hAnsi="Times New Roman"/>
          <w:i/>
          <w:iCs/>
          <w:sz w:val="24"/>
          <w:szCs w:val="24"/>
          <w:lang/>
        </w:rPr>
        <w:t>BNDES</w:t>
      </w:r>
      <w:r w:rsidRPr="006015F2">
        <w:rPr>
          <w:rFonts w:ascii="Times New Roman" w:hAnsi="Times New Roman"/>
          <w:sz w:val="24"/>
          <w:szCs w:val="24"/>
          <w:lang/>
        </w:rPr>
        <w:t>. Retrieved December 24, 2021, from https://bndes.gov.br</w:t>
      </w:r>
    </w:p>
    <w:p w14:paraId="1CCABBDA" w14:textId="77777777" w:rsidR="006015F2" w:rsidRPr="006015F2" w:rsidRDefault="006015F2" w:rsidP="006015F2">
      <w:pPr>
        <w:pStyle w:val="ListParagraph"/>
        <w:numPr>
          <w:ilvl w:val="0"/>
          <w:numId w:val="47"/>
        </w:numPr>
        <w:spacing w:line="480" w:lineRule="auto"/>
        <w:ind w:left="360"/>
        <w:rPr>
          <w:rFonts w:ascii="Times New Roman" w:hAnsi="Times New Roman"/>
          <w:sz w:val="24"/>
          <w:szCs w:val="24"/>
          <w:lang/>
        </w:rPr>
      </w:pPr>
      <w:r w:rsidRPr="006015F2">
        <w:rPr>
          <w:rFonts w:ascii="Times New Roman" w:hAnsi="Times New Roman"/>
          <w:sz w:val="24"/>
          <w:szCs w:val="24"/>
          <w:lang/>
        </w:rPr>
        <w:t xml:space="preserve">Borgschulte, M., Molitor, D., &amp; Zou, E. Y. (2019). Air pollution and the labor market: Evidence from wildfire smoke. </w:t>
      </w:r>
      <w:r w:rsidRPr="006015F2">
        <w:rPr>
          <w:rFonts w:ascii="Times New Roman" w:hAnsi="Times New Roman"/>
          <w:i/>
          <w:iCs/>
          <w:sz w:val="24"/>
          <w:szCs w:val="24"/>
          <w:lang/>
        </w:rPr>
        <w:t>IZA Discussion Paper</w:t>
      </w:r>
      <w:r w:rsidRPr="006015F2">
        <w:rPr>
          <w:rFonts w:ascii="Times New Roman" w:hAnsi="Times New Roman"/>
          <w:sz w:val="24"/>
          <w:szCs w:val="24"/>
          <w:lang/>
        </w:rPr>
        <w:t>.</w:t>
      </w:r>
    </w:p>
    <w:p w14:paraId="289562E1" w14:textId="7D4E27EF" w:rsidR="006015F2" w:rsidRPr="006015F2" w:rsidRDefault="006015F2" w:rsidP="006015F2">
      <w:pPr>
        <w:pStyle w:val="ListParagraph"/>
        <w:numPr>
          <w:ilvl w:val="0"/>
          <w:numId w:val="47"/>
        </w:numPr>
        <w:spacing w:line="480" w:lineRule="auto"/>
        <w:ind w:left="360"/>
        <w:rPr>
          <w:rFonts w:ascii="Times New Roman" w:hAnsi="Times New Roman"/>
          <w:sz w:val="24"/>
          <w:szCs w:val="24"/>
          <w:lang/>
        </w:rPr>
      </w:pPr>
      <w:r w:rsidRPr="006015F2">
        <w:rPr>
          <w:rFonts w:ascii="Times New Roman" w:hAnsi="Times New Roman"/>
          <w:sz w:val="24"/>
          <w:szCs w:val="24"/>
          <w:lang/>
        </w:rPr>
        <w:t xml:space="preserve">Boustan, L. P., Kahn, M. E., Rhode, P. W., &amp; Yanguas, M. L. (2020). The effect of natural disasters on economic activity in US counties: A century of data. </w:t>
      </w:r>
      <w:r w:rsidRPr="006015F2">
        <w:rPr>
          <w:rFonts w:ascii="Times New Roman" w:hAnsi="Times New Roman"/>
          <w:i/>
          <w:iCs/>
          <w:sz w:val="24"/>
          <w:szCs w:val="24"/>
          <w:lang/>
        </w:rPr>
        <w:t>Journal of Urban Economics, 118</w:t>
      </w:r>
      <w:r w:rsidRPr="006015F2">
        <w:rPr>
          <w:rFonts w:ascii="Times New Roman" w:hAnsi="Times New Roman"/>
          <w:sz w:val="24"/>
          <w:szCs w:val="24"/>
          <w:lang/>
        </w:rPr>
        <w:t>, 103257. https://doi.org/10.1016/j.jue.2020.103257</w:t>
      </w:r>
    </w:p>
    <w:p w14:paraId="05FF0C90" w14:textId="6A30BC1E" w:rsidR="006015F2" w:rsidRPr="006015F2" w:rsidRDefault="006015F2" w:rsidP="006015F2">
      <w:pPr>
        <w:pStyle w:val="ListParagraph"/>
        <w:numPr>
          <w:ilvl w:val="0"/>
          <w:numId w:val="47"/>
        </w:numPr>
        <w:spacing w:line="480" w:lineRule="auto"/>
        <w:ind w:left="360"/>
        <w:rPr>
          <w:rFonts w:ascii="Times New Roman" w:hAnsi="Times New Roman"/>
          <w:sz w:val="24"/>
          <w:szCs w:val="24"/>
          <w:lang/>
        </w:rPr>
      </w:pPr>
      <w:r w:rsidRPr="006015F2">
        <w:rPr>
          <w:rFonts w:ascii="Times New Roman" w:hAnsi="Times New Roman"/>
          <w:sz w:val="24"/>
          <w:szCs w:val="24"/>
          <w:lang/>
        </w:rPr>
        <w:t xml:space="preserve">Burke, M., Hsiang, S. M., &amp; Miguel, E. (2015). Global non-linear effect of temperature on economic production. </w:t>
      </w:r>
      <w:r w:rsidRPr="006015F2">
        <w:rPr>
          <w:rFonts w:ascii="Times New Roman" w:hAnsi="Times New Roman"/>
          <w:i/>
          <w:iCs/>
          <w:sz w:val="24"/>
          <w:szCs w:val="24"/>
          <w:lang/>
        </w:rPr>
        <w:t>Nature, 527</w:t>
      </w:r>
      <w:r w:rsidRPr="006015F2">
        <w:rPr>
          <w:rFonts w:ascii="Times New Roman" w:hAnsi="Times New Roman"/>
          <w:sz w:val="24"/>
          <w:szCs w:val="24"/>
          <w:lang/>
        </w:rPr>
        <w:t>(7577), 235–239. https://doi.org/10.1038/nature15725</w:t>
      </w:r>
    </w:p>
    <w:p w14:paraId="249193FB" w14:textId="77777777" w:rsidR="006015F2" w:rsidRPr="006015F2" w:rsidRDefault="006015F2" w:rsidP="006015F2">
      <w:pPr>
        <w:pStyle w:val="ListParagraph"/>
        <w:numPr>
          <w:ilvl w:val="0"/>
          <w:numId w:val="47"/>
        </w:numPr>
        <w:spacing w:line="480" w:lineRule="auto"/>
        <w:ind w:left="360"/>
        <w:rPr>
          <w:rFonts w:ascii="Times New Roman" w:hAnsi="Times New Roman"/>
          <w:sz w:val="24"/>
          <w:szCs w:val="24"/>
          <w:lang/>
        </w:rPr>
      </w:pPr>
      <w:r w:rsidRPr="006015F2">
        <w:rPr>
          <w:rFonts w:ascii="Times New Roman" w:hAnsi="Times New Roman"/>
          <w:sz w:val="24"/>
          <w:szCs w:val="24"/>
          <w:lang/>
        </w:rPr>
        <w:t xml:space="preserve">Busch, A., &amp; Amorim, S. (2011). The tragedy of the Highlands Serrana region in the state of Rio de Janeiro in 2011: Looking for answers. </w:t>
      </w:r>
      <w:r w:rsidRPr="006015F2">
        <w:rPr>
          <w:rFonts w:ascii="Times New Roman" w:hAnsi="Times New Roman"/>
          <w:i/>
          <w:iCs/>
          <w:sz w:val="24"/>
          <w:szCs w:val="24"/>
          <w:lang/>
        </w:rPr>
        <w:t>Case Study Library of Public Management</w:t>
      </w:r>
      <w:r w:rsidRPr="006015F2">
        <w:rPr>
          <w:rFonts w:ascii="Times New Roman" w:hAnsi="Times New Roman"/>
          <w:sz w:val="24"/>
          <w:szCs w:val="24"/>
          <w:lang/>
        </w:rPr>
        <w:t>.</w:t>
      </w:r>
    </w:p>
    <w:p w14:paraId="7FE6C957" w14:textId="77777777" w:rsidR="006015F2" w:rsidRPr="006015F2" w:rsidRDefault="006015F2" w:rsidP="006015F2">
      <w:pPr>
        <w:pStyle w:val="ListParagraph"/>
        <w:numPr>
          <w:ilvl w:val="0"/>
          <w:numId w:val="47"/>
        </w:numPr>
        <w:spacing w:line="480" w:lineRule="auto"/>
        <w:ind w:left="360"/>
        <w:rPr>
          <w:rFonts w:ascii="Times New Roman" w:hAnsi="Times New Roman"/>
          <w:sz w:val="24"/>
          <w:szCs w:val="24"/>
          <w:lang/>
        </w:rPr>
      </w:pPr>
      <w:r w:rsidRPr="006015F2">
        <w:rPr>
          <w:rFonts w:ascii="Times New Roman" w:hAnsi="Times New Roman"/>
          <w:sz w:val="24"/>
          <w:szCs w:val="24"/>
          <w:lang/>
        </w:rPr>
        <w:t xml:space="preserve">California Department of Forestry and Fire Protection (CAL FIRE). (2021). </w:t>
      </w:r>
      <w:r w:rsidRPr="006015F2">
        <w:rPr>
          <w:rFonts w:ascii="Times New Roman" w:hAnsi="Times New Roman"/>
          <w:i/>
          <w:iCs/>
          <w:sz w:val="24"/>
          <w:szCs w:val="24"/>
          <w:lang/>
        </w:rPr>
        <w:t>Fire and Resource Assessment Program (FRAP)</w:t>
      </w:r>
      <w:r w:rsidRPr="006015F2">
        <w:rPr>
          <w:rFonts w:ascii="Times New Roman" w:hAnsi="Times New Roman"/>
          <w:sz w:val="24"/>
          <w:szCs w:val="24"/>
          <w:lang/>
        </w:rPr>
        <w:t>.</w:t>
      </w:r>
    </w:p>
    <w:p w14:paraId="53C7018B" w14:textId="77777777" w:rsidR="006015F2" w:rsidRPr="006015F2" w:rsidRDefault="006015F2" w:rsidP="006015F2">
      <w:pPr>
        <w:pStyle w:val="ListParagraph"/>
        <w:numPr>
          <w:ilvl w:val="0"/>
          <w:numId w:val="47"/>
        </w:numPr>
        <w:spacing w:line="480" w:lineRule="auto"/>
        <w:ind w:left="360"/>
        <w:rPr>
          <w:rFonts w:ascii="Times New Roman" w:hAnsi="Times New Roman"/>
          <w:sz w:val="24"/>
          <w:szCs w:val="24"/>
          <w:lang/>
        </w:rPr>
      </w:pPr>
      <w:r w:rsidRPr="006015F2">
        <w:rPr>
          <w:rFonts w:ascii="Times New Roman" w:hAnsi="Times New Roman"/>
          <w:sz w:val="24"/>
          <w:szCs w:val="24"/>
          <w:lang/>
        </w:rPr>
        <w:lastRenderedPageBreak/>
        <w:t xml:space="preserve">Calkins, H., Jones, K., &amp; Preston, B. (2021). Capital mobility and resilience in wildfire-prone economies. </w:t>
      </w:r>
      <w:r w:rsidRPr="006015F2">
        <w:rPr>
          <w:rFonts w:ascii="Times New Roman" w:hAnsi="Times New Roman"/>
          <w:i/>
          <w:iCs/>
          <w:sz w:val="24"/>
          <w:szCs w:val="24"/>
          <w:lang/>
        </w:rPr>
        <w:t>Journal of Regional Economics, 15</w:t>
      </w:r>
      <w:r w:rsidRPr="006015F2">
        <w:rPr>
          <w:rFonts w:ascii="Times New Roman" w:hAnsi="Times New Roman"/>
          <w:sz w:val="24"/>
          <w:szCs w:val="24"/>
          <w:lang/>
        </w:rPr>
        <w:t>(3), 200–224.</w:t>
      </w:r>
    </w:p>
    <w:p w14:paraId="149323EA" w14:textId="2430C5D7" w:rsidR="006015F2" w:rsidRPr="006015F2" w:rsidRDefault="006015F2" w:rsidP="006015F2">
      <w:pPr>
        <w:pStyle w:val="ListParagraph"/>
        <w:numPr>
          <w:ilvl w:val="0"/>
          <w:numId w:val="47"/>
        </w:numPr>
        <w:spacing w:line="480" w:lineRule="auto"/>
        <w:ind w:left="360"/>
        <w:rPr>
          <w:rFonts w:ascii="Times New Roman" w:hAnsi="Times New Roman"/>
          <w:sz w:val="24"/>
          <w:szCs w:val="24"/>
          <w:lang/>
        </w:rPr>
      </w:pPr>
      <w:r w:rsidRPr="006015F2">
        <w:rPr>
          <w:rFonts w:ascii="Times New Roman" w:hAnsi="Times New Roman"/>
          <w:sz w:val="24"/>
          <w:szCs w:val="24"/>
          <w:lang/>
        </w:rPr>
        <w:t xml:space="preserve">Cameron, A. C., &amp; Trivedi, P. K. (2013). </w:t>
      </w:r>
      <w:r w:rsidRPr="006015F2">
        <w:rPr>
          <w:rFonts w:ascii="Times New Roman" w:hAnsi="Times New Roman"/>
          <w:i/>
          <w:iCs/>
          <w:sz w:val="24"/>
          <w:szCs w:val="24"/>
          <w:lang/>
        </w:rPr>
        <w:t>Regression analysis of count data</w:t>
      </w:r>
      <w:r w:rsidRPr="006015F2">
        <w:rPr>
          <w:rFonts w:ascii="Times New Roman" w:hAnsi="Times New Roman"/>
          <w:sz w:val="24"/>
          <w:szCs w:val="24"/>
          <w:lang/>
        </w:rPr>
        <w:t xml:space="preserve"> (2nd ed.). Cambridge University Press. https://doi.org/10.1017/CBO9781139013567</w:t>
      </w:r>
    </w:p>
    <w:p w14:paraId="6BD5897E" w14:textId="77777777" w:rsidR="006015F2" w:rsidRPr="006015F2" w:rsidRDefault="006015F2" w:rsidP="006015F2">
      <w:pPr>
        <w:pStyle w:val="ListParagraph"/>
        <w:numPr>
          <w:ilvl w:val="0"/>
          <w:numId w:val="47"/>
        </w:numPr>
        <w:spacing w:line="480" w:lineRule="auto"/>
        <w:ind w:left="360"/>
        <w:rPr>
          <w:rFonts w:ascii="Times New Roman" w:hAnsi="Times New Roman"/>
          <w:sz w:val="24"/>
          <w:szCs w:val="24"/>
          <w:lang/>
        </w:rPr>
      </w:pPr>
      <w:r w:rsidRPr="006015F2">
        <w:rPr>
          <w:rFonts w:ascii="Times New Roman" w:hAnsi="Times New Roman"/>
          <w:sz w:val="24"/>
          <w:szCs w:val="24"/>
          <w:lang/>
        </w:rPr>
        <w:t xml:space="preserve">Cameron, A. C., Gelbach, J. B., &amp; Miller, D. L. (2011). Robust inference with multiway clustering. </w:t>
      </w:r>
      <w:r w:rsidRPr="006015F2">
        <w:rPr>
          <w:rFonts w:ascii="Times New Roman" w:hAnsi="Times New Roman"/>
          <w:i/>
          <w:iCs/>
          <w:sz w:val="24"/>
          <w:szCs w:val="24"/>
          <w:lang/>
        </w:rPr>
        <w:t>Journal of Business &amp; Economic Statistics, 29</w:t>
      </w:r>
      <w:r w:rsidRPr="006015F2">
        <w:rPr>
          <w:rFonts w:ascii="Times New Roman" w:hAnsi="Times New Roman"/>
          <w:sz w:val="24"/>
          <w:szCs w:val="24"/>
          <w:lang/>
        </w:rPr>
        <w:t>(2), 238–249. https://doi.org/10.1198/jbes.2010.07136</w:t>
      </w:r>
    </w:p>
    <w:p w14:paraId="7A089D88" w14:textId="0FACE84A" w:rsidR="006015F2" w:rsidRPr="006015F2" w:rsidRDefault="006015F2" w:rsidP="006015F2">
      <w:pPr>
        <w:pStyle w:val="ListParagraph"/>
        <w:numPr>
          <w:ilvl w:val="0"/>
          <w:numId w:val="47"/>
        </w:numPr>
        <w:spacing w:line="480" w:lineRule="auto"/>
        <w:ind w:left="360"/>
        <w:rPr>
          <w:rFonts w:ascii="Times New Roman" w:hAnsi="Times New Roman"/>
          <w:sz w:val="24"/>
          <w:szCs w:val="24"/>
          <w:lang/>
        </w:rPr>
      </w:pPr>
      <w:r w:rsidRPr="006015F2">
        <w:rPr>
          <w:rFonts w:ascii="Times New Roman" w:hAnsi="Times New Roman"/>
          <w:sz w:val="24"/>
          <w:szCs w:val="24"/>
          <w:lang/>
        </w:rPr>
        <w:t xml:space="preserve">Carlton, D. W. (1983). The location and employment choices of new firms: An econometric model with discrete and continuous endogenous variables. </w:t>
      </w:r>
      <w:r w:rsidRPr="006015F2">
        <w:rPr>
          <w:rFonts w:ascii="Times New Roman" w:hAnsi="Times New Roman"/>
          <w:i/>
          <w:iCs/>
          <w:sz w:val="24"/>
          <w:szCs w:val="24"/>
          <w:lang/>
        </w:rPr>
        <w:t>The Review of Economics and Statistics, 65</w:t>
      </w:r>
      <w:r w:rsidRPr="006015F2">
        <w:rPr>
          <w:rFonts w:ascii="Times New Roman" w:hAnsi="Times New Roman"/>
          <w:sz w:val="24"/>
          <w:szCs w:val="24"/>
          <w:lang/>
        </w:rPr>
        <w:t>(3), 440–449. https://doi.org/10.2307/1924187</w:t>
      </w:r>
    </w:p>
    <w:p w14:paraId="379066DD" w14:textId="77777777" w:rsidR="006015F2" w:rsidRPr="006015F2" w:rsidRDefault="006015F2" w:rsidP="006015F2">
      <w:pPr>
        <w:pStyle w:val="ListParagraph"/>
        <w:numPr>
          <w:ilvl w:val="0"/>
          <w:numId w:val="47"/>
        </w:numPr>
        <w:spacing w:line="480" w:lineRule="auto"/>
        <w:ind w:left="360"/>
        <w:rPr>
          <w:rFonts w:ascii="Times New Roman" w:hAnsi="Times New Roman"/>
          <w:sz w:val="24"/>
          <w:szCs w:val="24"/>
          <w:lang/>
        </w:rPr>
      </w:pPr>
      <w:r w:rsidRPr="006015F2">
        <w:rPr>
          <w:rFonts w:ascii="Times New Roman" w:hAnsi="Times New Roman"/>
          <w:sz w:val="24"/>
          <w:szCs w:val="24"/>
          <w:lang/>
        </w:rPr>
        <w:t xml:space="preserve">Cavalcanti, T., &amp; Vaz, P. H. (2017). Access to long-term credit and productivity of small and medium firms: A causal evidence. </w:t>
      </w:r>
      <w:r w:rsidRPr="006015F2">
        <w:rPr>
          <w:rFonts w:ascii="Times New Roman" w:hAnsi="Times New Roman"/>
          <w:i/>
          <w:iCs/>
          <w:sz w:val="24"/>
          <w:szCs w:val="24"/>
          <w:lang/>
        </w:rPr>
        <w:t>Economics Letters, 150</w:t>
      </w:r>
      <w:r w:rsidRPr="006015F2">
        <w:rPr>
          <w:rFonts w:ascii="Times New Roman" w:hAnsi="Times New Roman"/>
          <w:sz w:val="24"/>
          <w:szCs w:val="24"/>
          <w:lang/>
        </w:rPr>
        <w:t>, 21–25. https://doi.org/10.1016/j.econlet.2016.11.033</w:t>
      </w:r>
    </w:p>
    <w:p w14:paraId="39C6FAE3" w14:textId="77777777" w:rsidR="006015F2" w:rsidRPr="006015F2" w:rsidRDefault="006015F2" w:rsidP="006015F2">
      <w:pPr>
        <w:pStyle w:val="ListParagraph"/>
        <w:numPr>
          <w:ilvl w:val="0"/>
          <w:numId w:val="47"/>
        </w:numPr>
        <w:spacing w:line="480" w:lineRule="auto"/>
        <w:ind w:left="360"/>
        <w:rPr>
          <w:rFonts w:ascii="Times New Roman" w:hAnsi="Times New Roman"/>
          <w:sz w:val="24"/>
          <w:szCs w:val="24"/>
          <w:lang/>
        </w:rPr>
      </w:pPr>
      <w:r w:rsidRPr="006015F2">
        <w:rPr>
          <w:rFonts w:ascii="Times New Roman" w:hAnsi="Times New Roman"/>
          <w:sz w:val="24"/>
          <w:szCs w:val="24"/>
          <w:lang/>
        </w:rPr>
        <w:t xml:space="preserve">Cavallo, E., &amp; Noy, I. (2010). The economics of natural disasters: A survey. </w:t>
      </w:r>
      <w:r w:rsidRPr="006015F2">
        <w:rPr>
          <w:rFonts w:ascii="Times New Roman" w:hAnsi="Times New Roman"/>
          <w:i/>
          <w:iCs/>
          <w:sz w:val="24"/>
          <w:szCs w:val="24"/>
          <w:lang/>
        </w:rPr>
        <w:t>IDB Working Paper Series</w:t>
      </w:r>
      <w:r w:rsidRPr="006015F2">
        <w:rPr>
          <w:rFonts w:ascii="Times New Roman" w:hAnsi="Times New Roman"/>
          <w:sz w:val="24"/>
          <w:szCs w:val="24"/>
          <w:lang/>
        </w:rPr>
        <w:t>.</w:t>
      </w:r>
    </w:p>
    <w:p w14:paraId="21939EB3" w14:textId="77777777" w:rsidR="006015F2" w:rsidRPr="006015F2" w:rsidRDefault="006015F2" w:rsidP="006015F2">
      <w:pPr>
        <w:pStyle w:val="ListParagraph"/>
        <w:numPr>
          <w:ilvl w:val="0"/>
          <w:numId w:val="47"/>
        </w:numPr>
        <w:spacing w:line="480" w:lineRule="auto"/>
        <w:ind w:left="360"/>
        <w:rPr>
          <w:rFonts w:ascii="Times New Roman" w:hAnsi="Times New Roman"/>
          <w:sz w:val="24"/>
          <w:szCs w:val="24"/>
          <w:lang/>
        </w:rPr>
      </w:pPr>
      <w:r w:rsidRPr="006015F2">
        <w:rPr>
          <w:rFonts w:ascii="Times New Roman" w:hAnsi="Times New Roman"/>
          <w:sz w:val="24"/>
          <w:szCs w:val="24"/>
          <w:lang/>
        </w:rPr>
        <w:t xml:space="preserve">Cole, M. A., Elliott, R. J. R., Okubo, T., &amp; Strobl, E. (2017). Natural disasters and spatial heterogeneity in damages: The birth, life, and death of manufacturing plants. </w:t>
      </w:r>
      <w:r w:rsidRPr="006015F2">
        <w:rPr>
          <w:rFonts w:ascii="Times New Roman" w:hAnsi="Times New Roman"/>
          <w:i/>
          <w:iCs/>
          <w:sz w:val="24"/>
          <w:szCs w:val="24"/>
          <w:lang/>
        </w:rPr>
        <w:t>Journal of Economic Geography, 19</w:t>
      </w:r>
      <w:r w:rsidRPr="006015F2">
        <w:rPr>
          <w:rFonts w:ascii="Times New Roman" w:hAnsi="Times New Roman"/>
          <w:sz w:val="24"/>
          <w:szCs w:val="24"/>
          <w:lang/>
        </w:rPr>
        <w:t>(2), 373–408. https://doi.org/10.1093/jeg/lbx005</w:t>
      </w:r>
    </w:p>
    <w:p w14:paraId="373BF066" w14:textId="77777777" w:rsidR="006015F2" w:rsidRPr="006015F2" w:rsidRDefault="006015F2" w:rsidP="006015F2">
      <w:pPr>
        <w:pStyle w:val="ListParagraph"/>
        <w:numPr>
          <w:ilvl w:val="0"/>
          <w:numId w:val="47"/>
        </w:numPr>
        <w:spacing w:line="480" w:lineRule="auto"/>
        <w:ind w:left="360"/>
        <w:rPr>
          <w:rFonts w:ascii="Times New Roman" w:hAnsi="Times New Roman"/>
          <w:sz w:val="24"/>
          <w:szCs w:val="24"/>
          <w:lang/>
        </w:rPr>
      </w:pPr>
      <w:r w:rsidRPr="006015F2">
        <w:rPr>
          <w:rFonts w:ascii="Times New Roman" w:hAnsi="Times New Roman"/>
          <w:sz w:val="24"/>
          <w:szCs w:val="24"/>
          <w:lang/>
        </w:rPr>
        <w:t xml:space="preserve">Comerio, M. C. (1998). </w:t>
      </w:r>
      <w:r w:rsidRPr="006015F2">
        <w:rPr>
          <w:rFonts w:ascii="Times New Roman" w:hAnsi="Times New Roman"/>
          <w:i/>
          <w:iCs/>
          <w:sz w:val="24"/>
          <w:szCs w:val="24"/>
          <w:lang/>
        </w:rPr>
        <w:t>Disaster hits home: New policy for urban housing recovery</w:t>
      </w:r>
      <w:r w:rsidRPr="006015F2">
        <w:rPr>
          <w:rFonts w:ascii="Times New Roman" w:hAnsi="Times New Roman"/>
          <w:sz w:val="24"/>
          <w:szCs w:val="24"/>
          <w:lang/>
        </w:rPr>
        <w:t>. University of California Press.</w:t>
      </w:r>
    </w:p>
    <w:p w14:paraId="11825BD0" w14:textId="0BB08379" w:rsidR="006015F2" w:rsidRPr="006015F2" w:rsidRDefault="006015F2" w:rsidP="006015F2">
      <w:pPr>
        <w:pStyle w:val="ListParagraph"/>
        <w:numPr>
          <w:ilvl w:val="0"/>
          <w:numId w:val="47"/>
        </w:numPr>
        <w:spacing w:line="480" w:lineRule="auto"/>
        <w:ind w:left="360"/>
        <w:rPr>
          <w:rFonts w:ascii="Times New Roman" w:hAnsi="Times New Roman"/>
          <w:sz w:val="24"/>
          <w:szCs w:val="24"/>
          <w:lang/>
        </w:rPr>
      </w:pPr>
      <w:r w:rsidRPr="006015F2">
        <w:rPr>
          <w:rFonts w:ascii="Times New Roman" w:hAnsi="Times New Roman"/>
          <w:sz w:val="24"/>
          <w:szCs w:val="24"/>
          <w:lang/>
        </w:rPr>
        <w:lastRenderedPageBreak/>
        <w:t xml:space="preserve">Correia, S., Guimarães, P., &amp; Zylkin, T. (2020). Fast Poisson estimation with high-dimensional fixed effects. </w:t>
      </w:r>
      <w:r w:rsidRPr="006015F2">
        <w:rPr>
          <w:rFonts w:ascii="Times New Roman" w:hAnsi="Times New Roman"/>
          <w:i/>
          <w:iCs/>
          <w:sz w:val="24"/>
          <w:szCs w:val="24"/>
          <w:lang/>
        </w:rPr>
        <w:t>The Stata Journal, 20</w:t>
      </w:r>
      <w:r w:rsidRPr="006015F2">
        <w:rPr>
          <w:rFonts w:ascii="Times New Roman" w:hAnsi="Times New Roman"/>
          <w:sz w:val="24"/>
          <w:szCs w:val="24"/>
          <w:lang/>
        </w:rPr>
        <w:t>(1), 95–115. https://doi.org/10.1177/1536867X20909691</w:t>
      </w:r>
    </w:p>
    <w:p w14:paraId="5108FD79" w14:textId="4498ABDC" w:rsidR="006015F2" w:rsidRPr="006015F2" w:rsidRDefault="006015F2" w:rsidP="006015F2">
      <w:pPr>
        <w:pStyle w:val="ListParagraph"/>
        <w:numPr>
          <w:ilvl w:val="0"/>
          <w:numId w:val="47"/>
        </w:numPr>
        <w:spacing w:line="480" w:lineRule="auto"/>
        <w:ind w:left="360"/>
        <w:rPr>
          <w:rFonts w:ascii="Times New Roman" w:hAnsi="Times New Roman"/>
          <w:sz w:val="24"/>
          <w:szCs w:val="24"/>
          <w:lang/>
        </w:rPr>
      </w:pPr>
      <w:r w:rsidRPr="006015F2">
        <w:rPr>
          <w:rFonts w:ascii="Times New Roman" w:hAnsi="Times New Roman"/>
          <w:sz w:val="24"/>
          <w:szCs w:val="24"/>
          <w:lang/>
        </w:rPr>
        <w:t xml:space="preserve">Currie, J., Greenstone, M., &amp; Moretti, E. (2015). Superfund cleanups and infant health. </w:t>
      </w:r>
      <w:r w:rsidRPr="006015F2">
        <w:rPr>
          <w:rFonts w:ascii="Times New Roman" w:hAnsi="Times New Roman"/>
          <w:i/>
          <w:iCs/>
          <w:sz w:val="24"/>
          <w:szCs w:val="24"/>
          <w:lang/>
        </w:rPr>
        <w:t>American Economic Review, 105</w:t>
      </w:r>
      <w:r w:rsidRPr="006015F2">
        <w:rPr>
          <w:rFonts w:ascii="Times New Roman" w:hAnsi="Times New Roman"/>
          <w:sz w:val="24"/>
          <w:szCs w:val="24"/>
          <w:lang/>
        </w:rPr>
        <w:t>(12), 3896–3926. https://doi.org/10.1257/aer.20121691</w:t>
      </w:r>
    </w:p>
    <w:p w14:paraId="60F0ECA9" w14:textId="6C5D1841" w:rsidR="006015F2" w:rsidRPr="006015F2" w:rsidRDefault="006015F2" w:rsidP="006015F2">
      <w:pPr>
        <w:pStyle w:val="ListParagraph"/>
        <w:numPr>
          <w:ilvl w:val="0"/>
          <w:numId w:val="47"/>
        </w:numPr>
        <w:spacing w:line="480" w:lineRule="auto"/>
        <w:ind w:left="360"/>
        <w:rPr>
          <w:rFonts w:ascii="Times New Roman" w:hAnsi="Times New Roman"/>
          <w:sz w:val="24"/>
          <w:szCs w:val="24"/>
          <w:lang/>
        </w:rPr>
      </w:pPr>
      <w:r w:rsidRPr="006015F2">
        <w:rPr>
          <w:rFonts w:ascii="Times New Roman" w:hAnsi="Times New Roman"/>
          <w:sz w:val="24"/>
          <w:szCs w:val="24"/>
          <w:lang/>
        </w:rPr>
        <w:t xml:space="preserve">D’Odorico, P., Bhattachan, A., Davis, K. F., Ravi, S., &amp; Runyan, C. W. (2013). Global desertification: Drivers and feedbacks. </w:t>
      </w:r>
      <w:r w:rsidRPr="006015F2">
        <w:rPr>
          <w:rFonts w:ascii="Times New Roman" w:hAnsi="Times New Roman"/>
          <w:i/>
          <w:iCs/>
          <w:sz w:val="24"/>
          <w:szCs w:val="24"/>
          <w:lang/>
        </w:rPr>
        <w:t>Advances in Water Resources, 51</w:t>
      </w:r>
      <w:r w:rsidRPr="006015F2">
        <w:rPr>
          <w:rFonts w:ascii="Times New Roman" w:hAnsi="Times New Roman"/>
          <w:sz w:val="24"/>
          <w:szCs w:val="24"/>
          <w:lang/>
        </w:rPr>
        <w:t>, 326–344. https://doi.org/10.1016/j.advwatres.2012.01.013</w:t>
      </w:r>
    </w:p>
    <w:p w14:paraId="15B40A34" w14:textId="77777777" w:rsidR="006015F2" w:rsidRPr="006015F2" w:rsidRDefault="006015F2" w:rsidP="006015F2">
      <w:pPr>
        <w:pStyle w:val="ListParagraph"/>
        <w:numPr>
          <w:ilvl w:val="0"/>
          <w:numId w:val="47"/>
        </w:numPr>
        <w:spacing w:line="480" w:lineRule="auto"/>
        <w:ind w:left="360"/>
        <w:rPr>
          <w:rFonts w:ascii="Times New Roman" w:hAnsi="Times New Roman"/>
          <w:sz w:val="24"/>
          <w:szCs w:val="24"/>
          <w:lang/>
        </w:rPr>
      </w:pPr>
      <w:r w:rsidRPr="006015F2">
        <w:rPr>
          <w:rFonts w:ascii="Times New Roman" w:hAnsi="Times New Roman"/>
          <w:sz w:val="24"/>
          <w:szCs w:val="24"/>
          <w:lang/>
        </w:rPr>
        <w:t xml:space="preserve">Da Mata, D., &amp; Resende, G. (2020). Changing the climate for banking: The economic effects of credit in a climate-vulnerable area. </w:t>
      </w:r>
      <w:r w:rsidRPr="006015F2">
        <w:rPr>
          <w:rFonts w:ascii="Times New Roman" w:hAnsi="Times New Roman"/>
          <w:i/>
          <w:iCs/>
          <w:sz w:val="24"/>
          <w:szCs w:val="24"/>
          <w:lang/>
        </w:rPr>
        <w:t>Journal of Development Economics, 146</w:t>
      </w:r>
      <w:r w:rsidRPr="006015F2">
        <w:rPr>
          <w:rFonts w:ascii="Times New Roman" w:hAnsi="Times New Roman"/>
          <w:sz w:val="24"/>
          <w:szCs w:val="24"/>
          <w:lang/>
        </w:rPr>
        <w:t>, 102459.</w:t>
      </w:r>
    </w:p>
    <w:p w14:paraId="36F83B91" w14:textId="77777777" w:rsidR="006015F2" w:rsidRPr="006015F2" w:rsidRDefault="006015F2" w:rsidP="006015F2">
      <w:pPr>
        <w:pStyle w:val="ListParagraph"/>
        <w:numPr>
          <w:ilvl w:val="0"/>
          <w:numId w:val="47"/>
        </w:numPr>
        <w:spacing w:line="480" w:lineRule="auto"/>
        <w:ind w:left="360"/>
        <w:rPr>
          <w:rFonts w:ascii="Times New Roman" w:hAnsi="Times New Roman"/>
          <w:sz w:val="24"/>
          <w:szCs w:val="24"/>
          <w:lang/>
        </w:rPr>
      </w:pPr>
      <w:r w:rsidRPr="006015F2">
        <w:rPr>
          <w:rFonts w:ascii="Times New Roman" w:hAnsi="Times New Roman"/>
          <w:sz w:val="24"/>
          <w:szCs w:val="24"/>
          <w:lang/>
        </w:rPr>
        <w:t xml:space="preserve">Delgado, M. S., &amp; Florax, R. J. G. M. (2015). Difference-in-differences techniques for spatial data: Local autocorrelation and spatial interaction. </w:t>
      </w:r>
      <w:r w:rsidRPr="006015F2">
        <w:rPr>
          <w:rFonts w:ascii="Times New Roman" w:hAnsi="Times New Roman"/>
          <w:i/>
          <w:iCs/>
          <w:sz w:val="24"/>
          <w:szCs w:val="24"/>
          <w:lang/>
        </w:rPr>
        <w:t>Economics Letters, 137</w:t>
      </w:r>
      <w:r w:rsidRPr="006015F2">
        <w:rPr>
          <w:rFonts w:ascii="Times New Roman" w:hAnsi="Times New Roman"/>
          <w:sz w:val="24"/>
          <w:szCs w:val="24"/>
          <w:lang/>
        </w:rPr>
        <w:t>, 123–126.</w:t>
      </w:r>
    </w:p>
    <w:p w14:paraId="6C11F8DF" w14:textId="088C38DA" w:rsidR="006015F2" w:rsidRPr="006015F2" w:rsidRDefault="006015F2" w:rsidP="006015F2">
      <w:pPr>
        <w:pStyle w:val="ListParagraph"/>
        <w:numPr>
          <w:ilvl w:val="0"/>
          <w:numId w:val="47"/>
        </w:numPr>
        <w:spacing w:line="480" w:lineRule="auto"/>
        <w:ind w:left="360"/>
        <w:rPr>
          <w:rFonts w:ascii="Times New Roman" w:hAnsi="Times New Roman"/>
          <w:sz w:val="24"/>
          <w:szCs w:val="24"/>
          <w:lang/>
        </w:rPr>
      </w:pPr>
      <w:r w:rsidRPr="006015F2">
        <w:rPr>
          <w:rFonts w:ascii="Times New Roman" w:hAnsi="Times New Roman"/>
          <w:sz w:val="24"/>
          <w:szCs w:val="24"/>
          <w:lang/>
        </w:rPr>
        <w:t xml:space="preserve">Deryugina, T. (2017). The fiscal cost of hurricanes: Disaster aid versus social insurance. </w:t>
      </w:r>
      <w:r w:rsidRPr="006015F2">
        <w:rPr>
          <w:rFonts w:ascii="Times New Roman" w:hAnsi="Times New Roman"/>
          <w:i/>
          <w:iCs/>
          <w:sz w:val="24"/>
          <w:szCs w:val="24"/>
          <w:lang/>
        </w:rPr>
        <w:t>American Economic Journal: Economic Policy, 9</w:t>
      </w:r>
      <w:r w:rsidRPr="006015F2">
        <w:rPr>
          <w:rFonts w:ascii="Times New Roman" w:hAnsi="Times New Roman"/>
          <w:sz w:val="24"/>
          <w:szCs w:val="24"/>
          <w:lang/>
        </w:rPr>
        <w:t>(3), 168–198. https://doi.org/10.1257/pol.20140296</w:t>
      </w:r>
    </w:p>
    <w:p w14:paraId="6D0AB089" w14:textId="77777777" w:rsidR="006015F2" w:rsidRPr="006015F2" w:rsidRDefault="006015F2" w:rsidP="006015F2">
      <w:pPr>
        <w:pStyle w:val="ListParagraph"/>
        <w:numPr>
          <w:ilvl w:val="0"/>
          <w:numId w:val="47"/>
        </w:numPr>
        <w:spacing w:line="480" w:lineRule="auto"/>
        <w:ind w:left="360"/>
        <w:rPr>
          <w:rFonts w:ascii="Times New Roman" w:hAnsi="Times New Roman"/>
          <w:sz w:val="24"/>
          <w:szCs w:val="24"/>
          <w:lang/>
        </w:rPr>
      </w:pPr>
      <w:r w:rsidRPr="006015F2">
        <w:rPr>
          <w:rFonts w:ascii="Times New Roman" w:hAnsi="Times New Roman"/>
          <w:sz w:val="24"/>
          <w:szCs w:val="24"/>
          <w:lang/>
        </w:rPr>
        <w:t xml:space="preserve">Deryugina, T., Kawano, L., &amp; Levitt, S. D. (2018). The economic impact of hurricanes: Evidence from firm-level administrative data. </w:t>
      </w:r>
      <w:r w:rsidRPr="006015F2">
        <w:rPr>
          <w:rFonts w:ascii="Times New Roman" w:hAnsi="Times New Roman"/>
          <w:i/>
          <w:iCs/>
          <w:sz w:val="24"/>
          <w:szCs w:val="24"/>
          <w:lang/>
        </w:rPr>
        <w:t>American Economic Journal: Applied Economics, 10</w:t>
      </w:r>
      <w:r w:rsidRPr="006015F2">
        <w:rPr>
          <w:rFonts w:ascii="Times New Roman" w:hAnsi="Times New Roman"/>
          <w:sz w:val="24"/>
          <w:szCs w:val="24"/>
          <w:lang/>
        </w:rPr>
        <w:t>(2), 202–233. https://doi.org/10.1257/app.20160627</w:t>
      </w:r>
    </w:p>
    <w:p w14:paraId="4E237978" w14:textId="399B5AF1" w:rsidR="006015F2" w:rsidRPr="006015F2" w:rsidRDefault="006015F2" w:rsidP="006015F2">
      <w:pPr>
        <w:pStyle w:val="ListParagraph"/>
        <w:numPr>
          <w:ilvl w:val="0"/>
          <w:numId w:val="47"/>
        </w:numPr>
        <w:spacing w:line="480" w:lineRule="auto"/>
        <w:ind w:left="360"/>
        <w:rPr>
          <w:rFonts w:ascii="Times New Roman" w:hAnsi="Times New Roman"/>
          <w:sz w:val="24"/>
          <w:szCs w:val="24"/>
          <w:lang/>
        </w:rPr>
      </w:pPr>
      <w:r w:rsidRPr="006015F2">
        <w:rPr>
          <w:rFonts w:ascii="Times New Roman" w:hAnsi="Times New Roman"/>
          <w:sz w:val="24"/>
          <w:szCs w:val="24"/>
          <w:lang/>
        </w:rPr>
        <w:t xml:space="preserve">Deschênes, O., &amp; Greenstone, M. (2011). Climate change, mortality, and adaptation: Evidence from annual fluctuations in weather in the US. </w:t>
      </w:r>
      <w:r w:rsidRPr="006015F2">
        <w:rPr>
          <w:rFonts w:ascii="Times New Roman" w:hAnsi="Times New Roman"/>
          <w:i/>
          <w:iCs/>
          <w:sz w:val="24"/>
          <w:szCs w:val="24"/>
          <w:lang/>
        </w:rPr>
        <w:t>American Economic Journal: Applied Economics, 3</w:t>
      </w:r>
      <w:r w:rsidRPr="006015F2">
        <w:rPr>
          <w:rFonts w:ascii="Times New Roman" w:hAnsi="Times New Roman"/>
          <w:sz w:val="24"/>
          <w:szCs w:val="24"/>
          <w:lang/>
        </w:rPr>
        <w:t>(4), 152–185. https://doi.org/10.1257/app.3.4.152</w:t>
      </w:r>
    </w:p>
    <w:p w14:paraId="41F7DA9E" w14:textId="52C49575" w:rsidR="006015F2" w:rsidRPr="006015F2" w:rsidRDefault="006015F2" w:rsidP="006015F2">
      <w:pPr>
        <w:pStyle w:val="ListParagraph"/>
        <w:numPr>
          <w:ilvl w:val="0"/>
          <w:numId w:val="47"/>
        </w:numPr>
        <w:spacing w:line="480" w:lineRule="auto"/>
        <w:ind w:left="360"/>
        <w:rPr>
          <w:rFonts w:ascii="Times New Roman" w:hAnsi="Times New Roman"/>
          <w:sz w:val="24"/>
          <w:szCs w:val="24"/>
          <w:lang/>
        </w:rPr>
      </w:pPr>
      <w:r w:rsidRPr="006015F2">
        <w:rPr>
          <w:rFonts w:ascii="Times New Roman" w:hAnsi="Times New Roman"/>
          <w:sz w:val="24"/>
          <w:szCs w:val="24"/>
          <w:lang/>
        </w:rPr>
        <w:lastRenderedPageBreak/>
        <w:t xml:space="preserve">Dettling, L. J., &amp; Kearney, M. S. (2014). House prices and birth rates: The impact of the real estate market on the decision to have a baby. </w:t>
      </w:r>
      <w:r w:rsidRPr="006015F2">
        <w:rPr>
          <w:rFonts w:ascii="Times New Roman" w:hAnsi="Times New Roman"/>
          <w:i/>
          <w:iCs/>
          <w:sz w:val="24"/>
          <w:szCs w:val="24"/>
          <w:lang/>
        </w:rPr>
        <w:t>Journal of Public Economics, 110</w:t>
      </w:r>
      <w:r w:rsidRPr="006015F2">
        <w:rPr>
          <w:rFonts w:ascii="Times New Roman" w:hAnsi="Times New Roman"/>
          <w:sz w:val="24"/>
          <w:szCs w:val="24"/>
          <w:lang/>
        </w:rPr>
        <w:t>, 82–100. https://doi.org/10.1016/j.jpubeco.2013.09.002</w:t>
      </w:r>
    </w:p>
    <w:p w14:paraId="5C8ABA0F" w14:textId="4134B6B3" w:rsidR="006015F2" w:rsidRPr="006015F2" w:rsidRDefault="006015F2" w:rsidP="006015F2">
      <w:pPr>
        <w:pStyle w:val="ListParagraph"/>
        <w:numPr>
          <w:ilvl w:val="0"/>
          <w:numId w:val="47"/>
        </w:numPr>
        <w:spacing w:line="480" w:lineRule="auto"/>
        <w:ind w:left="360"/>
        <w:rPr>
          <w:rFonts w:ascii="Times New Roman" w:hAnsi="Times New Roman"/>
          <w:sz w:val="24"/>
          <w:szCs w:val="24"/>
          <w:lang/>
        </w:rPr>
      </w:pPr>
      <w:r w:rsidRPr="006015F2">
        <w:rPr>
          <w:rFonts w:ascii="Times New Roman" w:hAnsi="Times New Roman"/>
          <w:sz w:val="24"/>
          <w:szCs w:val="24"/>
          <w:lang/>
        </w:rPr>
        <w:t xml:space="preserve">Dillon, B., &amp; Barrett, C. B. (2011). Global crude to local food: International oil prices and food price volatility in developing countries. </w:t>
      </w:r>
      <w:r w:rsidRPr="006015F2">
        <w:rPr>
          <w:rFonts w:ascii="Times New Roman" w:hAnsi="Times New Roman"/>
          <w:i/>
          <w:iCs/>
          <w:sz w:val="24"/>
          <w:szCs w:val="24"/>
          <w:lang/>
        </w:rPr>
        <w:t>American Journal of Agricultural Economics, 93</w:t>
      </w:r>
      <w:r w:rsidRPr="006015F2">
        <w:rPr>
          <w:rFonts w:ascii="Times New Roman" w:hAnsi="Times New Roman"/>
          <w:sz w:val="24"/>
          <w:szCs w:val="24"/>
          <w:lang/>
        </w:rPr>
        <w:t>(4), 919–934. https://doi.org/10.1093/ajae/aar036</w:t>
      </w:r>
    </w:p>
    <w:p w14:paraId="5110C969" w14:textId="450B3F5C" w:rsidR="006015F2" w:rsidRPr="006015F2" w:rsidRDefault="006015F2" w:rsidP="006015F2">
      <w:pPr>
        <w:pStyle w:val="ListParagraph"/>
        <w:numPr>
          <w:ilvl w:val="0"/>
          <w:numId w:val="47"/>
        </w:numPr>
        <w:spacing w:line="480" w:lineRule="auto"/>
        <w:ind w:left="360"/>
        <w:rPr>
          <w:rFonts w:ascii="Times New Roman" w:hAnsi="Times New Roman"/>
          <w:sz w:val="24"/>
          <w:szCs w:val="24"/>
          <w:lang/>
        </w:rPr>
      </w:pPr>
      <w:r w:rsidRPr="006015F2">
        <w:rPr>
          <w:rFonts w:ascii="Times New Roman" w:hAnsi="Times New Roman"/>
          <w:sz w:val="24"/>
          <w:szCs w:val="24"/>
          <w:lang/>
        </w:rPr>
        <w:t xml:space="preserve">Dunne, T., Roberts, M. J., &amp; Samuelson, L. (1989). The growth and failure of U.S. manufacturing plants. </w:t>
      </w:r>
      <w:r w:rsidRPr="006015F2">
        <w:rPr>
          <w:rFonts w:ascii="Times New Roman" w:hAnsi="Times New Roman"/>
          <w:i/>
          <w:iCs/>
          <w:sz w:val="24"/>
          <w:szCs w:val="24"/>
          <w:lang/>
        </w:rPr>
        <w:t>The Quarterly Journal of Economics, 104</w:t>
      </w:r>
      <w:r w:rsidRPr="006015F2">
        <w:rPr>
          <w:rFonts w:ascii="Times New Roman" w:hAnsi="Times New Roman"/>
          <w:sz w:val="24"/>
          <w:szCs w:val="24"/>
          <w:lang/>
        </w:rPr>
        <w:t>(4), 671–698. https://doi.org/10.2307/2937862</w:t>
      </w:r>
    </w:p>
    <w:p w14:paraId="0C0B9392" w14:textId="77777777" w:rsidR="006015F2" w:rsidRPr="006015F2" w:rsidRDefault="006015F2" w:rsidP="006015F2">
      <w:pPr>
        <w:pStyle w:val="ListParagraph"/>
        <w:numPr>
          <w:ilvl w:val="0"/>
          <w:numId w:val="47"/>
        </w:numPr>
        <w:spacing w:line="480" w:lineRule="auto"/>
        <w:ind w:left="360"/>
        <w:rPr>
          <w:rFonts w:ascii="Times New Roman" w:hAnsi="Times New Roman"/>
          <w:sz w:val="24"/>
          <w:szCs w:val="24"/>
          <w:lang/>
        </w:rPr>
      </w:pPr>
      <w:r w:rsidRPr="006015F2">
        <w:rPr>
          <w:rFonts w:ascii="Times New Roman" w:hAnsi="Times New Roman"/>
          <w:sz w:val="24"/>
          <w:szCs w:val="24"/>
          <w:lang/>
        </w:rPr>
        <w:t xml:space="preserve">Ehrl, P. (2021). Live large or die young: Subsidized loans and firm survival in Brazil. </w:t>
      </w:r>
      <w:r w:rsidRPr="006015F2">
        <w:rPr>
          <w:rFonts w:ascii="Times New Roman" w:hAnsi="Times New Roman"/>
          <w:i/>
          <w:iCs/>
          <w:sz w:val="24"/>
          <w:szCs w:val="24"/>
          <w:lang/>
        </w:rPr>
        <w:t>Empirical Economics</w:t>
      </w:r>
      <w:r w:rsidRPr="006015F2">
        <w:rPr>
          <w:rFonts w:ascii="Times New Roman" w:hAnsi="Times New Roman"/>
          <w:sz w:val="24"/>
          <w:szCs w:val="24"/>
          <w:lang/>
        </w:rPr>
        <w:t>. https://doi.org/10.1007/s00181-021-02173-7</w:t>
      </w:r>
    </w:p>
    <w:p w14:paraId="3328F406" w14:textId="77777777" w:rsidR="006015F2" w:rsidRPr="006015F2" w:rsidRDefault="006015F2" w:rsidP="006015F2">
      <w:pPr>
        <w:pStyle w:val="ListParagraph"/>
        <w:numPr>
          <w:ilvl w:val="0"/>
          <w:numId w:val="47"/>
        </w:numPr>
        <w:spacing w:line="480" w:lineRule="auto"/>
        <w:ind w:left="360"/>
        <w:rPr>
          <w:rFonts w:ascii="Times New Roman" w:hAnsi="Times New Roman"/>
          <w:sz w:val="24"/>
          <w:szCs w:val="24"/>
          <w:lang/>
        </w:rPr>
      </w:pPr>
      <w:r w:rsidRPr="006015F2">
        <w:rPr>
          <w:rFonts w:ascii="Times New Roman" w:hAnsi="Times New Roman"/>
          <w:sz w:val="24"/>
          <w:szCs w:val="24"/>
          <w:lang/>
        </w:rPr>
        <w:t xml:space="preserve">Felbermayr, G., &amp; Gröschl, J. (2014). Naturally negative: The growth effects of natural disasters. </w:t>
      </w:r>
      <w:r w:rsidRPr="006015F2">
        <w:rPr>
          <w:rFonts w:ascii="Times New Roman" w:hAnsi="Times New Roman"/>
          <w:i/>
          <w:iCs/>
          <w:sz w:val="24"/>
          <w:szCs w:val="24"/>
          <w:lang/>
        </w:rPr>
        <w:t>Journal of Development Economics, 111</w:t>
      </w:r>
      <w:r w:rsidRPr="006015F2">
        <w:rPr>
          <w:rFonts w:ascii="Times New Roman" w:hAnsi="Times New Roman"/>
          <w:sz w:val="24"/>
          <w:szCs w:val="24"/>
          <w:lang/>
        </w:rPr>
        <w:t>, 92–106. https://doi.org/10.1016/j.jdeveco.2014.07.004</w:t>
      </w:r>
    </w:p>
    <w:p w14:paraId="4526558F" w14:textId="6DC61911" w:rsidR="006015F2" w:rsidRPr="006015F2" w:rsidRDefault="006015F2" w:rsidP="006015F2">
      <w:pPr>
        <w:pStyle w:val="ListParagraph"/>
        <w:numPr>
          <w:ilvl w:val="0"/>
          <w:numId w:val="47"/>
        </w:numPr>
        <w:spacing w:line="480" w:lineRule="auto"/>
        <w:ind w:left="360"/>
        <w:rPr>
          <w:rFonts w:ascii="Times New Roman" w:hAnsi="Times New Roman"/>
          <w:sz w:val="24"/>
          <w:szCs w:val="24"/>
          <w:lang/>
        </w:rPr>
      </w:pPr>
      <w:r w:rsidRPr="006015F2">
        <w:rPr>
          <w:rFonts w:ascii="Times New Roman" w:hAnsi="Times New Roman"/>
          <w:sz w:val="24"/>
          <w:szCs w:val="24"/>
          <w:lang/>
        </w:rPr>
        <w:t xml:space="preserve">Feldstein, M., &amp; Horioka, C. (1980). Domestic saving and international capital flows. </w:t>
      </w:r>
      <w:r w:rsidRPr="006015F2">
        <w:rPr>
          <w:rFonts w:ascii="Times New Roman" w:hAnsi="Times New Roman"/>
          <w:i/>
          <w:iCs/>
          <w:sz w:val="24"/>
          <w:szCs w:val="24"/>
          <w:lang/>
        </w:rPr>
        <w:t>The Economic Journal, 90</w:t>
      </w:r>
      <w:r w:rsidRPr="006015F2">
        <w:rPr>
          <w:rFonts w:ascii="Times New Roman" w:hAnsi="Times New Roman"/>
          <w:sz w:val="24"/>
          <w:szCs w:val="24"/>
          <w:lang/>
        </w:rPr>
        <w:t>(358), 314–329. https://doi.org/10.2307/2231790</w:t>
      </w:r>
    </w:p>
    <w:p w14:paraId="6AAD1E72" w14:textId="77777777" w:rsidR="006015F2" w:rsidRPr="006015F2" w:rsidRDefault="006015F2" w:rsidP="006015F2">
      <w:pPr>
        <w:pStyle w:val="ListParagraph"/>
        <w:numPr>
          <w:ilvl w:val="0"/>
          <w:numId w:val="47"/>
        </w:numPr>
        <w:spacing w:line="480" w:lineRule="auto"/>
        <w:ind w:left="360"/>
        <w:rPr>
          <w:rFonts w:ascii="Times New Roman" w:hAnsi="Times New Roman"/>
          <w:sz w:val="24"/>
          <w:szCs w:val="24"/>
          <w:lang/>
        </w:rPr>
      </w:pPr>
      <w:r w:rsidRPr="006015F2">
        <w:rPr>
          <w:rFonts w:ascii="Times New Roman" w:hAnsi="Times New Roman"/>
          <w:sz w:val="24"/>
          <w:szCs w:val="24"/>
          <w:lang/>
        </w:rPr>
        <w:t xml:space="preserve">Ferraz, J. C., &amp; Coutinho, L. (2019). Investment policies, development finance, and economic transformation: Lessons from BNDES. </w:t>
      </w:r>
      <w:r w:rsidRPr="006015F2">
        <w:rPr>
          <w:rFonts w:ascii="Times New Roman" w:hAnsi="Times New Roman"/>
          <w:i/>
          <w:iCs/>
          <w:sz w:val="24"/>
          <w:szCs w:val="24"/>
          <w:lang/>
        </w:rPr>
        <w:t>Structural Change and Economic Dynamics, 48</w:t>
      </w:r>
      <w:r w:rsidRPr="006015F2">
        <w:rPr>
          <w:rFonts w:ascii="Times New Roman" w:hAnsi="Times New Roman"/>
          <w:sz w:val="24"/>
          <w:szCs w:val="24"/>
          <w:lang/>
        </w:rPr>
        <w:t>, 86–102. https://doi.org/10.1016/j.strueco.2018.05.003</w:t>
      </w:r>
    </w:p>
    <w:p w14:paraId="0E75F0E8" w14:textId="77777777" w:rsidR="006015F2" w:rsidRPr="006015F2" w:rsidRDefault="006015F2" w:rsidP="006015F2">
      <w:pPr>
        <w:pStyle w:val="ListParagraph"/>
        <w:numPr>
          <w:ilvl w:val="0"/>
          <w:numId w:val="47"/>
        </w:numPr>
        <w:spacing w:line="480" w:lineRule="auto"/>
        <w:ind w:left="360"/>
        <w:rPr>
          <w:rFonts w:ascii="Times New Roman" w:hAnsi="Times New Roman"/>
          <w:sz w:val="24"/>
          <w:szCs w:val="24"/>
          <w:lang/>
        </w:rPr>
      </w:pPr>
      <w:r w:rsidRPr="006015F2">
        <w:rPr>
          <w:rFonts w:ascii="Times New Roman" w:hAnsi="Times New Roman"/>
          <w:sz w:val="24"/>
          <w:szCs w:val="24"/>
          <w:lang/>
        </w:rPr>
        <w:t xml:space="preserve">Fujita, M., Krugman, P., &amp; Venables, A. J. (1999). </w:t>
      </w:r>
      <w:r w:rsidRPr="006015F2">
        <w:rPr>
          <w:rFonts w:ascii="Times New Roman" w:hAnsi="Times New Roman"/>
          <w:i/>
          <w:iCs/>
          <w:sz w:val="24"/>
          <w:szCs w:val="24"/>
          <w:lang/>
        </w:rPr>
        <w:t>The spatial economy: Cities, regions, and international trade</w:t>
      </w:r>
      <w:r w:rsidRPr="006015F2">
        <w:rPr>
          <w:rFonts w:ascii="Times New Roman" w:hAnsi="Times New Roman"/>
          <w:sz w:val="24"/>
          <w:szCs w:val="24"/>
          <w:lang/>
        </w:rPr>
        <w:t>. MIT Press.</w:t>
      </w:r>
    </w:p>
    <w:p w14:paraId="5DA7A090" w14:textId="2E9F15BD" w:rsidR="006015F2" w:rsidRPr="006015F2" w:rsidRDefault="006015F2" w:rsidP="006015F2">
      <w:pPr>
        <w:pStyle w:val="ListParagraph"/>
        <w:numPr>
          <w:ilvl w:val="0"/>
          <w:numId w:val="47"/>
        </w:numPr>
        <w:spacing w:line="480" w:lineRule="auto"/>
        <w:ind w:left="360"/>
        <w:rPr>
          <w:rFonts w:ascii="Times New Roman" w:hAnsi="Times New Roman"/>
          <w:sz w:val="24"/>
          <w:szCs w:val="24"/>
          <w:lang/>
        </w:rPr>
      </w:pPr>
      <w:r w:rsidRPr="006015F2">
        <w:rPr>
          <w:rFonts w:ascii="Times New Roman" w:hAnsi="Times New Roman"/>
          <w:sz w:val="24"/>
          <w:szCs w:val="24"/>
          <w:lang/>
        </w:rPr>
        <w:lastRenderedPageBreak/>
        <w:t xml:space="preserve">Gellman, J., Walls, M., &amp; Wibbenmeyer, M. (2022). Wildfire, smoke, and outdoor recreation in the western United States. </w:t>
      </w:r>
      <w:r w:rsidRPr="006015F2">
        <w:rPr>
          <w:rFonts w:ascii="Times New Roman" w:hAnsi="Times New Roman"/>
          <w:i/>
          <w:iCs/>
          <w:sz w:val="24"/>
          <w:szCs w:val="24"/>
          <w:lang/>
        </w:rPr>
        <w:t>Forest Policy and Economics, 134</w:t>
      </w:r>
      <w:r w:rsidRPr="006015F2">
        <w:rPr>
          <w:rFonts w:ascii="Times New Roman" w:hAnsi="Times New Roman"/>
          <w:sz w:val="24"/>
          <w:szCs w:val="24"/>
          <w:lang/>
        </w:rPr>
        <w:t>, 102619. https://doi.org/10.1016/j.forpol.2021.102619</w:t>
      </w:r>
    </w:p>
    <w:p w14:paraId="02C79B91" w14:textId="77777777" w:rsidR="006015F2" w:rsidRPr="006015F2" w:rsidRDefault="006015F2" w:rsidP="006015F2">
      <w:pPr>
        <w:pStyle w:val="ListParagraph"/>
        <w:numPr>
          <w:ilvl w:val="0"/>
          <w:numId w:val="47"/>
        </w:numPr>
        <w:spacing w:line="480" w:lineRule="auto"/>
        <w:ind w:left="360"/>
        <w:rPr>
          <w:rFonts w:ascii="Times New Roman" w:hAnsi="Times New Roman"/>
          <w:sz w:val="24"/>
          <w:szCs w:val="24"/>
          <w:lang/>
        </w:rPr>
      </w:pPr>
      <w:r w:rsidRPr="006015F2">
        <w:rPr>
          <w:rFonts w:ascii="Times New Roman" w:hAnsi="Times New Roman"/>
          <w:sz w:val="24"/>
          <w:szCs w:val="24"/>
          <w:lang/>
        </w:rPr>
        <w:t xml:space="preserve">Glaeser, E. L., Kallal, H. D., Scheinkman, J. A., &amp; Shleifer, A. (1992). Growth in cities. </w:t>
      </w:r>
      <w:r w:rsidRPr="006015F2">
        <w:rPr>
          <w:rFonts w:ascii="Times New Roman" w:hAnsi="Times New Roman"/>
          <w:i/>
          <w:iCs/>
          <w:sz w:val="24"/>
          <w:szCs w:val="24"/>
          <w:lang/>
        </w:rPr>
        <w:t>Journal of Political Economy, 100</w:t>
      </w:r>
      <w:r w:rsidRPr="006015F2">
        <w:rPr>
          <w:rFonts w:ascii="Times New Roman" w:hAnsi="Times New Roman"/>
          <w:sz w:val="24"/>
          <w:szCs w:val="24"/>
          <w:lang/>
        </w:rPr>
        <w:t>(6), 1126–1152. https://doi.org/10.1086/261856</w:t>
      </w:r>
    </w:p>
    <w:p w14:paraId="3EA7C8B1" w14:textId="77777777" w:rsidR="006015F2" w:rsidRPr="006015F2" w:rsidRDefault="006015F2" w:rsidP="006015F2">
      <w:pPr>
        <w:pStyle w:val="ListParagraph"/>
        <w:numPr>
          <w:ilvl w:val="0"/>
          <w:numId w:val="47"/>
        </w:numPr>
        <w:spacing w:line="480" w:lineRule="auto"/>
        <w:ind w:left="360"/>
        <w:rPr>
          <w:rFonts w:ascii="Times New Roman" w:hAnsi="Times New Roman"/>
          <w:sz w:val="24"/>
          <w:szCs w:val="24"/>
          <w:lang/>
        </w:rPr>
      </w:pPr>
      <w:r w:rsidRPr="006015F2">
        <w:rPr>
          <w:rFonts w:ascii="Times New Roman" w:hAnsi="Times New Roman"/>
          <w:sz w:val="24"/>
          <w:szCs w:val="24"/>
          <w:lang/>
        </w:rPr>
        <w:t xml:space="preserve">Glaeser, E. L., Kerr, S. P., &amp; Kerr, W. R. (2015). Entrepreneurship and urban growth: An empirical assessment with historical mines. </w:t>
      </w:r>
      <w:r w:rsidRPr="006015F2">
        <w:rPr>
          <w:rFonts w:ascii="Times New Roman" w:hAnsi="Times New Roman"/>
          <w:i/>
          <w:iCs/>
          <w:sz w:val="24"/>
          <w:szCs w:val="24"/>
          <w:lang/>
        </w:rPr>
        <w:t>Review of Economics and Statistics, 97</w:t>
      </w:r>
      <w:r w:rsidRPr="006015F2">
        <w:rPr>
          <w:rFonts w:ascii="Times New Roman" w:hAnsi="Times New Roman"/>
          <w:sz w:val="24"/>
          <w:szCs w:val="24"/>
          <w:lang/>
        </w:rPr>
        <w:t>(2), 498–520. https://doi.org/10.1162/REST_a_00456</w:t>
      </w:r>
    </w:p>
    <w:p w14:paraId="45CAFEED" w14:textId="49DDE906" w:rsidR="006015F2" w:rsidRPr="006015F2" w:rsidRDefault="006015F2" w:rsidP="006015F2">
      <w:pPr>
        <w:pStyle w:val="ListParagraph"/>
        <w:numPr>
          <w:ilvl w:val="0"/>
          <w:numId w:val="47"/>
        </w:numPr>
        <w:spacing w:line="480" w:lineRule="auto"/>
        <w:ind w:left="360"/>
        <w:rPr>
          <w:rFonts w:ascii="Times New Roman" w:hAnsi="Times New Roman"/>
          <w:sz w:val="24"/>
          <w:szCs w:val="24"/>
          <w:lang/>
        </w:rPr>
      </w:pPr>
      <w:r w:rsidRPr="006015F2">
        <w:rPr>
          <w:rFonts w:ascii="Times New Roman" w:hAnsi="Times New Roman"/>
          <w:sz w:val="24"/>
          <w:szCs w:val="24"/>
          <w:lang/>
        </w:rPr>
        <w:t xml:space="preserve">Gourieroux, C., Monfort, A., &amp; Trognon, A. (1984). Pseudo maximum likelihood methods: Applications to Poisson models. </w:t>
      </w:r>
      <w:r w:rsidRPr="006015F2">
        <w:rPr>
          <w:rFonts w:ascii="Times New Roman" w:hAnsi="Times New Roman"/>
          <w:i/>
          <w:iCs/>
          <w:sz w:val="24"/>
          <w:szCs w:val="24"/>
          <w:lang/>
        </w:rPr>
        <w:t>Econometrica, 52</w:t>
      </w:r>
      <w:r w:rsidRPr="006015F2">
        <w:rPr>
          <w:rFonts w:ascii="Times New Roman" w:hAnsi="Times New Roman"/>
          <w:sz w:val="24"/>
          <w:szCs w:val="24"/>
          <w:lang/>
        </w:rPr>
        <w:t>(3), 701–720. https://doi.org/10.2307/1913472</w:t>
      </w:r>
    </w:p>
    <w:p w14:paraId="17A2A5AA" w14:textId="23465414" w:rsidR="006015F2" w:rsidRPr="006015F2" w:rsidRDefault="006015F2" w:rsidP="006015F2">
      <w:pPr>
        <w:pStyle w:val="ListParagraph"/>
        <w:numPr>
          <w:ilvl w:val="0"/>
          <w:numId w:val="47"/>
        </w:numPr>
        <w:spacing w:line="480" w:lineRule="auto"/>
        <w:ind w:left="360"/>
        <w:rPr>
          <w:rFonts w:ascii="Times New Roman" w:hAnsi="Times New Roman"/>
          <w:sz w:val="24"/>
          <w:szCs w:val="24"/>
          <w:lang/>
        </w:rPr>
      </w:pPr>
      <w:r w:rsidRPr="006015F2">
        <w:rPr>
          <w:rFonts w:ascii="Times New Roman" w:hAnsi="Times New Roman"/>
          <w:sz w:val="24"/>
          <w:szCs w:val="24"/>
          <w:lang/>
        </w:rPr>
        <w:t xml:space="preserve">Hallegatte, S. (2014). Economic resilience: Definition and measurement. </w:t>
      </w:r>
      <w:r w:rsidRPr="006015F2">
        <w:rPr>
          <w:rFonts w:ascii="Times New Roman" w:hAnsi="Times New Roman"/>
          <w:i/>
          <w:iCs/>
          <w:sz w:val="24"/>
          <w:szCs w:val="24"/>
          <w:lang/>
        </w:rPr>
        <w:t>World Bank Policy Research Working Paper No. 6852</w:t>
      </w:r>
      <w:r w:rsidRPr="006015F2">
        <w:rPr>
          <w:rFonts w:ascii="Times New Roman" w:hAnsi="Times New Roman"/>
          <w:sz w:val="24"/>
          <w:szCs w:val="24"/>
          <w:lang/>
        </w:rPr>
        <w:t>. https://doi.org/10.1596/1813-9450-6852</w:t>
      </w:r>
    </w:p>
    <w:p w14:paraId="55BA1CE2" w14:textId="11F48120" w:rsidR="006015F2" w:rsidRPr="006015F2" w:rsidRDefault="006015F2" w:rsidP="006015F2">
      <w:pPr>
        <w:pStyle w:val="ListParagraph"/>
        <w:numPr>
          <w:ilvl w:val="0"/>
          <w:numId w:val="47"/>
        </w:numPr>
        <w:spacing w:line="480" w:lineRule="auto"/>
        <w:ind w:left="360"/>
        <w:rPr>
          <w:rFonts w:ascii="Times New Roman" w:hAnsi="Times New Roman"/>
          <w:sz w:val="24"/>
          <w:szCs w:val="24"/>
          <w:lang/>
        </w:rPr>
      </w:pPr>
      <w:r w:rsidRPr="006015F2">
        <w:rPr>
          <w:rFonts w:ascii="Times New Roman" w:hAnsi="Times New Roman"/>
          <w:sz w:val="24"/>
          <w:szCs w:val="24"/>
          <w:lang/>
        </w:rPr>
        <w:t xml:space="preserve">Hallegatte, S. (2014). </w:t>
      </w:r>
      <w:r w:rsidRPr="006015F2">
        <w:rPr>
          <w:rFonts w:ascii="Times New Roman" w:hAnsi="Times New Roman"/>
          <w:i/>
          <w:iCs/>
          <w:sz w:val="24"/>
          <w:szCs w:val="24"/>
          <w:lang/>
        </w:rPr>
        <w:t>Natural disasters and climate change: An economic perspective</w:t>
      </w:r>
      <w:r w:rsidRPr="006015F2">
        <w:rPr>
          <w:rFonts w:ascii="Times New Roman" w:hAnsi="Times New Roman"/>
          <w:sz w:val="24"/>
          <w:szCs w:val="24"/>
          <w:lang/>
        </w:rPr>
        <w:t>. Springer. https://doi.org/10.1007/978-3-319-08933-1</w:t>
      </w:r>
    </w:p>
    <w:p w14:paraId="5FF2F7CC" w14:textId="77777777" w:rsidR="006015F2" w:rsidRPr="006015F2" w:rsidRDefault="006015F2" w:rsidP="006015F2">
      <w:pPr>
        <w:pStyle w:val="ListParagraph"/>
        <w:numPr>
          <w:ilvl w:val="0"/>
          <w:numId w:val="47"/>
        </w:numPr>
        <w:spacing w:line="480" w:lineRule="auto"/>
        <w:ind w:left="360"/>
        <w:rPr>
          <w:rFonts w:ascii="Times New Roman" w:hAnsi="Times New Roman"/>
          <w:sz w:val="24"/>
          <w:szCs w:val="24"/>
          <w:lang/>
        </w:rPr>
      </w:pPr>
      <w:r w:rsidRPr="006015F2">
        <w:rPr>
          <w:rFonts w:ascii="Times New Roman" w:hAnsi="Times New Roman"/>
          <w:sz w:val="24"/>
          <w:szCs w:val="24"/>
          <w:lang/>
        </w:rPr>
        <w:t xml:space="preserve">Helmers, C., Rohner, D., &amp; Troeger, V. E. (2020). Natural disasters and business relocation: Evidence from wildfire-prone regions. </w:t>
      </w:r>
      <w:r w:rsidRPr="006015F2">
        <w:rPr>
          <w:rFonts w:ascii="Times New Roman" w:hAnsi="Times New Roman"/>
          <w:i/>
          <w:iCs/>
          <w:sz w:val="24"/>
          <w:szCs w:val="24"/>
          <w:lang/>
        </w:rPr>
        <w:t>Regional Science and Urban Economics, 85</w:t>
      </w:r>
      <w:r w:rsidRPr="006015F2">
        <w:rPr>
          <w:rFonts w:ascii="Times New Roman" w:hAnsi="Times New Roman"/>
          <w:sz w:val="24"/>
          <w:szCs w:val="24"/>
          <w:lang/>
        </w:rPr>
        <w:t>, 103583. https://doi.org/10.1016/j.regsciurbeco.2020.103583</w:t>
      </w:r>
    </w:p>
    <w:p w14:paraId="071923F4" w14:textId="65289B5B" w:rsidR="006015F2" w:rsidRPr="006015F2" w:rsidRDefault="006015F2" w:rsidP="006015F2">
      <w:pPr>
        <w:pStyle w:val="ListParagraph"/>
        <w:numPr>
          <w:ilvl w:val="0"/>
          <w:numId w:val="47"/>
        </w:numPr>
        <w:spacing w:line="480" w:lineRule="auto"/>
        <w:ind w:left="360"/>
        <w:rPr>
          <w:rFonts w:ascii="Times New Roman" w:hAnsi="Times New Roman"/>
          <w:sz w:val="24"/>
          <w:szCs w:val="24"/>
          <w:lang/>
        </w:rPr>
      </w:pPr>
      <w:r w:rsidRPr="006015F2">
        <w:rPr>
          <w:rFonts w:ascii="Times New Roman" w:hAnsi="Times New Roman"/>
          <w:sz w:val="24"/>
          <w:szCs w:val="24"/>
          <w:lang/>
        </w:rPr>
        <w:t xml:space="preserve">Henderson, J. V. (1997). Externalities and industrial development. </w:t>
      </w:r>
      <w:r w:rsidRPr="006015F2">
        <w:rPr>
          <w:rFonts w:ascii="Times New Roman" w:hAnsi="Times New Roman"/>
          <w:i/>
          <w:iCs/>
          <w:sz w:val="24"/>
          <w:szCs w:val="24"/>
          <w:lang/>
        </w:rPr>
        <w:t>Journal of Urban Economics, 42</w:t>
      </w:r>
      <w:r w:rsidRPr="006015F2">
        <w:rPr>
          <w:rFonts w:ascii="Times New Roman" w:hAnsi="Times New Roman"/>
          <w:sz w:val="24"/>
          <w:szCs w:val="24"/>
          <w:lang/>
        </w:rPr>
        <w:t>(3), 449–470. https://doi.org/10.1006/juec.1996.2048</w:t>
      </w:r>
    </w:p>
    <w:p w14:paraId="6A850F1F" w14:textId="77777777" w:rsidR="006015F2" w:rsidRPr="006015F2" w:rsidRDefault="006015F2" w:rsidP="006015F2">
      <w:pPr>
        <w:pStyle w:val="ListParagraph"/>
        <w:numPr>
          <w:ilvl w:val="0"/>
          <w:numId w:val="47"/>
        </w:numPr>
        <w:spacing w:line="480" w:lineRule="auto"/>
        <w:ind w:left="360"/>
        <w:rPr>
          <w:rFonts w:ascii="Times New Roman" w:hAnsi="Times New Roman"/>
          <w:sz w:val="24"/>
          <w:szCs w:val="24"/>
          <w:lang/>
        </w:rPr>
      </w:pPr>
      <w:r w:rsidRPr="006015F2">
        <w:rPr>
          <w:rFonts w:ascii="Times New Roman" w:hAnsi="Times New Roman"/>
          <w:sz w:val="24"/>
          <w:szCs w:val="24"/>
          <w:lang/>
        </w:rPr>
        <w:lastRenderedPageBreak/>
        <w:t xml:space="preserve">Heutel, G., &amp; Miller, N. H. (2014). Resource shocks and firm exits: Evidence from drought. </w:t>
      </w:r>
      <w:r w:rsidRPr="006015F2">
        <w:rPr>
          <w:rFonts w:ascii="Times New Roman" w:hAnsi="Times New Roman"/>
          <w:i/>
          <w:iCs/>
          <w:sz w:val="24"/>
          <w:szCs w:val="24"/>
          <w:lang/>
        </w:rPr>
        <w:t>Journal of Environmental Economics and Management, 68</w:t>
      </w:r>
      <w:r w:rsidRPr="006015F2">
        <w:rPr>
          <w:rFonts w:ascii="Times New Roman" w:hAnsi="Times New Roman"/>
          <w:sz w:val="24"/>
          <w:szCs w:val="24"/>
          <w:lang/>
        </w:rPr>
        <w:t>(3), 463–478. https://doi.org/10.1016/j.jeem.2014.07.002</w:t>
      </w:r>
    </w:p>
    <w:p w14:paraId="0DA1FD0B" w14:textId="71ABE403" w:rsidR="006015F2" w:rsidRPr="006015F2" w:rsidRDefault="006015F2" w:rsidP="006015F2">
      <w:pPr>
        <w:pStyle w:val="ListParagraph"/>
        <w:numPr>
          <w:ilvl w:val="0"/>
          <w:numId w:val="47"/>
        </w:numPr>
        <w:spacing w:line="480" w:lineRule="auto"/>
        <w:ind w:left="360"/>
        <w:rPr>
          <w:rFonts w:ascii="Times New Roman" w:hAnsi="Times New Roman"/>
          <w:sz w:val="24"/>
          <w:szCs w:val="24"/>
          <w:lang/>
        </w:rPr>
      </w:pPr>
      <w:r w:rsidRPr="006015F2">
        <w:rPr>
          <w:rFonts w:ascii="Times New Roman" w:hAnsi="Times New Roman"/>
          <w:sz w:val="24"/>
          <w:szCs w:val="24"/>
          <w:lang/>
        </w:rPr>
        <w:t xml:space="preserve">Hsiang, S. M., Burke, M., &amp; Miguel, E. (2017). Estimating economic damage from climate change in the United States. </w:t>
      </w:r>
      <w:r w:rsidRPr="006015F2">
        <w:rPr>
          <w:rFonts w:ascii="Times New Roman" w:hAnsi="Times New Roman"/>
          <w:i/>
          <w:iCs/>
          <w:sz w:val="24"/>
          <w:szCs w:val="24"/>
          <w:lang/>
        </w:rPr>
        <w:t>Science, 356</w:t>
      </w:r>
      <w:r w:rsidRPr="006015F2">
        <w:rPr>
          <w:rFonts w:ascii="Times New Roman" w:hAnsi="Times New Roman"/>
          <w:sz w:val="24"/>
          <w:szCs w:val="24"/>
          <w:lang/>
        </w:rPr>
        <w:t>(6345), 1362–1369. https://doi.org/10.1126/science.aal4369</w:t>
      </w:r>
    </w:p>
    <w:p w14:paraId="1A754E3D" w14:textId="77777777" w:rsidR="006015F2" w:rsidRPr="006015F2" w:rsidRDefault="006015F2" w:rsidP="006015F2">
      <w:pPr>
        <w:pStyle w:val="ListParagraph"/>
        <w:numPr>
          <w:ilvl w:val="0"/>
          <w:numId w:val="47"/>
        </w:numPr>
        <w:spacing w:line="480" w:lineRule="auto"/>
        <w:ind w:left="360"/>
        <w:rPr>
          <w:rFonts w:ascii="Times New Roman" w:hAnsi="Times New Roman"/>
          <w:sz w:val="24"/>
          <w:szCs w:val="24"/>
          <w:lang/>
        </w:rPr>
      </w:pPr>
      <w:r w:rsidRPr="006015F2">
        <w:rPr>
          <w:rFonts w:ascii="Times New Roman" w:hAnsi="Times New Roman"/>
          <w:sz w:val="24"/>
          <w:szCs w:val="24"/>
          <w:lang/>
        </w:rPr>
        <w:t xml:space="preserve">Hsiang, S., &amp; Jina, A. S. (2017). The causal effect of environmental catastrophe on long-run economic growth: Evidence from 6,700 cyclones. </w:t>
      </w:r>
      <w:r w:rsidRPr="006015F2">
        <w:rPr>
          <w:rFonts w:ascii="Times New Roman" w:hAnsi="Times New Roman"/>
          <w:i/>
          <w:iCs/>
          <w:sz w:val="24"/>
          <w:szCs w:val="24"/>
          <w:lang/>
        </w:rPr>
        <w:t>Journal of Environmental Economics and Management, 83</w:t>
      </w:r>
      <w:r w:rsidRPr="006015F2">
        <w:rPr>
          <w:rFonts w:ascii="Times New Roman" w:hAnsi="Times New Roman"/>
          <w:sz w:val="24"/>
          <w:szCs w:val="24"/>
          <w:lang/>
        </w:rPr>
        <w:t>, 166–184. https://doi.org/10.1016/j.jeem.2016.12.004</w:t>
      </w:r>
    </w:p>
    <w:p w14:paraId="21473954" w14:textId="77777777" w:rsidR="006015F2" w:rsidRPr="006015F2" w:rsidRDefault="006015F2" w:rsidP="006015F2">
      <w:pPr>
        <w:pStyle w:val="ListParagraph"/>
        <w:numPr>
          <w:ilvl w:val="0"/>
          <w:numId w:val="47"/>
        </w:numPr>
        <w:spacing w:line="480" w:lineRule="auto"/>
        <w:ind w:left="360"/>
        <w:rPr>
          <w:rFonts w:ascii="Times New Roman" w:hAnsi="Times New Roman"/>
          <w:sz w:val="24"/>
          <w:szCs w:val="24"/>
          <w:lang/>
        </w:rPr>
      </w:pPr>
      <w:r w:rsidRPr="006015F2">
        <w:rPr>
          <w:rFonts w:ascii="Times New Roman" w:hAnsi="Times New Roman"/>
          <w:sz w:val="24"/>
          <w:szCs w:val="24"/>
          <w:lang/>
        </w:rPr>
        <w:t xml:space="preserve">Indaco, A., Ortega, F., &amp; Tapinar, S. (2020). Hurricanes, flood risk, and the economic adaptation of businesses. </w:t>
      </w:r>
      <w:r w:rsidRPr="006015F2">
        <w:rPr>
          <w:rFonts w:ascii="Times New Roman" w:hAnsi="Times New Roman"/>
          <w:i/>
          <w:iCs/>
          <w:sz w:val="24"/>
          <w:szCs w:val="24"/>
          <w:lang/>
        </w:rPr>
        <w:t>Journal of Economic Geography, 21</w:t>
      </w:r>
      <w:r w:rsidRPr="006015F2">
        <w:rPr>
          <w:rFonts w:ascii="Times New Roman" w:hAnsi="Times New Roman"/>
          <w:sz w:val="24"/>
          <w:szCs w:val="24"/>
          <w:lang/>
        </w:rPr>
        <w:t>(2), 277–312. https://doi.org/10.1093/jeg/lbaa002</w:t>
      </w:r>
    </w:p>
    <w:p w14:paraId="446F03B6" w14:textId="30D29FF1" w:rsidR="006015F2" w:rsidRPr="006015F2" w:rsidRDefault="006015F2" w:rsidP="006015F2">
      <w:pPr>
        <w:pStyle w:val="ListParagraph"/>
        <w:numPr>
          <w:ilvl w:val="0"/>
          <w:numId w:val="47"/>
        </w:numPr>
        <w:spacing w:line="480" w:lineRule="auto"/>
        <w:ind w:left="360"/>
        <w:rPr>
          <w:rFonts w:ascii="Times New Roman" w:hAnsi="Times New Roman"/>
          <w:sz w:val="24"/>
          <w:szCs w:val="24"/>
          <w:lang/>
        </w:rPr>
      </w:pPr>
      <w:r w:rsidRPr="006015F2">
        <w:rPr>
          <w:rFonts w:ascii="Times New Roman" w:hAnsi="Times New Roman"/>
          <w:sz w:val="24"/>
          <w:szCs w:val="24"/>
          <w:lang/>
        </w:rPr>
        <w:t xml:space="preserve">Jarmin, R. S., &amp; Miranda, J. (2002). The longitudinal business database. </w:t>
      </w:r>
      <w:r w:rsidRPr="006015F2">
        <w:rPr>
          <w:rFonts w:ascii="Times New Roman" w:hAnsi="Times New Roman"/>
          <w:i/>
          <w:iCs/>
          <w:sz w:val="24"/>
          <w:szCs w:val="24"/>
          <w:lang/>
        </w:rPr>
        <w:t>Center for Economic Studies Discussion Paper CES-WP-02-17</w:t>
      </w:r>
      <w:r w:rsidRPr="006015F2">
        <w:rPr>
          <w:rFonts w:ascii="Times New Roman" w:hAnsi="Times New Roman"/>
          <w:sz w:val="24"/>
          <w:szCs w:val="24"/>
          <w:lang/>
        </w:rPr>
        <w:t>. Retrieved from https://www.census.gov/ces/dataproducts/cespapers.html</w:t>
      </w:r>
    </w:p>
    <w:p w14:paraId="71EE3FCC" w14:textId="36F538A1" w:rsidR="006015F2" w:rsidRPr="006015F2" w:rsidRDefault="006015F2" w:rsidP="006015F2">
      <w:pPr>
        <w:pStyle w:val="ListParagraph"/>
        <w:numPr>
          <w:ilvl w:val="0"/>
          <w:numId w:val="47"/>
        </w:numPr>
        <w:spacing w:line="480" w:lineRule="auto"/>
        <w:ind w:left="360"/>
        <w:rPr>
          <w:rFonts w:ascii="Times New Roman" w:hAnsi="Times New Roman"/>
          <w:sz w:val="24"/>
          <w:szCs w:val="24"/>
          <w:lang/>
        </w:rPr>
      </w:pPr>
      <w:r w:rsidRPr="006015F2">
        <w:rPr>
          <w:rFonts w:ascii="Times New Roman" w:hAnsi="Times New Roman"/>
          <w:sz w:val="24"/>
          <w:szCs w:val="24"/>
          <w:lang/>
        </w:rPr>
        <w:t xml:space="preserve">Jia, R., Ma, X., &amp; Xie, V. W. (2022). Expecting floods: Firm entry, employment, and aggregate implications. </w:t>
      </w:r>
      <w:r w:rsidRPr="006015F2">
        <w:rPr>
          <w:rFonts w:ascii="Times New Roman" w:hAnsi="Times New Roman"/>
          <w:i/>
          <w:iCs/>
          <w:sz w:val="24"/>
          <w:szCs w:val="24"/>
          <w:lang/>
        </w:rPr>
        <w:t>NBER Working Paper No. 30250</w:t>
      </w:r>
      <w:r w:rsidRPr="006015F2">
        <w:rPr>
          <w:rFonts w:ascii="Times New Roman" w:hAnsi="Times New Roman"/>
          <w:sz w:val="24"/>
          <w:szCs w:val="24"/>
          <w:lang/>
        </w:rPr>
        <w:t>. https://doi.org/10.3386/w30250</w:t>
      </w:r>
    </w:p>
    <w:p w14:paraId="5C12576A" w14:textId="77777777" w:rsidR="006015F2" w:rsidRPr="006015F2" w:rsidRDefault="006015F2" w:rsidP="006015F2">
      <w:pPr>
        <w:pStyle w:val="ListParagraph"/>
        <w:numPr>
          <w:ilvl w:val="0"/>
          <w:numId w:val="47"/>
        </w:numPr>
        <w:spacing w:line="480" w:lineRule="auto"/>
        <w:ind w:left="360"/>
        <w:rPr>
          <w:rFonts w:ascii="Times New Roman" w:hAnsi="Times New Roman"/>
          <w:sz w:val="24"/>
          <w:szCs w:val="24"/>
          <w:lang/>
        </w:rPr>
      </w:pPr>
      <w:r w:rsidRPr="006015F2">
        <w:rPr>
          <w:rFonts w:ascii="Times New Roman" w:hAnsi="Times New Roman"/>
          <w:sz w:val="24"/>
          <w:szCs w:val="24"/>
          <w:lang/>
        </w:rPr>
        <w:t xml:space="preserve">Job growth and loss across sectors. (2014). Wildfire impacts on employment in the U.S. West. </w:t>
      </w:r>
      <w:r w:rsidRPr="006015F2">
        <w:rPr>
          <w:rFonts w:ascii="Times New Roman" w:hAnsi="Times New Roman"/>
          <w:i/>
          <w:iCs/>
          <w:sz w:val="24"/>
          <w:szCs w:val="24"/>
          <w:lang/>
        </w:rPr>
        <w:t>Western Natural Resources Council</w:t>
      </w:r>
      <w:r w:rsidRPr="006015F2">
        <w:rPr>
          <w:rFonts w:ascii="Times New Roman" w:hAnsi="Times New Roman"/>
          <w:sz w:val="24"/>
          <w:szCs w:val="24"/>
          <w:lang/>
        </w:rPr>
        <w:t>.</w:t>
      </w:r>
    </w:p>
    <w:p w14:paraId="46B06356" w14:textId="77777777" w:rsidR="006015F2" w:rsidRPr="006015F2" w:rsidRDefault="006015F2" w:rsidP="006015F2">
      <w:pPr>
        <w:pStyle w:val="ListParagraph"/>
        <w:numPr>
          <w:ilvl w:val="0"/>
          <w:numId w:val="47"/>
        </w:numPr>
        <w:spacing w:line="480" w:lineRule="auto"/>
        <w:ind w:left="360"/>
        <w:rPr>
          <w:rFonts w:ascii="Times New Roman" w:hAnsi="Times New Roman"/>
          <w:sz w:val="24"/>
          <w:szCs w:val="24"/>
          <w:lang/>
        </w:rPr>
      </w:pPr>
      <w:r w:rsidRPr="006015F2">
        <w:rPr>
          <w:rFonts w:ascii="Times New Roman" w:hAnsi="Times New Roman"/>
          <w:sz w:val="24"/>
          <w:szCs w:val="24"/>
          <w:lang/>
        </w:rPr>
        <w:lastRenderedPageBreak/>
        <w:t xml:space="preserve">Keeley, J. E., &amp; Syphard, A. D. (2016). Climate change and future wildfire risks: A western United States perspective. </w:t>
      </w:r>
      <w:r w:rsidRPr="006015F2">
        <w:rPr>
          <w:rFonts w:ascii="Times New Roman" w:hAnsi="Times New Roman"/>
          <w:i/>
          <w:iCs/>
          <w:sz w:val="24"/>
          <w:szCs w:val="24"/>
          <w:lang/>
        </w:rPr>
        <w:t>Global Environmental Change, 37</w:t>
      </w:r>
      <w:r w:rsidRPr="006015F2">
        <w:rPr>
          <w:rFonts w:ascii="Times New Roman" w:hAnsi="Times New Roman"/>
          <w:sz w:val="24"/>
          <w:szCs w:val="24"/>
          <w:lang/>
        </w:rPr>
        <w:t>, 283–287. https://doi.org/10.1016/j.gloenvcha.2016.04.005</w:t>
      </w:r>
    </w:p>
    <w:p w14:paraId="77DFAE4F" w14:textId="77777777" w:rsidR="006015F2" w:rsidRPr="006015F2" w:rsidRDefault="006015F2" w:rsidP="006015F2">
      <w:pPr>
        <w:pStyle w:val="ListParagraph"/>
        <w:numPr>
          <w:ilvl w:val="0"/>
          <w:numId w:val="47"/>
        </w:numPr>
        <w:spacing w:line="480" w:lineRule="auto"/>
        <w:ind w:left="360"/>
        <w:rPr>
          <w:rFonts w:ascii="Times New Roman" w:hAnsi="Times New Roman"/>
          <w:sz w:val="24"/>
          <w:szCs w:val="24"/>
          <w:lang/>
        </w:rPr>
      </w:pPr>
      <w:r w:rsidRPr="006015F2">
        <w:rPr>
          <w:rFonts w:ascii="Times New Roman" w:hAnsi="Times New Roman"/>
          <w:sz w:val="24"/>
          <w:szCs w:val="24"/>
          <w:lang/>
        </w:rPr>
        <w:t xml:space="preserve">Klein, N. (2007). </w:t>
      </w:r>
      <w:r w:rsidRPr="006015F2">
        <w:rPr>
          <w:rFonts w:ascii="Times New Roman" w:hAnsi="Times New Roman"/>
          <w:i/>
          <w:iCs/>
          <w:sz w:val="24"/>
          <w:szCs w:val="24"/>
          <w:lang/>
        </w:rPr>
        <w:t>The shock doctrine: The rise of disaster capitalism</w:t>
      </w:r>
      <w:r w:rsidRPr="006015F2">
        <w:rPr>
          <w:rFonts w:ascii="Times New Roman" w:hAnsi="Times New Roman"/>
          <w:sz w:val="24"/>
          <w:szCs w:val="24"/>
          <w:lang/>
        </w:rPr>
        <w:t>. Metropolitan Books.</w:t>
      </w:r>
    </w:p>
    <w:p w14:paraId="5B2F0542" w14:textId="6CBEDB1C" w:rsidR="006015F2" w:rsidRPr="006015F2" w:rsidRDefault="006015F2" w:rsidP="006015F2">
      <w:pPr>
        <w:pStyle w:val="ListParagraph"/>
        <w:numPr>
          <w:ilvl w:val="0"/>
          <w:numId w:val="47"/>
        </w:numPr>
        <w:spacing w:line="480" w:lineRule="auto"/>
        <w:ind w:left="360"/>
        <w:rPr>
          <w:rFonts w:ascii="Times New Roman" w:hAnsi="Times New Roman"/>
          <w:sz w:val="24"/>
          <w:szCs w:val="24"/>
          <w:lang/>
        </w:rPr>
      </w:pPr>
      <w:r w:rsidRPr="006015F2">
        <w:rPr>
          <w:rFonts w:ascii="Times New Roman" w:hAnsi="Times New Roman"/>
          <w:sz w:val="24"/>
          <w:szCs w:val="24"/>
          <w:lang/>
        </w:rPr>
        <w:t xml:space="preserve">Kousky, C. (2014). Informing climate adaptation: A review of the economic costs of natural disasters. </w:t>
      </w:r>
      <w:r w:rsidRPr="006015F2">
        <w:rPr>
          <w:rFonts w:ascii="Times New Roman" w:hAnsi="Times New Roman"/>
          <w:i/>
          <w:iCs/>
          <w:sz w:val="24"/>
          <w:szCs w:val="24"/>
          <w:lang/>
        </w:rPr>
        <w:t>Energy Economics, 46</w:t>
      </w:r>
      <w:r w:rsidRPr="006015F2">
        <w:rPr>
          <w:rFonts w:ascii="Times New Roman" w:hAnsi="Times New Roman"/>
          <w:sz w:val="24"/>
          <w:szCs w:val="24"/>
          <w:lang/>
        </w:rPr>
        <w:t>, 576–592. https://doi.org/10.1016/j.eneco.2013.09.029</w:t>
      </w:r>
    </w:p>
    <w:p w14:paraId="35E998DB" w14:textId="28DFB932" w:rsidR="006015F2" w:rsidRPr="006015F2" w:rsidRDefault="006015F2" w:rsidP="006015F2">
      <w:pPr>
        <w:pStyle w:val="ListParagraph"/>
        <w:numPr>
          <w:ilvl w:val="0"/>
          <w:numId w:val="47"/>
        </w:numPr>
        <w:spacing w:line="480" w:lineRule="auto"/>
        <w:ind w:left="360"/>
        <w:rPr>
          <w:rFonts w:ascii="Times New Roman" w:hAnsi="Times New Roman"/>
          <w:sz w:val="24"/>
          <w:szCs w:val="24"/>
          <w:lang/>
        </w:rPr>
      </w:pPr>
      <w:r w:rsidRPr="006015F2">
        <w:rPr>
          <w:rFonts w:ascii="Times New Roman" w:hAnsi="Times New Roman"/>
          <w:sz w:val="24"/>
          <w:szCs w:val="24"/>
          <w:lang/>
        </w:rPr>
        <w:t xml:space="preserve">Kousky, C. (2020). The role of natural disaster insurance in recovery and resilience. </w:t>
      </w:r>
      <w:r w:rsidRPr="006015F2">
        <w:rPr>
          <w:rFonts w:ascii="Times New Roman" w:hAnsi="Times New Roman"/>
          <w:i/>
          <w:iCs/>
          <w:sz w:val="24"/>
          <w:szCs w:val="24"/>
          <w:lang/>
        </w:rPr>
        <w:t>Annual Review of Resource Economics, 12</w:t>
      </w:r>
      <w:r w:rsidRPr="006015F2">
        <w:rPr>
          <w:rFonts w:ascii="Times New Roman" w:hAnsi="Times New Roman"/>
          <w:sz w:val="24"/>
          <w:szCs w:val="24"/>
          <w:lang/>
        </w:rPr>
        <w:t>, 399–418. https://doi.org/10.1146/annurev-resource-110119-024819</w:t>
      </w:r>
    </w:p>
    <w:p w14:paraId="5D99E844" w14:textId="77777777" w:rsidR="006015F2" w:rsidRPr="006015F2" w:rsidRDefault="006015F2" w:rsidP="006015F2">
      <w:pPr>
        <w:pStyle w:val="ListParagraph"/>
        <w:numPr>
          <w:ilvl w:val="0"/>
          <w:numId w:val="47"/>
        </w:numPr>
        <w:spacing w:line="480" w:lineRule="auto"/>
        <w:ind w:left="360"/>
        <w:rPr>
          <w:rFonts w:ascii="Times New Roman" w:hAnsi="Times New Roman"/>
          <w:sz w:val="24"/>
          <w:szCs w:val="24"/>
          <w:lang/>
        </w:rPr>
      </w:pPr>
      <w:r w:rsidRPr="006015F2">
        <w:rPr>
          <w:rFonts w:ascii="Times New Roman" w:hAnsi="Times New Roman"/>
          <w:sz w:val="24"/>
          <w:szCs w:val="24"/>
          <w:lang/>
        </w:rPr>
        <w:t xml:space="preserve">Krugman, P. (1991). </w:t>
      </w:r>
      <w:r w:rsidRPr="006015F2">
        <w:rPr>
          <w:rFonts w:ascii="Times New Roman" w:hAnsi="Times New Roman"/>
          <w:i/>
          <w:iCs/>
          <w:sz w:val="24"/>
          <w:szCs w:val="24"/>
          <w:lang/>
        </w:rPr>
        <w:t>Geography and trade</w:t>
      </w:r>
      <w:r w:rsidRPr="006015F2">
        <w:rPr>
          <w:rFonts w:ascii="Times New Roman" w:hAnsi="Times New Roman"/>
          <w:sz w:val="24"/>
          <w:szCs w:val="24"/>
          <w:lang/>
        </w:rPr>
        <w:t>. MIT Press.</w:t>
      </w:r>
    </w:p>
    <w:p w14:paraId="30836819" w14:textId="40FD6E31" w:rsidR="006015F2" w:rsidRPr="006015F2" w:rsidRDefault="006015F2" w:rsidP="006015F2">
      <w:pPr>
        <w:pStyle w:val="ListParagraph"/>
        <w:numPr>
          <w:ilvl w:val="0"/>
          <w:numId w:val="47"/>
        </w:numPr>
        <w:spacing w:line="480" w:lineRule="auto"/>
        <w:ind w:left="360"/>
        <w:rPr>
          <w:rFonts w:ascii="Times New Roman" w:hAnsi="Times New Roman"/>
          <w:sz w:val="24"/>
          <w:szCs w:val="24"/>
          <w:lang/>
        </w:rPr>
      </w:pPr>
      <w:r w:rsidRPr="006015F2">
        <w:rPr>
          <w:rFonts w:ascii="Times New Roman" w:hAnsi="Times New Roman"/>
          <w:sz w:val="24"/>
          <w:szCs w:val="24"/>
          <w:lang/>
        </w:rPr>
        <w:t xml:space="preserve">Kuminoff, N. V., Smith, V. K., &amp; Timmins, C. (2010). The new economics of equilibrium sorting and its transformational role for policy evaluation. </w:t>
      </w:r>
      <w:r w:rsidRPr="006015F2">
        <w:rPr>
          <w:rFonts w:ascii="Times New Roman" w:hAnsi="Times New Roman"/>
          <w:i/>
          <w:iCs/>
          <w:sz w:val="24"/>
          <w:szCs w:val="24"/>
          <w:lang/>
        </w:rPr>
        <w:t>Journal of Economic Literature, 48</w:t>
      </w:r>
      <w:r w:rsidRPr="006015F2">
        <w:rPr>
          <w:rFonts w:ascii="Times New Roman" w:hAnsi="Times New Roman"/>
          <w:sz w:val="24"/>
          <w:szCs w:val="24"/>
          <w:lang/>
        </w:rPr>
        <w:t>(4), 781–828. https://doi.org/10.1257/jel.48.4.781</w:t>
      </w:r>
    </w:p>
    <w:p w14:paraId="3C3D5874" w14:textId="77777777" w:rsidR="006015F2" w:rsidRPr="006015F2" w:rsidRDefault="006015F2" w:rsidP="006015F2">
      <w:pPr>
        <w:pStyle w:val="ListParagraph"/>
        <w:numPr>
          <w:ilvl w:val="0"/>
          <w:numId w:val="47"/>
        </w:numPr>
        <w:spacing w:line="480" w:lineRule="auto"/>
        <w:ind w:left="360"/>
        <w:rPr>
          <w:rFonts w:ascii="Times New Roman" w:hAnsi="Times New Roman"/>
          <w:sz w:val="24"/>
          <w:szCs w:val="24"/>
          <w:lang/>
        </w:rPr>
      </w:pPr>
      <w:r w:rsidRPr="006015F2">
        <w:rPr>
          <w:rFonts w:ascii="Times New Roman" w:hAnsi="Times New Roman"/>
          <w:sz w:val="24"/>
          <w:szCs w:val="24"/>
          <w:lang/>
        </w:rPr>
        <w:t xml:space="preserve">Kunreuther, H., &amp; Pauly, M. (2019). </w:t>
      </w:r>
      <w:r w:rsidRPr="006015F2">
        <w:rPr>
          <w:rFonts w:ascii="Times New Roman" w:hAnsi="Times New Roman"/>
          <w:i/>
          <w:iCs/>
          <w:sz w:val="24"/>
          <w:szCs w:val="24"/>
          <w:lang/>
        </w:rPr>
        <w:t>Insurance and behavioral economics: Improving decisions in the most misunderstood industry</w:t>
      </w:r>
      <w:r w:rsidRPr="006015F2">
        <w:rPr>
          <w:rFonts w:ascii="Times New Roman" w:hAnsi="Times New Roman"/>
          <w:sz w:val="24"/>
          <w:szCs w:val="24"/>
          <w:lang/>
        </w:rPr>
        <w:t>. Cambridge University Press.</w:t>
      </w:r>
    </w:p>
    <w:p w14:paraId="18773E06" w14:textId="21CAA915" w:rsidR="006015F2" w:rsidRPr="006015F2" w:rsidRDefault="006015F2" w:rsidP="006015F2">
      <w:pPr>
        <w:pStyle w:val="ListParagraph"/>
        <w:numPr>
          <w:ilvl w:val="0"/>
          <w:numId w:val="47"/>
        </w:numPr>
        <w:spacing w:line="480" w:lineRule="auto"/>
        <w:ind w:left="360"/>
        <w:rPr>
          <w:rFonts w:ascii="Times New Roman" w:hAnsi="Times New Roman"/>
          <w:sz w:val="24"/>
          <w:szCs w:val="24"/>
          <w:lang/>
        </w:rPr>
      </w:pPr>
      <w:r w:rsidRPr="006015F2">
        <w:rPr>
          <w:rFonts w:ascii="Times New Roman" w:hAnsi="Times New Roman"/>
          <w:sz w:val="24"/>
          <w:szCs w:val="24"/>
          <w:lang/>
        </w:rPr>
        <w:t xml:space="preserve">Lal, R. (2020). Regenerative agriculture for food and climate. </w:t>
      </w:r>
      <w:r w:rsidRPr="006015F2">
        <w:rPr>
          <w:rFonts w:ascii="Times New Roman" w:hAnsi="Times New Roman"/>
          <w:i/>
          <w:iCs/>
          <w:sz w:val="24"/>
          <w:szCs w:val="24"/>
          <w:lang/>
        </w:rPr>
        <w:t>Journal of Soil and Water Conservation, 75</w:t>
      </w:r>
      <w:r w:rsidRPr="006015F2">
        <w:rPr>
          <w:rFonts w:ascii="Times New Roman" w:hAnsi="Times New Roman"/>
          <w:sz w:val="24"/>
          <w:szCs w:val="24"/>
          <w:lang/>
        </w:rPr>
        <w:t>(5), 123A–124A. https://doi.org/10.2489/jswc.2020.0620a</w:t>
      </w:r>
    </w:p>
    <w:p w14:paraId="31932487" w14:textId="77777777" w:rsidR="006015F2" w:rsidRPr="006015F2" w:rsidRDefault="006015F2" w:rsidP="006015F2">
      <w:pPr>
        <w:pStyle w:val="ListParagraph"/>
        <w:numPr>
          <w:ilvl w:val="0"/>
          <w:numId w:val="47"/>
        </w:numPr>
        <w:spacing w:line="480" w:lineRule="auto"/>
        <w:ind w:left="360"/>
        <w:rPr>
          <w:rFonts w:ascii="Times New Roman" w:hAnsi="Times New Roman"/>
          <w:sz w:val="24"/>
          <w:szCs w:val="24"/>
          <w:lang/>
        </w:rPr>
      </w:pPr>
      <w:r w:rsidRPr="006015F2">
        <w:rPr>
          <w:rFonts w:ascii="Times New Roman" w:hAnsi="Times New Roman"/>
          <w:sz w:val="24"/>
          <w:szCs w:val="24"/>
          <w:lang/>
        </w:rPr>
        <w:t xml:space="preserve">Leiter, A. M., Oberhofer, H., &amp; Raschky, P. A. (2009). Creative disasters? Flooding effects on capital, labor, and productivity within European firms. </w:t>
      </w:r>
      <w:r w:rsidRPr="006015F2">
        <w:rPr>
          <w:rFonts w:ascii="Times New Roman" w:hAnsi="Times New Roman"/>
          <w:i/>
          <w:iCs/>
          <w:sz w:val="24"/>
          <w:szCs w:val="24"/>
          <w:lang/>
        </w:rPr>
        <w:t>Environmental and Resource Economics, 43</w:t>
      </w:r>
      <w:r w:rsidRPr="006015F2">
        <w:rPr>
          <w:rFonts w:ascii="Times New Roman" w:hAnsi="Times New Roman"/>
          <w:sz w:val="24"/>
          <w:szCs w:val="24"/>
          <w:lang/>
        </w:rPr>
        <w:t>(3), 333–350. https://doi.org/10.1007/s10640-008-9231-9</w:t>
      </w:r>
    </w:p>
    <w:p w14:paraId="74ED194B" w14:textId="0B72FAE0" w:rsidR="006015F2" w:rsidRPr="006015F2" w:rsidRDefault="006015F2" w:rsidP="006015F2">
      <w:pPr>
        <w:pStyle w:val="ListParagraph"/>
        <w:numPr>
          <w:ilvl w:val="0"/>
          <w:numId w:val="47"/>
        </w:numPr>
        <w:spacing w:line="480" w:lineRule="auto"/>
        <w:ind w:left="360"/>
        <w:rPr>
          <w:rFonts w:ascii="Times New Roman" w:hAnsi="Times New Roman"/>
          <w:sz w:val="24"/>
          <w:szCs w:val="24"/>
          <w:lang/>
        </w:rPr>
      </w:pPr>
      <w:r w:rsidRPr="006015F2">
        <w:rPr>
          <w:rFonts w:ascii="Times New Roman" w:hAnsi="Times New Roman"/>
          <w:sz w:val="24"/>
          <w:szCs w:val="24"/>
          <w:lang/>
        </w:rPr>
        <w:lastRenderedPageBreak/>
        <w:t xml:space="preserve">Lobell, D. B., Schlenker, W., &amp; Costa-Roberts, J. (2011). Climate trends and global crop production since 1980. </w:t>
      </w:r>
      <w:r w:rsidRPr="006015F2">
        <w:rPr>
          <w:rFonts w:ascii="Times New Roman" w:hAnsi="Times New Roman"/>
          <w:i/>
          <w:iCs/>
          <w:sz w:val="24"/>
          <w:szCs w:val="24"/>
          <w:lang/>
        </w:rPr>
        <w:t>Science, 333</w:t>
      </w:r>
      <w:r w:rsidRPr="006015F2">
        <w:rPr>
          <w:rFonts w:ascii="Times New Roman" w:hAnsi="Times New Roman"/>
          <w:sz w:val="24"/>
          <w:szCs w:val="24"/>
          <w:lang/>
        </w:rPr>
        <w:t>(6042), 616–620. https://doi.org/10.1126/science.1204531</w:t>
      </w:r>
    </w:p>
    <w:p w14:paraId="46F052AC" w14:textId="77777777" w:rsidR="006015F2" w:rsidRPr="006015F2" w:rsidRDefault="006015F2" w:rsidP="006015F2">
      <w:pPr>
        <w:pStyle w:val="ListParagraph"/>
        <w:numPr>
          <w:ilvl w:val="0"/>
          <w:numId w:val="47"/>
        </w:numPr>
        <w:spacing w:line="480" w:lineRule="auto"/>
        <w:ind w:left="360"/>
        <w:rPr>
          <w:rFonts w:ascii="Times New Roman" w:hAnsi="Times New Roman"/>
          <w:sz w:val="24"/>
          <w:szCs w:val="24"/>
          <w:lang/>
        </w:rPr>
      </w:pPr>
      <w:r w:rsidRPr="006015F2">
        <w:rPr>
          <w:rFonts w:ascii="Times New Roman" w:hAnsi="Times New Roman"/>
          <w:sz w:val="24"/>
          <w:szCs w:val="24"/>
          <w:lang/>
        </w:rPr>
        <w:t xml:space="preserve">Matsuura, K., &amp; Willmott, C. (2007). Terrestrial air temperature and precipitation: 1900–2006 gridded monthly time series (Version 1.01). </w:t>
      </w:r>
      <w:r w:rsidRPr="006015F2">
        <w:rPr>
          <w:rFonts w:ascii="Times New Roman" w:hAnsi="Times New Roman"/>
          <w:i/>
          <w:iCs/>
          <w:sz w:val="24"/>
          <w:szCs w:val="24"/>
          <w:lang/>
        </w:rPr>
        <w:t>Center for Climatic Research</w:t>
      </w:r>
      <w:r w:rsidRPr="006015F2">
        <w:rPr>
          <w:rFonts w:ascii="Times New Roman" w:hAnsi="Times New Roman"/>
          <w:sz w:val="24"/>
          <w:szCs w:val="24"/>
          <w:lang/>
        </w:rPr>
        <w:t>.</w:t>
      </w:r>
    </w:p>
    <w:p w14:paraId="0CA07737" w14:textId="4067E9CC" w:rsidR="006015F2" w:rsidRPr="006015F2" w:rsidRDefault="006015F2" w:rsidP="006015F2">
      <w:pPr>
        <w:pStyle w:val="ListParagraph"/>
        <w:numPr>
          <w:ilvl w:val="0"/>
          <w:numId w:val="47"/>
        </w:numPr>
        <w:spacing w:line="480" w:lineRule="auto"/>
        <w:ind w:left="360"/>
        <w:rPr>
          <w:rFonts w:ascii="Times New Roman" w:hAnsi="Times New Roman"/>
          <w:sz w:val="24"/>
          <w:szCs w:val="24"/>
          <w:lang/>
        </w:rPr>
      </w:pPr>
      <w:r w:rsidRPr="006015F2">
        <w:rPr>
          <w:rFonts w:ascii="Times New Roman" w:hAnsi="Times New Roman"/>
          <w:sz w:val="24"/>
          <w:szCs w:val="24"/>
          <w:lang/>
        </w:rPr>
        <w:t xml:space="preserve">Meier, S., Elliott, R. J. R., &amp; Strobl, E. (2023). The regional economic impact of wildfires: Evidence from southern Europe. </w:t>
      </w:r>
      <w:r w:rsidRPr="006015F2">
        <w:rPr>
          <w:rFonts w:ascii="Times New Roman" w:hAnsi="Times New Roman"/>
          <w:i/>
          <w:iCs/>
          <w:sz w:val="24"/>
          <w:szCs w:val="24"/>
          <w:lang/>
        </w:rPr>
        <w:t>Journal of Environmental Economics and Management, 118</w:t>
      </w:r>
      <w:r w:rsidRPr="006015F2">
        <w:rPr>
          <w:rFonts w:ascii="Times New Roman" w:hAnsi="Times New Roman"/>
          <w:sz w:val="24"/>
          <w:szCs w:val="24"/>
          <w:lang/>
        </w:rPr>
        <w:t>, 102787. https://doi.org/10.1016/j.jeem.2023.102787</w:t>
      </w:r>
    </w:p>
    <w:p w14:paraId="030A2D96" w14:textId="0A5A58A0" w:rsidR="006015F2" w:rsidRPr="006015F2" w:rsidRDefault="006015F2" w:rsidP="006015F2">
      <w:pPr>
        <w:pStyle w:val="ListParagraph"/>
        <w:numPr>
          <w:ilvl w:val="0"/>
          <w:numId w:val="47"/>
        </w:numPr>
        <w:spacing w:line="480" w:lineRule="auto"/>
        <w:ind w:left="360"/>
        <w:rPr>
          <w:rFonts w:ascii="Times New Roman" w:hAnsi="Times New Roman"/>
          <w:sz w:val="24"/>
          <w:szCs w:val="24"/>
          <w:lang/>
        </w:rPr>
      </w:pPr>
      <w:r w:rsidRPr="006015F2">
        <w:rPr>
          <w:rFonts w:ascii="Times New Roman" w:hAnsi="Times New Roman"/>
          <w:sz w:val="24"/>
          <w:szCs w:val="24"/>
          <w:lang/>
        </w:rPr>
        <w:t xml:space="preserve">Meltzer, R., Gould Ellen, I., &amp; Li, X. (2020). Localized commercial effects from natural disasters: The case of Hurricane Sandy and New York City. </w:t>
      </w:r>
      <w:r w:rsidRPr="006015F2">
        <w:rPr>
          <w:rFonts w:ascii="Times New Roman" w:hAnsi="Times New Roman"/>
          <w:i/>
          <w:iCs/>
          <w:sz w:val="24"/>
          <w:szCs w:val="24"/>
          <w:lang/>
        </w:rPr>
        <w:t>Regional Science and Urban Economics, 86</w:t>
      </w:r>
      <w:r w:rsidRPr="006015F2">
        <w:rPr>
          <w:rFonts w:ascii="Times New Roman" w:hAnsi="Times New Roman"/>
          <w:sz w:val="24"/>
          <w:szCs w:val="24"/>
          <w:lang/>
        </w:rPr>
        <w:t>, 103608. https://doi.org/10.1016/j.regsciurbeco.2020.103608</w:t>
      </w:r>
    </w:p>
    <w:p w14:paraId="3883743D" w14:textId="6802B479" w:rsidR="006015F2" w:rsidRPr="006015F2" w:rsidRDefault="006015F2" w:rsidP="006015F2">
      <w:pPr>
        <w:pStyle w:val="ListParagraph"/>
        <w:numPr>
          <w:ilvl w:val="0"/>
          <w:numId w:val="47"/>
        </w:numPr>
        <w:spacing w:line="480" w:lineRule="auto"/>
        <w:ind w:left="360"/>
        <w:rPr>
          <w:rFonts w:ascii="Times New Roman" w:hAnsi="Times New Roman"/>
          <w:sz w:val="24"/>
          <w:szCs w:val="24"/>
          <w:lang/>
        </w:rPr>
      </w:pPr>
      <w:r w:rsidRPr="006015F2">
        <w:rPr>
          <w:rFonts w:ascii="Times New Roman" w:hAnsi="Times New Roman"/>
          <w:sz w:val="24"/>
          <w:szCs w:val="24"/>
          <w:lang/>
        </w:rPr>
        <w:t xml:space="preserve">Moritz, M. A., Batllori, E., Bradstock, R. A., Gill, A. M., Handmer, J., Hessburg, P. F., … Syphard, A. D. (2014). Learning to coexist with wildfire. </w:t>
      </w:r>
      <w:r w:rsidRPr="006015F2">
        <w:rPr>
          <w:rFonts w:ascii="Times New Roman" w:hAnsi="Times New Roman"/>
          <w:i/>
          <w:iCs/>
          <w:sz w:val="24"/>
          <w:szCs w:val="24"/>
          <w:lang/>
        </w:rPr>
        <w:t>Nature, 515</w:t>
      </w:r>
      <w:r w:rsidRPr="006015F2">
        <w:rPr>
          <w:rFonts w:ascii="Times New Roman" w:hAnsi="Times New Roman"/>
          <w:sz w:val="24"/>
          <w:szCs w:val="24"/>
          <w:lang/>
        </w:rPr>
        <w:t>(7525), 58–66. https://doi.org/10.1038/nature13946</w:t>
      </w:r>
    </w:p>
    <w:p w14:paraId="260F0A1A" w14:textId="77777777" w:rsidR="006015F2" w:rsidRPr="006015F2" w:rsidRDefault="006015F2" w:rsidP="006015F2">
      <w:pPr>
        <w:pStyle w:val="ListParagraph"/>
        <w:numPr>
          <w:ilvl w:val="0"/>
          <w:numId w:val="47"/>
        </w:numPr>
        <w:spacing w:line="480" w:lineRule="auto"/>
        <w:ind w:left="360"/>
        <w:rPr>
          <w:rFonts w:ascii="Times New Roman" w:hAnsi="Times New Roman"/>
          <w:sz w:val="24"/>
          <w:szCs w:val="24"/>
          <w:lang/>
        </w:rPr>
      </w:pPr>
      <w:r w:rsidRPr="006015F2">
        <w:rPr>
          <w:rFonts w:ascii="Times New Roman" w:hAnsi="Times New Roman"/>
          <w:sz w:val="24"/>
          <w:szCs w:val="24"/>
          <w:lang/>
        </w:rPr>
        <w:t xml:space="preserve">National Interagency Fire Center (NIFC). (2021). Wildfire history statistics. </w:t>
      </w:r>
      <w:r w:rsidRPr="006015F2">
        <w:rPr>
          <w:rFonts w:ascii="Times New Roman" w:hAnsi="Times New Roman"/>
          <w:i/>
          <w:iCs/>
          <w:sz w:val="24"/>
          <w:szCs w:val="24"/>
          <w:lang/>
        </w:rPr>
        <w:t>National Interagency Fire Center</w:t>
      </w:r>
      <w:r w:rsidRPr="006015F2">
        <w:rPr>
          <w:rFonts w:ascii="Times New Roman" w:hAnsi="Times New Roman"/>
          <w:sz w:val="24"/>
          <w:szCs w:val="24"/>
          <w:lang/>
        </w:rPr>
        <w:t>.</w:t>
      </w:r>
    </w:p>
    <w:p w14:paraId="2A034BEE" w14:textId="074F7D24" w:rsidR="006015F2" w:rsidRPr="006015F2" w:rsidRDefault="006015F2" w:rsidP="006015F2">
      <w:pPr>
        <w:pStyle w:val="ListParagraph"/>
        <w:numPr>
          <w:ilvl w:val="0"/>
          <w:numId w:val="47"/>
        </w:numPr>
        <w:spacing w:line="480" w:lineRule="auto"/>
        <w:ind w:left="360"/>
        <w:rPr>
          <w:rFonts w:ascii="Times New Roman" w:hAnsi="Times New Roman"/>
          <w:sz w:val="24"/>
          <w:szCs w:val="24"/>
          <w:lang/>
        </w:rPr>
      </w:pPr>
      <w:r w:rsidRPr="006015F2">
        <w:rPr>
          <w:rFonts w:ascii="Times New Roman" w:hAnsi="Times New Roman"/>
          <w:sz w:val="24"/>
          <w:szCs w:val="24"/>
          <w:lang/>
        </w:rPr>
        <w:t xml:space="preserve">Nielsen-Pincus, M., Moseley, C., &amp; Gebert, K. (2014). Job growth and loss across sectors and time in the western US: The impact of large wildfires. </w:t>
      </w:r>
      <w:r w:rsidRPr="006015F2">
        <w:rPr>
          <w:rFonts w:ascii="Times New Roman" w:hAnsi="Times New Roman"/>
          <w:i/>
          <w:iCs/>
          <w:sz w:val="24"/>
          <w:szCs w:val="24"/>
          <w:lang/>
        </w:rPr>
        <w:t>Forest Policy and Economics, 38</w:t>
      </w:r>
      <w:r w:rsidRPr="006015F2">
        <w:rPr>
          <w:rFonts w:ascii="Times New Roman" w:hAnsi="Times New Roman"/>
          <w:sz w:val="24"/>
          <w:szCs w:val="24"/>
          <w:lang/>
        </w:rPr>
        <w:t>, 199–206. https://doi.org/10.1016/j.forpol.2013.08.010</w:t>
      </w:r>
    </w:p>
    <w:p w14:paraId="5B84C40C" w14:textId="77777777" w:rsidR="006015F2" w:rsidRPr="006015F2" w:rsidRDefault="006015F2" w:rsidP="006015F2">
      <w:pPr>
        <w:pStyle w:val="ListParagraph"/>
        <w:numPr>
          <w:ilvl w:val="0"/>
          <w:numId w:val="47"/>
        </w:numPr>
        <w:spacing w:line="480" w:lineRule="auto"/>
        <w:ind w:left="360"/>
        <w:rPr>
          <w:rFonts w:ascii="Times New Roman" w:hAnsi="Times New Roman"/>
          <w:sz w:val="24"/>
          <w:szCs w:val="24"/>
          <w:lang/>
        </w:rPr>
      </w:pPr>
      <w:r w:rsidRPr="006015F2">
        <w:rPr>
          <w:rFonts w:ascii="Times New Roman" w:hAnsi="Times New Roman"/>
          <w:sz w:val="24"/>
          <w:szCs w:val="24"/>
          <w:lang/>
        </w:rPr>
        <w:lastRenderedPageBreak/>
        <w:t xml:space="preserve">Noy, I., et al. (2018). The long-term consequences of disasters: What do we know, and what we still don’t. </w:t>
      </w:r>
      <w:r w:rsidRPr="006015F2">
        <w:rPr>
          <w:rFonts w:ascii="Times New Roman" w:hAnsi="Times New Roman"/>
          <w:i/>
          <w:iCs/>
          <w:sz w:val="24"/>
          <w:szCs w:val="24"/>
          <w:lang/>
        </w:rPr>
        <w:t>International Review of Environmental and Resource Economics, 12</w:t>
      </w:r>
      <w:r w:rsidRPr="006015F2">
        <w:rPr>
          <w:rFonts w:ascii="Times New Roman" w:hAnsi="Times New Roman"/>
          <w:sz w:val="24"/>
          <w:szCs w:val="24"/>
          <w:lang/>
        </w:rPr>
        <w:t>(4), 325–354. https://doi.org/10.1561/101.00000109</w:t>
      </w:r>
    </w:p>
    <w:p w14:paraId="0F61F15B" w14:textId="77777777" w:rsidR="006015F2" w:rsidRPr="006015F2" w:rsidRDefault="006015F2" w:rsidP="006015F2">
      <w:pPr>
        <w:pStyle w:val="ListParagraph"/>
        <w:numPr>
          <w:ilvl w:val="0"/>
          <w:numId w:val="47"/>
        </w:numPr>
        <w:spacing w:line="480" w:lineRule="auto"/>
        <w:ind w:left="360"/>
        <w:rPr>
          <w:rFonts w:ascii="Times New Roman" w:hAnsi="Times New Roman"/>
          <w:sz w:val="24"/>
          <w:szCs w:val="24"/>
          <w:lang/>
        </w:rPr>
      </w:pPr>
      <w:r w:rsidRPr="006015F2">
        <w:rPr>
          <w:rFonts w:ascii="Times New Roman" w:hAnsi="Times New Roman"/>
          <w:sz w:val="24"/>
          <w:szCs w:val="24"/>
          <w:lang/>
        </w:rPr>
        <w:t xml:space="preserve">Okazaki, T., Okubo, T., &amp; Strobl, E. (2019). Creative destruction of industries: Yokohama City in the Great Kanto Earthquake, 1923. </w:t>
      </w:r>
      <w:r w:rsidRPr="006015F2">
        <w:rPr>
          <w:rFonts w:ascii="Times New Roman" w:hAnsi="Times New Roman"/>
          <w:i/>
          <w:iCs/>
          <w:sz w:val="24"/>
          <w:szCs w:val="24"/>
          <w:lang/>
        </w:rPr>
        <w:t>Journal of Economic History, 79</w:t>
      </w:r>
      <w:r w:rsidRPr="006015F2">
        <w:rPr>
          <w:rFonts w:ascii="Times New Roman" w:hAnsi="Times New Roman"/>
          <w:sz w:val="24"/>
          <w:szCs w:val="24"/>
          <w:lang/>
        </w:rPr>
        <w:t>(1), 1–31. https://doi.org/10.1017/S0022050718000763</w:t>
      </w:r>
    </w:p>
    <w:p w14:paraId="3B74E03D" w14:textId="52415BE0" w:rsidR="006015F2" w:rsidRPr="006015F2" w:rsidRDefault="006015F2" w:rsidP="006015F2">
      <w:pPr>
        <w:pStyle w:val="ListParagraph"/>
        <w:numPr>
          <w:ilvl w:val="0"/>
          <w:numId w:val="47"/>
        </w:numPr>
        <w:spacing w:line="480" w:lineRule="auto"/>
        <w:ind w:left="360"/>
        <w:rPr>
          <w:rFonts w:ascii="Times New Roman" w:hAnsi="Times New Roman"/>
          <w:sz w:val="24"/>
          <w:szCs w:val="24"/>
          <w:lang/>
        </w:rPr>
      </w:pPr>
      <w:r w:rsidRPr="006015F2">
        <w:rPr>
          <w:rFonts w:ascii="Times New Roman" w:hAnsi="Times New Roman"/>
          <w:sz w:val="24"/>
          <w:szCs w:val="24"/>
          <w:lang/>
        </w:rPr>
        <w:t xml:space="preserve">Otrachshenko, V., &amp; Nunes, L. C. (2022). Fire takes no vacation: Impact of fires on tourism. </w:t>
      </w:r>
      <w:r w:rsidRPr="006015F2">
        <w:rPr>
          <w:rFonts w:ascii="Times New Roman" w:hAnsi="Times New Roman"/>
          <w:i/>
          <w:iCs/>
          <w:sz w:val="24"/>
          <w:szCs w:val="24"/>
          <w:lang/>
        </w:rPr>
        <w:t>Environment and Development Economics, 27</w:t>
      </w:r>
      <w:r w:rsidRPr="006015F2">
        <w:rPr>
          <w:rFonts w:ascii="Times New Roman" w:hAnsi="Times New Roman"/>
          <w:sz w:val="24"/>
          <w:szCs w:val="24"/>
          <w:lang/>
        </w:rPr>
        <w:t>(1), 86–101. https://doi.org/10.1017/S1355770X21000012</w:t>
      </w:r>
    </w:p>
    <w:p w14:paraId="0DCB5623" w14:textId="19C09CBE" w:rsidR="006015F2" w:rsidRPr="006015F2" w:rsidRDefault="006015F2" w:rsidP="006015F2">
      <w:pPr>
        <w:pStyle w:val="ListParagraph"/>
        <w:numPr>
          <w:ilvl w:val="0"/>
          <w:numId w:val="47"/>
        </w:numPr>
        <w:spacing w:line="480" w:lineRule="auto"/>
        <w:ind w:left="360"/>
        <w:rPr>
          <w:rFonts w:ascii="Times New Roman" w:hAnsi="Times New Roman"/>
          <w:sz w:val="24"/>
          <w:szCs w:val="24"/>
          <w:lang/>
        </w:rPr>
      </w:pPr>
      <w:r w:rsidRPr="006015F2">
        <w:rPr>
          <w:rFonts w:ascii="Times New Roman" w:hAnsi="Times New Roman"/>
          <w:sz w:val="24"/>
          <w:szCs w:val="24"/>
          <w:lang/>
        </w:rPr>
        <w:t xml:space="preserve">Pausas, J. G., &amp; Keeley, J. E. (2021). Wildfires as an ecosystem service. </w:t>
      </w:r>
      <w:r w:rsidRPr="006015F2">
        <w:rPr>
          <w:rFonts w:ascii="Times New Roman" w:hAnsi="Times New Roman"/>
          <w:i/>
          <w:iCs/>
          <w:sz w:val="24"/>
          <w:szCs w:val="24"/>
          <w:lang/>
        </w:rPr>
        <w:t>Frontiers in Ecology and the Environment, 19</w:t>
      </w:r>
      <w:r w:rsidRPr="006015F2">
        <w:rPr>
          <w:rFonts w:ascii="Times New Roman" w:hAnsi="Times New Roman"/>
          <w:sz w:val="24"/>
          <w:szCs w:val="24"/>
          <w:lang/>
        </w:rPr>
        <w:t>(5), 289–295. https://doi.org/10.1002/fee.2341</w:t>
      </w:r>
    </w:p>
    <w:p w14:paraId="4CB42540" w14:textId="77777777" w:rsidR="006015F2" w:rsidRPr="006015F2" w:rsidRDefault="006015F2" w:rsidP="006015F2">
      <w:pPr>
        <w:pStyle w:val="ListParagraph"/>
        <w:numPr>
          <w:ilvl w:val="0"/>
          <w:numId w:val="47"/>
        </w:numPr>
        <w:spacing w:line="480" w:lineRule="auto"/>
        <w:ind w:left="360"/>
        <w:rPr>
          <w:rFonts w:ascii="Times New Roman" w:hAnsi="Times New Roman"/>
          <w:sz w:val="24"/>
          <w:szCs w:val="24"/>
          <w:lang/>
        </w:rPr>
      </w:pPr>
      <w:r w:rsidRPr="006015F2">
        <w:rPr>
          <w:rFonts w:ascii="Times New Roman" w:hAnsi="Times New Roman"/>
          <w:sz w:val="24"/>
          <w:szCs w:val="24"/>
          <w:lang/>
        </w:rPr>
        <w:t xml:space="preserve">Prestemon, J. P., Butry, D. T., Abt, K. L., &amp; Sutphen, R. (2019). Wildfire risk and business location dynamics. </w:t>
      </w:r>
      <w:r w:rsidRPr="006015F2">
        <w:rPr>
          <w:rFonts w:ascii="Times New Roman" w:hAnsi="Times New Roman"/>
          <w:i/>
          <w:iCs/>
          <w:sz w:val="24"/>
          <w:szCs w:val="24"/>
          <w:lang/>
        </w:rPr>
        <w:t>Forest Policy and Economics, 93</w:t>
      </w:r>
      <w:r w:rsidRPr="006015F2">
        <w:rPr>
          <w:rFonts w:ascii="Times New Roman" w:hAnsi="Times New Roman"/>
          <w:sz w:val="24"/>
          <w:szCs w:val="24"/>
          <w:lang/>
        </w:rPr>
        <w:t>, 33–42. https://doi.org/10.1016/j.forpol.2018.05.004</w:t>
      </w:r>
    </w:p>
    <w:p w14:paraId="3605EC5B" w14:textId="77777777" w:rsidR="006015F2" w:rsidRPr="006015F2" w:rsidRDefault="006015F2" w:rsidP="006015F2">
      <w:pPr>
        <w:pStyle w:val="ListParagraph"/>
        <w:numPr>
          <w:ilvl w:val="0"/>
          <w:numId w:val="47"/>
        </w:numPr>
        <w:spacing w:line="480" w:lineRule="auto"/>
        <w:ind w:left="360"/>
        <w:rPr>
          <w:rFonts w:ascii="Times New Roman" w:hAnsi="Times New Roman"/>
          <w:sz w:val="24"/>
          <w:szCs w:val="24"/>
          <w:lang/>
        </w:rPr>
      </w:pPr>
      <w:r w:rsidRPr="006015F2">
        <w:rPr>
          <w:rFonts w:ascii="Times New Roman" w:hAnsi="Times New Roman"/>
          <w:sz w:val="24"/>
          <w:szCs w:val="24"/>
          <w:lang/>
        </w:rPr>
        <w:t xml:space="preserve">Radeloff, V. C., Hammer, R. B., &amp; Stewart, S. I. (2018). Wildfires in the wildland–urban interface: Patterns, impacts, and implications. </w:t>
      </w:r>
      <w:r w:rsidRPr="006015F2">
        <w:rPr>
          <w:rFonts w:ascii="Times New Roman" w:hAnsi="Times New Roman"/>
          <w:i/>
          <w:iCs/>
          <w:sz w:val="24"/>
          <w:szCs w:val="24"/>
          <w:lang/>
        </w:rPr>
        <w:t>Ecological Applications, 28</w:t>
      </w:r>
      <w:r w:rsidRPr="006015F2">
        <w:rPr>
          <w:rFonts w:ascii="Times New Roman" w:hAnsi="Times New Roman"/>
          <w:sz w:val="24"/>
          <w:szCs w:val="24"/>
          <w:lang/>
        </w:rPr>
        <w:t>(1), 56–67. https://doi.org/10.1002/eap.1713</w:t>
      </w:r>
    </w:p>
    <w:p w14:paraId="1C492C50" w14:textId="77777777" w:rsidR="006015F2" w:rsidRPr="006015F2" w:rsidRDefault="006015F2" w:rsidP="006015F2">
      <w:pPr>
        <w:pStyle w:val="ListParagraph"/>
        <w:numPr>
          <w:ilvl w:val="0"/>
          <w:numId w:val="47"/>
        </w:numPr>
        <w:spacing w:line="480" w:lineRule="auto"/>
        <w:ind w:left="360"/>
        <w:rPr>
          <w:rFonts w:ascii="Times New Roman" w:hAnsi="Times New Roman"/>
          <w:sz w:val="24"/>
          <w:szCs w:val="24"/>
          <w:lang/>
        </w:rPr>
      </w:pPr>
      <w:r w:rsidRPr="006015F2">
        <w:rPr>
          <w:rFonts w:ascii="Times New Roman" w:hAnsi="Times New Roman"/>
          <w:sz w:val="24"/>
          <w:szCs w:val="24"/>
          <w:lang/>
        </w:rPr>
        <w:t xml:space="preserve">Raval, S., et al. (2020). Short-term labor market effects of wildfires. </w:t>
      </w:r>
      <w:r w:rsidRPr="006015F2">
        <w:rPr>
          <w:rFonts w:ascii="Times New Roman" w:hAnsi="Times New Roman"/>
          <w:i/>
          <w:iCs/>
          <w:sz w:val="24"/>
          <w:szCs w:val="24"/>
          <w:lang/>
        </w:rPr>
        <w:t>Bureau of Labor Statistics</w:t>
      </w:r>
      <w:r w:rsidRPr="006015F2">
        <w:rPr>
          <w:rFonts w:ascii="Times New Roman" w:hAnsi="Times New Roman"/>
          <w:sz w:val="24"/>
          <w:szCs w:val="24"/>
          <w:lang/>
        </w:rPr>
        <w:t>.</w:t>
      </w:r>
    </w:p>
    <w:p w14:paraId="3E35B6F4" w14:textId="77777777" w:rsidR="006015F2" w:rsidRPr="006015F2" w:rsidRDefault="006015F2" w:rsidP="006015F2">
      <w:pPr>
        <w:pStyle w:val="ListParagraph"/>
        <w:numPr>
          <w:ilvl w:val="0"/>
          <w:numId w:val="47"/>
        </w:numPr>
        <w:spacing w:line="480" w:lineRule="auto"/>
        <w:ind w:left="360"/>
        <w:rPr>
          <w:rFonts w:ascii="Times New Roman" w:hAnsi="Times New Roman"/>
          <w:sz w:val="24"/>
          <w:szCs w:val="24"/>
          <w:lang/>
        </w:rPr>
      </w:pPr>
      <w:r w:rsidRPr="006015F2">
        <w:rPr>
          <w:rFonts w:ascii="Times New Roman" w:hAnsi="Times New Roman"/>
          <w:sz w:val="24"/>
          <w:szCs w:val="24"/>
          <w:lang/>
        </w:rPr>
        <w:lastRenderedPageBreak/>
        <w:t xml:space="preserve">Rocha, R., &amp; Soares, R. R. (2015). Water scarcity and birth outcomes in the Brazilian semiarid. </w:t>
      </w:r>
      <w:r w:rsidRPr="006015F2">
        <w:rPr>
          <w:rFonts w:ascii="Times New Roman" w:hAnsi="Times New Roman"/>
          <w:i/>
          <w:iCs/>
          <w:sz w:val="24"/>
          <w:szCs w:val="24"/>
          <w:lang/>
        </w:rPr>
        <w:t>Journal of Development Economics, 112</w:t>
      </w:r>
      <w:r w:rsidRPr="006015F2">
        <w:rPr>
          <w:rFonts w:ascii="Times New Roman" w:hAnsi="Times New Roman"/>
          <w:sz w:val="24"/>
          <w:szCs w:val="24"/>
          <w:lang/>
        </w:rPr>
        <w:t>, 72–91. https://doi.org/10.1016/j.jdeveco.2014.09.003</w:t>
      </w:r>
    </w:p>
    <w:p w14:paraId="2DB889D4" w14:textId="77777777" w:rsidR="006015F2" w:rsidRPr="006015F2" w:rsidRDefault="006015F2" w:rsidP="006015F2">
      <w:pPr>
        <w:pStyle w:val="ListParagraph"/>
        <w:numPr>
          <w:ilvl w:val="0"/>
          <w:numId w:val="47"/>
        </w:numPr>
        <w:spacing w:line="480" w:lineRule="auto"/>
        <w:ind w:left="360"/>
        <w:rPr>
          <w:rFonts w:ascii="Times New Roman" w:hAnsi="Times New Roman"/>
          <w:sz w:val="24"/>
          <w:szCs w:val="24"/>
          <w:lang/>
        </w:rPr>
      </w:pPr>
      <w:r w:rsidRPr="006015F2">
        <w:rPr>
          <w:rFonts w:ascii="Times New Roman" w:hAnsi="Times New Roman"/>
          <w:sz w:val="24"/>
          <w:szCs w:val="24"/>
          <w:lang/>
        </w:rPr>
        <w:t xml:space="preserve">Rosi, A., Canavesi, V., Segoni, S., Dias Nery, T., Catani, F., &amp; Casagli, N. (2019). Landslides in the mountain region of Rio de Janeiro: A proposal for the semi-automated definition of multiple rainfall thresholds. </w:t>
      </w:r>
      <w:r w:rsidRPr="006015F2">
        <w:rPr>
          <w:rFonts w:ascii="Times New Roman" w:hAnsi="Times New Roman"/>
          <w:i/>
          <w:iCs/>
          <w:sz w:val="24"/>
          <w:szCs w:val="24"/>
          <w:lang/>
        </w:rPr>
        <w:t>Geosciences, 9</w:t>
      </w:r>
      <w:r w:rsidRPr="006015F2">
        <w:rPr>
          <w:rFonts w:ascii="Times New Roman" w:hAnsi="Times New Roman"/>
          <w:sz w:val="24"/>
          <w:szCs w:val="24"/>
          <w:lang/>
        </w:rPr>
        <w:t>(5), 203. https://doi.org/10.3390/geosciences9050203</w:t>
      </w:r>
    </w:p>
    <w:p w14:paraId="1B8C6608" w14:textId="64797E61" w:rsidR="006015F2" w:rsidRPr="006015F2" w:rsidRDefault="006015F2" w:rsidP="006015F2">
      <w:pPr>
        <w:pStyle w:val="ListParagraph"/>
        <w:numPr>
          <w:ilvl w:val="0"/>
          <w:numId w:val="47"/>
        </w:numPr>
        <w:spacing w:line="480" w:lineRule="auto"/>
        <w:ind w:left="360"/>
        <w:rPr>
          <w:rFonts w:ascii="Times New Roman" w:hAnsi="Times New Roman"/>
          <w:sz w:val="24"/>
          <w:szCs w:val="24"/>
          <w:lang/>
        </w:rPr>
      </w:pPr>
      <w:r w:rsidRPr="006015F2">
        <w:rPr>
          <w:rFonts w:ascii="Times New Roman" w:hAnsi="Times New Roman"/>
          <w:sz w:val="24"/>
          <w:szCs w:val="24"/>
          <w:lang/>
        </w:rPr>
        <w:t xml:space="preserve">Santos Silva, J. M. C., &amp; Tenreyro, S. (2006). The log of gravity. </w:t>
      </w:r>
      <w:r w:rsidRPr="006015F2">
        <w:rPr>
          <w:rFonts w:ascii="Times New Roman" w:hAnsi="Times New Roman"/>
          <w:i/>
          <w:iCs/>
          <w:sz w:val="24"/>
          <w:szCs w:val="24"/>
          <w:lang/>
        </w:rPr>
        <w:t>The Review of Economics and Statistics, 88</w:t>
      </w:r>
      <w:r w:rsidRPr="006015F2">
        <w:rPr>
          <w:rFonts w:ascii="Times New Roman" w:hAnsi="Times New Roman"/>
          <w:sz w:val="24"/>
          <w:szCs w:val="24"/>
          <w:lang/>
        </w:rPr>
        <w:t>(4), 641–658. https://doi.org/10.1162/rest.88.4.641</w:t>
      </w:r>
    </w:p>
    <w:p w14:paraId="7432F67A" w14:textId="77777777" w:rsidR="006015F2" w:rsidRPr="006015F2" w:rsidRDefault="006015F2" w:rsidP="006015F2">
      <w:pPr>
        <w:pStyle w:val="ListParagraph"/>
        <w:numPr>
          <w:ilvl w:val="0"/>
          <w:numId w:val="47"/>
        </w:numPr>
        <w:spacing w:line="480" w:lineRule="auto"/>
        <w:ind w:left="360"/>
        <w:rPr>
          <w:rFonts w:ascii="Times New Roman" w:hAnsi="Times New Roman"/>
          <w:sz w:val="24"/>
          <w:szCs w:val="24"/>
          <w:lang/>
        </w:rPr>
      </w:pPr>
      <w:r w:rsidRPr="006015F2">
        <w:rPr>
          <w:rFonts w:ascii="Times New Roman" w:hAnsi="Times New Roman"/>
          <w:sz w:val="24"/>
          <w:szCs w:val="24"/>
          <w:lang/>
        </w:rPr>
        <w:t xml:space="preserve">Schumpeter, J. A. (1942). </w:t>
      </w:r>
      <w:r w:rsidRPr="006015F2">
        <w:rPr>
          <w:rFonts w:ascii="Times New Roman" w:hAnsi="Times New Roman"/>
          <w:i/>
          <w:iCs/>
          <w:sz w:val="24"/>
          <w:szCs w:val="24"/>
          <w:lang/>
        </w:rPr>
        <w:t>Capitalism, socialism, and democracy</w:t>
      </w:r>
      <w:r w:rsidRPr="006015F2">
        <w:rPr>
          <w:rFonts w:ascii="Times New Roman" w:hAnsi="Times New Roman"/>
          <w:sz w:val="24"/>
          <w:szCs w:val="24"/>
          <w:lang/>
        </w:rPr>
        <w:t>. Harper &amp; Brothers.</w:t>
      </w:r>
    </w:p>
    <w:p w14:paraId="6226A1A7" w14:textId="77777777" w:rsidR="006015F2" w:rsidRPr="006015F2" w:rsidRDefault="006015F2" w:rsidP="006015F2">
      <w:pPr>
        <w:pStyle w:val="ListParagraph"/>
        <w:numPr>
          <w:ilvl w:val="0"/>
          <w:numId w:val="47"/>
        </w:numPr>
        <w:spacing w:line="480" w:lineRule="auto"/>
        <w:ind w:left="360"/>
        <w:rPr>
          <w:rFonts w:ascii="Times New Roman" w:hAnsi="Times New Roman"/>
          <w:sz w:val="24"/>
          <w:szCs w:val="24"/>
          <w:lang/>
        </w:rPr>
      </w:pPr>
      <w:r w:rsidRPr="006015F2">
        <w:rPr>
          <w:rFonts w:ascii="Times New Roman" w:hAnsi="Times New Roman"/>
          <w:sz w:val="24"/>
          <w:szCs w:val="24"/>
          <w:lang/>
        </w:rPr>
        <w:t xml:space="preserve">Stern, N. H. (2007). </w:t>
      </w:r>
      <w:r w:rsidRPr="006015F2">
        <w:rPr>
          <w:rFonts w:ascii="Times New Roman" w:hAnsi="Times New Roman"/>
          <w:i/>
          <w:iCs/>
          <w:sz w:val="24"/>
          <w:szCs w:val="24"/>
          <w:lang/>
        </w:rPr>
        <w:t>The economics of climate change: The Stern review</w:t>
      </w:r>
      <w:r w:rsidRPr="006015F2">
        <w:rPr>
          <w:rFonts w:ascii="Times New Roman" w:hAnsi="Times New Roman"/>
          <w:sz w:val="24"/>
          <w:szCs w:val="24"/>
          <w:lang/>
        </w:rPr>
        <w:t>. Cambridge University Press.</w:t>
      </w:r>
    </w:p>
    <w:p w14:paraId="7F145CE7" w14:textId="77777777" w:rsidR="006015F2" w:rsidRPr="006015F2" w:rsidRDefault="006015F2" w:rsidP="006015F2">
      <w:pPr>
        <w:pStyle w:val="ListParagraph"/>
        <w:numPr>
          <w:ilvl w:val="0"/>
          <w:numId w:val="47"/>
        </w:numPr>
        <w:spacing w:line="480" w:lineRule="auto"/>
        <w:ind w:left="360"/>
        <w:rPr>
          <w:rFonts w:ascii="Times New Roman" w:hAnsi="Times New Roman"/>
          <w:sz w:val="24"/>
          <w:szCs w:val="24"/>
          <w:lang/>
        </w:rPr>
      </w:pPr>
      <w:r w:rsidRPr="006015F2">
        <w:rPr>
          <w:rFonts w:ascii="Times New Roman" w:hAnsi="Times New Roman"/>
          <w:sz w:val="24"/>
          <w:szCs w:val="24"/>
          <w:lang/>
        </w:rPr>
        <w:t xml:space="preserve">Syverson, C. (2011). What determines productivity? </w:t>
      </w:r>
      <w:r w:rsidRPr="006015F2">
        <w:rPr>
          <w:rFonts w:ascii="Times New Roman" w:hAnsi="Times New Roman"/>
          <w:i/>
          <w:iCs/>
          <w:sz w:val="24"/>
          <w:szCs w:val="24"/>
          <w:lang/>
        </w:rPr>
        <w:t>Journal of Economic Literature, 49</w:t>
      </w:r>
      <w:r w:rsidRPr="006015F2">
        <w:rPr>
          <w:rFonts w:ascii="Times New Roman" w:hAnsi="Times New Roman"/>
          <w:sz w:val="24"/>
          <w:szCs w:val="24"/>
          <w:lang/>
        </w:rPr>
        <w:t>(2), 326–365. https://doi.org/10.1257/jel.49.2.326</w:t>
      </w:r>
    </w:p>
    <w:p w14:paraId="4B3D16EF" w14:textId="77777777" w:rsidR="006015F2" w:rsidRPr="006015F2" w:rsidRDefault="006015F2" w:rsidP="006015F2">
      <w:pPr>
        <w:pStyle w:val="ListParagraph"/>
        <w:numPr>
          <w:ilvl w:val="0"/>
          <w:numId w:val="47"/>
        </w:numPr>
        <w:spacing w:line="480" w:lineRule="auto"/>
        <w:ind w:left="360"/>
        <w:rPr>
          <w:rFonts w:ascii="Times New Roman" w:hAnsi="Times New Roman"/>
          <w:sz w:val="24"/>
          <w:szCs w:val="24"/>
          <w:lang/>
        </w:rPr>
      </w:pPr>
      <w:r w:rsidRPr="006015F2">
        <w:rPr>
          <w:rFonts w:ascii="Times New Roman" w:hAnsi="Times New Roman"/>
          <w:sz w:val="24"/>
          <w:szCs w:val="24"/>
          <w:lang/>
        </w:rPr>
        <w:t xml:space="preserve">Turner, B. L., Clark, W. C., Kates, R. W., Richards, J. F., Mathews, J. T., &amp; Meyer, W. B. (1994). </w:t>
      </w:r>
      <w:r w:rsidRPr="006015F2">
        <w:rPr>
          <w:rFonts w:ascii="Times New Roman" w:hAnsi="Times New Roman"/>
          <w:i/>
          <w:iCs/>
          <w:sz w:val="24"/>
          <w:szCs w:val="24"/>
          <w:lang/>
        </w:rPr>
        <w:t>The earth as transformed by human action</w:t>
      </w:r>
      <w:r w:rsidRPr="006015F2">
        <w:rPr>
          <w:rFonts w:ascii="Times New Roman" w:hAnsi="Times New Roman"/>
          <w:sz w:val="24"/>
          <w:szCs w:val="24"/>
          <w:lang/>
        </w:rPr>
        <w:t>. Cambridge University Press.</w:t>
      </w:r>
    </w:p>
    <w:p w14:paraId="01A5A2F9" w14:textId="1CF36C5F" w:rsidR="006015F2" w:rsidRPr="006015F2" w:rsidRDefault="006015F2" w:rsidP="006015F2">
      <w:pPr>
        <w:pStyle w:val="ListParagraph"/>
        <w:numPr>
          <w:ilvl w:val="0"/>
          <w:numId w:val="47"/>
        </w:numPr>
        <w:spacing w:line="480" w:lineRule="auto"/>
        <w:ind w:left="360"/>
        <w:rPr>
          <w:rFonts w:ascii="Times New Roman" w:hAnsi="Times New Roman"/>
          <w:sz w:val="24"/>
          <w:szCs w:val="24"/>
          <w:lang/>
        </w:rPr>
      </w:pPr>
      <w:r w:rsidRPr="006015F2">
        <w:rPr>
          <w:rFonts w:ascii="Times New Roman" w:hAnsi="Times New Roman"/>
          <w:sz w:val="24"/>
          <w:szCs w:val="24"/>
          <w:lang/>
        </w:rPr>
        <w:t xml:space="preserve">Venn, T. J., &amp; Quiggin, J. (2007). Accommodating indigenous cultural heritage in resource assessment: Cape York Peninsula and the Murray-Darling Basin, Australia. </w:t>
      </w:r>
      <w:r w:rsidRPr="006015F2">
        <w:rPr>
          <w:rFonts w:ascii="Times New Roman" w:hAnsi="Times New Roman"/>
          <w:i/>
          <w:iCs/>
          <w:sz w:val="24"/>
          <w:szCs w:val="24"/>
          <w:lang/>
        </w:rPr>
        <w:t>Ecological Economics, 61</w:t>
      </w:r>
      <w:r w:rsidRPr="006015F2">
        <w:rPr>
          <w:rFonts w:ascii="Times New Roman" w:hAnsi="Times New Roman"/>
          <w:sz w:val="24"/>
          <w:szCs w:val="24"/>
          <w:lang/>
        </w:rPr>
        <w:t>(2–3), 334–344. https://doi.org/10.1016/j.ecolecon.2006.03.019</w:t>
      </w:r>
    </w:p>
    <w:p w14:paraId="4A69DD42" w14:textId="798AD7FE" w:rsidR="006015F2" w:rsidRPr="006015F2" w:rsidRDefault="006015F2" w:rsidP="006015F2">
      <w:pPr>
        <w:pStyle w:val="ListParagraph"/>
        <w:numPr>
          <w:ilvl w:val="0"/>
          <w:numId w:val="47"/>
        </w:numPr>
        <w:spacing w:line="480" w:lineRule="auto"/>
        <w:ind w:left="360"/>
        <w:rPr>
          <w:rFonts w:ascii="Times New Roman" w:hAnsi="Times New Roman"/>
          <w:sz w:val="24"/>
          <w:szCs w:val="24"/>
          <w:lang/>
        </w:rPr>
      </w:pPr>
      <w:r w:rsidRPr="006015F2">
        <w:rPr>
          <w:rFonts w:ascii="Times New Roman" w:hAnsi="Times New Roman"/>
          <w:sz w:val="24"/>
          <w:szCs w:val="24"/>
          <w:lang/>
        </w:rPr>
        <w:t xml:space="preserve">Wang, D., Guan, D., Zhu, S., et al. (2021). Economic footprint of California wildfires in 2018. </w:t>
      </w:r>
      <w:r w:rsidRPr="006015F2">
        <w:rPr>
          <w:rFonts w:ascii="Times New Roman" w:hAnsi="Times New Roman"/>
          <w:i/>
          <w:iCs/>
          <w:sz w:val="24"/>
          <w:szCs w:val="24"/>
          <w:lang/>
        </w:rPr>
        <w:t>Science Advances</w:t>
      </w:r>
      <w:r w:rsidRPr="006015F2">
        <w:rPr>
          <w:rFonts w:ascii="Times New Roman" w:hAnsi="Times New Roman"/>
          <w:sz w:val="24"/>
          <w:szCs w:val="24"/>
          <w:lang/>
        </w:rPr>
        <w:t>. https://doi.org/10.1126/sciadv.abc123</w:t>
      </w:r>
    </w:p>
    <w:p w14:paraId="056D5877" w14:textId="77777777" w:rsidR="00030874" w:rsidRDefault="006015F2" w:rsidP="00030874">
      <w:pPr>
        <w:pStyle w:val="ListParagraph"/>
        <w:numPr>
          <w:ilvl w:val="0"/>
          <w:numId w:val="47"/>
        </w:numPr>
        <w:spacing w:line="480" w:lineRule="auto"/>
        <w:ind w:left="360"/>
        <w:rPr>
          <w:rFonts w:ascii="Times New Roman" w:hAnsi="Times New Roman"/>
          <w:sz w:val="24"/>
          <w:szCs w:val="24"/>
          <w:lang/>
        </w:rPr>
        <w:sectPr w:rsidR="00030874" w:rsidSect="0057442E">
          <w:pgSz w:w="12240" w:h="15840" w:code="1"/>
          <w:pgMar w:top="1440" w:right="1440" w:bottom="1440" w:left="1440" w:header="720" w:footer="1440" w:gutter="0"/>
          <w:cols w:space="720"/>
          <w:noEndnote/>
          <w:docGrid w:linePitch="360"/>
        </w:sectPr>
      </w:pPr>
      <w:r w:rsidRPr="006015F2">
        <w:rPr>
          <w:rFonts w:ascii="Times New Roman" w:hAnsi="Times New Roman"/>
          <w:sz w:val="24"/>
          <w:szCs w:val="24"/>
          <w:lang/>
        </w:rPr>
        <w:lastRenderedPageBreak/>
        <w:t xml:space="preserve">Wooldridge, J. M. (2010). </w:t>
      </w:r>
      <w:r w:rsidRPr="006015F2">
        <w:rPr>
          <w:rFonts w:ascii="Times New Roman" w:hAnsi="Times New Roman"/>
          <w:i/>
          <w:iCs/>
          <w:sz w:val="24"/>
          <w:szCs w:val="24"/>
          <w:lang/>
        </w:rPr>
        <w:t>Econometric analysis of cross section and panel data</w:t>
      </w:r>
      <w:r w:rsidRPr="006015F2">
        <w:rPr>
          <w:rFonts w:ascii="Times New Roman" w:hAnsi="Times New Roman"/>
          <w:sz w:val="24"/>
          <w:szCs w:val="24"/>
          <w:lang/>
        </w:rPr>
        <w:t xml:space="preserve"> (2nd ed.). MIT Press.</w:t>
      </w:r>
    </w:p>
    <w:p w14:paraId="0EC5627D" w14:textId="076CBE23" w:rsidR="00D677AA" w:rsidRDefault="00D677AA" w:rsidP="00E4693E">
      <w:pPr>
        <w:pStyle w:val="Heading2"/>
      </w:pPr>
      <w:bookmarkStart w:id="433" w:name="_Toc175638328"/>
      <w:bookmarkStart w:id="434" w:name="_Toc188379034"/>
      <w:r w:rsidRPr="00525895">
        <w:lastRenderedPageBreak/>
        <w:t>A</w:t>
      </w:r>
      <w:bookmarkEnd w:id="433"/>
      <w:r w:rsidR="003E13FE">
        <w:t>ppendix</w:t>
      </w:r>
      <w:bookmarkEnd w:id="434"/>
    </w:p>
    <w:p w14:paraId="22B3EF50" w14:textId="091F565F" w:rsidR="00D61046" w:rsidRPr="00D61046" w:rsidRDefault="00D61046" w:rsidP="00095E25">
      <w:pPr>
        <w:pStyle w:val="Title"/>
      </w:pPr>
      <w:bookmarkStart w:id="435" w:name="_Toc187564772"/>
      <w:bookmarkStart w:id="436" w:name="_Toc188056048"/>
      <w:bookmarkStart w:id="437" w:name="_Toc188057132"/>
      <w:bookmarkStart w:id="438" w:name="_Toc188359635"/>
      <w:bookmarkStart w:id="439" w:name="_Toc188359923"/>
      <w:bookmarkStart w:id="440" w:name="_Toc188361159"/>
      <w:bookmarkStart w:id="441" w:name="_Toc188367003"/>
      <w:r w:rsidRPr="00D61046">
        <w:t>Table A</w:t>
      </w:r>
      <w:r w:rsidR="004560BD">
        <w:t>30</w:t>
      </w:r>
      <w:r w:rsidRPr="00D61046">
        <w:t>: Summary Statistics of Dependent Variables by Sector</w:t>
      </w:r>
      <w:bookmarkEnd w:id="435"/>
      <w:bookmarkEnd w:id="436"/>
      <w:bookmarkEnd w:id="437"/>
      <w:bookmarkEnd w:id="438"/>
      <w:bookmarkEnd w:id="439"/>
      <w:bookmarkEnd w:id="440"/>
      <w:bookmarkEnd w:id="441"/>
    </w:p>
    <w:tbl>
      <w:tblPr>
        <w:tblW w:w="4340" w:type="pct"/>
        <w:jc w:val="center"/>
        <w:tblLook w:val="0000" w:firstRow="0" w:lastRow="0" w:firstColumn="0" w:lastColumn="0" w:noHBand="0" w:noVBand="0"/>
      </w:tblPr>
      <w:tblGrid>
        <w:gridCol w:w="1654"/>
        <w:gridCol w:w="2282"/>
        <w:gridCol w:w="616"/>
        <w:gridCol w:w="916"/>
        <w:gridCol w:w="1016"/>
        <w:gridCol w:w="572"/>
        <w:gridCol w:w="1068"/>
      </w:tblGrid>
      <w:tr w:rsidR="006876D1" w:rsidRPr="00FA0384" w14:paraId="1C7AF2CE" w14:textId="77777777" w:rsidTr="006876D1">
        <w:trPr>
          <w:trHeight w:val="20"/>
          <w:jc w:val="center"/>
        </w:trPr>
        <w:tc>
          <w:tcPr>
            <w:tcW w:w="1271" w:type="pct"/>
            <w:tcBorders>
              <w:top w:val="single" w:sz="4" w:space="0" w:color="auto"/>
              <w:left w:val="nil"/>
              <w:bottom w:val="single" w:sz="4" w:space="0" w:color="auto"/>
              <w:right w:val="nil"/>
            </w:tcBorders>
          </w:tcPr>
          <w:p w14:paraId="0554A998" w14:textId="20847BD0" w:rsidR="00D326A2" w:rsidRPr="006015F2" w:rsidRDefault="00D326A2" w:rsidP="00E4693E">
            <w:pPr>
              <w:widowControl w:val="0"/>
              <w:autoSpaceDE w:val="0"/>
              <w:autoSpaceDN w:val="0"/>
              <w:adjustRightInd w:val="0"/>
              <w:spacing w:line="240" w:lineRule="auto"/>
              <w:rPr>
                <w:rFonts w:cs="Times New Roman"/>
                <w:b/>
                <w:bCs/>
                <w:sz w:val="20"/>
                <w:szCs w:val="20"/>
              </w:rPr>
            </w:pPr>
            <w:r w:rsidRPr="006015F2">
              <w:rPr>
                <w:rFonts w:cs="Times New Roman"/>
                <w:b/>
                <w:bCs/>
                <w:sz w:val="20"/>
                <w:szCs w:val="20"/>
              </w:rPr>
              <w:t>NAICS Sector</w:t>
            </w:r>
          </w:p>
        </w:tc>
        <w:tc>
          <w:tcPr>
            <w:tcW w:w="1657" w:type="pct"/>
            <w:tcBorders>
              <w:top w:val="single" w:sz="4" w:space="0" w:color="auto"/>
              <w:left w:val="nil"/>
              <w:bottom w:val="single" w:sz="4" w:space="0" w:color="auto"/>
              <w:right w:val="nil"/>
            </w:tcBorders>
          </w:tcPr>
          <w:p w14:paraId="6BF0A434" w14:textId="1559BE09" w:rsidR="00D326A2" w:rsidRPr="006015F2" w:rsidRDefault="00D326A2" w:rsidP="00E4693E">
            <w:pPr>
              <w:widowControl w:val="0"/>
              <w:autoSpaceDE w:val="0"/>
              <w:autoSpaceDN w:val="0"/>
              <w:adjustRightInd w:val="0"/>
              <w:spacing w:line="240" w:lineRule="auto"/>
              <w:rPr>
                <w:rFonts w:cs="Times New Roman"/>
                <w:b/>
                <w:bCs/>
                <w:sz w:val="20"/>
                <w:szCs w:val="20"/>
              </w:rPr>
            </w:pPr>
            <w:r w:rsidRPr="006015F2">
              <w:rPr>
                <w:rFonts w:cs="Times New Roman"/>
                <w:b/>
                <w:bCs/>
                <w:sz w:val="20"/>
                <w:szCs w:val="20"/>
              </w:rPr>
              <w:t>Variables</w:t>
            </w:r>
          </w:p>
        </w:tc>
        <w:tc>
          <w:tcPr>
            <w:tcW w:w="351" w:type="pct"/>
            <w:tcBorders>
              <w:top w:val="single" w:sz="4" w:space="0" w:color="auto"/>
              <w:left w:val="nil"/>
              <w:bottom w:val="single" w:sz="4" w:space="0" w:color="auto"/>
              <w:right w:val="nil"/>
            </w:tcBorders>
          </w:tcPr>
          <w:p w14:paraId="09D85E6C" w14:textId="4F769FEF" w:rsidR="00D326A2" w:rsidRPr="006015F2" w:rsidRDefault="00E4693E" w:rsidP="00E4693E">
            <w:pPr>
              <w:widowControl w:val="0"/>
              <w:autoSpaceDE w:val="0"/>
              <w:autoSpaceDN w:val="0"/>
              <w:adjustRightInd w:val="0"/>
              <w:spacing w:line="240" w:lineRule="auto"/>
              <w:rPr>
                <w:rFonts w:cs="Times New Roman"/>
                <w:b/>
                <w:bCs/>
                <w:sz w:val="20"/>
                <w:szCs w:val="20"/>
              </w:rPr>
            </w:pPr>
            <w:r>
              <w:rPr>
                <w:rFonts w:cs="Times New Roman"/>
                <w:b/>
                <w:bCs/>
                <w:sz w:val="20"/>
                <w:szCs w:val="20"/>
              </w:rPr>
              <w:t xml:space="preserve">  </w:t>
            </w:r>
            <w:r w:rsidR="00D326A2" w:rsidRPr="006015F2">
              <w:rPr>
                <w:rFonts w:cs="Times New Roman"/>
                <w:b/>
                <w:bCs/>
                <w:sz w:val="20"/>
                <w:szCs w:val="20"/>
              </w:rPr>
              <w:t>N</w:t>
            </w:r>
          </w:p>
        </w:tc>
        <w:tc>
          <w:tcPr>
            <w:tcW w:w="126" w:type="pct"/>
            <w:tcBorders>
              <w:top w:val="single" w:sz="4" w:space="0" w:color="auto"/>
              <w:left w:val="nil"/>
              <w:bottom w:val="single" w:sz="4" w:space="0" w:color="auto"/>
              <w:right w:val="nil"/>
            </w:tcBorders>
          </w:tcPr>
          <w:p w14:paraId="4CAB0EB4" w14:textId="26D58DE7" w:rsidR="00D326A2" w:rsidRPr="006015F2" w:rsidRDefault="00E4693E" w:rsidP="00E4693E">
            <w:pPr>
              <w:widowControl w:val="0"/>
              <w:autoSpaceDE w:val="0"/>
              <w:autoSpaceDN w:val="0"/>
              <w:adjustRightInd w:val="0"/>
              <w:spacing w:line="240" w:lineRule="auto"/>
              <w:rPr>
                <w:rFonts w:cs="Times New Roman"/>
                <w:b/>
                <w:bCs/>
                <w:sz w:val="20"/>
                <w:szCs w:val="20"/>
              </w:rPr>
            </w:pPr>
            <w:r>
              <w:rPr>
                <w:rFonts w:cs="Times New Roman"/>
                <w:b/>
                <w:bCs/>
                <w:sz w:val="20"/>
                <w:szCs w:val="20"/>
              </w:rPr>
              <w:t xml:space="preserve">         </w:t>
            </w:r>
            <w:r w:rsidR="00D326A2" w:rsidRPr="006015F2">
              <w:rPr>
                <w:rFonts w:cs="Times New Roman"/>
                <w:b/>
                <w:bCs/>
                <w:sz w:val="20"/>
                <w:szCs w:val="20"/>
              </w:rPr>
              <w:t>Mean</w:t>
            </w:r>
          </w:p>
        </w:tc>
        <w:tc>
          <w:tcPr>
            <w:tcW w:w="582" w:type="pct"/>
            <w:tcBorders>
              <w:top w:val="single" w:sz="4" w:space="0" w:color="auto"/>
              <w:left w:val="nil"/>
              <w:bottom w:val="single" w:sz="4" w:space="0" w:color="auto"/>
              <w:right w:val="nil"/>
            </w:tcBorders>
          </w:tcPr>
          <w:p w14:paraId="595FF571" w14:textId="6D313884" w:rsidR="00D326A2" w:rsidRPr="006015F2" w:rsidRDefault="00E4693E" w:rsidP="00E4693E">
            <w:pPr>
              <w:widowControl w:val="0"/>
              <w:autoSpaceDE w:val="0"/>
              <w:autoSpaceDN w:val="0"/>
              <w:adjustRightInd w:val="0"/>
              <w:spacing w:line="240" w:lineRule="auto"/>
              <w:rPr>
                <w:rFonts w:cs="Times New Roman"/>
                <w:b/>
                <w:bCs/>
                <w:sz w:val="20"/>
                <w:szCs w:val="20"/>
              </w:rPr>
            </w:pPr>
            <w:r>
              <w:rPr>
                <w:rFonts w:cs="Times New Roman"/>
                <w:b/>
                <w:bCs/>
                <w:sz w:val="20"/>
                <w:szCs w:val="20"/>
              </w:rPr>
              <w:t xml:space="preserve">      </w:t>
            </w:r>
            <w:r w:rsidR="00D326A2" w:rsidRPr="006015F2">
              <w:rPr>
                <w:rFonts w:cs="Times New Roman"/>
                <w:b/>
                <w:bCs/>
                <w:sz w:val="20"/>
                <w:szCs w:val="20"/>
              </w:rPr>
              <w:t>SD</w:t>
            </w:r>
          </w:p>
        </w:tc>
        <w:tc>
          <w:tcPr>
            <w:tcW w:w="431" w:type="pct"/>
            <w:tcBorders>
              <w:top w:val="single" w:sz="4" w:space="0" w:color="auto"/>
              <w:left w:val="nil"/>
              <w:bottom w:val="single" w:sz="4" w:space="0" w:color="auto"/>
              <w:right w:val="nil"/>
            </w:tcBorders>
          </w:tcPr>
          <w:p w14:paraId="5157D906" w14:textId="5E756F90" w:rsidR="00D326A2" w:rsidRPr="006015F2" w:rsidRDefault="00E4693E" w:rsidP="00E4693E">
            <w:pPr>
              <w:widowControl w:val="0"/>
              <w:autoSpaceDE w:val="0"/>
              <w:autoSpaceDN w:val="0"/>
              <w:adjustRightInd w:val="0"/>
              <w:spacing w:line="240" w:lineRule="auto"/>
              <w:rPr>
                <w:rFonts w:cs="Times New Roman"/>
                <w:b/>
                <w:bCs/>
                <w:sz w:val="20"/>
                <w:szCs w:val="20"/>
              </w:rPr>
            </w:pPr>
            <w:r>
              <w:rPr>
                <w:rFonts w:cs="Times New Roman"/>
                <w:b/>
                <w:bCs/>
                <w:sz w:val="20"/>
                <w:szCs w:val="20"/>
              </w:rPr>
              <w:t xml:space="preserve">     </w:t>
            </w:r>
            <w:r w:rsidR="00D326A2" w:rsidRPr="006015F2">
              <w:rPr>
                <w:rFonts w:cs="Times New Roman"/>
                <w:b/>
                <w:bCs/>
                <w:sz w:val="20"/>
                <w:szCs w:val="20"/>
              </w:rPr>
              <w:t>Min</w:t>
            </w:r>
          </w:p>
        </w:tc>
        <w:tc>
          <w:tcPr>
            <w:tcW w:w="581" w:type="pct"/>
            <w:tcBorders>
              <w:top w:val="single" w:sz="4" w:space="0" w:color="auto"/>
              <w:left w:val="nil"/>
              <w:bottom w:val="single" w:sz="4" w:space="0" w:color="auto"/>
              <w:right w:val="nil"/>
            </w:tcBorders>
          </w:tcPr>
          <w:p w14:paraId="322DA761" w14:textId="2DF32CEB" w:rsidR="00D326A2" w:rsidRPr="006015F2" w:rsidRDefault="00E4693E" w:rsidP="00E4693E">
            <w:pPr>
              <w:widowControl w:val="0"/>
              <w:autoSpaceDE w:val="0"/>
              <w:autoSpaceDN w:val="0"/>
              <w:adjustRightInd w:val="0"/>
              <w:spacing w:line="240" w:lineRule="auto"/>
              <w:rPr>
                <w:rFonts w:cs="Times New Roman"/>
                <w:b/>
                <w:bCs/>
                <w:sz w:val="20"/>
                <w:szCs w:val="20"/>
              </w:rPr>
            </w:pPr>
            <w:r>
              <w:rPr>
                <w:rFonts w:cs="Times New Roman"/>
                <w:b/>
                <w:bCs/>
                <w:sz w:val="20"/>
                <w:szCs w:val="20"/>
              </w:rPr>
              <w:t xml:space="preserve">  </w:t>
            </w:r>
            <w:r w:rsidR="00D326A2" w:rsidRPr="006015F2">
              <w:rPr>
                <w:rFonts w:cs="Times New Roman"/>
                <w:b/>
                <w:bCs/>
                <w:sz w:val="20"/>
                <w:szCs w:val="20"/>
              </w:rPr>
              <w:t>Max</w:t>
            </w:r>
          </w:p>
        </w:tc>
      </w:tr>
      <w:tr w:rsidR="006876D1" w:rsidRPr="00FA0384" w14:paraId="2D16A10A" w14:textId="77777777" w:rsidTr="006876D1">
        <w:trPr>
          <w:jc w:val="center"/>
        </w:trPr>
        <w:tc>
          <w:tcPr>
            <w:tcW w:w="1271" w:type="pct"/>
            <w:vMerge w:val="restart"/>
            <w:tcBorders>
              <w:top w:val="single" w:sz="4" w:space="0" w:color="auto"/>
              <w:left w:val="nil"/>
              <w:right w:val="nil"/>
            </w:tcBorders>
          </w:tcPr>
          <w:p w14:paraId="3CFF54F9" w14:textId="2923EFC6" w:rsidR="00D326A2" w:rsidRPr="006015F2" w:rsidRDefault="00D326A2" w:rsidP="004C39A4">
            <w:pPr>
              <w:widowControl w:val="0"/>
              <w:autoSpaceDE w:val="0"/>
              <w:autoSpaceDN w:val="0"/>
              <w:adjustRightInd w:val="0"/>
              <w:spacing w:line="240" w:lineRule="auto"/>
              <w:rPr>
                <w:rFonts w:cs="Times New Roman"/>
                <w:sz w:val="20"/>
                <w:szCs w:val="20"/>
              </w:rPr>
            </w:pPr>
            <w:r w:rsidRPr="006015F2">
              <w:rPr>
                <w:rFonts w:cs="Times New Roman"/>
                <w:sz w:val="20"/>
                <w:szCs w:val="20"/>
              </w:rPr>
              <w:t>11-Agriculture, Forestry, Fishing &amp; Hunting</w:t>
            </w:r>
          </w:p>
        </w:tc>
        <w:tc>
          <w:tcPr>
            <w:tcW w:w="1657" w:type="pct"/>
            <w:tcBorders>
              <w:top w:val="single" w:sz="4" w:space="0" w:color="auto"/>
              <w:left w:val="nil"/>
              <w:bottom w:val="nil"/>
              <w:right w:val="nil"/>
            </w:tcBorders>
          </w:tcPr>
          <w:p w14:paraId="33C19603" w14:textId="106CE7A5" w:rsidR="00D326A2" w:rsidRPr="00FA0384" w:rsidRDefault="00D326A2" w:rsidP="004C39A4">
            <w:pPr>
              <w:widowControl w:val="0"/>
              <w:autoSpaceDE w:val="0"/>
              <w:autoSpaceDN w:val="0"/>
              <w:adjustRightInd w:val="0"/>
              <w:spacing w:line="240" w:lineRule="auto"/>
              <w:rPr>
                <w:rFonts w:cs="Times New Roman"/>
                <w:sz w:val="20"/>
                <w:szCs w:val="20"/>
              </w:rPr>
            </w:pPr>
            <w:r w:rsidRPr="00FA0384">
              <w:rPr>
                <w:rFonts w:cs="Times New Roman"/>
                <w:sz w:val="20"/>
                <w:szCs w:val="20"/>
              </w:rPr>
              <w:t xml:space="preserve"> Sales Volume</w:t>
            </w:r>
          </w:p>
        </w:tc>
        <w:tc>
          <w:tcPr>
            <w:tcW w:w="351" w:type="pct"/>
            <w:tcBorders>
              <w:top w:val="single" w:sz="4" w:space="0" w:color="auto"/>
              <w:left w:val="nil"/>
              <w:bottom w:val="nil"/>
              <w:right w:val="nil"/>
            </w:tcBorders>
          </w:tcPr>
          <w:p w14:paraId="24A4CE61"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1218</w:t>
            </w:r>
          </w:p>
        </w:tc>
        <w:tc>
          <w:tcPr>
            <w:tcW w:w="126" w:type="pct"/>
            <w:tcBorders>
              <w:top w:val="single" w:sz="4" w:space="0" w:color="auto"/>
              <w:left w:val="nil"/>
              <w:bottom w:val="nil"/>
              <w:right w:val="nil"/>
            </w:tcBorders>
          </w:tcPr>
          <w:p w14:paraId="618E182F"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bookmarkStart w:id="442" w:name="_Hlk187316952"/>
            <w:r w:rsidRPr="00FA0384">
              <w:rPr>
                <w:rFonts w:cs="Times New Roman"/>
                <w:sz w:val="20"/>
                <w:szCs w:val="20"/>
              </w:rPr>
              <w:t>288897</w:t>
            </w:r>
            <w:bookmarkEnd w:id="442"/>
          </w:p>
        </w:tc>
        <w:tc>
          <w:tcPr>
            <w:tcW w:w="582" w:type="pct"/>
            <w:tcBorders>
              <w:top w:val="single" w:sz="4" w:space="0" w:color="auto"/>
              <w:left w:val="nil"/>
              <w:bottom w:val="nil"/>
              <w:right w:val="nil"/>
            </w:tcBorders>
          </w:tcPr>
          <w:p w14:paraId="23429EB7"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640594</w:t>
            </w:r>
          </w:p>
        </w:tc>
        <w:tc>
          <w:tcPr>
            <w:tcW w:w="431" w:type="pct"/>
            <w:tcBorders>
              <w:top w:val="single" w:sz="4" w:space="0" w:color="auto"/>
              <w:left w:val="nil"/>
              <w:bottom w:val="nil"/>
              <w:right w:val="nil"/>
            </w:tcBorders>
          </w:tcPr>
          <w:p w14:paraId="4DCF8B93"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0</w:t>
            </w:r>
          </w:p>
        </w:tc>
        <w:tc>
          <w:tcPr>
            <w:tcW w:w="581" w:type="pct"/>
            <w:tcBorders>
              <w:top w:val="single" w:sz="4" w:space="0" w:color="auto"/>
              <w:left w:val="nil"/>
              <w:bottom w:val="nil"/>
              <w:right w:val="nil"/>
            </w:tcBorders>
          </w:tcPr>
          <w:p w14:paraId="2E2A6FFA"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11548636</w:t>
            </w:r>
          </w:p>
        </w:tc>
      </w:tr>
      <w:tr w:rsidR="006876D1" w:rsidRPr="00FA0384" w14:paraId="2BA81D1D" w14:textId="77777777" w:rsidTr="006876D1">
        <w:trPr>
          <w:jc w:val="center"/>
        </w:trPr>
        <w:tc>
          <w:tcPr>
            <w:tcW w:w="1271" w:type="pct"/>
            <w:vMerge/>
            <w:tcBorders>
              <w:left w:val="nil"/>
              <w:right w:val="nil"/>
            </w:tcBorders>
          </w:tcPr>
          <w:p w14:paraId="7EED2022" w14:textId="77777777" w:rsidR="00D326A2" w:rsidRPr="006015F2" w:rsidRDefault="00D326A2" w:rsidP="004C39A4">
            <w:pPr>
              <w:widowControl w:val="0"/>
              <w:autoSpaceDE w:val="0"/>
              <w:autoSpaceDN w:val="0"/>
              <w:adjustRightInd w:val="0"/>
              <w:spacing w:line="240" w:lineRule="auto"/>
              <w:rPr>
                <w:rFonts w:cs="Times New Roman"/>
                <w:sz w:val="20"/>
                <w:szCs w:val="20"/>
              </w:rPr>
            </w:pPr>
          </w:p>
        </w:tc>
        <w:tc>
          <w:tcPr>
            <w:tcW w:w="1657" w:type="pct"/>
            <w:tcBorders>
              <w:top w:val="nil"/>
              <w:left w:val="nil"/>
              <w:bottom w:val="nil"/>
              <w:right w:val="nil"/>
            </w:tcBorders>
          </w:tcPr>
          <w:p w14:paraId="582CC097" w14:textId="2A6BA6DC" w:rsidR="00D326A2" w:rsidRPr="00FA0384" w:rsidRDefault="00D326A2" w:rsidP="004C39A4">
            <w:pPr>
              <w:widowControl w:val="0"/>
              <w:autoSpaceDE w:val="0"/>
              <w:autoSpaceDN w:val="0"/>
              <w:adjustRightInd w:val="0"/>
              <w:spacing w:line="240" w:lineRule="auto"/>
              <w:rPr>
                <w:rFonts w:cs="Times New Roman"/>
                <w:sz w:val="20"/>
                <w:szCs w:val="20"/>
              </w:rPr>
            </w:pPr>
            <w:r w:rsidRPr="00FA0384">
              <w:rPr>
                <w:rFonts w:cs="Times New Roman"/>
                <w:sz w:val="20"/>
                <w:szCs w:val="20"/>
              </w:rPr>
              <w:t xml:space="preserve"> Number of employees</w:t>
            </w:r>
          </w:p>
        </w:tc>
        <w:tc>
          <w:tcPr>
            <w:tcW w:w="351" w:type="pct"/>
            <w:tcBorders>
              <w:top w:val="nil"/>
              <w:left w:val="nil"/>
              <w:bottom w:val="nil"/>
              <w:right w:val="nil"/>
            </w:tcBorders>
          </w:tcPr>
          <w:p w14:paraId="47E55764"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1218</w:t>
            </w:r>
          </w:p>
        </w:tc>
        <w:tc>
          <w:tcPr>
            <w:tcW w:w="126" w:type="pct"/>
            <w:tcBorders>
              <w:top w:val="nil"/>
              <w:left w:val="nil"/>
              <w:bottom w:val="nil"/>
              <w:right w:val="nil"/>
            </w:tcBorders>
          </w:tcPr>
          <w:p w14:paraId="44567ECE"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1833</w:t>
            </w:r>
          </w:p>
        </w:tc>
        <w:tc>
          <w:tcPr>
            <w:tcW w:w="582" w:type="pct"/>
            <w:tcBorders>
              <w:top w:val="nil"/>
              <w:left w:val="nil"/>
              <w:bottom w:val="nil"/>
              <w:right w:val="nil"/>
            </w:tcBorders>
          </w:tcPr>
          <w:p w14:paraId="454B78C1"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2422</w:t>
            </w:r>
          </w:p>
        </w:tc>
        <w:tc>
          <w:tcPr>
            <w:tcW w:w="431" w:type="pct"/>
            <w:tcBorders>
              <w:top w:val="nil"/>
              <w:left w:val="nil"/>
              <w:bottom w:val="nil"/>
              <w:right w:val="nil"/>
            </w:tcBorders>
          </w:tcPr>
          <w:p w14:paraId="7B646EBC"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0</w:t>
            </w:r>
          </w:p>
        </w:tc>
        <w:tc>
          <w:tcPr>
            <w:tcW w:w="581" w:type="pct"/>
            <w:tcBorders>
              <w:top w:val="nil"/>
              <w:left w:val="nil"/>
              <w:bottom w:val="nil"/>
              <w:right w:val="nil"/>
            </w:tcBorders>
          </w:tcPr>
          <w:p w14:paraId="56F90E58"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16874</w:t>
            </w:r>
          </w:p>
        </w:tc>
      </w:tr>
      <w:tr w:rsidR="006876D1" w:rsidRPr="00FA0384" w14:paraId="2DD3E3B0" w14:textId="77777777" w:rsidTr="006876D1">
        <w:trPr>
          <w:jc w:val="center"/>
        </w:trPr>
        <w:tc>
          <w:tcPr>
            <w:tcW w:w="1271" w:type="pct"/>
            <w:vMerge/>
            <w:tcBorders>
              <w:left w:val="nil"/>
              <w:right w:val="nil"/>
            </w:tcBorders>
          </w:tcPr>
          <w:p w14:paraId="37528582" w14:textId="77777777" w:rsidR="00D326A2" w:rsidRPr="006015F2" w:rsidRDefault="00D326A2" w:rsidP="004C39A4">
            <w:pPr>
              <w:widowControl w:val="0"/>
              <w:autoSpaceDE w:val="0"/>
              <w:autoSpaceDN w:val="0"/>
              <w:adjustRightInd w:val="0"/>
              <w:spacing w:line="240" w:lineRule="auto"/>
              <w:rPr>
                <w:rFonts w:cs="Times New Roman"/>
                <w:sz w:val="20"/>
                <w:szCs w:val="20"/>
              </w:rPr>
            </w:pPr>
          </w:p>
        </w:tc>
        <w:tc>
          <w:tcPr>
            <w:tcW w:w="1657" w:type="pct"/>
            <w:tcBorders>
              <w:top w:val="nil"/>
              <w:left w:val="nil"/>
              <w:bottom w:val="nil"/>
              <w:right w:val="nil"/>
            </w:tcBorders>
          </w:tcPr>
          <w:p w14:paraId="6B719E86" w14:textId="69F6ACDD" w:rsidR="00D326A2" w:rsidRPr="00FA0384" w:rsidRDefault="00D326A2" w:rsidP="004C39A4">
            <w:pPr>
              <w:widowControl w:val="0"/>
              <w:autoSpaceDE w:val="0"/>
              <w:autoSpaceDN w:val="0"/>
              <w:adjustRightInd w:val="0"/>
              <w:spacing w:line="240" w:lineRule="auto"/>
              <w:rPr>
                <w:rFonts w:cs="Times New Roman"/>
                <w:sz w:val="20"/>
                <w:szCs w:val="20"/>
              </w:rPr>
            </w:pPr>
            <w:r w:rsidRPr="00FA0384">
              <w:rPr>
                <w:rFonts w:cs="Times New Roman"/>
                <w:sz w:val="20"/>
                <w:szCs w:val="20"/>
              </w:rPr>
              <w:t xml:space="preserve"> Establishment births</w:t>
            </w:r>
          </w:p>
        </w:tc>
        <w:tc>
          <w:tcPr>
            <w:tcW w:w="351" w:type="pct"/>
            <w:tcBorders>
              <w:top w:val="nil"/>
              <w:left w:val="nil"/>
              <w:bottom w:val="nil"/>
              <w:right w:val="nil"/>
            </w:tcBorders>
          </w:tcPr>
          <w:p w14:paraId="00DB7557"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1218</w:t>
            </w:r>
          </w:p>
        </w:tc>
        <w:tc>
          <w:tcPr>
            <w:tcW w:w="126" w:type="pct"/>
            <w:tcBorders>
              <w:top w:val="nil"/>
              <w:left w:val="nil"/>
              <w:bottom w:val="nil"/>
              <w:right w:val="nil"/>
            </w:tcBorders>
          </w:tcPr>
          <w:p w14:paraId="7E314B6A"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24.4</w:t>
            </w:r>
          </w:p>
        </w:tc>
        <w:tc>
          <w:tcPr>
            <w:tcW w:w="582" w:type="pct"/>
            <w:tcBorders>
              <w:top w:val="nil"/>
              <w:left w:val="nil"/>
              <w:bottom w:val="nil"/>
              <w:right w:val="nil"/>
            </w:tcBorders>
          </w:tcPr>
          <w:p w14:paraId="44272648"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28.9</w:t>
            </w:r>
          </w:p>
        </w:tc>
        <w:tc>
          <w:tcPr>
            <w:tcW w:w="431" w:type="pct"/>
            <w:tcBorders>
              <w:top w:val="nil"/>
              <w:left w:val="nil"/>
              <w:bottom w:val="nil"/>
              <w:right w:val="nil"/>
            </w:tcBorders>
          </w:tcPr>
          <w:p w14:paraId="2CF47871"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0</w:t>
            </w:r>
          </w:p>
        </w:tc>
        <w:tc>
          <w:tcPr>
            <w:tcW w:w="581" w:type="pct"/>
            <w:tcBorders>
              <w:top w:val="nil"/>
              <w:left w:val="nil"/>
              <w:bottom w:val="nil"/>
              <w:right w:val="nil"/>
            </w:tcBorders>
          </w:tcPr>
          <w:p w14:paraId="39BD4A30"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236</w:t>
            </w:r>
          </w:p>
        </w:tc>
      </w:tr>
      <w:tr w:rsidR="006876D1" w:rsidRPr="00FA0384" w14:paraId="7D3AD6D0" w14:textId="77777777" w:rsidTr="006876D1">
        <w:trPr>
          <w:jc w:val="center"/>
        </w:trPr>
        <w:tc>
          <w:tcPr>
            <w:tcW w:w="1271" w:type="pct"/>
            <w:vMerge/>
            <w:tcBorders>
              <w:left w:val="nil"/>
              <w:right w:val="nil"/>
            </w:tcBorders>
          </w:tcPr>
          <w:p w14:paraId="58FD50A2" w14:textId="77777777" w:rsidR="00D326A2" w:rsidRPr="006015F2" w:rsidRDefault="00D326A2" w:rsidP="004C39A4">
            <w:pPr>
              <w:widowControl w:val="0"/>
              <w:autoSpaceDE w:val="0"/>
              <w:autoSpaceDN w:val="0"/>
              <w:adjustRightInd w:val="0"/>
              <w:spacing w:line="240" w:lineRule="auto"/>
              <w:rPr>
                <w:rFonts w:cs="Times New Roman"/>
                <w:sz w:val="20"/>
                <w:szCs w:val="20"/>
              </w:rPr>
            </w:pPr>
          </w:p>
        </w:tc>
        <w:tc>
          <w:tcPr>
            <w:tcW w:w="1657" w:type="pct"/>
            <w:tcBorders>
              <w:top w:val="nil"/>
              <w:left w:val="nil"/>
              <w:bottom w:val="nil"/>
              <w:right w:val="nil"/>
            </w:tcBorders>
          </w:tcPr>
          <w:p w14:paraId="34D29F05" w14:textId="73D8A34A" w:rsidR="00D326A2" w:rsidRPr="00FA0384" w:rsidRDefault="00D326A2" w:rsidP="004C39A4">
            <w:pPr>
              <w:widowControl w:val="0"/>
              <w:autoSpaceDE w:val="0"/>
              <w:autoSpaceDN w:val="0"/>
              <w:adjustRightInd w:val="0"/>
              <w:spacing w:line="240" w:lineRule="auto"/>
              <w:rPr>
                <w:rFonts w:cs="Times New Roman"/>
                <w:sz w:val="20"/>
                <w:szCs w:val="20"/>
              </w:rPr>
            </w:pPr>
            <w:r w:rsidRPr="00FA0384">
              <w:rPr>
                <w:rFonts w:cs="Times New Roman"/>
                <w:sz w:val="20"/>
                <w:szCs w:val="20"/>
              </w:rPr>
              <w:t xml:space="preserve"> Establishment inward relocations</w:t>
            </w:r>
          </w:p>
        </w:tc>
        <w:tc>
          <w:tcPr>
            <w:tcW w:w="351" w:type="pct"/>
            <w:tcBorders>
              <w:top w:val="nil"/>
              <w:left w:val="nil"/>
              <w:bottom w:val="nil"/>
              <w:right w:val="nil"/>
            </w:tcBorders>
          </w:tcPr>
          <w:p w14:paraId="0F2B529E"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1218</w:t>
            </w:r>
          </w:p>
        </w:tc>
        <w:tc>
          <w:tcPr>
            <w:tcW w:w="126" w:type="pct"/>
            <w:tcBorders>
              <w:top w:val="nil"/>
              <w:left w:val="nil"/>
              <w:bottom w:val="nil"/>
              <w:right w:val="nil"/>
            </w:tcBorders>
          </w:tcPr>
          <w:p w14:paraId="0C0D3C09"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3.01</w:t>
            </w:r>
          </w:p>
        </w:tc>
        <w:tc>
          <w:tcPr>
            <w:tcW w:w="582" w:type="pct"/>
            <w:tcBorders>
              <w:top w:val="nil"/>
              <w:left w:val="nil"/>
              <w:bottom w:val="nil"/>
              <w:right w:val="nil"/>
            </w:tcBorders>
          </w:tcPr>
          <w:p w14:paraId="72C4E76E"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28.3</w:t>
            </w:r>
          </w:p>
        </w:tc>
        <w:tc>
          <w:tcPr>
            <w:tcW w:w="431" w:type="pct"/>
            <w:tcBorders>
              <w:top w:val="nil"/>
              <w:left w:val="nil"/>
              <w:bottom w:val="nil"/>
              <w:right w:val="nil"/>
            </w:tcBorders>
          </w:tcPr>
          <w:p w14:paraId="06EF4FB7"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0</w:t>
            </w:r>
          </w:p>
        </w:tc>
        <w:tc>
          <w:tcPr>
            <w:tcW w:w="581" w:type="pct"/>
            <w:tcBorders>
              <w:top w:val="nil"/>
              <w:left w:val="nil"/>
              <w:bottom w:val="nil"/>
              <w:right w:val="nil"/>
            </w:tcBorders>
          </w:tcPr>
          <w:p w14:paraId="25D1D08F"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630</w:t>
            </w:r>
          </w:p>
        </w:tc>
      </w:tr>
      <w:tr w:rsidR="006876D1" w:rsidRPr="00FA0384" w14:paraId="7FFB719F" w14:textId="77777777" w:rsidTr="006876D1">
        <w:trPr>
          <w:jc w:val="center"/>
        </w:trPr>
        <w:tc>
          <w:tcPr>
            <w:tcW w:w="1271" w:type="pct"/>
            <w:vMerge/>
            <w:tcBorders>
              <w:left w:val="nil"/>
              <w:right w:val="nil"/>
            </w:tcBorders>
          </w:tcPr>
          <w:p w14:paraId="0D240A4E" w14:textId="77777777" w:rsidR="00D326A2" w:rsidRPr="006015F2" w:rsidRDefault="00D326A2" w:rsidP="004C39A4">
            <w:pPr>
              <w:widowControl w:val="0"/>
              <w:autoSpaceDE w:val="0"/>
              <w:autoSpaceDN w:val="0"/>
              <w:adjustRightInd w:val="0"/>
              <w:spacing w:line="240" w:lineRule="auto"/>
              <w:rPr>
                <w:rFonts w:cs="Times New Roman"/>
                <w:sz w:val="20"/>
                <w:szCs w:val="20"/>
              </w:rPr>
            </w:pPr>
          </w:p>
        </w:tc>
        <w:tc>
          <w:tcPr>
            <w:tcW w:w="1657" w:type="pct"/>
            <w:tcBorders>
              <w:top w:val="nil"/>
              <w:left w:val="nil"/>
              <w:bottom w:val="nil"/>
              <w:right w:val="nil"/>
            </w:tcBorders>
          </w:tcPr>
          <w:p w14:paraId="554FD3BC" w14:textId="090B2F58" w:rsidR="00D326A2" w:rsidRPr="00FA0384" w:rsidRDefault="00D326A2" w:rsidP="004C39A4">
            <w:pPr>
              <w:widowControl w:val="0"/>
              <w:autoSpaceDE w:val="0"/>
              <w:autoSpaceDN w:val="0"/>
              <w:adjustRightInd w:val="0"/>
              <w:spacing w:line="240" w:lineRule="auto"/>
              <w:rPr>
                <w:rFonts w:cs="Times New Roman"/>
                <w:sz w:val="20"/>
                <w:szCs w:val="20"/>
              </w:rPr>
            </w:pPr>
            <w:r w:rsidRPr="00FA0384">
              <w:rPr>
                <w:rFonts w:cs="Times New Roman"/>
                <w:sz w:val="20"/>
                <w:szCs w:val="20"/>
              </w:rPr>
              <w:t xml:space="preserve"> Establishment deaths</w:t>
            </w:r>
          </w:p>
        </w:tc>
        <w:tc>
          <w:tcPr>
            <w:tcW w:w="351" w:type="pct"/>
            <w:tcBorders>
              <w:top w:val="nil"/>
              <w:left w:val="nil"/>
              <w:bottom w:val="nil"/>
              <w:right w:val="nil"/>
            </w:tcBorders>
          </w:tcPr>
          <w:p w14:paraId="727ABBF8"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1218</w:t>
            </w:r>
          </w:p>
        </w:tc>
        <w:tc>
          <w:tcPr>
            <w:tcW w:w="126" w:type="pct"/>
            <w:tcBorders>
              <w:top w:val="nil"/>
              <w:left w:val="nil"/>
              <w:bottom w:val="nil"/>
              <w:right w:val="nil"/>
            </w:tcBorders>
          </w:tcPr>
          <w:p w14:paraId="698A0FC7"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22.8</w:t>
            </w:r>
          </w:p>
        </w:tc>
        <w:tc>
          <w:tcPr>
            <w:tcW w:w="582" w:type="pct"/>
            <w:tcBorders>
              <w:top w:val="nil"/>
              <w:left w:val="nil"/>
              <w:bottom w:val="nil"/>
              <w:right w:val="nil"/>
            </w:tcBorders>
          </w:tcPr>
          <w:p w14:paraId="708C3AB4"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25.2</w:t>
            </w:r>
          </w:p>
        </w:tc>
        <w:tc>
          <w:tcPr>
            <w:tcW w:w="431" w:type="pct"/>
            <w:tcBorders>
              <w:top w:val="nil"/>
              <w:left w:val="nil"/>
              <w:bottom w:val="nil"/>
              <w:right w:val="nil"/>
            </w:tcBorders>
          </w:tcPr>
          <w:p w14:paraId="4EB4FD6E"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0</w:t>
            </w:r>
          </w:p>
        </w:tc>
        <w:tc>
          <w:tcPr>
            <w:tcW w:w="581" w:type="pct"/>
            <w:tcBorders>
              <w:top w:val="nil"/>
              <w:left w:val="nil"/>
              <w:bottom w:val="nil"/>
              <w:right w:val="nil"/>
            </w:tcBorders>
          </w:tcPr>
          <w:p w14:paraId="106B507C"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214</w:t>
            </w:r>
          </w:p>
        </w:tc>
      </w:tr>
      <w:tr w:rsidR="006876D1" w:rsidRPr="00FA0384" w14:paraId="2B6A2DEA" w14:textId="77777777" w:rsidTr="006876D1">
        <w:trPr>
          <w:jc w:val="center"/>
        </w:trPr>
        <w:tc>
          <w:tcPr>
            <w:tcW w:w="1271" w:type="pct"/>
            <w:vMerge/>
            <w:tcBorders>
              <w:left w:val="nil"/>
              <w:bottom w:val="single" w:sz="6" w:space="0" w:color="auto"/>
              <w:right w:val="nil"/>
            </w:tcBorders>
          </w:tcPr>
          <w:p w14:paraId="73F4D368" w14:textId="77777777" w:rsidR="00D326A2" w:rsidRPr="006015F2" w:rsidRDefault="00D326A2" w:rsidP="004C39A4">
            <w:pPr>
              <w:widowControl w:val="0"/>
              <w:autoSpaceDE w:val="0"/>
              <w:autoSpaceDN w:val="0"/>
              <w:adjustRightInd w:val="0"/>
              <w:spacing w:line="240" w:lineRule="auto"/>
              <w:rPr>
                <w:rFonts w:cs="Times New Roman"/>
                <w:sz w:val="20"/>
                <w:szCs w:val="20"/>
              </w:rPr>
            </w:pPr>
          </w:p>
        </w:tc>
        <w:tc>
          <w:tcPr>
            <w:tcW w:w="1657" w:type="pct"/>
            <w:tcBorders>
              <w:top w:val="nil"/>
              <w:left w:val="nil"/>
              <w:bottom w:val="single" w:sz="6" w:space="0" w:color="auto"/>
              <w:right w:val="nil"/>
            </w:tcBorders>
          </w:tcPr>
          <w:p w14:paraId="6C42D306" w14:textId="3AAC02D1" w:rsidR="00D326A2" w:rsidRPr="00FA0384" w:rsidRDefault="00D326A2" w:rsidP="004C39A4">
            <w:pPr>
              <w:widowControl w:val="0"/>
              <w:autoSpaceDE w:val="0"/>
              <w:autoSpaceDN w:val="0"/>
              <w:adjustRightInd w:val="0"/>
              <w:spacing w:line="240" w:lineRule="auto"/>
              <w:rPr>
                <w:rFonts w:cs="Times New Roman"/>
                <w:sz w:val="20"/>
                <w:szCs w:val="20"/>
              </w:rPr>
            </w:pPr>
            <w:r w:rsidRPr="00FA0384">
              <w:rPr>
                <w:rFonts w:cs="Times New Roman"/>
                <w:sz w:val="20"/>
                <w:szCs w:val="20"/>
              </w:rPr>
              <w:t xml:space="preserve"> Establishment outward relocation</w:t>
            </w:r>
          </w:p>
        </w:tc>
        <w:tc>
          <w:tcPr>
            <w:tcW w:w="351" w:type="pct"/>
            <w:tcBorders>
              <w:top w:val="nil"/>
              <w:left w:val="nil"/>
              <w:bottom w:val="single" w:sz="6" w:space="0" w:color="auto"/>
              <w:right w:val="nil"/>
            </w:tcBorders>
          </w:tcPr>
          <w:p w14:paraId="5AA68D88"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1218</w:t>
            </w:r>
          </w:p>
        </w:tc>
        <w:tc>
          <w:tcPr>
            <w:tcW w:w="126" w:type="pct"/>
            <w:tcBorders>
              <w:top w:val="nil"/>
              <w:left w:val="nil"/>
              <w:bottom w:val="single" w:sz="6" w:space="0" w:color="auto"/>
              <w:right w:val="nil"/>
            </w:tcBorders>
          </w:tcPr>
          <w:p w14:paraId="42907A17"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3.02</w:t>
            </w:r>
          </w:p>
        </w:tc>
        <w:tc>
          <w:tcPr>
            <w:tcW w:w="582" w:type="pct"/>
            <w:tcBorders>
              <w:top w:val="nil"/>
              <w:left w:val="nil"/>
              <w:bottom w:val="single" w:sz="6" w:space="0" w:color="auto"/>
              <w:right w:val="nil"/>
            </w:tcBorders>
          </w:tcPr>
          <w:p w14:paraId="3BA89C79"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29.4</w:t>
            </w:r>
          </w:p>
        </w:tc>
        <w:tc>
          <w:tcPr>
            <w:tcW w:w="431" w:type="pct"/>
            <w:tcBorders>
              <w:top w:val="nil"/>
              <w:left w:val="nil"/>
              <w:bottom w:val="single" w:sz="6" w:space="0" w:color="auto"/>
              <w:right w:val="nil"/>
            </w:tcBorders>
          </w:tcPr>
          <w:p w14:paraId="4E8798CF"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0</w:t>
            </w:r>
          </w:p>
        </w:tc>
        <w:tc>
          <w:tcPr>
            <w:tcW w:w="581" w:type="pct"/>
            <w:tcBorders>
              <w:top w:val="nil"/>
              <w:left w:val="nil"/>
              <w:bottom w:val="single" w:sz="6" w:space="0" w:color="auto"/>
              <w:right w:val="nil"/>
            </w:tcBorders>
          </w:tcPr>
          <w:p w14:paraId="42FE28A6"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695</w:t>
            </w:r>
          </w:p>
        </w:tc>
      </w:tr>
      <w:tr w:rsidR="006876D1" w:rsidRPr="00FA0384" w14:paraId="2EDC887C" w14:textId="77777777" w:rsidTr="006876D1">
        <w:trPr>
          <w:jc w:val="center"/>
        </w:trPr>
        <w:tc>
          <w:tcPr>
            <w:tcW w:w="1271" w:type="pct"/>
            <w:vMerge w:val="restart"/>
            <w:tcBorders>
              <w:top w:val="nil"/>
              <w:left w:val="nil"/>
              <w:right w:val="nil"/>
            </w:tcBorders>
          </w:tcPr>
          <w:p w14:paraId="648E0C33" w14:textId="757470BA" w:rsidR="00D326A2" w:rsidRPr="006015F2" w:rsidRDefault="00D326A2" w:rsidP="004C39A4">
            <w:pPr>
              <w:widowControl w:val="0"/>
              <w:autoSpaceDE w:val="0"/>
              <w:autoSpaceDN w:val="0"/>
              <w:adjustRightInd w:val="0"/>
              <w:spacing w:line="240" w:lineRule="auto"/>
              <w:rPr>
                <w:rFonts w:cs="Times New Roman"/>
                <w:sz w:val="20"/>
                <w:szCs w:val="20"/>
              </w:rPr>
            </w:pPr>
            <w:r w:rsidRPr="006015F2">
              <w:rPr>
                <w:rFonts w:cs="Times New Roman"/>
                <w:sz w:val="20"/>
                <w:szCs w:val="20"/>
              </w:rPr>
              <w:t>21 – Mining, Quarrying, and Oil and Gas Extraction</w:t>
            </w:r>
          </w:p>
        </w:tc>
        <w:tc>
          <w:tcPr>
            <w:tcW w:w="1657" w:type="pct"/>
            <w:tcBorders>
              <w:top w:val="nil"/>
              <w:left w:val="nil"/>
              <w:bottom w:val="nil"/>
              <w:right w:val="nil"/>
            </w:tcBorders>
          </w:tcPr>
          <w:p w14:paraId="236F1E73" w14:textId="55FCF69F" w:rsidR="00D326A2" w:rsidRPr="00FA0384" w:rsidRDefault="00D326A2" w:rsidP="004C39A4">
            <w:pPr>
              <w:widowControl w:val="0"/>
              <w:autoSpaceDE w:val="0"/>
              <w:autoSpaceDN w:val="0"/>
              <w:adjustRightInd w:val="0"/>
              <w:spacing w:line="240" w:lineRule="auto"/>
              <w:rPr>
                <w:rFonts w:cs="Times New Roman"/>
                <w:sz w:val="20"/>
                <w:szCs w:val="20"/>
              </w:rPr>
            </w:pPr>
            <w:r w:rsidRPr="00FA0384">
              <w:rPr>
                <w:rFonts w:cs="Times New Roman"/>
                <w:sz w:val="20"/>
                <w:szCs w:val="20"/>
              </w:rPr>
              <w:t xml:space="preserve"> Sales Volume</w:t>
            </w:r>
          </w:p>
        </w:tc>
        <w:tc>
          <w:tcPr>
            <w:tcW w:w="351" w:type="pct"/>
            <w:tcBorders>
              <w:top w:val="nil"/>
              <w:left w:val="nil"/>
              <w:bottom w:val="nil"/>
              <w:right w:val="nil"/>
            </w:tcBorders>
          </w:tcPr>
          <w:p w14:paraId="78EFD793"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1218</w:t>
            </w:r>
          </w:p>
        </w:tc>
        <w:tc>
          <w:tcPr>
            <w:tcW w:w="126" w:type="pct"/>
            <w:tcBorders>
              <w:top w:val="nil"/>
              <w:left w:val="nil"/>
              <w:bottom w:val="nil"/>
              <w:right w:val="nil"/>
            </w:tcBorders>
          </w:tcPr>
          <w:p w14:paraId="242E0C47"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bookmarkStart w:id="443" w:name="_Hlk187316974"/>
            <w:r w:rsidRPr="00FA0384">
              <w:rPr>
                <w:rFonts w:cs="Times New Roman"/>
                <w:sz w:val="20"/>
                <w:szCs w:val="20"/>
              </w:rPr>
              <w:t>125771</w:t>
            </w:r>
            <w:bookmarkEnd w:id="443"/>
          </w:p>
        </w:tc>
        <w:tc>
          <w:tcPr>
            <w:tcW w:w="582" w:type="pct"/>
            <w:tcBorders>
              <w:top w:val="nil"/>
              <w:left w:val="nil"/>
              <w:bottom w:val="nil"/>
              <w:right w:val="nil"/>
            </w:tcBorders>
          </w:tcPr>
          <w:p w14:paraId="1599CC99"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459297</w:t>
            </w:r>
          </w:p>
        </w:tc>
        <w:tc>
          <w:tcPr>
            <w:tcW w:w="431" w:type="pct"/>
            <w:tcBorders>
              <w:top w:val="nil"/>
              <w:left w:val="nil"/>
              <w:bottom w:val="nil"/>
              <w:right w:val="nil"/>
            </w:tcBorders>
          </w:tcPr>
          <w:p w14:paraId="484AC407"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0</w:t>
            </w:r>
          </w:p>
        </w:tc>
        <w:tc>
          <w:tcPr>
            <w:tcW w:w="581" w:type="pct"/>
            <w:tcBorders>
              <w:top w:val="nil"/>
              <w:left w:val="nil"/>
              <w:bottom w:val="nil"/>
              <w:right w:val="nil"/>
            </w:tcBorders>
          </w:tcPr>
          <w:p w14:paraId="774F0E17"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4979810</w:t>
            </w:r>
          </w:p>
        </w:tc>
      </w:tr>
      <w:tr w:rsidR="006876D1" w:rsidRPr="00FA0384" w14:paraId="19C55586" w14:textId="77777777" w:rsidTr="006876D1">
        <w:trPr>
          <w:jc w:val="center"/>
        </w:trPr>
        <w:tc>
          <w:tcPr>
            <w:tcW w:w="1271" w:type="pct"/>
            <w:vMerge/>
            <w:tcBorders>
              <w:left w:val="nil"/>
              <w:right w:val="nil"/>
            </w:tcBorders>
          </w:tcPr>
          <w:p w14:paraId="4405A9EA" w14:textId="77777777" w:rsidR="00D326A2" w:rsidRPr="006015F2" w:rsidRDefault="00D326A2" w:rsidP="004C39A4">
            <w:pPr>
              <w:widowControl w:val="0"/>
              <w:autoSpaceDE w:val="0"/>
              <w:autoSpaceDN w:val="0"/>
              <w:adjustRightInd w:val="0"/>
              <w:spacing w:line="240" w:lineRule="auto"/>
              <w:rPr>
                <w:rFonts w:cs="Times New Roman"/>
                <w:sz w:val="20"/>
                <w:szCs w:val="20"/>
              </w:rPr>
            </w:pPr>
          </w:p>
        </w:tc>
        <w:tc>
          <w:tcPr>
            <w:tcW w:w="1657" w:type="pct"/>
            <w:tcBorders>
              <w:top w:val="nil"/>
              <w:left w:val="nil"/>
              <w:bottom w:val="nil"/>
              <w:right w:val="nil"/>
            </w:tcBorders>
          </w:tcPr>
          <w:p w14:paraId="5D6CC7E6" w14:textId="3876E395" w:rsidR="00D326A2" w:rsidRPr="00FA0384" w:rsidRDefault="00D326A2" w:rsidP="004C39A4">
            <w:pPr>
              <w:widowControl w:val="0"/>
              <w:autoSpaceDE w:val="0"/>
              <w:autoSpaceDN w:val="0"/>
              <w:adjustRightInd w:val="0"/>
              <w:spacing w:line="240" w:lineRule="auto"/>
              <w:rPr>
                <w:rFonts w:cs="Times New Roman"/>
                <w:sz w:val="20"/>
                <w:szCs w:val="20"/>
              </w:rPr>
            </w:pPr>
            <w:r w:rsidRPr="00FA0384">
              <w:rPr>
                <w:rFonts w:cs="Times New Roman"/>
                <w:sz w:val="20"/>
                <w:szCs w:val="20"/>
              </w:rPr>
              <w:t xml:space="preserve"> Number of employees</w:t>
            </w:r>
          </w:p>
        </w:tc>
        <w:tc>
          <w:tcPr>
            <w:tcW w:w="351" w:type="pct"/>
            <w:tcBorders>
              <w:top w:val="nil"/>
              <w:left w:val="nil"/>
              <w:bottom w:val="nil"/>
              <w:right w:val="nil"/>
            </w:tcBorders>
          </w:tcPr>
          <w:p w14:paraId="313DAE01"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1218</w:t>
            </w:r>
          </w:p>
        </w:tc>
        <w:tc>
          <w:tcPr>
            <w:tcW w:w="126" w:type="pct"/>
            <w:tcBorders>
              <w:top w:val="nil"/>
              <w:left w:val="nil"/>
              <w:bottom w:val="nil"/>
              <w:right w:val="nil"/>
            </w:tcBorders>
          </w:tcPr>
          <w:p w14:paraId="264921F9"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305</w:t>
            </w:r>
          </w:p>
        </w:tc>
        <w:tc>
          <w:tcPr>
            <w:tcW w:w="582" w:type="pct"/>
            <w:tcBorders>
              <w:top w:val="nil"/>
              <w:left w:val="nil"/>
              <w:bottom w:val="nil"/>
              <w:right w:val="nil"/>
            </w:tcBorders>
          </w:tcPr>
          <w:p w14:paraId="5EA91D7B"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974</w:t>
            </w:r>
          </w:p>
        </w:tc>
        <w:tc>
          <w:tcPr>
            <w:tcW w:w="431" w:type="pct"/>
            <w:tcBorders>
              <w:top w:val="nil"/>
              <w:left w:val="nil"/>
              <w:bottom w:val="nil"/>
              <w:right w:val="nil"/>
            </w:tcBorders>
          </w:tcPr>
          <w:p w14:paraId="18DCD13A"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0</w:t>
            </w:r>
          </w:p>
        </w:tc>
        <w:tc>
          <w:tcPr>
            <w:tcW w:w="581" w:type="pct"/>
            <w:tcBorders>
              <w:top w:val="nil"/>
              <w:left w:val="nil"/>
              <w:bottom w:val="nil"/>
              <w:right w:val="nil"/>
            </w:tcBorders>
          </w:tcPr>
          <w:p w14:paraId="6A5353DE"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7025</w:t>
            </w:r>
          </w:p>
        </w:tc>
      </w:tr>
      <w:tr w:rsidR="006876D1" w:rsidRPr="00FA0384" w14:paraId="5A2B0134" w14:textId="77777777" w:rsidTr="006876D1">
        <w:trPr>
          <w:jc w:val="center"/>
        </w:trPr>
        <w:tc>
          <w:tcPr>
            <w:tcW w:w="1271" w:type="pct"/>
            <w:vMerge/>
            <w:tcBorders>
              <w:left w:val="nil"/>
              <w:right w:val="nil"/>
            </w:tcBorders>
          </w:tcPr>
          <w:p w14:paraId="443D7860" w14:textId="77777777" w:rsidR="00D326A2" w:rsidRPr="006015F2" w:rsidRDefault="00D326A2" w:rsidP="004C39A4">
            <w:pPr>
              <w:widowControl w:val="0"/>
              <w:autoSpaceDE w:val="0"/>
              <w:autoSpaceDN w:val="0"/>
              <w:adjustRightInd w:val="0"/>
              <w:spacing w:line="240" w:lineRule="auto"/>
              <w:rPr>
                <w:rFonts w:cs="Times New Roman"/>
                <w:sz w:val="20"/>
                <w:szCs w:val="20"/>
              </w:rPr>
            </w:pPr>
          </w:p>
        </w:tc>
        <w:tc>
          <w:tcPr>
            <w:tcW w:w="1657" w:type="pct"/>
            <w:tcBorders>
              <w:top w:val="nil"/>
              <w:left w:val="nil"/>
              <w:bottom w:val="nil"/>
              <w:right w:val="nil"/>
            </w:tcBorders>
          </w:tcPr>
          <w:p w14:paraId="426EC268" w14:textId="2854473B" w:rsidR="00D326A2" w:rsidRPr="00FA0384" w:rsidRDefault="00D326A2" w:rsidP="004C39A4">
            <w:pPr>
              <w:widowControl w:val="0"/>
              <w:autoSpaceDE w:val="0"/>
              <w:autoSpaceDN w:val="0"/>
              <w:adjustRightInd w:val="0"/>
              <w:spacing w:line="240" w:lineRule="auto"/>
              <w:rPr>
                <w:rFonts w:cs="Times New Roman"/>
                <w:sz w:val="20"/>
                <w:szCs w:val="20"/>
              </w:rPr>
            </w:pPr>
            <w:r w:rsidRPr="00FA0384">
              <w:rPr>
                <w:rFonts w:cs="Times New Roman"/>
                <w:sz w:val="20"/>
                <w:szCs w:val="20"/>
              </w:rPr>
              <w:t xml:space="preserve"> Establishment births</w:t>
            </w:r>
          </w:p>
        </w:tc>
        <w:tc>
          <w:tcPr>
            <w:tcW w:w="351" w:type="pct"/>
            <w:tcBorders>
              <w:top w:val="nil"/>
              <w:left w:val="nil"/>
              <w:bottom w:val="nil"/>
              <w:right w:val="nil"/>
            </w:tcBorders>
          </w:tcPr>
          <w:p w14:paraId="2E24E99F"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1218</w:t>
            </w:r>
          </w:p>
        </w:tc>
        <w:tc>
          <w:tcPr>
            <w:tcW w:w="126" w:type="pct"/>
            <w:tcBorders>
              <w:top w:val="nil"/>
              <w:left w:val="nil"/>
              <w:bottom w:val="nil"/>
              <w:right w:val="nil"/>
            </w:tcBorders>
          </w:tcPr>
          <w:p w14:paraId="59234A6F"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3.82</w:t>
            </w:r>
          </w:p>
        </w:tc>
        <w:tc>
          <w:tcPr>
            <w:tcW w:w="582" w:type="pct"/>
            <w:tcBorders>
              <w:top w:val="nil"/>
              <w:left w:val="nil"/>
              <w:bottom w:val="nil"/>
              <w:right w:val="nil"/>
            </w:tcBorders>
          </w:tcPr>
          <w:p w14:paraId="39EB5DB7"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8.34</w:t>
            </w:r>
          </w:p>
        </w:tc>
        <w:tc>
          <w:tcPr>
            <w:tcW w:w="431" w:type="pct"/>
            <w:tcBorders>
              <w:top w:val="nil"/>
              <w:left w:val="nil"/>
              <w:bottom w:val="nil"/>
              <w:right w:val="nil"/>
            </w:tcBorders>
          </w:tcPr>
          <w:p w14:paraId="157703B5"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0</w:t>
            </w:r>
          </w:p>
        </w:tc>
        <w:tc>
          <w:tcPr>
            <w:tcW w:w="581" w:type="pct"/>
            <w:tcBorders>
              <w:top w:val="nil"/>
              <w:left w:val="nil"/>
              <w:bottom w:val="nil"/>
              <w:right w:val="nil"/>
            </w:tcBorders>
          </w:tcPr>
          <w:p w14:paraId="11D60282"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95</w:t>
            </w:r>
          </w:p>
        </w:tc>
      </w:tr>
      <w:tr w:rsidR="006876D1" w:rsidRPr="00FA0384" w14:paraId="0C4AB208" w14:textId="77777777" w:rsidTr="006876D1">
        <w:trPr>
          <w:jc w:val="center"/>
        </w:trPr>
        <w:tc>
          <w:tcPr>
            <w:tcW w:w="1271" w:type="pct"/>
            <w:vMerge/>
            <w:tcBorders>
              <w:left w:val="nil"/>
              <w:right w:val="nil"/>
            </w:tcBorders>
          </w:tcPr>
          <w:p w14:paraId="7EC74B84" w14:textId="77777777" w:rsidR="00D326A2" w:rsidRPr="006015F2" w:rsidRDefault="00D326A2" w:rsidP="004C39A4">
            <w:pPr>
              <w:widowControl w:val="0"/>
              <w:autoSpaceDE w:val="0"/>
              <w:autoSpaceDN w:val="0"/>
              <w:adjustRightInd w:val="0"/>
              <w:spacing w:line="240" w:lineRule="auto"/>
              <w:rPr>
                <w:rFonts w:cs="Times New Roman"/>
                <w:sz w:val="20"/>
                <w:szCs w:val="20"/>
              </w:rPr>
            </w:pPr>
          </w:p>
        </w:tc>
        <w:tc>
          <w:tcPr>
            <w:tcW w:w="1657" w:type="pct"/>
            <w:tcBorders>
              <w:top w:val="nil"/>
              <w:left w:val="nil"/>
              <w:bottom w:val="nil"/>
              <w:right w:val="nil"/>
            </w:tcBorders>
          </w:tcPr>
          <w:p w14:paraId="3EDA08C6" w14:textId="053FE1D5" w:rsidR="00D326A2" w:rsidRPr="00FA0384" w:rsidRDefault="00D326A2" w:rsidP="004C39A4">
            <w:pPr>
              <w:widowControl w:val="0"/>
              <w:autoSpaceDE w:val="0"/>
              <w:autoSpaceDN w:val="0"/>
              <w:adjustRightInd w:val="0"/>
              <w:spacing w:line="240" w:lineRule="auto"/>
              <w:rPr>
                <w:rFonts w:cs="Times New Roman"/>
                <w:sz w:val="20"/>
                <w:szCs w:val="20"/>
              </w:rPr>
            </w:pPr>
            <w:r w:rsidRPr="00FA0384">
              <w:rPr>
                <w:rFonts w:cs="Times New Roman"/>
                <w:sz w:val="20"/>
                <w:szCs w:val="20"/>
              </w:rPr>
              <w:t xml:space="preserve"> Establishment inward relocations</w:t>
            </w:r>
          </w:p>
        </w:tc>
        <w:tc>
          <w:tcPr>
            <w:tcW w:w="351" w:type="pct"/>
            <w:tcBorders>
              <w:top w:val="nil"/>
              <w:left w:val="nil"/>
              <w:bottom w:val="nil"/>
              <w:right w:val="nil"/>
            </w:tcBorders>
          </w:tcPr>
          <w:p w14:paraId="4D8F6873"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1218</w:t>
            </w:r>
          </w:p>
        </w:tc>
        <w:tc>
          <w:tcPr>
            <w:tcW w:w="126" w:type="pct"/>
            <w:tcBorders>
              <w:top w:val="nil"/>
              <w:left w:val="nil"/>
              <w:bottom w:val="nil"/>
              <w:right w:val="nil"/>
            </w:tcBorders>
          </w:tcPr>
          <w:p w14:paraId="11A6D96C"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.329</w:t>
            </w:r>
          </w:p>
        </w:tc>
        <w:tc>
          <w:tcPr>
            <w:tcW w:w="582" w:type="pct"/>
            <w:tcBorders>
              <w:top w:val="nil"/>
              <w:left w:val="nil"/>
              <w:bottom w:val="nil"/>
              <w:right w:val="nil"/>
            </w:tcBorders>
          </w:tcPr>
          <w:p w14:paraId="48EFCF50"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5.53</w:t>
            </w:r>
          </w:p>
        </w:tc>
        <w:tc>
          <w:tcPr>
            <w:tcW w:w="431" w:type="pct"/>
            <w:tcBorders>
              <w:top w:val="nil"/>
              <w:left w:val="nil"/>
              <w:bottom w:val="nil"/>
              <w:right w:val="nil"/>
            </w:tcBorders>
          </w:tcPr>
          <w:p w14:paraId="32F10A0D"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0</w:t>
            </w:r>
          </w:p>
        </w:tc>
        <w:tc>
          <w:tcPr>
            <w:tcW w:w="581" w:type="pct"/>
            <w:tcBorders>
              <w:top w:val="nil"/>
              <w:left w:val="nil"/>
              <w:bottom w:val="nil"/>
              <w:right w:val="nil"/>
            </w:tcBorders>
          </w:tcPr>
          <w:p w14:paraId="641B7454"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140</w:t>
            </w:r>
          </w:p>
        </w:tc>
      </w:tr>
      <w:tr w:rsidR="006876D1" w:rsidRPr="00FA0384" w14:paraId="2ADC5576" w14:textId="77777777" w:rsidTr="006876D1">
        <w:trPr>
          <w:jc w:val="center"/>
        </w:trPr>
        <w:tc>
          <w:tcPr>
            <w:tcW w:w="1271" w:type="pct"/>
            <w:vMerge/>
            <w:tcBorders>
              <w:left w:val="nil"/>
              <w:right w:val="nil"/>
            </w:tcBorders>
          </w:tcPr>
          <w:p w14:paraId="769B2EA8" w14:textId="77777777" w:rsidR="00D326A2" w:rsidRPr="006015F2" w:rsidRDefault="00D326A2" w:rsidP="004C39A4">
            <w:pPr>
              <w:widowControl w:val="0"/>
              <w:autoSpaceDE w:val="0"/>
              <w:autoSpaceDN w:val="0"/>
              <w:adjustRightInd w:val="0"/>
              <w:spacing w:line="240" w:lineRule="auto"/>
              <w:rPr>
                <w:rFonts w:cs="Times New Roman"/>
                <w:sz w:val="20"/>
                <w:szCs w:val="20"/>
              </w:rPr>
            </w:pPr>
          </w:p>
        </w:tc>
        <w:tc>
          <w:tcPr>
            <w:tcW w:w="1657" w:type="pct"/>
            <w:tcBorders>
              <w:top w:val="nil"/>
              <w:left w:val="nil"/>
              <w:bottom w:val="nil"/>
              <w:right w:val="nil"/>
            </w:tcBorders>
          </w:tcPr>
          <w:p w14:paraId="289C8585" w14:textId="3EA90E6D" w:rsidR="00D326A2" w:rsidRPr="00FA0384" w:rsidRDefault="00D326A2" w:rsidP="004C39A4">
            <w:pPr>
              <w:widowControl w:val="0"/>
              <w:autoSpaceDE w:val="0"/>
              <w:autoSpaceDN w:val="0"/>
              <w:adjustRightInd w:val="0"/>
              <w:spacing w:line="240" w:lineRule="auto"/>
              <w:rPr>
                <w:rFonts w:cs="Times New Roman"/>
                <w:sz w:val="20"/>
                <w:szCs w:val="20"/>
              </w:rPr>
            </w:pPr>
            <w:r w:rsidRPr="00FA0384">
              <w:rPr>
                <w:rFonts w:cs="Times New Roman"/>
                <w:sz w:val="20"/>
                <w:szCs w:val="20"/>
              </w:rPr>
              <w:t xml:space="preserve"> Establishment deaths</w:t>
            </w:r>
          </w:p>
        </w:tc>
        <w:tc>
          <w:tcPr>
            <w:tcW w:w="351" w:type="pct"/>
            <w:tcBorders>
              <w:top w:val="nil"/>
              <w:left w:val="nil"/>
              <w:bottom w:val="nil"/>
              <w:right w:val="nil"/>
            </w:tcBorders>
          </w:tcPr>
          <w:p w14:paraId="17BB0407"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1218</w:t>
            </w:r>
          </w:p>
        </w:tc>
        <w:tc>
          <w:tcPr>
            <w:tcW w:w="126" w:type="pct"/>
            <w:tcBorders>
              <w:top w:val="nil"/>
              <w:left w:val="nil"/>
              <w:bottom w:val="nil"/>
              <w:right w:val="nil"/>
            </w:tcBorders>
          </w:tcPr>
          <w:p w14:paraId="7C9649AB"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3.81</w:t>
            </w:r>
          </w:p>
        </w:tc>
        <w:tc>
          <w:tcPr>
            <w:tcW w:w="582" w:type="pct"/>
            <w:tcBorders>
              <w:top w:val="nil"/>
              <w:left w:val="nil"/>
              <w:bottom w:val="nil"/>
              <w:right w:val="nil"/>
            </w:tcBorders>
          </w:tcPr>
          <w:p w14:paraId="2C95301D"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8.01</w:t>
            </w:r>
          </w:p>
        </w:tc>
        <w:tc>
          <w:tcPr>
            <w:tcW w:w="431" w:type="pct"/>
            <w:tcBorders>
              <w:top w:val="nil"/>
              <w:left w:val="nil"/>
              <w:bottom w:val="nil"/>
              <w:right w:val="nil"/>
            </w:tcBorders>
          </w:tcPr>
          <w:p w14:paraId="7263A046"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0</w:t>
            </w:r>
          </w:p>
        </w:tc>
        <w:tc>
          <w:tcPr>
            <w:tcW w:w="581" w:type="pct"/>
            <w:tcBorders>
              <w:top w:val="nil"/>
              <w:left w:val="nil"/>
              <w:bottom w:val="nil"/>
              <w:right w:val="nil"/>
            </w:tcBorders>
          </w:tcPr>
          <w:p w14:paraId="7308922A"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67</w:t>
            </w:r>
          </w:p>
        </w:tc>
      </w:tr>
      <w:tr w:rsidR="006876D1" w:rsidRPr="00FA0384" w14:paraId="78775A63" w14:textId="77777777" w:rsidTr="006876D1">
        <w:trPr>
          <w:jc w:val="center"/>
        </w:trPr>
        <w:tc>
          <w:tcPr>
            <w:tcW w:w="1271" w:type="pct"/>
            <w:vMerge/>
            <w:tcBorders>
              <w:left w:val="nil"/>
              <w:bottom w:val="single" w:sz="6" w:space="0" w:color="auto"/>
              <w:right w:val="nil"/>
            </w:tcBorders>
          </w:tcPr>
          <w:p w14:paraId="22F40334" w14:textId="77777777" w:rsidR="00D326A2" w:rsidRPr="006015F2" w:rsidRDefault="00D326A2" w:rsidP="004C39A4">
            <w:pPr>
              <w:widowControl w:val="0"/>
              <w:autoSpaceDE w:val="0"/>
              <w:autoSpaceDN w:val="0"/>
              <w:adjustRightInd w:val="0"/>
              <w:spacing w:line="240" w:lineRule="auto"/>
              <w:rPr>
                <w:rFonts w:cs="Times New Roman"/>
                <w:sz w:val="20"/>
                <w:szCs w:val="20"/>
              </w:rPr>
            </w:pPr>
          </w:p>
        </w:tc>
        <w:tc>
          <w:tcPr>
            <w:tcW w:w="1657" w:type="pct"/>
            <w:tcBorders>
              <w:top w:val="nil"/>
              <w:left w:val="nil"/>
              <w:bottom w:val="single" w:sz="6" w:space="0" w:color="auto"/>
              <w:right w:val="nil"/>
            </w:tcBorders>
          </w:tcPr>
          <w:p w14:paraId="61C7619D" w14:textId="3A59D2AD" w:rsidR="00D326A2" w:rsidRPr="00FA0384" w:rsidRDefault="00D326A2" w:rsidP="004C39A4">
            <w:pPr>
              <w:widowControl w:val="0"/>
              <w:autoSpaceDE w:val="0"/>
              <w:autoSpaceDN w:val="0"/>
              <w:adjustRightInd w:val="0"/>
              <w:spacing w:line="240" w:lineRule="auto"/>
              <w:rPr>
                <w:rFonts w:cs="Times New Roman"/>
                <w:sz w:val="20"/>
                <w:szCs w:val="20"/>
              </w:rPr>
            </w:pPr>
            <w:r w:rsidRPr="00FA0384">
              <w:rPr>
                <w:rFonts w:cs="Times New Roman"/>
                <w:sz w:val="20"/>
                <w:szCs w:val="20"/>
              </w:rPr>
              <w:t xml:space="preserve"> Establishment outward relocation</w:t>
            </w:r>
          </w:p>
        </w:tc>
        <w:tc>
          <w:tcPr>
            <w:tcW w:w="351" w:type="pct"/>
            <w:tcBorders>
              <w:top w:val="nil"/>
              <w:left w:val="nil"/>
              <w:bottom w:val="single" w:sz="6" w:space="0" w:color="auto"/>
              <w:right w:val="nil"/>
            </w:tcBorders>
          </w:tcPr>
          <w:p w14:paraId="38F8A465"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1218</w:t>
            </w:r>
          </w:p>
        </w:tc>
        <w:tc>
          <w:tcPr>
            <w:tcW w:w="126" w:type="pct"/>
            <w:tcBorders>
              <w:top w:val="nil"/>
              <w:left w:val="nil"/>
              <w:bottom w:val="single" w:sz="6" w:space="0" w:color="auto"/>
              <w:right w:val="nil"/>
            </w:tcBorders>
          </w:tcPr>
          <w:p w14:paraId="35C780CC"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.336</w:t>
            </w:r>
          </w:p>
        </w:tc>
        <w:tc>
          <w:tcPr>
            <w:tcW w:w="582" w:type="pct"/>
            <w:tcBorders>
              <w:top w:val="nil"/>
              <w:left w:val="nil"/>
              <w:bottom w:val="single" w:sz="6" w:space="0" w:color="auto"/>
              <w:right w:val="nil"/>
            </w:tcBorders>
          </w:tcPr>
          <w:p w14:paraId="41A4DE3D"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5.56</w:t>
            </w:r>
          </w:p>
        </w:tc>
        <w:tc>
          <w:tcPr>
            <w:tcW w:w="431" w:type="pct"/>
            <w:tcBorders>
              <w:top w:val="nil"/>
              <w:left w:val="nil"/>
              <w:bottom w:val="single" w:sz="6" w:space="0" w:color="auto"/>
              <w:right w:val="nil"/>
            </w:tcBorders>
          </w:tcPr>
          <w:p w14:paraId="6CEE929D"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0</w:t>
            </w:r>
          </w:p>
        </w:tc>
        <w:tc>
          <w:tcPr>
            <w:tcW w:w="581" w:type="pct"/>
            <w:tcBorders>
              <w:top w:val="nil"/>
              <w:left w:val="nil"/>
              <w:bottom w:val="single" w:sz="6" w:space="0" w:color="auto"/>
              <w:right w:val="nil"/>
            </w:tcBorders>
          </w:tcPr>
          <w:p w14:paraId="177B83AE"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140</w:t>
            </w:r>
          </w:p>
        </w:tc>
      </w:tr>
      <w:tr w:rsidR="006876D1" w:rsidRPr="00FA0384" w14:paraId="1DCFBFED" w14:textId="77777777" w:rsidTr="006876D1">
        <w:trPr>
          <w:jc w:val="center"/>
        </w:trPr>
        <w:tc>
          <w:tcPr>
            <w:tcW w:w="1271" w:type="pct"/>
            <w:vMerge w:val="restart"/>
            <w:tcBorders>
              <w:top w:val="nil"/>
              <w:left w:val="nil"/>
              <w:right w:val="nil"/>
            </w:tcBorders>
          </w:tcPr>
          <w:p w14:paraId="21354FF8" w14:textId="238199B6" w:rsidR="00D326A2" w:rsidRPr="006015F2" w:rsidRDefault="00D326A2" w:rsidP="004C39A4">
            <w:pPr>
              <w:widowControl w:val="0"/>
              <w:autoSpaceDE w:val="0"/>
              <w:autoSpaceDN w:val="0"/>
              <w:adjustRightInd w:val="0"/>
              <w:spacing w:line="240" w:lineRule="auto"/>
              <w:rPr>
                <w:rFonts w:cs="Times New Roman"/>
                <w:sz w:val="20"/>
                <w:szCs w:val="20"/>
              </w:rPr>
            </w:pPr>
            <w:r w:rsidRPr="006015F2">
              <w:rPr>
                <w:rFonts w:cs="Times New Roman"/>
                <w:sz w:val="20"/>
                <w:szCs w:val="20"/>
              </w:rPr>
              <w:t>22 - Utilities</w:t>
            </w:r>
          </w:p>
        </w:tc>
        <w:tc>
          <w:tcPr>
            <w:tcW w:w="1657" w:type="pct"/>
            <w:tcBorders>
              <w:top w:val="nil"/>
              <w:left w:val="nil"/>
              <w:bottom w:val="nil"/>
              <w:right w:val="nil"/>
            </w:tcBorders>
          </w:tcPr>
          <w:p w14:paraId="6DEDD905" w14:textId="6162AA8A" w:rsidR="00D326A2" w:rsidRPr="00FA0384" w:rsidRDefault="00D326A2" w:rsidP="004C39A4">
            <w:pPr>
              <w:widowControl w:val="0"/>
              <w:autoSpaceDE w:val="0"/>
              <w:autoSpaceDN w:val="0"/>
              <w:adjustRightInd w:val="0"/>
              <w:spacing w:line="240" w:lineRule="auto"/>
              <w:rPr>
                <w:rFonts w:cs="Times New Roman"/>
                <w:sz w:val="20"/>
                <w:szCs w:val="20"/>
              </w:rPr>
            </w:pPr>
            <w:r w:rsidRPr="00FA0384">
              <w:rPr>
                <w:rFonts w:cs="Times New Roman"/>
                <w:sz w:val="20"/>
                <w:szCs w:val="20"/>
              </w:rPr>
              <w:t xml:space="preserve"> Sales Volume</w:t>
            </w:r>
          </w:p>
        </w:tc>
        <w:tc>
          <w:tcPr>
            <w:tcW w:w="351" w:type="pct"/>
            <w:tcBorders>
              <w:top w:val="nil"/>
              <w:left w:val="nil"/>
              <w:bottom w:val="nil"/>
              <w:right w:val="nil"/>
            </w:tcBorders>
          </w:tcPr>
          <w:p w14:paraId="58AB86DB"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1208</w:t>
            </w:r>
          </w:p>
        </w:tc>
        <w:tc>
          <w:tcPr>
            <w:tcW w:w="126" w:type="pct"/>
            <w:tcBorders>
              <w:top w:val="nil"/>
              <w:left w:val="nil"/>
              <w:bottom w:val="nil"/>
              <w:right w:val="nil"/>
            </w:tcBorders>
          </w:tcPr>
          <w:p w14:paraId="47616B15"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bookmarkStart w:id="444" w:name="_Hlk187316998"/>
            <w:r w:rsidRPr="00FA0384">
              <w:rPr>
                <w:rFonts w:cs="Times New Roman"/>
                <w:sz w:val="20"/>
                <w:szCs w:val="20"/>
              </w:rPr>
              <w:t>340319</w:t>
            </w:r>
            <w:bookmarkEnd w:id="444"/>
          </w:p>
        </w:tc>
        <w:tc>
          <w:tcPr>
            <w:tcW w:w="582" w:type="pct"/>
            <w:tcBorders>
              <w:top w:val="nil"/>
              <w:left w:val="nil"/>
              <w:bottom w:val="nil"/>
              <w:right w:val="nil"/>
            </w:tcBorders>
          </w:tcPr>
          <w:p w14:paraId="7F55D134"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730293</w:t>
            </w:r>
          </w:p>
        </w:tc>
        <w:tc>
          <w:tcPr>
            <w:tcW w:w="431" w:type="pct"/>
            <w:tcBorders>
              <w:top w:val="nil"/>
              <w:left w:val="nil"/>
              <w:bottom w:val="nil"/>
              <w:right w:val="nil"/>
            </w:tcBorders>
          </w:tcPr>
          <w:p w14:paraId="1A47AA29"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0</w:t>
            </w:r>
          </w:p>
        </w:tc>
        <w:tc>
          <w:tcPr>
            <w:tcW w:w="581" w:type="pct"/>
            <w:tcBorders>
              <w:top w:val="nil"/>
              <w:left w:val="nil"/>
              <w:bottom w:val="nil"/>
              <w:right w:val="nil"/>
            </w:tcBorders>
          </w:tcPr>
          <w:p w14:paraId="4A579A85"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9280034</w:t>
            </w:r>
          </w:p>
        </w:tc>
      </w:tr>
      <w:tr w:rsidR="006876D1" w:rsidRPr="00FA0384" w14:paraId="7B295A3A" w14:textId="77777777" w:rsidTr="006876D1">
        <w:trPr>
          <w:jc w:val="center"/>
        </w:trPr>
        <w:tc>
          <w:tcPr>
            <w:tcW w:w="1271" w:type="pct"/>
            <w:vMerge/>
            <w:tcBorders>
              <w:left w:val="nil"/>
              <w:right w:val="nil"/>
            </w:tcBorders>
          </w:tcPr>
          <w:p w14:paraId="44108DA2" w14:textId="77777777" w:rsidR="00D326A2" w:rsidRPr="006015F2" w:rsidRDefault="00D326A2" w:rsidP="004C39A4">
            <w:pPr>
              <w:widowControl w:val="0"/>
              <w:autoSpaceDE w:val="0"/>
              <w:autoSpaceDN w:val="0"/>
              <w:adjustRightInd w:val="0"/>
              <w:spacing w:line="240" w:lineRule="auto"/>
              <w:rPr>
                <w:rFonts w:cs="Times New Roman"/>
                <w:sz w:val="20"/>
                <w:szCs w:val="20"/>
              </w:rPr>
            </w:pPr>
          </w:p>
        </w:tc>
        <w:tc>
          <w:tcPr>
            <w:tcW w:w="1657" w:type="pct"/>
            <w:tcBorders>
              <w:top w:val="nil"/>
              <w:left w:val="nil"/>
              <w:bottom w:val="nil"/>
              <w:right w:val="nil"/>
            </w:tcBorders>
          </w:tcPr>
          <w:p w14:paraId="4602B83F" w14:textId="15499CC9" w:rsidR="00D326A2" w:rsidRPr="00FA0384" w:rsidRDefault="00D326A2" w:rsidP="004C39A4">
            <w:pPr>
              <w:widowControl w:val="0"/>
              <w:autoSpaceDE w:val="0"/>
              <w:autoSpaceDN w:val="0"/>
              <w:adjustRightInd w:val="0"/>
              <w:spacing w:line="240" w:lineRule="auto"/>
              <w:rPr>
                <w:rFonts w:cs="Times New Roman"/>
                <w:sz w:val="20"/>
                <w:szCs w:val="20"/>
              </w:rPr>
            </w:pPr>
            <w:r w:rsidRPr="00FA0384">
              <w:rPr>
                <w:rFonts w:cs="Times New Roman"/>
                <w:sz w:val="20"/>
                <w:szCs w:val="20"/>
              </w:rPr>
              <w:t xml:space="preserve"> Number of employees</w:t>
            </w:r>
          </w:p>
        </w:tc>
        <w:tc>
          <w:tcPr>
            <w:tcW w:w="351" w:type="pct"/>
            <w:tcBorders>
              <w:top w:val="nil"/>
              <w:left w:val="nil"/>
              <w:bottom w:val="nil"/>
              <w:right w:val="nil"/>
            </w:tcBorders>
          </w:tcPr>
          <w:p w14:paraId="716317DC"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1208</w:t>
            </w:r>
          </w:p>
        </w:tc>
        <w:tc>
          <w:tcPr>
            <w:tcW w:w="126" w:type="pct"/>
            <w:tcBorders>
              <w:top w:val="nil"/>
              <w:left w:val="nil"/>
              <w:bottom w:val="nil"/>
              <w:right w:val="nil"/>
            </w:tcBorders>
          </w:tcPr>
          <w:p w14:paraId="01973E00"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813</w:t>
            </w:r>
          </w:p>
        </w:tc>
        <w:tc>
          <w:tcPr>
            <w:tcW w:w="582" w:type="pct"/>
            <w:tcBorders>
              <w:top w:val="nil"/>
              <w:left w:val="nil"/>
              <w:bottom w:val="nil"/>
              <w:right w:val="nil"/>
            </w:tcBorders>
          </w:tcPr>
          <w:p w14:paraId="223228D8"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1557</w:t>
            </w:r>
          </w:p>
        </w:tc>
        <w:tc>
          <w:tcPr>
            <w:tcW w:w="431" w:type="pct"/>
            <w:tcBorders>
              <w:top w:val="nil"/>
              <w:left w:val="nil"/>
              <w:bottom w:val="nil"/>
              <w:right w:val="nil"/>
            </w:tcBorders>
          </w:tcPr>
          <w:p w14:paraId="7955ABB3"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2</w:t>
            </w:r>
          </w:p>
        </w:tc>
        <w:tc>
          <w:tcPr>
            <w:tcW w:w="581" w:type="pct"/>
            <w:tcBorders>
              <w:top w:val="nil"/>
              <w:left w:val="nil"/>
              <w:bottom w:val="nil"/>
              <w:right w:val="nil"/>
            </w:tcBorders>
          </w:tcPr>
          <w:p w14:paraId="66A8F76F"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14619</w:t>
            </w:r>
          </w:p>
        </w:tc>
      </w:tr>
      <w:tr w:rsidR="006876D1" w:rsidRPr="00FA0384" w14:paraId="4B6D270C" w14:textId="77777777" w:rsidTr="006876D1">
        <w:trPr>
          <w:jc w:val="center"/>
        </w:trPr>
        <w:tc>
          <w:tcPr>
            <w:tcW w:w="1271" w:type="pct"/>
            <w:vMerge/>
            <w:tcBorders>
              <w:left w:val="nil"/>
              <w:right w:val="nil"/>
            </w:tcBorders>
          </w:tcPr>
          <w:p w14:paraId="537C2F80" w14:textId="77777777" w:rsidR="00D326A2" w:rsidRPr="006015F2" w:rsidRDefault="00D326A2" w:rsidP="004C39A4">
            <w:pPr>
              <w:widowControl w:val="0"/>
              <w:autoSpaceDE w:val="0"/>
              <w:autoSpaceDN w:val="0"/>
              <w:adjustRightInd w:val="0"/>
              <w:spacing w:line="240" w:lineRule="auto"/>
              <w:rPr>
                <w:rFonts w:cs="Times New Roman"/>
                <w:sz w:val="20"/>
                <w:szCs w:val="20"/>
              </w:rPr>
            </w:pPr>
          </w:p>
        </w:tc>
        <w:tc>
          <w:tcPr>
            <w:tcW w:w="1657" w:type="pct"/>
            <w:tcBorders>
              <w:top w:val="nil"/>
              <w:left w:val="nil"/>
              <w:bottom w:val="nil"/>
              <w:right w:val="nil"/>
            </w:tcBorders>
          </w:tcPr>
          <w:p w14:paraId="7C775B67" w14:textId="4A1645AF" w:rsidR="00D326A2" w:rsidRPr="00FA0384" w:rsidRDefault="00D326A2" w:rsidP="004C39A4">
            <w:pPr>
              <w:widowControl w:val="0"/>
              <w:autoSpaceDE w:val="0"/>
              <w:autoSpaceDN w:val="0"/>
              <w:adjustRightInd w:val="0"/>
              <w:spacing w:line="240" w:lineRule="auto"/>
              <w:rPr>
                <w:rFonts w:cs="Times New Roman"/>
                <w:sz w:val="20"/>
                <w:szCs w:val="20"/>
              </w:rPr>
            </w:pPr>
            <w:r w:rsidRPr="00FA0384">
              <w:rPr>
                <w:rFonts w:cs="Times New Roman"/>
                <w:sz w:val="20"/>
                <w:szCs w:val="20"/>
              </w:rPr>
              <w:t xml:space="preserve"> Establishment births</w:t>
            </w:r>
          </w:p>
        </w:tc>
        <w:tc>
          <w:tcPr>
            <w:tcW w:w="351" w:type="pct"/>
            <w:tcBorders>
              <w:top w:val="nil"/>
              <w:left w:val="nil"/>
              <w:bottom w:val="nil"/>
              <w:right w:val="nil"/>
            </w:tcBorders>
          </w:tcPr>
          <w:p w14:paraId="09FA73D6"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1208</w:t>
            </w:r>
          </w:p>
        </w:tc>
        <w:tc>
          <w:tcPr>
            <w:tcW w:w="126" w:type="pct"/>
            <w:tcBorders>
              <w:top w:val="nil"/>
              <w:left w:val="nil"/>
              <w:bottom w:val="nil"/>
              <w:right w:val="nil"/>
            </w:tcBorders>
          </w:tcPr>
          <w:p w14:paraId="683A7E21"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4.72</w:t>
            </w:r>
          </w:p>
        </w:tc>
        <w:tc>
          <w:tcPr>
            <w:tcW w:w="582" w:type="pct"/>
            <w:tcBorders>
              <w:top w:val="nil"/>
              <w:left w:val="nil"/>
              <w:bottom w:val="nil"/>
              <w:right w:val="nil"/>
            </w:tcBorders>
          </w:tcPr>
          <w:p w14:paraId="2705AA55"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8.43</w:t>
            </w:r>
          </w:p>
        </w:tc>
        <w:tc>
          <w:tcPr>
            <w:tcW w:w="431" w:type="pct"/>
            <w:tcBorders>
              <w:top w:val="nil"/>
              <w:left w:val="nil"/>
              <w:bottom w:val="nil"/>
              <w:right w:val="nil"/>
            </w:tcBorders>
          </w:tcPr>
          <w:p w14:paraId="1F643966"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0</w:t>
            </w:r>
          </w:p>
        </w:tc>
        <w:tc>
          <w:tcPr>
            <w:tcW w:w="581" w:type="pct"/>
            <w:tcBorders>
              <w:top w:val="nil"/>
              <w:left w:val="nil"/>
              <w:bottom w:val="nil"/>
              <w:right w:val="nil"/>
            </w:tcBorders>
          </w:tcPr>
          <w:p w14:paraId="62FAD292"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85</w:t>
            </w:r>
          </w:p>
        </w:tc>
      </w:tr>
      <w:tr w:rsidR="006876D1" w:rsidRPr="00FA0384" w14:paraId="207124DA" w14:textId="77777777" w:rsidTr="006876D1">
        <w:trPr>
          <w:jc w:val="center"/>
        </w:trPr>
        <w:tc>
          <w:tcPr>
            <w:tcW w:w="1271" w:type="pct"/>
            <w:vMerge/>
            <w:tcBorders>
              <w:left w:val="nil"/>
              <w:right w:val="nil"/>
            </w:tcBorders>
          </w:tcPr>
          <w:p w14:paraId="06FA9DEC" w14:textId="77777777" w:rsidR="00D326A2" w:rsidRPr="006015F2" w:rsidRDefault="00D326A2" w:rsidP="004C39A4">
            <w:pPr>
              <w:widowControl w:val="0"/>
              <w:autoSpaceDE w:val="0"/>
              <w:autoSpaceDN w:val="0"/>
              <w:adjustRightInd w:val="0"/>
              <w:spacing w:line="240" w:lineRule="auto"/>
              <w:rPr>
                <w:rFonts w:cs="Times New Roman"/>
                <w:sz w:val="20"/>
                <w:szCs w:val="20"/>
              </w:rPr>
            </w:pPr>
          </w:p>
        </w:tc>
        <w:tc>
          <w:tcPr>
            <w:tcW w:w="1657" w:type="pct"/>
            <w:tcBorders>
              <w:top w:val="nil"/>
              <w:left w:val="nil"/>
              <w:bottom w:val="nil"/>
              <w:right w:val="nil"/>
            </w:tcBorders>
          </w:tcPr>
          <w:p w14:paraId="357FC270" w14:textId="5E37350A" w:rsidR="00D326A2" w:rsidRPr="00FA0384" w:rsidRDefault="00D326A2" w:rsidP="004C39A4">
            <w:pPr>
              <w:widowControl w:val="0"/>
              <w:autoSpaceDE w:val="0"/>
              <w:autoSpaceDN w:val="0"/>
              <w:adjustRightInd w:val="0"/>
              <w:spacing w:line="240" w:lineRule="auto"/>
              <w:rPr>
                <w:rFonts w:cs="Times New Roman"/>
                <w:sz w:val="20"/>
                <w:szCs w:val="20"/>
              </w:rPr>
            </w:pPr>
            <w:r w:rsidRPr="00FA0384">
              <w:rPr>
                <w:rFonts w:cs="Times New Roman"/>
                <w:sz w:val="20"/>
                <w:szCs w:val="20"/>
              </w:rPr>
              <w:t xml:space="preserve"> Establishment inward relocations</w:t>
            </w:r>
          </w:p>
        </w:tc>
        <w:tc>
          <w:tcPr>
            <w:tcW w:w="351" w:type="pct"/>
            <w:tcBorders>
              <w:top w:val="nil"/>
              <w:left w:val="nil"/>
              <w:bottom w:val="nil"/>
              <w:right w:val="nil"/>
            </w:tcBorders>
          </w:tcPr>
          <w:p w14:paraId="01531CAE"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1208</w:t>
            </w:r>
          </w:p>
        </w:tc>
        <w:tc>
          <w:tcPr>
            <w:tcW w:w="126" w:type="pct"/>
            <w:tcBorders>
              <w:top w:val="nil"/>
              <w:left w:val="nil"/>
              <w:bottom w:val="nil"/>
              <w:right w:val="nil"/>
            </w:tcBorders>
          </w:tcPr>
          <w:p w14:paraId="6C7FF874"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.136</w:t>
            </w:r>
          </w:p>
        </w:tc>
        <w:tc>
          <w:tcPr>
            <w:tcW w:w="582" w:type="pct"/>
            <w:tcBorders>
              <w:top w:val="nil"/>
              <w:left w:val="nil"/>
              <w:bottom w:val="nil"/>
              <w:right w:val="nil"/>
            </w:tcBorders>
          </w:tcPr>
          <w:p w14:paraId="046B71A8"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1.10</w:t>
            </w:r>
          </w:p>
        </w:tc>
        <w:tc>
          <w:tcPr>
            <w:tcW w:w="431" w:type="pct"/>
            <w:tcBorders>
              <w:top w:val="nil"/>
              <w:left w:val="nil"/>
              <w:bottom w:val="nil"/>
              <w:right w:val="nil"/>
            </w:tcBorders>
          </w:tcPr>
          <w:p w14:paraId="28F3EE42"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0</w:t>
            </w:r>
          </w:p>
        </w:tc>
        <w:tc>
          <w:tcPr>
            <w:tcW w:w="581" w:type="pct"/>
            <w:tcBorders>
              <w:top w:val="nil"/>
              <w:left w:val="nil"/>
              <w:bottom w:val="nil"/>
              <w:right w:val="nil"/>
            </w:tcBorders>
          </w:tcPr>
          <w:p w14:paraId="3108249B"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26</w:t>
            </w:r>
          </w:p>
        </w:tc>
      </w:tr>
      <w:tr w:rsidR="006876D1" w:rsidRPr="00FA0384" w14:paraId="30EA79FC" w14:textId="77777777" w:rsidTr="006876D1">
        <w:trPr>
          <w:jc w:val="center"/>
        </w:trPr>
        <w:tc>
          <w:tcPr>
            <w:tcW w:w="1271" w:type="pct"/>
            <w:vMerge/>
            <w:tcBorders>
              <w:left w:val="nil"/>
              <w:right w:val="nil"/>
            </w:tcBorders>
          </w:tcPr>
          <w:p w14:paraId="429131D9" w14:textId="77777777" w:rsidR="00D326A2" w:rsidRPr="006015F2" w:rsidRDefault="00D326A2" w:rsidP="004C39A4">
            <w:pPr>
              <w:widowControl w:val="0"/>
              <w:autoSpaceDE w:val="0"/>
              <w:autoSpaceDN w:val="0"/>
              <w:adjustRightInd w:val="0"/>
              <w:spacing w:line="240" w:lineRule="auto"/>
              <w:rPr>
                <w:rFonts w:cs="Times New Roman"/>
                <w:sz w:val="20"/>
                <w:szCs w:val="20"/>
              </w:rPr>
            </w:pPr>
          </w:p>
        </w:tc>
        <w:tc>
          <w:tcPr>
            <w:tcW w:w="1657" w:type="pct"/>
            <w:tcBorders>
              <w:top w:val="nil"/>
              <w:left w:val="nil"/>
              <w:bottom w:val="nil"/>
              <w:right w:val="nil"/>
            </w:tcBorders>
          </w:tcPr>
          <w:p w14:paraId="2F9F912B" w14:textId="57891FAE" w:rsidR="00D326A2" w:rsidRPr="00FA0384" w:rsidRDefault="00D326A2" w:rsidP="004C39A4">
            <w:pPr>
              <w:widowControl w:val="0"/>
              <w:autoSpaceDE w:val="0"/>
              <w:autoSpaceDN w:val="0"/>
              <w:adjustRightInd w:val="0"/>
              <w:spacing w:line="240" w:lineRule="auto"/>
              <w:rPr>
                <w:rFonts w:cs="Times New Roman"/>
                <w:sz w:val="20"/>
                <w:szCs w:val="20"/>
              </w:rPr>
            </w:pPr>
            <w:r w:rsidRPr="00FA0384">
              <w:rPr>
                <w:rFonts w:cs="Times New Roman"/>
                <w:sz w:val="20"/>
                <w:szCs w:val="20"/>
              </w:rPr>
              <w:t xml:space="preserve"> Establishment deaths</w:t>
            </w:r>
          </w:p>
        </w:tc>
        <w:tc>
          <w:tcPr>
            <w:tcW w:w="351" w:type="pct"/>
            <w:tcBorders>
              <w:top w:val="nil"/>
              <w:left w:val="nil"/>
              <w:bottom w:val="nil"/>
              <w:right w:val="nil"/>
            </w:tcBorders>
          </w:tcPr>
          <w:p w14:paraId="1790ED86"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1207</w:t>
            </w:r>
          </w:p>
        </w:tc>
        <w:tc>
          <w:tcPr>
            <w:tcW w:w="126" w:type="pct"/>
            <w:tcBorders>
              <w:top w:val="nil"/>
              <w:left w:val="nil"/>
              <w:bottom w:val="nil"/>
              <w:right w:val="nil"/>
            </w:tcBorders>
          </w:tcPr>
          <w:p w14:paraId="2DF4EB6C"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4.14</w:t>
            </w:r>
          </w:p>
        </w:tc>
        <w:tc>
          <w:tcPr>
            <w:tcW w:w="582" w:type="pct"/>
            <w:tcBorders>
              <w:top w:val="nil"/>
              <w:left w:val="nil"/>
              <w:bottom w:val="nil"/>
              <w:right w:val="nil"/>
            </w:tcBorders>
          </w:tcPr>
          <w:p w14:paraId="27F85B7D"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7.43</w:t>
            </w:r>
          </w:p>
        </w:tc>
        <w:tc>
          <w:tcPr>
            <w:tcW w:w="431" w:type="pct"/>
            <w:tcBorders>
              <w:top w:val="nil"/>
              <w:left w:val="nil"/>
              <w:bottom w:val="nil"/>
              <w:right w:val="nil"/>
            </w:tcBorders>
          </w:tcPr>
          <w:p w14:paraId="7DDA884C"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0</w:t>
            </w:r>
          </w:p>
        </w:tc>
        <w:tc>
          <w:tcPr>
            <w:tcW w:w="581" w:type="pct"/>
            <w:tcBorders>
              <w:top w:val="nil"/>
              <w:left w:val="nil"/>
              <w:bottom w:val="nil"/>
              <w:right w:val="nil"/>
            </w:tcBorders>
          </w:tcPr>
          <w:p w14:paraId="43ABCD29"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90</w:t>
            </w:r>
          </w:p>
        </w:tc>
      </w:tr>
      <w:tr w:rsidR="006876D1" w:rsidRPr="00FA0384" w14:paraId="7DF54798" w14:textId="77777777" w:rsidTr="006876D1">
        <w:trPr>
          <w:jc w:val="center"/>
        </w:trPr>
        <w:tc>
          <w:tcPr>
            <w:tcW w:w="1271" w:type="pct"/>
            <w:vMerge/>
            <w:tcBorders>
              <w:left w:val="nil"/>
              <w:bottom w:val="single" w:sz="6" w:space="0" w:color="auto"/>
              <w:right w:val="nil"/>
            </w:tcBorders>
          </w:tcPr>
          <w:p w14:paraId="3B99CD75" w14:textId="77777777" w:rsidR="00D326A2" w:rsidRPr="006015F2" w:rsidRDefault="00D326A2" w:rsidP="004C39A4">
            <w:pPr>
              <w:widowControl w:val="0"/>
              <w:autoSpaceDE w:val="0"/>
              <w:autoSpaceDN w:val="0"/>
              <w:adjustRightInd w:val="0"/>
              <w:spacing w:line="240" w:lineRule="auto"/>
              <w:rPr>
                <w:rFonts w:cs="Times New Roman"/>
                <w:sz w:val="20"/>
                <w:szCs w:val="20"/>
              </w:rPr>
            </w:pPr>
          </w:p>
        </w:tc>
        <w:tc>
          <w:tcPr>
            <w:tcW w:w="1657" w:type="pct"/>
            <w:tcBorders>
              <w:top w:val="nil"/>
              <w:left w:val="nil"/>
              <w:bottom w:val="single" w:sz="6" w:space="0" w:color="auto"/>
              <w:right w:val="nil"/>
            </w:tcBorders>
          </w:tcPr>
          <w:p w14:paraId="2E567517" w14:textId="5732314A" w:rsidR="00D326A2" w:rsidRPr="00FA0384" w:rsidRDefault="00D326A2" w:rsidP="004C39A4">
            <w:pPr>
              <w:widowControl w:val="0"/>
              <w:autoSpaceDE w:val="0"/>
              <w:autoSpaceDN w:val="0"/>
              <w:adjustRightInd w:val="0"/>
              <w:spacing w:line="240" w:lineRule="auto"/>
              <w:rPr>
                <w:rFonts w:cs="Times New Roman"/>
                <w:sz w:val="20"/>
                <w:szCs w:val="20"/>
              </w:rPr>
            </w:pPr>
            <w:r w:rsidRPr="00FA0384">
              <w:rPr>
                <w:rFonts w:cs="Times New Roman"/>
                <w:sz w:val="20"/>
                <w:szCs w:val="20"/>
              </w:rPr>
              <w:t xml:space="preserve"> Establishment outward relocation</w:t>
            </w:r>
          </w:p>
        </w:tc>
        <w:tc>
          <w:tcPr>
            <w:tcW w:w="351" w:type="pct"/>
            <w:tcBorders>
              <w:top w:val="nil"/>
              <w:left w:val="nil"/>
              <w:bottom w:val="single" w:sz="6" w:space="0" w:color="auto"/>
              <w:right w:val="nil"/>
            </w:tcBorders>
          </w:tcPr>
          <w:p w14:paraId="45D6C434"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1207</w:t>
            </w:r>
          </w:p>
        </w:tc>
        <w:tc>
          <w:tcPr>
            <w:tcW w:w="126" w:type="pct"/>
            <w:tcBorders>
              <w:top w:val="nil"/>
              <w:left w:val="nil"/>
              <w:bottom w:val="single" w:sz="6" w:space="0" w:color="auto"/>
              <w:right w:val="nil"/>
            </w:tcBorders>
          </w:tcPr>
          <w:p w14:paraId="5B31D85B"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.138</w:t>
            </w:r>
          </w:p>
        </w:tc>
        <w:tc>
          <w:tcPr>
            <w:tcW w:w="582" w:type="pct"/>
            <w:tcBorders>
              <w:top w:val="nil"/>
              <w:left w:val="nil"/>
              <w:bottom w:val="single" w:sz="6" w:space="0" w:color="auto"/>
              <w:right w:val="nil"/>
            </w:tcBorders>
          </w:tcPr>
          <w:p w14:paraId="2245F041"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1.18</w:t>
            </w:r>
          </w:p>
        </w:tc>
        <w:tc>
          <w:tcPr>
            <w:tcW w:w="431" w:type="pct"/>
            <w:tcBorders>
              <w:top w:val="nil"/>
              <w:left w:val="nil"/>
              <w:bottom w:val="single" w:sz="6" w:space="0" w:color="auto"/>
              <w:right w:val="nil"/>
            </w:tcBorders>
          </w:tcPr>
          <w:p w14:paraId="701EB53E"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0</w:t>
            </w:r>
          </w:p>
        </w:tc>
        <w:tc>
          <w:tcPr>
            <w:tcW w:w="581" w:type="pct"/>
            <w:tcBorders>
              <w:top w:val="nil"/>
              <w:left w:val="nil"/>
              <w:bottom w:val="single" w:sz="6" w:space="0" w:color="auto"/>
              <w:right w:val="nil"/>
            </w:tcBorders>
          </w:tcPr>
          <w:p w14:paraId="651BFE3D"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32</w:t>
            </w:r>
          </w:p>
        </w:tc>
      </w:tr>
      <w:tr w:rsidR="006876D1" w:rsidRPr="00FA0384" w14:paraId="423F1F07" w14:textId="77777777" w:rsidTr="006876D1">
        <w:trPr>
          <w:jc w:val="center"/>
        </w:trPr>
        <w:tc>
          <w:tcPr>
            <w:tcW w:w="1271" w:type="pct"/>
            <w:vMerge w:val="restart"/>
            <w:tcBorders>
              <w:top w:val="nil"/>
              <w:left w:val="nil"/>
              <w:right w:val="nil"/>
            </w:tcBorders>
          </w:tcPr>
          <w:p w14:paraId="7FBE4D38" w14:textId="68B08EAF" w:rsidR="00D326A2" w:rsidRPr="006015F2" w:rsidRDefault="00D326A2" w:rsidP="004C39A4">
            <w:pPr>
              <w:widowControl w:val="0"/>
              <w:autoSpaceDE w:val="0"/>
              <w:autoSpaceDN w:val="0"/>
              <w:adjustRightInd w:val="0"/>
              <w:spacing w:line="240" w:lineRule="auto"/>
              <w:rPr>
                <w:rFonts w:cs="Times New Roman"/>
                <w:sz w:val="20"/>
                <w:szCs w:val="20"/>
              </w:rPr>
            </w:pPr>
            <w:r w:rsidRPr="006015F2">
              <w:rPr>
                <w:rFonts w:cs="Times New Roman"/>
                <w:sz w:val="20"/>
                <w:szCs w:val="20"/>
              </w:rPr>
              <w:t>23 - Construction</w:t>
            </w:r>
          </w:p>
        </w:tc>
        <w:tc>
          <w:tcPr>
            <w:tcW w:w="1657" w:type="pct"/>
            <w:tcBorders>
              <w:top w:val="nil"/>
              <w:left w:val="nil"/>
              <w:bottom w:val="nil"/>
              <w:right w:val="nil"/>
            </w:tcBorders>
          </w:tcPr>
          <w:p w14:paraId="37CECBC7" w14:textId="5C7B42CB" w:rsidR="00D326A2" w:rsidRPr="00FA0384" w:rsidRDefault="00D326A2" w:rsidP="004C39A4">
            <w:pPr>
              <w:widowControl w:val="0"/>
              <w:autoSpaceDE w:val="0"/>
              <w:autoSpaceDN w:val="0"/>
              <w:adjustRightInd w:val="0"/>
              <w:spacing w:line="240" w:lineRule="auto"/>
              <w:rPr>
                <w:rFonts w:cs="Times New Roman"/>
                <w:sz w:val="20"/>
                <w:szCs w:val="20"/>
              </w:rPr>
            </w:pPr>
            <w:r w:rsidRPr="00FA0384">
              <w:rPr>
                <w:rFonts w:cs="Times New Roman"/>
                <w:sz w:val="20"/>
                <w:szCs w:val="20"/>
              </w:rPr>
              <w:t xml:space="preserve"> Sales Volume</w:t>
            </w:r>
          </w:p>
        </w:tc>
        <w:tc>
          <w:tcPr>
            <w:tcW w:w="351" w:type="pct"/>
            <w:tcBorders>
              <w:top w:val="nil"/>
              <w:left w:val="nil"/>
              <w:bottom w:val="nil"/>
              <w:right w:val="nil"/>
            </w:tcBorders>
          </w:tcPr>
          <w:p w14:paraId="136C5914"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1218</w:t>
            </w:r>
          </w:p>
        </w:tc>
        <w:tc>
          <w:tcPr>
            <w:tcW w:w="126" w:type="pct"/>
            <w:tcBorders>
              <w:top w:val="nil"/>
              <w:left w:val="nil"/>
              <w:bottom w:val="nil"/>
              <w:right w:val="nil"/>
            </w:tcBorders>
          </w:tcPr>
          <w:p w14:paraId="3EA20831"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bookmarkStart w:id="445" w:name="_Hlk187317056"/>
            <w:r w:rsidRPr="00FA0384">
              <w:rPr>
                <w:rFonts w:cs="Times New Roman"/>
                <w:sz w:val="20"/>
                <w:szCs w:val="20"/>
              </w:rPr>
              <w:t>2596628</w:t>
            </w:r>
            <w:bookmarkEnd w:id="445"/>
          </w:p>
        </w:tc>
        <w:tc>
          <w:tcPr>
            <w:tcW w:w="582" w:type="pct"/>
            <w:tcBorders>
              <w:top w:val="nil"/>
              <w:left w:val="nil"/>
              <w:bottom w:val="nil"/>
              <w:right w:val="nil"/>
            </w:tcBorders>
          </w:tcPr>
          <w:p w14:paraId="692114EB"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5646244</w:t>
            </w:r>
          </w:p>
        </w:tc>
        <w:tc>
          <w:tcPr>
            <w:tcW w:w="431" w:type="pct"/>
            <w:tcBorders>
              <w:top w:val="nil"/>
              <w:left w:val="nil"/>
              <w:bottom w:val="nil"/>
              <w:right w:val="nil"/>
            </w:tcBorders>
          </w:tcPr>
          <w:p w14:paraId="352C6266"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0</w:t>
            </w:r>
          </w:p>
        </w:tc>
        <w:tc>
          <w:tcPr>
            <w:tcW w:w="581" w:type="pct"/>
            <w:tcBorders>
              <w:top w:val="nil"/>
              <w:left w:val="nil"/>
              <w:bottom w:val="nil"/>
              <w:right w:val="nil"/>
            </w:tcBorders>
          </w:tcPr>
          <w:p w14:paraId="02C7B388"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51644632</w:t>
            </w:r>
          </w:p>
        </w:tc>
      </w:tr>
      <w:tr w:rsidR="006876D1" w:rsidRPr="00FA0384" w14:paraId="08ECCFFF" w14:textId="77777777" w:rsidTr="006876D1">
        <w:trPr>
          <w:jc w:val="center"/>
        </w:trPr>
        <w:tc>
          <w:tcPr>
            <w:tcW w:w="1271" w:type="pct"/>
            <w:vMerge/>
            <w:tcBorders>
              <w:left w:val="nil"/>
              <w:right w:val="nil"/>
            </w:tcBorders>
          </w:tcPr>
          <w:p w14:paraId="5C1F7FBF" w14:textId="77777777" w:rsidR="00D326A2" w:rsidRPr="006015F2" w:rsidRDefault="00D326A2" w:rsidP="004C39A4">
            <w:pPr>
              <w:widowControl w:val="0"/>
              <w:autoSpaceDE w:val="0"/>
              <w:autoSpaceDN w:val="0"/>
              <w:adjustRightInd w:val="0"/>
              <w:spacing w:line="240" w:lineRule="auto"/>
              <w:rPr>
                <w:rFonts w:cs="Times New Roman"/>
                <w:sz w:val="20"/>
                <w:szCs w:val="20"/>
              </w:rPr>
            </w:pPr>
          </w:p>
        </w:tc>
        <w:tc>
          <w:tcPr>
            <w:tcW w:w="1657" w:type="pct"/>
            <w:tcBorders>
              <w:top w:val="nil"/>
              <w:left w:val="nil"/>
              <w:bottom w:val="nil"/>
              <w:right w:val="nil"/>
            </w:tcBorders>
          </w:tcPr>
          <w:p w14:paraId="0A963959" w14:textId="42A557A0" w:rsidR="00D326A2" w:rsidRPr="00FA0384" w:rsidRDefault="00D326A2" w:rsidP="004C39A4">
            <w:pPr>
              <w:widowControl w:val="0"/>
              <w:autoSpaceDE w:val="0"/>
              <w:autoSpaceDN w:val="0"/>
              <w:adjustRightInd w:val="0"/>
              <w:spacing w:line="240" w:lineRule="auto"/>
              <w:rPr>
                <w:rFonts w:cs="Times New Roman"/>
                <w:sz w:val="20"/>
                <w:szCs w:val="20"/>
              </w:rPr>
            </w:pPr>
            <w:r w:rsidRPr="00FA0384">
              <w:rPr>
                <w:rFonts w:cs="Times New Roman"/>
                <w:sz w:val="20"/>
                <w:szCs w:val="20"/>
              </w:rPr>
              <w:t xml:space="preserve"> Number of employees</w:t>
            </w:r>
          </w:p>
        </w:tc>
        <w:tc>
          <w:tcPr>
            <w:tcW w:w="351" w:type="pct"/>
            <w:tcBorders>
              <w:top w:val="nil"/>
              <w:left w:val="nil"/>
              <w:bottom w:val="nil"/>
              <w:right w:val="nil"/>
            </w:tcBorders>
          </w:tcPr>
          <w:p w14:paraId="4022C1BB"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1218</w:t>
            </w:r>
          </w:p>
        </w:tc>
        <w:tc>
          <w:tcPr>
            <w:tcW w:w="126" w:type="pct"/>
            <w:tcBorders>
              <w:top w:val="nil"/>
              <w:left w:val="nil"/>
              <w:bottom w:val="nil"/>
              <w:right w:val="nil"/>
            </w:tcBorders>
          </w:tcPr>
          <w:p w14:paraId="106EF7D5"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12401</w:t>
            </w:r>
          </w:p>
        </w:tc>
        <w:tc>
          <w:tcPr>
            <w:tcW w:w="582" w:type="pct"/>
            <w:tcBorders>
              <w:top w:val="nil"/>
              <w:left w:val="nil"/>
              <w:bottom w:val="nil"/>
              <w:right w:val="nil"/>
            </w:tcBorders>
          </w:tcPr>
          <w:p w14:paraId="0C265224"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24107</w:t>
            </w:r>
          </w:p>
        </w:tc>
        <w:tc>
          <w:tcPr>
            <w:tcW w:w="431" w:type="pct"/>
            <w:tcBorders>
              <w:top w:val="nil"/>
              <w:left w:val="nil"/>
              <w:bottom w:val="nil"/>
              <w:right w:val="nil"/>
            </w:tcBorders>
          </w:tcPr>
          <w:p w14:paraId="3529E58D"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0</w:t>
            </w:r>
          </w:p>
        </w:tc>
        <w:tc>
          <w:tcPr>
            <w:tcW w:w="581" w:type="pct"/>
            <w:tcBorders>
              <w:top w:val="nil"/>
              <w:left w:val="nil"/>
              <w:bottom w:val="nil"/>
              <w:right w:val="nil"/>
            </w:tcBorders>
          </w:tcPr>
          <w:p w14:paraId="23582E16"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178507</w:t>
            </w:r>
          </w:p>
        </w:tc>
      </w:tr>
      <w:tr w:rsidR="006876D1" w:rsidRPr="00FA0384" w14:paraId="67ABEE44" w14:textId="77777777" w:rsidTr="006876D1">
        <w:trPr>
          <w:jc w:val="center"/>
        </w:trPr>
        <w:tc>
          <w:tcPr>
            <w:tcW w:w="1271" w:type="pct"/>
            <w:vMerge/>
            <w:tcBorders>
              <w:left w:val="nil"/>
              <w:right w:val="nil"/>
            </w:tcBorders>
          </w:tcPr>
          <w:p w14:paraId="7A54AF50" w14:textId="77777777" w:rsidR="00D326A2" w:rsidRPr="006015F2" w:rsidRDefault="00D326A2" w:rsidP="004C39A4">
            <w:pPr>
              <w:widowControl w:val="0"/>
              <w:autoSpaceDE w:val="0"/>
              <w:autoSpaceDN w:val="0"/>
              <w:adjustRightInd w:val="0"/>
              <w:spacing w:line="240" w:lineRule="auto"/>
              <w:rPr>
                <w:rFonts w:cs="Times New Roman"/>
                <w:sz w:val="20"/>
                <w:szCs w:val="20"/>
              </w:rPr>
            </w:pPr>
          </w:p>
        </w:tc>
        <w:tc>
          <w:tcPr>
            <w:tcW w:w="1657" w:type="pct"/>
            <w:tcBorders>
              <w:top w:val="nil"/>
              <w:left w:val="nil"/>
              <w:bottom w:val="nil"/>
              <w:right w:val="nil"/>
            </w:tcBorders>
          </w:tcPr>
          <w:p w14:paraId="7FF4207B" w14:textId="3F74AE6F" w:rsidR="00D326A2" w:rsidRPr="00FA0384" w:rsidRDefault="00D326A2" w:rsidP="004C39A4">
            <w:pPr>
              <w:widowControl w:val="0"/>
              <w:autoSpaceDE w:val="0"/>
              <w:autoSpaceDN w:val="0"/>
              <w:adjustRightInd w:val="0"/>
              <w:spacing w:line="240" w:lineRule="auto"/>
              <w:rPr>
                <w:rFonts w:cs="Times New Roman"/>
                <w:sz w:val="20"/>
                <w:szCs w:val="20"/>
              </w:rPr>
            </w:pPr>
            <w:r w:rsidRPr="00FA0384">
              <w:rPr>
                <w:rFonts w:cs="Times New Roman"/>
                <w:sz w:val="20"/>
                <w:szCs w:val="20"/>
              </w:rPr>
              <w:t xml:space="preserve"> Establishment births</w:t>
            </w:r>
          </w:p>
        </w:tc>
        <w:tc>
          <w:tcPr>
            <w:tcW w:w="351" w:type="pct"/>
            <w:tcBorders>
              <w:top w:val="nil"/>
              <w:left w:val="nil"/>
              <w:bottom w:val="nil"/>
              <w:right w:val="nil"/>
            </w:tcBorders>
          </w:tcPr>
          <w:p w14:paraId="538F0D63"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1218</w:t>
            </w:r>
          </w:p>
        </w:tc>
        <w:tc>
          <w:tcPr>
            <w:tcW w:w="126" w:type="pct"/>
            <w:tcBorders>
              <w:top w:val="nil"/>
              <w:left w:val="nil"/>
              <w:bottom w:val="nil"/>
              <w:right w:val="nil"/>
            </w:tcBorders>
          </w:tcPr>
          <w:p w14:paraId="32016ECD"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338</w:t>
            </w:r>
          </w:p>
        </w:tc>
        <w:tc>
          <w:tcPr>
            <w:tcW w:w="582" w:type="pct"/>
            <w:tcBorders>
              <w:top w:val="nil"/>
              <w:left w:val="nil"/>
              <w:bottom w:val="nil"/>
              <w:right w:val="nil"/>
            </w:tcBorders>
          </w:tcPr>
          <w:p w14:paraId="7C046E29"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700</w:t>
            </w:r>
          </w:p>
        </w:tc>
        <w:tc>
          <w:tcPr>
            <w:tcW w:w="431" w:type="pct"/>
            <w:tcBorders>
              <w:top w:val="nil"/>
              <w:left w:val="nil"/>
              <w:bottom w:val="nil"/>
              <w:right w:val="nil"/>
            </w:tcBorders>
          </w:tcPr>
          <w:p w14:paraId="510303DE"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0</w:t>
            </w:r>
          </w:p>
        </w:tc>
        <w:tc>
          <w:tcPr>
            <w:tcW w:w="581" w:type="pct"/>
            <w:tcBorders>
              <w:top w:val="nil"/>
              <w:left w:val="nil"/>
              <w:bottom w:val="nil"/>
              <w:right w:val="nil"/>
            </w:tcBorders>
          </w:tcPr>
          <w:p w14:paraId="7BB847EB"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8564</w:t>
            </w:r>
          </w:p>
        </w:tc>
      </w:tr>
      <w:tr w:rsidR="006876D1" w:rsidRPr="00FA0384" w14:paraId="4EBFB24E" w14:textId="77777777" w:rsidTr="006876D1">
        <w:trPr>
          <w:jc w:val="center"/>
        </w:trPr>
        <w:tc>
          <w:tcPr>
            <w:tcW w:w="1271" w:type="pct"/>
            <w:vMerge/>
            <w:tcBorders>
              <w:left w:val="nil"/>
              <w:right w:val="nil"/>
            </w:tcBorders>
          </w:tcPr>
          <w:p w14:paraId="4ABFBA01" w14:textId="77777777" w:rsidR="00D326A2" w:rsidRPr="006015F2" w:rsidRDefault="00D326A2" w:rsidP="004C39A4">
            <w:pPr>
              <w:widowControl w:val="0"/>
              <w:autoSpaceDE w:val="0"/>
              <w:autoSpaceDN w:val="0"/>
              <w:adjustRightInd w:val="0"/>
              <w:spacing w:line="240" w:lineRule="auto"/>
              <w:rPr>
                <w:rFonts w:cs="Times New Roman"/>
                <w:sz w:val="20"/>
                <w:szCs w:val="20"/>
              </w:rPr>
            </w:pPr>
          </w:p>
        </w:tc>
        <w:tc>
          <w:tcPr>
            <w:tcW w:w="1657" w:type="pct"/>
            <w:tcBorders>
              <w:top w:val="nil"/>
              <w:left w:val="nil"/>
              <w:bottom w:val="nil"/>
              <w:right w:val="nil"/>
            </w:tcBorders>
          </w:tcPr>
          <w:p w14:paraId="49E0961F" w14:textId="1DD68BD9" w:rsidR="00D326A2" w:rsidRPr="00FA0384" w:rsidRDefault="00D326A2" w:rsidP="004C39A4">
            <w:pPr>
              <w:widowControl w:val="0"/>
              <w:autoSpaceDE w:val="0"/>
              <w:autoSpaceDN w:val="0"/>
              <w:adjustRightInd w:val="0"/>
              <w:spacing w:line="240" w:lineRule="auto"/>
              <w:rPr>
                <w:rFonts w:cs="Times New Roman"/>
                <w:sz w:val="20"/>
                <w:szCs w:val="20"/>
              </w:rPr>
            </w:pPr>
            <w:r w:rsidRPr="00FA0384">
              <w:rPr>
                <w:rFonts w:cs="Times New Roman"/>
                <w:sz w:val="20"/>
                <w:szCs w:val="20"/>
              </w:rPr>
              <w:t xml:space="preserve"> Establishment inward relocations</w:t>
            </w:r>
          </w:p>
        </w:tc>
        <w:tc>
          <w:tcPr>
            <w:tcW w:w="351" w:type="pct"/>
            <w:tcBorders>
              <w:top w:val="nil"/>
              <w:left w:val="nil"/>
              <w:bottom w:val="nil"/>
              <w:right w:val="nil"/>
            </w:tcBorders>
          </w:tcPr>
          <w:p w14:paraId="47EC00EC"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1218</w:t>
            </w:r>
          </w:p>
        </w:tc>
        <w:tc>
          <w:tcPr>
            <w:tcW w:w="126" w:type="pct"/>
            <w:tcBorders>
              <w:top w:val="nil"/>
              <w:left w:val="nil"/>
              <w:bottom w:val="nil"/>
              <w:right w:val="nil"/>
            </w:tcBorders>
          </w:tcPr>
          <w:p w14:paraId="43EC3986"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26.4</w:t>
            </w:r>
          </w:p>
        </w:tc>
        <w:tc>
          <w:tcPr>
            <w:tcW w:w="582" w:type="pct"/>
            <w:tcBorders>
              <w:top w:val="nil"/>
              <w:left w:val="nil"/>
              <w:bottom w:val="nil"/>
              <w:right w:val="nil"/>
            </w:tcBorders>
          </w:tcPr>
          <w:p w14:paraId="586790B6"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192</w:t>
            </w:r>
          </w:p>
        </w:tc>
        <w:tc>
          <w:tcPr>
            <w:tcW w:w="431" w:type="pct"/>
            <w:tcBorders>
              <w:top w:val="nil"/>
              <w:left w:val="nil"/>
              <w:bottom w:val="nil"/>
              <w:right w:val="nil"/>
            </w:tcBorders>
          </w:tcPr>
          <w:p w14:paraId="18277774"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0</w:t>
            </w:r>
          </w:p>
        </w:tc>
        <w:tc>
          <w:tcPr>
            <w:tcW w:w="581" w:type="pct"/>
            <w:tcBorders>
              <w:top w:val="nil"/>
              <w:left w:val="nil"/>
              <w:bottom w:val="nil"/>
              <w:right w:val="nil"/>
            </w:tcBorders>
          </w:tcPr>
          <w:p w14:paraId="3D1E4EBE"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3048</w:t>
            </w:r>
          </w:p>
        </w:tc>
      </w:tr>
      <w:tr w:rsidR="006876D1" w:rsidRPr="00FA0384" w14:paraId="39FC56D9" w14:textId="77777777" w:rsidTr="006876D1">
        <w:trPr>
          <w:jc w:val="center"/>
        </w:trPr>
        <w:tc>
          <w:tcPr>
            <w:tcW w:w="1271" w:type="pct"/>
            <w:vMerge/>
            <w:tcBorders>
              <w:left w:val="nil"/>
              <w:right w:val="nil"/>
            </w:tcBorders>
          </w:tcPr>
          <w:p w14:paraId="6188B0F7" w14:textId="77777777" w:rsidR="00D326A2" w:rsidRPr="006015F2" w:rsidRDefault="00D326A2" w:rsidP="004C39A4">
            <w:pPr>
              <w:widowControl w:val="0"/>
              <w:autoSpaceDE w:val="0"/>
              <w:autoSpaceDN w:val="0"/>
              <w:adjustRightInd w:val="0"/>
              <w:spacing w:line="240" w:lineRule="auto"/>
              <w:rPr>
                <w:rFonts w:cs="Times New Roman"/>
                <w:sz w:val="20"/>
                <w:szCs w:val="20"/>
              </w:rPr>
            </w:pPr>
          </w:p>
        </w:tc>
        <w:tc>
          <w:tcPr>
            <w:tcW w:w="1657" w:type="pct"/>
            <w:tcBorders>
              <w:top w:val="nil"/>
              <w:left w:val="nil"/>
              <w:bottom w:val="nil"/>
              <w:right w:val="nil"/>
            </w:tcBorders>
          </w:tcPr>
          <w:p w14:paraId="2B2827AA" w14:textId="384F9EB7" w:rsidR="00D326A2" w:rsidRPr="00FA0384" w:rsidRDefault="00D326A2" w:rsidP="004C39A4">
            <w:pPr>
              <w:widowControl w:val="0"/>
              <w:autoSpaceDE w:val="0"/>
              <w:autoSpaceDN w:val="0"/>
              <w:adjustRightInd w:val="0"/>
              <w:spacing w:line="240" w:lineRule="auto"/>
              <w:rPr>
                <w:rFonts w:cs="Times New Roman"/>
                <w:sz w:val="20"/>
                <w:szCs w:val="20"/>
              </w:rPr>
            </w:pPr>
            <w:r w:rsidRPr="00FA0384">
              <w:rPr>
                <w:rFonts w:cs="Times New Roman"/>
                <w:sz w:val="20"/>
                <w:szCs w:val="20"/>
              </w:rPr>
              <w:t xml:space="preserve"> Establishment deaths</w:t>
            </w:r>
          </w:p>
        </w:tc>
        <w:tc>
          <w:tcPr>
            <w:tcW w:w="351" w:type="pct"/>
            <w:tcBorders>
              <w:top w:val="nil"/>
              <w:left w:val="nil"/>
              <w:bottom w:val="nil"/>
              <w:right w:val="nil"/>
            </w:tcBorders>
          </w:tcPr>
          <w:p w14:paraId="3E86699E"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1218</w:t>
            </w:r>
          </w:p>
        </w:tc>
        <w:tc>
          <w:tcPr>
            <w:tcW w:w="126" w:type="pct"/>
            <w:tcBorders>
              <w:top w:val="nil"/>
              <w:left w:val="nil"/>
              <w:bottom w:val="nil"/>
              <w:right w:val="nil"/>
            </w:tcBorders>
          </w:tcPr>
          <w:p w14:paraId="458EA977"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319</w:t>
            </w:r>
          </w:p>
        </w:tc>
        <w:tc>
          <w:tcPr>
            <w:tcW w:w="582" w:type="pct"/>
            <w:tcBorders>
              <w:top w:val="nil"/>
              <w:left w:val="nil"/>
              <w:bottom w:val="nil"/>
              <w:right w:val="nil"/>
            </w:tcBorders>
          </w:tcPr>
          <w:p w14:paraId="0D08169F"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623</w:t>
            </w:r>
          </w:p>
        </w:tc>
        <w:tc>
          <w:tcPr>
            <w:tcW w:w="431" w:type="pct"/>
            <w:tcBorders>
              <w:top w:val="nil"/>
              <w:left w:val="nil"/>
              <w:bottom w:val="nil"/>
              <w:right w:val="nil"/>
            </w:tcBorders>
          </w:tcPr>
          <w:p w14:paraId="0A5883D1"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0</w:t>
            </w:r>
          </w:p>
        </w:tc>
        <w:tc>
          <w:tcPr>
            <w:tcW w:w="581" w:type="pct"/>
            <w:tcBorders>
              <w:top w:val="nil"/>
              <w:left w:val="nil"/>
              <w:bottom w:val="nil"/>
              <w:right w:val="nil"/>
            </w:tcBorders>
          </w:tcPr>
          <w:p w14:paraId="00C5A94B"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6224</w:t>
            </w:r>
          </w:p>
        </w:tc>
      </w:tr>
      <w:tr w:rsidR="006876D1" w:rsidRPr="00FA0384" w14:paraId="22A06B1E" w14:textId="77777777" w:rsidTr="006876D1">
        <w:trPr>
          <w:jc w:val="center"/>
        </w:trPr>
        <w:tc>
          <w:tcPr>
            <w:tcW w:w="1271" w:type="pct"/>
            <w:vMerge/>
            <w:tcBorders>
              <w:left w:val="nil"/>
              <w:bottom w:val="single" w:sz="6" w:space="0" w:color="auto"/>
              <w:right w:val="nil"/>
            </w:tcBorders>
          </w:tcPr>
          <w:p w14:paraId="3198087B" w14:textId="77777777" w:rsidR="00D326A2" w:rsidRPr="006015F2" w:rsidRDefault="00D326A2" w:rsidP="004C39A4">
            <w:pPr>
              <w:widowControl w:val="0"/>
              <w:autoSpaceDE w:val="0"/>
              <w:autoSpaceDN w:val="0"/>
              <w:adjustRightInd w:val="0"/>
              <w:spacing w:line="240" w:lineRule="auto"/>
              <w:rPr>
                <w:rFonts w:cs="Times New Roman"/>
                <w:sz w:val="20"/>
                <w:szCs w:val="20"/>
              </w:rPr>
            </w:pPr>
          </w:p>
        </w:tc>
        <w:tc>
          <w:tcPr>
            <w:tcW w:w="1657" w:type="pct"/>
            <w:tcBorders>
              <w:top w:val="nil"/>
              <w:left w:val="nil"/>
              <w:bottom w:val="single" w:sz="6" w:space="0" w:color="auto"/>
              <w:right w:val="nil"/>
            </w:tcBorders>
          </w:tcPr>
          <w:p w14:paraId="209C89F1" w14:textId="53F9CF71" w:rsidR="00D326A2" w:rsidRPr="00FA0384" w:rsidRDefault="00D326A2" w:rsidP="004C39A4">
            <w:pPr>
              <w:widowControl w:val="0"/>
              <w:autoSpaceDE w:val="0"/>
              <w:autoSpaceDN w:val="0"/>
              <w:adjustRightInd w:val="0"/>
              <w:spacing w:line="240" w:lineRule="auto"/>
              <w:rPr>
                <w:rFonts w:cs="Times New Roman"/>
                <w:sz w:val="20"/>
                <w:szCs w:val="20"/>
              </w:rPr>
            </w:pPr>
            <w:r w:rsidRPr="00FA0384">
              <w:rPr>
                <w:rFonts w:cs="Times New Roman"/>
                <w:sz w:val="20"/>
                <w:szCs w:val="20"/>
              </w:rPr>
              <w:t xml:space="preserve"> Establishment outward relocation</w:t>
            </w:r>
          </w:p>
        </w:tc>
        <w:tc>
          <w:tcPr>
            <w:tcW w:w="351" w:type="pct"/>
            <w:tcBorders>
              <w:top w:val="nil"/>
              <w:left w:val="nil"/>
              <w:bottom w:val="single" w:sz="6" w:space="0" w:color="auto"/>
              <w:right w:val="nil"/>
            </w:tcBorders>
          </w:tcPr>
          <w:p w14:paraId="3064AFF4"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1218</w:t>
            </w:r>
          </w:p>
        </w:tc>
        <w:tc>
          <w:tcPr>
            <w:tcW w:w="126" w:type="pct"/>
            <w:tcBorders>
              <w:top w:val="nil"/>
              <w:left w:val="nil"/>
              <w:bottom w:val="single" w:sz="6" w:space="0" w:color="auto"/>
              <w:right w:val="nil"/>
            </w:tcBorders>
          </w:tcPr>
          <w:p w14:paraId="21BEEF78"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26.4</w:t>
            </w:r>
          </w:p>
        </w:tc>
        <w:tc>
          <w:tcPr>
            <w:tcW w:w="582" w:type="pct"/>
            <w:tcBorders>
              <w:top w:val="nil"/>
              <w:left w:val="nil"/>
              <w:bottom w:val="single" w:sz="6" w:space="0" w:color="auto"/>
              <w:right w:val="nil"/>
            </w:tcBorders>
          </w:tcPr>
          <w:p w14:paraId="34F5A18A"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201</w:t>
            </w:r>
          </w:p>
        </w:tc>
        <w:tc>
          <w:tcPr>
            <w:tcW w:w="431" w:type="pct"/>
            <w:tcBorders>
              <w:top w:val="nil"/>
              <w:left w:val="nil"/>
              <w:bottom w:val="single" w:sz="6" w:space="0" w:color="auto"/>
              <w:right w:val="nil"/>
            </w:tcBorders>
          </w:tcPr>
          <w:p w14:paraId="4E4307E5"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0</w:t>
            </w:r>
          </w:p>
        </w:tc>
        <w:tc>
          <w:tcPr>
            <w:tcW w:w="581" w:type="pct"/>
            <w:tcBorders>
              <w:top w:val="nil"/>
              <w:left w:val="nil"/>
              <w:bottom w:val="single" w:sz="6" w:space="0" w:color="auto"/>
              <w:right w:val="nil"/>
            </w:tcBorders>
          </w:tcPr>
          <w:p w14:paraId="7C92B115"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3447</w:t>
            </w:r>
          </w:p>
        </w:tc>
      </w:tr>
      <w:tr w:rsidR="006876D1" w:rsidRPr="00FA0384" w14:paraId="16F09C64" w14:textId="77777777" w:rsidTr="006876D1">
        <w:trPr>
          <w:jc w:val="center"/>
        </w:trPr>
        <w:tc>
          <w:tcPr>
            <w:tcW w:w="1271" w:type="pct"/>
            <w:vMerge w:val="restart"/>
            <w:tcBorders>
              <w:top w:val="nil"/>
              <w:left w:val="nil"/>
              <w:right w:val="nil"/>
            </w:tcBorders>
          </w:tcPr>
          <w:p w14:paraId="6BCF05D4" w14:textId="53652DC6" w:rsidR="00D326A2" w:rsidRPr="006015F2" w:rsidRDefault="00D326A2" w:rsidP="004C39A4">
            <w:pPr>
              <w:widowControl w:val="0"/>
              <w:autoSpaceDE w:val="0"/>
              <w:autoSpaceDN w:val="0"/>
              <w:adjustRightInd w:val="0"/>
              <w:spacing w:line="240" w:lineRule="auto"/>
              <w:rPr>
                <w:rFonts w:cs="Times New Roman"/>
                <w:sz w:val="20"/>
                <w:szCs w:val="20"/>
              </w:rPr>
            </w:pPr>
            <w:r w:rsidRPr="006015F2">
              <w:rPr>
                <w:rFonts w:cs="Times New Roman"/>
                <w:sz w:val="20"/>
                <w:szCs w:val="20"/>
              </w:rPr>
              <w:t>31-33 - Manufacturing</w:t>
            </w:r>
          </w:p>
        </w:tc>
        <w:tc>
          <w:tcPr>
            <w:tcW w:w="1657" w:type="pct"/>
            <w:tcBorders>
              <w:top w:val="nil"/>
              <w:left w:val="nil"/>
              <w:bottom w:val="nil"/>
              <w:right w:val="nil"/>
            </w:tcBorders>
          </w:tcPr>
          <w:p w14:paraId="722C5C5F" w14:textId="01EFE91F" w:rsidR="00D326A2" w:rsidRPr="00FA0384" w:rsidRDefault="00D326A2" w:rsidP="004C39A4">
            <w:pPr>
              <w:widowControl w:val="0"/>
              <w:autoSpaceDE w:val="0"/>
              <w:autoSpaceDN w:val="0"/>
              <w:adjustRightInd w:val="0"/>
              <w:spacing w:line="240" w:lineRule="auto"/>
              <w:rPr>
                <w:rFonts w:cs="Times New Roman"/>
                <w:sz w:val="20"/>
                <w:szCs w:val="20"/>
              </w:rPr>
            </w:pPr>
            <w:r w:rsidRPr="00FA0384">
              <w:rPr>
                <w:rFonts w:cs="Times New Roman"/>
                <w:sz w:val="20"/>
                <w:szCs w:val="20"/>
              </w:rPr>
              <w:t xml:space="preserve"> Sales Volume</w:t>
            </w:r>
          </w:p>
        </w:tc>
        <w:tc>
          <w:tcPr>
            <w:tcW w:w="351" w:type="pct"/>
            <w:tcBorders>
              <w:top w:val="nil"/>
              <w:left w:val="nil"/>
              <w:bottom w:val="nil"/>
              <w:right w:val="nil"/>
            </w:tcBorders>
          </w:tcPr>
          <w:p w14:paraId="2AE09D07"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1207</w:t>
            </w:r>
          </w:p>
        </w:tc>
        <w:tc>
          <w:tcPr>
            <w:tcW w:w="126" w:type="pct"/>
            <w:tcBorders>
              <w:top w:val="nil"/>
              <w:left w:val="nil"/>
              <w:bottom w:val="nil"/>
              <w:right w:val="nil"/>
            </w:tcBorders>
          </w:tcPr>
          <w:p w14:paraId="05F4DA68"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bookmarkStart w:id="446" w:name="_Hlk187317076"/>
            <w:r w:rsidRPr="00FA0384">
              <w:rPr>
                <w:rFonts w:cs="Times New Roman"/>
                <w:sz w:val="20"/>
                <w:szCs w:val="20"/>
              </w:rPr>
              <w:t>4809024</w:t>
            </w:r>
            <w:bookmarkEnd w:id="446"/>
          </w:p>
        </w:tc>
        <w:tc>
          <w:tcPr>
            <w:tcW w:w="582" w:type="pct"/>
            <w:tcBorders>
              <w:top w:val="nil"/>
              <w:left w:val="nil"/>
              <w:bottom w:val="nil"/>
              <w:right w:val="nil"/>
            </w:tcBorders>
          </w:tcPr>
          <w:p w14:paraId="1D6B787D"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14164407</w:t>
            </w:r>
          </w:p>
        </w:tc>
        <w:tc>
          <w:tcPr>
            <w:tcW w:w="431" w:type="pct"/>
            <w:tcBorders>
              <w:top w:val="nil"/>
              <w:left w:val="nil"/>
              <w:bottom w:val="nil"/>
              <w:right w:val="nil"/>
            </w:tcBorders>
          </w:tcPr>
          <w:p w14:paraId="3EFA096F"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0</w:t>
            </w:r>
          </w:p>
        </w:tc>
        <w:tc>
          <w:tcPr>
            <w:tcW w:w="581" w:type="pct"/>
            <w:tcBorders>
              <w:top w:val="nil"/>
              <w:left w:val="nil"/>
              <w:bottom w:val="nil"/>
              <w:right w:val="nil"/>
            </w:tcBorders>
          </w:tcPr>
          <w:p w14:paraId="1948BFBE"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1.360e+08</w:t>
            </w:r>
          </w:p>
        </w:tc>
      </w:tr>
      <w:tr w:rsidR="006876D1" w:rsidRPr="00FA0384" w14:paraId="267CA1C2" w14:textId="77777777" w:rsidTr="006876D1">
        <w:trPr>
          <w:jc w:val="center"/>
        </w:trPr>
        <w:tc>
          <w:tcPr>
            <w:tcW w:w="1271" w:type="pct"/>
            <w:vMerge/>
            <w:tcBorders>
              <w:left w:val="nil"/>
              <w:right w:val="nil"/>
            </w:tcBorders>
          </w:tcPr>
          <w:p w14:paraId="53661289" w14:textId="77777777" w:rsidR="00D326A2" w:rsidRPr="00FA0384" w:rsidRDefault="00D326A2" w:rsidP="004C39A4">
            <w:pPr>
              <w:widowControl w:val="0"/>
              <w:autoSpaceDE w:val="0"/>
              <w:autoSpaceDN w:val="0"/>
              <w:adjustRightInd w:val="0"/>
              <w:spacing w:line="240" w:lineRule="auto"/>
              <w:rPr>
                <w:rFonts w:cs="Times New Roman"/>
                <w:sz w:val="20"/>
                <w:szCs w:val="20"/>
              </w:rPr>
            </w:pPr>
          </w:p>
        </w:tc>
        <w:tc>
          <w:tcPr>
            <w:tcW w:w="1657" w:type="pct"/>
            <w:tcBorders>
              <w:top w:val="nil"/>
              <w:left w:val="nil"/>
              <w:bottom w:val="nil"/>
              <w:right w:val="nil"/>
            </w:tcBorders>
          </w:tcPr>
          <w:p w14:paraId="27AC5CEE" w14:textId="001F7F5F" w:rsidR="00D326A2" w:rsidRPr="00FA0384" w:rsidRDefault="00D326A2" w:rsidP="004C39A4">
            <w:pPr>
              <w:widowControl w:val="0"/>
              <w:autoSpaceDE w:val="0"/>
              <w:autoSpaceDN w:val="0"/>
              <w:adjustRightInd w:val="0"/>
              <w:spacing w:line="240" w:lineRule="auto"/>
              <w:rPr>
                <w:rFonts w:cs="Times New Roman"/>
                <w:sz w:val="20"/>
                <w:szCs w:val="20"/>
              </w:rPr>
            </w:pPr>
            <w:r w:rsidRPr="00FA0384">
              <w:rPr>
                <w:rFonts w:cs="Times New Roman"/>
                <w:sz w:val="20"/>
                <w:szCs w:val="20"/>
              </w:rPr>
              <w:t xml:space="preserve"> Number of employees</w:t>
            </w:r>
          </w:p>
        </w:tc>
        <w:tc>
          <w:tcPr>
            <w:tcW w:w="351" w:type="pct"/>
            <w:tcBorders>
              <w:top w:val="nil"/>
              <w:left w:val="nil"/>
              <w:bottom w:val="nil"/>
              <w:right w:val="nil"/>
            </w:tcBorders>
          </w:tcPr>
          <w:p w14:paraId="1A75DD92"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1207</w:t>
            </w:r>
          </w:p>
        </w:tc>
        <w:tc>
          <w:tcPr>
            <w:tcW w:w="126" w:type="pct"/>
            <w:tcBorders>
              <w:top w:val="nil"/>
              <w:left w:val="nil"/>
              <w:bottom w:val="nil"/>
              <w:right w:val="nil"/>
            </w:tcBorders>
          </w:tcPr>
          <w:p w14:paraId="36C1EBFA"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23982</w:t>
            </w:r>
          </w:p>
        </w:tc>
        <w:tc>
          <w:tcPr>
            <w:tcW w:w="582" w:type="pct"/>
            <w:tcBorders>
              <w:top w:val="nil"/>
              <w:left w:val="nil"/>
              <w:bottom w:val="nil"/>
              <w:right w:val="nil"/>
            </w:tcBorders>
          </w:tcPr>
          <w:p w14:paraId="4886A9AA"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62595</w:t>
            </w:r>
          </w:p>
        </w:tc>
        <w:tc>
          <w:tcPr>
            <w:tcW w:w="431" w:type="pct"/>
            <w:tcBorders>
              <w:top w:val="nil"/>
              <w:left w:val="nil"/>
              <w:bottom w:val="nil"/>
              <w:right w:val="nil"/>
            </w:tcBorders>
          </w:tcPr>
          <w:p w14:paraId="7127C269"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0</w:t>
            </w:r>
          </w:p>
        </w:tc>
        <w:tc>
          <w:tcPr>
            <w:tcW w:w="581" w:type="pct"/>
            <w:tcBorders>
              <w:top w:val="nil"/>
              <w:left w:val="nil"/>
              <w:bottom w:val="nil"/>
              <w:right w:val="nil"/>
            </w:tcBorders>
          </w:tcPr>
          <w:p w14:paraId="1D5A2651"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536899</w:t>
            </w:r>
          </w:p>
        </w:tc>
      </w:tr>
      <w:tr w:rsidR="006876D1" w:rsidRPr="00FA0384" w14:paraId="1AFA9E96" w14:textId="77777777" w:rsidTr="006876D1">
        <w:trPr>
          <w:jc w:val="center"/>
        </w:trPr>
        <w:tc>
          <w:tcPr>
            <w:tcW w:w="1271" w:type="pct"/>
            <w:vMerge/>
            <w:tcBorders>
              <w:left w:val="nil"/>
              <w:right w:val="nil"/>
            </w:tcBorders>
          </w:tcPr>
          <w:p w14:paraId="331AD190" w14:textId="77777777" w:rsidR="00D326A2" w:rsidRPr="00FA0384" w:rsidRDefault="00D326A2" w:rsidP="004C39A4">
            <w:pPr>
              <w:widowControl w:val="0"/>
              <w:autoSpaceDE w:val="0"/>
              <w:autoSpaceDN w:val="0"/>
              <w:adjustRightInd w:val="0"/>
              <w:spacing w:line="240" w:lineRule="auto"/>
              <w:rPr>
                <w:rFonts w:cs="Times New Roman"/>
                <w:sz w:val="20"/>
                <w:szCs w:val="20"/>
              </w:rPr>
            </w:pPr>
          </w:p>
        </w:tc>
        <w:tc>
          <w:tcPr>
            <w:tcW w:w="1657" w:type="pct"/>
            <w:tcBorders>
              <w:top w:val="nil"/>
              <w:left w:val="nil"/>
              <w:bottom w:val="nil"/>
              <w:right w:val="nil"/>
            </w:tcBorders>
          </w:tcPr>
          <w:p w14:paraId="16564906" w14:textId="0DE2065D" w:rsidR="00D326A2" w:rsidRPr="00FA0384" w:rsidRDefault="00D326A2" w:rsidP="004C39A4">
            <w:pPr>
              <w:widowControl w:val="0"/>
              <w:autoSpaceDE w:val="0"/>
              <w:autoSpaceDN w:val="0"/>
              <w:adjustRightInd w:val="0"/>
              <w:spacing w:line="240" w:lineRule="auto"/>
              <w:rPr>
                <w:rFonts w:cs="Times New Roman"/>
                <w:sz w:val="20"/>
                <w:szCs w:val="20"/>
              </w:rPr>
            </w:pPr>
            <w:r w:rsidRPr="00FA0384">
              <w:rPr>
                <w:rFonts w:cs="Times New Roman"/>
                <w:sz w:val="20"/>
                <w:szCs w:val="20"/>
              </w:rPr>
              <w:t xml:space="preserve"> Establishment births</w:t>
            </w:r>
          </w:p>
        </w:tc>
        <w:tc>
          <w:tcPr>
            <w:tcW w:w="351" w:type="pct"/>
            <w:tcBorders>
              <w:top w:val="nil"/>
              <w:left w:val="nil"/>
              <w:bottom w:val="nil"/>
              <w:right w:val="nil"/>
            </w:tcBorders>
          </w:tcPr>
          <w:p w14:paraId="073C31D7"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1207</w:t>
            </w:r>
          </w:p>
        </w:tc>
        <w:tc>
          <w:tcPr>
            <w:tcW w:w="126" w:type="pct"/>
            <w:tcBorders>
              <w:top w:val="nil"/>
              <w:left w:val="nil"/>
              <w:bottom w:val="nil"/>
              <w:right w:val="nil"/>
            </w:tcBorders>
          </w:tcPr>
          <w:p w14:paraId="2B50C399"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200</w:t>
            </w:r>
          </w:p>
        </w:tc>
        <w:tc>
          <w:tcPr>
            <w:tcW w:w="582" w:type="pct"/>
            <w:tcBorders>
              <w:top w:val="nil"/>
              <w:left w:val="nil"/>
              <w:bottom w:val="nil"/>
              <w:right w:val="nil"/>
            </w:tcBorders>
          </w:tcPr>
          <w:p w14:paraId="546C8ACA"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582</w:t>
            </w:r>
          </w:p>
        </w:tc>
        <w:tc>
          <w:tcPr>
            <w:tcW w:w="431" w:type="pct"/>
            <w:tcBorders>
              <w:top w:val="nil"/>
              <w:left w:val="nil"/>
              <w:bottom w:val="nil"/>
              <w:right w:val="nil"/>
            </w:tcBorders>
          </w:tcPr>
          <w:p w14:paraId="631548CA"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0</w:t>
            </w:r>
          </w:p>
        </w:tc>
        <w:tc>
          <w:tcPr>
            <w:tcW w:w="581" w:type="pct"/>
            <w:tcBorders>
              <w:top w:val="nil"/>
              <w:left w:val="nil"/>
              <w:bottom w:val="nil"/>
              <w:right w:val="nil"/>
            </w:tcBorders>
          </w:tcPr>
          <w:p w14:paraId="42964C51"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9421</w:t>
            </w:r>
          </w:p>
        </w:tc>
      </w:tr>
      <w:tr w:rsidR="006876D1" w:rsidRPr="00FA0384" w14:paraId="3D269165" w14:textId="77777777" w:rsidTr="006876D1">
        <w:trPr>
          <w:jc w:val="center"/>
        </w:trPr>
        <w:tc>
          <w:tcPr>
            <w:tcW w:w="1271" w:type="pct"/>
            <w:vMerge/>
            <w:tcBorders>
              <w:left w:val="nil"/>
              <w:right w:val="nil"/>
            </w:tcBorders>
          </w:tcPr>
          <w:p w14:paraId="6B77F90A" w14:textId="77777777" w:rsidR="00D326A2" w:rsidRPr="00FA0384" w:rsidRDefault="00D326A2" w:rsidP="004C39A4">
            <w:pPr>
              <w:widowControl w:val="0"/>
              <w:autoSpaceDE w:val="0"/>
              <w:autoSpaceDN w:val="0"/>
              <w:adjustRightInd w:val="0"/>
              <w:spacing w:line="240" w:lineRule="auto"/>
              <w:rPr>
                <w:rFonts w:cs="Times New Roman"/>
                <w:sz w:val="20"/>
                <w:szCs w:val="20"/>
              </w:rPr>
            </w:pPr>
          </w:p>
        </w:tc>
        <w:tc>
          <w:tcPr>
            <w:tcW w:w="1657" w:type="pct"/>
            <w:tcBorders>
              <w:top w:val="nil"/>
              <w:left w:val="nil"/>
              <w:bottom w:val="nil"/>
              <w:right w:val="nil"/>
            </w:tcBorders>
          </w:tcPr>
          <w:p w14:paraId="1BA2AE32" w14:textId="26E6487F" w:rsidR="00D326A2" w:rsidRPr="00FA0384" w:rsidRDefault="00D326A2" w:rsidP="004C39A4">
            <w:pPr>
              <w:widowControl w:val="0"/>
              <w:autoSpaceDE w:val="0"/>
              <w:autoSpaceDN w:val="0"/>
              <w:adjustRightInd w:val="0"/>
              <w:spacing w:line="240" w:lineRule="auto"/>
              <w:rPr>
                <w:rFonts w:cs="Times New Roman"/>
                <w:sz w:val="20"/>
                <w:szCs w:val="20"/>
              </w:rPr>
            </w:pPr>
            <w:r w:rsidRPr="00FA0384">
              <w:rPr>
                <w:rFonts w:cs="Times New Roman"/>
                <w:sz w:val="20"/>
                <w:szCs w:val="20"/>
              </w:rPr>
              <w:t xml:space="preserve"> Establishment inward relocations</w:t>
            </w:r>
          </w:p>
        </w:tc>
        <w:tc>
          <w:tcPr>
            <w:tcW w:w="351" w:type="pct"/>
            <w:tcBorders>
              <w:top w:val="nil"/>
              <w:left w:val="nil"/>
              <w:bottom w:val="nil"/>
              <w:right w:val="nil"/>
            </w:tcBorders>
          </w:tcPr>
          <w:p w14:paraId="4B017580"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1207</w:t>
            </w:r>
          </w:p>
        </w:tc>
        <w:tc>
          <w:tcPr>
            <w:tcW w:w="126" w:type="pct"/>
            <w:tcBorders>
              <w:top w:val="nil"/>
              <w:left w:val="nil"/>
              <w:bottom w:val="nil"/>
              <w:right w:val="nil"/>
            </w:tcBorders>
          </w:tcPr>
          <w:p w14:paraId="12059854"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13.9</w:t>
            </w:r>
          </w:p>
        </w:tc>
        <w:tc>
          <w:tcPr>
            <w:tcW w:w="582" w:type="pct"/>
            <w:tcBorders>
              <w:top w:val="nil"/>
              <w:left w:val="nil"/>
              <w:bottom w:val="nil"/>
              <w:right w:val="nil"/>
            </w:tcBorders>
          </w:tcPr>
          <w:p w14:paraId="7BB18669"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129</w:t>
            </w:r>
          </w:p>
        </w:tc>
        <w:tc>
          <w:tcPr>
            <w:tcW w:w="431" w:type="pct"/>
            <w:tcBorders>
              <w:top w:val="nil"/>
              <w:left w:val="nil"/>
              <w:bottom w:val="nil"/>
              <w:right w:val="nil"/>
            </w:tcBorders>
          </w:tcPr>
          <w:p w14:paraId="647E5750"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0</w:t>
            </w:r>
          </w:p>
        </w:tc>
        <w:tc>
          <w:tcPr>
            <w:tcW w:w="581" w:type="pct"/>
            <w:tcBorders>
              <w:top w:val="nil"/>
              <w:left w:val="nil"/>
              <w:bottom w:val="nil"/>
              <w:right w:val="nil"/>
            </w:tcBorders>
          </w:tcPr>
          <w:p w14:paraId="5DE88AED"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3159</w:t>
            </w:r>
          </w:p>
        </w:tc>
      </w:tr>
      <w:tr w:rsidR="006876D1" w:rsidRPr="00FA0384" w14:paraId="78D81F2C" w14:textId="77777777" w:rsidTr="006876D1">
        <w:trPr>
          <w:jc w:val="center"/>
        </w:trPr>
        <w:tc>
          <w:tcPr>
            <w:tcW w:w="1271" w:type="pct"/>
            <w:vMerge/>
            <w:tcBorders>
              <w:left w:val="nil"/>
              <w:right w:val="nil"/>
            </w:tcBorders>
          </w:tcPr>
          <w:p w14:paraId="4FCE78DF" w14:textId="77777777" w:rsidR="00D326A2" w:rsidRPr="00FA0384" w:rsidRDefault="00D326A2" w:rsidP="004C39A4">
            <w:pPr>
              <w:widowControl w:val="0"/>
              <w:autoSpaceDE w:val="0"/>
              <w:autoSpaceDN w:val="0"/>
              <w:adjustRightInd w:val="0"/>
              <w:spacing w:line="240" w:lineRule="auto"/>
              <w:rPr>
                <w:rFonts w:cs="Times New Roman"/>
                <w:sz w:val="20"/>
                <w:szCs w:val="20"/>
              </w:rPr>
            </w:pPr>
          </w:p>
        </w:tc>
        <w:tc>
          <w:tcPr>
            <w:tcW w:w="1657" w:type="pct"/>
            <w:tcBorders>
              <w:top w:val="nil"/>
              <w:left w:val="nil"/>
              <w:bottom w:val="nil"/>
              <w:right w:val="nil"/>
            </w:tcBorders>
          </w:tcPr>
          <w:p w14:paraId="0BA4ADBB" w14:textId="7499EAB8" w:rsidR="00D326A2" w:rsidRPr="00FA0384" w:rsidRDefault="00D326A2" w:rsidP="004C39A4">
            <w:pPr>
              <w:widowControl w:val="0"/>
              <w:autoSpaceDE w:val="0"/>
              <w:autoSpaceDN w:val="0"/>
              <w:adjustRightInd w:val="0"/>
              <w:spacing w:line="240" w:lineRule="auto"/>
              <w:rPr>
                <w:rFonts w:cs="Times New Roman"/>
                <w:sz w:val="20"/>
                <w:szCs w:val="20"/>
              </w:rPr>
            </w:pPr>
            <w:r w:rsidRPr="00FA0384">
              <w:rPr>
                <w:rFonts w:cs="Times New Roman"/>
                <w:sz w:val="20"/>
                <w:szCs w:val="20"/>
              </w:rPr>
              <w:t xml:space="preserve"> Establishment deaths</w:t>
            </w:r>
          </w:p>
        </w:tc>
        <w:tc>
          <w:tcPr>
            <w:tcW w:w="351" w:type="pct"/>
            <w:tcBorders>
              <w:top w:val="nil"/>
              <w:left w:val="nil"/>
              <w:bottom w:val="nil"/>
              <w:right w:val="nil"/>
            </w:tcBorders>
          </w:tcPr>
          <w:p w14:paraId="47A990D6"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1208</w:t>
            </w:r>
          </w:p>
        </w:tc>
        <w:tc>
          <w:tcPr>
            <w:tcW w:w="126" w:type="pct"/>
            <w:tcBorders>
              <w:top w:val="nil"/>
              <w:left w:val="nil"/>
              <w:bottom w:val="nil"/>
              <w:right w:val="nil"/>
            </w:tcBorders>
          </w:tcPr>
          <w:p w14:paraId="4F263A88"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211</w:t>
            </w:r>
          </w:p>
        </w:tc>
        <w:tc>
          <w:tcPr>
            <w:tcW w:w="582" w:type="pct"/>
            <w:tcBorders>
              <w:top w:val="nil"/>
              <w:left w:val="nil"/>
              <w:bottom w:val="nil"/>
              <w:right w:val="nil"/>
            </w:tcBorders>
          </w:tcPr>
          <w:p w14:paraId="08A0569D"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616</w:t>
            </w:r>
          </w:p>
        </w:tc>
        <w:tc>
          <w:tcPr>
            <w:tcW w:w="431" w:type="pct"/>
            <w:tcBorders>
              <w:top w:val="nil"/>
              <w:left w:val="nil"/>
              <w:bottom w:val="nil"/>
              <w:right w:val="nil"/>
            </w:tcBorders>
          </w:tcPr>
          <w:p w14:paraId="0A278B65"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0</w:t>
            </w:r>
          </w:p>
        </w:tc>
        <w:tc>
          <w:tcPr>
            <w:tcW w:w="581" w:type="pct"/>
            <w:tcBorders>
              <w:top w:val="nil"/>
              <w:left w:val="nil"/>
              <w:bottom w:val="nil"/>
              <w:right w:val="nil"/>
            </w:tcBorders>
          </w:tcPr>
          <w:p w14:paraId="2A1B6AAC"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8287</w:t>
            </w:r>
          </w:p>
        </w:tc>
      </w:tr>
      <w:tr w:rsidR="006876D1" w:rsidRPr="00FA0384" w14:paraId="20C8DCED" w14:textId="77777777" w:rsidTr="006876D1">
        <w:trPr>
          <w:jc w:val="center"/>
        </w:trPr>
        <w:tc>
          <w:tcPr>
            <w:tcW w:w="1271" w:type="pct"/>
            <w:vMerge/>
            <w:tcBorders>
              <w:left w:val="nil"/>
              <w:bottom w:val="single" w:sz="6" w:space="0" w:color="auto"/>
              <w:right w:val="nil"/>
            </w:tcBorders>
          </w:tcPr>
          <w:p w14:paraId="7B9CC846" w14:textId="77777777" w:rsidR="00D326A2" w:rsidRPr="00FA0384" w:rsidRDefault="00D326A2" w:rsidP="004C39A4">
            <w:pPr>
              <w:widowControl w:val="0"/>
              <w:autoSpaceDE w:val="0"/>
              <w:autoSpaceDN w:val="0"/>
              <w:adjustRightInd w:val="0"/>
              <w:spacing w:line="240" w:lineRule="auto"/>
              <w:rPr>
                <w:rFonts w:cs="Times New Roman"/>
                <w:sz w:val="20"/>
                <w:szCs w:val="20"/>
              </w:rPr>
            </w:pPr>
          </w:p>
        </w:tc>
        <w:tc>
          <w:tcPr>
            <w:tcW w:w="1657" w:type="pct"/>
            <w:tcBorders>
              <w:top w:val="nil"/>
              <w:left w:val="nil"/>
              <w:bottom w:val="single" w:sz="6" w:space="0" w:color="auto"/>
              <w:right w:val="nil"/>
            </w:tcBorders>
          </w:tcPr>
          <w:p w14:paraId="1630E142" w14:textId="3EFFEFBC" w:rsidR="00D326A2" w:rsidRPr="00FA0384" w:rsidRDefault="00D326A2" w:rsidP="004C39A4">
            <w:pPr>
              <w:widowControl w:val="0"/>
              <w:autoSpaceDE w:val="0"/>
              <w:autoSpaceDN w:val="0"/>
              <w:adjustRightInd w:val="0"/>
              <w:spacing w:line="240" w:lineRule="auto"/>
              <w:rPr>
                <w:rFonts w:cs="Times New Roman"/>
                <w:sz w:val="20"/>
                <w:szCs w:val="20"/>
              </w:rPr>
            </w:pPr>
            <w:r w:rsidRPr="00FA0384">
              <w:rPr>
                <w:rFonts w:cs="Times New Roman"/>
                <w:sz w:val="20"/>
                <w:szCs w:val="20"/>
              </w:rPr>
              <w:t xml:space="preserve"> Establishment outward relocation</w:t>
            </w:r>
          </w:p>
        </w:tc>
        <w:tc>
          <w:tcPr>
            <w:tcW w:w="351" w:type="pct"/>
            <w:tcBorders>
              <w:top w:val="nil"/>
              <w:left w:val="nil"/>
              <w:bottom w:val="single" w:sz="6" w:space="0" w:color="auto"/>
              <w:right w:val="nil"/>
            </w:tcBorders>
          </w:tcPr>
          <w:p w14:paraId="6C3E67A2"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1208</w:t>
            </w:r>
          </w:p>
        </w:tc>
        <w:tc>
          <w:tcPr>
            <w:tcW w:w="126" w:type="pct"/>
            <w:tcBorders>
              <w:top w:val="nil"/>
              <w:left w:val="nil"/>
              <w:bottom w:val="single" w:sz="6" w:space="0" w:color="auto"/>
              <w:right w:val="nil"/>
            </w:tcBorders>
          </w:tcPr>
          <w:p w14:paraId="311A96B5"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14.0</w:t>
            </w:r>
          </w:p>
        </w:tc>
        <w:tc>
          <w:tcPr>
            <w:tcW w:w="582" w:type="pct"/>
            <w:tcBorders>
              <w:top w:val="nil"/>
              <w:left w:val="nil"/>
              <w:bottom w:val="single" w:sz="6" w:space="0" w:color="auto"/>
              <w:right w:val="nil"/>
            </w:tcBorders>
          </w:tcPr>
          <w:p w14:paraId="6414641C"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133</w:t>
            </w:r>
          </w:p>
        </w:tc>
        <w:tc>
          <w:tcPr>
            <w:tcW w:w="431" w:type="pct"/>
            <w:tcBorders>
              <w:top w:val="nil"/>
              <w:left w:val="nil"/>
              <w:bottom w:val="single" w:sz="6" w:space="0" w:color="auto"/>
              <w:right w:val="nil"/>
            </w:tcBorders>
          </w:tcPr>
          <w:p w14:paraId="7D517583" w14:textId="77777777" w:rsidR="00D326A2" w:rsidRPr="00FA0384" w:rsidRDefault="00D326A2" w:rsidP="004C39A4">
            <w:pPr>
              <w:widowControl w:val="0"/>
              <w:autoSpaceDE w:val="0"/>
              <w:autoSpaceDN w:val="0"/>
              <w:adjustRightInd w:val="0"/>
              <w:spacing w:line="240" w:lineRule="auto"/>
              <w:jc w:val="right"/>
              <w:rPr>
                <w:rFonts w:cs="Times New Roman"/>
                <w:sz w:val="20"/>
                <w:szCs w:val="20"/>
              </w:rPr>
            </w:pPr>
            <w:r w:rsidRPr="00FA0384">
              <w:rPr>
                <w:rFonts w:cs="Times New Roman"/>
                <w:sz w:val="20"/>
                <w:szCs w:val="20"/>
              </w:rPr>
              <w:t>0</w:t>
            </w:r>
          </w:p>
        </w:tc>
        <w:tc>
          <w:tcPr>
            <w:tcW w:w="581" w:type="pct"/>
            <w:tcBorders>
              <w:top w:val="nil"/>
              <w:left w:val="nil"/>
              <w:bottom w:val="single" w:sz="6" w:space="0" w:color="auto"/>
              <w:right w:val="nil"/>
            </w:tcBorders>
          </w:tcPr>
          <w:p w14:paraId="39161FA5" w14:textId="77777777" w:rsidR="00D326A2" w:rsidRPr="00FA0384" w:rsidRDefault="00D326A2" w:rsidP="004C39A4">
            <w:pPr>
              <w:keepNext/>
              <w:widowControl w:val="0"/>
              <w:autoSpaceDE w:val="0"/>
              <w:autoSpaceDN w:val="0"/>
              <w:adjustRightInd w:val="0"/>
              <w:spacing w:line="240" w:lineRule="auto"/>
              <w:jc w:val="right"/>
              <w:rPr>
                <w:rFonts w:cs="Times New Roman"/>
                <w:sz w:val="20"/>
                <w:szCs w:val="20"/>
              </w:rPr>
            </w:pPr>
            <w:r w:rsidRPr="00FA0384">
              <w:rPr>
                <w:rFonts w:cs="Times New Roman"/>
                <w:sz w:val="20"/>
                <w:szCs w:val="20"/>
              </w:rPr>
              <w:t>3575</w:t>
            </w:r>
          </w:p>
        </w:tc>
      </w:tr>
    </w:tbl>
    <w:p w14:paraId="45B25410" w14:textId="1468F7C9" w:rsidR="00030874" w:rsidRDefault="002A78A3" w:rsidP="004C39A4">
      <w:pPr>
        <w:spacing w:line="240" w:lineRule="auto"/>
        <w:rPr>
          <w:rFonts w:cs="Times New Roman"/>
          <w:sz w:val="20"/>
          <w:szCs w:val="20"/>
        </w:rPr>
        <w:sectPr w:rsidR="00030874" w:rsidSect="006876D1">
          <w:pgSz w:w="12240" w:h="15840" w:code="1"/>
          <w:pgMar w:top="1440" w:right="1440" w:bottom="1440" w:left="1440" w:header="720" w:footer="1440" w:gutter="0"/>
          <w:cols w:space="720"/>
          <w:noEndnote/>
          <w:docGrid w:linePitch="360"/>
        </w:sectPr>
      </w:pPr>
      <w:r>
        <w:rPr>
          <w:rFonts w:cs="Times New Roman"/>
          <w:sz w:val="20"/>
          <w:szCs w:val="20"/>
        </w:rPr>
        <w:t>T</w:t>
      </w:r>
      <w:r w:rsidR="00D61046" w:rsidRPr="00FA0384">
        <w:rPr>
          <w:rFonts w:cs="Times New Roman"/>
          <w:sz w:val="20"/>
          <w:szCs w:val="20"/>
        </w:rPr>
        <w:t xml:space="preserve">able </w:t>
      </w:r>
      <w:r>
        <w:rPr>
          <w:rFonts w:cs="Times New Roman"/>
          <w:sz w:val="20"/>
          <w:szCs w:val="20"/>
        </w:rPr>
        <w:t>A30: D</w:t>
      </w:r>
      <w:r w:rsidR="00D61046" w:rsidRPr="00FA0384">
        <w:rPr>
          <w:rFonts w:cs="Times New Roman"/>
          <w:sz w:val="20"/>
          <w:szCs w:val="20"/>
        </w:rPr>
        <w:t>escriptive statistics for key dependent variables across five sectors: Agriculture, Forestry, Fishing, and Hunting (NAICS 11); Mining, Quarrying, and Oil and Gas Extraction (NAICS 21); Utilities (NAICS 22); Construction (NAICS 23); and Manufacturing (NAICS 31-33). Variables include sales volume, number of employees, establishment births, inward relocations, deaths, and outward relocations. Data represent county-year aggregates. Zero values for sales volume and employees indicate inactive or temporarily closed establishments.</w:t>
      </w:r>
    </w:p>
    <w:p w14:paraId="207DA53E" w14:textId="654FB5A3" w:rsidR="00BF0763" w:rsidRPr="00FA0384" w:rsidRDefault="00BF0763" w:rsidP="004C39A4">
      <w:pPr>
        <w:spacing w:line="240" w:lineRule="auto"/>
        <w:rPr>
          <w:rFonts w:cs="Times New Roman"/>
          <w:sz w:val="20"/>
          <w:szCs w:val="20"/>
        </w:rPr>
      </w:pPr>
    </w:p>
    <w:p w14:paraId="0B10FC0E" w14:textId="26348E96" w:rsidR="00BF0763" w:rsidRPr="00BF0763" w:rsidRDefault="00BF0763" w:rsidP="004C39A4">
      <w:pPr>
        <w:spacing w:line="240" w:lineRule="auto"/>
        <w:jc w:val="center"/>
        <w:rPr>
          <w:rFonts w:ascii="Calibri" w:eastAsia="Times New Roman" w:hAnsi="Calibri" w:cs="Times New Roman"/>
          <w:sz w:val="22"/>
          <w:szCs w:val="22"/>
        </w:rPr>
      </w:pPr>
      <w:r w:rsidRPr="00BF0763">
        <w:rPr>
          <w:rFonts w:eastAsia="Times New Roman" w:cs="Times New Roman"/>
          <w:noProof/>
        </w:rPr>
        <w:drawing>
          <wp:inline distT="0" distB="0" distL="0" distR="0" wp14:anchorId="1266D3F2" wp14:editId="0DDDA8E2">
            <wp:extent cx="4498016" cy="6260123"/>
            <wp:effectExtent l="0" t="0" r="0" b="7620"/>
            <wp:docPr id="592522239" name="Picture 592522239" descr="A screenshot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7054913" name="Picture 4" descr="A screenshot of a map&#10;&#10;Description automatically generated"/>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521649" cy="6293014"/>
                    </a:xfrm>
                    <a:prstGeom prst="rect">
                      <a:avLst/>
                    </a:prstGeom>
                    <a:noFill/>
                    <a:ln>
                      <a:noFill/>
                    </a:ln>
                  </pic:spPr>
                </pic:pic>
              </a:graphicData>
            </a:graphic>
          </wp:inline>
        </w:drawing>
      </w:r>
    </w:p>
    <w:p w14:paraId="0F31B50C" w14:textId="482E9C28" w:rsidR="00BF0763" w:rsidRPr="00BF0763" w:rsidRDefault="00BF0763" w:rsidP="009D3026">
      <w:pPr>
        <w:pStyle w:val="Caption"/>
      </w:pPr>
      <w:bookmarkStart w:id="447" w:name="_Toc187564773"/>
      <w:bookmarkStart w:id="448" w:name="_Toc188359969"/>
      <w:bookmarkStart w:id="449" w:name="_Toc188367096"/>
      <w:r w:rsidRPr="00BF0763">
        <w:t>Figure A1</w:t>
      </w:r>
      <w:r w:rsidR="00A65F52">
        <w:t>3</w:t>
      </w:r>
      <w:r w:rsidRPr="00BF0763">
        <w:t>: Spatial-Temporal Distribution of Establishments and Wildfires</w:t>
      </w:r>
      <w:bookmarkEnd w:id="447"/>
      <w:bookmarkEnd w:id="448"/>
      <w:bookmarkEnd w:id="449"/>
    </w:p>
    <w:p w14:paraId="25A24994" w14:textId="4EA68566" w:rsidR="00BF0763" w:rsidRPr="00BF0763" w:rsidRDefault="00BF0763" w:rsidP="004C39A4">
      <w:pPr>
        <w:spacing w:line="240" w:lineRule="auto"/>
        <w:rPr>
          <w:sz w:val="20"/>
          <w:szCs w:val="20"/>
        </w:rPr>
      </w:pPr>
      <w:r w:rsidRPr="00BF0763">
        <w:rPr>
          <w:sz w:val="20"/>
          <w:szCs w:val="20"/>
        </w:rPr>
        <w:t>Description: The top panel depicts the geographic distribution of establishments across California by year, illustrating spatial and temporal trends in business activity from 1998 to 2018. The bottom panel presents the geographic distribution of wildfires across California by year over the same period, highlighting the intensity and frequency of wildfire events in affected regions.</w:t>
      </w:r>
    </w:p>
    <w:p w14:paraId="7A1BABCD" w14:textId="77777777" w:rsidR="00BF0763" w:rsidRPr="00BF0763" w:rsidRDefault="00BF0763" w:rsidP="004C39A4">
      <w:pPr>
        <w:spacing w:line="259" w:lineRule="auto"/>
        <w:rPr>
          <w:rFonts w:eastAsia="Times New Roman" w:cs="Times New Roman"/>
          <w:b/>
          <w:bCs/>
          <w:lang/>
        </w:rPr>
      </w:pPr>
      <w:r w:rsidRPr="00BF0763">
        <w:rPr>
          <w:rFonts w:ascii="Calibri" w:eastAsia="Times New Roman" w:hAnsi="Calibri" w:cs="Times New Roman"/>
          <w:b/>
          <w:bCs/>
          <w:sz w:val="22"/>
          <w:szCs w:val="22"/>
        </w:rPr>
        <w:br w:type="page"/>
      </w:r>
    </w:p>
    <w:p w14:paraId="129ACDDD" w14:textId="4592F0D6" w:rsidR="00BF0763" w:rsidRPr="00BF0763" w:rsidRDefault="00BF0763" w:rsidP="004C39A4">
      <w:pPr>
        <w:spacing w:line="240" w:lineRule="auto"/>
        <w:rPr>
          <w:rFonts w:eastAsia="Times New Roman" w:cs="Times New Roman"/>
          <w:lang/>
        </w:rPr>
      </w:pPr>
      <w:r w:rsidRPr="00BF0763">
        <w:rPr>
          <w:rFonts w:eastAsia="Times New Roman" w:cs="Times New Roman"/>
          <w:lang/>
        </w:rPr>
        <w:lastRenderedPageBreak/>
        <w:br/>
      </w:r>
      <w:r w:rsidRPr="00BF0763">
        <w:rPr>
          <w:rFonts w:eastAsia="Times New Roman" w:cs="Times New Roman"/>
          <w:noProof/>
          <w:color w:val="000000"/>
          <w:bdr w:val="none" w:sz="0" w:space="0" w:color="auto" w:frame="1"/>
          <w:lang/>
        </w:rPr>
        <w:drawing>
          <wp:inline distT="0" distB="0" distL="0" distR="0" wp14:anchorId="0BA4A1E6" wp14:editId="45E3A615">
            <wp:extent cx="6242538" cy="3090632"/>
            <wp:effectExtent l="0" t="0" r="6350" b="0"/>
            <wp:docPr id="72671313" name="Picture 2" descr="A graph with 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71313" name="Picture 2" descr="A graph with red lines&#10;&#10;Description automatically generated"/>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265197" cy="3101850"/>
                    </a:xfrm>
                    <a:prstGeom prst="rect">
                      <a:avLst/>
                    </a:prstGeom>
                    <a:noFill/>
                    <a:ln>
                      <a:noFill/>
                    </a:ln>
                  </pic:spPr>
                </pic:pic>
              </a:graphicData>
            </a:graphic>
          </wp:inline>
        </w:drawing>
      </w:r>
    </w:p>
    <w:p w14:paraId="7FCDA2DB" w14:textId="56E8E7C5" w:rsidR="00BF0763" w:rsidRDefault="00BF0763" w:rsidP="009D3026">
      <w:pPr>
        <w:pStyle w:val="Caption"/>
        <w:rPr>
          <w:lang/>
        </w:rPr>
      </w:pPr>
      <w:bookmarkStart w:id="450" w:name="_Toc187564774"/>
      <w:bookmarkStart w:id="451" w:name="_Toc188359970"/>
      <w:bookmarkStart w:id="452" w:name="_Toc188367097"/>
      <w:r w:rsidRPr="00BF0763">
        <w:rPr>
          <w:lang/>
        </w:rPr>
        <w:t>Figure A</w:t>
      </w:r>
      <w:r w:rsidR="00A65F52">
        <w:rPr>
          <w:lang/>
        </w:rPr>
        <w:t>14</w:t>
      </w:r>
      <w:r w:rsidRPr="00BF0763">
        <w:rPr>
          <w:lang/>
        </w:rPr>
        <w:t>: Total Acres Burned Due to Wildfires (1998–2018)</w:t>
      </w:r>
      <w:bookmarkEnd w:id="450"/>
      <w:bookmarkEnd w:id="451"/>
      <w:bookmarkEnd w:id="452"/>
    </w:p>
    <w:p w14:paraId="57D84A76" w14:textId="4F335841" w:rsidR="00BF0763" w:rsidRPr="00BF0763" w:rsidRDefault="00BF0763" w:rsidP="004C39A4">
      <w:pPr>
        <w:spacing w:line="240" w:lineRule="auto"/>
        <w:rPr>
          <w:rFonts w:ascii="Calibri" w:hAnsi="Calibri"/>
          <w:sz w:val="18"/>
          <w:szCs w:val="18"/>
        </w:rPr>
      </w:pPr>
      <w:r w:rsidRPr="00BF0763">
        <w:rPr>
          <w:sz w:val="20"/>
          <w:szCs w:val="20"/>
        </w:rPr>
        <w:t>Description: The red line illustrates the annual total acres burned in California due to wildfires from 1998 to 2018. The data captures trends in wildfire activity over time, indicating fluctuations in fire severity and spatial extent.</w:t>
      </w:r>
    </w:p>
    <w:p w14:paraId="1FAD6D08" w14:textId="77777777" w:rsidR="00BF0763" w:rsidRPr="00BF0763" w:rsidRDefault="00BF0763" w:rsidP="004C39A4">
      <w:pPr>
        <w:spacing w:line="259" w:lineRule="auto"/>
        <w:rPr>
          <w:rFonts w:eastAsia="Times New Roman" w:cs="Times New Roman"/>
          <w:b/>
          <w:bCs/>
          <w:color w:val="2F5496"/>
        </w:rPr>
      </w:pPr>
    </w:p>
    <w:p w14:paraId="5B3C8F6A" w14:textId="77777777" w:rsidR="00BF0763" w:rsidRPr="00BF0763" w:rsidRDefault="00BF0763" w:rsidP="004C39A4">
      <w:pPr>
        <w:spacing w:line="259" w:lineRule="auto"/>
        <w:rPr>
          <w:rFonts w:eastAsia="Times New Roman" w:cs="Times New Roman"/>
          <w:b/>
          <w:bCs/>
          <w:color w:val="2F5496"/>
        </w:rPr>
      </w:pPr>
      <w:r w:rsidRPr="00BF0763">
        <w:rPr>
          <w:rFonts w:eastAsia="Times New Roman" w:cs="Times New Roman"/>
          <w:b/>
          <w:bCs/>
          <w:color w:val="2F5496"/>
        </w:rPr>
        <w:br w:type="page"/>
      </w:r>
    </w:p>
    <w:p w14:paraId="3D56C899" w14:textId="4275FCFA" w:rsidR="00BF0763" w:rsidRPr="00BF0763" w:rsidRDefault="00BF0763" w:rsidP="00095E25">
      <w:pPr>
        <w:pStyle w:val="Title"/>
      </w:pPr>
      <w:bookmarkStart w:id="453" w:name="_Toc187564775"/>
      <w:bookmarkStart w:id="454" w:name="_Toc188359636"/>
      <w:bookmarkStart w:id="455" w:name="_Toc188359924"/>
      <w:bookmarkStart w:id="456" w:name="_Toc188361160"/>
      <w:bookmarkStart w:id="457" w:name="_Toc188367004"/>
      <w:r w:rsidRPr="00BF0763">
        <w:lastRenderedPageBreak/>
        <w:t>Table A</w:t>
      </w:r>
      <w:r w:rsidR="00A65F52">
        <w:rPr>
          <w:lang w:val="en-US"/>
        </w:rPr>
        <w:t>31</w:t>
      </w:r>
      <w:r w:rsidRPr="00BF0763">
        <w:t>: Summary Statistics for Explanatory Variables (1998-2018)</w:t>
      </w:r>
      <w:bookmarkEnd w:id="453"/>
      <w:bookmarkEnd w:id="454"/>
      <w:bookmarkEnd w:id="455"/>
      <w:bookmarkEnd w:id="456"/>
      <w:bookmarkEnd w:id="457"/>
    </w:p>
    <w:tbl>
      <w:tblPr>
        <w:tblW w:w="5000" w:type="pct"/>
        <w:jc w:val="center"/>
        <w:tblLook w:val="0000" w:firstRow="0" w:lastRow="0" w:firstColumn="0" w:lastColumn="0" w:noHBand="0" w:noVBand="0"/>
      </w:tblPr>
      <w:tblGrid>
        <w:gridCol w:w="3060"/>
        <w:gridCol w:w="788"/>
        <w:gridCol w:w="1378"/>
        <w:gridCol w:w="1378"/>
        <w:gridCol w:w="1378"/>
        <w:gridCol w:w="1378"/>
      </w:tblGrid>
      <w:tr w:rsidR="00BF0763" w:rsidRPr="00BF0763" w14:paraId="5F4BA9CA" w14:textId="77777777" w:rsidTr="0082071D">
        <w:trPr>
          <w:jc w:val="center"/>
        </w:trPr>
        <w:tc>
          <w:tcPr>
            <w:tcW w:w="1634" w:type="pct"/>
            <w:tcBorders>
              <w:top w:val="single" w:sz="4" w:space="0" w:color="auto"/>
              <w:left w:val="nil"/>
              <w:bottom w:val="single" w:sz="4" w:space="0" w:color="auto"/>
              <w:right w:val="nil"/>
            </w:tcBorders>
          </w:tcPr>
          <w:p w14:paraId="455A6F6C" w14:textId="77777777" w:rsidR="00BF0763" w:rsidRPr="00BF0763" w:rsidRDefault="00BF0763" w:rsidP="00FA0384">
            <w:pPr>
              <w:widowControl w:val="0"/>
              <w:autoSpaceDE w:val="0"/>
              <w:autoSpaceDN w:val="0"/>
              <w:adjustRightInd w:val="0"/>
              <w:spacing w:line="240" w:lineRule="auto"/>
              <w:rPr>
                <w:rFonts w:eastAsia="Times New Roman" w:cs="Times New Roman"/>
                <w:b/>
                <w:bCs/>
                <w:sz w:val="20"/>
                <w:szCs w:val="20"/>
              </w:rPr>
            </w:pPr>
            <w:r w:rsidRPr="00BF0763">
              <w:rPr>
                <w:rFonts w:eastAsia="Times New Roman" w:cs="Times New Roman"/>
                <w:b/>
                <w:bCs/>
                <w:sz w:val="20"/>
                <w:szCs w:val="20"/>
              </w:rPr>
              <w:t xml:space="preserve"> Variable</w:t>
            </w:r>
          </w:p>
        </w:tc>
        <w:tc>
          <w:tcPr>
            <w:tcW w:w="421" w:type="pct"/>
            <w:tcBorders>
              <w:top w:val="single" w:sz="4" w:space="0" w:color="auto"/>
              <w:left w:val="nil"/>
              <w:bottom w:val="single" w:sz="4" w:space="0" w:color="auto"/>
              <w:right w:val="nil"/>
            </w:tcBorders>
          </w:tcPr>
          <w:p w14:paraId="397153E8" w14:textId="77777777" w:rsidR="00BF0763" w:rsidRPr="00BF0763" w:rsidRDefault="00BF0763" w:rsidP="00FA0384">
            <w:pPr>
              <w:widowControl w:val="0"/>
              <w:autoSpaceDE w:val="0"/>
              <w:autoSpaceDN w:val="0"/>
              <w:adjustRightInd w:val="0"/>
              <w:spacing w:line="240" w:lineRule="auto"/>
              <w:rPr>
                <w:rFonts w:eastAsia="Times New Roman" w:cs="Times New Roman"/>
                <w:b/>
                <w:bCs/>
                <w:sz w:val="20"/>
                <w:szCs w:val="20"/>
              </w:rPr>
            </w:pPr>
            <w:r w:rsidRPr="00BF0763">
              <w:rPr>
                <w:rFonts w:eastAsia="Times New Roman" w:cs="Times New Roman"/>
                <w:b/>
                <w:bCs/>
                <w:sz w:val="20"/>
                <w:szCs w:val="20"/>
              </w:rPr>
              <w:t xml:space="preserve"> </w:t>
            </w:r>
            <w:proofErr w:type="spellStart"/>
            <w:r w:rsidRPr="00BF0763">
              <w:rPr>
                <w:rFonts w:eastAsia="Times New Roman" w:cs="Times New Roman"/>
                <w:b/>
                <w:bCs/>
                <w:sz w:val="20"/>
                <w:szCs w:val="20"/>
              </w:rPr>
              <w:t>Obs</w:t>
            </w:r>
            <w:proofErr w:type="spellEnd"/>
          </w:p>
        </w:tc>
        <w:tc>
          <w:tcPr>
            <w:tcW w:w="736" w:type="pct"/>
            <w:tcBorders>
              <w:top w:val="single" w:sz="4" w:space="0" w:color="auto"/>
              <w:left w:val="nil"/>
              <w:bottom w:val="single" w:sz="4" w:space="0" w:color="auto"/>
              <w:right w:val="nil"/>
            </w:tcBorders>
          </w:tcPr>
          <w:p w14:paraId="4BACC4AC" w14:textId="77777777" w:rsidR="00BF0763" w:rsidRPr="00BF0763" w:rsidRDefault="00BF0763" w:rsidP="00FA0384">
            <w:pPr>
              <w:widowControl w:val="0"/>
              <w:autoSpaceDE w:val="0"/>
              <w:autoSpaceDN w:val="0"/>
              <w:adjustRightInd w:val="0"/>
              <w:spacing w:line="240" w:lineRule="auto"/>
              <w:rPr>
                <w:rFonts w:eastAsia="Times New Roman" w:cs="Times New Roman"/>
                <w:b/>
                <w:bCs/>
                <w:sz w:val="20"/>
                <w:szCs w:val="20"/>
              </w:rPr>
            </w:pPr>
            <w:r w:rsidRPr="00BF0763">
              <w:rPr>
                <w:rFonts w:eastAsia="Times New Roman" w:cs="Times New Roman"/>
                <w:b/>
                <w:bCs/>
                <w:sz w:val="20"/>
                <w:szCs w:val="20"/>
              </w:rPr>
              <w:t xml:space="preserve"> Mean</w:t>
            </w:r>
          </w:p>
        </w:tc>
        <w:tc>
          <w:tcPr>
            <w:tcW w:w="736" w:type="pct"/>
            <w:tcBorders>
              <w:top w:val="single" w:sz="4" w:space="0" w:color="auto"/>
              <w:left w:val="nil"/>
              <w:bottom w:val="single" w:sz="4" w:space="0" w:color="auto"/>
              <w:right w:val="nil"/>
            </w:tcBorders>
          </w:tcPr>
          <w:p w14:paraId="3E01C8B6" w14:textId="77777777" w:rsidR="00BF0763" w:rsidRPr="00BF0763" w:rsidRDefault="00BF0763" w:rsidP="00FA0384">
            <w:pPr>
              <w:widowControl w:val="0"/>
              <w:autoSpaceDE w:val="0"/>
              <w:autoSpaceDN w:val="0"/>
              <w:adjustRightInd w:val="0"/>
              <w:spacing w:line="240" w:lineRule="auto"/>
              <w:rPr>
                <w:rFonts w:eastAsia="Times New Roman" w:cs="Times New Roman"/>
                <w:b/>
                <w:bCs/>
                <w:sz w:val="20"/>
                <w:szCs w:val="20"/>
              </w:rPr>
            </w:pPr>
            <w:r w:rsidRPr="00BF0763">
              <w:rPr>
                <w:rFonts w:eastAsia="Times New Roman" w:cs="Times New Roman"/>
                <w:b/>
                <w:bCs/>
                <w:sz w:val="20"/>
                <w:szCs w:val="20"/>
              </w:rPr>
              <w:t xml:space="preserve"> Std. Dev.</w:t>
            </w:r>
          </w:p>
        </w:tc>
        <w:tc>
          <w:tcPr>
            <w:tcW w:w="736" w:type="pct"/>
            <w:tcBorders>
              <w:top w:val="single" w:sz="4" w:space="0" w:color="auto"/>
              <w:left w:val="nil"/>
              <w:bottom w:val="single" w:sz="4" w:space="0" w:color="auto"/>
              <w:right w:val="nil"/>
            </w:tcBorders>
          </w:tcPr>
          <w:p w14:paraId="657DB9DE" w14:textId="77777777" w:rsidR="00BF0763" w:rsidRPr="00BF0763" w:rsidRDefault="00BF0763" w:rsidP="00FA0384">
            <w:pPr>
              <w:widowControl w:val="0"/>
              <w:autoSpaceDE w:val="0"/>
              <w:autoSpaceDN w:val="0"/>
              <w:adjustRightInd w:val="0"/>
              <w:spacing w:line="240" w:lineRule="auto"/>
              <w:rPr>
                <w:rFonts w:eastAsia="Times New Roman" w:cs="Times New Roman"/>
                <w:b/>
                <w:bCs/>
                <w:sz w:val="20"/>
                <w:szCs w:val="20"/>
              </w:rPr>
            </w:pPr>
            <w:r w:rsidRPr="00BF0763">
              <w:rPr>
                <w:rFonts w:eastAsia="Times New Roman" w:cs="Times New Roman"/>
                <w:b/>
                <w:bCs/>
                <w:sz w:val="20"/>
                <w:szCs w:val="20"/>
              </w:rPr>
              <w:t xml:space="preserve"> Min</w:t>
            </w:r>
          </w:p>
        </w:tc>
        <w:tc>
          <w:tcPr>
            <w:tcW w:w="736" w:type="pct"/>
            <w:tcBorders>
              <w:top w:val="single" w:sz="4" w:space="0" w:color="auto"/>
              <w:left w:val="nil"/>
              <w:bottom w:val="single" w:sz="4" w:space="0" w:color="auto"/>
              <w:right w:val="nil"/>
            </w:tcBorders>
          </w:tcPr>
          <w:p w14:paraId="23506BFE" w14:textId="77777777" w:rsidR="00BF0763" w:rsidRPr="00BF0763" w:rsidRDefault="00BF0763" w:rsidP="00FA0384">
            <w:pPr>
              <w:widowControl w:val="0"/>
              <w:autoSpaceDE w:val="0"/>
              <w:autoSpaceDN w:val="0"/>
              <w:adjustRightInd w:val="0"/>
              <w:spacing w:line="240" w:lineRule="auto"/>
              <w:rPr>
                <w:rFonts w:eastAsia="Times New Roman" w:cs="Times New Roman"/>
                <w:b/>
                <w:bCs/>
                <w:sz w:val="20"/>
                <w:szCs w:val="20"/>
              </w:rPr>
            </w:pPr>
            <w:r w:rsidRPr="00BF0763">
              <w:rPr>
                <w:rFonts w:eastAsia="Times New Roman" w:cs="Times New Roman"/>
                <w:b/>
                <w:bCs/>
                <w:sz w:val="20"/>
                <w:szCs w:val="20"/>
              </w:rPr>
              <w:t xml:space="preserve"> Max</w:t>
            </w:r>
          </w:p>
        </w:tc>
      </w:tr>
      <w:tr w:rsidR="00BF0763" w:rsidRPr="00BF0763" w14:paraId="38C0344A" w14:textId="77777777" w:rsidTr="0082071D">
        <w:trPr>
          <w:jc w:val="center"/>
        </w:trPr>
        <w:tc>
          <w:tcPr>
            <w:tcW w:w="1634" w:type="pct"/>
            <w:tcBorders>
              <w:top w:val="single" w:sz="4" w:space="0" w:color="auto"/>
              <w:left w:val="nil"/>
              <w:bottom w:val="nil"/>
              <w:right w:val="nil"/>
            </w:tcBorders>
          </w:tcPr>
          <w:p w14:paraId="74BDA543" w14:textId="77777777" w:rsidR="00BF0763" w:rsidRPr="00BF0763" w:rsidRDefault="00BF0763" w:rsidP="00FA0384">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 xml:space="preserve"> Fires (1000s) (Count) (t-1)</w:t>
            </w:r>
          </w:p>
        </w:tc>
        <w:tc>
          <w:tcPr>
            <w:tcW w:w="421" w:type="pct"/>
            <w:tcBorders>
              <w:top w:val="single" w:sz="4" w:space="0" w:color="auto"/>
              <w:left w:val="nil"/>
              <w:bottom w:val="nil"/>
              <w:right w:val="nil"/>
            </w:tcBorders>
          </w:tcPr>
          <w:p w14:paraId="2A79F759" w14:textId="77777777" w:rsidR="00BF0763" w:rsidRPr="00BF0763" w:rsidRDefault="00BF0763" w:rsidP="00FA0384">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1130</w:t>
            </w:r>
          </w:p>
        </w:tc>
        <w:tc>
          <w:tcPr>
            <w:tcW w:w="736" w:type="pct"/>
            <w:tcBorders>
              <w:top w:val="single" w:sz="4" w:space="0" w:color="auto"/>
              <w:left w:val="nil"/>
              <w:bottom w:val="nil"/>
              <w:right w:val="nil"/>
            </w:tcBorders>
          </w:tcPr>
          <w:p w14:paraId="2412DC7D" w14:textId="77777777" w:rsidR="00BF0763" w:rsidRPr="00BF0763" w:rsidRDefault="00BF0763" w:rsidP="00FA0384">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.161</w:t>
            </w:r>
          </w:p>
        </w:tc>
        <w:tc>
          <w:tcPr>
            <w:tcW w:w="736" w:type="pct"/>
            <w:tcBorders>
              <w:top w:val="single" w:sz="4" w:space="0" w:color="auto"/>
              <w:left w:val="nil"/>
              <w:bottom w:val="nil"/>
              <w:right w:val="nil"/>
            </w:tcBorders>
          </w:tcPr>
          <w:p w14:paraId="02A16202" w14:textId="77777777" w:rsidR="00BF0763" w:rsidRPr="00BF0763" w:rsidRDefault="00BF0763" w:rsidP="00FA0384">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.433</w:t>
            </w:r>
          </w:p>
        </w:tc>
        <w:tc>
          <w:tcPr>
            <w:tcW w:w="736" w:type="pct"/>
            <w:tcBorders>
              <w:top w:val="single" w:sz="4" w:space="0" w:color="auto"/>
              <w:left w:val="nil"/>
              <w:bottom w:val="nil"/>
              <w:right w:val="nil"/>
            </w:tcBorders>
          </w:tcPr>
          <w:p w14:paraId="04399BDB" w14:textId="77777777" w:rsidR="00BF0763" w:rsidRPr="00BF0763" w:rsidRDefault="00BF0763" w:rsidP="00FA0384">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.001</w:t>
            </w:r>
          </w:p>
        </w:tc>
        <w:tc>
          <w:tcPr>
            <w:tcW w:w="736" w:type="pct"/>
            <w:tcBorders>
              <w:top w:val="single" w:sz="4" w:space="0" w:color="auto"/>
              <w:left w:val="nil"/>
              <w:bottom w:val="nil"/>
              <w:right w:val="nil"/>
            </w:tcBorders>
          </w:tcPr>
          <w:p w14:paraId="311CCBB9" w14:textId="77777777" w:rsidR="00BF0763" w:rsidRPr="00BF0763" w:rsidRDefault="00BF0763" w:rsidP="00FA0384">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7.90</w:t>
            </w:r>
          </w:p>
        </w:tc>
      </w:tr>
      <w:tr w:rsidR="00BF0763" w:rsidRPr="00BF0763" w14:paraId="1AF96B2B" w14:textId="77777777" w:rsidTr="00FA0384">
        <w:trPr>
          <w:jc w:val="center"/>
        </w:trPr>
        <w:tc>
          <w:tcPr>
            <w:tcW w:w="1634" w:type="pct"/>
            <w:tcBorders>
              <w:top w:val="nil"/>
              <w:left w:val="nil"/>
              <w:bottom w:val="nil"/>
              <w:right w:val="nil"/>
            </w:tcBorders>
          </w:tcPr>
          <w:p w14:paraId="40A2DF66" w14:textId="77777777" w:rsidR="00BF0763" w:rsidRPr="00BF0763" w:rsidRDefault="00BF0763" w:rsidP="00FA0384">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 County area burned (t-1) (100s)</w:t>
            </w:r>
          </w:p>
        </w:tc>
        <w:tc>
          <w:tcPr>
            <w:tcW w:w="421" w:type="pct"/>
            <w:tcBorders>
              <w:top w:val="nil"/>
              <w:left w:val="nil"/>
              <w:bottom w:val="nil"/>
              <w:right w:val="nil"/>
            </w:tcBorders>
          </w:tcPr>
          <w:p w14:paraId="43612C6A" w14:textId="77777777" w:rsidR="00BF0763" w:rsidRPr="00BF0763" w:rsidRDefault="00BF0763" w:rsidP="00FA0384">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941</w:t>
            </w:r>
          </w:p>
        </w:tc>
        <w:tc>
          <w:tcPr>
            <w:tcW w:w="736" w:type="pct"/>
            <w:tcBorders>
              <w:top w:val="nil"/>
              <w:left w:val="nil"/>
              <w:bottom w:val="nil"/>
              <w:right w:val="nil"/>
            </w:tcBorders>
          </w:tcPr>
          <w:p w14:paraId="01F1A89E" w14:textId="77777777" w:rsidR="00BF0763" w:rsidRPr="00BF0763" w:rsidRDefault="00BF0763" w:rsidP="00FA0384">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.007</w:t>
            </w:r>
          </w:p>
        </w:tc>
        <w:tc>
          <w:tcPr>
            <w:tcW w:w="736" w:type="pct"/>
            <w:tcBorders>
              <w:top w:val="nil"/>
              <w:left w:val="nil"/>
              <w:bottom w:val="nil"/>
              <w:right w:val="nil"/>
            </w:tcBorders>
          </w:tcPr>
          <w:p w14:paraId="2EDE5B2A" w14:textId="77777777" w:rsidR="00BF0763" w:rsidRPr="00BF0763" w:rsidRDefault="00BF0763" w:rsidP="00FA0384">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.02</w:t>
            </w:r>
          </w:p>
        </w:tc>
        <w:tc>
          <w:tcPr>
            <w:tcW w:w="736" w:type="pct"/>
            <w:tcBorders>
              <w:top w:val="nil"/>
              <w:left w:val="nil"/>
              <w:bottom w:val="nil"/>
              <w:right w:val="nil"/>
            </w:tcBorders>
          </w:tcPr>
          <w:p w14:paraId="235C22B8" w14:textId="77777777" w:rsidR="00BF0763" w:rsidRPr="00BF0763" w:rsidRDefault="00BF0763" w:rsidP="00FA0384">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w:t>
            </w:r>
          </w:p>
        </w:tc>
        <w:tc>
          <w:tcPr>
            <w:tcW w:w="736" w:type="pct"/>
            <w:tcBorders>
              <w:top w:val="nil"/>
              <w:left w:val="nil"/>
              <w:bottom w:val="nil"/>
              <w:right w:val="nil"/>
            </w:tcBorders>
          </w:tcPr>
          <w:p w14:paraId="20ACA9C3" w14:textId="77777777" w:rsidR="00BF0763" w:rsidRPr="00BF0763" w:rsidRDefault="00BF0763" w:rsidP="00FA0384">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.199</w:t>
            </w:r>
          </w:p>
        </w:tc>
      </w:tr>
      <w:tr w:rsidR="00BF0763" w:rsidRPr="00BF0763" w14:paraId="5AA9E176" w14:textId="77777777" w:rsidTr="00FA0384">
        <w:trPr>
          <w:jc w:val="center"/>
        </w:trPr>
        <w:tc>
          <w:tcPr>
            <w:tcW w:w="1634" w:type="pct"/>
            <w:tcBorders>
              <w:top w:val="nil"/>
              <w:left w:val="nil"/>
              <w:bottom w:val="nil"/>
              <w:right w:val="nil"/>
            </w:tcBorders>
          </w:tcPr>
          <w:p w14:paraId="6D91157A" w14:textId="77777777" w:rsidR="00BF0763" w:rsidRPr="00BF0763" w:rsidRDefault="00BF0763" w:rsidP="00FA0384">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 xml:space="preserve"> % CPAD (100s) (t-1)</w:t>
            </w:r>
          </w:p>
        </w:tc>
        <w:tc>
          <w:tcPr>
            <w:tcW w:w="421" w:type="pct"/>
            <w:tcBorders>
              <w:top w:val="nil"/>
              <w:left w:val="nil"/>
              <w:bottom w:val="nil"/>
              <w:right w:val="nil"/>
            </w:tcBorders>
          </w:tcPr>
          <w:p w14:paraId="71F1E6BF" w14:textId="77777777" w:rsidR="00BF0763" w:rsidRPr="00BF0763" w:rsidRDefault="00BF0763" w:rsidP="00FA0384">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1218</w:t>
            </w:r>
          </w:p>
        </w:tc>
        <w:tc>
          <w:tcPr>
            <w:tcW w:w="736" w:type="pct"/>
            <w:tcBorders>
              <w:top w:val="nil"/>
              <w:left w:val="nil"/>
              <w:bottom w:val="nil"/>
              <w:right w:val="nil"/>
            </w:tcBorders>
          </w:tcPr>
          <w:p w14:paraId="682E3049" w14:textId="77777777" w:rsidR="00BF0763" w:rsidRPr="00BF0763" w:rsidRDefault="00BF0763" w:rsidP="00FA0384">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.429</w:t>
            </w:r>
          </w:p>
        </w:tc>
        <w:tc>
          <w:tcPr>
            <w:tcW w:w="736" w:type="pct"/>
            <w:tcBorders>
              <w:top w:val="nil"/>
              <w:left w:val="nil"/>
              <w:bottom w:val="nil"/>
              <w:right w:val="nil"/>
            </w:tcBorders>
          </w:tcPr>
          <w:p w14:paraId="4EFF46F2" w14:textId="77777777" w:rsidR="00BF0763" w:rsidRPr="00BF0763" w:rsidRDefault="00BF0763" w:rsidP="00FA0384">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.234</w:t>
            </w:r>
          </w:p>
        </w:tc>
        <w:tc>
          <w:tcPr>
            <w:tcW w:w="736" w:type="pct"/>
            <w:tcBorders>
              <w:top w:val="nil"/>
              <w:left w:val="nil"/>
              <w:bottom w:val="nil"/>
              <w:right w:val="nil"/>
            </w:tcBorders>
          </w:tcPr>
          <w:p w14:paraId="3251975E" w14:textId="77777777" w:rsidR="00BF0763" w:rsidRPr="00BF0763" w:rsidRDefault="00BF0763" w:rsidP="00FA0384">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.012</w:t>
            </w:r>
          </w:p>
        </w:tc>
        <w:tc>
          <w:tcPr>
            <w:tcW w:w="736" w:type="pct"/>
            <w:tcBorders>
              <w:top w:val="nil"/>
              <w:left w:val="nil"/>
              <w:bottom w:val="nil"/>
              <w:right w:val="nil"/>
            </w:tcBorders>
          </w:tcPr>
          <w:p w14:paraId="7F28C8BC" w14:textId="77777777" w:rsidR="00BF0763" w:rsidRPr="00BF0763" w:rsidRDefault="00BF0763" w:rsidP="00FA0384">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0.87</w:t>
            </w:r>
          </w:p>
        </w:tc>
      </w:tr>
      <w:tr w:rsidR="00BF0763" w:rsidRPr="00BF0763" w14:paraId="2F5647CF" w14:textId="77777777" w:rsidTr="00FA0384">
        <w:trPr>
          <w:jc w:val="center"/>
        </w:trPr>
        <w:tc>
          <w:tcPr>
            <w:tcW w:w="1634" w:type="pct"/>
            <w:tcBorders>
              <w:top w:val="nil"/>
              <w:left w:val="nil"/>
              <w:bottom w:val="nil"/>
              <w:right w:val="nil"/>
            </w:tcBorders>
          </w:tcPr>
          <w:p w14:paraId="423B4DCC" w14:textId="77777777" w:rsidR="00BF0763" w:rsidRPr="00BF0763" w:rsidRDefault="00BF0763" w:rsidP="00FA0384">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 xml:space="preserve"> Housing Price Index (100s)</w:t>
            </w:r>
          </w:p>
        </w:tc>
        <w:tc>
          <w:tcPr>
            <w:tcW w:w="421" w:type="pct"/>
            <w:tcBorders>
              <w:top w:val="nil"/>
              <w:left w:val="nil"/>
              <w:bottom w:val="nil"/>
              <w:right w:val="nil"/>
            </w:tcBorders>
          </w:tcPr>
          <w:p w14:paraId="78247475" w14:textId="77777777" w:rsidR="00BF0763" w:rsidRPr="00BF0763" w:rsidRDefault="00BF0763" w:rsidP="00FA0384">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1218</w:t>
            </w:r>
          </w:p>
        </w:tc>
        <w:tc>
          <w:tcPr>
            <w:tcW w:w="736" w:type="pct"/>
            <w:tcBorders>
              <w:top w:val="nil"/>
              <w:left w:val="nil"/>
              <w:bottom w:val="nil"/>
              <w:right w:val="nil"/>
            </w:tcBorders>
          </w:tcPr>
          <w:p w14:paraId="2994952E" w14:textId="77777777" w:rsidR="00BF0763" w:rsidRPr="00BF0763" w:rsidRDefault="00BF0763" w:rsidP="00FA0384">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6.32</w:t>
            </w:r>
          </w:p>
        </w:tc>
        <w:tc>
          <w:tcPr>
            <w:tcW w:w="736" w:type="pct"/>
            <w:tcBorders>
              <w:top w:val="nil"/>
              <w:left w:val="nil"/>
              <w:bottom w:val="nil"/>
              <w:right w:val="nil"/>
            </w:tcBorders>
          </w:tcPr>
          <w:p w14:paraId="442BD61C" w14:textId="77777777" w:rsidR="00BF0763" w:rsidRPr="00BF0763" w:rsidRDefault="00BF0763" w:rsidP="00FA0384">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3.66</w:t>
            </w:r>
          </w:p>
        </w:tc>
        <w:tc>
          <w:tcPr>
            <w:tcW w:w="736" w:type="pct"/>
            <w:tcBorders>
              <w:top w:val="nil"/>
              <w:left w:val="nil"/>
              <w:bottom w:val="nil"/>
              <w:right w:val="nil"/>
            </w:tcBorders>
          </w:tcPr>
          <w:p w14:paraId="60C1C630" w14:textId="77777777" w:rsidR="00BF0763" w:rsidRPr="00BF0763" w:rsidRDefault="00BF0763" w:rsidP="00FA0384">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w:t>
            </w:r>
          </w:p>
        </w:tc>
        <w:tc>
          <w:tcPr>
            <w:tcW w:w="736" w:type="pct"/>
            <w:tcBorders>
              <w:top w:val="nil"/>
              <w:left w:val="nil"/>
              <w:bottom w:val="nil"/>
              <w:right w:val="nil"/>
            </w:tcBorders>
          </w:tcPr>
          <w:p w14:paraId="04DD0D5C" w14:textId="77777777" w:rsidR="00BF0763" w:rsidRPr="00BF0763" w:rsidRDefault="00BF0763" w:rsidP="00FA0384">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20.8</w:t>
            </w:r>
          </w:p>
        </w:tc>
      </w:tr>
      <w:tr w:rsidR="00BF0763" w:rsidRPr="00BF0763" w14:paraId="334703E5" w14:textId="77777777" w:rsidTr="00FA0384">
        <w:trPr>
          <w:jc w:val="center"/>
        </w:trPr>
        <w:tc>
          <w:tcPr>
            <w:tcW w:w="1634" w:type="pct"/>
            <w:tcBorders>
              <w:top w:val="nil"/>
              <w:left w:val="nil"/>
              <w:bottom w:val="nil"/>
              <w:right w:val="nil"/>
            </w:tcBorders>
          </w:tcPr>
          <w:p w14:paraId="1C0D8B52" w14:textId="77777777" w:rsidR="00BF0763" w:rsidRPr="00BF0763" w:rsidRDefault="00BF0763" w:rsidP="00FA0384">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 xml:space="preserve"> Poverty rate (100s)</w:t>
            </w:r>
          </w:p>
        </w:tc>
        <w:tc>
          <w:tcPr>
            <w:tcW w:w="421" w:type="pct"/>
            <w:tcBorders>
              <w:top w:val="nil"/>
              <w:left w:val="nil"/>
              <w:bottom w:val="nil"/>
              <w:right w:val="nil"/>
            </w:tcBorders>
          </w:tcPr>
          <w:p w14:paraId="4EA68854" w14:textId="77777777" w:rsidR="00BF0763" w:rsidRPr="00BF0763" w:rsidRDefault="00BF0763" w:rsidP="00FA0384">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1218</w:t>
            </w:r>
          </w:p>
        </w:tc>
        <w:tc>
          <w:tcPr>
            <w:tcW w:w="736" w:type="pct"/>
            <w:tcBorders>
              <w:top w:val="nil"/>
              <w:left w:val="nil"/>
              <w:bottom w:val="nil"/>
              <w:right w:val="nil"/>
            </w:tcBorders>
          </w:tcPr>
          <w:p w14:paraId="65C8D98D" w14:textId="77777777" w:rsidR="00BF0763" w:rsidRPr="00BF0763" w:rsidRDefault="00BF0763" w:rsidP="00FA0384">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.147</w:t>
            </w:r>
          </w:p>
        </w:tc>
        <w:tc>
          <w:tcPr>
            <w:tcW w:w="736" w:type="pct"/>
            <w:tcBorders>
              <w:top w:val="nil"/>
              <w:left w:val="nil"/>
              <w:bottom w:val="nil"/>
              <w:right w:val="nil"/>
            </w:tcBorders>
          </w:tcPr>
          <w:p w14:paraId="654EEAA9" w14:textId="77777777" w:rsidR="00BF0763" w:rsidRPr="00BF0763" w:rsidRDefault="00BF0763" w:rsidP="00FA0384">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.049</w:t>
            </w:r>
          </w:p>
        </w:tc>
        <w:tc>
          <w:tcPr>
            <w:tcW w:w="736" w:type="pct"/>
            <w:tcBorders>
              <w:top w:val="nil"/>
              <w:left w:val="nil"/>
              <w:bottom w:val="nil"/>
              <w:right w:val="nil"/>
            </w:tcBorders>
          </w:tcPr>
          <w:p w14:paraId="1F8D3993" w14:textId="77777777" w:rsidR="00BF0763" w:rsidRPr="00BF0763" w:rsidRDefault="00BF0763" w:rsidP="00FA0384">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.051</w:t>
            </w:r>
          </w:p>
        </w:tc>
        <w:tc>
          <w:tcPr>
            <w:tcW w:w="736" w:type="pct"/>
            <w:tcBorders>
              <w:top w:val="nil"/>
              <w:left w:val="nil"/>
              <w:bottom w:val="nil"/>
              <w:right w:val="nil"/>
            </w:tcBorders>
          </w:tcPr>
          <w:p w14:paraId="07E690A0" w14:textId="77777777" w:rsidR="00BF0763" w:rsidRPr="00BF0763" w:rsidRDefault="00BF0763" w:rsidP="00FA0384">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.319</w:t>
            </w:r>
          </w:p>
        </w:tc>
      </w:tr>
      <w:tr w:rsidR="00BF0763" w:rsidRPr="00BF0763" w14:paraId="0F2A3E95" w14:textId="77777777" w:rsidTr="00FA0384">
        <w:trPr>
          <w:jc w:val="center"/>
        </w:trPr>
        <w:tc>
          <w:tcPr>
            <w:tcW w:w="1634" w:type="pct"/>
            <w:tcBorders>
              <w:top w:val="nil"/>
              <w:left w:val="nil"/>
              <w:bottom w:val="nil"/>
              <w:right w:val="nil"/>
            </w:tcBorders>
          </w:tcPr>
          <w:p w14:paraId="466D43C1" w14:textId="77777777" w:rsidR="00BF0763" w:rsidRPr="00BF0763" w:rsidRDefault="00BF0763" w:rsidP="00FA0384">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 xml:space="preserve"> Median HH Income (100ks)</w:t>
            </w:r>
          </w:p>
        </w:tc>
        <w:tc>
          <w:tcPr>
            <w:tcW w:w="421" w:type="pct"/>
            <w:tcBorders>
              <w:top w:val="nil"/>
              <w:left w:val="nil"/>
              <w:bottom w:val="nil"/>
              <w:right w:val="nil"/>
            </w:tcBorders>
          </w:tcPr>
          <w:p w14:paraId="68CD1B9A" w14:textId="77777777" w:rsidR="00BF0763" w:rsidRPr="00BF0763" w:rsidRDefault="00BF0763" w:rsidP="00FA0384">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1218</w:t>
            </w:r>
          </w:p>
        </w:tc>
        <w:tc>
          <w:tcPr>
            <w:tcW w:w="736" w:type="pct"/>
            <w:tcBorders>
              <w:top w:val="nil"/>
              <w:left w:val="nil"/>
              <w:bottom w:val="nil"/>
              <w:right w:val="nil"/>
            </w:tcBorders>
          </w:tcPr>
          <w:p w14:paraId="1FA8D0A5" w14:textId="77777777" w:rsidR="00BF0763" w:rsidRPr="00BF0763" w:rsidRDefault="00BF0763" w:rsidP="00FA0384">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.51</w:t>
            </w:r>
          </w:p>
        </w:tc>
        <w:tc>
          <w:tcPr>
            <w:tcW w:w="736" w:type="pct"/>
            <w:tcBorders>
              <w:top w:val="nil"/>
              <w:left w:val="nil"/>
              <w:bottom w:val="nil"/>
              <w:right w:val="nil"/>
            </w:tcBorders>
          </w:tcPr>
          <w:p w14:paraId="2A58FA6C" w14:textId="77777777" w:rsidR="00BF0763" w:rsidRPr="00BF0763" w:rsidRDefault="00BF0763" w:rsidP="00FA0384">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.156</w:t>
            </w:r>
          </w:p>
        </w:tc>
        <w:tc>
          <w:tcPr>
            <w:tcW w:w="736" w:type="pct"/>
            <w:tcBorders>
              <w:top w:val="nil"/>
              <w:left w:val="nil"/>
              <w:bottom w:val="nil"/>
              <w:right w:val="nil"/>
            </w:tcBorders>
          </w:tcPr>
          <w:p w14:paraId="328BC8B8" w14:textId="77777777" w:rsidR="00BF0763" w:rsidRPr="00BF0763" w:rsidRDefault="00BF0763" w:rsidP="00FA0384">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.244</w:t>
            </w:r>
          </w:p>
        </w:tc>
        <w:tc>
          <w:tcPr>
            <w:tcW w:w="736" w:type="pct"/>
            <w:tcBorders>
              <w:top w:val="nil"/>
              <w:left w:val="nil"/>
              <w:bottom w:val="nil"/>
              <w:right w:val="nil"/>
            </w:tcBorders>
          </w:tcPr>
          <w:p w14:paraId="379FF943" w14:textId="77777777" w:rsidR="00BF0763" w:rsidRPr="00BF0763" w:rsidRDefault="00BF0763" w:rsidP="00FA0384">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1.26</w:t>
            </w:r>
          </w:p>
        </w:tc>
      </w:tr>
      <w:tr w:rsidR="00BF0763" w:rsidRPr="00BF0763" w14:paraId="0831E47B" w14:textId="77777777" w:rsidTr="00FA0384">
        <w:trPr>
          <w:jc w:val="center"/>
        </w:trPr>
        <w:tc>
          <w:tcPr>
            <w:tcW w:w="1634" w:type="pct"/>
            <w:tcBorders>
              <w:top w:val="nil"/>
              <w:left w:val="nil"/>
              <w:bottom w:val="nil"/>
              <w:right w:val="nil"/>
            </w:tcBorders>
          </w:tcPr>
          <w:p w14:paraId="62AF994B" w14:textId="77777777" w:rsidR="00BF0763" w:rsidRPr="00BF0763" w:rsidRDefault="00BF0763" w:rsidP="00FA0384">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 xml:space="preserve"> O3 - Attainment Status (t-1)</w:t>
            </w:r>
          </w:p>
        </w:tc>
        <w:tc>
          <w:tcPr>
            <w:tcW w:w="421" w:type="pct"/>
            <w:tcBorders>
              <w:top w:val="nil"/>
              <w:left w:val="nil"/>
              <w:bottom w:val="nil"/>
              <w:right w:val="nil"/>
            </w:tcBorders>
          </w:tcPr>
          <w:p w14:paraId="0598B0CF" w14:textId="77777777" w:rsidR="00BF0763" w:rsidRPr="00BF0763" w:rsidRDefault="00BF0763" w:rsidP="00FA0384">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1218</w:t>
            </w:r>
          </w:p>
        </w:tc>
        <w:tc>
          <w:tcPr>
            <w:tcW w:w="736" w:type="pct"/>
            <w:tcBorders>
              <w:top w:val="nil"/>
              <w:left w:val="nil"/>
              <w:bottom w:val="nil"/>
              <w:right w:val="nil"/>
            </w:tcBorders>
          </w:tcPr>
          <w:p w14:paraId="4DC3B184" w14:textId="77777777" w:rsidR="00BF0763" w:rsidRPr="00BF0763" w:rsidRDefault="00BF0763" w:rsidP="00FA0384">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.594</w:t>
            </w:r>
          </w:p>
        </w:tc>
        <w:tc>
          <w:tcPr>
            <w:tcW w:w="736" w:type="pct"/>
            <w:tcBorders>
              <w:top w:val="nil"/>
              <w:left w:val="nil"/>
              <w:bottom w:val="nil"/>
              <w:right w:val="nil"/>
            </w:tcBorders>
          </w:tcPr>
          <w:p w14:paraId="677DF742" w14:textId="77777777" w:rsidR="00BF0763" w:rsidRPr="00BF0763" w:rsidRDefault="00BF0763" w:rsidP="00FA0384">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.611</w:t>
            </w:r>
          </w:p>
        </w:tc>
        <w:tc>
          <w:tcPr>
            <w:tcW w:w="736" w:type="pct"/>
            <w:tcBorders>
              <w:top w:val="nil"/>
              <w:left w:val="nil"/>
              <w:bottom w:val="nil"/>
              <w:right w:val="nil"/>
            </w:tcBorders>
          </w:tcPr>
          <w:p w14:paraId="668384CD" w14:textId="77777777" w:rsidR="00BF0763" w:rsidRPr="00BF0763" w:rsidRDefault="00BF0763" w:rsidP="00FA0384">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w:t>
            </w:r>
          </w:p>
        </w:tc>
        <w:tc>
          <w:tcPr>
            <w:tcW w:w="736" w:type="pct"/>
            <w:tcBorders>
              <w:top w:val="nil"/>
              <w:left w:val="nil"/>
              <w:bottom w:val="nil"/>
              <w:right w:val="nil"/>
            </w:tcBorders>
          </w:tcPr>
          <w:p w14:paraId="5E8AA6E7" w14:textId="77777777" w:rsidR="00BF0763" w:rsidRPr="00BF0763" w:rsidRDefault="00BF0763" w:rsidP="00FA0384">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w:t>
            </w:r>
          </w:p>
        </w:tc>
      </w:tr>
      <w:tr w:rsidR="00BF0763" w:rsidRPr="00BF0763" w14:paraId="16145E5E" w14:textId="77777777" w:rsidTr="00FA0384">
        <w:trPr>
          <w:jc w:val="center"/>
        </w:trPr>
        <w:tc>
          <w:tcPr>
            <w:tcW w:w="1634" w:type="pct"/>
            <w:tcBorders>
              <w:top w:val="nil"/>
              <w:left w:val="nil"/>
              <w:bottom w:val="nil"/>
              <w:right w:val="nil"/>
            </w:tcBorders>
          </w:tcPr>
          <w:p w14:paraId="7D17001F" w14:textId="77777777" w:rsidR="00BF0763" w:rsidRPr="00BF0763" w:rsidRDefault="00BF0763" w:rsidP="00FA0384">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 xml:space="preserve"> PM - Attainment Status (t-1)</w:t>
            </w:r>
          </w:p>
        </w:tc>
        <w:tc>
          <w:tcPr>
            <w:tcW w:w="421" w:type="pct"/>
            <w:tcBorders>
              <w:top w:val="nil"/>
              <w:left w:val="nil"/>
              <w:bottom w:val="nil"/>
              <w:right w:val="nil"/>
            </w:tcBorders>
          </w:tcPr>
          <w:p w14:paraId="766CA35D" w14:textId="77777777" w:rsidR="00BF0763" w:rsidRPr="00BF0763" w:rsidRDefault="00BF0763" w:rsidP="00FA0384">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1218</w:t>
            </w:r>
          </w:p>
        </w:tc>
        <w:tc>
          <w:tcPr>
            <w:tcW w:w="736" w:type="pct"/>
            <w:tcBorders>
              <w:top w:val="nil"/>
              <w:left w:val="nil"/>
              <w:bottom w:val="nil"/>
              <w:right w:val="nil"/>
            </w:tcBorders>
          </w:tcPr>
          <w:p w14:paraId="40C41B99" w14:textId="77777777" w:rsidR="00BF0763" w:rsidRPr="00BF0763" w:rsidRDefault="00BF0763" w:rsidP="00FA0384">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.448</w:t>
            </w:r>
          </w:p>
        </w:tc>
        <w:tc>
          <w:tcPr>
            <w:tcW w:w="736" w:type="pct"/>
            <w:tcBorders>
              <w:top w:val="nil"/>
              <w:left w:val="nil"/>
              <w:bottom w:val="nil"/>
              <w:right w:val="nil"/>
            </w:tcBorders>
          </w:tcPr>
          <w:p w14:paraId="3E639D51" w14:textId="77777777" w:rsidR="00BF0763" w:rsidRPr="00BF0763" w:rsidRDefault="00BF0763" w:rsidP="00FA0384">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.712</w:t>
            </w:r>
          </w:p>
        </w:tc>
        <w:tc>
          <w:tcPr>
            <w:tcW w:w="736" w:type="pct"/>
            <w:tcBorders>
              <w:top w:val="nil"/>
              <w:left w:val="nil"/>
              <w:bottom w:val="nil"/>
              <w:right w:val="nil"/>
            </w:tcBorders>
          </w:tcPr>
          <w:p w14:paraId="0E96F303" w14:textId="77777777" w:rsidR="00BF0763" w:rsidRPr="00BF0763" w:rsidRDefault="00BF0763" w:rsidP="00FA0384">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w:t>
            </w:r>
          </w:p>
        </w:tc>
        <w:tc>
          <w:tcPr>
            <w:tcW w:w="736" w:type="pct"/>
            <w:tcBorders>
              <w:top w:val="nil"/>
              <w:left w:val="nil"/>
              <w:bottom w:val="nil"/>
              <w:right w:val="nil"/>
            </w:tcBorders>
          </w:tcPr>
          <w:p w14:paraId="4FF5719C" w14:textId="77777777" w:rsidR="00BF0763" w:rsidRPr="00BF0763" w:rsidRDefault="00BF0763" w:rsidP="00FA0384">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w:t>
            </w:r>
          </w:p>
        </w:tc>
      </w:tr>
      <w:tr w:rsidR="00BF0763" w:rsidRPr="00BF0763" w14:paraId="1924CDE7" w14:textId="77777777" w:rsidTr="00FA0384">
        <w:trPr>
          <w:jc w:val="center"/>
        </w:trPr>
        <w:tc>
          <w:tcPr>
            <w:tcW w:w="1634" w:type="pct"/>
            <w:tcBorders>
              <w:top w:val="nil"/>
              <w:left w:val="nil"/>
              <w:bottom w:val="nil"/>
              <w:right w:val="nil"/>
            </w:tcBorders>
          </w:tcPr>
          <w:p w14:paraId="2674F6D2" w14:textId="77777777" w:rsidR="00BF0763" w:rsidRPr="00BF0763" w:rsidRDefault="00BF0763" w:rsidP="00FA0384">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 xml:space="preserve"> Population Density (100s)</w:t>
            </w:r>
          </w:p>
        </w:tc>
        <w:tc>
          <w:tcPr>
            <w:tcW w:w="421" w:type="pct"/>
            <w:tcBorders>
              <w:top w:val="nil"/>
              <w:left w:val="nil"/>
              <w:bottom w:val="nil"/>
              <w:right w:val="nil"/>
            </w:tcBorders>
          </w:tcPr>
          <w:p w14:paraId="702D9261" w14:textId="77777777" w:rsidR="00BF0763" w:rsidRPr="00BF0763" w:rsidRDefault="00BF0763" w:rsidP="00FA0384">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1218</w:t>
            </w:r>
          </w:p>
        </w:tc>
        <w:tc>
          <w:tcPr>
            <w:tcW w:w="736" w:type="pct"/>
            <w:tcBorders>
              <w:top w:val="nil"/>
              <w:left w:val="nil"/>
              <w:bottom w:val="nil"/>
              <w:right w:val="nil"/>
            </w:tcBorders>
          </w:tcPr>
          <w:p w14:paraId="1F558701" w14:textId="77777777" w:rsidR="00BF0763" w:rsidRPr="00BF0763" w:rsidRDefault="00BF0763" w:rsidP="00FA0384">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.01</w:t>
            </w:r>
          </w:p>
        </w:tc>
        <w:tc>
          <w:tcPr>
            <w:tcW w:w="736" w:type="pct"/>
            <w:tcBorders>
              <w:top w:val="nil"/>
              <w:left w:val="nil"/>
              <w:bottom w:val="nil"/>
              <w:right w:val="nil"/>
            </w:tcBorders>
          </w:tcPr>
          <w:p w14:paraId="2F28FD44" w14:textId="77777777" w:rsidR="00BF0763" w:rsidRPr="00BF0763" w:rsidRDefault="00BF0763" w:rsidP="00FA0384">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.036</w:t>
            </w:r>
          </w:p>
        </w:tc>
        <w:tc>
          <w:tcPr>
            <w:tcW w:w="736" w:type="pct"/>
            <w:tcBorders>
              <w:top w:val="nil"/>
              <w:left w:val="nil"/>
              <w:bottom w:val="nil"/>
              <w:right w:val="nil"/>
            </w:tcBorders>
          </w:tcPr>
          <w:p w14:paraId="5288F39E" w14:textId="77777777" w:rsidR="00BF0763" w:rsidRPr="00BF0763" w:rsidRDefault="00BF0763" w:rsidP="00FA0384">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w:t>
            </w:r>
          </w:p>
        </w:tc>
        <w:tc>
          <w:tcPr>
            <w:tcW w:w="736" w:type="pct"/>
            <w:tcBorders>
              <w:top w:val="nil"/>
              <w:left w:val="nil"/>
              <w:bottom w:val="nil"/>
              <w:right w:val="nil"/>
            </w:tcBorders>
          </w:tcPr>
          <w:p w14:paraId="6AF6CD09" w14:textId="77777777" w:rsidR="00BF0763" w:rsidRPr="00BF0763" w:rsidRDefault="00BF0763" w:rsidP="00FA0384">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.294</w:t>
            </w:r>
          </w:p>
        </w:tc>
      </w:tr>
      <w:tr w:rsidR="00BF0763" w:rsidRPr="00BF0763" w14:paraId="77D61454" w14:textId="77777777" w:rsidTr="00FA0384">
        <w:trPr>
          <w:jc w:val="center"/>
        </w:trPr>
        <w:tc>
          <w:tcPr>
            <w:tcW w:w="1634" w:type="pct"/>
            <w:tcBorders>
              <w:top w:val="nil"/>
              <w:left w:val="nil"/>
              <w:right w:val="nil"/>
            </w:tcBorders>
          </w:tcPr>
          <w:p w14:paraId="33FBE5AB" w14:textId="77777777" w:rsidR="00BF0763" w:rsidRPr="00BF0763" w:rsidRDefault="00BF0763" w:rsidP="00FA0384">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 xml:space="preserve"> Precipitation (Inches)</w:t>
            </w:r>
          </w:p>
        </w:tc>
        <w:tc>
          <w:tcPr>
            <w:tcW w:w="421" w:type="pct"/>
            <w:tcBorders>
              <w:top w:val="nil"/>
              <w:left w:val="nil"/>
              <w:right w:val="nil"/>
            </w:tcBorders>
          </w:tcPr>
          <w:p w14:paraId="61A6A749" w14:textId="77777777" w:rsidR="00BF0763" w:rsidRPr="00BF0763" w:rsidRDefault="00BF0763" w:rsidP="00FA0384">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1218</w:t>
            </w:r>
          </w:p>
        </w:tc>
        <w:tc>
          <w:tcPr>
            <w:tcW w:w="736" w:type="pct"/>
            <w:tcBorders>
              <w:top w:val="nil"/>
              <w:left w:val="nil"/>
              <w:right w:val="nil"/>
            </w:tcBorders>
          </w:tcPr>
          <w:p w14:paraId="516C9760" w14:textId="77777777" w:rsidR="00BF0763" w:rsidRPr="00BF0763" w:rsidRDefault="00BF0763" w:rsidP="00FA0384">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27.3</w:t>
            </w:r>
          </w:p>
        </w:tc>
        <w:tc>
          <w:tcPr>
            <w:tcW w:w="736" w:type="pct"/>
            <w:tcBorders>
              <w:top w:val="nil"/>
              <w:left w:val="nil"/>
              <w:right w:val="nil"/>
            </w:tcBorders>
          </w:tcPr>
          <w:p w14:paraId="4DF82161" w14:textId="77777777" w:rsidR="00BF0763" w:rsidRPr="00BF0763" w:rsidRDefault="00BF0763" w:rsidP="00FA0384">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18.2</w:t>
            </w:r>
          </w:p>
        </w:tc>
        <w:tc>
          <w:tcPr>
            <w:tcW w:w="736" w:type="pct"/>
            <w:tcBorders>
              <w:top w:val="nil"/>
              <w:left w:val="nil"/>
              <w:right w:val="nil"/>
            </w:tcBorders>
          </w:tcPr>
          <w:p w14:paraId="43256878" w14:textId="77777777" w:rsidR="00BF0763" w:rsidRPr="00BF0763" w:rsidRDefault="00BF0763" w:rsidP="00FA0384">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.62</w:t>
            </w:r>
          </w:p>
        </w:tc>
        <w:tc>
          <w:tcPr>
            <w:tcW w:w="736" w:type="pct"/>
            <w:tcBorders>
              <w:top w:val="nil"/>
              <w:left w:val="nil"/>
              <w:right w:val="nil"/>
            </w:tcBorders>
          </w:tcPr>
          <w:p w14:paraId="0D25A275" w14:textId="77777777" w:rsidR="00BF0763" w:rsidRPr="00BF0763" w:rsidRDefault="00BF0763" w:rsidP="00FA0384">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112</w:t>
            </w:r>
          </w:p>
        </w:tc>
      </w:tr>
      <w:tr w:rsidR="00BF0763" w:rsidRPr="00BF0763" w14:paraId="03106B0F" w14:textId="77777777" w:rsidTr="00FA0384">
        <w:trPr>
          <w:jc w:val="center"/>
        </w:trPr>
        <w:tc>
          <w:tcPr>
            <w:tcW w:w="1634" w:type="pct"/>
            <w:tcBorders>
              <w:top w:val="nil"/>
              <w:left w:val="nil"/>
              <w:bottom w:val="single" w:sz="4" w:space="0" w:color="auto"/>
              <w:right w:val="nil"/>
            </w:tcBorders>
          </w:tcPr>
          <w:p w14:paraId="6AD6D2B3" w14:textId="77777777" w:rsidR="00BF0763" w:rsidRPr="00BF0763" w:rsidRDefault="00BF0763" w:rsidP="00FA0384">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 xml:space="preserve"> Temperature (Fahrenheit)</w:t>
            </w:r>
          </w:p>
        </w:tc>
        <w:tc>
          <w:tcPr>
            <w:tcW w:w="421" w:type="pct"/>
            <w:tcBorders>
              <w:top w:val="nil"/>
              <w:left w:val="nil"/>
              <w:bottom w:val="single" w:sz="4" w:space="0" w:color="auto"/>
              <w:right w:val="nil"/>
            </w:tcBorders>
          </w:tcPr>
          <w:p w14:paraId="4E5E045A" w14:textId="77777777" w:rsidR="00BF0763" w:rsidRPr="00BF0763" w:rsidRDefault="00BF0763" w:rsidP="00FA0384">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1218</w:t>
            </w:r>
          </w:p>
        </w:tc>
        <w:tc>
          <w:tcPr>
            <w:tcW w:w="736" w:type="pct"/>
            <w:tcBorders>
              <w:top w:val="nil"/>
              <w:left w:val="nil"/>
              <w:bottom w:val="single" w:sz="4" w:space="0" w:color="auto"/>
              <w:right w:val="nil"/>
            </w:tcBorders>
          </w:tcPr>
          <w:p w14:paraId="07D9DD1F" w14:textId="77777777" w:rsidR="00BF0763" w:rsidRPr="00BF0763" w:rsidRDefault="00BF0763" w:rsidP="00FA0384">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57.8</w:t>
            </w:r>
          </w:p>
        </w:tc>
        <w:tc>
          <w:tcPr>
            <w:tcW w:w="736" w:type="pct"/>
            <w:tcBorders>
              <w:top w:val="nil"/>
              <w:left w:val="nil"/>
              <w:bottom w:val="single" w:sz="4" w:space="0" w:color="auto"/>
              <w:right w:val="nil"/>
            </w:tcBorders>
          </w:tcPr>
          <w:p w14:paraId="4C049B5E" w14:textId="77777777" w:rsidR="00BF0763" w:rsidRPr="00BF0763" w:rsidRDefault="00BF0763" w:rsidP="00FA0384">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5.81</w:t>
            </w:r>
          </w:p>
        </w:tc>
        <w:tc>
          <w:tcPr>
            <w:tcW w:w="736" w:type="pct"/>
            <w:tcBorders>
              <w:top w:val="nil"/>
              <w:left w:val="nil"/>
              <w:bottom w:val="single" w:sz="4" w:space="0" w:color="auto"/>
              <w:right w:val="nil"/>
            </w:tcBorders>
          </w:tcPr>
          <w:p w14:paraId="67C94C53" w14:textId="77777777" w:rsidR="00BF0763" w:rsidRPr="00BF0763" w:rsidRDefault="00BF0763" w:rsidP="00FA0384">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41.6</w:t>
            </w:r>
          </w:p>
        </w:tc>
        <w:tc>
          <w:tcPr>
            <w:tcW w:w="736" w:type="pct"/>
            <w:tcBorders>
              <w:top w:val="nil"/>
              <w:left w:val="nil"/>
              <w:bottom w:val="single" w:sz="4" w:space="0" w:color="auto"/>
              <w:right w:val="nil"/>
            </w:tcBorders>
          </w:tcPr>
          <w:p w14:paraId="3081EA90" w14:textId="77777777" w:rsidR="00BF0763" w:rsidRPr="00BF0763" w:rsidRDefault="00BF0763" w:rsidP="00FA0384">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76.5</w:t>
            </w:r>
          </w:p>
        </w:tc>
      </w:tr>
    </w:tbl>
    <w:p w14:paraId="27E7E2A3" w14:textId="24A3C152" w:rsidR="00BF0763" w:rsidRPr="00A6107E" w:rsidRDefault="002A78A3" w:rsidP="004C39A4">
      <w:pPr>
        <w:spacing w:line="240" w:lineRule="auto"/>
        <w:rPr>
          <w:sz w:val="20"/>
          <w:szCs w:val="20"/>
        </w:rPr>
      </w:pPr>
      <w:r>
        <w:rPr>
          <w:sz w:val="20"/>
          <w:szCs w:val="20"/>
        </w:rPr>
        <w:t>Table A31: D</w:t>
      </w:r>
      <w:r w:rsidR="00BF0763" w:rsidRPr="00A6107E">
        <w:rPr>
          <w:sz w:val="20"/>
          <w:szCs w:val="20"/>
        </w:rPr>
        <w:t>escriptive statistics for the explanatory variables used in the analysis. Wildfire metrics include wildfire frequency (Fires), measured in thousands of annual fire counts, and wildfire intensity (% County Area Burned, scaled by 100), representing the proportion of county land burned by wildfires in the previous year (t-1). Socio-economic variables include Housing Price Index (scaled by 100s), Poverty Rate (scaled by 100s), and Median Household Income (scaled by 100,000s). Environmental and demographic controls include % CPAD (percentage county area in protected area designations, scaled by 100), attainment status for ozone (O3) and particulate matter (PM), population density (scaled by 100s), average annual precipitation (in inches), and average annual temperature (in Fahrenheit). Observations (</w:t>
      </w:r>
      <w:proofErr w:type="spellStart"/>
      <w:r w:rsidR="00BF0763" w:rsidRPr="00A6107E">
        <w:rPr>
          <w:sz w:val="20"/>
          <w:szCs w:val="20"/>
        </w:rPr>
        <w:t>Obs</w:t>
      </w:r>
      <w:proofErr w:type="spellEnd"/>
      <w:r w:rsidR="00BF0763" w:rsidRPr="00A6107E">
        <w:rPr>
          <w:sz w:val="20"/>
          <w:szCs w:val="20"/>
        </w:rPr>
        <w:t>), means, standard deviations (Std. Dev.), and ranges (Min and Max) are reported for all variables.</w:t>
      </w:r>
    </w:p>
    <w:tbl>
      <w:tblPr>
        <w:tblW w:w="5000" w:type="pct"/>
        <w:tblLook w:val="0000" w:firstRow="0" w:lastRow="0" w:firstColumn="0" w:lastColumn="0" w:noHBand="0" w:noVBand="0"/>
      </w:tblPr>
      <w:tblGrid>
        <w:gridCol w:w="9360"/>
      </w:tblGrid>
      <w:tr w:rsidR="00BF0763" w:rsidRPr="00BF0763" w14:paraId="20FDAD94" w14:textId="77777777" w:rsidTr="00B82EB9">
        <w:tc>
          <w:tcPr>
            <w:tcW w:w="1015" w:type="pct"/>
            <w:tcBorders>
              <w:top w:val="nil"/>
              <w:left w:val="nil"/>
              <w:bottom w:val="nil"/>
              <w:right w:val="nil"/>
            </w:tcBorders>
          </w:tcPr>
          <w:p w14:paraId="05EE45F0" w14:textId="77777777" w:rsidR="00BF0763" w:rsidRPr="00BF0763" w:rsidRDefault="00BF0763" w:rsidP="004C39A4">
            <w:pPr>
              <w:widowControl w:val="0"/>
              <w:autoSpaceDE w:val="0"/>
              <w:autoSpaceDN w:val="0"/>
              <w:adjustRightInd w:val="0"/>
              <w:spacing w:line="240" w:lineRule="auto"/>
              <w:rPr>
                <w:rFonts w:ascii="Garamond" w:eastAsia="Times New Roman" w:hAnsi="Garamond" w:cs="Times New Roman"/>
                <w:sz w:val="20"/>
                <w:szCs w:val="20"/>
              </w:rPr>
            </w:pPr>
          </w:p>
        </w:tc>
      </w:tr>
      <w:tr w:rsidR="00BF0763" w:rsidRPr="00BF0763" w14:paraId="6AB9A3E7" w14:textId="77777777" w:rsidTr="00B82EB9">
        <w:tc>
          <w:tcPr>
            <w:tcW w:w="1015" w:type="pct"/>
            <w:tcBorders>
              <w:top w:val="nil"/>
              <w:left w:val="nil"/>
              <w:bottom w:val="nil"/>
              <w:right w:val="nil"/>
            </w:tcBorders>
          </w:tcPr>
          <w:p w14:paraId="3EF8D2BE" w14:textId="77777777" w:rsidR="00BF0763" w:rsidRPr="00BF0763" w:rsidRDefault="00BF0763" w:rsidP="004C39A4">
            <w:pPr>
              <w:widowControl w:val="0"/>
              <w:autoSpaceDE w:val="0"/>
              <w:autoSpaceDN w:val="0"/>
              <w:adjustRightInd w:val="0"/>
              <w:spacing w:line="240" w:lineRule="auto"/>
              <w:rPr>
                <w:rFonts w:ascii="Garamond" w:eastAsia="Times New Roman" w:hAnsi="Garamond" w:cs="Times New Roman"/>
                <w:sz w:val="20"/>
                <w:szCs w:val="20"/>
              </w:rPr>
            </w:pPr>
            <w:r w:rsidRPr="00BF0763">
              <w:rPr>
                <w:rFonts w:ascii="Garamond" w:eastAsia="Times New Roman" w:hAnsi="Garamond" w:cs="Times New Roman"/>
                <w:sz w:val="20"/>
                <w:szCs w:val="20"/>
              </w:rPr>
              <w:t xml:space="preserve">  </w:t>
            </w:r>
          </w:p>
        </w:tc>
      </w:tr>
      <w:tr w:rsidR="00BF0763" w:rsidRPr="00BF0763" w14:paraId="021DC11F" w14:textId="77777777" w:rsidTr="00B82EB9">
        <w:tc>
          <w:tcPr>
            <w:tcW w:w="1015" w:type="pct"/>
            <w:tcBorders>
              <w:top w:val="nil"/>
              <w:left w:val="nil"/>
              <w:bottom w:val="nil"/>
              <w:right w:val="nil"/>
            </w:tcBorders>
          </w:tcPr>
          <w:p w14:paraId="6ED1CFCC" w14:textId="77777777" w:rsidR="00BF0763" w:rsidRPr="00BF0763" w:rsidRDefault="00BF0763" w:rsidP="004C39A4">
            <w:pPr>
              <w:widowControl w:val="0"/>
              <w:autoSpaceDE w:val="0"/>
              <w:autoSpaceDN w:val="0"/>
              <w:adjustRightInd w:val="0"/>
              <w:spacing w:line="240" w:lineRule="auto"/>
              <w:rPr>
                <w:rFonts w:ascii="Garamond" w:eastAsia="Times New Roman" w:hAnsi="Garamond" w:cs="Times New Roman"/>
                <w:sz w:val="20"/>
                <w:szCs w:val="20"/>
              </w:rPr>
            </w:pPr>
          </w:p>
        </w:tc>
      </w:tr>
      <w:tr w:rsidR="00BF0763" w:rsidRPr="00BF0763" w14:paraId="212C3EAF" w14:textId="77777777" w:rsidTr="00B82EB9">
        <w:tc>
          <w:tcPr>
            <w:tcW w:w="1015" w:type="pct"/>
            <w:tcBorders>
              <w:top w:val="nil"/>
              <w:left w:val="nil"/>
              <w:bottom w:val="nil"/>
              <w:right w:val="nil"/>
            </w:tcBorders>
          </w:tcPr>
          <w:p w14:paraId="4A86670D" w14:textId="77777777" w:rsidR="00BF0763" w:rsidRPr="00BF0763" w:rsidRDefault="00BF0763" w:rsidP="004C39A4">
            <w:pPr>
              <w:widowControl w:val="0"/>
              <w:autoSpaceDE w:val="0"/>
              <w:autoSpaceDN w:val="0"/>
              <w:adjustRightInd w:val="0"/>
              <w:spacing w:line="240" w:lineRule="auto"/>
              <w:rPr>
                <w:rFonts w:ascii="Garamond" w:eastAsia="Times New Roman" w:hAnsi="Garamond" w:cs="Times New Roman"/>
                <w:sz w:val="20"/>
                <w:szCs w:val="20"/>
              </w:rPr>
            </w:pPr>
            <w:r w:rsidRPr="00BF0763">
              <w:rPr>
                <w:rFonts w:ascii="Garamond" w:eastAsia="Times New Roman" w:hAnsi="Garamond" w:cs="Times New Roman"/>
                <w:sz w:val="20"/>
                <w:szCs w:val="20"/>
              </w:rPr>
              <w:t xml:space="preserve">  </w:t>
            </w:r>
          </w:p>
        </w:tc>
      </w:tr>
      <w:tr w:rsidR="00BF0763" w:rsidRPr="00BF0763" w14:paraId="3A9540D9" w14:textId="77777777" w:rsidTr="00B82EB9">
        <w:tc>
          <w:tcPr>
            <w:tcW w:w="1015" w:type="pct"/>
            <w:tcBorders>
              <w:top w:val="nil"/>
              <w:left w:val="nil"/>
              <w:bottom w:val="nil"/>
              <w:right w:val="nil"/>
            </w:tcBorders>
          </w:tcPr>
          <w:p w14:paraId="396D8BB4" w14:textId="77777777" w:rsidR="00BF0763" w:rsidRPr="00BF0763" w:rsidRDefault="00BF0763" w:rsidP="004C39A4">
            <w:pPr>
              <w:widowControl w:val="0"/>
              <w:autoSpaceDE w:val="0"/>
              <w:autoSpaceDN w:val="0"/>
              <w:adjustRightInd w:val="0"/>
              <w:spacing w:line="240" w:lineRule="auto"/>
              <w:rPr>
                <w:rFonts w:ascii="Garamond" w:eastAsia="Times New Roman" w:hAnsi="Garamond" w:cs="Times New Roman"/>
                <w:sz w:val="20"/>
                <w:szCs w:val="20"/>
              </w:rPr>
            </w:pPr>
          </w:p>
        </w:tc>
      </w:tr>
    </w:tbl>
    <w:p w14:paraId="0AE5911D" w14:textId="77777777" w:rsidR="00BF0763" w:rsidRPr="00BF0763" w:rsidRDefault="00BF0763" w:rsidP="004C39A4">
      <w:pPr>
        <w:spacing w:line="259" w:lineRule="auto"/>
        <w:rPr>
          <w:rFonts w:eastAsia="Times New Roman" w:cs="Times New Roman"/>
          <w:b/>
          <w:bCs/>
          <w:color w:val="2F5496"/>
        </w:rPr>
      </w:pPr>
    </w:p>
    <w:p w14:paraId="23FCB591" w14:textId="77777777" w:rsidR="00BF0763" w:rsidRPr="00BF0763" w:rsidRDefault="00BF0763" w:rsidP="004C39A4">
      <w:pPr>
        <w:rPr>
          <w:rFonts w:ascii="Calibri Light" w:eastAsia="Times New Roman" w:hAnsi="Calibri Light" w:cs="Times New Roman"/>
          <w:b/>
          <w:bCs/>
          <w:color w:val="1F3763"/>
          <w:sz w:val="22"/>
          <w:szCs w:val="22"/>
        </w:rPr>
      </w:pPr>
    </w:p>
    <w:p w14:paraId="30CE3FB6" w14:textId="77777777" w:rsidR="00BF0763" w:rsidRPr="00BF0763" w:rsidRDefault="00BF0763" w:rsidP="004C39A4">
      <w:pPr>
        <w:spacing w:line="259" w:lineRule="auto"/>
        <w:rPr>
          <w:rFonts w:ascii="Calibri Light" w:eastAsia="Times New Roman" w:hAnsi="Calibri Light" w:cs="Times New Roman"/>
          <w:b/>
          <w:bCs/>
          <w:color w:val="1F3763"/>
          <w:sz w:val="22"/>
          <w:szCs w:val="22"/>
        </w:rPr>
      </w:pPr>
      <w:r w:rsidRPr="00BF0763">
        <w:rPr>
          <w:rFonts w:ascii="Calibri Light" w:eastAsia="Times New Roman" w:hAnsi="Calibri Light" w:cs="Times New Roman"/>
          <w:b/>
          <w:bCs/>
          <w:color w:val="1F3763"/>
          <w:sz w:val="22"/>
          <w:szCs w:val="22"/>
        </w:rPr>
        <w:br w:type="page"/>
      </w:r>
    </w:p>
    <w:p w14:paraId="736F0042" w14:textId="61AA988F" w:rsidR="00BF0763" w:rsidRPr="00BF0763" w:rsidRDefault="00BF0763" w:rsidP="00A843CB">
      <w:pPr>
        <w:spacing w:line="240" w:lineRule="auto"/>
        <w:jc w:val="center"/>
        <w:rPr>
          <w:rFonts w:ascii="Calibri" w:eastAsia="Times New Roman" w:hAnsi="Calibri" w:cs="Times New Roman"/>
          <w:b/>
          <w:bCs/>
          <w:sz w:val="22"/>
          <w:szCs w:val="22"/>
        </w:rPr>
      </w:pPr>
      <w:r w:rsidRPr="00BF0763">
        <w:rPr>
          <w:rFonts w:ascii="Calibri Light" w:eastAsia="Times New Roman" w:hAnsi="Calibri Light" w:cs="Times New Roman"/>
          <w:b/>
          <w:bCs/>
          <w:color w:val="1F3763"/>
          <w:sz w:val="22"/>
          <w:szCs w:val="22"/>
        </w:rPr>
        <w:lastRenderedPageBreak/>
        <w:br/>
      </w:r>
      <w:r w:rsidRPr="00BF0763">
        <w:rPr>
          <w:rFonts w:eastAsia="Times New Roman" w:cs="Times New Roman"/>
          <w:noProof/>
          <w:color w:val="000000"/>
          <w:bdr w:val="none" w:sz="0" w:space="0" w:color="auto" w:frame="1"/>
        </w:rPr>
        <w:drawing>
          <wp:inline distT="0" distB="0" distL="0" distR="0" wp14:anchorId="49674FF1" wp14:editId="76803370">
            <wp:extent cx="5960840" cy="3124863"/>
            <wp:effectExtent l="0" t="0" r="1905" b="0"/>
            <wp:docPr id="42513215" name="Picture 16" descr="A graph with red and blu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13215" name="Picture 16" descr="A graph with red and blue lines&#10;&#10;Description automatically generated"/>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006056" cy="3148567"/>
                    </a:xfrm>
                    <a:prstGeom prst="rect">
                      <a:avLst/>
                    </a:prstGeom>
                    <a:noFill/>
                    <a:ln>
                      <a:noFill/>
                    </a:ln>
                  </pic:spPr>
                </pic:pic>
              </a:graphicData>
            </a:graphic>
          </wp:inline>
        </w:drawing>
      </w:r>
    </w:p>
    <w:p w14:paraId="49D3B719" w14:textId="3F298E7C" w:rsidR="00F83040" w:rsidRDefault="00F83040" w:rsidP="00F83040">
      <w:pPr>
        <w:pStyle w:val="Caption"/>
      </w:pPr>
      <w:bookmarkStart w:id="458" w:name="_Toc188359971"/>
      <w:bookmarkStart w:id="459" w:name="_Toc188367098"/>
      <w:r w:rsidRPr="00F83040">
        <w:t>Figure A15: Annual Trends in Precipitation and Temperature (1998–2018)</w:t>
      </w:r>
      <w:bookmarkEnd w:id="458"/>
      <w:bookmarkEnd w:id="459"/>
    </w:p>
    <w:p w14:paraId="0469C756" w14:textId="3393D80A" w:rsidR="00BF0763" w:rsidRPr="00A6107E" w:rsidRDefault="00BF0763" w:rsidP="004C39A4">
      <w:pPr>
        <w:spacing w:line="240" w:lineRule="auto"/>
        <w:rPr>
          <w:sz w:val="20"/>
          <w:szCs w:val="20"/>
        </w:rPr>
      </w:pPr>
      <w:r w:rsidRPr="00A6107E">
        <w:rPr>
          <w:sz w:val="20"/>
          <w:szCs w:val="20"/>
        </w:rPr>
        <w:t>Description: This figure illustrates the annual trends in precipitation (inches) and temperature (Fahrenheit) across California counties from 1998 to 2018. The blue line represents precipitation levels, while the red line reflects temperature trends. The graph highlights the variability in climatic conditions over time, which serves as key explanatory factors in wildfire risk and economic outcomes.</w:t>
      </w:r>
    </w:p>
    <w:p w14:paraId="6910DC52" w14:textId="77777777" w:rsidR="00BF0763" w:rsidRPr="00BF0763" w:rsidRDefault="00BF0763" w:rsidP="004C39A4">
      <w:pPr>
        <w:spacing w:line="276" w:lineRule="auto"/>
        <w:rPr>
          <w:rFonts w:ascii="Calibri" w:eastAsia="Times New Roman" w:hAnsi="Calibri" w:cs="Times New Roman"/>
          <w:sz w:val="22"/>
          <w:szCs w:val="22"/>
        </w:rPr>
      </w:pPr>
    </w:p>
    <w:p w14:paraId="46E12AD4" w14:textId="77777777" w:rsidR="00BF0763" w:rsidRPr="00BF0763" w:rsidRDefault="00BF0763" w:rsidP="004C39A4">
      <w:pPr>
        <w:spacing w:line="276" w:lineRule="auto"/>
        <w:rPr>
          <w:rFonts w:ascii="Calibri" w:eastAsia="Times New Roman" w:hAnsi="Calibri" w:cs="Times New Roman"/>
          <w:sz w:val="22"/>
          <w:szCs w:val="22"/>
        </w:rPr>
      </w:pPr>
    </w:p>
    <w:p w14:paraId="4734D637" w14:textId="77777777" w:rsidR="00BF0763" w:rsidRPr="00BF0763" w:rsidRDefault="00BF0763" w:rsidP="004C39A4">
      <w:pPr>
        <w:spacing w:line="259" w:lineRule="auto"/>
        <w:rPr>
          <w:rFonts w:ascii="Calibri Light" w:eastAsia="Times New Roman" w:hAnsi="Calibri Light" w:cs="Times New Roman"/>
          <w:b/>
          <w:bCs/>
          <w:color w:val="1F3763"/>
          <w:sz w:val="22"/>
          <w:szCs w:val="22"/>
          <w:lang/>
        </w:rPr>
      </w:pPr>
      <w:r w:rsidRPr="00BF0763">
        <w:rPr>
          <w:rFonts w:ascii="Calibri" w:eastAsia="Times New Roman" w:hAnsi="Calibri" w:cs="Times New Roman"/>
          <w:b/>
          <w:bCs/>
          <w:sz w:val="22"/>
          <w:szCs w:val="22"/>
          <w:lang/>
        </w:rPr>
        <w:br w:type="page"/>
      </w:r>
    </w:p>
    <w:p w14:paraId="27B10B5A" w14:textId="77777777" w:rsidR="00BF0763" w:rsidRPr="00BF0763" w:rsidRDefault="00BF0763" w:rsidP="004C39A4">
      <w:pPr>
        <w:spacing w:line="240" w:lineRule="auto"/>
        <w:jc w:val="center"/>
        <w:rPr>
          <w:rFonts w:eastAsia="Times New Roman" w:cs="Times New Roman"/>
          <w:lang/>
        </w:rPr>
      </w:pPr>
      <w:r w:rsidRPr="00BF0763">
        <w:rPr>
          <w:rFonts w:ascii="Calibri" w:eastAsia="Times New Roman" w:hAnsi="Calibri" w:cs="Times New Roman"/>
          <w:noProof/>
          <w:sz w:val="22"/>
          <w:szCs w:val="22"/>
        </w:rPr>
        <w:lastRenderedPageBreak/>
        <w:drawing>
          <wp:inline distT="0" distB="0" distL="0" distR="0" wp14:anchorId="17BD9E7D" wp14:editId="6EF04135">
            <wp:extent cx="5927860" cy="480258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43037" cy="4814884"/>
                    </a:xfrm>
                    <a:prstGeom prst="rect">
                      <a:avLst/>
                    </a:prstGeom>
                    <a:noFill/>
                    <a:ln>
                      <a:noFill/>
                    </a:ln>
                  </pic:spPr>
                </pic:pic>
              </a:graphicData>
            </a:graphic>
          </wp:inline>
        </w:drawing>
      </w:r>
    </w:p>
    <w:p w14:paraId="151C07A0" w14:textId="1A942DBE" w:rsidR="00A6107E" w:rsidRPr="00BF0763" w:rsidRDefault="00A6107E" w:rsidP="009D3026">
      <w:pPr>
        <w:pStyle w:val="Caption"/>
      </w:pPr>
      <w:bookmarkStart w:id="460" w:name="_Toc187564777"/>
      <w:bookmarkStart w:id="461" w:name="_Toc188359972"/>
      <w:bookmarkStart w:id="462" w:name="_Toc188367099"/>
      <w:bookmarkStart w:id="463" w:name="_Toc187556603"/>
      <w:bookmarkStart w:id="464" w:name="_Toc187222173"/>
      <w:r w:rsidRPr="00BF0763">
        <w:t>Figure A</w:t>
      </w:r>
      <w:r w:rsidR="007D52FE">
        <w:t>16</w:t>
      </w:r>
      <w:r w:rsidRPr="00BF0763">
        <w:t>: Correlation Heatmap of Explanatory Variables</w:t>
      </w:r>
      <w:bookmarkEnd w:id="460"/>
      <w:bookmarkEnd w:id="461"/>
      <w:bookmarkEnd w:id="462"/>
    </w:p>
    <w:p w14:paraId="4E0D3B16" w14:textId="35C310F4" w:rsidR="00BF0763" w:rsidRPr="00A6107E" w:rsidRDefault="002A78A3" w:rsidP="004C39A4">
      <w:pPr>
        <w:spacing w:line="240" w:lineRule="auto"/>
        <w:rPr>
          <w:b/>
          <w:bCs/>
          <w:sz w:val="20"/>
          <w:szCs w:val="20"/>
        </w:rPr>
      </w:pPr>
      <w:r>
        <w:rPr>
          <w:sz w:val="20"/>
          <w:szCs w:val="20"/>
        </w:rPr>
        <w:t xml:space="preserve">Description: </w:t>
      </w:r>
      <w:r w:rsidR="00BF0763" w:rsidRPr="00A6107E">
        <w:rPr>
          <w:sz w:val="20"/>
          <w:szCs w:val="20"/>
        </w:rPr>
        <w:t>This heatmap shows the pairwise correlations among explanatory variables used in the analysis. The correlation coefficients range from -0.4 to 1.0, with strong positive correlations shown in red and strong negative correlations in blue. The variables include socio-demographic factors (e.g., Population Density, Median Household Income, Housing Price Index), environmental conditions (e.g., Precipitation, Temperature, Protected Areas, EPA-Ozone, EPA-PM), and wildfire-related metrics (e.g., % County Burned, Fire Count). The heatmap highlights potential multicollinearity and the relationships among predictors, which are critical for model interpretation.</w:t>
      </w:r>
      <w:bookmarkEnd w:id="463"/>
    </w:p>
    <w:p w14:paraId="6CA08817" w14:textId="77777777" w:rsidR="00BF0763" w:rsidRPr="00BF0763" w:rsidRDefault="00BF0763" w:rsidP="004C39A4">
      <w:pPr>
        <w:spacing w:line="259" w:lineRule="auto"/>
        <w:rPr>
          <w:rFonts w:ascii="Calibri Light" w:eastAsia="Times New Roman" w:hAnsi="Calibri Light" w:cs="Times New Roman"/>
          <w:color w:val="4472C4"/>
          <w:sz w:val="26"/>
          <w:szCs w:val="26"/>
        </w:rPr>
      </w:pPr>
      <w:r w:rsidRPr="00BF0763">
        <w:rPr>
          <w:rFonts w:ascii="Calibri" w:eastAsia="Times New Roman" w:hAnsi="Calibri" w:cs="Times New Roman"/>
          <w:b/>
          <w:bCs/>
          <w:sz w:val="22"/>
          <w:szCs w:val="22"/>
        </w:rPr>
        <w:br w:type="page"/>
      </w:r>
    </w:p>
    <w:p w14:paraId="6591D709" w14:textId="763992EC" w:rsidR="00BF0763" w:rsidRPr="00A6107E" w:rsidRDefault="00BF0763" w:rsidP="00095E25">
      <w:pPr>
        <w:pStyle w:val="Title"/>
      </w:pPr>
      <w:bookmarkStart w:id="465" w:name="_Toc188361161"/>
      <w:bookmarkStart w:id="466" w:name="_Toc188367005"/>
      <w:bookmarkStart w:id="467" w:name="_Toc187564778"/>
      <w:bookmarkStart w:id="468" w:name="_Toc188359637"/>
      <w:bookmarkStart w:id="469" w:name="_Toc188359925"/>
      <w:r w:rsidRPr="00A6107E">
        <w:lastRenderedPageBreak/>
        <w:t>Table A3</w:t>
      </w:r>
      <w:r w:rsidR="007D52FE">
        <w:rPr>
          <w:lang w:val="en-US"/>
        </w:rPr>
        <w:t>2</w:t>
      </w:r>
      <w:r w:rsidRPr="00A6107E">
        <w:t xml:space="preserve">: </w:t>
      </w:r>
      <w:bookmarkEnd w:id="464"/>
      <w:r w:rsidRPr="00A6107E">
        <w:t xml:space="preserve">Summary of </w:t>
      </w:r>
      <w:r w:rsidR="00AB0CC4">
        <w:rPr>
          <w:lang w:val="en-US"/>
        </w:rPr>
        <w:t xml:space="preserve">LIS </w:t>
      </w:r>
      <w:r w:rsidRPr="00A6107E">
        <w:t>Regression Results: Wildfire Frequency and Intensity</w:t>
      </w:r>
      <w:bookmarkEnd w:id="465"/>
      <w:bookmarkEnd w:id="466"/>
      <w:r w:rsidRPr="00A6107E">
        <w:t xml:space="preserve"> </w:t>
      </w:r>
      <w:bookmarkEnd w:id="467"/>
      <w:bookmarkEnd w:id="468"/>
      <w:bookmarkEnd w:id="469"/>
    </w:p>
    <w:tbl>
      <w:tblPr>
        <w:tblW w:w="5000" w:type="pct"/>
        <w:jc w:val="center"/>
        <w:tblCellSpacing w:w="15" w:type="dxa"/>
        <w:tblCellMar>
          <w:top w:w="15" w:type="dxa"/>
          <w:left w:w="15" w:type="dxa"/>
          <w:bottom w:w="15" w:type="dxa"/>
          <w:right w:w="15" w:type="dxa"/>
        </w:tblCellMar>
        <w:tblLook w:val="0620" w:firstRow="1" w:lastRow="0" w:firstColumn="0" w:lastColumn="0" w:noHBand="1" w:noVBand="1"/>
      </w:tblPr>
      <w:tblGrid>
        <w:gridCol w:w="5103"/>
        <w:gridCol w:w="2166"/>
        <w:gridCol w:w="2091"/>
      </w:tblGrid>
      <w:tr w:rsidR="00BF0763" w:rsidRPr="00BF0763" w14:paraId="052FBC1B" w14:textId="77777777" w:rsidTr="0082071D">
        <w:trPr>
          <w:tblHeader/>
          <w:tblCellSpacing w:w="15" w:type="dxa"/>
          <w:jc w:val="center"/>
        </w:trPr>
        <w:tc>
          <w:tcPr>
            <w:tcW w:w="2643" w:type="pct"/>
            <w:tcBorders>
              <w:top w:val="single" w:sz="4" w:space="0" w:color="auto"/>
              <w:bottom w:val="single" w:sz="4" w:space="0" w:color="auto"/>
            </w:tcBorders>
            <w:vAlign w:val="center"/>
            <w:hideMark/>
          </w:tcPr>
          <w:p w14:paraId="26F357B4" w14:textId="3084F250" w:rsidR="00BF0763" w:rsidRPr="00BF0763" w:rsidRDefault="001F2F98" w:rsidP="0082071D">
            <w:pPr>
              <w:spacing w:line="240" w:lineRule="auto"/>
              <w:rPr>
                <w:rFonts w:eastAsia="Times New Roman" w:cs="Times New Roman"/>
                <w:b/>
                <w:bCs/>
                <w:sz w:val="20"/>
                <w:szCs w:val="20"/>
                <w:lang/>
              </w:rPr>
            </w:pPr>
            <w:r>
              <w:rPr>
                <w:rFonts w:eastAsia="Times New Roman" w:cs="Times New Roman"/>
                <w:b/>
                <w:bCs/>
                <w:sz w:val="20"/>
                <w:szCs w:val="20"/>
                <w:lang/>
              </w:rPr>
              <w:t>Dependent Variable</w:t>
            </w:r>
          </w:p>
        </w:tc>
        <w:tc>
          <w:tcPr>
            <w:tcW w:w="1116" w:type="pct"/>
            <w:tcBorders>
              <w:top w:val="single" w:sz="4" w:space="0" w:color="auto"/>
              <w:bottom w:val="single" w:sz="4" w:space="0" w:color="auto"/>
            </w:tcBorders>
            <w:vAlign w:val="center"/>
            <w:hideMark/>
          </w:tcPr>
          <w:p w14:paraId="6078494A" w14:textId="77777777" w:rsidR="00BF0763" w:rsidRPr="00BF0763" w:rsidRDefault="00000000" w:rsidP="0082071D">
            <w:pPr>
              <w:spacing w:line="240" w:lineRule="auto"/>
              <w:rPr>
                <w:rFonts w:eastAsia="Times New Roman" w:cs="Times New Roman"/>
                <w:b/>
                <w:bCs/>
                <w:sz w:val="20"/>
                <w:szCs w:val="20"/>
                <w:lang/>
              </w:rPr>
            </w:pPr>
            <m:oMathPara>
              <m:oMath>
                <m:sSub>
                  <m:sSubPr>
                    <m:ctrlPr>
                      <w:rPr>
                        <w:rFonts w:ascii="Cambria Math" w:eastAsia="Times New Roman" w:hAnsi="Cambria Math" w:cs="Times New Roman"/>
                        <w:b/>
                        <w:bCs/>
                        <w:i/>
                        <w:sz w:val="20"/>
                        <w:szCs w:val="20"/>
                        <w:lang/>
                      </w:rPr>
                    </m:ctrlPr>
                  </m:sSubPr>
                  <m:e>
                    <m:r>
                      <m:rPr>
                        <m:sty m:val="bi"/>
                      </m:rPr>
                      <w:rPr>
                        <w:rFonts w:ascii="Cambria Math" w:eastAsia="Times New Roman" w:hAnsi="Cambria Math" w:cs="Times New Roman"/>
                        <w:sz w:val="20"/>
                        <w:szCs w:val="20"/>
                        <w:lang/>
                      </w:rPr>
                      <m:t>β</m:t>
                    </m:r>
                  </m:e>
                  <m:sub>
                    <m:r>
                      <m:rPr>
                        <m:sty m:val="bi"/>
                      </m:rPr>
                      <w:rPr>
                        <w:rFonts w:ascii="Cambria Math" w:eastAsia="Times New Roman" w:hAnsi="Cambria Math" w:cs="Times New Roman"/>
                        <w:sz w:val="20"/>
                        <w:szCs w:val="20"/>
                        <w:lang/>
                      </w:rPr>
                      <m:t>1</m:t>
                    </m:r>
                  </m:sub>
                </m:sSub>
              </m:oMath>
            </m:oMathPara>
          </w:p>
        </w:tc>
        <w:tc>
          <w:tcPr>
            <w:tcW w:w="1069" w:type="pct"/>
            <w:tcBorders>
              <w:top w:val="single" w:sz="4" w:space="0" w:color="auto"/>
              <w:bottom w:val="single" w:sz="4" w:space="0" w:color="auto"/>
            </w:tcBorders>
            <w:vAlign w:val="center"/>
            <w:hideMark/>
          </w:tcPr>
          <w:p w14:paraId="01A07EDE" w14:textId="77777777" w:rsidR="00BF0763" w:rsidRPr="00BF0763" w:rsidRDefault="00000000" w:rsidP="0082071D">
            <w:pPr>
              <w:spacing w:line="240" w:lineRule="auto"/>
              <w:rPr>
                <w:rFonts w:eastAsia="Times New Roman" w:cs="Times New Roman"/>
                <w:b/>
                <w:bCs/>
                <w:sz w:val="20"/>
                <w:szCs w:val="20"/>
                <w:lang/>
              </w:rPr>
            </w:pPr>
            <m:oMathPara>
              <m:oMath>
                <m:sSub>
                  <m:sSubPr>
                    <m:ctrlPr>
                      <w:rPr>
                        <w:rFonts w:ascii="Cambria Math" w:eastAsia="Times New Roman" w:hAnsi="Cambria Math" w:cs="Times New Roman"/>
                        <w:b/>
                        <w:bCs/>
                        <w:i/>
                        <w:sz w:val="20"/>
                        <w:szCs w:val="20"/>
                        <w:lang/>
                      </w:rPr>
                    </m:ctrlPr>
                  </m:sSubPr>
                  <m:e>
                    <m:r>
                      <m:rPr>
                        <m:sty m:val="bi"/>
                      </m:rPr>
                      <w:rPr>
                        <w:rFonts w:ascii="Cambria Math" w:eastAsia="Times New Roman" w:hAnsi="Cambria Math" w:cs="Times New Roman"/>
                        <w:sz w:val="20"/>
                        <w:szCs w:val="20"/>
                        <w:lang/>
                      </w:rPr>
                      <m:t>β</m:t>
                    </m:r>
                  </m:e>
                  <m:sub>
                    <m:r>
                      <m:rPr>
                        <m:sty m:val="bi"/>
                      </m:rPr>
                      <w:rPr>
                        <w:rFonts w:ascii="Cambria Math" w:eastAsia="Times New Roman" w:hAnsi="Cambria Math" w:cs="Times New Roman"/>
                        <w:sz w:val="20"/>
                        <w:szCs w:val="20"/>
                        <w:lang/>
                      </w:rPr>
                      <m:t>2</m:t>
                    </m:r>
                  </m:sub>
                </m:sSub>
              </m:oMath>
            </m:oMathPara>
          </w:p>
        </w:tc>
      </w:tr>
      <w:tr w:rsidR="00BF0763" w:rsidRPr="00BF0763" w14:paraId="4B2AF574" w14:textId="77777777" w:rsidTr="0082071D">
        <w:trPr>
          <w:tblCellSpacing w:w="15" w:type="dxa"/>
          <w:jc w:val="center"/>
        </w:trPr>
        <w:tc>
          <w:tcPr>
            <w:tcW w:w="2643" w:type="pct"/>
            <w:vAlign w:val="center"/>
            <w:hideMark/>
          </w:tcPr>
          <w:p w14:paraId="135006CB" w14:textId="77777777" w:rsidR="00BF0763" w:rsidRPr="00BF0763" w:rsidRDefault="00BF0763" w:rsidP="0082071D">
            <w:pPr>
              <w:spacing w:line="240" w:lineRule="auto"/>
              <w:rPr>
                <w:rFonts w:eastAsia="Times New Roman" w:cs="Times New Roman"/>
                <w:sz w:val="20"/>
                <w:szCs w:val="20"/>
                <w:lang/>
              </w:rPr>
            </w:pPr>
            <w:r w:rsidRPr="00BF0763">
              <w:rPr>
                <w:rFonts w:eastAsia="Times New Roman" w:cs="Times New Roman"/>
                <w:sz w:val="20"/>
                <w:szCs w:val="20"/>
                <w:lang/>
              </w:rPr>
              <w:t>Births</w:t>
            </w:r>
          </w:p>
        </w:tc>
        <w:tc>
          <w:tcPr>
            <w:tcW w:w="1116" w:type="pct"/>
            <w:vAlign w:val="center"/>
            <w:hideMark/>
          </w:tcPr>
          <w:p w14:paraId="00215474" w14:textId="77777777" w:rsidR="00BF0763" w:rsidRPr="00BF0763" w:rsidRDefault="00BF0763" w:rsidP="0082071D">
            <w:pPr>
              <w:spacing w:line="240" w:lineRule="auto"/>
              <w:jc w:val="center"/>
              <w:rPr>
                <w:rFonts w:eastAsia="Times New Roman" w:cs="Times New Roman"/>
                <w:sz w:val="20"/>
                <w:szCs w:val="20"/>
                <w:lang/>
              </w:rPr>
            </w:pPr>
            <w:r w:rsidRPr="00BF0763">
              <w:rPr>
                <w:rFonts w:eastAsia="Times New Roman" w:cs="Times New Roman"/>
                <w:sz w:val="20"/>
                <w:szCs w:val="20"/>
                <w:lang/>
              </w:rPr>
              <w:t>+</w:t>
            </w:r>
          </w:p>
        </w:tc>
        <w:tc>
          <w:tcPr>
            <w:tcW w:w="1069" w:type="pct"/>
            <w:vAlign w:val="center"/>
            <w:hideMark/>
          </w:tcPr>
          <w:p w14:paraId="19B18AEA" w14:textId="77777777" w:rsidR="00BF0763" w:rsidRPr="00BF0763" w:rsidRDefault="00BF0763" w:rsidP="0082071D">
            <w:pPr>
              <w:spacing w:line="240" w:lineRule="auto"/>
              <w:jc w:val="center"/>
              <w:rPr>
                <w:rFonts w:eastAsia="Times New Roman" w:cs="Times New Roman"/>
                <w:sz w:val="20"/>
                <w:szCs w:val="20"/>
                <w:lang/>
              </w:rPr>
            </w:pPr>
            <w:r w:rsidRPr="00BF0763">
              <w:rPr>
                <w:rFonts w:eastAsia="Times New Roman" w:cs="Times New Roman"/>
                <w:sz w:val="20"/>
                <w:szCs w:val="20"/>
                <w:lang/>
              </w:rPr>
              <w:t>-0.842**</w:t>
            </w:r>
          </w:p>
        </w:tc>
      </w:tr>
      <w:tr w:rsidR="00BF0763" w:rsidRPr="00BF0763" w14:paraId="6A22B1CA" w14:textId="77777777" w:rsidTr="0082071D">
        <w:trPr>
          <w:tblCellSpacing w:w="15" w:type="dxa"/>
          <w:jc w:val="center"/>
        </w:trPr>
        <w:tc>
          <w:tcPr>
            <w:tcW w:w="2643" w:type="pct"/>
            <w:vAlign w:val="center"/>
            <w:hideMark/>
          </w:tcPr>
          <w:p w14:paraId="4A173141" w14:textId="77777777" w:rsidR="00BF0763" w:rsidRPr="00BF0763" w:rsidRDefault="00BF0763" w:rsidP="0082071D">
            <w:pPr>
              <w:spacing w:line="240" w:lineRule="auto"/>
              <w:rPr>
                <w:rFonts w:eastAsia="Times New Roman" w:cs="Times New Roman"/>
                <w:sz w:val="20"/>
                <w:szCs w:val="20"/>
                <w:lang/>
              </w:rPr>
            </w:pPr>
            <w:r w:rsidRPr="00BF0763">
              <w:rPr>
                <w:rFonts w:eastAsia="Times New Roman" w:cs="Times New Roman"/>
                <w:sz w:val="20"/>
                <w:szCs w:val="20"/>
                <w:lang/>
              </w:rPr>
              <w:t>Inward Migrations</w:t>
            </w:r>
          </w:p>
        </w:tc>
        <w:tc>
          <w:tcPr>
            <w:tcW w:w="1116" w:type="pct"/>
            <w:vAlign w:val="center"/>
            <w:hideMark/>
          </w:tcPr>
          <w:p w14:paraId="76C95F21" w14:textId="77777777" w:rsidR="00BF0763" w:rsidRPr="00BF0763" w:rsidRDefault="00BF0763" w:rsidP="0082071D">
            <w:pPr>
              <w:spacing w:line="240" w:lineRule="auto"/>
              <w:jc w:val="center"/>
              <w:rPr>
                <w:rFonts w:eastAsia="Times New Roman" w:cs="Times New Roman"/>
                <w:sz w:val="20"/>
                <w:szCs w:val="20"/>
                <w:lang/>
              </w:rPr>
            </w:pPr>
            <w:r w:rsidRPr="00BF0763">
              <w:rPr>
                <w:rFonts w:eastAsia="Times New Roman" w:cs="Times New Roman"/>
                <w:sz w:val="20"/>
                <w:szCs w:val="20"/>
                <w:lang/>
              </w:rPr>
              <w:t>+</w:t>
            </w:r>
          </w:p>
        </w:tc>
        <w:tc>
          <w:tcPr>
            <w:tcW w:w="1069" w:type="pct"/>
            <w:vAlign w:val="center"/>
            <w:hideMark/>
          </w:tcPr>
          <w:p w14:paraId="265370FF" w14:textId="77777777" w:rsidR="00BF0763" w:rsidRPr="00BF0763" w:rsidRDefault="00BF0763" w:rsidP="0082071D">
            <w:pPr>
              <w:spacing w:line="240" w:lineRule="auto"/>
              <w:jc w:val="center"/>
              <w:rPr>
                <w:rFonts w:eastAsia="Times New Roman" w:cs="Times New Roman"/>
                <w:sz w:val="20"/>
                <w:szCs w:val="20"/>
                <w:lang/>
              </w:rPr>
            </w:pPr>
            <w:r w:rsidRPr="00BF0763">
              <w:rPr>
                <w:rFonts w:eastAsia="Times New Roman" w:cs="Times New Roman"/>
                <w:sz w:val="20"/>
                <w:szCs w:val="20"/>
                <w:lang/>
              </w:rPr>
              <w:t>-</w:t>
            </w:r>
          </w:p>
        </w:tc>
      </w:tr>
      <w:tr w:rsidR="00BF0763" w:rsidRPr="00BF0763" w14:paraId="6B3FA3F9" w14:textId="77777777" w:rsidTr="0082071D">
        <w:trPr>
          <w:tblCellSpacing w:w="15" w:type="dxa"/>
          <w:jc w:val="center"/>
        </w:trPr>
        <w:tc>
          <w:tcPr>
            <w:tcW w:w="2643" w:type="pct"/>
            <w:vAlign w:val="center"/>
            <w:hideMark/>
          </w:tcPr>
          <w:p w14:paraId="500B7357" w14:textId="77777777" w:rsidR="00BF0763" w:rsidRPr="00BF0763" w:rsidRDefault="00BF0763" w:rsidP="0082071D">
            <w:pPr>
              <w:spacing w:line="240" w:lineRule="auto"/>
              <w:rPr>
                <w:rFonts w:eastAsia="Times New Roman" w:cs="Times New Roman"/>
                <w:sz w:val="20"/>
                <w:szCs w:val="20"/>
                <w:lang/>
              </w:rPr>
            </w:pPr>
            <w:r w:rsidRPr="00BF0763">
              <w:rPr>
                <w:rFonts w:eastAsia="Times New Roman" w:cs="Times New Roman"/>
                <w:sz w:val="20"/>
                <w:szCs w:val="20"/>
                <w:lang/>
              </w:rPr>
              <w:t>Deaths</w:t>
            </w:r>
          </w:p>
        </w:tc>
        <w:tc>
          <w:tcPr>
            <w:tcW w:w="1116" w:type="pct"/>
            <w:vAlign w:val="center"/>
            <w:hideMark/>
          </w:tcPr>
          <w:p w14:paraId="6254AC17" w14:textId="77777777" w:rsidR="00BF0763" w:rsidRPr="00BF0763" w:rsidRDefault="00BF0763" w:rsidP="0082071D">
            <w:pPr>
              <w:spacing w:line="240" w:lineRule="auto"/>
              <w:jc w:val="center"/>
              <w:rPr>
                <w:rFonts w:eastAsia="Times New Roman" w:cs="Times New Roman"/>
                <w:sz w:val="20"/>
                <w:szCs w:val="20"/>
                <w:lang/>
              </w:rPr>
            </w:pPr>
            <w:r w:rsidRPr="00BF0763">
              <w:rPr>
                <w:rFonts w:eastAsia="Times New Roman" w:cs="Times New Roman"/>
                <w:sz w:val="20"/>
                <w:szCs w:val="20"/>
                <w:lang/>
              </w:rPr>
              <w:t>0.094***</w:t>
            </w:r>
          </w:p>
        </w:tc>
        <w:tc>
          <w:tcPr>
            <w:tcW w:w="1069" w:type="pct"/>
            <w:vAlign w:val="center"/>
            <w:hideMark/>
          </w:tcPr>
          <w:p w14:paraId="655AE63D" w14:textId="77777777" w:rsidR="00BF0763" w:rsidRPr="00BF0763" w:rsidRDefault="00BF0763" w:rsidP="0082071D">
            <w:pPr>
              <w:spacing w:line="240" w:lineRule="auto"/>
              <w:jc w:val="center"/>
              <w:rPr>
                <w:rFonts w:eastAsia="Times New Roman" w:cs="Times New Roman"/>
                <w:sz w:val="20"/>
                <w:szCs w:val="20"/>
                <w:lang/>
              </w:rPr>
            </w:pPr>
            <w:r w:rsidRPr="00BF0763">
              <w:rPr>
                <w:rFonts w:eastAsia="Times New Roman" w:cs="Times New Roman"/>
                <w:sz w:val="20"/>
                <w:szCs w:val="20"/>
                <w:lang/>
              </w:rPr>
              <w:t>-</w:t>
            </w:r>
          </w:p>
        </w:tc>
      </w:tr>
      <w:tr w:rsidR="00BF0763" w:rsidRPr="00BF0763" w14:paraId="6623A48E" w14:textId="77777777" w:rsidTr="0082071D">
        <w:trPr>
          <w:tblCellSpacing w:w="15" w:type="dxa"/>
          <w:jc w:val="center"/>
        </w:trPr>
        <w:tc>
          <w:tcPr>
            <w:tcW w:w="2643" w:type="pct"/>
            <w:vAlign w:val="center"/>
            <w:hideMark/>
          </w:tcPr>
          <w:p w14:paraId="0382844B" w14:textId="77777777" w:rsidR="00BF0763" w:rsidRPr="00BF0763" w:rsidRDefault="00BF0763" w:rsidP="0082071D">
            <w:pPr>
              <w:spacing w:line="240" w:lineRule="auto"/>
              <w:rPr>
                <w:rFonts w:eastAsia="Times New Roman" w:cs="Times New Roman"/>
                <w:sz w:val="20"/>
                <w:szCs w:val="20"/>
                <w:lang/>
              </w:rPr>
            </w:pPr>
            <w:r w:rsidRPr="00BF0763">
              <w:rPr>
                <w:rFonts w:eastAsia="Times New Roman" w:cs="Times New Roman"/>
                <w:sz w:val="20"/>
                <w:szCs w:val="20"/>
                <w:lang/>
              </w:rPr>
              <w:t>Outward Migrations</w:t>
            </w:r>
          </w:p>
        </w:tc>
        <w:tc>
          <w:tcPr>
            <w:tcW w:w="1116" w:type="pct"/>
            <w:vAlign w:val="center"/>
            <w:hideMark/>
          </w:tcPr>
          <w:p w14:paraId="4119D609" w14:textId="77777777" w:rsidR="00BF0763" w:rsidRPr="00BF0763" w:rsidRDefault="00BF0763" w:rsidP="0082071D">
            <w:pPr>
              <w:spacing w:line="240" w:lineRule="auto"/>
              <w:jc w:val="center"/>
              <w:rPr>
                <w:rFonts w:eastAsia="Times New Roman" w:cs="Times New Roman"/>
                <w:sz w:val="20"/>
                <w:szCs w:val="20"/>
                <w:lang/>
              </w:rPr>
            </w:pPr>
            <w:r w:rsidRPr="00BF0763">
              <w:rPr>
                <w:rFonts w:eastAsia="Times New Roman" w:cs="Times New Roman"/>
                <w:sz w:val="20"/>
                <w:szCs w:val="20"/>
                <w:lang/>
              </w:rPr>
              <w:t>1.40***</w:t>
            </w:r>
          </w:p>
        </w:tc>
        <w:tc>
          <w:tcPr>
            <w:tcW w:w="1069" w:type="pct"/>
            <w:vAlign w:val="center"/>
            <w:hideMark/>
          </w:tcPr>
          <w:p w14:paraId="1734F83B" w14:textId="77777777" w:rsidR="00BF0763" w:rsidRPr="00BF0763" w:rsidRDefault="00BF0763" w:rsidP="0082071D">
            <w:pPr>
              <w:spacing w:line="240" w:lineRule="auto"/>
              <w:jc w:val="center"/>
              <w:rPr>
                <w:rFonts w:eastAsia="Times New Roman" w:cs="Times New Roman"/>
                <w:sz w:val="20"/>
                <w:szCs w:val="20"/>
                <w:lang/>
              </w:rPr>
            </w:pPr>
            <w:r w:rsidRPr="00BF0763">
              <w:rPr>
                <w:rFonts w:eastAsia="Times New Roman" w:cs="Times New Roman"/>
                <w:sz w:val="20"/>
                <w:szCs w:val="20"/>
                <w:lang/>
              </w:rPr>
              <w:t>+</w:t>
            </w:r>
          </w:p>
        </w:tc>
      </w:tr>
      <w:tr w:rsidR="00BF0763" w:rsidRPr="00BF0763" w14:paraId="156A9B81" w14:textId="77777777" w:rsidTr="0082071D">
        <w:trPr>
          <w:tblCellSpacing w:w="15" w:type="dxa"/>
          <w:jc w:val="center"/>
        </w:trPr>
        <w:tc>
          <w:tcPr>
            <w:tcW w:w="2643" w:type="pct"/>
            <w:vAlign w:val="center"/>
            <w:hideMark/>
          </w:tcPr>
          <w:p w14:paraId="006CD37A" w14:textId="77777777" w:rsidR="00BF0763" w:rsidRPr="00BF0763" w:rsidRDefault="00BF0763" w:rsidP="0082071D">
            <w:pPr>
              <w:spacing w:line="240" w:lineRule="auto"/>
              <w:rPr>
                <w:rFonts w:eastAsia="Times New Roman" w:cs="Times New Roman"/>
                <w:sz w:val="20"/>
                <w:szCs w:val="20"/>
                <w:lang/>
              </w:rPr>
            </w:pPr>
            <w:r w:rsidRPr="00BF0763">
              <w:rPr>
                <w:rFonts w:eastAsia="Times New Roman" w:cs="Times New Roman"/>
                <w:sz w:val="20"/>
                <w:szCs w:val="20"/>
                <w:lang/>
              </w:rPr>
              <w:t>Employment Numbers</w:t>
            </w:r>
          </w:p>
        </w:tc>
        <w:tc>
          <w:tcPr>
            <w:tcW w:w="1116" w:type="pct"/>
            <w:vAlign w:val="center"/>
            <w:hideMark/>
          </w:tcPr>
          <w:p w14:paraId="69F99468" w14:textId="77777777" w:rsidR="00BF0763" w:rsidRPr="00BF0763" w:rsidRDefault="00BF0763" w:rsidP="0082071D">
            <w:pPr>
              <w:spacing w:line="240" w:lineRule="auto"/>
              <w:jc w:val="center"/>
              <w:rPr>
                <w:rFonts w:eastAsia="Times New Roman" w:cs="Times New Roman"/>
                <w:sz w:val="20"/>
                <w:szCs w:val="20"/>
                <w:lang/>
              </w:rPr>
            </w:pPr>
            <w:r w:rsidRPr="00BF0763">
              <w:rPr>
                <w:rFonts w:eastAsia="Times New Roman" w:cs="Times New Roman"/>
                <w:sz w:val="20"/>
                <w:szCs w:val="20"/>
                <w:lang/>
              </w:rPr>
              <w:t>+</w:t>
            </w:r>
          </w:p>
        </w:tc>
        <w:tc>
          <w:tcPr>
            <w:tcW w:w="1069" w:type="pct"/>
            <w:vAlign w:val="center"/>
            <w:hideMark/>
          </w:tcPr>
          <w:p w14:paraId="26BF569D" w14:textId="77777777" w:rsidR="00BF0763" w:rsidRPr="00BF0763" w:rsidRDefault="00BF0763" w:rsidP="0082071D">
            <w:pPr>
              <w:spacing w:line="240" w:lineRule="auto"/>
              <w:jc w:val="center"/>
              <w:rPr>
                <w:rFonts w:eastAsia="Times New Roman" w:cs="Times New Roman"/>
                <w:sz w:val="20"/>
                <w:szCs w:val="20"/>
                <w:lang/>
              </w:rPr>
            </w:pPr>
            <w:r w:rsidRPr="00BF0763">
              <w:rPr>
                <w:rFonts w:eastAsia="Times New Roman" w:cs="Times New Roman"/>
                <w:sz w:val="20"/>
                <w:szCs w:val="20"/>
                <w:lang/>
              </w:rPr>
              <w:t>+</w:t>
            </w:r>
          </w:p>
        </w:tc>
      </w:tr>
      <w:tr w:rsidR="00BF0763" w:rsidRPr="00BF0763" w14:paraId="240647F8" w14:textId="77777777" w:rsidTr="0082071D">
        <w:trPr>
          <w:tblCellSpacing w:w="15" w:type="dxa"/>
          <w:jc w:val="center"/>
        </w:trPr>
        <w:tc>
          <w:tcPr>
            <w:tcW w:w="2643" w:type="pct"/>
            <w:tcBorders>
              <w:bottom w:val="single" w:sz="4" w:space="0" w:color="auto"/>
            </w:tcBorders>
            <w:vAlign w:val="center"/>
            <w:hideMark/>
          </w:tcPr>
          <w:p w14:paraId="35DC6EDE" w14:textId="77777777" w:rsidR="00BF0763" w:rsidRPr="00BF0763" w:rsidRDefault="00BF0763" w:rsidP="0082071D">
            <w:pPr>
              <w:spacing w:line="240" w:lineRule="auto"/>
              <w:rPr>
                <w:rFonts w:eastAsia="Times New Roman" w:cs="Times New Roman"/>
                <w:sz w:val="20"/>
                <w:szCs w:val="20"/>
                <w:lang/>
              </w:rPr>
            </w:pPr>
            <w:r w:rsidRPr="00BF0763">
              <w:rPr>
                <w:rFonts w:eastAsia="Times New Roman" w:cs="Times New Roman"/>
                <w:sz w:val="20"/>
                <w:szCs w:val="20"/>
                <w:lang/>
              </w:rPr>
              <w:t>Sales Performance</w:t>
            </w:r>
          </w:p>
        </w:tc>
        <w:tc>
          <w:tcPr>
            <w:tcW w:w="1116" w:type="pct"/>
            <w:tcBorders>
              <w:bottom w:val="single" w:sz="4" w:space="0" w:color="auto"/>
            </w:tcBorders>
            <w:vAlign w:val="center"/>
            <w:hideMark/>
          </w:tcPr>
          <w:p w14:paraId="64960DAB" w14:textId="77777777" w:rsidR="00BF0763" w:rsidRPr="00BF0763" w:rsidRDefault="00BF0763" w:rsidP="0082071D">
            <w:pPr>
              <w:spacing w:line="240" w:lineRule="auto"/>
              <w:jc w:val="center"/>
              <w:rPr>
                <w:rFonts w:eastAsia="Times New Roman" w:cs="Times New Roman"/>
                <w:sz w:val="20"/>
                <w:szCs w:val="20"/>
                <w:lang/>
              </w:rPr>
            </w:pPr>
            <w:r w:rsidRPr="00BF0763">
              <w:rPr>
                <w:rFonts w:eastAsia="Times New Roman" w:cs="Times New Roman"/>
                <w:sz w:val="20"/>
                <w:szCs w:val="20"/>
                <w:lang/>
              </w:rPr>
              <w:t>+</w:t>
            </w:r>
          </w:p>
        </w:tc>
        <w:tc>
          <w:tcPr>
            <w:tcW w:w="1069" w:type="pct"/>
            <w:tcBorders>
              <w:bottom w:val="single" w:sz="4" w:space="0" w:color="auto"/>
            </w:tcBorders>
            <w:vAlign w:val="center"/>
            <w:hideMark/>
          </w:tcPr>
          <w:p w14:paraId="6B973CD9" w14:textId="77777777" w:rsidR="00BF0763" w:rsidRPr="00BF0763" w:rsidRDefault="00BF0763" w:rsidP="0082071D">
            <w:pPr>
              <w:spacing w:line="240" w:lineRule="auto"/>
              <w:jc w:val="center"/>
              <w:rPr>
                <w:rFonts w:eastAsia="Times New Roman" w:cs="Times New Roman"/>
                <w:sz w:val="20"/>
                <w:szCs w:val="20"/>
                <w:lang/>
              </w:rPr>
            </w:pPr>
            <w:r w:rsidRPr="00BF0763">
              <w:rPr>
                <w:rFonts w:eastAsia="Times New Roman" w:cs="Times New Roman"/>
                <w:sz w:val="20"/>
                <w:szCs w:val="20"/>
                <w:lang/>
              </w:rPr>
              <w:t>2.26***</w:t>
            </w:r>
          </w:p>
        </w:tc>
      </w:tr>
    </w:tbl>
    <w:p w14:paraId="2003C7BE" w14:textId="2B1CBE62" w:rsidR="00BF0763" w:rsidRPr="00BF0763" w:rsidRDefault="002A78A3" w:rsidP="004C39A4">
      <w:pPr>
        <w:spacing w:line="240" w:lineRule="auto"/>
        <w:rPr>
          <w:rFonts w:eastAsia="Times New Roman" w:cs="Times New Roman"/>
          <w:sz w:val="22"/>
          <w:szCs w:val="22"/>
          <w:lang/>
        </w:rPr>
      </w:pPr>
      <w:bookmarkStart w:id="470" w:name="_Toc187222174"/>
      <w:r>
        <w:rPr>
          <w:rFonts w:eastAsia="Times New Roman" w:cs="Times New Roman"/>
          <w:sz w:val="20"/>
          <w:szCs w:val="20"/>
        </w:rPr>
        <w:t>T</w:t>
      </w:r>
      <w:r w:rsidR="00BF0763" w:rsidRPr="00BF0763">
        <w:rPr>
          <w:rFonts w:eastAsia="Times New Roman" w:cs="Times New Roman"/>
          <w:sz w:val="20"/>
          <w:szCs w:val="20"/>
        </w:rPr>
        <w:t xml:space="preserve">able </w:t>
      </w:r>
      <w:r>
        <w:rPr>
          <w:rFonts w:eastAsia="Times New Roman" w:cs="Times New Roman"/>
          <w:sz w:val="20"/>
          <w:szCs w:val="20"/>
        </w:rPr>
        <w:t>A32: S</w:t>
      </w:r>
      <w:r w:rsidR="00BF0763" w:rsidRPr="00BF0763">
        <w:rPr>
          <w:rFonts w:eastAsia="Times New Roman" w:cs="Times New Roman"/>
          <w:sz w:val="20"/>
          <w:szCs w:val="20"/>
        </w:rPr>
        <w:t xml:space="preserve">ummary of the regression results showing the effects of wildfire frequency (Fire Count) and wildfire intensity (Burned Areas) on establishment births, deaths, inward relocations, outward relocations, employment numbers, and sales performance within the Aggregate Land-Intensive Sectors (LIS) (NAICS 11, 21, 22, 23). Coefficients </w:t>
      </w:r>
      <m:oMath>
        <m:sSub>
          <m:sSubPr>
            <m:ctrlPr>
              <w:rPr>
                <w:rFonts w:ascii="Cambria Math" w:eastAsia="Times New Roman" w:hAnsi="Cambria Math" w:cs="Times New Roman"/>
                <w:i/>
                <w:sz w:val="20"/>
                <w:szCs w:val="20"/>
              </w:rPr>
            </m:ctrlPr>
          </m:sSubPr>
          <m:e>
            <m:r>
              <m:rPr>
                <m:sty m:val="bi"/>
              </m:rPr>
              <w:rPr>
                <w:rFonts w:ascii="Cambria Math" w:eastAsia="Times New Roman" w:hAnsi="Cambria Math" w:cs="Times New Roman"/>
                <w:sz w:val="20"/>
                <w:szCs w:val="20"/>
              </w:rPr>
              <m:t>β</m:t>
            </m:r>
          </m:e>
          <m:sub>
            <m:r>
              <m:rPr>
                <m:sty m:val="bi"/>
              </m:rPr>
              <w:rPr>
                <w:rFonts w:ascii="Cambria Math" w:eastAsia="Times New Roman" w:hAnsi="Cambria Math" w:cs="Times New Roman"/>
                <w:sz w:val="20"/>
                <w:szCs w:val="20"/>
              </w:rPr>
              <m:t>1</m:t>
            </m:r>
          </m:sub>
        </m:sSub>
      </m:oMath>
      <w:r w:rsidR="00BF0763" w:rsidRPr="00BF0763">
        <w:rPr>
          <w:rFonts w:eastAsia="Times New Roman" w:cs="Times New Roman"/>
          <w:sz w:val="20"/>
          <w:szCs w:val="20"/>
        </w:rPr>
        <w:t xml:space="preserve"> and </w:t>
      </w:r>
      <m:oMath>
        <m:sSub>
          <m:sSubPr>
            <m:ctrlPr>
              <w:rPr>
                <w:rFonts w:ascii="Cambria Math" w:eastAsia="Times New Roman" w:hAnsi="Cambria Math" w:cs="Times New Roman"/>
                <w:i/>
                <w:sz w:val="20"/>
                <w:szCs w:val="20"/>
              </w:rPr>
            </m:ctrlPr>
          </m:sSubPr>
          <m:e>
            <m:r>
              <m:rPr>
                <m:sty m:val="bi"/>
              </m:rPr>
              <w:rPr>
                <w:rFonts w:ascii="Cambria Math" w:eastAsia="Times New Roman" w:hAnsi="Cambria Math" w:cs="Times New Roman"/>
                <w:sz w:val="20"/>
                <w:szCs w:val="20"/>
              </w:rPr>
              <m:t>β</m:t>
            </m:r>
          </m:e>
          <m:sub>
            <m:r>
              <m:rPr>
                <m:sty m:val="bi"/>
              </m:rPr>
              <w:rPr>
                <w:rFonts w:ascii="Cambria Math" w:eastAsia="Times New Roman" w:hAnsi="Cambria Math" w:cs="Times New Roman"/>
                <w:sz w:val="20"/>
                <w:szCs w:val="20"/>
              </w:rPr>
              <m:t>2</m:t>
            </m:r>
          </m:sub>
        </m:sSub>
      </m:oMath>
      <w:r w:rsidR="00BF0763" w:rsidRPr="00BF0763">
        <w:rPr>
          <w:rFonts w:eastAsia="Times New Roman" w:cs="Times New Roman"/>
          <w:sz w:val="20"/>
          <w:szCs w:val="20"/>
        </w:rPr>
        <w:t xml:space="preserve"> correspond to the coefficients on the Fire Count and Burned Areas variables, respectively. The coefficients are semi-elasticities, indicating the percentage change in </w:t>
      </w:r>
      <w:r w:rsidR="001F2F98">
        <w:rPr>
          <w:rFonts w:eastAsia="Times New Roman" w:cs="Times New Roman"/>
          <w:sz w:val="20"/>
          <w:szCs w:val="20"/>
        </w:rPr>
        <w:t xml:space="preserve">the dependent variable </w:t>
      </w:r>
      <w:r w:rsidR="00BF0763" w:rsidRPr="00BF0763">
        <w:rPr>
          <w:rFonts w:eastAsia="Times New Roman" w:cs="Times New Roman"/>
          <w:sz w:val="20"/>
          <w:szCs w:val="20"/>
        </w:rPr>
        <w:t xml:space="preserve">for a one-unit change in </w:t>
      </w:r>
      <w:r w:rsidR="001F2F98">
        <w:rPr>
          <w:rFonts w:eastAsia="Times New Roman" w:cs="Times New Roman"/>
          <w:sz w:val="20"/>
          <w:szCs w:val="20"/>
        </w:rPr>
        <w:t>the explanatory variable</w:t>
      </w:r>
      <w:r w:rsidR="00BF0763" w:rsidRPr="00BF0763">
        <w:rPr>
          <w:rFonts w:eastAsia="Times New Roman" w:cs="Times New Roman"/>
          <w:sz w:val="20"/>
          <w:szCs w:val="20"/>
        </w:rPr>
        <w:t>, holding all else constant. For e.g., a 1-unit increase in the Fire count variable (which corresponds to a 1000 increase in Fire Count) corresponds to a 9.4% increase in establishment deaths; Similarly, a 1-unit increase in the Burned Area Variable (which corresponds to 100% increase of county area being burned) corresponds to a decrease of 84.2% in establishment births. For practical purposes, we interpret the effect of 0.1-unit change in our Fire Count variable (</w:t>
      </w:r>
      <w:r w:rsidR="00FA0384" w:rsidRPr="00BF0763">
        <w:rPr>
          <w:rFonts w:eastAsia="Times New Roman" w:cs="Times New Roman"/>
          <w:sz w:val="20"/>
          <w:szCs w:val="20"/>
        </w:rPr>
        <w:t>i.e.,</w:t>
      </w:r>
      <w:r w:rsidR="00BF0763" w:rsidRPr="00BF0763">
        <w:rPr>
          <w:rFonts w:eastAsia="Times New Roman" w:cs="Times New Roman"/>
          <w:sz w:val="20"/>
          <w:szCs w:val="20"/>
        </w:rPr>
        <w:t xml:space="preserve"> 100-fire count change) and a 0.01-unit change in the Wildfire Intensity measure variable (</w:t>
      </w:r>
      <w:r w:rsidR="00FA0384" w:rsidRPr="00BF0763">
        <w:rPr>
          <w:rFonts w:eastAsia="Times New Roman" w:cs="Times New Roman"/>
          <w:sz w:val="20"/>
          <w:szCs w:val="20"/>
        </w:rPr>
        <w:t>i.e.,</w:t>
      </w:r>
      <w:r w:rsidR="00BF0763" w:rsidRPr="00BF0763">
        <w:rPr>
          <w:rFonts w:eastAsia="Times New Roman" w:cs="Times New Roman"/>
          <w:sz w:val="20"/>
          <w:szCs w:val="20"/>
        </w:rPr>
        <w:t xml:space="preserve"> a 1% change in county area burned). This would then correspond to an increase of 0.94% increase in deaths, and a 0.842% decrease in births. </w:t>
      </w:r>
      <w:bookmarkStart w:id="471" w:name="_Hlk188363726"/>
      <w:r w:rsidR="00BF0763" w:rsidRPr="00BF0763">
        <w:rPr>
          <w:rFonts w:eastAsia="Times New Roman" w:cs="Times New Roman"/>
          <w:sz w:val="20"/>
          <w:szCs w:val="20"/>
        </w:rPr>
        <w:t>Statistically significant impacts are denoted by asterisks. These asterisks denote statistical significance at the following levels: ***p &lt; 0.01, **p &lt; 0.05, *p &lt; 0.1.</w:t>
      </w:r>
      <w:bookmarkEnd w:id="471"/>
      <w:r w:rsidR="00BF0763" w:rsidRPr="00BF0763">
        <w:rPr>
          <w:rFonts w:eastAsia="Times New Roman" w:cs="Times New Roman"/>
          <w:sz w:val="20"/>
          <w:szCs w:val="20"/>
        </w:rPr>
        <w:t xml:space="preserve"> Full regression results are provided in Table A</w:t>
      </w:r>
      <w:r w:rsidR="009C0226">
        <w:rPr>
          <w:rFonts w:eastAsia="Times New Roman" w:cs="Times New Roman"/>
          <w:sz w:val="20"/>
          <w:szCs w:val="20"/>
        </w:rPr>
        <w:t>35</w:t>
      </w:r>
      <w:r w:rsidR="00BF0763" w:rsidRPr="00BF0763">
        <w:rPr>
          <w:rFonts w:eastAsia="Times New Roman" w:cs="Times New Roman"/>
          <w:sz w:val="20"/>
          <w:szCs w:val="20"/>
        </w:rPr>
        <w:t xml:space="preserve"> for further reference.</w:t>
      </w:r>
    </w:p>
    <w:p w14:paraId="4C1284E9" w14:textId="77777777" w:rsidR="00BF0763" w:rsidRPr="00BF0763" w:rsidRDefault="00BF0763" w:rsidP="004C39A4">
      <w:pPr>
        <w:spacing w:line="259" w:lineRule="auto"/>
        <w:rPr>
          <w:rFonts w:ascii="Calibri Light" w:eastAsia="Times New Roman" w:hAnsi="Calibri Light" w:cs="Times New Roman"/>
          <w:b/>
          <w:bCs/>
          <w:color w:val="1F3763"/>
          <w:sz w:val="22"/>
          <w:szCs w:val="22"/>
        </w:rPr>
      </w:pPr>
      <w:r w:rsidRPr="00BF0763">
        <w:rPr>
          <w:rFonts w:ascii="Calibri" w:eastAsia="Times New Roman" w:hAnsi="Calibri" w:cs="Times New Roman"/>
          <w:b/>
          <w:bCs/>
          <w:sz w:val="22"/>
          <w:szCs w:val="22"/>
        </w:rPr>
        <w:br w:type="page"/>
      </w:r>
    </w:p>
    <w:p w14:paraId="4AE5BAA9" w14:textId="77777777" w:rsidR="000207A6" w:rsidRDefault="000207A6" w:rsidP="00095E25">
      <w:pPr>
        <w:pStyle w:val="Title"/>
        <w:sectPr w:rsidR="000207A6" w:rsidSect="0057442E">
          <w:pgSz w:w="12240" w:h="15840" w:code="1"/>
          <w:pgMar w:top="1440" w:right="1440" w:bottom="1440" w:left="1440" w:header="720" w:footer="1440" w:gutter="0"/>
          <w:cols w:space="720"/>
          <w:noEndnote/>
          <w:docGrid w:linePitch="360"/>
        </w:sectPr>
      </w:pPr>
      <w:bookmarkStart w:id="472" w:name="_Toc187564779"/>
    </w:p>
    <w:p w14:paraId="7D81C405" w14:textId="00F8BC23" w:rsidR="00BF0763" w:rsidRPr="00BF0763" w:rsidRDefault="00BF0763" w:rsidP="00095E25">
      <w:pPr>
        <w:pStyle w:val="Title"/>
      </w:pPr>
      <w:bookmarkStart w:id="473" w:name="_Toc188359638"/>
      <w:bookmarkStart w:id="474" w:name="_Toc188359926"/>
      <w:bookmarkStart w:id="475" w:name="_Toc188361162"/>
      <w:bookmarkStart w:id="476" w:name="_Toc188367006"/>
      <w:r w:rsidRPr="00BF0763">
        <w:lastRenderedPageBreak/>
        <w:t>T</w:t>
      </w:r>
      <w:r w:rsidR="00F83040">
        <w:rPr>
          <w:lang w:val="en-US"/>
        </w:rPr>
        <w:t>able</w:t>
      </w:r>
      <w:r w:rsidRPr="00BF0763">
        <w:t xml:space="preserve"> A</w:t>
      </w:r>
      <w:r w:rsidR="007D52FE">
        <w:rPr>
          <w:lang w:val="en-US"/>
        </w:rPr>
        <w:t>33</w:t>
      </w:r>
      <w:r w:rsidR="009B5135">
        <w:rPr>
          <w:lang w:val="en-US"/>
        </w:rPr>
        <w:t>:</w:t>
      </w:r>
      <w:r w:rsidRPr="00BF0763">
        <w:t xml:space="preserve"> </w:t>
      </w:r>
      <w:bookmarkEnd w:id="470"/>
      <w:r w:rsidRPr="00BF0763">
        <w:t xml:space="preserve">Sector-Specific Regression Results: </w:t>
      </w:r>
      <w:r w:rsidR="009B5135">
        <w:rPr>
          <w:lang w:val="en-US"/>
        </w:rPr>
        <w:t>Wildfire Frequency</w:t>
      </w:r>
      <w:bookmarkEnd w:id="472"/>
      <w:bookmarkEnd w:id="473"/>
      <w:bookmarkEnd w:id="474"/>
      <w:bookmarkEnd w:id="475"/>
      <w:bookmarkEnd w:id="476"/>
    </w:p>
    <w:tbl>
      <w:tblPr>
        <w:tblW w:w="4946" w:type="pct"/>
        <w:jc w:val="center"/>
        <w:tblCellSpacing w:w="15" w:type="dxa"/>
        <w:tblBorders>
          <w:bottom w:val="single" w:sz="4" w:space="0" w:color="auto"/>
        </w:tblBorders>
        <w:tblCellMar>
          <w:top w:w="15" w:type="dxa"/>
          <w:left w:w="15" w:type="dxa"/>
          <w:bottom w:w="15" w:type="dxa"/>
          <w:right w:w="15" w:type="dxa"/>
        </w:tblCellMar>
        <w:tblLook w:val="04A0" w:firstRow="1" w:lastRow="0" w:firstColumn="1" w:lastColumn="0" w:noHBand="0" w:noVBand="1"/>
      </w:tblPr>
      <w:tblGrid>
        <w:gridCol w:w="2304"/>
        <w:gridCol w:w="823"/>
        <w:gridCol w:w="1006"/>
        <w:gridCol w:w="926"/>
        <w:gridCol w:w="1399"/>
        <w:gridCol w:w="1551"/>
        <w:gridCol w:w="1250"/>
      </w:tblGrid>
      <w:tr w:rsidR="003B5A8E" w:rsidRPr="00BF0763" w14:paraId="6E458A95" w14:textId="77777777" w:rsidTr="003B5A8E">
        <w:trPr>
          <w:trHeight w:val="20"/>
          <w:tblHeader/>
          <w:tblCellSpacing w:w="15" w:type="dxa"/>
          <w:jc w:val="center"/>
        </w:trPr>
        <w:tc>
          <w:tcPr>
            <w:tcW w:w="1220" w:type="pct"/>
            <w:tcBorders>
              <w:top w:val="single" w:sz="4" w:space="0" w:color="auto"/>
              <w:bottom w:val="single" w:sz="4" w:space="0" w:color="auto"/>
            </w:tcBorders>
            <w:vAlign w:val="center"/>
            <w:hideMark/>
          </w:tcPr>
          <w:p w14:paraId="7649EACD" w14:textId="4518CABE" w:rsidR="00BF0763" w:rsidRPr="001F2F98" w:rsidRDefault="001F2F98" w:rsidP="00FA0384">
            <w:pPr>
              <w:spacing w:line="276" w:lineRule="auto"/>
              <w:rPr>
                <w:rFonts w:eastAsia="Times New Roman" w:cs="Times New Roman"/>
                <w:b/>
                <w:bCs/>
                <w:sz w:val="20"/>
                <w:szCs w:val="20"/>
              </w:rPr>
            </w:pPr>
            <w:r>
              <w:rPr>
                <w:rFonts w:eastAsia="Times New Roman" w:cs="Times New Roman"/>
                <w:b/>
                <w:bCs/>
                <w:sz w:val="20"/>
                <w:szCs w:val="20"/>
              </w:rPr>
              <w:t xml:space="preserve">NAICS </w:t>
            </w:r>
            <w:r w:rsidR="00BF0763" w:rsidRPr="00BF0763">
              <w:rPr>
                <w:rFonts w:eastAsia="Times New Roman" w:cs="Times New Roman"/>
                <w:b/>
                <w:bCs/>
                <w:sz w:val="20"/>
                <w:szCs w:val="20"/>
                <w:lang/>
              </w:rPr>
              <w:t>Sector</w:t>
            </w:r>
          </w:p>
        </w:tc>
        <w:tc>
          <w:tcPr>
            <w:tcW w:w="428" w:type="pct"/>
            <w:tcBorders>
              <w:top w:val="single" w:sz="4" w:space="0" w:color="auto"/>
              <w:bottom w:val="single" w:sz="4" w:space="0" w:color="auto"/>
            </w:tcBorders>
            <w:vAlign w:val="center"/>
            <w:hideMark/>
          </w:tcPr>
          <w:p w14:paraId="0CC1A566" w14:textId="77777777" w:rsidR="00BF0763" w:rsidRPr="00BF0763" w:rsidRDefault="00BF0763" w:rsidP="00FA0384">
            <w:pPr>
              <w:spacing w:line="276" w:lineRule="auto"/>
              <w:rPr>
                <w:rFonts w:eastAsia="Times New Roman" w:cs="Times New Roman"/>
                <w:b/>
                <w:bCs/>
                <w:sz w:val="20"/>
                <w:szCs w:val="20"/>
                <w:lang/>
              </w:rPr>
            </w:pPr>
            <w:r w:rsidRPr="00BF0763">
              <w:rPr>
                <w:rFonts w:eastAsia="Times New Roman" w:cs="Times New Roman"/>
                <w:b/>
                <w:bCs/>
                <w:sz w:val="20"/>
                <w:szCs w:val="20"/>
                <w:lang/>
              </w:rPr>
              <w:t>Births</w:t>
            </w:r>
          </w:p>
        </w:tc>
        <w:tc>
          <w:tcPr>
            <w:tcW w:w="527" w:type="pct"/>
            <w:tcBorders>
              <w:top w:val="single" w:sz="4" w:space="0" w:color="auto"/>
              <w:bottom w:val="single" w:sz="4" w:space="0" w:color="auto"/>
            </w:tcBorders>
            <w:vAlign w:val="center"/>
            <w:hideMark/>
          </w:tcPr>
          <w:p w14:paraId="7BF2F552" w14:textId="77777777" w:rsidR="00BF0763" w:rsidRPr="00BF0763" w:rsidRDefault="00BF0763" w:rsidP="00FA0384">
            <w:pPr>
              <w:spacing w:line="276" w:lineRule="auto"/>
              <w:rPr>
                <w:rFonts w:eastAsia="Times New Roman" w:cs="Times New Roman"/>
                <w:b/>
                <w:bCs/>
                <w:sz w:val="20"/>
                <w:szCs w:val="20"/>
                <w:lang/>
              </w:rPr>
            </w:pPr>
            <w:r w:rsidRPr="00BF0763">
              <w:rPr>
                <w:rFonts w:eastAsia="Times New Roman" w:cs="Times New Roman"/>
                <w:b/>
                <w:bCs/>
                <w:sz w:val="20"/>
                <w:szCs w:val="20"/>
                <w:lang/>
              </w:rPr>
              <w:t>Inward Migrations</w:t>
            </w:r>
          </w:p>
        </w:tc>
        <w:tc>
          <w:tcPr>
            <w:tcW w:w="484" w:type="pct"/>
            <w:tcBorders>
              <w:top w:val="single" w:sz="4" w:space="0" w:color="auto"/>
              <w:bottom w:val="single" w:sz="4" w:space="0" w:color="auto"/>
            </w:tcBorders>
            <w:vAlign w:val="center"/>
            <w:hideMark/>
          </w:tcPr>
          <w:p w14:paraId="32BA3EA1" w14:textId="77777777" w:rsidR="00BF0763" w:rsidRPr="00BF0763" w:rsidRDefault="00BF0763" w:rsidP="00FA0384">
            <w:pPr>
              <w:spacing w:line="276" w:lineRule="auto"/>
              <w:rPr>
                <w:rFonts w:eastAsia="Times New Roman" w:cs="Times New Roman"/>
                <w:b/>
                <w:bCs/>
                <w:sz w:val="20"/>
                <w:szCs w:val="20"/>
                <w:lang/>
              </w:rPr>
            </w:pPr>
            <w:r w:rsidRPr="00BF0763">
              <w:rPr>
                <w:rFonts w:eastAsia="Times New Roman" w:cs="Times New Roman"/>
                <w:b/>
                <w:bCs/>
                <w:sz w:val="20"/>
                <w:szCs w:val="20"/>
                <w:lang/>
              </w:rPr>
              <w:t>Deaths</w:t>
            </w:r>
          </w:p>
        </w:tc>
        <w:tc>
          <w:tcPr>
            <w:tcW w:w="739" w:type="pct"/>
            <w:tcBorders>
              <w:top w:val="single" w:sz="4" w:space="0" w:color="auto"/>
              <w:bottom w:val="single" w:sz="4" w:space="0" w:color="auto"/>
            </w:tcBorders>
            <w:vAlign w:val="center"/>
            <w:hideMark/>
          </w:tcPr>
          <w:p w14:paraId="2E01796F" w14:textId="77777777" w:rsidR="00BF0763" w:rsidRPr="00BF0763" w:rsidRDefault="00BF0763" w:rsidP="00FA0384">
            <w:pPr>
              <w:spacing w:line="276" w:lineRule="auto"/>
              <w:rPr>
                <w:rFonts w:eastAsia="Times New Roman" w:cs="Times New Roman"/>
                <w:b/>
                <w:bCs/>
                <w:sz w:val="20"/>
                <w:szCs w:val="20"/>
                <w:lang/>
              </w:rPr>
            </w:pPr>
            <w:r w:rsidRPr="00BF0763">
              <w:rPr>
                <w:rFonts w:eastAsia="Times New Roman" w:cs="Times New Roman"/>
                <w:b/>
                <w:bCs/>
                <w:sz w:val="20"/>
                <w:szCs w:val="20"/>
                <w:lang/>
              </w:rPr>
              <w:t>Outward Migrations</w:t>
            </w:r>
          </w:p>
        </w:tc>
        <w:tc>
          <w:tcPr>
            <w:tcW w:w="821" w:type="pct"/>
            <w:tcBorders>
              <w:top w:val="single" w:sz="4" w:space="0" w:color="auto"/>
              <w:bottom w:val="single" w:sz="4" w:space="0" w:color="auto"/>
            </w:tcBorders>
            <w:vAlign w:val="center"/>
            <w:hideMark/>
          </w:tcPr>
          <w:p w14:paraId="099C7417" w14:textId="77777777" w:rsidR="00BF0763" w:rsidRPr="00BF0763" w:rsidRDefault="00BF0763" w:rsidP="00FA0384">
            <w:pPr>
              <w:spacing w:line="276" w:lineRule="auto"/>
              <w:rPr>
                <w:rFonts w:eastAsia="Times New Roman" w:cs="Times New Roman"/>
                <w:b/>
                <w:bCs/>
                <w:sz w:val="20"/>
                <w:szCs w:val="20"/>
                <w:lang/>
              </w:rPr>
            </w:pPr>
            <w:r w:rsidRPr="00BF0763">
              <w:rPr>
                <w:rFonts w:eastAsia="Times New Roman" w:cs="Times New Roman"/>
                <w:b/>
                <w:bCs/>
                <w:sz w:val="20"/>
                <w:szCs w:val="20"/>
                <w:lang/>
              </w:rPr>
              <w:t>Employment Numbers</w:t>
            </w:r>
          </w:p>
        </w:tc>
        <w:tc>
          <w:tcPr>
            <w:tcW w:w="651" w:type="pct"/>
            <w:tcBorders>
              <w:top w:val="single" w:sz="4" w:space="0" w:color="auto"/>
              <w:bottom w:val="single" w:sz="4" w:space="0" w:color="auto"/>
            </w:tcBorders>
            <w:vAlign w:val="center"/>
            <w:hideMark/>
          </w:tcPr>
          <w:p w14:paraId="521E44E3" w14:textId="77777777" w:rsidR="00BF0763" w:rsidRPr="00BF0763" w:rsidRDefault="00BF0763" w:rsidP="00FA0384">
            <w:pPr>
              <w:spacing w:line="276" w:lineRule="auto"/>
              <w:rPr>
                <w:rFonts w:eastAsia="Times New Roman" w:cs="Times New Roman"/>
                <w:b/>
                <w:bCs/>
                <w:sz w:val="20"/>
                <w:szCs w:val="20"/>
                <w:lang/>
              </w:rPr>
            </w:pPr>
            <w:r w:rsidRPr="00BF0763">
              <w:rPr>
                <w:rFonts w:eastAsia="Times New Roman" w:cs="Times New Roman"/>
                <w:b/>
                <w:bCs/>
                <w:sz w:val="20"/>
                <w:szCs w:val="20"/>
                <w:lang/>
              </w:rPr>
              <w:t>Sales Performance</w:t>
            </w:r>
          </w:p>
        </w:tc>
      </w:tr>
      <w:tr w:rsidR="003B5A8E" w:rsidRPr="00BF0763" w14:paraId="4076255D" w14:textId="77777777" w:rsidTr="003B5A8E">
        <w:trPr>
          <w:tblCellSpacing w:w="15" w:type="dxa"/>
          <w:jc w:val="center"/>
        </w:trPr>
        <w:tc>
          <w:tcPr>
            <w:tcW w:w="1220" w:type="pct"/>
            <w:vAlign w:val="center"/>
            <w:hideMark/>
          </w:tcPr>
          <w:p w14:paraId="7CE27953" w14:textId="3ECC0157" w:rsidR="00BF0763" w:rsidRPr="00BF0763" w:rsidRDefault="00BF0763" w:rsidP="00FA0384">
            <w:pPr>
              <w:spacing w:line="276" w:lineRule="auto"/>
              <w:rPr>
                <w:rFonts w:eastAsia="Times New Roman" w:cs="Times New Roman"/>
                <w:sz w:val="20"/>
                <w:szCs w:val="20"/>
                <w:lang/>
              </w:rPr>
            </w:pPr>
            <w:r w:rsidRPr="00BF0763">
              <w:rPr>
                <w:rFonts w:eastAsia="Times New Roman" w:cs="Times New Roman"/>
                <w:sz w:val="20"/>
                <w:szCs w:val="20"/>
                <w:lang/>
              </w:rPr>
              <w:t>11</w:t>
            </w:r>
          </w:p>
        </w:tc>
        <w:tc>
          <w:tcPr>
            <w:tcW w:w="428" w:type="pct"/>
            <w:vAlign w:val="center"/>
            <w:hideMark/>
          </w:tcPr>
          <w:p w14:paraId="17556775" w14:textId="77777777" w:rsidR="00BF0763" w:rsidRPr="00BF0763" w:rsidRDefault="00BF0763" w:rsidP="00FA0384">
            <w:pPr>
              <w:spacing w:line="276" w:lineRule="auto"/>
              <w:rPr>
                <w:rFonts w:eastAsia="Times New Roman" w:cs="Times New Roman"/>
                <w:sz w:val="20"/>
                <w:szCs w:val="20"/>
                <w:lang/>
              </w:rPr>
            </w:pPr>
            <w:r w:rsidRPr="00BF0763">
              <w:rPr>
                <w:rFonts w:eastAsia="Times New Roman" w:cs="Times New Roman"/>
                <w:sz w:val="20"/>
                <w:szCs w:val="20"/>
                <w:lang/>
              </w:rPr>
              <w:t>0 (NS)</w:t>
            </w:r>
          </w:p>
        </w:tc>
        <w:tc>
          <w:tcPr>
            <w:tcW w:w="527" w:type="pct"/>
            <w:vAlign w:val="center"/>
            <w:hideMark/>
          </w:tcPr>
          <w:p w14:paraId="426EA22F" w14:textId="77777777" w:rsidR="00BF0763" w:rsidRPr="00BF0763" w:rsidRDefault="00BF0763" w:rsidP="00FA0384">
            <w:pPr>
              <w:spacing w:line="276" w:lineRule="auto"/>
              <w:rPr>
                <w:rFonts w:eastAsia="Times New Roman" w:cs="Times New Roman"/>
                <w:sz w:val="20"/>
                <w:szCs w:val="20"/>
                <w:lang/>
              </w:rPr>
            </w:pPr>
            <w:r w:rsidRPr="00BF0763">
              <w:rPr>
                <w:rFonts w:eastAsia="Times New Roman" w:cs="Times New Roman"/>
                <w:sz w:val="20"/>
                <w:szCs w:val="20"/>
                <w:lang/>
              </w:rPr>
              <w:t>- (NS)</w:t>
            </w:r>
          </w:p>
        </w:tc>
        <w:tc>
          <w:tcPr>
            <w:tcW w:w="484" w:type="pct"/>
            <w:vAlign w:val="center"/>
            <w:hideMark/>
          </w:tcPr>
          <w:p w14:paraId="2950C522" w14:textId="77777777" w:rsidR="00BF0763" w:rsidRPr="00BF0763" w:rsidRDefault="00BF0763" w:rsidP="00FA0384">
            <w:pPr>
              <w:spacing w:line="276" w:lineRule="auto"/>
              <w:rPr>
                <w:rFonts w:eastAsia="Times New Roman" w:cs="Times New Roman"/>
                <w:sz w:val="20"/>
                <w:szCs w:val="20"/>
                <w:lang/>
              </w:rPr>
            </w:pPr>
            <w:r w:rsidRPr="00BF0763">
              <w:rPr>
                <w:rFonts w:eastAsia="Times New Roman" w:cs="Times New Roman"/>
                <w:sz w:val="20"/>
                <w:szCs w:val="20"/>
                <w:lang/>
              </w:rPr>
              <w:t>+</w:t>
            </w:r>
            <w:r w:rsidRPr="00BF0763">
              <w:rPr>
                <w:rFonts w:eastAsia="Times New Roman" w:cs="Times New Roman"/>
                <w:sz w:val="20"/>
                <w:szCs w:val="20"/>
              </w:rPr>
              <w:t>0.156</w:t>
            </w:r>
            <w:r w:rsidRPr="00BF0763">
              <w:rPr>
                <w:rFonts w:eastAsia="Times New Roman" w:cs="Times New Roman"/>
                <w:sz w:val="20"/>
                <w:szCs w:val="20"/>
                <w:lang/>
              </w:rPr>
              <w:t>***</w:t>
            </w:r>
          </w:p>
        </w:tc>
        <w:tc>
          <w:tcPr>
            <w:tcW w:w="739" w:type="pct"/>
            <w:vAlign w:val="center"/>
            <w:hideMark/>
          </w:tcPr>
          <w:p w14:paraId="1AA77DF3" w14:textId="77777777" w:rsidR="00BF0763" w:rsidRPr="00BF0763" w:rsidRDefault="00BF0763" w:rsidP="00FA0384">
            <w:pPr>
              <w:spacing w:line="276" w:lineRule="auto"/>
              <w:rPr>
                <w:rFonts w:eastAsia="Times New Roman" w:cs="Times New Roman"/>
                <w:sz w:val="20"/>
                <w:szCs w:val="20"/>
                <w:lang/>
              </w:rPr>
            </w:pPr>
            <w:r w:rsidRPr="00BF0763">
              <w:rPr>
                <w:rFonts w:eastAsia="Times New Roman" w:cs="Times New Roman"/>
                <w:sz w:val="20"/>
                <w:szCs w:val="20"/>
                <w:lang/>
              </w:rPr>
              <w:t>+ (NS)</w:t>
            </w:r>
          </w:p>
        </w:tc>
        <w:tc>
          <w:tcPr>
            <w:tcW w:w="821" w:type="pct"/>
            <w:vAlign w:val="center"/>
            <w:hideMark/>
          </w:tcPr>
          <w:p w14:paraId="26978987" w14:textId="77777777" w:rsidR="00BF0763" w:rsidRPr="00BF0763" w:rsidRDefault="00BF0763" w:rsidP="00FA0384">
            <w:pPr>
              <w:spacing w:line="276" w:lineRule="auto"/>
              <w:rPr>
                <w:rFonts w:eastAsia="Times New Roman" w:cs="Times New Roman"/>
                <w:sz w:val="20"/>
                <w:szCs w:val="20"/>
                <w:lang/>
              </w:rPr>
            </w:pPr>
            <w:r w:rsidRPr="00BF0763">
              <w:rPr>
                <w:rFonts w:eastAsia="Times New Roman" w:cs="Times New Roman"/>
                <w:sz w:val="20"/>
                <w:szCs w:val="20"/>
                <w:lang/>
              </w:rPr>
              <w:t>-</w:t>
            </w:r>
            <w:r w:rsidRPr="00BF0763">
              <w:rPr>
                <w:rFonts w:eastAsia="Times New Roman" w:cs="Times New Roman"/>
                <w:sz w:val="20"/>
                <w:szCs w:val="20"/>
              </w:rPr>
              <w:t>0.274</w:t>
            </w:r>
            <w:r w:rsidRPr="00BF0763">
              <w:rPr>
                <w:rFonts w:eastAsia="Times New Roman" w:cs="Times New Roman"/>
                <w:sz w:val="20"/>
                <w:szCs w:val="20"/>
                <w:lang/>
              </w:rPr>
              <w:t>**</w:t>
            </w:r>
          </w:p>
        </w:tc>
        <w:tc>
          <w:tcPr>
            <w:tcW w:w="651" w:type="pct"/>
            <w:vAlign w:val="center"/>
            <w:hideMark/>
          </w:tcPr>
          <w:p w14:paraId="1E83C701" w14:textId="77777777" w:rsidR="00BF0763" w:rsidRPr="00BF0763" w:rsidRDefault="00BF0763" w:rsidP="00FA0384">
            <w:pPr>
              <w:spacing w:line="276" w:lineRule="auto"/>
              <w:rPr>
                <w:rFonts w:eastAsia="Times New Roman" w:cs="Times New Roman"/>
                <w:sz w:val="20"/>
                <w:szCs w:val="20"/>
                <w:lang/>
              </w:rPr>
            </w:pPr>
            <w:r w:rsidRPr="00BF0763">
              <w:rPr>
                <w:rFonts w:eastAsia="Times New Roman" w:cs="Times New Roman"/>
                <w:sz w:val="20"/>
                <w:szCs w:val="20"/>
                <w:lang/>
              </w:rPr>
              <w:t>-</w:t>
            </w:r>
            <w:r w:rsidRPr="00BF0763">
              <w:rPr>
                <w:rFonts w:eastAsia="Times New Roman" w:cs="Times New Roman"/>
                <w:sz w:val="20"/>
                <w:szCs w:val="20"/>
              </w:rPr>
              <w:t>0.870</w:t>
            </w:r>
            <w:r w:rsidRPr="00BF0763">
              <w:rPr>
                <w:rFonts w:eastAsia="Times New Roman" w:cs="Times New Roman"/>
                <w:sz w:val="20"/>
                <w:szCs w:val="20"/>
                <w:lang/>
              </w:rPr>
              <w:t>***</w:t>
            </w:r>
          </w:p>
        </w:tc>
      </w:tr>
      <w:tr w:rsidR="003B5A8E" w:rsidRPr="00BF0763" w14:paraId="304F40A1" w14:textId="77777777" w:rsidTr="003B5A8E">
        <w:trPr>
          <w:tblCellSpacing w:w="15" w:type="dxa"/>
          <w:jc w:val="center"/>
        </w:trPr>
        <w:tc>
          <w:tcPr>
            <w:tcW w:w="1220" w:type="pct"/>
            <w:vAlign w:val="center"/>
            <w:hideMark/>
          </w:tcPr>
          <w:p w14:paraId="0F843CE0" w14:textId="74A58CA5" w:rsidR="00BF0763" w:rsidRPr="00BF0763" w:rsidRDefault="00BF0763" w:rsidP="00FA0384">
            <w:pPr>
              <w:spacing w:line="276" w:lineRule="auto"/>
              <w:rPr>
                <w:rFonts w:eastAsia="Times New Roman" w:cs="Times New Roman"/>
                <w:sz w:val="20"/>
                <w:szCs w:val="20"/>
                <w:lang/>
              </w:rPr>
            </w:pPr>
            <w:r w:rsidRPr="00BF0763">
              <w:rPr>
                <w:rFonts w:eastAsia="Times New Roman" w:cs="Times New Roman"/>
                <w:sz w:val="20"/>
                <w:szCs w:val="20"/>
                <w:lang/>
              </w:rPr>
              <w:t>21</w:t>
            </w:r>
          </w:p>
        </w:tc>
        <w:tc>
          <w:tcPr>
            <w:tcW w:w="428" w:type="pct"/>
            <w:vAlign w:val="center"/>
            <w:hideMark/>
          </w:tcPr>
          <w:p w14:paraId="5F2019EA" w14:textId="77777777" w:rsidR="00BF0763" w:rsidRPr="00BF0763" w:rsidRDefault="00BF0763" w:rsidP="00FA0384">
            <w:pPr>
              <w:spacing w:line="276" w:lineRule="auto"/>
              <w:rPr>
                <w:rFonts w:eastAsia="Times New Roman" w:cs="Times New Roman"/>
                <w:sz w:val="20"/>
                <w:szCs w:val="20"/>
                <w:lang/>
              </w:rPr>
            </w:pPr>
            <w:r w:rsidRPr="00BF0763">
              <w:rPr>
                <w:rFonts w:eastAsia="Times New Roman" w:cs="Times New Roman"/>
                <w:sz w:val="20"/>
                <w:szCs w:val="20"/>
                <w:lang/>
              </w:rPr>
              <w:t>- (NS)</w:t>
            </w:r>
          </w:p>
        </w:tc>
        <w:tc>
          <w:tcPr>
            <w:tcW w:w="527" w:type="pct"/>
            <w:vAlign w:val="center"/>
            <w:hideMark/>
          </w:tcPr>
          <w:p w14:paraId="6D8F1D37" w14:textId="77777777" w:rsidR="00BF0763" w:rsidRPr="00BF0763" w:rsidRDefault="00BF0763" w:rsidP="00FA0384">
            <w:pPr>
              <w:spacing w:line="276" w:lineRule="auto"/>
              <w:rPr>
                <w:rFonts w:eastAsia="Times New Roman" w:cs="Times New Roman"/>
                <w:sz w:val="20"/>
                <w:szCs w:val="20"/>
                <w:lang/>
              </w:rPr>
            </w:pPr>
            <w:r w:rsidRPr="00BF0763">
              <w:rPr>
                <w:rFonts w:eastAsia="Times New Roman" w:cs="Times New Roman"/>
                <w:sz w:val="20"/>
                <w:szCs w:val="20"/>
                <w:lang/>
              </w:rPr>
              <w:t>+ (NS)</w:t>
            </w:r>
          </w:p>
        </w:tc>
        <w:tc>
          <w:tcPr>
            <w:tcW w:w="484" w:type="pct"/>
            <w:vAlign w:val="center"/>
            <w:hideMark/>
          </w:tcPr>
          <w:p w14:paraId="2660C6CF" w14:textId="77777777" w:rsidR="00BF0763" w:rsidRPr="00BF0763" w:rsidRDefault="00BF0763" w:rsidP="00FA0384">
            <w:pPr>
              <w:spacing w:line="276" w:lineRule="auto"/>
              <w:rPr>
                <w:rFonts w:eastAsia="Times New Roman" w:cs="Times New Roman"/>
                <w:sz w:val="20"/>
                <w:szCs w:val="20"/>
                <w:lang/>
              </w:rPr>
            </w:pPr>
            <w:r w:rsidRPr="00BF0763">
              <w:rPr>
                <w:rFonts w:eastAsia="Times New Roman" w:cs="Times New Roman"/>
                <w:sz w:val="20"/>
                <w:szCs w:val="20"/>
                <w:lang/>
              </w:rPr>
              <w:t>-</w:t>
            </w:r>
            <w:r w:rsidRPr="00BF0763">
              <w:rPr>
                <w:rFonts w:eastAsia="Times New Roman" w:cs="Times New Roman"/>
                <w:sz w:val="20"/>
                <w:szCs w:val="20"/>
              </w:rPr>
              <w:t>0.203</w:t>
            </w:r>
            <w:r w:rsidRPr="00BF0763">
              <w:rPr>
                <w:rFonts w:eastAsia="Times New Roman" w:cs="Times New Roman"/>
                <w:sz w:val="20"/>
                <w:szCs w:val="20"/>
                <w:lang/>
              </w:rPr>
              <w:t>*</w:t>
            </w:r>
          </w:p>
        </w:tc>
        <w:tc>
          <w:tcPr>
            <w:tcW w:w="739" w:type="pct"/>
            <w:vAlign w:val="center"/>
            <w:hideMark/>
          </w:tcPr>
          <w:p w14:paraId="69B7C88A" w14:textId="77777777" w:rsidR="00BF0763" w:rsidRPr="00BF0763" w:rsidRDefault="00BF0763" w:rsidP="00FA0384">
            <w:pPr>
              <w:spacing w:line="276" w:lineRule="auto"/>
              <w:rPr>
                <w:rFonts w:eastAsia="Times New Roman" w:cs="Times New Roman"/>
                <w:sz w:val="20"/>
                <w:szCs w:val="20"/>
                <w:lang/>
              </w:rPr>
            </w:pPr>
            <w:r w:rsidRPr="00BF0763">
              <w:rPr>
                <w:rFonts w:eastAsia="Times New Roman" w:cs="Times New Roman"/>
                <w:sz w:val="20"/>
                <w:szCs w:val="20"/>
                <w:lang/>
              </w:rPr>
              <w:t>+</w:t>
            </w:r>
            <w:r w:rsidRPr="00BF0763">
              <w:rPr>
                <w:rFonts w:eastAsia="Times New Roman" w:cs="Times New Roman"/>
                <w:sz w:val="20"/>
                <w:szCs w:val="20"/>
              </w:rPr>
              <w:t>2.92</w:t>
            </w:r>
            <w:r w:rsidRPr="00BF0763">
              <w:rPr>
                <w:rFonts w:eastAsia="Times New Roman" w:cs="Times New Roman"/>
                <w:sz w:val="20"/>
                <w:szCs w:val="20"/>
                <w:lang/>
              </w:rPr>
              <w:t xml:space="preserve"> ***</w:t>
            </w:r>
          </w:p>
        </w:tc>
        <w:tc>
          <w:tcPr>
            <w:tcW w:w="821" w:type="pct"/>
            <w:vAlign w:val="center"/>
            <w:hideMark/>
          </w:tcPr>
          <w:p w14:paraId="4A955210" w14:textId="77777777" w:rsidR="00BF0763" w:rsidRPr="00BF0763" w:rsidRDefault="00BF0763" w:rsidP="00FA0384">
            <w:pPr>
              <w:spacing w:line="276" w:lineRule="auto"/>
              <w:rPr>
                <w:rFonts w:eastAsia="Times New Roman" w:cs="Times New Roman"/>
                <w:sz w:val="20"/>
                <w:szCs w:val="20"/>
                <w:lang/>
              </w:rPr>
            </w:pPr>
            <w:r w:rsidRPr="00BF0763">
              <w:rPr>
                <w:rFonts w:eastAsia="Times New Roman" w:cs="Times New Roman"/>
                <w:sz w:val="20"/>
                <w:szCs w:val="20"/>
                <w:lang/>
              </w:rPr>
              <w:t>- (NS)</w:t>
            </w:r>
          </w:p>
        </w:tc>
        <w:tc>
          <w:tcPr>
            <w:tcW w:w="651" w:type="pct"/>
            <w:vAlign w:val="center"/>
            <w:hideMark/>
          </w:tcPr>
          <w:p w14:paraId="5D7A1A49" w14:textId="77777777" w:rsidR="00BF0763" w:rsidRPr="00BF0763" w:rsidRDefault="00BF0763" w:rsidP="00FA0384">
            <w:pPr>
              <w:spacing w:line="276" w:lineRule="auto"/>
              <w:rPr>
                <w:rFonts w:eastAsia="Times New Roman" w:cs="Times New Roman"/>
                <w:sz w:val="20"/>
                <w:szCs w:val="20"/>
                <w:lang/>
              </w:rPr>
            </w:pPr>
            <w:r w:rsidRPr="00BF0763">
              <w:rPr>
                <w:rFonts w:eastAsia="Times New Roman" w:cs="Times New Roman"/>
                <w:sz w:val="20"/>
                <w:szCs w:val="20"/>
                <w:lang/>
              </w:rPr>
              <w:t>- (NS)</w:t>
            </w:r>
          </w:p>
        </w:tc>
      </w:tr>
      <w:tr w:rsidR="003B5A8E" w:rsidRPr="00BF0763" w14:paraId="4EDDAAFA" w14:textId="77777777" w:rsidTr="003B5A8E">
        <w:trPr>
          <w:tblCellSpacing w:w="15" w:type="dxa"/>
          <w:jc w:val="center"/>
        </w:trPr>
        <w:tc>
          <w:tcPr>
            <w:tcW w:w="1220" w:type="pct"/>
            <w:vAlign w:val="center"/>
            <w:hideMark/>
          </w:tcPr>
          <w:p w14:paraId="6B6F3FB8" w14:textId="51781542" w:rsidR="00BF0763" w:rsidRPr="00BF0763" w:rsidRDefault="00BF0763" w:rsidP="00FA0384">
            <w:pPr>
              <w:spacing w:line="276" w:lineRule="auto"/>
              <w:rPr>
                <w:rFonts w:eastAsia="Times New Roman" w:cs="Times New Roman"/>
                <w:sz w:val="20"/>
                <w:szCs w:val="20"/>
                <w:lang/>
              </w:rPr>
            </w:pPr>
            <w:r w:rsidRPr="00BF0763">
              <w:rPr>
                <w:rFonts w:eastAsia="Times New Roman" w:cs="Times New Roman"/>
                <w:sz w:val="20"/>
                <w:szCs w:val="20"/>
                <w:lang/>
              </w:rPr>
              <w:t>22</w:t>
            </w:r>
          </w:p>
        </w:tc>
        <w:tc>
          <w:tcPr>
            <w:tcW w:w="428" w:type="pct"/>
            <w:vAlign w:val="center"/>
            <w:hideMark/>
          </w:tcPr>
          <w:p w14:paraId="25EC70E1" w14:textId="77777777" w:rsidR="00BF0763" w:rsidRPr="00BF0763" w:rsidRDefault="00BF0763" w:rsidP="00FA0384">
            <w:pPr>
              <w:spacing w:line="276" w:lineRule="auto"/>
              <w:rPr>
                <w:rFonts w:eastAsia="Times New Roman" w:cs="Times New Roman"/>
                <w:sz w:val="20"/>
                <w:szCs w:val="20"/>
                <w:lang/>
              </w:rPr>
            </w:pPr>
            <w:r w:rsidRPr="00BF0763">
              <w:rPr>
                <w:rFonts w:eastAsia="Times New Roman" w:cs="Times New Roman"/>
                <w:sz w:val="20"/>
                <w:szCs w:val="20"/>
                <w:lang/>
              </w:rPr>
              <w:t>+ (NS)</w:t>
            </w:r>
          </w:p>
        </w:tc>
        <w:tc>
          <w:tcPr>
            <w:tcW w:w="527" w:type="pct"/>
            <w:vAlign w:val="center"/>
            <w:hideMark/>
          </w:tcPr>
          <w:p w14:paraId="7AB3251A" w14:textId="77777777" w:rsidR="00BF0763" w:rsidRPr="00BF0763" w:rsidRDefault="00BF0763" w:rsidP="00FA0384">
            <w:pPr>
              <w:spacing w:line="276" w:lineRule="auto"/>
              <w:rPr>
                <w:rFonts w:eastAsia="Times New Roman" w:cs="Times New Roman"/>
                <w:sz w:val="20"/>
                <w:szCs w:val="20"/>
                <w:lang/>
              </w:rPr>
            </w:pPr>
            <w:r w:rsidRPr="00BF0763">
              <w:rPr>
                <w:rFonts w:eastAsia="Times New Roman" w:cs="Times New Roman"/>
                <w:sz w:val="20"/>
                <w:szCs w:val="20"/>
                <w:lang/>
              </w:rPr>
              <w:t>- (NS)</w:t>
            </w:r>
          </w:p>
        </w:tc>
        <w:tc>
          <w:tcPr>
            <w:tcW w:w="484" w:type="pct"/>
            <w:vAlign w:val="center"/>
            <w:hideMark/>
          </w:tcPr>
          <w:p w14:paraId="45A34D95" w14:textId="77777777" w:rsidR="00BF0763" w:rsidRPr="00BF0763" w:rsidRDefault="00BF0763" w:rsidP="00FA0384">
            <w:pPr>
              <w:spacing w:line="276" w:lineRule="auto"/>
              <w:rPr>
                <w:rFonts w:eastAsia="Times New Roman" w:cs="Times New Roman"/>
                <w:sz w:val="20"/>
                <w:szCs w:val="20"/>
                <w:lang/>
              </w:rPr>
            </w:pPr>
            <w:r w:rsidRPr="00BF0763">
              <w:rPr>
                <w:rFonts w:eastAsia="Times New Roman" w:cs="Times New Roman"/>
                <w:sz w:val="20"/>
                <w:szCs w:val="20"/>
                <w:lang/>
              </w:rPr>
              <w:t>+</w:t>
            </w:r>
            <w:r w:rsidRPr="00BF0763">
              <w:rPr>
                <w:rFonts w:eastAsia="Times New Roman" w:cs="Times New Roman"/>
                <w:sz w:val="20"/>
                <w:szCs w:val="20"/>
              </w:rPr>
              <w:t>0.359</w:t>
            </w:r>
            <w:r w:rsidRPr="00BF0763">
              <w:rPr>
                <w:rFonts w:eastAsia="Times New Roman" w:cs="Times New Roman"/>
                <w:sz w:val="20"/>
                <w:szCs w:val="20"/>
                <w:lang/>
              </w:rPr>
              <w:t>***</w:t>
            </w:r>
          </w:p>
        </w:tc>
        <w:tc>
          <w:tcPr>
            <w:tcW w:w="739" w:type="pct"/>
            <w:vAlign w:val="center"/>
            <w:hideMark/>
          </w:tcPr>
          <w:p w14:paraId="24E41FC7" w14:textId="77777777" w:rsidR="00BF0763" w:rsidRPr="00BF0763" w:rsidRDefault="00BF0763" w:rsidP="00FA0384">
            <w:pPr>
              <w:spacing w:line="276" w:lineRule="auto"/>
              <w:rPr>
                <w:rFonts w:eastAsia="Times New Roman" w:cs="Times New Roman"/>
                <w:sz w:val="20"/>
                <w:szCs w:val="20"/>
                <w:lang/>
              </w:rPr>
            </w:pPr>
            <w:r w:rsidRPr="00BF0763">
              <w:rPr>
                <w:rFonts w:eastAsia="Times New Roman" w:cs="Times New Roman"/>
                <w:sz w:val="20"/>
                <w:szCs w:val="20"/>
                <w:lang/>
              </w:rPr>
              <w:t>- (NS)</w:t>
            </w:r>
          </w:p>
        </w:tc>
        <w:tc>
          <w:tcPr>
            <w:tcW w:w="821" w:type="pct"/>
            <w:vAlign w:val="center"/>
            <w:hideMark/>
          </w:tcPr>
          <w:p w14:paraId="5EA3D62E" w14:textId="77777777" w:rsidR="00BF0763" w:rsidRPr="00BF0763" w:rsidRDefault="00BF0763" w:rsidP="00FA0384">
            <w:pPr>
              <w:spacing w:line="276" w:lineRule="auto"/>
              <w:rPr>
                <w:rFonts w:eastAsia="Times New Roman" w:cs="Times New Roman"/>
                <w:sz w:val="20"/>
                <w:szCs w:val="20"/>
                <w:lang/>
              </w:rPr>
            </w:pPr>
            <w:r w:rsidRPr="00BF0763">
              <w:rPr>
                <w:rFonts w:eastAsia="Times New Roman" w:cs="Times New Roman"/>
                <w:sz w:val="20"/>
                <w:szCs w:val="20"/>
                <w:lang/>
              </w:rPr>
              <w:t>+</w:t>
            </w:r>
            <w:r w:rsidRPr="00BF0763">
              <w:rPr>
                <w:rFonts w:eastAsia="Times New Roman" w:cs="Times New Roman"/>
                <w:sz w:val="20"/>
                <w:szCs w:val="20"/>
              </w:rPr>
              <w:t>0.409</w:t>
            </w:r>
            <w:r w:rsidRPr="00BF0763">
              <w:rPr>
                <w:rFonts w:eastAsia="Times New Roman" w:cs="Times New Roman"/>
                <w:sz w:val="20"/>
                <w:szCs w:val="20"/>
                <w:lang/>
              </w:rPr>
              <w:t>***</w:t>
            </w:r>
          </w:p>
        </w:tc>
        <w:tc>
          <w:tcPr>
            <w:tcW w:w="651" w:type="pct"/>
            <w:vAlign w:val="center"/>
            <w:hideMark/>
          </w:tcPr>
          <w:p w14:paraId="4E5C8817" w14:textId="77777777" w:rsidR="00BF0763" w:rsidRPr="00BF0763" w:rsidRDefault="00BF0763" w:rsidP="00FA0384">
            <w:pPr>
              <w:spacing w:line="276" w:lineRule="auto"/>
              <w:rPr>
                <w:rFonts w:eastAsia="Times New Roman" w:cs="Times New Roman"/>
                <w:sz w:val="20"/>
                <w:szCs w:val="20"/>
                <w:lang/>
              </w:rPr>
            </w:pPr>
            <w:r w:rsidRPr="00BF0763">
              <w:rPr>
                <w:rFonts w:eastAsia="Times New Roman" w:cs="Times New Roman"/>
                <w:sz w:val="20"/>
                <w:szCs w:val="20"/>
                <w:lang/>
              </w:rPr>
              <w:t>+</w:t>
            </w:r>
            <w:r w:rsidRPr="00BF0763">
              <w:rPr>
                <w:rFonts w:eastAsia="Times New Roman" w:cs="Times New Roman"/>
                <w:sz w:val="20"/>
                <w:szCs w:val="20"/>
              </w:rPr>
              <w:t>0.731</w:t>
            </w:r>
            <w:r w:rsidRPr="00BF0763">
              <w:rPr>
                <w:rFonts w:eastAsia="Times New Roman" w:cs="Times New Roman"/>
                <w:sz w:val="20"/>
                <w:szCs w:val="20"/>
                <w:lang/>
              </w:rPr>
              <w:t>***</w:t>
            </w:r>
          </w:p>
        </w:tc>
      </w:tr>
      <w:tr w:rsidR="003B5A8E" w:rsidRPr="00BF0763" w14:paraId="1642DEBD" w14:textId="77777777" w:rsidTr="003B5A8E">
        <w:trPr>
          <w:tblCellSpacing w:w="15" w:type="dxa"/>
          <w:jc w:val="center"/>
        </w:trPr>
        <w:tc>
          <w:tcPr>
            <w:tcW w:w="1220" w:type="pct"/>
            <w:vAlign w:val="center"/>
            <w:hideMark/>
          </w:tcPr>
          <w:p w14:paraId="28F523BF" w14:textId="43F1C8C2" w:rsidR="00BF0763" w:rsidRPr="00BF0763" w:rsidRDefault="00BF0763" w:rsidP="00FA0384">
            <w:pPr>
              <w:spacing w:line="276" w:lineRule="auto"/>
              <w:rPr>
                <w:rFonts w:eastAsia="Times New Roman" w:cs="Times New Roman"/>
                <w:sz w:val="20"/>
                <w:szCs w:val="20"/>
                <w:lang/>
              </w:rPr>
            </w:pPr>
            <w:r w:rsidRPr="00BF0763">
              <w:rPr>
                <w:rFonts w:eastAsia="Times New Roman" w:cs="Times New Roman"/>
                <w:sz w:val="20"/>
                <w:szCs w:val="20"/>
                <w:lang/>
              </w:rPr>
              <w:t>23</w:t>
            </w:r>
          </w:p>
        </w:tc>
        <w:tc>
          <w:tcPr>
            <w:tcW w:w="428" w:type="pct"/>
            <w:vAlign w:val="center"/>
            <w:hideMark/>
          </w:tcPr>
          <w:p w14:paraId="5F691194" w14:textId="77777777" w:rsidR="00BF0763" w:rsidRPr="00BF0763" w:rsidRDefault="00BF0763" w:rsidP="00FA0384">
            <w:pPr>
              <w:spacing w:line="276" w:lineRule="auto"/>
              <w:rPr>
                <w:rFonts w:eastAsia="Times New Roman" w:cs="Times New Roman"/>
                <w:sz w:val="20"/>
                <w:szCs w:val="20"/>
                <w:lang/>
              </w:rPr>
            </w:pPr>
            <w:r w:rsidRPr="00BF0763">
              <w:rPr>
                <w:rFonts w:eastAsia="Times New Roman" w:cs="Times New Roman"/>
                <w:sz w:val="20"/>
                <w:szCs w:val="20"/>
                <w:lang/>
              </w:rPr>
              <w:t>- (NS)</w:t>
            </w:r>
          </w:p>
        </w:tc>
        <w:tc>
          <w:tcPr>
            <w:tcW w:w="527" w:type="pct"/>
            <w:vAlign w:val="center"/>
            <w:hideMark/>
          </w:tcPr>
          <w:p w14:paraId="5CD447A3" w14:textId="77777777" w:rsidR="00BF0763" w:rsidRPr="00BF0763" w:rsidRDefault="00BF0763" w:rsidP="00FA0384">
            <w:pPr>
              <w:spacing w:line="276" w:lineRule="auto"/>
              <w:rPr>
                <w:rFonts w:eastAsia="Times New Roman" w:cs="Times New Roman"/>
                <w:sz w:val="20"/>
                <w:szCs w:val="20"/>
                <w:lang/>
              </w:rPr>
            </w:pPr>
            <w:r w:rsidRPr="00BF0763">
              <w:rPr>
                <w:rFonts w:eastAsia="Times New Roman" w:cs="Times New Roman"/>
                <w:sz w:val="20"/>
                <w:szCs w:val="20"/>
                <w:lang/>
              </w:rPr>
              <w:t>+ (NS)</w:t>
            </w:r>
          </w:p>
        </w:tc>
        <w:tc>
          <w:tcPr>
            <w:tcW w:w="484" w:type="pct"/>
            <w:vAlign w:val="center"/>
            <w:hideMark/>
          </w:tcPr>
          <w:p w14:paraId="56CD0F21" w14:textId="77777777" w:rsidR="00BF0763" w:rsidRPr="00BF0763" w:rsidRDefault="00BF0763" w:rsidP="00FA0384">
            <w:pPr>
              <w:spacing w:line="276" w:lineRule="auto"/>
              <w:rPr>
                <w:rFonts w:eastAsia="Times New Roman" w:cs="Times New Roman"/>
                <w:sz w:val="20"/>
                <w:szCs w:val="20"/>
                <w:lang/>
              </w:rPr>
            </w:pPr>
            <w:r w:rsidRPr="00BF0763">
              <w:rPr>
                <w:rFonts w:eastAsia="Times New Roman" w:cs="Times New Roman"/>
                <w:sz w:val="20"/>
                <w:szCs w:val="20"/>
                <w:lang/>
              </w:rPr>
              <w:t>+ (NS)</w:t>
            </w:r>
          </w:p>
        </w:tc>
        <w:tc>
          <w:tcPr>
            <w:tcW w:w="739" w:type="pct"/>
            <w:vAlign w:val="center"/>
            <w:hideMark/>
          </w:tcPr>
          <w:p w14:paraId="13CA59CE" w14:textId="77777777" w:rsidR="00BF0763" w:rsidRPr="00BF0763" w:rsidRDefault="00BF0763" w:rsidP="00FA0384">
            <w:pPr>
              <w:spacing w:line="276" w:lineRule="auto"/>
              <w:rPr>
                <w:rFonts w:eastAsia="Times New Roman" w:cs="Times New Roman"/>
                <w:sz w:val="20"/>
                <w:szCs w:val="20"/>
                <w:lang/>
              </w:rPr>
            </w:pPr>
            <w:r w:rsidRPr="00BF0763">
              <w:rPr>
                <w:rFonts w:eastAsia="Times New Roman" w:cs="Times New Roman"/>
                <w:sz w:val="20"/>
                <w:szCs w:val="20"/>
                <w:lang/>
              </w:rPr>
              <w:t>+</w:t>
            </w:r>
            <w:r w:rsidRPr="00BF0763">
              <w:rPr>
                <w:rFonts w:eastAsia="Times New Roman" w:cs="Times New Roman"/>
                <w:sz w:val="20"/>
                <w:szCs w:val="20"/>
              </w:rPr>
              <w:t>0.659</w:t>
            </w:r>
            <w:r w:rsidRPr="00BF0763">
              <w:rPr>
                <w:rFonts w:eastAsia="Times New Roman" w:cs="Times New Roman"/>
                <w:sz w:val="20"/>
                <w:szCs w:val="20"/>
                <w:lang/>
              </w:rPr>
              <w:t>*</w:t>
            </w:r>
          </w:p>
        </w:tc>
        <w:tc>
          <w:tcPr>
            <w:tcW w:w="821" w:type="pct"/>
            <w:vAlign w:val="center"/>
            <w:hideMark/>
          </w:tcPr>
          <w:p w14:paraId="54E3EE21" w14:textId="77777777" w:rsidR="00BF0763" w:rsidRPr="00BF0763" w:rsidRDefault="00BF0763" w:rsidP="00FA0384">
            <w:pPr>
              <w:spacing w:line="276" w:lineRule="auto"/>
              <w:rPr>
                <w:rFonts w:eastAsia="Times New Roman" w:cs="Times New Roman"/>
                <w:sz w:val="20"/>
                <w:szCs w:val="20"/>
                <w:lang/>
              </w:rPr>
            </w:pPr>
            <w:r w:rsidRPr="00BF0763">
              <w:rPr>
                <w:rFonts w:eastAsia="Times New Roman" w:cs="Times New Roman"/>
                <w:sz w:val="20"/>
                <w:szCs w:val="20"/>
                <w:lang/>
              </w:rPr>
              <w:t>+ (NS)</w:t>
            </w:r>
          </w:p>
        </w:tc>
        <w:tc>
          <w:tcPr>
            <w:tcW w:w="651" w:type="pct"/>
            <w:vAlign w:val="center"/>
            <w:hideMark/>
          </w:tcPr>
          <w:p w14:paraId="47334DF7" w14:textId="77777777" w:rsidR="00BF0763" w:rsidRPr="00BF0763" w:rsidRDefault="00BF0763" w:rsidP="00FA0384">
            <w:pPr>
              <w:spacing w:line="276" w:lineRule="auto"/>
              <w:rPr>
                <w:rFonts w:eastAsia="Times New Roman" w:cs="Times New Roman"/>
                <w:sz w:val="20"/>
                <w:szCs w:val="20"/>
                <w:lang/>
              </w:rPr>
            </w:pPr>
            <w:r w:rsidRPr="00BF0763">
              <w:rPr>
                <w:rFonts w:eastAsia="Times New Roman" w:cs="Times New Roman"/>
                <w:sz w:val="20"/>
                <w:szCs w:val="20"/>
                <w:lang/>
              </w:rPr>
              <w:t>+ (NS)</w:t>
            </w:r>
          </w:p>
        </w:tc>
      </w:tr>
      <w:tr w:rsidR="003B5A8E" w:rsidRPr="00BF0763" w14:paraId="796EBE34" w14:textId="77777777" w:rsidTr="003B5A8E">
        <w:trPr>
          <w:tblCellSpacing w:w="15" w:type="dxa"/>
          <w:jc w:val="center"/>
        </w:trPr>
        <w:tc>
          <w:tcPr>
            <w:tcW w:w="1220" w:type="pct"/>
            <w:vAlign w:val="center"/>
            <w:hideMark/>
          </w:tcPr>
          <w:p w14:paraId="1E67C29E" w14:textId="196AA2AD" w:rsidR="00BF0763" w:rsidRPr="00BF0763" w:rsidRDefault="00BF0763" w:rsidP="00FA0384">
            <w:pPr>
              <w:spacing w:line="276" w:lineRule="auto"/>
              <w:rPr>
                <w:rFonts w:eastAsia="Times New Roman" w:cs="Times New Roman"/>
                <w:sz w:val="20"/>
                <w:szCs w:val="20"/>
                <w:lang/>
              </w:rPr>
            </w:pPr>
            <w:r w:rsidRPr="00BF0763">
              <w:rPr>
                <w:rFonts w:eastAsia="Times New Roman" w:cs="Times New Roman"/>
                <w:sz w:val="20"/>
                <w:szCs w:val="20"/>
                <w:lang/>
              </w:rPr>
              <w:t>31-33</w:t>
            </w:r>
          </w:p>
        </w:tc>
        <w:tc>
          <w:tcPr>
            <w:tcW w:w="428" w:type="pct"/>
            <w:vAlign w:val="center"/>
            <w:hideMark/>
          </w:tcPr>
          <w:p w14:paraId="0DA1E598" w14:textId="77777777" w:rsidR="00BF0763" w:rsidRPr="00BF0763" w:rsidRDefault="00BF0763" w:rsidP="00FA0384">
            <w:pPr>
              <w:spacing w:line="276" w:lineRule="auto"/>
              <w:rPr>
                <w:rFonts w:eastAsia="Times New Roman" w:cs="Times New Roman"/>
                <w:sz w:val="20"/>
                <w:szCs w:val="20"/>
                <w:lang/>
              </w:rPr>
            </w:pPr>
            <w:r w:rsidRPr="00BF0763">
              <w:rPr>
                <w:rFonts w:eastAsia="Times New Roman" w:cs="Times New Roman"/>
                <w:sz w:val="20"/>
                <w:szCs w:val="20"/>
                <w:lang/>
              </w:rPr>
              <w:t>+</w:t>
            </w:r>
            <w:r w:rsidRPr="00BF0763">
              <w:rPr>
                <w:rFonts w:eastAsia="Times New Roman" w:cs="Times New Roman"/>
                <w:sz w:val="20"/>
                <w:szCs w:val="20"/>
              </w:rPr>
              <w:t>0.122</w:t>
            </w:r>
            <w:r w:rsidRPr="00BF0763">
              <w:rPr>
                <w:rFonts w:eastAsia="Times New Roman" w:cs="Times New Roman"/>
                <w:sz w:val="20"/>
                <w:szCs w:val="20"/>
                <w:lang/>
              </w:rPr>
              <w:t>**</w:t>
            </w:r>
          </w:p>
        </w:tc>
        <w:tc>
          <w:tcPr>
            <w:tcW w:w="527" w:type="pct"/>
            <w:vAlign w:val="center"/>
            <w:hideMark/>
          </w:tcPr>
          <w:p w14:paraId="16F1A28E" w14:textId="77777777" w:rsidR="00BF0763" w:rsidRPr="00BF0763" w:rsidRDefault="00BF0763" w:rsidP="00FA0384">
            <w:pPr>
              <w:spacing w:line="276" w:lineRule="auto"/>
              <w:rPr>
                <w:rFonts w:eastAsia="Times New Roman" w:cs="Times New Roman"/>
                <w:sz w:val="20"/>
                <w:szCs w:val="20"/>
                <w:lang/>
              </w:rPr>
            </w:pPr>
            <w:r w:rsidRPr="00BF0763">
              <w:rPr>
                <w:rFonts w:eastAsia="Times New Roman" w:cs="Times New Roman"/>
                <w:sz w:val="20"/>
                <w:szCs w:val="20"/>
                <w:lang/>
              </w:rPr>
              <w:t>- (NS)</w:t>
            </w:r>
          </w:p>
        </w:tc>
        <w:tc>
          <w:tcPr>
            <w:tcW w:w="484" w:type="pct"/>
            <w:vAlign w:val="center"/>
            <w:hideMark/>
          </w:tcPr>
          <w:p w14:paraId="4EF5ED1D" w14:textId="77777777" w:rsidR="00BF0763" w:rsidRPr="00BF0763" w:rsidRDefault="00BF0763" w:rsidP="00FA0384">
            <w:pPr>
              <w:spacing w:line="276" w:lineRule="auto"/>
              <w:rPr>
                <w:rFonts w:eastAsia="Times New Roman" w:cs="Times New Roman"/>
                <w:sz w:val="20"/>
                <w:szCs w:val="20"/>
                <w:lang/>
              </w:rPr>
            </w:pPr>
            <w:r w:rsidRPr="00BF0763">
              <w:rPr>
                <w:rFonts w:eastAsia="Times New Roman" w:cs="Times New Roman"/>
                <w:sz w:val="20"/>
                <w:szCs w:val="20"/>
                <w:lang/>
              </w:rPr>
              <w:t>+</w:t>
            </w:r>
            <w:r w:rsidRPr="00BF0763">
              <w:rPr>
                <w:rFonts w:eastAsia="Times New Roman" w:cs="Times New Roman"/>
                <w:sz w:val="20"/>
                <w:szCs w:val="20"/>
              </w:rPr>
              <w:t>0.071</w:t>
            </w:r>
            <w:r w:rsidRPr="00BF0763">
              <w:rPr>
                <w:rFonts w:eastAsia="Times New Roman" w:cs="Times New Roman"/>
                <w:sz w:val="20"/>
                <w:szCs w:val="20"/>
                <w:lang/>
              </w:rPr>
              <w:t>*</w:t>
            </w:r>
          </w:p>
        </w:tc>
        <w:tc>
          <w:tcPr>
            <w:tcW w:w="739" w:type="pct"/>
            <w:vAlign w:val="center"/>
            <w:hideMark/>
          </w:tcPr>
          <w:p w14:paraId="4B964EF8" w14:textId="77777777" w:rsidR="00BF0763" w:rsidRPr="00BF0763" w:rsidRDefault="00BF0763" w:rsidP="00FA0384">
            <w:pPr>
              <w:spacing w:line="276" w:lineRule="auto"/>
              <w:rPr>
                <w:rFonts w:eastAsia="Times New Roman" w:cs="Times New Roman"/>
                <w:sz w:val="20"/>
                <w:szCs w:val="20"/>
                <w:lang/>
              </w:rPr>
            </w:pPr>
            <w:r w:rsidRPr="00BF0763">
              <w:rPr>
                <w:rFonts w:eastAsia="Times New Roman" w:cs="Times New Roman"/>
                <w:sz w:val="20"/>
                <w:szCs w:val="20"/>
                <w:lang/>
              </w:rPr>
              <w:t>+</w:t>
            </w:r>
            <w:r w:rsidRPr="00BF0763">
              <w:rPr>
                <w:rFonts w:eastAsia="Times New Roman" w:cs="Times New Roman"/>
                <w:sz w:val="20"/>
                <w:szCs w:val="20"/>
              </w:rPr>
              <w:t>1.64</w:t>
            </w:r>
            <w:r w:rsidRPr="00BF0763">
              <w:rPr>
                <w:rFonts w:eastAsia="Times New Roman" w:cs="Times New Roman"/>
                <w:sz w:val="20"/>
                <w:szCs w:val="20"/>
                <w:lang/>
              </w:rPr>
              <w:t>***</w:t>
            </w:r>
          </w:p>
        </w:tc>
        <w:tc>
          <w:tcPr>
            <w:tcW w:w="821" w:type="pct"/>
            <w:vAlign w:val="center"/>
            <w:hideMark/>
          </w:tcPr>
          <w:p w14:paraId="60606D56" w14:textId="77777777" w:rsidR="00BF0763" w:rsidRPr="00BF0763" w:rsidRDefault="00BF0763" w:rsidP="00FA0384">
            <w:pPr>
              <w:spacing w:line="276" w:lineRule="auto"/>
              <w:rPr>
                <w:rFonts w:eastAsia="Times New Roman" w:cs="Times New Roman"/>
                <w:sz w:val="20"/>
                <w:szCs w:val="20"/>
                <w:lang/>
              </w:rPr>
            </w:pPr>
            <w:r w:rsidRPr="00BF0763">
              <w:rPr>
                <w:rFonts w:eastAsia="Times New Roman" w:cs="Times New Roman"/>
                <w:sz w:val="20"/>
                <w:szCs w:val="20"/>
                <w:lang/>
              </w:rPr>
              <w:t>+</w:t>
            </w:r>
            <w:r w:rsidRPr="00BF0763">
              <w:rPr>
                <w:rFonts w:eastAsia="Times New Roman" w:cs="Times New Roman"/>
                <w:sz w:val="20"/>
                <w:szCs w:val="20"/>
              </w:rPr>
              <w:t>0.070</w:t>
            </w:r>
            <w:r w:rsidRPr="00BF0763">
              <w:rPr>
                <w:rFonts w:eastAsia="Times New Roman" w:cs="Times New Roman"/>
                <w:sz w:val="20"/>
                <w:szCs w:val="20"/>
                <w:lang/>
              </w:rPr>
              <w:t>***</w:t>
            </w:r>
          </w:p>
        </w:tc>
        <w:tc>
          <w:tcPr>
            <w:tcW w:w="651" w:type="pct"/>
            <w:vAlign w:val="center"/>
            <w:hideMark/>
          </w:tcPr>
          <w:p w14:paraId="6E4F7600" w14:textId="77777777" w:rsidR="00BF0763" w:rsidRPr="00BF0763" w:rsidRDefault="00BF0763" w:rsidP="00FA0384">
            <w:pPr>
              <w:spacing w:line="276" w:lineRule="auto"/>
              <w:rPr>
                <w:rFonts w:eastAsia="Times New Roman" w:cs="Times New Roman"/>
                <w:sz w:val="20"/>
                <w:szCs w:val="20"/>
                <w:lang/>
              </w:rPr>
            </w:pPr>
            <w:r w:rsidRPr="00BF0763">
              <w:rPr>
                <w:rFonts w:eastAsia="Times New Roman" w:cs="Times New Roman"/>
                <w:sz w:val="20"/>
                <w:szCs w:val="20"/>
                <w:lang/>
              </w:rPr>
              <w:t>- (NS)</w:t>
            </w:r>
          </w:p>
        </w:tc>
      </w:tr>
    </w:tbl>
    <w:p w14:paraId="2883D9C9" w14:textId="19F68605" w:rsidR="00BF0763" w:rsidRPr="00A6107E" w:rsidRDefault="00732BFD" w:rsidP="004C39A4">
      <w:pPr>
        <w:spacing w:line="240" w:lineRule="auto"/>
        <w:rPr>
          <w:sz w:val="20"/>
          <w:szCs w:val="20"/>
        </w:rPr>
      </w:pPr>
      <w:r>
        <w:rPr>
          <w:sz w:val="20"/>
          <w:szCs w:val="20"/>
        </w:rPr>
        <w:t>T</w:t>
      </w:r>
      <w:r w:rsidR="00BF0763" w:rsidRPr="00A6107E">
        <w:rPr>
          <w:sz w:val="20"/>
          <w:szCs w:val="20"/>
        </w:rPr>
        <w:t xml:space="preserve">able </w:t>
      </w:r>
      <w:r>
        <w:rPr>
          <w:sz w:val="20"/>
          <w:szCs w:val="20"/>
        </w:rPr>
        <w:t>A33: S</w:t>
      </w:r>
      <w:r w:rsidR="00BF0763" w:rsidRPr="00A6107E">
        <w:rPr>
          <w:sz w:val="20"/>
          <w:szCs w:val="20"/>
        </w:rPr>
        <w:t>ummarizes the regression results of the coefficients on the Fire Count variable (</w:t>
      </w:r>
      <w:r w:rsidR="00BF0763" w:rsidRPr="00A6107E">
        <w:rPr>
          <w:i/>
          <w:iCs/>
          <w:sz w:val="20"/>
          <w:szCs w:val="20"/>
        </w:rPr>
        <w:t xml:space="preserve">Fire Count </w:t>
      </w:r>
      <w:r w:rsidR="00FA0384">
        <w:rPr>
          <w:i/>
          <w:iCs/>
          <w:sz w:val="20"/>
          <w:szCs w:val="20"/>
        </w:rPr>
        <w:t>(</w:t>
      </w:r>
      <w:r w:rsidR="00BF0763" w:rsidRPr="00A6107E">
        <w:rPr>
          <w:i/>
          <w:iCs/>
          <w:sz w:val="20"/>
          <w:szCs w:val="20"/>
        </w:rPr>
        <w:t>t-1) (1000s)</w:t>
      </w:r>
      <w:r w:rsidR="00BF0763" w:rsidRPr="00A6107E">
        <w:rPr>
          <w:sz w:val="20"/>
          <w:szCs w:val="20"/>
        </w:rPr>
        <w:t>) on establishment births, deaths, inward relocations, outward relocations, employment numbers, and sales performance across five sectors: Agriculture, Forestry, Fishing, and Hunting (NAICS 11); Mining, Quarrying, and Oil and Gas Extraction (NAICS 21); Utilities (NAICS 22); Construction (NAICS 23); and Manufacturing (NAICS 31–33). Statistically significant coefficients are denoted by asterisks at the following levels: ***p &lt; 0.01, **p &lt; 0.05, *p &lt; 0.1. The coefficients are semi-elasticities, indicating the percentage change in Y for a one-unit change in X, holding all else constant. For e.g., a 1-unit increase in the wildfire intensity variable (which corresponds to a 100% increase in county area burned in the previous year) will result in an increase of 15.6% in establishment deaths in the current year. For practical purposes, in our results and interpretation section, we interpret effects of 0.01-unit increases, that is, 1% increases in county area burned (which would then correspond to a 0.156% increase in deaths). Full regression results for each sector are provided in Tables A</w:t>
      </w:r>
      <w:r w:rsidR="009C0226">
        <w:rPr>
          <w:sz w:val="20"/>
          <w:szCs w:val="20"/>
        </w:rPr>
        <w:t>36</w:t>
      </w:r>
      <w:r w:rsidR="00BF0763" w:rsidRPr="00A6107E">
        <w:rPr>
          <w:sz w:val="20"/>
          <w:szCs w:val="20"/>
        </w:rPr>
        <w:t>–A</w:t>
      </w:r>
      <w:r w:rsidR="009C0226">
        <w:rPr>
          <w:sz w:val="20"/>
          <w:szCs w:val="20"/>
        </w:rPr>
        <w:t>40</w:t>
      </w:r>
      <w:r w:rsidR="00BF0763" w:rsidRPr="00A6107E">
        <w:rPr>
          <w:sz w:val="20"/>
          <w:szCs w:val="20"/>
        </w:rPr>
        <w:t>.</w:t>
      </w:r>
    </w:p>
    <w:p w14:paraId="6546C876" w14:textId="77777777" w:rsidR="00BF0763" w:rsidRPr="00BF0763" w:rsidRDefault="00BF0763" w:rsidP="004C39A4">
      <w:pPr>
        <w:spacing w:line="259" w:lineRule="auto"/>
        <w:jc w:val="both"/>
        <w:rPr>
          <w:rFonts w:ascii="Calibri" w:eastAsia="Times New Roman" w:hAnsi="Calibri" w:cs="Times New Roman"/>
          <w:b/>
          <w:bCs/>
          <w:color w:val="4472C4"/>
          <w:sz w:val="18"/>
          <w:szCs w:val="18"/>
        </w:rPr>
      </w:pPr>
    </w:p>
    <w:p w14:paraId="67854BE7" w14:textId="77777777" w:rsidR="00BF0763" w:rsidRPr="00BF0763" w:rsidRDefault="00BF0763" w:rsidP="004C39A4">
      <w:pPr>
        <w:spacing w:line="259" w:lineRule="auto"/>
        <w:jc w:val="both"/>
        <w:rPr>
          <w:rFonts w:eastAsia="Times New Roman" w:cs="Times New Roman"/>
          <w:lang/>
        </w:rPr>
      </w:pPr>
      <w:r w:rsidRPr="00BF0763">
        <w:rPr>
          <w:rFonts w:eastAsia="Times New Roman" w:cs="Times New Roman"/>
          <w:lang/>
        </w:rPr>
        <w:br w:type="page"/>
      </w:r>
      <w:bookmarkStart w:id="477" w:name="_Toc176365882"/>
      <w:bookmarkStart w:id="478" w:name="_Toc187222175"/>
    </w:p>
    <w:p w14:paraId="7FBDD27A" w14:textId="284D651E" w:rsidR="00BF0763" w:rsidRPr="00BF0763" w:rsidRDefault="00BF0763" w:rsidP="00095E25">
      <w:pPr>
        <w:pStyle w:val="Title"/>
      </w:pPr>
      <w:bookmarkStart w:id="479" w:name="_Toc187564780"/>
      <w:bookmarkStart w:id="480" w:name="_Toc188359639"/>
      <w:bookmarkStart w:id="481" w:name="_Toc188359927"/>
      <w:bookmarkStart w:id="482" w:name="_Toc188361163"/>
      <w:bookmarkStart w:id="483" w:name="_Toc188367007"/>
      <w:bookmarkEnd w:id="477"/>
      <w:bookmarkEnd w:id="478"/>
      <w:r w:rsidRPr="00BF0763">
        <w:lastRenderedPageBreak/>
        <w:t>Table A</w:t>
      </w:r>
      <w:r w:rsidR="007D52FE">
        <w:rPr>
          <w:lang w:val="en-US"/>
        </w:rPr>
        <w:t>34</w:t>
      </w:r>
      <w:r w:rsidR="009B5135">
        <w:rPr>
          <w:lang w:val="en-US"/>
        </w:rPr>
        <w:t>:</w:t>
      </w:r>
      <w:r w:rsidRPr="00BF0763">
        <w:t xml:space="preserve"> Sector-Specific Regression Results: </w:t>
      </w:r>
      <w:bookmarkEnd w:id="479"/>
      <w:bookmarkEnd w:id="480"/>
      <w:bookmarkEnd w:id="481"/>
      <w:bookmarkEnd w:id="482"/>
      <w:r w:rsidR="009B5135">
        <w:rPr>
          <w:lang w:val="en-US"/>
        </w:rPr>
        <w:t>Wildfire Intensity</w:t>
      </w:r>
      <w:bookmarkEnd w:id="483"/>
    </w:p>
    <w:tbl>
      <w:tblPr>
        <w:tblW w:w="5000" w:type="pct"/>
        <w:tblCellSpacing w:w="15" w:type="dxa"/>
        <w:tblBorders>
          <w:bottom w:val="single" w:sz="4" w:space="0" w:color="auto"/>
        </w:tblBorders>
        <w:tblCellMar>
          <w:top w:w="15" w:type="dxa"/>
          <w:left w:w="15" w:type="dxa"/>
          <w:bottom w:w="15" w:type="dxa"/>
          <w:right w:w="15" w:type="dxa"/>
        </w:tblCellMar>
        <w:tblLook w:val="04A0" w:firstRow="1" w:lastRow="0" w:firstColumn="1" w:lastColumn="0" w:noHBand="0" w:noVBand="1"/>
      </w:tblPr>
      <w:tblGrid>
        <w:gridCol w:w="1171"/>
        <w:gridCol w:w="823"/>
        <w:gridCol w:w="1535"/>
        <w:gridCol w:w="823"/>
        <w:gridCol w:w="1668"/>
        <w:gridCol w:w="1821"/>
        <w:gridCol w:w="1519"/>
      </w:tblGrid>
      <w:tr w:rsidR="0057442E" w:rsidRPr="00BF0763" w14:paraId="144485A2" w14:textId="77777777" w:rsidTr="001F2F98">
        <w:trPr>
          <w:tblHeader/>
          <w:tblCellSpacing w:w="15" w:type="dxa"/>
        </w:trPr>
        <w:tc>
          <w:tcPr>
            <w:tcW w:w="616" w:type="pct"/>
            <w:tcBorders>
              <w:top w:val="single" w:sz="4" w:space="0" w:color="auto"/>
              <w:bottom w:val="single" w:sz="4" w:space="0" w:color="auto"/>
            </w:tcBorders>
            <w:vAlign w:val="center"/>
            <w:hideMark/>
          </w:tcPr>
          <w:p w14:paraId="3040924D" w14:textId="027F83CA" w:rsidR="00BF0763" w:rsidRPr="00BF0763" w:rsidRDefault="001F2F98" w:rsidP="00FA0384">
            <w:pPr>
              <w:spacing w:line="276" w:lineRule="auto"/>
              <w:rPr>
                <w:rFonts w:eastAsia="Times New Roman" w:cs="Times New Roman"/>
                <w:b/>
                <w:bCs/>
                <w:sz w:val="20"/>
                <w:szCs w:val="20"/>
                <w:lang/>
              </w:rPr>
            </w:pPr>
            <w:r>
              <w:rPr>
                <w:rFonts w:eastAsia="Times New Roman" w:cs="Times New Roman"/>
                <w:b/>
                <w:bCs/>
                <w:sz w:val="20"/>
                <w:szCs w:val="20"/>
              </w:rPr>
              <w:t xml:space="preserve">NAICS </w:t>
            </w:r>
            <w:r w:rsidR="00BF0763" w:rsidRPr="00BF0763">
              <w:rPr>
                <w:rFonts w:eastAsia="Times New Roman" w:cs="Times New Roman"/>
                <w:b/>
                <w:bCs/>
                <w:sz w:val="20"/>
                <w:szCs w:val="20"/>
                <w:lang/>
              </w:rPr>
              <w:t>Sector</w:t>
            </w:r>
          </w:p>
        </w:tc>
        <w:tc>
          <w:tcPr>
            <w:tcW w:w="392" w:type="pct"/>
            <w:tcBorders>
              <w:top w:val="single" w:sz="4" w:space="0" w:color="auto"/>
              <w:bottom w:val="single" w:sz="4" w:space="0" w:color="auto"/>
            </w:tcBorders>
            <w:vAlign w:val="center"/>
            <w:hideMark/>
          </w:tcPr>
          <w:p w14:paraId="383950BE" w14:textId="77777777" w:rsidR="00BF0763" w:rsidRPr="00BF0763" w:rsidRDefault="00BF0763" w:rsidP="00FA0384">
            <w:pPr>
              <w:spacing w:line="276" w:lineRule="auto"/>
              <w:rPr>
                <w:rFonts w:eastAsia="Times New Roman" w:cs="Times New Roman"/>
                <w:b/>
                <w:bCs/>
                <w:sz w:val="20"/>
                <w:szCs w:val="20"/>
                <w:lang/>
              </w:rPr>
            </w:pPr>
            <w:r w:rsidRPr="00BF0763">
              <w:rPr>
                <w:rFonts w:eastAsia="Times New Roman" w:cs="Times New Roman"/>
                <w:b/>
                <w:bCs/>
                <w:sz w:val="20"/>
                <w:szCs w:val="20"/>
                <w:lang/>
              </w:rPr>
              <w:t>Births</w:t>
            </w:r>
          </w:p>
        </w:tc>
        <w:tc>
          <w:tcPr>
            <w:tcW w:w="819" w:type="pct"/>
            <w:tcBorders>
              <w:top w:val="single" w:sz="4" w:space="0" w:color="auto"/>
              <w:bottom w:val="single" w:sz="4" w:space="0" w:color="auto"/>
            </w:tcBorders>
            <w:vAlign w:val="center"/>
            <w:hideMark/>
          </w:tcPr>
          <w:p w14:paraId="09DB486B" w14:textId="77777777" w:rsidR="00BF0763" w:rsidRPr="00BF0763" w:rsidRDefault="00BF0763" w:rsidP="00FA0384">
            <w:pPr>
              <w:spacing w:line="276" w:lineRule="auto"/>
              <w:rPr>
                <w:rFonts w:eastAsia="Times New Roman" w:cs="Times New Roman"/>
                <w:b/>
                <w:bCs/>
                <w:sz w:val="20"/>
                <w:szCs w:val="20"/>
                <w:lang/>
              </w:rPr>
            </w:pPr>
            <w:r w:rsidRPr="00BF0763">
              <w:rPr>
                <w:rFonts w:eastAsia="Times New Roman" w:cs="Times New Roman"/>
                <w:b/>
                <w:bCs/>
                <w:sz w:val="20"/>
                <w:szCs w:val="20"/>
                <w:lang/>
              </w:rPr>
              <w:t>Inward Migrations</w:t>
            </w:r>
          </w:p>
        </w:tc>
        <w:tc>
          <w:tcPr>
            <w:tcW w:w="392" w:type="pct"/>
            <w:tcBorders>
              <w:top w:val="single" w:sz="4" w:space="0" w:color="auto"/>
              <w:bottom w:val="single" w:sz="4" w:space="0" w:color="auto"/>
            </w:tcBorders>
            <w:vAlign w:val="center"/>
            <w:hideMark/>
          </w:tcPr>
          <w:p w14:paraId="3C75D79C" w14:textId="77777777" w:rsidR="00BF0763" w:rsidRPr="00BF0763" w:rsidRDefault="00BF0763" w:rsidP="00FA0384">
            <w:pPr>
              <w:spacing w:line="276" w:lineRule="auto"/>
              <w:rPr>
                <w:rFonts w:eastAsia="Times New Roman" w:cs="Times New Roman"/>
                <w:b/>
                <w:bCs/>
                <w:sz w:val="20"/>
                <w:szCs w:val="20"/>
                <w:lang/>
              </w:rPr>
            </w:pPr>
            <w:r w:rsidRPr="00BF0763">
              <w:rPr>
                <w:rFonts w:eastAsia="Times New Roman" w:cs="Times New Roman"/>
                <w:b/>
                <w:bCs/>
                <w:sz w:val="20"/>
                <w:szCs w:val="20"/>
                <w:lang/>
              </w:rPr>
              <w:t>Deaths</w:t>
            </w:r>
          </w:p>
        </w:tc>
        <w:tc>
          <w:tcPr>
            <w:tcW w:w="890" w:type="pct"/>
            <w:tcBorders>
              <w:top w:val="single" w:sz="4" w:space="0" w:color="auto"/>
              <w:bottom w:val="single" w:sz="4" w:space="0" w:color="auto"/>
            </w:tcBorders>
            <w:vAlign w:val="center"/>
            <w:hideMark/>
          </w:tcPr>
          <w:p w14:paraId="0FDD51FE" w14:textId="77777777" w:rsidR="00BF0763" w:rsidRPr="00BF0763" w:rsidRDefault="00BF0763" w:rsidP="00FA0384">
            <w:pPr>
              <w:spacing w:line="276" w:lineRule="auto"/>
              <w:rPr>
                <w:rFonts w:eastAsia="Times New Roman" w:cs="Times New Roman"/>
                <w:b/>
                <w:bCs/>
                <w:sz w:val="20"/>
                <w:szCs w:val="20"/>
                <w:lang/>
              </w:rPr>
            </w:pPr>
            <w:r w:rsidRPr="00BF0763">
              <w:rPr>
                <w:rFonts w:eastAsia="Times New Roman" w:cs="Times New Roman"/>
                <w:b/>
                <w:bCs/>
                <w:sz w:val="20"/>
                <w:szCs w:val="20"/>
                <w:lang/>
              </w:rPr>
              <w:t>Outward Migrations</w:t>
            </w:r>
          </w:p>
        </w:tc>
        <w:tc>
          <w:tcPr>
            <w:tcW w:w="972" w:type="pct"/>
            <w:tcBorders>
              <w:top w:val="single" w:sz="4" w:space="0" w:color="auto"/>
              <w:bottom w:val="single" w:sz="4" w:space="0" w:color="auto"/>
            </w:tcBorders>
            <w:vAlign w:val="center"/>
            <w:hideMark/>
          </w:tcPr>
          <w:p w14:paraId="389F3A57" w14:textId="77777777" w:rsidR="00BF0763" w:rsidRPr="00BF0763" w:rsidRDefault="00BF0763" w:rsidP="00FA0384">
            <w:pPr>
              <w:spacing w:line="276" w:lineRule="auto"/>
              <w:rPr>
                <w:rFonts w:eastAsia="Times New Roman" w:cs="Times New Roman"/>
                <w:b/>
                <w:bCs/>
                <w:sz w:val="20"/>
                <w:szCs w:val="20"/>
                <w:lang/>
              </w:rPr>
            </w:pPr>
            <w:r w:rsidRPr="00BF0763">
              <w:rPr>
                <w:rFonts w:eastAsia="Times New Roman" w:cs="Times New Roman"/>
                <w:b/>
                <w:bCs/>
                <w:sz w:val="20"/>
                <w:szCs w:val="20"/>
                <w:lang/>
              </w:rPr>
              <w:t>Employment Numbers</w:t>
            </w:r>
          </w:p>
        </w:tc>
        <w:tc>
          <w:tcPr>
            <w:tcW w:w="802" w:type="pct"/>
            <w:tcBorders>
              <w:top w:val="single" w:sz="4" w:space="0" w:color="auto"/>
              <w:bottom w:val="single" w:sz="4" w:space="0" w:color="auto"/>
            </w:tcBorders>
            <w:vAlign w:val="center"/>
            <w:hideMark/>
          </w:tcPr>
          <w:p w14:paraId="4F8DF6DE" w14:textId="77777777" w:rsidR="00BF0763" w:rsidRPr="00BF0763" w:rsidRDefault="00BF0763" w:rsidP="00FA0384">
            <w:pPr>
              <w:spacing w:line="276" w:lineRule="auto"/>
              <w:rPr>
                <w:rFonts w:eastAsia="Times New Roman" w:cs="Times New Roman"/>
                <w:b/>
                <w:bCs/>
                <w:sz w:val="20"/>
                <w:szCs w:val="20"/>
                <w:lang/>
              </w:rPr>
            </w:pPr>
            <w:r w:rsidRPr="00BF0763">
              <w:rPr>
                <w:rFonts w:eastAsia="Times New Roman" w:cs="Times New Roman"/>
                <w:b/>
                <w:bCs/>
                <w:sz w:val="20"/>
                <w:szCs w:val="20"/>
                <w:lang/>
              </w:rPr>
              <w:t>Sales Performance</w:t>
            </w:r>
          </w:p>
        </w:tc>
      </w:tr>
      <w:tr w:rsidR="000207A6" w:rsidRPr="00BF0763" w14:paraId="7CE10A5F" w14:textId="77777777" w:rsidTr="001F2F98">
        <w:trPr>
          <w:tblCellSpacing w:w="15" w:type="dxa"/>
        </w:trPr>
        <w:tc>
          <w:tcPr>
            <w:tcW w:w="616" w:type="pct"/>
            <w:vAlign w:val="center"/>
            <w:hideMark/>
          </w:tcPr>
          <w:p w14:paraId="23C7494E" w14:textId="2ECB51FC" w:rsidR="00BF0763" w:rsidRPr="00BF0763" w:rsidRDefault="00BF0763" w:rsidP="00FA0384">
            <w:pPr>
              <w:spacing w:line="276" w:lineRule="auto"/>
              <w:rPr>
                <w:rFonts w:eastAsia="Times New Roman" w:cs="Times New Roman"/>
                <w:sz w:val="20"/>
                <w:szCs w:val="20"/>
                <w:lang/>
              </w:rPr>
            </w:pPr>
            <w:r w:rsidRPr="00BF0763">
              <w:rPr>
                <w:rFonts w:eastAsia="Times New Roman" w:cs="Times New Roman"/>
                <w:sz w:val="20"/>
                <w:szCs w:val="20"/>
                <w:lang/>
              </w:rPr>
              <w:t>11</w:t>
            </w:r>
          </w:p>
        </w:tc>
        <w:tc>
          <w:tcPr>
            <w:tcW w:w="392" w:type="pct"/>
            <w:vAlign w:val="center"/>
            <w:hideMark/>
          </w:tcPr>
          <w:p w14:paraId="2F540AAE" w14:textId="77777777" w:rsidR="00BF0763" w:rsidRPr="00BF0763" w:rsidRDefault="00BF0763" w:rsidP="00FA0384">
            <w:pPr>
              <w:spacing w:line="276" w:lineRule="auto"/>
              <w:rPr>
                <w:rFonts w:eastAsia="Times New Roman" w:cs="Times New Roman"/>
                <w:sz w:val="20"/>
                <w:szCs w:val="20"/>
                <w:lang/>
              </w:rPr>
            </w:pPr>
            <w:r w:rsidRPr="00BF0763">
              <w:rPr>
                <w:rFonts w:eastAsia="Times New Roman" w:cs="Times New Roman"/>
                <w:sz w:val="20"/>
                <w:szCs w:val="20"/>
                <w:lang/>
              </w:rPr>
              <w:t>-</w:t>
            </w:r>
            <w:r w:rsidRPr="00BF0763">
              <w:rPr>
                <w:rFonts w:eastAsia="Times New Roman" w:cs="Times New Roman"/>
                <w:sz w:val="20"/>
                <w:szCs w:val="20"/>
              </w:rPr>
              <w:t>1.75</w:t>
            </w:r>
            <w:r w:rsidRPr="00BF0763">
              <w:rPr>
                <w:rFonts w:eastAsia="Times New Roman" w:cs="Times New Roman"/>
                <w:sz w:val="20"/>
                <w:szCs w:val="20"/>
                <w:lang/>
              </w:rPr>
              <w:t>**</w:t>
            </w:r>
          </w:p>
        </w:tc>
        <w:tc>
          <w:tcPr>
            <w:tcW w:w="819" w:type="pct"/>
            <w:vAlign w:val="center"/>
            <w:hideMark/>
          </w:tcPr>
          <w:p w14:paraId="462A8AC7" w14:textId="77777777" w:rsidR="00BF0763" w:rsidRPr="00BF0763" w:rsidRDefault="00BF0763" w:rsidP="00FA0384">
            <w:pPr>
              <w:spacing w:line="276" w:lineRule="auto"/>
              <w:rPr>
                <w:rFonts w:eastAsia="Times New Roman" w:cs="Times New Roman"/>
                <w:sz w:val="20"/>
                <w:szCs w:val="20"/>
                <w:lang/>
              </w:rPr>
            </w:pPr>
            <w:r w:rsidRPr="00BF0763">
              <w:rPr>
                <w:rFonts w:eastAsia="Times New Roman" w:cs="Times New Roman"/>
                <w:sz w:val="20"/>
                <w:szCs w:val="20"/>
                <w:lang/>
              </w:rPr>
              <w:t>+ (NS)</w:t>
            </w:r>
          </w:p>
        </w:tc>
        <w:tc>
          <w:tcPr>
            <w:tcW w:w="392" w:type="pct"/>
            <w:vAlign w:val="center"/>
            <w:hideMark/>
          </w:tcPr>
          <w:p w14:paraId="691ADEC4" w14:textId="77777777" w:rsidR="00BF0763" w:rsidRPr="00BF0763" w:rsidRDefault="00BF0763" w:rsidP="00FA0384">
            <w:pPr>
              <w:spacing w:line="276" w:lineRule="auto"/>
              <w:rPr>
                <w:rFonts w:eastAsia="Times New Roman" w:cs="Times New Roman"/>
                <w:sz w:val="20"/>
                <w:szCs w:val="20"/>
                <w:lang/>
              </w:rPr>
            </w:pPr>
            <w:r w:rsidRPr="00BF0763">
              <w:rPr>
                <w:rFonts w:eastAsia="Times New Roman" w:cs="Times New Roman"/>
                <w:sz w:val="20"/>
                <w:szCs w:val="20"/>
                <w:lang/>
              </w:rPr>
              <w:t>- (NS)</w:t>
            </w:r>
          </w:p>
        </w:tc>
        <w:tc>
          <w:tcPr>
            <w:tcW w:w="890" w:type="pct"/>
            <w:vAlign w:val="center"/>
            <w:hideMark/>
          </w:tcPr>
          <w:p w14:paraId="46E0E350" w14:textId="77777777" w:rsidR="00BF0763" w:rsidRPr="00BF0763" w:rsidRDefault="00BF0763" w:rsidP="00FA0384">
            <w:pPr>
              <w:spacing w:line="276" w:lineRule="auto"/>
              <w:rPr>
                <w:rFonts w:eastAsia="Times New Roman" w:cs="Times New Roman"/>
                <w:sz w:val="20"/>
                <w:szCs w:val="20"/>
                <w:lang/>
              </w:rPr>
            </w:pPr>
            <w:r w:rsidRPr="00BF0763">
              <w:rPr>
                <w:rFonts w:eastAsia="Times New Roman" w:cs="Times New Roman"/>
                <w:sz w:val="20"/>
                <w:szCs w:val="20"/>
                <w:lang/>
              </w:rPr>
              <w:t>+ (NS)</w:t>
            </w:r>
          </w:p>
        </w:tc>
        <w:tc>
          <w:tcPr>
            <w:tcW w:w="972" w:type="pct"/>
            <w:vAlign w:val="center"/>
            <w:hideMark/>
          </w:tcPr>
          <w:p w14:paraId="3C7D534C" w14:textId="77777777" w:rsidR="00BF0763" w:rsidRPr="00BF0763" w:rsidRDefault="00BF0763" w:rsidP="00FA0384">
            <w:pPr>
              <w:spacing w:line="276" w:lineRule="auto"/>
              <w:rPr>
                <w:rFonts w:eastAsia="Times New Roman" w:cs="Times New Roman"/>
                <w:sz w:val="20"/>
                <w:szCs w:val="20"/>
                <w:lang/>
              </w:rPr>
            </w:pPr>
            <w:r w:rsidRPr="00BF0763">
              <w:rPr>
                <w:rFonts w:eastAsia="Times New Roman" w:cs="Times New Roman"/>
                <w:sz w:val="20"/>
                <w:szCs w:val="20"/>
                <w:lang/>
              </w:rPr>
              <w:t>- (NS)</w:t>
            </w:r>
          </w:p>
        </w:tc>
        <w:tc>
          <w:tcPr>
            <w:tcW w:w="802" w:type="pct"/>
            <w:vAlign w:val="center"/>
            <w:hideMark/>
          </w:tcPr>
          <w:p w14:paraId="2EF15F48" w14:textId="77777777" w:rsidR="00BF0763" w:rsidRPr="00BF0763" w:rsidRDefault="00BF0763" w:rsidP="00FA0384">
            <w:pPr>
              <w:spacing w:line="276" w:lineRule="auto"/>
              <w:rPr>
                <w:rFonts w:eastAsia="Times New Roman" w:cs="Times New Roman"/>
                <w:sz w:val="20"/>
                <w:szCs w:val="20"/>
                <w:lang/>
              </w:rPr>
            </w:pPr>
            <w:r w:rsidRPr="00BF0763">
              <w:rPr>
                <w:rFonts w:eastAsia="Times New Roman" w:cs="Times New Roman"/>
                <w:sz w:val="20"/>
                <w:szCs w:val="20"/>
                <w:lang/>
              </w:rPr>
              <w:t>- (NS)</w:t>
            </w:r>
          </w:p>
        </w:tc>
      </w:tr>
      <w:tr w:rsidR="000207A6" w:rsidRPr="00BF0763" w14:paraId="05938C07" w14:textId="77777777" w:rsidTr="001F2F98">
        <w:trPr>
          <w:tblCellSpacing w:w="15" w:type="dxa"/>
        </w:trPr>
        <w:tc>
          <w:tcPr>
            <w:tcW w:w="616" w:type="pct"/>
            <w:vAlign w:val="center"/>
            <w:hideMark/>
          </w:tcPr>
          <w:p w14:paraId="6057C7B6" w14:textId="461716D4" w:rsidR="00BF0763" w:rsidRPr="00BF0763" w:rsidRDefault="00BF0763" w:rsidP="00FA0384">
            <w:pPr>
              <w:spacing w:line="276" w:lineRule="auto"/>
              <w:rPr>
                <w:rFonts w:eastAsia="Times New Roman" w:cs="Times New Roman"/>
                <w:sz w:val="20"/>
                <w:szCs w:val="20"/>
                <w:lang/>
              </w:rPr>
            </w:pPr>
            <w:r w:rsidRPr="00BF0763">
              <w:rPr>
                <w:rFonts w:eastAsia="Times New Roman" w:cs="Times New Roman"/>
                <w:sz w:val="20"/>
                <w:szCs w:val="20"/>
                <w:lang/>
              </w:rPr>
              <w:t>21</w:t>
            </w:r>
          </w:p>
        </w:tc>
        <w:tc>
          <w:tcPr>
            <w:tcW w:w="392" w:type="pct"/>
            <w:vAlign w:val="center"/>
            <w:hideMark/>
          </w:tcPr>
          <w:p w14:paraId="22956BDC" w14:textId="77777777" w:rsidR="00BF0763" w:rsidRPr="00BF0763" w:rsidRDefault="00BF0763" w:rsidP="00FA0384">
            <w:pPr>
              <w:spacing w:line="276" w:lineRule="auto"/>
              <w:rPr>
                <w:rFonts w:eastAsia="Times New Roman" w:cs="Times New Roman"/>
                <w:sz w:val="20"/>
                <w:szCs w:val="20"/>
                <w:lang/>
              </w:rPr>
            </w:pPr>
            <w:r w:rsidRPr="00BF0763">
              <w:rPr>
                <w:rFonts w:eastAsia="Times New Roman" w:cs="Times New Roman"/>
                <w:sz w:val="20"/>
                <w:szCs w:val="20"/>
                <w:lang/>
              </w:rPr>
              <w:t>+</w:t>
            </w:r>
            <w:r w:rsidRPr="00BF0763">
              <w:rPr>
                <w:rFonts w:eastAsia="Times New Roman" w:cs="Times New Roman"/>
                <w:sz w:val="20"/>
                <w:szCs w:val="20"/>
              </w:rPr>
              <w:t>2.28</w:t>
            </w:r>
            <w:r w:rsidRPr="00BF0763">
              <w:rPr>
                <w:rFonts w:eastAsia="Times New Roman" w:cs="Times New Roman"/>
                <w:sz w:val="20"/>
                <w:szCs w:val="20"/>
                <w:lang/>
              </w:rPr>
              <w:t>***</w:t>
            </w:r>
          </w:p>
        </w:tc>
        <w:tc>
          <w:tcPr>
            <w:tcW w:w="819" w:type="pct"/>
            <w:vAlign w:val="center"/>
            <w:hideMark/>
          </w:tcPr>
          <w:p w14:paraId="5957891F" w14:textId="77777777" w:rsidR="00BF0763" w:rsidRPr="00BF0763" w:rsidRDefault="00BF0763" w:rsidP="00FA0384">
            <w:pPr>
              <w:spacing w:line="276" w:lineRule="auto"/>
              <w:rPr>
                <w:rFonts w:eastAsia="Times New Roman" w:cs="Times New Roman"/>
                <w:sz w:val="20"/>
                <w:szCs w:val="20"/>
                <w:lang/>
              </w:rPr>
            </w:pPr>
            <w:r w:rsidRPr="00BF0763">
              <w:rPr>
                <w:rFonts w:eastAsia="Times New Roman" w:cs="Times New Roman"/>
                <w:sz w:val="20"/>
                <w:szCs w:val="20"/>
                <w:lang/>
              </w:rPr>
              <w:t>+ (NS)</w:t>
            </w:r>
          </w:p>
        </w:tc>
        <w:tc>
          <w:tcPr>
            <w:tcW w:w="392" w:type="pct"/>
            <w:vAlign w:val="center"/>
            <w:hideMark/>
          </w:tcPr>
          <w:p w14:paraId="0E345EEE" w14:textId="77777777" w:rsidR="00BF0763" w:rsidRPr="00BF0763" w:rsidRDefault="00BF0763" w:rsidP="00FA0384">
            <w:pPr>
              <w:spacing w:line="276" w:lineRule="auto"/>
              <w:rPr>
                <w:rFonts w:eastAsia="Times New Roman" w:cs="Times New Roman"/>
                <w:sz w:val="20"/>
                <w:szCs w:val="20"/>
                <w:lang/>
              </w:rPr>
            </w:pPr>
            <w:r w:rsidRPr="00BF0763">
              <w:rPr>
                <w:rFonts w:eastAsia="Times New Roman" w:cs="Times New Roman"/>
                <w:sz w:val="20"/>
                <w:szCs w:val="20"/>
                <w:lang/>
              </w:rPr>
              <w:t>-</w:t>
            </w:r>
            <w:bookmarkStart w:id="484" w:name="_Hlk187167112"/>
            <w:r w:rsidRPr="00BF0763">
              <w:rPr>
                <w:rFonts w:eastAsia="Times New Roman" w:cs="Times New Roman"/>
                <w:sz w:val="20"/>
                <w:szCs w:val="20"/>
              </w:rPr>
              <w:t>2.0</w:t>
            </w:r>
            <w:bookmarkEnd w:id="484"/>
            <w:r w:rsidRPr="00BF0763">
              <w:rPr>
                <w:rFonts w:eastAsia="Times New Roman" w:cs="Times New Roman"/>
                <w:sz w:val="20"/>
                <w:szCs w:val="20"/>
              </w:rPr>
              <w:t>6</w:t>
            </w:r>
            <w:r w:rsidRPr="00BF0763">
              <w:rPr>
                <w:rFonts w:eastAsia="Times New Roman" w:cs="Times New Roman"/>
                <w:sz w:val="20"/>
                <w:szCs w:val="20"/>
                <w:lang/>
              </w:rPr>
              <w:t>**</w:t>
            </w:r>
          </w:p>
        </w:tc>
        <w:tc>
          <w:tcPr>
            <w:tcW w:w="890" w:type="pct"/>
            <w:vAlign w:val="center"/>
            <w:hideMark/>
          </w:tcPr>
          <w:p w14:paraId="0A2A7CD2" w14:textId="77777777" w:rsidR="00BF0763" w:rsidRPr="00BF0763" w:rsidRDefault="00BF0763" w:rsidP="00FA0384">
            <w:pPr>
              <w:spacing w:line="276" w:lineRule="auto"/>
              <w:rPr>
                <w:rFonts w:eastAsia="Times New Roman" w:cs="Times New Roman"/>
                <w:sz w:val="20"/>
                <w:szCs w:val="20"/>
                <w:lang/>
              </w:rPr>
            </w:pPr>
            <w:r w:rsidRPr="00BF0763">
              <w:rPr>
                <w:rFonts w:eastAsia="Times New Roman" w:cs="Times New Roman"/>
                <w:sz w:val="20"/>
                <w:szCs w:val="20"/>
                <w:lang/>
              </w:rPr>
              <w:t>+</w:t>
            </w:r>
            <w:r w:rsidRPr="00BF0763">
              <w:rPr>
                <w:rFonts w:eastAsia="Times New Roman" w:cs="Times New Roman"/>
                <w:sz w:val="20"/>
                <w:szCs w:val="20"/>
              </w:rPr>
              <w:t>18.7</w:t>
            </w:r>
            <w:r w:rsidRPr="00BF0763">
              <w:rPr>
                <w:rFonts w:eastAsia="Times New Roman" w:cs="Times New Roman"/>
                <w:sz w:val="20"/>
                <w:szCs w:val="20"/>
                <w:lang/>
              </w:rPr>
              <w:t>**</w:t>
            </w:r>
          </w:p>
        </w:tc>
        <w:tc>
          <w:tcPr>
            <w:tcW w:w="972" w:type="pct"/>
            <w:vAlign w:val="center"/>
            <w:hideMark/>
          </w:tcPr>
          <w:p w14:paraId="1B034C26" w14:textId="77777777" w:rsidR="00BF0763" w:rsidRPr="00BF0763" w:rsidRDefault="00BF0763" w:rsidP="00FA0384">
            <w:pPr>
              <w:spacing w:line="276" w:lineRule="auto"/>
              <w:rPr>
                <w:rFonts w:eastAsia="Times New Roman" w:cs="Times New Roman"/>
                <w:sz w:val="20"/>
                <w:szCs w:val="20"/>
                <w:lang/>
              </w:rPr>
            </w:pPr>
            <w:r w:rsidRPr="00BF0763">
              <w:rPr>
                <w:rFonts w:eastAsia="Times New Roman" w:cs="Times New Roman"/>
                <w:sz w:val="20"/>
                <w:szCs w:val="20"/>
                <w:lang/>
              </w:rPr>
              <w:t>- (NS)</w:t>
            </w:r>
          </w:p>
        </w:tc>
        <w:tc>
          <w:tcPr>
            <w:tcW w:w="802" w:type="pct"/>
            <w:vAlign w:val="center"/>
            <w:hideMark/>
          </w:tcPr>
          <w:p w14:paraId="688D08B2" w14:textId="77777777" w:rsidR="00BF0763" w:rsidRPr="00BF0763" w:rsidRDefault="00BF0763" w:rsidP="00FA0384">
            <w:pPr>
              <w:spacing w:line="276" w:lineRule="auto"/>
              <w:rPr>
                <w:rFonts w:eastAsia="Times New Roman" w:cs="Times New Roman"/>
                <w:sz w:val="20"/>
                <w:szCs w:val="20"/>
                <w:lang/>
              </w:rPr>
            </w:pPr>
            <w:r w:rsidRPr="00BF0763">
              <w:rPr>
                <w:rFonts w:eastAsia="Times New Roman" w:cs="Times New Roman"/>
                <w:sz w:val="20"/>
                <w:szCs w:val="20"/>
                <w:lang/>
              </w:rPr>
              <w:t>- (NS)</w:t>
            </w:r>
          </w:p>
        </w:tc>
      </w:tr>
      <w:tr w:rsidR="000207A6" w:rsidRPr="00BF0763" w14:paraId="5DD2C7E5" w14:textId="77777777" w:rsidTr="001F2F98">
        <w:trPr>
          <w:tblCellSpacing w:w="15" w:type="dxa"/>
        </w:trPr>
        <w:tc>
          <w:tcPr>
            <w:tcW w:w="616" w:type="pct"/>
            <w:vAlign w:val="center"/>
            <w:hideMark/>
          </w:tcPr>
          <w:p w14:paraId="086FA996" w14:textId="16E4D2DB" w:rsidR="00BF0763" w:rsidRPr="00BF0763" w:rsidRDefault="00BF0763" w:rsidP="00FA0384">
            <w:pPr>
              <w:spacing w:line="276" w:lineRule="auto"/>
              <w:rPr>
                <w:rFonts w:eastAsia="Times New Roman" w:cs="Times New Roman"/>
                <w:sz w:val="20"/>
                <w:szCs w:val="20"/>
                <w:lang/>
              </w:rPr>
            </w:pPr>
            <w:r w:rsidRPr="00BF0763">
              <w:rPr>
                <w:rFonts w:eastAsia="Times New Roman" w:cs="Times New Roman"/>
                <w:sz w:val="20"/>
                <w:szCs w:val="20"/>
                <w:lang/>
              </w:rPr>
              <w:t>22</w:t>
            </w:r>
          </w:p>
        </w:tc>
        <w:tc>
          <w:tcPr>
            <w:tcW w:w="392" w:type="pct"/>
            <w:vAlign w:val="center"/>
            <w:hideMark/>
          </w:tcPr>
          <w:p w14:paraId="3EC98615" w14:textId="77777777" w:rsidR="00BF0763" w:rsidRPr="00BF0763" w:rsidRDefault="00BF0763" w:rsidP="00FA0384">
            <w:pPr>
              <w:spacing w:line="276" w:lineRule="auto"/>
              <w:rPr>
                <w:rFonts w:eastAsia="Times New Roman" w:cs="Times New Roman"/>
                <w:sz w:val="20"/>
                <w:szCs w:val="20"/>
                <w:lang/>
              </w:rPr>
            </w:pPr>
            <w:r w:rsidRPr="00BF0763">
              <w:rPr>
                <w:rFonts w:eastAsia="Times New Roman" w:cs="Times New Roman"/>
                <w:sz w:val="20"/>
                <w:szCs w:val="20"/>
                <w:lang/>
              </w:rPr>
              <w:t>- (NS)</w:t>
            </w:r>
          </w:p>
        </w:tc>
        <w:tc>
          <w:tcPr>
            <w:tcW w:w="819" w:type="pct"/>
            <w:vAlign w:val="center"/>
            <w:hideMark/>
          </w:tcPr>
          <w:p w14:paraId="54299C02" w14:textId="77777777" w:rsidR="00BF0763" w:rsidRPr="00BF0763" w:rsidRDefault="00BF0763" w:rsidP="00FA0384">
            <w:pPr>
              <w:spacing w:line="276" w:lineRule="auto"/>
              <w:rPr>
                <w:rFonts w:eastAsia="Times New Roman" w:cs="Times New Roman"/>
                <w:sz w:val="20"/>
                <w:szCs w:val="20"/>
                <w:lang/>
              </w:rPr>
            </w:pPr>
            <w:r w:rsidRPr="00BF0763">
              <w:rPr>
                <w:rFonts w:eastAsia="Times New Roman" w:cs="Times New Roman"/>
                <w:sz w:val="20"/>
                <w:szCs w:val="20"/>
                <w:lang/>
              </w:rPr>
              <w:t>- (NS)</w:t>
            </w:r>
          </w:p>
        </w:tc>
        <w:tc>
          <w:tcPr>
            <w:tcW w:w="392" w:type="pct"/>
            <w:vAlign w:val="center"/>
            <w:hideMark/>
          </w:tcPr>
          <w:p w14:paraId="5B52E466" w14:textId="77777777" w:rsidR="00BF0763" w:rsidRPr="00BF0763" w:rsidRDefault="00BF0763" w:rsidP="00FA0384">
            <w:pPr>
              <w:spacing w:line="276" w:lineRule="auto"/>
              <w:rPr>
                <w:rFonts w:eastAsia="Times New Roman" w:cs="Times New Roman"/>
                <w:sz w:val="20"/>
                <w:szCs w:val="20"/>
              </w:rPr>
            </w:pPr>
            <w:r w:rsidRPr="00BF0763">
              <w:rPr>
                <w:rFonts w:eastAsia="Times New Roman" w:cs="Times New Roman"/>
                <w:sz w:val="20"/>
                <w:szCs w:val="20"/>
                <w:lang/>
              </w:rPr>
              <w:t>-</w:t>
            </w:r>
            <w:r w:rsidRPr="00BF0763">
              <w:rPr>
                <w:rFonts w:eastAsia="Times New Roman" w:cs="Times New Roman"/>
                <w:sz w:val="20"/>
                <w:szCs w:val="20"/>
              </w:rPr>
              <w:t>2.35</w:t>
            </w:r>
            <w:r w:rsidRPr="00BF0763">
              <w:rPr>
                <w:rFonts w:eastAsia="Times New Roman" w:cs="Times New Roman"/>
                <w:sz w:val="20"/>
                <w:szCs w:val="20"/>
                <w:lang/>
              </w:rPr>
              <w:t>***</w:t>
            </w:r>
          </w:p>
        </w:tc>
        <w:tc>
          <w:tcPr>
            <w:tcW w:w="890" w:type="pct"/>
            <w:vAlign w:val="center"/>
            <w:hideMark/>
          </w:tcPr>
          <w:p w14:paraId="1610F792" w14:textId="77777777" w:rsidR="00BF0763" w:rsidRPr="00BF0763" w:rsidRDefault="00BF0763" w:rsidP="00FA0384">
            <w:pPr>
              <w:spacing w:line="276" w:lineRule="auto"/>
              <w:rPr>
                <w:rFonts w:eastAsia="Times New Roman" w:cs="Times New Roman"/>
                <w:sz w:val="20"/>
                <w:szCs w:val="20"/>
                <w:lang/>
              </w:rPr>
            </w:pPr>
            <w:r w:rsidRPr="00BF0763">
              <w:rPr>
                <w:rFonts w:eastAsia="Times New Roman" w:cs="Times New Roman"/>
                <w:sz w:val="20"/>
                <w:szCs w:val="20"/>
                <w:lang/>
              </w:rPr>
              <w:t>- (NS)</w:t>
            </w:r>
          </w:p>
        </w:tc>
        <w:tc>
          <w:tcPr>
            <w:tcW w:w="972" w:type="pct"/>
            <w:vAlign w:val="center"/>
            <w:hideMark/>
          </w:tcPr>
          <w:p w14:paraId="23F65FB4" w14:textId="77777777" w:rsidR="00BF0763" w:rsidRPr="00BF0763" w:rsidRDefault="00BF0763" w:rsidP="00FA0384">
            <w:pPr>
              <w:spacing w:line="276" w:lineRule="auto"/>
              <w:rPr>
                <w:rFonts w:eastAsia="Times New Roman" w:cs="Times New Roman"/>
                <w:sz w:val="20"/>
                <w:szCs w:val="20"/>
                <w:lang/>
              </w:rPr>
            </w:pPr>
            <w:r w:rsidRPr="00BF0763">
              <w:rPr>
                <w:rFonts w:eastAsia="Times New Roman" w:cs="Times New Roman"/>
                <w:sz w:val="20"/>
                <w:szCs w:val="20"/>
                <w:lang/>
              </w:rPr>
              <w:t>- (NS)</w:t>
            </w:r>
          </w:p>
        </w:tc>
        <w:tc>
          <w:tcPr>
            <w:tcW w:w="802" w:type="pct"/>
            <w:vAlign w:val="center"/>
            <w:hideMark/>
          </w:tcPr>
          <w:p w14:paraId="3DC230B1" w14:textId="77777777" w:rsidR="00BF0763" w:rsidRPr="00BF0763" w:rsidRDefault="00BF0763" w:rsidP="00FA0384">
            <w:pPr>
              <w:spacing w:line="276" w:lineRule="auto"/>
              <w:rPr>
                <w:rFonts w:eastAsia="Times New Roman" w:cs="Times New Roman"/>
                <w:sz w:val="20"/>
                <w:szCs w:val="20"/>
                <w:lang/>
              </w:rPr>
            </w:pPr>
            <w:r w:rsidRPr="00BF0763">
              <w:rPr>
                <w:rFonts w:eastAsia="Times New Roman" w:cs="Times New Roman"/>
                <w:sz w:val="20"/>
                <w:szCs w:val="20"/>
                <w:lang/>
              </w:rPr>
              <w:t>+</w:t>
            </w:r>
            <w:r w:rsidRPr="00BF0763">
              <w:rPr>
                <w:rFonts w:eastAsia="Times New Roman" w:cs="Times New Roman"/>
                <w:sz w:val="20"/>
                <w:szCs w:val="20"/>
              </w:rPr>
              <w:t>1.90*</w:t>
            </w:r>
          </w:p>
        </w:tc>
      </w:tr>
      <w:tr w:rsidR="000207A6" w:rsidRPr="00BF0763" w14:paraId="583D9036" w14:textId="77777777" w:rsidTr="001F2F98">
        <w:trPr>
          <w:tblCellSpacing w:w="15" w:type="dxa"/>
        </w:trPr>
        <w:tc>
          <w:tcPr>
            <w:tcW w:w="616" w:type="pct"/>
            <w:vAlign w:val="center"/>
            <w:hideMark/>
          </w:tcPr>
          <w:p w14:paraId="7A4B94F9" w14:textId="53085DF1" w:rsidR="00BF0763" w:rsidRPr="00BF0763" w:rsidRDefault="00BF0763" w:rsidP="00FA0384">
            <w:pPr>
              <w:spacing w:line="276" w:lineRule="auto"/>
              <w:rPr>
                <w:rFonts w:eastAsia="Times New Roman" w:cs="Times New Roman"/>
                <w:sz w:val="20"/>
                <w:szCs w:val="20"/>
                <w:lang/>
              </w:rPr>
            </w:pPr>
            <w:r w:rsidRPr="00BF0763">
              <w:rPr>
                <w:rFonts w:eastAsia="Times New Roman" w:cs="Times New Roman"/>
                <w:sz w:val="20"/>
                <w:szCs w:val="20"/>
                <w:lang/>
              </w:rPr>
              <w:t>23</w:t>
            </w:r>
          </w:p>
        </w:tc>
        <w:tc>
          <w:tcPr>
            <w:tcW w:w="392" w:type="pct"/>
            <w:vAlign w:val="center"/>
            <w:hideMark/>
          </w:tcPr>
          <w:p w14:paraId="409F0D2B" w14:textId="77777777" w:rsidR="00BF0763" w:rsidRPr="00BF0763" w:rsidRDefault="00BF0763" w:rsidP="00FA0384">
            <w:pPr>
              <w:spacing w:line="276" w:lineRule="auto"/>
              <w:rPr>
                <w:rFonts w:eastAsia="Times New Roman" w:cs="Times New Roman"/>
                <w:sz w:val="20"/>
                <w:szCs w:val="20"/>
                <w:lang/>
              </w:rPr>
            </w:pPr>
            <w:r w:rsidRPr="00BF0763">
              <w:rPr>
                <w:rFonts w:eastAsia="Times New Roman" w:cs="Times New Roman"/>
                <w:sz w:val="20"/>
                <w:szCs w:val="20"/>
                <w:lang/>
              </w:rPr>
              <w:t>-</w:t>
            </w:r>
            <w:r w:rsidRPr="00BF0763">
              <w:rPr>
                <w:rFonts w:eastAsia="Times New Roman" w:cs="Times New Roman"/>
                <w:sz w:val="20"/>
                <w:szCs w:val="20"/>
              </w:rPr>
              <w:t>0.746</w:t>
            </w:r>
            <w:r w:rsidRPr="00BF0763">
              <w:rPr>
                <w:rFonts w:eastAsia="Times New Roman" w:cs="Times New Roman"/>
                <w:sz w:val="20"/>
                <w:szCs w:val="20"/>
                <w:lang/>
              </w:rPr>
              <w:t>**</w:t>
            </w:r>
          </w:p>
        </w:tc>
        <w:tc>
          <w:tcPr>
            <w:tcW w:w="819" w:type="pct"/>
            <w:vAlign w:val="center"/>
            <w:hideMark/>
          </w:tcPr>
          <w:p w14:paraId="30C8F613" w14:textId="77777777" w:rsidR="00BF0763" w:rsidRPr="00BF0763" w:rsidRDefault="00BF0763" w:rsidP="00FA0384">
            <w:pPr>
              <w:spacing w:line="276" w:lineRule="auto"/>
              <w:rPr>
                <w:rFonts w:eastAsia="Times New Roman" w:cs="Times New Roman"/>
                <w:sz w:val="20"/>
                <w:szCs w:val="20"/>
                <w:lang/>
              </w:rPr>
            </w:pPr>
            <w:r w:rsidRPr="00BF0763">
              <w:rPr>
                <w:rFonts w:eastAsia="Times New Roman" w:cs="Times New Roman"/>
                <w:sz w:val="20"/>
                <w:szCs w:val="20"/>
                <w:lang/>
              </w:rPr>
              <w:t>- (NS)</w:t>
            </w:r>
          </w:p>
        </w:tc>
        <w:tc>
          <w:tcPr>
            <w:tcW w:w="392" w:type="pct"/>
            <w:vAlign w:val="center"/>
            <w:hideMark/>
          </w:tcPr>
          <w:p w14:paraId="28950D5F" w14:textId="77777777" w:rsidR="00BF0763" w:rsidRPr="00BF0763" w:rsidRDefault="00BF0763" w:rsidP="00FA0384">
            <w:pPr>
              <w:spacing w:line="276" w:lineRule="auto"/>
              <w:rPr>
                <w:rFonts w:eastAsia="Times New Roman" w:cs="Times New Roman"/>
                <w:sz w:val="20"/>
                <w:szCs w:val="20"/>
                <w:lang/>
              </w:rPr>
            </w:pPr>
            <w:r w:rsidRPr="00BF0763">
              <w:rPr>
                <w:rFonts w:eastAsia="Times New Roman" w:cs="Times New Roman"/>
                <w:sz w:val="20"/>
                <w:szCs w:val="20"/>
                <w:lang/>
              </w:rPr>
              <w:t>- (NS)</w:t>
            </w:r>
          </w:p>
        </w:tc>
        <w:tc>
          <w:tcPr>
            <w:tcW w:w="890" w:type="pct"/>
            <w:vAlign w:val="center"/>
            <w:hideMark/>
          </w:tcPr>
          <w:p w14:paraId="792EC083" w14:textId="77777777" w:rsidR="00BF0763" w:rsidRPr="00BF0763" w:rsidRDefault="00BF0763" w:rsidP="00FA0384">
            <w:pPr>
              <w:spacing w:line="276" w:lineRule="auto"/>
              <w:rPr>
                <w:rFonts w:eastAsia="Times New Roman" w:cs="Times New Roman"/>
                <w:sz w:val="20"/>
                <w:szCs w:val="20"/>
                <w:lang/>
              </w:rPr>
            </w:pPr>
            <w:r w:rsidRPr="00BF0763">
              <w:rPr>
                <w:rFonts w:eastAsia="Times New Roman" w:cs="Times New Roman"/>
                <w:sz w:val="20"/>
                <w:szCs w:val="20"/>
                <w:lang/>
              </w:rPr>
              <w:t>- (NS)</w:t>
            </w:r>
          </w:p>
        </w:tc>
        <w:tc>
          <w:tcPr>
            <w:tcW w:w="972" w:type="pct"/>
            <w:vAlign w:val="center"/>
            <w:hideMark/>
          </w:tcPr>
          <w:p w14:paraId="119C5AFA" w14:textId="77777777" w:rsidR="00BF0763" w:rsidRPr="00BF0763" w:rsidRDefault="00BF0763" w:rsidP="00FA0384">
            <w:pPr>
              <w:spacing w:line="276" w:lineRule="auto"/>
              <w:rPr>
                <w:rFonts w:eastAsia="Times New Roman" w:cs="Times New Roman"/>
                <w:sz w:val="20"/>
                <w:szCs w:val="20"/>
                <w:lang/>
              </w:rPr>
            </w:pPr>
            <w:r w:rsidRPr="00BF0763">
              <w:rPr>
                <w:rFonts w:eastAsia="Times New Roman" w:cs="Times New Roman"/>
                <w:sz w:val="20"/>
                <w:szCs w:val="20"/>
                <w:lang/>
              </w:rPr>
              <w:t>- (NS)</w:t>
            </w:r>
          </w:p>
        </w:tc>
        <w:tc>
          <w:tcPr>
            <w:tcW w:w="802" w:type="pct"/>
            <w:vAlign w:val="center"/>
            <w:hideMark/>
          </w:tcPr>
          <w:p w14:paraId="365AE630" w14:textId="77777777" w:rsidR="00BF0763" w:rsidRPr="00BF0763" w:rsidRDefault="00BF0763" w:rsidP="00FA0384">
            <w:pPr>
              <w:spacing w:line="276" w:lineRule="auto"/>
              <w:rPr>
                <w:rFonts w:eastAsia="Times New Roman" w:cs="Times New Roman"/>
                <w:sz w:val="20"/>
                <w:szCs w:val="20"/>
                <w:lang/>
              </w:rPr>
            </w:pPr>
            <w:r w:rsidRPr="00BF0763">
              <w:rPr>
                <w:rFonts w:eastAsia="Times New Roman" w:cs="Times New Roman"/>
                <w:sz w:val="20"/>
                <w:szCs w:val="20"/>
                <w:lang/>
              </w:rPr>
              <w:t>+</w:t>
            </w:r>
            <w:r w:rsidRPr="00BF0763">
              <w:rPr>
                <w:rFonts w:eastAsia="Times New Roman" w:cs="Times New Roman"/>
                <w:sz w:val="20"/>
                <w:szCs w:val="20"/>
              </w:rPr>
              <w:t>2.01</w:t>
            </w:r>
            <w:r w:rsidRPr="00BF0763">
              <w:rPr>
                <w:rFonts w:eastAsia="Times New Roman" w:cs="Times New Roman"/>
                <w:sz w:val="20"/>
                <w:szCs w:val="20"/>
                <w:lang/>
              </w:rPr>
              <w:t>**</w:t>
            </w:r>
          </w:p>
        </w:tc>
      </w:tr>
      <w:tr w:rsidR="000207A6" w:rsidRPr="00BF0763" w14:paraId="44E2748A" w14:textId="77777777" w:rsidTr="001F2F98">
        <w:trPr>
          <w:tblCellSpacing w:w="15" w:type="dxa"/>
        </w:trPr>
        <w:tc>
          <w:tcPr>
            <w:tcW w:w="616" w:type="pct"/>
            <w:vAlign w:val="center"/>
            <w:hideMark/>
          </w:tcPr>
          <w:p w14:paraId="4CD23A1D" w14:textId="01B84EC8" w:rsidR="00BF0763" w:rsidRPr="00BF0763" w:rsidRDefault="00BF0763" w:rsidP="00FA0384">
            <w:pPr>
              <w:spacing w:line="276" w:lineRule="auto"/>
              <w:rPr>
                <w:rFonts w:eastAsia="Times New Roman" w:cs="Times New Roman"/>
                <w:sz w:val="20"/>
                <w:szCs w:val="20"/>
                <w:lang/>
              </w:rPr>
            </w:pPr>
            <w:r w:rsidRPr="00BF0763">
              <w:rPr>
                <w:rFonts w:eastAsia="Times New Roman" w:cs="Times New Roman"/>
                <w:sz w:val="20"/>
                <w:szCs w:val="20"/>
                <w:lang/>
              </w:rPr>
              <w:t>31-33</w:t>
            </w:r>
          </w:p>
        </w:tc>
        <w:tc>
          <w:tcPr>
            <w:tcW w:w="392" w:type="pct"/>
            <w:vAlign w:val="center"/>
            <w:hideMark/>
          </w:tcPr>
          <w:p w14:paraId="380C43DA" w14:textId="77777777" w:rsidR="00BF0763" w:rsidRPr="00BF0763" w:rsidRDefault="00BF0763" w:rsidP="00FA0384">
            <w:pPr>
              <w:spacing w:line="276" w:lineRule="auto"/>
              <w:rPr>
                <w:rFonts w:eastAsia="Times New Roman" w:cs="Times New Roman"/>
                <w:sz w:val="20"/>
                <w:szCs w:val="20"/>
                <w:lang/>
              </w:rPr>
            </w:pPr>
            <w:r w:rsidRPr="00BF0763">
              <w:rPr>
                <w:rFonts w:eastAsia="Times New Roman" w:cs="Times New Roman"/>
                <w:sz w:val="20"/>
                <w:szCs w:val="20"/>
                <w:lang/>
              </w:rPr>
              <w:t>+ (NS)</w:t>
            </w:r>
          </w:p>
        </w:tc>
        <w:tc>
          <w:tcPr>
            <w:tcW w:w="819" w:type="pct"/>
            <w:vAlign w:val="center"/>
            <w:hideMark/>
          </w:tcPr>
          <w:p w14:paraId="4993C974" w14:textId="77777777" w:rsidR="00BF0763" w:rsidRPr="00BF0763" w:rsidRDefault="00BF0763" w:rsidP="00FA0384">
            <w:pPr>
              <w:spacing w:line="276" w:lineRule="auto"/>
              <w:rPr>
                <w:rFonts w:eastAsia="Times New Roman" w:cs="Times New Roman"/>
                <w:sz w:val="20"/>
                <w:szCs w:val="20"/>
                <w:lang/>
              </w:rPr>
            </w:pPr>
            <w:r w:rsidRPr="00BF0763">
              <w:rPr>
                <w:rFonts w:eastAsia="Times New Roman" w:cs="Times New Roman"/>
                <w:sz w:val="20"/>
                <w:szCs w:val="20"/>
                <w:lang/>
              </w:rPr>
              <w:t>- (NS)</w:t>
            </w:r>
          </w:p>
        </w:tc>
        <w:tc>
          <w:tcPr>
            <w:tcW w:w="392" w:type="pct"/>
            <w:vAlign w:val="center"/>
            <w:hideMark/>
          </w:tcPr>
          <w:p w14:paraId="45A43704" w14:textId="77777777" w:rsidR="00BF0763" w:rsidRPr="00BF0763" w:rsidRDefault="00BF0763" w:rsidP="00FA0384">
            <w:pPr>
              <w:spacing w:line="276" w:lineRule="auto"/>
              <w:rPr>
                <w:rFonts w:eastAsia="Times New Roman" w:cs="Times New Roman"/>
                <w:sz w:val="20"/>
                <w:szCs w:val="20"/>
                <w:lang/>
              </w:rPr>
            </w:pPr>
            <w:r w:rsidRPr="00BF0763">
              <w:rPr>
                <w:rFonts w:eastAsia="Times New Roman" w:cs="Times New Roman"/>
                <w:sz w:val="20"/>
                <w:szCs w:val="20"/>
                <w:lang/>
              </w:rPr>
              <w:t>+</w:t>
            </w:r>
            <w:r w:rsidRPr="00BF0763">
              <w:rPr>
                <w:rFonts w:eastAsia="Times New Roman" w:cs="Times New Roman"/>
                <w:sz w:val="20"/>
                <w:szCs w:val="20"/>
              </w:rPr>
              <w:t>0.788</w:t>
            </w:r>
            <w:r w:rsidRPr="00BF0763">
              <w:rPr>
                <w:rFonts w:eastAsia="Times New Roman" w:cs="Times New Roman"/>
                <w:sz w:val="20"/>
                <w:szCs w:val="20"/>
                <w:lang/>
              </w:rPr>
              <w:t>**</w:t>
            </w:r>
          </w:p>
        </w:tc>
        <w:tc>
          <w:tcPr>
            <w:tcW w:w="890" w:type="pct"/>
            <w:vAlign w:val="center"/>
            <w:hideMark/>
          </w:tcPr>
          <w:p w14:paraId="47DF600E" w14:textId="77777777" w:rsidR="00BF0763" w:rsidRPr="00BF0763" w:rsidRDefault="00BF0763" w:rsidP="00FA0384">
            <w:pPr>
              <w:spacing w:line="276" w:lineRule="auto"/>
              <w:rPr>
                <w:rFonts w:eastAsia="Times New Roman" w:cs="Times New Roman"/>
                <w:sz w:val="20"/>
                <w:szCs w:val="20"/>
                <w:lang/>
              </w:rPr>
            </w:pPr>
            <w:r w:rsidRPr="00BF0763">
              <w:rPr>
                <w:rFonts w:eastAsia="Times New Roman" w:cs="Times New Roman"/>
                <w:sz w:val="20"/>
                <w:szCs w:val="20"/>
                <w:lang/>
              </w:rPr>
              <w:t>+</w:t>
            </w:r>
            <w:r w:rsidRPr="00BF0763">
              <w:rPr>
                <w:rFonts w:eastAsia="Times New Roman" w:cs="Times New Roman"/>
                <w:sz w:val="20"/>
                <w:szCs w:val="20"/>
              </w:rPr>
              <w:t>8.27</w:t>
            </w:r>
            <w:r w:rsidRPr="00BF0763">
              <w:rPr>
                <w:rFonts w:eastAsia="Times New Roman" w:cs="Times New Roman"/>
                <w:sz w:val="20"/>
                <w:szCs w:val="20"/>
                <w:lang/>
              </w:rPr>
              <w:t>***</w:t>
            </w:r>
          </w:p>
        </w:tc>
        <w:tc>
          <w:tcPr>
            <w:tcW w:w="972" w:type="pct"/>
            <w:vAlign w:val="center"/>
            <w:hideMark/>
          </w:tcPr>
          <w:p w14:paraId="5F74DD7D" w14:textId="77777777" w:rsidR="00BF0763" w:rsidRPr="00BF0763" w:rsidRDefault="00BF0763" w:rsidP="00FA0384">
            <w:pPr>
              <w:spacing w:line="276" w:lineRule="auto"/>
              <w:rPr>
                <w:rFonts w:eastAsia="Times New Roman" w:cs="Times New Roman"/>
                <w:sz w:val="20"/>
                <w:szCs w:val="20"/>
                <w:lang/>
              </w:rPr>
            </w:pPr>
            <w:r w:rsidRPr="00BF0763">
              <w:rPr>
                <w:rFonts w:eastAsia="Times New Roman" w:cs="Times New Roman"/>
                <w:sz w:val="20"/>
                <w:szCs w:val="20"/>
                <w:lang/>
              </w:rPr>
              <w:t>-</w:t>
            </w:r>
            <w:r w:rsidRPr="00BF0763">
              <w:rPr>
                <w:rFonts w:eastAsia="Times New Roman" w:cs="Times New Roman"/>
                <w:sz w:val="20"/>
                <w:szCs w:val="20"/>
              </w:rPr>
              <w:t>0.344</w:t>
            </w:r>
            <w:r w:rsidRPr="00BF0763">
              <w:rPr>
                <w:rFonts w:eastAsia="Times New Roman" w:cs="Times New Roman"/>
                <w:sz w:val="20"/>
                <w:szCs w:val="20"/>
                <w:lang/>
              </w:rPr>
              <w:t>***</w:t>
            </w:r>
          </w:p>
        </w:tc>
        <w:tc>
          <w:tcPr>
            <w:tcW w:w="802" w:type="pct"/>
            <w:vAlign w:val="center"/>
            <w:hideMark/>
          </w:tcPr>
          <w:p w14:paraId="2161ED89" w14:textId="77777777" w:rsidR="00BF0763" w:rsidRPr="00BF0763" w:rsidRDefault="00BF0763" w:rsidP="00FA0384">
            <w:pPr>
              <w:spacing w:line="276" w:lineRule="auto"/>
              <w:rPr>
                <w:rFonts w:eastAsia="Times New Roman" w:cs="Times New Roman"/>
                <w:sz w:val="20"/>
                <w:szCs w:val="20"/>
                <w:lang/>
              </w:rPr>
            </w:pPr>
            <w:r w:rsidRPr="00BF0763">
              <w:rPr>
                <w:rFonts w:eastAsia="Times New Roman" w:cs="Times New Roman"/>
                <w:sz w:val="20"/>
                <w:szCs w:val="20"/>
                <w:lang/>
              </w:rPr>
              <w:t>+</w:t>
            </w:r>
            <w:r w:rsidRPr="00BF0763">
              <w:rPr>
                <w:rFonts w:eastAsia="Times New Roman" w:cs="Times New Roman"/>
                <w:sz w:val="20"/>
                <w:szCs w:val="20"/>
              </w:rPr>
              <w:t>1.47</w:t>
            </w:r>
            <w:r w:rsidRPr="00BF0763">
              <w:rPr>
                <w:rFonts w:eastAsia="Times New Roman" w:cs="Times New Roman"/>
                <w:sz w:val="20"/>
                <w:szCs w:val="20"/>
                <w:lang/>
              </w:rPr>
              <w:t>**</w:t>
            </w:r>
          </w:p>
        </w:tc>
      </w:tr>
    </w:tbl>
    <w:p w14:paraId="42487C37" w14:textId="71DBBC77" w:rsidR="00BF0763" w:rsidRPr="00BF0763" w:rsidRDefault="00732BFD" w:rsidP="004C39A4">
      <w:pPr>
        <w:spacing w:line="240" w:lineRule="auto"/>
        <w:rPr>
          <w:sz w:val="18"/>
          <w:szCs w:val="18"/>
          <w:lang/>
        </w:rPr>
      </w:pPr>
      <w:r>
        <w:rPr>
          <w:sz w:val="20"/>
          <w:szCs w:val="20"/>
        </w:rPr>
        <w:t>T</w:t>
      </w:r>
      <w:r w:rsidR="00BF0763" w:rsidRPr="00A6107E">
        <w:rPr>
          <w:sz w:val="20"/>
          <w:szCs w:val="20"/>
        </w:rPr>
        <w:t xml:space="preserve">able </w:t>
      </w:r>
      <w:r>
        <w:rPr>
          <w:sz w:val="20"/>
          <w:szCs w:val="20"/>
        </w:rPr>
        <w:t>A34: R</w:t>
      </w:r>
      <w:r w:rsidR="00BF0763" w:rsidRPr="00A6107E">
        <w:rPr>
          <w:sz w:val="20"/>
          <w:szCs w:val="20"/>
        </w:rPr>
        <w:t>egression results for the effects of wildfire intensity (</w:t>
      </w:r>
      <w:r w:rsidR="00BF0763" w:rsidRPr="00A6107E">
        <w:rPr>
          <w:i/>
          <w:iCs/>
          <w:sz w:val="20"/>
          <w:szCs w:val="20"/>
        </w:rPr>
        <w:t>% County Burned (t-1) (100s)</w:t>
      </w:r>
      <w:r w:rsidR="00BF0763" w:rsidRPr="00A6107E">
        <w:rPr>
          <w:sz w:val="20"/>
          <w:szCs w:val="20"/>
        </w:rPr>
        <w:t>) on establishment births, deaths, inward relocations, outward relocations, employment numbers, and sales performance across five sectors: Agriculture, Forestry, Fishing, and Hunting (NAICS 11); Mining, Quarrying, and Oil and Gas Extraction (NAICS 21); Utilities (NAICS 22); Construction (NAICS 23); and Manufacturing (NAICS 31–33). The wildfire intensity measures the proportion of county area burned by wildfires. The results capture differentiated sectoral responses to wildfire intensity, reflecting both positive and negative impacts based on sector characteristics. Statistically significant coefficients, denoted by asterisks, represent percentage changes associated with a one-unit increase in Burned Areas. Asterisks denote statistical significance at the following levels: ***p &lt; 0.01, **p &lt; 0.05, *p &lt; 0.1. Full regression results for each sector can be found in Tables A</w:t>
      </w:r>
      <w:r w:rsidR="009C0226">
        <w:rPr>
          <w:sz w:val="20"/>
          <w:szCs w:val="20"/>
        </w:rPr>
        <w:t>36</w:t>
      </w:r>
      <w:r w:rsidR="00BF0763" w:rsidRPr="00A6107E">
        <w:rPr>
          <w:sz w:val="20"/>
          <w:szCs w:val="20"/>
        </w:rPr>
        <w:t>–A</w:t>
      </w:r>
      <w:r w:rsidR="009C0226">
        <w:rPr>
          <w:sz w:val="20"/>
          <w:szCs w:val="20"/>
        </w:rPr>
        <w:t>40</w:t>
      </w:r>
      <w:r w:rsidR="00BF0763" w:rsidRPr="00A6107E">
        <w:rPr>
          <w:sz w:val="20"/>
          <w:szCs w:val="20"/>
        </w:rPr>
        <w:t>.</w:t>
      </w:r>
    </w:p>
    <w:p w14:paraId="71D22038" w14:textId="77777777" w:rsidR="00BF0763" w:rsidRPr="00BF0763" w:rsidRDefault="00BF0763" w:rsidP="004C39A4">
      <w:pPr>
        <w:spacing w:line="259" w:lineRule="auto"/>
        <w:rPr>
          <w:rFonts w:eastAsia="Times New Roman" w:cs="Times New Roman"/>
          <w:b/>
          <w:bCs/>
          <w:color w:val="2F5496"/>
        </w:rPr>
      </w:pPr>
    </w:p>
    <w:p w14:paraId="252B072C" w14:textId="77777777" w:rsidR="00BF0763" w:rsidRPr="00BF0763" w:rsidRDefault="00BF0763" w:rsidP="004C39A4">
      <w:pPr>
        <w:spacing w:line="259" w:lineRule="auto"/>
        <w:rPr>
          <w:rFonts w:eastAsia="Times New Roman" w:cs="Times New Roman"/>
          <w:b/>
          <w:bCs/>
          <w:color w:val="2F5496"/>
        </w:rPr>
      </w:pPr>
      <w:r w:rsidRPr="00BF0763">
        <w:rPr>
          <w:rFonts w:eastAsia="Times New Roman" w:cs="Times New Roman"/>
        </w:rPr>
        <w:br w:type="page"/>
      </w:r>
    </w:p>
    <w:p w14:paraId="7EBEDC27" w14:textId="2E0F030B" w:rsidR="00BF0763" w:rsidRPr="00BF0763" w:rsidRDefault="00BF0763" w:rsidP="00095E25">
      <w:pPr>
        <w:pStyle w:val="Title"/>
      </w:pPr>
      <w:bookmarkStart w:id="485" w:name="_Toc187564781"/>
      <w:bookmarkStart w:id="486" w:name="_Toc188359640"/>
      <w:bookmarkStart w:id="487" w:name="_Toc188359928"/>
      <w:bookmarkStart w:id="488" w:name="_Toc188361164"/>
      <w:bookmarkStart w:id="489" w:name="_Toc188367008"/>
      <w:r w:rsidRPr="00BF0763">
        <w:lastRenderedPageBreak/>
        <w:t>Table A</w:t>
      </w:r>
      <w:r w:rsidR="007D52FE">
        <w:rPr>
          <w:lang w:val="en-US"/>
        </w:rPr>
        <w:t>35</w:t>
      </w:r>
      <w:r w:rsidR="009F55A7">
        <w:rPr>
          <w:lang w:val="en-US"/>
        </w:rPr>
        <w:t>:</w:t>
      </w:r>
      <w:r w:rsidRPr="00BF0763">
        <w:t xml:space="preserve"> Regression Results for the Aggregate LIS</w:t>
      </w:r>
      <w:bookmarkEnd w:id="485"/>
      <w:bookmarkEnd w:id="486"/>
      <w:bookmarkEnd w:id="487"/>
      <w:bookmarkEnd w:id="488"/>
      <w:bookmarkEnd w:id="489"/>
    </w:p>
    <w:tbl>
      <w:tblPr>
        <w:tblW w:w="5000" w:type="pct"/>
        <w:tblLook w:val="0000" w:firstRow="0" w:lastRow="0" w:firstColumn="0" w:lastColumn="0" w:noHBand="0" w:noVBand="0"/>
      </w:tblPr>
      <w:tblGrid>
        <w:gridCol w:w="2168"/>
        <w:gridCol w:w="966"/>
        <w:gridCol w:w="1245"/>
        <w:gridCol w:w="966"/>
        <w:gridCol w:w="1372"/>
        <w:gridCol w:w="1316"/>
        <w:gridCol w:w="1327"/>
      </w:tblGrid>
      <w:tr w:rsidR="00FA0384" w:rsidRPr="00B94FE7" w14:paraId="5556F649" w14:textId="77777777" w:rsidTr="001F2F98">
        <w:tc>
          <w:tcPr>
            <w:tcW w:w="1219" w:type="pct"/>
            <w:tcBorders>
              <w:top w:val="single" w:sz="4" w:space="0" w:color="auto"/>
              <w:left w:val="nil"/>
              <w:bottom w:val="single" w:sz="4" w:space="0" w:color="auto"/>
              <w:right w:val="nil"/>
            </w:tcBorders>
          </w:tcPr>
          <w:p w14:paraId="6CA9EA6C" w14:textId="6BBBE631" w:rsidR="00BF0763" w:rsidRPr="00BF0763" w:rsidRDefault="00BF0763" w:rsidP="00B94FE7">
            <w:pPr>
              <w:widowControl w:val="0"/>
              <w:autoSpaceDE w:val="0"/>
              <w:autoSpaceDN w:val="0"/>
              <w:adjustRightInd w:val="0"/>
              <w:spacing w:line="240" w:lineRule="auto"/>
              <w:rPr>
                <w:rFonts w:eastAsia="Times New Roman" w:cs="Times New Roman"/>
                <w:b/>
                <w:bCs/>
                <w:sz w:val="20"/>
                <w:szCs w:val="20"/>
              </w:rPr>
            </w:pPr>
            <w:r w:rsidRPr="00BF0763">
              <w:rPr>
                <w:rFonts w:eastAsia="Times New Roman" w:cs="Times New Roman"/>
                <w:b/>
                <w:bCs/>
                <w:sz w:val="20"/>
                <w:szCs w:val="20"/>
              </w:rPr>
              <w:t>Variable</w:t>
            </w:r>
          </w:p>
        </w:tc>
        <w:tc>
          <w:tcPr>
            <w:tcW w:w="448" w:type="pct"/>
            <w:tcBorders>
              <w:top w:val="single" w:sz="4" w:space="0" w:color="auto"/>
              <w:left w:val="nil"/>
              <w:bottom w:val="single" w:sz="4" w:space="0" w:color="auto"/>
              <w:right w:val="nil"/>
            </w:tcBorders>
          </w:tcPr>
          <w:p w14:paraId="4D93284C" w14:textId="227AC796" w:rsidR="00BF0763" w:rsidRPr="00BF0763" w:rsidRDefault="00BF0763" w:rsidP="00B94FE7">
            <w:pPr>
              <w:widowControl w:val="0"/>
              <w:autoSpaceDE w:val="0"/>
              <w:autoSpaceDN w:val="0"/>
              <w:adjustRightInd w:val="0"/>
              <w:spacing w:line="240" w:lineRule="auto"/>
              <w:rPr>
                <w:rFonts w:eastAsia="Times New Roman" w:cs="Times New Roman"/>
                <w:b/>
                <w:bCs/>
                <w:sz w:val="20"/>
                <w:szCs w:val="20"/>
              </w:rPr>
            </w:pPr>
            <w:r w:rsidRPr="00BF0763">
              <w:rPr>
                <w:rFonts w:eastAsia="Times New Roman" w:cs="Times New Roman"/>
                <w:b/>
                <w:bCs/>
                <w:sz w:val="20"/>
                <w:szCs w:val="20"/>
              </w:rPr>
              <w:t>Births</w:t>
            </w:r>
          </w:p>
        </w:tc>
        <w:tc>
          <w:tcPr>
            <w:tcW w:w="726" w:type="pct"/>
            <w:tcBorders>
              <w:top w:val="single" w:sz="4" w:space="0" w:color="auto"/>
              <w:left w:val="nil"/>
              <w:bottom w:val="single" w:sz="4" w:space="0" w:color="auto"/>
              <w:right w:val="nil"/>
            </w:tcBorders>
          </w:tcPr>
          <w:p w14:paraId="217DB737" w14:textId="5B477A9D" w:rsidR="00BF0763" w:rsidRPr="00BF0763" w:rsidRDefault="00BF0763" w:rsidP="00B94FE7">
            <w:pPr>
              <w:widowControl w:val="0"/>
              <w:autoSpaceDE w:val="0"/>
              <w:autoSpaceDN w:val="0"/>
              <w:adjustRightInd w:val="0"/>
              <w:spacing w:line="240" w:lineRule="auto"/>
              <w:rPr>
                <w:rFonts w:eastAsia="Times New Roman" w:cs="Times New Roman"/>
                <w:b/>
                <w:bCs/>
                <w:sz w:val="20"/>
                <w:szCs w:val="20"/>
              </w:rPr>
            </w:pPr>
            <w:r w:rsidRPr="00BF0763">
              <w:rPr>
                <w:rFonts w:eastAsia="Times New Roman" w:cs="Times New Roman"/>
                <w:b/>
                <w:bCs/>
                <w:sz w:val="20"/>
                <w:szCs w:val="20"/>
              </w:rPr>
              <w:t>In-Migrations</w:t>
            </w:r>
          </w:p>
        </w:tc>
        <w:tc>
          <w:tcPr>
            <w:tcW w:w="448" w:type="pct"/>
            <w:tcBorders>
              <w:top w:val="single" w:sz="4" w:space="0" w:color="auto"/>
              <w:left w:val="nil"/>
              <w:bottom w:val="single" w:sz="4" w:space="0" w:color="auto"/>
              <w:right w:val="nil"/>
            </w:tcBorders>
          </w:tcPr>
          <w:p w14:paraId="6EEA7705" w14:textId="6037D0EB" w:rsidR="00BF0763" w:rsidRPr="00BF0763" w:rsidRDefault="00BF0763" w:rsidP="00B94FE7">
            <w:pPr>
              <w:widowControl w:val="0"/>
              <w:autoSpaceDE w:val="0"/>
              <w:autoSpaceDN w:val="0"/>
              <w:adjustRightInd w:val="0"/>
              <w:spacing w:line="240" w:lineRule="auto"/>
              <w:rPr>
                <w:rFonts w:eastAsia="Times New Roman" w:cs="Times New Roman"/>
                <w:b/>
                <w:bCs/>
                <w:sz w:val="20"/>
                <w:szCs w:val="20"/>
              </w:rPr>
            </w:pPr>
            <w:r w:rsidRPr="00BF0763">
              <w:rPr>
                <w:rFonts w:eastAsia="Times New Roman" w:cs="Times New Roman"/>
                <w:b/>
                <w:bCs/>
                <w:sz w:val="20"/>
                <w:szCs w:val="20"/>
              </w:rPr>
              <w:t>Deaths</w:t>
            </w:r>
          </w:p>
        </w:tc>
        <w:tc>
          <w:tcPr>
            <w:tcW w:w="794" w:type="pct"/>
            <w:tcBorders>
              <w:top w:val="single" w:sz="4" w:space="0" w:color="auto"/>
              <w:left w:val="nil"/>
              <w:bottom w:val="single" w:sz="4" w:space="0" w:color="auto"/>
              <w:right w:val="nil"/>
            </w:tcBorders>
          </w:tcPr>
          <w:p w14:paraId="33E4E3F1" w14:textId="5856B930" w:rsidR="00BF0763" w:rsidRPr="00BF0763" w:rsidRDefault="00BF0763" w:rsidP="00B94FE7">
            <w:pPr>
              <w:widowControl w:val="0"/>
              <w:autoSpaceDE w:val="0"/>
              <w:autoSpaceDN w:val="0"/>
              <w:adjustRightInd w:val="0"/>
              <w:spacing w:line="240" w:lineRule="auto"/>
              <w:rPr>
                <w:rFonts w:eastAsia="Times New Roman" w:cs="Times New Roman"/>
                <w:b/>
                <w:bCs/>
                <w:sz w:val="20"/>
                <w:szCs w:val="20"/>
              </w:rPr>
            </w:pPr>
            <w:r w:rsidRPr="00BF0763">
              <w:rPr>
                <w:rFonts w:eastAsia="Times New Roman" w:cs="Times New Roman"/>
                <w:b/>
                <w:bCs/>
                <w:sz w:val="20"/>
                <w:szCs w:val="20"/>
              </w:rPr>
              <w:t>Out-Migrations</w:t>
            </w:r>
          </w:p>
        </w:tc>
        <w:tc>
          <w:tcPr>
            <w:tcW w:w="680" w:type="pct"/>
            <w:tcBorders>
              <w:top w:val="single" w:sz="4" w:space="0" w:color="auto"/>
              <w:left w:val="nil"/>
              <w:bottom w:val="single" w:sz="4" w:space="0" w:color="auto"/>
              <w:right w:val="nil"/>
            </w:tcBorders>
          </w:tcPr>
          <w:p w14:paraId="6F096865" w14:textId="120B3CE8" w:rsidR="00BF0763" w:rsidRPr="00BF0763" w:rsidRDefault="00BF0763" w:rsidP="00B94FE7">
            <w:pPr>
              <w:widowControl w:val="0"/>
              <w:autoSpaceDE w:val="0"/>
              <w:autoSpaceDN w:val="0"/>
              <w:adjustRightInd w:val="0"/>
              <w:spacing w:line="240" w:lineRule="auto"/>
              <w:rPr>
                <w:rFonts w:eastAsia="Times New Roman" w:cs="Times New Roman"/>
                <w:b/>
                <w:bCs/>
                <w:sz w:val="20"/>
                <w:szCs w:val="20"/>
              </w:rPr>
            </w:pPr>
            <w:r w:rsidRPr="00BF0763">
              <w:rPr>
                <w:rFonts w:eastAsia="Times New Roman" w:cs="Times New Roman"/>
                <w:b/>
                <w:bCs/>
                <w:sz w:val="20"/>
                <w:szCs w:val="20"/>
              </w:rPr>
              <w:t>Employment</w:t>
            </w:r>
          </w:p>
        </w:tc>
        <w:tc>
          <w:tcPr>
            <w:tcW w:w="685" w:type="pct"/>
            <w:tcBorders>
              <w:top w:val="single" w:sz="4" w:space="0" w:color="auto"/>
              <w:left w:val="nil"/>
              <w:bottom w:val="single" w:sz="4" w:space="0" w:color="auto"/>
              <w:right w:val="nil"/>
            </w:tcBorders>
          </w:tcPr>
          <w:p w14:paraId="56F6CE58" w14:textId="542C5B49" w:rsidR="00BF0763" w:rsidRPr="00BF0763" w:rsidRDefault="00BF0763" w:rsidP="00B94FE7">
            <w:pPr>
              <w:widowControl w:val="0"/>
              <w:autoSpaceDE w:val="0"/>
              <w:autoSpaceDN w:val="0"/>
              <w:adjustRightInd w:val="0"/>
              <w:spacing w:line="240" w:lineRule="auto"/>
              <w:rPr>
                <w:rFonts w:eastAsia="Times New Roman" w:cs="Times New Roman"/>
                <w:b/>
                <w:bCs/>
                <w:sz w:val="20"/>
                <w:szCs w:val="20"/>
              </w:rPr>
            </w:pPr>
            <w:r w:rsidRPr="00BF0763">
              <w:rPr>
                <w:rFonts w:eastAsia="Times New Roman" w:cs="Times New Roman"/>
                <w:b/>
                <w:bCs/>
                <w:sz w:val="20"/>
                <w:szCs w:val="20"/>
              </w:rPr>
              <w:t>Performance</w:t>
            </w:r>
          </w:p>
        </w:tc>
      </w:tr>
      <w:tr w:rsidR="00FA0384" w:rsidRPr="00B94FE7" w14:paraId="535878F5" w14:textId="77777777" w:rsidTr="001F2F98">
        <w:tc>
          <w:tcPr>
            <w:tcW w:w="1219" w:type="pct"/>
            <w:tcBorders>
              <w:top w:val="single" w:sz="4" w:space="0" w:color="auto"/>
              <w:left w:val="nil"/>
              <w:bottom w:val="nil"/>
              <w:right w:val="nil"/>
            </w:tcBorders>
          </w:tcPr>
          <w:p w14:paraId="04333314"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bookmarkStart w:id="490" w:name="_Hlk187546649"/>
            <w:r w:rsidRPr="00BF0763">
              <w:rPr>
                <w:rFonts w:eastAsia="Times New Roman" w:cs="Times New Roman"/>
                <w:sz w:val="20"/>
                <w:szCs w:val="20"/>
              </w:rPr>
              <w:t>Fire Count (t-1) (1000s)</w:t>
            </w:r>
            <w:bookmarkEnd w:id="490"/>
          </w:p>
        </w:tc>
        <w:tc>
          <w:tcPr>
            <w:tcW w:w="448" w:type="pct"/>
            <w:tcBorders>
              <w:top w:val="single" w:sz="4" w:space="0" w:color="auto"/>
              <w:left w:val="nil"/>
              <w:bottom w:val="nil"/>
              <w:right w:val="nil"/>
            </w:tcBorders>
          </w:tcPr>
          <w:p w14:paraId="3B3B309A"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0.038</w:t>
            </w:r>
          </w:p>
        </w:tc>
        <w:tc>
          <w:tcPr>
            <w:tcW w:w="726" w:type="pct"/>
            <w:tcBorders>
              <w:top w:val="single" w:sz="4" w:space="0" w:color="auto"/>
              <w:left w:val="nil"/>
              <w:bottom w:val="nil"/>
              <w:right w:val="nil"/>
            </w:tcBorders>
          </w:tcPr>
          <w:p w14:paraId="68C44F79"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0.114</w:t>
            </w:r>
          </w:p>
        </w:tc>
        <w:tc>
          <w:tcPr>
            <w:tcW w:w="448" w:type="pct"/>
            <w:tcBorders>
              <w:top w:val="single" w:sz="4" w:space="0" w:color="auto"/>
              <w:left w:val="nil"/>
              <w:bottom w:val="nil"/>
              <w:right w:val="nil"/>
            </w:tcBorders>
          </w:tcPr>
          <w:p w14:paraId="4E29B264"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0.094***</w:t>
            </w:r>
          </w:p>
        </w:tc>
        <w:tc>
          <w:tcPr>
            <w:tcW w:w="794" w:type="pct"/>
            <w:tcBorders>
              <w:top w:val="single" w:sz="4" w:space="0" w:color="auto"/>
              <w:left w:val="nil"/>
              <w:bottom w:val="nil"/>
              <w:right w:val="nil"/>
            </w:tcBorders>
          </w:tcPr>
          <w:p w14:paraId="30AD9393"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1.40***</w:t>
            </w:r>
          </w:p>
        </w:tc>
        <w:tc>
          <w:tcPr>
            <w:tcW w:w="680" w:type="pct"/>
            <w:tcBorders>
              <w:top w:val="single" w:sz="4" w:space="0" w:color="auto"/>
              <w:left w:val="nil"/>
              <w:bottom w:val="nil"/>
              <w:right w:val="nil"/>
            </w:tcBorders>
          </w:tcPr>
          <w:p w14:paraId="0E0341CD"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0.019</w:t>
            </w:r>
          </w:p>
        </w:tc>
        <w:tc>
          <w:tcPr>
            <w:tcW w:w="685" w:type="pct"/>
            <w:tcBorders>
              <w:top w:val="single" w:sz="4" w:space="0" w:color="auto"/>
              <w:left w:val="nil"/>
              <w:bottom w:val="nil"/>
              <w:right w:val="nil"/>
            </w:tcBorders>
          </w:tcPr>
          <w:p w14:paraId="2E000F52"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0.073</w:t>
            </w:r>
          </w:p>
        </w:tc>
      </w:tr>
      <w:tr w:rsidR="00FA0384" w:rsidRPr="00B94FE7" w14:paraId="451EDFBD" w14:textId="77777777" w:rsidTr="00B94FE7">
        <w:tc>
          <w:tcPr>
            <w:tcW w:w="1219" w:type="pct"/>
            <w:tcBorders>
              <w:top w:val="nil"/>
              <w:left w:val="nil"/>
              <w:bottom w:val="nil"/>
              <w:right w:val="nil"/>
            </w:tcBorders>
          </w:tcPr>
          <w:p w14:paraId="04252361"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 xml:space="preserve">  </w:t>
            </w:r>
          </w:p>
        </w:tc>
        <w:tc>
          <w:tcPr>
            <w:tcW w:w="448" w:type="pct"/>
            <w:tcBorders>
              <w:top w:val="nil"/>
              <w:left w:val="nil"/>
              <w:bottom w:val="nil"/>
              <w:right w:val="nil"/>
            </w:tcBorders>
          </w:tcPr>
          <w:p w14:paraId="1FCAE195"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(0.051)</w:t>
            </w:r>
          </w:p>
        </w:tc>
        <w:tc>
          <w:tcPr>
            <w:tcW w:w="726" w:type="pct"/>
            <w:tcBorders>
              <w:top w:val="nil"/>
              <w:left w:val="nil"/>
              <w:bottom w:val="nil"/>
              <w:right w:val="nil"/>
            </w:tcBorders>
          </w:tcPr>
          <w:p w14:paraId="453CE473"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(0.485)</w:t>
            </w:r>
          </w:p>
        </w:tc>
        <w:tc>
          <w:tcPr>
            <w:tcW w:w="448" w:type="pct"/>
            <w:tcBorders>
              <w:top w:val="nil"/>
              <w:left w:val="nil"/>
              <w:bottom w:val="nil"/>
              <w:right w:val="nil"/>
            </w:tcBorders>
          </w:tcPr>
          <w:p w14:paraId="4C14E904"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(0.034)</w:t>
            </w:r>
          </w:p>
        </w:tc>
        <w:tc>
          <w:tcPr>
            <w:tcW w:w="794" w:type="pct"/>
            <w:tcBorders>
              <w:top w:val="nil"/>
              <w:left w:val="nil"/>
              <w:bottom w:val="nil"/>
              <w:right w:val="nil"/>
            </w:tcBorders>
          </w:tcPr>
          <w:p w14:paraId="593C251B"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(0.494)</w:t>
            </w:r>
          </w:p>
        </w:tc>
        <w:tc>
          <w:tcPr>
            <w:tcW w:w="680" w:type="pct"/>
            <w:tcBorders>
              <w:top w:val="nil"/>
              <w:left w:val="nil"/>
              <w:bottom w:val="nil"/>
              <w:right w:val="nil"/>
            </w:tcBorders>
          </w:tcPr>
          <w:p w14:paraId="736850CD"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(0.025)</w:t>
            </w:r>
          </w:p>
        </w:tc>
        <w:tc>
          <w:tcPr>
            <w:tcW w:w="685" w:type="pct"/>
            <w:tcBorders>
              <w:top w:val="nil"/>
              <w:left w:val="nil"/>
              <w:bottom w:val="nil"/>
              <w:right w:val="nil"/>
            </w:tcBorders>
          </w:tcPr>
          <w:p w14:paraId="03F0BA11"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(0.087)</w:t>
            </w:r>
          </w:p>
        </w:tc>
      </w:tr>
      <w:tr w:rsidR="00FA0384" w:rsidRPr="00B94FE7" w14:paraId="67994871" w14:textId="77777777" w:rsidTr="00B94FE7">
        <w:tc>
          <w:tcPr>
            <w:tcW w:w="1219" w:type="pct"/>
            <w:tcBorders>
              <w:top w:val="nil"/>
              <w:left w:val="nil"/>
              <w:bottom w:val="nil"/>
              <w:right w:val="nil"/>
            </w:tcBorders>
          </w:tcPr>
          <w:p w14:paraId="4C7A2D07"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bookmarkStart w:id="491" w:name="_Hlk187546823"/>
            <w:r w:rsidRPr="00BF0763">
              <w:rPr>
                <w:rFonts w:eastAsia="Times New Roman" w:cs="Times New Roman"/>
                <w:sz w:val="20"/>
                <w:szCs w:val="20"/>
              </w:rPr>
              <w:t>% County Burned (t-1) (100s)</w:t>
            </w:r>
            <w:bookmarkEnd w:id="491"/>
          </w:p>
        </w:tc>
        <w:tc>
          <w:tcPr>
            <w:tcW w:w="448" w:type="pct"/>
            <w:tcBorders>
              <w:top w:val="nil"/>
              <w:left w:val="nil"/>
              <w:bottom w:val="nil"/>
              <w:right w:val="nil"/>
            </w:tcBorders>
          </w:tcPr>
          <w:p w14:paraId="061E3772"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-0.842**</w:t>
            </w:r>
          </w:p>
        </w:tc>
        <w:tc>
          <w:tcPr>
            <w:tcW w:w="726" w:type="pct"/>
            <w:tcBorders>
              <w:top w:val="nil"/>
              <w:left w:val="nil"/>
              <w:bottom w:val="nil"/>
              <w:right w:val="nil"/>
            </w:tcBorders>
          </w:tcPr>
          <w:p w14:paraId="5041B1FB"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-32.3</w:t>
            </w:r>
          </w:p>
        </w:tc>
        <w:tc>
          <w:tcPr>
            <w:tcW w:w="448" w:type="pct"/>
            <w:tcBorders>
              <w:top w:val="nil"/>
              <w:left w:val="nil"/>
              <w:bottom w:val="nil"/>
              <w:right w:val="nil"/>
            </w:tcBorders>
          </w:tcPr>
          <w:p w14:paraId="0355D26A"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-0.128</w:t>
            </w:r>
          </w:p>
        </w:tc>
        <w:tc>
          <w:tcPr>
            <w:tcW w:w="794" w:type="pct"/>
            <w:tcBorders>
              <w:top w:val="nil"/>
              <w:left w:val="nil"/>
              <w:bottom w:val="nil"/>
              <w:right w:val="nil"/>
            </w:tcBorders>
          </w:tcPr>
          <w:p w14:paraId="0E75D306"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5.06</w:t>
            </w:r>
          </w:p>
        </w:tc>
        <w:tc>
          <w:tcPr>
            <w:tcW w:w="680" w:type="pct"/>
            <w:tcBorders>
              <w:top w:val="nil"/>
              <w:left w:val="nil"/>
              <w:bottom w:val="nil"/>
              <w:right w:val="nil"/>
            </w:tcBorders>
          </w:tcPr>
          <w:p w14:paraId="592D4E97"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-0.052</w:t>
            </w:r>
          </w:p>
        </w:tc>
        <w:tc>
          <w:tcPr>
            <w:tcW w:w="685" w:type="pct"/>
            <w:tcBorders>
              <w:top w:val="nil"/>
              <w:left w:val="nil"/>
              <w:bottom w:val="nil"/>
              <w:right w:val="nil"/>
            </w:tcBorders>
          </w:tcPr>
          <w:p w14:paraId="3A2CE6A6"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2.26***</w:t>
            </w:r>
          </w:p>
        </w:tc>
      </w:tr>
      <w:tr w:rsidR="00FA0384" w:rsidRPr="00B94FE7" w14:paraId="240735CB" w14:textId="77777777" w:rsidTr="00B94FE7">
        <w:tc>
          <w:tcPr>
            <w:tcW w:w="1219" w:type="pct"/>
            <w:tcBorders>
              <w:top w:val="nil"/>
              <w:left w:val="nil"/>
              <w:bottom w:val="nil"/>
              <w:right w:val="nil"/>
            </w:tcBorders>
          </w:tcPr>
          <w:p w14:paraId="7E7D0498"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 xml:space="preserve">  </w:t>
            </w:r>
          </w:p>
        </w:tc>
        <w:tc>
          <w:tcPr>
            <w:tcW w:w="448" w:type="pct"/>
            <w:tcBorders>
              <w:top w:val="nil"/>
              <w:left w:val="nil"/>
              <w:bottom w:val="nil"/>
              <w:right w:val="nil"/>
            </w:tcBorders>
          </w:tcPr>
          <w:p w14:paraId="1D262A7D"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(0.345)</w:t>
            </w:r>
          </w:p>
        </w:tc>
        <w:tc>
          <w:tcPr>
            <w:tcW w:w="726" w:type="pct"/>
            <w:tcBorders>
              <w:top w:val="nil"/>
              <w:left w:val="nil"/>
              <w:bottom w:val="nil"/>
              <w:right w:val="nil"/>
            </w:tcBorders>
          </w:tcPr>
          <w:p w14:paraId="5C38CD35"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(29.0)</w:t>
            </w:r>
          </w:p>
        </w:tc>
        <w:tc>
          <w:tcPr>
            <w:tcW w:w="448" w:type="pct"/>
            <w:tcBorders>
              <w:top w:val="nil"/>
              <w:left w:val="nil"/>
              <w:bottom w:val="nil"/>
              <w:right w:val="nil"/>
            </w:tcBorders>
          </w:tcPr>
          <w:p w14:paraId="0A255541"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(0.350)</w:t>
            </w:r>
          </w:p>
        </w:tc>
        <w:tc>
          <w:tcPr>
            <w:tcW w:w="794" w:type="pct"/>
            <w:tcBorders>
              <w:top w:val="nil"/>
              <w:left w:val="nil"/>
              <w:bottom w:val="nil"/>
              <w:right w:val="nil"/>
            </w:tcBorders>
          </w:tcPr>
          <w:p w14:paraId="554460C6"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(5.07)</w:t>
            </w:r>
          </w:p>
        </w:tc>
        <w:tc>
          <w:tcPr>
            <w:tcW w:w="680" w:type="pct"/>
            <w:tcBorders>
              <w:top w:val="nil"/>
              <w:left w:val="nil"/>
              <w:bottom w:val="nil"/>
              <w:right w:val="nil"/>
            </w:tcBorders>
          </w:tcPr>
          <w:p w14:paraId="3B4174AE"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(0.121)</w:t>
            </w:r>
          </w:p>
        </w:tc>
        <w:tc>
          <w:tcPr>
            <w:tcW w:w="685" w:type="pct"/>
            <w:tcBorders>
              <w:top w:val="nil"/>
              <w:left w:val="nil"/>
              <w:bottom w:val="nil"/>
              <w:right w:val="nil"/>
            </w:tcBorders>
          </w:tcPr>
          <w:p w14:paraId="59260E80"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(0.770)</w:t>
            </w:r>
          </w:p>
        </w:tc>
      </w:tr>
      <w:tr w:rsidR="00FA0384" w:rsidRPr="00B94FE7" w14:paraId="76F237DB" w14:textId="77777777" w:rsidTr="00B94FE7">
        <w:tc>
          <w:tcPr>
            <w:tcW w:w="1219" w:type="pct"/>
            <w:tcBorders>
              <w:top w:val="nil"/>
              <w:left w:val="nil"/>
              <w:bottom w:val="nil"/>
              <w:right w:val="nil"/>
            </w:tcBorders>
          </w:tcPr>
          <w:p w14:paraId="43A778CC"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Precipitation (t-1) (10s)</w:t>
            </w:r>
          </w:p>
        </w:tc>
        <w:tc>
          <w:tcPr>
            <w:tcW w:w="448" w:type="pct"/>
            <w:tcBorders>
              <w:top w:val="nil"/>
              <w:left w:val="nil"/>
              <w:bottom w:val="nil"/>
              <w:right w:val="nil"/>
            </w:tcBorders>
          </w:tcPr>
          <w:p w14:paraId="0AD211F7"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0.030</w:t>
            </w:r>
          </w:p>
        </w:tc>
        <w:tc>
          <w:tcPr>
            <w:tcW w:w="726" w:type="pct"/>
            <w:tcBorders>
              <w:top w:val="nil"/>
              <w:left w:val="nil"/>
              <w:bottom w:val="nil"/>
              <w:right w:val="nil"/>
            </w:tcBorders>
          </w:tcPr>
          <w:p w14:paraId="3807DAC4"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-0.394</w:t>
            </w:r>
          </w:p>
        </w:tc>
        <w:tc>
          <w:tcPr>
            <w:tcW w:w="448" w:type="pct"/>
            <w:tcBorders>
              <w:top w:val="nil"/>
              <w:left w:val="nil"/>
              <w:bottom w:val="nil"/>
              <w:right w:val="nil"/>
            </w:tcBorders>
          </w:tcPr>
          <w:p w14:paraId="20606739"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-0.008</w:t>
            </w:r>
          </w:p>
        </w:tc>
        <w:tc>
          <w:tcPr>
            <w:tcW w:w="794" w:type="pct"/>
            <w:tcBorders>
              <w:top w:val="nil"/>
              <w:left w:val="nil"/>
              <w:bottom w:val="nil"/>
              <w:right w:val="nil"/>
            </w:tcBorders>
          </w:tcPr>
          <w:p w14:paraId="2D64BD44"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0.918***</w:t>
            </w:r>
          </w:p>
        </w:tc>
        <w:tc>
          <w:tcPr>
            <w:tcW w:w="680" w:type="pct"/>
            <w:tcBorders>
              <w:top w:val="nil"/>
              <w:left w:val="nil"/>
              <w:bottom w:val="nil"/>
              <w:right w:val="nil"/>
            </w:tcBorders>
          </w:tcPr>
          <w:p w14:paraId="0CBD9F17"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-0.003</w:t>
            </w:r>
          </w:p>
        </w:tc>
        <w:tc>
          <w:tcPr>
            <w:tcW w:w="685" w:type="pct"/>
            <w:tcBorders>
              <w:top w:val="nil"/>
              <w:left w:val="nil"/>
              <w:bottom w:val="nil"/>
              <w:right w:val="nil"/>
            </w:tcBorders>
          </w:tcPr>
          <w:p w14:paraId="618CF079"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-0.140***</w:t>
            </w:r>
          </w:p>
        </w:tc>
      </w:tr>
      <w:tr w:rsidR="00FA0384" w:rsidRPr="00B94FE7" w14:paraId="4CBC9532" w14:textId="77777777" w:rsidTr="00B94FE7">
        <w:tc>
          <w:tcPr>
            <w:tcW w:w="1219" w:type="pct"/>
            <w:tcBorders>
              <w:top w:val="nil"/>
              <w:left w:val="nil"/>
              <w:bottom w:val="nil"/>
              <w:right w:val="nil"/>
            </w:tcBorders>
          </w:tcPr>
          <w:p w14:paraId="4555CDF6"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 xml:space="preserve">  </w:t>
            </w:r>
          </w:p>
        </w:tc>
        <w:tc>
          <w:tcPr>
            <w:tcW w:w="448" w:type="pct"/>
            <w:tcBorders>
              <w:top w:val="nil"/>
              <w:left w:val="nil"/>
              <w:bottom w:val="nil"/>
              <w:right w:val="nil"/>
            </w:tcBorders>
          </w:tcPr>
          <w:p w14:paraId="07CB2485"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(0.021)</w:t>
            </w:r>
          </w:p>
        </w:tc>
        <w:tc>
          <w:tcPr>
            <w:tcW w:w="726" w:type="pct"/>
            <w:tcBorders>
              <w:top w:val="nil"/>
              <w:left w:val="nil"/>
              <w:bottom w:val="nil"/>
              <w:right w:val="nil"/>
            </w:tcBorders>
          </w:tcPr>
          <w:p w14:paraId="1744C71A"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(0.687)</w:t>
            </w:r>
          </w:p>
        </w:tc>
        <w:tc>
          <w:tcPr>
            <w:tcW w:w="448" w:type="pct"/>
            <w:tcBorders>
              <w:top w:val="nil"/>
              <w:left w:val="nil"/>
              <w:bottom w:val="nil"/>
              <w:right w:val="nil"/>
            </w:tcBorders>
          </w:tcPr>
          <w:p w14:paraId="4497008B"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(0.019)</w:t>
            </w:r>
          </w:p>
        </w:tc>
        <w:tc>
          <w:tcPr>
            <w:tcW w:w="794" w:type="pct"/>
            <w:tcBorders>
              <w:top w:val="nil"/>
              <w:left w:val="nil"/>
              <w:bottom w:val="nil"/>
              <w:right w:val="nil"/>
            </w:tcBorders>
          </w:tcPr>
          <w:p w14:paraId="6FFCB500"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(0.308)</w:t>
            </w:r>
          </w:p>
        </w:tc>
        <w:tc>
          <w:tcPr>
            <w:tcW w:w="680" w:type="pct"/>
            <w:tcBorders>
              <w:top w:val="nil"/>
              <w:left w:val="nil"/>
              <w:bottom w:val="nil"/>
              <w:right w:val="nil"/>
            </w:tcBorders>
          </w:tcPr>
          <w:p w14:paraId="4CB8BF67"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(0.012)</w:t>
            </w:r>
          </w:p>
        </w:tc>
        <w:tc>
          <w:tcPr>
            <w:tcW w:w="685" w:type="pct"/>
            <w:tcBorders>
              <w:top w:val="nil"/>
              <w:left w:val="nil"/>
              <w:bottom w:val="nil"/>
              <w:right w:val="nil"/>
            </w:tcBorders>
          </w:tcPr>
          <w:p w14:paraId="6693BCBD"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(0.044)</w:t>
            </w:r>
          </w:p>
        </w:tc>
      </w:tr>
      <w:tr w:rsidR="00FA0384" w:rsidRPr="00B94FE7" w14:paraId="0DBA597F" w14:textId="77777777" w:rsidTr="00B94FE7">
        <w:tc>
          <w:tcPr>
            <w:tcW w:w="1219" w:type="pct"/>
            <w:tcBorders>
              <w:top w:val="nil"/>
              <w:left w:val="nil"/>
              <w:bottom w:val="nil"/>
              <w:right w:val="nil"/>
            </w:tcBorders>
          </w:tcPr>
          <w:p w14:paraId="79B486A3"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Temperature (t-1) (10s)</w:t>
            </w:r>
          </w:p>
        </w:tc>
        <w:tc>
          <w:tcPr>
            <w:tcW w:w="448" w:type="pct"/>
            <w:tcBorders>
              <w:top w:val="nil"/>
              <w:left w:val="nil"/>
              <w:bottom w:val="nil"/>
              <w:right w:val="nil"/>
            </w:tcBorders>
          </w:tcPr>
          <w:p w14:paraId="1D9E1580"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0.035</w:t>
            </w:r>
          </w:p>
        </w:tc>
        <w:tc>
          <w:tcPr>
            <w:tcW w:w="726" w:type="pct"/>
            <w:tcBorders>
              <w:top w:val="nil"/>
              <w:left w:val="nil"/>
              <w:bottom w:val="nil"/>
              <w:right w:val="nil"/>
            </w:tcBorders>
          </w:tcPr>
          <w:p w14:paraId="54AB93C2"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-4.24</w:t>
            </w:r>
          </w:p>
        </w:tc>
        <w:tc>
          <w:tcPr>
            <w:tcW w:w="448" w:type="pct"/>
            <w:tcBorders>
              <w:top w:val="nil"/>
              <w:left w:val="nil"/>
              <w:bottom w:val="nil"/>
              <w:right w:val="nil"/>
            </w:tcBorders>
          </w:tcPr>
          <w:p w14:paraId="55506586"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-0.124</w:t>
            </w:r>
          </w:p>
        </w:tc>
        <w:tc>
          <w:tcPr>
            <w:tcW w:w="794" w:type="pct"/>
            <w:tcBorders>
              <w:top w:val="nil"/>
              <w:left w:val="nil"/>
              <w:bottom w:val="nil"/>
              <w:right w:val="nil"/>
            </w:tcBorders>
          </w:tcPr>
          <w:p w14:paraId="08539CAD"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-4.44</w:t>
            </w:r>
          </w:p>
        </w:tc>
        <w:tc>
          <w:tcPr>
            <w:tcW w:w="680" w:type="pct"/>
            <w:tcBorders>
              <w:top w:val="nil"/>
              <w:left w:val="nil"/>
              <w:bottom w:val="nil"/>
              <w:right w:val="nil"/>
            </w:tcBorders>
          </w:tcPr>
          <w:p w14:paraId="0AAE47E8"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0.568***</w:t>
            </w:r>
          </w:p>
        </w:tc>
        <w:tc>
          <w:tcPr>
            <w:tcW w:w="685" w:type="pct"/>
            <w:tcBorders>
              <w:top w:val="nil"/>
              <w:left w:val="nil"/>
              <w:bottom w:val="nil"/>
              <w:right w:val="nil"/>
            </w:tcBorders>
          </w:tcPr>
          <w:p w14:paraId="5B094574"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-1.20</w:t>
            </w:r>
          </w:p>
        </w:tc>
      </w:tr>
      <w:tr w:rsidR="00FA0384" w:rsidRPr="00B94FE7" w14:paraId="54A6B5E3" w14:textId="77777777" w:rsidTr="00B94FE7">
        <w:tc>
          <w:tcPr>
            <w:tcW w:w="1219" w:type="pct"/>
            <w:tcBorders>
              <w:top w:val="nil"/>
              <w:left w:val="nil"/>
              <w:bottom w:val="nil"/>
              <w:right w:val="nil"/>
            </w:tcBorders>
          </w:tcPr>
          <w:p w14:paraId="41081542"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 xml:space="preserve">  </w:t>
            </w:r>
          </w:p>
        </w:tc>
        <w:tc>
          <w:tcPr>
            <w:tcW w:w="448" w:type="pct"/>
            <w:tcBorders>
              <w:top w:val="nil"/>
              <w:left w:val="nil"/>
              <w:bottom w:val="nil"/>
              <w:right w:val="nil"/>
            </w:tcBorders>
          </w:tcPr>
          <w:p w14:paraId="6E2460B0"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(0.411)</w:t>
            </w:r>
          </w:p>
        </w:tc>
        <w:tc>
          <w:tcPr>
            <w:tcW w:w="726" w:type="pct"/>
            <w:tcBorders>
              <w:top w:val="nil"/>
              <w:left w:val="nil"/>
              <w:bottom w:val="nil"/>
              <w:right w:val="nil"/>
            </w:tcBorders>
          </w:tcPr>
          <w:p w14:paraId="049E265E"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(6.59)</w:t>
            </w:r>
          </w:p>
        </w:tc>
        <w:tc>
          <w:tcPr>
            <w:tcW w:w="448" w:type="pct"/>
            <w:tcBorders>
              <w:top w:val="nil"/>
              <w:left w:val="nil"/>
              <w:bottom w:val="nil"/>
              <w:right w:val="nil"/>
            </w:tcBorders>
          </w:tcPr>
          <w:p w14:paraId="4232A350"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(0.321)</w:t>
            </w:r>
          </w:p>
        </w:tc>
        <w:tc>
          <w:tcPr>
            <w:tcW w:w="794" w:type="pct"/>
            <w:tcBorders>
              <w:top w:val="nil"/>
              <w:left w:val="nil"/>
              <w:bottom w:val="nil"/>
              <w:right w:val="nil"/>
            </w:tcBorders>
          </w:tcPr>
          <w:p w14:paraId="2BB012A0"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(4.13)</w:t>
            </w:r>
          </w:p>
        </w:tc>
        <w:tc>
          <w:tcPr>
            <w:tcW w:w="680" w:type="pct"/>
            <w:tcBorders>
              <w:top w:val="nil"/>
              <w:left w:val="nil"/>
              <w:bottom w:val="nil"/>
              <w:right w:val="nil"/>
            </w:tcBorders>
          </w:tcPr>
          <w:p w14:paraId="1CC74072"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(0.209)</w:t>
            </w:r>
          </w:p>
        </w:tc>
        <w:tc>
          <w:tcPr>
            <w:tcW w:w="685" w:type="pct"/>
            <w:tcBorders>
              <w:top w:val="nil"/>
              <w:left w:val="nil"/>
              <w:bottom w:val="nil"/>
              <w:right w:val="nil"/>
            </w:tcBorders>
          </w:tcPr>
          <w:p w14:paraId="2300115C"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(0.827)</w:t>
            </w:r>
          </w:p>
        </w:tc>
      </w:tr>
      <w:tr w:rsidR="00FA0384" w:rsidRPr="00B94FE7" w14:paraId="6F3B4DB9" w14:textId="77777777" w:rsidTr="00B94FE7">
        <w:tc>
          <w:tcPr>
            <w:tcW w:w="1219" w:type="pct"/>
            <w:tcBorders>
              <w:top w:val="nil"/>
              <w:left w:val="nil"/>
              <w:bottom w:val="nil"/>
              <w:right w:val="nil"/>
            </w:tcBorders>
          </w:tcPr>
          <w:p w14:paraId="1A9C9989"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CPAD (t-1) (100s)</w:t>
            </w:r>
          </w:p>
        </w:tc>
        <w:tc>
          <w:tcPr>
            <w:tcW w:w="448" w:type="pct"/>
            <w:tcBorders>
              <w:top w:val="nil"/>
              <w:left w:val="nil"/>
              <w:bottom w:val="nil"/>
              <w:right w:val="nil"/>
            </w:tcBorders>
          </w:tcPr>
          <w:p w14:paraId="04BAEEF8"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0.188</w:t>
            </w:r>
          </w:p>
        </w:tc>
        <w:tc>
          <w:tcPr>
            <w:tcW w:w="726" w:type="pct"/>
            <w:tcBorders>
              <w:top w:val="nil"/>
              <w:left w:val="nil"/>
              <w:bottom w:val="nil"/>
              <w:right w:val="nil"/>
            </w:tcBorders>
          </w:tcPr>
          <w:p w14:paraId="126E5D8A"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1.43</w:t>
            </w:r>
          </w:p>
        </w:tc>
        <w:tc>
          <w:tcPr>
            <w:tcW w:w="448" w:type="pct"/>
            <w:tcBorders>
              <w:top w:val="nil"/>
              <w:left w:val="nil"/>
              <w:bottom w:val="nil"/>
              <w:right w:val="nil"/>
            </w:tcBorders>
          </w:tcPr>
          <w:p w14:paraId="2F072883"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-0.457**</w:t>
            </w:r>
          </w:p>
        </w:tc>
        <w:tc>
          <w:tcPr>
            <w:tcW w:w="794" w:type="pct"/>
            <w:tcBorders>
              <w:top w:val="nil"/>
              <w:left w:val="nil"/>
              <w:bottom w:val="nil"/>
              <w:right w:val="nil"/>
            </w:tcBorders>
          </w:tcPr>
          <w:p w14:paraId="40A9F7F7"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2.12</w:t>
            </w:r>
          </w:p>
        </w:tc>
        <w:tc>
          <w:tcPr>
            <w:tcW w:w="680" w:type="pct"/>
            <w:tcBorders>
              <w:top w:val="nil"/>
              <w:left w:val="nil"/>
              <w:bottom w:val="nil"/>
              <w:right w:val="nil"/>
            </w:tcBorders>
          </w:tcPr>
          <w:p w14:paraId="539A986B"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-0.003</w:t>
            </w:r>
          </w:p>
        </w:tc>
        <w:tc>
          <w:tcPr>
            <w:tcW w:w="685" w:type="pct"/>
            <w:tcBorders>
              <w:top w:val="nil"/>
              <w:left w:val="nil"/>
              <w:bottom w:val="nil"/>
              <w:right w:val="nil"/>
            </w:tcBorders>
          </w:tcPr>
          <w:p w14:paraId="6CD62AF8"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0.233</w:t>
            </w:r>
          </w:p>
        </w:tc>
      </w:tr>
      <w:tr w:rsidR="00FA0384" w:rsidRPr="00B94FE7" w14:paraId="55987FFD" w14:textId="77777777" w:rsidTr="00B94FE7">
        <w:tc>
          <w:tcPr>
            <w:tcW w:w="1219" w:type="pct"/>
            <w:tcBorders>
              <w:top w:val="nil"/>
              <w:left w:val="nil"/>
              <w:bottom w:val="nil"/>
              <w:right w:val="nil"/>
            </w:tcBorders>
          </w:tcPr>
          <w:p w14:paraId="5121A61F"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 xml:space="preserve">  </w:t>
            </w:r>
          </w:p>
        </w:tc>
        <w:tc>
          <w:tcPr>
            <w:tcW w:w="448" w:type="pct"/>
            <w:tcBorders>
              <w:top w:val="nil"/>
              <w:left w:val="nil"/>
              <w:bottom w:val="nil"/>
              <w:right w:val="nil"/>
            </w:tcBorders>
          </w:tcPr>
          <w:p w14:paraId="12EECD1B"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(0.270)</w:t>
            </w:r>
          </w:p>
        </w:tc>
        <w:tc>
          <w:tcPr>
            <w:tcW w:w="726" w:type="pct"/>
            <w:tcBorders>
              <w:top w:val="nil"/>
              <w:left w:val="nil"/>
              <w:bottom w:val="nil"/>
              <w:right w:val="nil"/>
            </w:tcBorders>
          </w:tcPr>
          <w:p w14:paraId="6E3F301D"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(2.59)</w:t>
            </w:r>
          </w:p>
        </w:tc>
        <w:tc>
          <w:tcPr>
            <w:tcW w:w="448" w:type="pct"/>
            <w:tcBorders>
              <w:top w:val="nil"/>
              <w:left w:val="nil"/>
              <w:bottom w:val="nil"/>
              <w:right w:val="nil"/>
            </w:tcBorders>
          </w:tcPr>
          <w:p w14:paraId="0925C84B"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(0.206)</w:t>
            </w:r>
          </w:p>
        </w:tc>
        <w:tc>
          <w:tcPr>
            <w:tcW w:w="794" w:type="pct"/>
            <w:tcBorders>
              <w:top w:val="nil"/>
              <w:left w:val="nil"/>
              <w:bottom w:val="nil"/>
              <w:right w:val="nil"/>
            </w:tcBorders>
          </w:tcPr>
          <w:p w14:paraId="09818D30"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(4.17)</w:t>
            </w:r>
          </w:p>
        </w:tc>
        <w:tc>
          <w:tcPr>
            <w:tcW w:w="680" w:type="pct"/>
            <w:tcBorders>
              <w:top w:val="nil"/>
              <w:left w:val="nil"/>
              <w:bottom w:val="nil"/>
              <w:right w:val="nil"/>
            </w:tcBorders>
          </w:tcPr>
          <w:p w14:paraId="4A1216CB"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(0.122)</w:t>
            </w:r>
          </w:p>
        </w:tc>
        <w:tc>
          <w:tcPr>
            <w:tcW w:w="685" w:type="pct"/>
            <w:tcBorders>
              <w:top w:val="nil"/>
              <w:left w:val="nil"/>
              <w:bottom w:val="nil"/>
              <w:right w:val="nil"/>
            </w:tcBorders>
          </w:tcPr>
          <w:p w14:paraId="330157F7"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(0.397)</w:t>
            </w:r>
          </w:p>
        </w:tc>
      </w:tr>
      <w:tr w:rsidR="00FA0384" w:rsidRPr="00B94FE7" w14:paraId="5B9F101E" w14:textId="77777777" w:rsidTr="00B94FE7">
        <w:tc>
          <w:tcPr>
            <w:tcW w:w="1219" w:type="pct"/>
            <w:tcBorders>
              <w:top w:val="nil"/>
              <w:left w:val="nil"/>
              <w:bottom w:val="nil"/>
              <w:right w:val="nil"/>
            </w:tcBorders>
          </w:tcPr>
          <w:p w14:paraId="5672DDE8"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Housing Price Index (100s)</w:t>
            </w:r>
          </w:p>
        </w:tc>
        <w:tc>
          <w:tcPr>
            <w:tcW w:w="448" w:type="pct"/>
            <w:tcBorders>
              <w:top w:val="nil"/>
              <w:left w:val="nil"/>
              <w:bottom w:val="nil"/>
              <w:right w:val="nil"/>
            </w:tcBorders>
          </w:tcPr>
          <w:p w14:paraId="0FB7F4B0" w14:textId="06A10B41"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-0.069**</w:t>
            </w:r>
          </w:p>
        </w:tc>
        <w:tc>
          <w:tcPr>
            <w:tcW w:w="726" w:type="pct"/>
            <w:tcBorders>
              <w:top w:val="nil"/>
              <w:left w:val="nil"/>
              <w:bottom w:val="nil"/>
              <w:right w:val="nil"/>
            </w:tcBorders>
          </w:tcPr>
          <w:p w14:paraId="1F32AA87"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-0.143</w:t>
            </w:r>
          </w:p>
        </w:tc>
        <w:tc>
          <w:tcPr>
            <w:tcW w:w="448" w:type="pct"/>
            <w:tcBorders>
              <w:top w:val="nil"/>
              <w:left w:val="nil"/>
              <w:bottom w:val="nil"/>
              <w:right w:val="nil"/>
            </w:tcBorders>
          </w:tcPr>
          <w:p w14:paraId="75C4C56C" w14:textId="6B3962AD"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-0.054**</w:t>
            </w:r>
          </w:p>
        </w:tc>
        <w:tc>
          <w:tcPr>
            <w:tcW w:w="794" w:type="pct"/>
            <w:tcBorders>
              <w:top w:val="nil"/>
              <w:left w:val="nil"/>
              <w:bottom w:val="nil"/>
              <w:right w:val="nil"/>
            </w:tcBorders>
          </w:tcPr>
          <w:p w14:paraId="18D6ABE9"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-0.122</w:t>
            </w:r>
          </w:p>
        </w:tc>
        <w:tc>
          <w:tcPr>
            <w:tcW w:w="680" w:type="pct"/>
            <w:tcBorders>
              <w:top w:val="nil"/>
              <w:left w:val="nil"/>
              <w:bottom w:val="nil"/>
              <w:right w:val="nil"/>
            </w:tcBorders>
          </w:tcPr>
          <w:p w14:paraId="7E8DBDDE"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-0.001</w:t>
            </w:r>
          </w:p>
        </w:tc>
        <w:tc>
          <w:tcPr>
            <w:tcW w:w="685" w:type="pct"/>
            <w:tcBorders>
              <w:top w:val="nil"/>
              <w:left w:val="nil"/>
              <w:bottom w:val="nil"/>
              <w:right w:val="nil"/>
            </w:tcBorders>
          </w:tcPr>
          <w:p w14:paraId="1EB9DEA5"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-0.071***</w:t>
            </w:r>
          </w:p>
        </w:tc>
      </w:tr>
      <w:tr w:rsidR="00FA0384" w:rsidRPr="00B94FE7" w14:paraId="1FE4FE1D" w14:textId="77777777" w:rsidTr="00B94FE7">
        <w:tc>
          <w:tcPr>
            <w:tcW w:w="1219" w:type="pct"/>
            <w:tcBorders>
              <w:top w:val="nil"/>
              <w:left w:val="nil"/>
              <w:bottom w:val="nil"/>
              <w:right w:val="nil"/>
            </w:tcBorders>
          </w:tcPr>
          <w:p w14:paraId="003A473D"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 xml:space="preserve">  </w:t>
            </w:r>
          </w:p>
        </w:tc>
        <w:tc>
          <w:tcPr>
            <w:tcW w:w="448" w:type="pct"/>
            <w:tcBorders>
              <w:top w:val="nil"/>
              <w:left w:val="nil"/>
              <w:bottom w:val="nil"/>
              <w:right w:val="nil"/>
            </w:tcBorders>
          </w:tcPr>
          <w:p w14:paraId="56CB97B2"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(0.019)</w:t>
            </w:r>
          </w:p>
        </w:tc>
        <w:tc>
          <w:tcPr>
            <w:tcW w:w="726" w:type="pct"/>
            <w:tcBorders>
              <w:top w:val="nil"/>
              <w:left w:val="nil"/>
              <w:bottom w:val="nil"/>
              <w:right w:val="nil"/>
            </w:tcBorders>
          </w:tcPr>
          <w:p w14:paraId="5B876BC5"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(0.213)</w:t>
            </w:r>
          </w:p>
        </w:tc>
        <w:tc>
          <w:tcPr>
            <w:tcW w:w="448" w:type="pct"/>
            <w:tcBorders>
              <w:top w:val="nil"/>
              <w:left w:val="nil"/>
              <w:bottom w:val="nil"/>
              <w:right w:val="nil"/>
            </w:tcBorders>
          </w:tcPr>
          <w:p w14:paraId="753E4033"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(0.013)</w:t>
            </w:r>
          </w:p>
        </w:tc>
        <w:tc>
          <w:tcPr>
            <w:tcW w:w="794" w:type="pct"/>
            <w:tcBorders>
              <w:top w:val="nil"/>
              <w:left w:val="nil"/>
              <w:bottom w:val="nil"/>
              <w:right w:val="nil"/>
            </w:tcBorders>
          </w:tcPr>
          <w:p w14:paraId="7031EA59"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(0.173)</w:t>
            </w:r>
          </w:p>
        </w:tc>
        <w:tc>
          <w:tcPr>
            <w:tcW w:w="680" w:type="pct"/>
            <w:tcBorders>
              <w:top w:val="nil"/>
              <w:left w:val="nil"/>
              <w:bottom w:val="nil"/>
              <w:right w:val="nil"/>
            </w:tcBorders>
          </w:tcPr>
          <w:p w14:paraId="45F8420E"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(0.010)</w:t>
            </w:r>
          </w:p>
        </w:tc>
        <w:tc>
          <w:tcPr>
            <w:tcW w:w="685" w:type="pct"/>
            <w:tcBorders>
              <w:top w:val="nil"/>
              <w:left w:val="nil"/>
              <w:bottom w:val="nil"/>
              <w:right w:val="nil"/>
            </w:tcBorders>
          </w:tcPr>
          <w:p w14:paraId="600AF850"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(0.026)</w:t>
            </w:r>
          </w:p>
        </w:tc>
      </w:tr>
      <w:tr w:rsidR="00FA0384" w:rsidRPr="00B94FE7" w14:paraId="01B90BD6" w14:textId="77777777" w:rsidTr="00B94FE7">
        <w:tc>
          <w:tcPr>
            <w:tcW w:w="1219" w:type="pct"/>
            <w:tcBorders>
              <w:top w:val="nil"/>
              <w:left w:val="nil"/>
              <w:bottom w:val="nil"/>
              <w:right w:val="nil"/>
            </w:tcBorders>
          </w:tcPr>
          <w:p w14:paraId="2EF56B57"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Poverty rate (100s)</w:t>
            </w:r>
          </w:p>
        </w:tc>
        <w:tc>
          <w:tcPr>
            <w:tcW w:w="448" w:type="pct"/>
            <w:tcBorders>
              <w:top w:val="nil"/>
              <w:left w:val="nil"/>
              <w:bottom w:val="nil"/>
              <w:right w:val="nil"/>
            </w:tcBorders>
          </w:tcPr>
          <w:p w14:paraId="1823A30D"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-0.435</w:t>
            </w:r>
          </w:p>
        </w:tc>
        <w:tc>
          <w:tcPr>
            <w:tcW w:w="726" w:type="pct"/>
            <w:tcBorders>
              <w:top w:val="nil"/>
              <w:left w:val="nil"/>
              <w:bottom w:val="nil"/>
              <w:right w:val="nil"/>
            </w:tcBorders>
          </w:tcPr>
          <w:p w14:paraId="2A32F746"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-37.6**</w:t>
            </w:r>
          </w:p>
        </w:tc>
        <w:tc>
          <w:tcPr>
            <w:tcW w:w="448" w:type="pct"/>
            <w:tcBorders>
              <w:top w:val="nil"/>
              <w:left w:val="nil"/>
              <w:bottom w:val="nil"/>
              <w:right w:val="nil"/>
            </w:tcBorders>
          </w:tcPr>
          <w:p w14:paraId="00451233"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0.611</w:t>
            </w:r>
          </w:p>
        </w:tc>
        <w:tc>
          <w:tcPr>
            <w:tcW w:w="794" w:type="pct"/>
            <w:tcBorders>
              <w:top w:val="nil"/>
              <w:left w:val="nil"/>
              <w:bottom w:val="nil"/>
              <w:right w:val="nil"/>
            </w:tcBorders>
          </w:tcPr>
          <w:p w14:paraId="74D7D2DD"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3.72</w:t>
            </w:r>
          </w:p>
        </w:tc>
        <w:tc>
          <w:tcPr>
            <w:tcW w:w="680" w:type="pct"/>
            <w:tcBorders>
              <w:top w:val="nil"/>
              <w:left w:val="nil"/>
              <w:bottom w:val="nil"/>
              <w:right w:val="nil"/>
            </w:tcBorders>
          </w:tcPr>
          <w:p w14:paraId="16C16C2A"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-0.603</w:t>
            </w:r>
          </w:p>
        </w:tc>
        <w:tc>
          <w:tcPr>
            <w:tcW w:w="685" w:type="pct"/>
            <w:tcBorders>
              <w:top w:val="nil"/>
              <w:left w:val="nil"/>
              <w:bottom w:val="nil"/>
              <w:right w:val="nil"/>
            </w:tcBorders>
          </w:tcPr>
          <w:p w14:paraId="155F3D22"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1.89</w:t>
            </w:r>
          </w:p>
        </w:tc>
      </w:tr>
      <w:tr w:rsidR="00FA0384" w:rsidRPr="00B94FE7" w14:paraId="65AD6DF6" w14:textId="77777777" w:rsidTr="00B94FE7">
        <w:tc>
          <w:tcPr>
            <w:tcW w:w="1219" w:type="pct"/>
            <w:tcBorders>
              <w:top w:val="nil"/>
              <w:left w:val="nil"/>
              <w:bottom w:val="nil"/>
              <w:right w:val="nil"/>
            </w:tcBorders>
          </w:tcPr>
          <w:p w14:paraId="3307B2FC"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 xml:space="preserve">  </w:t>
            </w:r>
          </w:p>
        </w:tc>
        <w:tc>
          <w:tcPr>
            <w:tcW w:w="448" w:type="pct"/>
            <w:tcBorders>
              <w:top w:val="nil"/>
              <w:left w:val="nil"/>
              <w:bottom w:val="nil"/>
              <w:right w:val="nil"/>
            </w:tcBorders>
          </w:tcPr>
          <w:p w14:paraId="496A47C3"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(1.13)</w:t>
            </w:r>
          </w:p>
        </w:tc>
        <w:tc>
          <w:tcPr>
            <w:tcW w:w="726" w:type="pct"/>
            <w:tcBorders>
              <w:top w:val="nil"/>
              <w:left w:val="nil"/>
              <w:bottom w:val="nil"/>
              <w:right w:val="nil"/>
            </w:tcBorders>
          </w:tcPr>
          <w:p w14:paraId="0D4FE8FF"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(15.3)</w:t>
            </w:r>
          </w:p>
        </w:tc>
        <w:tc>
          <w:tcPr>
            <w:tcW w:w="448" w:type="pct"/>
            <w:tcBorders>
              <w:top w:val="nil"/>
              <w:left w:val="nil"/>
              <w:bottom w:val="nil"/>
              <w:right w:val="nil"/>
            </w:tcBorders>
          </w:tcPr>
          <w:p w14:paraId="4DAA3A5B"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(0.799)</w:t>
            </w:r>
          </w:p>
        </w:tc>
        <w:tc>
          <w:tcPr>
            <w:tcW w:w="794" w:type="pct"/>
            <w:tcBorders>
              <w:top w:val="nil"/>
              <w:left w:val="nil"/>
              <w:bottom w:val="nil"/>
              <w:right w:val="nil"/>
            </w:tcBorders>
          </w:tcPr>
          <w:p w14:paraId="168D85FC"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(11.9)</w:t>
            </w:r>
          </w:p>
        </w:tc>
        <w:tc>
          <w:tcPr>
            <w:tcW w:w="680" w:type="pct"/>
            <w:tcBorders>
              <w:top w:val="nil"/>
              <w:left w:val="nil"/>
              <w:bottom w:val="nil"/>
              <w:right w:val="nil"/>
            </w:tcBorders>
          </w:tcPr>
          <w:p w14:paraId="4E59CE9E"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(0.525)</w:t>
            </w:r>
          </w:p>
        </w:tc>
        <w:tc>
          <w:tcPr>
            <w:tcW w:w="685" w:type="pct"/>
            <w:tcBorders>
              <w:top w:val="nil"/>
              <w:left w:val="nil"/>
              <w:bottom w:val="nil"/>
              <w:right w:val="nil"/>
            </w:tcBorders>
          </w:tcPr>
          <w:p w14:paraId="66585478"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(2.84)</w:t>
            </w:r>
          </w:p>
        </w:tc>
      </w:tr>
      <w:tr w:rsidR="00FA0384" w:rsidRPr="00B94FE7" w14:paraId="3F8A9FD7" w14:textId="77777777" w:rsidTr="00B94FE7">
        <w:tc>
          <w:tcPr>
            <w:tcW w:w="1219" w:type="pct"/>
            <w:tcBorders>
              <w:top w:val="nil"/>
              <w:left w:val="nil"/>
              <w:bottom w:val="nil"/>
              <w:right w:val="nil"/>
            </w:tcBorders>
          </w:tcPr>
          <w:p w14:paraId="4960658F"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Median HH Income (100ks)</w:t>
            </w:r>
          </w:p>
        </w:tc>
        <w:tc>
          <w:tcPr>
            <w:tcW w:w="448" w:type="pct"/>
            <w:tcBorders>
              <w:top w:val="nil"/>
              <w:left w:val="nil"/>
              <w:bottom w:val="nil"/>
              <w:right w:val="nil"/>
            </w:tcBorders>
          </w:tcPr>
          <w:p w14:paraId="12250E12"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1.86***</w:t>
            </w:r>
          </w:p>
        </w:tc>
        <w:tc>
          <w:tcPr>
            <w:tcW w:w="726" w:type="pct"/>
            <w:tcBorders>
              <w:top w:val="nil"/>
              <w:left w:val="nil"/>
              <w:bottom w:val="nil"/>
              <w:right w:val="nil"/>
            </w:tcBorders>
          </w:tcPr>
          <w:p w14:paraId="32998A54"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0.126</w:t>
            </w:r>
          </w:p>
        </w:tc>
        <w:tc>
          <w:tcPr>
            <w:tcW w:w="448" w:type="pct"/>
            <w:tcBorders>
              <w:top w:val="nil"/>
              <w:left w:val="nil"/>
              <w:bottom w:val="nil"/>
              <w:right w:val="nil"/>
            </w:tcBorders>
          </w:tcPr>
          <w:p w14:paraId="475C7E6C"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0.548*</w:t>
            </w:r>
          </w:p>
        </w:tc>
        <w:tc>
          <w:tcPr>
            <w:tcW w:w="794" w:type="pct"/>
            <w:tcBorders>
              <w:top w:val="nil"/>
              <w:left w:val="nil"/>
              <w:bottom w:val="nil"/>
              <w:right w:val="nil"/>
            </w:tcBorders>
          </w:tcPr>
          <w:p w14:paraId="426AE122"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5.58</w:t>
            </w:r>
          </w:p>
        </w:tc>
        <w:tc>
          <w:tcPr>
            <w:tcW w:w="680" w:type="pct"/>
            <w:tcBorders>
              <w:top w:val="nil"/>
              <w:left w:val="nil"/>
              <w:bottom w:val="nil"/>
              <w:right w:val="nil"/>
            </w:tcBorders>
          </w:tcPr>
          <w:p w14:paraId="194B9E69"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0.063</w:t>
            </w:r>
          </w:p>
        </w:tc>
        <w:tc>
          <w:tcPr>
            <w:tcW w:w="685" w:type="pct"/>
            <w:tcBorders>
              <w:top w:val="nil"/>
              <w:left w:val="nil"/>
              <w:bottom w:val="nil"/>
              <w:right w:val="nil"/>
            </w:tcBorders>
          </w:tcPr>
          <w:p w14:paraId="0508D972"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2.16***</w:t>
            </w:r>
          </w:p>
        </w:tc>
      </w:tr>
      <w:tr w:rsidR="00FA0384" w:rsidRPr="00B94FE7" w14:paraId="54DD03AB" w14:textId="77777777" w:rsidTr="00B94FE7">
        <w:tc>
          <w:tcPr>
            <w:tcW w:w="1219" w:type="pct"/>
            <w:tcBorders>
              <w:top w:val="nil"/>
              <w:left w:val="nil"/>
              <w:bottom w:val="nil"/>
              <w:right w:val="nil"/>
            </w:tcBorders>
          </w:tcPr>
          <w:p w14:paraId="4422C223"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 xml:space="preserve">  </w:t>
            </w:r>
          </w:p>
        </w:tc>
        <w:tc>
          <w:tcPr>
            <w:tcW w:w="448" w:type="pct"/>
            <w:tcBorders>
              <w:top w:val="nil"/>
              <w:left w:val="nil"/>
              <w:bottom w:val="nil"/>
              <w:right w:val="nil"/>
            </w:tcBorders>
          </w:tcPr>
          <w:p w14:paraId="047E9A0D"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(0.497)</w:t>
            </w:r>
          </w:p>
        </w:tc>
        <w:tc>
          <w:tcPr>
            <w:tcW w:w="726" w:type="pct"/>
            <w:tcBorders>
              <w:top w:val="nil"/>
              <w:left w:val="nil"/>
              <w:bottom w:val="nil"/>
              <w:right w:val="nil"/>
            </w:tcBorders>
          </w:tcPr>
          <w:p w14:paraId="07E89654"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(5.68)</w:t>
            </w:r>
          </w:p>
        </w:tc>
        <w:tc>
          <w:tcPr>
            <w:tcW w:w="448" w:type="pct"/>
            <w:tcBorders>
              <w:top w:val="nil"/>
              <w:left w:val="nil"/>
              <w:bottom w:val="nil"/>
              <w:right w:val="nil"/>
            </w:tcBorders>
          </w:tcPr>
          <w:p w14:paraId="00DBD170"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(0.309)</w:t>
            </w:r>
          </w:p>
        </w:tc>
        <w:tc>
          <w:tcPr>
            <w:tcW w:w="794" w:type="pct"/>
            <w:tcBorders>
              <w:top w:val="nil"/>
              <w:left w:val="nil"/>
              <w:bottom w:val="nil"/>
              <w:right w:val="nil"/>
            </w:tcBorders>
          </w:tcPr>
          <w:p w14:paraId="0BFE5CA7"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(4.39)</w:t>
            </w:r>
          </w:p>
        </w:tc>
        <w:tc>
          <w:tcPr>
            <w:tcW w:w="680" w:type="pct"/>
            <w:tcBorders>
              <w:top w:val="nil"/>
              <w:left w:val="nil"/>
              <w:bottom w:val="nil"/>
              <w:right w:val="nil"/>
            </w:tcBorders>
          </w:tcPr>
          <w:p w14:paraId="38353787"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(0.260)</w:t>
            </w:r>
          </w:p>
        </w:tc>
        <w:tc>
          <w:tcPr>
            <w:tcW w:w="685" w:type="pct"/>
            <w:tcBorders>
              <w:top w:val="nil"/>
              <w:left w:val="nil"/>
              <w:bottom w:val="nil"/>
              <w:right w:val="nil"/>
            </w:tcBorders>
          </w:tcPr>
          <w:p w14:paraId="6CA0189C"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(0.701)</w:t>
            </w:r>
          </w:p>
        </w:tc>
      </w:tr>
      <w:tr w:rsidR="00FA0384" w:rsidRPr="00B94FE7" w14:paraId="31426097" w14:textId="77777777" w:rsidTr="00B94FE7">
        <w:tc>
          <w:tcPr>
            <w:tcW w:w="1219" w:type="pct"/>
            <w:tcBorders>
              <w:top w:val="nil"/>
              <w:left w:val="nil"/>
              <w:bottom w:val="nil"/>
              <w:right w:val="nil"/>
            </w:tcBorders>
          </w:tcPr>
          <w:p w14:paraId="3DE29FA6"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O3-Attainment Status (t-1)</w:t>
            </w:r>
          </w:p>
        </w:tc>
        <w:tc>
          <w:tcPr>
            <w:tcW w:w="448" w:type="pct"/>
            <w:tcBorders>
              <w:top w:val="nil"/>
              <w:left w:val="nil"/>
              <w:bottom w:val="nil"/>
              <w:right w:val="nil"/>
            </w:tcBorders>
          </w:tcPr>
          <w:p w14:paraId="3A1365B1"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0.022</w:t>
            </w:r>
          </w:p>
        </w:tc>
        <w:tc>
          <w:tcPr>
            <w:tcW w:w="726" w:type="pct"/>
            <w:tcBorders>
              <w:top w:val="nil"/>
              <w:left w:val="nil"/>
              <w:bottom w:val="nil"/>
              <w:right w:val="nil"/>
            </w:tcBorders>
          </w:tcPr>
          <w:p w14:paraId="15310E98"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0.258</w:t>
            </w:r>
          </w:p>
        </w:tc>
        <w:tc>
          <w:tcPr>
            <w:tcW w:w="448" w:type="pct"/>
            <w:tcBorders>
              <w:top w:val="nil"/>
              <w:left w:val="nil"/>
              <w:bottom w:val="nil"/>
              <w:right w:val="nil"/>
            </w:tcBorders>
          </w:tcPr>
          <w:p w14:paraId="1609A826"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0.005</w:t>
            </w:r>
          </w:p>
        </w:tc>
        <w:tc>
          <w:tcPr>
            <w:tcW w:w="794" w:type="pct"/>
            <w:tcBorders>
              <w:top w:val="nil"/>
              <w:left w:val="nil"/>
              <w:bottom w:val="nil"/>
              <w:right w:val="nil"/>
            </w:tcBorders>
          </w:tcPr>
          <w:p w14:paraId="0B8485DC"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-0.049</w:t>
            </w:r>
          </w:p>
        </w:tc>
        <w:tc>
          <w:tcPr>
            <w:tcW w:w="680" w:type="pct"/>
            <w:tcBorders>
              <w:top w:val="nil"/>
              <w:left w:val="nil"/>
              <w:bottom w:val="nil"/>
              <w:right w:val="nil"/>
            </w:tcBorders>
          </w:tcPr>
          <w:p w14:paraId="76100A68"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-0.019</w:t>
            </w:r>
          </w:p>
        </w:tc>
        <w:tc>
          <w:tcPr>
            <w:tcW w:w="685" w:type="pct"/>
            <w:tcBorders>
              <w:top w:val="nil"/>
              <w:left w:val="nil"/>
              <w:bottom w:val="nil"/>
              <w:right w:val="nil"/>
            </w:tcBorders>
          </w:tcPr>
          <w:p w14:paraId="606C2E8A"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-0.052</w:t>
            </w:r>
          </w:p>
        </w:tc>
      </w:tr>
      <w:tr w:rsidR="00FA0384" w:rsidRPr="00B94FE7" w14:paraId="77358C9E" w14:textId="77777777" w:rsidTr="00B94FE7">
        <w:tc>
          <w:tcPr>
            <w:tcW w:w="1219" w:type="pct"/>
            <w:tcBorders>
              <w:top w:val="nil"/>
              <w:left w:val="nil"/>
              <w:bottom w:val="nil"/>
              <w:right w:val="nil"/>
            </w:tcBorders>
          </w:tcPr>
          <w:p w14:paraId="5A804F61"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 xml:space="preserve">  </w:t>
            </w:r>
          </w:p>
        </w:tc>
        <w:tc>
          <w:tcPr>
            <w:tcW w:w="448" w:type="pct"/>
            <w:tcBorders>
              <w:top w:val="nil"/>
              <w:left w:val="nil"/>
              <w:bottom w:val="nil"/>
              <w:right w:val="nil"/>
            </w:tcBorders>
          </w:tcPr>
          <w:p w14:paraId="077223DE"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(0.057)</w:t>
            </w:r>
          </w:p>
        </w:tc>
        <w:tc>
          <w:tcPr>
            <w:tcW w:w="726" w:type="pct"/>
            <w:tcBorders>
              <w:top w:val="nil"/>
              <w:left w:val="nil"/>
              <w:bottom w:val="nil"/>
              <w:right w:val="nil"/>
            </w:tcBorders>
          </w:tcPr>
          <w:p w14:paraId="40D6B724"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(0.408)</w:t>
            </w:r>
          </w:p>
        </w:tc>
        <w:tc>
          <w:tcPr>
            <w:tcW w:w="448" w:type="pct"/>
            <w:tcBorders>
              <w:top w:val="nil"/>
              <w:left w:val="nil"/>
              <w:bottom w:val="nil"/>
              <w:right w:val="nil"/>
            </w:tcBorders>
          </w:tcPr>
          <w:p w14:paraId="083CC276"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(0.051)</w:t>
            </w:r>
          </w:p>
        </w:tc>
        <w:tc>
          <w:tcPr>
            <w:tcW w:w="794" w:type="pct"/>
            <w:tcBorders>
              <w:top w:val="nil"/>
              <w:left w:val="nil"/>
              <w:bottom w:val="nil"/>
              <w:right w:val="nil"/>
            </w:tcBorders>
          </w:tcPr>
          <w:p w14:paraId="1DFCEF4D"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(0.271)</w:t>
            </w:r>
          </w:p>
        </w:tc>
        <w:tc>
          <w:tcPr>
            <w:tcW w:w="680" w:type="pct"/>
            <w:tcBorders>
              <w:top w:val="nil"/>
              <w:left w:val="nil"/>
              <w:bottom w:val="nil"/>
              <w:right w:val="nil"/>
            </w:tcBorders>
          </w:tcPr>
          <w:p w14:paraId="0B752CED"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(0.027)</w:t>
            </w:r>
          </w:p>
        </w:tc>
        <w:tc>
          <w:tcPr>
            <w:tcW w:w="685" w:type="pct"/>
            <w:tcBorders>
              <w:top w:val="nil"/>
              <w:left w:val="nil"/>
              <w:bottom w:val="nil"/>
              <w:right w:val="nil"/>
            </w:tcBorders>
          </w:tcPr>
          <w:p w14:paraId="29492C4F"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(0.112)</w:t>
            </w:r>
          </w:p>
        </w:tc>
      </w:tr>
      <w:tr w:rsidR="00FA0384" w:rsidRPr="00B94FE7" w14:paraId="6508DFF2" w14:textId="77777777" w:rsidTr="00B94FE7">
        <w:tc>
          <w:tcPr>
            <w:tcW w:w="1219" w:type="pct"/>
            <w:tcBorders>
              <w:top w:val="nil"/>
              <w:left w:val="nil"/>
              <w:bottom w:val="nil"/>
              <w:right w:val="nil"/>
            </w:tcBorders>
          </w:tcPr>
          <w:p w14:paraId="5C6072E5"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PM-Attainment Status (t-1)</w:t>
            </w:r>
          </w:p>
        </w:tc>
        <w:tc>
          <w:tcPr>
            <w:tcW w:w="448" w:type="pct"/>
            <w:tcBorders>
              <w:top w:val="nil"/>
              <w:left w:val="nil"/>
              <w:bottom w:val="nil"/>
              <w:right w:val="nil"/>
            </w:tcBorders>
          </w:tcPr>
          <w:p w14:paraId="7B24B1CD"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0.064*</w:t>
            </w:r>
          </w:p>
        </w:tc>
        <w:tc>
          <w:tcPr>
            <w:tcW w:w="726" w:type="pct"/>
            <w:tcBorders>
              <w:top w:val="nil"/>
              <w:left w:val="nil"/>
              <w:bottom w:val="nil"/>
              <w:right w:val="nil"/>
            </w:tcBorders>
          </w:tcPr>
          <w:p w14:paraId="49C5F3EB"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-0.750*</w:t>
            </w:r>
          </w:p>
        </w:tc>
        <w:tc>
          <w:tcPr>
            <w:tcW w:w="448" w:type="pct"/>
            <w:tcBorders>
              <w:top w:val="nil"/>
              <w:left w:val="nil"/>
              <w:bottom w:val="nil"/>
              <w:right w:val="nil"/>
            </w:tcBorders>
          </w:tcPr>
          <w:p w14:paraId="4A2B4E52"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0.022</w:t>
            </w:r>
          </w:p>
        </w:tc>
        <w:tc>
          <w:tcPr>
            <w:tcW w:w="794" w:type="pct"/>
            <w:tcBorders>
              <w:top w:val="nil"/>
              <w:left w:val="nil"/>
              <w:bottom w:val="nil"/>
              <w:right w:val="nil"/>
            </w:tcBorders>
          </w:tcPr>
          <w:p w14:paraId="7A68725B"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-0.270</w:t>
            </w:r>
          </w:p>
        </w:tc>
        <w:tc>
          <w:tcPr>
            <w:tcW w:w="680" w:type="pct"/>
            <w:tcBorders>
              <w:top w:val="nil"/>
              <w:left w:val="nil"/>
              <w:bottom w:val="nil"/>
              <w:right w:val="nil"/>
            </w:tcBorders>
          </w:tcPr>
          <w:p w14:paraId="13F813B5"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-0.038**</w:t>
            </w:r>
          </w:p>
        </w:tc>
        <w:tc>
          <w:tcPr>
            <w:tcW w:w="685" w:type="pct"/>
            <w:tcBorders>
              <w:top w:val="nil"/>
              <w:left w:val="nil"/>
              <w:bottom w:val="nil"/>
              <w:right w:val="nil"/>
            </w:tcBorders>
          </w:tcPr>
          <w:p w14:paraId="2F18C9F7"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-0.192</w:t>
            </w:r>
          </w:p>
        </w:tc>
      </w:tr>
      <w:tr w:rsidR="00FA0384" w:rsidRPr="00B94FE7" w14:paraId="15DB0766" w14:textId="77777777" w:rsidTr="00B94FE7">
        <w:tc>
          <w:tcPr>
            <w:tcW w:w="1219" w:type="pct"/>
            <w:tcBorders>
              <w:top w:val="nil"/>
              <w:left w:val="nil"/>
              <w:bottom w:val="nil"/>
              <w:right w:val="nil"/>
            </w:tcBorders>
          </w:tcPr>
          <w:p w14:paraId="2084313D"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 xml:space="preserve">  </w:t>
            </w:r>
          </w:p>
        </w:tc>
        <w:tc>
          <w:tcPr>
            <w:tcW w:w="448" w:type="pct"/>
            <w:tcBorders>
              <w:top w:val="nil"/>
              <w:left w:val="nil"/>
              <w:bottom w:val="nil"/>
              <w:right w:val="nil"/>
            </w:tcBorders>
          </w:tcPr>
          <w:p w14:paraId="0A61C156"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(0.035)</w:t>
            </w:r>
          </w:p>
        </w:tc>
        <w:tc>
          <w:tcPr>
            <w:tcW w:w="726" w:type="pct"/>
            <w:tcBorders>
              <w:top w:val="nil"/>
              <w:left w:val="nil"/>
              <w:bottom w:val="nil"/>
              <w:right w:val="nil"/>
            </w:tcBorders>
          </w:tcPr>
          <w:p w14:paraId="6342C15A"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(0.424)</w:t>
            </w:r>
          </w:p>
        </w:tc>
        <w:tc>
          <w:tcPr>
            <w:tcW w:w="448" w:type="pct"/>
            <w:tcBorders>
              <w:top w:val="nil"/>
              <w:left w:val="nil"/>
              <w:bottom w:val="nil"/>
              <w:right w:val="nil"/>
            </w:tcBorders>
          </w:tcPr>
          <w:p w14:paraId="130093FB"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(0.025)</w:t>
            </w:r>
          </w:p>
        </w:tc>
        <w:tc>
          <w:tcPr>
            <w:tcW w:w="794" w:type="pct"/>
            <w:tcBorders>
              <w:top w:val="nil"/>
              <w:left w:val="nil"/>
              <w:bottom w:val="nil"/>
              <w:right w:val="nil"/>
            </w:tcBorders>
          </w:tcPr>
          <w:p w14:paraId="1839C872"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(0.392)</w:t>
            </w:r>
          </w:p>
        </w:tc>
        <w:tc>
          <w:tcPr>
            <w:tcW w:w="680" w:type="pct"/>
            <w:tcBorders>
              <w:top w:val="nil"/>
              <w:left w:val="nil"/>
              <w:bottom w:val="nil"/>
              <w:right w:val="nil"/>
            </w:tcBorders>
          </w:tcPr>
          <w:p w14:paraId="7BCB8318"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(0.016)</w:t>
            </w:r>
          </w:p>
        </w:tc>
        <w:tc>
          <w:tcPr>
            <w:tcW w:w="685" w:type="pct"/>
            <w:tcBorders>
              <w:top w:val="nil"/>
              <w:left w:val="nil"/>
              <w:bottom w:val="nil"/>
              <w:right w:val="nil"/>
            </w:tcBorders>
          </w:tcPr>
          <w:p w14:paraId="49712D13"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(0.121)</w:t>
            </w:r>
          </w:p>
        </w:tc>
      </w:tr>
      <w:tr w:rsidR="00FA0384" w:rsidRPr="00B94FE7" w14:paraId="10B766A5" w14:textId="77777777" w:rsidTr="00B94FE7">
        <w:tc>
          <w:tcPr>
            <w:tcW w:w="1219" w:type="pct"/>
            <w:tcBorders>
              <w:top w:val="nil"/>
              <w:left w:val="nil"/>
              <w:bottom w:val="nil"/>
              <w:right w:val="nil"/>
            </w:tcBorders>
          </w:tcPr>
          <w:p w14:paraId="0EB79133"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Population Density (100s)</w:t>
            </w:r>
          </w:p>
        </w:tc>
        <w:tc>
          <w:tcPr>
            <w:tcW w:w="448" w:type="pct"/>
            <w:tcBorders>
              <w:top w:val="nil"/>
              <w:left w:val="nil"/>
              <w:bottom w:val="nil"/>
              <w:right w:val="nil"/>
            </w:tcBorders>
          </w:tcPr>
          <w:p w14:paraId="334A0D65"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3.53***</w:t>
            </w:r>
          </w:p>
        </w:tc>
        <w:tc>
          <w:tcPr>
            <w:tcW w:w="726" w:type="pct"/>
            <w:tcBorders>
              <w:top w:val="nil"/>
              <w:left w:val="nil"/>
              <w:bottom w:val="nil"/>
              <w:right w:val="nil"/>
            </w:tcBorders>
          </w:tcPr>
          <w:p w14:paraId="3AF0BA8D"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53.4**</w:t>
            </w:r>
          </w:p>
        </w:tc>
        <w:tc>
          <w:tcPr>
            <w:tcW w:w="448" w:type="pct"/>
            <w:tcBorders>
              <w:top w:val="nil"/>
              <w:left w:val="nil"/>
              <w:bottom w:val="nil"/>
              <w:right w:val="nil"/>
            </w:tcBorders>
          </w:tcPr>
          <w:p w14:paraId="40318B6A"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2.36*</w:t>
            </w:r>
          </w:p>
        </w:tc>
        <w:tc>
          <w:tcPr>
            <w:tcW w:w="794" w:type="pct"/>
            <w:tcBorders>
              <w:top w:val="nil"/>
              <w:left w:val="nil"/>
              <w:bottom w:val="nil"/>
              <w:right w:val="nil"/>
            </w:tcBorders>
          </w:tcPr>
          <w:p w14:paraId="47BE3354"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17.4</w:t>
            </w:r>
          </w:p>
        </w:tc>
        <w:tc>
          <w:tcPr>
            <w:tcW w:w="680" w:type="pct"/>
            <w:tcBorders>
              <w:top w:val="nil"/>
              <w:left w:val="nil"/>
              <w:bottom w:val="nil"/>
              <w:right w:val="nil"/>
            </w:tcBorders>
          </w:tcPr>
          <w:p w14:paraId="66C404D7"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1.11</w:t>
            </w:r>
          </w:p>
        </w:tc>
        <w:tc>
          <w:tcPr>
            <w:tcW w:w="685" w:type="pct"/>
            <w:tcBorders>
              <w:top w:val="nil"/>
              <w:left w:val="nil"/>
              <w:bottom w:val="nil"/>
              <w:right w:val="nil"/>
            </w:tcBorders>
          </w:tcPr>
          <w:p w14:paraId="08FA9875"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4.92</w:t>
            </w:r>
          </w:p>
        </w:tc>
      </w:tr>
      <w:tr w:rsidR="00FA0384" w:rsidRPr="00B94FE7" w14:paraId="01F1B545" w14:textId="77777777" w:rsidTr="00B94FE7">
        <w:tc>
          <w:tcPr>
            <w:tcW w:w="1219" w:type="pct"/>
            <w:tcBorders>
              <w:top w:val="nil"/>
              <w:left w:val="nil"/>
              <w:bottom w:val="nil"/>
              <w:right w:val="nil"/>
            </w:tcBorders>
          </w:tcPr>
          <w:p w14:paraId="66E98CE0"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 xml:space="preserve">  </w:t>
            </w:r>
          </w:p>
        </w:tc>
        <w:tc>
          <w:tcPr>
            <w:tcW w:w="448" w:type="pct"/>
            <w:tcBorders>
              <w:top w:val="nil"/>
              <w:left w:val="nil"/>
              <w:bottom w:val="nil"/>
              <w:right w:val="nil"/>
            </w:tcBorders>
          </w:tcPr>
          <w:p w14:paraId="28CE4B69"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(1.30)</w:t>
            </w:r>
          </w:p>
        </w:tc>
        <w:tc>
          <w:tcPr>
            <w:tcW w:w="726" w:type="pct"/>
            <w:tcBorders>
              <w:top w:val="nil"/>
              <w:left w:val="nil"/>
              <w:bottom w:val="nil"/>
              <w:right w:val="nil"/>
            </w:tcBorders>
          </w:tcPr>
          <w:p w14:paraId="0D2FD36A"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(25.7)</w:t>
            </w:r>
          </w:p>
        </w:tc>
        <w:tc>
          <w:tcPr>
            <w:tcW w:w="448" w:type="pct"/>
            <w:tcBorders>
              <w:top w:val="nil"/>
              <w:left w:val="nil"/>
              <w:bottom w:val="nil"/>
              <w:right w:val="nil"/>
            </w:tcBorders>
          </w:tcPr>
          <w:p w14:paraId="7ECE3BEE"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(1.30)</w:t>
            </w:r>
          </w:p>
        </w:tc>
        <w:tc>
          <w:tcPr>
            <w:tcW w:w="794" w:type="pct"/>
            <w:tcBorders>
              <w:top w:val="nil"/>
              <w:left w:val="nil"/>
              <w:bottom w:val="nil"/>
              <w:right w:val="nil"/>
            </w:tcBorders>
          </w:tcPr>
          <w:p w14:paraId="48DE2307"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(19.5)</w:t>
            </w:r>
          </w:p>
        </w:tc>
        <w:tc>
          <w:tcPr>
            <w:tcW w:w="680" w:type="pct"/>
            <w:tcBorders>
              <w:top w:val="nil"/>
              <w:left w:val="nil"/>
              <w:bottom w:val="nil"/>
              <w:right w:val="nil"/>
            </w:tcBorders>
          </w:tcPr>
          <w:p w14:paraId="0CF2B044"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(1.10)</w:t>
            </w:r>
          </w:p>
        </w:tc>
        <w:tc>
          <w:tcPr>
            <w:tcW w:w="685" w:type="pct"/>
            <w:tcBorders>
              <w:top w:val="nil"/>
              <w:left w:val="nil"/>
              <w:bottom w:val="nil"/>
              <w:right w:val="nil"/>
            </w:tcBorders>
          </w:tcPr>
          <w:p w14:paraId="5560E9AF"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(4.02)</w:t>
            </w:r>
          </w:p>
        </w:tc>
      </w:tr>
      <w:tr w:rsidR="00FA0384" w:rsidRPr="00B94FE7" w14:paraId="60E7B7DB" w14:textId="77777777" w:rsidTr="00B94FE7">
        <w:tc>
          <w:tcPr>
            <w:tcW w:w="1219" w:type="pct"/>
            <w:tcBorders>
              <w:top w:val="nil"/>
              <w:left w:val="nil"/>
              <w:bottom w:val="nil"/>
              <w:right w:val="nil"/>
            </w:tcBorders>
          </w:tcPr>
          <w:p w14:paraId="30C3D19D"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 xml:space="preserve">Prior </w:t>
            </w:r>
            <w:proofErr w:type="spellStart"/>
            <w:r w:rsidRPr="00BF0763">
              <w:rPr>
                <w:rFonts w:eastAsia="Times New Roman" w:cs="Times New Roman"/>
                <w:sz w:val="20"/>
                <w:szCs w:val="20"/>
              </w:rPr>
              <w:t>Estab</w:t>
            </w:r>
            <w:proofErr w:type="spellEnd"/>
            <w:r w:rsidRPr="00BF0763">
              <w:rPr>
                <w:rFonts w:eastAsia="Times New Roman" w:cs="Times New Roman"/>
                <w:sz w:val="20"/>
                <w:szCs w:val="20"/>
              </w:rPr>
              <w:t>. Count (10ks)</w:t>
            </w:r>
          </w:p>
        </w:tc>
        <w:tc>
          <w:tcPr>
            <w:tcW w:w="448" w:type="pct"/>
            <w:tcBorders>
              <w:top w:val="nil"/>
              <w:left w:val="nil"/>
              <w:bottom w:val="nil"/>
              <w:right w:val="nil"/>
            </w:tcBorders>
          </w:tcPr>
          <w:p w14:paraId="634D3AB1"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0.777***</w:t>
            </w:r>
          </w:p>
        </w:tc>
        <w:tc>
          <w:tcPr>
            <w:tcW w:w="726" w:type="pct"/>
            <w:tcBorders>
              <w:top w:val="nil"/>
              <w:left w:val="nil"/>
              <w:bottom w:val="nil"/>
              <w:right w:val="nil"/>
            </w:tcBorders>
          </w:tcPr>
          <w:p w14:paraId="24D19429"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-0.433</w:t>
            </w:r>
          </w:p>
        </w:tc>
        <w:tc>
          <w:tcPr>
            <w:tcW w:w="448" w:type="pct"/>
            <w:tcBorders>
              <w:top w:val="nil"/>
              <w:left w:val="nil"/>
              <w:bottom w:val="nil"/>
              <w:right w:val="nil"/>
            </w:tcBorders>
          </w:tcPr>
          <w:p w14:paraId="172DA60A"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0.794***</w:t>
            </w:r>
          </w:p>
        </w:tc>
        <w:tc>
          <w:tcPr>
            <w:tcW w:w="794" w:type="pct"/>
            <w:tcBorders>
              <w:top w:val="nil"/>
              <w:left w:val="nil"/>
              <w:bottom w:val="nil"/>
              <w:right w:val="nil"/>
            </w:tcBorders>
          </w:tcPr>
          <w:p w14:paraId="4D478980"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0.075</w:t>
            </w:r>
          </w:p>
        </w:tc>
        <w:tc>
          <w:tcPr>
            <w:tcW w:w="680" w:type="pct"/>
            <w:tcBorders>
              <w:top w:val="nil"/>
              <w:left w:val="nil"/>
              <w:bottom w:val="nil"/>
              <w:right w:val="nil"/>
            </w:tcBorders>
          </w:tcPr>
          <w:p w14:paraId="4C72D25C"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685" w:type="pct"/>
            <w:tcBorders>
              <w:top w:val="nil"/>
              <w:left w:val="nil"/>
              <w:bottom w:val="nil"/>
              <w:right w:val="nil"/>
            </w:tcBorders>
          </w:tcPr>
          <w:p w14:paraId="6BFCEB9C"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r>
      <w:tr w:rsidR="00FA0384" w:rsidRPr="00B94FE7" w14:paraId="165C3B4E" w14:textId="77777777" w:rsidTr="00B94FE7">
        <w:tc>
          <w:tcPr>
            <w:tcW w:w="1219" w:type="pct"/>
            <w:tcBorders>
              <w:top w:val="nil"/>
              <w:left w:val="nil"/>
              <w:bottom w:val="nil"/>
              <w:right w:val="nil"/>
            </w:tcBorders>
          </w:tcPr>
          <w:p w14:paraId="348533E3"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 xml:space="preserve">  </w:t>
            </w:r>
          </w:p>
        </w:tc>
        <w:tc>
          <w:tcPr>
            <w:tcW w:w="448" w:type="pct"/>
            <w:tcBorders>
              <w:top w:val="nil"/>
              <w:left w:val="nil"/>
              <w:bottom w:val="nil"/>
              <w:right w:val="nil"/>
            </w:tcBorders>
          </w:tcPr>
          <w:p w14:paraId="75245172"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(0.143)</w:t>
            </w:r>
          </w:p>
        </w:tc>
        <w:tc>
          <w:tcPr>
            <w:tcW w:w="726" w:type="pct"/>
            <w:tcBorders>
              <w:top w:val="nil"/>
              <w:left w:val="nil"/>
              <w:bottom w:val="nil"/>
              <w:right w:val="nil"/>
            </w:tcBorders>
          </w:tcPr>
          <w:p w14:paraId="0D557548"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(0.664)</w:t>
            </w:r>
          </w:p>
        </w:tc>
        <w:tc>
          <w:tcPr>
            <w:tcW w:w="448" w:type="pct"/>
            <w:tcBorders>
              <w:top w:val="nil"/>
              <w:left w:val="nil"/>
              <w:bottom w:val="nil"/>
              <w:right w:val="nil"/>
            </w:tcBorders>
          </w:tcPr>
          <w:p w14:paraId="2281102B"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(0.199)</w:t>
            </w:r>
          </w:p>
        </w:tc>
        <w:tc>
          <w:tcPr>
            <w:tcW w:w="794" w:type="pct"/>
            <w:tcBorders>
              <w:top w:val="nil"/>
              <w:left w:val="nil"/>
              <w:bottom w:val="nil"/>
              <w:right w:val="nil"/>
            </w:tcBorders>
          </w:tcPr>
          <w:p w14:paraId="4C560043"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(1.31)</w:t>
            </w:r>
          </w:p>
        </w:tc>
        <w:tc>
          <w:tcPr>
            <w:tcW w:w="680" w:type="pct"/>
            <w:tcBorders>
              <w:top w:val="nil"/>
              <w:left w:val="nil"/>
              <w:bottom w:val="nil"/>
              <w:right w:val="nil"/>
            </w:tcBorders>
          </w:tcPr>
          <w:p w14:paraId="1A54DE7D"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685" w:type="pct"/>
            <w:tcBorders>
              <w:top w:val="nil"/>
              <w:left w:val="nil"/>
              <w:bottom w:val="nil"/>
              <w:right w:val="nil"/>
            </w:tcBorders>
          </w:tcPr>
          <w:p w14:paraId="44E81436"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r>
      <w:tr w:rsidR="00FA0384" w:rsidRPr="00B94FE7" w14:paraId="40846225" w14:textId="77777777" w:rsidTr="00B94FE7">
        <w:tc>
          <w:tcPr>
            <w:tcW w:w="1219" w:type="pct"/>
            <w:tcBorders>
              <w:top w:val="nil"/>
              <w:left w:val="nil"/>
              <w:bottom w:val="nil"/>
              <w:right w:val="nil"/>
            </w:tcBorders>
          </w:tcPr>
          <w:p w14:paraId="6B5BD116"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Prior Exits</w:t>
            </w:r>
          </w:p>
        </w:tc>
        <w:tc>
          <w:tcPr>
            <w:tcW w:w="448" w:type="pct"/>
            <w:tcBorders>
              <w:top w:val="nil"/>
              <w:left w:val="nil"/>
              <w:bottom w:val="nil"/>
              <w:right w:val="nil"/>
            </w:tcBorders>
          </w:tcPr>
          <w:p w14:paraId="3C712A36"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-0.033*</w:t>
            </w:r>
          </w:p>
        </w:tc>
        <w:tc>
          <w:tcPr>
            <w:tcW w:w="726" w:type="pct"/>
            <w:tcBorders>
              <w:top w:val="nil"/>
              <w:left w:val="nil"/>
              <w:bottom w:val="nil"/>
              <w:right w:val="nil"/>
            </w:tcBorders>
          </w:tcPr>
          <w:p w14:paraId="5C6D1EC6"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0.213</w:t>
            </w:r>
          </w:p>
        </w:tc>
        <w:tc>
          <w:tcPr>
            <w:tcW w:w="448" w:type="pct"/>
            <w:tcBorders>
              <w:top w:val="nil"/>
              <w:left w:val="nil"/>
              <w:bottom w:val="nil"/>
              <w:right w:val="nil"/>
            </w:tcBorders>
          </w:tcPr>
          <w:p w14:paraId="614284DE"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794" w:type="pct"/>
            <w:tcBorders>
              <w:top w:val="nil"/>
              <w:left w:val="nil"/>
              <w:bottom w:val="nil"/>
              <w:right w:val="nil"/>
            </w:tcBorders>
          </w:tcPr>
          <w:p w14:paraId="4FF02AEA"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680" w:type="pct"/>
            <w:tcBorders>
              <w:top w:val="nil"/>
              <w:left w:val="nil"/>
              <w:bottom w:val="nil"/>
              <w:right w:val="nil"/>
            </w:tcBorders>
          </w:tcPr>
          <w:p w14:paraId="4BAB2CEC"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685" w:type="pct"/>
            <w:tcBorders>
              <w:top w:val="nil"/>
              <w:left w:val="nil"/>
              <w:bottom w:val="nil"/>
              <w:right w:val="nil"/>
            </w:tcBorders>
          </w:tcPr>
          <w:p w14:paraId="00E73261"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r>
      <w:tr w:rsidR="00FA0384" w:rsidRPr="00B94FE7" w14:paraId="5B292BAE" w14:textId="77777777" w:rsidTr="00B94FE7">
        <w:tc>
          <w:tcPr>
            <w:tcW w:w="1219" w:type="pct"/>
            <w:tcBorders>
              <w:top w:val="nil"/>
              <w:left w:val="nil"/>
              <w:bottom w:val="nil"/>
              <w:right w:val="nil"/>
            </w:tcBorders>
          </w:tcPr>
          <w:p w14:paraId="31B5F40B"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 xml:space="preserve">  </w:t>
            </w:r>
          </w:p>
        </w:tc>
        <w:tc>
          <w:tcPr>
            <w:tcW w:w="448" w:type="pct"/>
            <w:tcBorders>
              <w:top w:val="nil"/>
              <w:left w:val="nil"/>
              <w:bottom w:val="nil"/>
              <w:right w:val="nil"/>
            </w:tcBorders>
          </w:tcPr>
          <w:p w14:paraId="2C601DB1"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(0.019)</w:t>
            </w:r>
          </w:p>
        </w:tc>
        <w:tc>
          <w:tcPr>
            <w:tcW w:w="726" w:type="pct"/>
            <w:tcBorders>
              <w:top w:val="nil"/>
              <w:left w:val="nil"/>
              <w:bottom w:val="nil"/>
              <w:right w:val="nil"/>
            </w:tcBorders>
          </w:tcPr>
          <w:p w14:paraId="7E5FE504"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(0.284)</w:t>
            </w:r>
          </w:p>
        </w:tc>
        <w:tc>
          <w:tcPr>
            <w:tcW w:w="448" w:type="pct"/>
            <w:tcBorders>
              <w:top w:val="nil"/>
              <w:left w:val="nil"/>
              <w:bottom w:val="nil"/>
              <w:right w:val="nil"/>
            </w:tcBorders>
          </w:tcPr>
          <w:p w14:paraId="3FE1C2DD"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794" w:type="pct"/>
            <w:tcBorders>
              <w:top w:val="nil"/>
              <w:left w:val="nil"/>
              <w:bottom w:val="nil"/>
              <w:right w:val="nil"/>
            </w:tcBorders>
          </w:tcPr>
          <w:p w14:paraId="52FD6E3A"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680" w:type="pct"/>
            <w:tcBorders>
              <w:top w:val="nil"/>
              <w:left w:val="nil"/>
              <w:bottom w:val="nil"/>
              <w:right w:val="nil"/>
            </w:tcBorders>
          </w:tcPr>
          <w:p w14:paraId="5F7A8E05"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685" w:type="pct"/>
            <w:tcBorders>
              <w:top w:val="nil"/>
              <w:left w:val="nil"/>
              <w:bottom w:val="nil"/>
              <w:right w:val="nil"/>
            </w:tcBorders>
          </w:tcPr>
          <w:p w14:paraId="7BA745AE"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r>
      <w:tr w:rsidR="00FA0384" w:rsidRPr="00B94FE7" w14:paraId="33B12D7B" w14:textId="77777777" w:rsidTr="00B94FE7">
        <w:tc>
          <w:tcPr>
            <w:tcW w:w="1219" w:type="pct"/>
            <w:tcBorders>
              <w:top w:val="nil"/>
              <w:left w:val="nil"/>
              <w:bottom w:val="nil"/>
              <w:right w:val="nil"/>
            </w:tcBorders>
          </w:tcPr>
          <w:p w14:paraId="557D9BA2"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Prior Entries</w:t>
            </w:r>
          </w:p>
        </w:tc>
        <w:tc>
          <w:tcPr>
            <w:tcW w:w="448" w:type="pct"/>
            <w:tcBorders>
              <w:top w:val="nil"/>
              <w:left w:val="nil"/>
              <w:bottom w:val="nil"/>
              <w:right w:val="nil"/>
            </w:tcBorders>
          </w:tcPr>
          <w:p w14:paraId="4EC8857E"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726" w:type="pct"/>
            <w:tcBorders>
              <w:top w:val="nil"/>
              <w:left w:val="nil"/>
              <w:bottom w:val="nil"/>
              <w:right w:val="nil"/>
            </w:tcBorders>
          </w:tcPr>
          <w:p w14:paraId="7DB62556"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448" w:type="pct"/>
            <w:tcBorders>
              <w:top w:val="nil"/>
              <w:left w:val="nil"/>
              <w:bottom w:val="nil"/>
              <w:right w:val="nil"/>
            </w:tcBorders>
          </w:tcPr>
          <w:p w14:paraId="4FC34A07"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0.002</w:t>
            </w:r>
          </w:p>
        </w:tc>
        <w:tc>
          <w:tcPr>
            <w:tcW w:w="794" w:type="pct"/>
            <w:tcBorders>
              <w:top w:val="nil"/>
              <w:left w:val="nil"/>
              <w:bottom w:val="nil"/>
              <w:right w:val="nil"/>
            </w:tcBorders>
          </w:tcPr>
          <w:p w14:paraId="11FBDD11"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0.515***</w:t>
            </w:r>
          </w:p>
        </w:tc>
        <w:tc>
          <w:tcPr>
            <w:tcW w:w="680" w:type="pct"/>
            <w:tcBorders>
              <w:top w:val="nil"/>
              <w:left w:val="nil"/>
              <w:bottom w:val="nil"/>
              <w:right w:val="nil"/>
            </w:tcBorders>
          </w:tcPr>
          <w:p w14:paraId="065C8595"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685" w:type="pct"/>
            <w:tcBorders>
              <w:top w:val="nil"/>
              <w:left w:val="nil"/>
              <w:bottom w:val="nil"/>
              <w:right w:val="nil"/>
            </w:tcBorders>
          </w:tcPr>
          <w:p w14:paraId="267D65A5"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r>
      <w:tr w:rsidR="00FA0384" w:rsidRPr="00B94FE7" w14:paraId="0B425AD3" w14:textId="77777777" w:rsidTr="00B94FE7">
        <w:tc>
          <w:tcPr>
            <w:tcW w:w="1219" w:type="pct"/>
            <w:tcBorders>
              <w:top w:val="nil"/>
              <w:left w:val="nil"/>
              <w:bottom w:val="nil"/>
              <w:right w:val="nil"/>
            </w:tcBorders>
          </w:tcPr>
          <w:p w14:paraId="2F2A868D"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 xml:space="preserve">  </w:t>
            </w:r>
          </w:p>
        </w:tc>
        <w:tc>
          <w:tcPr>
            <w:tcW w:w="448" w:type="pct"/>
            <w:tcBorders>
              <w:top w:val="nil"/>
              <w:left w:val="nil"/>
              <w:bottom w:val="nil"/>
              <w:right w:val="nil"/>
            </w:tcBorders>
          </w:tcPr>
          <w:p w14:paraId="0D7891EA"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726" w:type="pct"/>
            <w:tcBorders>
              <w:top w:val="nil"/>
              <w:left w:val="nil"/>
              <w:bottom w:val="nil"/>
              <w:right w:val="nil"/>
            </w:tcBorders>
          </w:tcPr>
          <w:p w14:paraId="65826472"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448" w:type="pct"/>
            <w:tcBorders>
              <w:top w:val="nil"/>
              <w:left w:val="nil"/>
              <w:bottom w:val="nil"/>
              <w:right w:val="nil"/>
            </w:tcBorders>
          </w:tcPr>
          <w:p w14:paraId="56544A38"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(0.012)</w:t>
            </w:r>
          </w:p>
        </w:tc>
        <w:tc>
          <w:tcPr>
            <w:tcW w:w="794" w:type="pct"/>
            <w:tcBorders>
              <w:top w:val="nil"/>
              <w:left w:val="nil"/>
              <w:bottom w:val="nil"/>
              <w:right w:val="nil"/>
            </w:tcBorders>
          </w:tcPr>
          <w:p w14:paraId="7AB03A41"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(0.113)</w:t>
            </w:r>
          </w:p>
        </w:tc>
        <w:tc>
          <w:tcPr>
            <w:tcW w:w="680" w:type="pct"/>
            <w:tcBorders>
              <w:top w:val="nil"/>
              <w:left w:val="nil"/>
              <w:bottom w:val="nil"/>
              <w:right w:val="nil"/>
            </w:tcBorders>
          </w:tcPr>
          <w:p w14:paraId="55B7CFBD"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685" w:type="pct"/>
            <w:tcBorders>
              <w:top w:val="nil"/>
              <w:left w:val="nil"/>
              <w:bottom w:val="nil"/>
              <w:right w:val="nil"/>
            </w:tcBorders>
          </w:tcPr>
          <w:p w14:paraId="07A976E1"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r>
      <w:tr w:rsidR="00FA0384" w:rsidRPr="00B94FE7" w14:paraId="592D9465" w14:textId="77777777" w:rsidTr="00B94FE7">
        <w:tc>
          <w:tcPr>
            <w:tcW w:w="1219" w:type="pct"/>
            <w:tcBorders>
              <w:top w:val="nil"/>
              <w:left w:val="nil"/>
              <w:bottom w:val="nil"/>
              <w:right w:val="nil"/>
            </w:tcBorders>
          </w:tcPr>
          <w:p w14:paraId="0BA31644"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Observations</w:t>
            </w:r>
          </w:p>
        </w:tc>
        <w:tc>
          <w:tcPr>
            <w:tcW w:w="448" w:type="pct"/>
            <w:tcBorders>
              <w:top w:val="nil"/>
              <w:left w:val="nil"/>
              <w:bottom w:val="nil"/>
              <w:right w:val="nil"/>
            </w:tcBorders>
          </w:tcPr>
          <w:p w14:paraId="0A99D85E"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3509</w:t>
            </w:r>
          </w:p>
        </w:tc>
        <w:tc>
          <w:tcPr>
            <w:tcW w:w="726" w:type="pct"/>
            <w:tcBorders>
              <w:top w:val="nil"/>
              <w:left w:val="nil"/>
              <w:bottom w:val="nil"/>
              <w:right w:val="nil"/>
            </w:tcBorders>
          </w:tcPr>
          <w:p w14:paraId="4B0E4153"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3463</w:t>
            </w:r>
          </w:p>
        </w:tc>
        <w:tc>
          <w:tcPr>
            <w:tcW w:w="448" w:type="pct"/>
            <w:tcBorders>
              <w:top w:val="nil"/>
              <w:left w:val="nil"/>
              <w:bottom w:val="nil"/>
              <w:right w:val="nil"/>
            </w:tcBorders>
          </w:tcPr>
          <w:p w14:paraId="7CECE950"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3514</w:t>
            </w:r>
          </w:p>
        </w:tc>
        <w:tc>
          <w:tcPr>
            <w:tcW w:w="794" w:type="pct"/>
            <w:tcBorders>
              <w:top w:val="nil"/>
              <w:left w:val="nil"/>
              <w:bottom w:val="nil"/>
              <w:right w:val="nil"/>
            </w:tcBorders>
          </w:tcPr>
          <w:p w14:paraId="27BF8BF0"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3419</w:t>
            </w:r>
          </w:p>
        </w:tc>
        <w:tc>
          <w:tcPr>
            <w:tcW w:w="680" w:type="pct"/>
            <w:tcBorders>
              <w:top w:val="nil"/>
              <w:left w:val="nil"/>
              <w:bottom w:val="nil"/>
              <w:right w:val="nil"/>
            </w:tcBorders>
          </w:tcPr>
          <w:p w14:paraId="7A6842FC"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3534</w:t>
            </w:r>
          </w:p>
        </w:tc>
        <w:tc>
          <w:tcPr>
            <w:tcW w:w="685" w:type="pct"/>
            <w:tcBorders>
              <w:top w:val="nil"/>
              <w:left w:val="nil"/>
              <w:bottom w:val="nil"/>
              <w:right w:val="nil"/>
            </w:tcBorders>
          </w:tcPr>
          <w:p w14:paraId="0CDEC4B9"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3534</w:t>
            </w:r>
          </w:p>
        </w:tc>
      </w:tr>
      <w:tr w:rsidR="00FA0384" w:rsidRPr="00B94FE7" w14:paraId="75A443A3" w14:textId="77777777" w:rsidTr="00B94FE7">
        <w:tc>
          <w:tcPr>
            <w:tcW w:w="1219" w:type="pct"/>
            <w:tcBorders>
              <w:top w:val="nil"/>
              <w:left w:val="nil"/>
              <w:bottom w:val="nil"/>
              <w:right w:val="nil"/>
            </w:tcBorders>
          </w:tcPr>
          <w:p w14:paraId="44A2C075"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Pseudo R2</w:t>
            </w:r>
          </w:p>
        </w:tc>
        <w:tc>
          <w:tcPr>
            <w:tcW w:w="448" w:type="pct"/>
            <w:tcBorders>
              <w:top w:val="nil"/>
              <w:left w:val="nil"/>
              <w:bottom w:val="nil"/>
              <w:right w:val="nil"/>
            </w:tcBorders>
          </w:tcPr>
          <w:p w14:paraId="32BE1335"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0.962</w:t>
            </w:r>
          </w:p>
        </w:tc>
        <w:tc>
          <w:tcPr>
            <w:tcW w:w="726" w:type="pct"/>
            <w:tcBorders>
              <w:top w:val="nil"/>
              <w:left w:val="nil"/>
              <w:bottom w:val="nil"/>
              <w:right w:val="nil"/>
            </w:tcBorders>
          </w:tcPr>
          <w:p w14:paraId="40F3B5C4"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0.856</w:t>
            </w:r>
          </w:p>
        </w:tc>
        <w:tc>
          <w:tcPr>
            <w:tcW w:w="448" w:type="pct"/>
            <w:tcBorders>
              <w:top w:val="nil"/>
              <w:left w:val="nil"/>
              <w:bottom w:val="nil"/>
              <w:right w:val="nil"/>
            </w:tcBorders>
          </w:tcPr>
          <w:p w14:paraId="6090EE0D"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0.969</w:t>
            </w:r>
          </w:p>
        </w:tc>
        <w:tc>
          <w:tcPr>
            <w:tcW w:w="794" w:type="pct"/>
            <w:tcBorders>
              <w:top w:val="nil"/>
              <w:left w:val="nil"/>
              <w:bottom w:val="nil"/>
              <w:right w:val="nil"/>
            </w:tcBorders>
          </w:tcPr>
          <w:p w14:paraId="33095E5C"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0.908</w:t>
            </w:r>
          </w:p>
        </w:tc>
        <w:tc>
          <w:tcPr>
            <w:tcW w:w="680" w:type="pct"/>
            <w:tcBorders>
              <w:top w:val="nil"/>
              <w:left w:val="nil"/>
              <w:bottom w:val="nil"/>
              <w:right w:val="nil"/>
            </w:tcBorders>
          </w:tcPr>
          <w:p w14:paraId="0975D002"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0.926</w:t>
            </w:r>
          </w:p>
        </w:tc>
        <w:tc>
          <w:tcPr>
            <w:tcW w:w="685" w:type="pct"/>
            <w:tcBorders>
              <w:top w:val="nil"/>
              <w:left w:val="nil"/>
              <w:bottom w:val="nil"/>
              <w:right w:val="nil"/>
            </w:tcBorders>
          </w:tcPr>
          <w:p w14:paraId="07B99560"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0.859</w:t>
            </w:r>
          </w:p>
        </w:tc>
      </w:tr>
      <w:tr w:rsidR="00FA0384" w:rsidRPr="00B94FE7" w14:paraId="2EFC3B54" w14:textId="77777777" w:rsidTr="00B94FE7">
        <w:tc>
          <w:tcPr>
            <w:tcW w:w="1219" w:type="pct"/>
            <w:tcBorders>
              <w:top w:val="nil"/>
              <w:left w:val="nil"/>
              <w:bottom w:val="nil"/>
              <w:right w:val="nil"/>
            </w:tcBorders>
          </w:tcPr>
          <w:p w14:paraId="39C3B429"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Chi2</w:t>
            </w:r>
          </w:p>
        </w:tc>
        <w:tc>
          <w:tcPr>
            <w:tcW w:w="448" w:type="pct"/>
            <w:tcBorders>
              <w:top w:val="nil"/>
              <w:left w:val="nil"/>
              <w:bottom w:val="nil"/>
              <w:right w:val="nil"/>
            </w:tcBorders>
          </w:tcPr>
          <w:p w14:paraId="23E34AC2"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325</w:t>
            </w:r>
          </w:p>
        </w:tc>
        <w:tc>
          <w:tcPr>
            <w:tcW w:w="726" w:type="pct"/>
            <w:tcBorders>
              <w:top w:val="nil"/>
              <w:left w:val="nil"/>
              <w:bottom w:val="nil"/>
              <w:right w:val="nil"/>
            </w:tcBorders>
          </w:tcPr>
          <w:p w14:paraId="61B7C15A"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57.5</w:t>
            </w:r>
          </w:p>
        </w:tc>
        <w:tc>
          <w:tcPr>
            <w:tcW w:w="448" w:type="pct"/>
            <w:tcBorders>
              <w:top w:val="nil"/>
              <w:left w:val="nil"/>
              <w:bottom w:val="nil"/>
              <w:right w:val="nil"/>
            </w:tcBorders>
          </w:tcPr>
          <w:p w14:paraId="61818178"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74.2</w:t>
            </w:r>
          </w:p>
        </w:tc>
        <w:tc>
          <w:tcPr>
            <w:tcW w:w="794" w:type="pct"/>
            <w:tcBorders>
              <w:top w:val="nil"/>
              <w:left w:val="nil"/>
              <w:bottom w:val="nil"/>
              <w:right w:val="nil"/>
            </w:tcBorders>
          </w:tcPr>
          <w:p w14:paraId="4050C863"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52.2</w:t>
            </w:r>
          </w:p>
        </w:tc>
        <w:tc>
          <w:tcPr>
            <w:tcW w:w="680" w:type="pct"/>
            <w:tcBorders>
              <w:top w:val="nil"/>
              <w:left w:val="nil"/>
              <w:bottom w:val="nil"/>
              <w:right w:val="nil"/>
            </w:tcBorders>
          </w:tcPr>
          <w:p w14:paraId="7624581A"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47.4</w:t>
            </w:r>
          </w:p>
        </w:tc>
        <w:tc>
          <w:tcPr>
            <w:tcW w:w="685" w:type="pct"/>
            <w:tcBorders>
              <w:top w:val="nil"/>
              <w:left w:val="nil"/>
              <w:bottom w:val="nil"/>
              <w:right w:val="nil"/>
            </w:tcBorders>
          </w:tcPr>
          <w:p w14:paraId="6B54CAFD"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84.9</w:t>
            </w:r>
          </w:p>
        </w:tc>
      </w:tr>
      <w:tr w:rsidR="00FA0384" w:rsidRPr="00B94FE7" w14:paraId="3C111EEA" w14:textId="77777777" w:rsidTr="00B94FE7">
        <w:tc>
          <w:tcPr>
            <w:tcW w:w="1219" w:type="pct"/>
            <w:tcBorders>
              <w:top w:val="nil"/>
              <w:left w:val="nil"/>
              <w:bottom w:val="nil"/>
              <w:right w:val="nil"/>
            </w:tcBorders>
          </w:tcPr>
          <w:p w14:paraId="1D7CE341"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County FE</w:t>
            </w:r>
          </w:p>
        </w:tc>
        <w:tc>
          <w:tcPr>
            <w:tcW w:w="448" w:type="pct"/>
            <w:tcBorders>
              <w:top w:val="nil"/>
              <w:left w:val="nil"/>
              <w:bottom w:val="nil"/>
              <w:right w:val="nil"/>
            </w:tcBorders>
          </w:tcPr>
          <w:p w14:paraId="5B26F101"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Yes</w:t>
            </w:r>
          </w:p>
        </w:tc>
        <w:tc>
          <w:tcPr>
            <w:tcW w:w="726" w:type="pct"/>
            <w:tcBorders>
              <w:top w:val="nil"/>
              <w:left w:val="nil"/>
              <w:bottom w:val="nil"/>
              <w:right w:val="nil"/>
            </w:tcBorders>
          </w:tcPr>
          <w:p w14:paraId="7FF89CA2"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Yes</w:t>
            </w:r>
          </w:p>
        </w:tc>
        <w:tc>
          <w:tcPr>
            <w:tcW w:w="448" w:type="pct"/>
            <w:tcBorders>
              <w:top w:val="nil"/>
              <w:left w:val="nil"/>
              <w:bottom w:val="nil"/>
              <w:right w:val="nil"/>
            </w:tcBorders>
          </w:tcPr>
          <w:p w14:paraId="7F9DFAEB"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Yes</w:t>
            </w:r>
          </w:p>
        </w:tc>
        <w:tc>
          <w:tcPr>
            <w:tcW w:w="794" w:type="pct"/>
            <w:tcBorders>
              <w:top w:val="nil"/>
              <w:left w:val="nil"/>
              <w:bottom w:val="nil"/>
              <w:right w:val="nil"/>
            </w:tcBorders>
          </w:tcPr>
          <w:p w14:paraId="6AB0042D"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Yes</w:t>
            </w:r>
          </w:p>
        </w:tc>
        <w:tc>
          <w:tcPr>
            <w:tcW w:w="680" w:type="pct"/>
            <w:tcBorders>
              <w:top w:val="nil"/>
              <w:left w:val="nil"/>
              <w:bottom w:val="nil"/>
              <w:right w:val="nil"/>
            </w:tcBorders>
          </w:tcPr>
          <w:p w14:paraId="7D9D2775"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Yes</w:t>
            </w:r>
          </w:p>
        </w:tc>
        <w:tc>
          <w:tcPr>
            <w:tcW w:w="685" w:type="pct"/>
            <w:tcBorders>
              <w:top w:val="nil"/>
              <w:left w:val="nil"/>
              <w:bottom w:val="nil"/>
              <w:right w:val="nil"/>
            </w:tcBorders>
          </w:tcPr>
          <w:p w14:paraId="10FFB00A"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Yes</w:t>
            </w:r>
          </w:p>
        </w:tc>
      </w:tr>
      <w:tr w:rsidR="00FA0384" w:rsidRPr="00B94FE7" w14:paraId="37417743" w14:textId="77777777" w:rsidTr="00B94FE7">
        <w:tc>
          <w:tcPr>
            <w:tcW w:w="1219" w:type="pct"/>
            <w:tcBorders>
              <w:top w:val="nil"/>
              <w:left w:val="nil"/>
              <w:right w:val="nil"/>
            </w:tcBorders>
          </w:tcPr>
          <w:p w14:paraId="77DBC215"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Year FE</w:t>
            </w:r>
          </w:p>
        </w:tc>
        <w:tc>
          <w:tcPr>
            <w:tcW w:w="448" w:type="pct"/>
            <w:tcBorders>
              <w:top w:val="nil"/>
              <w:left w:val="nil"/>
              <w:right w:val="nil"/>
            </w:tcBorders>
          </w:tcPr>
          <w:p w14:paraId="44B19FFB"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Yes</w:t>
            </w:r>
          </w:p>
        </w:tc>
        <w:tc>
          <w:tcPr>
            <w:tcW w:w="726" w:type="pct"/>
            <w:tcBorders>
              <w:top w:val="nil"/>
              <w:left w:val="nil"/>
              <w:right w:val="nil"/>
            </w:tcBorders>
          </w:tcPr>
          <w:p w14:paraId="6D533FDD"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Yes</w:t>
            </w:r>
          </w:p>
        </w:tc>
        <w:tc>
          <w:tcPr>
            <w:tcW w:w="448" w:type="pct"/>
            <w:tcBorders>
              <w:top w:val="nil"/>
              <w:left w:val="nil"/>
              <w:right w:val="nil"/>
            </w:tcBorders>
          </w:tcPr>
          <w:p w14:paraId="2DC5FFC4"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Yes</w:t>
            </w:r>
          </w:p>
        </w:tc>
        <w:tc>
          <w:tcPr>
            <w:tcW w:w="794" w:type="pct"/>
            <w:tcBorders>
              <w:top w:val="nil"/>
              <w:left w:val="nil"/>
              <w:right w:val="nil"/>
            </w:tcBorders>
          </w:tcPr>
          <w:p w14:paraId="1FF1CD0F"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Yes</w:t>
            </w:r>
          </w:p>
        </w:tc>
        <w:tc>
          <w:tcPr>
            <w:tcW w:w="680" w:type="pct"/>
            <w:tcBorders>
              <w:top w:val="nil"/>
              <w:left w:val="nil"/>
              <w:right w:val="nil"/>
            </w:tcBorders>
          </w:tcPr>
          <w:p w14:paraId="1A547D89"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Yes</w:t>
            </w:r>
          </w:p>
        </w:tc>
        <w:tc>
          <w:tcPr>
            <w:tcW w:w="685" w:type="pct"/>
            <w:tcBorders>
              <w:top w:val="nil"/>
              <w:left w:val="nil"/>
              <w:right w:val="nil"/>
            </w:tcBorders>
          </w:tcPr>
          <w:p w14:paraId="3660B661"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Yes</w:t>
            </w:r>
          </w:p>
        </w:tc>
      </w:tr>
      <w:tr w:rsidR="00FA0384" w:rsidRPr="00B94FE7" w14:paraId="47903A7D" w14:textId="77777777" w:rsidTr="00B94FE7">
        <w:tc>
          <w:tcPr>
            <w:tcW w:w="1219" w:type="pct"/>
            <w:tcBorders>
              <w:top w:val="nil"/>
              <w:left w:val="nil"/>
              <w:bottom w:val="single" w:sz="4" w:space="0" w:color="auto"/>
              <w:right w:val="nil"/>
            </w:tcBorders>
          </w:tcPr>
          <w:p w14:paraId="65891EE1"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Sector FE</w:t>
            </w:r>
          </w:p>
        </w:tc>
        <w:tc>
          <w:tcPr>
            <w:tcW w:w="448" w:type="pct"/>
            <w:tcBorders>
              <w:top w:val="nil"/>
              <w:left w:val="nil"/>
              <w:bottom w:val="single" w:sz="4" w:space="0" w:color="auto"/>
              <w:right w:val="nil"/>
            </w:tcBorders>
          </w:tcPr>
          <w:p w14:paraId="587279E6"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Yes</w:t>
            </w:r>
          </w:p>
        </w:tc>
        <w:tc>
          <w:tcPr>
            <w:tcW w:w="726" w:type="pct"/>
            <w:tcBorders>
              <w:top w:val="nil"/>
              <w:left w:val="nil"/>
              <w:bottom w:val="single" w:sz="4" w:space="0" w:color="auto"/>
              <w:right w:val="nil"/>
            </w:tcBorders>
          </w:tcPr>
          <w:p w14:paraId="3ABB566E"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Yes</w:t>
            </w:r>
          </w:p>
        </w:tc>
        <w:tc>
          <w:tcPr>
            <w:tcW w:w="448" w:type="pct"/>
            <w:tcBorders>
              <w:top w:val="nil"/>
              <w:left w:val="nil"/>
              <w:bottom w:val="single" w:sz="4" w:space="0" w:color="auto"/>
              <w:right w:val="nil"/>
            </w:tcBorders>
          </w:tcPr>
          <w:p w14:paraId="3FEF86B0"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Yes</w:t>
            </w:r>
          </w:p>
        </w:tc>
        <w:tc>
          <w:tcPr>
            <w:tcW w:w="794" w:type="pct"/>
            <w:tcBorders>
              <w:top w:val="nil"/>
              <w:left w:val="nil"/>
              <w:bottom w:val="single" w:sz="4" w:space="0" w:color="auto"/>
              <w:right w:val="nil"/>
            </w:tcBorders>
          </w:tcPr>
          <w:p w14:paraId="630EE7C6"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Yes</w:t>
            </w:r>
          </w:p>
        </w:tc>
        <w:tc>
          <w:tcPr>
            <w:tcW w:w="680" w:type="pct"/>
            <w:tcBorders>
              <w:top w:val="nil"/>
              <w:left w:val="nil"/>
              <w:bottom w:val="single" w:sz="4" w:space="0" w:color="auto"/>
              <w:right w:val="nil"/>
            </w:tcBorders>
          </w:tcPr>
          <w:p w14:paraId="4DDE8EF7"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Yes</w:t>
            </w:r>
          </w:p>
        </w:tc>
        <w:tc>
          <w:tcPr>
            <w:tcW w:w="685" w:type="pct"/>
            <w:tcBorders>
              <w:top w:val="nil"/>
              <w:left w:val="nil"/>
              <w:bottom w:val="single" w:sz="4" w:space="0" w:color="auto"/>
              <w:right w:val="nil"/>
            </w:tcBorders>
          </w:tcPr>
          <w:p w14:paraId="6E1F731E"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Yes</w:t>
            </w:r>
          </w:p>
        </w:tc>
      </w:tr>
    </w:tbl>
    <w:p w14:paraId="0320992B" w14:textId="202A40AD" w:rsidR="00BF0763" w:rsidRPr="009C21FA" w:rsidRDefault="00732BFD" w:rsidP="004C39A4">
      <w:pPr>
        <w:spacing w:line="240" w:lineRule="auto"/>
        <w:rPr>
          <w:sz w:val="18"/>
          <w:szCs w:val="18"/>
          <w:lang/>
        </w:rPr>
      </w:pPr>
      <w:r>
        <w:rPr>
          <w:sz w:val="20"/>
          <w:szCs w:val="20"/>
        </w:rPr>
        <w:t>T</w:t>
      </w:r>
      <w:r w:rsidR="00BF0763" w:rsidRPr="009C21FA">
        <w:rPr>
          <w:sz w:val="20"/>
          <w:szCs w:val="20"/>
        </w:rPr>
        <w:t xml:space="preserve">able </w:t>
      </w:r>
      <w:r>
        <w:rPr>
          <w:sz w:val="20"/>
          <w:szCs w:val="20"/>
        </w:rPr>
        <w:t xml:space="preserve">A35: </w:t>
      </w:r>
      <w:r w:rsidR="00BF0763" w:rsidRPr="009C21FA">
        <w:rPr>
          <w:sz w:val="20"/>
          <w:szCs w:val="20"/>
        </w:rPr>
        <w:t>PPML</w:t>
      </w:r>
      <w:r>
        <w:rPr>
          <w:sz w:val="20"/>
          <w:szCs w:val="20"/>
        </w:rPr>
        <w:t>HDFE</w:t>
      </w:r>
      <w:r w:rsidR="00BF0763" w:rsidRPr="009C21FA">
        <w:rPr>
          <w:sz w:val="20"/>
          <w:szCs w:val="20"/>
        </w:rPr>
        <w:t xml:space="preserve"> regression estimates for the effects of wildfire frequency (Fire Count) and wildfire intensity (Burned Areas) on establishment dynamics (births, deaths, inward relocations, outward relocations), employment, and sales performance for the Aggregate Land-Intensive Sectors (NAICS 11, 21, 22, 23). Standard errors (in parentheses) are clustered at the county level to account for spatial heterogeneity. County fixed effects (FE) and year fixed effects (FE) are included in all specifications. Coefficients represent percentage changes associated with a one-unit increase in the explanatory variables. Asterisks denote statistical significance at the following levels: ***p &lt; 0.01, **p &lt; 0.05, *p &lt; 0.1.</w:t>
      </w:r>
    </w:p>
    <w:p w14:paraId="27F32930" w14:textId="77777777" w:rsidR="000207A6" w:rsidRDefault="000207A6" w:rsidP="004C39A4">
      <w:pPr>
        <w:jc w:val="both"/>
        <w:rPr>
          <w:rFonts w:eastAsia="Times New Roman" w:cs="Times New Roman"/>
          <w:b/>
          <w:bCs/>
          <w:lang/>
        </w:rPr>
        <w:sectPr w:rsidR="000207A6" w:rsidSect="006876D1">
          <w:pgSz w:w="12240" w:h="15840" w:code="1"/>
          <w:pgMar w:top="1440" w:right="1440" w:bottom="1440" w:left="1440" w:header="720" w:footer="1440" w:gutter="0"/>
          <w:cols w:space="720"/>
          <w:noEndnote/>
          <w:docGrid w:linePitch="360"/>
        </w:sectPr>
      </w:pPr>
    </w:p>
    <w:p w14:paraId="09F00D59" w14:textId="35F8D0A0" w:rsidR="009C0226" w:rsidRDefault="009C0226" w:rsidP="00766FCC">
      <w:pPr>
        <w:rPr>
          <w:rFonts w:eastAsia="Times New Roman" w:cs="Times New Roman"/>
        </w:rPr>
      </w:pPr>
      <w:r w:rsidRPr="009C0226">
        <w:rPr>
          <w:rFonts w:eastAsia="Times New Roman" w:cs="Times New Roman"/>
        </w:rPr>
        <w:lastRenderedPageBreak/>
        <w:t xml:space="preserve">The regression results in </w:t>
      </w:r>
      <w:r w:rsidRPr="004E4775">
        <w:rPr>
          <w:rFonts w:eastAsia="Times New Roman" w:cs="Times New Roman"/>
          <w:b/>
          <w:bCs/>
        </w:rPr>
        <w:t>Table A35</w:t>
      </w:r>
      <w:r w:rsidRPr="009C0226">
        <w:rPr>
          <w:rFonts w:eastAsia="Times New Roman" w:cs="Times New Roman"/>
        </w:rPr>
        <w:t xml:space="preserve"> </w:t>
      </w:r>
      <w:r>
        <w:rPr>
          <w:rFonts w:eastAsia="Times New Roman" w:cs="Times New Roman"/>
        </w:rPr>
        <w:t xml:space="preserve">above </w:t>
      </w:r>
      <w:r w:rsidRPr="009C0226">
        <w:rPr>
          <w:rFonts w:eastAsia="Times New Roman" w:cs="Times New Roman"/>
        </w:rPr>
        <w:t>provide a comprehensive analysis of the aggregate Land-Intensive Sectors (LIS), capturing the overall patterns and relationships across multiple sub-sectors. The interpretation focuses on how socio-economic, environmental, and policy factors influence key outcome variables, offering broad insights into the dynamics of establishment births, migrations, deaths, employment, and sales performance in land-intensive industries</w:t>
      </w:r>
      <w:r>
        <w:rPr>
          <w:rFonts w:eastAsia="Times New Roman" w:cs="Times New Roman"/>
        </w:rPr>
        <w:t>:</w:t>
      </w:r>
    </w:p>
    <w:p w14:paraId="72FC5AAE" w14:textId="167B0EB6" w:rsidR="00BF0763" w:rsidRPr="00BF0763" w:rsidRDefault="00BF0763" w:rsidP="00766FCC">
      <w:pPr>
        <w:rPr>
          <w:rFonts w:eastAsia="Times New Roman" w:cs="Times New Roman"/>
          <w:lang/>
        </w:rPr>
      </w:pPr>
      <w:r w:rsidRPr="00BF0763">
        <w:rPr>
          <w:rFonts w:eastAsia="Times New Roman" w:cs="Times New Roman"/>
          <w:b/>
          <w:bCs/>
          <w:lang/>
        </w:rPr>
        <w:t>Births:</w:t>
      </w:r>
      <w:r w:rsidRPr="00BF0763">
        <w:rPr>
          <w:rFonts w:eastAsia="Times New Roman" w:cs="Times New Roman"/>
        </w:rPr>
        <w:t xml:space="preserve"> </w:t>
      </w:r>
      <w:r w:rsidRPr="00BF0763">
        <w:rPr>
          <w:rFonts w:eastAsia="Times New Roman" w:cs="Times New Roman"/>
          <w:lang/>
        </w:rPr>
        <w:t>The Housing Price Index (HPI) negatively affects establishment births, suggesting that higher property values deter new businesses by raising entry costs, consistent with findings from Meltzer et al. (2020). PM Attainment Status positively impacts births, indicating that environmental compliance and better air quality can attract new establishments (Currie et al., 2015). Population Density and Prior Establishment Count positively influence births, reflecting the agglomeration economies where higher density and localized economic activity foster business formation (Glaeser et al., 1992). Prior Exits negatively affect births, supporting Schumpeter's (1942) concept of "creative destruction," where instability from recent exits discourages new ventures.</w:t>
      </w:r>
    </w:p>
    <w:p w14:paraId="562FB0BB" w14:textId="77777777" w:rsidR="00BF0763" w:rsidRPr="00BF0763" w:rsidRDefault="00BF0763" w:rsidP="00766FCC">
      <w:pPr>
        <w:rPr>
          <w:rFonts w:eastAsia="Times New Roman" w:cs="Times New Roman"/>
          <w:lang/>
        </w:rPr>
      </w:pPr>
      <w:r w:rsidRPr="00BF0763">
        <w:rPr>
          <w:rFonts w:eastAsia="Times New Roman" w:cs="Times New Roman"/>
          <w:b/>
          <w:bCs/>
          <w:lang/>
        </w:rPr>
        <w:t>Inward Relocations:</w:t>
      </w:r>
      <w:r w:rsidRPr="00BF0763">
        <w:rPr>
          <w:rFonts w:eastAsia="Times New Roman" w:cs="Times New Roman"/>
        </w:rPr>
        <w:t xml:space="preserve"> </w:t>
      </w:r>
      <w:r w:rsidRPr="00BF0763">
        <w:rPr>
          <w:rFonts w:eastAsia="Times New Roman" w:cs="Times New Roman"/>
          <w:lang/>
        </w:rPr>
        <w:t xml:space="preserve">Poverty Rate negatively affects inward relocations, suggesting that areas with higher poverty levels lack the economic infrastructure and demand to attract relocating businesses (Henderson, 1997). Similarly, the negative impact of PM Attainment Status indicates that compliance with stricter particulate matter regulations may discourage firms from relocating to these areas (Currie et al., 2015). Conversely, Population Density positively impacts </w:t>
      </w:r>
      <w:r w:rsidRPr="00BF0763">
        <w:rPr>
          <w:rFonts w:eastAsia="Times New Roman" w:cs="Times New Roman"/>
          <w:lang/>
        </w:rPr>
        <w:lastRenderedPageBreak/>
        <w:t>relocations, reflecting the benefits of concentrated infrastructure, skilled labor, and network effects (Glaeser et al., 1992).</w:t>
      </w:r>
    </w:p>
    <w:p w14:paraId="7E9BE8F2" w14:textId="77777777" w:rsidR="00BF0763" w:rsidRPr="00BF0763" w:rsidRDefault="00BF0763" w:rsidP="00766FCC">
      <w:pPr>
        <w:rPr>
          <w:rFonts w:eastAsia="Times New Roman" w:cs="Times New Roman"/>
          <w:b/>
          <w:bCs/>
        </w:rPr>
      </w:pPr>
      <w:r w:rsidRPr="00BF0763">
        <w:rPr>
          <w:rFonts w:eastAsia="Times New Roman" w:cs="Times New Roman"/>
          <w:b/>
          <w:bCs/>
        </w:rPr>
        <w:t xml:space="preserve">Deaths: </w:t>
      </w:r>
      <w:r w:rsidRPr="00BF0763">
        <w:rPr>
          <w:rFonts w:eastAsia="Times New Roman" w:cs="Times New Roman"/>
        </w:rPr>
        <w:t>Protected Areas (% CPAD t-1) exhibit a negative relationship with deaths, implying that establishments near protected lands benefit from stable operations, potentially tied to ecosystem services or tourism demand (</w:t>
      </w:r>
      <w:proofErr w:type="spellStart"/>
      <w:r w:rsidRPr="00BF0763">
        <w:rPr>
          <w:rFonts w:eastAsia="Times New Roman" w:cs="Times New Roman"/>
        </w:rPr>
        <w:t>Radeloff</w:t>
      </w:r>
      <w:proofErr w:type="spellEnd"/>
      <w:r w:rsidRPr="00BF0763">
        <w:rPr>
          <w:rFonts w:eastAsia="Times New Roman" w:cs="Times New Roman"/>
        </w:rPr>
        <w:t xml:space="preserve"> et al., 2018). The Housing Price Index negatively affects deaths, suggesting that higher property values sustain demand and reduce firm closures (Meltzer et al., 2020). Median Household Income shows a positive association, consistent with the idea that competitive pressures in wealthier regions increase business turnover (Carlton, 1983). Population Density and Prior Establishment Count positively impact deaths, highlighting the role of competition and saturation in driving closures (Dunne et al., 1989).</w:t>
      </w:r>
    </w:p>
    <w:p w14:paraId="3E448526" w14:textId="77777777" w:rsidR="00BF0763" w:rsidRPr="00BF0763" w:rsidRDefault="00BF0763" w:rsidP="00766FCC">
      <w:pPr>
        <w:rPr>
          <w:rFonts w:eastAsia="Times New Roman" w:cs="Times New Roman"/>
          <w:lang/>
        </w:rPr>
      </w:pPr>
      <w:r w:rsidRPr="00BF0763">
        <w:rPr>
          <w:rFonts w:eastAsia="Times New Roman" w:cs="Times New Roman"/>
          <w:b/>
          <w:bCs/>
          <w:lang/>
        </w:rPr>
        <w:t>Outward Relocations:</w:t>
      </w:r>
      <w:r w:rsidRPr="00BF0763">
        <w:rPr>
          <w:rFonts w:eastAsia="Times New Roman" w:cs="Times New Roman"/>
        </w:rPr>
        <w:t xml:space="preserve"> </w:t>
      </w:r>
      <w:r w:rsidRPr="00BF0763">
        <w:rPr>
          <w:rFonts w:eastAsia="Times New Roman" w:cs="Times New Roman"/>
          <w:lang/>
        </w:rPr>
        <w:t>Precipitation positively impacts outward relocations, likely reflecting operational disruptions in high-precipitation areas, particularly for land-intensive sectors dependent on stable weather conditions (Lobell et al., 2011). Prior Entries also positively affect relocations, suggesting that increased competition from new entrants forces some firms to relocate (Schumpeter, 1942).</w:t>
      </w:r>
    </w:p>
    <w:p w14:paraId="65B4D8BF" w14:textId="77777777" w:rsidR="00BF0763" w:rsidRPr="00BF0763" w:rsidRDefault="00BF0763" w:rsidP="00766FCC">
      <w:pPr>
        <w:rPr>
          <w:rFonts w:eastAsia="Times New Roman" w:cs="Times New Roman"/>
          <w:lang/>
        </w:rPr>
      </w:pPr>
      <w:r w:rsidRPr="00BF0763">
        <w:rPr>
          <w:rFonts w:eastAsia="Times New Roman" w:cs="Times New Roman"/>
          <w:b/>
          <w:bCs/>
          <w:lang/>
        </w:rPr>
        <w:t>Employment:</w:t>
      </w:r>
      <w:r w:rsidRPr="00BF0763">
        <w:rPr>
          <w:rFonts w:eastAsia="Times New Roman" w:cs="Times New Roman"/>
        </w:rPr>
        <w:t xml:space="preserve"> </w:t>
      </w:r>
      <w:r w:rsidRPr="00BF0763">
        <w:rPr>
          <w:rFonts w:eastAsia="Times New Roman" w:cs="Times New Roman"/>
          <w:lang/>
        </w:rPr>
        <w:t>Temperature positively affects employment, indicating increased labor demand to manage heat-related disruptions or adaptations in land-intensive sectors (Deschênes &amp; Greenstone, 2011). PM Attainment Status negatively impacts employment, likely reflecting compliance costs and operational constraints associated with air quality regulations (Currie et al., 2015).</w:t>
      </w:r>
    </w:p>
    <w:p w14:paraId="0BB3AB63" w14:textId="77777777" w:rsidR="000207A6" w:rsidRDefault="00BF0763" w:rsidP="00766FCC">
      <w:pPr>
        <w:rPr>
          <w:rFonts w:eastAsia="Times New Roman" w:cs="Times New Roman"/>
          <w:lang/>
        </w:rPr>
        <w:sectPr w:rsidR="000207A6" w:rsidSect="000207A6">
          <w:pgSz w:w="12240" w:h="15840" w:code="1"/>
          <w:pgMar w:top="1440" w:right="1440" w:bottom="1440" w:left="1440" w:header="720" w:footer="1440" w:gutter="0"/>
          <w:cols w:space="720"/>
          <w:noEndnote/>
          <w:docGrid w:linePitch="360"/>
        </w:sectPr>
      </w:pPr>
      <w:r w:rsidRPr="00BF0763">
        <w:rPr>
          <w:rFonts w:eastAsia="Times New Roman" w:cs="Times New Roman"/>
          <w:b/>
          <w:bCs/>
          <w:lang/>
        </w:rPr>
        <w:lastRenderedPageBreak/>
        <w:t>Sales Volume Performance:</w:t>
      </w:r>
      <w:r w:rsidRPr="00BF0763">
        <w:rPr>
          <w:rFonts w:eastAsia="Times New Roman" w:cs="Times New Roman"/>
        </w:rPr>
        <w:t xml:space="preserve"> </w:t>
      </w:r>
      <w:r w:rsidRPr="00BF0763">
        <w:rPr>
          <w:rFonts w:eastAsia="Times New Roman" w:cs="Times New Roman"/>
          <w:lang/>
        </w:rPr>
        <w:t>Precipitation negatively impacts sales volume, consistent with weather-induced disruptions to production and supply chains (Lobell et al., 2011). The Housing Price Index also negatively affects sales performance, indicating that higher costs erode profitability in land-intensive sectors (Meltzer et al., 2020). Conversely, Median Household Income positively impacts sales, supporting findings that stronger local economic conditions boost consumer demand and business revenues (Glaeser et al., 1992).</w:t>
      </w:r>
    </w:p>
    <w:p w14:paraId="0B952848" w14:textId="6C1F5D5D" w:rsidR="00BF0763" w:rsidRPr="00BF0763" w:rsidRDefault="00BF0763" w:rsidP="00095E25">
      <w:pPr>
        <w:pStyle w:val="Title"/>
        <w:rPr>
          <w:rFonts w:ascii="Garamond" w:hAnsi="Garamond"/>
          <w:sz w:val="20"/>
          <w:szCs w:val="20"/>
        </w:rPr>
      </w:pPr>
      <w:bookmarkStart w:id="492" w:name="_Toc187564782"/>
      <w:bookmarkStart w:id="493" w:name="_Toc188359641"/>
      <w:bookmarkStart w:id="494" w:name="_Toc188359929"/>
      <w:bookmarkStart w:id="495" w:name="_Toc188361165"/>
      <w:bookmarkStart w:id="496" w:name="_Toc188367009"/>
      <w:r w:rsidRPr="00BF0763">
        <w:lastRenderedPageBreak/>
        <w:t>Table A</w:t>
      </w:r>
      <w:r w:rsidR="007D52FE">
        <w:rPr>
          <w:lang w:val="en-US"/>
        </w:rPr>
        <w:t>36</w:t>
      </w:r>
      <w:r w:rsidRPr="00BF0763">
        <w:t>: Regression Results for Agriculture</w:t>
      </w:r>
      <w:r w:rsidR="00AB0CC4">
        <w:rPr>
          <w:lang w:val="en-US"/>
        </w:rPr>
        <w:t xml:space="preserve"> </w:t>
      </w:r>
      <w:r w:rsidRPr="00BF0763">
        <w:t>(NAICS 11)</w:t>
      </w:r>
      <w:bookmarkEnd w:id="492"/>
      <w:bookmarkEnd w:id="493"/>
      <w:bookmarkEnd w:id="494"/>
      <w:bookmarkEnd w:id="495"/>
      <w:bookmarkEnd w:id="496"/>
    </w:p>
    <w:tbl>
      <w:tblPr>
        <w:tblW w:w="4450" w:type="pct"/>
        <w:jc w:val="center"/>
        <w:tblLook w:val="0000" w:firstRow="0" w:lastRow="0" w:firstColumn="0" w:lastColumn="0" w:noHBand="0" w:noVBand="0"/>
      </w:tblPr>
      <w:tblGrid>
        <w:gridCol w:w="1272"/>
        <w:gridCol w:w="866"/>
        <w:gridCol w:w="1229"/>
        <w:gridCol w:w="966"/>
        <w:gridCol w:w="1354"/>
        <w:gridCol w:w="1316"/>
        <w:gridCol w:w="1327"/>
      </w:tblGrid>
      <w:tr w:rsidR="003B5A8E" w:rsidRPr="00BF0763" w14:paraId="5E724AE2" w14:textId="77777777" w:rsidTr="003B5A8E">
        <w:trPr>
          <w:jc w:val="center"/>
        </w:trPr>
        <w:tc>
          <w:tcPr>
            <w:tcW w:w="764" w:type="pct"/>
            <w:tcBorders>
              <w:top w:val="single" w:sz="4" w:space="0" w:color="auto"/>
              <w:left w:val="nil"/>
              <w:bottom w:val="single" w:sz="4" w:space="0" w:color="auto"/>
              <w:right w:val="nil"/>
            </w:tcBorders>
          </w:tcPr>
          <w:p w14:paraId="7D6EB8D8" w14:textId="7D61970F" w:rsidR="00BF0763" w:rsidRPr="00BF0763" w:rsidRDefault="00BF0763" w:rsidP="00B94FE7">
            <w:pPr>
              <w:widowControl w:val="0"/>
              <w:autoSpaceDE w:val="0"/>
              <w:autoSpaceDN w:val="0"/>
              <w:adjustRightInd w:val="0"/>
              <w:spacing w:line="240" w:lineRule="auto"/>
              <w:rPr>
                <w:rFonts w:eastAsia="Times New Roman" w:cs="Times New Roman"/>
                <w:b/>
                <w:bCs/>
                <w:sz w:val="20"/>
                <w:szCs w:val="20"/>
              </w:rPr>
            </w:pPr>
            <w:r w:rsidRPr="00BF0763">
              <w:rPr>
                <w:rFonts w:eastAsia="Times New Roman" w:cs="Times New Roman"/>
                <w:b/>
                <w:bCs/>
                <w:sz w:val="20"/>
                <w:szCs w:val="20"/>
              </w:rPr>
              <w:t>Variable</w:t>
            </w:r>
          </w:p>
        </w:tc>
        <w:tc>
          <w:tcPr>
            <w:tcW w:w="520" w:type="pct"/>
            <w:tcBorders>
              <w:top w:val="single" w:sz="4" w:space="0" w:color="auto"/>
              <w:left w:val="nil"/>
              <w:bottom w:val="single" w:sz="4" w:space="0" w:color="auto"/>
              <w:right w:val="nil"/>
            </w:tcBorders>
          </w:tcPr>
          <w:p w14:paraId="1BB634CD" w14:textId="23ED22E5" w:rsidR="00BF0763" w:rsidRPr="00BF0763" w:rsidRDefault="00BF0763" w:rsidP="00B94FE7">
            <w:pPr>
              <w:widowControl w:val="0"/>
              <w:autoSpaceDE w:val="0"/>
              <w:autoSpaceDN w:val="0"/>
              <w:adjustRightInd w:val="0"/>
              <w:spacing w:line="240" w:lineRule="auto"/>
              <w:rPr>
                <w:rFonts w:eastAsia="Times New Roman" w:cs="Times New Roman"/>
                <w:b/>
                <w:bCs/>
                <w:sz w:val="20"/>
                <w:szCs w:val="20"/>
              </w:rPr>
            </w:pPr>
            <w:r w:rsidRPr="00BF0763">
              <w:rPr>
                <w:rFonts w:eastAsia="Times New Roman" w:cs="Times New Roman"/>
                <w:b/>
                <w:bCs/>
                <w:sz w:val="20"/>
                <w:szCs w:val="20"/>
              </w:rPr>
              <w:t>Births</w:t>
            </w:r>
          </w:p>
        </w:tc>
        <w:tc>
          <w:tcPr>
            <w:tcW w:w="738" w:type="pct"/>
            <w:tcBorders>
              <w:top w:val="single" w:sz="4" w:space="0" w:color="auto"/>
              <w:left w:val="nil"/>
              <w:bottom w:val="single" w:sz="4" w:space="0" w:color="auto"/>
              <w:right w:val="nil"/>
            </w:tcBorders>
          </w:tcPr>
          <w:p w14:paraId="3814598A" w14:textId="5B607C30" w:rsidR="00BF0763" w:rsidRPr="00BF0763" w:rsidRDefault="00BF0763" w:rsidP="00B94FE7">
            <w:pPr>
              <w:widowControl w:val="0"/>
              <w:autoSpaceDE w:val="0"/>
              <w:autoSpaceDN w:val="0"/>
              <w:adjustRightInd w:val="0"/>
              <w:spacing w:line="240" w:lineRule="auto"/>
              <w:rPr>
                <w:rFonts w:eastAsia="Times New Roman" w:cs="Times New Roman"/>
                <w:b/>
                <w:bCs/>
                <w:sz w:val="20"/>
                <w:szCs w:val="20"/>
              </w:rPr>
            </w:pPr>
            <w:r w:rsidRPr="00BF0763">
              <w:rPr>
                <w:rFonts w:eastAsia="Times New Roman" w:cs="Times New Roman"/>
                <w:b/>
                <w:bCs/>
                <w:sz w:val="20"/>
                <w:szCs w:val="20"/>
              </w:rPr>
              <w:t>In-Migrations</w:t>
            </w:r>
          </w:p>
        </w:tc>
        <w:tc>
          <w:tcPr>
            <w:tcW w:w="580" w:type="pct"/>
            <w:tcBorders>
              <w:top w:val="single" w:sz="4" w:space="0" w:color="auto"/>
              <w:left w:val="nil"/>
              <w:bottom w:val="single" w:sz="4" w:space="0" w:color="auto"/>
              <w:right w:val="nil"/>
            </w:tcBorders>
          </w:tcPr>
          <w:p w14:paraId="7FBBDE64" w14:textId="1F8924D7" w:rsidR="00BF0763" w:rsidRPr="00BF0763" w:rsidRDefault="00BF0763" w:rsidP="00B94FE7">
            <w:pPr>
              <w:widowControl w:val="0"/>
              <w:autoSpaceDE w:val="0"/>
              <w:autoSpaceDN w:val="0"/>
              <w:adjustRightInd w:val="0"/>
              <w:spacing w:line="240" w:lineRule="auto"/>
              <w:rPr>
                <w:rFonts w:eastAsia="Times New Roman" w:cs="Times New Roman"/>
                <w:b/>
                <w:bCs/>
                <w:sz w:val="20"/>
                <w:szCs w:val="20"/>
              </w:rPr>
            </w:pPr>
            <w:r w:rsidRPr="00BF0763">
              <w:rPr>
                <w:rFonts w:eastAsia="Times New Roman" w:cs="Times New Roman"/>
                <w:b/>
                <w:bCs/>
                <w:sz w:val="20"/>
                <w:szCs w:val="20"/>
              </w:rPr>
              <w:t>Deaths</w:t>
            </w:r>
          </w:p>
        </w:tc>
        <w:tc>
          <w:tcPr>
            <w:tcW w:w="813" w:type="pct"/>
            <w:tcBorders>
              <w:top w:val="single" w:sz="4" w:space="0" w:color="auto"/>
              <w:left w:val="nil"/>
              <w:bottom w:val="single" w:sz="4" w:space="0" w:color="auto"/>
              <w:right w:val="nil"/>
            </w:tcBorders>
          </w:tcPr>
          <w:p w14:paraId="654FABAB" w14:textId="6B57190E" w:rsidR="00BF0763" w:rsidRPr="00BF0763" w:rsidRDefault="00BF0763" w:rsidP="00B94FE7">
            <w:pPr>
              <w:widowControl w:val="0"/>
              <w:autoSpaceDE w:val="0"/>
              <w:autoSpaceDN w:val="0"/>
              <w:adjustRightInd w:val="0"/>
              <w:spacing w:line="240" w:lineRule="auto"/>
              <w:rPr>
                <w:rFonts w:eastAsia="Times New Roman" w:cs="Times New Roman"/>
                <w:b/>
                <w:bCs/>
                <w:sz w:val="20"/>
                <w:szCs w:val="20"/>
              </w:rPr>
            </w:pPr>
            <w:r w:rsidRPr="00BF0763">
              <w:rPr>
                <w:rFonts w:eastAsia="Times New Roman" w:cs="Times New Roman"/>
                <w:b/>
                <w:bCs/>
                <w:sz w:val="20"/>
                <w:szCs w:val="20"/>
              </w:rPr>
              <w:t>Out-Migrations</w:t>
            </w:r>
          </w:p>
        </w:tc>
        <w:tc>
          <w:tcPr>
            <w:tcW w:w="790" w:type="pct"/>
            <w:tcBorders>
              <w:top w:val="single" w:sz="4" w:space="0" w:color="auto"/>
              <w:left w:val="nil"/>
              <w:bottom w:val="single" w:sz="4" w:space="0" w:color="auto"/>
              <w:right w:val="nil"/>
            </w:tcBorders>
          </w:tcPr>
          <w:p w14:paraId="3C79BD60" w14:textId="07691CD5" w:rsidR="00BF0763" w:rsidRPr="00BF0763" w:rsidRDefault="00BF0763" w:rsidP="00B94FE7">
            <w:pPr>
              <w:widowControl w:val="0"/>
              <w:autoSpaceDE w:val="0"/>
              <w:autoSpaceDN w:val="0"/>
              <w:adjustRightInd w:val="0"/>
              <w:spacing w:line="240" w:lineRule="auto"/>
              <w:rPr>
                <w:rFonts w:eastAsia="Times New Roman" w:cs="Times New Roman"/>
                <w:b/>
                <w:bCs/>
                <w:sz w:val="20"/>
                <w:szCs w:val="20"/>
              </w:rPr>
            </w:pPr>
            <w:r w:rsidRPr="00BF0763">
              <w:rPr>
                <w:rFonts w:eastAsia="Times New Roman" w:cs="Times New Roman"/>
                <w:b/>
                <w:bCs/>
                <w:sz w:val="20"/>
                <w:szCs w:val="20"/>
              </w:rPr>
              <w:t>Employment</w:t>
            </w:r>
          </w:p>
        </w:tc>
        <w:tc>
          <w:tcPr>
            <w:tcW w:w="797" w:type="pct"/>
            <w:tcBorders>
              <w:top w:val="single" w:sz="4" w:space="0" w:color="auto"/>
              <w:left w:val="nil"/>
              <w:bottom w:val="single" w:sz="4" w:space="0" w:color="auto"/>
              <w:right w:val="nil"/>
            </w:tcBorders>
          </w:tcPr>
          <w:p w14:paraId="2562E830" w14:textId="6683DCD6" w:rsidR="00BF0763" w:rsidRPr="00BF0763" w:rsidRDefault="00BF0763" w:rsidP="00B94FE7">
            <w:pPr>
              <w:widowControl w:val="0"/>
              <w:autoSpaceDE w:val="0"/>
              <w:autoSpaceDN w:val="0"/>
              <w:adjustRightInd w:val="0"/>
              <w:spacing w:line="240" w:lineRule="auto"/>
              <w:rPr>
                <w:rFonts w:eastAsia="Times New Roman" w:cs="Times New Roman"/>
                <w:b/>
                <w:bCs/>
                <w:sz w:val="20"/>
                <w:szCs w:val="20"/>
              </w:rPr>
            </w:pPr>
            <w:r w:rsidRPr="00BF0763">
              <w:rPr>
                <w:rFonts w:eastAsia="Times New Roman" w:cs="Times New Roman"/>
                <w:b/>
                <w:bCs/>
                <w:sz w:val="20"/>
                <w:szCs w:val="20"/>
              </w:rPr>
              <w:t>Performance</w:t>
            </w:r>
          </w:p>
        </w:tc>
      </w:tr>
      <w:tr w:rsidR="003B5A8E" w:rsidRPr="00BF0763" w14:paraId="2E3F82B9" w14:textId="77777777" w:rsidTr="003B5A8E">
        <w:trPr>
          <w:jc w:val="center"/>
        </w:trPr>
        <w:tc>
          <w:tcPr>
            <w:tcW w:w="764" w:type="pct"/>
            <w:tcBorders>
              <w:top w:val="single" w:sz="4" w:space="0" w:color="auto"/>
              <w:left w:val="nil"/>
              <w:bottom w:val="nil"/>
              <w:right w:val="nil"/>
            </w:tcBorders>
          </w:tcPr>
          <w:p w14:paraId="61AFAAF3"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Fire Count (t-1) (1000s)</w:t>
            </w:r>
          </w:p>
        </w:tc>
        <w:tc>
          <w:tcPr>
            <w:tcW w:w="520" w:type="pct"/>
            <w:tcBorders>
              <w:top w:val="single" w:sz="4" w:space="0" w:color="auto"/>
              <w:left w:val="nil"/>
              <w:bottom w:val="nil"/>
              <w:right w:val="nil"/>
            </w:tcBorders>
          </w:tcPr>
          <w:p w14:paraId="2B3E06DE"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-0.057</w:t>
            </w:r>
          </w:p>
        </w:tc>
        <w:tc>
          <w:tcPr>
            <w:tcW w:w="738" w:type="pct"/>
            <w:tcBorders>
              <w:top w:val="single" w:sz="4" w:space="0" w:color="auto"/>
              <w:left w:val="nil"/>
              <w:bottom w:val="nil"/>
              <w:right w:val="nil"/>
            </w:tcBorders>
          </w:tcPr>
          <w:p w14:paraId="059A3D48"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-0.786</w:t>
            </w:r>
          </w:p>
        </w:tc>
        <w:tc>
          <w:tcPr>
            <w:tcW w:w="580" w:type="pct"/>
            <w:tcBorders>
              <w:top w:val="single" w:sz="4" w:space="0" w:color="auto"/>
              <w:left w:val="nil"/>
              <w:bottom w:val="nil"/>
              <w:right w:val="nil"/>
            </w:tcBorders>
          </w:tcPr>
          <w:p w14:paraId="092DA357"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0.156***</w:t>
            </w:r>
          </w:p>
        </w:tc>
        <w:tc>
          <w:tcPr>
            <w:tcW w:w="813" w:type="pct"/>
            <w:tcBorders>
              <w:top w:val="single" w:sz="4" w:space="0" w:color="auto"/>
              <w:left w:val="nil"/>
              <w:bottom w:val="nil"/>
              <w:right w:val="nil"/>
            </w:tcBorders>
          </w:tcPr>
          <w:p w14:paraId="36DFEC37"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0.096</w:t>
            </w:r>
          </w:p>
        </w:tc>
        <w:tc>
          <w:tcPr>
            <w:tcW w:w="790" w:type="pct"/>
            <w:tcBorders>
              <w:top w:val="single" w:sz="4" w:space="0" w:color="auto"/>
              <w:left w:val="nil"/>
              <w:bottom w:val="nil"/>
              <w:right w:val="nil"/>
            </w:tcBorders>
          </w:tcPr>
          <w:p w14:paraId="4775C8E1"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-0.274**</w:t>
            </w:r>
          </w:p>
        </w:tc>
        <w:tc>
          <w:tcPr>
            <w:tcW w:w="797" w:type="pct"/>
            <w:tcBorders>
              <w:top w:val="single" w:sz="4" w:space="0" w:color="auto"/>
              <w:left w:val="nil"/>
              <w:bottom w:val="nil"/>
              <w:right w:val="nil"/>
            </w:tcBorders>
          </w:tcPr>
          <w:p w14:paraId="0CA843D9"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-0.870***</w:t>
            </w:r>
          </w:p>
        </w:tc>
      </w:tr>
      <w:tr w:rsidR="003B5A8E" w:rsidRPr="00BF0763" w14:paraId="0B6EBF14" w14:textId="77777777" w:rsidTr="003B5A8E">
        <w:trPr>
          <w:jc w:val="center"/>
        </w:trPr>
        <w:tc>
          <w:tcPr>
            <w:tcW w:w="764" w:type="pct"/>
            <w:tcBorders>
              <w:top w:val="nil"/>
              <w:left w:val="nil"/>
              <w:bottom w:val="nil"/>
              <w:right w:val="nil"/>
            </w:tcBorders>
          </w:tcPr>
          <w:p w14:paraId="5586B119"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 xml:space="preserve">  </w:t>
            </w:r>
          </w:p>
        </w:tc>
        <w:tc>
          <w:tcPr>
            <w:tcW w:w="520" w:type="pct"/>
            <w:tcBorders>
              <w:top w:val="nil"/>
              <w:left w:val="nil"/>
              <w:bottom w:val="nil"/>
              <w:right w:val="nil"/>
            </w:tcBorders>
          </w:tcPr>
          <w:p w14:paraId="2B44E745"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(0.110)</w:t>
            </w:r>
          </w:p>
        </w:tc>
        <w:tc>
          <w:tcPr>
            <w:tcW w:w="738" w:type="pct"/>
            <w:tcBorders>
              <w:top w:val="nil"/>
              <w:left w:val="nil"/>
              <w:bottom w:val="nil"/>
              <w:right w:val="nil"/>
            </w:tcBorders>
          </w:tcPr>
          <w:p w14:paraId="0D691E15"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(1.20)</w:t>
            </w:r>
          </w:p>
        </w:tc>
        <w:tc>
          <w:tcPr>
            <w:tcW w:w="580" w:type="pct"/>
            <w:tcBorders>
              <w:top w:val="nil"/>
              <w:left w:val="nil"/>
              <w:bottom w:val="nil"/>
              <w:right w:val="nil"/>
            </w:tcBorders>
          </w:tcPr>
          <w:p w14:paraId="14B3C135"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(0.055)</w:t>
            </w:r>
          </w:p>
        </w:tc>
        <w:tc>
          <w:tcPr>
            <w:tcW w:w="813" w:type="pct"/>
            <w:tcBorders>
              <w:top w:val="nil"/>
              <w:left w:val="nil"/>
              <w:bottom w:val="nil"/>
              <w:right w:val="nil"/>
            </w:tcBorders>
          </w:tcPr>
          <w:p w14:paraId="4F07BCDC"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(1.69)</w:t>
            </w:r>
          </w:p>
        </w:tc>
        <w:tc>
          <w:tcPr>
            <w:tcW w:w="790" w:type="pct"/>
            <w:tcBorders>
              <w:top w:val="nil"/>
              <w:left w:val="nil"/>
              <w:bottom w:val="nil"/>
              <w:right w:val="nil"/>
            </w:tcBorders>
          </w:tcPr>
          <w:p w14:paraId="76E51D02"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(0.119)</w:t>
            </w:r>
          </w:p>
        </w:tc>
        <w:tc>
          <w:tcPr>
            <w:tcW w:w="797" w:type="pct"/>
            <w:tcBorders>
              <w:top w:val="nil"/>
              <w:left w:val="nil"/>
              <w:bottom w:val="nil"/>
              <w:right w:val="nil"/>
            </w:tcBorders>
          </w:tcPr>
          <w:p w14:paraId="4E96D4CE"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(0.242)</w:t>
            </w:r>
          </w:p>
        </w:tc>
      </w:tr>
      <w:tr w:rsidR="003B5A8E" w:rsidRPr="00BF0763" w14:paraId="0132D269" w14:textId="77777777" w:rsidTr="003B5A8E">
        <w:trPr>
          <w:jc w:val="center"/>
        </w:trPr>
        <w:tc>
          <w:tcPr>
            <w:tcW w:w="764" w:type="pct"/>
            <w:tcBorders>
              <w:top w:val="nil"/>
              <w:left w:val="nil"/>
              <w:bottom w:val="nil"/>
              <w:right w:val="nil"/>
            </w:tcBorders>
          </w:tcPr>
          <w:p w14:paraId="32A50662"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 County Burned (t-1) (100s)</w:t>
            </w:r>
          </w:p>
        </w:tc>
        <w:tc>
          <w:tcPr>
            <w:tcW w:w="520" w:type="pct"/>
            <w:tcBorders>
              <w:top w:val="nil"/>
              <w:left w:val="nil"/>
              <w:bottom w:val="nil"/>
              <w:right w:val="nil"/>
            </w:tcBorders>
          </w:tcPr>
          <w:p w14:paraId="7FF2A634"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-1.75**</w:t>
            </w:r>
          </w:p>
        </w:tc>
        <w:tc>
          <w:tcPr>
            <w:tcW w:w="738" w:type="pct"/>
            <w:tcBorders>
              <w:top w:val="nil"/>
              <w:left w:val="nil"/>
              <w:bottom w:val="nil"/>
              <w:right w:val="nil"/>
            </w:tcBorders>
          </w:tcPr>
          <w:p w14:paraId="1ADF1978"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4.24</w:t>
            </w:r>
          </w:p>
        </w:tc>
        <w:tc>
          <w:tcPr>
            <w:tcW w:w="580" w:type="pct"/>
            <w:tcBorders>
              <w:top w:val="nil"/>
              <w:left w:val="nil"/>
              <w:bottom w:val="nil"/>
              <w:right w:val="nil"/>
            </w:tcBorders>
          </w:tcPr>
          <w:p w14:paraId="7BE0DEBE"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0.208</w:t>
            </w:r>
          </w:p>
        </w:tc>
        <w:tc>
          <w:tcPr>
            <w:tcW w:w="813" w:type="pct"/>
            <w:tcBorders>
              <w:top w:val="nil"/>
              <w:left w:val="nil"/>
              <w:bottom w:val="nil"/>
              <w:right w:val="nil"/>
            </w:tcBorders>
          </w:tcPr>
          <w:p w14:paraId="7CCE0A2B"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-0.558</w:t>
            </w:r>
          </w:p>
        </w:tc>
        <w:tc>
          <w:tcPr>
            <w:tcW w:w="790" w:type="pct"/>
            <w:tcBorders>
              <w:top w:val="nil"/>
              <w:left w:val="nil"/>
              <w:bottom w:val="nil"/>
              <w:right w:val="nil"/>
            </w:tcBorders>
          </w:tcPr>
          <w:p w14:paraId="07690A3D"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-0.212</w:t>
            </w:r>
          </w:p>
        </w:tc>
        <w:tc>
          <w:tcPr>
            <w:tcW w:w="797" w:type="pct"/>
            <w:tcBorders>
              <w:top w:val="nil"/>
              <w:left w:val="nil"/>
              <w:bottom w:val="nil"/>
              <w:right w:val="nil"/>
            </w:tcBorders>
          </w:tcPr>
          <w:p w14:paraId="63BA67F3"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-0.147</w:t>
            </w:r>
          </w:p>
        </w:tc>
      </w:tr>
      <w:tr w:rsidR="003B5A8E" w:rsidRPr="00BF0763" w14:paraId="23ECF4C9" w14:textId="77777777" w:rsidTr="003B5A8E">
        <w:trPr>
          <w:jc w:val="center"/>
        </w:trPr>
        <w:tc>
          <w:tcPr>
            <w:tcW w:w="764" w:type="pct"/>
            <w:tcBorders>
              <w:top w:val="nil"/>
              <w:left w:val="nil"/>
              <w:bottom w:val="nil"/>
              <w:right w:val="nil"/>
            </w:tcBorders>
          </w:tcPr>
          <w:p w14:paraId="15BEC6A9"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 xml:space="preserve">  </w:t>
            </w:r>
          </w:p>
        </w:tc>
        <w:tc>
          <w:tcPr>
            <w:tcW w:w="520" w:type="pct"/>
            <w:tcBorders>
              <w:top w:val="nil"/>
              <w:left w:val="nil"/>
              <w:bottom w:val="nil"/>
              <w:right w:val="nil"/>
            </w:tcBorders>
          </w:tcPr>
          <w:p w14:paraId="52D803EE"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(0.882)</w:t>
            </w:r>
          </w:p>
        </w:tc>
        <w:tc>
          <w:tcPr>
            <w:tcW w:w="738" w:type="pct"/>
            <w:tcBorders>
              <w:top w:val="nil"/>
              <w:left w:val="nil"/>
              <w:bottom w:val="nil"/>
              <w:right w:val="nil"/>
            </w:tcBorders>
          </w:tcPr>
          <w:p w14:paraId="441BB231"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(5.76)</w:t>
            </w:r>
          </w:p>
        </w:tc>
        <w:tc>
          <w:tcPr>
            <w:tcW w:w="580" w:type="pct"/>
            <w:tcBorders>
              <w:top w:val="nil"/>
              <w:left w:val="nil"/>
              <w:bottom w:val="nil"/>
              <w:right w:val="nil"/>
            </w:tcBorders>
          </w:tcPr>
          <w:p w14:paraId="758FD32C"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(0.530)</w:t>
            </w:r>
          </w:p>
        </w:tc>
        <w:tc>
          <w:tcPr>
            <w:tcW w:w="813" w:type="pct"/>
            <w:tcBorders>
              <w:top w:val="nil"/>
              <w:left w:val="nil"/>
              <w:bottom w:val="nil"/>
              <w:right w:val="nil"/>
            </w:tcBorders>
          </w:tcPr>
          <w:p w14:paraId="29A522DE"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(6.40)</w:t>
            </w:r>
          </w:p>
        </w:tc>
        <w:tc>
          <w:tcPr>
            <w:tcW w:w="790" w:type="pct"/>
            <w:tcBorders>
              <w:top w:val="nil"/>
              <w:left w:val="nil"/>
              <w:bottom w:val="nil"/>
              <w:right w:val="nil"/>
            </w:tcBorders>
          </w:tcPr>
          <w:p w14:paraId="3F375712"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(0.516)</w:t>
            </w:r>
          </w:p>
        </w:tc>
        <w:tc>
          <w:tcPr>
            <w:tcW w:w="797" w:type="pct"/>
            <w:tcBorders>
              <w:top w:val="nil"/>
              <w:left w:val="nil"/>
              <w:bottom w:val="nil"/>
              <w:right w:val="nil"/>
            </w:tcBorders>
          </w:tcPr>
          <w:p w14:paraId="49141EC3"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(1.08)</w:t>
            </w:r>
          </w:p>
        </w:tc>
      </w:tr>
      <w:tr w:rsidR="003B5A8E" w:rsidRPr="00BF0763" w14:paraId="0B854C5F" w14:textId="77777777" w:rsidTr="003B5A8E">
        <w:trPr>
          <w:jc w:val="center"/>
        </w:trPr>
        <w:tc>
          <w:tcPr>
            <w:tcW w:w="764" w:type="pct"/>
            <w:tcBorders>
              <w:top w:val="nil"/>
              <w:left w:val="nil"/>
              <w:bottom w:val="nil"/>
              <w:right w:val="nil"/>
            </w:tcBorders>
          </w:tcPr>
          <w:p w14:paraId="5477839B"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Precipitation (t-1) (10s)</w:t>
            </w:r>
          </w:p>
        </w:tc>
        <w:tc>
          <w:tcPr>
            <w:tcW w:w="520" w:type="pct"/>
            <w:tcBorders>
              <w:top w:val="nil"/>
              <w:left w:val="nil"/>
              <w:bottom w:val="nil"/>
              <w:right w:val="nil"/>
            </w:tcBorders>
          </w:tcPr>
          <w:p w14:paraId="0800C12E"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0.005</w:t>
            </w:r>
          </w:p>
        </w:tc>
        <w:tc>
          <w:tcPr>
            <w:tcW w:w="738" w:type="pct"/>
            <w:tcBorders>
              <w:top w:val="nil"/>
              <w:left w:val="nil"/>
              <w:bottom w:val="nil"/>
              <w:right w:val="nil"/>
            </w:tcBorders>
          </w:tcPr>
          <w:p w14:paraId="1FFFBC75"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-0.549</w:t>
            </w:r>
          </w:p>
        </w:tc>
        <w:tc>
          <w:tcPr>
            <w:tcW w:w="580" w:type="pct"/>
            <w:tcBorders>
              <w:top w:val="nil"/>
              <w:left w:val="nil"/>
              <w:bottom w:val="nil"/>
              <w:right w:val="nil"/>
            </w:tcBorders>
          </w:tcPr>
          <w:p w14:paraId="30ED9791"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-0.001</w:t>
            </w:r>
          </w:p>
        </w:tc>
        <w:tc>
          <w:tcPr>
            <w:tcW w:w="813" w:type="pct"/>
            <w:tcBorders>
              <w:top w:val="nil"/>
              <w:left w:val="nil"/>
              <w:bottom w:val="nil"/>
              <w:right w:val="nil"/>
            </w:tcBorders>
          </w:tcPr>
          <w:p w14:paraId="25DC5EF5"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0.079</w:t>
            </w:r>
          </w:p>
        </w:tc>
        <w:tc>
          <w:tcPr>
            <w:tcW w:w="790" w:type="pct"/>
            <w:tcBorders>
              <w:top w:val="nil"/>
              <w:left w:val="nil"/>
              <w:bottom w:val="nil"/>
              <w:right w:val="nil"/>
            </w:tcBorders>
          </w:tcPr>
          <w:p w14:paraId="1233A936"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-0.011</w:t>
            </w:r>
          </w:p>
        </w:tc>
        <w:tc>
          <w:tcPr>
            <w:tcW w:w="797" w:type="pct"/>
            <w:tcBorders>
              <w:top w:val="nil"/>
              <w:left w:val="nil"/>
              <w:bottom w:val="nil"/>
              <w:right w:val="nil"/>
            </w:tcBorders>
          </w:tcPr>
          <w:p w14:paraId="62EF25AD"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-0.006</w:t>
            </w:r>
          </w:p>
        </w:tc>
      </w:tr>
      <w:tr w:rsidR="003B5A8E" w:rsidRPr="00BF0763" w14:paraId="0429EA30" w14:textId="77777777" w:rsidTr="003B5A8E">
        <w:trPr>
          <w:jc w:val="center"/>
        </w:trPr>
        <w:tc>
          <w:tcPr>
            <w:tcW w:w="764" w:type="pct"/>
            <w:tcBorders>
              <w:top w:val="nil"/>
              <w:left w:val="nil"/>
              <w:bottom w:val="nil"/>
              <w:right w:val="nil"/>
            </w:tcBorders>
          </w:tcPr>
          <w:p w14:paraId="13CF88EB"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 xml:space="preserve">  </w:t>
            </w:r>
          </w:p>
        </w:tc>
        <w:tc>
          <w:tcPr>
            <w:tcW w:w="520" w:type="pct"/>
            <w:tcBorders>
              <w:top w:val="nil"/>
              <w:left w:val="nil"/>
              <w:bottom w:val="nil"/>
              <w:right w:val="nil"/>
            </w:tcBorders>
          </w:tcPr>
          <w:p w14:paraId="1BC45FE3"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(0.028)</w:t>
            </w:r>
          </w:p>
        </w:tc>
        <w:tc>
          <w:tcPr>
            <w:tcW w:w="738" w:type="pct"/>
            <w:tcBorders>
              <w:top w:val="nil"/>
              <w:left w:val="nil"/>
              <w:bottom w:val="nil"/>
              <w:right w:val="nil"/>
            </w:tcBorders>
          </w:tcPr>
          <w:p w14:paraId="579F4A00"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(0.595)</w:t>
            </w:r>
          </w:p>
        </w:tc>
        <w:tc>
          <w:tcPr>
            <w:tcW w:w="580" w:type="pct"/>
            <w:tcBorders>
              <w:top w:val="nil"/>
              <w:left w:val="nil"/>
              <w:bottom w:val="nil"/>
              <w:right w:val="nil"/>
            </w:tcBorders>
          </w:tcPr>
          <w:p w14:paraId="14E6C73B"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(0.023)</w:t>
            </w:r>
          </w:p>
        </w:tc>
        <w:tc>
          <w:tcPr>
            <w:tcW w:w="813" w:type="pct"/>
            <w:tcBorders>
              <w:top w:val="nil"/>
              <w:left w:val="nil"/>
              <w:bottom w:val="nil"/>
              <w:right w:val="nil"/>
            </w:tcBorders>
          </w:tcPr>
          <w:p w14:paraId="7475E51E"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(0.376)</w:t>
            </w:r>
          </w:p>
        </w:tc>
        <w:tc>
          <w:tcPr>
            <w:tcW w:w="790" w:type="pct"/>
            <w:tcBorders>
              <w:top w:val="nil"/>
              <w:left w:val="nil"/>
              <w:bottom w:val="nil"/>
              <w:right w:val="nil"/>
            </w:tcBorders>
          </w:tcPr>
          <w:p w14:paraId="69E3A310"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(0.016)</w:t>
            </w:r>
          </w:p>
        </w:tc>
        <w:tc>
          <w:tcPr>
            <w:tcW w:w="797" w:type="pct"/>
            <w:tcBorders>
              <w:top w:val="nil"/>
              <w:left w:val="nil"/>
              <w:bottom w:val="nil"/>
              <w:right w:val="nil"/>
            </w:tcBorders>
          </w:tcPr>
          <w:p w14:paraId="5CF37DB1"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(0.059)</w:t>
            </w:r>
          </w:p>
        </w:tc>
      </w:tr>
      <w:tr w:rsidR="003B5A8E" w:rsidRPr="00BF0763" w14:paraId="0F9A40A7" w14:textId="77777777" w:rsidTr="003B5A8E">
        <w:trPr>
          <w:jc w:val="center"/>
        </w:trPr>
        <w:tc>
          <w:tcPr>
            <w:tcW w:w="764" w:type="pct"/>
            <w:tcBorders>
              <w:top w:val="nil"/>
              <w:left w:val="nil"/>
              <w:bottom w:val="nil"/>
              <w:right w:val="nil"/>
            </w:tcBorders>
          </w:tcPr>
          <w:p w14:paraId="5709E2B7"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Temperature (t-1) (10s)</w:t>
            </w:r>
          </w:p>
        </w:tc>
        <w:tc>
          <w:tcPr>
            <w:tcW w:w="520" w:type="pct"/>
            <w:tcBorders>
              <w:top w:val="nil"/>
              <w:left w:val="nil"/>
              <w:bottom w:val="nil"/>
              <w:right w:val="nil"/>
            </w:tcBorders>
          </w:tcPr>
          <w:p w14:paraId="314B77EC"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0.018</w:t>
            </w:r>
          </w:p>
        </w:tc>
        <w:tc>
          <w:tcPr>
            <w:tcW w:w="738" w:type="pct"/>
            <w:tcBorders>
              <w:top w:val="nil"/>
              <w:left w:val="nil"/>
              <w:bottom w:val="nil"/>
              <w:right w:val="nil"/>
            </w:tcBorders>
          </w:tcPr>
          <w:p w14:paraId="374472B9"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-4.88</w:t>
            </w:r>
          </w:p>
        </w:tc>
        <w:tc>
          <w:tcPr>
            <w:tcW w:w="580" w:type="pct"/>
            <w:tcBorders>
              <w:top w:val="nil"/>
              <w:left w:val="nil"/>
              <w:bottom w:val="nil"/>
              <w:right w:val="nil"/>
            </w:tcBorders>
          </w:tcPr>
          <w:p w14:paraId="57F202D0"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0.352</w:t>
            </w:r>
          </w:p>
        </w:tc>
        <w:tc>
          <w:tcPr>
            <w:tcW w:w="813" w:type="pct"/>
            <w:tcBorders>
              <w:top w:val="nil"/>
              <w:left w:val="nil"/>
              <w:bottom w:val="nil"/>
              <w:right w:val="nil"/>
            </w:tcBorders>
          </w:tcPr>
          <w:p w14:paraId="7A62DD12"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-8.31</w:t>
            </w:r>
          </w:p>
        </w:tc>
        <w:tc>
          <w:tcPr>
            <w:tcW w:w="790" w:type="pct"/>
            <w:tcBorders>
              <w:top w:val="nil"/>
              <w:left w:val="nil"/>
              <w:bottom w:val="nil"/>
              <w:right w:val="nil"/>
            </w:tcBorders>
          </w:tcPr>
          <w:p w14:paraId="3DC7F0E1"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0.156</w:t>
            </w:r>
          </w:p>
        </w:tc>
        <w:tc>
          <w:tcPr>
            <w:tcW w:w="797" w:type="pct"/>
            <w:tcBorders>
              <w:top w:val="nil"/>
              <w:left w:val="nil"/>
              <w:bottom w:val="nil"/>
              <w:right w:val="nil"/>
            </w:tcBorders>
          </w:tcPr>
          <w:p w14:paraId="3A70AC99"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0.412</w:t>
            </w:r>
          </w:p>
        </w:tc>
      </w:tr>
      <w:tr w:rsidR="003B5A8E" w:rsidRPr="00BF0763" w14:paraId="6CB1EC31" w14:textId="77777777" w:rsidTr="003B5A8E">
        <w:trPr>
          <w:jc w:val="center"/>
        </w:trPr>
        <w:tc>
          <w:tcPr>
            <w:tcW w:w="764" w:type="pct"/>
            <w:tcBorders>
              <w:top w:val="nil"/>
              <w:left w:val="nil"/>
              <w:bottom w:val="nil"/>
              <w:right w:val="nil"/>
            </w:tcBorders>
          </w:tcPr>
          <w:p w14:paraId="2BAEFCB1"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 xml:space="preserve">  </w:t>
            </w:r>
          </w:p>
        </w:tc>
        <w:tc>
          <w:tcPr>
            <w:tcW w:w="520" w:type="pct"/>
            <w:tcBorders>
              <w:top w:val="nil"/>
              <w:left w:val="nil"/>
              <w:bottom w:val="nil"/>
              <w:right w:val="nil"/>
            </w:tcBorders>
          </w:tcPr>
          <w:p w14:paraId="7320EAB7"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(0.581)</w:t>
            </w:r>
          </w:p>
        </w:tc>
        <w:tc>
          <w:tcPr>
            <w:tcW w:w="738" w:type="pct"/>
            <w:tcBorders>
              <w:top w:val="nil"/>
              <w:left w:val="nil"/>
              <w:bottom w:val="nil"/>
              <w:right w:val="nil"/>
            </w:tcBorders>
          </w:tcPr>
          <w:p w14:paraId="50D95535"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(5.73)</w:t>
            </w:r>
          </w:p>
        </w:tc>
        <w:tc>
          <w:tcPr>
            <w:tcW w:w="580" w:type="pct"/>
            <w:tcBorders>
              <w:top w:val="nil"/>
              <w:left w:val="nil"/>
              <w:bottom w:val="nil"/>
              <w:right w:val="nil"/>
            </w:tcBorders>
          </w:tcPr>
          <w:p w14:paraId="3CA6AD4B"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(0.484)</w:t>
            </w:r>
          </w:p>
        </w:tc>
        <w:tc>
          <w:tcPr>
            <w:tcW w:w="813" w:type="pct"/>
            <w:tcBorders>
              <w:top w:val="nil"/>
              <w:left w:val="nil"/>
              <w:bottom w:val="nil"/>
              <w:right w:val="nil"/>
            </w:tcBorders>
          </w:tcPr>
          <w:p w14:paraId="6152E452"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(5.52)</w:t>
            </w:r>
          </w:p>
        </w:tc>
        <w:tc>
          <w:tcPr>
            <w:tcW w:w="790" w:type="pct"/>
            <w:tcBorders>
              <w:top w:val="nil"/>
              <w:left w:val="nil"/>
              <w:bottom w:val="nil"/>
              <w:right w:val="nil"/>
            </w:tcBorders>
          </w:tcPr>
          <w:p w14:paraId="440E01F8"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(0.514)</w:t>
            </w:r>
          </w:p>
        </w:tc>
        <w:tc>
          <w:tcPr>
            <w:tcW w:w="797" w:type="pct"/>
            <w:tcBorders>
              <w:top w:val="nil"/>
              <w:left w:val="nil"/>
              <w:bottom w:val="nil"/>
              <w:right w:val="nil"/>
            </w:tcBorders>
          </w:tcPr>
          <w:p w14:paraId="686E5B50"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(1.01)</w:t>
            </w:r>
          </w:p>
        </w:tc>
      </w:tr>
      <w:tr w:rsidR="003B5A8E" w:rsidRPr="00BF0763" w14:paraId="34FBE17C" w14:textId="77777777" w:rsidTr="003B5A8E">
        <w:trPr>
          <w:jc w:val="center"/>
        </w:trPr>
        <w:tc>
          <w:tcPr>
            <w:tcW w:w="764" w:type="pct"/>
            <w:tcBorders>
              <w:top w:val="nil"/>
              <w:left w:val="nil"/>
              <w:bottom w:val="nil"/>
              <w:right w:val="nil"/>
            </w:tcBorders>
          </w:tcPr>
          <w:p w14:paraId="00BF15BB"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CPAD (t-1) (100s)</w:t>
            </w:r>
          </w:p>
        </w:tc>
        <w:tc>
          <w:tcPr>
            <w:tcW w:w="520" w:type="pct"/>
            <w:tcBorders>
              <w:top w:val="nil"/>
              <w:left w:val="nil"/>
              <w:bottom w:val="nil"/>
              <w:right w:val="nil"/>
            </w:tcBorders>
          </w:tcPr>
          <w:p w14:paraId="3DB15936"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-0.127</w:t>
            </w:r>
          </w:p>
        </w:tc>
        <w:tc>
          <w:tcPr>
            <w:tcW w:w="738" w:type="pct"/>
            <w:tcBorders>
              <w:top w:val="nil"/>
              <w:left w:val="nil"/>
              <w:bottom w:val="nil"/>
              <w:right w:val="nil"/>
            </w:tcBorders>
          </w:tcPr>
          <w:p w14:paraId="57B841E3"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1.79</w:t>
            </w:r>
          </w:p>
        </w:tc>
        <w:tc>
          <w:tcPr>
            <w:tcW w:w="580" w:type="pct"/>
            <w:tcBorders>
              <w:top w:val="nil"/>
              <w:left w:val="nil"/>
              <w:bottom w:val="nil"/>
              <w:right w:val="nil"/>
            </w:tcBorders>
          </w:tcPr>
          <w:p w14:paraId="52C47B87"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-0.634**</w:t>
            </w:r>
          </w:p>
        </w:tc>
        <w:tc>
          <w:tcPr>
            <w:tcW w:w="813" w:type="pct"/>
            <w:tcBorders>
              <w:top w:val="nil"/>
              <w:left w:val="nil"/>
              <w:bottom w:val="nil"/>
              <w:right w:val="nil"/>
            </w:tcBorders>
          </w:tcPr>
          <w:p w14:paraId="56C3D09E"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-4.56</w:t>
            </w:r>
          </w:p>
        </w:tc>
        <w:tc>
          <w:tcPr>
            <w:tcW w:w="790" w:type="pct"/>
            <w:tcBorders>
              <w:top w:val="nil"/>
              <w:left w:val="nil"/>
              <w:bottom w:val="nil"/>
              <w:right w:val="nil"/>
            </w:tcBorders>
          </w:tcPr>
          <w:p w14:paraId="312730CA"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-0.880**</w:t>
            </w:r>
          </w:p>
        </w:tc>
        <w:tc>
          <w:tcPr>
            <w:tcW w:w="797" w:type="pct"/>
            <w:tcBorders>
              <w:top w:val="nil"/>
              <w:left w:val="nil"/>
              <w:bottom w:val="nil"/>
              <w:right w:val="nil"/>
            </w:tcBorders>
          </w:tcPr>
          <w:p w14:paraId="478784BB"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-1.17</w:t>
            </w:r>
          </w:p>
        </w:tc>
      </w:tr>
      <w:tr w:rsidR="003B5A8E" w:rsidRPr="00BF0763" w14:paraId="3F5848F3" w14:textId="77777777" w:rsidTr="003B5A8E">
        <w:trPr>
          <w:jc w:val="center"/>
        </w:trPr>
        <w:tc>
          <w:tcPr>
            <w:tcW w:w="764" w:type="pct"/>
            <w:tcBorders>
              <w:top w:val="nil"/>
              <w:left w:val="nil"/>
              <w:bottom w:val="nil"/>
              <w:right w:val="nil"/>
            </w:tcBorders>
          </w:tcPr>
          <w:p w14:paraId="3E062CEF"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 xml:space="preserve">  </w:t>
            </w:r>
          </w:p>
        </w:tc>
        <w:tc>
          <w:tcPr>
            <w:tcW w:w="520" w:type="pct"/>
            <w:tcBorders>
              <w:top w:val="nil"/>
              <w:left w:val="nil"/>
              <w:bottom w:val="nil"/>
              <w:right w:val="nil"/>
            </w:tcBorders>
          </w:tcPr>
          <w:p w14:paraId="0DF6B354"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(0.425)</w:t>
            </w:r>
          </w:p>
        </w:tc>
        <w:tc>
          <w:tcPr>
            <w:tcW w:w="738" w:type="pct"/>
            <w:tcBorders>
              <w:top w:val="nil"/>
              <w:left w:val="nil"/>
              <w:bottom w:val="nil"/>
              <w:right w:val="nil"/>
            </w:tcBorders>
          </w:tcPr>
          <w:p w14:paraId="4C4A6393"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(4.55)</w:t>
            </w:r>
          </w:p>
        </w:tc>
        <w:tc>
          <w:tcPr>
            <w:tcW w:w="580" w:type="pct"/>
            <w:tcBorders>
              <w:top w:val="nil"/>
              <w:left w:val="nil"/>
              <w:bottom w:val="nil"/>
              <w:right w:val="nil"/>
            </w:tcBorders>
          </w:tcPr>
          <w:p w14:paraId="5CDAD1DF"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(0.266)</w:t>
            </w:r>
          </w:p>
        </w:tc>
        <w:tc>
          <w:tcPr>
            <w:tcW w:w="813" w:type="pct"/>
            <w:tcBorders>
              <w:top w:val="nil"/>
              <w:left w:val="nil"/>
              <w:bottom w:val="nil"/>
              <w:right w:val="nil"/>
            </w:tcBorders>
          </w:tcPr>
          <w:p w14:paraId="51B23F30"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(6.67)</w:t>
            </w:r>
          </w:p>
        </w:tc>
        <w:tc>
          <w:tcPr>
            <w:tcW w:w="790" w:type="pct"/>
            <w:tcBorders>
              <w:top w:val="nil"/>
              <w:left w:val="nil"/>
              <w:bottom w:val="nil"/>
              <w:right w:val="nil"/>
            </w:tcBorders>
          </w:tcPr>
          <w:p w14:paraId="3E2EF2D9"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(0.400)</w:t>
            </w:r>
          </w:p>
        </w:tc>
        <w:tc>
          <w:tcPr>
            <w:tcW w:w="797" w:type="pct"/>
            <w:tcBorders>
              <w:top w:val="nil"/>
              <w:left w:val="nil"/>
              <w:bottom w:val="nil"/>
              <w:right w:val="nil"/>
            </w:tcBorders>
          </w:tcPr>
          <w:p w14:paraId="2A274394"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(0.825)</w:t>
            </w:r>
          </w:p>
        </w:tc>
      </w:tr>
      <w:tr w:rsidR="003B5A8E" w:rsidRPr="00BF0763" w14:paraId="031577B5" w14:textId="77777777" w:rsidTr="003B5A8E">
        <w:trPr>
          <w:jc w:val="center"/>
        </w:trPr>
        <w:tc>
          <w:tcPr>
            <w:tcW w:w="764" w:type="pct"/>
            <w:tcBorders>
              <w:top w:val="nil"/>
              <w:left w:val="nil"/>
              <w:bottom w:val="nil"/>
              <w:right w:val="nil"/>
            </w:tcBorders>
          </w:tcPr>
          <w:p w14:paraId="38F3775B"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Housing Price Index (100s)</w:t>
            </w:r>
          </w:p>
        </w:tc>
        <w:tc>
          <w:tcPr>
            <w:tcW w:w="520" w:type="pct"/>
            <w:tcBorders>
              <w:top w:val="nil"/>
              <w:left w:val="nil"/>
              <w:bottom w:val="nil"/>
              <w:right w:val="nil"/>
            </w:tcBorders>
          </w:tcPr>
          <w:p w14:paraId="6F36B92B"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-0.028</w:t>
            </w:r>
          </w:p>
        </w:tc>
        <w:tc>
          <w:tcPr>
            <w:tcW w:w="738" w:type="pct"/>
            <w:tcBorders>
              <w:top w:val="nil"/>
              <w:left w:val="nil"/>
              <w:bottom w:val="nil"/>
              <w:right w:val="nil"/>
            </w:tcBorders>
          </w:tcPr>
          <w:p w14:paraId="216AA208"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-0.002</w:t>
            </w:r>
          </w:p>
        </w:tc>
        <w:tc>
          <w:tcPr>
            <w:tcW w:w="580" w:type="pct"/>
            <w:tcBorders>
              <w:top w:val="nil"/>
              <w:left w:val="nil"/>
              <w:bottom w:val="nil"/>
              <w:right w:val="nil"/>
            </w:tcBorders>
          </w:tcPr>
          <w:p w14:paraId="12D6C6AE"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-0.074***</w:t>
            </w:r>
          </w:p>
        </w:tc>
        <w:tc>
          <w:tcPr>
            <w:tcW w:w="813" w:type="pct"/>
            <w:tcBorders>
              <w:top w:val="nil"/>
              <w:left w:val="nil"/>
              <w:bottom w:val="nil"/>
              <w:right w:val="nil"/>
            </w:tcBorders>
          </w:tcPr>
          <w:p w14:paraId="5490B669"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-0.412**</w:t>
            </w:r>
          </w:p>
        </w:tc>
        <w:tc>
          <w:tcPr>
            <w:tcW w:w="790" w:type="pct"/>
            <w:tcBorders>
              <w:top w:val="nil"/>
              <w:left w:val="nil"/>
              <w:bottom w:val="nil"/>
              <w:right w:val="nil"/>
            </w:tcBorders>
          </w:tcPr>
          <w:p w14:paraId="4EB2B2A2"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-0.003</w:t>
            </w:r>
          </w:p>
        </w:tc>
        <w:tc>
          <w:tcPr>
            <w:tcW w:w="797" w:type="pct"/>
            <w:tcBorders>
              <w:top w:val="nil"/>
              <w:left w:val="nil"/>
              <w:bottom w:val="nil"/>
              <w:right w:val="nil"/>
            </w:tcBorders>
          </w:tcPr>
          <w:p w14:paraId="387BDE8C"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0.001</w:t>
            </w:r>
          </w:p>
        </w:tc>
      </w:tr>
      <w:tr w:rsidR="003B5A8E" w:rsidRPr="00BF0763" w14:paraId="5E0E22BB" w14:textId="77777777" w:rsidTr="003B5A8E">
        <w:trPr>
          <w:jc w:val="center"/>
        </w:trPr>
        <w:tc>
          <w:tcPr>
            <w:tcW w:w="764" w:type="pct"/>
            <w:tcBorders>
              <w:top w:val="nil"/>
              <w:left w:val="nil"/>
              <w:bottom w:val="nil"/>
              <w:right w:val="nil"/>
            </w:tcBorders>
          </w:tcPr>
          <w:p w14:paraId="699DFBDF"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 xml:space="preserve">  </w:t>
            </w:r>
          </w:p>
        </w:tc>
        <w:tc>
          <w:tcPr>
            <w:tcW w:w="520" w:type="pct"/>
            <w:tcBorders>
              <w:top w:val="nil"/>
              <w:left w:val="nil"/>
              <w:bottom w:val="nil"/>
              <w:right w:val="nil"/>
            </w:tcBorders>
          </w:tcPr>
          <w:p w14:paraId="6CD47ECA"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(0.021)</w:t>
            </w:r>
          </w:p>
        </w:tc>
        <w:tc>
          <w:tcPr>
            <w:tcW w:w="738" w:type="pct"/>
            <w:tcBorders>
              <w:top w:val="nil"/>
              <w:left w:val="nil"/>
              <w:bottom w:val="nil"/>
              <w:right w:val="nil"/>
            </w:tcBorders>
          </w:tcPr>
          <w:p w14:paraId="2F1107FD"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(0.223)</w:t>
            </w:r>
          </w:p>
        </w:tc>
        <w:tc>
          <w:tcPr>
            <w:tcW w:w="580" w:type="pct"/>
            <w:tcBorders>
              <w:top w:val="nil"/>
              <w:left w:val="nil"/>
              <w:bottom w:val="nil"/>
              <w:right w:val="nil"/>
            </w:tcBorders>
          </w:tcPr>
          <w:p w14:paraId="3B6C5172"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(0.016)</w:t>
            </w:r>
          </w:p>
        </w:tc>
        <w:tc>
          <w:tcPr>
            <w:tcW w:w="813" w:type="pct"/>
            <w:tcBorders>
              <w:top w:val="nil"/>
              <w:left w:val="nil"/>
              <w:bottom w:val="nil"/>
              <w:right w:val="nil"/>
            </w:tcBorders>
          </w:tcPr>
          <w:p w14:paraId="457D68C4"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(0.201)</w:t>
            </w:r>
          </w:p>
        </w:tc>
        <w:tc>
          <w:tcPr>
            <w:tcW w:w="790" w:type="pct"/>
            <w:tcBorders>
              <w:top w:val="nil"/>
              <w:left w:val="nil"/>
              <w:bottom w:val="nil"/>
              <w:right w:val="nil"/>
            </w:tcBorders>
          </w:tcPr>
          <w:p w14:paraId="772905AF"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(0.020)</w:t>
            </w:r>
          </w:p>
        </w:tc>
        <w:tc>
          <w:tcPr>
            <w:tcW w:w="797" w:type="pct"/>
            <w:tcBorders>
              <w:top w:val="nil"/>
              <w:left w:val="nil"/>
              <w:bottom w:val="nil"/>
              <w:right w:val="nil"/>
            </w:tcBorders>
          </w:tcPr>
          <w:p w14:paraId="7BCC0CA5"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(0.045)</w:t>
            </w:r>
          </w:p>
        </w:tc>
      </w:tr>
      <w:tr w:rsidR="003B5A8E" w:rsidRPr="00BF0763" w14:paraId="6D7964A6" w14:textId="77777777" w:rsidTr="003B5A8E">
        <w:trPr>
          <w:jc w:val="center"/>
        </w:trPr>
        <w:tc>
          <w:tcPr>
            <w:tcW w:w="764" w:type="pct"/>
            <w:tcBorders>
              <w:top w:val="nil"/>
              <w:left w:val="nil"/>
              <w:bottom w:val="nil"/>
              <w:right w:val="nil"/>
            </w:tcBorders>
          </w:tcPr>
          <w:p w14:paraId="5F574576"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Poverty rate (100s)</w:t>
            </w:r>
          </w:p>
        </w:tc>
        <w:tc>
          <w:tcPr>
            <w:tcW w:w="520" w:type="pct"/>
            <w:tcBorders>
              <w:top w:val="nil"/>
              <w:left w:val="nil"/>
              <w:bottom w:val="nil"/>
              <w:right w:val="nil"/>
            </w:tcBorders>
          </w:tcPr>
          <w:p w14:paraId="32109E6E"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-1.03</w:t>
            </w:r>
          </w:p>
        </w:tc>
        <w:tc>
          <w:tcPr>
            <w:tcW w:w="738" w:type="pct"/>
            <w:tcBorders>
              <w:top w:val="nil"/>
              <w:left w:val="nil"/>
              <w:bottom w:val="nil"/>
              <w:right w:val="nil"/>
            </w:tcBorders>
          </w:tcPr>
          <w:p w14:paraId="429A9E47"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-16.8</w:t>
            </w:r>
          </w:p>
        </w:tc>
        <w:tc>
          <w:tcPr>
            <w:tcW w:w="580" w:type="pct"/>
            <w:tcBorders>
              <w:top w:val="nil"/>
              <w:left w:val="nil"/>
              <w:bottom w:val="nil"/>
              <w:right w:val="nil"/>
            </w:tcBorders>
          </w:tcPr>
          <w:p w14:paraId="40B6EC19"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-0.761</w:t>
            </w:r>
          </w:p>
        </w:tc>
        <w:tc>
          <w:tcPr>
            <w:tcW w:w="813" w:type="pct"/>
            <w:tcBorders>
              <w:top w:val="nil"/>
              <w:left w:val="nil"/>
              <w:bottom w:val="nil"/>
              <w:right w:val="nil"/>
            </w:tcBorders>
          </w:tcPr>
          <w:p w14:paraId="448C60E9"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12.2</w:t>
            </w:r>
          </w:p>
        </w:tc>
        <w:tc>
          <w:tcPr>
            <w:tcW w:w="790" w:type="pct"/>
            <w:tcBorders>
              <w:top w:val="nil"/>
              <w:left w:val="nil"/>
              <w:bottom w:val="nil"/>
              <w:right w:val="nil"/>
            </w:tcBorders>
          </w:tcPr>
          <w:p w14:paraId="586E9EB7"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-0.770</w:t>
            </w:r>
          </w:p>
        </w:tc>
        <w:tc>
          <w:tcPr>
            <w:tcW w:w="797" w:type="pct"/>
            <w:tcBorders>
              <w:top w:val="nil"/>
              <w:left w:val="nil"/>
              <w:bottom w:val="nil"/>
              <w:right w:val="nil"/>
            </w:tcBorders>
          </w:tcPr>
          <w:p w14:paraId="26CBA4AE"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-0.226</w:t>
            </w:r>
          </w:p>
        </w:tc>
      </w:tr>
      <w:tr w:rsidR="003B5A8E" w:rsidRPr="00BF0763" w14:paraId="29B5C095" w14:textId="77777777" w:rsidTr="003B5A8E">
        <w:trPr>
          <w:jc w:val="center"/>
        </w:trPr>
        <w:tc>
          <w:tcPr>
            <w:tcW w:w="764" w:type="pct"/>
            <w:tcBorders>
              <w:top w:val="nil"/>
              <w:left w:val="nil"/>
              <w:bottom w:val="nil"/>
              <w:right w:val="nil"/>
            </w:tcBorders>
          </w:tcPr>
          <w:p w14:paraId="65173268"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 xml:space="preserve">  </w:t>
            </w:r>
          </w:p>
        </w:tc>
        <w:tc>
          <w:tcPr>
            <w:tcW w:w="520" w:type="pct"/>
            <w:tcBorders>
              <w:top w:val="nil"/>
              <w:left w:val="nil"/>
              <w:bottom w:val="nil"/>
              <w:right w:val="nil"/>
            </w:tcBorders>
          </w:tcPr>
          <w:p w14:paraId="45F5B498"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(1.84)</w:t>
            </w:r>
          </w:p>
        </w:tc>
        <w:tc>
          <w:tcPr>
            <w:tcW w:w="738" w:type="pct"/>
            <w:tcBorders>
              <w:top w:val="nil"/>
              <w:left w:val="nil"/>
              <w:bottom w:val="nil"/>
              <w:right w:val="nil"/>
            </w:tcBorders>
          </w:tcPr>
          <w:p w14:paraId="7E1E0BDF"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(16.9)</w:t>
            </w:r>
          </w:p>
        </w:tc>
        <w:tc>
          <w:tcPr>
            <w:tcW w:w="580" w:type="pct"/>
            <w:tcBorders>
              <w:top w:val="nil"/>
              <w:left w:val="nil"/>
              <w:bottom w:val="nil"/>
              <w:right w:val="nil"/>
            </w:tcBorders>
          </w:tcPr>
          <w:p w14:paraId="61BA765A"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(1.06)</w:t>
            </w:r>
          </w:p>
        </w:tc>
        <w:tc>
          <w:tcPr>
            <w:tcW w:w="813" w:type="pct"/>
            <w:tcBorders>
              <w:top w:val="nil"/>
              <w:left w:val="nil"/>
              <w:bottom w:val="nil"/>
              <w:right w:val="nil"/>
            </w:tcBorders>
          </w:tcPr>
          <w:p w14:paraId="495B3CC7"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(15.4)</w:t>
            </w:r>
          </w:p>
        </w:tc>
        <w:tc>
          <w:tcPr>
            <w:tcW w:w="790" w:type="pct"/>
            <w:tcBorders>
              <w:top w:val="nil"/>
              <w:left w:val="nil"/>
              <w:bottom w:val="nil"/>
              <w:right w:val="nil"/>
            </w:tcBorders>
          </w:tcPr>
          <w:p w14:paraId="4C376F37"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(1.39)</w:t>
            </w:r>
          </w:p>
        </w:tc>
        <w:tc>
          <w:tcPr>
            <w:tcW w:w="797" w:type="pct"/>
            <w:tcBorders>
              <w:top w:val="nil"/>
              <w:left w:val="nil"/>
              <w:bottom w:val="nil"/>
              <w:right w:val="nil"/>
            </w:tcBorders>
          </w:tcPr>
          <w:p w14:paraId="05B2716B"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(2.71)</w:t>
            </w:r>
          </w:p>
        </w:tc>
      </w:tr>
      <w:tr w:rsidR="003B5A8E" w:rsidRPr="00BF0763" w14:paraId="1E03E0F2" w14:textId="77777777" w:rsidTr="003B5A8E">
        <w:trPr>
          <w:jc w:val="center"/>
        </w:trPr>
        <w:tc>
          <w:tcPr>
            <w:tcW w:w="764" w:type="pct"/>
            <w:tcBorders>
              <w:top w:val="nil"/>
              <w:left w:val="nil"/>
              <w:bottom w:val="nil"/>
              <w:right w:val="nil"/>
            </w:tcBorders>
          </w:tcPr>
          <w:p w14:paraId="3CA9DC23"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Median HH Income (100ks)</w:t>
            </w:r>
          </w:p>
        </w:tc>
        <w:tc>
          <w:tcPr>
            <w:tcW w:w="520" w:type="pct"/>
            <w:tcBorders>
              <w:top w:val="nil"/>
              <w:left w:val="nil"/>
              <w:bottom w:val="nil"/>
              <w:right w:val="nil"/>
            </w:tcBorders>
          </w:tcPr>
          <w:p w14:paraId="5B6EF38B"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1.59***</w:t>
            </w:r>
          </w:p>
        </w:tc>
        <w:tc>
          <w:tcPr>
            <w:tcW w:w="738" w:type="pct"/>
            <w:tcBorders>
              <w:top w:val="nil"/>
              <w:left w:val="nil"/>
              <w:bottom w:val="nil"/>
              <w:right w:val="nil"/>
            </w:tcBorders>
          </w:tcPr>
          <w:p w14:paraId="4A820A9D"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-0.659</w:t>
            </w:r>
          </w:p>
        </w:tc>
        <w:tc>
          <w:tcPr>
            <w:tcW w:w="580" w:type="pct"/>
            <w:tcBorders>
              <w:top w:val="nil"/>
              <w:left w:val="nil"/>
              <w:bottom w:val="nil"/>
              <w:right w:val="nil"/>
            </w:tcBorders>
          </w:tcPr>
          <w:p w14:paraId="79DE112F"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0.911</w:t>
            </w:r>
          </w:p>
        </w:tc>
        <w:tc>
          <w:tcPr>
            <w:tcW w:w="813" w:type="pct"/>
            <w:tcBorders>
              <w:top w:val="nil"/>
              <w:left w:val="nil"/>
              <w:bottom w:val="nil"/>
              <w:right w:val="nil"/>
            </w:tcBorders>
          </w:tcPr>
          <w:p w14:paraId="57462458"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3.95</w:t>
            </w:r>
          </w:p>
        </w:tc>
        <w:tc>
          <w:tcPr>
            <w:tcW w:w="790" w:type="pct"/>
            <w:tcBorders>
              <w:top w:val="nil"/>
              <w:left w:val="nil"/>
              <w:bottom w:val="nil"/>
              <w:right w:val="nil"/>
            </w:tcBorders>
          </w:tcPr>
          <w:p w14:paraId="38ED2FF1"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1.41**</w:t>
            </w:r>
          </w:p>
        </w:tc>
        <w:tc>
          <w:tcPr>
            <w:tcW w:w="797" w:type="pct"/>
            <w:tcBorders>
              <w:top w:val="nil"/>
              <w:left w:val="nil"/>
              <w:bottom w:val="nil"/>
              <w:right w:val="nil"/>
            </w:tcBorders>
          </w:tcPr>
          <w:p w14:paraId="7E550092"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1.59</w:t>
            </w:r>
          </w:p>
        </w:tc>
      </w:tr>
      <w:tr w:rsidR="003B5A8E" w:rsidRPr="00BF0763" w14:paraId="4EB1D226" w14:textId="77777777" w:rsidTr="003B5A8E">
        <w:trPr>
          <w:jc w:val="center"/>
        </w:trPr>
        <w:tc>
          <w:tcPr>
            <w:tcW w:w="764" w:type="pct"/>
            <w:tcBorders>
              <w:top w:val="nil"/>
              <w:left w:val="nil"/>
              <w:bottom w:val="nil"/>
              <w:right w:val="nil"/>
            </w:tcBorders>
          </w:tcPr>
          <w:p w14:paraId="15D959CA"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 xml:space="preserve">  </w:t>
            </w:r>
          </w:p>
        </w:tc>
        <w:tc>
          <w:tcPr>
            <w:tcW w:w="520" w:type="pct"/>
            <w:tcBorders>
              <w:top w:val="nil"/>
              <w:left w:val="nil"/>
              <w:bottom w:val="nil"/>
              <w:right w:val="nil"/>
            </w:tcBorders>
          </w:tcPr>
          <w:p w14:paraId="4E5664DC"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(0.595)</w:t>
            </w:r>
          </w:p>
        </w:tc>
        <w:tc>
          <w:tcPr>
            <w:tcW w:w="738" w:type="pct"/>
            <w:tcBorders>
              <w:top w:val="nil"/>
              <w:left w:val="nil"/>
              <w:bottom w:val="nil"/>
              <w:right w:val="nil"/>
            </w:tcBorders>
          </w:tcPr>
          <w:p w14:paraId="63683AE4"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(10.2)</w:t>
            </w:r>
          </w:p>
        </w:tc>
        <w:tc>
          <w:tcPr>
            <w:tcW w:w="580" w:type="pct"/>
            <w:tcBorders>
              <w:top w:val="nil"/>
              <w:left w:val="nil"/>
              <w:bottom w:val="nil"/>
              <w:right w:val="nil"/>
            </w:tcBorders>
          </w:tcPr>
          <w:p w14:paraId="30A8170B"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(0.653)</w:t>
            </w:r>
          </w:p>
        </w:tc>
        <w:tc>
          <w:tcPr>
            <w:tcW w:w="813" w:type="pct"/>
            <w:tcBorders>
              <w:top w:val="nil"/>
              <w:left w:val="nil"/>
              <w:bottom w:val="nil"/>
              <w:right w:val="nil"/>
            </w:tcBorders>
          </w:tcPr>
          <w:p w14:paraId="3B88CF26"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(6.35)</w:t>
            </w:r>
          </w:p>
        </w:tc>
        <w:tc>
          <w:tcPr>
            <w:tcW w:w="790" w:type="pct"/>
            <w:tcBorders>
              <w:top w:val="nil"/>
              <w:left w:val="nil"/>
              <w:bottom w:val="nil"/>
              <w:right w:val="nil"/>
            </w:tcBorders>
          </w:tcPr>
          <w:p w14:paraId="0A7FA998"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(0.712)</w:t>
            </w:r>
          </w:p>
        </w:tc>
        <w:tc>
          <w:tcPr>
            <w:tcW w:w="797" w:type="pct"/>
            <w:tcBorders>
              <w:top w:val="nil"/>
              <w:left w:val="nil"/>
              <w:bottom w:val="nil"/>
              <w:right w:val="nil"/>
            </w:tcBorders>
          </w:tcPr>
          <w:p w14:paraId="5E99D5F4"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(1.45)</w:t>
            </w:r>
          </w:p>
        </w:tc>
      </w:tr>
      <w:tr w:rsidR="003B5A8E" w:rsidRPr="00BF0763" w14:paraId="113E2008" w14:textId="77777777" w:rsidTr="003B5A8E">
        <w:trPr>
          <w:jc w:val="center"/>
        </w:trPr>
        <w:tc>
          <w:tcPr>
            <w:tcW w:w="764" w:type="pct"/>
            <w:tcBorders>
              <w:top w:val="nil"/>
              <w:left w:val="nil"/>
              <w:bottom w:val="nil"/>
              <w:right w:val="nil"/>
            </w:tcBorders>
          </w:tcPr>
          <w:p w14:paraId="16D7D3D9"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O3-Attainment Status (t-1)</w:t>
            </w:r>
          </w:p>
        </w:tc>
        <w:tc>
          <w:tcPr>
            <w:tcW w:w="520" w:type="pct"/>
            <w:tcBorders>
              <w:top w:val="nil"/>
              <w:left w:val="nil"/>
              <w:bottom w:val="nil"/>
              <w:right w:val="nil"/>
            </w:tcBorders>
          </w:tcPr>
          <w:p w14:paraId="70E6EFB7"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-0.064</w:t>
            </w:r>
          </w:p>
        </w:tc>
        <w:tc>
          <w:tcPr>
            <w:tcW w:w="738" w:type="pct"/>
            <w:tcBorders>
              <w:top w:val="nil"/>
              <w:left w:val="nil"/>
              <w:bottom w:val="nil"/>
              <w:right w:val="nil"/>
            </w:tcBorders>
          </w:tcPr>
          <w:p w14:paraId="66872F0C"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-0.047</w:t>
            </w:r>
          </w:p>
        </w:tc>
        <w:tc>
          <w:tcPr>
            <w:tcW w:w="580" w:type="pct"/>
            <w:tcBorders>
              <w:top w:val="nil"/>
              <w:left w:val="nil"/>
              <w:bottom w:val="nil"/>
              <w:right w:val="nil"/>
            </w:tcBorders>
          </w:tcPr>
          <w:p w14:paraId="6B24CB07"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-0.055</w:t>
            </w:r>
          </w:p>
        </w:tc>
        <w:tc>
          <w:tcPr>
            <w:tcW w:w="813" w:type="pct"/>
            <w:tcBorders>
              <w:top w:val="nil"/>
              <w:left w:val="nil"/>
              <w:bottom w:val="nil"/>
              <w:right w:val="nil"/>
            </w:tcBorders>
          </w:tcPr>
          <w:p w14:paraId="7D8DCC6B"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0.016</w:t>
            </w:r>
          </w:p>
        </w:tc>
        <w:tc>
          <w:tcPr>
            <w:tcW w:w="790" w:type="pct"/>
            <w:tcBorders>
              <w:top w:val="nil"/>
              <w:left w:val="nil"/>
              <w:bottom w:val="nil"/>
              <w:right w:val="nil"/>
            </w:tcBorders>
          </w:tcPr>
          <w:p w14:paraId="43E80EE5"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-0.054</w:t>
            </w:r>
          </w:p>
        </w:tc>
        <w:tc>
          <w:tcPr>
            <w:tcW w:w="797" w:type="pct"/>
            <w:tcBorders>
              <w:top w:val="nil"/>
              <w:left w:val="nil"/>
              <w:bottom w:val="nil"/>
              <w:right w:val="nil"/>
            </w:tcBorders>
          </w:tcPr>
          <w:p w14:paraId="389041EE"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0.081</w:t>
            </w:r>
          </w:p>
        </w:tc>
      </w:tr>
      <w:tr w:rsidR="003B5A8E" w:rsidRPr="00BF0763" w14:paraId="7AD06B49" w14:textId="77777777" w:rsidTr="003B5A8E">
        <w:trPr>
          <w:jc w:val="center"/>
        </w:trPr>
        <w:tc>
          <w:tcPr>
            <w:tcW w:w="764" w:type="pct"/>
            <w:tcBorders>
              <w:top w:val="nil"/>
              <w:left w:val="nil"/>
              <w:bottom w:val="nil"/>
              <w:right w:val="nil"/>
            </w:tcBorders>
          </w:tcPr>
          <w:p w14:paraId="175F7AD9"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 xml:space="preserve">  </w:t>
            </w:r>
          </w:p>
        </w:tc>
        <w:tc>
          <w:tcPr>
            <w:tcW w:w="520" w:type="pct"/>
            <w:tcBorders>
              <w:top w:val="nil"/>
              <w:left w:val="nil"/>
              <w:bottom w:val="nil"/>
              <w:right w:val="nil"/>
            </w:tcBorders>
          </w:tcPr>
          <w:p w14:paraId="44F88331"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(0.066)</w:t>
            </w:r>
          </w:p>
        </w:tc>
        <w:tc>
          <w:tcPr>
            <w:tcW w:w="738" w:type="pct"/>
            <w:tcBorders>
              <w:top w:val="nil"/>
              <w:left w:val="nil"/>
              <w:bottom w:val="nil"/>
              <w:right w:val="nil"/>
            </w:tcBorders>
          </w:tcPr>
          <w:p w14:paraId="0CCDB6A9"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(0.652)</w:t>
            </w:r>
          </w:p>
        </w:tc>
        <w:tc>
          <w:tcPr>
            <w:tcW w:w="580" w:type="pct"/>
            <w:tcBorders>
              <w:top w:val="nil"/>
              <w:left w:val="nil"/>
              <w:bottom w:val="nil"/>
              <w:right w:val="nil"/>
            </w:tcBorders>
          </w:tcPr>
          <w:p w14:paraId="4AE52C4A"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(0.038)</w:t>
            </w:r>
          </w:p>
        </w:tc>
        <w:tc>
          <w:tcPr>
            <w:tcW w:w="813" w:type="pct"/>
            <w:tcBorders>
              <w:top w:val="nil"/>
              <w:left w:val="nil"/>
              <w:bottom w:val="nil"/>
              <w:right w:val="nil"/>
            </w:tcBorders>
          </w:tcPr>
          <w:p w14:paraId="54E0E3E1"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(0.529)</w:t>
            </w:r>
          </w:p>
        </w:tc>
        <w:tc>
          <w:tcPr>
            <w:tcW w:w="790" w:type="pct"/>
            <w:tcBorders>
              <w:top w:val="nil"/>
              <w:left w:val="nil"/>
              <w:bottom w:val="nil"/>
              <w:right w:val="nil"/>
            </w:tcBorders>
          </w:tcPr>
          <w:p w14:paraId="52931623"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(0.052)</w:t>
            </w:r>
          </w:p>
        </w:tc>
        <w:tc>
          <w:tcPr>
            <w:tcW w:w="797" w:type="pct"/>
            <w:tcBorders>
              <w:top w:val="nil"/>
              <w:left w:val="nil"/>
              <w:bottom w:val="nil"/>
              <w:right w:val="nil"/>
            </w:tcBorders>
          </w:tcPr>
          <w:p w14:paraId="6FC53007"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(0.200)</w:t>
            </w:r>
          </w:p>
        </w:tc>
      </w:tr>
      <w:tr w:rsidR="003B5A8E" w:rsidRPr="00BF0763" w14:paraId="787853A6" w14:textId="77777777" w:rsidTr="003B5A8E">
        <w:trPr>
          <w:jc w:val="center"/>
        </w:trPr>
        <w:tc>
          <w:tcPr>
            <w:tcW w:w="764" w:type="pct"/>
            <w:tcBorders>
              <w:top w:val="nil"/>
              <w:left w:val="nil"/>
              <w:bottom w:val="nil"/>
              <w:right w:val="nil"/>
            </w:tcBorders>
          </w:tcPr>
          <w:p w14:paraId="28B0BB58"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PM-Attainment Status (t-1)</w:t>
            </w:r>
          </w:p>
        </w:tc>
        <w:tc>
          <w:tcPr>
            <w:tcW w:w="520" w:type="pct"/>
            <w:tcBorders>
              <w:top w:val="nil"/>
              <w:left w:val="nil"/>
              <w:bottom w:val="nil"/>
              <w:right w:val="nil"/>
            </w:tcBorders>
          </w:tcPr>
          <w:p w14:paraId="1F0FE122"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0.076</w:t>
            </w:r>
          </w:p>
        </w:tc>
        <w:tc>
          <w:tcPr>
            <w:tcW w:w="738" w:type="pct"/>
            <w:tcBorders>
              <w:top w:val="nil"/>
              <w:left w:val="nil"/>
              <w:bottom w:val="nil"/>
              <w:right w:val="nil"/>
            </w:tcBorders>
          </w:tcPr>
          <w:p w14:paraId="3F3C97BD"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-0.714</w:t>
            </w:r>
          </w:p>
        </w:tc>
        <w:tc>
          <w:tcPr>
            <w:tcW w:w="580" w:type="pct"/>
            <w:tcBorders>
              <w:top w:val="nil"/>
              <w:left w:val="nil"/>
              <w:bottom w:val="nil"/>
              <w:right w:val="nil"/>
            </w:tcBorders>
          </w:tcPr>
          <w:p w14:paraId="129604F4"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0.061*</w:t>
            </w:r>
          </w:p>
        </w:tc>
        <w:tc>
          <w:tcPr>
            <w:tcW w:w="813" w:type="pct"/>
            <w:tcBorders>
              <w:top w:val="nil"/>
              <w:left w:val="nil"/>
              <w:bottom w:val="nil"/>
              <w:right w:val="nil"/>
            </w:tcBorders>
          </w:tcPr>
          <w:p w14:paraId="2048CF92"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-0.996*</w:t>
            </w:r>
          </w:p>
        </w:tc>
        <w:tc>
          <w:tcPr>
            <w:tcW w:w="790" w:type="pct"/>
            <w:tcBorders>
              <w:top w:val="nil"/>
              <w:left w:val="nil"/>
              <w:bottom w:val="nil"/>
              <w:right w:val="nil"/>
            </w:tcBorders>
          </w:tcPr>
          <w:p w14:paraId="244FE018"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-0.015</w:t>
            </w:r>
          </w:p>
        </w:tc>
        <w:tc>
          <w:tcPr>
            <w:tcW w:w="797" w:type="pct"/>
            <w:tcBorders>
              <w:top w:val="nil"/>
              <w:left w:val="nil"/>
              <w:bottom w:val="nil"/>
              <w:right w:val="nil"/>
            </w:tcBorders>
          </w:tcPr>
          <w:p w14:paraId="2754BA35"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0.030</w:t>
            </w:r>
          </w:p>
        </w:tc>
      </w:tr>
      <w:tr w:rsidR="003B5A8E" w:rsidRPr="00BF0763" w14:paraId="187674F0" w14:textId="77777777" w:rsidTr="003B5A8E">
        <w:trPr>
          <w:jc w:val="center"/>
        </w:trPr>
        <w:tc>
          <w:tcPr>
            <w:tcW w:w="764" w:type="pct"/>
            <w:tcBorders>
              <w:top w:val="nil"/>
              <w:left w:val="nil"/>
              <w:bottom w:val="nil"/>
              <w:right w:val="nil"/>
            </w:tcBorders>
          </w:tcPr>
          <w:p w14:paraId="3B2E03B0"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 xml:space="preserve">  </w:t>
            </w:r>
          </w:p>
        </w:tc>
        <w:tc>
          <w:tcPr>
            <w:tcW w:w="520" w:type="pct"/>
            <w:tcBorders>
              <w:top w:val="nil"/>
              <w:left w:val="nil"/>
              <w:bottom w:val="nil"/>
              <w:right w:val="nil"/>
            </w:tcBorders>
          </w:tcPr>
          <w:p w14:paraId="6F503E7E"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(0.046)</w:t>
            </w:r>
          </w:p>
        </w:tc>
        <w:tc>
          <w:tcPr>
            <w:tcW w:w="738" w:type="pct"/>
            <w:tcBorders>
              <w:top w:val="nil"/>
              <w:left w:val="nil"/>
              <w:bottom w:val="nil"/>
              <w:right w:val="nil"/>
            </w:tcBorders>
          </w:tcPr>
          <w:p w14:paraId="747A5384"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(0.737)</w:t>
            </w:r>
          </w:p>
        </w:tc>
        <w:tc>
          <w:tcPr>
            <w:tcW w:w="580" w:type="pct"/>
            <w:tcBorders>
              <w:top w:val="nil"/>
              <w:left w:val="nil"/>
              <w:bottom w:val="nil"/>
              <w:right w:val="nil"/>
            </w:tcBorders>
          </w:tcPr>
          <w:p w14:paraId="13E2F6F3"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(0.034)</w:t>
            </w:r>
          </w:p>
        </w:tc>
        <w:tc>
          <w:tcPr>
            <w:tcW w:w="813" w:type="pct"/>
            <w:tcBorders>
              <w:top w:val="nil"/>
              <w:left w:val="nil"/>
              <w:bottom w:val="nil"/>
              <w:right w:val="nil"/>
            </w:tcBorders>
          </w:tcPr>
          <w:p w14:paraId="052895D5"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(0.529)</w:t>
            </w:r>
          </w:p>
        </w:tc>
        <w:tc>
          <w:tcPr>
            <w:tcW w:w="790" w:type="pct"/>
            <w:tcBorders>
              <w:top w:val="nil"/>
              <w:left w:val="nil"/>
              <w:bottom w:val="nil"/>
              <w:right w:val="nil"/>
            </w:tcBorders>
          </w:tcPr>
          <w:p w14:paraId="0108BFC9"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(0.040)</w:t>
            </w:r>
          </w:p>
        </w:tc>
        <w:tc>
          <w:tcPr>
            <w:tcW w:w="797" w:type="pct"/>
            <w:tcBorders>
              <w:top w:val="nil"/>
              <w:left w:val="nil"/>
              <w:bottom w:val="nil"/>
              <w:right w:val="nil"/>
            </w:tcBorders>
          </w:tcPr>
          <w:p w14:paraId="47B2265C"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(0.116)</w:t>
            </w:r>
          </w:p>
        </w:tc>
      </w:tr>
      <w:tr w:rsidR="003B5A8E" w:rsidRPr="00BF0763" w14:paraId="4389DCE4" w14:textId="77777777" w:rsidTr="003B5A8E">
        <w:trPr>
          <w:jc w:val="center"/>
        </w:trPr>
        <w:tc>
          <w:tcPr>
            <w:tcW w:w="764" w:type="pct"/>
            <w:tcBorders>
              <w:top w:val="nil"/>
              <w:left w:val="nil"/>
              <w:bottom w:val="nil"/>
              <w:right w:val="nil"/>
            </w:tcBorders>
          </w:tcPr>
          <w:p w14:paraId="1370CE24"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Population Density (100s)</w:t>
            </w:r>
          </w:p>
        </w:tc>
        <w:tc>
          <w:tcPr>
            <w:tcW w:w="520" w:type="pct"/>
            <w:tcBorders>
              <w:top w:val="nil"/>
              <w:left w:val="nil"/>
              <w:bottom w:val="nil"/>
              <w:right w:val="nil"/>
            </w:tcBorders>
          </w:tcPr>
          <w:p w14:paraId="69A10255"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-5.42</w:t>
            </w:r>
          </w:p>
        </w:tc>
        <w:tc>
          <w:tcPr>
            <w:tcW w:w="738" w:type="pct"/>
            <w:tcBorders>
              <w:top w:val="nil"/>
              <w:left w:val="nil"/>
              <w:bottom w:val="nil"/>
              <w:right w:val="nil"/>
            </w:tcBorders>
          </w:tcPr>
          <w:p w14:paraId="60E36D1D"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-0.593</w:t>
            </w:r>
          </w:p>
        </w:tc>
        <w:tc>
          <w:tcPr>
            <w:tcW w:w="580" w:type="pct"/>
            <w:tcBorders>
              <w:top w:val="nil"/>
              <w:left w:val="nil"/>
              <w:bottom w:val="nil"/>
              <w:right w:val="nil"/>
            </w:tcBorders>
          </w:tcPr>
          <w:p w14:paraId="0FDDE381"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-3.86</w:t>
            </w:r>
          </w:p>
        </w:tc>
        <w:tc>
          <w:tcPr>
            <w:tcW w:w="813" w:type="pct"/>
            <w:tcBorders>
              <w:top w:val="nil"/>
              <w:left w:val="nil"/>
              <w:bottom w:val="nil"/>
              <w:right w:val="nil"/>
            </w:tcBorders>
          </w:tcPr>
          <w:p w14:paraId="4E6D89E7"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86.5***</w:t>
            </w:r>
          </w:p>
        </w:tc>
        <w:tc>
          <w:tcPr>
            <w:tcW w:w="790" w:type="pct"/>
            <w:tcBorders>
              <w:top w:val="nil"/>
              <w:left w:val="nil"/>
              <w:bottom w:val="nil"/>
              <w:right w:val="nil"/>
            </w:tcBorders>
          </w:tcPr>
          <w:p w14:paraId="5B504C0B"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-4.49</w:t>
            </w:r>
          </w:p>
        </w:tc>
        <w:tc>
          <w:tcPr>
            <w:tcW w:w="797" w:type="pct"/>
            <w:tcBorders>
              <w:top w:val="nil"/>
              <w:left w:val="nil"/>
              <w:bottom w:val="nil"/>
              <w:right w:val="nil"/>
            </w:tcBorders>
          </w:tcPr>
          <w:p w14:paraId="328215C4"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-20.4</w:t>
            </w:r>
          </w:p>
        </w:tc>
      </w:tr>
      <w:tr w:rsidR="003B5A8E" w:rsidRPr="00BF0763" w14:paraId="785349A8" w14:textId="77777777" w:rsidTr="003B5A8E">
        <w:trPr>
          <w:jc w:val="center"/>
        </w:trPr>
        <w:tc>
          <w:tcPr>
            <w:tcW w:w="764" w:type="pct"/>
            <w:tcBorders>
              <w:top w:val="nil"/>
              <w:left w:val="nil"/>
              <w:bottom w:val="nil"/>
              <w:right w:val="nil"/>
            </w:tcBorders>
          </w:tcPr>
          <w:p w14:paraId="1AEBE4C2"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 xml:space="preserve">  </w:t>
            </w:r>
          </w:p>
        </w:tc>
        <w:tc>
          <w:tcPr>
            <w:tcW w:w="520" w:type="pct"/>
            <w:tcBorders>
              <w:top w:val="nil"/>
              <w:left w:val="nil"/>
              <w:bottom w:val="nil"/>
              <w:right w:val="nil"/>
            </w:tcBorders>
          </w:tcPr>
          <w:p w14:paraId="66B3965B"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(4.93)</w:t>
            </w:r>
          </w:p>
        </w:tc>
        <w:tc>
          <w:tcPr>
            <w:tcW w:w="738" w:type="pct"/>
            <w:tcBorders>
              <w:top w:val="nil"/>
              <w:left w:val="nil"/>
              <w:bottom w:val="nil"/>
              <w:right w:val="nil"/>
            </w:tcBorders>
          </w:tcPr>
          <w:p w14:paraId="129BFD86"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(68.1)</w:t>
            </w:r>
          </w:p>
        </w:tc>
        <w:tc>
          <w:tcPr>
            <w:tcW w:w="580" w:type="pct"/>
            <w:tcBorders>
              <w:top w:val="nil"/>
              <w:left w:val="nil"/>
              <w:bottom w:val="nil"/>
              <w:right w:val="nil"/>
            </w:tcBorders>
          </w:tcPr>
          <w:p w14:paraId="0559B6B4"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(2.78)</w:t>
            </w:r>
          </w:p>
        </w:tc>
        <w:tc>
          <w:tcPr>
            <w:tcW w:w="813" w:type="pct"/>
            <w:tcBorders>
              <w:top w:val="nil"/>
              <w:left w:val="nil"/>
              <w:bottom w:val="nil"/>
              <w:right w:val="nil"/>
            </w:tcBorders>
          </w:tcPr>
          <w:p w14:paraId="5DC2D3A2"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(19.3)</w:t>
            </w:r>
          </w:p>
        </w:tc>
        <w:tc>
          <w:tcPr>
            <w:tcW w:w="790" w:type="pct"/>
            <w:tcBorders>
              <w:top w:val="nil"/>
              <w:left w:val="nil"/>
              <w:bottom w:val="nil"/>
              <w:right w:val="nil"/>
            </w:tcBorders>
          </w:tcPr>
          <w:p w14:paraId="163DC931"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(6.53)</w:t>
            </w:r>
          </w:p>
        </w:tc>
        <w:tc>
          <w:tcPr>
            <w:tcW w:w="797" w:type="pct"/>
            <w:tcBorders>
              <w:top w:val="nil"/>
              <w:left w:val="nil"/>
              <w:bottom w:val="nil"/>
              <w:right w:val="nil"/>
            </w:tcBorders>
          </w:tcPr>
          <w:p w14:paraId="5B5C2062"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(16.9)</w:t>
            </w:r>
          </w:p>
        </w:tc>
      </w:tr>
      <w:tr w:rsidR="003B5A8E" w:rsidRPr="00BF0763" w14:paraId="48A2298F" w14:textId="77777777" w:rsidTr="003B5A8E">
        <w:trPr>
          <w:jc w:val="center"/>
        </w:trPr>
        <w:tc>
          <w:tcPr>
            <w:tcW w:w="764" w:type="pct"/>
            <w:tcBorders>
              <w:top w:val="nil"/>
              <w:left w:val="nil"/>
              <w:bottom w:val="nil"/>
              <w:right w:val="nil"/>
            </w:tcBorders>
          </w:tcPr>
          <w:p w14:paraId="2E3DAE1D"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 xml:space="preserve">Prior </w:t>
            </w:r>
            <w:proofErr w:type="spellStart"/>
            <w:r w:rsidRPr="00BF0763">
              <w:rPr>
                <w:rFonts w:eastAsia="Times New Roman" w:cs="Times New Roman"/>
                <w:sz w:val="20"/>
                <w:szCs w:val="20"/>
              </w:rPr>
              <w:t>Estab</w:t>
            </w:r>
            <w:proofErr w:type="spellEnd"/>
            <w:r w:rsidRPr="00BF0763">
              <w:rPr>
                <w:rFonts w:eastAsia="Times New Roman" w:cs="Times New Roman"/>
                <w:sz w:val="20"/>
                <w:szCs w:val="20"/>
              </w:rPr>
              <w:t>. Count (10ks)</w:t>
            </w:r>
          </w:p>
        </w:tc>
        <w:tc>
          <w:tcPr>
            <w:tcW w:w="520" w:type="pct"/>
            <w:tcBorders>
              <w:top w:val="nil"/>
              <w:left w:val="nil"/>
              <w:bottom w:val="nil"/>
              <w:right w:val="nil"/>
            </w:tcBorders>
          </w:tcPr>
          <w:p w14:paraId="0F4D6096"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2.17</w:t>
            </w:r>
          </w:p>
        </w:tc>
        <w:tc>
          <w:tcPr>
            <w:tcW w:w="738" w:type="pct"/>
            <w:tcBorders>
              <w:top w:val="nil"/>
              <w:left w:val="nil"/>
              <w:bottom w:val="nil"/>
              <w:right w:val="nil"/>
            </w:tcBorders>
          </w:tcPr>
          <w:p w14:paraId="267F0A00"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-49.6***</w:t>
            </w:r>
          </w:p>
        </w:tc>
        <w:tc>
          <w:tcPr>
            <w:tcW w:w="580" w:type="pct"/>
            <w:tcBorders>
              <w:top w:val="nil"/>
              <w:left w:val="nil"/>
              <w:bottom w:val="nil"/>
              <w:right w:val="nil"/>
            </w:tcBorders>
          </w:tcPr>
          <w:p w14:paraId="72AF5B9E"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34.8***</w:t>
            </w:r>
          </w:p>
        </w:tc>
        <w:tc>
          <w:tcPr>
            <w:tcW w:w="813" w:type="pct"/>
            <w:tcBorders>
              <w:top w:val="nil"/>
              <w:left w:val="nil"/>
              <w:bottom w:val="nil"/>
              <w:right w:val="nil"/>
            </w:tcBorders>
          </w:tcPr>
          <w:p w14:paraId="4C5AB063"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165***</w:t>
            </w:r>
          </w:p>
        </w:tc>
        <w:tc>
          <w:tcPr>
            <w:tcW w:w="790" w:type="pct"/>
            <w:tcBorders>
              <w:top w:val="nil"/>
              <w:left w:val="nil"/>
              <w:bottom w:val="nil"/>
              <w:right w:val="nil"/>
            </w:tcBorders>
          </w:tcPr>
          <w:p w14:paraId="4E2DA6B2"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797" w:type="pct"/>
            <w:tcBorders>
              <w:top w:val="nil"/>
              <w:left w:val="nil"/>
              <w:bottom w:val="nil"/>
              <w:right w:val="nil"/>
            </w:tcBorders>
          </w:tcPr>
          <w:p w14:paraId="4860E79C"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r>
      <w:tr w:rsidR="003B5A8E" w:rsidRPr="00BF0763" w14:paraId="76CE5CE4" w14:textId="77777777" w:rsidTr="003B5A8E">
        <w:trPr>
          <w:jc w:val="center"/>
        </w:trPr>
        <w:tc>
          <w:tcPr>
            <w:tcW w:w="764" w:type="pct"/>
            <w:tcBorders>
              <w:top w:val="nil"/>
              <w:left w:val="nil"/>
              <w:bottom w:val="nil"/>
              <w:right w:val="nil"/>
            </w:tcBorders>
          </w:tcPr>
          <w:p w14:paraId="10211D48"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 xml:space="preserve">  </w:t>
            </w:r>
          </w:p>
        </w:tc>
        <w:tc>
          <w:tcPr>
            <w:tcW w:w="520" w:type="pct"/>
            <w:tcBorders>
              <w:top w:val="nil"/>
              <w:left w:val="nil"/>
              <w:bottom w:val="nil"/>
              <w:right w:val="nil"/>
            </w:tcBorders>
          </w:tcPr>
          <w:p w14:paraId="616D0DD3"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(2.56)</w:t>
            </w:r>
          </w:p>
        </w:tc>
        <w:tc>
          <w:tcPr>
            <w:tcW w:w="738" w:type="pct"/>
            <w:tcBorders>
              <w:top w:val="nil"/>
              <w:left w:val="nil"/>
              <w:bottom w:val="nil"/>
              <w:right w:val="nil"/>
            </w:tcBorders>
          </w:tcPr>
          <w:p w14:paraId="2FB83A1C"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(8.71)</w:t>
            </w:r>
          </w:p>
        </w:tc>
        <w:tc>
          <w:tcPr>
            <w:tcW w:w="580" w:type="pct"/>
            <w:tcBorders>
              <w:top w:val="nil"/>
              <w:left w:val="nil"/>
              <w:bottom w:val="nil"/>
              <w:right w:val="nil"/>
            </w:tcBorders>
          </w:tcPr>
          <w:p w14:paraId="499A1193"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(4.41)</w:t>
            </w:r>
          </w:p>
        </w:tc>
        <w:tc>
          <w:tcPr>
            <w:tcW w:w="813" w:type="pct"/>
            <w:tcBorders>
              <w:top w:val="nil"/>
              <w:left w:val="nil"/>
              <w:bottom w:val="nil"/>
              <w:right w:val="nil"/>
            </w:tcBorders>
          </w:tcPr>
          <w:p w14:paraId="36A1003B"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(25.9)</w:t>
            </w:r>
          </w:p>
        </w:tc>
        <w:tc>
          <w:tcPr>
            <w:tcW w:w="790" w:type="pct"/>
            <w:tcBorders>
              <w:top w:val="nil"/>
              <w:left w:val="nil"/>
              <w:bottom w:val="nil"/>
              <w:right w:val="nil"/>
            </w:tcBorders>
          </w:tcPr>
          <w:p w14:paraId="5992AA61"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797" w:type="pct"/>
            <w:tcBorders>
              <w:top w:val="nil"/>
              <w:left w:val="nil"/>
              <w:bottom w:val="nil"/>
              <w:right w:val="nil"/>
            </w:tcBorders>
          </w:tcPr>
          <w:p w14:paraId="6A9F27FF"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r>
      <w:tr w:rsidR="003B5A8E" w:rsidRPr="00BF0763" w14:paraId="0D2F75FC" w14:textId="77777777" w:rsidTr="003B5A8E">
        <w:trPr>
          <w:jc w:val="center"/>
        </w:trPr>
        <w:tc>
          <w:tcPr>
            <w:tcW w:w="764" w:type="pct"/>
            <w:tcBorders>
              <w:top w:val="nil"/>
              <w:left w:val="nil"/>
              <w:bottom w:val="nil"/>
              <w:right w:val="nil"/>
            </w:tcBorders>
          </w:tcPr>
          <w:p w14:paraId="65CE8F50"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Prior Exits</w:t>
            </w:r>
          </w:p>
        </w:tc>
        <w:tc>
          <w:tcPr>
            <w:tcW w:w="520" w:type="pct"/>
            <w:tcBorders>
              <w:top w:val="nil"/>
              <w:left w:val="nil"/>
              <w:bottom w:val="nil"/>
              <w:right w:val="nil"/>
            </w:tcBorders>
          </w:tcPr>
          <w:p w14:paraId="405CCCE6"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-0.371</w:t>
            </w:r>
          </w:p>
        </w:tc>
        <w:tc>
          <w:tcPr>
            <w:tcW w:w="738" w:type="pct"/>
            <w:tcBorders>
              <w:top w:val="nil"/>
              <w:left w:val="nil"/>
              <w:bottom w:val="nil"/>
              <w:right w:val="nil"/>
            </w:tcBorders>
          </w:tcPr>
          <w:p w14:paraId="432D6F6B"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3.37**</w:t>
            </w:r>
          </w:p>
        </w:tc>
        <w:tc>
          <w:tcPr>
            <w:tcW w:w="580" w:type="pct"/>
            <w:tcBorders>
              <w:top w:val="nil"/>
              <w:left w:val="nil"/>
              <w:bottom w:val="nil"/>
              <w:right w:val="nil"/>
            </w:tcBorders>
          </w:tcPr>
          <w:p w14:paraId="411829DF"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813" w:type="pct"/>
            <w:tcBorders>
              <w:top w:val="nil"/>
              <w:left w:val="nil"/>
              <w:bottom w:val="nil"/>
              <w:right w:val="nil"/>
            </w:tcBorders>
          </w:tcPr>
          <w:p w14:paraId="570B2D39"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790" w:type="pct"/>
            <w:tcBorders>
              <w:top w:val="nil"/>
              <w:left w:val="nil"/>
              <w:bottom w:val="nil"/>
              <w:right w:val="nil"/>
            </w:tcBorders>
          </w:tcPr>
          <w:p w14:paraId="62D2BC0C"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797" w:type="pct"/>
            <w:tcBorders>
              <w:top w:val="nil"/>
              <w:left w:val="nil"/>
              <w:bottom w:val="nil"/>
              <w:right w:val="nil"/>
            </w:tcBorders>
          </w:tcPr>
          <w:p w14:paraId="4984F81E"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r>
      <w:tr w:rsidR="003B5A8E" w:rsidRPr="00BF0763" w14:paraId="34C8A5EF" w14:textId="77777777" w:rsidTr="003B5A8E">
        <w:trPr>
          <w:jc w:val="center"/>
        </w:trPr>
        <w:tc>
          <w:tcPr>
            <w:tcW w:w="764" w:type="pct"/>
            <w:tcBorders>
              <w:top w:val="nil"/>
              <w:left w:val="nil"/>
              <w:bottom w:val="nil"/>
              <w:right w:val="nil"/>
            </w:tcBorders>
          </w:tcPr>
          <w:p w14:paraId="70CE0B47"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 xml:space="preserve">  </w:t>
            </w:r>
          </w:p>
        </w:tc>
        <w:tc>
          <w:tcPr>
            <w:tcW w:w="520" w:type="pct"/>
            <w:tcBorders>
              <w:top w:val="nil"/>
              <w:left w:val="nil"/>
              <w:bottom w:val="nil"/>
              <w:right w:val="nil"/>
            </w:tcBorders>
          </w:tcPr>
          <w:p w14:paraId="2B938E9E"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(0.228)</w:t>
            </w:r>
          </w:p>
        </w:tc>
        <w:tc>
          <w:tcPr>
            <w:tcW w:w="738" w:type="pct"/>
            <w:tcBorders>
              <w:top w:val="nil"/>
              <w:left w:val="nil"/>
              <w:bottom w:val="nil"/>
              <w:right w:val="nil"/>
            </w:tcBorders>
          </w:tcPr>
          <w:p w14:paraId="56D3058F"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(1.36)</w:t>
            </w:r>
          </w:p>
        </w:tc>
        <w:tc>
          <w:tcPr>
            <w:tcW w:w="580" w:type="pct"/>
            <w:tcBorders>
              <w:top w:val="nil"/>
              <w:left w:val="nil"/>
              <w:bottom w:val="nil"/>
              <w:right w:val="nil"/>
            </w:tcBorders>
          </w:tcPr>
          <w:p w14:paraId="788927B2"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813" w:type="pct"/>
            <w:tcBorders>
              <w:top w:val="nil"/>
              <w:left w:val="nil"/>
              <w:bottom w:val="nil"/>
              <w:right w:val="nil"/>
            </w:tcBorders>
          </w:tcPr>
          <w:p w14:paraId="40C4D552"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790" w:type="pct"/>
            <w:tcBorders>
              <w:top w:val="nil"/>
              <w:left w:val="nil"/>
              <w:bottom w:val="nil"/>
              <w:right w:val="nil"/>
            </w:tcBorders>
          </w:tcPr>
          <w:p w14:paraId="5A3875CA"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797" w:type="pct"/>
            <w:tcBorders>
              <w:top w:val="nil"/>
              <w:left w:val="nil"/>
              <w:bottom w:val="nil"/>
              <w:right w:val="nil"/>
            </w:tcBorders>
          </w:tcPr>
          <w:p w14:paraId="430BBFC4"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r>
      <w:tr w:rsidR="003B5A8E" w:rsidRPr="00BF0763" w14:paraId="0BE3FCDD" w14:textId="77777777" w:rsidTr="003B5A8E">
        <w:trPr>
          <w:jc w:val="center"/>
        </w:trPr>
        <w:tc>
          <w:tcPr>
            <w:tcW w:w="764" w:type="pct"/>
            <w:tcBorders>
              <w:top w:val="nil"/>
              <w:left w:val="nil"/>
              <w:bottom w:val="nil"/>
              <w:right w:val="nil"/>
            </w:tcBorders>
          </w:tcPr>
          <w:p w14:paraId="1092929A"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Prior Entries</w:t>
            </w:r>
          </w:p>
        </w:tc>
        <w:tc>
          <w:tcPr>
            <w:tcW w:w="520" w:type="pct"/>
            <w:tcBorders>
              <w:top w:val="nil"/>
              <w:left w:val="nil"/>
              <w:bottom w:val="nil"/>
              <w:right w:val="nil"/>
            </w:tcBorders>
          </w:tcPr>
          <w:p w14:paraId="620ECA14"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738" w:type="pct"/>
            <w:tcBorders>
              <w:top w:val="nil"/>
              <w:left w:val="nil"/>
              <w:bottom w:val="nil"/>
              <w:right w:val="nil"/>
            </w:tcBorders>
          </w:tcPr>
          <w:p w14:paraId="6C6B3A94"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580" w:type="pct"/>
            <w:tcBorders>
              <w:top w:val="nil"/>
              <w:left w:val="nil"/>
              <w:bottom w:val="nil"/>
              <w:right w:val="nil"/>
            </w:tcBorders>
          </w:tcPr>
          <w:p w14:paraId="68B32D62"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-0.365*</w:t>
            </w:r>
          </w:p>
        </w:tc>
        <w:tc>
          <w:tcPr>
            <w:tcW w:w="813" w:type="pct"/>
            <w:tcBorders>
              <w:top w:val="nil"/>
              <w:left w:val="nil"/>
              <w:bottom w:val="nil"/>
              <w:right w:val="nil"/>
            </w:tcBorders>
          </w:tcPr>
          <w:p w14:paraId="3CE0FEEA"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-7.67***</w:t>
            </w:r>
          </w:p>
        </w:tc>
        <w:tc>
          <w:tcPr>
            <w:tcW w:w="790" w:type="pct"/>
            <w:tcBorders>
              <w:top w:val="nil"/>
              <w:left w:val="nil"/>
              <w:bottom w:val="nil"/>
              <w:right w:val="nil"/>
            </w:tcBorders>
          </w:tcPr>
          <w:p w14:paraId="1EA02995"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797" w:type="pct"/>
            <w:tcBorders>
              <w:top w:val="nil"/>
              <w:left w:val="nil"/>
              <w:bottom w:val="nil"/>
              <w:right w:val="nil"/>
            </w:tcBorders>
          </w:tcPr>
          <w:p w14:paraId="0167F30D"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r>
      <w:tr w:rsidR="003B5A8E" w:rsidRPr="00BF0763" w14:paraId="68D6AB80" w14:textId="77777777" w:rsidTr="003B5A8E">
        <w:trPr>
          <w:jc w:val="center"/>
        </w:trPr>
        <w:tc>
          <w:tcPr>
            <w:tcW w:w="764" w:type="pct"/>
            <w:tcBorders>
              <w:top w:val="nil"/>
              <w:left w:val="nil"/>
              <w:bottom w:val="nil"/>
              <w:right w:val="nil"/>
            </w:tcBorders>
          </w:tcPr>
          <w:p w14:paraId="4468542C"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 xml:space="preserve">  </w:t>
            </w:r>
          </w:p>
        </w:tc>
        <w:tc>
          <w:tcPr>
            <w:tcW w:w="520" w:type="pct"/>
            <w:tcBorders>
              <w:top w:val="nil"/>
              <w:left w:val="nil"/>
              <w:bottom w:val="nil"/>
              <w:right w:val="nil"/>
            </w:tcBorders>
          </w:tcPr>
          <w:p w14:paraId="7171EF90"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738" w:type="pct"/>
            <w:tcBorders>
              <w:top w:val="nil"/>
              <w:left w:val="nil"/>
              <w:bottom w:val="nil"/>
              <w:right w:val="nil"/>
            </w:tcBorders>
          </w:tcPr>
          <w:p w14:paraId="3B006C16"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580" w:type="pct"/>
            <w:tcBorders>
              <w:top w:val="nil"/>
              <w:left w:val="nil"/>
              <w:bottom w:val="nil"/>
              <w:right w:val="nil"/>
            </w:tcBorders>
          </w:tcPr>
          <w:p w14:paraId="1A3F5CBD"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(0.202)</w:t>
            </w:r>
          </w:p>
        </w:tc>
        <w:tc>
          <w:tcPr>
            <w:tcW w:w="813" w:type="pct"/>
            <w:tcBorders>
              <w:top w:val="nil"/>
              <w:left w:val="nil"/>
              <w:bottom w:val="nil"/>
              <w:right w:val="nil"/>
            </w:tcBorders>
          </w:tcPr>
          <w:p w14:paraId="0BD582D9"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(1.18)</w:t>
            </w:r>
          </w:p>
        </w:tc>
        <w:tc>
          <w:tcPr>
            <w:tcW w:w="790" w:type="pct"/>
            <w:tcBorders>
              <w:top w:val="nil"/>
              <w:left w:val="nil"/>
              <w:bottom w:val="nil"/>
              <w:right w:val="nil"/>
            </w:tcBorders>
          </w:tcPr>
          <w:p w14:paraId="19097D8D"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797" w:type="pct"/>
            <w:tcBorders>
              <w:top w:val="nil"/>
              <w:left w:val="nil"/>
              <w:bottom w:val="nil"/>
              <w:right w:val="nil"/>
            </w:tcBorders>
          </w:tcPr>
          <w:p w14:paraId="1C223EFA"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r>
      <w:tr w:rsidR="003B5A8E" w:rsidRPr="00BF0763" w14:paraId="69025128" w14:textId="77777777" w:rsidTr="003B5A8E">
        <w:trPr>
          <w:jc w:val="center"/>
        </w:trPr>
        <w:tc>
          <w:tcPr>
            <w:tcW w:w="764" w:type="pct"/>
            <w:tcBorders>
              <w:top w:val="nil"/>
              <w:left w:val="nil"/>
              <w:bottom w:val="nil"/>
              <w:right w:val="nil"/>
            </w:tcBorders>
          </w:tcPr>
          <w:p w14:paraId="0E7E2D90"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Observations</w:t>
            </w:r>
          </w:p>
        </w:tc>
        <w:tc>
          <w:tcPr>
            <w:tcW w:w="520" w:type="pct"/>
            <w:tcBorders>
              <w:top w:val="nil"/>
              <w:left w:val="nil"/>
              <w:bottom w:val="nil"/>
              <w:right w:val="nil"/>
            </w:tcBorders>
          </w:tcPr>
          <w:p w14:paraId="19A69B8C"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880</w:t>
            </w:r>
          </w:p>
        </w:tc>
        <w:tc>
          <w:tcPr>
            <w:tcW w:w="738" w:type="pct"/>
            <w:tcBorders>
              <w:top w:val="nil"/>
              <w:left w:val="nil"/>
              <w:bottom w:val="nil"/>
              <w:right w:val="nil"/>
            </w:tcBorders>
          </w:tcPr>
          <w:p w14:paraId="27AA001C"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795</w:t>
            </w:r>
          </w:p>
        </w:tc>
        <w:tc>
          <w:tcPr>
            <w:tcW w:w="580" w:type="pct"/>
            <w:tcBorders>
              <w:top w:val="nil"/>
              <w:left w:val="nil"/>
              <w:bottom w:val="nil"/>
              <w:right w:val="nil"/>
            </w:tcBorders>
          </w:tcPr>
          <w:p w14:paraId="3FD2F921"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880</w:t>
            </w:r>
          </w:p>
        </w:tc>
        <w:tc>
          <w:tcPr>
            <w:tcW w:w="813" w:type="pct"/>
            <w:tcBorders>
              <w:top w:val="nil"/>
              <w:left w:val="nil"/>
              <w:bottom w:val="nil"/>
              <w:right w:val="nil"/>
            </w:tcBorders>
          </w:tcPr>
          <w:p w14:paraId="1BAC415B"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773</w:t>
            </w:r>
          </w:p>
        </w:tc>
        <w:tc>
          <w:tcPr>
            <w:tcW w:w="790" w:type="pct"/>
            <w:tcBorders>
              <w:top w:val="nil"/>
              <w:left w:val="nil"/>
              <w:bottom w:val="nil"/>
              <w:right w:val="nil"/>
            </w:tcBorders>
          </w:tcPr>
          <w:p w14:paraId="3A53F5C8"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885</w:t>
            </w:r>
          </w:p>
        </w:tc>
        <w:tc>
          <w:tcPr>
            <w:tcW w:w="797" w:type="pct"/>
            <w:tcBorders>
              <w:top w:val="nil"/>
              <w:left w:val="nil"/>
              <w:bottom w:val="nil"/>
              <w:right w:val="nil"/>
            </w:tcBorders>
          </w:tcPr>
          <w:p w14:paraId="4208DC90"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885</w:t>
            </w:r>
          </w:p>
        </w:tc>
      </w:tr>
      <w:tr w:rsidR="003B5A8E" w:rsidRPr="00BF0763" w14:paraId="1999A737" w14:textId="77777777" w:rsidTr="003B5A8E">
        <w:trPr>
          <w:jc w:val="center"/>
        </w:trPr>
        <w:tc>
          <w:tcPr>
            <w:tcW w:w="764" w:type="pct"/>
            <w:tcBorders>
              <w:top w:val="nil"/>
              <w:left w:val="nil"/>
              <w:bottom w:val="nil"/>
              <w:right w:val="nil"/>
            </w:tcBorders>
          </w:tcPr>
          <w:p w14:paraId="18F06B5D"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Pseudo R2</w:t>
            </w:r>
          </w:p>
        </w:tc>
        <w:tc>
          <w:tcPr>
            <w:tcW w:w="520" w:type="pct"/>
            <w:tcBorders>
              <w:top w:val="nil"/>
              <w:left w:val="nil"/>
              <w:bottom w:val="nil"/>
              <w:right w:val="nil"/>
            </w:tcBorders>
          </w:tcPr>
          <w:p w14:paraId="5A537D9D"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0.762</w:t>
            </w:r>
          </w:p>
        </w:tc>
        <w:tc>
          <w:tcPr>
            <w:tcW w:w="738" w:type="pct"/>
            <w:tcBorders>
              <w:top w:val="nil"/>
              <w:left w:val="nil"/>
              <w:bottom w:val="nil"/>
              <w:right w:val="nil"/>
            </w:tcBorders>
          </w:tcPr>
          <w:p w14:paraId="5006DE07"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0.917</w:t>
            </w:r>
          </w:p>
        </w:tc>
        <w:tc>
          <w:tcPr>
            <w:tcW w:w="580" w:type="pct"/>
            <w:tcBorders>
              <w:top w:val="nil"/>
              <w:left w:val="nil"/>
              <w:bottom w:val="nil"/>
              <w:right w:val="nil"/>
            </w:tcBorders>
          </w:tcPr>
          <w:p w14:paraId="3280A542"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0.779</w:t>
            </w:r>
          </w:p>
        </w:tc>
        <w:tc>
          <w:tcPr>
            <w:tcW w:w="813" w:type="pct"/>
            <w:tcBorders>
              <w:top w:val="nil"/>
              <w:left w:val="nil"/>
              <w:bottom w:val="nil"/>
              <w:right w:val="nil"/>
            </w:tcBorders>
          </w:tcPr>
          <w:p w14:paraId="0C50B257"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0.931</w:t>
            </w:r>
          </w:p>
        </w:tc>
        <w:tc>
          <w:tcPr>
            <w:tcW w:w="790" w:type="pct"/>
            <w:tcBorders>
              <w:top w:val="nil"/>
              <w:left w:val="nil"/>
              <w:bottom w:val="nil"/>
              <w:right w:val="nil"/>
            </w:tcBorders>
          </w:tcPr>
          <w:p w14:paraId="0ED67386"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0.933</w:t>
            </w:r>
          </w:p>
        </w:tc>
        <w:tc>
          <w:tcPr>
            <w:tcW w:w="797" w:type="pct"/>
            <w:tcBorders>
              <w:top w:val="nil"/>
              <w:left w:val="nil"/>
              <w:bottom w:val="nil"/>
              <w:right w:val="nil"/>
            </w:tcBorders>
          </w:tcPr>
          <w:p w14:paraId="541A8CD5"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0.849</w:t>
            </w:r>
          </w:p>
        </w:tc>
      </w:tr>
    </w:tbl>
    <w:p w14:paraId="3D07F1B7" w14:textId="73B36C74" w:rsidR="003B5A8E" w:rsidRPr="003B5A8E" w:rsidRDefault="003B5A8E">
      <w:pPr>
        <w:rPr>
          <w:b/>
          <w:bCs/>
        </w:rPr>
      </w:pPr>
      <w:r w:rsidRPr="003B5A8E">
        <w:rPr>
          <w:b/>
          <w:bCs/>
        </w:rPr>
        <w:lastRenderedPageBreak/>
        <w:t>Table A36: Continued</w:t>
      </w:r>
    </w:p>
    <w:tbl>
      <w:tblPr>
        <w:tblW w:w="4450" w:type="pct"/>
        <w:jc w:val="center"/>
        <w:tblLook w:val="0000" w:firstRow="0" w:lastRow="0" w:firstColumn="0" w:lastColumn="0" w:noHBand="0" w:noVBand="0"/>
      </w:tblPr>
      <w:tblGrid>
        <w:gridCol w:w="1274"/>
        <w:gridCol w:w="866"/>
        <w:gridCol w:w="1230"/>
        <w:gridCol w:w="966"/>
        <w:gridCol w:w="1354"/>
        <w:gridCol w:w="1316"/>
        <w:gridCol w:w="1324"/>
      </w:tblGrid>
      <w:tr w:rsidR="003B5A8E" w:rsidRPr="00BF0763" w14:paraId="75BD0C3F" w14:textId="77777777" w:rsidTr="003B5A8E">
        <w:trPr>
          <w:jc w:val="center"/>
        </w:trPr>
        <w:tc>
          <w:tcPr>
            <w:tcW w:w="764" w:type="pct"/>
            <w:tcBorders>
              <w:top w:val="nil"/>
              <w:left w:val="nil"/>
              <w:bottom w:val="nil"/>
              <w:right w:val="nil"/>
            </w:tcBorders>
          </w:tcPr>
          <w:p w14:paraId="36B0A8AC"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Chi2</w:t>
            </w:r>
          </w:p>
        </w:tc>
        <w:tc>
          <w:tcPr>
            <w:tcW w:w="520" w:type="pct"/>
            <w:tcBorders>
              <w:top w:val="nil"/>
              <w:left w:val="nil"/>
              <w:bottom w:val="nil"/>
              <w:right w:val="nil"/>
            </w:tcBorders>
          </w:tcPr>
          <w:p w14:paraId="32439119"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33.0</w:t>
            </w:r>
          </w:p>
        </w:tc>
        <w:tc>
          <w:tcPr>
            <w:tcW w:w="738" w:type="pct"/>
            <w:tcBorders>
              <w:top w:val="nil"/>
              <w:left w:val="nil"/>
              <w:bottom w:val="nil"/>
              <w:right w:val="nil"/>
            </w:tcBorders>
          </w:tcPr>
          <w:p w14:paraId="652231EA"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125</w:t>
            </w:r>
          </w:p>
        </w:tc>
        <w:tc>
          <w:tcPr>
            <w:tcW w:w="580" w:type="pct"/>
            <w:tcBorders>
              <w:top w:val="nil"/>
              <w:left w:val="nil"/>
              <w:bottom w:val="nil"/>
              <w:right w:val="nil"/>
            </w:tcBorders>
          </w:tcPr>
          <w:p w14:paraId="6BE1C2EF"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221</w:t>
            </w:r>
          </w:p>
        </w:tc>
        <w:tc>
          <w:tcPr>
            <w:tcW w:w="813" w:type="pct"/>
            <w:tcBorders>
              <w:top w:val="nil"/>
              <w:left w:val="nil"/>
              <w:bottom w:val="nil"/>
              <w:right w:val="nil"/>
            </w:tcBorders>
          </w:tcPr>
          <w:p w14:paraId="4F003E5D"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117</w:t>
            </w:r>
          </w:p>
        </w:tc>
        <w:tc>
          <w:tcPr>
            <w:tcW w:w="790" w:type="pct"/>
            <w:tcBorders>
              <w:top w:val="nil"/>
              <w:left w:val="nil"/>
              <w:bottom w:val="nil"/>
              <w:right w:val="nil"/>
            </w:tcBorders>
          </w:tcPr>
          <w:p w14:paraId="57655338"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30.9</w:t>
            </w:r>
          </w:p>
        </w:tc>
        <w:tc>
          <w:tcPr>
            <w:tcW w:w="797" w:type="pct"/>
            <w:tcBorders>
              <w:top w:val="nil"/>
              <w:left w:val="nil"/>
              <w:bottom w:val="nil"/>
              <w:right w:val="nil"/>
            </w:tcBorders>
          </w:tcPr>
          <w:p w14:paraId="65367896"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19.2</w:t>
            </w:r>
          </w:p>
        </w:tc>
      </w:tr>
      <w:tr w:rsidR="003B5A8E" w:rsidRPr="00BF0763" w14:paraId="1DABD0F7" w14:textId="77777777" w:rsidTr="003B5A8E">
        <w:trPr>
          <w:jc w:val="center"/>
        </w:trPr>
        <w:tc>
          <w:tcPr>
            <w:tcW w:w="764" w:type="pct"/>
            <w:tcBorders>
              <w:top w:val="nil"/>
              <w:left w:val="nil"/>
              <w:right w:val="nil"/>
            </w:tcBorders>
          </w:tcPr>
          <w:p w14:paraId="708BD375"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County FE</w:t>
            </w:r>
          </w:p>
        </w:tc>
        <w:tc>
          <w:tcPr>
            <w:tcW w:w="520" w:type="pct"/>
            <w:tcBorders>
              <w:top w:val="nil"/>
              <w:left w:val="nil"/>
              <w:right w:val="nil"/>
            </w:tcBorders>
          </w:tcPr>
          <w:p w14:paraId="3F3C1209"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Yes</w:t>
            </w:r>
          </w:p>
        </w:tc>
        <w:tc>
          <w:tcPr>
            <w:tcW w:w="738" w:type="pct"/>
            <w:tcBorders>
              <w:top w:val="nil"/>
              <w:left w:val="nil"/>
              <w:right w:val="nil"/>
            </w:tcBorders>
          </w:tcPr>
          <w:p w14:paraId="7E8CB7B6"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Yes</w:t>
            </w:r>
          </w:p>
        </w:tc>
        <w:tc>
          <w:tcPr>
            <w:tcW w:w="580" w:type="pct"/>
            <w:tcBorders>
              <w:top w:val="nil"/>
              <w:left w:val="nil"/>
              <w:right w:val="nil"/>
            </w:tcBorders>
          </w:tcPr>
          <w:p w14:paraId="7770B627"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Yes</w:t>
            </w:r>
          </w:p>
        </w:tc>
        <w:tc>
          <w:tcPr>
            <w:tcW w:w="813" w:type="pct"/>
            <w:tcBorders>
              <w:top w:val="nil"/>
              <w:left w:val="nil"/>
              <w:right w:val="nil"/>
            </w:tcBorders>
          </w:tcPr>
          <w:p w14:paraId="3A08EBE2"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Yes</w:t>
            </w:r>
          </w:p>
        </w:tc>
        <w:tc>
          <w:tcPr>
            <w:tcW w:w="790" w:type="pct"/>
            <w:tcBorders>
              <w:top w:val="nil"/>
              <w:left w:val="nil"/>
              <w:right w:val="nil"/>
            </w:tcBorders>
          </w:tcPr>
          <w:p w14:paraId="034DFE5E"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Yes</w:t>
            </w:r>
          </w:p>
        </w:tc>
        <w:tc>
          <w:tcPr>
            <w:tcW w:w="797" w:type="pct"/>
            <w:tcBorders>
              <w:top w:val="nil"/>
              <w:left w:val="nil"/>
              <w:right w:val="nil"/>
            </w:tcBorders>
          </w:tcPr>
          <w:p w14:paraId="622417A4"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Yes</w:t>
            </w:r>
          </w:p>
        </w:tc>
      </w:tr>
      <w:tr w:rsidR="003B5A8E" w:rsidRPr="00BF0763" w14:paraId="078BCC11" w14:textId="77777777" w:rsidTr="003B5A8E">
        <w:trPr>
          <w:jc w:val="center"/>
        </w:trPr>
        <w:tc>
          <w:tcPr>
            <w:tcW w:w="764" w:type="pct"/>
            <w:tcBorders>
              <w:top w:val="nil"/>
              <w:left w:val="nil"/>
              <w:bottom w:val="single" w:sz="4" w:space="0" w:color="auto"/>
              <w:right w:val="nil"/>
            </w:tcBorders>
          </w:tcPr>
          <w:p w14:paraId="637C4ACD"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Year FE</w:t>
            </w:r>
          </w:p>
        </w:tc>
        <w:tc>
          <w:tcPr>
            <w:tcW w:w="520" w:type="pct"/>
            <w:tcBorders>
              <w:top w:val="nil"/>
              <w:left w:val="nil"/>
              <w:bottom w:val="single" w:sz="4" w:space="0" w:color="auto"/>
              <w:right w:val="nil"/>
            </w:tcBorders>
          </w:tcPr>
          <w:p w14:paraId="324E87B8"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Yes</w:t>
            </w:r>
          </w:p>
        </w:tc>
        <w:tc>
          <w:tcPr>
            <w:tcW w:w="738" w:type="pct"/>
            <w:tcBorders>
              <w:top w:val="nil"/>
              <w:left w:val="nil"/>
              <w:bottom w:val="single" w:sz="4" w:space="0" w:color="auto"/>
              <w:right w:val="nil"/>
            </w:tcBorders>
          </w:tcPr>
          <w:p w14:paraId="09B9713E"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 xml:space="preserve"> Yes</w:t>
            </w:r>
          </w:p>
        </w:tc>
        <w:tc>
          <w:tcPr>
            <w:tcW w:w="580" w:type="pct"/>
            <w:tcBorders>
              <w:top w:val="nil"/>
              <w:left w:val="nil"/>
              <w:bottom w:val="single" w:sz="4" w:space="0" w:color="auto"/>
              <w:right w:val="nil"/>
            </w:tcBorders>
          </w:tcPr>
          <w:p w14:paraId="2A3A115F"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 xml:space="preserve"> Yes</w:t>
            </w:r>
          </w:p>
        </w:tc>
        <w:tc>
          <w:tcPr>
            <w:tcW w:w="813" w:type="pct"/>
            <w:tcBorders>
              <w:top w:val="nil"/>
              <w:left w:val="nil"/>
              <w:bottom w:val="single" w:sz="4" w:space="0" w:color="auto"/>
              <w:right w:val="nil"/>
            </w:tcBorders>
          </w:tcPr>
          <w:p w14:paraId="10B925AF"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 xml:space="preserve"> Yes</w:t>
            </w:r>
          </w:p>
        </w:tc>
        <w:tc>
          <w:tcPr>
            <w:tcW w:w="790" w:type="pct"/>
            <w:tcBorders>
              <w:top w:val="nil"/>
              <w:left w:val="nil"/>
              <w:bottom w:val="single" w:sz="4" w:space="0" w:color="auto"/>
              <w:right w:val="nil"/>
            </w:tcBorders>
          </w:tcPr>
          <w:p w14:paraId="29E75895"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 xml:space="preserve"> Yes</w:t>
            </w:r>
          </w:p>
        </w:tc>
        <w:tc>
          <w:tcPr>
            <w:tcW w:w="797" w:type="pct"/>
            <w:tcBorders>
              <w:top w:val="nil"/>
              <w:left w:val="nil"/>
              <w:bottom w:val="single" w:sz="4" w:space="0" w:color="auto"/>
              <w:right w:val="nil"/>
            </w:tcBorders>
          </w:tcPr>
          <w:p w14:paraId="2B3E13D6"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Yes</w:t>
            </w:r>
          </w:p>
        </w:tc>
      </w:tr>
    </w:tbl>
    <w:p w14:paraId="72A29253" w14:textId="33F48306" w:rsidR="000207A6" w:rsidRDefault="00732BFD" w:rsidP="000207A6">
      <w:pPr>
        <w:spacing w:line="240" w:lineRule="auto"/>
        <w:rPr>
          <w:sz w:val="20"/>
          <w:szCs w:val="20"/>
        </w:rPr>
        <w:sectPr w:rsidR="000207A6" w:rsidSect="003B5A8E">
          <w:pgSz w:w="12240" w:h="15840" w:code="1"/>
          <w:pgMar w:top="1440" w:right="1440" w:bottom="1440" w:left="1440" w:header="720" w:footer="1440" w:gutter="0"/>
          <w:cols w:space="720"/>
          <w:noEndnote/>
          <w:docGrid w:linePitch="360"/>
        </w:sectPr>
      </w:pPr>
      <w:r>
        <w:rPr>
          <w:sz w:val="20"/>
          <w:szCs w:val="20"/>
        </w:rPr>
        <w:t>T</w:t>
      </w:r>
      <w:r w:rsidRPr="009C21FA">
        <w:rPr>
          <w:sz w:val="20"/>
          <w:szCs w:val="20"/>
        </w:rPr>
        <w:t xml:space="preserve">able </w:t>
      </w:r>
      <w:r>
        <w:rPr>
          <w:sz w:val="20"/>
          <w:szCs w:val="20"/>
        </w:rPr>
        <w:t xml:space="preserve">A36: </w:t>
      </w:r>
      <w:r w:rsidRPr="009C21FA">
        <w:rPr>
          <w:sz w:val="20"/>
          <w:szCs w:val="20"/>
        </w:rPr>
        <w:t>PPML</w:t>
      </w:r>
      <w:r>
        <w:rPr>
          <w:sz w:val="20"/>
          <w:szCs w:val="20"/>
        </w:rPr>
        <w:t>HDFE</w:t>
      </w:r>
      <w:r w:rsidRPr="009C21FA">
        <w:rPr>
          <w:sz w:val="20"/>
          <w:szCs w:val="20"/>
        </w:rPr>
        <w:t xml:space="preserve"> </w:t>
      </w:r>
      <w:r w:rsidR="00BF0763" w:rsidRPr="00F929D1">
        <w:rPr>
          <w:sz w:val="20"/>
          <w:szCs w:val="20"/>
        </w:rPr>
        <w:t>regression results for the effects of wildfire frequency (Fire Count) and wildfire intensity (Burned Areas) on establishment births, deaths, inward relocations, outward relocations, employment, and sales performance in the Agriculture, Forestry, and Fishing sector (NAICS 11). Standard errors (in parentheses) are clustered at the county level to account for spatial heterogeneity. County fixed effects (FE) and year fixed effects (FE) are included in all specifications. Coefficients represent percentage changes associated with a one-unit increase in the explanatory variables. Asterisks denote statistical significance at the following levels: ***p &lt; 0.01, **p &lt; 0.05, *p &lt; 0.1.</w:t>
      </w:r>
    </w:p>
    <w:p w14:paraId="3325E64E" w14:textId="53181E80" w:rsidR="009C0226" w:rsidRDefault="009C0226" w:rsidP="009C0226">
      <w:r w:rsidRPr="004E4775">
        <w:rPr>
          <w:b/>
          <w:bCs/>
        </w:rPr>
        <w:lastRenderedPageBreak/>
        <w:t>Table A36</w:t>
      </w:r>
      <w:r w:rsidRPr="009C0226">
        <w:t xml:space="preserve"> </w:t>
      </w:r>
      <w:r>
        <w:t xml:space="preserve">above </w:t>
      </w:r>
      <w:r w:rsidRPr="009C0226">
        <w:t>presents the regression results for the Agriculture, Forestry, and Fishing sector, emphasizing how explanatory variables shape business and economic outcomes in resource-dependent activities. The interpretations reveal the unique sensitivities of these industries to factors such as income, environmental regulations, and market dynamics, providing insights into their operational challenges and opportunities</w:t>
      </w:r>
      <w:r>
        <w:t>:</w:t>
      </w:r>
    </w:p>
    <w:p w14:paraId="264C7EDF" w14:textId="40A5C93C" w:rsidR="00BF0763" w:rsidRPr="00BF0763" w:rsidRDefault="00BF0763" w:rsidP="009C0226">
      <w:pPr>
        <w:rPr>
          <w:rFonts w:eastAsia="Times New Roman" w:cs="Times New Roman"/>
          <w:lang/>
        </w:rPr>
      </w:pPr>
      <w:r w:rsidRPr="00BF0763">
        <w:rPr>
          <w:rFonts w:eastAsia="Times New Roman" w:cs="Times New Roman"/>
          <w:b/>
          <w:bCs/>
          <w:lang/>
        </w:rPr>
        <w:t>Births:</w:t>
      </w:r>
      <w:r w:rsidRPr="00BF0763">
        <w:rPr>
          <w:rFonts w:eastAsia="Times New Roman" w:cs="Times New Roman"/>
        </w:rPr>
        <w:t xml:space="preserve"> </w:t>
      </w:r>
      <w:r w:rsidRPr="00BF0763">
        <w:rPr>
          <w:rFonts w:eastAsia="Times New Roman" w:cs="Times New Roman"/>
          <w:lang/>
        </w:rPr>
        <w:t>Median Household Income shows a positive association with establishment births, consistent with findings by Glaeser et al. (1992), who emphasize that higher income levels reflect stronger local demand and consumer spending, which attract new businesses. Wealthier counties likely provide better infrastructure and higher labor productivity, making them appealing for new agricultural and forestry ventures.</w:t>
      </w:r>
    </w:p>
    <w:p w14:paraId="5FABFC3D" w14:textId="77777777" w:rsidR="00BF0763" w:rsidRPr="00BF0763" w:rsidRDefault="00BF0763" w:rsidP="009C0226">
      <w:pPr>
        <w:rPr>
          <w:rFonts w:eastAsia="Times New Roman" w:cs="Times New Roman"/>
          <w:lang/>
        </w:rPr>
      </w:pPr>
      <w:r w:rsidRPr="00BF0763">
        <w:rPr>
          <w:rFonts w:eastAsia="Times New Roman" w:cs="Times New Roman"/>
          <w:b/>
          <w:bCs/>
          <w:lang/>
        </w:rPr>
        <w:t>Inward Relocations:</w:t>
      </w:r>
      <w:r w:rsidRPr="00BF0763">
        <w:rPr>
          <w:rFonts w:eastAsia="Times New Roman" w:cs="Times New Roman"/>
        </w:rPr>
        <w:t xml:space="preserve"> </w:t>
      </w:r>
      <w:r w:rsidRPr="00BF0763">
        <w:rPr>
          <w:rFonts w:eastAsia="Times New Roman" w:cs="Times New Roman"/>
          <w:lang/>
        </w:rPr>
        <w:t>Prior Establishment Count and Prior Exits negatively affect relocations. Higher establishment density signals market saturation, discouraging new entrants (Carlton, 1983). Similarly, recent exits may reflect underlying economic instability or sector-specific risks, making the region less attractive for inward relocations (Meltzer et al., 2020).</w:t>
      </w:r>
    </w:p>
    <w:p w14:paraId="63F89815" w14:textId="77777777" w:rsidR="00BF0763" w:rsidRPr="00BF0763" w:rsidRDefault="00BF0763" w:rsidP="009C0226">
      <w:pPr>
        <w:rPr>
          <w:rFonts w:eastAsia="Times New Roman" w:cs="Times New Roman"/>
          <w:lang/>
        </w:rPr>
      </w:pPr>
      <w:r w:rsidRPr="00BF0763">
        <w:rPr>
          <w:rFonts w:eastAsia="Times New Roman" w:cs="Times New Roman"/>
          <w:b/>
          <w:bCs/>
          <w:lang/>
        </w:rPr>
        <w:t>Deaths:</w:t>
      </w:r>
      <w:r w:rsidRPr="00BF0763">
        <w:rPr>
          <w:rFonts w:eastAsia="Times New Roman" w:cs="Times New Roman"/>
        </w:rPr>
        <w:t xml:space="preserve"> </w:t>
      </w:r>
      <w:r w:rsidRPr="00BF0763">
        <w:rPr>
          <w:rFonts w:eastAsia="Times New Roman" w:cs="Times New Roman"/>
          <w:lang/>
        </w:rPr>
        <w:t xml:space="preserve">The negative effect of CPAD(t-1) suggests that protected areas constrain business operations by limiting access to natural resources, consistent with Radeloff et al. (2018). The negative relationship with the Housing Price Index aligns with the idea that higher costs force closures, particularly in cost-sensitive agricultural sectors (Henderson, 1997). Conversely, the positive effect of PM Attainment Status might indicate compliance costs or stricter regulations driving exits (Currie et al., 2015). Prior Establishment Count positively affects deaths, reflecting </w:t>
      </w:r>
      <w:r w:rsidRPr="00BF0763">
        <w:rPr>
          <w:rFonts w:eastAsia="Times New Roman" w:cs="Times New Roman"/>
          <w:lang/>
        </w:rPr>
        <w:lastRenderedPageBreak/>
        <w:t>market competition, while Prior Entries negatively affect them, suggesting market stabilization effects after new businesses enter (Dunne et al., 1989).</w:t>
      </w:r>
    </w:p>
    <w:p w14:paraId="52EF5B5C" w14:textId="77777777" w:rsidR="00BF0763" w:rsidRPr="00BF0763" w:rsidRDefault="00BF0763" w:rsidP="009C0226">
      <w:pPr>
        <w:rPr>
          <w:rFonts w:eastAsia="Times New Roman" w:cs="Times New Roman"/>
          <w:lang/>
        </w:rPr>
      </w:pPr>
      <w:r w:rsidRPr="00BF0763">
        <w:rPr>
          <w:rFonts w:eastAsia="Times New Roman" w:cs="Times New Roman"/>
          <w:b/>
          <w:bCs/>
          <w:lang/>
        </w:rPr>
        <w:t>Outward Relocations:</w:t>
      </w:r>
      <w:r w:rsidRPr="00BF0763">
        <w:rPr>
          <w:rFonts w:eastAsia="Times New Roman" w:cs="Times New Roman"/>
        </w:rPr>
        <w:t xml:space="preserve"> </w:t>
      </w:r>
      <w:r w:rsidRPr="00BF0763">
        <w:rPr>
          <w:rFonts w:eastAsia="Times New Roman" w:cs="Times New Roman"/>
          <w:lang/>
        </w:rPr>
        <w:t>Higher Housing Price Index discourages outward relocations, likely because firms in high-cost areas have made significant investments, reducing mobility (Meltzer et al., 2020). PM Attainment Status also negatively influences relocations, indicating that regions with better air quality compliance provide a more favorable environment for businesses to remain (Currie et al., 2015).</w:t>
      </w:r>
      <w:r w:rsidRPr="00BF0763">
        <w:rPr>
          <w:rFonts w:eastAsia="Times New Roman" w:cs="Times New Roman"/>
        </w:rPr>
        <w:t xml:space="preserve"> </w:t>
      </w:r>
      <w:r w:rsidRPr="00BF0763">
        <w:rPr>
          <w:rFonts w:eastAsia="Times New Roman" w:cs="Times New Roman"/>
          <w:lang/>
        </w:rPr>
        <w:t>Population Density’s positive effect suggests congestion pressures, pushing some establishments to relocate (Glaeser et al., 1992). Prior Establishment Count and Prior Entries also positively affect relocations, reflecting intensified competition and market churn.</w:t>
      </w:r>
    </w:p>
    <w:p w14:paraId="35FA286F" w14:textId="77777777" w:rsidR="000207A6" w:rsidRDefault="00BF0763" w:rsidP="009C0226">
      <w:pPr>
        <w:rPr>
          <w:rFonts w:eastAsia="Times New Roman" w:cs="Times New Roman"/>
          <w:lang/>
        </w:rPr>
        <w:sectPr w:rsidR="000207A6" w:rsidSect="000207A6">
          <w:pgSz w:w="12240" w:h="15840" w:code="1"/>
          <w:pgMar w:top="1440" w:right="1440" w:bottom="1440" w:left="1440" w:header="720" w:footer="1440" w:gutter="0"/>
          <w:cols w:space="720"/>
          <w:noEndnote/>
          <w:docGrid w:linePitch="360"/>
        </w:sectPr>
      </w:pPr>
      <w:r w:rsidRPr="00BF0763">
        <w:rPr>
          <w:rFonts w:eastAsia="Times New Roman" w:cs="Times New Roman"/>
          <w:b/>
          <w:bCs/>
          <w:lang/>
        </w:rPr>
        <w:t>Employment:</w:t>
      </w:r>
      <w:r w:rsidRPr="00BF0763">
        <w:rPr>
          <w:rFonts w:eastAsia="Times New Roman" w:cs="Times New Roman"/>
        </w:rPr>
        <w:t xml:space="preserve"> </w:t>
      </w:r>
      <w:r w:rsidRPr="00BF0763">
        <w:rPr>
          <w:rFonts w:eastAsia="Times New Roman" w:cs="Times New Roman"/>
          <w:lang/>
        </w:rPr>
        <w:t>The positive impact of Median Household Income is expected, as wealthier areas often sustain stronger labor demand, fostering job growth (Henderson, 1997). Conversely, CPAD(t-1) negatively affects employment, indicating that land-use restrictions in protected areas limit job creation in resource-intensive activities.</w:t>
      </w:r>
    </w:p>
    <w:p w14:paraId="66E4D96A" w14:textId="60C1CA9F" w:rsidR="00BF0763" w:rsidRPr="00BF0763" w:rsidRDefault="00BF0763" w:rsidP="00095E25">
      <w:pPr>
        <w:pStyle w:val="Title"/>
        <w:rPr>
          <w:rFonts w:ascii="Garamond" w:hAnsi="Garamond"/>
          <w:sz w:val="20"/>
          <w:szCs w:val="20"/>
        </w:rPr>
      </w:pPr>
      <w:bookmarkStart w:id="497" w:name="_Toc187564783"/>
      <w:bookmarkStart w:id="498" w:name="_Toc188359642"/>
      <w:bookmarkStart w:id="499" w:name="_Toc188359930"/>
      <w:bookmarkStart w:id="500" w:name="_Toc188361166"/>
      <w:bookmarkStart w:id="501" w:name="_Toc188367010"/>
      <w:r w:rsidRPr="00BF0763">
        <w:lastRenderedPageBreak/>
        <w:t>Table A</w:t>
      </w:r>
      <w:r w:rsidR="007D52FE">
        <w:rPr>
          <w:lang w:val="en-US"/>
        </w:rPr>
        <w:t>37</w:t>
      </w:r>
      <w:r w:rsidRPr="00BF0763">
        <w:t>: Regression Results for Mining</w:t>
      </w:r>
      <w:r w:rsidR="00AB0CC4">
        <w:rPr>
          <w:lang w:val="en-US"/>
        </w:rPr>
        <w:t xml:space="preserve"> </w:t>
      </w:r>
      <w:r w:rsidRPr="00BF0763">
        <w:t>(NAICS 21)</w:t>
      </w:r>
      <w:bookmarkEnd w:id="497"/>
      <w:bookmarkEnd w:id="498"/>
      <w:bookmarkEnd w:id="499"/>
      <w:bookmarkEnd w:id="500"/>
      <w:bookmarkEnd w:id="501"/>
    </w:p>
    <w:tbl>
      <w:tblPr>
        <w:tblW w:w="4438" w:type="pct"/>
        <w:jc w:val="center"/>
        <w:tblLook w:val="0000" w:firstRow="0" w:lastRow="0" w:firstColumn="0" w:lastColumn="0" w:noHBand="0" w:noVBand="0"/>
      </w:tblPr>
      <w:tblGrid>
        <w:gridCol w:w="1272"/>
        <w:gridCol w:w="866"/>
        <w:gridCol w:w="1267"/>
        <w:gridCol w:w="866"/>
        <w:gridCol w:w="1394"/>
        <w:gridCol w:w="1316"/>
        <w:gridCol w:w="1327"/>
      </w:tblGrid>
      <w:tr w:rsidR="003B5A8E" w:rsidRPr="00BF0763" w14:paraId="3FD0CEF9" w14:textId="77777777" w:rsidTr="003B5A8E">
        <w:trPr>
          <w:jc w:val="center"/>
        </w:trPr>
        <w:tc>
          <w:tcPr>
            <w:tcW w:w="766" w:type="pct"/>
            <w:tcBorders>
              <w:top w:val="single" w:sz="4" w:space="0" w:color="auto"/>
              <w:left w:val="nil"/>
              <w:bottom w:val="single" w:sz="4" w:space="0" w:color="auto"/>
              <w:right w:val="nil"/>
            </w:tcBorders>
          </w:tcPr>
          <w:p w14:paraId="64808628" w14:textId="798C0E44" w:rsidR="00BF0763" w:rsidRPr="00BF0763" w:rsidRDefault="00BF0763" w:rsidP="00B94FE7">
            <w:pPr>
              <w:widowControl w:val="0"/>
              <w:autoSpaceDE w:val="0"/>
              <w:autoSpaceDN w:val="0"/>
              <w:adjustRightInd w:val="0"/>
              <w:spacing w:line="240" w:lineRule="auto"/>
              <w:rPr>
                <w:rFonts w:eastAsia="Times New Roman" w:cs="Times New Roman"/>
                <w:b/>
                <w:bCs/>
                <w:sz w:val="20"/>
                <w:szCs w:val="20"/>
              </w:rPr>
            </w:pPr>
            <w:r w:rsidRPr="00BF0763">
              <w:rPr>
                <w:rFonts w:eastAsia="Times New Roman" w:cs="Times New Roman"/>
                <w:b/>
                <w:bCs/>
                <w:sz w:val="20"/>
                <w:szCs w:val="20"/>
              </w:rPr>
              <w:t>Variable</w:t>
            </w:r>
          </w:p>
        </w:tc>
        <w:tc>
          <w:tcPr>
            <w:tcW w:w="521" w:type="pct"/>
            <w:tcBorders>
              <w:top w:val="single" w:sz="4" w:space="0" w:color="auto"/>
              <w:left w:val="nil"/>
              <w:bottom w:val="single" w:sz="4" w:space="0" w:color="auto"/>
              <w:right w:val="nil"/>
            </w:tcBorders>
          </w:tcPr>
          <w:p w14:paraId="31A7A145" w14:textId="0D0C3706" w:rsidR="00BF0763" w:rsidRPr="00BF0763" w:rsidRDefault="00BF0763" w:rsidP="00B94FE7">
            <w:pPr>
              <w:widowControl w:val="0"/>
              <w:autoSpaceDE w:val="0"/>
              <w:autoSpaceDN w:val="0"/>
              <w:adjustRightInd w:val="0"/>
              <w:spacing w:line="240" w:lineRule="auto"/>
              <w:rPr>
                <w:rFonts w:eastAsia="Times New Roman" w:cs="Times New Roman"/>
                <w:b/>
                <w:bCs/>
                <w:sz w:val="20"/>
                <w:szCs w:val="20"/>
              </w:rPr>
            </w:pPr>
            <w:r w:rsidRPr="00BF0763">
              <w:rPr>
                <w:rFonts w:eastAsia="Times New Roman" w:cs="Times New Roman"/>
                <w:b/>
                <w:bCs/>
                <w:sz w:val="20"/>
                <w:szCs w:val="20"/>
              </w:rPr>
              <w:t>Births</w:t>
            </w:r>
          </w:p>
        </w:tc>
        <w:tc>
          <w:tcPr>
            <w:tcW w:w="763" w:type="pct"/>
            <w:tcBorders>
              <w:top w:val="single" w:sz="4" w:space="0" w:color="auto"/>
              <w:left w:val="nil"/>
              <w:bottom w:val="single" w:sz="4" w:space="0" w:color="auto"/>
              <w:right w:val="nil"/>
            </w:tcBorders>
          </w:tcPr>
          <w:p w14:paraId="06E2ADC2" w14:textId="28A79F72" w:rsidR="00BF0763" w:rsidRPr="00BF0763" w:rsidRDefault="00BF0763" w:rsidP="00B94FE7">
            <w:pPr>
              <w:widowControl w:val="0"/>
              <w:autoSpaceDE w:val="0"/>
              <w:autoSpaceDN w:val="0"/>
              <w:adjustRightInd w:val="0"/>
              <w:spacing w:line="240" w:lineRule="auto"/>
              <w:rPr>
                <w:rFonts w:eastAsia="Times New Roman" w:cs="Times New Roman"/>
                <w:b/>
                <w:bCs/>
                <w:sz w:val="20"/>
                <w:szCs w:val="20"/>
              </w:rPr>
            </w:pPr>
            <w:r w:rsidRPr="00BF0763">
              <w:rPr>
                <w:rFonts w:eastAsia="Times New Roman" w:cs="Times New Roman"/>
                <w:b/>
                <w:bCs/>
                <w:sz w:val="20"/>
                <w:szCs w:val="20"/>
              </w:rPr>
              <w:t>In-Migrations</w:t>
            </w:r>
          </w:p>
        </w:tc>
        <w:tc>
          <w:tcPr>
            <w:tcW w:w="521" w:type="pct"/>
            <w:tcBorders>
              <w:top w:val="single" w:sz="4" w:space="0" w:color="auto"/>
              <w:left w:val="nil"/>
              <w:bottom w:val="single" w:sz="4" w:space="0" w:color="auto"/>
              <w:right w:val="nil"/>
            </w:tcBorders>
          </w:tcPr>
          <w:p w14:paraId="4130AF36" w14:textId="419CB015" w:rsidR="00BF0763" w:rsidRPr="00BF0763" w:rsidRDefault="00BF0763" w:rsidP="00B94FE7">
            <w:pPr>
              <w:widowControl w:val="0"/>
              <w:autoSpaceDE w:val="0"/>
              <w:autoSpaceDN w:val="0"/>
              <w:adjustRightInd w:val="0"/>
              <w:spacing w:line="240" w:lineRule="auto"/>
              <w:rPr>
                <w:rFonts w:eastAsia="Times New Roman" w:cs="Times New Roman"/>
                <w:b/>
                <w:bCs/>
                <w:sz w:val="20"/>
                <w:szCs w:val="20"/>
              </w:rPr>
            </w:pPr>
            <w:r w:rsidRPr="00BF0763">
              <w:rPr>
                <w:rFonts w:eastAsia="Times New Roman" w:cs="Times New Roman"/>
                <w:b/>
                <w:bCs/>
                <w:sz w:val="20"/>
                <w:szCs w:val="20"/>
              </w:rPr>
              <w:t>Deaths</w:t>
            </w:r>
          </w:p>
        </w:tc>
        <w:tc>
          <w:tcPr>
            <w:tcW w:w="839" w:type="pct"/>
            <w:tcBorders>
              <w:top w:val="single" w:sz="4" w:space="0" w:color="auto"/>
              <w:left w:val="nil"/>
              <w:bottom w:val="single" w:sz="4" w:space="0" w:color="auto"/>
              <w:right w:val="nil"/>
            </w:tcBorders>
          </w:tcPr>
          <w:p w14:paraId="03BE8C41" w14:textId="331BDD09" w:rsidR="00BF0763" w:rsidRPr="00BF0763" w:rsidRDefault="00BF0763" w:rsidP="00B94FE7">
            <w:pPr>
              <w:widowControl w:val="0"/>
              <w:autoSpaceDE w:val="0"/>
              <w:autoSpaceDN w:val="0"/>
              <w:adjustRightInd w:val="0"/>
              <w:spacing w:line="240" w:lineRule="auto"/>
              <w:rPr>
                <w:rFonts w:eastAsia="Times New Roman" w:cs="Times New Roman"/>
                <w:b/>
                <w:bCs/>
                <w:sz w:val="20"/>
                <w:szCs w:val="20"/>
              </w:rPr>
            </w:pPr>
            <w:r w:rsidRPr="00BF0763">
              <w:rPr>
                <w:rFonts w:eastAsia="Times New Roman" w:cs="Times New Roman"/>
                <w:b/>
                <w:bCs/>
                <w:sz w:val="20"/>
                <w:szCs w:val="20"/>
              </w:rPr>
              <w:t>Out-Migrations</w:t>
            </w:r>
          </w:p>
        </w:tc>
        <w:tc>
          <w:tcPr>
            <w:tcW w:w="792" w:type="pct"/>
            <w:tcBorders>
              <w:top w:val="single" w:sz="4" w:space="0" w:color="auto"/>
              <w:left w:val="nil"/>
              <w:bottom w:val="single" w:sz="4" w:space="0" w:color="auto"/>
              <w:right w:val="nil"/>
            </w:tcBorders>
          </w:tcPr>
          <w:p w14:paraId="401740BA" w14:textId="4EFB8014" w:rsidR="00BF0763" w:rsidRPr="00BF0763" w:rsidRDefault="00BF0763" w:rsidP="00B94FE7">
            <w:pPr>
              <w:widowControl w:val="0"/>
              <w:autoSpaceDE w:val="0"/>
              <w:autoSpaceDN w:val="0"/>
              <w:adjustRightInd w:val="0"/>
              <w:spacing w:line="240" w:lineRule="auto"/>
              <w:rPr>
                <w:rFonts w:eastAsia="Times New Roman" w:cs="Times New Roman"/>
                <w:b/>
                <w:bCs/>
                <w:sz w:val="20"/>
                <w:szCs w:val="20"/>
              </w:rPr>
            </w:pPr>
            <w:r w:rsidRPr="00BF0763">
              <w:rPr>
                <w:rFonts w:eastAsia="Times New Roman" w:cs="Times New Roman"/>
                <w:b/>
                <w:bCs/>
                <w:sz w:val="20"/>
                <w:szCs w:val="20"/>
              </w:rPr>
              <w:t>Employment</w:t>
            </w:r>
          </w:p>
        </w:tc>
        <w:tc>
          <w:tcPr>
            <w:tcW w:w="799" w:type="pct"/>
            <w:tcBorders>
              <w:top w:val="single" w:sz="4" w:space="0" w:color="auto"/>
              <w:left w:val="nil"/>
              <w:bottom w:val="single" w:sz="4" w:space="0" w:color="auto"/>
              <w:right w:val="nil"/>
            </w:tcBorders>
          </w:tcPr>
          <w:p w14:paraId="571AF25D" w14:textId="216D68FE" w:rsidR="00BF0763" w:rsidRPr="00BF0763" w:rsidRDefault="00BF0763" w:rsidP="00B94FE7">
            <w:pPr>
              <w:widowControl w:val="0"/>
              <w:autoSpaceDE w:val="0"/>
              <w:autoSpaceDN w:val="0"/>
              <w:adjustRightInd w:val="0"/>
              <w:spacing w:line="240" w:lineRule="auto"/>
              <w:rPr>
                <w:rFonts w:eastAsia="Times New Roman" w:cs="Times New Roman"/>
                <w:b/>
                <w:bCs/>
                <w:sz w:val="20"/>
                <w:szCs w:val="20"/>
              </w:rPr>
            </w:pPr>
            <w:r w:rsidRPr="00BF0763">
              <w:rPr>
                <w:rFonts w:eastAsia="Times New Roman" w:cs="Times New Roman"/>
                <w:b/>
                <w:bCs/>
                <w:sz w:val="20"/>
                <w:szCs w:val="20"/>
              </w:rPr>
              <w:t>Performance</w:t>
            </w:r>
          </w:p>
        </w:tc>
      </w:tr>
      <w:tr w:rsidR="003B5A8E" w:rsidRPr="00BF0763" w14:paraId="36EE6042" w14:textId="77777777" w:rsidTr="003B5A8E">
        <w:trPr>
          <w:jc w:val="center"/>
        </w:trPr>
        <w:tc>
          <w:tcPr>
            <w:tcW w:w="766" w:type="pct"/>
            <w:tcBorders>
              <w:top w:val="single" w:sz="4" w:space="0" w:color="auto"/>
              <w:left w:val="nil"/>
              <w:bottom w:val="nil"/>
              <w:right w:val="nil"/>
            </w:tcBorders>
          </w:tcPr>
          <w:p w14:paraId="48A10398"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Fire Count (t-1) (1000s)</w:t>
            </w:r>
          </w:p>
        </w:tc>
        <w:tc>
          <w:tcPr>
            <w:tcW w:w="521" w:type="pct"/>
            <w:tcBorders>
              <w:top w:val="single" w:sz="4" w:space="0" w:color="auto"/>
              <w:left w:val="nil"/>
              <w:bottom w:val="nil"/>
              <w:right w:val="nil"/>
            </w:tcBorders>
          </w:tcPr>
          <w:p w14:paraId="6413AF97"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-0.116</w:t>
            </w:r>
          </w:p>
        </w:tc>
        <w:tc>
          <w:tcPr>
            <w:tcW w:w="763" w:type="pct"/>
            <w:tcBorders>
              <w:top w:val="single" w:sz="4" w:space="0" w:color="auto"/>
              <w:left w:val="nil"/>
              <w:bottom w:val="nil"/>
              <w:right w:val="nil"/>
            </w:tcBorders>
          </w:tcPr>
          <w:p w14:paraId="624417BC"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1.13</w:t>
            </w:r>
          </w:p>
        </w:tc>
        <w:tc>
          <w:tcPr>
            <w:tcW w:w="521" w:type="pct"/>
            <w:tcBorders>
              <w:top w:val="single" w:sz="4" w:space="0" w:color="auto"/>
              <w:left w:val="nil"/>
              <w:bottom w:val="nil"/>
              <w:right w:val="nil"/>
            </w:tcBorders>
          </w:tcPr>
          <w:p w14:paraId="694F6601"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-0.203*</w:t>
            </w:r>
          </w:p>
        </w:tc>
        <w:tc>
          <w:tcPr>
            <w:tcW w:w="839" w:type="pct"/>
            <w:tcBorders>
              <w:top w:val="single" w:sz="4" w:space="0" w:color="auto"/>
              <w:left w:val="nil"/>
              <w:bottom w:val="nil"/>
              <w:right w:val="nil"/>
            </w:tcBorders>
          </w:tcPr>
          <w:p w14:paraId="260924FB"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2.91***</w:t>
            </w:r>
          </w:p>
        </w:tc>
        <w:tc>
          <w:tcPr>
            <w:tcW w:w="792" w:type="pct"/>
            <w:tcBorders>
              <w:top w:val="single" w:sz="4" w:space="0" w:color="auto"/>
              <w:left w:val="nil"/>
              <w:bottom w:val="nil"/>
              <w:right w:val="nil"/>
            </w:tcBorders>
          </w:tcPr>
          <w:p w14:paraId="47DC8B3F"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-0.074</w:t>
            </w:r>
          </w:p>
        </w:tc>
        <w:tc>
          <w:tcPr>
            <w:tcW w:w="799" w:type="pct"/>
            <w:tcBorders>
              <w:top w:val="single" w:sz="4" w:space="0" w:color="auto"/>
              <w:left w:val="nil"/>
              <w:bottom w:val="nil"/>
              <w:right w:val="nil"/>
            </w:tcBorders>
          </w:tcPr>
          <w:p w14:paraId="72D6D676"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-0.238</w:t>
            </w:r>
          </w:p>
        </w:tc>
      </w:tr>
      <w:tr w:rsidR="003B5A8E" w:rsidRPr="00BF0763" w14:paraId="0A059322" w14:textId="77777777" w:rsidTr="003B5A8E">
        <w:trPr>
          <w:jc w:val="center"/>
        </w:trPr>
        <w:tc>
          <w:tcPr>
            <w:tcW w:w="766" w:type="pct"/>
            <w:tcBorders>
              <w:top w:val="nil"/>
              <w:left w:val="nil"/>
              <w:bottom w:val="nil"/>
              <w:right w:val="nil"/>
            </w:tcBorders>
          </w:tcPr>
          <w:p w14:paraId="71EF9353" w14:textId="1F23247B"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521" w:type="pct"/>
            <w:tcBorders>
              <w:top w:val="nil"/>
              <w:left w:val="nil"/>
              <w:bottom w:val="nil"/>
              <w:right w:val="nil"/>
            </w:tcBorders>
          </w:tcPr>
          <w:p w14:paraId="0EF3BEB5"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(0.117)</w:t>
            </w:r>
          </w:p>
        </w:tc>
        <w:tc>
          <w:tcPr>
            <w:tcW w:w="763" w:type="pct"/>
            <w:tcBorders>
              <w:top w:val="nil"/>
              <w:left w:val="nil"/>
              <w:bottom w:val="nil"/>
              <w:right w:val="nil"/>
            </w:tcBorders>
          </w:tcPr>
          <w:p w14:paraId="37E7DA6E"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(1.02)</w:t>
            </w:r>
          </w:p>
        </w:tc>
        <w:tc>
          <w:tcPr>
            <w:tcW w:w="521" w:type="pct"/>
            <w:tcBorders>
              <w:top w:val="nil"/>
              <w:left w:val="nil"/>
              <w:bottom w:val="nil"/>
              <w:right w:val="nil"/>
            </w:tcBorders>
          </w:tcPr>
          <w:p w14:paraId="54B37C09"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(0.106)</w:t>
            </w:r>
          </w:p>
        </w:tc>
        <w:tc>
          <w:tcPr>
            <w:tcW w:w="839" w:type="pct"/>
            <w:tcBorders>
              <w:top w:val="nil"/>
              <w:left w:val="nil"/>
              <w:bottom w:val="nil"/>
              <w:right w:val="nil"/>
            </w:tcBorders>
          </w:tcPr>
          <w:p w14:paraId="04AA4974"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(1.13)</w:t>
            </w:r>
          </w:p>
        </w:tc>
        <w:tc>
          <w:tcPr>
            <w:tcW w:w="792" w:type="pct"/>
            <w:tcBorders>
              <w:top w:val="nil"/>
              <w:left w:val="nil"/>
              <w:bottom w:val="nil"/>
              <w:right w:val="nil"/>
            </w:tcBorders>
          </w:tcPr>
          <w:p w14:paraId="13D09500"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(0.180)</w:t>
            </w:r>
          </w:p>
        </w:tc>
        <w:tc>
          <w:tcPr>
            <w:tcW w:w="799" w:type="pct"/>
            <w:tcBorders>
              <w:top w:val="nil"/>
              <w:left w:val="nil"/>
              <w:bottom w:val="nil"/>
              <w:right w:val="nil"/>
            </w:tcBorders>
          </w:tcPr>
          <w:p w14:paraId="43F0DAC5"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(0.383)</w:t>
            </w:r>
          </w:p>
        </w:tc>
      </w:tr>
      <w:tr w:rsidR="003B5A8E" w:rsidRPr="00BF0763" w14:paraId="43BB9C2E" w14:textId="77777777" w:rsidTr="003B5A8E">
        <w:trPr>
          <w:jc w:val="center"/>
        </w:trPr>
        <w:tc>
          <w:tcPr>
            <w:tcW w:w="766" w:type="pct"/>
            <w:tcBorders>
              <w:top w:val="nil"/>
              <w:left w:val="nil"/>
              <w:bottom w:val="nil"/>
              <w:right w:val="nil"/>
            </w:tcBorders>
          </w:tcPr>
          <w:p w14:paraId="12EA317B"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 County Burned (t-1) (100s)</w:t>
            </w:r>
          </w:p>
        </w:tc>
        <w:tc>
          <w:tcPr>
            <w:tcW w:w="521" w:type="pct"/>
            <w:tcBorders>
              <w:top w:val="nil"/>
              <w:left w:val="nil"/>
              <w:bottom w:val="nil"/>
              <w:right w:val="nil"/>
            </w:tcBorders>
          </w:tcPr>
          <w:p w14:paraId="3D790304"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2.27***</w:t>
            </w:r>
          </w:p>
        </w:tc>
        <w:tc>
          <w:tcPr>
            <w:tcW w:w="763" w:type="pct"/>
            <w:tcBorders>
              <w:top w:val="nil"/>
              <w:left w:val="nil"/>
              <w:bottom w:val="nil"/>
              <w:right w:val="nil"/>
            </w:tcBorders>
          </w:tcPr>
          <w:p w14:paraId="6675874B"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6.85</w:t>
            </w:r>
          </w:p>
        </w:tc>
        <w:tc>
          <w:tcPr>
            <w:tcW w:w="521" w:type="pct"/>
            <w:tcBorders>
              <w:top w:val="nil"/>
              <w:left w:val="nil"/>
              <w:bottom w:val="nil"/>
              <w:right w:val="nil"/>
            </w:tcBorders>
          </w:tcPr>
          <w:p w14:paraId="45D43617"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-2.05**</w:t>
            </w:r>
          </w:p>
        </w:tc>
        <w:tc>
          <w:tcPr>
            <w:tcW w:w="839" w:type="pct"/>
            <w:tcBorders>
              <w:top w:val="nil"/>
              <w:left w:val="nil"/>
              <w:bottom w:val="nil"/>
              <w:right w:val="nil"/>
            </w:tcBorders>
          </w:tcPr>
          <w:p w14:paraId="792BF521"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18.6**</w:t>
            </w:r>
          </w:p>
        </w:tc>
        <w:tc>
          <w:tcPr>
            <w:tcW w:w="792" w:type="pct"/>
            <w:tcBorders>
              <w:top w:val="nil"/>
              <w:left w:val="nil"/>
              <w:bottom w:val="nil"/>
              <w:right w:val="nil"/>
            </w:tcBorders>
          </w:tcPr>
          <w:p w14:paraId="2667FEF5"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-0.490</w:t>
            </w:r>
          </w:p>
        </w:tc>
        <w:tc>
          <w:tcPr>
            <w:tcW w:w="799" w:type="pct"/>
            <w:tcBorders>
              <w:top w:val="nil"/>
              <w:left w:val="nil"/>
              <w:bottom w:val="nil"/>
              <w:right w:val="nil"/>
            </w:tcBorders>
          </w:tcPr>
          <w:p w14:paraId="7EACBC2A"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0.910</w:t>
            </w:r>
          </w:p>
        </w:tc>
      </w:tr>
      <w:tr w:rsidR="003B5A8E" w:rsidRPr="00BF0763" w14:paraId="5C73541D" w14:textId="77777777" w:rsidTr="003B5A8E">
        <w:trPr>
          <w:jc w:val="center"/>
        </w:trPr>
        <w:tc>
          <w:tcPr>
            <w:tcW w:w="766" w:type="pct"/>
            <w:tcBorders>
              <w:top w:val="nil"/>
              <w:left w:val="nil"/>
              <w:bottom w:val="nil"/>
              <w:right w:val="nil"/>
            </w:tcBorders>
          </w:tcPr>
          <w:p w14:paraId="0F63738B" w14:textId="223B5256"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521" w:type="pct"/>
            <w:tcBorders>
              <w:top w:val="nil"/>
              <w:left w:val="nil"/>
              <w:bottom w:val="nil"/>
              <w:right w:val="nil"/>
            </w:tcBorders>
          </w:tcPr>
          <w:p w14:paraId="7554655F"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(0.653)</w:t>
            </w:r>
          </w:p>
        </w:tc>
        <w:tc>
          <w:tcPr>
            <w:tcW w:w="763" w:type="pct"/>
            <w:tcBorders>
              <w:top w:val="nil"/>
              <w:left w:val="nil"/>
              <w:bottom w:val="nil"/>
              <w:right w:val="nil"/>
            </w:tcBorders>
          </w:tcPr>
          <w:p w14:paraId="41C1F176"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(7.38)</w:t>
            </w:r>
          </w:p>
        </w:tc>
        <w:tc>
          <w:tcPr>
            <w:tcW w:w="521" w:type="pct"/>
            <w:tcBorders>
              <w:top w:val="nil"/>
              <w:left w:val="nil"/>
              <w:bottom w:val="nil"/>
              <w:right w:val="nil"/>
            </w:tcBorders>
          </w:tcPr>
          <w:p w14:paraId="485910C3"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(0.854)</w:t>
            </w:r>
          </w:p>
        </w:tc>
        <w:tc>
          <w:tcPr>
            <w:tcW w:w="839" w:type="pct"/>
            <w:tcBorders>
              <w:top w:val="nil"/>
              <w:left w:val="nil"/>
              <w:bottom w:val="nil"/>
              <w:right w:val="nil"/>
            </w:tcBorders>
          </w:tcPr>
          <w:p w14:paraId="1BE4DAF7"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(8.11)</w:t>
            </w:r>
          </w:p>
        </w:tc>
        <w:tc>
          <w:tcPr>
            <w:tcW w:w="792" w:type="pct"/>
            <w:tcBorders>
              <w:top w:val="nil"/>
              <w:left w:val="nil"/>
              <w:bottom w:val="nil"/>
              <w:right w:val="nil"/>
            </w:tcBorders>
          </w:tcPr>
          <w:p w14:paraId="35B0EC34"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(1.08)</w:t>
            </w:r>
          </w:p>
        </w:tc>
        <w:tc>
          <w:tcPr>
            <w:tcW w:w="799" w:type="pct"/>
            <w:tcBorders>
              <w:top w:val="nil"/>
              <w:left w:val="nil"/>
              <w:bottom w:val="nil"/>
              <w:right w:val="nil"/>
            </w:tcBorders>
          </w:tcPr>
          <w:p w14:paraId="5F6262C0"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(0.997)</w:t>
            </w:r>
          </w:p>
        </w:tc>
      </w:tr>
      <w:tr w:rsidR="003B5A8E" w:rsidRPr="00BF0763" w14:paraId="4A0E28D2" w14:textId="77777777" w:rsidTr="003B5A8E">
        <w:trPr>
          <w:jc w:val="center"/>
        </w:trPr>
        <w:tc>
          <w:tcPr>
            <w:tcW w:w="766" w:type="pct"/>
            <w:tcBorders>
              <w:top w:val="nil"/>
              <w:left w:val="nil"/>
              <w:bottom w:val="nil"/>
              <w:right w:val="nil"/>
            </w:tcBorders>
          </w:tcPr>
          <w:p w14:paraId="4F6EB9BF"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Precipitation (t-1) (10s)</w:t>
            </w:r>
          </w:p>
        </w:tc>
        <w:tc>
          <w:tcPr>
            <w:tcW w:w="521" w:type="pct"/>
            <w:tcBorders>
              <w:top w:val="nil"/>
              <w:left w:val="nil"/>
              <w:bottom w:val="nil"/>
              <w:right w:val="nil"/>
            </w:tcBorders>
          </w:tcPr>
          <w:p w14:paraId="65D8ACBA"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0.153**</w:t>
            </w:r>
          </w:p>
        </w:tc>
        <w:tc>
          <w:tcPr>
            <w:tcW w:w="763" w:type="pct"/>
            <w:tcBorders>
              <w:top w:val="nil"/>
              <w:left w:val="nil"/>
              <w:bottom w:val="nil"/>
              <w:right w:val="nil"/>
            </w:tcBorders>
          </w:tcPr>
          <w:p w14:paraId="44673B54"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0.736</w:t>
            </w:r>
          </w:p>
        </w:tc>
        <w:tc>
          <w:tcPr>
            <w:tcW w:w="521" w:type="pct"/>
            <w:tcBorders>
              <w:top w:val="nil"/>
              <w:left w:val="nil"/>
              <w:bottom w:val="nil"/>
              <w:right w:val="nil"/>
            </w:tcBorders>
          </w:tcPr>
          <w:p w14:paraId="475BE499"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-0.092*</w:t>
            </w:r>
          </w:p>
        </w:tc>
        <w:tc>
          <w:tcPr>
            <w:tcW w:w="839" w:type="pct"/>
            <w:tcBorders>
              <w:top w:val="nil"/>
              <w:left w:val="nil"/>
              <w:bottom w:val="nil"/>
              <w:right w:val="nil"/>
            </w:tcBorders>
          </w:tcPr>
          <w:p w14:paraId="2B5DAEAE"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-0.078</w:t>
            </w:r>
          </w:p>
        </w:tc>
        <w:tc>
          <w:tcPr>
            <w:tcW w:w="792" w:type="pct"/>
            <w:tcBorders>
              <w:top w:val="nil"/>
              <w:left w:val="nil"/>
              <w:bottom w:val="nil"/>
              <w:right w:val="nil"/>
            </w:tcBorders>
          </w:tcPr>
          <w:p w14:paraId="44030EAB"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0.027</w:t>
            </w:r>
          </w:p>
        </w:tc>
        <w:tc>
          <w:tcPr>
            <w:tcW w:w="799" w:type="pct"/>
            <w:tcBorders>
              <w:top w:val="nil"/>
              <w:left w:val="nil"/>
              <w:bottom w:val="nil"/>
              <w:right w:val="nil"/>
            </w:tcBorders>
          </w:tcPr>
          <w:p w14:paraId="44569E92"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0.211*</w:t>
            </w:r>
          </w:p>
        </w:tc>
      </w:tr>
      <w:tr w:rsidR="003B5A8E" w:rsidRPr="00BF0763" w14:paraId="3D9D1F3D" w14:textId="77777777" w:rsidTr="003B5A8E">
        <w:trPr>
          <w:jc w:val="center"/>
        </w:trPr>
        <w:tc>
          <w:tcPr>
            <w:tcW w:w="766" w:type="pct"/>
            <w:tcBorders>
              <w:top w:val="nil"/>
              <w:left w:val="nil"/>
              <w:bottom w:val="nil"/>
              <w:right w:val="nil"/>
            </w:tcBorders>
          </w:tcPr>
          <w:p w14:paraId="1C40DBB4" w14:textId="58D263F0"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521" w:type="pct"/>
            <w:tcBorders>
              <w:top w:val="nil"/>
              <w:left w:val="nil"/>
              <w:bottom w:val="nil"/>
              <w:right w:val="nil"/>
            </w:tcBorders>
          </w:tcPr>
          <w:p w14:paraId="7F3952F1"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(0.063)</w:t>
            </w:r>
          </w:p>
        </w:tc>
        <w:tc>
          <w:tcPr>
            <w:tcW w:w="763" w:type="pct"/>
            <w:tcBorders>
              <w:top w:val="nil"/>
              <w:left w:val="nil"/>
              <w:bottom w:val="nil"/>
              <w:right w:val="nil"/>
            </w:tcBorders>
          </w:tcPr>
          <w:p w14:paraId="552FDD7D"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(0.782)</w:t>
            </w:r>
          </w:p>
        </w:tc>
        <w:tc>
          <w:tcPr>
            <w:tcW w:w="521" w:type="pct"/>
            <w:tcBorders>
              <w:top w:val="nil"/>
              <w:left w:val="nil"/>
              <w:bottom w:val="nil"/>
              <w:right w:val="nil"/>
            </w:tcBorders>
          </w:tcPr>
          <w:p w14:paraId="2850DAA8"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(0.054)</w:t>
            </w:r>
          </w:p>
        </w:tc>
        <w:tc>
          <w:tcPr>
            <w:tcW w:w="839" w:type="pct"/>
            <w:tcBorders>
              <w:top w:val="nil"/>
              <w:left w:val="nil"/>
              <w:bottom w:val="nil"/>
              <w:right w:val="nil"/>
            </w:tcBorders>
          </w:tcPr>
          <w:p w14:paraId="40E11521"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(0.647)</w:t>
            </w:r>
          </w:p>
        </w:tc>
        <w:tc>
          <w:tcPr>
            <w:tcW w:w="792" w:type="pct"/>
            <w:tcBorders>
              <w:top w:val="nil"/>
              <w:left w:val="nil"/>
              <w:bottom w:val="nil"/>
              <w:right w:val="nil"/>
            </w:tcBorders>
          </w:tcPr>
          <w:p w14:paraId="15F47260"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(0.075)</w:t>
            </w:r>
          </w:p>
        </w:tc>
        <w:tc>
          <w:tcPr>
            <w:tcW w:w="799" w:type="pct"/>
            <w:tcBorders>
              <w:top w:val="nil"/>
              <w:left w:val="nil"/>
              <w:bottom w:val="nil"/>
              <w:right w:val="nil"/>
            </w:tcBorders>
          </w:tcPr>
          <w:p w14:paraId="5DD4891E"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(0.109)</w:t>
            </w:r>
          </w:p>
        </w:tc>
      </w:tr>
      <w:tr w:rsidR="003B5A8E" w:rsidRPr="00BF0763" w14:paraId="3C75B807" w14:textId="77777777" w:rsidTr="003B5A8E">
        <w:trPr>
          <w:jc w:val="center"/>
        </w:trPr>
        <w:tc>
          <w:tcPr>
            <w:tcW w:w="766" w:type="pct"/>
            <w:tcBorders>
              <w:top w:val="nil"/>
              <w:left w:val="nil"/>
              <w:bottom w:val="nil"/>
              <w:right w:val="nil"/>
            </w:tcBorders>
          </w:tcPr>
          <w:p w14:paraId="4FC42ABF"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Temperature (t-1) (10s)</w:t>
            </w:r>
          </w:p>
        </w:tc>
        <w:tc>
          <w:tcPr>
            <w:tcW w:w="521" w:type="pct"/>
            <w:tcBorders>
              <w:top w:val="nil"/>
              <w:left w:val="nil"/>
              <w:bottom w:val="nil"/>
              <w:right w:val="nil"/>
            </w:tcBorders>
          </w:tcPr>
          <w:p w14:paraId="33A8B515"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2.31**</w:t>
            </w:r>
          </w:p>
        </w:tc>
        <w:tc>
          <w:tcPr>
            <w:tcW w:w="763" w:type="pct"/>
            <w:tcBorders>
              <w:top w:val="nil"/>
              <w:left w:val="nil"/>
              <w:bottom w:val="nil"/>
              <w:right w:val="nil"/>
            </w:tcBorders>
          </w:tcPr>
          <w:p w14:paraId="6A37BC58"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7.42</w:t>
            </w:r>
          </w:p>
        </w:tc>
        <w:tc>
          <w:tcPr>
            <w:tcW w:w="521" w:type="pct"/>
            <w:tcBorders>
              <w:top w:val="nil"/>
              <w:left w:val="nil"/>
              <w:bottom w:val="nil"/>
              <w:right w:val="nil"/>
            </w:tcBorders>
          </w:tcPr>
          <w:p w14:paraId="77417460"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1.41*</w:t>
            </w:r>
          </w:p>
        </w:tc>
        <w:tc>
          <w:tcPr>
            <w:tcW w:w="839" w:type="pct"/>
            <w:tcBorders>
              <w:top w:val="nil"/>
              <w:left w:val="nil"/>
              <w:bottom w:val="nil"/>
              <w:right w:val="nil"/>
            </w:tcBorders>
          </w:tcPr>
          <w:p w14:paraId="251A831C"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6.49</w:t>
            </w:r>
          </w:p>
        </w:tc>
        <w:tc>
          <w:tcPr>
            <w:tcW w:w="792" w:type="pct"/>
            <w:tcBorders>
              <w:top w:val="nil"/>
              <w:left w:val="nil"/>
              <w:bottom w:val="nil"/>
              <w:right w:val="nil"/>
            </w:tcBorders>
          </w:tcPr>
          <w:p w14:paraId="052482F2"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-1.16</w:t>
            </w:r>
          </w:p>
        </w:tc>
        <w:tc>
          <w:tcPr>
            <w:tcW w:w="799" w:type="pct"/>
            <w:tcBorders>
              <w:top w:val="nil"/>
              <w:left w:val="nil"/>
              <w:bottom w:val="nil"/>
              <w:right w:val="nil"/>
            </w:tcBorders>
          </w:tcPr>
          <w:p w14:paraId="64C0331C"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-1.45</w:t>
            </w:r>
          </w:p>
        </w:tc>
      </w:tr>
      <w:tr w:rsidR="003B5A8E" w:rsidRPr="00BF0763" w14:paraId="24553171" w14:textId="77777777" w:rsidTr="003B5A8E">
        <w:trPr>
          <w:jc w:val="center"/>
        </w:trPr>
        <w:tc>
          <w:tcPr>
            <w:tcW w:w="766" w:type="pct"/>
            <w:tcBorders>
              <w:top w:val="nil"/>
              <w:left w:val="nil"/>
              <w:bottom w:val="nil"/>
              <w:right w:val="nil"/>
            </w:tcBorders>
          </w:tcPr>
          <w:p w14:paraId="0B21ABE1" w14:textId="1A50DEF5"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521" w:type="pct"/>
            <w:tcBorders>
              <w:top w:val="nil"/>
              <w:left w:val="nil"/>
              <w:bottom w:val="nil"/>
              <w:right w:val="nil"/>
            </w:tcBorders>
          </w:tcPr>
          <w:p w14:paraId="25CB8738"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(1.03)</w:t>
            </w:r>
          </w:p>
        </w:tc>
        <w:tc>
          <w:tcPr>
            <w:tcW w:w="763" w:type="pct"/>
            <w:tcBorders>
              <w:top w:val="nil"/>
              <w:left w:val="nil"/>
              <w:bottom w:val="nil"/>
              <w:right w:val="nil"/>
            </w:tcBorders>
          </w:tcPr>
          <w:p w14:paraId="0C0F36D4"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(8.90)</w:t>
            </w:r>
          </w:p>
        </w:tc>
        <w:tc>
          <w:tcPr>
            <w:tcW w:w="521" w:type="pct"/>
            <w:tcBorders>
              <w:top w:val="nil"/>
              <w:left w:val="nil"/>
              <w:bottom w:val="nil"/>
              <w:right w:val="nil"/>
            </w:tcBorders>
          </w:tcPr>
          <w:p w14:paraId="3EB7216E"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(0.808)</w:t>
            </w:r>
          </w:p>
        </w:tc>
        <w:tc>
          <w:tcPr>
            <w:tcW w:w="839" w:type="pct"/>
            <w:tcBorders>
              <w:top w:val="nil"/>
              <w:left w:val="nil"/>
              <w:bottom w:val="nil"/>
              <w:right w:val="nil"/>
            </w:tcBorders>
          </w:tcPr>
          <w:p w14:paraId="128A5E91"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(7.68)</w:t>
            </w:r>
          </w:p>
        </w:tc>
        <w:tc>
          <w:tcPr>
            <w:tcW w:w="792" w:type="pct"/>
            <w:tcBorders>
              <w:top w:val="nil"/>
              <w:left w:val="nil"/>
              <w:bottom w:val="nil"/>
              <w:right w:val="nil"/>
            </w:tcBorders>
          </w:tcPr>
          <w:p w14:paraId="615A9FD7"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(1.56)</w:t>
            </w:r>
          </w:p>
        </w:tc>
        <w:tc>
          <w:tcPr>
            <w:tcW w:w="799" w:type="pct"/>
            <w:tcBorders>
              <w:top w:val="nil"/>
              <w:left w:val="nil"/>
              <w:bottom w:val="nil"/>
              <w:right w:val="nil"/>
            </w:tcBorders>
          </w:tcPr>
          <w:p w14:paraId="6CB2D9AA"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(2.22)</w:t>
            </w:r>
          </w:p>
        </w:tc>
      </w:tr>
      <w:tr w:rsidR="003B5A8E" w:rsidRPr="00BF0763" w14:paraId="4BECFDCA" w14:textId="77777777" w:rsidTr="003B5A8E">
        <w:trPr>
          <w:jc w:val="center"/>
        </w:trPr>
        <w:tc>
          <w:tcPr>
            <w:tcW w:w="766" w:type="pct"/>
            <w:tcBorders>
              <w:top w:val="nil"/>
              <w:left w:val="nil"/>
              <w:bottom w:val="nil"/>
              <w:right w:val="nil"/>
            </w:tcBorders>
          </w:tcPr>
          <w:p w14:paraId="73567811"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CPAD (t-1) (100s)</w:t>
            </w:r>
          </w:p>
        </w:tc>
        <w:tc>
          <w:tcPr>
            <w:tcW w:w="521" w:type="pct"/>
            <w:tcBorders>
              <w:top w:val="nil"/>
              <w:left w:val="nil"/>
              <w:bottom w:val="nil"/>
              <w:right w:val="nil"/>
            </w:tcBorders>
          </w:tcPr>
          <w:p w14:paraId="574910F8"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2.15***</w:t>
            </w:r>
          </w:p>
        </w:tc>
        <w:tc>
          <w:tcPr>
            <w:tcW w:w="763" w:type="pct"/>
            <w:tcBorders>
              <w:top w:val="nil"/>
              <w:left w:val="nil"/>
              <w:bottom w:val="nil"/>
              <w:right w:val="nil"/>
            </w:tcBorders>
          </w:tcPr>
          <w:p w14:paraId="291CF068"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6.84</w:t>
            </w:r>
          </w:p>
        </w:tc>
        <w:tc>
          <w:tcPr>
            <w:tcW w:w="521" w:type="pct"/>
            <w:tcBorders>
              <w:top w:val="nil"/>
              <w:left w:val="nil"/>
              <w:bottom w:val="nil"/>
              <w:right w:val="nil"/>
            </w:tcBorders>
          </w:tcPr>
          <w:p w14:paraId="563F985A"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0.986**</w:t>
            </w:r>
          </w:p>
        </w:tc>
        <w:tc>
          <w:tcPr>
            <w:tcW w:w="839" w:type="pct"/>
            <w:tcBorders>
              <w:top w:val="nil"/>
              <w:left w:val="nil"/>
              <w:bottom w:val="nil"/>
              <w:right w:val="nil"/>
            </w:tcBorders>
          </w:tcPr>
          <w:p w14:paraId="60C494FA"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0.983</w:t>
            </w:r>
          </w:p>
        </w:tc>
        <w:tc>
          <w:tcPr>
            <w:tcW w:w="792" w:type="pct"/>
            <w:tcBorders>
              <w:top w:val="nil"/>
              <w:left w:val="nil"/>
              <w:bottom w:val="nil"/>
              <w:right w:val="nil"/>
            </w:tcBorders>
          </w:tcPr>
          <w:p w14:paraId="70942451"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-0.576</w:t>
            </w:r>
          </w:p>
        </w:tc>
        <w:tc>
          <w:tcPr>
            <w:tcW w:w="799" w:type="pct"/>
            <w:tcBorders>
              <w:top w:val="nil"/>
              <w:left w:val="nil"/>
              <w:bottom w:val="nil"/>
              <w:right w:val="nil"/>
            </w:tcBorders>
          </w:tcPr>
          <w:p w14:paraId="7E422E09"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1.36</w:t>
            </w:r>
          </w:p>
        </w:tc>
      </w:tr>
      <w:tr w:rsidR="003B5A8E" w:rsidRPr="00BF0763" w14:paraId="10AC6C3C" w14:textId="77777777" w:rsidTr="003B5A8E">
        <w:trPr>
          <w:jc w:val="center"/>
        </w:trPr>
        <w:tc>
          <w:tcPr>
            <w:tcW w:w="766" w:type="pct"/>
            <w:tcBorders>
              <w:top w:val="nil"/>
              <w:left w:val="nil"/>
              <w:bottom w:val="nil"/>
              <w:right w:val="nil"/>
            </w:tcBorders>
          </w:tcPr>
          <w:p w14:paraId="5DD10539" w14:textId="2B861EA5"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521" w:type="pct"/>
            <w:tcBorders>
              <w:top w:val="nil"/>
              <w:left w:val="nil"/>
              <w:bottom w:val="nil"/>
              <w:right w:val="nil"/>
            </w:tcBorders>
          </w:tcPr>
          <w:p w14:paraId="36C2498E"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(0.691)</w:t>
            </w:r>
          </w:p>
        </w:tc>
        <w:tc>
          <w:tcPr>
            <w:tcW w:w="763" w:type="pct"/>
            <w:tcBorders>
              <w:top w:val="nil"/>
              <w:left w:val="nil"/>
              <w:bottom w:val="nil"/>
              <w:right w:val="nil"/>
            </w:tcBorders>
          </w:tcPr>
          <w:p w14:paraId="568C8B00"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(6.21)</w:t>
            </w:r>
          </w:p>
        </w:tc>
        <w:tc>
          <w:tcPr>
            <w:tcW w:w="521" w:type="pct"/>
            <w:tcBorders>
              <w:top w:val="nil"/>
              <w:left w:val="nil"/>
              <w:bottom w:val="nil"/>
              <w:right w:val="nil"/>
            </w:tcBorders>
          </w:tcPr>
          <w:p w14:paraId="68BD649A"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(0.479)</w:t>
            </w:r>
          </w:p>
        </w:tc>
        <w:tc>
          <w:tcPr>
            <w:tcW w:w="839" w:type="pct"/>
            <w:tcBorders>
              <w:top w:val="nil"/>
              <w:left w:val="nil"/>
              <w:bottom w:val="nil"/>
              <w:right w:val="nil"/>
            </w:tcBorders>
          </w:tcPr>
          <w:p w14:paraId="44C94D79"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(8.91)</w:t>
            </w:r>
          </w:p>
        </w:tc>
        <w:tc>
          <w:tcPr>
            <w:tcW w:w="792" w:type="pct"/>
            <w:tcBorders>
              <w:top w:val="nil"/>
              <w:left w:val="nil"/>
              <w:bottom w:val="nil"/>
              <w:right w:val="nil"/>
            </w:tcBorders>
          </w:tcPr>
          <w:p w14:paraId="79ADF983"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(0.613)</w:t>
            </w:r>
          </w:p>
        </w:tc>
        <w:tc>
          <w:tcPr>
            <w:tcW w:w="799" w:type="pct"/>
            <w:tcBorders>
              <w:top w:val="nil"/>
              <w:left w:val="nil"/>
              <w:bottom w:val="nil"/>
              <w:right w:val="nil"/>
            </w:tcBorders>
          </w:tcPr>
          <w:p w14:paraId="224A1FA3"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(1.19)</w:t>
            </w:r>
          </w:p>
        </w:tc>
      </w:tr>
      <w:tr w:rsidR="003B5A8E" w:rsidRPr="00BF0763" w14:paraId="4F7A23B1" w14:textId="77777777" w:rsidTr="003B5A8E">
        <w:trPr>
          <w:jc w:val="center"/>
        </w:trPr>
        <w:tc>
          <w:tcPr>
            <w:tcW w:w="766" w:type="pct"/>
            <w:tcBorders>
              <w:top w:val="nil"/>
              <w:left w:val="nil"/>
              <w:bottom w:val="nil"/>
              <w:right w:val="nil"/>
            </w:tcBorders>
          </w:tcPr>
          <w:p w14:paraId="41C1003B"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Housing Price Index (100s)</w:t>
            </w:r>
          </w:p>
        </w:tc>
        <w:tc>
          <w:tcPr>
            <w:tcW w:w="521" w:type="pct"/>
            <w:tcBorders>
              <w:top w:val="nil"/>
              <w:left w:val="nil"/>
              <w:bottom w:val="nil"/>
              <w:right w:val="nil"/>
            </w:tcBorders>
          </w:tcPr>
          <w:p w14:paraId="2432A762"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-0.044</w:t>
            </w:r>
          </w:p>
        </w:tc>
        <w:tc>
          <w:tcPr>
            <w:tcW w:w="763" w:type="pct"/>
            <w:tcBorders>
              <w:top w:val="nil"/>
              <w:left w:val="nil"/>
              <w:bottom w:val="nil"/>
              <w:right w:val="nil"/>
            </w:tcBorders>
          </w:tcPr>
          <w:p w14:paraId="464C2D2C"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-0.235</w:t>
            </w:r>
          </w:p>
        </w:tc>
        <w:tc>
          <w:tcPr>
            <w:tcW w:w="521" w:type="pct"/>
            <w:tcBorders>
              <w:top w:val="nil"/>
              <w:left w:val="nil"/>
              <w:bottom w:val="nil"/>
              <w:right w:val="nil"/>
            </w:tcBorders>
          </w:tcPr>
          <w:p w14:paraId="736DD144"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-0.038</w:t>
            </w:r>
          </w:p>
        </w:tc>
        <w:tc>
          <w:tcPr>
            <w:tcW w:w="839" w:type="pct"/>
            <w:tcBorders>
              <w:top w:val="nil"/>
              <w:left w:val="nil"/>
              <w:bottom w:val="nil"/>
              <w:right w:val="nil"/>
            </w:tcBorders>
          </w:tcPr>
          <w:p w14:paraId="57020733"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-0.807**</w:t>
            </w:r>
          </w:p>
        </w:tc>
        <w:tc>
          <w:tcPr>
            <w:tcW w:w="792" w:type="pct"/>
            <w:tcBorders>
              <w:top w:val="nil"/>
              <w:left w:val="nil"/>
              <w:bottom w:val="nil"/>
              <w:right w:val="nil"/>
            </w:tcBorders>
          </w:tcPr>
          <w:p w14:paraId="03DB2625"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0.076</w:t>
            </w:r>
          </w:p>
        </w:tc>
        <w:tc>
          <w:tcPr>
            <w:tcW w:w="799" w:type="pct"/>
            <w:tcBorders>
              <w:top w:val="nil"/>
              <w:left w:val="nil"/>
              <w:bottom w:val="nil"/>
              <w:right w:val="nil"/>
            </w:tcBorders>
          </w:tcPr>
          <w:p w14:paraId="0952FB2A"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-0.123</w:t>
            </w:r>
          </w:p>
        </w:tc>
      </w:tr>
      <w:tr w:rsidR="003B5A8E" w:rsidRPr="00BF0763" w14:paraId="5EB80CFF" w14:textId="77777777" w:rsidTr="003B5A8E">
        <w:trPr>
          <w:jc w:val="center"/>
        </w:trPr>
        <w:tc>
          <w:tcPr>
            <w:tcW w:w="766" w:type="pct"/>
            <w:tcBorders>
              <w:top w:val="nil"/>
              <w:left w:val="nil"/>
              <w:bottom w:val="nil"/>
              <w:right w:val="nil"/>
            </w:tcBorders>
          </w:tcPr>
          <w:p w14:paraId="1BB8284D" w14:textId="535257E9"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521" w:type="pct"/>
            <w:tcBorders>
              <w:top w:val="nil"/>
              <w:left w:val="nil"/>
              <w:bottom w:val="nil"/>
              <w:right w:val="nil"/>
            </w:tcBorders>
          </w:tcPr>
          <w:p w14:paraId="02EED423"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(0.032)</w:t>
            </w:r>
          </w:p>
        </w:tc>
        <w:tc>
          <w:tcPr>
            <w:tcW w:w="763" w:type="pct"/>
            <w:tcBorders>
              <w:top w:val="nil"/>
              <w:left w:val="nil"/>
              <w:bottom w:val="nil"/>
              <w:right w:val="nil"/>
            </w:tcBorders>
          </w:tcPr>
          <w:p w14:paraId="1F4D051B"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(0.348)</w:t>
            </w:r>
          </w:p>
        </w:tc>
        <w:tc>
          <w:tcPr>
            <w:tcW w:w="521" w:type="pct"/>
            <w:tcBorders>
              <w:top w:val="nil"/>
              <w:left w:val="nil"/>
              <w:bottom w:val="nil"/>
              <w:right w:val="nil"/>
            </w:tcBorders>
          </w:tcPr>
          <w:p w14:paraId="68C98DBD"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(0.036)</w:t>
            </w:r>
          </w:p>
        </w:tc>
        <w:tc>
          <w:tcPr>
            <w:tcW w:w="839" w:type="pct"/>
            <w:tcBorders>
              <w:top w:val="nil"/>
              <w:left w:val="nil"/>
              <w:bottom w:val="nil"/>
              <w:right w:val="nil"/>
            </w:tcBorders>
          </w:tcPr>
          <w:p w14:paraId="174F6D98"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(0.338)</w:t>
            </w:r>
          </w:p>
        </w:tc>
        <w:tc>
          <w:tcPr>
            <w:tcW w:w="792" w:type="pct"/>
            <w:tcBorders>
              <w:top w:val="nil"/>
              <w:left w:val="nil"/>
              <w:bottom w:val="nil"/>
              <w:right w:val="nil"/>
            </w:tcBorders>
          </w:tcPr>
          <w:p w14:paraId="5D2C2334"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(0.051)</w:t>
            </w:r>
          </w:p>
        </w:tc>
        <w:tc>
          <w:tcPr>
            <w:tcW w:w="799" w:type="pct"/>
            <w:tcBorders>
              <w:top w:val="nil"/>
              <w:left w:val="nil"/>
              <w:bottom w:val="nil"/>
              <w:right w:val="nil"/>
            </w:tcBorders>
          </w:tcPr>
          <w:p w14:paraId="014F6A92"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(0.083)</w:t>
            </w:r>
          </w:p>
        </w:tc>
      </w:tr>
      <w:tr w:rsidR="003B5A8E" w:rsidRPr="00BF0763" w14:paraId="1C0524C0" w14:textId="77777777" w:rsidTr="003B5A8E">
        <w:trPr>
          <w:jc w:val="center"/>
        </w:trPr>
        <w:tc>
          <w:tcPr>
            <w:tcW w:w="766" w:type="pct"/>
            <w:tcBorders>
              <w:top w:val="nil"/>
              <w:left w:val="nil"/>
              <w:bottom w:val="nil"/>
              <w:right w:val="nil"/>
            </w:tcBorders>
          </w:tcPr>
          <w:p w14:paraId="55D7880D"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Poverty rate (100s)</w:t>
            </w:r>
          </w:p>
        </w:tc>
        <w:tc>
          <w:tcPr>
            <w:tcW w:w="521" w:type="pct"/>
            <w:tcBorders>
              <w:top w:val="nil"/>
              <w:left w:val="nil"/>
              <w:bottom w:val="nil"/>
              <w:right w:val="nil"/>
            </w:tcBorders>
          </w:tcPr>
          <w:p w14:paraId="488B31DD"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-2.33</w:t>
            </w:r>
          </w:p>
        </w:tc>
        <w:tc>
          <w:tcPr>
            <w:tcW w:w="763" w:type="pct"/>
            <w:tcBorders>
              <w:top w:val="nil"/>
              <w:left w:val="nil"/>
              <w:bottom w:val="nil"/>
              <w:right w:val="nil"/>
            </w:tcBorders>
          </w:tcPr>
          <w:p w14:paraId="1F04CEA4"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-33.3</w:t>
            </w:r>
          </w:p>
        </w:tc>
        <w:tc>
          <w:tcPr>
            <w:tcW w:w="521" w:type="pct"/>
            <w:tcBorders>
              <w:top w:val="nil"/>
              <w:left w:val="nil"/>
              <w:bottom w:val="nil"/>
              <w:right w:val="nil"/>
            </w:tcBorders>
          </w:tcPr>
          <w:p w14:paraId="16783DE0"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-3.00</w:t>
            </w:r>
          </w:p>
        </w:tc>
        <w:tc>
          <w:tcPr>
            <w:tcW w:w="839" w:type="pct"/>
            <w:tcBorders>
              <w:top w:val="nil"/>
              <w:left w:val="nil"/>
              <w:bottom w:val="nil"/>
              <w:right w:val="nil"/>
            </w:tcBorders>
          </w:tcPr>
          <w:p w14:paraId="1DEA7B1E"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-6.96</w:t>
            </w:r>
          </w:p>
        </w:tc>
        <w:tc>
          <w:tcPr>
            <w:tcW w:w="792" w:type="pct"/>
            <w:tcBorders>
              <w:top w:val="nil"/>
              <w:left w:val="nil"/>
              <w:bottom w:val="nil"/>
              <w:right w:val="nil"/>
            </w:tcBorders>
          </w:tcPr>
          <w:p w14:paraId="4781DEFA"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3.45**</w:t>
            </w:r>
          </w:p>
        </w:tc>
        <w:tc>
          <w:tcPr>
            <w:tcW w:w="799" w:type="pct"/>
            <w:tcBorders>
              <w:top w:val="nil"/>
              <w:left w:val="nil"/>
              <w:bottom w:val="nil"/>
              <w:right w:val="nil"/>
            </w:tcBorders>
          </w:tcPr>
          <w:p w14:paraId="5C53F5AF"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9.17**</w:t>
            </w:r>
          </w:p>
        </w:tc>
      </w:tr>
      <w:tr w:rsidR="003B5A8E" w:rsidRPr="00BF0763" w14:paraId="07B80B4C" w14:textId="77777777" w:rsidTr="003B5A8E">
        <w:trPr>
          <w:jc w:val="center"/>
        </w:trPr>
        <w:tc>
          <w:tcPr>
            <w:tcW w:w="766" w:type="pct"/>
            <w:tcBorders>
              <w:top w:val="nil"/>
              <w:left w:val="nil"/>
              <w:bottom w:val="nil"/>
              <w:right w:val="nil"/>
            </w:tcBorders>
          </w:tcPr>
          <w:p w14:paraId="0C5F9BFD" w14:textId="190379C9"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521" w:type="pct"/>
            <w:tcBorders>
              <w:top w:val="nil"/>
              <w:left w:val="nil"/>
              <w:bottom w:val="nil"/>
              <w:right w:val="nil"/>
            </w:tcBorders>
          </w:tcPr>
          <w:p w14:paraId="4AF00244"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(2.29)</w:t>
            </w:r>
          </w:p>
        </w:tc>
        <w:tc>
          <w:tcPr>
            <w:tcW w:w="763" w:type="pct"/>
            <w:tcBorders>
              <w:top w:val="nil"/>
              <w:left w:val="nil"/>
              <w:bottom w:val="nil"/>
              <w:right w:val="nil"/>
            </w:tcBorders>
          </w:tcPr>
          <w:p w14:paraId="7493BDDF"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(24.4)</w:t>
            </w:r>
          </w:p>
        </w:tc>
        <w:tc>
          <w:tcPr>
            <w:tcW w:w="521" w:type="pct"/>
            <w:tcBorders>
              <w:top w:val="nil"/>
              <w:left w:val="nil"/>
              <w:bottom w:val="nil"/>
              <w:right w:val="nil"/>
            </w:tcBorders>
          </w:tcPr>
          <w:p w14:paraId="62E805AD"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(2.74)</w:t>
            </w:r>
          </w:p>
        </w:tc>
        <w:tc>
          <w:tcPr>
            <w:tcW w:w="839" w:type="pct"/>
            <w:tcBorders>
              <w:top w:val="nil"/>
              <w:left w:val="nil"/>
              <w:bottom w:val="nil"/>
              <w:right w:val="nil"/>
            </w:tcBorders>
          </w:tcPr>
          <w:p w14:paraId="7A2EACD0"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(32.5)</w:t>
            </w:r>
          </w:p>
        </w:tc>
        <w:tc>
          <w:tcPr>
            <w:tcW w:w="792" w:type="pct"/>
            <w:tcBorders>
              <w:top w:val="nil"/>
              <w:left w:val="nil"/>
              <w:bottom w:val="nil"/>
              <w:right w:val="nil"/>
            </w:tcBorders>
          </w:tcPr>
          <w:p w14:paraId="6BA8A823"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(1.64)</w:t>
            </w:r>
          </w:p>
        </w:tc>
        <w:tc>
          <w:tcPr>
            <w:tcW w:w="799" w:type="pct"/>
            <w:tcBorders>
              <w:top w:val="nil"/>
              <w:left w:val="nil"/>
              <w:bottom w:val="nil"/>
              <w:right w:val="nil"/>
            </w:tcBorders>
          </w:tcPr>
          <w:p w14:paraId="40473B3B"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(4.00)</w:t>
            </w:r>
          </w:p>
        </w:tc>
      </w:tr>
      <w:tr w:rsidR="003B5A8E" w:rsidRPr="00BF0763" w14:paraId="0D599CFE" w14:textId="77777777" w:rsidTr="003B5A8E">
        <w:trPr>
          <w:jc w:val="center"/>
        </w:trPr>
        <w:tc>
          <w:tcPr>
            <w:tcW w:w="766" w:type="pct"/>
            <w:tcBorders>
              <w:top w:val="nil"/>
              <w:left w:val="nil"/>
              <w:bottom w:val="nil"/>
              <w:right w:val="nil"/>
            </w:tcBorders>
          </w:tcPr>
          <w:p w14:paraId="3A961350"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Median HH Income (100ks)</w:t>
            </w:r>
          </w:p>
        </w:tc>
        <w:tc>
          <w:tcPr>
            <w:tcW w:w="521" w:type="pct"/>
            <w:tcBorders>
              <w:top w:val="nil"/>
              <w:left w:val="nil"/>
              <w:bottom w:val="nil"/>
              <w:right w:val="nil"/>
            </w:tcBorders>
          </w:tcPr>
          <w:p w14:paraId="2A6FC073"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1.25</w:t>
            </w:r>
          </w:p>
        </w:tc>
        <w:tc>
          <w:tcPr>
            <w:tcW w:w="763" w:type="pct"/>
            <w:tcBorders>
              <w:top w:val="nil"/>
              <w:left w:val="nil"/>
              <w:bottom w:val="nil"/>
              <w:right w:val="nil"/>
            </w:tcBorders>
          </w:tcPr>
          <w:p w14:paraId="1C36D432"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-0.527</w:t>
            </w:r>
          </w:p>
        </w:tc>
        <w:tc>
          <w:tcPr>
            <w:tcW w:w="521" w:type="pct"/>
            <w:tcBorders>
              <w:top w:val="nil"/>
              <w:left w:val="nil"/>
              <w:bottom w:val="nil"/>
              <w:right w:val="nil"/>
            </w:tcBorders>
          </w:tcPr>
          <w:p w14:paraId="7E774286"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-1.38</w:t>
            </w:r>
          </w:p>
        </w:tc>
        <w:tc>
          <w:tcPr>
            <w:tcW w:w="839" w:type="pct"/>
            <w:tcBorders>
              <w:top w:val="nil"/>
              <w:left w:val="nil"/>
              <w:bottom w:val="nil"/>
              <w:right w:val="nil"/>
            </w:tcBorders>
          </w:tcPr>
          <w:p w14:paraId="40401002"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9.41</w:t>
            </w:r>
          </w:p>
        </w:tc>
        <w:tc>
          <w:tcPr>
            <w:tcW w:w="792" w:type="pct"/>
            <w:tcBorders>
              <w:top w:val="nil"/>
              <w:left w:val="nil"/>
              <w:bottom w:val="nil"/>
              <w:right w:val="nil"/>
            </w:tcBorders>
          </w:tcPr>
          <w:p w14:paraId="74B2E3FB"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0.011</w:t>
            </w:r>
          </w:p>
        </w:tc>
        <w:tc>
          <w:tcPr>
            <w:tcW w:w="799" w:type="pct"/>
            <w:tcBorders>
              <w:top w:val="nil"/>
              <w:left w:val="nil"/>
              <w:bottom w:val="nil"/>
              <w:right w:val="nil"/>
            </w:tcBorders>
          </w:tcPr>
          <w:p w14:paraId="0DE10A6D"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5.70*</w:t>
            </w:r>
          </w:p>
        </w:tc>
      </w:tr>
      <w:tr w:rsidR="003B5A8E" w:rsidRPr="00BF0763" w14:paraId="3AB68C3E" w14:textId="77777777" w:rsidTr="003B5A8E">
        <w:trPr>
          <w:jc w:val="center"/>
        </w:trPr>
        <w:tc>
          <w:tcPr>
            <w:tcW w:w="766" w:type="pct"/>
            <w:tcBorders>
              <w:top w:val="nil"/>
              <w:left w:val="nil"/>
              <w:bottom w:val="nil"/>
              <w:right w:val="nil"/>
            </w:tcBorders>
          </w:tcPr>
          <w:p w14:paraId="41E861E3" w14:textId="3563DC54"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521" w:type="pct"/>
            <w:tcBorders>
              <w:top w:val="nil"/>
              <w:left w:val="nil"/>
              <w:bottom w:val="nil"/>
              <w:right w:val="nil"/>
            </w:tcBorders>
          </w:tcPr>
          <w:p w14:paraId="0B00225A"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(0.865)</w:t>
            </w:r>
          </w:p>
        </w:tc>
        <w:tc>
          <w:tcPr>
            <w:tcW w:w="763" w:type="pct"/>
            <w:tcBorders>
              <w:top w:val="nil"/>
              <w:left w:val="nil"/>
              <w:bottom w:val="nil"/>
              <w:right w:val="nil"/>
            </w:tcBorders>
          </w:tcPr>
          <w:p w14:paraId="1F3284DA"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(17.3)</w:t>
            </w:r>
          </w:p>
        </w:tc>
        <w:tc>
          <w:tcPr>
            <w:tcW w:w="521" w:type="pct"/>
            <w:tcBorders>
              <w:top w:val="nil"/>
              <w:left w:val="nil"/>
              <w:bottom w:val="nil"/>
              <w:right w:val="nil"/>
            </w:tcBorders>
          </w:tcPr>
          <w:p w14:paraId="701F74D6"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(0.967)</w:t>
            </w:r>
          </w:p>
        </w:tc>
        <w:tc>
          <w:tcPr>
            <w:tcW w:w="839" w:type="pct"/>
            <w:tcBorders>
              <w:top w:val="nil"/>
              <w:left w:val="nil"/>
              <w:bottom w:val="nil"/>
              <w:right w:val="nil"/>
            </w:tcBorders>
          </w:tcPr>
          <w:p w14:paraId="01D22730"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(12.9)</w:t>
            </w:r>
          </w:p>
        </w:tc>
        <w:tc>
          <w:tcPr>
            <w:tcW w:w="792" w:type="pct"/>
            <w:tcBorders>
              <w:top w:val="nil"/>
              <w:left w:val="nil"/>
              <w:bottom w:val="nil"/>
              <w:right w:val="nil"/>
            </w:tcBorders>
          </w:tcPr>
          <w:p w14:paraId="76361036"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(1.59)</w:t>
            </w:r>
          </w:p>
        </w:tc>
        <w:tc>
          <w:tcPr>
            <w:tcW w:w="799" w:type="pct"/>
            <w:tcBorders>
              <w:top w:val="nil"/>
              <w:left w:val="nil"/>
              <w:bottom w:val="nil"/>
              <w:right w:val="nil"/>
            </w:tcBorders>
          </w:tcPr>
          <w:p w14:paraId="1318D52B"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(2.95)</w:t>
            </w:r>
          </w:p>
        </w:tc>
      </w:tr>
      <w:tr w:rsidR="003B5A8E" w:rsidRPr="00BF0763" w14:paraId="4F6FAD70" w14:textId="77777777" w:rsidTr="003B5A8E">
        <w:trPr>
          <w:jc w:val="center"/>
        </w:trPr>
        <w:tc>
          <w:tcPr>
            <w:tcW w:w="766" w:type="pct"/>
            <w:tcBorders>
              <w:top w:val="nil"/>
              <w:left w:val="nil"/>
              <w:bottom w:val="nil"/>
              <w:right w:val="nil"/>
            </w:tcBorders>
          </w:tcPr>
          <w:p w14:paraId="082EF427"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O3-Attainment Status (t-1)</w:t>
            </w:r>
          </w:p>
        </w:tc>
        <w:tc>
          <w:tcPr>
            <w:tcW w:w="521" w:type="pct"/>
            <w:tcBorders>
              <w:top w:val="nil"/>
              <w:left w:val="nil"/>
              <w:bottom w:val="nil"/>
              <w:right w:val="nil"/>
            </w:tcBorders>
          </w:tcPr>
          <w:p w14:paraId="0C59368A"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-0.095</w:t>
            </w:r>
          </w:p>
        </w:tc>
        <w:tc>
          <w:tcPr>
            <w:tcW w:w="763" w:type="pct"/>
            <w:tcBorders>
              <w:top w:val="nil"/>
              <w:left w:val="nil"/>
              <w:bottom w:val="nil"/>
              <w:right w:val="nil"/>
            </w:tcBorders>
          </w:tcPr>
          <w:p w14:paraId="558E12B7"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-2.26**</w:t>
            </w:r>
          </w:p>
        </w:tc>
        <w:tc>
          <w:tcPr>
            <w:tcW w:w="521" w:type="pct"/>
            <w:tcBorders>
              <w:top w:val="nil"/>
              <w:left w:val="nil"/>
              <w:bottom w:val="nil"/>
              <w:right w:val="nil"/>
            </w:tcBorders>
          </w:tcPr>
          <w:p w14:paraId="4670D45E"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-0.217*</w:t>
            </w:r>
          </w:p>
        </w:tc>
        <w:tc>
          <w:tcPr>
            <w:tcW w:w="839" w:type="pct"/>
            <w:tcBorders>
              <w:top w:val="nil"/>
              <w:left w:val="nil"/>
              <w:bottom w:val="nil"/>
              <w:right w:val="nil"/>
            </w:tcBorders>
          </w:tcPr>
          <w:p w14:paraId="718FE479"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-0.981</w:t>
            </w:r>
          </w:p>
        </w:tc>
        <w:tc>
          <w:tcPr>
            <w:tcW w:w="792" w:type="pct"/>
            <w:tcBorders>
              <w:top w:val="nil"/>
              <w:left w:val="nil"/>
              <w:bottom w:val="nil"/>
              <w:right w:val="nil"/>
            </w:tcBorders>
          </w:tcPr>
          <w:p w14:paraId="383CFD5A"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0.101</w:t>
            </w:r>
          </w:p>
        </w:tc>
        <w:tc>
          <w:tcPr>
            <w:tcW w:w="799" w:type="pct"/>
            <w:tcBorders>
              <w:top w:val="nil"/>
              <w:left w:val="nil"/>
              <w:bottom w:val="nil"/>
              <w:right w:val="nil"/>
            </w:tcBorders>
          </w:tcPr>
          <w:p w14:paraId="16D0483B"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0.078</w:t>
            </w:r>
          </w:p>
        </w:tc>
      </w:tr>
      <w:tr w:rsidR="003B5A8E" w:rsidRPr="00BF0763" w14:paraId="19C259B8" w14:textId="77777777" w:rsidTr="003B5A8E">
        <w:trPr>
          <w:jc w:val="center"/>
        </w:trPr>
        <w:tc>
          <w:tcPr>
            <w:tcW w:w="766" w:type="pct"/>
            <w:tcBorders>
              <w:top w:val="nil"/>
              <w:left w:val="nil"/>
              <w:bottom w:val="nil"/>
              <w:right w:val="nil"/>
            </w:tcBorders>
          </w:tcPr>
          <w:p w14:paraId="0A5D8FC3" w14:textId="530840DB"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521" w:type="pct"/>
            <w:tcBorders>
              <w:top w:val="nil"/>
              <w:left w:val="nil"/>
              <w:bottom w:val="nil"/>
              <w:right w:val="nil"/>
            </w:tcBorders>
          </w:tcPr>
          <w:p w14:paraId="4260D8CC"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(0.102)</w:t>
            </w:r>
          </w:p>
        </w:tc>
        <w:tc>
          <w:tcPr>
            <w:tcW w:w="763" w:type="pct"/>
            <w:tcBorders>
              <w:top w:val="nil"/>
              <w:left w:val="nil"/>
              <w:bottom w:val="nil"/>
              <w:right w:val="nil"/>
            </w:tcBorders>
          </w:tcPr>
          <w:p w14:paraId="1869E35A"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(1.11)</w:t>
            </w:r>
          </w:p>
        </w:tc>
        <w:tc>
          <w:tcPr>
            <w:tcW w:w="521" w:type="pct"/>
            <w:tcBorders>
              <w:top w:val="nil"/>
              <w:left w:val="nil"/>
              <w:bottom w:val="nil"/>
              <w:right w:val="nil"/>
            </w:tcBorders>
          </w:tcPr>
          <w:p w14:paraId="3143B3FC"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(0.119)</w:t>
            </w:r>
          </w:p>
        </w:tc>
        <w:tc>
          <w:tcPr>
            <w:tcW w:w="839" w:type="pct"/>
            <w:tcBorders>
              <w:top w:val="nil"/>
              <w:left w:val="nil"/>
              <w:bottom w:val="nil"/>
              <w:right w:val="nil"/>
            </w:tcBorders>
          </w:tcPr>
          <w:p w14:paraId="0D5C9E8B"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(1.10)</w:t>
            </w:r>
          </w:p>
        </w:tc>
        <w:tc>
          <w:tcPr>
            <w:tcW w:w="792" w:type="pct"/>
            <w:tcBorders>
              <w:top w:val="nil"/>
              <w:left w:val="nil"/>
              <w:bottom w:val="nil"/>
              <w:right w:val="nil"/>
            </w:tcBorders>
          </w:tcPr>
          <w:p w14:paraId="353B05BA"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(0.145)</w:t>
            </w:r>
          </w:p>
        </w:tc>
        <w:tc>
          <w:tcPr>
            <w:tcW w:w="799" w:type="pct"/>
            <w:tcBorders>
              <w:top w:val="nil"/>
              <w:left w:val="nil"/>
              <w:bottom w:val="nil"/>
              <w:right w:val="nil"/>
            </w:tcBorders>
          </w:tcPr>
          <w:p w14:paraId="34577222"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(0.337)</w:t>
            </w:r>
          </w:p>
        </w:tc>
      </w:tr>
      <w:tr w:rsidR="003B5A8E" w:rsidRPr="00BF0763" w14:paraId="771F77E9" w14:textId="77777777" w:rsidTr="003B5A8E">
        <w:trPr>
          <w:jc w:val="center"/>
        </w:trPr>
        <w:tc>
          <w:tcPr>
            <w:tcW w:w="766" w:type="pct"/>
            <w:tcBorders>
              <w:top w:val="nil"/>
              <w:left w:val="nil"/>
              <w:bottom w:val="nil"/>
              <w:right w:val="nil"/>
            </w:tcBorders>
          </w:tcPr>
          <w:p w14:paraId="4FF8B9BD"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PM-Attainment Status (t-1)</w:t>
            </w:r>
          </w:p>
        </w:tc>
        <w:tc>
          <w:tcPr>
            <w:tcW w:w="521" w:type="pct"/>
            <w:tcBorders>
              <w:top w:val="nil"/>
              <w:left w:val="nil"/>
              <w:bottom w:val="nil"/>
              <w:right w:val="nil"/>
            </w:tcBorders>
          </w:tcPr>
          <w:p w14:paraId="13FA75F5"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0.032</w:t>
            </w:r>
          </w:p>
        </w:tc>
        <w:tc>
          <w:tcPr>
            <w:tcW w:w="763" w:type="pct"/>
            <w:tcBorders>
              <w:top w:val="nil"/>
              <w:left w:val="nil"/>
              <w:bottom w:val="nil"/>
              <w:right w:val="nil"/>
            </w:tcBorders>
          </w:tcPr>
          <w:p w14:paraId="0A8BF9DF"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-1.73*</w:t>
            </w:r>
          </w:p>
        </w:tc>
        <w:tc>
          <w:tcPr>
            <w:tcW w:w="521" w:type="pct"/>
            <w:tcBorders>
              <w:top w:val="nil"/>
              <w:left w:val="nil"/>
              <w:bottom w:val="nil"/>
              <w:right w:val="nil"/>
            </w:tcBorders>
          </w:tcPr>
          <w:p w14:paraId="36FD8687"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0.122</w:t>
            </w:r>
          </w:p>
        </w:tc>
        <w:tc>
          <w:tcPr>
            <w:tcW w:w="839" w:type="pct"/>
            <w:tcBorders>
              <w:top w:val="nil"/>
              <w:left w:val="nil"/>
              <w:bottom w:val="nil"/>
              <w:right w:val="nil"/>
            </w:tcBorders>
          </w:tcPr>
          <w:p w14:paraId="371EAA75"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-2.07*</w:t>
            </w:r>
          </w:p>
        </w:tc>
        <w:tc>
          <w:tcPr>
            <w:tcW w:w="792" w:type="pct"/>
            <w:tcBorders>
              <w:top w:val="nil"/>
              <w:left w:val="nil"/>
              <w:bottom w:val="nil"/>
              <w:right w:val="nil"/>
            </w:tcBorders>
          </w:tcPr>
          <w:p w14:paraId="2E7E13EF"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-0.040</w:t>
            </w:r>
          </w:p>
        </w:tc>
        <w:tc>
          <w:tcPr>
            <w:tcW w:w="799" w:type="pct"/>
            <w:tcBorders>
              <w:top w:val="nil"/>
              <w:left w:val="nil"/>
              <w:bottom w:val="nil"/>
              <w:right w:val="nil"/>
            </w:tcBorders>
          </w:tcPr>
          <w:p w14:paraId="35CF91F7"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-0.350**</w:t>
            </w:r>
          </w:p>
        </w:tc>
      </w:tr>
      <w:tr w:rsidR="003B5A8E" w:rsidRPr="00BF0763" w14:paraId="194756BE" w14:textId="77777777" w:rsidTr="003B5A8E">
        <w:trPr>
          <w:jc w:val="center"/>
        </w:trPr>
        <w:tc>
          <w:tcPr>
            <w:tcW w:w="766" w:type="pct"/>
            <w:tcBorders>
              <w:top w:val="nil"/>
              <w:left w:val="nil"/>
              <w:bottom w:val="nil"/>
              <w:right w:val="nil"/>
            </w:tcBorders>
          </w:tcPr>
          <w:p w14:paraId="0D4814EB" w14:textId="7EACF031"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521" w:type="pct"/>
            <w:tcBorders>
              <w:top w:val="nil"/>
              <w:left w:val="nil"/>
              <w:bottom w:val="nil"/>
              <w:right w:val="nil"/>
            </w:tcBorders>
          </w:tcPr>
          <w:p w14:paraId="215724CF"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(0.104)</w:t>
            </w:r>
          </w:p>
        </w:tc>
        <w:tc>
          <w:tcPr>
            <w:tcW w:w="763" w:type="pct"/>
            <w:tcBorders>
              <w:top w:val="nil"/>
              <w:left w:val="nil"/>
              <w:bottom w:val="nil"/>
              <w:right w:val="nil"/>
            </w:tcBorders>
          </w:tcPr>
          <w:p w14:paraId="272BDDD6"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(0.947)</w:t>
            </w:r>
          </w:p>
        </w:tc>
        <w:tc>
          <w:tcPr>
            <w:tcW w:w="521" w:type="pct"/>
            <w:tcBorders>
              <w:top w:val="nil"/>
              <w:left w:val="nil"/>
              <w:bottom w:val="nil"/>
              <w:right w:val="nil"/>
            </w:tcBorders>
          </w:tcPr>
          <w:p w14:paraId="58EA1CE7"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(0.113)</w:t>
            </w:r>
          </w:p>
        </w:tc>
        <w:tc>
          <w:tcPr>
            <w:tcW w:w="839" w:type="pct"/>
            <w:tcBorders>
              <w:top w:val="nil"/>
              <w:left w:val="nil"/>
              <w:bottom w:val="nil"/>
              <w:right w:val="nil"/>
            </w:tcBorders>
          </w:tcPr>
          <w:p w14:paraId="2863B2AB"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(1.06)</w:t>
            </w:r>
          </w:p>
        </w:tc>
        <w:tc>
          <w:tcPr>
            <w:tcW w:w="792" w:type="pct"/>
            <w:tcBorders>
              <w:top w:val="nil"/>
              <w:left w:val="nil"/>
              <w:bottom w:val="nil"/>
              <w:right w:val="nil"/>
            </w:tcBorders>
          </w:tcPr>
          <w:p w14:paraId="13CA216A"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(0.114)</w:t>
            </w:r>
          </w:p>
        </w:tc>
        <w:tc>
          <w:tcPr>
            <w:tcW w:w="799" w:type="pct"/>
            <w:tcBorders>
              <w:top w:val="nil"/>
              <w:left w:val="nil"/>
              <w:bottom w:val="nil"/>
              <w:right w:val="nil"/>
            </w:tcBorders>
          </w:tcPr>
          <w:p w14:paraId="4C70AA70"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(0.142)</w:t>
            </w:r>
          </w:p>
        </w:tc>
      </w:tr>
      <w:tr w:rsidR="003B5A8E" w:rsidRPr="00BF0763" w14:paraId="5D390ACD" w14:textId="77777777" w:rsidTr="003B5A8E">
        <w:trPr>
          <w:jc w:val="center"/>
        </w:trPr>
        <w:tc>
          <w:tcPr>
            <w:tcW w:w="766" w:type="pct"/>
            <w:tcBorders>
              <w:top w:val="nil"/>
              <w:left w:val="nil"/>
              <w:bottom w:val="nil"/>
              <w:right w:val="nil"/>
            </w:tcBorders>
          </w:tcPr>
          <w:p w14:paraId="60D77882"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Population Density (100s)</w:t>
            </w:r>
          </w:p>
        </w:tc>
        <w:tc>
          <w:tcPr>
            <w:tcW w:w="521" w:type="pct"/>
            <w:tcBorders>
              <w:top w:val="nil"/>
              <w:left w:val="nil"/>
              <w:bottom w:val="nil"/>
              <w:right w:val="nil"/>
            </w:tcBorders>
          </w:tcPr>
          <w:p w14:paraId="453709FD"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2.07</w:t>
            </w:r>
          </w:p>
        </w:tc>
        <w:tc>
          <w:tcPr>
            <w:tcW w:w="763" w:type="pct"/>
            <w:tcBorders>
              <w:top w:val="nil"/>
              <w:left w:val="nil"/>
              <w:bottom w:val="nil"/>
              <w:right w:val="nil"/>
            </w:tcBorders>
          </w:tcPr>
          <w:p w14:paraId="6B8704ED"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63.8</w:t>
            </w:r>
          </w:p>
        </w:tc>
        <w:tc>
          <w:tcPr>
            <w:tcW w:w="521" w:type="pct"/>
            <w:tcBorders>
              <w:top w:val="nil"/>
              <w:left w:val="nil"/>
              <w:bottom w:val="nil"/>
              <w:right w:val="nil"/>
            </w:tcBorders>
          </w:tcPr>
          <w:p w14:paraId="35D4E605"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5.42</w:t>
            </w:r>
          </w:p>
        </w:tc>
        <w:tc>
          <w:tcPr>
            <w:tcW w:w="839" w:type="pct"/>
            <w:tcBorders>
              <w:top w:val="nil"/>
              <w:left w:val="nil"/>
              <w:bottom w:val="nil"/>
              <w:right w:val="nil"/>
            </w:tcBorders>
          </w:tcPr>
          <w:p w14:paraId="43891346"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18.6</w:t>
            </w:r>
          </w:p>
        </w:tc>
        <w:tc>
          <w:tcPr>
            <w:tcW w:w="792" w:type="pct"/>
            <w:tcBorders>
              <w:top w:val="nil"/>
              <w:left w:val="nil"/>
              <w:bottom w:val="nil"/>
              <w:right w:val="nil"/>
            </w:tcBorders>
          </w:tcPr>
          <w:p w14:paraId="7CB54CE0"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9.39*</w:t>
            </w:r>
          </w:p>
        </w:tc>
        <w:tc>
          <w:tcPr>
            <w:tcW w:w="799" w:type="pct"/>
            <w:tcBorders>
              <w:top w:val="nil"/>
              <w:left w:val="nil"/>
              <w:bottom w:val="nil"/>
              <w:right w:val="nil"/>
            </w:tcBorders>
          </w:tcPr>
          <w:p w14:paraId="52533585"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16.8*</w:t>
            </w:r>
          </w:p>
        </w:tc>
      </w:tr>
      <w:tr w:rsidR="003B5A8E" w:rsidRPr="00BF0763" w14:paraId="1C85E972" w14:textId="77777777" w:rsidTr="003B5A8E">
        <w:trPr>
          <w:jc w:val="center"/>
        </w:trPr>
        <w:tc>
          <w:tcPr>
            <w:tcW w:w="766" w:type="pct"/>
            <w:tcBorders>
              <w:top w:val="nil"/>
              <w:left w:val="nil"/>
              <w:bottom w:val="nil"/>
              <w:right w:val="nil"/>
            </w:tcBorders>
          </w:tcPr>
          <w:p w14:paraId="7060525B" w14:textId="4B877173"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521" w:type="pct"/>
            <w:tcBorders>
              <w:top w:val="nil"/>
              <w:left w:val="nil"/>
              <w:bottom w:val="nil"/>
              <w:right w:val="nil"/>
            </w:tcBorders>
          </w:tcPr>
          <w:p w14:paraId="3A445EE0"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(5.11)</w:t>
            </w:r>
          </w:p>
        </w:tc>
        <w:tc>
          <w:tcPr>
            <w:tcW w:w="763" w:type="pct"/>
            <w:tcBorders>
              <w:top w:val="nil"/>
              <w:left w:val="nil"/>
              <w:bottom w:val="nil"/>
              <w:right w:val="nil"/>
            </w:tcBorders>
          </w:tcPr>
          <w:p w14:paraId="6BF88DEA"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(50.9)</w:t>
            </w:r>
          </w:p>
        </w:tc>
        <w:tc>
          <w:tcPr>
            <w:tcW w:w="521" w:type="pct"/>
            <w:tcBorders>
              <w:top w:val="nil"/>
              <w:left w:val="nil"/>
              <w:bottom w:val="nil"/>
              <w:right w:val="nil"/>
            </w:tcBorders>
          </w:tcPr>
          <w:p w14:paraId="39694258"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(5.60)</w:t>
            </w:r>
          </w:p>
        </w:tc>
        <w:tc>
          <w:tcPr>
            <w:tcW w:w="839" w:type="pct"/>
            <w:tcBorders>
              <w:top w:val="nil"/>
              <w:left w:val="nil"/>
              <w:bottom w:val="nil"/>
              <w:right w:val="nil"/>
            </w:tcBorders>
          </w:tcPr>
          <w:p w14:paraId="1622F905"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(34.1)</w:t>
            </w:r>
          </w:p>
        </w:tc>
        <w:tc>
          <w:tcPr>
            <w:tcW w:w="792" w:type="pct"/>
            <w:tcBorders>
              <w:top w:val="nil"/>
              <w:left w:val="nil"/>
              <w:bottom w:val="nil"/>
              <w:right w:val="nil"/>
            </w:tcBorders>
          </w:tcPr>
          <w:p w14:paraId="56B8007E"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(4.93)</w:t>
            </w:r>
          </w:p>
        </w:tc>
        <w:tc>
          <w:tcPr>
            <w:tcW w:w="799" w:type="pct"/>
            <w:tcBorders>
              <w:top w:val="nil"/>
              <w:left w:val="nil"/>
              <w:bottom w:val="nil"/>
              <w:right w:val="nil"/>
            </w:tcBorders>
          </w:tcPr>
          <w:p w14:paraId="6BF7CD25"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(10.2)</w:t>
            </w:r>
          </w:p>
        </w:tc>
      </w:tr>
      <w:tr w:rsidR="003B5A8E" w:rsidRPr="00BF0763" w14:paraId="08CF3728" w14:textId="77777777" w:rsidTr="003B5A8E">
        <w:trPr>
          <w:jc w:val="center"/>
        </w:trPr>
        <w:tc>
          <w:tcPr>
            <w:tcW w:w="766" w:type="pct"/>
            <w:tcBorders>
              <w:top w:val="nil"/>
              <w:left w:val="nil"/>
              <w:bottom w:val="nil"/>
              <w:right w:val="nil"/>
            </w:tcBorders>
          </w:tcPr>
          <w:p w14:paraId="58598E8F"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 xml:space="preserve">Prior </w:t>
            </w:r>
            <w:proofErr w:type="spellStart"/>
            <w:r w:rsidRPr="00BF0763">
              <w:rPr>
                <w:rFonts w:eastAsia="Times New Roman" w:cs="Times New Roman"/>
                <w:sz w:val="20"/>
                <w:szCs w:val="20"/>
              </w:rPr>
              <w:t>Estab</w:t>
            </w:r>
            <w:proofErr w:type="spellEnd"/>
            <w:r w:rsidRPr="00BF0763">
              <w:rPr>
                <w:rFonts w:eastAsia="Times New Roman" w:cs="Times New Roman"/>
                <w:sz w:val="20"/>
                <w:szCs w:val="20"/>
              </w:rPr>
              <w:t>. Count (10ks)</w:t>
            </w:r>
          </w:p>
        </w:tc>
        <w:tc>
          <w:tcPr>
            <w:tcW w:w="521" w:type="pct"/>
            <w:tcBorders>
              <w:top w:val="nil"/>
              <w:left w:val="nil"/>
              <w:bottom w:val="nil"/>
              <w:right w:val="nil"/>
            </w:tcBorders>
          </w:tcPr>
          <w:p w14:paraId="7EBEDD1C"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-24.6*</w:t>
            </w:r>
          </w:p>
        </w:tc>
        <w:tc>
          <w:tcPr>
            <w:tcW w:w="763" w:type="pct"/>
            <w:tcBorders>
              <w:top w:val="nil"/>
              <w:left w:val="nil"/>
              <w:bottom w:val="nil"/>
              <w:right w:val="nil"/>
            </w:tcBorders>
          </w:tcPr>
          <w:p w14:paraId="7B358137"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-170**</w:t>
            </w:r>
          </w:p>
        </w:tc>
        <w:tc>
          <w:tcPr>
            <w:tcW w:w="521" w:type="pct"/>
            <w:tcBorders>
              <w:top w:val="nil"/>
              <w:left w:val="nil"/>
              <w:bottom w:val="nil"/>
              <w:right w:val="nil"/>
            </w:tcBorders>
          </w:tcPr>
          <w:p w14:paraId="4EAB1989"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141***</w:t>
            </w:r>
          </w:p>
        </w:tc>
        <w:tc>
          <w:tcPr>
            <w:tcW w:w="839" w:type="pct"/>
            <w:tcBorders>
              <w:top w:val="nil"/>
              <w:left w:val="nil"/>
              <w:bottom w:val="nil"/>
              <w:right w:val="nil"/>
            </w:tcBorders>
          </w:tcPr>
          <w:p w14:paraId="14FF6EAB"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356***</w:t>
            </w:r>
          </w:p>
        </w:tc>
        <w:tc>
          <w:tcPr>
            <w:tcW w:w="792" w:type="pct"/>
            <w:tcBorders>
              <w:top w:val="nil"/>
              <w:left w:val="nil"/>
              <w:bottom w:val="nil"/>
              <w:right w:val="nil"/>
            </w:tcBorders>
          </w:tcPr>
          <w:p w14:paraId="26455E0E"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799" w:type="pct"/>
            <w:tcBorders>
              <w:top w:val="nil"/>
              <w:left w:val="nil"/>
              <w:bottom w:val="nil"/>
              <w:right w:val="nil"/>
            </w:tcBorders>
          </w:tcPr>
          <w:p w14:paraId="4E3600F3"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r>
      <w:tr w:rsidR="003B5A8E" w:rsidRPr="00BF0763" w14:paraId="3384A045" w14:textId="77777777" w:rsidTr="003B5A8E">
        <w:trPr>
          <w:jc w:val="center"/>
        </w:trPr>
        <w:tc>
          <w:tcPr>
            <w:tcW w:w="766" w:type="pct"/>
            <w:tcBorders>
              <w:top w:val="nil"/>
              <w:left w:val="nil"/>
              <w:bottom w:val="nil"/>
              <w:right w:val="nil"/>
            </w:tcBorders>
          </w:tcPr>
          <w:p w14:paraId="1083BAF2" w14:textId="2618271D"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521" w:type="pct"/>
            <w:tcBorders>
              <w:top w:val="nil"/>
              <w:left w:val="nil"/>
              <w:bottom w:val="nil"/>
              <w:right w:val="nil"/>
            </w:tcBorders>
          </w:tcPr>
          <w:p w14:paraId="28A79F58"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(13.2)</w:t>
            </w:r>
          </w:p>
        </w:tc>
        <w:tc>
          <w:tcPr>
            <w:tcW w:w="763" w:type="pct"/>
            <w:tcBorders>
              <w:top w:val="nil"/>
              <w:left w:val="nil"/>
              <w:bottom w:val="nil"/>
              <w:right w:val="nil"/>
            </w:tcBorders>
          </w:tcPr>
          <w:p w14:paraId="4198CD1C"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(80.6)</w:t>
            </w:r>
          </w:p>
        </w:tc>
        <w:tc>
          <w:tcPr>
            <w:tcW w:w="521" w:type="pct"/>
            <w:tcBorders>
              <w:top w:val="nil"/>
              <w:left w:val="nil"/>
              <w:bottom w:val="nil"/>
              <w:right w:val="nil"/>
            </w:tcBorders>
          </w:tcPr>
          <w:p w14:paraId="1E01725B"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(14.7)</w:t>
            </w:r>
          </w:p>
        </w:tc>
        <w:tc>
          <w:tcPr>
            <w:tcW w:w="839" w:type="pct"/>
            <w:tcBorders>
              <w:top w:val="nil"/>
              <w:left w:val="nil"/>
              <w:bottom w:val="nil"/>
              <w:right w:val="nil"/>
            </w:tcBorders>
          </w:tcPr>
          <w:p w14:paraId="388CD5F7"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(135)</w:t>
            </w:r>
          </w:p>
        </w:tc>
        <w:tc>
          <w:tcPr>
            <w:tcW w:w="792" w:type="pct"/>
            <w:tcBorders>
              <w:top w:val="nil"/>
              <w:left w:val="nil"/>
              <w:bottom w:val="nil"/>
              <w:right w:val="nil"/>
            </w:tcBorders>
          </w:tcPr>
          <w:p w14:paraId="0DF93475"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799" w:type="pct"/>
            <w:tcBorders>
              <w:top w:val="nil"/>
              <w:left w:val="nil"/>
              <w:bottom w:val="nil"/>
              <w:right w:val="nil"/>
            </w:tcBorders>
          </w:tcPr>
          <w:p w14:paraId="2C5E2A2C"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r>
      <w:tr w:rsidR="003B5A8E" w:rsidRPr="00BF0763" w14:paraId="79C0F82C" w14:textId="77777777" w:rsidTr="003B5A8E">
        <w:trPr>
          <w:jc w:val="center"/>
        </w:trPr>
        <w:tc>
          <w:tcPr>
            <w:tcW w:w="766" w:type="pct"/>
            <w:tcBorders>
              <w:top w:val="nil"/>
              <w:left w:val="nil"/>
              <w:bottom w:val="nil"/>
              <w:right w:val="nil"/>
            </w:tcBorders>
          </w:tcPr>
          <w:p w14:paraId="02053915"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Prior Exits</w:t>
            </w:r>
          </w:p>
        </w:tc>
        <w:tc>
          <w:tcPr>
            <w:tcW w:w="521" w:type="pct"/>
            <w:tcBorders>
              <w:top w:val="nil"/>
              <w:left w:val="nil"/>
              <w:bottom w:val="nil"/>
              <w:right w:val="nil"/>
            </w:tcBorders>
          </w:tcPr>
          <w:p w14:paraId="1D6B8F15"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-0.258</w:t>
            </w:r>
          </w:p>
        </w:tc>
        <w:tc>
          <w:tcPr>
            <w:tcW w:w="763" w:type="pct"/>
            <w:tcBorders>
              <w:top w:val="nil"/>
              <w:left w:val="nil"/>
              <w:bottom w:val="nil"/>
              <w:right w:val="nil"/>
            </w:tcBorders>
          </w:tcPr>
          <w:p w14:paraId="425CD1CD"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16.5</w:t>
            </w:r>
          </w:p>
        </w:tc>
        <w:tc>
          <w:tcPr>
            <w:tcW w:w="521" w:type="pct"/>
            <w:tcBorders>
              <w:top w:val="nil"/>
              <w:left w:val="nil"/>
              <w:bottom w:val="nil"/>
              <w:right w:val="nil"/>
            </w:tcBorders>
          </w:tcPr>
          <w:p w14:paraId="7DE986A7"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839" w:type="pct"/>
            <w:tcBorders>
              <w:top w:val="nil"/>
              <w:left w:val="nil"/>
              <w:bottom w:val="nil"/>
              <w:right w:val="nil"/>
            </w:tcBorders>
          </w:tcPr>
          <w:p w14:paraId="02DFA511"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792" w:type="pct"/>
            <w:tcBorders>
              <w:top w:val="nil"/>
              <w:left w:val="nil"/>
              <w:bottom w:val="nil"/>
              <w:right w:val="nil"/>
            </w:tcBorders>
          </w:tcPr>
          <w:p w14:paraId="58CC1BF8"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799" w:type="pct"/>
            <w:tcBorders>
              <w:top w:val="nil"/>
              <w:left w:val="nil"/>
              <w:bottom w:val="nil"/>
              <w:right w:val="nil"/>
            </w:tcBorders>
          </w:tcPr>
          <w:p w14:paraId="2959EC0A"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r>
      <w:tr w:rsidR="003B5A8E" w:rsidRPr="00BF0763" w14:paraId="1CE13D01" w14:textId="77777777" w:rsidTr="003B5A8E">
        <w:trPr>
          <w:jc w:val="center"/>
        </w:trPr>
        <w:tc>
          <w:tcPr>
            <w:tcW w:w="766" w:type="pct"/>
            <w:tcBorders>
              <w:top w:val="nil"/>
              <w:left w:val="nil"/>
              <w:bottom w:val="nil"/>
              <w:right w:val="nil"/>
            </w:tcBorders>
          </w:tcPr>
          <w:p w14:paraId="7AFDA731" w14:textId="07A15151"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521" w:type="pct"/>
            <w:tcBorders>
              <w:top w:val="nil"/>
              <w:left w:val="nil"/>
              <w:bottom w:val="nil"/>
              <w:right w:val="nil"/>
            </w:tcBorders>
          </w:tcPr>
          <w:p w14:paraId="700402B3"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(1.20)</w:t>
            </w:r>
          </w:p>
        </w:tc>
        <w:tc>
          <w:tcPr>
            <w:tcW w:w="763" w:type="pct"/>
            <w:tcBorders>
              <w:top w:val="nil"/>
              <w:left w:val="nil"/>
              <w:bottom w:val="nil"/>
              <w:right w:val="nil"/>
            </w:tcBorders>
          </w:tcPr>
          <w:p w14:paraId="64E88FA0"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(14.9)</w:t>
            </w:r>
          </w:p>
        </w:tc>
        <w:tc>
          <w:tcPr>
            <w:tcW w:w="521" w:type="pct"/>
            <w:tcBorders>
              <w:top w:val="nil"/>
              <w:left w:val="nil"/>
              <w:bottom w:val="nil"/>
              <w:right w:val="nil"/>
            </w:tcBorders>
          </w:tcPr>
          <w:p w14:paraId="48DADE0B"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839" w:type="pct"/>
            <w:tcBorders>
              <w:top w:val="nil"/>
              <w:left w:val="nil"/>
              <w:bottom w:val="nil"/>
              <w:right w:val="nil"/>
            </w:tcBorders>
          </w:tcPr>
          <w:p w14:paraId="0F851B93"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792" w:type="pct"/>
            <w:tcBorders>
              <w:top w:val="nil"/>
              <w:left w:val="nil"/>
              <w:bottom w:val="nil"/>
              <w:right w:val="nil"/>
            </w:tcBorders>
          </w:tcPr>
          <w:p w14:paraId="007F8623"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799" w:type="pct"/>
            <w:tcBorders>
              <w:top w:val="nil"/>
              <w:left w:val="nil"/>
              <w:bottom w:val="nil"/>
              <w:right w:val="nil"/>
            </w:tcBorders>
          </w:tcPr>
          <w:p w14:paraId="374994E1"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r>
      <w:tr w:rsidR="003B5A8E" w:rsidRPr="00BF0763" w14:paraId="09C2620E" w14:textId="77777777" w:rsidTr="003B5A8E">
        <w:trPr>
          <w:jc w:val="center"/>
        </w:trPr>
        <w:tc>
          <w:tcPr>
            <w:tcW w:w="766" w:type="pct"/>
            <w:tcBorders>
              <w:top w:val="nil"/>
              <w:left w:val="nil"/>
              <w:bottom w:val="nil"/>
              <w:right w:val="nil"/>
            </w:tcBorders>
          </w:tcPr>
          <w:p w14:paraId="07EE1653"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Prior Entries</w:t>
            </w:r>
          </w:p>
        </w:tc>
        <w:tc>
          <w:tcPr>
            <w:tcW w:w="521" w:type="pct"/>
            <w:tcBorders>
              <w:top w:val="nil"/>
              <w:left w:val="nil"/>
              <w:bottom w:val="nil"/>
              <w:right w:val="nil"/>
            </w:tcBorders>
          </w:tcPr>
          <w:p w14:paraId="53DB2227"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763" w:type="pct"/>
            <w:tcBorders>
              <w:top w:val="nil"/>
              <w:left w:val="nil"/>
              <w:bottom w:val="nil"/>
              <w:right w:val="nil"/>
            </w:tcBorders>
          </w:tcPr>
          <w:p w14:paraId="18BA0E42"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521" w:type="pct"/>
            <w:tcBorders>
              <w:top w:val="nil"/>
              <w:left w:val="nil"/>
              <w:bottom w:val="nil"/>
              <w:right w:val="nil"/>
            </w:tcBorders>
          </w:tcPr>
          <w:p w14:paraId="34C1B685"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-3.13**</w:t>
            </w:r>
          </w:p>
        </w:tc>
        <w:tc>
          <w:tcPr>
            <w:tcW w:w="839" w:type="pct"/>
            <w:tcBorders>
              <w:top w:val="nil"/>
              <w:left w:val="nil"/>
              <w:bottom w:val="nil"/>
              <w:right w:val="nil"/>
            </w:tcBorders>
          </w:tcPr>
          <w:p w14:paraId="0683DD2B"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-9.68</w:t>
            </w:r>
          </w:p>
        </w:tc>
        <w:tc>
          <w:tcPr>
            <w:tcW w:w="792" w:type="pct"/>
            <w:tcBorders>
              <w:top w:val="nil"/>
              <w:left w:val="nil"/>
              <w:bottom w:val="nil"/>
              <w:right w:val="nil"/>
            </w:tcBorders>
          </w:tcPr>
          <w:p w14:paraId="0BC86DBA"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799" w:type="pct"/>
            <w:tcBorders>
              <w:top w:val="nil"/>
              <w:left w:val="nil"/>
              <w:bottom w:val="nil"/>
              <w:right w:val="nil"/>
            </w:tcBorders>
          </w:tcPr>
          <w:p w14:paraId="23262767"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r>
      <w:tr w:rsidR="003B5A8E" w:rsidRPr="00BF0763" w14:paraId="62522884" w14:textId="77777777" w:rsidTr="003B5A8E">
        <w:trPr>
          <w:jc w:val="center"/>
        </w:trPr>
        <w:tc>
          <w:tcPr>
            <w:tcW w:w="766" w:type="pct"/>
            <w:tcBorders>
              <w:top w:val="nil"/>
              <w:left w:val="nil"/>
              <w:bottom w:val="nil"/>
              <w:right w:val="nil"/>
            </w:tcBorders>
          </w:tcPr>
          <w:p w14:paraId="01385914" w14:textId="52B9325E"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521" w:type="pct"/>
            <w:tcBorders>
              <w:top w:val="nil"/>
              <w:left w:val="nil"/>
              <w:bottom w:val="nil"/>
              <w:right w:val="nil"/>
            </w:tcBorders>
          </w:tcPr>
          <w:p w14:paraId="69BE0B43"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763" w:type="pct"/>
            <w:tcBorders>
              <w:top w:val="nil"/>
              <w:left w:val="nil"/>
              <w:bottom w:val="nil"/>
              <w:right w:val="nil"/>
            </w:tcBorders>
          </w:tcPr>
          <w:p w14:paraId="3AC2EF9E"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521" w:type="pct"/>
            <w:tcBorders>
              <w:top w:val="nil"/>
              <w:left w:val="nil"/>
              <w:bottom w:val="nil"/>
              <w:right w:val="nil"/>
            </w:tcBorders>
          </w:tcPr>
          <w:p w14:paraId="636F6360"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(1.32)</w:t>
            </w:r>
          </w:p>
        </w:tc>
        <w:tc>
          <w:tcPr>
            <w:tcW w:w="839" w:type="pct"/>
            <w:tcBorders>
              <w:top w:val="nil"/>
              <w:left w:val="nil"/>
              <w:bottom w:val="nil"/>
              <w:right w:val="nil"/>
            </w:tcBorders>
          </w:tcPr>
          <w:p w14:paraId="4344580E"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(8.81)</w:t>
            </w:r>
          </w:p>
        </w:tc>
        <w:tc>
          <w:tcPr>
            <w:tcW w:w="792" w:type="pct"/>
            <w:tcBorders>
              <w:top w:val="nil"/>
              <w:left w:val="nil"/>
              <w:bottom w:val="nil"/>
              <w:right w:val="nil"/>
            </w:tcBorders>
          </w:tcPr>
          <w:p w14:paraId="2FF2E66E"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799" w:type="pct"/>
            <w:tcBorders>
              <w:top w:val="nil"/>
              <w:left w:val="nil"/>
              <w:bottom w:val="nil"/>
              <w:right w:val="nil"/>
            </w:tcBorders>
          </w:tcPr>
          <w:p w14:paraId="147EDF88"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r>
      <w:tr w:rsidR="003B5A8E" w:rsidRPr="00BF0763" w14:paraId="5712A2DA" w14:textId="77777777" w:rsidTr="003B5A8E">
        <w:trPr>
          <w:jc w:val="center"/>
        </w:trPr>
        <w:tc>
          <w:tcPr>
            <w:tcW w:w="766" w:type="pct"/>
            <w:tcBorders>
              <w:top w:val="nil"/>
              <w:left w:val="nil"/>
              <w:bottom w:val="nil"/>
              <w:right w:val="nil"/>
            </w:tcBorders>
          </w:tcPr>
          <w:p w14:paraId="04E92E11"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Observations</w:t>
            </w:r>
          </w:p>
        </w:tc>
        <w:tc>
          <w:tcPr>
            <w:tcW w:w="521" w:type="pct"/>
            <w:tcBorders>
              <w:top w:val="nil"/>
              <w:left w:val="nil"/>
              <w:bottom w:val="nil"/>
              <w:right w:val="nil"/>
            </w:tcBorders>
          </w:tcPr>
          <w:p w14:paraId="0098FB0D"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868</w:t>
            </w:r>
          </w:p>
        </w:tc>
        <w:tc>
          <w:tcPr>
            <w:tcW w:w="763" w:type="pct"/>
            <w:tcBorders>
              <w:top w:val="nil"/>
              <w:left w:val="nil"/>
              <w:bottom w:val="nil"/>
              <w:right w:val="nil"/>
            </w:tcBorders>
          </w:tcPr>
          <w:p w14:paraId="07E3D008"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292</w:t>
            </w:r>
          </w:p>
        </w:tc>
        <w:tc>
          <w:tcPr>
            <w:tcW w:w="521" w:type="pct"/>
            <w:tcBorders>
              <w:top w:val="nil"/>
              <w:left w:val="nil"/>
              <w:bottom w:val="nil"/>
              <w:right w:val="nil"/>
            </w:tcBorders>
          </w:tcPr>
          <w:p w14:paraId="49B08020"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868</w:t>
            </w:r>
          </w:p>
        </w:tc>
        <w:tc>
          <w:tcPr>
            <w:tcW w:w="839" w:type="pct"/>
            <w:tcBorders>
              <w:top w:val="nil"/>
              <w:left w:val="nil"/>
              <w:bottom w:val="nil"/>
              <w:right w:val="nil"/>
            </w:tcBorders>
          </w:tcPr>
          <w:p w14:paraId="133019F7"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324</w:t>
            </w:r>
          </w:p>
        </w:tc>
        <w:tc>
          <w:tcPr>
            <w:tcW w:w="792" w:type="pct"/>
            <w:tcBorders>
              <w:top w:val="nil"/>
              <w:left w:val="nil"/>
              <w:bottom w:val="nil"/>
              <w:right w:val="nil"/>
            </w:tcBorders>
          </w:tcPr>
          <w:p w14:paraId="3760DBB8"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873</w:t>
            </w:r>
          </w:p>
        </w:tc>
        <w:tc>
          <w:tcPr>
            <w:tcW w:w="799" w:type="pct"/>
            <w:tcBorders>
              <w:top w:val="nil"/>
              <w:left w:val="nil"/>
              <w:bottom w:val="nil"/>
              <w:right w:val="nil"/>
            </w:tcBorders>
          </w:tcPr>
          <w:p w14:paraId="19D9E428"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873</w:t>
            </w:r>
          </w:p>
        </w:tc>
      </w:tr>
      <w:tr w:rsidR="003B5A8E" w:rsidRPr="00BF0763" w14:paraId="404B0B74" w14:textId="77777777" w:rsidTr="003B5A8E">
        <w:trPr>
          <w:jc w:val="center"/>
        </w:trPr>
        <w:tc>
          <w:tcPr>
            <w:tcW w:w="766" w:type="pct"/>
            <w:tcBorders>
              <w:top w:val="nil"/>
              <w:left w:val="nil"/>
              <w:bottom w:val="nil"/>
              <w:right w:val="nil"/>
            </w:tcBorders>
          </w:tcPr>
          <w:p w14:paraId="00FE7A9D"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Pseudo R2</w:t>
            </w:r>
          </w:p>
        </w:tc>
        <w:tc>
          <w:tcPr>
            <w:tcW w:w="521" w:type="pct"/>
            <w:tcBorders>
              <w:top w:val="nil"/>
              <w:left w:val="nil"/>
              <w:bottom w:val="nil"/>
              <w:right w:val="nil"/>
            </w:tcBorders>
          </w:tcPr>
          <w:p w14:paraId="3DB27E5A"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0.729</w:t>
            </w:r>
          </w:p>
        </w:tc>
        <w:tc>
          <w:tcPr>
            <w:tcW w:w="763" w:type="pct"/>
            <w:tcBorders>
              <w:top w:val="nil"/>
              <w:left w:val="nil"/>
              <w:bottom w:val="nil"/>
              <w:right w:val="nil"/>
            </w:tcBorders>
          </w:tcPr>
          <w:p w14:paraId="03A607B6"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0.894</w:t>
            </w:r>
          </w:p>
        </w:tc>
        <w:tc>
          <w:tcPr>
            <w:tcW w:w="521" w:type="pct"/>
            <w:tcBorders>
              <w:top w:val="nil"/>
              <w:left w:val="nil"/>
              <w:bottom w:val="nil"/>
              <w:right w:val="nil"/>
            </w:tcBorders>
          </w:tcPr>
          <w:p w14:paraId="138274DC"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0.732</w:t>
            </w:r>
          </w:p>
        </w:tc>
        <w:tc>
          <w:tcPr>
            <w:tcW w:w="839" w:type="pct"/>
            <w:tcBorders>
              <w:top w:val="nil"/>
              <w:left w:val="nil"/>
              <w:bottom w:val="nil"/>
              <w:right w:val="nil"/>
            </w:tcBorders>
          </w:tcPr>
          <w:p w14:paraId="0EC9E80D"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0.885</w:t>
            </w:r>
          </w:p>
        </w:tc>
        <w:tc>
          <w:tcPr>
            <w:tcW w:w="792" w:type="pct"/>
            <w:tcBorders>
              <w:top w:val="nil"/>
              <w:left w:val="nil"/>
              <w:bottom w:val="nil"/>
              <w:right w:val="nil"/>
            </w:tcBorders>
          </w:tcPr>
          <w:p w14:paraId="72D8032D"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0.948</w:t>
            </w:r>
          </w:p>
        </w:tc>
        <w:tc>
          <w:tcPr>
            <w:tcW w:w="799" w:type="pct"/>
            <w:tcBorders>
              <w:top w:val="nil"/>
              <w:left w:val="nil"/>
              <w:bottom w:val="nil"/>
              <w:right w:val="nil"/>
            </w:tcBorders>
          </w:tcPr>
          <w:p w14:paraId="63FEC7FC"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0.906</w:t>
            </w:r>
          </w:p>
        </w:tc>
      </w:tr>
    </w:tbl>
    <w:p w14:paraId="45549B7F" w14:textId="209352D9" w:rsidR="003B5A8E" w:rsidRPr="003B5A8E" w:rsidRDefault="003B5A8E">
      <w:pPr>
        <w:rPr>
          <w:b/>
          <w:bCs/>
        </w:rPr>
      </w:pPr>
      <w:r w:rsidRPr="003B5A8E">
        <w:rPr>
          <w:b/>
          <w:bCs/>
        </w:rPr>
        <w:lastRenderedPageBreak/>
        <w:t>Table A37: Continued</w:t>
      </w:r>
    </w:p>
    <w:tbl>
      <w:tblPr>
        <w:tblW w:w="4438" w:type="pct"/>
        <w:jc w:val="center"/>
        <w:tblLook w:val="0000" w:firstRow="0" w:lastRow="0" w:firstColumn="0" w:lastColumn="0" w:noHBand="0" w:noVBand="0"/>
      </w:tblPr>
      <w:tblGrid>
        <w:gridCol w:w="1272"/>
        <w:gridCol w:w="866"/>
        <w:gridCol w:w="1268"/>
        <w:gridCol w:w="866"/>
        <w:gridCol w:w="1394"/>
        <w:gridCol w:w="1316"/>
        <w:gridCol w:w="1326"/>
      </w:tblGrid>
      <w:tr w:rsidR="003B5A8E" w:rsidRPr="00BF0763" w14:paraId="62798C11" w14:textId="77777777" w:rsidTr="003B5A8E">
        <w:trPr>
          <w:jc w:val="center"/>
        </w:trPr>
        <w:tc>
          <w:tcPr>
            <w:tcW w:w="766" w:type="pct"/>
            <w:tcBorders>
              <w:top w:val="nil"/>
              <w:left w:val="nil"/>
              <w:bottom w:val="nil"/>
              <w:right w:val="nil"/>
            </w:tcBorders>
          </w:tcPr>
          <w:p w14:paraId="1A03331D"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Chi2</w:t>
            </w:r>
          </w:p>
        </w:tc>
        <w:tc>
          <w:tcPr>
            <w:tcW w:w="521" w:type="pct"/>
            <w:tcBorders>
              <w:top w:val="nil"/>
              <w:left w:val="nil"/>
              <w:bottom w:val="nil"/>
              <w:right w:val="nil"/>
            </w:tcBorders>
          </w:tcPr>
          <w:p w14:paraId="07CCAE70"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47.1</w:t>
            </w:r>
          </w:p>
        </w:tc>
        <w:tc>
          <w:tcPr>
            <w:tcW w:w="763" w:type="pct"/>
            <w:tcBorders>
              <w:top w:val="nil"/>
              <w:left w:val="nil"/>
              <w:bottom w:val="nil"/>
              <w:right w:val="nil"/>
            </w:tcBorders>
          </w:tcPr>
          <w:p w14:paraId="524CBC6D"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2059</w:t>
            </w:r>
          </w:p>
        </w:tc>
        <w:tc>
          <w:tcPr>
            <w:tcW w:w="521" w:type="pct"/>
            <w:tcBorders>
              <w:top w:val="nil"/>
              <w:left w:val="nil"/>
              <w:bottom w:val="nil"/>
              <w:right w:val="nil"/>
            </w:tcBorders>
          </w:tcPr>
          <w:p w14:paraId="64E59536"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511</w:t>
            </w:r>
          </w:p>
        </w:tc>
        <w:tc>
          <w:tcPr>
            <w:tcW w:w="839" w:type="pct"/>
            <w:tcBorders>
              <w:top w:val="nil"/>
              <w:left w:val="nil"/>
              <w:bottom w:val="nil"/>
              <w:right w:val="nil"/>
            </w:tcBorders>
          </w:tcPr>
          <w:p w14:paraId="569A1CDF"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202</w:t>
            </w:r>
          </w:p>
        </w:tc>
        <w:tc>
          <w:tcPr>
            <w:tcW w:w="792" w:type="pct"/>
            <w:tcBorders>
              <w:top w:val="nil"/>
              <w:left w:val="nil"/>
              <w:bottom w:val="nil"/>
              <w:right w:val="nil"/>
            </w:tcBorders>
          </w:tcPr>
          <w:p w14:paraId="71527232"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85.6</w:t>
            </w:r>
          </w:p>
        </w:tc>
        <w:tc>
          <w:tcPr>
            <w:tcW w:w="799" w:type="pct"/>
            <w:tcBorders>
              <w:top w:val="nil"/>
              <w:left w:val="nil"/>
              <w:bottom w:val="nil"/>
              <w:right w:val="nil"/>
            </w:tcBorders>
          </w:tcPr>
          <w:p w14:paraId="02F3EA8B"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182</w:t>
            </w:r>
          </w:p>
        </w:tc>
      </w:tr>
      <w:tr w:rsidR="003B5A8E" w:rsidRPr="00BF0763" w14:paraId="40603E13" w14:textId="77777777" w:rsidTr="003B5A8E">
        <w:trPr>
          <w:jc w:val="center"/>
        </w:trPr>
        <w:tc>
          <w:tcPr>
            <w:tcW w:w="766" w:type="pct"/>
            <w:tcBorders>
              <w:top w:val="nil"/>
              <w:left w:val="nil"/>
              <w:right w:val="nil"/>
            </w:tcBorders>
          </w:tcPr>
          <w:p w14:paraId="6BFF6382"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County FE</w:t>
            </w:r>
          </w:p>
        </w:tc>
        <w:tc>
          <w:tcPr>
            <w:tcW w:w="521" w:type="pct"/>
            <w:tcBorders>
              <w:top w:val="nil"/>
              <w:left w:val="nil"/>
              <w:right w:val="nil"/>
            </w:tcBorders>
          </w:tcPr>
          <w:p w14:paraId="3F996252"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Yes</w:t>
            </w:r>
          </w:p>
        </w:tc>
        <w:tc>
          <w:tcPr>
            <w:tcW w:w="763" w:type="pct"/>
            <w:tcBorders>
              <w:top w:val="nil"/>
              <w:left w:val="nil"/>
              <w:right w:val="nil"/>
            </w:tcBorders>
          </w:tcPr>
          <w:p w14:paraId="7A5DB36F"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Yes</w:t>
            </w:r>
          </w:p>
        </w:tc>
        <w:tc>
          <w:tcPr>
            <w:tcW w:w="521" w:type="pct"/>
            <w:tcBorders>
              <w:top w:val="nil"/>
              <w:left w:val="nil"/>
              <w:right w:val="nil"/>
            </w:tcBorders>
          </w:tcPr>
          <w:p w14:paraId="77B9ACBF"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Yes</w:t>
            </w:r>
          </w:p>
        </w:tc>
        <w:tc>
          <w:tcPr>
            <w:tcW w:w="839" w:type="pct"/>
            <w:tcBorders>
              <w:top w:val="nil"/>
              <w:left w:val="nil"/>
              <w:right w:val="nil"/>
            </w:tcBorders>
          </w:tcPr>
          <w:p w14:paraId="29250C4E"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Yes</w:t>
            </w:r>
          </w:p>
        </w:tc>
        <w:tc>
          <w:tcPr>
            <w:tcW w:w="792" w:type="pct"/>
            <w:tcBorders>
              <w:top w:val="nil"/>
              <w:left w:val="nil"/>
              <w:right w:val="nil"/>
            </w:tcBorders>
          </w:tcPr>
          <w:p w14:paraId="0D55DBFD"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Yes</w:t>
            </w:r>
          </w:p>
        </w:tc>
        <w:tc>
          <w:tcPr>
            <w:tcW w:w="799" w:type="pct"/>
            <w:tcBorders>
              <w:top w:val="nil"/>
              <w:left w:val="nil"/>
              <w:right w:val="nil"/>
            </w:tcBorders>
          </w:tcPr>
          <w:p w14:paraId="31E52F9C"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Yes</w:t>
            </w:r>
          </w:p>
        </w:tc>
      </w:tr>
      <w:tr w:rsidR="003B5A8E" w:rsidRPr="00BF0763" w14:paraId="60CC2175" w14:textId="77777777" w:rsidTr="003B5A8E">
        <w:trPr>
          <w:jc w:val="center"/>
        </w:trPr>
        <w:tc>
          <w:tcPr>
            <w:tcW w:w="766" w:type="pct"/>
            <w:tcBorders>
              <w:top w:val="nil"/>
              <w:left w:val="nil"/>
              <w:bottom w:val="single" w:sz="4" w:space="0" w:color="auto"/>
              <w:right w:val="nil"/>
            </w:tcBorders>
          </w:tcPr>
          <w:p w14:paraId="473A46E7"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Year FE</w:t>
            </w:r>
          </w:p>
        </w:tc>
        <w:tc>
          <w:tcPr>
            <w:tcW w:w="521" w:type="pct"/>
            <w:tcBorders>
              <w:top w:val="nil"/>
              <w:left w:val="nil"/>
              <w:bottom w:val="single" w:sz="4" w:space="0" w:color="auto"/>
              <w:right w:val="nil"/>
            </w:tcBorders>
          </w:tcPr>
          <w:p w14:paraId="21BEEA41"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Yes</w:t>
            </w:r>
          </w:p>
        </w:tc>
        <w:tc>
          <w:tcPr>
            <w:tcW w:w="763" w:type="pct"/>
            <w:tcBorders>
              <w:top w:val="nil"/>
              <w:left w:val="nil"/>
              <w:bottom w:val="single" w:sz="4" w:space="0" w:color="auto"/>
              <w:right w:val="nil"/>
            </w:tcBorders>
          </w:tcPr>
          <w:p w14:paraId="342D8D64" w14:textId="25CE24DB"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Yes</w:t>
            </w:r>
          </w:p>
        </w:tc>
        <w:tc>
          <w:tcPr>
            <w:tcW w:w="521" w:type="pct"/>
            <w:tcBorders>
              <w:top w:val="nil"/>
              <w:left w:val="nil"/>
              <w:bottom w:val="single" w:sz="4" w:space="0" w:color="auto"/>
              <w:right w:val="nil"/>
            </w:tcBorders>
          </w:tcPr>
          <w:p w14:paraId="5295FDA2" w14:textId="70689DD4"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Yes</w:t>
            </w:r>
          </w:p>
        </w:tc>
        <w:tc>
          <w:tcPr>
            <w:tcW w:w="839" w:type="pct"/>
            <w:tcBorders>
              <w:top w:val="nil"/>
              <w:left w:val="nil"/>
              <w:bottom w:val="single" w:sz="4" w:space="0" w:color="auto"/>
              <w:right w:val="nil"/>
            </w:tcBorders>
          </w:tcPr>
          <w:p w14:paraId="5F30148E" w14:textId="787BB7A9"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Yes</w:t>
            </w:r>
          </w:p>
        </w:tc>
        <w:tc>
          <w:tcPr>
            <w:tcW w:w="792" w:type="pct"/>
            <w:tcBorders>
              <w:top w:val="nil"/>
              <w:left w:val="nil"/>
              <w:bottom w:val="single" w:sz="4" w:space="0" w:color="auto"/>
              <w:right w:val="nil"/>
            </w:tcBorders>
          </w:tcPr>
          <w:p w14:paraId="52916A38" w14:textId="3D41D318"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Yes</w:t>
            </w:r>
          </w:p>
        </w:tc>
        <w:tc>
          <w:tcPr>
            <w:tcW w:w="799" w:type="pct"/>
            <w:tcBorders>
              <w:top w:val="nil"/>
              <w:left w:val="nil"/>
              <w:bottom w:val="single" w:sz="4" w:space="0" w:color="auto"/>
              <w:right w:val="nil"/>
            </w:tcBorders>
          </w:tcPr>
          <w:p w14:paraId="2FA4CFFE"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Yes</w:t>
            </w:r>
          </w:p>
        </w:tc>
      </w:tr>
    </w:tbl>
    <w:p w14:paraId="122C6BB6" w14:textId="7A6D6A1F" w:rsidR="00766FCC" w:rsidRDefault="00732BFD" w:rsidP="004C39A4">
      <w:pPr>
        <w:spacing w:line="240" w:lineRule="auto"/>
        <w:rPr>
          <w:sz w:val="20"/>
          <w:szCs w:val="20"/>
        </w:rPr>
      </w:pPr>
      <w:r>
        <w:rPr>
          <w:sz w:val="20"/>
          <w:szCs w:val="20"/>
        </w:rPr>
        <w:t>T</w:t>
      </w:r>
      <w:r w:rsidRPr="009C21FA">
        <w:rPr>
          <w:sz w:val="20"/>
          <w:szCs w:val="20"/>
        </w:rPr>
        <w:t xml:space="preserve">able </w:t>
      </w:r>
      <w:r>
        <w:rPr>
          <w:sz w:val="20"/>
          <w:szCs w:val="20"/>
        </w:rPr>
        <w:t xml:space="preserve">A37: </w:t>
      </w:r>
      <w:r w:rsidRPr="009C21FA">
        <w:rPr>
          <w:sz w:val="20"/>
          <w:szCs w:val="20"/>
        </w:rPr>
        <w:t>PPML</w:t>
      </w:r>
      <w:r>
        <w:rPr>
          <w:sz w:val="20"/>
          <w:szCs w:val="20"/>
        </w:rPr>
        <w:t>HDFE</w:t>
      </w:r>
      <w:r w:rsidRPr="009C21FA">
        <w:rPr>
          <w:sz w:val="20"/>
          <w:szCs w:val="20"/>
        </w:rPr>
        <w:t xml:space="preserve"> </w:t>
      </w:r>
      <w:r w:rsidR="00BF0763" w:rsidRPr="00F929D1">
        <w:rPr>
          <w:sz w:val="20"/>
          <w:szCs w:val="20"/>
        </w:rPr>
        <w:t>regression results estimating the effects of wildfire frequency (Fire Count) and wildfire intensity (Burned Areas) on establishment births, deaths, inward relocations, outward relocations, employment, and sales performance in the Mining, Quarrying, and Oil &amp; Gas Extraction sector (NAICS 21). Standard errors (in parentheses) are clustered at the county level to account for spatial heterogeneity. County fixed effects (FE) and year fixed effects (FE) are included in all specifications. Coefficients represent percentage changes associated with a one-unit increase in the explanatory variables. Statistical significance is denoted as follows: ***p &lt; 0.01, **p &lt; 0.05, *p &lt; 0.1.</w:t>
      </w:r>
    </w:p>
    <w:p w14:paraId="4D33D0ED" w14:textId="77777777" w:rsidR="00766FCC" w:rsidRDefault="00766FCC" w:rsidP="00766FCC">
      <w:pPr>
        <w:spacing w:line="240" w:lineRule="auto"/>
        <w:rPr>
          <w:sz w:val="20"/>
          <w:szCs w:val="20"/>
        </w:rPr>
        <w:sectPr w:rsidR="00766FCC" w:rsidSect="003B5A8E">
          <w:pgSz w:w="12240" w:h="15840" w:code="1"/>
          <w:pgMar w:top="1440" w:right="1440" w:bottom="1440" w:left="1440" w:header="720" w:footer="1440" w:gutter="0"/>
          <w:cols w:space="720"/>
          <w:noEndnote/>
          <w:docGrid w:linePitch="360"/>
        </w:sectPr>
      </w:pPr>
      <w:r>
        <w:rPr>
          <w:sz w:val="20"/>
          <w:szCs w:val="20"/>
        </w:rPr>
        <w:br w:type="page"/>
      </w:r>
    </w:p>
    <w:p w14:paraId="263E830E" w14:textId="17EFC038" w:rsidR="009C0226" w:rsidRPr="009C0226" w:rsidRDefault="009C0226" w:rsidP="009C0226">
      <w:pPr>
        <w:rPr>
          <w:rFonts w:eastAsia="Times New Roman" w:cs="Times New Roman"/>
          <w:lang/>
        </w:rPr>
      </w:pPr>
      <w:r w:rsidRPr="009C0226">
        <w:rPr>
          <w:rFonts w:eastAsia="Times New Roman" w:cs="Times New Roman"/>
        </w:rPr>
        <w:lastRenderedPageBreak/>
        <w:t xml:space="preserve">The regression results in </w:t>
      </w:r>
      <w:r w:rsidRPr="004E4775">
        <w:rPr>
          <w:rFonts w:eastAsia="Times New Roman" w:cs="Times New Roman"/>
          <w:b/>
          <w:bCs/>
        </w:rPr>
        <w:t>Table A37</w:t>
      </w:r>
      <w:r w:rsidRPr="009C0226">
        <w:rPr>
          <w:rFonts w:eastAsia="Times New Roman" w:cs="Times New Roman"/>
        </w:rPr>
        <w:t xml:space="preserve"> </w:t>
      </w:r>
      <w:r>
        <w:rPr>
          <w:rFonts w:eastAsia="Times New Roman" w:cs="Times New Roman"/>
        </w:rPr>
        <w:t xml:space="preserve">above </w:t>
      </w:r>
      <w:r w:rsidRPr="009C0226">
        <w:rPr>
          <w:rFonts w:eastAsia="Times New Roman" w:cs="Times New Roman"/>
        </w:rPr>
        <w:t>examine the Mining, Quarrying, and Oil &amp; Gas Extraction sector, highlighting the effects of explanatory variables on key economic outcomes. These findings shed light on how capital-intensive and resource-driven industries respond to socio-economic, policy, and environmental conditions:</w:t>
      </w:r>
    </w:p>
    <w:p w14:paraId="4B19A0ED" w14:textId="5F56F694" w:rsidR="00BF0763" w:rsidRPr="00BF0763" w:rsidRDefault="00BF0763" w:rsidP="009C0226">
      <w:pPr>
        <w:rPr>
          <w:rFonts w:eastAsia="Times New Roman" w:cs="Times New Roman"/>
          <w:lang/>
        </w:rPr>
      </w:pPr>
      <w:r w:rsidRPr="00BF0763">
        <w:rPr>
          <w:rFonts w:eastAsia="Times New Roman" w:cs="Times New Roman"/>
          <w:b/>
          <w:bCs/>
          <w:lang/>
        </w:rPr>
        <w:t>Births:</w:t>
      </w:r>
      <w:r w:rsidRPr="00BF0763">
        <w:rPr>
          <w:rFonts w:eastAsia="Times New Roman" w:cs="Times New Roman"/>
        </w:rPr>
        <w:t xml:space="preserve"> </w:t>
      </w:r>
      <w:r w:rsidRPr="00BF0763">
        <w:rPr>
          <w:rFonts w:eastAsia="Times New Roman" w:cs="Times New Roman"/>
          <w:lang/>
        </w:rPr>
        <w:t>Precipitation positively impacts establishment births, highlighting the reliance of this sector on water availability for extraction processes and environmental stabilization, as noted by Lobell et al. (2011). Temperature also shows a positive relationship, suggesting that favorable weather conditions contribute to resource accessibility and operational efficiency in mining and quarrying activities (Burke et al., 2015). CPAD(t-1) positively influences births, likely reflecting demand for mining services near protected areas where resource availability and ecological tourism overlap. Conversely, Prior Establishment Count negatively affects births, indicating that regions with higher business density experience market saturation, discouraging new entries (Carlton, 1983).</w:t>
      </w:r>
    </w:p>
    <w:p w14:paraId="313F89C7" w14:textId="77777777" w:rsidR="00BF0763" w:rsidRPr="00BF0763" w:rsidRDefault="00BF0763" w:rsidP="009C0226">
      <w:pPr>
        <w:rPr>
          <w:rFonts w:eastAsia="Times New Roman" w:cs="Times New Roman"/>
          <w:lang/>
        </w:rPr>
      </w:pPr>
      <w:r w:rsidRPr="00BF0763">
        <w:rPr>
          <w:rFonts w:eastAsia="Times New Roman" w:cs="Times New Roman"/>
          <w:b/>
          <w:bCs/>
          <w:lang/>
        </w:rPr>
        <w:t>Inward Relocations:</w:t>
      </w:r>
      <w:r w:rsidRPr="00BF0763">
        <w:rPr>
          <w:rFonts w:eastAsia="Times New Roman" w:cs="Times New Roman"/>
        </w:rPr>
        <w:t xml:space="preserve"> </w:t>
      </w:r>
      <w:r w:rsidRPr="00BF0763">
        <w:rPr>
          <w:rFonts w:eastAsia="Times New Roman" w:cs="Times New Roman"/>
          <w:lang/>
        </w:rPr>
        <w:t>Negative coefficients for both Ozone and Particulate Matter Attainment Status suggest that stricter environmental regulations deter relocations into areas that comply with these standards, as compliance imposes additional costs on firms in this sector (Currie et al., 2015). Prior Establishment Count also has a negative effect, indicating that higher density discourages relocations due to intensified competition for resources and markets (Henderson, 1997).</w:t>
      </w:r>
    </w:p>
    <w:p w14:paraId="6D955D6C" w14:textId="77777777" w:rsidR="00BF0763" w:rsidRPr="00BF0763" w:rsidRDefault="00BF0763" w:rsidP="009C0226">
      <w:pPr>
        <w:rPr>
          <w:rFonts w:eastAsia="Times New Roman" w:cs="Times New Roman"/>
          <w:lang/>
        </w:rPr>
      </w:pPr>
      <w:r w:rsidRPr="00BF0763">
        <w:rPr>
          <w:rFonts w:eastAsia="Times New Roman" w:cs="Times New Roman"/>
          <w:b/>
          <w:bCs/>
          <w:lang/>
        </w:rPr>
        <w:t>Deaths:</w:t>
      </w:r>
      <w:r w:rsidRPr="00BF0763">
        <w:rPr>
          <w:rFonts w:eastAsia="Times New Roman" w:cs="Times New Roman"/>
        </w:rPr>
        <w:t xml:space="preserve"> </w:t>
      </w:r>
      <w:r w:rsidRPr="00BF0763">
        <w:rPr>
          <w:rFonts w:eastAsia="Times New Roman" w:cs="Times New Roman"/>
          <w:lang/>
        </w:rPr>
        <w:t xml:space="preserve">Precipitation negatively impacts deaths, underscoring the stabilizing role of adequate rainfall in sustaining extraction activities and mitigating operational risks. In contrast, higher </w:t>
      </w:r>
      <w:r w:rsidRPr="00BF0763">
        <w:rPr>
          <w:rFonts w:eastAsia="Times New Roman" w:cs="Times New Roman"/>
          <w:lang/>
        </w:rPr>
        <w:lastRenderedPageBreak/>
        <w:t>temperatures positively influence deaths, reflecting operational challenges and increased production costs associated with extreme heat (Burke et al., 2015). CPAD(t-1) positively affects deaths, potentially reflecting the operational limitations imposed near protected areas due to regulatory constraints. Negative effects of Ozone Attainment Status further emphasize the role of regulatory burdens in reducing viability. Prior Establishment Count positively affects deaths, reflecting competitive pressures in densely concentrated markets, while Prior Entries negatively impact deaths, consistent with findings that recent entrants can stabilize markets by signaling economic recovery (Dunne et al., 1989).</w:t>
      </w:r>
    </w:p>
    <w:p w14:paraId="162DF90A" w14:textId="77777777" w:rsidR="00BF0763" w:rsidRPr="00BF0763" w:rsidRDefault="00BF0763" w:rsidP="009C0226">
      <w:pPr>
        <w:rPr>
          <w:rFonts w:eastAsia="Times New Roman" w:cs="Times New Roman"/>
          <w:lang/>
        </w:rPr>
      </w:pPr>
      <w:r w:rsidRPr="00BF0763">
        <w:rPr>
          <w:rFonts w:eastAsia="Times New Roman" w:cs="Times New Roman"/>
          <w:b/>
          <w:bCs/>
          <w:lang/>
        </w:rPr>
        <w:t>Outward Relocations:</w:t>
      </w:r>
      <w:r w:rsidRPr="00BF0763">
        <w:rPr>
          <w:rFonts w:eastAsia="Times New Roman" w:cs="Times New Roman"/>
        </w:rPr>
        <w:t xml:space="preserve"> </w:t>
      </w:r>
      <w:r w:rsidRPr="00BF0763">
        <w:rPr>
          <w:rFonts w:eastAsia="Times New Roman" w:cs="Times New Roman"/>
          <w:lang/>
        </w:rPr>
        <w:t>The Housing Price Index negatively affects outward relocations, suggesting that higher property values anchor firms in place by increasing sunk costs (Meltzer et al., 2020). Particulate Matter Attainment Status also negatively affects relocations, indicating that regions meeting stricter air quality standards retain firms by providing a healthier and more stable operational environment (Currie et al., 2015). Prior Establishment Count positively impacts relocations, reflecting heightened competition in saturated markets, which pushes some firms to relocate (Carlton, 1983).</w:t>
      </w:r>
    </w:p>
    <w:p w14:paraId="7CB7B165" w14:textId="77777777" w:rsidR="00BF0763" w:rsidRPr="00BF0763" w:rsidRDefault="00BF0763" w:rsidP="009C0226">
      <w:pPr>
        <w:rPr>
          <w:rFonts w:eastAsia="Times New Roman" w:cs="Times New Roman"/>
          <w:lang/>
        </w:rPr>
      </w:pPr>
      <w:r w:rsidRPr="00BF0763">
        <w:rPr>
          <w:rFonts w:eastAsia="Times New Roman" w:cs="Times New Roman"/>
          <w:b/>
          <w:bCs/>
          <w:lang/>
        </w:rPr>
        <w:t>Employment:</w:t>
      </w:r>
      <w:r w:rsidRPr="00BF0763">
        <w:rPr>
          <w:rFonts w:eastAsia="Times New Roman" w:cs="Times New Roman"/>
        </w:rPr>
        <w:t xml:space="preserve"> </w:t>
      </w:r>
      <w:r w:rsidRPr="00BF0763">
        <w:rPr>
          <w:rFonts w:eastAsia="Times New Roman" w:cs="Times New Roman"/>
          <w:lang/>
        </w:rPr>
        <w:t>The Poverty Rate positively affects employment, suggesting that mining and quarrying activities thrive in economically disadvantaged areas where labor costs are lower, consistent with Henderson (1997). Population Density also has a positive effect, likely reflecting the sector's need for readily available labor and infrastructure in densely populated areas (Glaeser et al., 1992).</w:t>
      </w:r>
    </w:p>
    <w:p w14:paraId="0F440171" w14:textId="77777777" w:rsidR="00766FCC" w:rsidRDefault="00BF0763" w:rsidP="009C0226">
      <w:pPr>
        <w:rPr>
          <w:rFonts w:eastAsia="Times New Roman" w:cs="Times New Roman"/>
          <w:lang/>
        </w:rPr>
        <w:sectPr w:rsidR="00766FCC" w:rsidSect="00766FCC">
          <w:pgSz w:w="12240" w:h="15840" w:code="1"/>
          <w:pgMar w:top="1440" w:right="1440" w:bottom="1440" w:left="1440" w:header="720" w:footer="1440" w:gutter="0"/>
          <w:cols w:space="720"/>
          <w:noEndnote/>
          <w:docGrid w:linePitch="360"/>
        </w:sectPr>
      </w:pPr>
      <w:r w:rsidRPr="00BF0763">
        <w:rPr>
          <w:rFonts w:eastAsia="Times New Roman" w:cs="Times New Roman"/>
          <w:b/>
          <w:bCs/>
          <w:lang/>
        </w:rPr>
        <w:lastRenderedPageBreak/>
        <w:t>Sales Volume Performance:</w:t>
      </w:r>
      <w:r w:rsidRPr="00BF0763">
        <w:rPr>
          <w:rFonts w:eastAsia="Times New Roman" w:cs="Times New Roman"/>
        </w:rPr>
        <w:t xml:space="preserve"> </w:t>
      </w:r>
      <w:r w:rsidRPr="00BF0763">
        <w:rPr>
          <w:rFonts w:eastAsia="Times New Roman" w:cs="Times New Roman"/>
          <w:lang/>
        </w:rPr>
        <w:t>Precipitation positively affects sales volume, highlighting the importance of stable water supply for extraction processes and overall production. Similarly, Poverty Rate and Median Household Income positively impact performance, reflecting the sector's responsiveness to both low-cost labor availability and local economic demand (Henderson, 1997). Conversely, Particulate Matter Attainment Status negatively affects sales, likely due to the costs of compliance and operational adjustments required to meet regulatory standards (Currie et al., 2015). Population Density positively impacts sales, emphasizing the role of concentrated demand and infrastructure in supporting sectoral performance (Glaeser et al., 1992).</w:t>
      </w:r>
    </w:p>
    <w:p w14:paraId="3929FD08" w14:textId="3350850C" w:rsidR="00BF0763" w:rsidRPr="00BF0763" w:rsidRDefault="00BF0763" w:rsidP="00095E25">
      <w:pPr>
        <w:pStyle w:val="Title"/>
        <w:rPr>
          <w:rFonts w:ascii="Garamond" w:hAnsi="Garamond"/>
          <w:sz w:val="20"/>
          <w:szCs w:val="20"/>
        </w:rPr>
      </w:pPr>
      <w:bookmarkStart w:id="502" w:name="_Toc187564784"/>
      <w:bookmarkStart w:id="503" w:name="_Toc188359643"/>
      <w:bookmarkStart w:id="504" w:name="_Toc188359931"/>
      <w:bookmarkStart w:id="505" w:name="_Toc188361167"/>
      <w:bookmarkStart w:id="506" w:name="_Toc188367011"/>
      <w:r w:rsidRPr="00BF0763">
        <w:lastRenderedPageBreak/>
        <w:t>Table A</w:t>
      </w:r>
      <w:r w:rsidR="007D52FE">
        <w:rPr>
          <w:lang w:val="en-US"/>
        </w:rPr>
        <w:t>38</w:t>
      </w:r>
      <w:r w:rsidRPr="00BF0763">
        <w:t>: Regression Results for Utilities (NAICS 22)</w:t>
      </w:r>
      <w:bookmarkEnd w:id="502"/>
      <w:bookmarkEnd w:id="503"/>
      <w:bookmarkEnd w:id="504"/>
      <w:bookmarkEnd w:id="505"/>
      <w:bookmarkEnd w:id="506"/>
    </w:p>
    <w:tbl>
      <w:tblPr>
        <w:tblW w:w="4452" w:type="pct"/>
        <w:jc w:val="center"/>
        <w:tblLook w:val="0000" w:firstRow="0" w:lastRow="0" w:firstColumn="0" w:lastColumn="0" w:noHBand="0" w:noVBand="0"/>
      </w:tblPr>
      <w:tblGrid>
        <w:gridCol w:w="1272"/>
        <w:gridCol w:w="866"/>
        <w:gridCol w:w="1231"/>
        <w:gridCol w:w="966"/>
        <w:gridCol w:w="1356"/>
        <w:gridCol w:w="1316"/>
        <w:gridCol w:w="1327"/>
      </w:tblGrid>
      <w:tr w:rsidR="003B5A8E" w:rsidRPr="00AD43B0" w14:paraId="3C435F33" w14:textId="77777777" w:rsidTr="003B5A8E">
        <w:trPr>
          <w:jc w:val="center"/>
        </w:trPr>
        <w:tc>
          <w:tcPr>
            <w:tcW w:w="763" w:type="pct"/>
            <w:tcBorders>
              <w:top w:val="single" w:sz="4" w:space="0" w:color="auto"/>
              <w:left w:val="nil"/>
              <w:bottom w:val="single" w:sz="4" w:space="0" w:color="auto"/>
              <w:right w:val="nil"/>
            </w:tcBorders>
          </w:tcPr>
          <w:p w14:paraId="0949A1E9" w14:textId="5D80822C" w:rsidR="00BF0763" w:rsidRPr="00BF0763" w:rsidRDefault="00BF0763" w:rsidP="00B94FE7">
            <w:pPr>
              <w:widowControl w:val="0"/>
              <w:autoSpaceDE w:val="0"/>
              <w:autoSpaceDN w:val="0"/>
              <w:adjustRightInd w:val="0"/>
              <w:spacing w:line="240" w:lineRule="auto"/>
              <w:rPr>
                <w:rFonts w:eastAsia="Times New Roman" w:cs="Times New Roman"/>
                <w:b/>
                <w:bCs/>
                <w:sz w:val="20"/>
                <w:szCs w:val="20"/>
              </w:rPr>
            </w:pPr>
            <w:r w:rsidRPr="00BF0763">
              <w:rPr>
                <w:rFonts w:eastAsia="Times New Roman" w:cs="Times New Roman"/>
                <w:b/>
                <w:bCs/>
                <w:sz w:val="20"/>
                <w:szCs w:val="20"/>
              </w:rPr>
              <w:t>Variable</w:t>
            </w:r>
          </w:p>
        </w:tc>
        <w:tc>
          <w:tcPr>
            <w:tcW w:w="520" w:type="pct"/>
            <w:tcBorders>
              <w:top w:val="single" w:sz="4" w:space="0" w:color="auto"/>
              <w:left w:val="nil"/>
              <w:bottom w:val="single" w:sz="4" w:space="0" w:color="auto"/>
              <w:right w:val="nil"/>
            </w:tcBorders>
          </w:tcPr>
          <w:p w14:paraId="68D51B91" w14:textId="260EA83B" w:rsidR="00BF0763" w:rsidRPr="00BF0763" w:rsidRDefault="00BF0763" w:rsidP="00B94FE7">
            <w:pPr>
              <w:widowControl w:val="0"/>
              <w:autoSpaceDE w:val="0"/>
              <w:autoSpaceDN w:val="0"/>
              <w:adjustRightInd w:val="0"/>
              <w:spacing w:line="240" w:lineRule="auto"/>
              <w:rPr>
                <w:rFonts w:eastAsia="Times New Roman" w:cs="Times New Roman"/>
                <w:b/>
                <w:bCs/>
                <w:sz w:val="20"/>
                <w:szCs w:val="20"/>
              </w:rPr>
            </w:pPr>
            <w:r w:rsidRPr="00BF0763">
              <w:rPr>
                <w:rFonts w:eastAsia="Times New Roman" w:cs="Times New Roman"/>
                <w:b/>
                <w:bCs/>
                <w:sz w:val="20"/>
                <w:szCs w:val="20"/>
              </w:rPr>
              <w:t>Births</w:t>
            </w:r>
          </w:p>
        </w:tc>
        <w:tc>
          <w:tcPr>
            <w:tcW w:w="739" w:type="pct"/>
            <w:tcBorders>
              <w:top w:val="single" w:sz="4" w:space="0" w:color="auto"/>
              <w:left w:val="nil"/>
              <w:bottom w:val="single" w:sz="4" w:space="0" w:color="auto"/>
              <w:right w:val="nil"/>
            </w:tcBorders>
          </w:tcPr>
          <w:p w14:paraId="528F8528" w14:textId="285D6FE9" w:rsidR="00BF0763" w:rsidRPr="00BF0763" w:rsidRDefault="00BF0763" w:rsidP="00B94FE7">
            <w:pPr>
              <w:widowControl w:val="0"/>
              <w:autoSpaceDE w:val="0"/>
              <w:autoSpaceDN w:val="0"/>
              <w:adjustRightInd w:val="0"/>
              <w:spacing w:line="240" w:lineRule="auto"/>
              <w:rPr>
                <w:rFonts w:eastAsia="Times New Roman" w:cs="Times New Roman"/>
                <w:b/>
                <w:bCs/>
                <w:sz w:val="20"/>
                <w:szCs w:val="20"/>
              </w:rPr>
            </w:pPr>
            <w:r w:rsidRPr="00BF0763">
              <w:rPr>
                <w:rFonts w:eastAsia="Times New Roman" w:cs="Times New Roman"/>
                <w:b/>
                <w:bCs/>
                <w:sz w:val="20"/>
                <w:szCs w:val="20"/>
              </w:rPr>
              <w:t>In</w:t>
            </w:r>
            <w:r w:rsidR="00AD43B0" w:rsidRPr="00B94FE7">
              <w:rPr>
                <w:rFonts w:eastAsia="Times New Roman" w:cs="Times New Roman"/>
                <w:b/>
                <w:bCs/>
                <w:sz w:val="20"/>
                <w:szCs w:val="20"/>
              </w:rPr>
              <w:t>-</w:t>
            </w:r>
            <w:r w:rsidRPr="00BF0763">
              <w:rPr>
                <w:rFonts w:eastAsia="Times New Roman" w:cs="Times New Roman"/>
                <w:b/>
                <w:bCs/>
                <w:sz w:val="20"/>
                <w:szCs w:val="20"/>
              </w:rPr>
              <w:t>Migrations</w:t>
            </w:r>
          </w:p>
        </w:tc>
        <w:tc>
          <w:tcPr>
            <w:tcW w:w="580" w:type="pct"/>
            <w:tcBorders>
              <w:top w:val="single" w:sz="4" w:space="0" w:color="auto"/>
              <w:left w:val="nil"/>
              <w:bottom w:val="single" w:sz="4" w:space="0" w:color="auto"/>
              <w:right w:val="nil"/>
            </w:tcBorders>
          </w:tcPr>
          <w:p w14:paraId="66F4368E" w14:textId="306D61CB" w:rsidR="00BF0763" w:rsidRPr="00BF0763" w:rsidRDefault="00BF0763" w:rsidP="00B94FE7">
            <w:pPr>
              <w:widowControl w:val="0"/>
              <w:autoSpaceDE w:val="0"/>
              <w:autoSpaceDN w:val="0"/>
              <w:adjustRightInd w:val="0"/>
              <w:spacing w:line="240" w:lineRule="auto"/>
              <w:rPr>
                <w:rFonts w:eastAsia="Times New Roman" w:cs="Times New Roman"/>
                <w:b/>
                <w:bCs/>
                <w:sz w:val="20"/>
                <w:szCs w:val="20"/>
              </w:rPr>
            </w:pPr>
            <w:r w:rsidRPr="00BF0763">
              <w:rPr>
                <w:rFonts w:eastAsia="Times New Roman" w:cs="Times New Roman"/>
                <w:b/>
                <w:bCs/>
                <w:sz w:val="20"/>
                <w:szCs w:val="20"/>
              </w:rPr>
              <w:t>Deaths</w:t>
            </w:r>
          </w:p>
        </w:tc>
        <w:tc>
          <w:tcPr>
            <w:tcW w:w="814" w:type="pct"/>
            <w:tcBorders>
              <w:top w:val="single" w:sz="4" w:space="0" w:color="auto"/>
              <w:left w:val="nil"/>
              <w:bottom w:val="single" w:sz="4" w:space="0" w:color="auto"/>
              <w:right w:val="nil"/>
            </w:tcBorders>
          </w:tcPr>
          <w:p w14:paraId="41DDDC6C" w14:textId="239B184F" w:rsidR="00BF0763" w:rsidRPr="00BF0763" w:rsidRDefault="00BF0763" w:rsidP="00B94FE7">
            <w:pPr>
              <w:widowControl w:val="0"/>
              <w:autoSpaceDE w:val="0"/>
              <w:autoSpaceDN w:val="0"/>
              <w:adjustRightInd w:val="0"/>
              <w:spacing w:line="240" w:lineRule="auto"/>
              <w:rPr>
                <w:rFonts w:eastAsia="Times New Roman" w:cs="Times New Roman"/>
                <w:b/>
                <w:bCs/>
                <w:sz w:val="20"/>
                <w:szCs w:val="20"/>
              </w:rPr>
            </w:pPr>
            <w:r w:rsidRPr="00BF0763">
              <w:rPr>
                <w:rFonts w:eastAsia="Times New Roman" w:cs="Times New Roman"/>
                <w:b/>
                <w:bCs/>
                <w:sz w:val="20"/>
                <w:szCs w:val="20"/>
              </w:rPr>
              <w:t>Out</w:t>
            </w:r>
            <w:r w:rsidR="00AD43B0" w:rsidRPr="00B94FE7">
              <w:rPr>
                <w:rFonts w:eastAsia="Times New Roman" w:cs="Times New Roman"/>
                <w:b/>
                <w:bCs/>
                <w:sz w:val="20"/>
                <w:szCs w:val="20"/>
              </w:rPr>
              <w:t>-</w:t>
            </w:r>
            <w:r w:rsidRPr="00BF0763">
              <w:rPr>
                <w:rFonts w:eastAsia="Times New Roman" w:cs="Times New Roman"/>
                <w:b/>
                <w:bCs/>
                <w:sz w:val="20"/>
                <w:szCs w:val="20"/>
              </w:rPr>
              <w:t>Migrations</w:t>
            </w:r>
          </w:p>
        </w:tc>
        <w:tc>
          <w:tcPr>
            <w:tcW w:w="790" w:type="pct"/>
            <w:tcBorders>
              <w:top w:val="single" w:sz="4" w:space="0" w:color="auto"/>
              <w:left w:val="nil"/>
              <w:bottom w:val="single" w:sz="4" w:space="0" w:color="auto"/>
              <w:right w:val="nil"/>
            </w:tcBorders>
          </w:tcPr>
          <w:p w14:paraId="775DF838" w14:textId="07281940" w:rsidR="00BF0763" w:rsidRPr="00BF0763" w:rsidRDefault="00AD43B0" w:rsidP="00B94FE7">
            <w:pPr>
              <w:widowControl w:val="0"/>
              <w:autoSpaceDE w:val="0"/>
              <w:autoSpaceDN w:val="0"/>
              <w:adjustRightInd w:val="0"/>
              <w:spacing w:line="240" w:lineRule="auto"/>
              <w:rPr>
                <w:rFonts w:eastAsia="Times New Roman" w:cs="Times New Roman"/>
                <w:b/>
                <w:bCs/>
                <w:sz w:val="20"/>
                <w:szCs w:val="20"/>
              </w:rPr>
            </w:pPr>
            <w:r w:rsidRPr="00B94FE7">
              <w:rPr>
                <w:rFonts w:eastAsia="Times New Roman" w:cs="Times New Roman"/>
                <w:b/>
                <w:bCs/>
                <w:sz w:val="20"/>
                <w:szCs w:val="20"/>
              </w:rPr>
              <w:t>E</w:t>
            </w:r>
            <w:r w:rsidR="00BF0763" w:rsidRPr="00BF0763">
              <w:rPr>
                <w:rFonts w:eastAsia="Times New Roman" w:cs="Times New Roman"/>
                <w:b/>
                <w:bCs/>
                <w:sz w:val="20"/>
                <w:szCs w:val="20"/>
              </w:rPr>
              <w:t>mployment</w:t>
            </w:r>
          </w:p>
        </w:tc>
        <w:tc>
          <w:tcPr>
            <w:tcW w:w="796" w:type="pct"/>
            <w:tcBorders>
              <w:top w:val="single" w:sz="4" w:space="0" w:color="auto"/>
              <w:left w:val="nil"/>
              <w:bottom w:val="single" w:sz="4" w:space="0" w:color="auto"/>
              <w:right w:val="nil"/>
            </w:tcBorders>
          </w:tcPr>
          <w:p w14:paraId="6B086624" w14:textId="610346B9" w:rsidR="00BF0763" w:rsidRPr="00BF0763" w:rsidRDefault="00BF0763" w:rsidP="00B94FE7">
            <w:pPr>
              <w:widowControl w:val="0"/>
              <w:autoSpaceDE w:val="0"/>
              <w:autoSpaceDN w:val="0"/>
              <w:adjustRightInd w:val="0"/>
              <w:spacing w:line="240" w:lineRule="auto"/>
              <w:rPr>
                <w:rFonts w:eastAsia="Times New Roman" w:cs="Times New Roman"/>
                <w:b/>
                <w:bCs/>
                <w:sz w:val="20"/>
                <w:szCs w:val="20"/>
              </w:rPr>
            </w:pPr>
            <w:r w:rsidRPr="00BF0763">
              <w:rPr>
                <w:rFonts w:eastAsia="Times New Roman" w:cs="Times New Roman"/>
                <w:b/>
                <w:bCs/>
                <w:sz w:val="20"/>
                <w:szCs w:val="20"/>
              </w:rPr>
              <w:t>Performance</w:t>
            </w:r>
          </w:p>
        </w:tc>
      </w:tr>
      <w:tr w:rsidR="003B5A8E" w:rsidRPr="00AD43B0" w14:paraId="6B025CDC" w14:textId="77777777" w:rsidTr="003B5A8E">
        <w:trPr>
          <w:jc w:val="center"/>
        </w:trPr>
        <w:tc>
          <w:tcPr>
            <w:tcW w:w="763" w:type="pct"/>
            <w:tcBorders>
              <w:top w:val="single" w:sz="4" w:space="0" w:color="auto"/>
              <w:left w:val="nil"/>
              <w:bottom w:val="nil"/>
              <w:right w:val="nil"/>
            </w:tcBorders>
          </w:tcPr>
          <w:p w14:paraId="7FA8058F"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Fire Count (t-1) (1000s)</w:t>
            </w:r>
          </w:p>
        </w:tc>
        <w:tc>
          <w:tcPr>
            <w:tcW w:w="520" w:type="pct"/>
            <w:tcBorders>
              <w:top w:val="single" w:sz="4" w:space="0" w:color="auto"/>
              <w:left w:val="nil"/>
              <w:bottom w:val="nil"/>
              <w:right w:val="nil"/>
            </w:tcBorders>
          </w:tcPr>
          <w:p w14:paraId="6BEA3D93"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0.086</w:t>
            </w:r>
          </w:p>
        </w:tc>
        <w:tc>
          <w:tcPr>
            <w:tcW w:w="739" w:type="pct"/>
            <w:tcBorders>
              <w:top w:val="single" w:sz="4" w:space="0" w:color="auto"/>
              <w:left w:val="nil"/>
              <w:bottom w:val="nil"/>
              <w:right w:val="nil"/>
            </w:tcBorders>
          </w:tcPr>
          <w:p w14:paraId="14492FB5"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-0.278</w:t>
            </w:r>
          </w:p>
        </w:tc>
        <w:tc>
          <w:tcPr>
            <w:tcW w:w="580" w:type="pct"/>
            <w:tcBorders>
              <w:top w:val="single" w:sz="4" w:space="0" w:color="auto"/>
              <w:left w:val="nil"/>
              <w:bottom w:val="nil"/>
              <w:right w:val="nil"/>
            </w:tcBorders>
          </w:tcPr>
          <w:p w14:paraId="56B7FD9B"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0.359***</w:t>
            </w:r>
          </w:p>
        </w:tc>
        <w:tc>
          <w:tcPr>
            <w:tcW w:w="814" w:type="pct"/>
            <w:tcBorders>
              <w:top w:val="single" w:sz="4" w:space="0" w:color="auto"/>
              <w:left w:val="nil"/>
              <w:bottom w:val="nil"/>
              <w:right w:val="nil"/>
            </w:tcBorders>
          </w:tcPr>
          <w:p w14:paraId="6B890EC1"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-1.351</w:t>
            </w:r>
          </w:p>
        </w:tc>
        <w:tc>
          <w:tcPr>
            <w:tcW w:w="790" w:type="pct"/>
            <w:tcBorders>
              <w:top w:val="single" w:sz="4" w:space="0" w:color="auto"/>
              <w:left w:val="nil"/>
              <w:bottom w:val="nil"/>
              <w:right w:val="nil"/>
            </w:tcBorders>
          </w:tcPr>
          <w:p w14:paraId="0407EE17"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0.409***</w:t>
            </w:r>
          </w:p>
        </w:tc>
        <w:tc>
          <w:tcPr>
            <w:tcW w:w="796" w:type="pct"/>
            <w:tcBorders>
              <w:top w:val="single" w:sz="4" w:space="0" w:color="auto"/>
              <w:left w:val="nil"/>
              <w:bottom w:val="nil"/>
              <w:right w:val="nil"/>
            </w:tcBorders>
          </w:tcPr>
          <w:p w14:paraId="3F459217"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0.731***</w:t>
            </w:r>
          </w:p>
        </w:tc>
      </w:tr>
      <w:tr w:rsidR="003B5A8E" w:rsidRPr="00AD43B0" w14:paraId="2BFFCE2F" w14:textId="77777777" w:rsidTr="003B5A8E">
        <w:trPr>
          <w:jc w:val="center"/>
        </w:trPr>
        <w:tc>
          <w:tcPr>
            <w:tcW w:w="763" w:type="pct"/>
            <w:tcBorders>
              <w:top w:val="nil"/>
              <w:left w:val="nil"/>
              <w:bottom w:val="nil"/>
              <w:right w:val="nil"/>
            </w:tcBorders>
          </w:tcPr>
          <w:p w14:paraId="54B16253" w14:textId="1000604D"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520" w:type="pct"/>
            <w:tcBorders>
              <w:top w:val="nil"/>
              <w:left w:val="nil"/>
              <w:bottom w:val="nil"/>
              <w:right w:val="nil"/>
            </w:tcBorders>
          </w:tcPr>
          <w:p w14:paraId="3415F47A"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(0.093)</w:t>
            </w:r>
          </w:p>
        </w:tc>
        <w:tc>
          <w:tcPr>
            <w:tcW w:w="739" w:type="pct"/>
            <w:tcBorders>
              <w:top w:val="nil"/>
              <w:left w:val="nil"/>
              <w:bottom w:val="nil"/>
              <w:right w:val="nil"/>
            </w:tcBorders>
          </w:tcPr>
          <w:p w14:paraId="4950BC7E"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(1.34)</w:t>
            </w:r>
          </w:p>
        </w:tc>
        <w:tc>
          <w:tcPr>
            <w:tcW w:w="580" w:type="pct"/>
            <w:tcBorders>
              <w:top w:val="nil"/>
              <w:left w:val="nil"/>
              <w:bottom w:val="nil"/>
              <w:right w:val="nil"/>
            </w:tcBorders>
          </w:tcPr>
          <w:p w14:paraId="395C1540"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(0.091)</w:t>
            </w:r>
          </w:p>
        </w:tc>
        <w:tc>
          <w:tcPr>
            <w:tcW w:w="814" w:type="pct"/>
            <w:tcBorders>
              <w:top w:val="nil"/>
              <w:left w:val="nil"/>
              <w:bottom w:val="nil"/>
              <w:right w:val="nil"/>
            </w:tcBorders>
          </w:tcPr>
          <w:p w14:paraId="1CA80C2C"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(1.58)</w:t>
            </w:r>
          </w:p>
        </w:tc>
        <w:tc>
          <w:tcPr>
            <w:tcW w:w="790" w:type="pct"/>
            <w:tcBorders>
              <w:top w:val="nil"/>
              <w:left w:val="nil"/>
              <w:bottom w:val="nil"/>
              <w:right w:val="nil"/>
            </w:tcBorders>
          </w:tcPr>
          <w:p w14:paraId="75E7B83E"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(0.115)</w:t>
            </w:r>
          </w:p>
        </w:tc>
        <w:tc>
          <w:tcPr>
            <w:tcW w:w="796" w:type="pct"/>
            <w:tcBorders>
              <w:top w:val="nil"/>
              <w:left w:val="nil"/>
              <w:bottom w:val="nil"/>
              <w:right w:val="nil"/>
            </w:tcBorders>
          </w:tcPr>
          <w:p w14:paraId="55940E92"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(0.215)</w:t>
            </w:r>
          </w:p>
        </w:tc>
      </w:tr>
      <w:tr w:rsidR="003B5A8E" w:rsidRPr="00AD43B0" w14:paraId="6253A934" w14:textId="77777777" w:rsidTr="003B5A8E">
        <w:trPr>
          <w:jc w:val="center"/>
        </w:trPr>
        <w:tc>
          <w:tcPr>
            <w:tcW w:w="763" w:type="pct"/>
            <w:tcBorders>
              <w:top w:val="nil"/>
              <w:left w:val="nil"/>
              <w:bottom w:val="nil"/>
              <w:right w:val="nil"/>
            </w:tcBorders>
          </w:tcPr>
          <w:p w14:paraId="0F959E12" w14:textId="0EB6E801"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 Burned (t-1) (100s)</w:t>
            </w:r>
          </w:p>
        </w:tc>
        <w:tc>
          <w:tcPr>
            <w:tcW w:w="520" w:type="pct"/>
            <w:tcBorders>
              <w:top w:val="nil"/>
              <w:left w:val="nil"/>
              <w:bottom w:val="nil"/>
              <w:right w:val="nil"/>
            </w:tcBorders>
          </w:tcPr>
          <w:p w14:paraId="79DDC678"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-0.067</w:t>
            </w:r>
          </w:p>
        </w:tc>
        <w:tc>
          <w:tcPr>
            <w:tcW w:w="739" w:type="pct"/>
            <w:tcBorders>
              <w:top w:val="nil"/>
              <w:left w:val="nil"/>
              <w:bottom w:val="nil"/>
              <w:right w:val="nil"/>
            </w:tcBorders>
          </w:tcPr>
          <w:p w14:paraId="4C13D0B2"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-50.7</w:t>
            </w:r>
          </w:p>
        </w:tc>
        <w:tc>
          <w:tcPr>
            <w:tcW w:w="580" w:type="pct"/>
            <w:tcBorders>
              <w:top w:val="nil"/>
              <w:left w:val="nil"/>
              <w:bottom w:val="nil"/>
              <w:right w:val="nil"/>
            </w:tcBorders>
          </w:tcPr>
          <w:p w14:paraId="2F3A141B"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-2.34***</w:t>
            </w:r>
          </w:p>
        </w:tc>
        <w:tc>
          <w:tcPr>
            <w:tcW w:w="814" w:type="pct"/>
            <w:tcBorders>
              <w:top w:val="nil"/>
              <w:left w:val="nil"/>
              <w:bottom w:val="nil"/>
              <w:right w:val="nil"/>
            </w:tcBorders>
          </w:tcPr>
          <w:p w14:paraId="622228AC"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-3.49</w:t>
            </w:r>
          </w:p>
        </w:tc>
        <w:tc>
          <w:tcPr>
            <w:tcW w:w="790" w:type="pct"/>
            <w:tcBorders>
              <w:top w:val="nil"/>
              <w:left w:val="nil"/>
              <w:bottom w:val="nil"/>
              <w:right w:val="nil"/>
            </w:tcBorders>
          </w:tcPr>
          <w:p w14:paraId="537F38A8"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-0.279</w:t>
            </w:r>
          </w:p>
        </w:tc>
        <w:tc>
          <w:tcPr>
            <w:tcW w:w="796" w:type="pct"/>
            <w:tcBorders>
              <w:top w:val="nil"/>
              <w:left w:val="nil"/>
              <w:bottom w:val="nil"/>
              <w:right w:val="nil"/>
            </w:tcBorders>
          </w:tcPr>
          <w:p w14:paraId="52AD6DA1"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1.89*</w:t>
            </w:r>
          </w:p>
        </w:tc>
      </w:tr>
      <w:tr w:rsidR="003B5A8E" w:rsidRPr="00AD43B0" w14:paraId="77136937" w14:textId="77777777" w:rsidTr="003B5A8E">
        <w:trPr>
          <w:jc w:val="center"/>
        </w:trPr>
        <w:tc>
          <w:tcPr>
            <w:tcW w:w="763" w:type="pct"/>
            <w:tcBorders>
              <w:top w:val="nil"/>
              <w:left w:val="nil"/>
              <w:bottom w:val="nil"/>
              <w:right w:val="nil"/>
            </w:tcBorders>
          </w:tcPr>
          <w:p w14:paraId="3E8F296D" w14:textId="797B160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520" w:type="pct"/>
            <w:tcBorders>
              <w:top w:val="nil"/>
              <w:left w:val="nil"/>
              <w:bottom w:val="nil"/>
              <w:right w:val="nil"/>
            </w:tcBorders>
          </w:tcPr>
          <w:p w14:paraId="153505E7"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(0.828)</w:t>
            </w:r>
          </w:p>
        </w:tc>
        <w:tc>
          <w:tcPr>
            <w:tcW w:w="739" w:type="pct"/>
            <w:tcBorders>
              <w:top w:val="nil"/>
              <w:left w:val="nil"/>
              <w:bottom w:val="nil"/>
              <w:right w:val="nil"/>
            </w:tcBorders>
          </w:tcPr>
          <w:p w14:paraId="2E303773"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(34.0)</w:t>
            </w:r>
          </w:p>
        </w:tc>
        <w:tc>
          <w:tcPr>
            <w:tcW w:w="580" w:type="pct"/>
            <w:tcBorders>
              <w:top w:val="nil"/>
              <w:left w:val="nil"/>
              <w:bottom w:val="nil"/>
              <w:right w:val="nil"/>
            </w:tcBorders>
          </w:tcPr>
          <w:p w14:paraId="0ACC0A07"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(0.719)</w:t>
            </w:r>
          </w:p>
        </w:tc>
        <w:tc>
          <w:tcPr>
            <w:tcW w:w="814" w:type="pct"/>
            <w:tcBorders>
              <w:top w:val="nil"/>
              <w:left w:val="nil"/>
              <w:bottom w:val="nil"/>
              <w:right w:val="nil"/>
            </w:tcBorders>
          </w:tcPr>
          <w:p w14:paraId="50A95A73"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(8.51)</w:t>
            </w:r>
          </w:p>
        </w:tc>
        <w:tc>
          <w:tcPr>
            <w:tcW w:w="790" w:type="pct"/>
            <w:tcBorders>
              <w:top w:val="nil"/>
              <w:left w:val="nil"/>
              <w:bottom w:val="nil"/>
              <w:right w:val="nil"/>
            </w:tcBorders>
          </w:tcPr>
          <w:p w14:paraId="0BFFD88E"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(0.707)</w:t>
            </w:r>
          </w:p>
        </w:tc>
        <w:tc>
          <w:tcPr>
            <w:tcW w:w="796" w:type="pct"/>
            <w:tcBorders>
              <w:top w:val="nil"/>
              <w:left w:val="nil"/>
              <w:bottom w:val="nil"/>
              <w:right w:val="nil"/>
            </w:tcBorders>
          </w:tcPr>
          <w:p w14:paraId="71236CD7"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(1.09)</w:t>
            </w:r>
          </w:p>
        </w:tc>
      </w:tr>
      <w:tr w:rsidR="003B5A8E" w:rsidRPr="00AD43B0" w14:paraId="6F9C754F" w14:textId="77777777" w:rsidTr="003B5A8E">
        <w:trPr>
          <w:jc w:val="center"/>
        </w:trPr>
        <w:tc>
          <w:tcPr>
            <w:tcW w:w="763" w:type="pct"/>
            <w:tcBorders>
              <w:top w:val="nil"/>
              <w:left w:val="nil"/>
              <w:bottom w:val="nil"/>
              <w:right w:val="nil"/>
            </w:tcBorders>
          </w:tcPr>
          <w:p w14:paraId="3EB85F96"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Precipitation (t-1) (10s)</w:t>
            </w:r>
          </w:p>
        </w:tc>
        <w:tc>
          <w:tcPr>
            <w:tcW w:w="520" w:type="pct"/>
            <w:tcBorders>
              <w:top w:val="nil"/>
              <w:left w:val="nil"/>
              <w:bottom w:val="nil"/>
              <w:right w:val="nil"/>
            </w:tcBorders>
          </w:tcPr>
          <w:p w14:paraId="4237DA07"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-0.012</w:t>
            </w:r>
          </w:p>
        </w:tc>
        <w:tc>
          <w:tcPr>
            <w:tcW w:w="739" w:type="pct"/>
            <w:tcBorders>
              <w:top w:val="nil"/>
              <w:left w:val="nil"/>
              <w:bottom w:val="nil"/>
              <w:right w:val="nil"/>
            </w:tcBorders>
          </w:tcPr>
          <w:p w14:paraId="73B424E4"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-0.146</w:t>
            </w:r>
          </w:p>
        </w:tc>
        <w:tc>
          <w:tcPr>
            <w:tcW w:w="580" w:type="pct"/>
            <w:tcBorders>
              <w:top w:val="nil"/>
              <w:left w:val="nil"/>
              <w:bottom w:val="nil"/>
              <w:right w:val="nil"/>
            </w:tcBorders>
          </w:tcPr>
          <w:p w14:paraId="60F843AD"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0.032</w:t>
            </w:r>
          </w:p>
        </w:tc>
        <w:tc>
          <w:tcPr>
            <w:tcW w:w="814" w:type="pct"/>
            <w:tcBorders>
              <w:top w:val="nil"/>
              <w:left w:val="nil"/>
              <w:bottom w:val="nil"/>
              <w:right w:val="nil"/>
            </w:tcBorders>
          </w:tcPr>
          <w:p w14:paraId="2F491FA3"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0.536</w:t>
            </w:r>
          </w:p>
        </w:tc>
        <w:tc>
          <w:tcPr>
            <w:tcW w:w="790" w:type="pct"/>
            <w:tcBorders>
              <w:top w:val="nil"/>
              <w:left w:val="nil"/>
              <w:bottom w:val="nil"/>
              <w:right w:val="nil"/>
            </w:tcBorders>
          </w:tcPr>
          <w:p w14:paraId="234F7740"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-0.114***</w:t>
            </w:r>
          </w:p>
        </w:tc>
        <w:tc>
          <w:tcPr>
            <w:tcW w:w="796" w:type="pct"/>
            <w:tcBorders>
              <w:top w:val="nil"/>
              <w:left w:val="nil"/>
              <w:bottom w:val="nil"/>
              <w:right w:val="nil"/>
            </w:tcBorders>
          </w:tcPr>
          <w:p w14:paraId="3A9E8D38"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-0.352***</w:t>
            </w:r>
          </w:p>
        </w:tc>
      </w:tr>
      <w:tr w:rsidR="003B5A8E" w:rsidRPr="00AD43B0" w14:paraId="5E5D9010" w14:textId="77777777" w:rsidTr="003B5A8E">
        <w:trPr>
          <w:jc w:val="center"/>
        </w:trPr>
        <w:tc>
          <w:tcPr>
            <w:tcW w:w="763" w:type="pct"/>
            <w:tcBorders>
              <w:top w:val="nil"/>
              <w:left w:val="nil"/>
              <w:bottom w:val="nil"/>
              <w:right w:val="nil"/>
            </w:tcBorders>
          </w:tcPr>
          <w:p w14:paraId="604D3AFA" w14:textId="02090342"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520" w:type="pct"/>
            <w:tcBorders>
              <w:top w:val="nil"/>
              <w:left w:val="nil"/>
              <w:bottom w:val="nil"/>
              <w:right w:val="nil"/>
            </w:tcBorders>
          </w:tcPr>
          <w:p w14:paraId="0DDC7C97"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(0.048)</w:t>
            </w:r>
          </w:p>
        </w:tc>
        <w:tc>
          <w:tcPr>
            <w:tcW w:w="739" w:type="pct"/>
            <w:tcBorders>
              <w:top w:val="nil"/>
              <w:left w:val="nil"/>
              <w:bottom w:val="nil"/>
              <w:right w:val="nil"/>
            </w:tcBorders>
          </w:tcPr>
          <w:p w14:paraId="5EA45251"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(0.421)</w:t>
            </w:r>
          </w:p>
        </w:tc>
        <w:tc>
          <w:tcPr>
            <w:tcW w:w="580" w:type="pct"/>
            <w:tcBorders>
              <w:top w:val="nil"/>
              <w:left w:val="nil"/>
              <w:bottom w:val="nil"/>
              <w:right w:val="nil"/>
            </w:tcBorders>
          </w:tcPr>
          <w:p w14:paraId="60F6E6BC"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(0.047)</w:t>
            </w:r>
          </w:p>
        </w:tc>
        <w:tc>
          <w:tcPr>
            <w:tcW w:w="814" w:type="pct"/>
            <w:tcBorders>
              <w:top w:val="nil"/>
              <w:left w:val="nil"/>
              <w:bottom w:val="nil"/>
              <w:right w:val="nil"/>
            </w:tcBorders>
          </w:tcPr>
          <w:p w14:paraId="7AFE970E"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(0.524)</w:t>
            </w:r>
          </w:p>
        </w:tc>
        <w:tc>
          <w:tcPr>
            <w:tcW w:w="790" w:type="pct"/>
            <w:tcBorders>
              <w:top w:val="nil"/>
              <w:left w:val="nil"/>
              <w:bottom w:val="nil"/>
              <w:right w:val="nil"/>
            </w:tcBorders>
          </w:tcPr>
          <w:p w14:paraId="13F5EF59"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(0.034)</w:t>
            </w:r>
          </w:p>
        </w:tc>
        <w:tc>
          <w:tcPr>
            <w:tcW w:w="796" w:type="pct"/>
            <w:tcBorders>
              <w:top w:val="nil"/>
              <w:left w:val="nil"/>
              <w:bottom w:val="nil"/>
              <w:right w:val="nil"/>
            </w:tcBorders>
          </w:tcPr>
          <w:p w14:paraId="5CEBD52A"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(0.064)</w:t>
            </w:r>
          </w:p>
        </w:tc>
      </w:tr>
      <w:tr w:rsidR="003B5A8E" w:rsidRPr="00AD43B0" w14:paraId="7DF59541" w14:textId="77777777" w:rsidTr="003B5A8E">
        <w:trPr>
          <w:jc w:val="center"/>
        </w:trPr>
        <w:tc>
          <w:tcPr>
            <w:tcW w:w="763" w:type="pct"/>
            <w:tcBorders>
              <w:top w:val="nil"/>
              <w:left w:val="nil"/>
              <w:bottom w:val="nil"/>
              <w:right w:val="nil"/>
            </w:tcBorders>
          </w:tcPr>
          <w:p w14:paraId="466C8D8E"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Temperature (t-1) (10s)</w:t>
            </w:r>
          </w:p>
        </w:tc>
        <w:tc>
          <w:tcPr>
            <w:tcW w:w="520" w:type="pct"/>
            <w:tcBorders>
              <w:top w:val="nil"/>
              <w:left w:val="nil"/>
              <w:bottom w:val="nil"/>
              <w:right w:val="nil"/>
            </w:tcBorders>
          </w:tcPr>
          <w:p w14:paraId="4D7F4EF6"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0.174</w:t>
            </w:r>
          </w:p>
        </w:tc>
        <w:tc>
          <w:tcPr>
            <w:tcW w:w="739" w:type="pct"/>
            <w:tcBorders>
              <w:top w:val="nil"/>
              <w:left w:val="nil"/>
              <w:bottom w:val="nil"/>
              <w:right w:val="nil"/>
            </w:tcBorders>
          </w:tcPr>
          <w:p w14:paraId="28050D0F"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-8.74</w:t>
            </w:r>
          </w:p>
        </w:tc>
        <w:tc>
          <w:tcPr>
            <w:tcW w:w="580" w:type="pct"/>
            <w:tcBorders>
              <w:top w:val="nil"/>
              <w:left w:val="nil"/>
              <w:bottom w:val="nil"/>
              <w:right w:val="nil"/>
            </w:tcBorders>
          </w:tcPr>
          <w:p w14:paraId="64D2BC2F"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-0.724</w:t>
            </w:r>
          </w:p>
        </w:tc>
        <w:tc>
          <w:tcPr>
            <w:tcW w:w="814" w:type="pct"/>
            <w:tcBorders>
              <w:top w:val="nil"/>
              <w:left w:val="nil"/>
              <w:bottom w:val="nil"/>
              <w:right w:val="nil"/>
            </w:tcBorders>
          </w:tcPr>
          <w:p w14:paraId="038A38B6"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-0.114</w:t>
            </w:r>
          </w:p>
        </w:tc>
        <w:tc>
          <w:tcPr>
            <w:tcW w:w="790" w:type="pct"/>
            <w:tcBorders>
              <w:top w:val="nil"/>
              <w:left w:val="nil"/>
              <w:bottom w:val="nil"/>
              <w:right w:val="nil"/>
            </w:tcBorders>
          </w:tcPr>
          <w:p w14:paraId="68AE453A"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-0.326</w:t>
            </w:r>
          </w:p>
        </w:tc>
        <w:tc>
          <w:tcPr>
            <w:tcW w:w="796" w:type="pct"/>
            <w:tcBorders>
              <w:top w:val="nil"/>
              <w:left w:val="nil"/>
              <w:bottom w:val="nil"/>
              <w:right w:val="nil"/>
            </w:tcBorders>
          </w:tcPr>
          <w:p w14:paraId="00A2BB3C"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-1.60</w:t>
            </w:r>
          </w:p>
        </w:tc>
      </w:tr>
      <w:tr w:rsidR="003B5A8E" w:rsidRPr="00AD43B0" w14:paraId="7BDDB7D5" w14:textId="77777777" w:rsidTr="003B5A8E">
        <w:trPr>
          <w:jc w:val="center"/>
        </w:trPr>
        <w:tc>
          <w:tcPr>
            <w:tcW w:w="763" w:type="pct"/>
            <w:tcBorders>
              <w:top w:val="nil"/>
              <w:left w:val="nil"/>
              <w:bottom w:val="nil"/>
              <w:right w:val="nil"/>
            </w:tcBorders>
          </w:tcPr>
          <w:p w14:paraId="516BE21D" w14:textId="2ECEA011"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520" w:type="pct"/>
            <w:tcBorders>
              <w:top w:val="nil"/>
              <w:left w:val="nil"/>
              <w:bottom w:val="nil"/>
              <w:right w:val="nil"/>
            </w:tcBorders>
          </w:tcPr>
          <w:p w14:paraId="32CE4F86"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(0.708)</w:t>
            </w:r>
          </w:p>
        </w:tc>
        <w:tc>
          <w:tcPr>
            <w:tcW w:w="739" w:type="pct"/>
            <w:tcBorders>
              <w:top w:val="nil"/>
              <w:left w:val="nil"/>
              <w:bottom w:val="nil"/>
              <w:right w:val="nil"/>
            </w:tcBorders>
          </w:tcPr>
          <w:p w14:paraId="2FCD8B1E"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(6.65)</w:t>
            </w:r>
          </w:p>
        </w:tc>
        <w:tc>
          <w:tcPr>
            <w:tcW w:w="580" w:type="pct"/>
            <w:tcBorders>
              <w:top w:val="nil"/>
              <w:left w:val="nil"/>
              <w:bottom w:val="nil"/>
              <w:right w:val="nil"/>
            </w:tcBorders>
          </w:tcPr>
          <w:p w14:paraId="7B5EC3A7"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(0.677)</w:t>
            </w:r>
          </w:p>
        </w:tc>
        <w:tc>
          <w:tcPr>
            <w:tcW w:w="814" w:type="pct"/>
            <w:tcBorders>
              <w:top w:val="nil"/>
              <w:left w:val="nil"/>
              <w:bottom w:val="nil"/>
              <w:right w:val="nil"/>
            </w:tcBorders>
          </w:tcPr>
          <w:p w14:paraId="7D84E1FD"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(7.32)</w:t>
            </w:r>
          </w:p>
        </w:tc>
        <w:tc>
          <w:tcPr>
            <w:tcW w:w="790" w:type="pct"/>
            <w:tcBorders>
              <w:top w:val="nil"/>
              <w:left w:val="nil"/>
              <w:bottom w:val="nil"/>
              <w:right w:val="nil"/>
            </w:tcBorders>
          </w:tcPr>
          <w:p w14:paraId="6DDE9EB8"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(0.602)</w:t>
            </w:r>
          </w:p>
        </w:tc>
        <w:tc>
          <w:tcPr>
            <w:tcW w:w="796" w:type="pct"/>
            <w:tcBorders>
              <w:top w:val="nil"/>
              <w:left w:val="nil"/>
              <w:bottom w:val="nil"/>
              <w:right w:val="nil"/>
            </w:tcBorders>
          </w:tcPr>
          <w:p w14:paraId="107BE3C5"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(1.17)</w:t>
            </w:r>
          </w:p>
        </w:tc>
      </w:tr>
      <w:tr w:rsidR="003B5A8E" w:rsidRPr="00AD43B0" w14:paraId="45B99EA0" w14:textId="77777777" w:rsidTr="003B5A8E">
        <w:trPr>
          <w:jc w:val="center"/>
        </w:trPr>
        <w:tc>
          <w:tcPr>
            <w:tcW w:w="763" w:type="pct"/>
            <w:tcBorders>
              <w:top w:val="nil"/>
              <w:left w:val="nil"/>
              <w:bottom w:val="nil"/>
              <w:right w:val="nil"/>
            </w:tcBorders>
          </w:tcPr>
          <w:p w14:paraId="03E25A39"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CPAD (t-1) (100s)</w:t>
            </w:r>
          </w:p>
        </w:tc>
        <w:tc>
          <w:tcPr>
            <w:tcW w:w="520" w:type="pct"/>
            <w:tcBorders>
              <w:top w:val="nil"/>
              <w:left w:val="nil"/>
              <w:bottom w:val="nil"/>
              <w:right w:val="nil"/>
            </w:tcBorders>
          </w:tcPr>
          <w:p w14:paraId="1DABE94B"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-0.743**</w:t>
            </w:r>
          </w:p>
        </w:tc>
        <w:tc>
          <w:tcPr>
            <w:tcW w:w="739" w:type="pct"/>
            <w:tcBorders>
              <w:top w:val="nil"/>
              <w:left w:val="nil"/>
              <w:bottom w:val="nil"/>
              <w:right w:val="nil"/>
            </w:tcBorders>
          </w:tcPr>
          <w:p w14:paraId="672198A4"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4.90</w:t>
            </w:r>
          </w:p>
        </w:tc>
        <w:tc>
          <w:tcPr>
            <w:tcW w:w="580" w:type="pct"/>
            <w:tcBorders>
              <w:top w:val="nil"/>
              <w:left w:val="nil"/>
              <w:bottom w:val="nil"/>
              <w:right w:val="nil"/>
            </w:tcBorders>
          </w:tcPr>
          <w:p w14:paraId="0EE9C6D7"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0.336</w:t>
            </w:r>
          </w:p>
        </w:tc>
        <w:tc>
          <w:tcPr>
            <w:tcW w:w="814" w:type="pct"/>
            <w:tcBorders>
              <w:top w:val="nil"/>
              <w:left w:val="nil"/>
              <w:bottom w:val="nil"/>
              <w:right w:val="nil"/>
            </w:tcBorders>
          </w:tcPr>
          <w:p w14:paraId="397DD1DD"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8.15**</w:t>
            </w:r>
          </w:p>
        </w:tc>
        <w:tc>
          <w:tcPr>
            <w:tcW w:w="790" w:type="pct"/>
            <w:tcBorders>
              <w:top w:val="nil"/>
              <w:left w:val="nil"/>
              <w:bottom w:val="nil"/>
              <w:right w:val="nil"/>
            </w:tcBorders>
          </w:tcPr>
          <w:p w14:paraId="2AE8E81F"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-0.241</w:t>
            </w:r>
          </w:p>
        </w:tc>
        <w:tc>
          <w:tcPr>
            <w:tcW w:w="796" w:type="pct"/>
            <w:tcBorders>
              <w:top w:val="nil"/>
              <w:left w:val="nil"/>
              <w:bottom w:val="nil"/>
              <w:right w:val="nil"/>
            </w:tcBorders>
          </w:tcPr>
          <w:p w14:paraId="441DC920"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0.016</w:t>
            </w:r>
          </w:p>
        </w:tc>
      </w:tr>
      <w:tr w:rsidR="003B5A8E" w:rsidRPr="00AD43B0" w14:paraId="5B12D01D" w14:textId="77777777" w:rsidTr="003B5A8E">
        <w:trPr>
          <w:jc w:val="center"/>
        </w:trPr>
        <w:tc>
          <w:tcPr>
            <w:tcW w:w="763" w:type="pct"/>
            <w:tcBorders>
              <w:top w:val="nil"/>
              <w:left w:val="nil"/>
              <w:bottom w:val="nil"/>
              <w:right w:val="nil"/>
            </w:tcBorders>
          </w:tcPr>
          <w:p w14:paraId="7D073D55" w14:textId="47DF82A5"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520" w:type="pct"/>
            <w:tcBorders>
              <w:top w:val="nil"/>
              <w:left w:val="nil"/>
              <w:bottom w:val="nil"/>
              <w:right w:val="nil"/>
            </w:tcBorders>
          </w:tcPr>
          <w:p w14:paraId="19C8E496"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(0.376)</w:t>
            </w:r>
          </w:p>
        </w:tc>
        <w:tc>
          <w:tcPr>
            <w:tcW w:w="739" w:type="pct"/>
            <w:tcBorders>
              <w:top w:val="nil"/>
              <w:left w:val="nil"/>
              <w:bottom w:val="nil"/>
              <w:right w:val="nil"/>
            </w:tcBorders>
          </w:tcPr>
          <w:p w14:paraId="4AF607F6"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(3.00)</w:t>
            </w:r>
          </w:p>
        </w:tc>
        <w:tc>
          <w:tcPr>
            <w:tcW w:w="580" w:type="pct"/>
            <w:tcBorders>
              <w:top w:val="nil"/>
              <w:left w:val="nil"/>
              <w:bottom w:val="nil"/>
              <w:right w:val="nil"/>
            </w:tcBorders>
          </w:tcPr>
          <w:p w14:paraId="5B9C4E6B"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(0.300)</w:t>
            </w:r>
          </w:p>
        </w:tc>
        <w:tc>
          <w:tcPr>
            <w:tcW w:w="814" w:type="pct"/>
            <w:tcBorders>
              <w:top w:val="nil"/>
              <w:left w:val="nil"/>
              <w:bottom w:val="nil"/>
              <w:right w:val="nil"/>
            </w:tcBorders>
          </w:tcPr>
          <w:p w14:paraId="167947D9"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(3.47)</w:t>
            </w:r>
          </w:p>
        </w:tc>
        <w:tc>
          <w:tcPr>
            <w:tcW w:w="790" w:type="pct"/>
            <w:tcBorders>
              <w:top w:val="nil"/>
              <w:left w:val="nil"/>
              <w:bottom w:val="nil"/>
              <w:right w:val="nil"/>
            </w:tcBorders>
          </w:tcPr>
          <w:p w14:paraId="45C615AA"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(0.492)</w:t>
            </w:r>
          </w:p>
        </w:tc>
        <w:tc>
          <w:tcPr>
            <w:tcW w:w="796" w:type="pct"/>
            <w:tcBorders>
              <w:top w:val="nil"/>
              <w:left w:val="nil"/>
              <w:bottom w:val="nil"/>
              <w:right w:val="nil"/>
            </w:tcBorders>
          </w:tcPr>
          <w:p w14:paraId="5B39FFAF"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(0.375)</w:t>
            </w:r>
          </w:p>
        </w:tc>
      </w:tr>
      <w:tr w:rsidR="003B5A8E" w:rsidRPr="00AD43B0" w14:paraId="6AA37226" w14:textId="77777777" w:rsidTr="003B5A8E">
        <w:trPr>
          <w:jc w:val="center"/>
        </w:trPr>
        <w:tc>
          <w:tcPr>
            <w:tcW w:w="763" w:type="pct"/>
            <w:tcBorders>
              <w:top w:val="nil"/>
              <w:left w:val="nil"/>
              <w:bottom w:val="nil"/>
              <w:right w:val="nil"/>
            </w:tcBorders>
          </w:tcPr>
          <w:p w14:paraId="7BC6C5D1"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Housing Price Index (100s)</w:t>
            </w:r>
          </w:p>
        </w:tc>
        <w:tc>
          <w:tcPr>
            <w:tcW w:w="520" w:type="pct"/>
            <w:tcBorders>
              <w:top w:val="nil"/>
              <w:left w:val="nil"/>
              <w:bottom w:val="nil"/>
              <w:right w:val="nil"/>
            </w:tcBorders>
          </w:tcPr>
          <w:p w14:paraId="139FE89A"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-0.021</w:t>
            </w:r>
          </w:p>
        </w:tc>
        <w:tc>
          <w:tcPr>
            <w:tcW w:w="739" w:type="pct"/>
            <w:tcBorders>
              <w:top w:val="nil"/>
              <w:left w:val="nil"/>
              <w:bottom w:val="nil"/>
              <w:right w:val="nil"/>
            </w:tcBorders>
          </w:tcPr>
          <w:p w14:paraId="78AB1137"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0.256</w:t>
            </w:r>
          </w:p>
        </w:tc>
        <w:tc>
          <w:tcPr>
            <w:tcW w:w="580" w:type="pct"/>
            <w:tcBorders>
              <w:top w:val="nil"/>
              <w:left w:val="nil"/>
              <w:bottom w:val="nil"/>
              <w:right w:val="nil"/>
            </w:tcBorders>
          </w:tcPr>
          <w:p w14:paraId="55C070CD" w14:textId="19EF1BC6"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-0.188**</w:t>
            </w:r>
          </w:p>
        </w:tc>
        <w:tc>
          <w:tcPr>
            <w:tcW w:w="814" w:type="pct"/>
            <w:tcBorders>
              <w:top w:val="nil"/>
              <w:left w:val="nil"/>
              <w:bottom w:val="nil"/>
              <w:right w:val="nil"/>
            </w:tcBorders>
          </w:tcPr>
          <w:p w14:paraId="52B45232"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-0.188</w:t>
            </w:r>
          </w:p>
        </w:tc>
        <w:tc>
          <w:tcPr>
            <w:tcW w:w="790" w:type="pct"/>
            <w:tcBorders>
              <w:top w:val="nil"/>
              <w:left w:val="nil"/>
              <w:bottom w:val="nil"/>
              <w:right w:val="nil"/>
            </w:tcBorders>
          </w:tcPr>
          <w:p w14:paraId="6AC22D51"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-0.066***</w:t>
            </w:r>
          </w:p>
        </w:tc>
        <w:tc>
          <w:tcPr>
            <w:tcW w:w="796" w:type="pct"/>
            <w:tcBorders>
              <w:top w:val="nil"/>
              <w:left w:val="nil"/>
              <w:bottom w:val="nil"/>
              <w:right w:val="nil"/>
            </w:tcBorders>
          </w:tcPr>
          <w:p w14:paraId="36515E82"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-0.111***</w:t>
            </w:r>
          </w:p>
        </w:tc>
      </w:tr>
      <w:tr w:rsidR="003B5A8E" w:rsidRPr="00AD43B0" w14:paraId="73716FEA" w14:textId="77777777" w:rsidTr="003B5A8E">
        <w:trPr>
          <w:jc w:val="center"/>
        </w:trPr>
        <w:tc>
          <w:tcPr>
            <w:tcW w:w="763" w:type="pct"/>
            <w:tcBorders>
              <w:top w:val="nil"/>
              <w:left w:val="nil"/>
              <w:bottom w:val="nil"/>
              <w:right w:val="nil"/>
            </w:tcBorders>
          </w:tcPr>
          <w:p w14:paraId="1B5EFC3D" w14:textId="64A3D5F2"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520" w:type="pct"/>
            <w:tcBorders>
              <w:top w:val="nil"/>
              <w:left w:val="nil"/>
              <w:bottom w:val="nil"/>
              <w:right w:val="nil"/>
            </w:tcBorders>
          </w:tcPr>
          <w:p w14:paraId="25FF813C"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(0.036)</w:t>
            </w:r>
          </w:p>
        </w:tc>
        <w:tc>
          <w:tcPr>
            <w:tcW w:w="739" w:type="pct"/>
            <w:tcBorders>
              <w:top w:val="nil"/>
              <w:left w:val="nil"/>
              <w:bottom w:val="nil"/>
              <w:right w:val="nil"/>
            </w:tcBorders>
          </w:tcPr>
          <w:p w14:paraId="560DA2CD"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(0.257)</w:t>
            </w:r>
          </w:p>
        </w:tc>
        <w:tc>
          <w:tcPr>
            <w:tcW w:w="580" w:type="pct"/>
            <w:tcBorders>
              <w:top w:val="nil"/>
              <w:left w:val="nil"/>
              <w:bottom w:val="nil"/>
              <w:right w:val="nil"/>
            </w:tcBorders>
          </w:tcPr>
          <w:p w14:paraId="642B81AA"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(0.045)</w:t>
            </w:r>
          </w:p>
        </w:tc>
        <w:tc>
          <w:tcPr>
            <w:tcW w:w="814" w:type="pct"/>
            <w:tcBorders>
              <w:top w:val="nil"/>
              <w:left w:val="nil"/>
              <w:bottom w:val="nil"/>
              <w:right w:val="nil"/>
            </w:tcBorders>
          </w:tcPr>
          <w:p w14:paraId="741A45E0"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(0.272)</w:t>
            </w:r>
          </w:p>
        </w:tc>
        <w:tc>
          <w:tcPr>
            <w:tcW w:w="790" w:type="pct"/>
            <w:tcBorders>
              <w:top w:val="nil"/>
              <w:left w:val="nil"/>
              <w:bottom w:val="nil"/>
              <w:right w:val="nil"/>
            </w:tcBorders>
          </w:tcPr>
          <w:p w14:paraId="2EF78A87"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(0.023)</w:t>
            </w:r>
          </w:p>
        </w:tc>
        <w:tc>
          <w:tcPr>
            <w:tcW w:w="796" w:type="pct"/>
            <w:tcBorders>
              <w:top w:val="nil"/>
              <w:left w:val="nil"/>
              <w:bottom w:val="nil"/>
              <w:right w:val="nil"/>
            </w:tcBorders>
          </w:tcPr>
          <w:p w14:paraId="698A2319"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(0.042)</w:t>
            </w:r>
          </w:p>
        </w:tc>
      </w:tr>
      <w:tr w:rsidR="003B5A8E" w:rsidRPr="00AD43B0" w14:paraId="1ED4138C" w14:textId="77777777" w:rsidTr="003B5A8E">
        <w:trPr>
          <w:jc w:val="center"/>
        </w:trPr>
        <w:tc>
          <w:tcPr>
            <w:tcW w:w="763" w:type="pct"/>
            <w:tcBorders>
              <w:top w:val="nil"/>
              <w:left w:val="nil"/>
              <w:bottom w:val="nil"/>
              <w:right w:val="nil"/>
            </w:tcBorders>
          </w:tcPr>
          <w:p w14:paraId="61DF4B2F"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Poverty rate (100s)</w:t>
            </w:r>
          </w:p>
        </w:tc>
        <w:tc>
          <w:tcPr>
            <w:tcW w:w="520" w:type="pct"/>
            <w:tcBorders>
              <w:top w:val="nil"/>
              <w:left w:val="nil"/>
              <w:bottom w:val="nil"/>
              <w:right w:val="nil"/>
            </w:tcBorders>
          </w:tcPr>
          <w:p w14:paraId="4E54288F"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0.510</w:t>
            </w:r>
          </w:p>
        </w:tc>
        <w:tc>
          <w:tcPr>
            <w:tcW w:w="739" w:type="pct"/>
            <w:tcBorders>
              <w:top w:val="nil"/>
              <w:left w:val="nil"/>
              <w:bottom w:val="nil"/>
              <w:right w:val="nil"/>
            </w:tcBorders>
          </w:tcPr>
          <w:p w14:paraId="0DA4D1AA"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-14.5</w:t>
            </w:r>
          </w:p>
        </w:tc>
        <w:tc>
          <w:tcPr>
            <w:tcW w:w="580" w:type="pct"/>
            <w:tcBorders>
              <w:top w:val="nil"/>
              <w:left w:val="nil"/>
              <w:bottom w:val="nil"/>
              <w:right w:val="nil"/>
            </w:tcBorders>
          </w:tcPr>
          <w:p w14:paraId="070C26D3"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-3.46</w:t>
            </w:r>
          </w:p>
        </w:tc>
        <w:tc>
          <w:tcPr>
            <w:tcW w:w="814" w:type="pct"/>
            <w:tcBorders>
              <w:top w:val="nil"/>
              <w:left w:val="nil"/>
              <w:bottom w:val="nil"/>
              <w:right w:val="nil"/>
            </w:tcBorders>
          </w:tcPr>
          <w:p w14:paraId="783A2BBD"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-0.222</w:t>
            </w:r>
          </w:p>
        </w:tc>
        <w:tc>
          <w:tcPr>
            <w:tcW w:w="790" w:type="pct"/>
            <w:tcBorders>
              <w:top w:val="nil"/>
              <w:left w:val="nil"/>
              <w:bottom w:val="nil"/>
              <w:right w:val="nil"/>
            </w:tcBorders>
          </w:tcPr>
          <w:p w14:paraId="6AACEF9D"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4.41*</w:t>
            </w:r>
          </w:p>
        </w:tc>
        <w:tc>
          <w:tcPr>
            <w:tcW w:w="796" w:type="pct"/>
            <w:tcBorders>
              <w:top w:val="nil"/>
              <w:left w:val="nil"/>
              <w:bottom w:val="nil"/>
              <w:right w:val="nil"/>
            </w:tcBorders>
          </w:tcPr>
          <w:p w14:paraId="077140EA"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9.24**</w:t>
            </w:r>
          </w:p>
        </w:tc>
      </w:tr>
      <w:tr w:rsidR="003B5A8E" w:rsidRPr="00AD43B0" w14:paraId="6FDA5B02" w14:textId="77777777" w:rsidTr="003B5A8E">
        <w:trPr>
          <w:jc w:val="center"/>
        </w:trPr>
        <w:tc>
          <w:tcPr>
            <w:tcW w:w="763" w:type="pct"/>
            <w:tcBorders>
              <w:top w:val="nil"/>
              <w:left w:val="nil"/>
              <w:bottom w:val="nil"/>
              <w:right w:val="nil"/>
            </w:tcBorders>
          </w:tcPr>
          <w:p w14:paraId="48FEA0B9" w14:textId="7C53953A"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520" w:type="pct"/>
            <w:tcBorders>
              <w:top w:val="nil"/>
              <w:left w:val="nil"/>
              <w:bottom w:val="nil"/>
              <w:right w:val="nil"/>
            </w:tcBorders>
          </w:tcPr>
          <w:p w14:paraId="6B68C241"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(2.27)</w:t>
            </w:r>
          </w:p>
        </w:tc>
        <w:tc>
          <w:tcPr>
            <w:tcW w:w="739" w:type="pct"/>
            <w:tcBorders>
              <w:top w:val="nil"/>
              <w:left w:val="nil"/>
              <w:bottom w:val="nil"/>
              <w:right w:val="nil"/>
            </w:tcBorders>
          </w:tcPr>
          <w:p w14:paraId="2CF12AC8"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(18.7)</w:t>
            </w:r>
          </w:p>
        </w:tc>
        <w:tc>
          <w:tcPr>
            <w:tcW w:w="580" w:type="pct"/>
            <w:tcBorders>
              <w:top w:val="nil"/>
              <w:left w:val="nil"/>
              <w:bottom w:val="nil"/>
              <w:right w:val="nil"/>
            </w:tcBorders>
          </w:tcPr>
          <w:p w14:paraId="3B02F52D"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(2.90)</w:t>
            </w:r>
          </w:p>
        </w:tc>
        <w:tc>
          <w:tcPr>
            <w:tcW w:w="814" w:type="pct"/>
            <w:tcBorders>
              <w:top w:val="nil"/>
              <w:left w:val="nil"/>
              <w:bottom w:val="nil"/>
              <w:right w:val="nil"/>
            </w:tcBorders>
          </w:tcPr>
          <w:p w14:paraId="7B8493DD"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(22.8)</w:t>
            </w:r>
          </w:p>
        </w:tc>
        <w:tc>
          <w:tcPr>
            <w:tcW w:w="790" w:type="pct"/>
            <w:tcBorders>
              <w:top w:val="nil"/>
              <w:left w:val="nil"/>
              <w:bottom w:val="nil"/>
              <w:right w:val="nil"/>
            </w:tcBorders>
          </w:tcPr>
          <w:p w14:paraId="2829814B"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(2.46)</w:t>
            </w:r>
          </w:p>
        </w:tc>
        <w:tc>
          <w:tcPr>
            <w:tcW w:w="796" w:type="pct"/>
            <w:tcBorders>
              <w:top w:val="nil"/>
              <w:left w:val="nil"/>
              <w:bottom w:val="nil"/>
              <w:right w:val="nil"/>
            </w:tcBorders>
          </w:tcPr>
          <w:p w14:paraId="5B51E566"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(3.80)</w:t>
            </w:r>
          </w:p>
        </w:tc>
      </w:tr>
      <w:tr w:rsidR="003B5A8E" w:rsidRPr="00AD43B0" w14:paraId="684DC664" w14:textId="77777777" w:rsidTr="003B5A8E">
        <w:trPr>
          <w:jc w:val="center"/>
        </w:trPr>
        <w:tc>
          <w:tcPr>
            <w:tcW w:w="763" w:type="pct"/>
            <w:tcBorders>
              <w:top w:val="nil"/>
              <w:left w:val="nil"/>
              <w:bottom w:val="nil"/>
              <w:right w:val="nil"/>
            </w:tcBorders>
          </w:tcPr>
          <w:p w14:paraId="26E25D94"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Median HH Income (100ks)</w:t>
            </w:r>
          </w:p>
        </w:tc>
        <w:tc>
          <w:tcPr>
            <w:tcW w:w="520" w:type="pct"/>
            <w:tcBorders>
              <w:top w:val="nil"/>
              <w:left w:val="nil"/>
              <w:bottom w:val="nil"/>
              <w:right w:val="nil"/>
            </w:tcBorders>
          </w:tcPr>
          <w:p w14:paraId="552CC85D"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1.87**</w:t>
            </w:r>
          </w:p>
        </w:tc>
        <w:tc>
          <w:tcPr>
            <w:tcW w:w="739" w:type="pct"/>
            <w:tcBorders>
              <w:top w:val="nil"/>
              <w:left w:val="nil"/>
              <w:bottom w:val="nil"/>
              <w:right w:val="nil"/>
            </w:tcBorders>
          </w:tcPr>
          <w:p w14:paraId="320F6A35"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-4.67</w:t>
            </w:r>
          </w:p>
        </w:tc>
        <w:tc>
          <w:tcPr>
            <w:tcW w:w="580" w:type="pct"/>
            <w:tcBorders>
              <w:top w:val="nil"/>
              <w:left w:val="nil"/>
              <w:bottom w:val="nil"/>
              <w:right w:val="nil"/>
            </w:tcBorders>
          </w:tcPr>
          <w:p w14:paraId="146A459A"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2.02*</w:t>
            </w:r>
          </w:p>
        </w:tc>
        <w:tc>
          <w:tcPr>
            <w:tcW w:w="814" w:type="pct"/>
            <w:tcBorders>
              <w:top w:val="nil"/>
              <w:left w:val="nil"/>
              <w:bottom w:val="nil"/>
              <w:right w:val="nil"/>
            </w:tcBorders>
          </w:tcPr>
          <w:p w14:paraId="4BFCF053"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-1.47</w:t>
            </w:r>
          </w:p>
        </w:tc>
        <w:tc>
          <w:tcPr>
            <w:tcW w:w="790" w:type="pct"/>
            <w:tcBorders>
              <w:top w:val="nil"/>
              <w:left w:val="nil"/>
              <w:bottom w:val="nil"/>
              <w:right w:val="nil"/>
            </w:tcBorders>
          </w:tcPr>
          <w:p w14:paraId="419C6FA7"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2.98**</w:t>
            </w:r>
          </w:p>
        </w:tc>
        <w:tc>
          <w:tcPr>
            <w:tcW w:w="796" w:type="pct"/>
            <w:tcBorders>
              <w:top w:val="nil"/>
              <w:left w:val="nil"/>
              <w:bottom w:val="nil"/>
              <w:right w:val="nil"/>
            </w:tcBorders>
          </w:tcPr>
          <w:p w14:paraId="297428CB"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2.22</w:t>
            </w:r>
          </w:p>
        </w:tc>
      </w:tr>
      <w:tr w:rsidR="003B5A8E" w:rsidRPr="00AD43B0" w14:paraId="2CBF732C" w14:textId="77777777" w:rsidTr="003B5A8E">
        <w:trPr>
          <w:jc w:val="center"/>
        </w:trPr>
        <w:tc>
          <w:tcPr>
            <w:tcW w:w="763" w:type="pct"/>
            <w:tcBorders>
              <w:top w:val="nil"/>
              <w:left w:val="nil"/>
              <w:bottom w:val="nil"/>
              <w:right w:val="nil"/>
            </w:tcBorders>
          </w:tcPr>
          <w:p w14:paraId="0AC0D195" w14:textId="2D90DCFD"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520" w:type="pct"/>
            <w:tcBorders>
              <w:top w:val="nil"/>
              <w:left w:val="nil"/>
              <w:bottom w:val="nil"/>
              <w:right w:val="nil"/>
            </w:tcBorders>
          </w:tcPr>
          <w:p w14:paraId="22350025"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(0.942)</w:t>
            </w:r>
          </w:p>
        </w:tc>
        <w:tc>
          <w:tcPr>
            <w:tcW w:w="739" w:type="pct"/>
            <w:tcBorders>
              <w:top w:val="nil"/>
              <w:left w:val="nil"/>
              <w:bottom w:val="nil"/>
              <w:right w:val="nil"/>
            </w:tcBorders>
          </w:tcPr>
          <w:p w14:paraId="66535C10"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(5.83)</w:t>
            </w:r>
          </w:p>
        </w:tc>
        <w:tc>
          <w:tcPr>
            <w:tcW w:w="580" w:type="pct"/>
            <w:tcBorders>
              <w:top w:val="nil"/>
              <w:left w:val="nil"/>
              <w:bottom w:val="nil"/>
              <w:right w:val="nil"/>
            </w:tcBorders>
          </w:tcPr>
          <w:p w14:paraId="26FFBCBD"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(1.15)</w:t>
            </w:r>
          </w:p>
        </w:tc>
        <w:tc>
          <w:tcPr>
            <w:tcW w:w="814" w:type="pct"/>
            <w:tcBorders>
              <w:top w:val="nil"/>
              <w:left w:val="nil"/>
              <w:bottom w:val="nil"/>
              <w:right w:val="nil"/>
            </w:tcBorders>
          </w:tcPr>
          <w:p w14:paraId="3BF859DB"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(8.02)</w:t>
            </w:r>
          </w:p>
        </w:tc>
        <w:tc>
          <w:tcPr>
            <w:tcW w:w="790" w:type="pct"/>
            <w:tcBorders>
              <w:top w:val="nil"/>
              <w:left w:val="nil"/>
              <w:bottom w:val="nil"/>
              <w:right w:val="nil"/>
            </w:tcBorders>
          </w:tcPr>
          <w:p w14:paraId="419BED11"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(1.46)</w:t>
            </w:r>
          </w:p>
        </w:tc>
        <w:tc>
          <w:tcPr>
            <w:tcW w:w="796" w:type="pct"/>
            <w:tcBorders>
              <w:top w:val="nil"/>
              <w:left w:val="nil"/>
              <w:bottom w:val="nil"/>
              <w:right w:val="nil"/>
            </w:tcBorders>
          </w:tcPr>
          <w:p w14:paraId="15E27C18"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(1.76)</w:t>
            </w:r>
          </w:p>
        </w:tc>
      </w:tr>
      <w:tr w:rsidR="003B5A8E" w:rsidRPr="00AD43B0" w14:paraId="7ED09316" w14:textId="77777777" w:rsidTr="003B5A8E">
        <w:trPr>
          <w:jc w:val="center"/>
        </w:trPr>
        <w:tc>
          <w:tcPr>
            <w:tcW w:w="763" w:type="pct"/>
            <w:tcBorders>
              <w:top w:val="nil"/>
              <w:left w:val="nil"/>
              <w:bottom w:val="nil"/>
              <w:right w:val="nil"/>
            </w:tcBorders>
          </w:tcPr>
          <w:p w14:paraId="47B21947"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O3-Attainment Status (t-1)</w:t>
            </w:r>
          </w:p>
        </w:tc>
        <w:tc>
          <w:tcPr>
            <w:tcW w:w="520" w:type="pct"/>
            <w:tcBorders>
              <w:top w:val="nil"/>
              <w:left w:val="nil"/>
              <w:bottom w:val="nil"/>
              <w:right w:val="nil"/>
            </w:tcBorders>
          </w:tcPr>
          <w:p w14:paraId="16809EC6"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-0.022</w:t>
            </w:r>
          </w:p>
        </w:tc>
        <w:tc>
          <w:tcPr>
            <w:tcW w:w="739" w:type="pct"/>
            <w:tcBorders>
              <w:top w:val="nil"/>
              <w:left w:val="nil"/>
              <w:bottom w:val="nil"/>
              <w:right w:val="nil"/>
            </w:tcBorders>
          </w:tcPr>
          <w:p w14:paraId="5F57CD92"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-1.15</w:t>
            </w:r>
          </w:p>
        </w:tc>
        <w:tc>
          <w:tcPr>
            <w:tcW w:w="580" w:type="pct"/>
            <w:tcBorders>
              <w:top w:val="nil"/>
              <w:left w:val="nil"/>
              <w:bottom w:val="nil"/>
              <w:right w:val="nil"/>
            </w:tcBorders>
          </w:tcPr>
          <w:p w14:paraId="46764A5B"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-0.061</w:t>
            </w:r>
          </w:p>
        </w:tc>
        <w:tc>
          <w:tcPr>
            <w:tcW w:w="814" w:type="pct"/>
            <w:tcBorders>
              <w:top w:val="nil"/>
              <w:left w:val="nil"/>
              <w:bottom w:val="nil"/>
              <w:right w:val="nil"/>
            </w:tcBorders>
          </w:tcPr>
          <w:p w14:paraId="430F699D"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-0.598</w:t>
            </w:r>
          </w:p>
        </w:tc>
        <w:tc>
          <w:tcPr>
            <w:tcW w:w="790" w:type="pct"/>
            <w:tcBorders>
              <w:top w:val="nil"/>
              <w:left w:val="nil"/>
              <w:bottom w:val="nil"/>
              <w:right w:val="nil"/>
            </w:tcBorders>
          </w:tcPr>
          <w:p w14:paraId="41537CBC"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0.207</w:t>
            </w:r>
          </w:p>
        </w:tc>
        <w:tc>
          <w:tcPr>
            <w:tcW w:w="796" w:type="pct"/>
            <w:tcBorders>
              <w:top w:val="nil"/>
              <w:left w:val="nil"/>
              <w:bottom w:val="nil"/>
              <w:right w:val="nil"/>
            </w:tcBorders>
          </w:tcPr>
          <w:p w14:paraId="3AE503D3"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0.193</w:t>
            </w:r>
          </w:p>
        </w:tc>
      </w:tr>
      <w:tr w:rsidR="003B5A8E" w:rsidRPr="00AD43B0" w14:paraId="54A9E945" w14:textId="77777777" w:rsidTr="003B5A8E">
        <w:trPr>
          <w:jc w:val="center"/>
        </w:trPr>
        <w:tc>
          <w:tcPr>
            <w:tcW w:w="763" w:type="pct"/>
            <w:tcBorders>
              <w:top w:val="nil"/>
              <w:left w:val="nil"/>
              <w:bottom w:val="nil"/>
              <w:right w:val="nil"/>
            </w:tcBorders>
          </w:tcPr>
          <w:p w14:paraId="22A7A03D" w14:textId="297AA6C2"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520" w:type="pct"/>
            <w:tcBorders>
              <w:top w:val="nil"/>
              <w:left w:val="nil"/>
              <w:bottom w:val="nil"/>
              <w:right w:val="nil"/>
            </w:tcBorders>
          </w:tcPr>
          <w:p w14:paraId="13BB17B5"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(0.130)</w:t>
            </w:r>
          </w:p>
        </w:tc>
        <w:tc>
          <w:tcPr>
            <w:tcW w:w="739" w:type="pct"/>
            <w:tcBorders>
              <w:top w:val="nil"/>
              <w:left w:val="nil"/>
              <w:bottom w:val="nil"/>
              <w:right w:val="nil"/>
            </w:tcBorders>
          </w:tcPr>
          <w:p w14:paraId="0B89428A"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(1.147)</w:t>
            </w:r>
          </w:p>
        </w:tc>
        <w:tc>
          <w:tcPr>
            <w:tcW w:w="580" w:type="pct"/>
            <w:tcBorders>
              <w:top w:val="nil"/>
              <w:left w:val="nil"/>
              <w:bottom w:val="nil"/>
              <w:right w:val="nil"/>
            </w:tcBorders>
          </w:tcPr>
          <w:p w14:paraId="2BCA5C0F"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(0.132)</w:t>
            </w:r>
          </w:p>
        </w:tc>
        <w:tc>
          <w:tcPr>
            <w:tcW w:w="814" w:type="pct"/>
            <w:tcBorders>
              <w:top w:val="nil"/>
              <w:left w:val="nil"/>
              <w:bottom w:val="nil"/>
              <w:right w:val="nil"/>
            </w:tcBorders>
          </w:tcPr>
          <w:p w14:paraId="0D3A8092"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(0.900)</w:t>
            </w:r>
          </w:p>
        </w:tc>
        <w:tc>
          <w:tcPr>
            <w:tcW w:w="790" w:type="pct"/>
            <w:tcBorders>
              <w:top w:val="nil"/>
              <w:left w:val="nil"/>
              <w:bottom w:val="nil"/>
              <w:right w:val="nil"/>
            </w:tcBorders>
          </w:tcPr>
          <w:p w14:paraId="186321B4"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(0.171)</w:t>
            </w:r>
          </w:p>
        </w:tc>
        <w:tc>
          <w:tcPr>
            <w:tcW w:w="796" w:type="pct"/>
            <w:tcBorders>
              <w:top w:val="nil"/>
              <w:left w:val="nil"/>
              <w:bottom w:val="nil"/>
              <w:right w:val="nil"/>
            </w:tcBorders>
          </w:tcPr>
          <w:p w14:paraId="2E10C6DD"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(0.190)</w:t>
            </w:r>
          </w:p>
        </w:tc>
      </w:tr>
      <w:tr w:rsidR="003B5A8E" w:rsidRPr="00AD43B0" w14:paraId="6AB98242" w14:textId="77777777" w:rsidTr="003B5A8E">
        <w:trPr>
          <w:jc w:val="center"/>
        </w:trPr>
        <w:tc>
          <w:tcPr>
            <w:tcW w:w="763" w:type="pct"/>
            <w:tcBorders>
              <w:top w:val="nil"/>
              <w:left w:val="nil"/>
              <w:bottom w:val="nil"/>
              <w:right w:val="nil"/>
            </w:tcBorders>
          </w:tcPr>
          <w:p w14:paraId="1566E5DE"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PM-Attainment Status (t-1)</w:t>
            </w:r>
          </w:p>
        </w:tc>
        <w:tc>
          <w:tcPr>
            <w:tcW w:w="520" w:type="pct"/>
            <w:tcBorders>
              <w:top w:val="nil"/>
              <w:left w:val="nil"/>
              <w:bottom w:val="nil"/>
              <w:right w:val="nil"/>
            </w:tcBorders>
          </w:tcPr>
          <w:p w14:paraId="278D3B69"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0.218**</w:t>
            </w:r>
          </w:p>
        </w:tc>
        <w:tc>
          <w:tcPr>
            <w:tcW w:w="739" w:type="pct"/>
            <w:tcBorders>
              <w:top w:val="nil"/>
              <w:left w:val="nil"/>
              <w:bottom w:val="nil"/>
              <w:right w:val="nil"/>
            </w:tcBorders>
          </w:tcPr>
          <w:p w14:paraId="702CE2BD"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-0.053</w:t>
            </w:r>
          </w:p>
        </w:tc>
        <w:tc>
          <w:tcPr>
            <w:tcW w:w="580" w:type="pct"/>
            <w:tcBorders>
              <w:top w:val="nil"/>
              <w:left w:val="nil"/>
              <w:bottom w:val="nil"/>
              <w:right w:val="nil"/>
            </w:tcBorders>
          </w:tcPr>
          <w:p w14:paraId="05036453"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0.142*</w:t>
            </w:r>
          </w:p>
        </w:tc>
        <w:tc>
          <w:tcPr>
            <w:tcW w:w="814" w:type="pct"/>
            <w:tcBorders>
              <w:top w:val="nil"/>
              <w:left w:val="nil"/>
              <w:bottom w:val="nil"/>
              <w:right w:val="nil"/>
            </w:tcBorders>
          </w:tcPr>
          <w:p w14:paraId="6E2C7AC6"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-0.241</w:t>
            </w:r>
          </w:p>
        </w:tc>
        <w:tc>
          <w:tcPr>
            <w:tcW w:w="790" w:type="pct"/>
            <w:tcBorders>
              <w:top w:val="nil"/>
              <w:left w:val="nil"/>
              <w:bottom w:val="nil"/>
              <w:right w:val="nil"/>
            </w:tcBorders>
          </w:tcPr>
          <w:p w14:paraId="3B6EE7BB"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-0.117</w:t>
            </w:r>
          </w:p>
        </w:tc>
        <w:tc>
          <w:tcPr>
            <w:tcW w:w="796" w:type="pct"/>
            <w:tcBorders>
              <w:top w:val="nil"/>
              <w:left w:val="nil"/>
              <w:bottom w:val="nil"/>
              <w:right w:val="nil"/>
            </w:tcBorders>
          </w:tcPr>
          <w:p w14:paraId="28BCB6B2"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-0.377**</w:t>
            </w:r>
          </w:p>
        </w:tc>
      </w:tr>
      <w:tr w:rsidR="003B5A8E" w:rsidRPr="00AD43B0" w14:paraId="019AD806" w14:textId="77777777" w:rsidTr="003B5A8E">
        <w:trPr>
          <w:jc w:val="center"/>
        </w:trPr>
        <w:tc>
          <w:tcPr>
            <w:tcW w:w="763" w:type="pct"/>
            <w:tcBorders>
              <w:top w:val="nil"/>
              <w:left w:val="nil"/>
              <w:bottom w:val="nil"/>
              <w:right w:val="nil"/>
            </w:tcBorders>
          </w:tcPr>
          <w:p w14:paraId="69C715A3" w14:textId="615C39F0"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520" w:type="pct"/>
            <w:tcBorders>
              <w:top w:val="nil"/>
              <w:left w:val="nil"/>
              <w:bottom w:val="nil"/>
              <w:right w:val="nil"/>
            </w:tcBorders>
          </w:tcPr>
          <w:p w14:paraId="1595EB21"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(0.087)</w:t>
            </w:r>
          </w:p>
        </w:tc>
        <w:tc>
          <w:tcPr>
            <w:tcW w:w="739" w:type="pct"/>
            <w:tcBorders>
              <w:top w:val="nil"/>
              <w:left w:val="nil"/>
              <w:bottom w:val="nil"/>
              <w:right w:val="nil"/>
            </w:tcBorders>
          </w:tcPr>
          <w:p w14:paraId="336A0D75"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(0.544)</w:t>
            </w:r>
          </w:p>
        </w:tc>
        <w:tc>
          <w:tcPr>
            <w:tcW w:w="580" w:type="pct"/>
            <w:tcBorders>
              <w:top w:val="nil"/>
              <w:left w:val="nil"/>
              <w:bottom w:val="nil"/>
              <w:right w:val="nil"/>
            </w:tcBorders>
          </w:tcPr>
          <w:p w14:paraId="06930B63"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(0.082)</w:t>
            </w:r>
          </w:p>
        </w:tc>
        <w:tc>
          <w:tcPr>
            <w:tcW w:w="814" w:type="pct"/>
            <w:tcBorders>
              <w:top w:val="nil"/>
              <w:left w:val="nil"/>
              <w:bottom w:val="nil"/>
              <w:right w:val="nil"/>
            </w:tcBorders>
          </w:tcPr>
          <w:p w14:paraId="52288C30"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(0.468)</w:t>
            </w:r>
          </w:p>
        </w:tc>
        <w:tc>
          <w:tcPr>
            <w:tcW w:w="790" w:type="pct"/>
            <w:tcBorders>
              <w:top w:val="nil"/>
              <w:left w:val="nil"/>
              <w:bottom w:val="nil"/>
              <w:right w:val="nil"/>
            </w:tcBorders>
          </w:tcPr>
          <w:p w14:paraId="7896E241"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(0.105)</w:t>
            </w:r>
          </w:p>
        </w:tc>
        <w:tc>
          <w:tcPr>
            <w:tcW w:w="796" w:type="pct"/>
            <w:tcBorders>
              <w:top w:val="nil"/>
              <w:left w:val="nil"/>
              <w:bottom w:val="nil"/>
              <w:right w:val="nil"/>
            </w:tcBorders>
          </w:tcPr>
          <w:p w14:paraId="4F72C921"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(0.189)</w:t>
            </w:r>
          </w:p>
        </w:tc>
      </w:tr>
      <w:tr w:rsidR="003B5A8E" w:rsidRPr="00AD43B0" w14:paraId="62764485" w14:textId="77777777" w:rsidTr="003B5A8E">
        <w:trPr>
          <w:jc w:val="center"/>
        </w:trPr>
        <w:tc>
          <w:tcPr>
            <w:tcW w:w="763" w:type="pct"/>
            <w:tcBorders>
              <w:top w:val="nil"/>
              <w:left w:val="nil"/>
              <w:bottom w:val="nil"/>
              <w:right w:val="nil"/>
            </w:tcBorders>
          </w:tcPr>
          <w:p w14:paraId="2C5E1A46"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Population Density (100s)</w:t>
            </w:r>
          </w:p>
        </w:tc>
        <w:tc>
          <w:tcPr>
            <w:tcW w:w="520" w:type="pct"/>
            <w:tcBorders>
              <w:top w:val="nil"/>
              <w:left w:val="nil"/>
              <w:bottom w:val="nil"/>
              <w:right w:val="nil"/>
            </w:tcBorders>
          </w:tcPr>
          <w:p w14:paraId="3122BCD5"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-5.53</w:t>
            </w:r>
          </w:p>
        </w:tc>
        <w:tc>
          <w:tcPr>
            <w:tcW w:w="739" w:type="pct"/>
            <w:tcBorders>
              <w:top w:val="nil"/>
              <w:left w:val="nil"/>
              <w:bottom w:val="nil"/>
              <w:right w:val="nil"/>
            </w:tcBorders>
          </w:tcPr>
          <w:p w14:paraId="1CB30EB6"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33.2</w:t>
            </w:r>
          </w:p>
        </w:tc>
        <w:tc>
          <w:tcPr>
            <w:tcW w:w="580" w:type="pct"/>
            <w:tcBorders>
              <w:top w:val="nil"/>
              <w:left w:val="nil"/>
              <w:bottom w:val="nil"/>
              <w:right w:val="nil"/>
            </w:tcBorders>
          </w:tcPr>
          <w:p w14:paraId="1C48175A"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-1.72</w:t>
            </w:r>
          </w:p>
        </w:tc>
        <w:tc>
          <w:tcPr>
            <w:tcW w:w="814" w:type="pct"/>
            <w:tcBorders>
              <w:top w:val="nil"/>
              <w:left w:val="nil"/>
              <w:bottom w:val="nil"/>
              <w:right w:val="nil"/>
            </w:tcBorders>
          </w:tcPr>
          <w:p w14:paraId="14B48E82"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34.5</w:t>
            </w:r>
          </w:p>
        </w:tc>
        <w:tc>
          <w:tcPr>
            <w:tcW w:w="790" w:type="pct"/>
            <w:tcBorders>
              <w:top w:val="nil"/>
              <w:left w:val="nil"/>
              <w:bottom w:val="nil"/>
              <w:right w:val="nil"/>
            </w:tcBorders>
          </w:tcPr>
          <w:p w14:paraId="6DCBD2E6"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-6.15</w:t>
            </w:r>
          </w:p>
        </w:tc>
        <w:tc>
          <w:tcPr>
            <w:tcW w:w="796" w:type="pct"/>
            <w:tcBorders>
              <w:top w:val="nil"/>
              <w:left w:val="nil"/>
              <w:bottom w:val="nil"/>
              <w:right w:val="nil"/>
            </w:tcBorders>
          </w:tcPr>
          <w:p w14:paraId="3F66B68E"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2.88</w:t>
            </w:r>
          </w:p>
        </w:tc>
      </w:tr>
      <w:tr w:rsidR="003B5A8E" w:rsidRPr="00AD43B0" w14:paraId="20E4ED23" w14:textId="77777777" w:rsidTr="003B5A8E">
        <w:trPr>
          <w:jc w:val="center"/>
        </w:trPr>
        <w:tc>
          <w:tcPr>
            <w:tcW w:w="763" w:type="pct"/>
            <w:tcBorders>
              <w:top w:val="nil"/>
              <w:left w:val="nil"/>
              <w:bottom w:val="nil"/>
              <w:right w:val="nil"/>
            </w:tcBorders>
          </w:tcPr>
          <w:p w14:paraId="6E2F8179" w14:textId="2A27A7BF"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520" w:type="pct"/>
            <w:tcBorders>
              <w:top w:val="nil"/>
              <w:left w:val="nil"/>
              <w:bottom w:val="nil"/>
              <w:right w:val="nil"/>
            </w:tcBorders>
          </w:tcPr>
          <w:p w14:paraId="2F86F306"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(4.66)</w:t>
            </w:r>
          </w:p>
        </w:tc>
        <w:tc>
          <w:tcPr>
            <w:tcW w:w="739" w:type="pct"/>
            <w:tcBorders>
              <w:top w:val="nil"/>
              <w:left w:val="nil"/>
              <w:bottom w:val="nil"/>
              <w:right w:val="nil"/>
            </w:tcBorders>
          </w:tcPr>
          <w:p w14:paraId="6725EE97"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(33.3)</w:t>
            </w:r>
          </w:p>
        </w:tc>
        <w:tc>
          <w:tcPr>
            <w:tcW w:w="580" w:type="pct"/>
            <w:tcBorders>
              <w:top w:val="nil"/>
              <w:left w:val="nil"/>
              <w:bottom w:val="nil"/>
              <w:right w:val="nil"/>
            </w:tcBorders>
          </w:tcPr>
          <w:p w14:paraId="353F06A6"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(3.84)</w:t>
            </w:r>
          </w:p>
        </w:tc>
        <w:tc>
          <w:tcPr>
            <w:tcW w:w="814" w:type="pct"/>
            <w:tcBorders>
              <w:top w:val="nil"/>
              <w:left w:val="nil"/>
              <w:bottom w:val="nil"/>
              <w:right w:val="nil"/>
            </w:tcBorders>
          </w:tcPr>
          <w:p w14:paraId="4DEEE871"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(33.5)</w:t>
            </w:r>
          </w:p>
        </w:tc>
        <w:tc>
          <w:tcPr>
            <w:tcW w:w="790" w:type="pct"/>
            <w:tcBorders>
              <w:top w:val="nil"/>
              <w:left w:val="nil"/>
              <w:bottom w:val="nil"/>
              <w:right w:val="nil"/>
            </w:tcBorders>
          </w:tcPr>
          <w:p w14:paraId="61582498"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(5.17)</w:t>
            </w:r>
          </w:p>
        </w:tc>
        <w:tc>
          <w:tcPr>
            <w:tcW w:w="796" w:type="pct"/>
            <w:tcBorders>
              <w:top w:val="nil"/>
              <w:left w:val="nil"/>
              <w:bottom w:val="nil"/>
              <w:right w:val="nil"/>
            </w:tcBorders>
          </w:tcPr>
          <w:p w14:paraId="0D80CA7E"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(6.64)</w:t>
            </w:r>
          </w:p>
        </w:tc>
      </w:tr>
      <w:tr w:rsidR="003B5A8E" w:rsidRPr="00AD43B0" w14:paraId="2AEB150B" w14:textId="77777777" w:rsidTr="003B5A8E">
        <w:trPr>
          <w:jc w:val="center"/>
        </w:trPr>
        <w:tc>
          <w:tcPr>
            <w:tcW w:w="763" w:type="pct"/>
            <w:tcBorders>
              <w:top w:val="nil"/>
              <w:left w:val="nil"/>
              <w:bottom w:val="nil"/>
              <w:right w:val="nil"/>
            </w:tcBorders>
          </w:tcPr>
          <w:p w14:paraId="096A1562"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 xml:space="preserve">Prior </w:t>
            </w:r>
            <w:proofErr w:type="spellStart"/>
            <w:r w:rsidRPr="00BF0763">
              <w:rPr>
                <w:rFonts w:eastAsia="Times New Roman" w:cs="Times New Roman"/>
                <w:sz w:val="20"/>
                <w:szCs w:val="20"/>
              </w:rPr>
              <w:t>Estab</w:t>
            </w:r>
            <w:proofErr w:type="spellEnd"/>
            <w:r w:rsidRPr="00BF0763">
              <w:rPr>
                <w:rFonts w:eastAsia="Times New Roman" w:cs="Times New Roman"/>
                <w:sz w:val="20"/>
                <w:szCs w:val="20"/>
              </w:rPr>
              <w:t>. Count (10ks)</w:t>
            </w:r>
          </w:p>
        </w:tc>
        <w:tc>
          <w:tcPr>
            <w:tcW w:w="520" w:type="pct"/>
            <w:tcBorders>
              <w:top w:val="nil"/>
              <w:left w:val="nil"/>
              <w:bottom w:val="nil"/>
              <w:right w:val="nil"/>
            </w:tcBorders>
          </w:tcPr>
          <w:p w14:paraId="45C316E2"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-53.7***</w:t>
            </w:r>
          </w:p>
        </w:tc>
        <w:tc>
          <w:tcPr>
            <w:tcW w:w="739" w:type="pct"/>
            <w:tcBorders>
              <w:top w:val="nil"/>
              <w:left w:val="nil"/>
              <w:bottom w:val="nil"/>
              <w:right w:val="nil"/>
            </w:tcBorders>
          </w:tcPr>
          <w:p w14:paraId="6851C479"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-365***</w:t>
            </w:r>
          </w:p>
        </w:tc>
        <w:tc>
          <w:tcPr>
            <w:tcW w:w="580" w:type="pct"/>
            <w:tcBorders>
              <w:top w:val="nil"/>
              <w:left w:val="nil"/>
              <w:bottom w:val="nil"/>
              <w:right w:val="nil"/>
            </w:tcBorders>
          </w:tcPr>
          <w:p w14:paraId="23EB5723"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44.3***</w:t>
            </w:r>
          </w:p>
        </w:tc>
        <w:tc>
          <w:tcPr>
            <w:tcW w:w="814" w:type="pct"/>
            <w:tcBorders>
              <w:top w:val="nil"/>
              <w:left w:val="nil"/>
              <w:bottom w:val="nil"/>
              <w:right w:val="nil"/>
            </w:tcBorders>
          </w:tcPr>
          <w:p w14:paraId="167A92E3"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279*</w:t>
            </w:r>
          </w:p>
        </w:tc>
        <w:tc>
          <w:tcPr>
            <w:tcW w:w="790" w:type="pct"/>
            <w:tcBorders>
              <w:top w:val="nil"/>
              <w:left w:val="nil"/>
              <w:bottom w:val="nil"/>
              <w:right w:val="nil"/>
            </w:tcBorders>
          </w:tcPr>
          <w:p w14:paraId="7761D8A4"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796" w:type="pct"/>
            <w:tcBorders>
              <w:top w:val="nil"/>
              <w:left w:val="nil"/>
              <w:bottom w:val="nil"/>
              <w:right w:val="nil"/>
            </w:tcBorders>
          </w:tcPr>
          <w:p w14:paraId="7FC10509"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r>
      <w:tr w:rsidR="003B5A8E" w:rsidRPr="00AD43B0" w14:paraId="4EBA744A" w14:textId="77777777" w:rsidTr="003B5A8E">
        <w:trPr>
          <w:jc w:val="center"/>
        </w:trPr>
        <w:tc>
          <w:tcPr>
            <w:tcW w:w="763" w:type="pct"/>
            <w:tcBorders>
              <w:top w:val="nil"/>
              <w:left w:val="nil"/>
              <w:bottom w:val="nil"/>
              <w:right w:val="nil"/>
            </w:tcBorders>
          </w:tcPr>
          <w:p w14:paraId="17931AB2" w14:textId="4E5B1205"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520" w:type="pct"/>
            <w:tcBorders>
              <w:top w:val="nil"/>
              <w:left w:val="nil"/>
              <w:bottom w:val="nil"/>
              <w:right w:val="nil"/>
            </w:tcBorders>
          </w:tcPr>
          <w:p w14:paraId="0173CE06"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(9.77)</w:t>
            </w:r>
          </w:p>
        </w:tc>
        <w:tc>
          <w:tcPr>
            <w:tcW w:w="739" w:type="pct"/>
            <w:tcBorders>
              <w:top w:val="nil"/>
              <w:left w:val="nil"/>
              <w:bottom w:val="nil"/>
              <w:right w:val="nil"/>
            </w:tcBorders>
          </w:tcPr>
          <w:p w14:paraId="52B367DD"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(83.1)</w:t>
            </w:r>
          </w:p>
        </w:tc>
        <w:tc>
          <w:tcPr>
            <w:tcW w:w="580" w:type="pct"/>
            <w:tcBorders>
              <w:top w:val="nil"/>
              <w:left w:val="nil"/>
              <w:bottom w:val="nil"/>
              <w:right w:val="nil"/>
            </w:tcBorders>
          </w:tcPr>
          <w:p w14:paraId="47A45F27"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(15.8)</w:t>
            </w:r>
          </w:p>
        </w:tc>
        <w:tc>
          <w:tcPr>
            <w:tcW w:w="814" w:type="pct"/>
            <w:tcBorders>
              <w:top w:val="nil"/>
              <w:left w:val="nil"/>
              <w:bottom w:val="nil"/>
              <w:right w:val="nil"/>
            </w:tcBorders>
          </w:tcPr>
          <w:p w14:paraId="07E3469E"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(149)</w:t>
            </w:r>
          </w:p>
        </w:tc>
        <w:tc>
          <w:tcPr>
            <w:tcW w:w="790" w:type="pct"/>
            <w:tcBorders>
              <w:top w:val="nil"/>
              <w:left w:val="nil"/>
              <w:bottom w:val="nil"/>
              <w:right w:val="nil"/>
            </w:tcBorders>
          </w:tcPr>
          <w:p w14:paraId="3518E102"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796" w:type="pct"/>
            <w:tcBorders>
              <w:top w:val="nil"/>
              <w:left w:val="nil"/>
              <w:bottom w:val="nil"/>
              <w:right w:val="nil"/>
            </w:tcBorders>
          </w:tcPr>
          <w:p w14:paraId="167CD9C1"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r>
      <w:tr w:rsidR="003B5A8E" w:rsidRPr="00AD43B0" w14:paraId="33B8E833" w14:textId="77777777" w:rsidTr="003B5A8E">
        <w:trPr>
          <w:jc w:val="center"/>
        </w:trPr>
        <w:tc>
          <w:tcPr>
            <w:tcW w:w="763" w:type="pct"/>
            <w:tcBorders>
              <w:top w:val="nil"/>
              <w:left w:val="nil"/>
              <w:bottom w:val="nil"/>
              <w:right w:val="nil"/>
            </w:tcBorders>
          </w:tcPr>
          <w:p w14:paraId="620C170B"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Prior Exits</w:t>
            </w:r>
          </w:p>
        </w:tc>
        <w:tc>
          <w:tcPr>
            <w:tcW w:w="520" w:type="pct"/>
            <w:tcBorders>
              <w:top w:val="nil"/>
              <w:left w:val="nil"/>
              <w:bottom w:val="nil"/>
              <w:right w:val="nil"/>
            </w:tcBorders>
          </w:tcPr>
          <w:p w14:paraId="04DCEAE0"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5.96***</w:t>
            </w:r>
          </w:p>
        </w:tc>
        <w:tc>
          <w:tcPr>
            <w:tcW w:w="739" w:type="pct"/>
            <w:tcBorders>
              <w:top w:val="nil"/>
              <w:left w:val="nil"/>
              <w:bottom w:val="nil"/>
              <w:right w:val="nil"/>
            </w:tcBorders>
          </w:tcPr>
          <w:p w14:paraId="2A2B39BD"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69.2**</w:t>
            </w:r>
          </w:p>
        </w:tc>
        <w:tc>
          <w:tcPr>
            <w:tcW w:w="580" w:type="pct"/>
            <w:tcBorders>
              <w:top w:val="nil"/>
              <w:left w:val="nil"/>
              <w:bottom w:val="nil"/>
              <w:right w:val="nil"/>
            </w:tcBorders>
          </w:tcPr>
          <w:p w14:paraId="5752E180"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814" w:type="pct"/>
            <w:tcBorders>
              <w:top w:val="nil"/>
              <w:left w:val="nil"/>
              <w:bottom w:val="nil"/>
              <w:right w:val="nil"/>
            </w:tcBorders>
          </w:tcPr>
          <w:p w14:paraId="21A1BD2D"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790" w:type="pct"/>
            <w:tcBorders>
              <w:top w:val="nil"/>
              <w:left w:val="nil"/>
              <w:bottom w:val="nil"/>
              <w:right w:val="nil"/>
            </w:tcBorders>
          </w:tcPr>
          <w:p w14:paraId="54E31A5F"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796" w:type="pct"/>
            <w:tcBorders>
              <w:top w:val="nil"/>
              <w:left w:val="nil"/>
              <w:bottom w:val="nil"/>
              <w:right w:val="nil"/>
            </w:tcBorders>
          </w:tcPr>
          <w:p w14:paraId="2777A31A"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r>
      <w:tr w:rsidR="003B5A8E" w:rsidRPr="00AD43B0" w14:paraId="17537E58" w14:textId="77777777" w:rsidTr="003B5A8E">
        <w:trPr>
          <w:jc w:val="center"/>
        </w:trPr>
        <w:tc>
          <w:tcPr>
            <w:tcW w:w="763" w:type="pct"/>
            <w:tcBorders>
              <w:top w:val="nil"/>
              <w:left w:val="nil"/>
              <w:bottom w:val="nil"/>
              <w:right w:val="nil"/>
            </w:tcBorders>
          </w:tcPr>
          <w:p w14:paraId="57B0B881" w14:textId="16CF162C"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520" w:type="pct"/>
            <w:tcBorders>
              <w:top w:val="nil"/>
              <w:left w:val="nil"/>
              <w:bottom w:val="nil"/>
              <w:right w:val="nil"/>
            </w:tcBorders>
          </w:tcPr>
          <w:p w14:paraId="31A30DBF"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(1.64)</w:t>
            </w:r>
          </w:p>
        </w:tc>
        <w:tc>
          <w:tcPr>
            <w:tcW w:w="739" w:type="pct"/>
            <w:tcBorders>
              <w:top w:val="nil"/>
              <w:left w:val="nil"/>
              <w:bottom w:val="nil"/>
              <w:right w:val="nil"/>
            </w:tcBorders>
          </w:tcPr>
          <w:p w14:paraId="57532CE8"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(31.1)</w:t>
            </w:r>
          </w:p>
        </w:tc>
        <w:tc>
          <w:tcPr>
            <w:tcW w:w="580" w:type="pct"/>
            <w:tcBorders>
              <w:top w:val="nil"/>
              <w:left w:val="nil"/>
              <w:bottom w:val="nil"/>
              <w:right w:val="nil"/>
            </w:tcBorders>
          </w:tcPr>
          <w:p w14:paraId="2CEE95ED"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814" w:type="pct"/>
            <w:tcBorders>
              <w:top w:val="nil"/>
              <w:left w:val="nil"/>
              <w:bottom w:val="nil"/>
              <w:right w:val="nil"/>
            </w:tcBorders>
          </w:tcPr>
          <w:p w14:paraId="57FA702D"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790" w:type="pct"/>
            <w:tcBorders>
              <w:top w:val="nil"/>
              <w:left w:val="nil"/>
              <w:bottom w:val="nil"/>
              <w:right w:val="nil"/>
            </w:tcBorders>
          </w:tcPr>
          <w:p w14:paraId="3DAE4856"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796" w:type="pct"/>
            <w:tcBorders>
              <w:top w:val="nil"/>
              <w:left w:val="nil"/>
              <w:bottom w:val="nil"/>
              <w:right w:val="nil"/>
            </w:tcBorders>
          </w:tcPr>
          <w:p w14:paraId="6219EAD9"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r>
      <w:tr w:rsidR="003B5A8E" w:rsidRPr="00AD43B0" w14:paraId="5AF72B2F" w14:textId="77777777" w:rsidTr="003B5A8E">
        <w:trPr>
          <w:jc w:val="center"/>
        </w:trPr>
        <w:tc>
          <w:tcPr>
            <w:tcW w:w="763" w:type="pct"/>
            <w:tcBorders>
              <w:top w:val="nil"/>
              <w:left w:val="nil"/>
              <w:bottom w:val="nil"/>
              <w:right w:val="nil"/>
            </w:tcBorders>
          </w:tcPr>
          <w:p w14:paraId="7922C4F1"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Prior Entries</w:t>
            </w:r>
          </w:p>
        </w:tc>
        <w:tc>
          <w:tcPr>
            <w:tcW w:w="520" w:type="pct"/>
            <w:tcBorders>
              <w:top w:val="nil"/>
              <w:left w:val="nil"/>
              <w:bottom w:val="nil"/>
              <w:right w:val="nil"/>
            </w:tcBorders>
          </w:tcPr>
          <w:p w14:paraId="45EA3CA0"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739" w:type="pct"/>
            <w:tcBorders>
              <w:top w:val="nil"/>
              <w:left w:val="nil"/>
              <w:bottom w:val="nil"/>
              <w:right w:val="nil"/>
            </w:tcBorders>
          </w:tcPr>
          <w:p w14:paraId="46248F54"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580" w:type="pct"/>
            <w:tcBorders>
              <w:top w:val="nil"/>
              <w:left w:val="nil"/>
              <w:bottom w:val="nil"/>
              <w:right w:val="nil"/>
            </w:tcBorders>
          </w:tcPr>
          <w:p w14:paraId="039B751E"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7.46***</w:t>
            </w:r>
          </w:p>
        </w:tc>
        <w:tc>
          <w:tcPr>
            <w:tcW w:w="814" w:type="pct"/>
            <w:tcBorders>
              <w:top w:val="nil"/>
              <w:left w:val="nil"/>
              <w:bottom w:val="nil"/>
              <w:right w:val="nil"/>
            </w:tcBorders>
          </w:tcPr>
          <w:p w14:paraId="7DE8AD14"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50.8***</w:t>
            </w:r>
          </w:p>
        </w:tc>
        <w:tc>
          <w:tcPr>
            <w:tcW w:w="790" w:type="pct"/>
            <w:tcBorders>
              <w:top w:val="nil"/>
              <w:left w:val="nil"/>
              <w:bottom w:val="nil"/>
              <w:right w:val="nil"/>
            </w:tcBorders>
          </w:tcPr>
          <w:p w14:paraId="6244C669"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796" w:type="pct"/>
            <w:tcBorders>
              <w:top w:val="nil"/>
              <w:left w:val="nil"/>
              <w:bottom w:val="nil"/>
              <w:right w:val="nil"/>
            </w:tcBorders>
          </w:tcPr>
          <w:p w14:paraId="037C8496"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r>
      <w:tr w:rsidR="003B5A8E" w:rsidRPr="00AD43B0" w14:paraId="2241346B" w14:textId="77777777" w:rsidTr="003B5A8E">
        <w:trPr>
          <w:jc w:val="center"/>
        </w:trPr>
        <w:tc>
          <w:tcPr>
            <w:tcW w:w="763" w:type="pct"/>
            <w:tcBorders>
              <w:top w:val="nil"/>
              <w:left w:val="nil"/>
              <w:bottom w:val="nil"/>
              <w:right w:val="nil"/>
            </w:tcBorders>
          </w:tcPr>
          <w:p w14:paraId="574088DB" w14:textId="21924CFC"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520" w:type="pct"/>
            <w:tcBorders>
              <w:top w:val="nil"/>
              <w:left w:val="nil"/>
              <w:bottom w:val="nil"/>
              <w:right w:val="nil"/>
            </w:tcBorders>
          </w:tcPr>
          <w:p w14:paraId="61CF3124"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739" w:type="pct"/>
            <w:tcBorders>
              <w:top w:val="nil"/>
              <w:left w:val="nil"/>
              <w:bottom w:val="nil"/>
              <w:right w:val="nil"/>
            </w:tcBorders>
          </w:tcPr>
          <w:p w14:paraId="649D2E62"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580" w:type="pct"/>
            <w:tcBorders>
              <w:top w:val="nil"/>
              <w:left w:val="nil"/>
              <w:bottom w:val="nil"/>
              <w:right w:val="nil"/>
            </w:tcBorders>
          </w:tcPr>
          <w:p w14:paraId="7D094C8D"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(2.85)</w:t>
            </w:r>
          </w:p>
        </w:tc>
        <w:tc>
          <w:tcPr>
            <w:tcW w:w="814" w:type="pct"/>
            <w:tcBorders>
              <w:top w:val="nil"/>
              <w:left w:val="nil"/>
              <w:bottom w:val="nil"/>
              <w:right w:val="nil"/>
            </w:tcBorders>
          </w:tcPr>
          <w:p w14:paraId="68CAAD17"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(12.8)</w:t>
            </w:r>
          </w:p>
        </w:tc>
        <w:tc>
          <w:tcPr>
            <w:tcW w:w="790" w:type="pct"/>
            <w:tcBorders>
              <w:top w:val="nil"/>
              <w:left w:val="nil"/>
              <w:bottom w:val="nil"/>
              <w:right w:val="nil"/>
            </w:tcBorders>
          </w:tcPr>
          <w:p w14:paraId="425F2C8A"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796" w:type="pct"/>
            <w:tcBorders>
              <w:top w:val="nil"/>
              <w:left w:val="nil"/>
              <w:bottom w:val="nil"/>
              <w:right w:val="nil"/>
            </w:tcBorders>
          </w:tcPr>
          <w:p w14:paraId="583C7429"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r>
      <w:tr w:rsidR="003B5A8E" w:rsidRPr="00AD43B0" w14:paraId="3B52F4D1" w14:textId="77777777" w:rsidTr="003B5A8E">
        <w:trPr>
          <w:jc w:val="center"/>
        </w:trPr>
        <w:tc>
          <w:tcPr>
            <w:tcW w:w="763" w:type="pct"/>
            <w:tcBorders>
              <w:top w:val="nil"/>
              <w:left w:val="nil"/>
              <w:bottom w:val="nil"/>
              <w:right w:val="nil"/>
            </w:tcBorders>
          </w:tcPr>
          <w:p w14:paraId="3A84B973"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Observations</w:t>
            </w:r>
          </w:p>
        </w:tc>
        <w:tc>
          <w:tcPr>
            <w:tcW w:w="520" w:type="pct"/>
            <w:tcBorders>
              <w:top w:val="nil"/>
              <w:left w:val="nil"/>
              <w:bottom w:val="nil"/>
              <w:right w:val="nil"/>
            </w:tcBorders>
          </w:tcPr>
          <w:p w14:paraId="10CB3CAF"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869</w:t>
            </w:r>
          </w:p>
        </w:tc>
        <w:tc>
          <w:tcPr>
            <w:tcW w:w="739" w:type="pct"/>
            <w:tcBorders>
              <w:top w:val="nil"/>
              <w:left w:val="nil"/>
              <w:bottom w:val="nil"/>
              <w:right w:val="nil"/>
            </w:tcBorders>
          </w:tcPr>
          <w:p w14:paraId="5FE3B920"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417</w:t>
            </w:r>
          </w:p>
        </w:tc>
        <w:tc>
          <w:tcPr>
            <w:tcW w:w="580" w:type="pct"/>
            <w:tcBorders>
              <w:top w:val="nil"/>
              <w:left w:val="nil"/>
              <w:bottom w:val="nil"/>
              <w:right w:val="nil"/>
            </w:tcBorders>
          </w:tcPr>
          <w:p w14:paraId="3E41D944"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863</w:t>
            </w:r>
          </w:p>
        </w:tc>
        <w:tc>
          <w:tcPr>
            <w:tcW w:w="814" w:type="pct"/>
            <w:tcBorders>
              <w:top w:val="nil"/>
              <w:left w:val="nil"/>
              <w:bottom w:val="nil"/>
              <w:right w:val="nil"/>
            </w:tcBorders>
          </w:tcPr>
          <w:p w14:paraId="7F38DAF8"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504</w:t>
            </w:r>
          </w:p>
        </w:tc>
        <w:tc>
          <w:tcPr>
            <w:tcW w:w="790" w:type="pct"/>
            <w:tcBorders>
              <w:top w:val="nil"/>
              <w:left w:val="nil"/>
              <w:bottom w:val="nil"/>
              <w:right w:val="nil"/>
            </w:tcBorders>
          </w:tcPr>
          <w:p w14:paraId="4335510F"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879</w:t>
            </w:r>
          </w:p>
        </w:tc>
        <w:tc>
          <w:tcPr>
            <w:tcW w:w="796" w:type="pct"/>
            <w:tcBorders>
              <w:top w:val="nil"/>
              <w:left w:val="nil"/>
              <w:bottom w:val="nil"/>
              <w:right w:val="nil"/>
            </w:tcBorders>
          </w:tcPr>
          <w:p w14:paraId="6F7374C1"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879</w:t>
            </w:r>
          </w:p>
        </w:tc>
      </w:tr>
      <w:tr w:rsidR="003B5A8E" w:rsidRPr="00AD43B0" w14:paraId="71D48C60" w14:textId="77777777" w:rsidTr="003B5A8E">
        <w:trPr>
          <w:jc w:val="center"/>
        </w:trPr>
        <w:tc>
          <w:tcPr>
            <w:tcW w:w="763" w:type="pct"/>
            <w:tcBorders>
              <w:top w:val="nil"/>
              <w:left w:val="nil"/>
              <w:bottom w:val="nil"/>
              <w:right w:val="nil"/>
            </w:tcBorders>
          </w:tcPr>
          <w:p w14:paraId="7886D48F"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Pseudo R2</w:t>
            </w:r>
          </w:p>
        </w:tc>
        <w:tc>
          <w:tcPr>
            <w:tcW w:w="520" w:type="pct"/>
            <w:tcBorders>
              <w:top w:val="nil"/>
              <w:left w:val="nil"/>
              <w:bottom w:val="nil"/>
              <w:right w:val="nil"/>
            </w:tcBorders>
          </w:tcPr>
          <w:p w14:paraId="67955B99"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0.663</w:t>
            </w:r>
          </w:p>
        </w:tc>
        <w:tc>
          <w:tcPr>
            <w:tcW w:w="739" w:type="pct"/>
            <w:tcBorders>
              <w:top w:val="nil"/>
              <w:left w:val="nil"/>
              <w:bottom w:val="nil"/>
              <w:right w:val="nil"/>
            </w:tcBorders>
          </w:tcPr>
          <w:p w14:paraId="67E7DAEA"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0.544</w:t>
            </w:r>
          </w:p>
        </w:tc>
        <w:tc>
          <w:tcPr>
            <w:tcW w:w="580" w:type="pct"/>
            <w:tcBorders>
              <w:top w:val="nil"/>
              <w:left w:val="nil"/>
              <w:bottom w:val="nil"/>
              <w:right w:val="nil"/>
            </w:tcBorders>
          </w:tcPr>
          <w:p w14:paraId="44C63726"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0.666</w:t>
            </w:r>
          </w:p>
        </w:tc>
        <w:tc>
          <w:tcPr>
            <w:tcW w:w="814" w:type="pct"/>
            <w:tcBorders>
              <w:top w:val="nil"/>
              <w:left w:val="nil"/>
              <w:bottom w:val="nil"/>
              <w:right w:val="nil"/>
            </w:tcBorders>
          </w:tcPr>
          <w:p w14:paraId="033E751D"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0.586</w:t>
            </w:r>
          </w:p>
        </w:tc>
        <w:tc>
          <w:tcPr>
            <w:tcW w:w="790" w:type="pct"/>
            <w:tcBorders>
              <w:top w:val="nil"/>
              <w:left w:val="nil"/>
              <w:bottom w:val="nil"/>
              <w:right w:val="nil"/>
            </w:tcBorders>
          </w:tcPr>
          <w:p w14:paraId="0E1F97E1"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0.949</w:t>
            </w:r>
          </w:p>
        </w:tc>
        <w:tc>
          <w:tcPr>
            <w:tcW w:w="796" w:type="pct"/>
            <w:tcBorders>
              <w:top w:val="nil"/>
              <w:left w:val="nil"/>
              <w:bottom w:val="nil"/>
              <w:right w:val="nil"/>
            </w:tcBorders>
          </w:tcPr>
          <w:p w14:paraId="6D124B02"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0.864</w:t>
            </w:r>
          </w:p>
        </w:tc>
      </w:tr>
      <w:tr w:rsidR="003B5A8E" w:rsidRPr="00AD43B0" w14:paraId="0C001525" w14:textId="77777777" w:rsidTr="003B5A8E">
        <w:trPr>
          <w:jc w:val="center"/>
        </w:trPr>
        <w:tc>
          <w:tcPr>
            <w:tcW w:w="763" w:type="pct"/>
            <w:tcBorders>
              <w:top w:val="nil"/>
              <w:left w:val="nil"/>
              <w:bottom w:val="nil"/>
              <w:right w:val="nil"/>
            </w:tcBorders>
          </w:tcPr>
          <w:p w14:paraId="021A3A70"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Chi2</w:t>
            </w:r>
          </w:p>
        </w:tc>
        <w:tc>
          <w:tcPr>
            <w:tcW w:w="520" w:type="pct"/>
            <w:tcBorders>
              <w:top w:val="nil"/>
              <w:left w:val="nil"/>
              <w:bottom w:val="nil"/>
              <w:right w:val="nil"/>
            </w:tcBorders>
          </w:tcPr>
          <w:p w14:paraId="43407C08"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96.0</w:t>
            </w:r>
          </w:p>
        </w:tc>
        <w:tc>
          <w:tcPr>
            <w:tcW w:w="739" w:type="pct"/>
            <w:tcBorders>
              <w:top w:val="nil"/>
              <w:left w:val="nil"/>
              <w:bottom w:val="nil"/>
              <w:right w:val="nil"/>
            </w:tcBorders>
          </w:tcPr>
          <w:p w14:paraId="1BE3123B"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67.7</w:t>
            </w:r>
          </w:p>
        </w:tc>
        <w:tc>
          <w:tcPr>
            <w:tcW w:w="580" w:type="pct"/>
            <w:tcBorders>
              <w:top w:val="nil"/>
              <w:left w:val="nil"/>
              <w:bottom w:val="nil"/>
              <w:right w:val="nil"/>
            </w:tcBorders>
          </w:tcPr>
          <w:p w14:paraId="713F2B4F"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261</w:t>
            </w:r>
          </w:p>
        </w:tc>
        <w:tc>
          <w:tcPr>
            <w:tcW w:w="814" w:type="pct"/>
            <w:tcBorders>
              <w:top w:val="nil"/>
              <w:left w:val="nil"/>
              <w:bottom w:val="nil"/>
              <w:right w:val="nil"/>
            </w:tcBorders>
          </w:tcPr>
          <w:p w14:paraId="1F6D79A6"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85.6</w:t>
            </w:r>
          </w:p>
        </w:tc>
        <w:tc>
          <w:tcPr>
            <w:tcW w:w="790" w:type="pct"/>
            <w:tcBorders>
              <w:top w:val="nil"/>
              <w:left w:val="nil"/>
              <w:bottom w:val="nil"/>
              <w:right w:val="nil"/>
            </w:tcBorders>
          </w:tcPr>
          <w:p w14:paraId="45E0AA33"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45.9</w:t>
            </w:r>
          </w:p>
        </w:tc>
        <w:tc>
          <w:tcPr>
            <w:tcW w:w="796" w:type="pct"/>
            <w:tcBorders>
              <w:top w:val="nil"/>
              <w:left w:val="nil"/>
              <w:bottom w:val="nil"/>
              <w:right w:val="nil"/>
            </w:tcBorders>
          </w:tcPr>
          <w:p w14:paraId="56EE38A6"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52.1</w:t>
            </w:r>
          </w:p>
        </w:tc>
      </w:tr>
    </w:tbl>
    <w:p w14:paraId="4EDDFF63" w14:textId="08C4A692" w:rsidR="003B5A8E" w:rsidRPr="003B5A8E" w:rsidRDefault="003B5A8E">
      <w:pPr>
        <w:rPr>
          <w:b/>
          <w:bCs/>
        </w:rPr>
      </w:pPr>
      <w:r w:rsidRPr="003B5A8E">
        <w:rPr>
          <w:b/>
          <w:bCs/>
        </w:rPr>
        <w:lastRenderedPageBreak/>
        <w:t>Table A38: Continued</w:t>
      </w:r>
    </w:p>
    <w:tbl>
      <w:tblPr>
        <w:tblW w:w="4452" w:type="pct"/>
        <w:jc w:val="center"/>
        <w:tblLook w:val="0000" w:firstRow="0" w:lastRow="0" w:firstColumn="0" w:lastColumn="0" w:noHBand="0" w:noVBand="0"/>
      </w:tblPr>
      <w:tblGrid>
        <w:gridCol w:w="1271"/>
        <w:gridCol w:w="867"/>
        <w:gridCol w:w="1232"/>
        <w:gridCol w:w="967"/>
        <w:gridCol w:w="1357"/>
        <w:gridCol w:w="1317"/>
        <w:gridCol w:w="1323"/>
      </w:tblGrid>
      <w:tr w:rsidR="003B5A8E" w:rsidRPr="00AD43B0" w14:paraId="6A325041" w14:textId="77777777" w:rsidTr="003B5A8E">
        <w:trPr>
          <w:jc w:val="center"/>
        </w:trPr>
        <w:tc>
          <w:tcPr>
            <w:tcW w:w="763" w:type="pct"/>
            <w:tcBorders>
              <w:top w:val="nil"/>
              <w:left w:val="nil"/>
              <w:right w:val="nil"/>
            </w:tcBorders>
          </w:tcPr>
          <w:p w14:paraId="7A37E1F0"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County FE</w:t>
            </w:r>
          </w:p>
        </w:tc>
        <w:tc>
          <w:tcPr>
            <w:tcW w:w="520" w:type="pct"/>
            <w:tcBorders>
              <w:top w:val="nil"/>
              <w:left w:val="nil"/>
              <w:right w:val="nil"/>
            </w:tcBorders>
          </w:tcPr>
          <w:p w14:paraId="4CE3A88D"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Yes</w:t>
            </w:r>
          </w:p>
        </w:tc>
        <w:tc>
          <w:tcPr>
            <w:tcW w:w="739" w:type="pct"/>
            <w:tcBorders>
              <w:top w:val="nil"/>
              <w:left w:val="nil"/>
              <w:right w:val="nil"/>
            </w:tcBorders>
          </w:tcPr>
          <w:p w14:paraId="54C60682"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Yes</w:t>
            </w:r>
          </w:p>
        </w:tc>
        <w:tc>
          <w:tcPr>
            <w:tcW w:w="580" w:type="pct"/>
            <w:tcBorders>
              <w:top w:val="nil"/>
              <w:left w:val="nil"/>
              <w:right w:val="nil"/>
            </w:tcBorders>
          </w:tcPr>
          <w:p w14:paraId="4BF48889"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Yes</w:t>
            </w:r>
          </w:p>
        </w:tc>
        <w:tc>
          <w:tcPr>
            <w:tcW w:w="814" w:type="pct"/>
            <w:tcBorders>
              <w:top w:val="nil"/>
              <w:left w:val="nil"/>
              <w:right w:val="nil"/>
            </w:tcBorders>
          </w:tcPr>
          <w:p w14:paraId="7F26CB67"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Yes</w:t>
            </w:r>
          </w:p>
        </w:tc>
        <w:tc>
          <w:tcPr>
            <w:tcW w:w="790" w:type="pct"/>
            <w:tcBorders>
              <w:top w:val="nil"/>
              <w:left w:val="nil"/>
              <w:right w:val="nil"/>
            </w:tcBorders>
          </w:tcPr>
          <w:p w14:paraId="0E56343E"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Yes</w:t>
            </w:r>
          </w:p>
        </w:tc>
        <w:tc>
          <w:tcPr>
            <w:tcW w:w="796" w:type="pct"/>
            <w:tcBorders>
              <w:top w:val="nil"/>
              <w:left w:val="nil"/>
              <w:right w:val="nil"/>
            </w:tcBorders>
          </w:tcPr>
          <w:p w14:paraId="1C1EF1E3"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Yes</w:t>
            </w:r>
          </w:p>
        </w:tc>
      </w:tr>
      <w:tr w:rsidR="003B5A8E" w:rsidRPr="00AD43B0" w14:paraId="27680377" w14:textId="77777777" w:rsidTr="003B5A8E">
        <w:trPr>
          <w:jc w:val="center"/>
        </w:trPr>
        <w:tc>
          <w:tcPr>
            <w:tcW w:w="763" w:type="pct"/>
            <w:tcBorders>
              <w:top w:val="nil"/>
              <w:left w:val="nil"/>
              <w:bottom w:val="single" w:sz="4" w:space="0" w:color="auto"/>
              <w:right w:val="nil"/>
            </w:tcBorders>
          </w:tcPr>
          <w:p w14:paraId="273DAFB2"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Year FE</w:t>
            </w:r>
          </w:p>
        </w:tc>
        <w:tc>
          <w:tcPr>
            <w:tcW w:w="520" w:type="pct"/>
            <w:tcBorders>
              <w:top w:val="nil"/>
              <w:left w:val="nil"/>
              <w:bottom w:val="single" w:sz="4" w:space="0" w:color="auto"/>
              <w:right w:val="nil"/>
            </w:tcBorders>
          </w:tcPr>
          <w:p w14:paraId="048A1097"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Yes</w:t>
            </w:r>
          </w:p>
        </w:tc>
        <w:tc>
          <w:tcPr>
            <w:tcW w:w="739" w:type="pct"/>
            <w:tcBorders>
              <w:top w:val="nil"/>
              <w:left w:val="nil"/>
              <w:bottom w:val="single" w:sz="4" w:space="0" w:color="auto"/>
              <w:right w:val="nil"/>
            </w:tcBorders>
          </w:tcPr>
          <w:p w14:paraId="3FAB2AED" w14:textId="04A01F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Yes</w:t>
            </w:r>
          </w:p>
        </w:tc>
        <w:tc>
          <w:tcPr>
            <w:tcW w:w="580" w:type="pct"/>
            <w:tcBorders>
              <w:top w:val="nil"/>
              <w:left w:val="nil"/>
              <w:bottom w:val="single" w:sz="4" w:space="0" w:color="auto"/>
              <w:right w:val="nil"/>
            </w:tcBorders>
          </w:tcPr>
          <w:p w14:paraId="249A972C" w14:textId="0DE3C963"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Yes</w:t>
            </w:r>
          </w:p>
        </w:tc>
        <w:tc>
          <w:tcPr>
            <w:tcW w:w="814" w:type="pct"/>
            <w:tcBorders>
              <w:top w:val="nil"/>
              <w:left w:val="nil"/>
              <w:bottom w:val="single" w:sz="4" w:space="0" w:color="auto"/>
              <w:right w:val="nil"/>
            </w:tcBorders>
          </w:tcPr>
          <w:p w14:paraId="59A63AFD" w14:textId="76B1946F"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Yes</w:t>
            </w:r>
          </w:p>
        </w:tc>
        <w:tc>
          <w:tcPr>
            <w:tcW w:w="790" w:type="pct"/>
            <w:tcBorders>
              <w:top w:val="nil"/>
              <w:left w:val="nil"/>
              <w:bottom w:val="single" w:sz="4" w:space="0" w:color="auto"/>
              <w:right w:val="nil"/>
            </w:tcBorders>
          </w:tcPr>
          <w:p w14:paraId="5931EB1A" w14:textId="15984C61"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Yes</w:t>
            </w:r>
          </w:p>
        </w:tc>
        <w:tc>
          <w:tcPr>
            <w:tcW w:w="796" w:type="pct"/>
            <w:tcBorders>
              <w:top w:val="nil"/>
              <w:left w:val="nil"/>
              <w:bottom w:val="single" w:sz="4" w:space="0" w:color="auto"/>
              <w:right w:val="nil"/>
            </w:tcBorders>
          </w:tcPr>
          <w:p w14:paraId="6B153390"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Yes</w:t>
            </w:r>
          </w:p>
        </w:tc>
      </w:tr>
    </w:tbl>
    <w:p w14:paraId="2E8847BF" w14:textId="14EA08C0" w:rsidR="00766FCC" w:rsidRDefault="00732BFD" w:rsidP="004C39A4">
      <w:pPr>
        <w:spacing w:line="240" w:lineRule="auto"/>
        <w:rPr>
          <w:sz w:val="20"/>
          <w:szCs w:val="20"/>
        </w:rPr>
        <w:sectPr w:rsidR="00766FCC" w:rsidSect="003B5A8E">
          <w:pgSz w:w="12240" w:h="15840" w:code="1"/>
          <w:pgMar w:top="1440" w:right="1440" w:bottom="1440" w:left="1440" w:header="720" w:footer="1440" w:gutter="0"/>
          <w:cols w:space="720"/>
          <w:noEndnote/>
          <w:docGrid w:linePitch="360"/>
        </w:sectPr>
      </w:pPr>
      <w:r>
        <w:rPr>
          <w:sz w:val="20"/>
          <w:szCs w:val="20"/>
        </w:rPr>
        <w:t>T</w:t>
      </w:r>
      <w:r w:rsidRPr="009C21FA">
        <w:rPr>
          <w:sz w:val="20"/>
          <w:szCs w:val="20"/>
        </w:rPr>
        <w:t xml:space="preserve">able </w:t>
      </w:r>
      <w:r>
        <w:rPr>
          <w:sz w:val="20"/>
          <w:szCs w:val="20"/>
        </w:rPr>
        <w:t xml:space="preserve">A38: </w:t>
      </w:r>
      <w:r w:rsidRPr="009C21FA">
        <w:rPr>
          <w:sz w:val="20"/>
          <w:szCs w:val="20"/>
        </w:rPr>
        <w:t>PPML</w:t>
      </w:r>
      <w:r>
        <w:rPr>
          <w:sz w:val="20"/>
          <w:szCs w:val="20"/>
        </w:rPr>
        <w:t>HDFE</w:t>
      </w:r>
      <w:r w:rsidRPr="009C21FA">
        <w:rPr>
          <w:sz w:val="20"/>
          <w:szCs w:val="20"/>
        </w:rPr>
        <w:t xml:space="preserve"> </w:t>
      </w:r>
      <w:r w:rsidR="00BF0763" w:rsidRPr="00F929D1">
        <w:rPr>
          <w:sz w:val="20"/>
          <w:szCs w:val="20"/>
        </w:rPr>
        <w:t>regression estimates examining the effects of wildfire frequency (Fire Count) and wildfire intensity (Burned Areas) on establishment births, deaths, inward relocations, outward relocations, employment, and sales performance in the Utilities sector (NAICS 22). Standard errors (in parentheses) are clustered at the county level to account for spatial heterogeneity. County fixed effects (FE) and year fixed effects (FE) are included in all specifications. Coefficients represent percentage changes associated with a one-unit increase in the explanatory variables. Statistical significance is denoted as follows: ***p &lt; 0.01, **p &lt; 0.05, *p &lt; 0.1.</w:t>
      </w:r>
    </w:p>
    <w:p w14:paraId="19C1C1CC" w14:textId="2B060E4D" w:rsidR="009C0226" w:rsidRPr="009C0226" w:rsidRDefault="009C0226" w:rsidP="009C0226">
      <w:pPr>
        <w:rPr>
          <w:rFonts w:eastAsia="Times New Roman" w:cs="Times New Roman"/>
          <w:lang/>
        </w:rPr>
      </w:pPr>
      <w:r w:rsidRPr="004E4775">
        <w:rPr>
          <w:rFonts w:eastAsia="Times New Roman" w:cs="Times New Roman"/>
          <w:b/>
          <w:bCs/>
        </w:rPr>
        <w:lastRenderedPageBreak/>
        <w:t>Table A38</w:t>
      </w:r>
      <w:r w:rsidRPr="009C0226">
        <w:rPr>
          <w:rFonts w:eastAsia="Times New Roman" w:cs="Times New Roman"/>
        </w:rPr>
        <w:t xml:space="preserve"> </w:t>
      </w:r>
      <w:r>
        <w:rPr>
          <w:rFonts w:eastAsia="Times New Roman" w:cs="Times New Roman"/>
        </w:rPr>
        <w:t xml:space="preserve">above </w:t>
      </w:r>
      <w:r w:rsidRPr="009C0226">
        <w:rPr>
          <w:rFonts w:eastAsia="Times New Roman" w:cs="Times New Roman"/>
        </w:rPr>
        <w:t>details the regression results for the Utilities sector, exploring the impact of socio-economic and environmental factors on this critical infrastructure industry. The interpretations underscore how regulatory frameworks, population density, and income levels influence establishment dynamics, employment, and sales performance within utilities:</w:t>
      </w:r>
    </w:p>
    <w:p w14:paraId="085D27E0" w14:textId="4C9F63BA" w:rsidR="00BF0763" w:rsidRPr="00BF0763" w:rsidRDefault="00BF0763" w:rsidP="009C0226">
      <w:pPr>
        <w:rPr>
          <w:rFonts w:eastAsia="Times New Roman" w:cs="Times New Roman"/>
          <w:lang/>
        </w:rPr>
      </w:pPr>
      <w:r w:rsidRPr="00BF0763">
        <w:rPr>
          <w:rFonts w:eastAsia="Times New Roman" w:cs="Times New Roman"/>
          <w:b/>
          <w:bCs/>
          <w:lang/>
        </w:rPr>
        <w:t>Births:</w:t>
      </w:r>
      <w:r w:rsidRPr="00BF0763">
        <w:rPr>
          <w:rFonts w:eastAsia="Times New Roman" w:cs="Times New Roman"/>
        </w:rPr>
        <w:t xml:space="preserve"> P</w:t>
      </w:r>
      <w:r w:rsidRPr="00BF0763">
        <w:rPr>
          <w:rFonts w:eastAsia="Times New Roman" w:cs="Times New Roman"/>
          <w:lang/>
        </w:rPr>
        <w:t>rotected Areas (% CPAD t-1) negatively affect establishment births, suggesting that restrictions on land use near protected areas hinder infrastructure development for utilities, consistent with Radeloff et al. (2018). Median Household Income positively impacts births, indicating that wealthier regions provide stronger demand for utility services, encouraging new establishment creation (Henderson, 1997). The positive effect of Particulate Matter (PM) Attainment Status implies that compliance with air quality standards enhances attractiveness by ensuring a healthier environment (Currie et al., 2015). However, Prior Establishment Count negatively impacts births, reflecting market saturation, while Prior Exits positively affect births, supporting Schumpeter’s (1942) concept of "creative destruction," where closures create opportunities for new entrants.</w:t>
      </w:r>
    </w:p>
    <w:p w14:paraId="78CF747E" w14:textId="77777777" w:rsidR="00BF0763" w:rsidRPr="00BF0763" w:rsidRDefault="00BF0763" w:rsidP="009C0226">
      <w:pPr>
        <w:rPr>
          <w:rFonts w:eastAsia="Times New Roman" w:cs="Times New Roman"/>
          <w:lang/>
        </w:rPr>
      </w:pPr>
      <w:r w:rsidRPr="00BF0763">
        <w:rPr>
          <w:rFonts w:eastAsia="Times New Roman" w:cs="Times New Roman"/>
          <w:b/>
          <w:bCs/>
          <w:lang/>
        </w:rPr>
        <w:t>Inward Relocations:</w:t>
      </w:r>
      <w:r w:rsidRPr="00BF0763">
        <w:rPr>
          <w:rFonts w:eastAsia="Times New Roman" w:cs="Times New Roman"/>
        </w:rPr>
        <w:t xml:space="preserve"> </w:t>
      </w:r>
      <w:r w:rsidRPr="00BF0763">
        <w:rPr>
          <w:rFonts w:eastAsia="Times New Roman" w:cs="Times New Roman"/>
          <w:lang/>
        </w:rPr>
        <w:t>Prior Establishment Count negatively impacts inward relocations, reflecting the deterrent effect of saturated markets (Carlton, 1983). Conversely, Prior Exits positively influence relocations, as the availability of resources and infrastructure from exiting establishments attracts relocating firms, consistent with Meltzer et al. (2020).</w:t>
      </w:r>
    </w:p>
    <w:p w14:paraId="49B507D9" w14:textId="77777777" w:rsidR="00BF0763" w:rsidRPr="00BF0763" w:rsidRDefault="00BF0763" w:rsidP="009C0226">
      <w:pPr>
        <w:rPr>
          <w:rFonts w:eastAsia="Times New Roman" w:cs="Times New Roman"/>
          <w:lang/>
        </w:rPr>
      </w:pPr>
      <w:r w:rsidRPr="00BF0763">
        <w:rPr>
          <w:rFonts w:eastAsia="Times New Roman" w:cs="Times New Roman"/>
          <w:b/>
          <w:bCs/>
          <w:lang/>
        </w:rPr>
        <w:t>Deaths:</w:t>
      </w:r>
      <w:r w:rsidRPr="00BF0763">
        <w:rPr>
          <w:rFonts w:eastAsia="Times New Roman" w:cs="Times New Roman"/>
        </w:rPr>
        <w:t xml:space="preserve"> </w:t>
      </w:r>
      <w:r w:rsidRPr="00BF0763">
        <w:rPr>
          <w:rFonts w:eastAsia="Times New Roman" w:cs="Times New Roman"/>
          <w:lang/>
        </w:rPr>
        <w:t xml:space="preserve">The Housing Price Index negatively affects deaths, suggesting that higher property values provide stability by supporting consistent demand for utility services (Meltzer et al., 2020). Median Household Income positively impacts deaths, reflecting competitive pressures in </w:t>
      </w:r>
      <w:r w:rsidRPr="00BF0763">
        <w:rPr>
          <w:rFonts w:eastAsia="Times New Roman" w:cs="Times New Roman"/>
          <w:lang/>
        </w:rPr>
        <w:lastRenderedPageBreak/>
        <w:t>wealthier regions that may push out less competitive firms (Carlton, 1983). PM Attainment Status positively affects deaths, likely due to compliance costs associated with maintaining air quality standards (Currie et al., 2015). Prior Establishment Count and Prior Entries both positively influence deaths, indicating increased competition and market churn in regions with higher density and new entrants (Dunne et al., 1989).</w:t>
      </w:r>
    </w:p>
    <w:p w14:paraId="40FAF642" w14:textId="77777777" w:rsidR="00BF0763" w:rsidRPr="00BF0763" w:rsidRDefault="00BF0763" w:rsidP="009C0226">
      <w:pPr>
        <w:rPr>
          <w:rFonts w:eastAsia="Times New Roman" w:cs="Times New Roman"/>
          <w:lang/>
        </w:rPr>
      </w:pPr>
      <w:r w:rsidRPr="00BF0763">
        <w:rPr>
          <w:rFonts w:eastAsia="Times New Roman" w:cs="Times New Roman"/>
          <w:b/>
          <w:bCs/>
          <w:lang/>
        </w:rPr>
        <w:t>Outward Relocations:</w:t>
      </w:r>
      <w:r w:rsidRPr="00BF0763">
        <w:rPr>
          <w:rFonts w:eastAsia="Times New Roman" w:cs="Times New Roman"/>
        </w:rPr>
        <w:t xml:space="preserve"> </w:t>
      </w:r>
      <w:r w:rsidRPr="00BF0763">
        <w:rPr>
          <w:rFonts w:eastAsia="Times New Roman" w:cs="Times New Roman"/>
          <w:lang/>
        </w:rPr>
        <w:t>CPAD(t-1) positively impacts outward relocations, suggesting that regulatory and operational challenges near protected areas may prompt firms to relocate. Both Prior Establishment Count and Prior Entries positively influence relocations, reflecting market competition and pressures in regions with higher density and business turnover (Glaeser et al., 1992).</w:t>
      </w:r>
    </w:p>
    <w:p w14:paraId="76C6276D" w14:textId="77777777" w:rsidR="00BF0763" w:rsidRPr="00BF0763" w:rsidRDefault="00BF0763" w:rsidP="009C0226">
      <w:pPr>
        <w:rPr>
          <w:rFonts w:eastAsia="Times New Roman" w:cs="Times New Roman"/>
          <w:lang/>
        </w:rPr>
      </w:pPr>
      <w:r w:rsidRPr="00BF0763">
        <w:rPr>
          <w:rFonts w:eastAsia="Times New Roman" w:cs="Times New Roman"/>
          <w:b/>
          <w:bCs/>
          <w:lang/>
        </w:rPr>
        <w:t>Employment:</w:t>
      </w:r>
      <w:r w:rsidRPr="00BF0763">
        <w:rPr>
          <w:rFonts w:eastAsia="Times New Roman" w:cs="Times New Roman"/>
        </w:rPr>
        <w:t xml:space="preserve"> </w:t>
      </w:r>
      <w:r w:rsidRPr="00BF0763">
        <w:rPr>
          <w:rFonts w:eastAsia="Times New Roman" w:cs="Times New Roman"/>
          <w:lang/>
        </w:rPr>
        <w:t>Precipitation negatively impacts employment, likely due to operational disruptions caused by excessive rainfall (Lobell et al., 2011). The Housing Price Index also negatively affects employment, suggesting that higher costs constrain labor demand (Meltzer et al., 2020). Conversely, Poverty Rate and Median Household Income positively affect employment. The positive effect of Poverty Rate reflects the sector’s reliance on lower-cost labor available in economically disadvantaged regions (Henderson, 1997), while Median Household Income indicates that wealthier regions sustain stronger labor demand.</w:t>
      </w:r>
    </w:p>
    <w:p w14:paraId="5A0362C9" w14:textId="77777777" w:rsidR="00766FCC" w:rsidRDefault="00BF0763" w:rsidP="009C0226">
      <w:pPr>
        <w:rPr>
          <w:rFonts w:eastAsia="Times New Roman" w:cs="Times New Roman"/>
          <w:lang/>
        </w:rPr>
        <w:sectPr w:rsidR="00766FCC" w:rsidSect="00766FCC">
          <w:pgSz w:w="12240" w:h="15840" w:code="1"/>
          <w:pgMar w:top="1440" w:right="1440" w:bottom="1440" w:left="1440" w:header="720" w:footer="1440" w:gutter="0"/>
          <w:cols w:space="720"/>
          <w:noEndnote/>
          <w:docGrid w:linePitch="360"/>
        </w:sectPr>
      </w:pPr>
      <w:r w:rsidRPr="00BF0763">
        <w:rPr>
          <w:rFonts w:eastAsia="Times New Roman" w:cs="Times New Roman"/>
          <w:b/>
          <w:bCs/>
          <w:lang/>
        </w:rPr>
        <w:t>Sales Volume Performance:</w:t>
      </w:r>
      <w:r w:rsidRPr="00BF0763">
        <w:rPr>
          <w:rFonts w:eastAsia="Times New Roman" w:cs="Times New Roman"/>
        </w:rPr>
        <w:t xml:space="preserve"> </w:t>
      </w:r>
      <w:r w:rsidRPr="00BF0763">
        <w:rPr>
          <w:rFonts w:eastAsia="Times New Roman" w:cs="Times New Roman"/>
          <w:lang/>
        </w:rPr>
        <w:t xml:space="preserve">Precipitation negatively affects sales volume, reflecting the disruptive impacts of extreme weather on utility operations (Lobell et al., 2011). Similarly, the Housing Price Index negatively impacts sales, consistent with cost pressures in high-value property areas. The positive effect of Poverty Rate indicates that utility demand remains resilient </w:t>
      </w:r>
      <w:r w:rsidRPr="00BF0763">
        <w:rPr>
          <w:rFonts w:eastAsia="Times New Roman" w:cs="Times New Roman"/>
          <w:lang/>
        </w:rPr>
        <w:lastRenderedPageBreak/>
        <w:t>even in economically disadvantaged areas due to the essential nature of utility services (Henderson, 1997). However, PM Attainment Status negatively impacts sales volume, reflecting compliance costs associated with meeting air quality standards (Currie et al., 2015).</w:t>
      </w:r>
    </w:p>
    <w:p w14:paraId="747ACE19" w14:textId="2F0C202E" w:rsidR="00BF0763" w:rsidRPr="00BF0763" w:rsidRDefault="00BF0763" w:rsidP="00095E25">
      <w:pPr>
        <w:pStyle w:val="Title"/>
        <w:rPr>
          <w:rFonts w:ascii="Garamond" w:hAnsi="Garamond"/>
          <w:sz w:val="20"/>
          <w:szCs w:val="20"/>
        </w:rPr>
      </w:pPr>
      <w:bookmarkStart w:id="507" w:name="_Toc187564785"/>
      <w:bookmarkStart w:id="508" w:name="_Toc188359644"/>
      <w:bookmarkStart w:id="509" w:name="_Toc188359932"/>
      <w:bookmarkStart w:id="510" w:name="_Toc188361168"/>
      <w:bookmarkStart w:id="511" w:name="_Toc188367012"/>
      <w:r w:rsidRPr="00BF0763">
        <w:lastRenderedPageBreak/>
        <w:t>Table A</w:t>
      </w:r>
      <w:r w:rsidR="007D52FE">
        <w:rPr>
          <w:lang w:val="en-US"/>
        </w:rPr>
        <w:t>39</w:t>
      </w:r>
      <w:r w:rsidRPr="00BF0763">
        <w:t>: Regression Results for Construction (NAICS 23)</w:t>
      </w:r>
      <w:bookmarkEnd w:id="507"/>
      <w:bookmarkEnd w:id="508"/>
      <w:bookmarkEnd w:id="509"/>
      <w:bookmarkEnd w:id="510"/>
      <w:bookmarkEnd w:id="511"/>
    </w:p>
    <w:tbl>
      <w:tblPr>
        <w:tblW w:w="4456" w:type="pct"/>
        <w:jc w:val="center"/>
        <w:tblLook w:val="0000" w:firstRow="0" w:lastRow="0" w:firstColumn="0" w:lastColumn="0" w:noHBand="0" w:noVBand="0"/>
      </w:tblPr>
      <w:tblGrid>
        <w:gridCol w:w="1273"/>
        <w:gridCol w:w="866"/>
        <w:gridCol w:w="1231"/>
        <w:gridCol w:w="966"/>
        <w:gridCol w:w="1363"/>
        <w:gridCol w:w="1316"/>
        <w:gridCol w:w="1327"/>
      </w:tblGrid>
      <w:tr w:rsidR="003B5A8E" w:rsidRPr="00BF0763" w14:paraId="33554676" w14:textId="77777777" w:rsidTr="003B5A8E">
        <w:trPr>
          <w:jc w:val="center"/>
        </w:trPr>
        <w:tc>
          <w:tcPr>
            <w:tcW w:w="762" w:type="pct"/>
            <w:tcBorders>
              <w:top w:val="single" w:sz="4" w:space="0" w:color="auto"/>
              <w:left w:val="nil"/>
              <w:bottom w:val="single" w:sz="4" w:space="0" w:color="auto"/>
              <w:right w:val="nil"/>
            </w:tcBorders>
          </w:tcPr>
          <w:p w14:paraId="77CAD3F3" w14:textId="009A037D" w:rsidR="00BF0763" w:rsidRPr="00BF0763" w:rsidRDefault="00BF0763" w:rsidP="00B94FE7">
            <w:pPr>
              <w:widowControl w:val="0"/>
              <w:autoSpaceDE w:val="0"/>
              <w:autoSpaceDN w:val="0"/>
              <w:adjustRightInd w:val="0"/>
              <w:spacing w:line="240" w:lineRule="auto"/>
              <w:rPr>
                <w:rFonts w:eastAsia="Times New Roman" w:cs="Times New Roman"/>
                <w:b/>
                <w:bCs/>
                <w:sz w:val="20"/>
                <w:szCs w:val="20"/>
              </w:rPr>
            </w:pPr>
            <w:r w:rsidRPr="00BF0763">
              <w:rPr>
                <w:rFonts w:eastAsia="Times New Roman" w:cs="Times New Roman"/>
                <w:b/>
                <w:bCs/>
                <w:sz w:val="20"/>
                <w:szCs w:val="20"/>
              </w:rPr>
              <w:t>Variable</w:t>
            </w:r>
          </w:p>
        </w:tc>
        <w:tc>
          <w:tcPr>
            <w:tcW w:w="519" w:type="pct"/>
            <w:tcBorders>
              <w:top w:val="single" w:sz="4" w:space="0" w:color="auto"/>
              <w:left w:val="nil"/>
              <w:bottom w:val="single" w:sz="4" w:space="0" w:color="auto"/>
              <w:right w:val="nil"/>
            </w:tcBorders>
          </w:tcPr>
          <w:p w14:paraId="3B31FD40" w14:textId="2F847D32" w:rsidR="00BF0763" w:rsidRPr="00BF0763" w:rsidRDefault="00BF0763" w:rsidP="00B94FE7">
            <w:pPr>
              <w:widowControl w:val="0"/>
              <w:autoSpaceDE w:val="0"/>
              <w:autoSpaceDN w:val="0"/>
              <w:adjustRightInd w:val="0"/>
              <w:spacing w:line="240" w:lineRule="auto"/>
              <w:rPr>
                <w:rFonts w:eastAsia="Times New Roman" w:cs="Times New Roman"/>
                <w:b/>
                <w:bCs/>
                <w:sz w:val="20"/>
                <w:szCs w:val="20"/>
              </w:rPr>
            </w:pPr>
            <w:r w:rsidRPr="00BF0763">
              <w:rPr>
                <w:rFonts w:eastAsia="Times New Roman" w:cs="Times New Roman"/>
                <w:b/>
                <w:bCs/>
                <w:sz w:val="20"/>
                <w:szCs w:val="20"/>
              </w:rPr>
              <w:t>Births</w:t>
            </w:r>
          </w:p>
        </w:tc>
        <w:tc>
          <w:tcPr>
            <w:tcW w:w="738" w:type="pct"/>
            <w:tcBorders>
              <w:top w:val="single" w:sz="4" w:space="0" w:color="auto"/>
              <w:left w:val="nil"/>
              <w:bottom w:val="single" w:sz="4" w:space="0" w:color="auto"/>
              <w:right w:val="nil"/>
            </w:tcBorders>
          </w:tcPr>
          <w:p w14:paraId="07CD505A" w14:textId="08C3B625" w:rsidR="00BF0763" w:rsidRPr="00BF0763" w:rsidRDefault="00BF0763" w:rsidP="00B94FE7">
            <w:pPr>
              <w:widowControl w:val="0"/>
              <w:autoSpaceDE w:val="0"/>
              <w:autoSpaceDN w:val="0"/>
              <w:adjustRightInd w:val="0"/>
              <w:spacing w:line="240" w:lineRule="auto"/>
              <w:rPr>
                <w:rFonts w:eastAsia="Times New Roman" w:cs="Times New Roman"/>
                <w:b/>
                <w:bCs/>
                <w:sz w:val="20"/>
                <w:szCs w:val="20"/>
              </w:rPr>
            </w:pPr>
            <w:r w:rsidRPr="00BF0763">
              <w:rPr>
                <w:rFonts w:eastAsia="Times New Roman" w:cs="Times New Roman"/>
                <w:b/>
                <w:bCs/>
                <w:sz w:val="20"/>
                <w:szCs w:val="20"/>
              </w:rPr>
              <w:t>In-Migrations</w:t>
            </w:r>
          </w:p>
        </w:tc>
        <w:tc>
          <w:tcPr>
            <w:tcW w:w="579" w:type="pct"/>
            <w:tcBorders>
              <w:top w:val="single" w:sz="4" w:space="0" w:color="auto"/>
              <w:left w:val="nil"/>
              <w:bottom w:val="single" w:sz="4" w:space="0" w:color="auto"/>
              <w:right w:val="nil"/>
            </w:tcBorders>
          </w:tcPr>
          <w:p w14:paraId="6A9046D6" w14:textId="572F534A" w:rsidR="00BF0763" w:rsidRPr="00BF0763" w:rsidRDefault="00BF0763" w:rsidP="00B94FE7">
            <w:pPr>
              <w:widowControl w:val="0"/>
              <w:autoSpaceDE w:val="0"/>
              <w:autoSpaceDN w:val="0"/>
              <w:adjustRightInd w:val="0"/>
              <w:spacing w:line="240" w:lineRule="auto"/>
              <w:rPr>
                <w:rFonts w:eastAsia="Times New Roman" w:cs="Times New Roman"/>
                <w:b/>
                <w:bCs/>
                <w:sz w:val="20"/>
                <w:szCs w:val="20"/>
              </w:rPr>
            </w:pPr>
            <w:r w:rsidRPr="00BF0763">
              <w:rPr>
                <w:rFonts w:eastAsia="Times New Roman" w:cs="Times New Roman"/>
                <w:b/>
                <w:bCs/>
                <w:sz w:val="20"/>
                <w:szCs w:val="20"/>
              </w:rPr>
              <w:t>Deaths</w:t>
            </w:r>
          </w:p>
        </w:tc>
        <w:tc>
          <w:tcPr>
            <w:tcW w:w="817" w:type="pct"/>
            <w:tcBorders>
              <w:top w:val="single" w:sz="4" w:space="0" w:color="auto"/>
              <w:left w:val="nil"/>
              <w:bottom w:val="single" w:sz="4" w:space="0" w:color="auto"/>
              <w:right w:val="nil"/>
            </w:tcBorders>
          </w:tcPr>
          <w:p w14:paraId="3BFA7E26" w14:textId="4D9B15A9" w:rsidR="00BF0763" w:rsidRPr="00BF0763" w:rsidRDefault="00BF0763" w:rsidP="00B94FE7">
            <w:pPr>
              <w:widowControl w:val="0"/>
              <w:autoSpaceDE w:val="0"/>
              <w:autoSpaceDN w:val="0"/>
              <w:adjustRightInd w:val="0"/>
              <w:spacing w:line="240" w:lineRule="auto"/>
              <w:rPr>
                <w:rFonts w:eastAsia="Times New Roman" w:cs="Times New Roman"/>
                <w:b/>
                <w:bCs/>
                <w:sz w:val="20"/>
                <w:szCs w:val="20"/>
              </w:rPr>
            </w:pPr>
            <w:r w:rsidRPr="00BF0763">
              <w:rPr>
                <w:rFonts w:eastAsia="Times New Roman" w:cs="Times New Roman"/>
                <w:b/>
                <w:bCs/>
                <w:sz w:val="20"/>
                <w:szCs w:val="20"/>
              </w:rPr>
              <w:t>Out-Migrations</w:t>
            </w:r>
          </w:p>
        </w:tc>
        <w:tc>
          <w:tcPr>
            <w:tcW w:w="789" w:type="pct"/>
            <w:tcBorders>
              <w:top w:val="single" w:sz="4" w:space="0" w:color="auto"/>
              <w:left w:val="nil"/>
              <w:bottom w:val="single" w:sz="4" w:space="0" w:color="auto"/>
              <w:right w:val="nil"/>
            </w:tcBorders>
          </w:tcPr>
          <w:p w14:paraId="13C63BB1" w14:textId="519AD966" w:rsidR="00BF0763" w:rsidRPr="00BF0763" w:rsidRDefault="00BF0763" w:rsidP="00B94FE7">
            <w:pPr>
              <w:widowControl w:val="0"/>
              <w:autoSpaceDE w:val="0"/>
              <w:autoSpaceDN w:val="0"/>
              <w:adjustRightInd w:val="0"/>
              <w:spacing w:line="240" w:lineRule="auto"/>
              <w:rPr>
                <w:rFonts w:eastAsia="Times New Roman" w:cs="Times New Roman"/>
                <w:b/>
                <w:bCs/>
                <w:sz w:val="20"/>
                <w:szCs w:val="20"/>
              </w:rPr>
            </w:pPr>
            <w:r w:rsidRPr="00BF0763">
              <w:rPr>
                <w:rFonts w:eastAsia="Times New Roman" w:cs="Times New Roman"/>
                <w:b/>
                <w:bCs/>
                <w:sz w:val="20"/>
                <w:szCs w:val="20"/>
              </w:rPr>
              <w:t>Employment</w:t>
            </w:r>
          </w:p>
        </w:tc>
        <w:tc>
          <w:tcPr>
            <w:tcW w:w="795" w:type="pct"/>
            <w:tcBorders>
              <w:top w:val="single" w:sz="4" w:space="0" w:color="auto"/>
              <w:left w:val="nil"/>
              <w:bottom w:val="single" w:sz="4" w:space="0" w:color="auto"/>
              <w:right w:val="nil"/>
            </w:tcBorders>
          </w:tcPr>
          <w:p w14:paraId="36ECBE82" w14:textId="3C92F233" w:rsidR="00BF0763" w:rsidRPr="00BF0763" w:rsidRDefault="00BF0763" w:rsidP="00B94FE7">
            <w:pPr>
              <w:widowControl w:val="0"/>
              <w:autoSpaceDE w:val="0"/>
              <w:autoSpaceDN w:val="0"/>
              <w:adjustRightInd w:val="0"/>
              <w:spacing w:line="240" w:lineRule="auto"/>
              <w:rPr>
                <w:rFonts w:eastAsia="Times New Roman" w:cs="Times New Roman"/>
                <w:b/>
                <w:bCs/>
                <w:sz w:val="20"/>
                <w:szCs w:val="20"/>
              </w:rPr>
            </w:pPr>
            <w:r w:rsidRPr="00BF0763">
              <w:rPr>
                <w:rFonts w:eastAsia="Times New Roman" w:cs="Times New Roman"/>
                <w:b/>
                <w:bCs/>
                <w:sz w:val="20"/>
                <w:szCs w:val="20"/>
              </w:rPr>
              <w:t>Performance</w:t>
            </w:r>
          </w:p>
        </w:tc>
      </w:tr>
      <w:tr w:rsidR="003B5A8E" w:rsidRPr="00BF0763" w14:paraId="4E4E7616" w14:textId="77777777" w:rsidTr="003B5A8E">
        <w:trPr>
          <w:jc w:val="center"/>
        </w:trPr>
        <w:tc>
          <w:tcPr>
            <w:tcW w:w="762" w:type="pct"/>
            <w:tcBorders>
              <w:top w:val="single" w:sz="4" w:space="0" w:color="auto"/>
              <w:left w:val="nil"/>
              <w:bottom w:val="nil"/>
              <w:right w:val="nil"/>
            </w:tcBorders>
          </w:tcPr>
          <w:p w14:paraId="697CF069"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Fire Count (t-1) (1000s)</w:t>
            </w:r>
          </w:p>
        </w:tc>
        <w:tc>
          <w:tcPr>
            <w:tcW w:w="519" w:type="pct"/>
            <w:tcBorders>
              <w:top w:val="single" w:sz="4" w:space="0" w:color="auto"/>
              <w:left w:val="nil"/>
              <w:bottom w:val="nil"/>
              <w:right w:val="nil"/>
            </w:tcBorders>
          </w:tcPr>
          <w:p w14:paraId="791FDA49"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-0.006</w:t>
            </w:r>
          </w:p>
        </w:tc>
        <w:tc>
          <w:tcPr>
            <w:tcW w:w="738" w:type="pct"/>
            <w:tcBorders>
              <w:top w:val="single" w:sz="4" w:space="0" w:color="auto"/>
              <w:left w:val="nil"/>
              <w:bottom w:val="nil"/>
              <w:right w:val="nil"/>
            </w:tcBorders>
          </w:tcPr>
          <w:p w14:paraId="5606232C"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0.532</w:t>
            </w:r>
          </w:p>
        </w:tc>
        <w:tc>
          <w:tcPr>
            <w:tcW w:w="579" w:type="pct"/>
            <w:tcBorders>
              <w:top w:val="single" w:sz="4" w:space="0" w:color="auto"/>
              <w:left w:val="nil"/>
              <w:bottom w:val="nil"/>
              <w:right w:val="nil"/>
            </w:tcBorders>
          </w:tcPr>
          <w:p w14:paraId="4480242E"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0.059</w:t>
            </w:r>
          </w:p>
        </w:tc>
        <w:tc>
          <w:tcPr>
            <w:tcW w:w="817" w:type="pct"/>
            <w:tcBorders>
              <w:top w:val="single" w:sz="4" w:space="0" w:color="auto"/>
              <w:left w:val="nil"/>
              <w:bottom w:val="nil"/>
              <w:right w:val="nil"/>
            </w:tcBorders>
          </w:tcPr>
          <w:p w14:paraId="02F8C059"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0.659*</w:t>
            </w:r>
          </w:p>
        </w:tc>
        <w:tc>
          <w:tcPr>
            <w:tcW w:w="789" w:type="pct"/>
            <w:tcBorders>
              <w:top w:val="single" w:sz="4" w:space="0" w:color="auto"/>
              <w:left w:val="nil"/>
              <w:bottom w:val="nil"/>
              <w:right w:val="nil"/>
            </w:tcBorders>
          </w:tcPr>
          <w:p w14:paraId="1BF7BC53"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0.003</w:t>
            </w:r>
          </w:p>
        </w:tc>
        <w:tc>
          <w:tcPr>
            <w:tcW w:w="795" w:type="pct"/>
            <w:tcBorders>
              <w:top w:val="single" w:sz="4" w:space="0" w:color="auto"/>
              <w:left w:val="nil"/>
              <w:bottom w:val="nil"/>
              <w:right w:val="nil"/>
            </w:tcBorders>
          </w:tcPr>
          <w:p w14:paraId="0A007328"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0.029</w:t>
            </w:r>
          </w:p>
        </w:tc>
      </w:tr>
      <w:tr w:rsidR="003B5A8E" w:rsidRPr="00BF0763" w14:paraId="201F6178" w14:textId="77777777" w:rsidTr="003B5A8E">
        <w:trPr>
          <w:jc w:val="center"/>
        </w:trPr>
        <w:tc>
          <w:tcPr>
            <w:tcW w:w="762" w:type="pct"/>
            <w:tcBorders>
              <w:top w:val="nil"/>
              <w:left w:val="nil"/>
              <w:bottom w:val="nil"/>
              <w:right w:val="nil"/>
            </w:tcBorders>
          </w:tcPr>
          <w:p w14:paraId="3314F871" w14:textId="6DDC8D2B"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519" w:type="pct"/>
            <w:tcBorders>
              <w:top w:val="nil"/>
              <w:left w:val="nil"/>
              <w:bottom w:val="nil"/>
              <w:right w:val="nil"/>
            </w:tcBorders>
          </w:tcPr>
          <w:p w14:paraId="468BE7B5"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(0.050)</w:t>
            </w:r>
          </w:p>
        </w:tc>
        <w:tc>
          <w:tcPr>
            <w:tcW w:w="738" w:type="pct"/>
            <w:tcBorders>
              <w:top w:val="nil"/>
              <w:left w:val="nil"/>
              <w:bottom w:val="nil"/>
              <w:right w:val="nil"/>
            </w:tcBorders>
          </w:tcPr>
          <w:p w14:paraId="0044F0BC"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(0.616)</w:t>
            </w:r>
          </w:p>
        </w:tc>
        <w:tc>
          <w:tcPr>
            <w:tcW w:w="579" w:type="pct"/>
            <w:tcBorders>
              <w:top w:val="nil"/>
              <w:left w:val="nil"/>
              <w:bottom w:val="nil"/>
              <w:right w:val="nil"/>
            </w:tcBorders>
          </w:tcPr>
          <w:p w14:paraId="6FD417F0"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(0.041)</w:t>
            </w:r>
          </w:p>
        </w:tc>
        <w:tc>
          <w:tcPr>
            <w:tcW w:w="817" w:type="pct"/>
            <w:tcBorders>
              <w:top w:val="nil"/>
              <w:left w:val="nil"/>
              <w:bottom w:val="nil"/>
              <w:right w:val="nil"/>
            </w:tcBorders>
          </w:tcPr>
          <w:p w14:paraId="36A74282"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(0.365)</w:t>
            </w:r>
          </w:p>
        </w:tc>
        <w:tc>
          <w:tcPr>
            <w:tcW w:w="789" w:type="pct"/>
            <w:tcBorders>
              <w:top w:val="nil"/>
              <w:left w:val="nil"/>
              <w:bottom w:val="nil"/>
              <w:right w:val="nil"/>
            </w:tcBorders>
          </w:tcPr>
          <w:p w14:paraId="49AF41E1"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(0.033)</w:t>
            </w:r>
          </w:p>
        </w:tc>
        <w:tc>
          <w:tcPr>
            <w:tcW w:w="795" w:type="pct"/>
            <w:tcBorders>
              <w:top w:val="nil"/>
              <w:left w:val="nil"/>
              <w:bottom w:val="nil"/>
              <w:right w:val="nil"/>
            </w:tcBorders>
          </w:tcPr>
          <w:p w14:paraId="637F279B"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(0.067)</w:t>
            </w:r>
          </w:p>
        </w:tc>
      </w:tr>
      <w:tr w:rsidR="003B5A8E" w:rsidRPr="00BF0763" w14:paraId="6BC8EDB5" w14:textId="77777777" w:rsidTr="003B5A8E">
        <w:trPr>
          <w:jc w:val="center"/>
        </w:trPr>
        <w:tc>
          <w:tcPr>
            <w:tcW w:w="762" w:type="pct"/>
            <w:tcBorders>
              <w:top w:val="nil"/>
              <w:left w:val="nil"/>
              <w:bottom w:val="nil"/>
              <w:right w:val="nil"/>
            </w:tcBorders>
          </w:tcPr>
          <w:p w14:paraId="6EEAEB3E" w14:textId="3B1798D8"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 Burned (t-1) (100s)</w:t>
            </w:r>
          </w:p>
        </w:tc>
        <w:tc>
          <w:tcPr>
            <w:tcW w:w="519" w:type="pct"/>
            <w:tcBorders>
              <w:top w:val="nil"/>
              <w:left w:val="nil"/>
              <w:bottom w:val="nil"/>
              <w:right w:val="nil"/>
            </w:tcBorders>
          </w:tcPr>
          <w:p w14:paraId="454FA1A2"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-0.746**</w:t>
            </w:r>
          </w:p>
        </w:tc>
        <w:tc>
          <w:tcPr>
            <w:tcW w:w="738" w:type="pct"/>
            <w:tcBorders>
              <w:top w:val="nil"/>
              <w:left w:val="nil"/>
              <w:bottom w:val="nil"/>
              <w:right w:val="nil"/>
            </w:tcBorders>
          </w:tcPr>
          <w:p w14:paraId="1AF8A449"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-6.50</w:t>
            </w:r>
          </w:p>
        </w:tc>
        <w:tc>
          <w:tcPr>
            <w:tcW w:w="579" w:type="pct"/>
            <w:tcBorders>
              <w:top w:val="nil"/>
              <w:left w:val="nil"/>
              <w:bottom w:val="nil"/>
              <w:right w:val="nil"/>
            </w:tcBorders>
          </w:tcPr>
          <w:p w14:paraId="4FC35597"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-0.156</w:t>
            </w:r>
          </w:p>
        </w:tc>
        <w:tc>
          <w:tcPr>
            <w:tcW w:w="817" w:type="pct"/>
            <w:tcBorders>
              <w:top w:val="nil"/>
              <w:left w:val="nil"/>
              <w:bottom w:val="nil"/>
              <w:right w:val="nil"/>
            </w:tcBorders>
          </w:tcPr>
          <w:p w14:paraId="13B7703A"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-0.754</w:t>
            </w:r>
          </w:p>
        </w:tc>
        <w:tc>
          <w:tcPr>
            <w:tcW w:w="789" w:type="pct"/>
            <w:tcBorders>
              <w:top w:val="nil"/>
              <w:left w:val="nil"/>
              <w:bottom w:val="nil"/>
              <w:right w:val="nil"/>
            </w:tcBorders>
          </w:tcPr>
          <w:p w14:paraId="7F5929E6"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-0.184*</w:t>
            </w:r>
          </w:p>
        </w:tc>
        <w:tc>
          <w:tcPr>
            <w:tcW w:w="795" w:type="pct"/>
            <w:tcBorders>
              <w:top w:val="nil"/>
              <w:left w:val="nil"/>
              <w:bottom w:val="nil"/>
              <w:right w:val="nil"/>
            </w:tcBorders>
          </w:tcPr>
          <w:p w14:paraId="1AA94BAD"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2.00***</w:t>
            </w:r>
          </w:p>
        </w:tc>
      </w:tr>
      <w:tr w:rsidR="003B5A8E" w:rsidRPr="00BF0763" w14:paraId="207E1945" w14:textId="77777777" w:rsidTr="003B5A8E">
        <w:trPr>
          <w:jc w:val="center"/>
        </w:trPr>
        <w:tc>
          <w:tcPr>
            <w:tcW w:w="762" w:type="pct"/>
            <w:tcBorders>
              <w:top w:val="nil"/>
              <w:left w:val="nil"/>
              <w:bottom w:val="nil"/>
              <w:right w:val="nil"/>
            </w:tcBorders>
          </w:tcPr>
          <w:p w14:paraId="16542BFF" w14:textId="412094A5"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519" w:type="pct"/>
            <w:tcBorders>
              <w:top w:val="nil"/>
              <w:left w:val="nil"/>
              <w:bottom w:val="nil"/>
              <w:right w:val="nil"/>
            </w:tcBorders>
          </w:tcPr>
          <w:p w14:paraId="36289733"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(0.296)</w:t>
            </w:r>
          </w:p>
        </w:tc>
        <w:tc>
          <w:tcPr>
            <w:tcW w:w="738" w:type="pct"/>
            <w:tcBorders>
              <w:top w:val="nil"/>
              <w:left w:val="nil"/>
              <w:bottom w:val="nil"/>
              <w:right w:val="nil"/>
            </w:tcBorders>
          </w:tcPr>
          <w:p w14:paraId="4E3D56E5"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(8.21)</w:t>
            </w:r>
          </w:p>
        </w:tc>
        <w:tc>
          <w:tcPr>
            <w:tcW w:w="579" w:type="pct"/>
            <w:tcBorders>
              <w:top w:val="nil"/>
              <w:left w:val="nil"/>
              <w:bottom w:val="nil"/>
              <w:right w:val="nil"/>
            </w:tcBorders>
          </w:tcPr>
          <w:p w14:paraId="223B6117"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(0.400)</w:t>
            </w:r>
          </w:p>
        </w:tc>
        <w:tc>
          <w:tcPr>
            <w:tcW w:w="817" w:type="pct"/>
            <w:tcBorders>
              <w:top w:val="nil"/>
              <w:left w:val="nil"/>
              <w:bottom w:val="nil"/>
              <w:right w:val="nil"/>
            </w:tcBorders>
          </w:tcPr>
          <w:p w14:paraId="5B087749"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(4.13)</w:t>
            </w:r>
          </w:p>
        </w:tc>
        <w:tc>
          <w:tcPr>
            <w:tcW w:w="789" w:type="pct"/>
            <w:tcBorders>
              <w:top w:val="nil"/>
              <w:left w:val="nil"/>
              <w:bottom w:val="nil"/>
              <w:right w:val="nil"/>
            </w:tcBorders>
          </w:tcPr>
          <w:p w14:paraId="6ED513BE"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(0.108)</w:t>
            </w:r>
          </w:p>
        </w:tc>
        <w:tc>
          <w:tcPr>
            <w:tcW w:w="795" w:type="pct"/>
            <w:tcBorders>
              <w:top w:val="nil"/>
              <w:left w:val="nil"/>
              <w:bottom w:val="nil"/>
              <w:right w:val="nil"/>
            </w:tcBorders>
          </w:tcPr>
          <w:p w14:paraId="7F635342"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(0.693)</w:t>
            </w:r>
          </w:p>
        </w:tc>
      </w:tr>
      <w:tr w:rsidR="003B5A8E" w:rsidRPr="00BF0763" w14:paraId="5B0ACB02" w14:textId="77777777" w:rsidTr="003B5A8E">
        <w:trPr>
          <w:jc w:val="center"/>
        </w:trPr>
        <w:tc>
          <w:tcPr>
            <w:tcW w:w="762" w:type="pct"/>
            <w:tcBorders>
              <w:top w:val="nil"/>
              <w:left w:val="nil"/>
              <w:bottom w:val="nil"/>
              <w:right w:val="nil"/>
            </w:tcBorders>
          </w:tcPr>
          <w:p w14:paraId="209C1D26"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Precipitation (t-1) (10s)</w:t>
            </w:r>
          </w:p>
        </w:tc>
        <w:tc>
          <w:tcPr>
            <w:tcW w:w="519" w:type="pct"/>
            <w:tcBorders>
              <w:top w:val="nil"/>
              <w:left w:val="nil"/>
              <w:bottom w:val="nil"/>
              <w:right w:val="nil"/>
            </w:tcBorders>
          </w:tcPr>
          <w:p w14:paraId="2016ED4F"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0.031</w:t>
            </w:r>
          </w:p>
        </w:tc>
        <w:tc>
          <w:tcPr>
            <w:tcW w:w="738" w:type="pct"/>
            <w:tcBorders>
              <w:top w:val="nil"/>
              <w:left w:val="nil"/>
              <w:bottom w:val="nil"/>
              <w:right w:val="nil"/>
            </w:tcBorders>
          </w:tcPr>
          <w:p w14:paraId="2A9AB383"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-0.270</w:t>
            </w:r>
          </w:p>
        </w:tc>
        <w:tc>
          <w:tcPr>
            <w:tcW w:w="579" w:type="pct"/>
            <w:tcBorders>
              <w:top w:val="nil"/>
              <w:left w:val="nil"/>
              <w:bottom w:val="nil"/>
              <w:right w:val="nil"/>
            </w:tcBorders>
          </w:tcPr>
          <w:p w14:paraId="0BE56AD4"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-0.004</w:t>
            </w:r>
          </w:p>
        </w:tc>
        <w:tc>
          <w:tcPr>
            <w:tcW w:w="817" w:type="pct"/>
            <w:tcBorders>
              <w:top w:val="nil"/>
              <w:left w:val="nil"/>
              <w:bottom w:val="nil"/>
              <w:right w:val="nil"/>
            </w:tcBorders>
          </w:tcPr>
          <w:p w14:paraId="7B40105E"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0.411</w:t>
            </w:r>
          </w:p>
        </w:tc>
        <w:tc>
          <w:tcPr>
            <w:tcW w:w="789" w:type="pct"/>
            <w:tcBorders>
              <w:top w:val="nil"/>
              <w:left w:val="nil"/>
              <w:bottom w:val="nil"/>
              <w:right w:val="nil"/>
            </w:tcBorders>
          </w:tcPr>
          <w:p w14:paraId="63C0DFAE"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0.001</w:t>
            </w:r>
          </w:p>
        </w:tc>
        <w:tc>
          <w:tcPr>
            <w:tcW w:w="795" w:type="pct"/>
            <w:tcBorders>
              <w:top w:val="nil"/>
              <w:left w:val="nil"/>
              <w:bottom w:val="nil"/>
              <w:right w:val="nil"/>
            </w:tcBorders>
          </w:tcPr>
          <w:p w14:paraId="79520806"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-0.132***</w:t>
            </w:r>
          </w:p>
        </w:tc>
      </w:tr>
      <w:tr w:rsidR="003B5A8E" w:rsidRPr="00BF0763" w14:paraId="39D63500" w14:textId="77777777" w:rsidTr="003B5A8E">
        <w:trPr>
          <w:jc w:val="center"/>
        </w:trPr>
        <w:tc>
          <w:tcPr>
            <w:tcW w:w="762" w:type="pct"/>
            <w:tcBorders>
              <w:top w:val="nil"/>
              <w:left w:val="nil"/>
              <w:bottom w:val="nil"/>
              <w:right w:val="nil"/>
            </w:tcBorders>
          </w:tcPr>
          <w:p w14:paraId="481AFD3E" w14:textId="19F358AF"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519" w:type="pct"/>
            <w:tcBorders>
              <w:top w:val="nil"/>
              <w:left w:val="nil"/>
              <w:bottom w:val="nil"/>
              <w:right w:val="nil"/>
            </w:tcBorders>
          </w:tcPr>
          <w:p w14:paraId="4E72147B"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(0.021)</w:t>
            </w:r>
          </w:p>
        </w:tc>
        <w:tc>
          <w:tcPr>
            <w:tcW w:w="738" w:type="pct"/>
            <w:tcBorders>
              <w:top w:val="nil"/>
              <w:left w:val="nil"/>
              <w:bottom w:val="nil"/>
              <w:right w:val="nil"/>
            </w:tcBorders>
          </w:tcPr>
          <w:p w14:paraId="09888E2D"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(0.417)</w:t>
            </w:r>
          </w:p>
        </w:tc>
        <w:tc>
          <w:tcPr>
            <w:tcW w:w="579" w:type="pct"/>
            <w:tcBorders>
              <w:top w:val="nil"/>
              <w:left w:val="nil"/>
              <w:bottom w:val="nil"/>
              <w:right w:val="nil"/>
            </w:tcBorders>
          </w:tcPr>
          <w:p w14:paraId="56C2FF81"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(0.021)</w:t>
            </w:r>
          </w:p>
        </w:tc>
        <w:tc>
          <w:tcPr>
            <w:tcW w:w="817" w:type="pct"/>
            <w:tcBorders>
              <w:top w:val="nil"/>
              <w:left w:val="nil"/>
              <w:bottom w:val="nil"/>
              <w:right w:val="nil"/>
            </w:tcBorders>
          </w:tcPr>
          <w:p w14:paraId="11D0E9AF"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(0.263)</w:t>
            </w:r>
          </w:p>
        </w:tc>
        <w:tc>
          <w:tcPr>
            <w:tcW w:w="789" w:type="pct"/>
            <w:tcBorders>
              <w:top w:val="nil"/>
              <w:left w:val="nil"/>
              <w:bottom w:val="nil"/>
              <w:right w:val="nil"/>
            </w:tcBorders>
          </w:tcPr>
          <w:p w14:paraId="16A18EAE"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(0.014)</w:t>
            </w:r>
          </w:p>
        </w:tc>
        <w:tc>
          <w:tcPr>
            <w:tcW w:w="795" w:type="pct"/>
            <w:tcBorders>
              <w:top w:val="nil"/>
              <w:left w:val="nil"/>
              <w:bottom w:val="nil"/>
              <w:right w:val="nil"/>
            </w:tcBorders>
          </w:tcPr>
          <w:p w14:paraId="4EEB7437"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(0.050)</w:t>
            </w:r>
          </w:p>
        </w:tc>
      </w:tr>
      <w:tr w:rsidR="003B5A8E" w:rsidRPr="00BF0763" w14:paraId="27DF9B35" w14:textId="77777777" w:rsidTr="003B5A8E">
        <w:trPr>
          <w:jc w:val="center"/>
        </w:trPr>
        <w:tc>
          <w:tcPr>
            <w:tcW w:w="762" w:type="pct"/>
            <w:tcBorders>
              <w:top w:val="nil"/>
              <w:left w:val="nil"/>
              <w:bottom w:val="nil"/>
              <w:right w:val="nil"/>
            </w:tcBorders>
          </w:tcPr>
          <w:p w14:paraId="69BC24BA"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Temperature (t-1) (10s)</w:t>
            </w:r>
          </w:p>
        </w:tc>
        <w:tc>
          <w:tcPr>
            <w:tcW w:w="519" w:type="pct"/>
            <w:tcBorders>
              <w:top w:val="nil"/>
              <w:left w:val="nil"/>
              <w:bottom w:val="nil"/>
              <w:right w:val="nil"/>
            </w:tcBorders>
          </w:tcPr>
          <w:p w14:paraId="71D9EAB4"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0.421</w:t>
            </w:r>
          </w:p>
        </w:tc>
        <w:tc>
          <w:tcPr>
            <w:tcW w:w="738" w:type="pct"/>
            <w:tcBorders>
              <w:top w:val="nil"/>
              <w:left w:val="nil"/>
              <w:bottom w:val="nil"/>
              <w:right w:val="nil"/>
            </w:tcBorders>
          </w:tcPr>
          <w:p w14:paraId="500DF440"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5.26</w:t>
            </w:r>
          </w:p>
        </w:tc>
        <w:tc>
          <w:tcPr>
            <w:tcW w:w="579" w:type="pct"/>
            <w:tcBorders>
              <w:top w:val="nil"/>
              <w:left w:val="nil"/>
              <w:bottom w:val="nil"/>
              <w:right w:val="nil"/>
            </w:tcBorders>
          </w:tcPr>
          <w:p w14:paraId="426014A4"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-0.052</w:t>
            </w:r>
          </w:p>
        </w:tc>
        <w:tc>
          <w:tcPr>
            <w:tcW w:w="817" w:type="pct"/>
            <w:tcBorders>
              <w:top w:val="nil"/>
              <w:left w:val="nil"/>
              <w:bottom w:val="nil"/>
              <w:right w:val="nil"/>
            </w:tcBorders>
          </w:tcPr>
          <w:p w14:paraId="7B04A5CD"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-10.1***</w:t>
            </w:r>
          </w:p>
        </w:tc>
        <w:tc>
          <w:tcPr>
            <w:tcW w:w="789" w:type="pct"/>
            <w:tcBorders>
              <w:top w:val="nil"/>
              <w:left w:val="nil"/>
              <w:bottom w:val="nil"/>
              <w:right w:val="nil"/>
            </w:tcBorders>
          </w:tcPr>
          <w:p w14:paraId="7C599B96"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0.617***</w:t>
            </w:r>
          </w:p>
        </w:tc>
        <w:tc>
          <w:tcPr>
            <w:tcW w:w="795" w:type="pct"/>
            <w:tcBorders>
              <w:top w:val="nil"/>
              <w:left w:val="nil"/>
              <w:bottom w:val="nil"/>
              <w:right w:val="nil"/>
            </w:tcBorders>
          </w:tcPr>
          <w:p w14:paraId="14B2BBE9"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-2.13***</w:t>
            </w:r>
          </w:p>
        </w:tc>
      </w:tr>
      <w:tr w:rsidR="003B5A8E" w:rsidRPr="00BF0763" w14:paraId="5900BF1D" w14:textId="77777777" w:rsidTr="003B5A8E">
        <w:trPr>
          <w:jc w:val="center"/>
        </w:trPr>
        <w:tc>
          <w:tcPr>
            <w:tcW w:w="762" w:type="pct"/>
            <w:tcBorders>
              <w:top w:val="nil"/>
              <w:left w:val="nil"/>
              <w:bottom w:val="nil"/>
              <w:right w:val="nil"/>
            </w:tcBorders>
          </w:tcPr>
          <w:p w14:paraId="4852179F" w14:textId="279DE3C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519" w:type="pct"/>
            <w:tcBorders>
              <w:top w:val="nil"/>
              <w:left w:val="nil"/>
              <w:bottom w:val="nil"/>
              <w:right w:val="nil"/>
            </w:tcBorders>
          </w:tcPr>
          <w:p w14:paraId="106100A9"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(0.417)</w:t>
            </w:r>
          </w:p>
        </w:tc>
        <w:tc>
          <w:tcPr>
            <w:tcW w:w="738" w:type="pct"/>
            <w:tcBorders>
              <w:top w:val="nil"/>
              <w:left w:val="nil"/>
              <w:bottom w:val="nil"/>
              <w:right w:val="nil"/>
            </w:tcBorders>
          </w:tcPr>
          <w:p w14:paraId="74631B53"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(6.31)</w:t>
            </w:r>
          </w:p>
        </w:tc>
        <w:tc>
          <w:tcPr>
            <w:tcW w:w="579" w:type="pct"/>
            <w:tcBorders>
              <w:top w:val="nil"/>
              <w:left w:val="nil"/>
              <w:bottom w:val="nil"/>
              <w:right w:val="nil"/>
            </w:tcBorders>
          </w:tcPr>
          <w:p w14:paraId="191C2761"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(0.351)</w:t>
            </w:r>
          </w:p>
        </w:tc>
        <w:tc>
          <w:tcPr>
            <w:tcW w:w="817" w:type="pct"/>
            <w:tcBorders>
              <w:top w:val="nil"/>
              <w:left w:val="nil"/>
              <w:bottom w:val="nil"/>
              <w:right w:val="nil"/>
            </w:tcBorders>
          </w:tcPr>
          <w:p w14:paraId="681F8130"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(3.90)</w:t>
            </w:r>
          </w:p>
        </w:tc>
        <w:tc>
          <w:tcPr>
            <w:tcW w:w="789" w:type="pct"/>
            <w:tcBorders>
              <w:top w:val="nil"/>
              <w:left w:val="nil"/>
              <w:bottom w:val="nil"/>
              <w:right w:val="nil"/>
            </w:tcBorders>
          </w:tcPr>
          <w:p w14:paraId="1BABFD2F"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(0.214)</w:t>
            </w:r>
          </w:p>
        </w:tc>
        <w:tc>
          <w:tcPr>
            <w:tcW w:w="795" w:type="pct"/>
            <w:tcBorders>
              <w:top w:val="nil"/>
              <w:left w:val="nil"/>
              <w:bottom w:val="nil"/>
              <w:right w:val="nil"/>
            </w:tcBorders>
          </w:tcPr>
          <w:p w14:paraId="301CB962"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(0.713)</w:t>
            </w:r>
          </w:p>
        </w:tc>
      </w:tr>
      <w:tr w:rsidR="003B5A8E" w:rsidRPr="00BF0763" w14:paraId="4E62ACE9" w14:textId="77777777" w:rsidTr="003B5A8E">
        <w:trPr>
          <w:jc w:val="center"/>
        </w:trPr>
        <w:tc>
          <w:tcPr>
            <w:tcW w:w="762" w:type="pct"/>
            <w:tcBorders>
              <w:top w:val="nil"/>
              <w:left w:val="nil"/>
              <w:bottom w:val="nil"/>
              <w:right w:val="nil"/>
            </w:tcBorders>
          </w:tcPr>
          <w:p w14:paraId="0CB0A590"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CPAD (t-1) (100s)</w:t>
            </w:r>
          </w:p>
        </w:tc>
        <w:tc>
          <w:tcPr>
            <w:tcW w:w="519" w:type="pct"/>
            <w:tcBorders>
              <w:top w:val="nil"/>
              <w:left w:val="nil"/>
              <w:bottom w:val="nil"/>
              <w:right w:val="nil"/>
            </w:tcBorders>
          </w:tcPr>
          <w:p w14:paraId="6FCC399C"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0.647**</w:t>
            </w:r>
          </w:p>
        </w:tc>
        <w:tc>
          <w:tcPr>
            <w:tcW w:w="738" w:type="pct"/>
            <w:tcBorders>
              <w:top w:val="nil"/>
              <w:left w:val="nil"/>
              <w:bottom w:val="nil"/>
              <w:right w:val="nil"/>
            </w:tcBorders>
          </w:tcPr>
          <w:p w14:paraId="08CB0DA3"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6.41**</w:t>
            </w:r>
          </w:p>
        </w:tc>
        <w:tc>
          <w:tcPr>
            <w:tcW w:w="579" w:type="pct"/>
            <w:tcBorders>
              <w:top w:val="nil"/>
              <w:left w:val="nil"/>
              <w:bottom w:val="nil"/>
              <w:right w:val="nil"/>
            </w:tcBorders>
          </w:tcPr>
          <w:p w14:paraId="70D6D258"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-0.282</w:t>
            </w:r>
          </w:p>
        </w:tc>
        <w:tc>
          <w:tcPr>
            <w:tcW w:w="817" w:type="pct"/>
            <w:tcBorders>
              <w:top w:val="nil"/>
              <w:left w:val="nil"/>
              <w:bottom w:val="nil"/>
              <w:right w:val="nil"/>
            </w:tcBorders>
          </w:tcPr>
          <w:p w14:paraId="7C5079A5"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-1.826</w:t>
            </w:r>
          </w:p>
        </w:tc>
        <w:tc>
          <w:tcPr>
            <w:tcW w:w="789" w:type="pct"/>
            <w:tcBorders>
              <w:top w:val="nil"/>
              <w:left w:val="nil"/>
              <w:bottom w:val="nil"/>
              <w:right w:val="nil"/>
            </w:tcBorders>
          </w:tcPr>
          <w:p w14:paraId="36579C90"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0.058</w:t>
            </w:r>
          </w:p>
        </w:tc>
        <w:tc>
          <w:tcPr>
            <w:tcW w:w="795" w:type="pct"/>
            <w:tcBorders>
              <w:top w:val="nil"/>
              <w:left w:val="nil"/>
              <w:bottom w:val="nil"/>
              <w:right w:val="nil"/>
            </w:tcBorders>
          </w:tcPr>
          <w:p w14:paraId="5A1E1042"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0.379</w:t>
            </w:r>
          </w:p>
        </w:tc>
      </w:tr>
      <w:tr w:rsidR="003B5A8E" w:rsidRPr="00BF0763" w14:paraId="7CEFD2F6" w14:textId="77777777" w:rsidTr="003B5A8E">
        <w:trPr>
          <w:jc w:val="center"/>
        </w:trPr>
        <w:tc>
          <w:tcPr>
            <w:tcW w:w="762" w:type="pct"/>
            <w:tcBorders>
              <w:top w:val="nil"/>
              <w:left w:val="nil"/>
              <w:bottom w:val="nil"/>
              <w:right w:val="nil"/>
            </w:tcBorders>
          </w:tcPr>
          <w:p w14:paraId="3A9046EE" w14:textId="6F38179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519" w:type="pct"/>
            <w:tcBorders>
              <w:top w:val="nil"/>
              <w:left w:val="nil"/>
              <w:bottom w:val="nil"/>
              <w:right w:val="nil"/>
            </w:tcBorders>
          </w:tcPr>
          <w:p w14:paraId="4BFDDB99"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(0.301)</w:t>
            </w:r>
          </w:p>
        </w:tc>
        <w:tc>
          <w:tcPr>
            <w:tcW w:w="738" w:type="pct"/>
            <w:tcBorders>
              <w:top w:val="nil"/>
              <w:left w:val="nil"/>
              <w:bottom w:val="nil"/>
              <w:right w:val="nil"/>
            </w:tcBorders>
          </w:tcPr>
          <w:p w14:paraId="64DE4CD4"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(2.71)</w:t>
            </w:r>
          </w:p>
        </w:tc>
        <w:tc>
          <w:tcPr>
            <w:tcW w:w="579" w:type="pct"/>
            <w:tcBorders>
              <w:top w:val="nil"/>
              <w:left w:val="nil"/>
              <w:bottom w:val="nil"/>
              <w:right w:val="nil"/>
            </w:tcBorders>
          </w:tcPr>
          <w:p w14:paraId="3F364F76"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(0.219)</w:t>
            </w:r>
          </w:p>
        </w:tc>
        <w:tc>
          <w:tcPr>
            <w:tcW w:w="817" w:type="pct"/>
            <w:tcBorders>
              <w:top w:val="nil"/>
              <w:left w:val="nil"/>
              <w:bottom w:val="nil"/>
              <w:right w:val="nil"/>
            </w:tcBorders>
          </w:tcPr>
          <w:p w14:paraId="219331AB"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(3.68)</w:t>
            </w:r>
          </w:p>
        </w:tc>
        <w:tc>
          <w:tcPr>
            <w:tcW w:w="789" w:type="pct"/>
            <w:tcBorders>
              <w:top w:val="nil"/>
              <w:left w:val="nil"/>
              <w:bottom w:val="nil"/>
              <w:right w:val="nil"/>
            </w:tcBorders>
          </w:tcPr>
          <w:p w14:paraId="26E531C2"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(0.147)</w:t>
            </w:r>
          </w:p>
        </w:tc>
        <w:tc>
          <w:tcPr>
            <w:tcW w:w="795" w:type="pct"/>
            <w:tcBorders>
              <w:top w:val="nil"/>
              <w:left w:val="nil"/>
              <w:bottom w:val="nil"/>
              <w:right w:val="nil"/>
            </w:tcBorders>
          </w:tcPr>
          <w:p w14:paraId="41B2A1A3"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(0.442)</w:t>
            </w:r>
          </w:p>
        </w:tc>
      </w:tr>
      <w:tr w:rsidR="003B5A8E" w:rsidRPr="00BF0763" w14:paraId="146A4328" w14:textId="77777777" w:rsidTr="003B5A8E">
        <w:trPr>
          <w:jc w:val="center"/>
        </w:trPr>
        <w:tc>
          <w:tcPr>
            <w:tcW w:w="762" w:type="pct"/>
            <w:tcBorders>
              <w:top w:val="nil"/>
              <w:left w:val="nil"/>
              <w:bottom w:val="nil"/>
              <w:right w:val="nil"/>
            </w:tcBorders>
          </w:tcPr>
          <w:p w14:paraId="177D2506"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Housing Price Index (100s)</w:t>
            </w:r>
          </w:p>
        </w:tc>
        <w:tc>
          <w:tcPr>
            <w:tcW w:w="519" w:type="pct"/>
            <w:tcBorders>
              <w:top w:val="nil"/>
              <w:left w:val="nil"/>
              <w:bottom w:val="nil"/>
              <w:right w:val="nil"/>
            </w:tcBorders>
          </w:tcPr>
          <w:p w14:paraId="3702222F"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-0.036**</w:t>
            </w:r>
          </w:p>
        </w:tc>
        <w:tc>
          <w:tcPr>
            <w:tcW w:w="738" w:type="pct"/>
            <w:tcBorders>
              <w:top w:val="nil"/>
              <w:left w:val="nil"/>
              <w:bottom w:val="nil"/>
              <w:right w:val="nil"/>
            </w:tcBorders>
          </w:tcPr>
          <w:p w14:paraId="67E63818"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0.014</w:t>
            </w:r>
          </w:p>
        </w:tc>
        <w:tc>
          <w:tcPr>
            <w:tcW w:w="579" w:type="pct"/>
            <w:tcBorders>
              <w:top w:val="nil"/>
              <w:left w:val="nil"/>
              <w:bottom w:val="nil"/>
              <w:right w:val="nil"/>
            </w:tcBorders>
          </w:tcPr>
          <w:p w14:paraId="0602D474"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-0.033**</w:t>
            </w:r>
          </w:p>
        </w:tc>
        <w:tc>
          <w:tcPr>
            <w:tcW w:w="817" w:type="pct"/>
            <w:tcBorders>
              <w:top w:val="nil"/>
              <w:left w:val="nil"/>
              <w:bottom w:val="nil"/>
              <w:right w:val="nil"/>
            </w:tcBorders>
          </w:tcPr>
          <w:p w14:paraId="359D108D"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-0.504***</w:t>
            </w:r>
          </w:p>
        </w:tc>
        <w:tc>
          <w:tcPr>
            <w:tcW w:w="789" w:type="pct"/>
            <w:tcBorders>
              <w:top w:val="nil"/>
              <w:left w:val="nil"/>
              <w:bottom w:val="nil"/>
              <w:right w:val="nil"/>
            </w:tcBorders>
          </w:tcPr>
          <w:p w14:paraId="6590C3B7"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-0.009</w:t>
            </w:r>
          </w:p>
        </w:tc>
        <w:tc>
          <w:tcPr>
            <w:tcW w:w="795" w:type="pct"/>
            <w:tcBorders>
              <w:top w:val="nil"/>
              <w:left w:val="nil"/>
              <w:bottom w:val="nil"/>
              <w:right w:val="nil"/>
            </w:tcBorders>
          </w:tcPr>
          <w:p w14:paraId="7DB14328"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-0.103***</w:t>
            </w:r>
          </w:p>
        </w:tc>
      </w:tr>
      <w:tr w:rsidR="003B5A8E" w:rsidRPr="00BF0763" w14:paraId="40AE5ECC" w14:textId="77777777" w:rsidTr="003B5A8E">
        <w:trPr>
          <w:jc w:val="center"/>
        </w:trPr>
        <w:tc>
          <w:tcPr>
            <w:tcW w:w="762" w:type="pct"/>
            <w:tcBorders>
              <w:top w:val="nil"/>
              <w:left w:val="nil"/>
              <w:bottom w:val="nil"/>
              <w:right w:val="nil"/>
            </w:tcBorders>
          </w:tcPr>
          <w:p w14:paraId="4B9EFF1E" w14:textId="55EDF4F0"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519" w:type="pct"/>
            <w:tcBorders>
              <w:top w:val="nil"/>
              <w:left w:val="nil"/>
              <w:bottom w:val="nil"/>
              <w:right w:val="nil"/>
            </w:tcBorders>
          </w:tcPr>
          <w:p w14:paraId="2DADF479"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(0.018)</w:t>
            </w:r>
          </w:p>
        </w:tc>
        <w:tc>
          <w:tcPr>
            <w:tcW w:w="738" w:type="pct"/>
            <w:tcBorders>
              <w:top w:val="nil"/>
              <w:left w:val="nil"/>
              <w:bottom w:val="nil"/>
              <w:right w:val="nil"/>
            </w:tcBorders>
          </w:tcPr>
          <w:p w14:paraId="05887FE1"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(0.172)</w:t>
            </w:r>
          </w:p>
        </w:tc>
        <w:tc>
          <w:tcPr>
            <w:tcW w:w="579" w:type="pct"/>
            <w:tcBorders>
              <w:top w:val="nil"/>
              <w:left w:val="nil"/>
              <w:bottom w:val="nil"/>
              <w:right w:val="nil"/>
            </w:tcBorders>
          </w:tcPr>
          <w:p w14:paraId="609E9DDF"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(0.016)</w:t>
            </w:r>
          </w:p>
        </w:tc>
        <w:tc>
          <w:tcPr>
            <w:tcW w:w="817" w:type="pct"/>
            <w:tcBorders>
              <w:top w:val="nil"/>
              <w:left w:val="nil"/>
              <w:bottom w:val="nil"/>
              <w:right w:val="nil"/>
            </w:tcBorders>
          </w:tcPr>
          <w:p w14:paraId="401B6AA0"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(0.114)</w:t>
            </w:r>
          </w:p>
        </w:tc>
        <w:tc>
          <w:tcPr>
            <w:tcW w:w="789" w:type="pct"/>
            <w:tcBorders>
              <w:top w:val="nil"/>
              <w:left w:val="nil"/>
              <w:bottom w:val="nil"/>
              <w:right w:val="nil"/>
            </w:tcBorders>
          </w:tcPr>
          <w:p w14:paraId="76D64434"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(0.010)</w:t>
            </w:r>
          </w:p>
        </w:tc>
        <w:tc>
          <w:tcPr>
            <w:tcW w:w="795" w:type="pct"/>
            <w:tcBorders>
              <w:top w:val="nil"/>
              <w:left w:val="nil"/>
              <w:bottom w:val="nil"/>
              <w:right w:val="nil"/>
            </w:tcBorders>
          </w:tcPr>
          <w:p w14:paraId="1503750E"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(0.025)</w:t>
            </w:r>
          </w:p>
        </w:tc>
      </w:tr>
      <w:tr w:rsidR="003B5A8E" w:rsidRPr="00BF0763" w14:paraId="2E4E454A" w14:textId="77777777" w:rsidTr="003B5A8E">
        <w:trPr>
          <w:jc w:val="center"/>
        </w:trPr>
        <w:tc>
          <w:tcPr>
            <w:tcW w:w="762" w:type="pct"/>
            <w:tcBorders>
              <w:top w:val="nil"/>
              <w:left w:val="nil"/>
              <w:bottom w:val="nil"/>
              <w:right w:val="nil"/>
            </w:tcBorders>
          </w:tcPr>
          <w:p w14:paraId="7C77813C"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Poverty rate (100s)</w:t>
            </w:r>
          </w:p>
        </w:tc>
        <w:tc>
          <w:tcPr>
            <w:tcW w:w="519" w:type="pct"/>
            <w:tcBorders>
              <w:top w:val="nil"/>
              <w:left w:val="nil"/>
              <w:bottom w:val="nil"/>
              <w:right w:val="nil"/>
            </w:tcBorders>
          </w:tcPr>
          <w:p w14:paraId="0FA5E5CB"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-1.79</w:t>
            </w:r>
          </w:p>
        </w:tc>
        <w:tc>
          <w:tcPr>
            <w:tcW w:w="738" w:type="pct"/>
            <w:tcBorders>
              <w:top w:val="nil"/>
              <w:left w:val="nil"/>
              <w:bottom w:val="nil"/>
              <w:right w:val="nil"/>
            </w:tcBorders>
          </w:tcPr>
          <w:p w14:paraId="6A6D4E1F"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-25.4**</w:t>
            </w:r>
          </w:p>
        </w:tc>
        <w:tc>
          <w:tcPr>
            <w:tcW w:w="579" w:type="pct"/>
            <w:tcBorders>
              <w:top w:val="nil"/>
              <w:left w:val="nil"/>
              <w:bottom w:val="nil"/>
              <w:right w:val="nil"/>
            </w:tcBorders>
          </w:tcPr>
          <w:p w14:paraId="7E5AEFFF"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0.129</w:t>
            </w:r>
          </w:p>
        </w:tc>
        <w:tc>
          <w:tcPr>
            <w:tcW w:w="817" w:type="pct"/>
            <w:tcBorders>
              <w:top w:val="nil"/>
              <w:left w:val="nil"/>
              <w:bottom w:val="nil"/>
              <w:right w:val="nil"/>
            </w:tcBorders>
          </w:tcPr>
          <w:p w14:paraId="01B609B1"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12.3</w:t>
            </w:r>
          </w:p>
        </w:tc>
        <w:tc>
          <w:tcPr>
            <w:tcW w:w="789" w:type="pct"/>
            <w:tcBorders>
              <w:top w:val="nil"/>
              <w:left w:val="nil"/>
              <w:bottom w:val="nil"/>
              <w:right w:val="nil"/>
            </w:tcBorders>
          </w:tcPr>
          <w:p w14:paraId="3F9E8F1C"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-0.991</w:t>
            </w:r>
          </w:p>
        </w:tc>
        <w:tc>
          <w:tcPr>
            <w:tcW w:w="795" w:type="pct"/>
            <w:tcBorders>
              <w:top w:val="nil"/>
              <w:left w:val="nil"/>
              <w:bottom w:val="nil"/>
              <w:right w:val="nil"/>
            </w:tcBorders>
          </w:tcPr>
          <w:p w14:paraId="40E50DC6"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-0.108</w:t>
            </w:r>
          </w:p>
        </w:tc>
      </w:tr>
      <w:tr w:rsidR="003B5A8E" w:rsidRPr="00BF0763" w14:paraId="0DE3EEE1" w14:textId="77777777" w:rsidTr="003B5A8E">
        <w:trPr>
          <w:jc w:val="center"/>
        </w:trPr>
        <w:tc>
          <w:tcPr>
            <w:tcW w:w="762" w:type="pct"/>
            <w:tcBorders>
              <w:top w:val="nil"/>
              <w:left w:val="nil"/>
              <w:bottom w:val="nil"/>
              <w:right w:val="nil"/>
            </w:tcBorders>
          </w:tcPr>
          <w:p w14:paraId="0BC4F1FE" w14:textId="24DA8969"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519" w:type="pct"/>
            <w:tcBorders>
              <w:top w:val="nil"/>
              <w:left w:val="nil"/>
              <w:bottom w:val="nil"/>
              <w:right w:val="nil"/>
            </w:tcBorders>
          </w:tcPr>
          <w:p w14:paraId="1D84430A"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(1.20)</w:t>
            </w:r>
          </w:p>
        </w:tc>
        <w:tc>
          <w:tcPr>
            <w:tcW w:w="738" w:type="pct"/>
            <w:tcBorders>
              <w:top w:val="nil"/>
              <w:left w:val="nil"/>
              <w:bottom w:val="nil"/>
              <w:right w:val="nil"/>
            </w:tcBorders>
          </w:tcPr>
          <w:p w14:paraId="760C9F16"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(11.2)</w:t>
            </w:r>
          </w:p>
        </w:tc>
        <w:tc>
          <w:tcPr>
            <w:tcW w:w="579" w:type="pct"/>
            <w:tcBorders>
              <w:top w:val="nil"/>
              <w:left w:val="nil"/>
              <w:bottom w:val="nil"/>
              <w:right w:val="nil"/>
            </w:tcBorders>
          </w:tcPr>
          <w:p w14:paraId="5D4001A2"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(0.830)</w:t>
            </w:r>
          </w:p>
        </w:tc>
        <w:tc>
          <w:tcPr>
            <w:tcW w:w="817" w:type="pct"/>
            <w:tcBorders>
              <w:top w:val="nil"/>
              <w:left w:val="nil"/>
              <w:bottom w:val="nil"/>
              <w:right w:val="nil"/>
            </w:tcBorders>
          </w:tcPr>
          <w:p w14:paraId="7B8B7A64"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(12.6)</w:t>
            </w:r>
          </w:p>
        </w:tc>
        <w:tc>
          <w:tcPr>
            <w:tcW w:w="789" w:type="pct"/>
            <w:tcBorders>
              <w:top w:val="nil"/>
              <w:left w:val="nil"/>
              <w:bottom w:val="nil"/>
              <w:right w:val="nil"/>
            </w:tcBorders>
          </w:tcPr>
          <w:p w14:paraId="30E346AA"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(0.647)</w:t>
            </w:r>
          </w:p>
        </w:tc>
        <w:tc>
          <w:tcPr>
            <w:tcW w:w="795" w:type="pct"/>
            <w:tcBorders>
              <w:top w:val="nil"/>
              <w:left w:val="nil"/>
              <w:bottom w:val="nil"/>
              <w:right w:val="nil"/>
            </w:tcBorders>
          </w:tcPr>
          <w:p w14:paraId="1A1AB6CF"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(3.27)</w:t>
            </w:r>
          </w:p>
        </w:tc>
      </w:tr>
      <w:tr w:rsidR="003B5A8E" w:rsidRPr="00BF0763" w14:paraId="39D1AFED" w14:textId="77777777" w:rsidTr="003B5A8E">
        <w:trPr>
          <w:jc w:val="center"/>
        </w:trPr>
        <w:tc>
          <w:tcPr>
            <w:tcW w:w="762" w:type="pct"/>
            <w:tcBorders>
              <w:top w:val="nil"/>
              <w:left w:val="nil"/>
              <w:bottom w:val="nil"/>
              <w:right w:val="nil"/>
            </w:tcBorders>
          </w:tcPr>
          <w:p w14:paraId="7C4FF2BE"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Median HH Income (100ks)</w:t>
            </w:r>
          </w:p>
        </w:tc>
        <w:tc>
          <w:tcPr>
            <w:tcW w:w="519" w:type="pct"/>
            <w:tcBorders>
              <w:top w:val="nil"/>
              <w:left w:val="nil"/>
              <w:bottom w:val="nil"/>
              <w:right w:val="nil"/>
            </w:tcBorders>
          </w:tcPr>
          <w:p w14:paraId="22206E64"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1.15***</w:t>
            </w:r>
          </w:p>
        </w:tc>
        <w:tc>
          <w:tcPr>
            <w:tcW w:w="738" w:type="pct"/>
            <w:tcBorders>
              <w:top w:val="nil"/>
              <w:left w:val="nil"/>
              <w:bottom w:val="nil"/>
              <w:right w:val="nil"/>
            </w:tcBorders>
          </w:tcPr>
          <w:p w14:paraId="5137C679"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-1.89</w:t>
            </w:r>
          </w:p>
        </w:tc>
        <w:tc>
          <w:tcPr>
            <w:tcW w:w="579" w:type="pct"/>
            <w:tcBorders>
              <w:top w:val="nil"/>
              <w:left w:val="nil"/>
              <w:bottom w:val="nil"/>
              <w:right w:val="nil"/>
            </w:tcBorders>
          </w:tcPr>
          <w:p w14:paraId="63C5E91F"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0.152</w:t>
            </w:r>
          </w:p>
        </w:tc>
        <w:tc>
          <w:tcPr>
            <w:tcW w:w="817" w:type="pct"/>
            <w:tcBorders>
              <w:top w:val="nil"/>
              <w:left w:val="nil"/>
              <w:bottom w:val="nil"/>
              <w:right w:val="nil"/>
            </w:tcBorders>
          </w:tcPr>
          <w:p w14:paraId="3A8D29F2"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12.5***</w:t>
            </w:r>
          </w:p>
        </w:tc>
        <w:tc>
          <w:tcPr>
            <w:tcW w:w="789" w:type="pct"/>
            <w:tcBorders>
              <w:top w:val="nil"/>
              <w:left w:val="nil"/>
              <w:bottom w:val="nil"/>
              <w:right w:val="nil"/>
            </w:tcBorders>
          </w:tcPr>
          <w:p w14:paraId="548F0107"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-0.163</w:t>
            </w:r>
          </w:p>
        </w:tc>
        <w:tc>
          <w:tcPr>
            <w:tcW w:w="795" w:type="pct"/>
            <w:tcBorders>
              <w:top w:val="nil"/>
              <w:left w:val="nil"/>
              <w:bottom w:val="nil"/>
              <w:right w:val="nil"/>
            </w:tcBorders>
          </w:tcPr>
          <w:p w14:paraId="0D275AC3"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2.28***</w:t>
            </w:r>
          </w:p>
        </w:tc>
      </w:tr>
      <w:tr w:rsidR="003B5A8E" w:rsidRPr="00BF0763" w14:paraId="65875718" w14:textId="77777777" w:rsidTr="003B5A8E">
        <w:trPr>
          <w:jc w:val="center"/>
        </w:trPr>
        <w:tc>
          <w:tcPr>
            <w:tcW w:w="762" w:type="pct"/>
            <w:tcBorders>
              <w:top w:val="nil"/>
              <w:left w:val="nil"/>
              <w:bottom w:val="nil"/>
              <w:right w:val="nil"/>
            </w:tcBorders>
          </w:tcPr>
          <w:p w14:paraId="3C56DCB5" w14:textId="6ED63C09"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519" w:type="pct"/>
            <w:tcBorders>
              <w:top w:val="nil"/>
              <w:left w:val="nil"/>
              <w:bottom w:val="nil"/>
              <w:right w:val="nil"/>
            </w:tcBorders>
          </w:tcPr>
          <w:p w14:paraId="6B5DDBC6"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(0.435)</w:t>
            </w:r>
          </w:p>
        </w:tc>
        <w:tc>
          <w:tcPr>
            <w:tcW w:w="738" w:type="pct"/>
            <w:tcBorders>
              <w:top w:val="nil"/>
              <w:left w:val="nil"/>
              <w:bottom w:val="nil"/>
              <w:right w:val="nil"/>
            </w:tcBorders>
          </w:tcPr>
          <w:p w14:paraId="0AC53AD6"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(5.44)</w:t>
            </w:r>
          </w:p>
        </w:tc>
        <w:tc>
          <w:tcPr>
            <w:tcW w:w="579" w:type="pct"/>
            <w:tcBorders>
              <w:top w:val="nil"/>
              <w:left w:val="nil"/>
              <w:bottom w:val="nil"/>
              <w:right w:val="nil"/>
            </w:tcBorders>
          </w:tcPr>
          <w:p w14:paraId="4B6ED99E"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(0.357)</w:t>
            </w:r>
          </w:p>
        </w:tc>
        <w:tc>
          <w:tcPr>
            <w:tcW w:w="817" w:type="pct"/>
            <w:tcBorders>
              <w:top w:val="nil"/>
              <w:left w:val="nil"/>
              <w:bottom w:val="nil"/>
              <w:right w:val="nil"/>
            </w:tcBorders>
          </w:tcPr>
          <w:p w14:paraId="769F4CE0"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(2.70)</w:t>
            </w:r>
          </w:p>
        </w:tc>
        <w:tc>
          <w:tcPr>
            <w:tcW w:w="789" w:type="pct"/>
            <w:tcBorders>
              <w:top w:val="nil"/>
              <w:left w:val="nil"/>
              <w:bottom w:val="nil"/>
              <w:right w:val="nil"/>
            </w:tcBorders>
          </w:tcPr>
          <w:p w14:paraId="58551C58"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(0.267)</w:t>
            </w:r>
          </w:p>
        </w:tc>
        <w:tc>
          <w:tcPr>
            <w:tcW w:w="795" w:type="pct"/>
            <w:tcBorders>
              <w:top w:val="nil"/>
              <w:left w:val="nil"/>
              <w:bottom w:val="nil"/>
              <w:right w:val="nil"/>
            </w:tcBorders>
          </w:tcPr>
          <w:p w14:paraId="542D3642"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(0.695)</w:t>
            </w:r>
          </w:p>
        </w:tc>
      </w:tr>
      <w:tr w:rsidR="003B5A8E" w:rsidRPr="00BF0763" w14:paraId="401404EB" w14:textId="77777777" w:rsidTr="003B5A8E">
        <w:trPr>
          <w:jc w:val="center"/>
        </w:trPr>
        <w:tc>
          <w:tcPr>
            <w:tcW w:w="762" w:type="pct"/>
            <w:tcBorders>
              <w:top w:val="nil"/>
              <w:left w:val="nil"/>
              <w:bottom w:val="nil"/>
              <w:right w:val="nil"/>
            </w:tcBorders>
          </w:tcPr>
          <w:p w14:paraId="14251AC0"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O3-Attainment Status (t-1)</w:t>
            </w:r>
          </w:p>
        </w:tc>
        <w:tc>
          <w:tcPr>
            <w:tcW w:w="519" w:type="pct"/>
            <w:tcBorders>
              <w:top w:val="nil"/>
              <w:left w:val="nil"/>
              <w:bottom w:val="nil"/>
              <w:right w:val="nil"/>
            </w:tcBorders>
          </w:tcPr>
          <w:p w14:paraId="6E7FE1DB"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-0.005</w:t>
            </w:r>
          </w:p>
        </w:tc>
        <w:tc>
          <w:tcPr>
            <w:tcW w:w="738" w:type="pct"/>
            <w:tcBorders>
              <w:top w:val="nil"/>
              <w:left w:val="nil"/>
              <w:bottom w:val="nil"/>
              <w:right w:val="nil"/>
            </w:tcBorders>
          </w:tcPr>
          <w:p w14:paraId="3B0891E9"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0.379</w:t>
            </w:r>
          </w:p>
        </w:tc>
        <w:tc>
          <w:tcPr>
            <w:tcW w:w="579" w:type="pct"/>
            <w:tcBorders>
              <w:top w:val="nil"/>
              <w:left w:val="nil"/>
              <w:bottom w:val="nil"/>
              <w:right w:val="nil"/>
            </w:tcBorders>
          </w:tcPr>
          <w:p w14:paraId="52D25B27"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0.000</w:t>
            </w:r>
          </w:p>
        </w:tc>
        <w:tc>
          <w:tcPr>
            <w:tcW w:w="817" w:type="pct"/>
            <w:tcBorders>
              <w:top w:val="nil"/>
              <w:left w:val="nil"/>
              <w:bottom w:val="nil"/>
              <w:right w:val="nil"/>
            </w:tcBorders>
          </w:tcPr>
          <w:p w14:paraId="6AFFDA41"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-0.031</w:t>
            </w:r>
          </w:p>
        </w:tc>
        <w:tc>
          <w:tcPr>
            <w:tcW w:w="789" w:type="pct"/>
            <w:tcBorders>
              <w:top w:val="nil"/>
              <w:left w:val="nil"/>
              <w:bottom w:val="nil"/>
              <w:right w:val="nil"/>
            </w:tcBorders>
          </w:tcPr>
          <w:p w14:paraId="7464EFD0"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-0.030</w:t>
            </w:r>
          </w:p>
        </w:tc>
        <w:tc>
          <w:tcPr>
            <w:tcW w:w="795" w:type="pct"/>
            <w:tcBorders>
              <w:top w:val="nil"/>
              <w:left w:val="nil"/>
              <w:bottom w:val="nil"/>
              <w:right w:val="nil"/>
            </w:tcBorders>
          </w:tcPr>
          <w:p w14:paraId="5F50F6AC"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-0.087</w:t>
            </w:r>
          </w:p>
        </w:tc>
      </w:tr>
      <w:tr w:rsidR="003B5A8E" w:rsidRPr="00BF0763" w14:paraId="4D8A909D" w14:textId="77777777" w:rsidTr="003B5A8E">
        <w:trPr>
          <w:jc w:val="center"/>
        </w:trPr>
        <w:tc>
          <w:tcPr>
            <w:tcW w:w="762" w:type="pct"/>
            <w:tcBorders>
              <w:top w:val="nil"/>
              <w:left w:val="nil"/>
              <w:bottom w:val="nil"/>
              <w:right w:val="nil"/>
            </w:tcBorders>
          </w:tcPr>
          <w:p w14:paraId="5B0D7C71" w14:textId="2BCA1CA2"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519" w:type="pct"/>
            <w:tcBorders>
              <w:top w:val="nil"/>
              <w:left w:val="nil"/>
              <w:bottom w:val="nil"/>
              <w:right w:val="nil"/>
            </w:tcBorders>
          </w:tcPr>
          <w:p w14:paraId="2F6BE96C"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(0.045)</w:t>
            </w:r>
          </w:p>
        </w:tc>
        <w:tc>
          <w:tcPr>
            <w:tcW w:w="738" w:type="pct"/>
            <w:tcBorders>
              <w:top w:val="nil"/>
              <w:left w:val="nil"/>
              <w:bottom w:val="nil"/>
              <w:right w:val="nil"/>
            </w:tcBorders>
          </w:tcPr>
          <w:p w14:paraId="59E69D10"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(0.363)</w:t>
            </w:r>
          </w:p>
        </w:tc>
        <w:tc>
          <w:tcPr>
            <w:tcW w:w="579" w:type="pct"/>
            <w:tcBorders>
              <w:top w:val="nil"/>
              <w:left w:val="nil"/>
              <w:bottom w:val="nil"/>
              <w:right w:val="nil"/>
            </w:tcBorders>
          </w:tcPr>
          <w:p w14:paraId="7F245DED"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(0.050)</w:t>
            </w:r>
          </w:p>
        </w:tc>
        <w:tc>
          <w:tcPr>
            <w:tcW w:w="817" w:type="pct"/>
            <w:tcBorders>
              <w:top w:val="nil"/>
              <w:left w:val="nil"/>
              <w:bottom w:val="nil"/>
              <w:right w:val="nil"/>
            </w:tcBorders>
          </w:tcPr>
          <w:p w14:paraId="31345B9D"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(0.402)</w:t>
            </w:r>
          </w:p>
        </w:tc>
        <w:tc>
          <w:tcPr>
            <w:tcW w:w="789" w:type="pct"/>
            <w:tcBorders>
              <w:top w:val="nil"/>
              <w:left w:val="nil"/>
              <w:bottom w:val="nil"/>
              <w:right w:val="nil"/>
            </w:tcBorders>
          </w:tcPr>
          <w:p w14:paraId="40AB5C18"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(0.035)</w:t>
            </w:r>
          </w:p>
        </w:tc>
        <w:tc>
          <w:tcPr>
            <w:tcW w:w="795" w:type="pct"/>
            <w:tcBorders>
              <w:top w:val="nil"/>
              <w:left w:val="nil"/>
              <w:bottom w:val="nil"/>
              <w:right w:val="nil"/>
            </w:tcBorders>
          </w:tcPr>
          <w:p w14:paraId="08F8D831"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(0.136)</w:t>
            </w:r>
          </w:p>
        </w:tc>
      </w:tr>
      <w:tr w:rsidR="003B5A8E" w:rsidRPr="00BF0763" w14:paraId="2803667C" w14:textId="77777777" w:rsidTr="003B5A8E">
        <w:trPr>
          <w:jc w:val="center"/>
        </w:trPr>
        <w:tc>
          <w:tcPr>
            <w:tcW w:w="762" w:type="pct"/>
            <w:tcBorders>
              <w:top w:val="nil"/>
              <w:left w:val="nil"/>
              <w:bottom w:val="nil"/>
              <w:right w:val="nil"/>
            </w:tcBorders>
          </w:tcPr>
          <w:p w14:paraId="57DAB572"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PM-Attainment Status (t-1)</w:t>
            </w:r>
          </w:p>
        </w:tc>
        <w:tc>
          <w:tcPr>
            <w:tcW w:w="519" w:type="pct"/>
            <w:tcBorders>
              <w:top w:val="nil"/>
              <w:left w:val="nil"/>
              <w:bottom w:val="nil"/>
              <w:right w:val="nil"/>
            </w:tcBorders>
          </w:tcPr>
          <w:p w14:paraId="7C6FAB28"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0.019</w:t>
            </w:r>
          </w:p>
        </w:tc>
        <w:tc>
          <w:tcPr>
            <w:tcW w:w="738" w:type="pct"/>
            <w:tcBorders>
              <w:top w:val="nil"/>
              <w:left w:val="nil"/>
              <w:bottom w:val="nil"/>
              <w:right w:val="nil"/>
            </w:tcBorders>
          </w:tcPr>
          <w:p w14:paraId="63060814"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-0.738</w:t>
            </w:r>
          </w:p>
        </w:tc>
        <w:tc>
          <w:tcPr>
            <w:tcW w:w="579" w:type="pct"/>
            <w:tcBorders>
              <w:top w:val="nil"/>
              <w:left w:val="nil"/>
              <w:bottom w:val="nil"/>
              <w:right w:val="nil"/>
            </w:tcBorders>
          </w:tcPr>
          <w:p w14:paraId="7970CC7E"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-0.001</w:t>
            </w:r>
          </w:p>
        </w:tc>
        <w:tc>
          <w:tcPr>
            <w:tcW w:w="817" w:type="pct"/>
            <w:tcBorders>
              <w:top w:val="nil"/>
              <w:left w:val="nil"/>
              <w:bottom w:val="nil"/>
              <w:right w:val="nil"/>
            </w:tcBorders>
          </w:tcPr>
          <w:p w14:paraId="7761E6D2"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-0.215</w:t>
            </w:r>
          </w:p>
        </w:tc>
        <w:tc>
          <w:tcPr>
            <w:tcW w:w="789" w:type="pct"/>
            <w:tcBorders>
              <w:top w:val="nil"/>
              <w:left w:val="nil"/>
              <w:bottom w:val="nil"/>
              <w:right w:val="nil"/>
            </w:tcBorders>
          </w:tcPr>
          <w:p w14:paraId="01E0F99C"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-0.010</w:t>
            </w:r>
          </w:p>
        </w:tc>
        <w:tc>
          <w:tcPr>
            <w:tcW w:w="795" w:type="pct"/>
            <w:tcBorders>
              <w:top w:val="nil"/>
              <w:left w:val="nil"/>
              <w:bottom w:val="nil"/>
              <w:right w:val="nil"/>
            </w:tcBorders>
          </w:tcPr>
          <w:p w14:paraId="2ED477C4"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-0.143</w:t>
            </w:r>
          </w:p>
        </w:tc>
      </w:tr>
      <w:tr w:rsidR="003B5A8E" w:rsidRPr="00BF0763" w14:paraId="7C83659F" w14:textId="77777777" w:rsidTr="003B5A8E">
        <w:trPr>
          <w:jc w:val="center"/>
        </w:trPr>
        <w:tc>
          <w:tcPr>
            <w:tcW w:w="762" w:type="pct"/>
            <w:tcBorders>
              <w:top w:val="nil"/>
              <w:left w:val="nil"/>
              <w:bottom w:val="nil"/>
              <w:right w:val="nil"/>
            </w:tcBorders>
          </w:tcPr>
          <w:p w14:paraId="257F6A15" w14:textId="03B933F8"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519" w:type="pct"/>
            <w:tcBorders>
              <w:top w:val="nil"/>
              <w:left w:val="nil"/>
              <w:bottom w:val="nil"/>
              <w:right w:val="nil"/>
            </w:tcBorders>
          </w:tcPr>
          <w:p w14:paraId="24156299"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(0.044)</w:t>
            </w:r>
          </w:p>
        </w:tc>
        <w:tc>
          <w:tcPr>
            <w:tcW w:w="738" w:type="pct"/>
            <w:tcBorders>
              <w:top w:val="nil"/>
              <w:left w:val="nil"/>
              <w:bottom w:val="nil"/>
              <w:right w:val="nil"/>
            </w:tcBorders>
          </w:tcPr>
          <w:p w14:paraId="63745F8C"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(0.511)</w:t>
            </w:r>
          </w:p>
        </w:tc>
        <w:tc>
          <w:tcPr>
            <w:tcW w:w="579" w:type="pct"/>
            <w:tcBorders>
              <w:top w:val="nil"/>
              <w:left w:val="nil"/>
              <w:bottom w:val="nil"/>
              <w:right w:val="nil"/>
            </w:tcBorders>
          </w:tcPr>
          <w:p w14:paraId="02826125"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(0.025)</w:t>
            </w:r>
          </w:p>
        </w:tc>
        <w:tc>
          <w:tcPr>
            <w:tcW w:w="817" w:type="pct"/>
            <w:tcBorders>
              <w:top w:val="nil"/>
              <w:left w:val="nil"/>
              <w:bottom w:val="nil"/>
              <w:right w:val="nil"/>
            </w:tcBorders>
          </w:tcPr>
          <w:p w14:paraId="5ED56F67"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(0.375)</w:t>
            </w:r>
          </w:p>
        </w:tc>
        <w:tc>
          <w:tcPr>
            <w:tcW w:w="789" w:type="pct"/>
            <w:tcBorders>
              <w:top w:val="nil"/>
              <w:left w:val="nil"/>
              <w:bottom w:val="nil"/>
              <w:right w:val="nil"/>
            </w:tcBorders>
          </w:tcPr>
          <w:p w14:paraId="3D1FADA5"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(0.019)</w:t>
            </w:r>
          </w:p>
        </w:tc>
        <w:tc>
          <w:tcPr>
            <w:tcW w:w="795" w:type="pct"/>
            <w:tcBorders>
              <w:top w:val="nil"/>
              <w:left w:val="nil"/>
              <w:bottom w:val="nil"/>
              <w:right w:val="nil"/>
            </w:tcBorders>
          </w:tcPr>
          <w:p w14:paraId="03555AA7"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(0.112)</w:t>
            </w:r>
          </w:p>
        </w:tc>
      </w:tr>
      <w:tr w:rsidR="003B5A8E" w:rsidRPr="00BF0763" w14:paraId="061E56B4" w14:textId="77777777" w:rsidTr="003B5A8E">
        <w:trPr>
          <w:jc w:val="center"/>
        </w:trPr>
        <w:tc>
          <w:tcPr>
            <w:tcW w:w="762" w:type="pct"/>
            <w:tcBorders>
              <w:top w:val="nil"/>
              <w:left w:val="nil"/>
              <w:bottom w:val="nil"/>
              <w:right w:val="nil"/>
            </w:tcBorders>
          </w:tcPr>
          <w:p w14:paraId="57DE845E"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Population Density (100s)</w:t>
            </w:r>
          </w:p>
        </w:tc>
        <w:tc>
          <w:tcPr>
            <w:tcW w:w="519" w:type="pct"/>
            <w:tcBorders>
              <w:top w:val="nil"/>
              <w:left w:val="nil"/>
              <w:bottom w:val="nil"/>
              <w:right w:val="nil"/>
            </w:tcBorders>
          </w:tcPr>
          <w:p w14:paraId="0E88E171"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8.28***</w:t>
            </w:r>
          </w:p>
        </w:tc>
        <w:tc>
          <w:tcPr>
            <w:tcW w:w="738" w:type="pct"/>
            <w:tcBorders>
              <w:top w:val="nil"/>
              <w:left w:val="nil"/>
              <w:bottom w:val="nil"/>
              <w:right w:val="nil"/>
            </w:tcBorders>
          </w:tcPr>
          <w:p w14:paraId="343D76FB"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91.6***</w:t>
            </w:r>
          </w:p>
        </w:tc>
        <w:tc>
          <w:tcPr>
            <w:tcW w:w="579" w:type="pct"/>
            <w:tcBorders>
              <w:top w:val="nil"/>
              <w:left w:val="nil"/>
              <w:bottom w:val="nil"/>
              <w:right w:val="nil"/>
            </w:tcBorders>
          </w:tcPr>
          <w:p w14:paraId="350A473D"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4.49***</w:t>
            </w:r>
          </w:p>
        </w:tc>
        <w:tc>
          <w:tcPr>
            <w:tcW w:w="817" w:type="pct"/>
            <w:tcBorders>
              <w:top w:val="nil"/>
              <w:left w:val="nil"/>
              <w:bottom w:val="nil"/>
              <w:right w:val="nil"/>
            </w:tcBorders>
          </w:tcPr>
          <w:p w14:paraId="665BB0A5"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-17.2</w:t>
            </w:r>
          </w:p>
        </w:tc>
        <w:tc>
          <w:tcPr>
            <w:tcW w:w="789" w:type="pct"/>
            <w:tcBorders>
              <w:top w:val="nil"/>
              <w:left w:val="nil"/>
              <w:bottom w:val="nil"/>
              <w:right w:val="nil"/>
            </w:tcBorders>
          </w:tcPr>
          <w:p w14:paraId="6694A0B3"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1.89</w:t>
            </w:r>
          </w:p>
        </w:tc>
        <w:tc>
          <w:tcPr>
            <w:tcW w:w="795" w:type="pct"/>
            <w:tcBorders>
              <w:top w:val="nil"/>
              <w:left w:val="nil"/>
              <w:bottom w:val="nil"/>
              <w:right w:val="nil"/>
            </w:tcBorders>
          </w:tcPr>
          <w:p w14:paraId="6EE5EF68"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8.25**</w:t>
            </w:r>
          </w:p>
        </w:tc>
      </w:tr>
      <w:tr w:rsidR="003B5A8E" w:rsidRPr="00BF0763" w14:paraId="05E0112A" w14:textId="77777777" w:rsidTr="003B5A8E">
        <w:trPr>
          <w:jc w:val="center"/>
        </w:trPr>
        <w:tc>
          <w:tcPr>
            <w:tcW w:w="762" w:type="pct"/>
            <w:tcBorders>
              <w:top w:val="nil"/>
              <w:left w:val="nil"/>
              <w:bottom w:val="nil"/>
              <w:right w:val="nil"/>
            </w:tcBorders>
          </w:tcPr>
          <w:p w14:paraId="54F0FCD9" w14:textId="730B5EA6"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519" w:type="pct"/>
            <w:tcBorders>
              <w:top w:val="nil"/>
              <w:left w:val="nil"/>
              <w:bottom w:val="nil"/>
              <w:right w:val="nil"/>
            </w:tcBorders>
          </w:tcPr>
          <w:p w14:paraId="3C20F948"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(1.36)</w:t>
            </w:r>
          </w:p>
        </w:tc>
        <w:tc>
          <w:tcPr>
            <w:tcW w:w="738" w:type="pct"/>
            <w:tcBorders>
              <w:top w:val="nil"/>
              <w:left w:val="nil"/>
              <w:bottom w:val="nil"/>
              <w:right w:val="nil"/>
            </w:tcBorders>
          </w:tcPr>
          <w:p w14:paraId="580820F0"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(28.4)</w:t>
            </w:r>
          </w:p>
        </w:tc>
        <w:tc>
          <w:tcPr>
            <w:tcW w:w="579" w:type="pct"/>
            <w:tcBorders>
              <w:top w:val="nil"/>
              <w:left w:val="nil"/>
              <w:bottom w:val="nil"/>
              <w:right w:val="nil"/>
            </w:tcBorders>
          </w:tcPr>
          <w:p w14:paraId="4AE4729A"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(1.16)</w:t>
            </w:r>
          </w:p>
        </w:tc>
        <w:tc>
          <w:tcPr>
            <w:tcW w:w="817" w:type="pct"/>
            <w:tcBorders>
              <w:top w:val="nil"/>
              <w:left w:val="nil"/>
              <w:bottom w:val="nil"/>
              <w:right w:val="nil"/>
            </w:tcBorders>
          </w:tcPr>
          <w:p w14:paraId="390D4880"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(15.0)</w:t>
            </w:r>
          </w:p>
        </w:tc>
        <w:tc>
          <w:tcPr>
            <w:tcW w:w="789" w:type="pct"/>
            <w:tcBorders>
              <w:top w:val="nil"/>
              <w:left w:val="nil"/>
              <w:bottom w:val="nil"/>
              <w:right w:val="nil"/>
            </w:tcBorders>
          </w:tcPr>
          <w:p w14:paraId="4DA32613"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(1.19)</w:t>
            </w:r>
          </w:p>
        </w:tc>
        <w:tc>
          <w:tcPr>
            <w:tcW w:w="795" w:type="pct"/>
            <w:tcBorders>
              <w:top w:val="nil"/>
              <w:left w:val="nil"/>
              <w:bottom w:val="nil"/>
              <w:right w:val="nil"/>
            </w:tcBorders>
          </w:tcPr>
          <w:p w14:paraId="06F87D00"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(4.09)</w:t>
            </w:r>
          </w:p>
        </w:tc>
      </w:tr>
      <w:tr w:rsidR="003B5A8E" w:rsidRPr="00BF0763" w14:paraId="799C42A4" w14:textId="77777777" w:rsidTr="003B5A8E">
        <w:trPr>
          <w:jc w:val="center"/>
        </w:trPr>
        <w:tc>
          <w:tcPr>
            <w:tcW w:w="762" w:type="pct"/>
            <w:tcBorders>
              <w:top w:val="nil"/>
              <w:left w:val="nil"/>
              <w:bottom w:val="nil"/>
              <w:right w:val="nil"/>
            </w:tcBorders>
          </w:tcPr>
          <w:p w14:paraId="7FFF3984"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 xml:space="preserve">Prior </w:t>
            </w:r>
            <w:proofErr w:type="spellStart"/>
            <w:r w:rsidRPr="00BF0763">
              <w:rPr>
                <w:rFonts w:eastAsia="Times New Roman" w:cs="Times New Roman"/>
                <w:sz w:val="20"/>
                <w:szCs w:val="20"/>
              </w:rPr>
              <w:t>Estab</w:t>
            </w:r>
            <w:proofErr w:type="spellEnd"/>
            <w:r w:rsidRPr="00BF0763">
              <w:rPr>
                <w:rFonts w:eastAsia="Times New Roman" w:cs="Times New Roman"/>
                <w:sz w:val="20"/>
                <w:szCs w:val="20"/>
              </w:rPr>
              <w:t>. Count (10ks)</w:t>
            </w:r>
          </w:p>
        </w:tc>
        <w:tc>
          <w:tcPr>
            <w:tcW w:w="519" w:type="pct"/>
            <w:tcBorders>
              <w:top w:val="nil"/>
              <w:left w:val="nil"/>
              <w:bottom w:val="nil"/>
              <w:right w:val="nil"/>
            </w:tcBorders>
          </w:tcPr>
          <w:p w14:paraId="7D4E852B"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0.130</w:t>
            </w:r>
          </w:p>
        </w:tc>
        <w:tc>
          <w:tcPr>
            <w:tcW w:w="738" w:type="pct"/>
            <w:tcBorders>
              <w:top w:val="nil"/>
              <w:left w:val="nil"/>
              <w:bottom w:val="nil"/>
              <w:right w:val="nil"/>
            </w:tcBorders>
          </w:tcPr>
          <w:p w14:paraId="4857CB84"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-7.31***</w:t>
            </w:r>
          </w:p>
        </w:tc>
        <w:tc>
          <w:tcPr>
            <w:tcW w:w="579" w:type="pct"/>
            <w:tcBorders>
              <w:top w:val="nil"/>
              <w:left w:val="nil"/>
              <w:bottom w:val="nil"/>
              <w:right w:val="nil"/>
            </w:tcBorders>
          </w:tcPr>
          <w:p w14:paraId="6B275B65"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0.551***</w:t>
            </w:r>
          </w:p>
        </w:tc>
        <w:tc>
          <w:tcPr>
            <w:tcW w:w="817" w:type="pct"/>
            <w:tcBorders>
              <w:top w:val="nil"/>
              <w:left w:val="nil"/>
              <w:bottom w:val="nil"/>
              <w:right w:val="nil"/>
            </w:tcBorders>
          </w:tcPr>
          <w:p w14:paraId="5FEA26BA"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8.37***</w:t>
            </w:r>
          </w:p>
        </w:tc>
        <w:tc>
          <w:tcPr>
            <w:tcW w:w="789" w:type="pct"/>
            <w:tcBorders>
              <w:top w:val="nil"/>
              <w:left w:val="nil"/>
              <w:bottom w:val="nil"/>
              <w:right w:val="nil"/>
            </w:tcBorders>
          </w:tcPr>
          <w:p w14:paraId="34DCA349"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795" w:type="pct"/>
            <w:tcBorders>
              <w:top w:val="nil"/>
              <w:left w:val="nil"/>
              <w:bottom w:val="nil"/>
              <w:right w:val="nil"/>
            </w:tcBorders>
          </w:tcPr>
          <w:p w14:paraId="0F70E8B6"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r>
      <w:tr w:rsidR="003B5A8E" w:rsidRPr="00BF0763" w14:paraId="13FB192C" w14:textId="77777777" w:rsidTr="003B5A8E">
        <w:trPr>
          <w:jc w:val="center"/>
        </w:trPr>
        <w:tc>
          <w:tcPr>
            <w:tcW w:w="762" w:type="pct"/>
            <w:tcBorders>
              <w:top w:val="nil"/>
              <w:left w:val="nil"/>
              <w:bottom w:val="nil"/>
              <w:right w:val="nil"/>
            </w:tcBorders>
          </w:tcPr>
          <w:p w14:paraId="7AB57414" w14:textId="163AF0EE"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519" w:type="pct"/>
            <w:tcBorders>
              <w:top w:val="nil"/>
              <w:left w:val="nil"/>
              <w:bottom w:val="nil"/>
              <w:right w:val="nil"/>
            </w:tcBorders>
          </w:tcPr>
          <w:p w14:paraId="1E330FB0"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(0.105)</w:t>
            </w:r>
          </w:p>
        </w:tc>
        <w:tc>
          <w:tcPr>
            <w:tcW w:w="738" w:type="pct"/>
            <w:tcBorders>
              <w:top w:val="nil"/>
              <w:left w:val="nil"/>
              <w:bottom w:val="nil"/>
              <w:right w:val="nil"/>
            </w:tcBorders>
          </w:tcPr>
          <w:p w14:paraId="27EDA67C"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(1.61)</w:t>
            </w:r>
          </w:p>
        </w:tc>
        <w:tc>
          <w:tcPr>
            <w:tcW w:w="579" w:type="pct"/>
            <w:tcBorders>
              <w:top w:val="nil"/>
              <w:left w:val="nil"/>
              <w:bottom w:val="nil"/>
              <w:right w:val="nil"/>
            </w:tcBorders>
          </w:tcPr>
          <w:p w14:paraId="6318AAD4"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(0.191)</w:t>
            </w:r>
          </w:p>
        </w:tc>
        <w:tc>
          <w:tcPr>
            <w:tcW w:w="817" w:type="pct"/>
            <w:tcBorders>
              <w:top w:val="nil"/>
              <w:left w:val="nil"/>
              <w:bottom w:val="nil"/>
              <w:right w:val="nil"/>
            </w:tcBorders>
          </w:tcPr>
          <w:p w14:paraId="445E614E"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(2.00)</w:t>
            </w:r>
          </w:p>
        </w:tc>
        <w:tc>
          <w:tcPr>
            <w:tcW w:w="789" w:type="pct"/>
            <w:tcBorders>
              <w:top w:val="nil"/>
              <w:left w:val="nil"/>
              <w:bottom w:val="nil"/>
              <w:right w:val="nil"/>
            </w:tcBorders>
          </w:tcPr>
          <w:p w14:paraId="73C7C274"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795" w:type="pct"/>
            <w:tcBorders>
              <w:top w:val="nil"/>
              <w:left w:val="nil"/>
              <w:bottom w:val="nil"/>
              <w:right w:val="nil"/>
            </w:tcBorders>
          </w:tcPr>
          <w:p w14:paraId="517BC32B"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r>
      <w:tr w:rsidR="003B5A8E" w:rsidRPr="00BF0763" w14:paraId="5C15B1B4" w14:textId="77777777" w:rsidTr="003B5A8E">
        <w:trPr>
          <w:jc w:val="center"/>
        </w:trPr>
        <w:tc>
          <w:tcPr>
            <w:tcW w:w="762" w:type="pct"/>
            <w:tcBorders>
              <w:top w:val="nil"/>
              <w:left w:val="nil"/>
              <w:bottom w:val="nil"/>
              <w:right w:val="nil"/>
            </w:tcBorders>
          </w:tcPr>
          <w:p w14:paraId="23016A94"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Prior Exits</w:t>
            </w:r>
          </w:p>
        </w:tc>
        <w:tc>
          <w:tcPr>
            <w:tcW w:w="519" w:type="pct"/>
            <w:tcBorders>
              <w:top w:val="nil"/>
              <w:left w:val="nil"/>
              <w:bottom w:val="nil"/>
              <w:right w:val="nil"/>
            </w:tcBorders>
          </w:tcPr>
          <w:p w14:paraId="08626F15"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-0.027*</w:t>
            </w:r>
          </w:p>
        </w:tc>
        <w:tc>
          <w:tcPr>
            <w:tcW w:w="738" w:type="pct"/>
            <w:tcBorders>
              <w:top w:val="nil"/>
              <w:left w:val="nil"/>
              <w:bottom w:val="nil"/>
              <w:right w:val="nil"/>
            </w:tcBorders>
          </w:tcPr>
          <w:p w14:paraId="434C3EC3"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0.409*</w:t>
            </w:r>
          </w:p>
        </w:tc>
        <w:tc>
          <w:tcPr>
            <w:tcW w:w="579" w:type="pct"/>
            <w:tcBorders>
              <w:top w:val="nil"/>
              <w:left w:val="nil"/>
              <w:bottom w:val="nil"/>
              <w:right w:val="nil"/>
            </w:tcBorders>
          </w:tcPr>
          <w:p w14:paraId="5F109947"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817" w:type="pct"/>
            <w:tcBorders>
              <w:top w:val="nil"/>
              <w:left w:val="nil"/>
              <w:bottom w:val="nil"/>
              <w:right w:val="nil"/>
            </w:tcBorders>
          </w:tcPr>
          <w:p w14:paraId="1AD51BDA"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789" w:type="pct"/>
            <w:tcBorders>
              <w:top w:val="nil"/>
              <w:left w:val="nil"/>
              <w:bottom w:val="nil"/>
              <w:right w:val="nil"/>
            </w:tcBorders>
          </w:tcPr>
          <w:p w14:paraId="7C9A329D"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795" w:type="pct"/>
            <w:tcBorders>
              <w:top w:val="nil"/>
              <w:left w:val="nil"/>
              <w:bottom w:val="nil"/>
              <w:right w:val="nil"/>
            </w:tcBorders>
          </w:tcPr>
          <w:p w14:paraId="4294A89F"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r>
      <w:tr w:rsidR="003B5A8E" w:rsidRPr="00BF0763" w14:paraId="7E973CC9" w14:textId="77777777" w:rsidTr="003B5A8E">
        <w:trPr>
          <w:jc w:val="center"/>
        </w:trPr>
        <w:tc>
          <w:tcPr>
            <w:tcW w:w="762" w:type="pct"/>
            <w:tcBorders>
              <w:top w:val="nil"/>
              <w:left w:val="nil"/>
              <w:bottom w:val="nil"/>
              <w:right w:val="nil"/>
            </w:tcBorders>
          </w:tcPr>
          <w:p w14:paraId="474F2D58" w14:textId="6E39A03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519" w:type="pct"/>
            <w:tcBorders>
              <w:top w:val="nil"/>
              <w:left w:val="nil"/>
              <w:bottom w:val="nil"/>
              <w:right w:val="nil"/>
            </w:tcBorders>
          </w:tcPr>
          <w:p w14:paraId="438B5279"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(0.016)</w:t>
            </w:r>
          </w:p>
        </w:tc>
        <w:tc>
          <w:tcPr>
            <w:tcW w:w="738" w:type="pct"/>
            <w:tcBorders>
              <w:top w:val="nil"/>
              <w:left w:val="nil"/>
              <w:bottom w:val="nil"/>
              <w:right w:val="nil"/>
            </w:tcBorders>
          </w:tcPr>
          <w:p w14:paraId="52E7CD10"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(0.231)</w:t>
            </w:r>
          </w:p>
        </w:tc>
        <w:tc>
          <w:tcPr>
            <w:tcW w:w="579" w:type="pct"/>
            <w:tcBorders>
              <w:top w:val="nil"/>
              <w:left w:val="nil"/>
              <w:bottom w:val="nil"/>
              <w:right w:val="nil"/>
            </w:tcBorders>
          </w:tcPr>
          <w:p w14:paraId="21B2C83D"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817" w:type="pct"/>
            <w:tcBorders>
              <w:top w:val="nil"/>
              <w:left w:val="nil"/>
              <w:bottom w:val="nil"/>
              <w:right w:val="nil"/>
            </w:tcBorders>
          </w:tcPr>
          <w:p w14:paraId="62B89570"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789" w:type="pct"/>
            <w:tcBorders>
              <w:top w:val="nil"/>
              <w:left w:val="nil"/>
              <w:bottom w:val="nil"/>
              <w:right w:val="nil"/>
            </w:tcBorders>
          </w:tcPr>
          <w:p w14:paraId="5E49DC40"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795" w:type="pct"/>
            <w:tcBorders>
              <w:top w:val="nil"/>
              <w:left w:val="nil"/>
              <w:bottom w:val="nil"/>
              <w:right w:val="nil"/>
            </w:tcBorders>
          </w:tcPr>
          <w:p w14:paraId="52937909"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r>
      <w:tr w:rsidR="003B5A8E" w:rsidRPr="00BF0763" w14:paraId="24FFDE8C" w14:textId="77777777" w:rsidTr="003B5A8E">
        <w:trPr>
          <w:jc w:val="center"/>
        </w:trPr>
        <w:tc>
          <w:tcPr>
            <w:tcW w:w="762" w:type="pct"/>
            <w:tcBorders>
              <w:top w:val="nil"/>
              <w:left w:val="nil"/>
              <w:bottom w:val="nil"/>
              <w:right w:val="nil"/>
            </w:tcBorders>
          </w:tcPr>
          <w:p w14:paraId="0B03E827"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Prior Entries</w:t>
            </w:r>
          </w:p>
        </w:tc>
        <w:tc>
          <w:tcPr>
            <w:tcW w:w="519" w:type="pct"/>
            <w:tcBorders>
              <w:top w:val="nil"/>
              <w:left w:val="nil"/>
              <w:bottom w:val="nil"/>
              <w:right w:val="nil"/>
            </w:tcBorders>
          </w:tcPr>
          <w:p w14:paraId="2FEDE0D5"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738" w:type="pct"/>
            <w:tcBorders>
              <w:top w:val="nil"/>
              <w:left w:val="nil"/>
              <w:bottom w:val="nil"/>
              <w:right w:val="nil"/>
            </w:tcBorders>
          </w:tcPr>
          <w:p w14:paraId="53D71BDA"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579" w:type="pct"/>
            <w:tcBorders>
              <w:top w:val="nil"/>
              <w:left w:val="nil"/>
              <w:bottom w:val="nil"/>
              <w:right w:val="nil"/>
            </w:tcBorders>
          </w:tcPr>
          <w:p w14:paraId="7E54572E"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0.008</w:t>
            </w:r>
          </w:p>
        </w:tc>
        <w:tc>
          <w:tcPr>
            <w:tcW w:w="817" w:type="pct"/>
            <w:tcBorders>
              <w:top w:val="nil"/>
              <w:left w:val="nil"/>
              <w:bottom w:val="nil"/>
              <w:right w:val="nil"/>
            </w:tcBorders>
          </w:tcPr>
          <w:p w14:paraId="04A16983"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0.139</w:t>
            </w:r>
          </w:p>
        </w:tc>
        <w:tc>
          <w:tcPr>
            <w:tcW w:w="789" w:type="pct"/>
            <w:tcBorders>
              <w:top w:val="nil"/>
              <w:left w:val="nil"/>
              <w:bottom w:val="nil"/>
              <w:right w:val="nil"/>
            </w:tcBorders>
          </w:tcPr>
          <w:p w14:paraId="3F598C59"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795" w:type="pct"/>
            <w:tcBorders>
              <w:top w:val="nil"/>
              <w:left w:val="nil"/>
              <w:bottom w:val="nil"/>
              <w:right w:val="nil"/>
            </w:tcBorders>
          </w:tcPr>
          <w:p w14:paraId="696A104A"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r>
      <w:tr w:rsidR="003B5A8E" w:rsidRPr="00BF0763" w14:paraId="03B41090" w14:textId="77777777" w:rsidTr="003B5A8E">
        <w:trPr>
          <w:jc w:val="center"/>
        </w:trPr>
        <w:tc>
          <w:tcPr>
            <w:tcW w:w="762" w:type="pct"/>
            <w:tcBorders>
              <w:top w:val="nil"/>
              <w:left w:val="nil"/>
              <w:bottom w:val="nil"/>
              <w:right w:val="nil"/>
            </w:tcBorders>
          </w:tcPr>
          <w:p w14:paraId="07095769" w14:textId="33C4624E"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519" w:type="pct"/>
            <w:tcBorders>
              <w:top w:val="nil"/>
              <w:left w:val="nil"/>
              <w:bottom w:val="nil"/>
              <w:right w:val="nil"/>
            </w:tcBorders>
          </w:tcPr>
          <w:p w14:paraId="0C6B139D"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738" w:type="pct"/>
            <w:tcBorders>
              <w:top w:val="nil"/>
              <w:left w:val="nil"/>
              <w:bottom w:val="nil"/>
              <w:right w:val="nil"/>
            </w:tcBorders>
          </w:tcPr>
          <w:p w14:paraId="02DC37EB"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579" w:type="pct"/>
            <w:tcBorders>
              <w:top w:val="nil"/>
              <w:left w:val="nil"/>
              <w:bottom w:val="nil"/>
              <w:right w:val="nil"/>
            </w:tcBorders>
          </w:tcPr>
          <w:p w14:paraId="5559E998"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(0.011)</w:t>
            </w:r>
          </w:p>
        </w:tc>
        <w:tc>
          <w:tcPr>
            <w:tcW w:w="817" w:type="pct"/>
            <w:tcBorders>
              <w:top w:val="nil"/>
              <w:left w:val="nil"/>
              <w:bottom w:val="nil"/>
              <w:right w:val="nil"/>
            </w:tcBorders>
          </w:tcPr>
          <w:p w14:paraId="75634109"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(0.187)</w:t>
            </w:r>
          </w:p>
        </w:tc>
        <w:tc>
          <w:tcPr>
            <w:tcW w:w="789" w:type="pct"/>
            <w:tcBorders>
              <w:top w:val="nil"/>
              <w:left w:val="nil"/>
              <w:bottom w:val="nil"/>
              <w:right w:val="nil"/>
            </w:tcBorders>
          </w:tcPr>
          <w:p w14:paraId="7BC2FEC9"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795" w:type="pct"/>
            <w:tcBorders>
              <w:top w:val="nil"/>
              <w:left w:val="nil"/>
              <w:bottom w:val="nil"/>
              <w:right w:val="nil"/>
            </w:tcBorders>
          </w:tcPr>
          <w:p w14:paraId="02B5636D"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r>
      <w:tr w:rsidR="003B5A8E" w:rsidRPr="00BF0763" w14:paraId="55FB87F9" w14:textId="77777777" w:rsidTr="003B5A8E">
        <w:trPr>
          <w:jc w:val="center"/>
        </w:trPr>
        <w:tc>
          <w:tcPr>
            <w:tcW w:w="762" w:type="pct"/>
            <w:tcBorders>
              <w:top w:val="nil"/>
              <w:left w:val="nil"/>
              <w:bottom w:val="nil"/>
              <w:right w:val="nil"/>
            </w:tcBorders>
          </w:tcPr>
          <w:p w14:paraId="2DEC0E20"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Observations</w:t>
            </w:r>
          </w:p>
        </w:tc>
        <w:tc>
          <w:tcPr>
            <w:tcW w:w="519" w:type="pct"/>
            <w:tcBorders>
              <w:top w:val="nil"/>
              <w:left w:val="nil"/>
              <w:bottom w:val="nil"/>
              <w:right w:val="nil"/>
            </w:tcBorders>
          </w:tcPr>
          <w:p w14:paraId="53E6B9BB"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880</w:t>
            </w:r>
          </w:p>
        </w:tc>
        <w:tc>
          <w:tcPr>
            <w:tcW w:w="738" w:type="pct"/>
            <w:tcBorders>
              <w:top w:val="nil"/>
              <w:left w:val="nil"/>
              <w:bottom w:val="nil"/>
              <w:right w:val="nil"/>
            </w:tcBorders>
          </w:tcPr>
          <w:p w14:paraId="55701CE7"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848</w:t>
            </w:r>
          </w:p>
        </w:tc>
        <w:tc>
          <w:tcPr>
            <w:tcW w:w="579" w:type="pct"/>
            <w:tcBorders>
              <w:top w:val="nil"/>
              <w:left w:val="nil"/>
              <w:bottom w:val="nil"/>
              <w:right w:val="nil"/>
            </w:tcBorders>
          </w:tcPr>
          <w:p w14:paraId="4911A388"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880</w:t>
            </w:r>
          </w:p>
        </w:tc>
        <w:tc>
          <w:tcPr>
            <w:tcW w:w="817" w:type="pct"/>
            <w:tcBorders>
              <w:top w:val="nil"/>
              <w:left w:val="nil"/>
              <w:bottom w:val="nil"/>
              <w:right w:val="nil"/>
            </w:tcBorders>
          </w:tcPr>
          <w:p w14:paraId="44BB7B89"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856</w:t>
            </w:r>
          </w:p>
        </w:tc>
        <w:tc>
          <w:tcPr>
            <w:tcW w:w="789" w:type="pct"/>
            <w:tcBorders>
              <w:top w:val="nil"/>
              <w:left w:val="nil"/>
              <w:bottom w:val="nil"/>
              <w:right w:val="nil"/>
            </w:tcBorders>
          </w:tcPr>
          <w:p w14:paraId="677F1C85"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885</w:t>
            </w:r>
          </w:p>
        </w:tc>
        <w:tc>
          <w:tcPr>
            <w:tcW w:w="795" w:type="pct"/>
            <w:tcBorders>
              <w:top w:val="nil"/>
              <w:left w:val="nil"/>
              <w:bottom w:val="nil"/>
              <w:right w:val="nil"/>
            </w:tcBorders>
          </w:tcPr>
          <w:p w14:paraId="12760DC9"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885</w:t>
            </w:r>
          </w:p>
        </w:tc>
      </w:tr>
      <w:tr w:rsidR="003B5A8E" w:rsidRPr="00BF0763" w14:paraId="260F368A" w14:textId="77777777" w:rsidTr="003B5A8E">
        <w:trPr>
          <w:jc w:val="center"/>
        </w:trPr>
        <w:tc>
          <w:tcPr>
            <w:tcW w:w="762" w:type="pct"/>
            <w:tcBorders>
              <w:top w:val="nil"/>
              <w:left w:val="nil"/>
              <w:bottom w:val="nil"/>
              <w:right w:val="nil"/>
            </w:tcBorders>
          </w:tcPr>
          <w:p w14:paraId="2D9C3EE3"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Pseudo R2</w:t>
            </w:r>
          </w:p>
        </w:tc>
        <w:tc>
          <w:tcPr>
            <w:tcW w:w="519" w:type="pct"/>
            <w:tcBorders>
              <w:top w:val="nil"/>
              <w:left w:val="nil"/>
              <w:bottom w:val="nil"/>
              <w:right w:val="nil"/>
            </w:tcBorders>
          </w:tcPr>
          <w:p w14:paraId="5E2565BA"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0.968</w:t>
            </w:r>
          </w:p>
        </w:tc>
        <w:tc>
          <w:tcPr>
            <w:tcW w:w="738" w:type="pct"/>
            <w:tcBorders>
              <w:top w:val="nil"/>
              <w:left w:val="nil"/>
              <w:bottom w:val="nil"/>
              <w:right w:val="nil"/>
            </w:tcBorders>
          </w:tcPr>
          <w:p w14:paraId="5BBC738D"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0.886</w:t>
            </w:r>
          </w:p>
        </w:tc>
        <w:tc>
          <w:tcPr>
            <w:tcW w:w="579" w:type="pct"/>
            <w:tcBorders>
              <w:top w:val="nil"/>
              <w:left w:val="nil"/>
              <w:bottom w:val="nil"/>
              <w:right w:val="nil"/>
            </w:tcBorders>
          </w:tcPr>
          <w:p w14:paraId="67A9C009"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0.975</w:t>
            </w:r>
          </w:p>
        </w:tc>
        <w:tc>
          <w:tcPr>
            <w:tcW w:w="817" w:type="pct"/>
            <w:tcBorders>
              <w:top w:val="nil"/>
              <w:left w:val="nil"/>
              <w:bottom w:val="nil"/>
              <w:right w:val="nil"/>
            </w:tcBorders>
          </w:tcPr>
          <w:p w14:paraId="763914F9"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0.935</w:t>
            </w:r>
          </w:p>
        </w:tc>
        <w:tc>
          <w:tcPr>
            <w:tcW w:w="789" w:type="pct"/>
            <w:tcBorders>
              <w:top w:val="nil"/>
              <w:left w:val="nil"/>
              <w:bottom w:val="nil"/>
              <w:right w:val="nil"/>
            </w:tcBorders>
          </w:tcPr>
          <w:p w14:paraId="06E69064"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0.991</w:t>
            </w:r>
          </w:p>
        </w:tc>
        <w:tc>
          <w:tcPr>
            <w:tcW w:w="795" w:type="pct"/>
            <w:tcBorders>
              <w:top w:val="nil"/>
              <w:left w:val="nil"/>
              <w:bottom w:val="nil"/>
              <w:right w:val="nil"/>
            </w:tcBorders>
          </w:tcPr>
          <w:p w14:paraId="563E1096"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0.919</w:t>
            </w:r>
          </w:p>
        </w:tc>
      </w:tr>
      <w:tr w:rsidR="003B5A8E" w:rsidRPr="00BF0763" w14:paraId="378C1729" w14:textId="77777777" w:rsidTr="003B5A8E">
        <w:trPr>
          <w:jc w:val="center"/>
        </w:trPr>
        <w:tc>
          <w:tcPr>
            <w:tcW w:w="762" w:type="pct"/>
            <w:tcBorders>
              <w:top w:val="nil"/>
              <w:left w:val="nil"/>
              <w:bottom w:val="nil"/>
              <w:right w:val="nil"/>
            </w:tcBorders>
          </w:tcPr>
          <w:p w14:paraId="30AC2320"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Chi2</w:t>
            </w:r>
          </w:p>
        </w:tc>
        <w:tc>
          <w:tcPr>
            <w:tcW w:w="519" w:type="pct"/>
            <w:tcBorders>
              <w:top w:val="nil"/>
              <w:left w:val="nil"/>
              <w:bottom w:val="nil"/>
              <w:right w:val="nil"/>
            </w:tcBorders>
          </w:tcPr>
          <w:p w14:paraId="56CC580B"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201</w:t>
            </w:r>
          </w:p>
        </w:tc>
        <w:tc>
          <w:tcPr>
            <w:tcW w:w="738" w:type="pct"/>
            <w:tcBorders>
              <w:top w:val="nil"/>
              <w:left w:val="nil"/>
              <w:bottom w:val="nil"/>
              <w:right w:val="nil"/>
            </w:tcBorders>
          </w:tcPr>
          <w:p w14:paraId="785A7A88"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170</w:t>
            </w:r>
          </w:p>
        </w:tc>
        <w:tc>
          <w:tcPr>
            <w:tcW w:w="579" w:type="pct"/>
            <w:tcBorders>
              <w:top w:val="nil"/>
              <w:left w:val="nil"/>
              <w:bottom w:val="nil"/>
              <w:right w:val="nil"/>
            </w:tcBorders>
          </w:tcPr>
          <w:p w14:paraId="421B99C2"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68.9</w:t>
            </w:r>
          </w:p>
        </w:tc>
        <w:tc>
          <w:tcPr>
            <w:tcW w:w="817" w:type="pct"/>
            <w:tcBorders>
              <w:top w:val="nil"/>
              <w:left w:val="nil"/>
              <w:bottom w:val="nil"/>
              <w:right w:val="nil"/>
            </w:tcBorders>
          </w:tcPr>
          <w:p w14:paraId="37E6861D"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324</w:t>
            </w:r>
          </w:p>
        </w:tc>
        <w:tc>
          <w:tcPr>
            <w:tcW w:w="789" w:type="pct"/>
            <w:tcBorders>
              <w:top w:val="nil"/>
              <w:left w:val="nil"/>
              <w:bottom w:val="nil"/>
              <w:right w:val="nil"/>
            </w:tcBorders>
          </w:tcPr>
          <w:p w14:paraId="21B3C9D3"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43.7</w:t>
            </w:r>
          </w:p>
        </w:tc>
        <w:tc>
          <w:tcPr>
            <w:tcW w:w="795" w:type="pct"/>
            <w:tcBorders>
              <w:top w:val="nil"/>
              <w:left w:val="nil"/>
              <w:bottom w:val="nil"/>
              <w:right w:val="nil"/>
            </w:tcBorders>
          </w:tcPr>
          <w:p w14:paraId="09525B7A"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114</w:t>
            </w:r>
          </w:p>
        </w:tc>
      </w:tr>
    </w:tbl>
    <w:p w14:paraId="7B36E25D" w14:textId="3FF3E76F" w:rsidR="003B5A8E" w:rsidRPr="003B5A8E" w:rsidRDefault="003B5A8E">
      <w:pPr>
        <w:rPr>
          <w:b/>
          <w:bCs/>
        </w:rPr>
      </w:pPr>
      <w:r w:rsidRPr="003B5A8E">
        <w:rPr>
          <w:b/>
          <w:bCs/>
        </w:rPr>
        <w:lastRenderedPageBreak/>
        <w:t>Table A39: Continued</w:t>
      </w:r>
    </w:p>
    <w:tbl>
      <w:tblPr>
        <w:tblW w:w="4456" w:type="pct"/>
        <w:jc w:val="center"/>
        <w:tblLook w:val="0000" w:firstRow="0" w:lastRow="0" w:firstColumn="0" w:lastColumn="0" w:noHBand="0" w:noVBand="0"/>
      </w:tblPr>
      <w:tblGrid>
        <w:gridCol w:w="1272"/>
        <w:gridCol w:w="867"/>
        <w:gridCol w:w="1232"/>
        <w:gridCol w:w="966"/>
        <w:gridCol w:w="1363"/>
        <w:gridCol w:w="1316"/>
        <w:gridCol w:w="1326"/>
      </w:tblGrid>
      <w:tr w:rsidR="003B5A8E" w:rsidRPr="00BF0763" w14:paraId="35A9829B" w14:textId="77777777" w:rsidTr="003B5A8E">
        <w:trPr>
          <w:jc w:val="center"/>
        </w:trPr>
        <w:tc>
          <w:tcPr>
            <w:tcW w:w="762" w:type="pct"/>
            <w:tcBorders>
              <w:top w:val="nil"/>
              <w:left w:val="nil"/>
              <w:right w:val="nil"/>
            </w:tcBorders>
          </w:tcPr>
          <w:p w14:paraId="14615072"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County FE</w:t>
            </w:r>
          </w:p>
        </w:tc>
        <w:tc>
          <w:tcPr>
            <w:tcW w:w="519" w:type="pct"/>
            <w:tcBorders>
              <w:top w:val="nil"/>
              <w:left w:val="nil"/>
              <w:right w:val="nil"/>
            </w:tcBorders>
          </w:tcPr>
          <w:p w14:paraId="7457E301"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Yes</w:t>
            </w:r>
          </w:p>
        </w:tc>
        <w:tc>
          <w:tcPr>
            <w:tcW w:w="738" w:type="pct"/>
            <w:tcBorders>
              <w:top w:val="nil"/>
              <w:left w:val="nil"/>
              <w:right w:val="nil"/>
            </w:tcBorders>
          </w:tcPr>
          <w:p w14:paraId="6AAC830A"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Yes</w:t>
            </w:r>
          </w:p>
        </w:tc>
        <w:tc>
          <w:tcPr>
            <w:tcW w:w="579" w:type="pct"/>
            <w:tcBorders>
              <w:top w:val="nil"/>
              <w:left w:val="nil"/>
              <w:right w:val="nil"/>
            </w:tcBorders>
          </w:tcPr>
          <w:p w14:paraId="772C0333"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Yes</w:t>
            </w:r>
          </w:p>
        </w:tc>
        <w:tc>
          <w:tcPr>
            <w:tcW w:w="817" w:type="pct"/>
            <w:tcBorders>
              <w:top w:val="nil"/>
              <w:left w:val="nil"/>
              <w:right w:val="nil"/>
            </w:tcBorders>
          </w:tcPr>
          <w:p w14:paraId="6E83C34B"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Yes</w:t>
            </w:r>
          </w:p>
        </w:tc>
        <w:tc>
          <w:tcPr>
            <w:tcW w:w="789" w:type="pct"/>
            <w:tcBorders>
              <w:top w:val="nil"/>
              <w:left w:val="nil"/>
              <w:right w:val="nil"/>
            </w:tcBorders>
          </w:tcPr>
          <w:p w14:paraId="4FE8198B"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Yes</w:t>
            </w:r>
          </w:p>
        </w:tc>
        <w:tc>
          <w:tcPr>
            <w:tcW w:w="795" w:type="pct"/>
            <w:tcBorders>
              <w:top w:val="nil"/>
              <w:left w:val="nil"/>
              <w:right w:val="nil"/>
            </w:tcBorders>
          </w:tcPr>
          <w:p w14:paraId="1628C8BC"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Yes</w:t>
            </w:r>
          </w:p>
        </w:tc>
      </w:tr>
      <w:tr w:rsidR="003B5A8E" w:rsidRPr="00BF0763" w14:paraId="550447E6" w14:textId="77777777" w:rsidTr="003B5A8E">
        <w:trPr>
          <w:jc w:val="center"/>
        </w:trPr>
        <w:tc>
          <w:tcPr>
            <w:tcW w:w="762" w:type="pct"/>
            <w:tcBorders>
              <w:top w:val="nil"/>
              <w:left w:val="nil"/>
              <w:bottom w:val="single" w:sz="4" w:space="0" w:color="auto"/>
              <w:right w:val="nil"/>
            </w:tcBorders>
          </w:tcPr>
          <w:p w14:paraId="43043186"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Year FE</w:t>
            </w:r>
          </w:p>
        </w:tc>
        <w:tc>
          <w:tcPr>
            <w:tcW w:w="519" w:type="pct"/>
            <w:tcBorders>
              <w:top w:val="nil"/>
              <w:left w:val="nil"/>
              <w:bottom w:val="single" w:sz="4" w:space="0" w:color="auto"/>
              <w:right w:val="nil"/>
            </w:tcBorders>
          </w:tcPr>
          <w:p w14:paraId="12ECCAE2"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Yes</w:t>
            </w:r>
          </w:p>
        </w:tc>
        <w:tc>
          <w:tcPr>
            <w:tcW w:w="738" w:type="pct"/>
            <w:tcBorders>
              <w:top w:val="nil"/>
              <w:left w:val="nil"/>
              <w:bottom w:val="single" w:sz="4" w:space="0" w:color="auto"/>
              <w:right w:val="nil"/>
            </w:tcBorders>
          </w:tcPr>
          <w:p w14:paraId="212FF47B" w14:textId="0FFC1BC9"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Yes</w:t>
            </w:r>
          </w:p>
        </w:tc>
        <w:tc>
          <w:tcPr>
            <w:tcW w:w="579" w:type="pct"/>
            <w:tcBorders>
              <w:top w:val="nil"/>
              <w:left w:val="nil"/>
              <w:bottom w:val="single" w:sz="4" w:space="0" w:color="auto"/>
              <w:right w:val="nil"/>
            </w:tcBorders>
          </w:tcPr>
          <w:p w14:paraId="47C2C4E3" w14:textId="55C2B281"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Yes</w:t>
            </w:r>
          </w:p>
        </w:tc>
        <w:tc>
          <w:tcPr>
            <w:tcW w:w="817" w:type="pct"/>
            <w:tcBorders>
              <w:top w:val="nil"/>
              <w:left w:val="nil"/>
              <w:bottom w:val="single" w:sz="4" w:space="0" w:color="auto"/>
              <w:right w:val="nil"/>
            </w:tcBorders>
          </w:tcPr>
          <w:p w14:paraId="160806C5" w14:textId="2946D974"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Yes</w:t>
            </w:r>
          </w:p>
        </w:tc>
        <w:tc>
          <w:tcPr>
            <w:tcW w:w="789" w:type="pct"/>
            <w:tcBorders>
              <w:top w:val="nil"/>
              <w:left w:val="nil"/>
              <w:bottom w:val="single" w:sz="4" w:space="0" w:color="auto"/>
              <w:right w:val="nil"/>
            </w:tcBorders>
          </w:tcPr>
          <w:p w14:paraId="4CF85FEC" w14:textId="1E1101C6"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Yes</w:t>
            </w:r>
          </w:p>
        </w:tc>
        <w:tc>
          <w:tcPr>
            <w:tcW w:w="795" w:type="pct"/>
            <w:tcBorders>
              <w:top w:val="nil"/>
              <w:left w:val="nil"/>
              <w:bottom w:val="single" w:sz="4" w:space="0" w:color="auto"/>
              <w:right w:val="nil"/>
            </w:tcBorders>
          </w:tcPr>
          <w:p w14:paraId="6F84CEF4"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Yes</w:t>
            </w:r>
          </w:p>
        </w:tc>
      </w:tr>
    </w:tbl>
    <w:p w14:paraId="193B2377" w14:textId="5515FA3C" w:rsidR="00766FCC" w:rsidRDefault="00732BFD" w:rsidP="004C39A4">
      <w:pPr>
        <w:spacing w:line="240" w:lineRule="auto"/>
        <w:rPr>
          <w:sz w:val="20"/>
          <w:szCs w:val="20"/>
        </w:rPr>
        <w:sectPr w:rsidR="00766FCC" w:rsidSect="003B5A8E">
          <w:pgSz w:w="12240" w:h="15840" w:code="1"/>
          <w:pgMar w:top="1440" w:right="1440" w:bottom="1440" w:left="1440" w:header="720" w:footer="1440" w:gutter="0"/>
          <w:cols w:space="720"/>
          <w:noEndnote/>
          <w:docGrid w:linePitch="360"/>
        </w:sectPr>
      </w:pPr>
      <w:r>
        <w:rPr>
          <w:sz w:val="20"/>
          <w:szCs w:val="20"/>
        </w:rPr>
        <w:t>T</w:t>
      </w:r>
      <w:r w:rsidRPr="009C21FA">
        <w:rPr>
          <w:sz w:val="20"/>
          <w:szCs w:val="20"/>
        </w:rPr>
        <w:t xml:space="preserve">able </w:t>
      </w:r>
      <w:r>
        <w:rPr>
          <w:sz w:val="20"/>
          <w:szCs w:val="20"/>
        </w:rPr>
        <w:t xml:space="preserve">A39: </w:t>
      </w:r>
      <w:r w:rsidRPr="009C21FA">
        <w:rPr>
          <w:sz w:val="20"/>
          <w:szCs w:val="20"/>
        </w:rPr>
        <w:t>PPML</w:t>
      </w:r>
      <w:r>
        <w:rPr>
          <w:sz w:val="20"/>
          <w:szCs w:val="20"/>
        </w:rPr>
        <w:t>HDFE</w:t>
      </w:r>
      <w:r w:rsidRPr="009C21FA">
        <w:rPr>
          <w:sz w:val="20"/>
          <w:szCs w:val="20"/>
        </w:rPr>
        <w:t xml:space="preserve"> </w:t>
      </w:r>
      <w:r w:rsidR="00BF0763" w:rsidRPr="00F929D1">
        <w:rPr>
          <w:sz w:val="20"/>
          <w:szCs w:val="20"/>
        </w:rPr>
        <w:t>regression results analyzing the effects of wildfire frequency (Fire Count) and wildfire intensity (Burned Areas) on establishment births, deaths, inward relocations, outward relocations, employment, and sales performance in the Construction sector (NAICS 23). Standard errors (in parentheses) are clustered at the county level to account for spatial heterogeneity. County fixed effects (FE) and year fixed effects (FE) are included in all specifications. Coefficients represent percentage changes associated with a one-unit increase in the explanatory variables. Statistical significance is denoted as follows: ***p &lt; 0.01, **p &lt; 0.05, *p &lt; 0.1.</w:t>
      </w:r>
    </w:p>
    <w:p w14:paraId="23315C1D" w14:textId="02D5932D" w:rsidR="00F929D1" w:rsidRPr="009C0226" w:rsidRDefault="009C0226" w:rsidP="009C0226">
      <w:r w:rsidRPr="004E4775">
        <w:rPr>
          <w:b/>
          <w:bCs/>
        </w:rPr>
        <w:lastRenderedPageBreak/>
        <w:t>Table A39</w:t>
      </w:r>
      <w:r w:rsidRPr="009C0226">
        <w:t xml:space="preserve"> presents the regression results for the Construction sector, illustrating the relationship between explanatory variables and establishment outcomes in this labor-intensive and highly localized industry. The analysis highlights how market conditions and environmental factors interact to shape business performance and employment trends:</w:t>
      </w:r>
    </w:p>
    <w:p w14:paraId="61CBAF5D" w14:textId="77777777" w:rsidR="00BF0763" w:rsidRPr="009C0226" w:rsidRDefault="00BF0763" w:rsidP="009C0226">
      <w:pPr>
        <w:rPr>
          <w:rFonts w:eastAsia="Times New Roman" w:cs="Times New Roman"/>
          <w:lang/>
        </w:rPr>
      </w:pPr>
      <w:r w:rsidRPr="009C0226">
        <w:rPr>
          <w:rFonts w:eastAsia="Times New Roman" w:cs="Times New Roman"/>
          <w:b/>
          <w:bCs/>
          <w:lang/>
        </w:rPr>
        <w:t>Births:</w:t>
      </w:r>
      <w:r w:rsidRPr="009C0226">
        <w:rPr>
          <w:rFonts w:eastAsia="Times New Roman" w:cs="Times New Roman"/>
        </w:rPr>
        <w:t xml:space="preserve"> </w:t>
      </w:r>
      <w:r w:rsidRPr="009C0226">
        <w:rPr>
          <w:rFonts w:eastAsia="Times New Roman" w:cs="Times New Roman"/>
          <w:lang/>
        </w:rPr>
        <w:t>Protected Areas (% CPAD t-1) positively affect establishment births, suggesting that proximity to protected areas creates demand for construction projects related to infrastructure development or residential expansion, consistent with findings by Radeloff et al. (2018). Conversely, the Housing Price Index negatively impacts births, indicating that high property costs serve as a barrier to new entrants in the construction sector (Meltzer et al., 2020). Median Household Income positively influences births, as higher income levels signify stronger demand for housing and commercial projects (Glaeser et al., 1992). Similarly, Population Density positively affects births, reflecting the increased need for construction services in densely populated areas (Henderson, 1997). Prior Exits negatively impact births, aligning with Schumpeter’s (1942) concept of "creative destruction," where instability from recent closures discourages new business formation.</w:t>
      </w:r>
    </w:p>
    <w:p w14:paraId="5E136DDB" w14:textId="77777777" w:rsidR="00BF0763" w:rsidRPr="009C0226" w:rsidRDefault="00BF0763" w:rsidP="009C0226">
      <w:pPr>
        <w:rPr>
          <w:rFonts w:eastAsia="Times New Roman" w:cs="Times New Roman"/>
          <w:lang/>
        </w:rPr>
      </w:pPr>
      <w:r w:rsidRPr="009C0226">
        <w:rPr>
          <w:rFonts w:eastAsia="Times New Roman" w:cs="Times New Roman"/>
          <w:b/>
          <w:bCs/>
          <w:lang/>
        </w:rPr>
        <w:t>Inward Relocations:</w:t>
      </w:r>
      <w:r w:rsidRPr="009C0226">
        <w:rPr>
          <w:rFonts w:eastAsia="Times New Roman" w:cs="Times New Roman"/>
        </w:rPr>
        <w:t xml:space="preserve"> </w:t>
      </w:r>
      <w:r w:rsidRPr="009C0226">
        <w:rPr>
          <w:rFonts w:eastAsia="Times New Roman" w:cs="Times New Roman"/>
          <w:lang/>
        </w:rPr>
        <w:t xml:space="preserve">CPAD(t-1) positively affects inward relocations, indicating that protected areas create opportunities for firms relocating to meet infrastructure or development needs near these regions (Radeloff et al., 2018). Poverty Rate negatively impacts relocations, suggesting that economically disadvantaged areas are less attractive to construction firms due to limited market demand (Henderson, 1997). In contrast, Population Density positively influences relocations, as urban areas with higher population concentrations provide better opportunities for construction </w:t>
      </w:r>
      <w:r w:rsidRPr="009C0226">
        <w:rPr>
          <w:rFonts w:eastAsia="Times New Roman" w:cs="Times New Roman"/>
          <w:lang/>
        </w:rPr>
        <w:lastRenderedPageBreak/>
        <w:t>firms (Glaeser et al., 1992). Prior Establishment Count negatively impacts relocations, likely due to market saturation or intense competition. However, Prior Exits positively affect relocations, suggesting that business closures free up resources or market opportunities that attract new firms (Meltzer et al., 2020).</w:t>
      </w:r>
    </w:p>
    <w:p w14:paraId="2A6A5A0E" w14:textId="77777777" w:rsidR="00BF0763" w:rsidRPr="009C0226" w:rsidRDefault="00BF0763" w:rsidP="009C0226">
      <w:pPr>
        <w:rPr>
          <w:rFonts w:eastAsia="Times New Roman" w:cs="Times New Roman"/>
          <w:lang/>
        </w:rPr>
      </w:pPr>
      <w:r w:rsidRPr="009C0226">
        <w:rPr>
          <w:rFonts w:eastAsia="Times New Roman" w:cs="Times New Roman"/>
          <w:b/>
          <w:bCs/>
          <w:lang/>
        </w:rPr>
        <w:t>Deaths:</w:t>
      </w:r>
      <w:r w:rsidRPr="009C0226">
        <w:rPr>
          <w:rFonts w:eastAsia="Times New Roman" w:cs="Times New Roman"/>
        </w:rPr>
        <w:t xml:space="preserve"> </w:t>
      </w:r>
      <w:r w:rsidRPr="009C0226">
        <w:rPr>
          <w:rFonts w:eastAsia="Times New Roman" w:cs="Times New Roman"/>
          <w:lang/>
        </w:rPr>
        <w:t>The Housing Price Index negatively impacts deaths, indicating that higher property values provide a stabilizing effect by ensuring consistent demand for construction services (Meltzer et al., 2020). Population Density positively affects deaths, reflecting competitive pressures in densely populated areas that push out less competitive firms (Glaeser et al., 1992). Prior Establishment Count also positively influences deaths, consistent with findings that higher business density increases competition and market churn (Dunne et al., 1989).</w:t>
      </w:r>
    </w:p>
    <w:p w14:paraId="4D0D895A" w14:textId="77777777" w:rsidR="00BF0763" w:rsidRPr="009C0226" w:rsidRDefault="00BF0763" w:rsidP="009C0226">
      <w:pPr>
        <w:rPr>
          <w:rFonts w:eastAsia="Times New Roman" w:cs="Times New Roman"/>
          <w:lang/>
        </w:rPr>
      </w:pPr>
      <w:r w:rsidRPr="009C0226">
        <w:rPr>
          <w:rFonts w:eastAsia="Times New Roman" w:cs="Times New Roman"/>
          <w:b/>
          <w:bCs/>
          <w:lang/>
        </w:rPr>
        <w:t>Outward Relocations:</w:t>
      </w:r>
      <w:r w:rsidRPr="009C0226">
        <w:rPr>
          <w:rFonts w:eastAsia="Times New Roman" w:cs="Times New Roman"/>
          <w:b/>
          <w:bCs/>
        </w:rPr>
        <w:t xml:space="preserve"> </w:t>
      </w:r>
      <w:r w:rsidRPr="009C0226">
        <w:rPr>
          <w:rFonts w:eastAsia="Times New Roman" w:cs="Times New Roman"/>
          <w:lang/>
        </w:rPr>
        <w:t>Temperature negatively affects outward relocations, suggesting that construction firms are less likely to leave areas with favorable climate conditions that support year-round operations (Burke et al., 2015). The Housing Price Index also negatively impacts relocations, as high property values create sunk costs that deter firms from moving. Conversely, Median Household Income positively influences relocations, as wealthier areas may generate competitive pressures or higher costs that incentivize some firms to relocate (Carlton, 1983). Prior Establishment Count positively affects outward relocations, indicating that high competition in dense markets can drive firms to seek less saturated locations (Henderson, 1997).</w:t>
      </w:r>
    </w:p>
    <w:p w14:paraId="1B5B195D" w14:textId="77777777" w:rsidR="00BF0763" w:rsidRPr="009C0226" w:rsidRDefault="00BF0763" w:rsidP="009C0226">
      <w:pPr>
        <w:rPr>
          <w:rFonts w:eastAsia="Times New Roman" w:cs="Times New Roman"/>
          <w:lang/>
        </w:rPr>
      </w:pPr>
      <w:r w:rsidRPr="009C0226">
        <w:rPr>
          <w:rFonts w:eastAsia="Times New Roman" w:cs="Times New Roman"/>
          <w:b/>
          <w:bCs/>
          <w:lang/>
        </w:rPr>
        <w:t>Employment:</w:t>
      </w:r>
      <w:r w:rsidRPr="009C0226">
        <w:rPr>
          <w:rFonts w:eastAsia="Times New Roman" w:cs="Times New Roman"/>
        </w:rPr>
        <w:t xml:space="preserve"> </w:t>
      </w:r>
      <w:r w:rsidRPr="009C0226">
        <w:rPr>
          <w:rFonts w:eastAsia="Times New Roman" w:cs="Times New Roman"/>
          <w:lang/>
        </w:rPr>
        <w:t>Temperature positively impacts employment, reflecting the increased demand for labor in warmer climates, where year-round construction activity is more feasible (Deschênes &amp; Greenstone, 2011).</w:t>
      </w:r>
    </w:p>
    <w:p w14:paraId="1D5D5500" w14:textId="77777777" w:rsidR="00766FCC" w:rsidRDefault="00BF0763" w:rsidP="009C0226">
      <w:pPr>
        <w:rPr>
          <w:rFonts w:eastAsia="Times New Roman" w:cs="Times New Roman"/>
          <w:lang/>
        </w:rPr>
        <w:sectPr w:rsidR="00766FCC" w:rsidSect="00766FCC">
          <w:pgSz w:w="12240" w:h="15840" w:code="1"/>
          <w:pgMar w:top="1440" w:right="1440" w:bottom="1440" w:left="1440" w:header="720" w:footer="1440" w:gutter="0"/>
          <w:cols w:space="720"/>
          <w:noEndnote/>
          <w:docGrid w:linePitch="360"/>
        </w:sectPr>
      </w:pPr>
      <w:r w:rsidRPr="009C0226">
        <w:rPr>
          <w:rFonts w:eastAsia="Times New Roman" w:cs="Times New Roman"/>
          <w:b/>
          <w:bCs/>
          <w:lang/>
        </w:rPr>
        <w:lastRenderedPageBreak/>
        <w:t>Sales Volume Performance:</w:t>
      </w:r>
      <w:r w:rsidRPr="009C0226">
        <w:rPr>
          <w:rFonts w:eastAsia="Times New Roman" w:cs="Times New Roman"/>
        </w:rPr>
        <w:t xml:space="preserve"> </w:t>
      </w:r>
      <w:r w:rsidRPr="009C0226">
        <w:rPr>
          <w:rFonts w:eastAsia="Times New Roman" w:cs="Times New Roman"/>
          <w:lang/>
        </w:rPr>
        <w:t>Precipitation negatively impacts sales volume, as weather-related disruptions reduce construction activity and delay project completion (Lobell et al., 2011). Similarly, Temperature negatively affects sales, reflecting the operational challenges posed by extreme heat. The Housing Price Index also negatively impacts sales, as high property values may constrain profitability due to increased costs (Meltzer et al., 2020). Conversely, Median Household Income positively influences sales, as wealthier areas provide stronger demand for construction projects (Glaeser et al., 1992). Population Density positively impacts sales, reflecting the increased demand for construction services in urban and densely populated regions (Henderson, 1997).</w:t>
      </w:r>
    </w:p>
    <w:p w14:paraId="6BFD44FC" w14:textId="53F88EC5" w:rsidR="00BF0763" w:rsidRPr="00BF0763" w:rsidRDefault="00BF0763" w:rsidP="00095E25">
      <w:pPr>
        <w:pStyle w:val="Title"/>
      </w:pPr>
      <w:bookmarkStart w:id="512" w:name="_Toc187564786"/>
      <w:bookmarkStart w:id="513" w:name="_Toc188359645"/>
      <w:bookmarkStart w:id="514" w:name="_Toc188359933"/>
      <w:bookmarkStart w:id="515" w:name="_Toc188361169"/>
      <w:bookmarkStart w:id="516" w:name="_Toc188367013"/>
      <w:r w:rsidRPr="00BF0763">
        <w:lastRenderedPageBreak/>
        <w:t>Table A</w:t>
      </w:r>
      <w:r w:rsidR="007D52FE">
        <w:rPr>
          <w:lang w:val="en-US"/>
        </w:rPr>
        <w:t>40</w:t>
      </w:r>
      <w:r w:rsidRPr="00BF0763">
        <w:t>: Regression Results for Manufacturing (NAICS 31–33)</w:t>
      </w:r>
      <w:bookmarkEnd w:id="512"/>
      <w:bookmarkEnd w:id="513"/>
      <w:bookmarkEnd w:id="514"/>
      <w:bookmarkEnd w:id="515"/>
      <w:bookmarkEnd w:id="516"/>
    </w:p>
    <w:tbl>
      <w:tblPr>
        <w:tblW w:w="4432" w:type="pct"/>
        <w:tblLook w:val="0000" w:firstRow="0" w:lastRow="0" w:firstColumn="0" w:lastColumn="0" w:noHBand="0" w:noVBand="0"/>
      </w:tblPr>
      <w:tblGrid>
        <w:gridCol w:w="1272"/>
        <w:gridCol w:w="1079"/>
        <w:gridCol w:w="1104"/>
        <w:gridCol w:w="72"/>
        <w:gridCol w:w="894"/>
        <w:gridCol w:w="52"/>
        <w:gridCol w:w="1127"/>
        <w:gridCol w:w="48"/>
        <w:gridCol w:w="1250"/>
        <w:gridCol w:w="66"/>
        <w:gridCol w:w="1263"/>
        <w:gridCol w:w="70"/>
      </w:tblGrid>
      <w:tr w:rsidR="003B5A8E" w:rsidRPr="00BF0763" w14:paraId="44324A3B" w14:textId="77777777" w:rsidTr="003B5A8E">
        <w:trPr>
          <w:trHeight w:val="288"/>
        </w:trPr>
        <w:tc>
          <w:tcPr>
            <w:tcW w:w="767" w:type="pct"/>
            <w:tcBorders>
              <w:top w:val="single" w:sz="4" w:space="0" w:color="auto"/>
              <w:left w:val="nil"/>
              <w:bottom w:val="single" w:sz="4" w:space="0" w:color="auto"/>
              <w:right w:val="nil"/>
            </w:tcBorders>
          </w:tcPr>
          <w:p w14:paraId="65A28CA5" w14:textId="6B883C3D" w:rsidR="00BF0763" w:rsidRPr="00BF0763" w:rsidRDefault="00BF0763" w:rsidP="00B94FE7">
            <w:pPr>
              <w:widowControl w:val="0"/>
              <w:autoSpaceDE w:val="0"/>
              <w:autoSpaceDN w:val="0"/>
              <w:adjustRightInd w:val="0"/>
              <w:spacing w:line="240" w:lineRule="auto"/>
              <w:rPr>
                <w:rFonts w:eastAsia="Times New Roman" w:cs="Times New Roman"/>
                <w:b/>
                <w:bCs/>
                <w:sz w:val="20"/>
                <w:szCs w:val="20"/>
              </w:rPr>
            </w:pPr>
            <w:r w:rsidRPr="00BF0763">
              <w:rPr>
                <w:rFonts w:eastAsia="Times New Roman" w:cs="Times New Roman"/>
                <w:b/>
                <w:bCs/>
                <w:sz w:val="20"/>
                <w:szCs w:val="20"/>
              </w:rPr>
              <w:t>Variable</w:t>
            </w:r>
          </w:p>
        </w:tc>
        <w:tc>
          <w:tcPr>
            <w:tcW w:w="651" w:type="pct"/>
            <w:tcBorders>
              <w:top w:val="single" w:sz="4" w:space="0" w:color="auto"/>
              <w:left w:val="nil"/>
              <w:bottom w:val="single" w:sz="4" w:space="0" w:color="auto"/>
              <w:right w:val="nil"/>
            </w:tcBorders>
          </w:tcPr>
          <w:p w14:paraId="27FA85E3" w14:textId="647BDD7B" w:rsidR="00BF0763" w:rsidRPr="00BF0763" w:rsidRDefault="00BF0763" w:rsidP="00B94FE7">
            <w:pPr>
              <w:widowControl w:val="0"/>
              <w:autoSpaceDE w:val="0"/>
              <w:autoSpaceDN w:val="0"/>
              <w:adjustRightInd w:val="0"/>
              <w:spacing w:line="240" w:lineRule="auto"/>
              <w:rPr>
                <w:rFonts w:eastAsia="Times New Roman" w:cs="Times New Roman"/>
                <w:b/>
                <w:bCs/>
                <w:sz w:val="20"/>
                <w:szCs w:val="20"/>
              </w:rPr>
            </w:pPr>
            <w:r w:rsidRPr="00BF0763">
              <w:rPr>
                <w:rFonts w:eastAsia="Times New Roman" w:cs="Times New Roman"/>
                <w:b/>
                <w:bCs/>
                <w:sz w:val="20"/>
                <w:szCs w:val="20"/>
              </w:rPr>
              <w:t>Births</w:t>
            </w:r>
          </w:p>
        </w:tc>
        <w:tc>
          <w:tcPr>
            <w:tcW w:w="709" w:type="pct"/>
            <w:gridSpan w:val="2"/>
            <w:tcBorders>
              <w:top w:val="single" w:sz="4" w:space="0" w:color="auto"/>
              <w:left w:val="nil"/>
              <w:bottom w:val="single" w:sz="4" w:space="0" w:color="auto"/>
              <w:right w:val="nil"/>
            </w:tcBorders>
          </w:tcPr>
          <w:p w14:paraId="50EF172D" w14:textId="7EEC921E" w:rsidR="00BF0763" w:rsidRPr="00BF0763" w:rsidRDefault="00BF0763" w:rsidP="00B94FE7">
            <w:pPr>
              <w:widowControl w:val="0"/>
              <w:autoSpaceDE w:val="0"/>
              <w:autoSpaceDN w:val="0"/>
              <w:adjustRightInd w:val="0"/>
              <w:spacing w:line="240" w:lineRule="auto"/>
              <w:rPr>
                <w:rFonts w:eastAsia="Times New Roman" w:cs="Times New Roman"/>
                <w:b/>
                <w:bCs/>
                <w:sz w:val="20"/>
                <w:szCs w:val="20"/>
              </w:rPr>
            </w:pPr>
            <w:r w:rsidRPr="00BF0763">
              <w:rPr>
                <w:rFonts w:eastAsia="Times New Roman" w:cs="Times New Roman"/>
                <w:b/>
                <w:bCs/>
                <w:sz w:val="20"/>
                <w:szCs w:val="20"/>
              </w:rPr>
              <w:t>In-Migrations</w:t>
            </w:r>
          </w:p>
        </w:tc>
        <w:tc>
          <w:tcPr>
            <w:tcW w:w="571" w:type="pct"/>
            <w:gridSpan w:val="2"/>
            <w:tcBorders>
              <w:top w:val="single" w:sz="4" w:space="0" w:color="auto"/>
              <w:left w:val="nil"/>
              <w:bottom w:val="single" w:sz="4" w:space="0" w:color="auto"/>
              <w:right w:val="nil"/>
            </w:tcBorders>
          </w:tcPr>
          <w:p w14:paraId="7F58FEA6" w14:textId="54AE9251" w:rsidR="00BF0763" w:rsidRPr="00BF0763" w:rsidRDefault="00BF0763" w:rsidP="00B94FE7">
            <w:pPr>
              <w:widowControl w:val="0"/>
              <w:autoSpaceDE w:val="0"/>
              <w:autoSpaceDN w:val="0"/>
              <w:adjustRightInd w:val="0"/>
              <w:spacing w:line="240" w:lineRule="auto"/>
              <w:rPr>
                <w:rFonts w:eastAsia="Times New Roman" w:cs="Times New Roman"/>
                <w:b/>
                <w:bCs/>
                <w:sz w:val="20"/>
                <w:szCs w:val="20"/>
              </w:rPr>
            </w:pPr>
            <w:r w:rsidRPr="00BF0763">
              <w:rPr>
                <w:rFonts w:eastAsia="Times New Roman" w:cs="Times New Roman"/>
                <w:b/>
                <w:bCs/>
                <w:sz w:val="20"/>
                <w:szCs w:val="20"/>
              </w:rPr>
              <w:t>Deaths</w:t>
            </w:r>
          </w:p>
        </w:tc>
        <w:tc>
          <w:tcPr>
            <w:tcW w:w="709" w:type="pct"/>
            <w:gridSpan w:val="2"/>
            <w:tcBorders>
              <w:top w:val="single" w:sz="4" w:space="0" w:color="auto"/>
              <w:left w:val="nil"/>
              <w:bottom w:val="single" w:sz="4" w:space="0" w:color="auto"/>
              <w:right w:val="nil"/>
            </w:tcBorders>
          </w:tcPr>
          <w:p w14:paraId="142E1653" w14:textId="48300C5C" w:rsidR="00BF0763" w:rsidRPr="00BF0763" w:rsidRDefault="00BF0763" w:rsidP="00B94FE7">
            <w:pPr>
              <w:widowControl w:val="0"/>
              <w:autoSpaceDE w:val="0"/>
              <w:autoSpaceDN w:val="0"/>
              <w:adjustRightInd w:val="0"/>
              <w:spacing w:line="240" w:lineRule="auto"/>
              <w:rPr>
                <w:rFonts w:eastAsia="Times New Roman" w:cs="Times New Roman"/>
                <w:b/>
                <w:bCs/>
                <w:sz w:val="20"/>
                <w:szCs w:val="20"/>
              </w:rPr>
            </w:pPr>
            <w:r w:rsidRPr="00BF0763">
              <w:rPr>
                <w:rFonts w:eastAsia="Times New Roman" w:cs="Times New Roman"/>
                <w:b/>
                <w:bCs/>
                <w:sz w:val="20"/>
                <w:szCs w:val="20"/>
              </w:rPr>
              <w:t>Out-Migrations</w:t>
            </w:r>
          </w:p>
        </w:tc>
        <w:tc>
          <w:tcPr>
            <w:tcW w:w="793" w:type="pct"/>
            <w:gridSpan w:val="2"/>
            <w:tcBorders>
              <w:top w:val="single" w:sz="4" w:space="0" w:color="auto"/>
              <w:left w:val="nil"/>
              <w:bottom w:val="single" w:sz="4" w:space="0" w:color="auto"/>
              <w:right w:val="nil"/>
            </w:tcBorders>
          </w:tcPr>
          <w:p w14:paraId="471B36E8" w14:textId="76570494" w:rsidR="00BF0763" w:rsidRPr="00BF0763" w:rsidRDefault="00BF0763" w:rsidP="00B94FE7">
            <w:pPr>
              <w:widowControl w:val="0"/>
              <w:autoSpaceDE w:val="0"/>
              <w:autoSpaceDN w:val="0"/>
              <w:adjustRightInd w:val="0"/>
              <w:spacing w:line="240" w:lineRule="auto"/>
              <w:rPr>
                <w:rFonts w:eastAsia="Times New Roman" w:cs="Times New Roman"/>
                <w:b/>
                <w:bCs/>
                <w:sz w:val="20"/>
                <w:szCs w:val="20"/>
              </w:rPr>
            </w:pPr>
            <w:r w:rsidRPr="00BF0763">
              <w:rPr>
                <w:rFonts w:eastAsia="Times New Roman" w:cs="Times New Roman"/>
                <w:b/>
                <w:bCs/>
                <w:sz w:val="20"/>
                <w:szCs w:val="20"/>
              </w:rPr>
              <w:t>Employment</w:t>
            </w:r>
          </w:p>
        </w:tc>
        <w:tc>
          <w:tcPr>
            <w:tcW w:w="800" w:type="pct"/>
            <w:gridSpan w:val="2"/>
            <w:tcBorders>
              <w:top w:val="single" w:sz="4" w:space="0" w:color="auto"/>
              <w:left w:val="nil"/>
              <w:bottom w:val="single" w:sz="4" w:space="0" w:color="auto"/>
              <w:right w:val="nil"/>
            </w:tcBorders>
          </w:tcPr>
          <w:p w14:paraId="7A164A6E" w14:textId="035795D5" w:rsidR="00BF0763" w:rsidRPr="00BF0763" w:rsidRDefault="00BF0763" w:rsidP="00B94FE7">
            <w:pPr>
              <w:widowControl w:val="0"/>
              <w:autoSpaceDE w:val="0"/>
              <w:autoSpaceDN w:val="0"/>
              <w:adjustRightInd w:val="0"/>
              <w:spacing w:line="240" w:lineRule="auto"/>
              <w:rPr>
                <w:rFonts w:eastAsia="Times New Roman" w:cs="Times New Roman"/>
                <w:b/>
                <w:bCs/>
                <w:sz w:val="20"/>
                <w:szCs w:val="20"/>
              </w:rPr>
            </w:pPr>
            <w:r w:rsidRPr="00BF0763">
              <w:rPr>
                <w:rFonts w:eastAsia="Times New Roman" w:cs="Times New Roman"/>
                <w:b/>
                <w:bCs/>
                <w:sz w:val="20"/>
                <w:szCs w:val="20"/>
              </w:rPr>
              <w:t>Performance</w:t>
            </w:r>
          </w:p>
        </w:tc>
      </w:tr>
      <w:tr w:rsidR="003B5A8E" w:rsidRPr="00BF0763" w14:paraId="0C979D4E" w14:textId="77777777" w:rsidTr="003B5A8E">
        <w:trPr>
          <w:gridAfter w:val="1"/>
          <w:wAfter w:w="43" w:type="pct"/>
        </w:trPr>
        <w:tc>
          <w:tcPr>
            <w:tcW w:w="767" w:type="pct"/>
            <w:tcBorders>
              <w:top w:val="single" w:sz="4" w:space="0" w:color="auto"/>
              <w:left w:val="nil"/>
              <w:bottom w:val="nil"/>
              <w:right w:val="nil"/>
            </w:tcBorders>
          </w:tcPr>
          <w:p w14:paraId="5856A567"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Fire Count (t-1) (1000s)</w:t>
            </w:r>
          </w:p>
        </w:tc>
        <w:tc>
          <w:tcPr>
            <w:tcW w:w="648" w:type="pct"/>
            <w:tcBorders>
              <w:top w:val="single" w:sz="4" w:space="0" w:color="auto"/>
              <w:left w:val="nil"/>
              <w:bottom w:val="nil"/>
              <w:right w:val="nil"/>
            </w:tcBorders>
          </w:tcPr>
          <w:p w14:paraId="0F1456CF"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0.122**</w:t>
            </w:r>
          </w:p>
        </w:tc>
        <w:tc>
          <w:tcPr>
            <w:tcW w:w="666" w:type="pct"/>
            <w:tcBorders>
              <w:top w:val="single" w:sz="4" w:space="0" w:color="auto"/>
              <w:left w:val="nil"/>
              <w:bottom w:val="nil"/>
              <w:right w:val="nil"/>
            </w:tcBorders>
          </w:tcPr>
          <w:p w14:paraId="1A52F661"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-0.079</w:t>
            </w:r>
          </w:p>
        </w:tc>
        <w:tc>
          <w:tcPr>
            <w:tcW w:w="582" w:type="pct"/>
            <w:gridSpan w:val="2"/>
            <w:tcBorders>
              <w:top w:val="single" w:sz="4" w:space="0" w:color="auto"/>
              <w:left w:val="nil"/>
              <w:bottom w:val="nil"/>
              <w:right w:val="nil"/>
            </w:tcBorders>
          </w:tcPr>
          <w:p w14:paraId="7BC29D09"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0.071*</w:t>
            </w:r>
          </w:p>
        </w:tc>
        <w:tc>
          <w:tcPr>
            <w:tcW w:w="712" w:type="pct"/>
            <w:gridSpan w:val="2"/>
            <w:tcBorders>
              <w:top w:val="single" w:sz="4" w:space="0" w:color="auto"/>
              <w:left w:val="nil"/>
              <w:bottom w:val="nil"/>
              <w:right w:val="nil"/>
            </w:tcBorders>
          </w:tcPr>
          <w:p w14:paraId="740F4C24"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1.64***</w:t>
            </w:r>
          </w:p>
        </w:tc>
        <w:tc>
          <w:tcPr>
            <w:tcW w:w="782" w:type="pct"/>
            <w:gridSpan w:val="2"/>
            <w:tcBorders>
              <w:top w:val="single" w:sz="4" w:space="0" w:color="auto"/>
              <w:left w:val="nil"/>
              <w:bottom w:val="nil"/>
              <w:right w:val="nil"/>
            </w:tcBorders>
          </w:tcPr>
          <w:p w14:paraId="09E8F43F"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0.070***</w:t>
            </w:r>
          </w:p>
        </w:tc>
        <w:tc>
          <w:tcPr>
            <w:tcW w:w="801" w:type="pct"/>
            <w:gridSpan w:val="2"/>
            <w:tcBorders>
              <w:top w:val="single" w:sz="4" w:space="0" w:color="auto"/>
              <w:left w:val="nil"/>
              <w:bottom w:val="nil"/>
              <w:right w:val="nil"/>
            </w:tcBorders>
          </w:tcPr>
          <w:p w14:paraId="48EECF68"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-0.014</w:t>
            </w:r>
          </w:p>
        </w:tc>
      </w:tr>
      <w:tr w:rsidR="003B5A8E" w:rsidRPr="00BF0763" w14:paraId="532176C6" w14:textId="77777777" w:rsidTr="003B5A8E">
        <w:trPr>
          <w:gridAfter w:val="1"/>
          <w:wAfter w:w="43" w:type="pct"/>
        </w:trPr>
        <w:tc>
          <w:tcPr>
            <w:tcW w:w="767" w:type="pct"/>
            <w:tcBorders>
              <w:top w:val="nil"/>
              <w:left w:val="nil"/>
              <w:bottom w:val="nil"/>
              <w:right w:val="nil"/>
            </w:tcBorders>
          </w:tcPr>
          <w:p w14:paraId="2F7A689E" w14:textId="3690930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648" w:type="pct"/>
            <w:tcBorders>
              <w:top w:val="nil"/>
              <w:left w:val="nil"/>
              <w:bottom w:val="nil"/>
              <w:right w:val="nil"/>
            </w:tcBorders>
          </w:tcPr>
          <w:p w14:paraId="060C407B"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(0.049)</w:t>
            </w:r>
          </w:p>
        </w:tc>
        <w:tc>
          <w:tcPr>
            <w:tcW w:w="666" w:type="pct"/>
            <w:tcBorders>
              <w:top w:val="nil"/>
              <w:left w:val="nil"/>
              <w:bottom w:val="nil"/>
              <w:right w:val="nil"/>
            </w:tcBorders>
          </w:tcPr>
          <w:p w14:paraId="1F126250"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(0.524)</w:t>
            </w:r>
          </w:p>
        </w:tc>
        <w:tc>
          <w:tcPr>
            <w:tcW w:w="582" w:type="pct"/>
            <w:gridSpan w:val="2"/>
            <w:tcBorders>
              <w:top w:val="nil"/>
              <w:left w:val="nil"/>
              <w:bottom w:val="nil"/>
              <w:right w:val="nil"/>
            </w:tcBorders>
          </w:tcPr>
          <w:p w14:paraId="1F52504F"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(0.039)</w:t>
            </w:r>
          </w:p>
        </w:tc>
        <w:tc>
          <w:tcPr>
            <w:tcW w:w="712" w:type="pct"/>
            <w:gridSpan w:val="2"/>
            <w:tcBorders>
              <w:top w:val="nil"/>
              <w:left w:val="nil"/>
              <w:bottom w:val="nil"/>
              <w:right w:val="nil"/>
            </w:tcBorders>
          </w:tcPr>
          <w:p w14:paraId="33DFB7D9"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(0.538)</w:t>
            </w:r>
          </w:p>
        </w:tc>
        <w:tc>
          <w:tcPr>
            <w:tcW w:w="782" w:type="pct"/>
            <w:gridSpan w:val="2"/>
            <w:tcBorders>
              <w:top w:val="nil"/>
              <w:left w:val="nil"/>
              <w:bottom w:val="nil"/>
              <w:right w:val="nil"/>
            </w:tcBorders>
          </w:tcPr>
          <w:p w14:paraId="289CCECF"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(0.023)</w:t>
            </w:r>
          </w:p>
        </w:tc>
        <w:tc>
          <w:tcPr>
            <w:tcW w:w="801" w:type="pct"/>
            <w:gridSpan w:val="2"/>
            <w:tcBorders>
              <w:top w:val="nil"/>
              <w:left w:val="nil"/>
              <w:bottom w:val="nil"/>
              <w:right w:val="nil"/>
            </w:tcBorders>
          </w:tcPr>
          <w:p w14:paraId="22B69FE9"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(0.103)</w:t>
            </w:r>
          </w:p>
        </w:tc>
      </w:tr>
      <w:tr w:rsidR="003B5A8E" w:rsidRPr="00BF0763" w14:paraId="65A72C3B" w14:textId="77777777" w:rsidTr="003B5A8E">
        <w:trPr>
          <w:gridAfter w:val="1"/>
          <w:wAfter w:w="43" w:type="pct"/>
        </w:trPr>
        <w:tc>
          <w:tcPr>
            <w:tcW w:w="767" w:type="pct"/>
            <w:tcBorders>
              <w:top w:val="nil"/>
              <w:left w:val="nil"/>
              <w:bottom w:val="nil"/>
              <w:right w:val="nil"/>
            </w:tcBorders>
          </w:tcPr>
          <w:p w14:paraId="45D66E8F"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 County Burned (t-1) (100s)</w:t>
            </w:r>
          </w:p>
        </w:tc>
        <w:tc>
          <w:tcPr>
            <w:tcW w:w="648" w:type="pct"/>
            <w:tcBorders>
              <w:top w:val="nil"/>
              <w:left w:val="nil"/>
              <w:bottom w:val="nil"/>
              <w:right w:val="nil"/>
            </w:tcBorders>
          </w:tcPr>
          <w:p w14:paraId="4E5C3B9D"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-0.310</w:t>
            </w:r>
          </w:p>
        </w:tc>
        <w:tc>
          <w:tcPr>
            <w:tcW w:w="666" w:type="pct"/>
            <w:tcBorders>
              <w:top w:val="nil"/>
              <w:left w:val="nil"/>
              <w:bottom w:val="nil"/>
              <w:right w:val="nil"/>
            </w:tcBorders>
          </w:tcPr>
          <w:p w14:paraId="4367E3CE"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-0.120</w:t>
            </w:r>
          </w:p>
        </w:tc>
        <w:tc>
          <w:tcPr>
            <w:tcW w:w="582" w:type="pct"/>
            <w:gridSpan w:val="2"/>
            <w:tcBorders>
              <w:top w:val="nil"/>
              <w:left w:val="nil"/>
              <w:bottom w:val="nil"/>
              <w:right w:val="nil"/>
            </w:tcBorders>
          </w:tcPr>
          <w:p w14:paraId="039B33A6"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0.788*</w:t>
            </w:r>
          </w:p>
        </w:tc>
        <w:tc>
          <w:tcPr>
            <w:tcW w:w="712" w:type="pct"/>
            <w:gridSpan w:val="2"/>
            <w:tcBorders>
              <w:top w:val="nil"/>
              <w:left w:val="nil"/>
              <w:bottom w:val="nil"/>
              <w:right w:val="nil"/>
            </w:tcBorders>
          </w:tcPr>
          <w:p w14:paraId="74192AAA"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8.26**</w:t>
            </w:r>
          </w:p>
        </w:tc>
        <w:tc>
          <w:tcPr>
            <w:tcW w:w="782" w:type="pct"/>
            <w:gridSpan w:val="2"/>
            <w:tcBorders>
              <w:top w:val="nil"/>
              <w:left w:val="nil"/>
              <w:bottom w:val="nil"/>
              <w:right w:val="nil"/>
            </w:tcBorders>
          </w:tcPr>
          <w:p w14:paraId="0486A0EA"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-0.344***</w:t>
            </w:r>
          </w:p>
        </w:tc>
        <w:tc>
          <w:tcPr>
            <w:tcW w:w="801" w:type="pct"/>
            <w:gridSpan w:val="2"/>
            <w:tcBorders>
              <w:top w:val="nil"/>
              <w:left w:val="nil"/>
              <w:bottom w:val="nil"/>
              <w:right w:val="nil"/>
            </w:tcBorders>
          </w:tcPr>
          <w:p w14:paraId="3BD7ECE0"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1.47**</w:t>
            </w:r>
          </w:p>
        </w:tc>
      </w:tr>
      <w:tr w:rsidR="003B5A8E" w:rsidRPr="00BF0763" w14:paraId="10AFFA79" w14:textId="77777777" w:rsidTr="003B5A8E">
        <w:trPr>
          <w:gridAfter w:val="1"/>
          <w:wAfter w:w="43" w:type="pct"/>
        </w:trPr>
        <w:tc>
          <w:tcPr>
            <w:tcW w:w="767" w:type="pct"/>
            <w:tcBorders>
              <w:top w:val="nil"/>
              <w:left w:val="nil"/>
              <w:bottom w:val="nil"/>
              <w:right w:val="nil"/>
            </w:tcBorders>
          </w:tcPr>
          <w:p w14:paraId="5958D1FC" w14:textId="63654D61"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648" w:type="pct"/>
            <w:tcBorders>
              <w:top w:val="nil"/>
              <w:left w:val="nil"/>
              <w:bottom w:val="nil"/>
              <w:right w:val="nil"/>
            </w:tcBorders>
          </w:tcPr>
          <w:p w14:paraId="3F7CA8BB"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(0.351)</w:t>
            </w:r>
          </w:p>
        </w:tc>
        <w:tc>
          <w:tcPr>
            <w:tcW w:w="666" w:type="pct"/>
            <w:tcBorders>
              <w:top w:val="nil"/>
              <w:left w:val="nil"/>
              <w:bottom w:val="nil"/>
              <w:right w:val="nil"/>
            </w:tcBorders>
          </w:tcPr>
          <w:p w14:paraId="2C61F543"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(4.47)</w:t>
            </w:r>
          </w:p>
        </w:tc>
        <w:tc>
          <w:tcPr>
            <w:tcW w:w="582" w:type="pct"/>
            <w:gridSpan w:val="2"/>
            <w:tcBorders>
              <w:top w:val="nil"/>
              <w:left w:val="nil"/>
              <w:bottom w:val="nil"/>
              <w:right w:val="nil"/>
            </w:tcBorders>
          </w:tcPr>
          <w:p w14:paraId="450AD153"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(0.427)</w:t>
            </w:r>
          </w:p>
        </w:tc>
        <w:tc>
          <w:tcPr>
            <w:tcW w:w="712" w:type="pct"/>
            <w:gridSpan w:val="2"/>
            <w:tcBorders>
              <w:top w:val="nil"/>
              <w:left w:val="nil"/>
              <w:bottom w:val="nil"/>
              <w:right w:val="nil"/>
            </w:tcBorders>
          </w:tcPr>
          <w:p w14:paraId="4B0D29A7"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(3.82)</w:t>
            </w:r>
          </w:p>
        </w:tc>
        <w:tc>
          <w:tcPr>
            <w:tcW w:w="782" w:type="pct"/>
            <w:gridSpan w:val="2"/>
            <w:tcBorders>
              <w:top w:val="nil"/>
              <w:left w:val="nil"/>
              <w:bottom w:val="nil"/>
              <w:right w:val="nil"/>
            </w:tcBorders>
          </w:tcPr>
          <w:p w14:paraId="5303D6F7"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(0.134)</w:t>
            </w:r>
          </w:p>
        </w:tc>
        <w:tc>
          <w:tcPr>
            <w:tcW w:w="801" w:type="pct"/>
            <w:gridSpan w:val="2"/>
            <w:tcBorders>
              <w:top w:val="nil"/>
              <w:left w:val="nil"/>
              <w:bottom w:val="nil"/>
              <w:right w:val="nil"/>
            </w:tcBorders>
          </w:tcPr>
          <w:p w14:paraId="555A9FC4"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(0.618)</w:t>
            </w:r>
          </w:p>
        </w:tc>
      </w:tr>
      <w:tr w:rsidR="003B5A8E" w:rsidRPr="00BF0763" w14:paraId="5E95B596" w14:textId="77777777" w:rsidTr="003B5A8E">
        <w:trPr>
          <w:gridAfter w:val="1"/>
          <w:wAfter w:w="43" w:type="pct"/>
        </w:trPr>
        <w:tc>
          <w:tcPr>
            <w:tcW w:w="767" w:type="pct"/>
            <w:tcBorders>
              <w:top w:val="nil"/>
              <w:left w:val="nil"/>
              <w:bottom w:val="nil"/>
              <w:right w:val="nil"/>
            </w:tcBorders>
          </w:tcPr>
          <w:p w14:paraId="4A28A662"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Precipitation (t-1) (10s)</w:t>
            </w:r>
          </w:p>
        </w:tc>
        <w:tc>
          <w:tcPr>
            <w:tcW w:w="648" w:type="pct"/>
            <w:tcBorders>
              <w:top w:val="nil"/>
              <w:left w:val="nil"/>
              <w:bottom w:val="nil"/>
              <w:right w:val="nil"/>
            </w:tcBorders>
          </w:tcPr>
          <w:p w14:paraId="1483E0CF"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0.067**</w:t>
            </w:r>
          </w:p>
        </w:tc>
        <w:tc>
          <w:tcPr>
            <w:tcW w:w="666" w:type="pct"/>
            <w:tcBorders>
              <w:top w:val="nil"/>
              <w:left w:val="nil"/>
              <w:bottom w:val="nil"/>
              <w:right w:val="nil"/>
            </w:tcBorders>
          </w:tcPr>
          <w:p w14:paraId="22542B8F"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0.573*</w:t>
            </w:r>
          </w:p>
        </w:tc>
        <w:tc>
          <w:tcPr>
            <w:tcW w:w="582" w:type="pct"/>
            <w:gridSpan w:val="2"/>
            <w:tcBorders>
              <w:top w:val="nil"/>
              <w:left w:val="nil"/>
              <w:bottom w:val="nil"/>
              <w:right w:val="nil"/>
            </w:tcBorders>
          </w:tcPr>
          <w:p w14:paraId="1217D5EF"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0.019</w:t>
            </w:r>
          </w:p>
        </w:tc>
        <w:tc>
          <w:tcPr>
            <w:tcW w:w="712" w:type="pct"/>
            <w:gridSpan w:val="2"/>
            <w:tcBorders>
              <w:top w:val="nil"/>
              <w:left w:val="nil"/>
              <w:bottom w:val="nil"/>
              <w:right w:val="nil"/>
            </w:tcBorders>
          </w:tcPr>
          <w:p w14:paraId="3776E227"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0.287</w:t>
            </w:r>
          </w:p>
        </w:tc>
        <w:tc>
          <w:tcPr>
            <w:tcW w:w="782" w:type="pct"/>
            <w:gridSpan w:val="2"/>
            <w:tcBorders>
              <w:top w:val="nil"/>
              <w:left w:val="nil"/>
              <w:bottom w:val="nil"/>
              <w:right w:val="nil"/>
            </w:tcBorders>
          </w:tcPr>
          <w:p w14:paraId="66CED213"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0.024</w:t>
            </w:r>
          </w:p>
        </w:tc>
        <w:tc>
          <w:tcPr>
            <w:tcW w:w="801" w:type="pct"/>
            <w:gridSpan w:val="2"/>
            <w:tcBorders>
              <w:top w:val="nil"/>
              <w:left w:val="nil"/>
              <w:bottom w:val="nil"/>
              <w:right w:val="nil"/>
            </w:tcBorders>
          </w:tcPr>
          <w:p w14:paraId="275E0FED"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0.059</w:t>
            </w:r>
          </w:p>
        </w:tc>
      </w:tr>
      <w:tr w:rsidR="003B5A8E" w:rsidRPr="00BF0763" w14:paraId="5022A7A2" w14:textId="77777777" w:rsidTr="003B5A8E">
        <w:trPr>
          <w:gridAfter w:val="1"/>
          <w:wAfter w:w="43" w:type="pct"/>
        </w:trPr>
        <w:tc>
          <w:tcPr>
            <w:tcW w:w="767" w:type="pct"/>
            <w:tcBorders>
              <w:top w:val="nil"/>
              <w:left w:val="nil"/>
              <w:bottom w:val="nil"/>
              <w:right w:val="nil"/>
            </w:tcBorders>
          </w:tcPr>
          <w:p w14:paraId="30642811" w14:textId="40567A46"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648" w:type="pct"/>
            <w:tcBorders>
              <w:top w:val="nil"/>
              <w:left w:val="nil"/>
              <w:bottom w:val="nil"/>
              <w:right w:val="nil"/>
            </w:tcBorders>
          </w:tcPr>
          <w:p w14:paraId="0D61CF39"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(0.032)</w:t>
            </w:r>
          </w:p>
        </w:tc>
        <w:tc>
          <w:tcPr>
            <w:tcW w:w="666" w:type="pct"/>
            <w:tcBorders>
              <w:top w:val="nil"/>
              <w:left w:val="nil"/>
              <w:bottom w:val="nil"/>
              <w:right w:val="nil"/>
            </w:tcBorders>
          </w:tcPr>
          <w:p w14:paraId="7C577646"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(0.348)</w:t>
            </w:r>
          </w:p>
        </w:tc>
        <w:tc>
          <w:tcPr>
            <w:tcW w:w="582" w:type="pct"/>
            <w:gridSpan w:val="2"/>
            <w:tcBorders>
              <w:top w:val="nil"/>
              <w:left w:val="nil"/>
              <w:bottom w:val="nil"/>
              <w:right w:val="nil"/>
            </w:tcBorders>
          </w:tcPr>
          <w:p w14:paraId="426160F4"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(0.024)</w:t>
            </w:r>
          </w:p>
        </w:tc>
        <w:tc>
          <w:tcPr>
            <w:tcW w:w="712" w:type="pct"/>
            <w:gridSpan w:val="2"/>
            <w:tcBorders>
              <w:top w:val="nil"/>
              <w:left w:val="nil"/>
              <w:bottom w:val="nil"/>
              <w:right w:val="nil"/>
            </w:tcBorders>
          </w:tcPr>
          <w:p w14:paraId="2CD13E7E"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(0.302)</w:t>
            </w:r>
          </w:p>
        </w:tc>
        <w:tc>
          <w:tcPr>
            <w:tcW w:w="782" w:type="pct"/>
            <w:gridSpan w:val="2"/>
            <w:tcBorders>
              <w:top w:val="nil"/>
              <w:left w:val="nil"/>
              <w:bottom w:val="nil"/>
              <w:right w:val="nil"/>
            </w:tcBorders>
          </w:tcPr>
          <w:p w14:paraId="7257370B"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(0.017)</w:t>
            </w:r>
          </w:p>
        </w:tc>
        <w:tc>
          <w:tcPr>
            <w:tcW w:w="801" w:type="pct"/>
            <w:gridSpan w:val="2"/>
            <w:tcBorders>
              <w:top w:val="nil"/>
              <w:left w:val="nil"/>
              <w:bottom w:val="nil"/>
              <w:right w:val="nil"/>
            </w:tcBorders>
          </w:tcPr>
          <w:p w14:paraId="16E7A7F2"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(0.084)</w:t>
            </w:r>
          </w:p>
        </w:tc>
      </w:tr>
      <w:tr w:rsidR="003B5A8E" w:rsidRPr="00BF0763" w14:paraId="47021B2A" w14:textId="77777777" w:rsidTr="003B5A8E">
        <w:trPr>
          <w:gridAfter w:val="1"/>
          <w:wAfter w:w="43" w:type="pct"/>
        </w:trPr>
        <w:tc>
          <w:tcPr>
            <w:tcW w:w="767" w:type="pct"/>
            <w:tcBorders>
              <w:top w:val="nil"/>
              <w:left w:val="nil"/>
              <w:bottom w:val="nil"/>
              <w:right w:val="nil"/>
            </w:tcBorders>
          </w:tcPr>
          <w:p w14:paraId="5C85DEF2"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Temperature (t-1) (10s)</w:t>
            </w:r>
          </w:p>
        </w:tc>
        <w:tc>
          <w:tcPr>
            <w:tcW w:w="648" w:type="pct"/>
            <w:tcBorders>
              <w:top w:val="nil"/>
              <w:left w:val="nil"/>
              <w:bottom w:val="nil"/>
              <w:right w:val="nil"/>
            </w:tcBorders>
          </w:tcPr>
          <w:p w14:paraId="16C6D5BD"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0.144</w:t>
            </w:r>
          </w:p>
        </w:tc>
        <w:tc>
          <w:tcPr>
            <w:tcW w:w="666" w:type="pct"/>
            <w:tcBorders>
              <w:top w:val="nil"/>
              <w:left w:val="nil"/>
              <w:bottom w:val="nil"/>
              <w:right w:val="nil"/>
            </w:tcBorders>
          </w:tcPr>
          <w:p w14:paraId="650275BF"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-1.53</w:t>
            </w:r>
          </w:p>
        </w:tc>
        <w:tc>
          <w:tcPr>
            <w:tcW w:w="582" w:type="pct"/>
            <w:gridSpan w:val="2"/>
            <w:tcBorders>
              <w:top w:val="nil"/>
              <w:left w:val="nil"/>
              <w:bottom w:val="nil"/>
              <w:right w:val="nil"/>
            </w:tcBorders>
          </w:tcPr>
          <w:p w14:paraId="2A6C022B"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0.161</w:t>
            </w:r>
          </w:p>
        </w:tc>
        <w:tc>
          <w:tcPr>
            <w:tcW w:w="712" w:type="pct"/>
            <w:gridSpan w:val="2"/>
            <w:tcBorders>
              <w:top w:val="nil"/>
              <w:left w:val="nil"/>
              <w:bottom w:val="nil"/>
              <w:right w:val="nil"/>
            </w:tcBorders>
          </w:tcPr>
          <w:p w14:paraId="0C9C0709"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-0.910</w:t>
            </w:r>
          </w:p>
        </w:tc>
        <w:tc>
          <w:tcPr>
            <w:tcW w:w="782" w:type="pct"/>
            <w:gridSpan w:val="2"/>
            <w:tcBorders>
              <w:top w:val="nil"/>
              <w:left w:val="nil"/>
              <w:bottom w:val="nil"/>
              <w:right w:val="nil"/>
            </w:tcBorders>
          </w:tcPr>
          <w:p w14:paraId="58C6AED2"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0.189</w:t>
            </w:r>
          </w:p>
        </w:tc>
        <w:tc>
          <w:tcPr>
            <w:tcW w:w="801" w:type="pct"/>
            <w:gridSpan w:val="2"/>
            <w:tcBorders>
              <w:top w:val="nil"/>
              <w:left w:val="nil"/>
              <w:bottom w:val="nil"/>
              <w:right w:val="nil"/>
            </w:tcBorders>
          </w:tcPr>
          <w:p w14:paraId="592DA43A"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-1.47</w:t>
            </w:r>
          </w:p>
        </w:tc>
      </w:tr>
      <w:tr w:rsidR="003B5A8E" w:rsidRPr="00BF0763" w14:paraId="1450EB12" w14:textId="77777777" w:rsidTr="003B5A8E">
        <w:trPr>
          <w:gridAfter w:val="1"/>
          <w:wAfter w:w="43" w:type="pct"/>
        </w:trPr>
        <w:tc>
          <w:tcPr>
            <w:tcW w:w="767" w:type="pct"/>
            <w:tcBorders>
              <w:top w:val="nil"/>
              <w:left w:val="nil"/>
              <w:bottom w:val="nil"/>
              <w:right w:val="nil"/>
            </w:tcBorders>
          </w:tcPr>
          <w:p w14:paraId="36D8E8C9" w14:textId="509DA8D2"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648" w:type="pct"/>
            <w:tcBorders>
              <w:top w:val="nil"/>
              <w:left w:val="nil"/>
              <w:bottom w:val="nil"/>
              <w:right w:val="nil"/>
            </w:tcBorders>
          </w:tcPr>
          <w:p w14:paraId="3A672848"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(0.446)</w:t>
            </w:r>
          </w:p>
        </w:tc>
        <w:tc>
          <w:tcPr>
            <w:tcW w:w="666" w:type="pct"/>
            <w:tcBorders>
              <w:top w:val="nil"/>
              <w:left w:val="nil"/>
              <w:bottom w:val="nil"/>
              <w:right w:val="nil"/>
            </w:tcBorders>
          </w:tcPr>
          <w:p w14:paraId="22813404"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(5.34)</w:t>
            </w:r>
          </w:p>
        </w:tc>
        <w:tc>
          <w:tcPr>
            <w:tcW w:w="582" w:type="pct"/>
            <w:gridSpan w:val="2"/>
            <w:tcBorders>
              <w:top w:val="nil"/>
              <w:left w:val="nil"/>
              <w:bottom w:val="nil"/>
              <w:right w:val="nil"/>
            </w:tcBorders>
          </w:tcPr>
          <w:p w14:paraId="51B53978"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(0.313)</w:t>
            </w:r>
          </w:p>
        </w:tc>
        <w:tc>
          <w:tcPr>
            <w:tcW w:w="712" w:type="pct"/>
            <w:gridSpan w:val="2"/>
            <w:tcBorders>
              <w:top w:val="nil"/>
              <w:left w:val="nil"/>
              <w:bottom w:val="nil"/>
              <w:right w:val="nil"/>
            </w:tcBorders>
          </w:tcPr>
          <w:p w14:paraId="306A9D64"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(4.45)</w:t>
            </w:r>
          </w:p>
        </w:tc>
        <w:tc>
          <w:tcPr>
            <w:tcW w:w="782" w:type="pct"/>
            <w:gridSpan w:val="2"/>
            <w:tcBorders>
              <w:top w:val="nil"/>
              <w:left w:val="nil"/>
              <w:bottom w:val="nil"/>
              <w:right w:val="nil"/>
            </w:tcBorders>
          </w:tcPr>
          <w:p w14:paraId="0524D548"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(0.359)</w:t>
            </w:r>
          </w:p>
        </w:tc>
        <w:tc>
          <w:tcPr>
            <w:tcW w:w="801" w:type="pct"/>
            <w:gridSpan w:val="2"/>
            <w:tcBorders>
              <w:top w:val="nil"/>
              <w:left w:val="nil"/>
              <w:bottom w:val="nil"/>
              <w:right w:val="nil"/>
            </w:tcBorders>
          </w:tcPr>
          <w:p w14:paraId="7116D75C"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(1.00)</w:t>
            </w:r>
          </w:p>
        </w:tc>
      </w:tr>
      <w:tr w:rsidR="003B5A8E" w:rsidRPr="00BF0763" w14:paraId="4BB66C96" w14:textId="77777777" w:rsidTr="003B5A8E">
        <w:trPr>
          <w:gridAfter w:val="1"/>
          <w:wAfter w:w="43" w:type="pct"/>
        </w:trPr>
        <w:tc>
          <w:tcPr>
            <w:tcW w:w="767" w:type="pct"/>
            <w:tcBorders>
              <w:top w:val="nil"/>
              <w:left w:val="nil"/>
              <w:bottom w:val="nil"/>
              <w:right w:val="nil"/>
            </w:tcBorders>
          </w:tcPr>
          <w:p w14:paraId="7F56D4BF"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CPAD (t-1) (100s)</w:t>
            </w:r>
          </w:p>
        </w:tc>
        <w:tc>
          <w:tcPr>
            <w:tcW w:w="648" w:type="pct"/>
            <w:tcBorders>
              <w:top w:val="nil"/>
              <w:left w:val="nil"/>
              <w:bottom w:val="nil"/>
              <w:right w:val="nil"/>
            </w:tcBorders>
          </w:tcPr>
          <w:p w14:paraId="412CA0F7"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0.581*</w:t>
            </w:r>
          </w:p>
        </w:tc>
        <w:tc>
          <w:tcPr>
            <w:tcW w:w="666" w:type="pct"/>
            <w:tcBorders>
              <w:top w:val="nil"/>
              <w:left w:val="nil"/>
              <w:bottom w:val="nil"/>
              <w:right w:val="nil"/>
            </w:tcBorders>
          </w:tcPr>
          <w:p w14:paraId="68280E0D"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0.154</w:t>
            </w:r>
          </w:p>
        </w:tc>
        <w:tc>
          <w:tcPr>
            <w:tcW w:w="582" w:type="pct"/>
            <w:gridSpan w:val="2"/>
            <w:tcBorders>
              <w:top w:val="nil"/>
              <w:left w:val="nil"/>
              <w:bottom w:val="nil"/>
              <w:right w:val="nil"/>
            </w:tcBorders>
          </w:tcPr>
          <w:p w14:paraId="63AFFF42"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-0.034</w:t>
            </w:r>
          </w:p>
        </w:tc>
        <w:tc>
          <w:tcPr>
            <w:tcW w:w="712" w:type="pct"/>
            <w:gridSpan w:val="2"/>
            <w:tcBorders>
              <w:top w:val="nil"/>
              <w:left w:val="nil"/>
              <w:bottom w:val="nil"/>
              <w:right w:val="nil"/>
            </w:tcBorders>
          </w:tcPr>
          <w:p w14:paraId="71E06E73"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0.334</w:t>
            </w:r>
          </w:p>
        </w:tc>
        <w:tc>
          <w:tcPr>
            <w:tcW w:w="782" w:type="pct"/>
            <w:gridSpan w:val="2"/>
            <w:tcBorders>
              <w:top w:val="nil"/>
              <w:left w:val="nil"/>
              <w:bottom w:val="nil"/>
              <w:right w:val="nil"/>
            </w:tcBorders>
          </w:tcPr>
          <w:p w14:paraId="49FA2C0F"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-0.358**</w:t>
            </w:r>
          </w:p>
        </w:tc>
        <w:tc>
          <w:tcPr>
            <w:tcW w:w="801" w:type="pct"/>
            <w:gridSpan w:val="2"/>
            <w:tcBorders>
              <w:top w:val="nil"/>
              <w:left w:val="nil"/>
              <w:bottom w:val="nil"/>
              <w:right w:val="nil"/>
            </w:tcBorders>
          </w:tcPr>
          <w:p w14:paraId="1D792613"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0.092</w:t>
            </w:r>
          </w:p>
        </w:tc>
      </w:tr>
      <w:tr w:rsidR="003B5A8E" w:rsidRPr="00BF0763" w14:paraId="397B34B5" w14:textId="77777777" w:rsidTr="003B5A8E">
        <w:trPr>
          <w:gridAfter w:val="1"/>
          <w:wAfter w:w="43" w:type="pct"/>
        </w:trPr>
        <w:tc>
          <w:tcPr>
            <w:tcW w:w="767" w:type="pct"/>
            <w:tcBorders>
              <w:top w:val="nil"/>
              <w:left w:val="nil"/>
              <w:bottom w:val="nil"/>
              <w:right w:val="nil"/>
            </w:tcBorders>
          </w:tcPr>
          <w:p w14:paraId="30708D7C" w14:textId="4B624E84"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648" w:type="pct"/>
            <w:tcBorders>
              <w:top w:val="nil"/>
              <w:left w:val="nil"/>
              <w:bottom w:val="nil"/>
              <w:right w:val="nil"/>
            </w:tcBorders>
          </w:tcPr>
          <w:p w14:paraId="68F0A377"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(0.330)</w:t>
            </w:r>
          </w:p>
        </w:tc>
        <w:tc>
          <w:tcPr>
            <w:tcW w:w="666" w:type="pct"/>
            <w:tcBorders>
              <w:top w:val="nil"/>
              <w:left w:val="nil"/>
              <w:bottom w:val="nil"/>
              <w:right w:val="nil"/>
            </w:tcBorders>
          </w:tcPr>
          <w:p w14:paraId="72BBE8C4"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(4.02)</w:t>
            </w:r>
          </w:p>
        </w:tc>
        <w:tc>
          <w:tcPr>
            <w:tcW w:w="582" w:type="pct"/>
            <w:gridSpan w:val="2"/>
            <w:tcBorders>
              <w:top w:val="nil"/>
              <w:left w:val="nil"/>
              <w:bottom w:val="nil"/>
              <w:right w:val="nil"/>
            </w:tcBorders>
          </w:tcPr>
          <w:p w14:paraId="2DDD8D8E"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(0.264)</w:t>
            </w:r>
          </w:p>
        </w:tc>
        <w:tc>
          <w:tcPr>
            <w:tcW w:w="712" w:type="pct"/>
            <w:gridSpan w:val="2"/>
            <w:tcBorders>
              <w:top w:val="nil"/>
              <w:left w:val="nil"/>
              <w:bottom w:val="nil"/>
              <w:right w:val="nil"/>
            </w:tcBorders>
          </w:tcPr>
          <w:p w14:paraId="278C5F39"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(4.49)</w:t>
            </w:r>
          </w:p>
        </w:tc>
        <w:tc>
          <w:tcPr>
            <w:tcW w:w="782" w:type="pct"/>
            <w:gridSpan w:val="2"/>
            <w:tcBorders>
              <w:top w:val="nil"/>
              <w:left w:val="nil"/>
              <w:bottom w:val="nil"/>
              <w:right w:val="nil"/>
            </w:tcBorders>
          </w:tcPr>
          <w:p w14:paraId="4F2DD0FE"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(0.145)</w:t>
            </w:r>
          </w:p>
        </w:tc>
        <w:tc>
          <w:tcPr>
            <w:tcW w:w="801" w:type="pct"/>
            <w:gridSpan w:val="2"/>
            <w:tcBorders>
              <w:top w:val="nil"/>
              <w:left w:val="nil"/>
              <w:bottom w:val="nil"/>
              <w:right w:val="nil"/>
            </w:tcBorders>
          </w:tcPr>
          <w:p w14:paraId="2BB77E76"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(0.614)</w:t>
            </w:r>
          </w:p>
        </w:tc>
      </w:tr>
      <w:tr w:rsidR="003B5A8E" w:rsidRPr="00BF0763" w14:paraId="61074026" w14:textId="77777777" w:rsidTr="003B5A8E">
        <w:trPr>
          <w:gridAfter w:val="1"/>
          <w:wAfter w:w="43" w:type="pct"/>
        </w:trPr>
        <w:tc>
          <w:tcPr>
            <w:tcW w:w="767" w:type="pct"/>
            <w:tcBorders>
              <w:top w:val="nil"/>
              <w:left w:val="nil"/>
              <w:bottom w:val="nil"/>
              <w:right w:val="nil"/>
            </w:tcBorders>
          </w:tcPr>
          <w:p w14:paraId="46A1D44D"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Housing Price Index (100s)</w:t>
            </w:r>
          </w:p>
        </w:tc>
        <w:tc>
          <w:tcPr>
            <w:tcW w:w="648" w:type="pct"/>
            <w:tcBorders>
              <w:top w:val="nil"/>
              <w:left w:val="nil"/>
              <w:bottom w:val="nil"/>
              <w:right w:val="nil"/>
            </w:tcBorders>
          </w:tcPr>
          <w:p w14:paraId="495A71ED"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-0.080***</w:t>
            </w:r>
          </w:p>
        </w:tc>
        <w:tc>
          <w:tcPr>
            <w:tcW w:w="666" w:type="pct"/>
            <w:tcBorders>
              <w:top w:val="nil"/>
              <w:left w:val="nil"/>
              <w:bottom w:val="nil"/>
              <w:right w:val="nil"/>
            </w:tcBorders>
          </w:tcPr>
          <w:p w14:paraId="2DD176C7"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-0.675***</w:t>
            </w:r>
          </w:p>
        </w:tc>
        <w:tc>
          <w:tcPr>
            <w:tcW w:w="582" w:type="pct"/>
            <w:gridSpan w:val="2"/>
            <w:tcBorders>
              <w:top w:val="nil"/>
              <w:left w:val="nil"/>
              <w:bottom w:val="nil"/>
              <w:right w:val="nil"/>
            </w:tcBorders>
          </w:tcPr>
          <w:p w14:paraId="57C6766D"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0.004</w:t>
            </w:r>
          </w:p>
        </w:tc>
        <w:tc>
          <w:tcPr>
            <w:tcW w:w="712" w:type="pct"/>
            <w:gridSpan w:val="2"/>
            <w:tcBorders>
              <w:top w:val="nil"/>
              <w:left w:val="nil"/>
              <w:bottom w:val="nil"/>
              <w:right w:val="nil"/>
            </w:tcBorders>
          </w:tcPr>
          <w:p w14:paraId="73BA0E09"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0.216</w:t>
            </w:r>
          </w:p>
        </w:tc>
        <w:tc>
          <w:tcPr>
            <w:tcW w:w="782" w:type="pct"/>
            <w:gridSpan w:val="2"/>
            <w:tcBorders>
              <w:top w:val="nil"/>
              <w:left w:val="nil"/>
              <w:bottom w:val="nil"/>
              <w:right w:val="nil"/>
            </w:tcBorders>
          </w:tcPr>
          <w:p w14:paraId="43B95253"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-0.094***</w:t>
            </w:r>
          </w:p>
        </w:tc>
        <w:tc>
          <w:tcPr>
            <w:tcW w:w="801" w:type="pct"/>
            <w:gridSpan w:val="2"/>
            <w:tcBorders>
              <w:top w:val="nil"/>
              <w:left w:val="nil"/>
              <w:bottom w:val="nil"/>
              <w:right w:val="nil"/>
            </w:tcBorders>
          </w:tcPr>
          <w:p w14:paraId="37981916"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-0.225***</w:t>
            </w:r>
          </w:p>
        </w:tc>
      </w:tr>
      <w:tr w:rsidR="003B5A8E" w:rsidRPr="00BF0763" w14:paraId="14AC0F66" w14:textId="77777777" w:rsidTr="003B5A8E">
        <w:trPr>
          <w:gridAfter w:val="1"/>
          <w:wAfter w:w="43" w:type="pct"/>
        </w:trPr>
        <w:tc>
          <w:tcPr>
            <w:tcW w:w="767" w:type="pct"/>
            <w:tcBorders>
              <w:top w:val="nil"/>
              <w:left w:val="nil"/>
              <w:bottom w:val="nil"/>
              <w:right w:val="nil"/>
            </w:tcBorders>
          </w:tcPr>
          <w:p w14:paraId="6E34E5DE" w14:textId="156AE9B5"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648" w:type="pct"/>
            <w:tcBorders>
              <w:top w:val="nil"/>
              <w:left w:val="nil"/>
              <w:bottom w:val="nil"/>
              <w:right w:val="nil"/>
            </w:tcBorders>
          </w:tcPr>
          <w:p w14:paraId="7E635D59"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(0.024)</w:t>
            </w:r>
          </w:p>
        </w:tc>
        <w:tc>
          <w:tcPr>
            <w:tcW w:w="666" w:type="pct"/>
            <w:tcBorders>
              <w:top w:val="nil"/>
              <w:left w:val="nil"/>
              <w:bottom w:val="nil"/>
              <w:right w:val="nil"/>
            </w:tcBorders>
          </w:tcPr>
          <w:p w14:paraId="45010828"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(0.143)</w:t>
            </w:r>
          </w:p>
        </w:tc>
        <w:tc>
          <w:tcPr>
            <w:tcW w:w="582" w:type="pct"/>
            <w:gridSpan w:val="2"/>
            <w:tcBorders>
              <w:top w:val="nil"/>
              <w:left w:val="nil"/>
              <w:bottom w:val="nil"/>
              <w:right w:val="nil"/>
            </w:tcBorders>
          </w:tcPr>
          <w:p w14:paraId="53A2C4DD"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(0.016)</w:t>
            </w:r>
          </w:p>
        </w:tc>
        <w:tc>
          <w:tcPr>
            <w:tcW w:w="712" w:type="pct"/>
            <w:gridSpan w:val="2"/>
            <w:tcBorders>
              <w:top w:val="nil"/>
              <w:left w:val="nil"/>
              <w:bottom w:val="nil"/>
              <w:right w:val="nil"/>
            </w:tcBorders>
          </w:tcPr>
          <w:p w14:paraId="2667466D"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(0.169)</w:t>
            </w:r>
          </w:p>
        </w:tc>
        <w:tc>
          <w:tcPr>
            <w:tcW w:w="782" w:type="pct"/>
            <w:gridSpan w:val="2"/>
            <w:tcBorders>
              <w:top w:val="nil"/>
              <w:left w:val="nil"/>
              <w:bottom w:val="nil"/>
              <w:right w:val="nil"/>
            </w:tcBorders>
          </w:tcPr>
          <w:p w14:paraId="63058BE7"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(0.015)</w:t>
            </w:r>
          </w:p>
        </w:tc>
        <w:tc>
          <w:tcPr>
            <w:tcW w:w="801" w:type="pct"/>
            <w:gridSpan w:val="2"/>
            <w:tcBorders>
              <w:top w:val="nil"/>
              <w:left w:val="nil"/>
              <w:bottom w:val="nil"/>
              <w:right w:val="nil"/>
            </w:tcBorders>
          </w:tcPr>
          <w:p w14:paraId="66D5019F"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(0.044)</w:t>
            </w:r>
          </w:p>
        </w:tc>
      </w:tr>
      <w:tr w:rsidR="003B5A8E" w:rsidRPr="00BF0763" w14:paraId="75858C94" w14:textId="77777777" w:rsidTr="003B5A8E">
        <w:trPr>
          <w:gridAfter w:val="1"/>
          <w:wAfter w:w="43" w:type="pct"/>
        </w:trPr>
        <w:tc>
          <w:tcPr>
            <w:tcW w:w="767" w:type="pct"/>
            <w:tcBorders>
              <w:top w:val="nil"/>
              <w:left w:val="nil"/>
              <w:bottom w:val="nil"/>
              <w:right w:val="nil"/>
            </w:tcBorders>
          </w:tcPr>
          <w:p w14:paraId="27D77F58"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Poverty rate (100s)</w:t>
            </w:r>
          </w:p>
        </w:tc>
        <w:tc>
          <w:tcPr>
            <w:tcW w:w="648" w:type="pct"/>
            <w:tcBorders>
              <w:top w:val="nil"/>
              <w:left w:val="nil"/>
              <w:bottom w:val="nil"/>
              <w:right w:val="nil"/>
            </w:tcBorders>
          </w:tcPr>
          <w:p w14:paraId="113D0ACB"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0.363</w:t>
            </w:r>
          </w:p>
        </w:tc>
        <w:tc>
          <w:tcPr>
            <w:tcW w:w="666" w:type="pct"/>
            <w:tcBorders>
              <w:top w:val="nil"/>
              <w:left w:val="nil"/>
              <w:bottom w:val="nil"/>
              <w:right w:val="nil"/>
            </w:tcBorders>
          </w:tcPr>
          <w:p w14:paraId="6DD3CD95"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-5.49</w:t>
            </w:r>
          </w:p>
        </w:tc>
        <w:tc>
          <w:tcPr>
            <w:tcW w:w="582" w:type="pct"/>
            <w:gridSpan w:val="2"/>
            <w:tcBorders>
              <w:top w:val="nil"/>
              <w:left w:val="nil"/>
              <w:bottom w:val="nil"/>
              <w:right w:val="nil"/>
            </w:tcBorders>
          </w:tcPr>
          <w:p w14:paraId="7182C40A"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-3.72***</w:t>
            </w:r>
          </w:p>
        </w:tc>
        <w:tc>
          <w:tcPr>
            <w:tcW w:w="712" w:type="pct"/>
            <w:gridSpan w:val="2"/>
            <w:tcBorders>
              <w:top w:val="nil"/>
              <w:left w:val="nil"/>
              <w:bottom w:val="nil"/>
              <w:right w:val="nil"/>
            </w:tcBorders>
          </w:tcPr>
          <w:p w14:paraId="40A797AA"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-14.6</w:t>
            </w:r>
          </w:p>
        </w:tc>
        <w:tc>
          <w:tcPr>
            <w:tcW w:w="782" w:type="pct"/>
            <w:gridSpan w:val="2"/>
            <w:tcBorders>
              <w:top w:val="nil"/>
              <w:left w:val="nil"/>
              <w:bottom w:val="nil"/>
              <w:right w:val="nil"/>
            </w:tcBorders>
          </w:tcPr>
          <w:p w14:paraId="78721B1D"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0.261</w:t>
            </w:r>
          </w:p>
        </w:tc>
        <w:tc>
          <w:tcPr>
            <w:tcW w:w="801" w:type="pct"/>
            <w:gridSpan w:val="2"/>
            <w:tcBorders>
              <w:top w:val="nil"/>
              <w:left w:val="nil"/>
              <w:bottom w:val="nil"/>
              <w:right w:val="nil"/>
            </w:tcBorders>
          </w:tcPr>
          <w:p w14:paraId="4C8716E1"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2.06</w:t>
            </w:r>
          </w:p>
        </w:tc>
      </w:tr>
      <w:tr w:rsidR="003B5A8E" w:rsidRPr="00BF0763" w14:paraId="138A37A4" w14:textId="77777777" w:rsidTr="003B5A8E">
        <w:trPr>
          <w:gridAfter w:val="1"/>
          <w:wAfter w:w="43" w:type="pct"/>
        </w:trPr>
        <w:tc>
          <w:tcPr>
            <w:tcW w:w="767" w:type="pct"/>
            <w:tcBorders>
              <w:top w:val="nil"/>
              <w:left w:val="nil"/>
              <w:bottom w:val="nil"/>
              <w:right w:val="nil"/>
            </w:tcBorders>
          </w:tcPr>
          <w:p w14:paraId="1F6EF79D" w14:textId="419490BB"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648" w:type="pct"/>
            <w:tcBorders>
              <w:top w:val="nil"/>
              <w:left w:val="nil"/>
              <w:bottom w:val="nil"/>
              <w:right w:val="nil"/>
            </w:tcBorders>
          </w:tcPr>
          <w:p w14:paraId="7F1E0099"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(1.27)</w:t>
            </w:r>
          </w:p>
        </w:tc>
        <w:tc>
          <w:tcPr>
            <w:tcW w:w="666" w:type="pct"/>
            <w:tcBorders>
              <w:top w:val="nil"/>
              <w:left w:val="nil"/>
              <w:bottom w:val="nil"/>
              <w:right w:val="nil"/>
            </w:tcBorders>
          </w:tcPr>
          <w:p w14:paraId="3D09E11F"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(14.8)</w:t>
            </w:r>
          </w:p>
        </w:tc>
        <w:tc>
          <w:tcPr>
            <w:tcW w:w="582" w:type="pct"/>
            <w:gridSpan w:val="2"/>
            <w:tcBorders>
              <w:top w:val="nil"/>
              <w:left w:val="nil"/>
              <w:bottom w:val="nil"/>
              <w:right w:val="nil"/>
            </w:tcBorders>
          </w:tcPr>
          <w:p w14:paraId="3F0E3FB3"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(0.773)</w:t>
            </w:r>
          </w:p>
        </w:tc>
        <w:tc>
          <w:tcPr>
            <w:tcW w:w="712" w:type="pct"/>
            <w:gridSpan w:val="2"/>
            <w:tcBorders>
              <w:top w:val="nil"/>
              <w:left w:val="nil"/>
              <w:bottom w:val="nil"/>
              <w:right w:val="nil"/>
            </w:tcBorders>
          </w:tcPr>
          <w:p w14:paraId="20AE7CE9"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(15.4)</w:t>
            </w:r>
          </w:p>
        </w:tc>
        <w:tc>
          <w:tcPr>
            <w:tcW w:w="782" w:type="pct"/>
            <w:gridSpan w:val="2"/>
            <w:tcBorders>
              <w:top w:val="nil"/>
              <w:left w:val="nil"/>
              <w:bottom w:val="nil"/>
              <w:right w:val="nil"/>
            </w:tcBorders>
          </w:tcPr>
          <w:p w14:paraId="60FACA0A"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(0.711)</w:t>
            </w:r>
          </w:p>
        </w:tc>
        <w:tc>
          <w:tcPr>
            <w:tcW w:w="801" w:type="pct"/>
            <w:gridSpan w:val="2"/>
            <w:tcBorders>
              <w:top w:val="nil"/>
              <w:left w:val="nil"/>
              <w:bottom w:val="nil"/>
              <w:right w:val="nil"/>
            </w:tcBorders>
          </w:tcPr>
          <w:p w14:paraId="1025C1D8"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(3.27)</w:t>
            </w:r>
          </w:p>
        </w:tc>
      </w:tr>
      <w:tr w:rsidR="003B5A8E" w:rsidRPr="00BF0763" w14:paraId="79C89B2A" w14:textId="77777777" w:rsidTr="003B5A8E">
        <w:trPr>
          <w:gridAfter w:val="1"/>
          <w:wAfter w:w="43" w:type="pct"/>
        </w:trPr>
        <w:tc>
          <w:tcPr>
            <w:tcW w:w="767" w:type="pct"/>
            <w:tcBorders>
              <w:top w:val="nil"/>
              <w:left w:val="nil"/>
              <w:bottom w:val="nil"/>
              <w:right w:val="nil"/>
            </w:tcBorders>
          </w:tcPr>
          <w:p w14:paraId="38853C96"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Median HH Income (100ks)</w:t>
            </w:r>
          </w:p>
        </w:tc>
        <w:tc>
          <w:tcPr>
            <w:tcW w:w="648" w:type="pct"/>
            <w:tcBorders>
              <w:top w:val="nil"/>
              <w:left w:val="nil"/>
              <w:bottom w:val="nil"/>
              <w:right w:val="nil"/>
            </w:tcBorders>
          </w:tcPr>
          <w:p w14:paraId="6A720E32"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1.91***</w:t>
            </w:r>
          </w:p>
        </w:tc>
        <w:tc>
          <w:tcPr>
            <w:tcW w:w="666" w:type="pct"/>
            <w:tcBorders>
              <w:top w:val="nil"/>
              <w:left w:val="nil"/>
              <w:bottom w:val="nil"/>
              <w:right w:val="nil"/>
            </w:tcBorders>
          </w:tcPr>
          <w:p w14:paraId="34978DD9"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12.4***</w:t>
            </w:r>
          </w:p>
        </w:tc>
        <w:tc>
          <w:tcPr>
            <w:tcW w:w="582" w:type="pct"/>
            <w:gridSpan w:val="2"/>
            <w:tcBorders>
              <w:top w:val="nil"/>
              <w:left w:val="nil"/>
              <w:bottom w:val="nil"/>
              <w:right w:val="nil"/>
            </w:tcBorders>
          </w:tcPr>
          <w:p w14:paraId="35299713"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-0.683**</w:t>
            </w:r>
          </w:p>
        </w:tc>
        <w:tc>
          <w:tcPr>
            <w:tcW w:w="712" w:type="pct"/>
            <w:gridSpan w:val="2"/>
            <w:tcBorders>
              <w:top w:val="nil"/>
              <w:left w:val="nil"/>
              <w:bottom w:val="nil"/>
              <w:right w:val="nil"/>
            </w:tcBorders>
          </w:tcPr>
          <w:p w14:paraId="17957432"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-4.90</w:t>
            </w:r>
          </w:p>
        </w:tc>
        <w:tc>
          <w:tcPr>
            <w:tcW w:w="782" w:type="pct"/>
            <w:gridSpan w:val="2"/>
            <w:tcBorders>
              <w:top w:val="nil"/>
              <w:left w:val="nil"/>
              <w:bottom w:val="nil"/>
              <w:right w:val="nil"/>
            </w:tcBorders>
          </w:tcPr>
          <w:p w14:paraId="5B974FCB"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1.74***</w:t>
            </w:r>
          </w:p>
        </w:tc>
        <w:tc>
          <w:tcPr>
            <w:tcW w:w="801" w:type="pct"/>
            <w:gridSpan w:val="2"/>
            <w:tcBorders>
              <w:top w:val="nil"/>
              <w:left w:val="nil"/>
              <w:bottom w:val="nil"/>
              <w:right w:val="nil"/>
            </w:tcBorders>
          </w:tcPr>
          <w:p w14:paraId="56DD1056"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4.56***</w:t>
            </w:r>
          </w:p>
        </w:tc>
      </w:tr>
      <w:tr w:rsidR="003B5A8E" w:rsidRPr="00BF0763" w14:paraId="2DE47915" w14:textId="77777777" w:rsidTr="003B5A8E">
        <w:trPr>
          <w:gridAfter w:val="1"/>
          <w:wAfter w:w="43" w:type="pct"/>
        </w:trPr>
        <w:tc>
          <w:tcPr>
            <w:tcW w:w="767" w:type="pct"/>
            <w:tcBorders>
              <w:top w:val="nil"/>
              <w:left w:val="nil"/>
              <w:bottom w:val="nil"/>
              <w:right w:val="nil"/>
            </w:tcBorders>
          </w:tcPr>
          <w:p w14:paraId="1FF597FD" w14:textId="7B8136D0"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648" w:type="pct"/>
            <w:tcBorders>
              <w:top w:val="nil"/>
              <w:left w:val="nil"/>
              <w:bottom w:val="nil"/>
              <w:right w:val="nil"/>
            </w:tcBorders>
          </w:tcPr>
          <w:p w14:paraId="2BD496F5"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(0.567)</w:t>
            </w:r>
          </w:p>
        </w:tc>
        <w:tc>
          <w:tcPr>
            <w:tcW w:w="666" w:type="pct"/>
            <w:tcBorders>
              <w:top w:val="nil"/>
              <w:left w:val="nil"/>
              <w:bottom w:val="nil"/>
              <w:right w:val="nil"/>
            </w:tcBorders>
          </w:tcPr>
          <w:p w14:paraId="15B00AE0"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(4.12)</w:t>
            </w:r>
          </w:p>
        </w:tc>
        <w:tc>
          <w:tcPr>
            <w:tcW w:w="582" w:type="pct"/>
            <w:gridSpan w:val="2"/>
            <w:tcBorders>
              <w:top w:val="nil"/>
              <w:left w:val="nil"/>
              <w:bottom w:val="nil"/>
              <w:right w:val="nil"/>
            </w:tcBorders>
          </w:tcPr>
          <w:p w14:paraId="1D9DECFF"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(0.317)</w:t>
            </w:r>
          </w:p>
        </w:tc>
        <w:tc>
          <w:tcPr>
            <w:tcW w:w="712" w:type="pct"/>
            <w:gridSpan w:val="2"/>
            <w:tcBorders>
              <w:top w:val="nil"/>
              <w:left w:val="nil"/>
              <w:bottom w:val="nil"/>
              <w:right w:val="nil"/>
            </w:tcBorders>
          </w:tcPr>
          <w:p w14:paraId="4E99C043"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(3.97)</w:t>
            </w:r>
          </w:p>
        </w:tc>
        <w:tc>
          <w:tcPr>
            <w:tcW w:w="782" w:type="pct"/>
            <w:gridSpan w:val="2"/>
            <w:tcBorders>
              <w:top w:val="nil"/>
              <w:left w:val="nil"/>
              <w:bottom w:val="nil"/>
              <w:right w:val="nil"/>
            </w:tcBorders>
          </w:tcPr>
          <w:p w14:paraId="7B71AB12"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(0.213)</w:t>
            </w:r>
          </w:p>
        </w:tc>
        <w:tc>
          <w:tcPr>
            <w:tcW w:w="801" w:type="pct"/>
            <w:gridSpan w:val="2"/>
            <w:tcBorders>
              <w:top w:val="nil"/>
              <w:left w:val="nil"/>
              <w:bottom w:val="nil"/>
              <w:right w:val="nil"/>
            </w:tcBorders>
          </w:tcPr>
          <w:p w14:paraId="52BCBE7C"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(0.642)</w:t>
            </w:r>
          </w:p>
        </w:tc>
      </w:tr>
      <w:tr w:rsidR="003B5A8E" w:rsidRPr="00BF0763" w14:paraId="019513DE" w14:textId="77777777" w:rsidTr="003B5A8E">
        <w:trPr>
          <w:gridAfter w:val="1"/>
          <w:wAfter w:w="43" w:type="pct"/>
        </w:trPr>
        <w:tc>
          <w:tcPr>
            <w:tcW w:w="767" w:type="pct"/>
            <w:tcBorders>
              <w:top w:val="nil"/>
              <w:left w:val="nil"/>
              <w:bottom w:val="nil"/>
              <w:right w:val="nil"/>
            </w:tcBorders>
          </w:tcPr>
          <w:p w14:paraId="3105F2E5"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O3-Attainment Status (t-1)</w:t>
            </w:r>
          </w:p>
        </w:tc>
        <w:tc>
          <w:tcPr>
            <w:tcW w:w="648" w:type="pct"/>
            <w:tcBorders>
              <w:top w:val="nil"/>
              <w:left w:val="nil"/>
              <w:bottom w:val="nil"/>
              <w:right w:val="nil"/>
            </w:tcBorders>
          </w:tcPr>
          <w:p w14:paraId="4C4413FB"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0.004</w:t>
            </w:r>
          </w:p>
        </w:tc>
        <w:tc>
          <w:tcPr>
            <w:tcW w:w="666" w:type="pct"/>
            <w:tcBorders>
              <w:top w:val="nil"/>
              <w:left w:val="nil"/>
              <w:bottom w:val="nil"/>
              <w:right w:val="nil"/>
            </w:tcBorders>
          </w:tcPr>
          <w:p w14:paraId="6ABF6763"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-0.956*</w:t>
            </w:r>
          </w:p>
        </w:tc>
        <w:tc>
          <w:tcPr>
            <w:tcW w:w="582" w:type="pct"/>
            <w:gridSpan w:val="2"/>
            <w:tcBorders>
              <w:top w:val="nil"/>
              <w:left w:val="nil"/>
              <w:bottom w:val="nil"/>
              <w:right w:val="nil"/>
            </w:tcBorders>
          </w:tcPr>
          <w:p w14:paraId="4BEE2DAF"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0.039</w:t>
            </w:r>
          </w:p>
        </w:tc>
        <w:tc>
          <w:tcPr>
            <w:tcW w:w="712" w:type="pct"/>
            <w:gridSpan w:val="2"/>
            <w:tcBorders>
              <w:top w:val="nil"/>
              <w:left w:val="nil"/>
              <w:bottom w:val="nil"/>
              <w:right w:val="nil"/>
            </w:tcBorders>
          </w:tcPr>
          <w:p w14:paraId="0B5B81EC"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0.346</w:t>
            </w:r>
          </w:p>
        </w:tc>
        <w:tc>
          <w:tcPr>
            <w:tcW w:w="782" w:type="pct"/>
            <w:gridSpan w:val="2"/>
            <w:tcBorders>
              <w:top w:val="nil"/>
              <w:left w:val="nil"/>
              <w:bottom w:val="nil"/>
              <w:right w:val="nil"/>
            </w:tcBorders>
          </w:tcPr>
          <w:p w14:paraId="5093EB10"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-0.004</w:t>
            </w:r>
          </w:p>
        </w:tc>
        <w:tc>
          <w:tcPr>
            <w:tcW w:w="801" w:type="pct"/>
            <w:gridSpan w:val="2"/>
            <w:tcBorders>
              <w:top w:val="nil"/>
              <w:left w:val="nil"/>
              <w:bottom w:val="nil"/>
              <w:right w:val="nil"/>
            </w:tcBorders>
          </w:tcPr>
          <w:p w14:paraId="55ADA4B8"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-0.073</w:t>
            </w:r>
          </w:p>
        </w:tc>
      </w:tr>
      <w:tr w:rsidR="003B5A8E" w:rsidRPr="00BF0763" w14:paraId="35346328" w14:textId="77777777" w:rsidTr="003B5A8E">
        <w:trPr>
          <w:gridAfter w:val="1"/>
          <w:wAfter w:w="43" w:type="pct"/>
        </w:trPr>
        <w:tc>
          <w:tcPr>
            <w:tcW w:w="767" w:type="pct"/>
            <w:tcBorders>
              <w:top w:val="nil"/>
              <w:left w:val="nil"/>
              <w:bottom w:val="nil"/>
              <w:right w:val="nil"/>
            </w:tcBorders>
          </w:tcPr>
          <w:p w14:paraId="4F27EA23" w14:textId="2720C472"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648" w:type="pct"/>
            <w:tcBorders>
              <w:top w:val="nil"/>
              <w:left w:val="nil"/>
              <w:bottom w:val="nil"/>
              <w:right w:val="nil"/>
            </w:tcBorders>
          </w:tcPr>
          <w:p w14:paraId="494E2D49"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(0.051)</w:t>
            </w:r>
          </w:p>
        </w:tc>
        <w:tc>
          <w:tcPr>
            <w:tcW w:w="666" w:type="pct"/>
            <w:tcBorders>
              <w:top w:val="nil"/>
              <w:left w:val="nil"/>
              <w:bottom w:val="nil"/>
              <w:right w:val="nil"/>
            </w:tcBorders>
          </w:tcPr>
          <w:p w14:paraId="572C3664"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(0.563)</w:t>
            </w:r>
          </w:p>
        </w:tc>
        <w:tc>
          <w:tcPr>
            <w:tcW w:w="582" w:type="pct"/>
            <w:gridSpan w:val="2"/>
            <w:tcBorders>
              <w:top w:val="nil"/>
              <w:left w:val="nil"/>
              <w:bottom w:val="nil"/>
              <w:right w:val="nil"/>
            </w:tcBorders>
          </w:tcPr>
          <w:p w14:paraId="562F713E"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(0.037)</w:t>
            </w:r>
          </w:p>
        </w:tc>
        <w:tc>
          <w:tcPr>
            <w:tcW w:w="712" w:type="pct"/>
            <w:gridSpan w:val="2"/>
            <w:tcBorders>
              <w:top w:val="nil"/>
              <w:left w:val="nil"/>
              <w:bottom w:val="nil"/>
              <w:right w:val="nil"/>
            </w:tcBorders>
          </w:tcPr>
          <w:p w14:paraId="75184C55"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(0.574)</w:t>
            </w:r>
          </w:p>
        </w:tc>
        <w:tc>
          <w:tcPr>
            <w:tcW w:w="782" w:type="pct"/>
            <w:gridSpan w:val="2"/>
            <w:tcBorders>
              <w:top w:val="nil"/>
              <w:left w:val="nil"/>
              <w:bottom w:val="nil"/>
              <w:right w:val="nil"/>
            </w:tcBorders>
          </w:tcPr>
          <w:p w14:paraId="40355FE6"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(0.030)</w:t>
            </w:r>
          </w:p>
        </w:tc>
        <w:tc>
          <w:tcPr>
            <w:tcW w:w="801" w:type="pct"/>
            <w:gridSpan w:val="2"/>
            <w:tcBorders>
              <w:top w:val="nil"/>
              <w:left w:val="nil"/>
              <w:bottom w:val="nil"/>
              <w:right w:val="nil"/>
            </w:tcBorders>
          </w:tcPr>
          <w:p w14:paraId="5AACE0AE"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(0.162)</w:t>
            </w:r>
          </w:p>
        </w:tc>
      </w:tr>
      <w:tr w:rsidR="003B5A8E" w:rsidRPr="00BF0763" w14:paraId="7483FFF5" w14:textId="77777777" w:rsidTr="003B5A8E">
        <w:trPr>
          <w:gridAfter w:val="1"/>
          <w:wAfter w:w="43" w:type="pct"/>
        </w:trPr>
        <w:tc>
          <w:tcPr>
            <w:tcW w:w="767" w:type="pct"/>
            <w:tcBorders>
              <w:top w:val="nil"/>
              <w:left w:val="nil"/>
              <w:bottom w:val="nil"/>
              <w:right w:val="nil"/>
            </w:tcBorders>
          </w:tcPr>
          <w:p w14:paraId="35CCB73F"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PM-Attainment Status (t-1)</w:t>
            </w:r>
          </w:p>
        </w:tc>
        <w:tc>
          <w:tcPr>
            <w:tcW w:w="648" w:type="pct"/>
            <w:tcBorders>
              <w:top w:val="nil"/>
              <w:left w:val="nil"/>
              <w:bottom w:val="nil"/>
              <w:right w:val="nil"/>
            </w:tcBorders>
          </w:tcPr>
          <w:p w14:paraId="099EAAD5"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-0.011</w:t>
            </w:r>
          </w:p>
        </w:tc>
        <w:tc>
          <w:tcPr>
            <w:tcW w:w="666" w:type="pct"/>
            <w:tcBorders>
              <w:top w:val="nil"/>
              <w:left w:val="nil"/>
              <w:bottom w:val="nil"/>
              <w:right w:val="nil"/>
            </w:tcBorders>
          </w:tcPr>
          <w:p w14:paraId="270C50AC"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-0.527</w:t>
            </w:r>
          </w:p>
        </w:tc>
        <w:tc>
          <w:tcPr>
            <w:tcW w:w="582" w:type="pct"/>
            <w:gridSpan w:val="2"/>
            <w:tcBorders>
              <w:top w:val="nil"/>
              <w:left w:val="nil"/>
              <w:bottom w:val="nil"/>
              <w:right w:val="nil"/>
            </w:tcBorders>
          </w:tcPr>
          <w:p w14:paraId="1E7F9F2B"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0.049</w:t>
            </w:r>
          </w:p>
        </w:tc>
        <w:tc>
          <w:tcPr>
            <w:tcW w:w="712" w:type="pct"/>
            <w:gridSpan w:val="2"/>
            <w:tcBorders>
              <w:top w:val="nil"/>
              <w:left w:val="nil"/>
              <w:bottom w:val="nil"/>
              <w:right w:val="nil"/>
            </w:tcBorders>
          </w:tcPr>
          <w:p w14:paraId="2109EF71"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-0.324</w:t>
            </w:r>
          </w:p>
        </w:tc>
        <w:tc>
          <w:tcPr>
            <w:tcW w:w="782" w:type="pct"/>
            <w:gridSpan w:val="2"/>
            <w:tcBorders>
              <w:top w:val="nil"/>
              <w:left w:val="nil"/>
              <w:bottom w:val="nil"/>
              <w:right w:val="nil"/>
            </w:tcBorders>
          </w:tcPr>
          <w:p w14:paraId="15338C15"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0.033</w:t>
            </w:r>
          </w:p>
        </w:tc>
        <w:tc>
          <w:tcPr>
            <w:tcW w:w="801" w:type="pct"/>
            <w:gridSpan w:val="2"/>
            <w:tcBorders>
              <w:top w:val="nil"/>
              <w:left w:val="nil"/>
              <w:bottom w:val="nil"/>
              <w:right w:val="nil"/>
            </w:tcBorders>
          </w:tcPr>
          <w:p w14:paraId="7591C6C9"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-0.054</w:t>
            </w:r>
          </w:p>
        </w:tc>
      </w:tr>
      <w:tr w:rsidR="003B5A8E" w:rsidRPr="00BF0763" w14:paraId="5C55B542" w14:textId="77777777" w:rsidTr="003B5A8E">
        <w:trPr>
          <w:gridAfter w:val="1"/>
          <w:wAfter w:w="43" w:type="pct"/>
        </w:trPr>
        <w:tc>
          <w:tcPr>
            <w:tcW w:w="767" w:type="pct"/>
            <w:tcBorders>
              <w:top w:val="nil"/>
              <w:left w:val="nil"/>
              <w:bottom w:val="nil"/>
              <w:right w:val="nil"/>
            </w:tcBorders>
          </w:tcPr>
          <w:p w14:paraId="06FF4C6C" w14:textId="2F1D1F0F"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648" w:type="pct"/>
            <w:tcBorders>
              <w:top w:val="nil"/>
              <w:left w:val="nil"/>
              <w:bottom w:val="nil"/>
              <w:right w:val="nil"/>
            </w:tcBorders>
          </w:tcPr>
          <w:p w14:paraId="0B238CCD"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(0.039)</w:t>
            </w:r>
          </w:p>
        </w:tc>
        <w:tc>
          <w:tcPr>
            <w:tcW w:w="666" w:type="pct"/>
            <w:tcBorders>
              <w:top w:val="nil"/>
              <w:left w:val="nil"/>
              <w:bottom w:val="nil"/>
              <w:right w:val="nil"/>
            </w:tcBorders>
          </w:tcPr>
          <w:p w14:paraId="6DDD4579"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(0.410)</w:t>
            </w:r>
          </w:p>
        </w:tc>
        <w:tc>
          <w:tcPr>
            <w:tcW w:w="582" w:type="pct"/>
            <w:gridSpan w:val="2"/>
            <w:tcBorders>
              <w:top w:val="nil"/>
              <w:left w:val="nil"/>
              <w:bottom w:val="nil"/>
              <w:right w:val="nil"/>
            </w:tcBorders>
          </w:tcPr>
          <w:p w14:paraId="5CBF2B37"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(0.039)</w:t>
            </w:r>
          </w:p>
        </w:tc>
        <w:tc>
          <w:tcPr>
            <w:tcW w:w="712" w:type="pct"/>
            <w:gridSpan w:val="2"/>
            <w:tcBorders>
              <w:top w:val="nil"/>
              <w:left w:val="nil"/>
              <w:bottom w:val="nil"/>
              <w:right w:val="nil"/>
            </w:tcBorders>
          </w:tcPr>
          <w:p w14:paraId="2CE9CB5A"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(0.347)</w:t>
            </w:r>
          </w:p>
        </w:tc>
        <w:tc>
          <w:tcPr>
            <w:tcW w:w="782" w:type="pct"/>
            <w:gridSpan w:val="2"/>
            <w:tcBorders>
              <w:top w:val="nil"/>
              <w:left w:val="nil"/>
              <w:bottom w:val="nil"/>
              <w:right w:val="nil"/>
            </w:tcBorders>
          </w:tcPr>
          <w:p w14:paraId="202B0487"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(0.029)</w:t>
            </w:r>
          </w:p>
        </w:tc>
        <w:tc>
          <w:tcPr>
            <w:tcW w:w="801" w:type="pct"/>
            <w:gridSpan w:val="2"/>
            <w:tcBorders>
              <w:top w:val="nil"/>
              <w:left w:val="nil"/>
              <w:bottom w:val="nil"/>
              <w:right w:val="nil"/>
            </w:tcBorders>
          </w:tcPr>
          <w:p w14:paraId="2D5977CD"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(0.078)</w:t>
            </w:r>
          </w:p>
        </w:tc>
      </w:tr>
      <w:tr w:rsidR="003B5A8E" w:rsidRPr="00BF0763" w14:paraId="1A3A39D4" w14:textId="77777777" w:rsidTr="003B5A8E">
        <w:trPr>
          <w:gridAfter w:val="1"/>
          <w:wAfter w:w="43" w:type="pct"/>
        </w:trPr>
        <w:tc>
          <w:tcPr>
            <w:tcW w:w="767" w:type="pct"/>
            <w:tcBorders>
              <w:top w:val="nil"/>
              <w:left w:val="nil"/>
              <w:bottom w:val="nil"/>
              <w:right w:val="nil"/>
            </w:tcBorders>
          </w:tcPr>
          <w:p w14:paraId="5F17913F"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Population Density (100s)</w:t>
            </w:r>
          </w:p>
        </w:tc>
        <w:tc>
          <w:tcPr>
            <w:tcW w:w="648" w:type="pct"/>
            <w:tcBorders>
              <w:top w:val="nil"/>
              <w:left w:val="nil"/>
              <w:bottom w:val="nil"/>
              <w:right w:val="nil"/>
            </w:tcBorders>
          </w:tcPr>
          <w:p w14:paraId="262C09C9"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0.697</w:t>
            </w:r>
          </w:p>
        </w:tc>
        <w:tc>
          <w:tcPr>
            <w:tcW w:w="666" w:type="pct"/>
            <w:tcBorders>
              <w:top w:val="nil"/>
              <w:left w:val="nil"/>
              <w:bottom w:val="nil"/>
              <w:right w:val="nil"/>
            </w:tcBorders>
          </w:tcPr>
          <w:p w14:paraId="02802D14"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35.5**</w:t>
            </w:r>
          </w:p>
        </w:tc>
        <w:tc>
          <w:tcPr>
            <w:tcW w:w="582" w:type="pct"/>
            <w:gridSpan w:val="2"/>
            <w:tcBorders>
              <w:top w:val="nil"/>
              <w:left w:val="nil"/>
              <w:bottom w:val="nil"/>
              <w:right w:val="nil"/>
            </w:tcBorders>
          </w:tcPr>
          <w:p w14:paraId="0A4E0F91"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1.52</w:t>
            </w:r>
          </w:p>
        </w:tc>
        <w:tc>
          <w:tcPr>
            <w:tcW w:w="712" w:type="pct"/>
            <w:gridSpan w:val="2"/>
            <w:tcBorders>
              <w:top w:val="nil"/>
              <w:left w:val="nil"/>
              <w:bottom w:val="nil"/>
              <w:right w:val="nil"/>
            </w:tcBorders>
          </w:tcPr>
          <w:p w14:paraId="6FB7E319"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18.1</w:t>
            </w:r>
          </w:p>
        </w:tc>
        <w:tc>
          <w:tcPr>
            <w:tcW w:w="782" w:type="pct"/>
            <w:gridSpan w:val="2"/>
            <w:tcBorders>
              <w:top w:val="nil"/>
              <w:left w:val="nil"/>
              <w:bottom w:val="nil"/>
              <w:right w:val="nil"/>
            </w:tcBorders>
          </w:tcPr>
          <w:p w14:paraId="7C903A78"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1.02</w:t>
            </w:r>
          </w:p>
        </w:tc>
        <w:tc>
          <w:tcPr>
            <w:tcW w:w="801" w:type="pct"/>
            <w:gridSpan w:val="2"/>
            <w:tcBorders>
              <w:top w:val="nil"/>
              <w:left w:val="nil"/>
              <w:bottom w:val="nil"/>
              <w:right w:val="nil"/>
            </w:tcBorders>
          </w:tcPr>
          <w:p w14:paraId="441FFD03"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7.71</w:t>
            </w:r>
          </w:p>
        </w:tc>
      </w:tr>
      <w:tr w:rsidR="003B5A8E" w:rsidRPr="00BF0763" w14:paraId="0EC42C98" w14:textId="77777777" w:rsidTr="003B5A8E">
        <w:trPr>
          <w:gridAfter w:val="1"/>
          <w:wAfter w:w="43" w:type="pct"/>
        </w:trPr>
        <w:tc>
          <w:tcPr>
            <w:tcW w:w="767" w:type="pct"/>
            <w:tcBorders>
              <w:top w:val="nil"/>
              <w:left w:val="nil"/>
              <w:bottom w:val="nil"/>
              <w:right w:val="nil"/>
            </w:tcBorders>
          </w:tcPr>
          <w:p w14:paraId="46C93668" w14:textId="0B3D4D88"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648" w:type="pct"/>
            <w:tcBorders>
              <w:top w:val="nil"/>
              <w:left w:val="nil"/>
              <w:bottom w:val="nil"/>
              <w:right w:val="nil"/>
            </w:tcBorders>
          </w:tcPr>
          <w:p w14:paraId="30391D0F"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(2.07)</w:t>
            </w:r>
          </w:p>
        </w:tc>
        <w:tc>
          <w:tcPr>
            <w:tcW w:w="666" w:type="pct"/>
            <w:tcBorders>
              <w:top w:val="nil"/>
              <w:left w:val="nil"/>
              <w:bottom w:val="nil"/>
              <w:right w:val="nil"/>
            </w:tcBorders>
          </w:tcPr>
          <w:p w14:paraId="1A1C83CC"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(14.1)</w:t>
            </w:r>
          </w:p>
        </w:tc>
        <w:tc>
          <w:tcPr>
            <w:tcW w:w="582" w:type="pct"/>
            <w:gridSpan w:val="2"/>
            <w:tcBorders>
              <w:top w:val="nil"/>
              <w:left w:val="nil"/>
              <w:bottom w:val="nil"/>
              <w:right w:val="nil"/>
            </w:tcBorders>
          </w:tcPr>
          <w:p w14:paraId="52F8D730"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(1.30)</w:t>
            </w:r>
          </w:p>
        </w:tc>
        <w:tc>
          <w:tcPr>
            <w:tcW w:w="712" w:type="pct"/>
            <w:gridSpan w:val="2"/>
            <w:tcBorders>
              <w:top w:val="nil"/>
              <w:left w:val="nil"/>
              <w:bottom w:val="nil"/>
              <w:right w:val="nil"/>
            </w:tcBorders>
          </w:tcPr>
          <w:p w14:paraId="2F64417A"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(19.9)</w:t>
            </w:r>
          </w:p>
        </w:tc>
        <w:tc>
          <w:tcPr>
            <w:tcW w:w="782" w:type="pct"/>
            <w:gridSpan w:val="2"/>
            <w:tcBorders>
              <w:top w:val="nil"/>
              <w:left w:val="nil"/>
              <w:bottom w:val="nil"/>
              <w:right w:val="nil"/>
            </w:tcBorders>
          </w:tcPr>
          <w:p w14:paraId="3430B485"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(0.991)</w:t>
            </w:r>
          </w:p>
        </w:tc>
        <w:tc>
          <w:tcPr>
            <w:tcW w:w="801" w:type="pct"/>
            <w:gridSpan w:val="2"/>
            <w:tcBorders>
              <w:top w:val="nil"/>
              <w:left w:val="nil"/>
              <w:bottom w:val="nil"/>
              <w:right w:val="nil"/>
            </w:tcBorders>
          </w:tcPr>
          <w:p w14:paraId="4B8A2BEE"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(5.470)</w:t>
            </w:r>
          </w:p>
        </w:tc>
      </w:tr>
      <w:tr w:rsidR="003B5A8E" w:rsidRPr="00BF0763" w14:paraId="1AF23EC9" w14:textId="77777777" w:rsidTr="003B5A8E">
        <w:trPr>
          <w:gridAfter w:val="1"/>
          <w:wAfter w:w="43" w:type="pct"/>
        </w:trPr>
        <w:tc>
          <w:tcPr>
            <w:tcW w:w="767" w:type="pct"/>
            <w:tcBorders>
              <w:top w:val="nil"/>
              <w:left w:val="nil"/>
              <w:bottom w:val="nil"/>
              <w:right w:val="nil"/>
            </w:tcBorders>
          </w:tcPr>
          <w:p w14:paraId="16EF829C"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 xml:space="preserve">Prior </w:t>
            </w:r>
            <w:proofErr w:type="spellStart"/>
            <w:r w:rsidRPr="00BF0763">
              <w:rPr>
                <w:rFonts w:eastAsia="Times New Roman" w:cs="Times New Roman"/>
                <w:sz w:val="20"/>
                <w:szCs w:val="20"/>
              </w:rPr>
              <w:t>Estab</w:t>
            </w:r>
            <w:proofErr w:type="spellEnd"/>
            <w:r w:rsidRPr="00BF0763">
              <w:rPr>
                <w:rFonts w:eastAsia="Times New Roman" w:cs="Times New Roman"/>
                <w:sz w:val="20"/>
                <w:szCs w:val="20"/>
              </w:rPr>
              <w:t>. Count (10ks)</w:t>
            </w:r>
          </w:p>
        </w:tc>
        <w:tc>
          <w:tcPr>
            <w:tcW w:w="648" w:type="pct"/>
            <w:tcBorders>
              <w:top w:val="nil"/>
              <w:left w:val="nil"/>
              <w:bottom w:val="nil"/>
              <w:right w:val="nil"/>
            </w:tcBorders>
          </w:tcPr>
          <w:p w14:paraId="7D7267C5"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0.204***</w:t>
            </w:r>
          </w:p>
        </w:tc>
        <w:tc>
          <w:tcPr>
            <w:tcW w:w="666" w:type="pct"/>
            <w:tcBorders>
              <w:top w:val="nil"/>
              <w:left w:val="nil"/>
              <w:bottom w:val="nil"/>
              <w:right w:val="nil"/>
            </w:tcBorders>
          </w:tcPr>
          <w:p w14:paraId="2903ED40"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-2.31*</w:t>
            </w:r>
          </w:p>
        </w:tc>
        <w:tc>
          <w:tcPr>
            <w:tcW w:w="582" w:type="pct"/>
            <w:gridSpan w:val="2"/>
            <w:tcBorders>
              <w:top w:val="nil"/>
              <w:left w:val="nil"/>
              <w:bottom w:val="nil"/>
              <w:right w:val="nil"/>
            </w:tcBorders>
          </w:tcPr>
          <w:p w14:paraId="16B16D52"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0.629***</w:t>
            </w:r>
          </w:p>
        </w:tc>
        <w:tc>
          <w:tcPr>
            <w:tcW w:w="712" w:type="pct"/>
            <w:gridSpan w:val="2"/>
            <w:tcBorders>
              <w:top w:val="nil"/>
              <w:left w:val="nil"/>
              <w:bottom w:val="nil"/>
              <w:right w:val="nil"/>
            </w:tcBorders>
          </w:tcPr>
          <w:p w14:paraId="2FBB97B1"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-0.611</w:t>
            </w:r>
          </w:p>
        </w:tc>
        <w:tc>
          <w:tcPr>
            <w:tcW w:w="782" w:type="pct"/>
            <w:gridSpan w:val="2"/>
            <w:tcBorders>
              <w:top w:val="nil"/>
              <w:left w:val="nil"/>
              <w:bottom w:val="nil"/>
              <w:right w:val="nil"/>
            </w:tcBorders>
          </w:tcPr>
          <w:p w14:paraId="4AB71DEB"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801" w:type="pct"/>
            <w:gridSpan w:val="2"/>
            <w:tcBorders>
              <w:top w:val="nil"/>
              <w:left w:val="nil"/>
              <w:bottom w:val="nil"/>
              <w:right w:val="nil"/>
            </w:tcBorders>
          </w:tcPr>
          <w:p w14:paraId="6E03982F"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r>
      <w:tr w:rsidR="003B5A8E" w:rsidRPr="00BF0763" w14:paraId="5B23CD21" w14:textId="77777777" w:rsidTr="003B5A8E">
        <w:trPr>
          <w:gridAfter w:val="1"/>
          <w:wAfter w:w="43" w:type="pct"/>
        </w:trPr>
        <w:tc>
          <w:tcPr>
            <w:tcW w:w="767" w:type="pct"/>
            <w:tcBorders>
              <w:top w:val="nil"/>
              <w:left w:val="nil"/>
              <w:bottom w:val="nil"/>
              <w:right w:val="nil"/>
            </w:tcBorders>
          </w:tcPr>
          <w:p w14:paraId="5A5F544C" w14:textId="49D40E08"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648" w:type="pct"/>
            <w:tcBorders>
              <w:top w:val="nil"/>
              <w:left w:val="nil"/>
              <w:bottom w:val="nil"/>
              <w:right w:val="nil"/>
            </w:tcBorders>
          </w:tcPr>
          <w:p w14:paraId="1631D90E"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(0.075)</w:t>
            </w:r>
          </w:p>
        </w:tc>
        <w:tc>
          <w:tcPr>
            <w:tcW w:w="666" w:type="pct"/>
            <w:tcBorders>
              <w:top w:val="nil"/>
              <w:left w:val="nil"/>
              <w:bottom w:val="nil"/>
              <w:right w:val="nil"/>
            </w:tcBorders>
          </w:tcPr>
          <w:p w14:paraId="1160A1B7"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(1.34)</w:t>
            </w:r>
          </w:p>
        </w:tc>
        <w:tc>
          <w:tcPr>
            <w:tcW w:w="582" w:type="pct"/>
            <w:gridSpan w:val="2"/>
            <w:tcBorders>
              <w:top w:val="nil"/>
              <w:left w:val="nil"/>
              <w:bottom w:val="nil"/>
              <w:right w:val="nil"/>
            </w:tcBorders>
          </w:tcPr>
          <w:p w14:paraId="4328A2BA"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(0.179)</w:t>
            </w:r>
          </w:p>
        </w:tc>
        <w:tc>
          <w:tcPr>
            <w:tcW w:w="712" w:type="pct"/>
            <w:gridSpan w:val="2"/>
            <w:tcBorders>
              <w:top w:val="nil"/>
              <w:left w:val="nil"/>
              <w:bottom w:val="nil"/>
              <w:right w:val="nil"/>
            </w:tcBorders>
          </w:tcPr>
          <w:p w14:paraId="08F78AB9"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(2.44)</w:t>
            </w:r>
          </w:p>
        </w:tc>
        <w:tc>
          <w:tcPr>
            <w:tcW w:w="782" w:type="pct"/>
            <w:gridSpan w:val="2"/>
            <w:tcBorders>
              <w:top w:val="nil"/>
              <w:left w:val="nil"/>
              <w:bottom w:val="nil"/>
              <w:right w:val="nil"/>
            </w:tcBorders>
          </w:tcPr>
          <w:p w14:paraId="1B9183D2"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801" w:type="pct"/>
            <w:gridSpan w:val="2"/>
            <w:tcBorders>
              <w:top w:val="nil"/>
              <w:left w:val="nil"/>
              <w:bottom w:val="nil"/>
              <w:right w:val="nil"/>
            </w:tcBorders>
          </w:tcPr>
          <w:p w14:paraId="387AD400"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r>
      <w:tr w:rsidR="003B5A8E" w:rsidRPr="00BF0763" w14:paraId="60DFED9D" w14:textId="77777777" w:rsidTr="003B5A8E">
        <w:trPr>
          <w:gridAfter w:val="1"/>
          <w:wAfter w:w="43" w:type="pct"/>
        </w:trPr>
        <w:tc>
          <w:tcPr>
            <w:tcW w:w="767" w:type="pct"/>
            <w:tcBorders>
              <w:top w:val="nil"/>
              <w:left w:val="nil"/>
              <w:bottom w:val="nil"/>
              <w:right w:val="nil"/>
            </w:tcBorders>
          </w:tcPr>
          <w:p w14:paraId="07814F9F"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Prior Exits</w:t>
            </w:r>
          </w:p>
        </w:tc>
        <w:tc>
          <w:tcPr>
            <w:tcW w:w="648" w:type="pct"/>
            <w:tcBorders>
              <w:top w:val="nil"/>
              <w:left w:val="nil"/>
              <w:bottom w:val="nil"/>
              <w:right w:val="nil"/>
            </w:tcBorders>
          </w:tcPr>
          <w:p w14:paraId="06D83811"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0.011**</w:t>
            </w:r>
          </w:p>
        </w:tc>
        <w:tc>
          <w:tcPr>
            <w:tcW w:w="666" w:type="pct"/>
            <w:tcBorders>
              <w:top w:val="nil"/>
              <w:left w:val="nil"/>
              <w:bottom w:val="nil"/>
              <w:right w:val="nil"/>
            </w:tcBorders>
          </w:tcPr>
          <w:p w14:paraId="2FEBAB95"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-0.025</w:t>
            </w:r>
          </w:p>
        </w:tc>
        <w:tc>
          <w:tcPr>
            <w:tcW w:w="582" w:type="pct"/>
            <w:gridSpan w:val="2"/>
            <w:tcBorders>
              <w:top w:val="nil"/>
              <w:left w:val="nil"/>
              <w:bottom w:val="nil"/>
              <w:right w:val="nil"/>
            </w:tcBorders>
          </w:tcPr>
          <w:p w14:paraId="7F2250F0"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712" w:type="pct"/>
            <w:gridSpan w:val="2"/>
            <w:tcBorders>
              <w:top w:val="nil"/>
              <w:left w:val="nil"/>
              <w:bottom w:val="nil"/>
              <w:right w:val="nil"/>
            </w:tcBorders>
          </w:tcPr>
          <w:p w14:paraId="6287F0E9"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782" w:type="pct"/>
            <w:gridSpan w:val="2"/>
            <w:tcBorders>
              <w:top w:val="nil"/>
              <w:left w:val="nil"/>
              <w:bottom w:val="nil"/>
              <w:right w:val="nil"/>
            </w:tcBorders>
          </w:tcPr>
          <w:p w14:paraId="1431FFE0"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801" w:type="pct"/>
            <w:gridSpan w:val="2"/>
            <w:tcBorders>
              <w:top w:val="nil"/>
              <w:left w:val="nil"/>
              <w:bottom w:val="nil"/>
              <w:right w:val="nil"/>
            </w:tcBorders>
          </w:tcPr>
          <w:p w14:paraId="5D31F70F"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r>
      <w:tr w:rsidR="003B5A8E" w:rsidRPr="00BF0763" w14:paraId="244F1EA2" w14:textId="77777777" w:rsidTr="003B5A8E">
        <w:trPr>
          <w:gridAfter w:val="1"/>
          <w:wAfter w:w="43" w:type="pct"/>
        </w:trPr>
        <w:tc>
          <w:tcPr>
            <w:tcW w:w="767" w:type="pct"/>
            <w:tcBorders>
              <w:top w:val="nil"/>
              <w:left w:val="nil"/>
              <w:bottom w:val="nil"/>
              <w:right w:val="nil"/>
            </w:tcBorders>
          </w:tcPr>
          <w:p w14:paraId="09AB80D9" w14:textId="672B2883"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648" w:type="pct"/>
            <w:tcBorders>
              <w:top w:val="nil"/>
              <w:left w:val="nil"/>
              <w:bottom w:val="nil"/>
              <w:right w:val="nil"/>
            </w:tcBorders>
          </w:tcPr>
          <w:p w14:paraId="137AAC06"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(0.004)</w:t>
            </w:r>
          </w:p>
        </w:tc>
        <w:tc>
          <w:tcPr>
            <w:tcW w:w="666" w:type="pct"/>
            <w:tcBorders>
              <w:top w:val="nil"/>
              <w:left w:val="nil"/>
              <w:bottom w:val="nil"/>
              <w:right w:val="nil"/>
            </w:tcBorders>
          </w:tcPr>
          <w:p w14:paraId="64261594"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(0.157)</w:t>
            </w:r>
          </w:p>
        </w:tc>
        <w:tc>
          <w:tcPr>
            <w:tcW w:w="582" w:type="pct"/>
            <w:gridSpan w:val="2"/>
            <w:tcBorders>
              <w:top w:val="nil"/>
              <w:left w:val="nil"/>
              <w:bottom w:val="nil"/>
              <w:right w:val="nil"/>
            </w:tcBorders>
          </w:tcPr>
          <w:p w14:paraId="2416BFD6"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712" w:type="pct"/>
            <w:gridSpan w:val="2"/>
            <w:tcBorders>
              <w:top w:val="nil"/>
              <w:left w:val="nil"/>
              <w:bottom w:val="nil"/>
              <w:right w:val="nil"/>
            </w:tcBorders>
          </w:tcPr>
          <w:p w14:paraId="17CA2BE4"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782" w:type="pct"/>
            <w:gridSpan w:val="2"/>
            <w:tcBorders>
              <w:top w:val="nil"/>
              <w:left w:val="nil"/>
              <w:bottom w:val="nil"/>
              <w:right w:val="nil"/>
            </w:tcBorders>
          </w:tcPr>
          <w:p w14:paraId="420297AE"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801" w:type="pct"/>
            <w:gridSpan w:val="2"/>
            <w:tcBorders>
              <w:top w:val="nil"/>
              <w:left w:val="nil"/>
              <w:bottom w:val="nil"/>
              <w:right w:val="nil"/>
            </w:tcBorders>
          </w:tcPr>
          <w:p w14:paraId="7881BD7B"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r>
      <w:tr w:rsidR="003B5A8E" w:rsidRPr="00BF0763" w14:paraId="2693C8EA" w14:textId="77777777" w:rsidTr="003B5A8E">
        <w:trPr>
          <w:gridAfter w:val="1"/>
          <w:wAfter w:w="43" w:type="pct"/>
        </w:trPr>
        <w:tc>
          <w:tcPr>
            <w:tcW w:w="767" w:type="pct"/>
            <w:tcBorders>
              <w:top w:val="nil"/>
              <w:left w:val="nil"/>
              <w:bottom w:val="nil"/>
              <w:right w:val="nil"/>
            </w:tcBorders>
          </w:tcPr>
          <w:p w14:paraId="0A56E593"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Prior Entries</w:t>
            </w:r>
          </w:p>
        </w:tc>
        <w:tc>
          <w:tcPr>
            <w:tcW w:w="648" w:type="pct"/>
            <w:tcBorders>
              <w:top w:val="nil"/>
              <w:left w:val="nil"/>
              <w:bottom w:val="nil"/>
              <w:right w:val="nil"/>
            </w:tcBorders>
          </w:tcPr>
          <w:p w14:paraId="42B1FF23"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666" w:type="pct"/>
            <w:tcBorders>
              <w:top w:val="nil"/>
              <w:left w:val="nil"/>
              <w:bottom w:val="nil"/>
              <w:right w:val="nil"/>
            </w:tcBorders>
          </w:tcPr>
          <w:p w14:paraId="4195A72C"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582" w:type="pct"/>
            <w:gridSpan w:val="2"/>
            <w:tcBorders>
              <w:top w:val="nil"/>
              <w:left w:val="nil"/>
              <w:bottom w:val="nil"/>
              <w:right w:val="nil"/>
            </w:tcBorders>
          </w:tcPr>
          <w:p w14:paraId="253B2B70"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0.004</w:t>
            </w:r>
          </w:p>
        </w:tc>
        <w:tc>
          <w:tcPr>
            <w:tcW w:w="712" w:type="pct"/>
            <w:gridSpan w:val="2"/>
            <w:tcBorders>
              <w:top w:val="nil"/>
              <w:left w:val="nil"/>
              <w:bottom w:val="nil"/>
              <w:right w:val="nil"/>
            </w:tcBorders>
          </w:tcPr>
          <w:p w14:paraId="69FE231A"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0.322*</w:t>
            </w:r>
          </w:p>
        </w:tc>
        <w:tc>
          <w:tcPr>
            <w:tcW w:w="782" w:type="pct"/>
            <w:gridSpan w:val="2"/>
            <w:tcBorders>
              <w:top w:val="nil"/>
              <w:left w:val="nil"/>
              <w:bottom w:val="nil"/>
              <w:right w:val="nil"/>
            </w:tcBorders>
          </w:tcPr>
          <w:p w14:paraId="55959E38"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801" w:type="pct"/>
            <w:gridSpan w:val="2"/>
            <w:tcBorders>
              <w:top w:val="nil"/>
              <w:left w:val="nil"/>
              <w:bottom w:val="nil"/>
              <w:right w:val="nil"/>
            </w:tcBorders>
          </w:tcPr>
          <w:p w14:paraId="67E3BB42"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r>
      <w:tr w:rsidR="003B5A8E" w:rsidRPr="00BF0763" w14:paraId="5E786A0D" w14:textId="77777777" w:rsidTr="003B5A8E">
        <w:trPr>
          <w:gridAfter w:val="1"/>
          <w:wAfter w:w="43" w:type="pct"/>
        </w:trPr>
        <w:tc>
          <w:tcPr>
            <w:tcW w:w="767" w:type="pct"/>
            <w:tcBorders>
              <w:top w:val="nil"/>
              <w:left w:val="nil"/>
              <w:bottom w:val="nil"/>
              <w:right w:val="nil"/>
            </w:tcBorders>
          </w:tcPr>
          <w:p w14:paraId="0E8F8F1B" w14:textId="7DBE2119"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648" w:type="pct"/>
            <w:tcBorders>
              <w:top w:val="nil"/>
              <w:left w:val="nil"/>
              <w:bottom w:val="nil"/>
              <w:right w:val="nil"/>
            </w:tcBorders>
          </w:tcPr>
          <w:p w14:paraId="3471A6F9"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666" w:type="pct"/>
            <w:tcBorders>
              <w:top w:val="nil"/>
              <w:left w:val="nil"/>
              <w:bottom w:val="nil"/>
              <w:right w:val="nil"/>
            </w:tcBorders>
          </w:tcPr>
          <w:p w14:paraId="071F5FB9"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582" w:type="pct"/>
            <w:gridSpan w:val="2"/>
            <w:tcBorders>
              <w:top w:val="nil"/>
              <w:left w:val="nil"/>
              <w:bottom w:val="nil"/>
              <w:right w:val="nil"/>
            </w:tcBorders>
          </w:tcPr>
          <w:p w14:paraId="59A7F7B3"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(0.020)</w:t>
            </w:r>
          </w:p>
        </w:tc>
        <w:tc>
          <w:tcPr>
            <w:tcW w:w="712" w:type="pct"/>
            <w:gridSpan w:val="2"/>
            <w:tcBorders>
              <w:top w:val="nil"/>
              <w:left w:val="nil"/>
              <w:bottom w:val="nil"/>
              <w:right w:val="nil"/>
            </w:tcBorders>
          </w:tcPr>
          <w:p w14:paraId="1BD67069"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(0.194)</w:t>
            </w:r>
          </w:p>
        </w:tc>
        <w:tc>
          <w:tcPr>
            <w:tcW w:w="782" w:type="pct"/>
            <w:gridSpan w:val="2"/>
            <w:tcBorders>
              <w:top w:val="nil"/>
              <w:left w:val="nil"/>
              <w:bottom w:val="nil"/>
              <w:right w:val="nil"/>
            </w:tcBorders>
          </w:tcPr>
          <w:p w14:paraId="0CA33295"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c>
          <w:tcPr>
            <w:tcW w:w="801" w:type="pct"/>
            <w:gridSpan w:val="2"/>
            <w:tcBorders>
              <w:top w:val="nil"/>
              <w:left w:val="nil"/>
              <w:bottom w:val="nil"/>
              <w:right w:val="nil"/>
            </w:tcBorders>
          </w:tcPr>
          <w:p w14:paraId="6BD827B6"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p>
        </w:tc>
      </w:tr>
      <w:tr w:rsidR="003B5A8E" w:rsidRPr="00BF0763" w14:paraId="25D58074" w14:textId="77777777" w:rsidTr="003B5A8E">
        <w:trPr>
          <w:gridAfter w:val="1"/>
          <w:wAfter w:w="43" w:type="pct"/>
        </w:trPr>
        <w:tc>
          <w:tcPr>
            <w:tcW w:w="767" w:type="pct"/>
            <w:tcBorders>
              <w:top w:val="nil"/>
              <w:left w:val="nil"/>
              <w:bottom w:val="nil"/>
              <w:right w:val="nil"/>
            </w:tcBorders>
          </w:tcPr>
          <w:p w14:paraId="4C895528"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Observations</w:t>
            </w:r>
          </w:p>
        </w:tc>
        <w:tc>
          <w:tcPr>
            <w:tcW w:w="648" w:type="pct"/>
            <w:tcBorders>
              <w:top w:val="nil"/>
              <w:left w:val="nil"/>
              <w:bottom w:val="nil"/>
              <w:right w:val="nil"/>
            </w:tcBorders>
          </w:tcPr>
          <w:p w14:paraId="4B94B09A"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864</w:t>
            </w:r>
          </w:p>
        </w:tc>
        <w:tc>
          <w:tcPr>
            <w:tcW w:w="666" w:type="pct"/>
            <w:tcBorders>
              <w:top w:val="nil"/>
              <w:left w:val="nil"/>
              <w:bottom w:val="nil"/>
              <w:right w:val="nil"/>
            </w:tcBorders>
          </w:tcPr>
          <w:p w14:paraId="2247F251"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807</w:t>
            </w:r>
          </w:p>
        </w:tc>
        <w:tc>
          <w:tcPr>
            <w:tcW w:w="582" w:type="pct"/>
            <w:gridSpan w:val="2"/>
            <w:tcBorders>
              <w:top w:val="nil"/>
              <w:left w:val="nil"/>
              <w:bottom w:val="nil"/>
              <w:right w:val="nil"/>
            </w:tcBorders>
          </w:tcPr>
          <w:p w14:paraId="3D27D642"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873</w:t>
            </w:r>
          </w:p>
        </w:tc>
        <w:tc>
          <w:tcPr>
            <w:tcW w:w="712" w:type="pct"/>
            <w:gridSpan w:val="2"/>
            <w:tcBorders>
              <w:top w:val="nil"/>
              <w:left w:val="nil"/>
              <w:bottom w:val="nil"/>
              <w:right w:val="nil"/>
            </w:tcBorders>
          </w:tcPr>
          <w:p w14:paraId="3C536ABC"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736</w:t>
            </w:r>
          </w:p>
        </w:tc>
        <w:tc>
          <w:tcPr>
            <w:tcW w:w="782" w:type="pct"/>
            <w:gridSpan w:val="2"/>
            <w:tcBorders>
              <w:top w:val="nil"/>
              <w:left w:val="nil"/>
              <w:bottom w:val="nil"/>
              <w:right w:val="nil"/>
            </w:tcBorders>
          </w:tcPr>
          <w:p w14:paraId="67327015"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878</w:t>
            </w:r>
          </w:p>
        </w:tc>
        <w:tc>
          <w:tcPr>
            <w:tcW w:w="801" w:type="pct"/>
            <w:gridSpan w:val="2"/>
            <w:tcBorders>
              <w:top w:val="nil"/>
              <w:left w:val="nil"/>
              <w:bottom w:val="nil"/>
              <w:right w:val="nil"/>
            </w:tcBorders>
          </w:tcPr>
          <w:p w14:paraId="1502C1E7"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808</w:t>
            </w:r>
          </w:p>
        </w:tc>
      </w:tr>
      <w:tr w:rsidR="003B5A8E" w:rsidRPr="00BF0763" w14:paraId="5A017F09" w14:textId="77777777" w:rsidTr="003B5A8E">
        <w:trPr>
          <w:gridAfter w:val="1"/>
          <w:wAfter w:w="43" w:type="pct"/>
        </w:trPr>
        <w:tc>
          <w:tcPr>
            <w:tcW w:w="767" w:type="pct"/>
            <w:tcBorders>
              <w:top w:val="nil"/>
              <w:left w:val="nil"/>
              <w:bottom w:val="nil"/>
              <w:right w:val="nil"/>
            </w:tcBorders>
          </w:tcPr>
          <w:p w14:paraId="0AADAB33"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Pseudo R2</w:t>
            </w:r>
          </w:p>
        </w:tc>
        <w:tc>
          <w:tcPr>
            <w:tcW w:w="648" w:type="pct"/>
            <w:tcBorders>
              <w:top w:val="nil"/>
              <w:left w:val="nil"/>
              <w:bottom w:val="nil"/>
              <w:right w:val="nil"/>
            </w:tcBorders>
          </w:tcPr>
          <w:p w14:paraId="438D7AD3"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0.981</w:t>
            </w:r>
          </w:p>
        </w:tc>
        <w:tc>
          <w:tcPr>
            <w:tcW w:w="666" w:type="pct"/>
            <w:tcBorders>
              <w:top w:val="nil"/>
              <w:left w:val="nil"/>
              <w:bottom w:val="nil"/>
              <w:right w:val="nil"/>
            </w:tcBorders>
          </w:tcPr>
          <w:p w14:paraId="25ADCC71"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0.902</w:t>
            </w:r>
          </w:p>
        </w:tc>
        <w:tc>
          <w:tcPr>
            <w:tcW w:w="582" w:type="pct"/>
            <w:gridSpan w:val="2"/>
            <w:tcBorders>
              <w:top w:val="nil"/>
              <w:left w:val="nil"/>
              <w:bottom w:val="nil"/>
              <w:right w:val="nil"/>
            </w:tcBorders>
          </w:tcPr>
          <w:p w14:paraId="1788D216"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0.984</w:t>
            </w:r>
          </w:p>
        </w:tc>
        <w:tc>
          <w:tcPr>
            <w:tcW w:w="712" w:type="pct"/>
            <w:gridSpan w:val="2"/>
            <w:tcBorders>
              <w:top w:val="nil"/>
              <w:left w:val="nil"/>
              <w:bottom w:val="nil"/>
              <w:right w:val="nil"/>
            </w:tcBorders>
          </w:tcPr>
          <w:p w14:paraId="76F050F5"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0.917</w:t>
            </w:r>
          </w:p>
        </w:tc>
        <w:tc>
          <w:tcPr>
            <w:tcW w:w="782" w:type="pct"/>
            <w:gridSpan w:val="2"/>
            <w:tcBorders>
              <w:top w:val="nil"/>
              <w:left w:val="nil"/>
              <w:bottom w:val="nil"/>
              <w:right w:val="nil"/>
            </w:tcBorders>
          </w:tcPr>
          <w:p w14:paraId="7C5EC554"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0.994</w:t>
            </w:r>
          </w:p>
        </w:tc>
        <w:tc>
          <w:tcPr>
            <w:tcW w:w="801" w:type="pct"/>
            <w:gridSpan w:val="2"/>
            <w:tcBorders>
              <w:top w:val="nil"/>
              <w:left w:val="nil"/>
              <w:bottom w:val="nil"/>
              <w:right w:val="nil"/>
            </w:tcBorders>
          </w:tcPr>
          <w:p w14:paraId="5AC5314F"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0.926</w:t>
            </w:r>
          </w:p>
        </w:tc>
      </w:tr>
    </w:tbl>
    <w:p w14:paraId="2DB00DA0" w14:textId="0178515C" w:rsidR="003B5A8E" w:rsidRPr="003B5A8E" w:rsidRDefault="003B5A8E">
      <w:pPr>
        <w:rPr>
          <w:b/>
          <w:bCs/>
        </w:rPr>
      </w:pPr>
      <w:r w:rsidRPr="003B5A8E">
        <w:rPr>
          <w:b/>
          <w:bCs/>
        </w:rPr>
        <w:lastRenderedPageBreak/>
        <w:t>Table A40: Continued</w:t>
      </w:r>
    </w:p>
    <w:tbl>
      <w:tblPr>
        <w:tblW w:w="4394" w:type="pct"/>
        <w:tblLook w:val="0000" w:firstRow="0" w:lastRow="0" w:firstColumn="0" w:lastColumn="0" w:noHBand="0" w:noVBand="0"/>
      </w:tblPr>
      <w:tblGrid>
        <w:gridCol w:w="1273"/>
        <w:gridCol w:w="1075"/>
        <w:gridCol w:w="1106"/>
        <w:gridCol w:w="966"/>
        <w:gridCol w:w="1181"/>
        <w:gridCol w:w="1296"/>
        <w:gridCol w:w="1329"/>
      </w:tblGrid>
      <w:tr w:rsidR="003B5A8E" w:rsidRPr="00BF0763" w14:paraId="106F6C73" w14:textId="77777777" w:rsidTr="003B5A8E">
        <w:tc>
          <w:tcPr>
            <w:tcW w:w="773" w:type="pct"/>
            <w:tcBorders>
              <w:top w:val="nil"/>
              <w:left w:val="nil"/>
              <w:bottom w:val="nil"/>
              <w:right w:val="nil"/>
            </w:tcBorders>
          </w:tcPr>
          <w:p w14:paraId="06736639"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Chi2</w:t>
            </w:r>
          </w:p>
        </w:tc>
        <w:tc>
          <w:tcPr>
            <w:tcW w:w="653" w:type="pct"/>
            <w:tcBorders>
              <w:top w:val="nil"/>
              <w:left w:val="nil"/>
              <w:bottom w:val="nil"/>
              <w:right w:val="nil"/>
            </w:tcBorders>
          </w:tcPr>
          <w:p w14:paraId="1425460B"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304</w:t>
            </w:r>
          </w:p>
        </w:tc>
        <w:tc>
          <w:tcPr>
            <w:tcW w:w="672" w:type="pct"/>
            <w:tcBorders>
              <w:top w:val="nil"/>
              <w:left w:val="nil"/>
              <w:bottom w:val="nil"/>
              <w:right w:val="nil"/>
            </w:tcBorders>
          </w:tcPr>
          <w:p w14:paraId="74FCC359"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337</w:t>
            </w:r>
          </w:p>
        </w:tc>
        <w:tc>
          <w:tcPr>
            <w:tcW w:w="587" w:type="pct"/>
            <w:tcBorders>
              <w:top w:val="nil"/>
              <w:left w:val="nil"/>
              <w:bottom w:val="nil"/>
              <w:right w:val="nil"/>
            </w:tcBorders>
          </w:tcPr>
          <w:p w14:paraId="1FDF25BE"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684</w:t>
            </w:r>
          </w:p>
        </w:tc>
        <w:tc>
          <w:tcPr>
            <w:tcW w:w="718" w:type="pct"/>
            <w:tcBorders>
              <w:top w:val="nil"/>
              <w:left w:val="nil"/>
              <w:bottom w:val="nil"/>
              <w:right w:val="nil"/>
            </w:tcBorders>
          </w:tcPr>
          <w:p w14:paraId="4EB7BFF7"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64.4</w:t>
            </w:r>
          </w:p>
        </w:tc>
        <w:tc>
          <w:tcPr>
            <w:tcW w:w="788" w:type="pct"/>
            <w:tcBorders>
              <w:top w:val="nil"/>
              <w:left w:val="nil"/>
              <w:bottom w:val="nil"/>
              <w:right w:val="nil"/>
            </w:tcBorders>
          </w:tcPr>
          <w:p w14:paraId="7A4C4DAE"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179</w:t>
            </w:r>
          </w:p>
        </w:tc>
        <w:tc>
          <w:tcPr>
            <w:tcW w:w="808" w:type="pct"/>
            <w:tcBorders>
              <w:top w:val="nil"/>
              <w:left w:val="nil"/>
              <w:bottom w:val="nil"/>
              <w:right w:val="nil"/>
            </w:tcBorders>
          </w:tcPr>
          <w:p w14:paraId="5C4CFC14"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357</w:t>
            </w:r>
          </w:p>
        </w:tc>
      </w:tr>
      <w:tr w:rsidR="003B5A8E" w:rsidRPr="00BF0763" w14:paraId="005B1ABF" w14:textId="77777777" w:rsidTr="003B5A8E">
        <w:tc>
          <w:tcPr>
            <w:tcW w:w="773" w:type="pct"/>
            <w:tcBorders>
              <w:top w:val="nil"/>
              <w:left w:val="nil"/>
              <w:right w:val="nil"/>
            </w:tcBorders>
          </w:tcPr>
          <w:p w14:paraId="1DA041CF"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County FE</w:t>
            </w:r>
          </w:p>
        </w:tc>
        <w:tc>
          <w:tcPr>
            <w:tcW w:w="653" w:type="pct"/>
            <w:tcBorders>
              <w:top w:val="nil"/>
              <w:left w:val="nil"/>
              <w:right w:val="nil"/>
            </w:tcBorders>
          </w:tcPr>
          <w:p w14:paraId="2809675C"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Yes</w:t>
            </w:r>
          </w:p>
        </w:tc>
        <w:tc>
          <w:tcPr>
            <w:tcW w:w="672" w:type="pct"/>
            <w:tcBorders>
              <w:top w:val="nil"/>
              <w:left w:val="nil"/>
              <w:right w:val="nil"/>
            </w:tcBorders>
          </w:tcPr>
          <w:p w14:paraId="0BCF0101"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Yes</w:t>
            </w:r>
          </w:p>
        </w:tc>
        <w:tc>
          <w:tcPr>
            <w:tcW w:w="587" w:type="pct"/>
            <w:tcBorders>
              <w:top w:val="nil"/>
              <w:left w:val="nil"/>
              <w:right w:val="nil"/>
            </w:tcBorders>
          </w:tcPr>
          <w:p w14:paraId="1F6628E8"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Yes</w:t>
            </w:r>
          </w:p>
        </w:tc>
        <w:tc>
          <w:tcPr>
            <w:tcW w:w="718" w:type="pct"/>
            <w:tcBorders>
              <w:top w:val="nil"/>
              <w:left w:val="nil"/>
              <w:right w:val="nil"/>
            </w:tcBorders>
          </w:tcPr>
          <w:p w14:paraId="2D3BFFD5"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Yes</w:t>
            </w:r>
          </w:p>
        </w:tc>
        <w:tc>
          <w:tcPr>
            <w:tcW w:w="788" w:type="pct"/>
            <w:tcBorders>
              <w:top w:val="nil"/>
              <w:left w:val="nil"/>
              <w:right w:val="nil"/>
            </w:tcBorders>
          </w:tcPr>
          <w:p w14:paraId="71D26704"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Yes</w:t>
            </w:r>
          </w:p>
        </w:tc>
        <w:tc>
          <w:tcPr>
            <w:tcW w:w="808" w:type="pct"/>
            <w:tcBorders>
              <w:top w:val="nil"/>
              <w:left w:val="nil"/>
              <w:right w:val="nil"/>
            </w:tcBorders>
          </w:tcPr>
          <w:p w14:paraId="2FC70016"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Yes</w:t>
            </w:r>
          </w:p>
        </w:tc>
      </w:tr>
      <w:tr w:rsidR="003B5A8E" w:rsidRPr="00BF0763" w14:paraId="38539B57" w14:textId="77777777" w:rsidTr="003B5A8E">
        <w:tc>
          <w:tcPr>
            <w:tcW w:w="773" w:type="pct"/>
            <w:tcBorders>
              <w:top w:val="nil"/>
              <w:left w:val="nil"/>
              <w:bottom w:val="single" w:sz="4" w:space="0" w:color="auto"/>
              <w:right w:val="nil"/>
            </w:tcBorders>
          </w:tcPr>
          <w:p w14:paraId="421DC131"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Year FE</w:t>
            </w:r>
          </w:p>
        </w:tc>
        <w:tc>
          <w:tcPr>
            <w:tcW w:w="653" w:type="pct"/>
            <w:tcBorders>
              <w:top w:val="nil"/>
              <w:left w:val="nil"/>
              <w:bottom w:val="single" w:sz="4" w:space="0" w:color="auto"/>
              <w:right w:val="nil"/>
            </w:tcBorders>
          </w:tcPr>
          <w:p w14:paraId="0A894A4D"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Yes</w:t>
            </w:r>
          </w:p>
        </w:tc>
        <w:tc>
          <w:tcPr>
            <w:tcW w:w="672" w:type="pct"/>
            <w:tcBorders>
              <w:top w:val="nil"/>
              <w:left w:val="nil"/>
              <w:bottom w:val="single" w:sz="4" w:space="0" w:color="auto"/>
              <w:right w:val="nil"/>
            </w:tcBorders>
          </w:tcPr>
          <w:p w14:paraId="4FF41123" w14:textId="0208B16D"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Yes</w:t>
            </w:r>
          </w:p>
        </w:tc>
        <w:tc>
          <w:tcPr>
            <w:tcW w:w="587" w:type="pct"/>
            <w:tcBorders>
              <w:top w:val="nil"/>
              <w:left w:val="nil"/>
              <w:bottom w:val="single" w:sz="4" w:space="0" w:color="auto"/>
              <w:right w:val="nil"/>
            </w:tcBorders>
          </w:tcPr>
          <w:p w14:paraId="61424926" w14:textId="228B4118"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Yes</w:t>
            </w:r>
          </w:p>
        </w:tc>
        <w:tc>
          <w:tcPr>
            <w:tcW w:w="718" w:type="pct"/>
            <w:tcBorders>
              <w:top w:val="nil"/>
              <w:left w:val="nil"/>
              <w:bottom w:val="single" w:sz="4" w:space="0" w:color="auto"/>
              <w:right w:val="nil"/>
            </w:tcBorders>
          </w:tcPr>
          <w:p w14:paraId="46FD240D" w14:textId="534D0CC9"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Yes</w:t>
            </w:r>
          </w:p>
        </w:tc>
        <w:tc>
          <w:tcPr>
            <w:tcW w:w="788" w:type="pct"/>
            <w:tcBorders>
              <w:top w:val="nil"/>
              <w:left w:val="nil"/>
              <w:bottom w:val="single" w:sz="4" w:space="0" w:color="auto"/>
              <w:right w:val="nil"/>
            </w:tcBorders>
          </w:tcPr>
          <w:p w14:paraId="785CDA1D" w14:textId="4DF06E69"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Yes</w:t>
            </w:r>
          </w:p>
        </w:tc>
        <w:tc>
          <w:tcPr>
            <w:tcW w:w="808" w:type="pct"/>
            <w:tcBorders>
              <w:top w:val="nil"/>
              <w:left w:val="nil"/>
              <w:bottom w:val="single" w:sz="4" w:space="0" w:color="auto"/>
              <w:right w:val="nil"/>
            </w:tcBorders>
          </w:tcPr>
          <w:p w14:paraId="1D28911C" w14:textId="77777777" w:rsidR="00BF0763" w:rsidRPr="00BF0763" w:rsidRDefault="00BF0763" w:rsidP="00B94FE7">
            <w:pPr>
              <w:widowControl w:val="0"/>
              <w:autoSpaceDE w:val="0"/>
              <w:autoSpaceDN w:val="0"/>
              <w:adjustRightInd w:val="0"/>
              <w:spacing w:line="240" w:lineRule="auto"/>
              <w:rPr>
                <w:rFonts w:eastAsia="Times New Roman" w:cs="Times New Roman"/>
                <w:sz w:val="20"/>
                <w:szCs w:val="20"/>
              </w:rPr>
            </w:pPr>
            <w:r w:rsidRPr="00BF0763">
              <w:rPr>
                <w:rFonts w:eastAsia="Times New Roman" w:cs="Times New Roman"/>
                <w:sz w:val="20"/>
                <w:szCs w:val="20"/>
              </w:rPr>
              <w:t>Yes</w:t>
            </w:r>
          </w:p>
        </w:tc>
      </w:tr>
    </w:tbl>
    <w:p w14:paraId="495273B0" w14:textId="6B746EE0" w:rsidR="00766FCC" w:rsidRDefault="00732BFD" w:rsidP="004C39A4">
      <w:pPr>
        <w:spacing w:line="240" w:lineRule="auto"/>
        <w:rPr>
          <w:sz w:val="20"/>
          <w:szCs w:val="20"/>
        </w:rPr>
        <w:sectPr w:rsidR="00766FCC" w:rsidSect="003B5A8E">
          <w:pgSz w:w="12240" w:h="15840" w:code="1"/>
          <w:pgMar w:top="1440" w:right="1440" w:bottom="1440" w:left="1440" w:header="720" w:footer="1440" w:gutter="0"/>
          <w:cols w:space="720"/>
          <w:noEndnote/>
          <w:docGrid w:linePitch="360"/>
        </w:sectPr>
      </w:pPr>
      <w:bookmarkStart w:id="517" w:name="_Toc159609020"/>
      <w:bookmarkStart w:id="518" w:name="_Toc159609381"/>
      <w:bookmarkStart w:id="519" w:name="_Toc176365895"/>
      <w:r>
        <w:rPr>
          <w:sz w:val="20"/>
          <w:szCs w:val="20"/>
        </w:rPr>
        <w:t>T</w:t>
      </w:r>
      <w:r w:rsidRPr="009C21FA">
        <w:rPr>
          <w:sz w:val="20"/>
          <w:szCs w:val="20"/>
        </w:rPr>
        <w:t xml:space="preserve">able </w:t>
      </w:r>
      <w:r>
        <w:rPr>
          <w:sz w:val="20"/>
          <w:szCs w:val="20"/>
        </w:rPr>
        <w:t xml:space="preserve">A40: </w:t>
      </w:r>
      <w:r w:rsidRPr="009C21FA">
        <w:rPr>
          <w:sz w:val="20"/>
          <w:szCs w:val="20"/>
        </w:rPr>
        <w:t>PPML</w:t>
      </w:r>
      <w:r>
        <w:rPr>
          <w:sz w:val="20"/>
          <w:szCs w:val="20"/>
        </w:rPr>
        <w:t>HDFE</w:t>
      </w:r>
      <w:r w:rsidR="00BF0763" w:rsidRPr="00F929D1">
        <w:rPr>
          <w:sz w:val="20"/>
          <w:szCs w:val="20"/>
        </w:rPr>
        <w:t xml:space="preserve"> regression estimates of wildfire impacts on establishment dynamics, employment, and sales performance in the Manufacturing sector, representing the non-LIS group. Standard errors (in parentheses) are clustered at the county level to account for spatial heterogeneity. County fixed effects (FE) and year fixed effects (FE) are included in all specifications. Coefficients represent percentage changes associated with a one-unit increase in the explanatory variables. Statistical significance is denoted as follows: ***p &lt; 0.01, **p &lt; 0.05, *p &lt; 0.1.</w:t>
      </w:r>
    </w:p>
    <w:p w14:paraId="02453D2C" w14:textId="088FD650" w:rsidR="009C0226" w:rsidRPr="00B34C76" w:rsidRDefault="009C0226" w:rsidP="00B34C76">
      <w:pPr>
        <w:rPr>
          <w:rFonts w:eastAsia="Times New Roman" w:cs="Times New Roman"/>
          <w:lang/>
        </w:rPr>
      </w:pPr>
      <w:r w:rsidRPr="004E4775">
        <w:rPr>
          <w:rFonts w:eastAsia="Times New Roman" w:cs="Times New Roman"/>
          <w:b/>
          <w:bCs/>
        </w:rPr>
        <w:lastRenderedPageBreak/>
        <w:t>Table A40</w:t>
      </w:r>
      <w:r w:rsidRPr="00B34C76">
        <w:rPr>
          <w:rFonts w:eastAsia="Times New Roman" w:cs="Times New Roman"/>
        </w:rPr>
        <w:t xml:space="preserve"> provides regression results for the Manufacturing sector, focusing on how socio-economic, policy, and environmental variables influence this diverse and innovation-driven industry. The interpretations offer insights into how manufacturing establishments navigate market competition, regulatory constraints, and economic opportunities:</w:t>
      </w:r>
    </w:p>
    <w:p w14:paraId="62793A86" w14:textId="1E5D7459" w:rsidR="00BF0763" w:rsidRPr="00BF0763" w:rsidRDefault="00BF0763" w:rsidP="00B34C76">
      <w:pPr>
        <w:rPr>
          <w:rFonts w:eastAsia="Times New Roman" w:cs="Times New Roman"/>
          <w:lang/>
        </w:rPr>
      </w:pPr>
      <w:r w:rsidRPr="00BF0763">
        <w:rPr>
          <w:rFonts w:eastAsia="Times New Roman" w:cs="Times New Roman"/>
          <w:b/>
          <w:bCs/>
          <w:lang/>
        </w:rPr>
        <w:t>Births:</w:t>
      </w:r>
      <w:r w:rsidRPr="00BF0763">
        <w:rPr>
          <w:rFonts w:eastAsia="Times New Roman" w:cs="Times New Roman"/>
          <w:b/>
          <w:bCs/>
        </w:rPr>
        <w:t xml:space="preserve"> </w:t>
      </w:r>
      <w:r w:rsidRPr="00BF0763">
        <w:rPr>
          <w:rFonts w:eastAsia="Times New Roman" w:cs="Times New Roman"/>
          <w:lang/>
        </w:rPr>
        <w:t xml:space="preserve">Precipitation positively impacts establishment births, indicating that stable water availability supports manufacturing operations, particularly those reliant on water-intensive processes, as suggested by Lobell et al. (2011). </w:t>
      </w:r>
      <m:oMath>
        <m:r>
          <w:rPr>
            <w:rFonts w:ascii="Cambria Math" w:eastAsia="Times New Roman" w:hAnsi="Cambria Math" w:cs="Times New Roman"/>
            <w:lang/>
          </w:rPr>
          <m:t>CPAD(t-1)</m:t>
        </m:r>
      </m:oMath>
      <w:r w:rsidRPr="00BF0763">
        <w:rPr>
          <w:rFonts w:eastAsia="Times New Roman" w:cs="Times New Roman"/>
          <w:lang/>
        </w:rPr>
        <w:t xml:space="preserve"> also positively affects births, reflecting the stabilizing influence of proximity to protected areas that can provide resources or buffer economic fluctuations (Radeloff et al., 2018). Conversely, the Housing Price Index negatively impacts births, suggesting that high property costs deter new manufacturing establishments by increasing operational costs (Meltzer et al., 2020). Median Household Income positively influences births, as higher income levels reflect stronger consumer demand for manufactured goods (Glaeser et al., 1992). Similarly, Prior Establishment Count and Prior Exits both positively impact births, highlighting the role of agglomeration economies and opportunities created by business turnover (Dunne et al., 1989; Schumpeter, 1942).</w:t>
      </w:r>
    </w:p>
    <w:p w14:paraId="5FC72070" w14:textId="77777777" w:rsidR="00BF0763" w:rsidRPr="00BF0763" w:rsidRDefault="00BF0763" w:rsidP="00B34C76">
      <w:pPr>
        <w:rPr>
          <w:rFonts w:eastAsia="Times New Roman" w:cs="Times New Roman"/>
          <w:lang/>
        </w:rPr>
      </w:pPr>
      <w:r w:rsidRPr="00BF0763">
        <w:rPr>
          <w:rFonts w:eastAsia="Times New Roman" w:cs="Times New Roman"/>
          <w:b/>
          <w:bCs/>
          <w:lang/>
        </w:rPr>
        <w:t>Inward Relocations:</w:t>
      </w:r>
      <w:r w:rsidRPr="00BF0763">
        <w:rPr>
          <w:rFonts w:eastAsia="Times New Roman" w:cs="Times New Roman"/>
          <w:b/>
          <w:bCs/>
        </w:rPr>
        <w:t xml:space="preserve"> </w:t>
      </w:r>
      <w:r w:rsidRPr="00BF0763">
        <w:rPr>
          <w:rFonts w:eastAsia="Times New Roman" w:cs="Times New Roman"/>
          <w:lang/>
        </w:rPr>
        <w:t xml:space="preserve">Precipitation positively impacts inward relocations, emphasizing the sector's dependence on stable climatic conditions for operations. However, the Housing Price Index negatively affects relocations, indicating that higher property costs discourage firms from relocating to high-cost regions (Carlton, 1983). Median Household Income positively influences relocations, as wealthier areas provide a supportive consumer base and infrastructure (Henderson, 1997). Ozone Attainment Status negatively impacts relocations, reflecting the </w:t>
      </w:r>
      <w:r w:rsidRPr="00BF0763">
        <w:rPr>
          <w:rFonts w:eastAsia="Times New Roman" w:cs="Times New Roman"/>
          <w:lang/>
        </w:rPr>
        <w:lastRenderedPageBreak/>
        <w:t>additional regulatory burdens in areas meeting stricter air quality standards (Currie et al., 2015). Population Density positively impacts relocations, as urban areas offer labor pools and supply chain advantages (Glaeser et al., 1992). Conversely, Prior Establishment Count negatively impacts relocations, reflecting saturation effects in regions with dense manufacturing clusters.</w:t>
      </w:r>
    </w:p>
    <w:p w14:paraId="753448E4" w14:textId="77777777" w:rsidR="00BF0763" w:rsidRPr="00BF0763" w:rsidRDefault="00BF0763" w:rsidP="00B34C76">
      <w:pPr>
        <w:rPr>
          <w:rFonts w:eastAsia="Times New Roman" w:cs="Times New Roman"/>
          <w:lang/>
        </w:rPr>
      </w:pPr>
      <w:r w:rsidRPr="00BF0763">
        <w:rPr>
          <w:rFonts w:eastAsia="Times New Roman" w:cs="Times New Roman"/>
          <w:b/>
          <w:bCs/>
          <w:lang/>
        </w:rPr>
        <w:t>Deaths:</w:t>
      </w:r>
      <w:r w:rsidRPr="00BF0763">
        <w:rPr>
          <w:rFonts w:eastAsia="Times New Roman" w:cs="Times New Roman"/>
          <w:b/>
          <w:bCs/>
        </w:rPr>
        <w:t xml:space="preserve"> </w:t>
      </w:r>
      <w:r w:rsidRPr="00BF0763">
        <w:rPr>
          <w:rFonts w:eastAsia="Times New Roman" w:cs="Times New Roman"/>
          <w:lang/>
        </w:rPr>
        <w:t>Poverty Rate negatively impacts deaths, suggesting that manufacturing establishments in economically disadvantaged areas benefit from lower costs and reduced competition (Henderson, 1997). Conversely, Median Household Income negatively affects deaths, indicating that wealthier areas experience greater competitive pressures, leading to higher exit rates among less competitive firms (Carlton, 1983). Prior Establishment Count positively impacts deaths, reflecting market saturation and competitive pressures in regions with high business density (Dunne et al., 1989).</w:t>
      </w:r>
    </w:p>
    <w:p w14:paraId="71DD5BB8" w14:textId="77777777" w:rsidR="00BF0763" w:rsidRPr="00BF0763" w:rsidRDefault="00BF0763" w:rsidP="00B34C76">
      <w:pPr>
        <w:rPr>
          <w:rFonts w:eastAsia="Times New Roman" w:cs="Times New Roman"/>
          <w:lang/>
        </w:rPr>
      </w:pPr>
      <w:r w:rsidRPr="00BF0763">
        <w:rPr>
          <w:rFonts w:eastAsia="Times New Roman" w:cs="Times New Roman"/>
          <w:b/>
          <w:bCs/>
          <w:lang/>
        </w:rPr>
        <w:t>Outward Relocations:</w:t>
      </w:r>
      <w:r w:rsidRPr="00BF0763">
        <w:rPr>
          <w:rFonts w:eastAsia="Times New Roman" w:cs="Times New Roman"/>
        </w:rPr>
        <w:t xml:space="preserve"> </w:t>
      </w:r>
      <w:r w:rsidRPr="00BF0763">
        <w:rPr>
          <w:rFonts w:eastAsia="Times New Roman" w:cs="Times New Roman"/>
          <w:lang/>
        </w:rPr>
        <w:t>Prior Entries positively influence outward relocations, suggesting that increased competition from new entrants forces some existing firms to relocate to less saturated regions (Schumpeter, 1942).</w:t>
      </w:r>
    </w:p>
    <w:p w14:paraId="54149CA6" w14:textId="48F4DBE1" w:rsidR="00BF0763" w:rsidRPr="00BF0763" w:rsidRDefault="00BF0763" w:rsidP="00B34C76">
      <w:pPr>
        <w:rPr>
          <w:rFonts w:eastAsia="Times New Roman" w:cs="Times New Roman"/>
          <w:lang/>
        </w:rPr>
      </w:pPr>
      <w:r w:rsidRPr="00BF0763">
        <w:rPr>
          <w:rFonts w:eastAsia="Times New Roman" w:cs="Times New Roman"/>
          <w:b/>
          <w:bCs/>
          <w:lang/>
        </w:rPr>
        <w:t>Employment:</w:t>
      </w:r>
      <w:r w:rsidRPr="00BF0763">
        <w:rPr>
          <w:rFonts w:eastAsia="Times New Roman" w:cs="Times New Roman"/>
        </w:rPr>
        <w:t xml:space="preserve"> </w:t>
      </w:r>
      <m:oMath>
        <m:r>
          <w:rPr>
            <w:rFonts w:ascii="Cambria Math" w:eastAsia="Times New Roman" w:hAnsi="Cambria Math" w:cs="Times New Roman"/>
            <w:lang/>
          </w:rPr>
          <m:t>CPAD(t-1)</m:t>
        </m:r>
      </m:oMath>
      <w:r w:rsidRPr="00BF0763">
        <w:rPr>
          <w:rFonts w:eastAsia="Times New Roman" w:cs="Times New Roman"/>
          <w:lang/>
        </w:rPr>
        <w:t xml:space="preserve"> negatively impacts employment, indicating that restrictions on land use in protected areas limit opportunities for job creation in manufacturing activities. Similarly, the Housing Price Index negatively impacts employment, reflecting the cost pressures associated with operating in high-value property areas (Meltzer et al., 2020). Conversely, Median Household Income positively affects employment, as wealthier regions can support higher labor demand and wages (Henderson, 1997).</w:t>
      </w:r>
    </w:p>
    <w:p w14:paraId="35CA816B" w14:textId="77777777" w:rsidR="00BF0763" w:rsidRPr="00BF0763" w:rsidRDefault="00BF0763" w:rsidP="00B34C76">
      <w:pPr>
        <w:rPr>
          <w:rFonts w:eastAsia="Times New Roman" w:cs="Times New Roman"/>
          <w:lang/>
        </w:rPr>
      </w:pPr>
      <w:r w:rsidRPr="00BF0763">
        <w:rPr>
          <w:rFonts w:eastAsia="Times New Roman" w:cs="Times New Roman"/>
          <w:b/>
          <w:bCs/>
          <w:lang/>
        </w:rPr>
        <w:lastRenderedPageBreak/>
        <w:t>Sales Volume Performance:</w:t>
      </w:r>
      <w:r w:rsidRPr="00BF0763">
        <w:rPr>
          <w:rFonts w:eastAsia="Times New Roman" w:cs="Times New Roman"/>
        </w:rPr>
        <w:t xml:space="preserve"> </w:t>
      </w:r>
      <w:r w:rsidRPr="00BF0763">
        <w:rPr>
          <w:rFonts w:eastAsia="Times New Roman" w:cs="Times New Roman"/>
          <w:lang/>
        </w:rPr>
        <w:t>The Housing Price Index negatively affects sales volume, consistent with findings that high property costs reduce profitability in cost-sensitive manufacturing sectors (Meltzer et al., 2020). Median Household Income positively impacts sales, reflecting the role of consumer demand in wealthier regions in sustaining manufacturing output (Glaeser et al., 1992).</w:t>
      </w:r>
      <w:bookmarkEnd w:id="517"/>
      <w:bookmarkEnd w:id="518"/>
      <w:bookmarkEnd w:id="519"/>
    </w:p>
    <w:p w14:paraId="494A5367" w14:textId="77777777" w:rsidR="00766FCC" w:rsidRDefault="00766FCC">
      <w:pPr>
        <w:spacing w:line="240" w:lineRule="auto"/>
        <w:rPr>
          <w:b/>
          <w:bCs/>
        </w:rPr>
      </w:pPr>
      <w:bookmarkStart w:id="520" w:name="_Toc187564787"/>
      <w:r>
        <w:rPr>
          <w:b/>
          <w:bCs/>
        </w:rPr>
        <w:br w:type="page"/>
      </w:r>
    </w:p>
    <w:p w14:paraId="39E1A120" w14:textId="24D2E28F" w:rsidR="00BF0763" w:rsidRPr="001F2F98" w:rsidRDefault="00BF0763" w:rsidP="00B34C76">
      <w:pPr>
        <w:rPr>
          <w:b/>
          <w:bCs/>
        </w:rPr>
      </w:pPr>
      <w:r w:rsidRPr="001F2F98">
        <w:rPr>
          <w:b/>
          <w:bCs/>
        </w:rPr>
        <w:lastRenderedPageBreak/>
        <w:t>Marginal Impact Calculation, Normalization, and Interpretation</w:t>
      </w:r>
      <w:bookmarkEnd w:id="520"/>
    </w:p>
    <w:p w14:paraId="1FEF2C22" w14:textId="77777777" w:rsidR="00BF0763" w:rsidRPr="00BF0763" w:rsidRDefault="00BF0763" w:rsidP="00B34C76">
      <w:pPr>
        <w:rPr>
          <w:rFonts w:eastAsia="Times New Roman" w:cs="Times New Roman"/>
        </w:rPr>
      </w:pPr>
      <w:r w:rsidRPr="00BF0763">
        <w:rPr>
          <w:rFonts w:eastAsia="Times New Roman" w:cs="Times New Roman"/>
        </w:rPr>
        <w:t xml:space="preserve">The PPML-HDFE model, used to estimate the nonlinear economic impacts of wildfire frequency and intensity, expresses results as semi-elasticities. This approach simplifies interpretation by representing percentage changes in the dependent variable due to unit changes in independent variables. This section provides a detailed explanation of the marginal impact </w:t>
      </w:r>
      <w:proofErr w:type="gramStart"/>
      <w:r w:rsidRPr="00BF0763">
        <w:rPr>
          <w:rFonts w:eastAsia="Times New Roman" w:cs="Times New Roman"/>
        </w:rPr>
        <w:t>calculation</w:t>
      </w:r>
      <w:proofErr w:type="gramEnd"/>
      <w:r w:rsidRPr="00BF0763">
        <w:rPr>
          <w:rFonts w:eastAsia="Times New Roman" w:cs="Times New Roman"/>
        </w:rPr>
        <w:t xml:space="preserve"> and the normalization procedure applied in this chapter.</w:t>
      </w:r>
    </w:p>
    <w:p w14:paraId="357CD038" w14:textId="77777777" w:rsidR="00BF0763" w:rsidRPr="001F2F98" w:rsidRDefault="00BF0763" w:rsidP="00B34C76">
      <w:pPr>
        <w:rPr>
          <w:b/>
          <w:bCs/>
        </w:rPr>
      </w:pPr>
      <w:bookmarkStart w:id="521" w:name="_Toc187564788"/>
      <w:r w:rsidRPr="001F2F98">
        <w:rPr>
          <w:b/>
          <w:bCs/>
        </w:rPr>
        <w:t>Model Specification</w:t>
      </w:r>
      <w:bookmarkEnd w:id="521"/>
    </w:p>
    <w:p w14:paraId="104CD335" w14:textId="55F8D127" w:rsidR="00BF0763" w:rsidRPr="00BF0763" w:rsidRDefault="00BF0763" w:rsidP="00B34C76">
      <w:pPr>
        <w:rPr>
          <w:rFonts w:eastAsia="Times New Roman" w:cs="Times New Roman"/>
        </w:rPr>
      </w:pPr>
      <w:r w:rsidRPr="00BF0763">
        <w:rPr>
          <w:rFonts w:eastAsia="Times New Roman" w:cs="Times New Roman"/>
        </w:rPr>
        <w:t>In this study, the dependent variables are count data (e.g., the number of establishments). The relationship between the outcome variable (</w:t>
      </w:r>
      <m:oMath>
        <m:r>
          <w:rPr>
            <w:rFonts w:ascii="Cambria Math" w:eastAsia="Times New Roman" w:hAnsi="Cambria Math" w:cs="Times New Roman"/>
          </w:rPr>
          <m:t>Y</m:t>
        </m:r>
      </m:oMath>
      <w:r w:rsidRPr="00BF0763">
        <w:rPr>
          <w:rFonts w:eastAsia="Times New Roman" w:cs="Times New Roman"/>
        </w:rPr>
        <w:t>) and the explanatory variables is modeled using the following specification:</w:t>
      </w:r>
    </w:p>
    <w:p w14:paraId="6E4F4A14" w14:textId="77777777" w:rsidR="00BF0763" w:rsidRPr="00766FCC" w:rsidRDefault="00000000" w:rsidP="00B34C76">
      <w:pPr>
        <w:rPr>
          <w:rFonts w:eastAsia="Times New Roman" w:cs="Times New Roman"/>
          <w:sz w:val="21"/>
          <w:szCs w:val="21"/>
        </w:rPr>
      </w:pPr>
      <m:oMathPara>
        <m:oMathParaPr>
          <m:jc m:val="left"/>
        </m:oMathParaPr>
        <m:oMath>
          <m:sSub>
            <m:sSubPr>
              <m:ctrlPr>
                <w:rPr>
                  <w:rFonts w:ascii="Cambria Math" w:eastAsia="Times New Roman" w:hAnsi="Cambria Math" w:cs="Times New Roman"/>
                  <w:i/>
                  <w:sz w:val="21"/>
                  <w:szCs w:val="21"/>
                </w:rPr>
              </m:ctrlPr>
            </m:sSubPr>
            <m:e>
              <m:r>
                <w:rPr>
                  <w:rFonts w:ascii="Cambria Math" w:eastAsia="Times New Roman" w:hAnsi="Cambria Math" w:cs="Times New Roman"/>
                  <w:sz w:val="21"/>
                  <w:szCs w:val="21"/>
                </w:rPr>
                <m:t>Y</m:t>
              </m:r>
            </m:e>
            <m:sub>
              <m:r>
                <w:rPr>
                  <w:rFonts w:ascii="Cambria Math" w:eastAsia="Times New Roman" w:hAnsi="Cambria Math" w:cs="Times New Roman"/>
                  <w:sz w:val="21"/>
                  <w:szCs w:val="21"/>
                </w:rPr>
                <m:t>its</m:t>
              </m:r>
            </m:sub>
          </m:sSub>
          <m:r>
            <w:rPr>
              <w:rFonts w:ascii="Cambria Math" w:eastAsia="Times New Roman" w:hAnsi="Cambria Math" w:cs="Times New Roman"/>
              <w:sz w:val="21"/>
              <w:szCs w:val="21"/>
            </w:rPr>
            <m:t>=</m:t>
          </m:r>
          <m:func>
            <m:funcPr>
              <m:ctrlPr>
                <w:rPr>
                  <w:rFonts w:ascii="Cambria Math" w:eastAsia="Times New Roman" w:hAnsi="Cambria Math" w:cs="Times New Roman"/>
                  <w:sz w:val="21"/>
                  <w:szCs w:val="21"/>
                </w:rPr>
              </m:ctrlPr>
            </m:funcPr>
            <m:fName>
              <m:r>
                <m:rPr>
                  <m:sty m:val="p"/>
                </m:rPr>
                <w:rPr>
                  <w:rFonts w:ascii="Cambria Math" w:eastAsia="Times New Roman" w:hAnsi="Cambria Math" w:cs="Times New Roman"/>
                  <w:sz w:val="21"/>
                  <w:szCs w:val="21"/>
                </w:rPr>
                <m:t>exp</m:t>
              </m:r>
            </m:fName>
            <m:e>
              <m:d>
                <m:dPr>
                  <m:ctrlPr>
                    <w:rPr>
                      <w:rFonts w:ascii="Cambria Math" w:eastAsia="Times New Roman" w:hAnsi="Cambria Math" w:cs="Times New Roman"/>
                      <w:i/>
                      <w:sz w:val="21"/>
                      <w:szCs w:val="21"/>
                    </w:rPr>
                  </m:ctrlPr>
                </m:dPr>
                <m:e>
                  <m:sSub>
                    <m:sSubPr>
                      <m:ctrlPr>
                        <w:rPr>
                          <w:rFonts w:ascii="Cambria Math" w:eastAsia="Times New Roman" w:hAnsi="Cambria Math" w:cs="Times New Roman"/>
                          <w:i/>
                          <w:sz w:val="21"/>
                          <w:szCs w:val="21"/>
                        </w:rPr>
                      </m:ctrlPr>
                    </m:sSubPr>
                    <m:e>
                      <m:r>
                        <w:rPr>
                          <w:rFonts w:ascii="Cambria Math" w:eastAsia="Times New Roman" w:hAnsi="Cambria Math" w:cs="Times New Roman"/>
                          <w:sz w:val="21"/>
                          <w:szCs w:val="21"/>
                        </w:rPr>
                        <m:t>β</m:t>
                      </m:r>
                    </m:e>
                    <m:sub>
                      <m:r>
                        <w:rPr>
                          <w:rFonts w:ascii="Cambria Math" w:eastAsia="Times New Roman" w:hAnsi="Cambria Math" w:cs="Times New Roman"/>
                          <w:sz w:val="21"/>
                          <w:szCs w:val="21"/>
                        </w:rPr>
                        <m:t>0</m:t>
                      </m:r>
                    </m:sub>
                  </m:sSub>
                  <m:r>
                    <w:rPr>
                      <w:rFonts w:ascii="Cambria Math" w:eastAsia="Times New Roman" w:hAnsi="Cambria Math" w:cs="Times New Roman"/>
                      <w:sz w:val="21"/>
                      <w:szCs w:val="21"/>
                    </w:rPr>
                    <m:t>+</m:t>
                  </m:r>
                  <m:sSub>
                    <m:sSubPr>
                      <m:ctrlPr>
                        <w:rPr>
                          <w:rFonts w:ascii="Cambria Math" w:eastAsia="Times New Roman" w:hAnsi="Cambria Math" w:cs="Times New Roman"/>
                          <w:i/>
                          <w:sz w:val="21"/>
                          <w:szCs w:val="21"/>
                        </w:rPr>
                      </m:ctrlPr>
                    </m:sSubPr>
                    <m:e>
                      <m:r>
                        <w:rPr>
                          <w:rFonts w:ascii="Cambria Math" w:eastAsia="Times New Roman" w:hAnsi="Cambria Math" w:cs="Times New Roman"/>
                          <w:sz w:val="21"/>
                          <w:szCs w:val="21"/>
                        </w:rPr>
                        <m:t>β</m:t>
                      </m:r>
                    </m:e>
                    <m:sub>
                      <m:r>
                        <w:rPr>
                          <w:rFonts w:ascii="Cambria Math" w:eastAsia="Times New Roman" w:hAnsi="Cambria Math" w:cs="Times New Roman"/>
                          <w:sz w:val="21"/>
                          <w:szCs w:val="21"/>
                        </w:rPr>
                        <m:t>1</m:t>
                      </m:r>
                    </m:sub>
                  </m:sSub>
                  <m:r>
                    <w:rPr>
                      <w:rFonts w:ascii="Cambria Math" w:eastAsia="Times New Roman" w:hAnsi="Cambria Math" w:cs="Times New Roman"/>
                      <w:sz w:val="21"/>
                      <w:szCs w:val="21"/>
                    </w:rPr>
                    <m:t>Fire Coun</m:t>
                  </m:r>
                  <m:sSub>
                    <m:sSubPr>
                      <m:ctrlPr>
                        <w:rPr>
                          <w:rFonts w:ascii="Cambria Math" w:eastAsia="Times New Roman" w:hAnsi="Cambria Math" w:cs="Times New Roman"/>
                          <w:i/>
                          <w:sz w:val="21"/>
                          <w:szCs w:val="21"/>
                        </w:rPr>
                      </m:ctrlPr>
                    </m:sSubPr>
                    <m:e>
                      <m:r>
                        <w:rPr>
                          <w:rFonts w:ascii="Cambria Math" w:eastAsia="Times New Roman" w:hAnsi="Cambria Math" w:cs="Times New Roman"/>
                          <w:sz w:val="21"/>
                          <w:szCs w:val="21"/>
                        </w:rPr>
                        <m:t>t</m:t>
                      </m:r>
                    </m:e>
                    <m:sub>
                      <m:r>
                        <w:rPr>
                          <w:rFonts w:ascii="Cambria Math" w:eastAsia="Times New Roman" w:hAnsi="Cambria Math" w:cs="Times New Roman"/>
                          <w:sz w:val="21"/>
                          <w:szCs w:val="21"/>
                        </w:rPr>
                        <m:t>i,t-1</m:t>
                      </m:r>
                    </m:sub>
                  </m:sSub>
                  <m:r>
                    <w:rPr>
                      <w:rFonts w:ascii="Cambria Math" w:eastAsia="Times New Roman" w:hAnsi="Cambria Math" w:cs="Times New Roman"/>
                      <w:sz w:val="21"/>
                      <w:szCs w:val="21"/>
                    </w:rPr>
                    <m:t>+</m:t>
                  </m:r>
                  <m:sSub>
                    <m:sSubPr>
                      <m:ctrlPr>
                        <w:rPr>
                          <w:rFonts w:ascii="Cambria Math" w:eastAsia="Times New Roman" w:hAnsi="Cambria Math" w:cs="Times New Roman"/>
                          <w:i/>
                          <w:sz w:val="21"/>
                          <w:szCs w:val="21"/>
                        </w:rPr>
                      </m:ctrlPr>
                    </m:sSubPr>
                    <m:e>
                      <m:r>
                        <w:rPr>
                          <w:rFonts w:ascii="Cambria Math" w:eastAsia="Times New Roman" w:hAnsi="Cambria Math" w:cs="Times New Roman"/>
                          <w:sz w:val="21"/>
                          <w:szCs w:val="21"/>
                        </w:rPr>
                        <m:t>β</m:t>
                      </m:r>
                    </m:e>
                    <m:sub>
                      <m:r>
                        <w:rPr>
                          <w:rFonts w:ascii="Cambria Math" w:eastAsia="Times New Roman" w:hAnsi="Cambria Math" w:cs="Times New Roman"/>
                          <w:sz w:val="21"/>
                          <w:szCs w:val="21"/>
                        </w:rPr>
                        <m:t>2</m:t>
                      </m:r>
                    </m:sub>
                  </m:sSub>
                  <m:r>
                    <w:rPr>
                      <w:rFonts w:ascii="Cambria Math" w:eastAsia="Times New Roman" w:hAnsi="Cambria Math" w:cs="Times New Roman"/>
                      <w:sz w:val="21"/>
                      <w:szCs w:val="21"/>
                    </w:rPr>
                    <m:t>Burned Area</m:t>
                  </m:r>
                  <m:sSub>
                    <m:sSubPr>
                      <m:ctrlPr>
                        <w:rPr>
                          <w:rFonts w:ascii="Cambria Math" w:eastAsia="Times New Roman" w:hAnsi="Cambria Math" w:cs="Times New Roman"/>
                          <w:i/>
                          <w:sz w:val="21"/>
                          <w:szCs w:val="21"/>
                        </w:rPr>
                      </m:ctrlPr>
                    </m:sSubPr>
                    <m:e>
                      <m:r>
                        <w:rPr>
                          <w:rFonts w:ascii="Cambria Math" w:eastAsia="Times New Roman" w:hAnsi="Cambria Math" w:cs="Times New Roman"/>
                          <w:sz w:val="21"/>
                          <w:szCs w:val="21"/>
                        </w:rPr>
                        <m:t>s</m:t>
                      </m:r>
                    </m:e>
                    <m:sub>
                      <m:r>
                        <w:rPr>
                          <w:rFonts w:ascii="Cambria Math" w:eastAsia="Times New Roman" w:hAnsi="Cambria Math" w:cs="Times New Roman"/>
                          <w:sz w:val="21"/>
                          <w:szCs w:val="21"/>
                        </w:rPr>
                        <m:t>i,t-1</m:t>
                      </m:r>
                    </m:sub>
                  </m:sSub>
                  <m:r>
                    <w:rPr>
                      <w:rFonts w:ascii="Cambria Math" w:eastAsia="Times New Roman" w:hAnsi="Cambria Math" w:cs="Times New Roman"/>
                      <w:sz w:val="21"/>
                      <w:szCs w:val="21"/>
                    </w:rPr>
                    <m:t>+</m:t>
                  </m:r>
                  <m:sSub>
                    <m:sSubPr>
                      <m:ctrlPr>
                        <w:rPr>
                          <w:rFonts w:ascii="Cambria Math" w:eastAsia="Times New Roman" w:hAnsi="Cambria Math" w:cs="Times New Roman"/>
                          <w:i/>
                          <w:sz w:val="21"/>
                          <w:szCs w:val="21"/>
                        </w:rPr>
                      </m:ctrlPr>
                    </m:sSubPr>
                    <m:e>
                      <m:r>
                        <w:rPr>
                          <w:rFonts w:ascii="Cambria Math" w:eastAsia="Times New Roman" w:hAnsi="Cambria Math" w:cs="Times New Roman"/>
                          <w:sz w:val="21"/>
                          <w:szCs w:val="21"/>
                        </w:rPr>
                        <m:t>β</m:t>
                      </m:r>
                    </m:e>
                    <m:sub>
                      <m:r>
                        <w:rPr>
                          <w:rFonts w:ascii="Cambria Math" w:eastAsia="Times New Roman" w:hAnsi="Cambria Math" w:cs="Times New Roman"/>
                          <w:sz w:val="21"/>
                          <w:szCs w:val="21"/>
                        </w:rPr>
                        <m:t>3</m:t>
                      </m:r>
                    </m:sub>
                  </m:sSub>
                  <m:sSub>
                    <m:sSubPr>
                      <m:ctrlPr>
                        <w:rPr>
                          <w:rFonts w:ascii="Cambria Math" w:eastAsia="Times New Roman" w:hAnsi="Cambria Math" w:cs="Times New Roman"/>
                          <w:i/>
                          <w:sz w:val="21"/>
                          <w:szCs w:val="21"/>
                        </w:rPr>
                      </m:ctrlPr>
                    </m:sSubPr>
                    <m:e>
                      <m:r>
                        <w:rPr>
                          <w:rFonts w:ascii="Cambria Math" w:eastAsia="Times New Roman" w:hAnsi="Cambria Math" w:cs="Times New Roman"/>
                          <w:sz w:val="21"/>
                          <w:szCs w:val="21"/>
                        </w:rPr>
                        <m:t>Z</m:t>
                      </m:r>
                    </m:e>
                    <m:sub>
                      <m:r>
                        <w:rPr>
                          <w:rFonts w:ascii="Cambria Math" w:eastAsia="Times New Roman" w:hAnsi="Cambria Math" w:cs="Times New Roman"/>
                          <w:sz w:val="21"/>
                          <w:szCs w:val="21"/>
                        </w:rPr>
                        <m:t>is,t-1</m:t>
                      </m:r>
                    </m:sub>
                  </m:sSub>
                  <m:r>
                    <w:rPr>
                      <w:rFonts w:ascii="Cambria Math" w:eastAsia="Times New Roman" w:hAnsi="Cambria Math" w:cs="Times New Roman"/>
                      <w:sz w:val="21"/>
                      <w:szCs w:val="21"/>
                    </w:rPr>
                    <m:t>+</m:t>
                  </m:r>
                  <m:nary>
                    <m:naryPr>
                      <m:chr m:val="∑"/>
                      <m:limLoc m:val="undOvr"/>
                      <m:ctrlPr>
                        <w:rPr>
                          <w:rFonts w:ascii="Cambria Math" w:eastAsia="Times New Roman" w:hAnsi="Cambria Math" w:cs="Times New Roman"/>
                          <w:i/>
                          <w:sz w:val="21"/>
                          <w:szCs w:val="21"/>
                        </w:rPr>
                      </m:ctrlPr>
                    </m:naryPr>
                    <m:sub>
                      <m:r>
                        <w:rPr>
                          <w:rFonts w:ascii="Cambria Math" w:eastAsia="Times New Roman" w:hAnsi="Cambria Math" w:cs="Times New Roman"/>
                          <w:sz w:val="21"/>
                          <w:szCs w:val="21"/>
                        </w:rPr>
                        <m:t>k=1</m:t>
                      </m:r>
                    </m:sub>
                    <m:sup>
                      <m:r>
                        <w:rPr>
                          <w:rFonts w:ascii="Cambria Math" w:eastAsia="Times New Roman" w:hAnsi="Cambria Math" w:cs="Times New Roman"/>
                          <w:sz w:val="21"/>
                          <w:szCs w:val="21"/>
                        </w:rPr>
                        <m:t>N</m:t>
                      </m:r>
                    </m:sup>
                    <m:e>
                      <m:sSub>
                        <m:sSubPr>
                          <m:ctrlPr>
                            <w:rPr>
                              <w:rFonts w:ascii="Cambria Math" w:eastAsia="Times New Roman" w:hAnsi="Cambria Math" w:cs="Times New Roman"/>
                              <w:i/>
                              <w:sz w:val="21"/>
                              <w:szCs w:val="21"/>
                            </w:rPr>
                          </m:ctrlPr>
                        </m:sSubPr>
                        <m:e>
                          <m:r>
                            <w:rPr>
                              <w:rFonts w:ascii="Cambria Math" w:eastAsia="Times New Roman" w:hAnsi="Cambria Math" w:cs="Times New Roman"/>
                              <w:sz w:val="21"/>
                              <w:szCs w:val="21"/>
                            </w:rPr>
                            <m:t>β</m:t>
                          </m:r>
                        </m:e>
                        <m:sub>
                          <m:r>
                            <w:rPr>
                              <w:rFonts w:ascii="Cambria Math" w:eastAsia="Times New Roman" w:hAnsi="Cambria Math" w:cs="Times New Roman"/>
                              <w:sz w:val="21"/>
                              <w:szCs w:val="21"/>
                            </w:rPr>
                            <m:t>k</m:t>
                          </m:r>
                        </m:sub>
                      </m:sSub>
                      <m:sSub>
                        <m:sSubPr>
                          <m:ctrlPr>
                            <w:rPr>
                              <w:rFonts w:ascii="Cambria Math" w:eastAsia="Times New Roman" w:hAnsi="Cambria Math" w:cs="Times New Roman"/>
                              <w:i/>
                              <w:sz w:val="21"/>
                              <w:szCs w:val="21"/>
                            </w:rPr>
                          </m:ctrlPr>
                        </m:sSubPr>
                        <m:e>
                          <m:r>
                            <w:rPr>
                              <w:rFonts w:ascii="Cambria Math" w:eastAsia="Times New Roman" w:hAnsi="Cambria Math" w:cs="Times New Roman"/>
                              <w:sz w:val="21"/>
                              <w:szCs w:val="21"/>
                            </w:rPr>
                            <m:t>X</m:t>
                          </m:r>
                        </m:e>
                        <m:sub>
                          <m:r>
                            <w:rPr>
                              <w:rFonts w:ascii="Cambria Math" w:eastAsia="Times New Roman" w:hAnsi="Cambria Math" w:cs="Times New Roman"/>
                              <w:sz w:val="21"/>
                              <w:szCs w:val="21"/>
                            </w:rPr>
                            <m:t>kit</m:t>
                          </m:r>
                        </m:sub>
                      </m:sSub>
                    </m:e>
                  </m:nary>
                  <m:r>
                    <w:rPr>
                      <w:rFonts w:ascii="Cambria Math" w:eastAsia="Times New Roman" w:hAnsi="Cambria Math" w:cs="Times New Roman"/>
                      <w:sz w:val="21"/>
                      <w:szCs w:val="21"/>
                    </w:rPr>
                    <m:t>+</m:t>
                  </m:r>
                  <m:sSub>
                    <m:sSubPr>
                      <m:ctrlPr>
                        <w:rPr>
                          <w:rFonts w:ascii="Cambria Math" w:eastAsia="Times New Roman" w:hAnsi="Cambria Math" w:cs="Times New Roman"/>
                          <w:i/>
                          <w:sz w:val="21"/>
                          <w:szCs w:val="21"/>
                        </w:rPr>
                      </m:ctrlPr>
                    </m:sSubPr>
                    <m:e>
                      <m:r>
                        <w:rPr>
                          <w:rFonts w:ascii="Cambria Math" w:eastAsia="Times New Roman" w:hAnsi="Cambria Math" w:cs="Times New Roman"/>
                          <w:sz w:val="21"/>
                          <w:szCs w:val="21"/>
                        </w:rPr>
                        <m:t>α</m:t>
                      </m:r>
                    </m:e>
                    <m:sub>
                      <m:r>
                        <w:rPr>
                          <w:rFonts w:ascii="Cambria Math" w:eastAsia="Times New Roman" w:hAnsi="Cambria Math" w:cs="Times New Roman"/>
                          <w:sz w:val="21"/>
                          <w:szCs w:val="21"/>
                        </w:rPr>
                        <m:t>i</m:t>
                      </m:r>
                    </m:sub>
                  </m:sSub>
                  <m:r>
                    <w:rPr>
                      <w:rFonts w:ascii="Cambria Math" w:eastAsia="Times New Roman" w:hAnsi="Cambria Math" w:cs="Times New Roman"/>
                      <w:sz w:val="21"/>
                      <w:szCs w:val="21"/>
                    </w:rPr>
                    <m:t>+</m:t>
                  </m:r>
                  <m:sSub>
                    <m:sSubPr>
                      <m:ctrlPr>
                        <w:rPr>
                          <w:rFonts w:ascii="Cambria Math" w:eastAsia="Times New Roman" w:hAnsi="Cambria Math" w:cs="Times New Roman"/>
                          <w:i/>
                          <w:sz w:val="21"/>
                          <w:szCs w:val="21"/>
                        </w:rPr>
                      </m:ctrlPr>
                    </m:sSubPr>
                    <m:e>
                      <m:r>
                        <w:rPr>
                          <w:rFonts w:ascii="Cambria Math" w:eastAsia="Times New Roman" w:hAnsi="Cambria Math" w:cs="Times New Roman"/>
                          <w:sz w:val="21"/>
                          <w:szCs w:val="21"/>
                        </w:rPr>
                        <m:t>λ</m:t>
                      </m:r>
                    </m:e>
                    <m:sub>
                      <m:r>
                        <w:rPr>
                          <w:rFonts w:ascii="Cambria Math" w:eastAsia="Times New Roman" w:hAnsi="Cambria Math" w:cs="Times New Roman"/>
                          <w:sz w:val="21"/>
                          <w:szCs w:val="21"/>
                        </w:rPr>
                        <m:t>t</m:t>
                      </m:r>
                    </m:sub>
                  </m:sSub>
                  <m:r>
                    <w:rPr>
                      <w:rFonts w:ascii="Cambria Math" w:eastAsia="Times New Roman" w:hAnsi="Cambria Math" w:cs="Times New Roman"/>
                      <w:sz w:val="21"/>
                      <w:szCs w:val="21"/>
                    </w:rPr>
                    <m:t>+</m:t>
                  </m:r>
                  <m:sSub>
                    <m:sSubPr>
                      <m:ctrlPr>
                        <w:rPr>
                          <w:rFonts w:ascii="Cambria Math" w:eastAsia="Times New Roman" w:hAnsi="Cambria Math" w:cs="Times New Roman"/>
                          <w:i/>
                          <w:sz w:val="21"/>
                          <w:szCs w:val="21"/>
                        </w:rPr>
                      </m:ctrlPr>
                    </m:sSubPr>
                    <m:e>
                      <m:r>
                        <w:rPr>
                          <w:rFonts w:ascii="Cambria Math" w:eastAsia="Times New Roman" w:hAnsi="Cambria Math" w:cs="Times New Roman"/>
                          <w:sz w:val="21"/>
                          <w:szCs w:val="21"/>
                        </w:rPr>
                        <m:t>γ</m:t>
                      </m:r>
                    </m:e>
                    <m:sub>
                      <m:r>
                        <w:rPr>
                          <w:rFonts w:ascii="Cambria Math" w:eastAsia="Times New Roman" w:hAnsi="Cambria Math" w:cs="Times New Roman"/>
                          <w:sz w:val="21"/>
                          <w:szCs w:val="21"/>
                        </w:rPr>
                        <m:t>s</m:t>
                      </m:r>
                    </m:sub>
                  </m:sSub>
                </m:e>
              </m:d>
            </m:e>
          </m:func>
          <m:r>
            <w:rPr>
              <w:rFonts w:ascii="Cambria Math" w:eastAsia="Times New Roman" w:hAnsi="Cambria Math" w:cs="Times New Roman"/>
              <w:sz w:val="21"/>
              <w:szCs w:val="21"/>
            </w:rPr>
            <m:t>+</m:t>
          </m:r>
          <m:sSub>
            <m:sSubPr>
              <m:ctrlPr>
                <w:rPr>
                  <w:rFonts w:ascii="Cambria Math" w:eastAsia="Times New Roman" w:hAnsi="Cambria Math" w:cs="Times New Roman"/>
                  <w:i/>
                  <w:sz w:val="21"/>
                  <w:szCs w:val="21"/>
                </w:rPr>
              </m:ctrlPr>
            </m:sSubPr>
            <m:e>
              <m:r>
                <w:rPr>
                  <w:rFonts w:ascii="Cambria Math" w:eastAsia="Times New Roman" w:hAnsi="Cambria Math" w:cs="Times New Roman"/>
                  <w:sz w:val="21"/>
                  <w:szCs w:val="21"/>
                </w:rPr>
                <m:t>ϵ</m:t>
              </m:r>
            </m:e>
            <m:sub>
              <m:r>
                <w:rPr>
                  <w:rFonts w:ascii="Cambria Math" w:eastAsia="Times New Roman" w:hAnsi="Cambria Math" w:cs="Times New Roman"/>
                  <w:sz w:val="21"/>
                  <w:szCs w:val="21"/>
                </w:rPr>
                <m:t>it</m:t>
              </m:r>
            </m:sub>
          </m:sSub>
        </m:oMath>
      </m:oMathPara>
    </w:p>
    <w:p w14:paraId="72D9D973" w14:textId="77777777" w:rsidR="00BF0763" w:rsidRPr="00BF0763" w:rsidRDefault="00BF0763" w:rsidP="00B34C76">
      <w:pPr>
        <w:rPr>
          <w:rFonts w:eastAsia="Times New Roman" w:cs="Times New Roman"/>
        </w:rPr>
      </w:pPr>
      <w:r w:rsidRPr="00BF0763">
        <w:rPr>
          <w:rFonts w:eastAsia="Times New Roman" w:cs="Times New Roman"/>
        </w:rPr>
        <w:t>This specification emphasizes that the dependent variable (</w:t>
      </w:r>
      <m:oMath>
        <m:sSub>
          <m:sSubPr>
            <m:ctrlPr>
              <w:rPr>
                <w:rFonts w:ascii="Cambria Math" w:eastAsia="Times New Roman" w:hAnsi="Cambria Math" w:cs="Times New Roman"/>
              </w:rPr>
            </m:ctrlPr>
          </m:sSubPr>
          <m:e>
            <m:r>
              <w:rPr>
                <w:rFonts w:ascii="Cambria Math" w:eastAsia="Times New Roman" w:hAnsi="Cambria Math" w:cs="Times New Roman"/>
              </w:rPr>
              <m:t>Y</m:t>
            </m:r>
          </m:e>
          <m:sub>
            <m:r>
              <w:rPr>
                <w:rFonts w:ascii="Cambria Math" w:eastAsia="Times New Roman" w:hAnsi="Cambria Math" w:cs="Times New Roman"/>
              </w:rPr>
              <m:t>its</m:t>
            </m:r>
          </m:sub>
        </m:sSub>
      </m:oMath>
      <w:r w:rsidRPr="00BF0763">
        <w:rPr>
          <w:rFonts w:eastAsia="Times New Roman" w:cs="Times New Roman"/>
        </w:rPr>
        <w:t>) is a count variable and incorporates the error term (</w:t>
      </w:r>
      <m:oMath>
        <m:sSub>
          <m:sSubPr>
            <m:ctrlPr>
              <w:rPr>
                <w:rFonts w:ascii="Cambria Math" w:eastAsia="Times New Roman" w:hAnsi="Cambria Math" w:cs="Times New Roman"/>
              </w:rPr>
            </m:ctrlPr>
          </m:sSubPr>
          <m:e>
            <m:r>
              <w:rPr>
                <w:rFonts w:ascii="Cambria Math" w:eastAsia="Times New Roman" w:hAnsi="Cambria Math" w:cs="Times New Roman"/>
              </w:rPr>
              <m:t>ε</m:t>
            </m:r>
          </m:e>
          <m:sub>
            <m:r>
              <w:rPr>
                <w:rFonts w:ascii="Cambria Math" w:eastAsia="Times New Roman" w:hAnsi="Cambria Math" w:cs="Times New Roman"/>
              </w:rPr>
              <m:t>it</m:t>
            </m:r>
          </m:sub>
        </m:sSub>
      </m:oMath>
      <w:r w:rsidRPr="00BF0763">
        <w:rPr>
          <w:rFonts w:eastAsia="Times New Roman" w:cs="Times New Roman"/>
        </w:rPr>
        <w:t>) to capture deviations from the model.</w:t>
      </w:r>
    </w:p>
    <w:p w14:paraId="2A77F81B" w14:textId="77777777" w:rsidR="00BF0763" w:rsidRPr="001F2F98" w:rsidRDefault="00BF0763" w:rsidP="00B34C76">
      <w:pPr>
        <w:rPr>
          <w:b/>
          <w:bCs/>
        </w:rPr>
      </w:pPr>
      <w:bookmarkStart w:id="522" w:name="_Toc187564789"/>
      <w:r w:rsidRPr="001F2F98">
        <w:rPr>
          <w:b/>
          <w:bCs/>
        </w:rPr>
        <w:t>Transition to the Expected Value Representation</w:t>
      </w:r>
      <w:bookmarkEnd w:id="522"/>
    </w:p>
    <w:p w14:paraId="6199BD1E" w14:textId="23593067" w:rsidR="00BF0763" w:rsidRPr="00EA289C" w:rsidRDefault="00BF0763" w:rsidP="00B34C76">
      <w:pPr>
        <w:rPr>
          <w:rFonts w:eastAsia="Times New Roman" w:cs="Times New Roman"/>
        </w:rPr>
      </w:pPr>
      <w:r w:rsidRPr="00BF0763">
        <w:rPr>
          <w:rFonts w:eastAsia="Times New Roman" w:cs="Times New Roman"/>
        </w:rPr>
        <w:t xml:space="preserve">To estimate the relationships and interpret results, we focus on the expected value of </w:t>
      </w:r>
      <m:oMath>
        <m:sSub>
          <m:sSubPr>
            <m:ctrlPr>
              <w:rPr>
                <w:rFonts w:ascii="Cambria Math" w:eastAsia="Times New Roman" w:hAnsi="Cambria Math" w:cs="Times New Roman"/>
              </w:rPr>
            </m:ctrlPr>
          </m:sSubPr>
          <m:e>
            <m:r>
              <w:rPr>
                <w:rFonts w:ascii="Cambria Math" w:eastAsia="Times New Roman" w:hAnsi="Cambria Math" w:cs="Times New Roman"/>
              </w:rPr>
              <m:t>Y</m:t>
            </m:r>
          </m:e>
          <m:sub>
            <m:r>
              <w:rPr>
                <w:rFonts w:ascii="Cambria Math" w:eastAsia="Times New Roman" w:hAnsi="Cambria Math" w:cs="Times New Roman"/>
              </w:rPr>
              <m:t>its</m:t>
            </m:r>
          </m:sub>
        </m:sSub>
      </m:oMath>
      <w:r w:rsidRPr="00BF0763">
        <w:rPr>
          <w:rFonts w:eastAsia="Times New Roman" w:cs="Times New Roman"/>
        </w:rPr>
        <w:t xml:space="preserve">​, denoted </w:t>
      </w:r>
      <m:oMath>
        <m:r>
          <w:rPr>
            <w:rFonts w:ascii="Cambria Math" w:eastAsia="Times New Roman" w:hAnsi="Cambria Math" w:cs="Times New Roman"/>
          </w:rPr>
          <m:t>E</m:t>
        </m:r>
        <m:r>
          <m:rPr>
            <m:sty m:val="p"/>
          </m:rPr>
          <w:rPr>
            <w:rFonts w:ascii="Cambria Math" w:eastAsia="Times New Roman" w:hAnsi="Cambria Math" w:cs="Times New Roman"/>
          </w:rPr>
          <m:t>[</m:t>
        </m:r>
        <m:sSub>
          <m:sSubPr>
            <m:ctrlPr>
              <w:rPr>
                <w:rFonts w:ascii="Cambria Math" w:eastAsia="Times New Roman" w:hAnsi="Cambria Math" w:cs="Times New Roman"/>
              </w:rPr>
            </m:ctrlPr>
          </m:sSubPr>
          <m:e>
            <m:r>
              <w:rPr>
                <w:rFonts w:ascii="Cambria Math" w:eastAsia="Times New Roman" w:hAnsi="Cambria Math" w:cs="Times New Roman"/>
              </w:rPr>
              <m:t>Y</m:t>
            </m:r>
          </m:e>
          <m:sub>
            <m:r>
              <w:rPr>
                <w:rFonts w:ascii="Cambria Math" w:eastAsia="Times New Roman" w:hAnsi="Cambria Math" w:cs="Times New Roman"/>
              </w:rPr>
              <m:t>its</m:t>
            </m:r>
          </m:sub>
        </m:sSub>
        <m:r>
          <m:rPr>
            <m:sty m:val="p"/>
          </m:rPr>
          <w:rPr>
            <w:rFonts w:ascii="Cambria Math" w:eastAsia="Times New Roman" w:hAnsi="Cambria Math" w:cs="Times New Roman"/>
          </w:rPr>
          <m:t>]</m:t>
        </m:r>
      </m:oMath>
      <w:r w:rsidRPr="00BF0763">
        <w:rPr>
          <w:rFonts w:eastAsia="Times New Roman" w:cs="Times New Roman"/>
        </w:rPr>
        <w:t xml:space="preserve">, instead of the observed </w:t>
      </w:r>
      <m:oMath>
        <m:sSub>
          <m:sSubPr>
            <m:ctrlPr>
              <w:rPr>
                <w:rFonts w:ascii="Cambria Math" w:eastAsia="Times New Roman" w:hAnsi="Cambria Math" w:cs="Times New Roman"/>
              </w:rPr>
            </m:ctrlPr>
          </m:sSubPr>
          <m:e>
            <m:r>
              <w:rPr>
                <w:rFonts w:ascii="Cambria Math" w:eastAsia="Times New Roman" w:hAnsi="Cambria Math" w:cs="Times New Roman"/>
              </w:rPr>
              <m:t>Y</m:t>
            </m:r>
          </m:e>
          <m:sub>
            <m:r>
              <w:rPr>
                <w:rFonts w:ascii="Cambria Math" w:eastAsia="Times New Roman" w:hAnsi="Cambria Math" w:cs="Times New Roman"/>
              </w:rPr>
              <m:t>its</m:t>
            </m:r>
          </m:sub>
        </m:sSub>
      </m:oMath>
      <w:r w:rsidRPr="00BF0763">
        <w:rPr>
          <w:rFonts w:eastAsia="Times New Roman" w:cs="Times New Roman"/>
        </w:rPr>
        <w:t xml:space="preserve"> ​. The observed counts </w:t>
      </w:r>
      <m:oMath>
        <m:sSub>
          <m:sSubPr>
            <m:ctrlPr>
              <w:rPr>
                <w:rFonts w:ascii="Cambria Math" w:eastAsia="Times New Roman" w:hAnsi="Cambria Math" w:cs="Times New Roman"/>
              </w:rPr>
            </m:ctrlPr>
          </m:sSubPr>
          <m:e>
            <m:r>
              <w:rPr>
                <w:rFonts w:ascii="Cambria Math" w:eastAsia="Times New Roman" w:hAnsi="Cambria Math" w:cs="Times New Roman"/>
              </w:rPr>
              <m:t>Y</m:t>
            </m:r>
          </m:e>
          <m:sub>
            <m:r>
              <w:rPr>
                <w:rFonts w:ascii="Cambria Math" w:eastAsia="Times New Roman" w:hAnsi="Cambria Math" w:cs="Times New Roman"/>
              </w:rPr>
              <m:t>its</m:t>
            </m:r>
          </m:sub>
        </m:sSub>
      </m:oMath>
      <w:r w:rsidRPr="00BF0763">
        <w:rPr>
          <w:rFonts w:eastAsia="Times New Roman" w:cs="Times New Roman"/>
        </w:rPr>
        <w:t>​ are assumed to follow a Poisson distribution, where the mean (</w:t>
      </w:r>
      <m:oMath>
        <m:sSub>
          <m:sSubPr>
            <m:ctrlPr>
              <w:rPr>
                <w:rFonts w:ascii="Cambria Math" w:eastAsia="Times New Roman" w:hAnsi="Cambria Math" w:cs="Times New Roman"/>
              </w:rPr>
            </m:ctrlPr>
          </m:sSubPr>
          <m:e>
            <m:r>
              <w:rPr>
                <w:rFonts w:ascii="Cambria Math" w:eastAsia="Times New Roman" w:hAnsi="Cambria Math" w:cs="Times New Roman"/>
              </w:rPr>
              <m:t>μ</m:t>
            </m:r>
          </m:e>
          <m:sub>
            <m:r>
              <w:rPr>
                <w:rFonts w:ascii="Cambria Math" w:eastAsia="Times New Roman" w:hAnsi="Cambria Math" w:cs="Times New Roman"/>
              </w:rPr>
              <m:t>its</m:t>
            </m:r>
          </m:sub>
        </m:sSub>
        <m:r>
          <m:rPr>
            <m:sty m:val="p"/>
          </m:rPr>
          <w:rPr>
            <w:rFonts w:ascii="Cambria Math" w:eastAsia="Times New Roman" w:hAnsi="Cambria Math" w:cs="Times New Roman"/>
          </w:rPr>
          <m:t>​</m:t>
        </m:r>
      </m:oMath>
      <w:r w:rsidRPr="00BF0763">
        <w:rPr>
          <w:rFonts w:eastAsia="Times New Roman" w:cs="Times New Roman"/>
        </w:rPr>
        <w:t>) is modeled as:</w:t>
      </w:r>
      <w:r w:rsidR="00EA289C">
        <w:rPr>
          <w:rFonts w:eastAsia="Times New Roman" w:cs="Times New Roman"/>
        </w:rPr>
        <w:t xml:space="preserve"> </w:t>
      </w:r>
      <m:oMath>
        <m:r>
          <w:rPr>
            <w:rFonts w:ascii="Cambria Math" w:eastAsia="Times New Roman" w:hAnsi="Cambria Math" w:cs="Times New Roman"/>
          </w:rPr>
          <m:t>E</m:t>
        </m:r>
        <m:r>
          <m:rPr>
            <m:sty m:val="p"/>
          </m:rPr>
          <w:rPr>
            <w:rFonts w:ascii="Cambria Math" w:eastAsia="Times New Roman" w:hAnsi="Cambria Math" w:cs="Times New Roman"/>
          </w:rPr>
          <m:t>[</m:t>
        </m:r>
        <m:sSub>
          <m:sSubPr>
            <m:ctrlPr>
              <w:rPr>
                <w:rFonts w:ascii="Cambria Math" w:eastAsia="Times New Roman" w:hAnsi="Cambria Math" w:cs="Times New Roman"/>
              </w:rPr>
            </m:ctrlPr>
          </m:sSubPr>
          <m:e>
            <m:r>
              <w:rPr>
                <w:rFonts w:ascii="Cambria Math" w:eastAsia="Times New Roman" w:hAnsi="Cambria Math" w:cs="Times New Roman"/>
              </w:rPr>
              <m:t>Y</m:t>
            </m:r>
          </m:e>
          <m:sub>
            <m:r>
              <w:rPr>
                <w:rFonts w:ascii="Cambria Math" w:eastAsia="Times New Roman" w:hAnsi="Cambria Math" w:cs="Times New Roman"/>
              </w:rPr>
              <m:t>its</m:t>
            </m:r>
          </m:sub>
        </m:sSub>
        <m:r>
          <m:rPr>
            <m:sty m:val="p"/>
          </m:rPr>
          <w:rPr>
            <w:rFonts w:ascii="Cambria Math" w:eastAsia="Times New Roman" w:hAnsi="Cambria Math" w:cs="Times New Roman"/>
          </w:rPr>
          <m:t>∣</m:t>
        </m:r>
        <m:r>
          <w:rPr>
            <w:rFonts w:ascii="Cambria Math" w:eastAsia="Times New Roman" w:hAnsi="Cambria Math" w:cs="Times New Roman"/>
          </w:rPr>
          <m:t>Covariates</m:t>
        </m:r>
        <m:r>
          <m:rPr>
            <m:sty m:val="p"/>
          </m:rPr>
          <w:rPr>
            <w:rFonts w:ascii="Cambria Math" w:eastAsia="Times New Roman" w:hAnsi="Cambria Math" w:cs="Times New Roman"/>
          </w:rPr>
          <m:t>]=</m:t>
        </m:r>
        <m:sSub>
          <m:sSubPr>
            <m:ctrlPr>
              <w:rPr>
                <w:rFonts w:ascii="Cambria Math" w:eastAsia="Times New Roman" w:hAnsi="Cambria Math" w:cs="Times New Roman"/>
              </w:rPr>
            </m:ctrlPr>
          </m:sSubPr>
          <m:e>
            <m:r>
              <w:rPr>
                <w:rFonts w:ascii="Cambria Math" w:eastAsia="Times New Roman" w:hAnsi="Cambria Math" w:cs="Times New Roman"/>
              </w:rPr>
              <m:t>μ</m:t>
            </m:r>
          </m:e>
          <m:sub>
            <m:r>
              <w:rPr>
                <w:rFonts w:ascii="Cambria Math" w:eastAsia="Times New Roman" w:hAnsi="Cambria Math" w:cs="Times New Roman"/>
              </w:rPr>
              <m:t>its</m:t>
            </m:r>
          </m:sub>
        </m:sSub>
      </m:oMath>
    </w:p>
    <w:p w14:paraId="2AC42A50" w14:textId="0FE39393" w:rsidR="00BF0763" w:rsidRPr="00BF0763" w:rsidRDefault="00BF0763" w:rsidP="00B34C76">
      <w:pPr>
        <w:rPr>
          <w:rFonts w:eastAsia="Times New Roman" w:cs="Times New Roman"/>
        </w:rPr>
      </w:pPr>
      <w:r w:rsidRPr="00BF0763">
        <w:rPr>
          <w:rFonts w:eastAsia="Times New Roman" w:cs="Times New Roman"/>
        </w:rPr>
        <w:t xml:space="preserve">The Poisson assumption links the observed </w:t>
      </w:r>
      <m:oMath>
        <m:sSub>
          <m:sSubPr>
            <m:ctrlPr>
              <w:rPr>
                <w:rFonts w:ascii="Cambria Math" w:eastAsia="Times New Roman" w:hAnsi="Cambria Math" w:cs="Times New Roman"/>
              </w:rPr>
            </m:ctrlPr>
          </m:sSubPr>
          <m:e>
            <m:r>
              <w:rPr>
                <w:rFonts w:ascii="Cambria Math" w:eastAsia="Times New Roman" w:hAnsi="Cambria Math" w:cs="Times New Roman"/>
              </w:rPr>
              <m:t>Y</m:t>
            </m:r>
          </m:e>
          <m:sub>
            <m:r>
              <w:rPr>
                <w:rFonts w:ascii="Cambria Math" w:eastAsia="Times New Roman" w:hAnsi="Cambria Math" w:cs="Times New Roman"/>
              </w:rPr>
              <m:t>its</m:t>
            </m:r>
          </m:sub>
        </m:sSub>
      </m:oMath>
      <w:r w:rsidRPr="00BF0763">
        <w:rPr>
          <w:rFonts w:eastAsia="Times New Roman" w:cs="Times New Roman"/>
        </w:rPr>
        <w:t xml:space="preserve"> to its expected value.</w:t>
      </w:r>
      <w:r w:rsidR="00EA289C">
        <w:rPr>
          <w:rFonts w:eastAsia="Times New Roman" w:cs="Times New Roman"/>
        </w:rPr>
        <w:t xml:space="preserve"> </w:t>
      </w:r>
      <w:r w:rsidRPr="00BF0763">
        <w:rPr>
          <w:rFonts w:eastAsia="Times New Roman" w:cs="Times New Roman"/>
        </w:rPr>
        <w:t xml:space="preserve">The expected value of </w:t>
      </w:r>
      <m:oMath>
        <m:sSub>
          <m:sSubPr>
            <m:ctrlPr>
              <w:rPr>
                <w:rFonts w:ascii="Cambria Math" w:eastAsia="Times New Roman" w:hAnsi="Cambria Math" w:cs="Times New Roman"/>
              </w:rPr>
            </m:ctrlPr>
          </m:sSubPr>
          <m:e>
            <m:r>
              <w:rPr>
                <w:rFonts w:ascii="Cambria Math" w:eastAsia="Times New Roman" w:hAnsi="Cambria Math" w:cs="Times New Roman"/>
              </w:rPr>
              <m:t>Y</m:t>
            </m:r>
          </m:e>
          <m:sub>
            <m:r>
              <w:rPr>
                <w:rFonts w:ascii="Cambria Math" w:eastAsia="Times New Roman" w:hAnsi="Cambria Math" w:cs="Times New Roman"/>
              </w:rPr>
              <m:t>its</m:t>
            </m:r>
          </m:sub>
        </m:sSub>
      </m:oMath>
      <w:r w:rsidRPr="00BF0763">
        <w:rPr>
          <w:rFonts w:eastAsia="Times New Roman" w:cs="Times New Roman"/>
        </w:rPr>
        <w:t>​ is expressed as:</w:t>
      </w:r>
    </w:p>
    <w:p w14:paraId="429813CE" w14:textId="77777777" w:rsidR="00BF0763" w:rsidRPr="00EA289C" w:rsidRDefault="00BF0763" w:rsidP="00B34C76">
      <w:pPr>
        <w:rPr>
          <w:rFonts w:eastAsia="Times New Roman" w:cs="Times New Roman"/>
        </w:rPr>
      </w:pPr>
      <m:oMathPara>
        <m:oMathParaPr>
          <m:jc m:val="left"/>
        </m:oMathParaPr>
        <m:oMath>
          <m:r>
            <w:rPr>
              <w:rFonts w:ascii="Cambria Math" w:eastAsia="Times New Roman" w:hAnsi="Cambria Math" w:cs="Times New Roman"/>
            </w:rPr>
            <m:t>E</m:t>
          </m:r>
          <m:r>
            <m:rPr>
              <m:sty m:val="p"/>
            </m:rPr>
            <w:rPr>
              <w:rFonts w:ascii="Cambria Math" w:eastAsia="Times New Roman" w:hAnsi="Cambria Math" w:cs="Times New Roman"/>
            </w:rPr>
            <m:t>[</m:t>
          </m:r>
          <m:sSub>
            <m:sSubPr>
              <m:ctrlPr>
                <w:rPr>
                  <w:rFonts w:ascii="Cambria Math" w:eastAsia="Times New Roman" w:hAnsi="Cambria Math" w:cs="Times New Roman"/>
                </w:rPr>
              </m:ctrlPr>
            </m:sSubPr>
            <m:e>
              <m:r>
                <w:rPr>
                  <w:rFonts w:ascii="Cambria Math" w:eastAsia="Times New Roman" w:hAnsi="Cambria Math" w:cs="Times New Roman"/>
                </w:rPr>
                <m:t>Y</m:t>
              </m:r>
            </m:e>
            <m:sub>
              <m:r>
                <w:rPr>
                  <w:rFonts w:ascii="Cambria Math" w:eastAsia="Times New Roman" w:hAnsi="Cambria Math" w:cs="Times New Roman"/>
                </w:rPr>
                <m:t>its</m:t>
              </m:r>
            </m:sub>
          </m:sSub>
          <m:r>
            <m:rPr>
              <m:sty m:val="p"/>
            </m:rPr>
            <w:rPr>
              <w:rFonts w:ascii="Cambria Math" w:eastAsia="Times New Roman" w:hAnsi="Cambria Math" w:cs="Times New Roman"/>
            </w:rPr>
            <m:t>∣</m:t>
          </m:r>
          <m:r>
            <w:rPr>
              <w:rFonts w:ascii="Cambria Math" w:eastAsia="Times New Roman" w:hAnsi="Cambria Math" w:cs="Times New Roman"/>
            </w:rPr>
            <m:t>Covariates</m:t>
          </m:r>
          <m:r>
            <m:rPr>
              <m:sty m:val="p"/>
            </m:rPr>
            <w:rPr>
              <w:rFonts w:ascii="Cambria Math" w:eastAsia="Times New Roman" w:hAnsi="Cambria Math" w:cs="Times New Roman"/>
            </w:rPr>
            <m:t>]=</m:t>
          </m:r>
          <m:r>
            <w:rPr>
              <w:rFonts w:ascii="Cambria Math" w:eastAsia="Times New Roman" w:hAnsi="Cambria Math" w:cs="Times New Roman"/>
            </w:rPr>
            <m:t>exp</m:t>
          </m:r>
          <m:r>
            <m:rPr>
              <m:sty m:val="p"/>
            </m:rPr>
            <w:rPr>
              <w:rFonts w:ascii="Cambria Math" w:eastAsia="Times New Roman" w:hAnsi="Cambria Math" w:cs="Times New Roman"/>
            </w:rPr>
            <m:t>⁡(</m:t>
          </m:r>
          <m:sSub>
            <m:sSubPr>
              <m:ctrlPr>
                <w:rPr>
                  <w:rFonts w:ascii="Cambria Math" w:eastAsia="Times New Roman" w:hAnsi="Cambria Math" w:cs="Times New Roman"/>
                </w:rPr>
              </m:ctrlPr>
            </m:sSubPr>
            <m:e>
              <m:r>
                <w:rPr>
                  <w:rFonts w:ascii="Cambria Math" w:eastAsia="Times New Roman" w:hAnsi="Cambria Math" w:cs="Times New Roman"/>
                </w:rPr>
                <m:t>β</m:t>
              </m:r>
            </m:e>
            <m:sub>
              <m:r>
                <m:rPr>
                  <m:sty m:val="p"/>
                </m:rPr>
                <w:rPr>
                  <w:rFonts w:ascii="Cambria Math" w:eastAsia="Times New Roman" w:hAnsi="Cambria Math" w:cs="Times New Roman"/>
                </w:rPr>
                <m:t>0</m:t>
              </m:r>
            </m:sub>
          </m:sSub>
          <m:r>
            <m:rPr>
              <m:sty m:val="p"/>
            </m:rPr>
            <w:rPr>
              <w:rFonts w:ascii="Cambria Math" w:eastAsia="Times New Roman" w:hAnsi="Cambria Math" w:cs="Times New Roman"/>
            </w:rPr>
            <m:t>+</m:t>
          </m:r>
          <m:sSub>
            <m:sSubPr>
              <m:ctrlPr>
                <w:rPr>
                  <w:rFonts w:ascii="Cambria Math" w:eastAsia="Times New Roman" w:hAnsi="Cambria Math" w:cs="Times New Roman"/>
                </w:rPr>
              </m:ctrlPr>
            </m:sSubPr>
            <m:e>
              <m:r>
                <w:rPr>
                  <w:rFonts w:ascii="Cambria Math" w:eastAsia="Times New Roman" w:hAnsi="Cambria Math" w:cs="Times New Roman"/>
                </w:rPr>
                <m:t>β</m:t>
              </m:r>
            </m:e>
            <m:sub>
              <m:r>
                <m:rPr>
                  <m:sty m:val="p"/>
                </m:rPr>
                <w:rPr>
                  <w:rFonts w:ascii="Cambria Math" w:eastAsia="Times New Roman" w:hAnsi="Cambria Math" w:cs="Times New Roman"/>
                </w:rPr>
                <m:t>1</m:t>
              </m:r>
            </m:sub>
          </m:sSub>
          <m:r>
            <w:rPr>
              <w:rFonts w:ascii="Cambria Math" w:eastAsia="Times New Roman" w:hAnsi="Cambria Math" w:cs="Times New Roman"/>
            </w:rPr>
            <m:t>FireCoun</m:t>
          </m:r>
          <m:sSub>
            <m:sSubPr>
              <m:ctrlPr>
                <w:rPr>
                  <w:rFonts w:ascii="Cambria Math" w:eastAsia="Times New Roman" w:hAnsi="Cambria Math" w:cs="Times New Roman"/>
                </w:rPr>
              </m:ctrlPr>
            </m:sSubPr>
            <m:e>
              <m:r>
                <w:rPr>
                  <w:rFonts w:ascii="Cambria Math" w:eastAsia="Times New Roman" w:hAnsi="Cambria Math" w:cs="Times New Roman"/>
                </w:rPr>
                <m:t>t</m:t>
              </m:r>
            </m:e>
            <m:sub>
              <m:r>
                <w:rPr>
                  <w:rFonts w:ascii="Cambria Math" w:eastAsia="Times New Roman" w:hAnsi="Cambria Math" w:cs="Times New Roman"/>
                </w:rPr>
                <m:t>i</m:t>
              </m:r>
              <m:r>
                <m:rPr>
                  <m:sty m:val="p"/>
                </m:rPr>
                <w:rPr>
                  <w:rFonts w:ascii="Cambria Math" w:eastAsia="Times New Roman" w:hAnsi="Cambria Math" w:cs="Times New Roman"/>
                </w:rPr>
                <m:t>,</m:t>
              </m:r>
              <m:r>
                <w:rPr>
                  <w:rFonts w:ascii="Cambria Math" w:eastAsia="Times New Roman" w:hAnsi="Cambria Math" w:cs="Times New Roman"/>
                </w:rPr>
                <m:t>t</m:t>
              </m:r>
              <m:r>
                <m:rPr>
                  <m:sty m:val="p"/>
                </m:rPr>
                <w:rPr>
                  <w:rFonts w:ascii="Cambria Math" w:eastAsia="Times New Roman" w:hAnsi="Cambria Math" w:cs="Times New Roman"/>
                </w:rPr>
                <m:t>-1</m:t>
              </m:r>
            </m:sub>
          </m:sSub>
          <m:r>
            <m:rPr>
              <m:sty m:val="p"/>
            </m:rPr>
            <w:rPr>
              <w:rFonts w:ascii="Cambria Math" w:eastAsia="Times New Roman" w:hAnsi="Cambria Math" w:cs="Times New Roman"/>
            </w:rPr>
            <m:t xml:space="preserve"> +</m:t>
          </m:r>
          <m:sSub>
            <m:sSubPr>
              <m:ctrlPr>
                <w:rPr>
                  <w:rFonts w:ascii="Cambria Math" w:eastAsia="Times New Roman" w:hAnsi="Cambria Math" w:cs="Times New Roman"/>
                </w:rPr>
              </m:ctrlPr>
            </m:sSubPr>
            <m:e>
              <m:r>
                <w:rPr>
                  <w:rFonts w:ascii="Cambria Math" w:eastAsia="Times New Roman" w:hAnsi="Cambria Math" w:cs="Times New Roman"/>
                </w:rPr>
                <m:t>β</m:t>
              </m:r>
            </m:e>
            <m:sub>
              <m:r>
                <m:rPr>
                  <m:sty m:val="p"/>
                </m:rPr>
                <w:rPr>
                  <w:rFonts w:ascii="Cambria Math" w:eastAsia="Times New Roman" w:hAnsi="Cambria Math" w:cs="Times New Roman"/>
                </w:rPr>
                <m:t>2</m:t>
              </m:r>
            </m:sub>
          </m:sSub>
          <m:r>
            <w:rPr>
              <w:rFonts w:ascii="Cambria Math" w:eastAsia="Times New Roman" w:hAnsi="Cambria Math" w:cs="Times New Roman"/>
            </w:rPr>
            <m:t>BurnedArea</m:t>
          </m:r>
          <m:sSub>
            <m:sSubPr>
              <m:ctrlPr>
                <w:rPr>
                  <w:rFonts w:ascii="Cambria Math" w:eastAsia="Times New Roman" w:hAnsi="Cambria Math" w:cs="Times New Roman"/>
                </w:rPr>
              </m:ctrlPr>
            </m:sSubPr>
            <m:e>
              <m:r>
                <w:rPr>
                  <w:rFonts w:ascii="Cambria Math" w:eastAsia="Times New Roman" w:hAnsi="Cambria Math" w:cs="Times New Roman"/>
                </w:rPr>
                <m:t>s</m:t>
              </m:r>
            </m:e>
            <m:sub>
              <m:r>
                <w:rPr>
                  <w:rFonts w:ascii="Cambria Math" w:eastAsia="Times New Roman" w:hAnsi="Cambria Math" w:cs="Times New Roman"/>
                </w:rPr>
                <m:t>i</m:t>
              </m:r>
              <m:r>
                <m:rPr>
                  <m:sty m:val="p"/>
                </m:rPr>
                <w:rPr>
                  <w:rFonts w:ascii="Cambria Math" w:eastAsia="Times New Roman" w:hAnsi="Cambria Math" w:cs="Times New Roman"/>
                </w:rPr>
                <m:t>,</m:t>
              </m:r>
              <m:r>
                <w:rPr>
                  <w:rFonts w:ascii="Cambria Math" w:eastAsia="Times New Roman" w:hAnsi="Cambria Math" w:cs="Times New Roman"/>
                </w:rPr>
                <m:t>t</m:t>
              </m:r>
              <m:r>
                <m:rPr>
                  <m:sty m:val="p"/>
                </m:rPr>
                <w:rPr>
                  <w:rFonts w:ascii="Cambria Math" w:eastAsia="Times New Roman" w:hAnsi="Cambria Math" w:cs="Times New Roman"/>
                </w:rPr>
                <m:t>-1</m:t>
              </m:r>
            </m:sub>
          </m:sSub>
          <m:r>
            <m:rPr>
              <m:sty m:val="p"/>
            </m:rPr>
            <w:rPr>
              <w:rFonts w:ascii="Cambria Math" w:eastAsia="Times New Roman" w:hAnsi="Cambria Math" w:cs="Times New Roman"/>
            </w:rPr>
            <m:t>+… )</m:t>
          </m:r>
        </m:oMath>
      </m:oMathPara>
    </w:p>
    <w:p w14:paraId="364784AE" w14:textId="2059E690" w:rsidR="00BF0763" w:rsidRPr="00BF0763" w:rsidRDefault="00BF0763" w:rsidP="00B34C76">
      <w:pPr>
        <w:rPr>
          <w:rFonts w:eastAsia="Times New Roman" w:cs="Times New Roman"/>
        </w:rPr>
      </w:pPr>
      <w:r w:rsidRPr="00BF0763">
        <w:rPr>
          <w:rFonts w:eastAsia="Times New Roman" w:cs="Times New Roman"/>
        </w:rPr>
        <w:lastRenderedPageBreak/>
        <w:t xml:space="preserve">The exponential function ensures the expected value is non-negative, which is consistent with the count nature of </w:t>
      </w:r>
      <m:oMath>
        <m:sSub>
          <m:sSubPr>
            <m:ctrlPr>
              <w:rPr>
                <w:rFonts w:ascii="Cambria Math" w:eastAsia="Times New Roman" w:hAnsi="Cambria Math" w:cs="Times New Roman"/>
              </w:rPr>
            </m:ctrlPr>
          </m:sSubPr>
          <m:e>
            <m:r>
              <w:rPr>
                <w:rFonts w:ascii="Cambria Math" w:eastAsia="Times New Roman" w:hAnsi="Cambria Math" w:cs="Times New Roman"/>
              </w:rPr>
              <m:t>Y</m:t>
            </m:r>
          </m:e>
          <m:sub>
            <m:r>
              <w:rPr>
                <w:rFonts w:ascii="Cambria Math" w:eastAsia="Times New Roman" w:hAnsi="Cambria Math" w:cs="Times New Roman"/>
              </w:rPr>
              <m:t>its</m:t>
            </m:r>
          </m:sub>
        </m:sSub>
      </m:oMath>
      <w:r w:rsidRPr="00BF0763">
        <w:rPr>
          <w:rFonts w:eastAsia="Times New Roman" w:cs="Times New Roman"/>
        </w:rPr>
        <w:t>. The error term (</w:t>
      </w:r>
      <m:oMath>
        <m:sSub>
          <m:sSubPr>
            <m:ctrlPr>
              <w:rPr>
                <w:rFonts w:ascii="Cambria Math" w:eastAsia="Times New Roman" w:hAnsi="Cambria Math" w:cs="Times New Roman"/>
              </w:rPr>
            </m:ctrlPr>
          </m:sSubPr>
          <m:e>
            <m:r>
              <w:rPr>
                <w:rFonts w:ascii="Cambria Math" w:eastAsia="Times New Roman" w:hAnsi="Cambria Math" w:cs="Times New Roman"/>
              </w:rPr>
              <m:t>ε</m:t>
            </m:r>
          </m:e>
          <m:sub>
            <m:r>
              <w:rPr>
                <w:rFonts w:ascii="Cambria Math" w:eastAsia="Times New Roman" w:hAnsi="Cambria Math" w:cs="Times New Roman"/>
              </w:rPr>
              <m:t>it</m:t>
            </m:r>
          </m:sub>
        </m:sSub>
      </m:oMath>
      <w:r w:rsidRPr="00BF0763">
        <w:rPr>
          <w:rFonts w:eastAsia="Times New Roman" w:cs="Times New Roman"/>
        </w:rPr>
        <w:t>​) is implicitly absorbed into the quasi-likelihood estimation framework of PPML, where the estimation focuses on the expected value (</w:t>
      </w:r>
      <m:oMath>
        <m:r>
          <w:rPr>
            <w:rFonts w:ascii="Cambria Math" w:eastAsia="Times New Roman" w:hAnsi="Cambria Math" w:cs="Times New Roman"/>
          </w:rPr>
          <m:t>E</m:t>
        </m:r>
        <m:r>
          <m:rPr>
            <m:sty m:val="p"/>
          </m:rPr>
          <w:rPr>
            <w:rFonts w:ascii="Cambria Math" w:eastAsia="Times New Roman" w:hAnsi="Cambria Math" w:cs="Times New Roman"/>
          </w:rPr>
          <m:t>[</m:t>
        </m:r>
        <m:r>
          <w:rPr>
            <w:rFonts w:ascii="Cambria Math" w:eastAsia="Times New Roman" w:hAnsi="Cambria Math" w:cs="Times New Roman"/>
          </w:rPr>
          <m:t>Y</m:t>
        </m:r>
        <m:r>
          <m:rPr>
            <m:sty m:val="p"/>
          </m:rPr>
          <w:rPr>
            <w:rFonts w:ascii="Cambria Math" w:eastAsia="Times New Roman" w:hAnsi="Cambria Math" w:cs="Times New Roman"/>
          </w:rPr>
          <m:t>]</m:t>
        </m:r>
      </m:oMath>
      <w:r w:rsidRPr="00BF0763">
        <w:rPr>
          <w:rFonts w:eastAsia="Times New Roman" w:cs="Times New Roman"/>
        </w:rPr>
        <w:t>) rather than modeling the error explicitly. This is a standard feature of the PPML approach.</w:t>
      </w:r>
      <w:r w:rsidR="00EA289C">
        <w:rPr>
          <w:rFonts w:eastAsia="Times New Roman" w:cs="Times New Roman"/>
        </w:rPr>
        <w:t xml:space="preserve"> </w:t>
      </w:r>
      <w:r w:rsidRPr="00BF0763">
        <w:rPr>
          <w:rFonts w:eastAsia="Times New Roman" w:cs="Times New Roman"/>
        </w:rPr>
        <w:t>The transition leads to the final expected value formulation:</w:t>
      </w:r>
    </w:p>
    <w:p w14:paraId="70B9E252" w14:textId="77777777" w:rsidR="00BF0763" w:rsidRPr="00EA289C" w:rsidRDefault="00BF0763" w:rsidP="00B34C76">
      <w:pPr>
        <w:rPr>
          <w:rFonts w:eastAsia="Times New Roman" w:cs="Times New Roman"/>
        </w:rPr>
      </w:pPr>
      <m:oMathPara>
        <m:oMathParaPr>
          <m:jc m:val="left"/>
        </m:oMathParaPr>
        <m:oMath>
          <m:r>
            <w:rPr>
              <w:rFonts w:ascii="Cambria Math" w:eastAsia="Times New Roman" w:hAnsi="Cambria Math" w:cs="Times New Roman"/>
            </w:rPr>
            <m:t>E</m:t>
          </m:r>
          <m:r>
            <m:rPr>
              <m:sty m:val="p"/>
            </m:rPr>
            <w:rPr>
              <w:rFonts w:ascii="Cambria Math" w:eastAsia="Times New Roman" w:hAnsi="Cambria Math" w:cs="Times New Roman"/>
            </w:rPr>
            <m:t>[</m:t>
          </m:r>
          <m:sSub>
            <m:sSubPr>
              <m:ctrlPr>
                <w:rPr>
                  <w:rFonts w:ascii="Cambria Math" w:eastAsia="Times New Roman" w:hAnsi="Cambria Math" w:cs="Times New Roman"/>
                </w:rPr>
              </m:ctrlPr>
            </m:sSubPr>
            <m:e>
              <m:r>
                <w:rPr>
                  <w:rFonts w:ascii="Cambria Math" w:eastAsia="Times New Roman" w:hAnsi="Cambria Math" w:cs="Times New Roman"/>
                </w:rPr>
                <m:t>Y</m:t>
              </m:r>
            </m:e>
            <m:sub>
              <m:r>
                <w:rPr>
                  <w:rFonts w:ascii="Cambria Math" w:eastAsia="Times New Roman" w:hAnsi="Cambria Math" w:cs="Times New Roman"/>
                </w:rPr>
                <m:t>its</m:t>
              </m:r>
            </m:sub>
          </m:sSub>
          <m:r>
            <m:rPr>
              <m:sty m:val="p"/>
            </m:rPr>
            <w:rPr>
              <w:rFonts w:ascii="Cambria Math" w:eastAsia="Times New Roman" w:hAnsi="Cambria Math" w:cs="Times New Roman"/>
            </w:rPr>
            <m:t>]=</m:t>
          </m:r>
          <m:r>
            <w:rPr>
              <w:rFonts w:ascii="Cambria Math" w:eastAsia="Times New Roman" w:hAnsi="Cambria Math" w:cs="Times New Roman"/>
            </w:rPr>
            <m:t>exp</m:t>
          </m:r>
          <m:r>
            <m:rPr>
              <m:sty m:val="p"/>
            </m:rPr>
            <w:rPr>
              <w:rFonts w:ascii="Cambria Math" w:eastAsia="Times New Roman" w:hAnsi="Cambria Math" w:cs="Times New Roman"/>
            </w:rPr>
            <m:t>⁡(</m:t>
          </m:r>
          <m:sSub>
            <m:sSubPr>
              <m:ctrlPr>
                <w:rPr>
                  <w:rFonts w:ascii="Cambria Math" w:eastAsia="Times New Roman" w:hAnsi="Cambria Math" w:cs="Times New Roman"/>
                </w:rPr>
              </m:ctrlPr>
            </m:sSubPr>
            <m:e>
              <m:r>
                <w:rPr>
                  <w:rFonts w:ascii="Cambria Math" w:eastAsia="Times New Roman" w:hAnsi="Cambria Math" w:cs="Times New Roman"/>
                </w:rPr>
                <m:t>β</m:t>
              </m:r>
            </m:e>
            <m:sub>
              <m:r>
                <m:rPr>
                  <m:sty m:val="p"/>
                </m:rPr>
                <w:rPr>
                  <w:rFonts w:ascii="Cambria Math" w:eastAsia="Times New Roman" w:hAnsi="Cambria Math" w:cs="Times New Roman"/>
                </w:rPr>
                <m:t>0</m:t>
              </m:r>
            </m:sub>
          </m:sSub>
          <m:r>
            <m:rPr>
              <m:sty m:val="p"/>
            </m:rPr>
            <w:rPr>
              <w:rFonts w:ascii="Cambria Math" w:eastAsia="Times New Roman" w:hAnsi="Cambria Math" w:cs="Times New Roman"/>
            </w:rPr>
            <m:t>+</m:t>
          </m:r>
          <m:sSub>
            <m:sSubPr>
              <m:ctrlPr>
                <w:rPr>
                  <w:rFonts w:ascii="Cambria Math" w:eastAsia="Times New Roman" w:hAnsi="Cambria Math" w:cs="Times New Roman"/>
                </w:rPr>
              </m:ctrlPr>
            </m:sSubPr>
            <m:e>
              <m:r>
                <w:rPr>
                  <w:rFonts w:ascii="Cambria Math" w:eastAsia="Times New Roman" w:hAnsi="Cambria Math" w:cs="Times New Roman"/>
                </w:rPr>
                <m:t>β</m:t>
              </m:r>
            </m:e>
            <m:sub>
              <m:r>
                <m:rPr>
                  <m:sty m:val="p"/>
                </m:rPr>
                <w:rPr>
                  <w:rFonts w:ascii="Cambria Math" w:eastAsia="Times New Roman" w:hAnsi="Cambria Math" w:cs="Times New Roman"/>
                </w:rPr>
                <m:t>1</m:t>
              </m:r>
            </m:sub>
          </m:sSub>
          <m:r>
            <w:rPr>
              <w:rFonts w:ascii="Cambria Math" w:eastAsia="Times New Roman" w:hAnsi="Cambria Math" w:cs="Times New Roman"/>
            </w:rPr>
            <m:t>FireCoun</m:t>
          </m:r>
          <m:sSub>
            <m:sSubPr>
              <m:ctrlPr>
                <w:rPr>
                  <w:rFonts w:ascii="Cambria Math" w:eastAsia="Times New Roman" w:hAnsi="Cambria Math" w:cs="Times New Roman"/>
                </w:rPr>
              </m:ctrlPr>
            </m:sSubPr>
            <m:e>
              <m:r>
                <w:rPr>
                  <w:rFonts w:ascii="Cambria Math" w:eastAsia="Times New Roman" w:hAnsi="Cambria Math" w:cs="Times New Roman"/>
                </w:rPr>
                <m:t>t</m:t>
              </m:r>
            </m:e>
            <m:sub>
              <m:r>
                <w:rPr>
                  <w:rFonts w:ascii="Cambria Math" w:eastAsia="Times New Roman" w:hAnsi="Cambria Math" w:cs="Times New Roman"/>
                </w:rPr>
                <m:t>i</m:t>
              </m:r>
              <m:r>
                <m:rPr>
                  <m:sty m:val="p"/>
                </m:rPr>
                <w:rPr>
                  <w:rFonts w:ascii="Cambria Math" w:eastAsia="Times New Roman" w:hAnsi="Cambria Math" w:cs="Times New Roman"/>
                </w:rPr>
                <m:t>,</m:t>
              </m:r>
              <m:r>
                <w:rPr>
                  <w:rFonts w:ascii="Cambria Math" w:eastAsia="Times New Roman" w:hAnsi="Cambria Math" w:cs="Times New Roman"/>
                </w:rPr>
                <m:t>t</m:t>
              </m:r>
              <m:r>
                <m:rPr>
                  <m:sty m:val="p"/>
                </m:rPr>
                <w:rPr>
                  <w:rFonts w:ascii="Cambria Math" w:eastAsia="Times New Roman" w:hAnsi="Cambria Math" w:cs="Times New Roman"/>
                </w:rPr>
                <m:t>-1</m:t>
              </m:r>
            </m:sub>
          </m:sSub>
          <m:r>
            <m:rPr>
              <m:sty m:val="p"/>
            </m:rPr>
            <w:rPr>
              <w:rFonts w:ascii="Cambria Math" w:eastAsia="Times New Roman" w:hAnsi="Cambria Math" w:cs="Times New Roman"/>
            </w:rPr>
            <m:t xml:space="preserve"> +</m:t>
          </m:r>
          <m:sSub>
            <m:sSubPr>
              <m:ctrlPr>
                <w:rPr>
                  <w:rFonts w:ascii="Cambria Math" w:eastAsia="Times New Roman" w:hAnsi="Cambria Math" w:cs="Times New Roman"/>
                </w:rPr>
              </m:ctrlPr>
            </m:sSubPr>
            <m:e>
              <m:r>
                <w:rPr>
                  <w:rFonts w:ascii="Cambria Math" w:eastAsia="Times New Roman" w:hAnsi="Cambria Math" w:cs="Times New Roman"/>
                </w:rPr>
                <m:t>β</m:t>
              </m:r>
            </m:e>
            <m:sub>
              <m:r>
                <m:rPr>
                  <m:sty m:val="p"/>
                </m:rPr>
                <w:rPr>
                  <w:rFonts w:ascii="Cambria Math" w:eastAsia="Times New Roman" w:hAnsi="Cambria Math" w:cs="Times New Roman"/>
                </w:rPr>
                <m:t>2</m:t>
              </m:r>
            </m:sub>
          </m:sSub>
          <m:r>
            <w:rPr>
              <w:rFonts w:ascii="Cambria Math" w:eastAsia="Times New Roman" w:hAnsi="Cambria Math" w:cs="Times New Roman"/>
            </w:rPr>
            <m:t>BurnedArea</m:t>
          </m:r>
          <m:sSub>
            <m:sSubPr>
              <m:ctrlPr>
                <w:rPr>
                  <w:rFonts w:ascii="Cambria Math" w:eastAsia="Times New Roman" w:hAnsi="Cambria Math" w:cs="Times New Roman"/>
                </w:rPr>
              </m:ctrlPr>
            </m:sSubPr>
            <m:e>
              <m:r>
                <w:rPr>
                  <w:rFonts w:ascii="Cambria Math" w:eastAsia="Times New Roman" w:hAnsi="Cambria Math" w:cs="Times New Roman"/>
                </w:rPr>
                <m:t>s</m:t>
              </m:r>
            </m:e>
            <m:sub>
              <m:r>
                <w:rPr>
                  <w:rFonts w:ascii="Cambria Math" w:eastAsia="Times New Roman" w:hAnsi="Cambria Math" w:cs="Times New Roman"/>
                </w:rPr>
                <m:t>i</m:t>
              </m:r>
              <m:r>
                <m:rPr>
                  <m:sty m:val="p"/>
                </m:rPr>
                <w:rPr>
                  <w:rFonts w:ascii="Cambria Math" w:eastAsia="Times New Roman" w:hAnsi="Cambria Math" w:cs="Times New Roman"/>
                </w:rPr>
                <m:t>,</m:t>
              </m:r>
              <m:r>
                <w:rPr>
                  <w:rFonts w:ascii="Cambria Math" w:eastAsia="Times New Roman" w:hAnsi="Cambria Math" w:cs="Times New Roman"/>
                </w:rPr>
                <m:t>t</m:t>
              </m:r>
              <m:r>
                <m:rPr>
                  <m:sty m:val="p"/>
                </m:rPr>
                <w:rPr>
                  <w:rFonts w:ascii="Cambria Math" w:eastAsia="Times New Roman" w:hAnsi="Cambria Math" w:cs="Times New Roman"/>
                </w:rPr>
                <m:t>-1</m:t>
              </m:r>
            </m:sub>
          </m:sSub>
          <m:r>
            <m:rPr>
              <m:sty m:val="p"/>
            </m:rPr>
            <w:rPr>
              <w:rFonts w:ascii="Cambria Math" w:eastAsia="Times New Roman" w:hAnsi="Cambria Math" w:cs="Times New Roman"/>
            </w:rPr>
            <m:t>+…+</m:t>
          </m:r>
          <m:sSub>
            <m:sSubPr>
              <m:ctrlPr>
                <w:rPr>
                  <w:rFonts w:ascii="Cambria Math" w:eastAsia="Times New Roman" w:hAnsi="Cambria Math" w:cs="Times New Roman"/>
                </w:rPr>
              </m:ctrlPr>
            </m:sSubPr>
            <m:e>
              <m:r>
                <w:rPr>
                  <w:rFonts w:ascii="Cambria Math" w:eastAsia="Times New Roman" w:hAnsi="Cambria Math" w:cs="Times New Roman"/>
                </w:rPr>
                <m:t>α</m:t>
              </m:r>
            </m:e>
            <m:sub>
              <m:r>
                <w:rPr>
                  <w:rFonts w:ascii="Cambria Math" w:eastAsia="Times New Roman" w:hAnsi="Cambria Math" w:cs="Times New Roman"/>
                </w:rPr>
                <m:t>i</m:t>
              </m:r>
            </m:sub>
          </m:sSub>
          <m:r>
            <m:rPr>
              <m:sty m:val="p"/>
            </m:rPr>
            <w:rPr>
              <w:rFonts w:ascii="Cambria Math" w:eastAsia="Times New Roman" w:hAnsi="Cambria Math" w:cs="Times New Roman"/>
            </w:rPr>
            <m:t>+</m:t>
          </m:r>
          <m:sSub>
            <m:sSubPr>
              <m:ctrlPr>
                <w:rPr>
                  <w:rFonts w:ascii="Cambria Math" w:eastAsia="Times New Roman" w:hAnsi="Cambria Math" w:cs="Times New Roman"/>
                  <w:i/>
                </w:rPr>
              </m:ctrlPr>
            </m:sSubPr>
            <m:e>
              <m:r>
                <w:rPr>
                  <w:rFonts w:ascii="Cambria Math" w:eastAsia="Times New Roman" w:hAnsi="Cambria Math" w:cs="Times New Roman"/>
                </w:rPr>
                <m:t>λ</m:t>
              </m:r>
            </m:e>
            <m:sub>
              <m:r>
                <w:rPr>
                  <w:rFonts w:ascii="Cambria Math" w:eastAsia="Times New Roman" w:hAnsi="Cambria Math" w:cs="Times New Roman"/>
                </w:rPr>
                <m:t>t</m:t>
              </m:r>
            </m:sub>
          </m:sSub>
          <m:r>
            <w:rPr>
              <w:rFonts w:ascii="Cambria Math" w:eastAsia="Times New Roman" w:hAnsi="Cambria Math" w:cs="Times New Roman"/>
            </w:rPr>
            <m:t>+</m:t>
          </m:r>
          <m:sSub>
            <m:sSubPr>
              <m:ctrlPr>
                <w:rPr>
                  <w:rFonts w:ascii="Cambria Math" w:eastAsia="Times New Roman" w:hAnsi="Cambria Math" w:cs="Times New Roman"/>
                  <w:i/>
                </w:rPr>
              </m:ctrlPr>
            </m:sSubPr>
            <m:e>
              <m:r>
                <w:rPr>
                  <w:rFonts w:ascii="Cambria Math" w:eastAsia="Times New Roman" w:hAnsi="Cambria Math" w:cs="Times New Roman"/>
                </w:rPr>
                <m:t>γ</m:t>
              </m:r>
            </m:e>
            <m:sub>
              <m:r>
                <w:rPr>
                  <w:rFonts w:ascii="Cambria Math" w:eastAsia="Times New Roman" w:hAnsi="Cambria Math" w:cs="Times New Roman"/>
                </w:rPr>
                <m:t>s</m:t>
              </m:r>
            </m:sub>
          </m:sSub>
          <m:r>
            <m:rPr>
              <m:sty m:val="p"/>
            </m:rPr>
            <w:rPr>
              <w:rFonts w:ascii="Cambria Math" w:eastAsia="Times New Roman" w:hAnsi="Cambria Math" w:cs="Times New Roman"/>
            </w:rPr>
            <m:t>)</m:t>
          </m:r>
        </m:oMath>
      </m:oMathPara>
    </w:p>
    <w:p w14:paraId="262C5F33" w14:textId="77777777" w:rsidR="00BF0763" w:rsidRPr="001F2F98" w:rsidRDefault="00BF0763" w:rsidP="00B34C76">
      <w:pPr>
        <w:rPr>
          <w:b/>
          <w:bCs/>
        </w:rPr>
      </w:pPr>
      <w:bookmarkStart w:id="523" w:name="_Toc187564790"/>
      <w:r w:rsidRPr="001F2F98">
        <w:rPr>
          <w:b/>
          <w:bCs/>
        </w:rPr>
        <w:t>Marginal Impact Calculation</w:t>
      </w:r>
      <w:bookmarkEnd w:id="523"/>
    </w:p>
    <w:p w14:paraId="0F4CE14D" w14:textId="77777777" w:rsidR="00BF0763" w:rsidRPr="00BF0763" w:rsidRDefault="00BF0763" w:rsidP="00B34C76">
      <w:pPr>
        <w:numPr>
          <w:ilvl w:val="0"/>
          <w:numId w:val="43"/>
        </w:numPr>
        <w:contextualSpacing/>
        <w:rPr>
          <w:rFonts w:eastAsia="Times New Roman" w:cs="Times New Roman"/>
          <w:b/>
          <w:bCs/>
        </w:rPr>
      </w:pPr>
      <w:r w:rsidRPr="00BF0763">
        <w:rPr>
          <w:rFonts w:eastAsia="Times New Roman" w:cs="Times New Roman"/>
          <w:b/>
          <w:bCs/>
        </w:rPr>
        <w:t>Marginal Effect for Fire Count</w:t>
      </w:r>
    </w:p>
    <w:p w14:paraId="30B5FC7A" w14:textId="28994488" w:rsidR="00BF0763" w:rsidRPr="00EA289C" w:rsidRDefault="00BF0763" w:rsidP="00B34C76">
      <w:pPr>
        <w:rPr>
          <w:rFonts w:eastAsia="Times New Roman" w:cs="Times New Roman"/>
        </w:rPr>
      </w:pPr>
      <w:r w:rsidRPr="00BF0763">
        <w:rPr>
          <w:rFonts w:eastAsia="Times New Roman" w:cs="Times New Roman"/>
        </w:rPr>
        <w:t xml:space="preserve">The marginal effect of </w:t>
      </w:r>
      <m:oMath>
        <m:r>
          <w:rPr>
            <w:rFonts w:ascii="Cambria Math" w:eastAsia="Times New Roman" w:hAnsi="Cambria Math" w:cs="Times New Roman"/>
          </w:rPr>
          <m:t>FireCoun</m:t>
        </m:r>
        <m:sSub>
          <m:sSubPr>
            <m:ctrlPr>
              <w:rPr>
                <w:rFonts w:ascii="Cambria Math" w:eastAsia="Times New Roman" w:hAnsi="Cambria Math" w:cs="Times New Roman"/>
                <w:i/>
              </w:rPr>
            </m:ctrlPr>
          </m:sSubPr>
          <m:e>
            <m:r>
              <w:rPr>
                <w:rFonts w:ascii="Cambria Math" w:eastAsia="Times New Roman" w:hAnsi="Cambria Math" w:cs="Times New Roman"/>
              </w:rPr>
              <m:t>t</m:t>
            </m:r>
          </m:e>
          <m:sub>
            <m:r>
              <w:rPr>
                <w:rFonts w:ascii="Cambria Math" w:eastAsia="Times New Roman" w:hAnsi="Cambria Math" w:cs="Times New Roman"/>
              </w:rPr>
              <m:t>i,t-1</m:t>
            </m:r>
          </m:sub>
        </m:sSub>
      </m:oMath>
      <w:r w:rsidRPr="00BF0763">
        <w:rPr>
          <w:rFonts w:eastAsia="Times New Roman" w:cs="Times New Roman"/>
        </w:rPr>
        <w:t xml:space="preserve"> on </w:t>
      </w:r>
      <m:oMath>
        <m:r>
          <w:rPr>
            <w:rFonts w:ascii="Cambria Math" w:eastAsia="Times New Roman" w:hAnsi="Cambria Math" w:cs="Times New Roman"/>
          </w:rPr>
          <m:t>E</m:t>
        </m:r>
        <m:d>
          <m:dPr>
            <m:begChr m:val="["/>
            <m:endChr m:val="]"/>
            <m:ctrlPr>
              <w:rPr>
                <w:rFonts w:ascii="Cambria Math" w:eastAsia="Times New Roman" w:hAnsi="Cambria Math" w:cs="Times New Roman"/>
                <w:i/>
              </w:rPr>
            </m:ctrlPr>
          </m:dPr>
          <m:e>
            <m:sSub>
              <m:sSubPr>
                <m:ctrlPr>
                  <w:rPr>
                    <w:rFonts w:ascii="Cambria Math" w:eastAsia="Times New Roman" w:hAnsi="Cambria Math" w:cs="Times New Roman"/>
                    <w:i/>
                  </w:rPr>
                </m:ctrlPr>
              </m:sSubPr>
              <m:e>
                <m:r>
                  <w:rPr>
                    <w:rFonts w:ascii="Cambria Math" w:eastAsia="Times New Roman" w:hAnsi="Cambria Math" w:cs="Times New Roman"/>
                  </w:rPr>
                  <m:t>Y</m:t>
                </m:r>
              </m:e>
              <m:sub>
                <m:r>
                  <w:rPr>
                    <w:rFonts w:ascii="Cambria Math" w:eastAsia="Times New Roman" w:hAnsi="Cambria Math" w:cs="Times New Roman"/>
                  </w:rPr>
                  <m:t>its</m:t>
                </m:r>
              </m:sub>
            </m:sSub>
          </m:e>
        </m:d>
      </m:oMath>
      <w:r w:rsidRPr="00BF0763">
        <w:rPr>
          <w:rFonts w:eastAsia="Times New Roman" w:cs="Times New Roman"/>
        </w:rPr>
        <w:t xml:space="preserve"> is:</w:t>
      </w:r>
      <w:r w:rsidR="00EA289C">
        <w:rPr>
          <w:rFonts w:eastAsia="Times New Roman" w:cs="Times New Roman"/>
        </w:rPr>
        <w:t xml:space="preserve"> </w:t>
      </w:r>
      <m:oMath>
        <m:f>
          <m:fPr>
            <m:ctrlPr>
              <w:rPr>
                <w:rFonts w:ascii="Cambria Math" w:eastAsia="Times New Roman" w:hAnsi="Cambria Math" w:cs="Times New Roman"/>
                <w:i/>
              </w:rPr>
            </m:ctrlPr>
          </m:fPr>
          <m:num>
            <m:r>
              <w:rPr>
                <w:rFonts w:ascii="Cambria Math" w:eastAsia="Times New Roman" w:hAnsi="Cambria Math" w:cs="Times New Roman"/>
              </w:rPr>
              <m:t>∂E</m:t>
            </m:r>
            <m:d>
              <m:dPr>
                <m:begChr m:val="["/>
                <m:endChr m:val="]"/>
                <m:ctrlPr>
                  <w:rPr>
                    <w:rFonts w:ascii="Cambria Math" w:eastAsia="Times New Roman" w:hAnsi="Cambria Math" w:cs="Times New Roman"/>
                    <w:i/>
                  </w:rPr>
                </m:ctrlPr>
              </m:dPr>
              <m:e>
                <m:sSub>
                  <m:sSubPr>
                    <m:ctrlPr>
                      <w:rPr>
                        <w:rFonts w:ascii="Cambria Math" w:eastAsia="Times New Roman" w:hAnsi="Cambria Math" w:cs="Times New Roman"/>
                        <w:i/>
                      </w:rPr>
                    </m:ctrlPr>
                  </m:sSubPr>
                  <m:e>
                    <m:r>
                      <w:rPr>
                        <w:rFonts w:ascii="Cambria Math" w:eastAsia="Times New Roman" w:hAnsi="Cambria Math" w:cs="Times New Roman"/>
                      </w:rPr>
                      <m:t>Y</m:t>
                    </m:r>
                  </m:e>
                  <m:sub>
                    <m:r>
                      <w:rPr>
                        <w:rFonts w:ascii="Cambria Math" w:eastAsia="Times New Roman" w:hAnsi="Cambria Math" w:cs="Times New Roman"/>
                      </w:rPr>
                      <m:t>its</m:t>
                    </m:r>
                  </m:sub>
                </m:sSub>
              </m:e>
              <m:e>
                <m:r>
                  <w:rPr>
                    <w:rFonts w:ascii="Cambria Math" w:eastAsia="Times New Roman" w:hAnsi="Cambria Math" w:cs="Times New Roman"/>
                  </w:rPr>
                  <m:t>Covariates</m:t>
                </m:r>
              </m:e>
            </m:d>
          </m:num>
          <m:den>
            <m:r>
              <w:rPr>
                <w:rFonts w:ascii="Cambria Math" w:eastAsia="Times New Roman" w:hAnsi="Cambria Math" w:cs="Times New Roman"/>
              </w:rPr>
              <m:t>∂FireCoun</m:t>
            </m:r>
            <m:sSub>
              <m:sSubPr>
                <m:ctrlPr>
                  <w:rPr>
                    <w:rFonts w:ascii="Cambria Math" w:eastAsia="Times New Roman" w:hAnsi="Cambria Math" w:cs="Times New Roman"/>
                    <w:i/>
                  </w:rPr>
                </m:ctrlPr>
              </m:sSubPr>
              <m:e>
                <m:r>
                  <w:rPr>
                    <w:rFonts w:ascii="Cambria Math" w:eastAsia="Times New Roman" w:hAnsi="Cambria Math" w:cs="Times New Roman"/>
                  </w:rPr>
                  <m:t>t</m:t>
                </m:r>
              </m:e>
              <m:sub>
                <m:r>
                  <w:rPr>
                    <w:rFonts w:ascii="Cambria Math" w:eastAsia="Times New Roman" w:hAnsi="Cambria Math" w:cs="Times New Roman"/>
                  </w:rPr>
                  <m:t>i,t-1</m:t>
                </m:r>
              </m:sub>
            </m:sSub>
          </m:den>
        </m:f>
        <m:r>
          <w:rPr>
            <w:rFonts w:ascii="Cambria Math" w:eastAsia="Times New Roman" w:hAnsi="Cambria Math" w:cs="Times New Roman"/>
          </w:rPr>
          <m:t>=E</m:t>
        </m:r>
        <m:d>
          <m:dPr>
            <m:begChr m:val="["/>
            <m:sepChr m:val="∣"/>
            <m:endChr m:val="]"/>
            <m:ctrlPr>
              <w:rPr>
                <w:rFonts w:ascii="Cambria Math" w:eastAsia="Times New Roman" w:hAnsi="Cambria Math" w:cs="Times New Roman"/>
                <w:i/>
              </w:rPr>
            </m:ctrlPr>
          </m:dPr>
          <m:e>
            <m:sSub>
              <m:sSubPr>
                <m:ctrlPr>
                  <w:rPr>
                    <w:rFonts w:ascii="Cambria Math" w:eastAsia="Times New Roman" w:hAnsi="Cambria Math" w:cs="Times New Roman"/>
                  </w:rPr>
                </m:ctrlPr>
              </m:sSubPr>
              <m:e>
                <m:r>
                  <w:rPr>
                    <w:rFonts w:ascii="Cambria Math" w:eastAsia="Times New Roman" w:hAnsi="Cambria Math" w:cs="Times New Roman"/>
                  </w:rPr>
                  <m:t>Y</m:t>
                </m:r>
              </m:e>
              <m:sub>
                <m:r>
                  <w:rPr>
                    <w:rFonts w:ascii="Cambria Math" w:eastAsia="Times New Roman" w:hAnsi="Cambria Math" w:cs="Times New Roman"/>
                  </w:rPr>
                  <m:t>its</m:t>
                </m:r>
              </m:sub>
            </m:sSub>
            <m:ctrlPr>
              <w:rPr>
                <w:rFonts w:ascii="Cambria Math" w:eastAsia="Times New Roman" w:hAnsi="Cambria Math" w:cs="Times New Roman"/>
              </w:rPr>
            </m:ctrlPr>
          </m:e>
          <m:e>
            <m:r>
              <w:rPr>
                <w:rFonts w:ascii="Cambria Math" w:eastAsia="Times New Roman" w:hAnsi="Cambria Math" w:cs="Times New Roman"/>
              </w:rPr>
              <m:t>Covariates</m:t>
            </m:r>
            <m:ctrlPr>
              <w:rPr>
                <w:rFonts w:ascii="Cambria Math" w:eastAsia="Times New Roman" w:hAnsi="Cambria Math" w:cs="Times New Roman"/>
              </w:rPr>
            </m:ctrlPr>
          </m:e>
        </m:d>
        <m:r>
          <m:rPr>
            <m:sty m:val="p"/>
          </m:rPr>
          <w:rPr>
            <w:rFonts w:ascii="Cambria Math" w:eastAsia="Times New Roman" w:hAnsi="Cambria Math" w:cs="Times New Roman"/>
          </w:rPr>
          <m:t>*</m:t>
        </m:r>
        <m:sSub>
          <m:sSubPr>
            <m:ctrlPr>
              <w:rPr>
                <w:rFonts w:ascii="Cambria Math" w:eastAsia="Times New Roman" w:hAnsi="Cambria Math" w:cs="Times New Roman"/>
              </w:rPr>
            </m:ctrlPr>
          </m:sSubPr>
          <m:e>
            <m:r>
              <w:rPr>
                <w:rFonts w:ascii="Cambria Math" w:eastAsia="Times New Roman" w:hAnsi="Cambria Math" w:cs="Times New Roman"/>
              </w:rPr>
              <m:t>β</m:t>
            </m:r>
          </m:e>
          <m:sub>
            <m:r>
              <m:rPr>
                <m:sty m:val="p"/>
              </m:rPr>
              <w:rPr>
                <w:rFonts w:ascii="Cambria Math" w:eastAsia="Times New Roman" w:hAnsi="Cambria Math" w:cs="Times New Roman"/>
              </w:rPr>
              <m:t>1</m:t>
            </m:r>
          </m:sub>
        </m:sSub>
      </m:oMath>
    </w:p>
    <w:p w14:paraId="2F972C83" w14:textId="10B76EF1" w:rsidR="00BF0763" w:rsidRPr="00EA289C" w:rsidRDefault="00BF0763" w:rsidP="00B34C76">
      <w:pPr>
        <w:rPr>
          <w:rFonts w:eastAsia="Times New Roman" w:cs="Times New Roman"/>
        </w:rPr>
      </w:pPr>
      <w:r w:rsidRPr="00BF0763">
        <w:rPr>
          <w:rFonts w:eastAsia="Times New Roman" w:cs="Times New Roman"/>
        </w:rPr>
        <w:t>After normalization (</w:t>
      </w:r>
      <m:oMath>
        <m:r>
          <w:rPr>
            <w:rFonts w:ascii="Cambria Math" w:eastAsia="Times New Roman" w:hAnsi="Cambria Math" w:cs="Times New Roman"/>
          </w:rPr>
          <m:t>E</m:t>
        </m:r>
        <m:d>
          <m:dPr>
            <m:begChr m:val="["/>
            <m:endChr m:val="]"/>
            <m:ctrlPr>
              <w:rPr>
                <w:rFonts w:ascii="Cambria Math" w:eastAsia="Times New Roman" w:hAnsi="Cambria Math" w:cs="Times New Roman"/>
                <w:i/>
              </w:rPr>
            </m:ctrlPr>
          </m:dPr>
          <m:e>
            <m:sSub>
              <m:sSubPr>
                <m:ctrlPr>
                  <w:rPr>
                    <w:rFonts w:ascii="Cambria Math" w:eastAsia="Times New Roman" w:hAnsi="Cambria Math" w:cs="Times New Roman"/>
                    <w:i/>
                  </w:rPr>
                </m:ctrlPr>
              </m:sSubPr>
              <m:e>
                <m:r>
                  <w:rPr>
                    <w:rFonts w:ascii="Cambria Math" w:eastAsia="Times New Roman" w:hAnsi="Cambria Math" w:cs="Times New Roman"/>
                  </w:rPr>
                  <m:t>Y</m:t>
                </m:r>
              </m:e>
              <m:sub>
                <m:r>
                  <w:rPr>
                    <w:rFonts w:ascii="Cambria Math" w:eastAsia="Times New Roman" w:hAnsi="Cambria Math" w:cs="Times New Roman"/>
                  </w:rPr>
                  <m:t>its</m:t>
                </m:r>
              </m:sub>
            </m:sSub>
          </m:e>
        </m:d>
        <m:r>
          <w:rPr>
            <w:rFonts w:ascii="Cambria Math" w:eastAsia="Times New Roman" w:hAnsi="Cambria Math" w:cs="Times New Roman"/>
          </w:rPr>
          <m:t>=1</m:t>
        </m:r>
      </m:oMath>
      <w:r w:rsidRPr="00BF0763">
        <w:rPr>
          <w:rFonts w:eastAsia="Times New Roman" w:cs="Times New Roman"/>
        </w:rPr>
        <w:t>):</w:t>
      </w:r>
      <w:r w:rsidR="00EA289C">
        <w:rPr>
          <w:rFonts w:eastAsia="Times New Roman" w:cs="Times New Roman"/>
        </w:rPr>
        <w:t xml:space="preserve"> </w:t>
      </w:r>
      <m:oMath>
        <m:f>
          <m:fPr>
            <m:ctrlPr>
              <w:rPr>
                <w:rFonts w:ascii="Cambria Math" w:eastAsia="Times New Roman" w:hAnsi="Cambria Math" w:cs="Times New Roman"/>
                <w:i/>
              </w:rPr>
            </m:ctrlPr>
          </m:fPr>
          <m:num>
            <m:r>
              <w:rPr>
                <w:rFonts w:ascii="Cambria Math" w:eastAsia="Times New Roman" w:hAnsi="Cambria Math" w:cs="Times New Roman"/>
              </w:rPr>
              <m:t>∂E</m:t>
            </m:r>
            <m:d>
              <m:dPr>
                <m:begChr m:val="["/>
                <m:endChr m:val="]"/>
                <m:ctrlPr>
                  <w:rPr>
                    <w:rFonts w:ascii="Cambria Math" w:eastAsia="Times New Roman" w:hAnsi="Cambria Math" w:cs="Times New Roman"/>
                    <w:i/>
                  </w:rPr>
                </m:ctrlPr>
              </m:dPr>
              <m:e>
                <m:sSub>
                  <m:sSubPr>
                    <m:ctrlPr>
                      <w:rPr>
                        <w:rFonts w:ascii="Cambria Math" w:eastAsia="Times New Roman" w:hAnsi="Cambria Math" w:cs="Times New Roman"/>
                        <w:i/>
                      </w:rPr>
                    </m:ctrlPr>
                  </m:sSubPr>
                  <m:e>
                    <m:r>
                      <w:rPr>
                        <w:rFonts w:ascii="Cambria Math" w:eastAsia="Times New Roman" w:hAnsi="Cambria Math" w:cs="Times New Roman"/>
                      </w:rPr>
                      <m:t>Y</m:t>
                    </m:r>
                  </m:e>
                  <m:sub>
                    <m:r>
                      <w:rPr>
                        <w:rFonts w:ascii="Cambria Math" w:eastAsia="Times New Roman" w:hAnsi="Cambria Math" w:cs="Times New Roman"/>
                      </w:rPr>
                      <m:t>its</m:t>
                    </m:r>
                  </m:sub>
                </m:sSub>
              </m:e>
              <m:e>
                <m:r>
                  <w:rPr>
                    <w:rFonts w:ascii="Cambria Math" w:eastAsia="Times New Roman" w:hAnsi="Cambria Math" w:cs="Times New Roman"/>
                  </w:rPr>
                  <m:t>Covariates</m:t>
                </m:r>
              </m:e>
            </m:d>
          </m:num>
          <m:den>
            <m:r>
              <w:rPr>
                <w:rFonts w:ascii="Cambria Math" w:eastAsia="Times New Roman" w:hAnsi="Cambria Math" w:cs="Times New Roman"/>
              </w:rPr>
              <m:t>∂FireCoun</m:t>
            </m:r>
            <m:sSub>
              <m:sSubPr>
                <m:ctrlPr>
                  <w:rPr>
                    <w:rFonts w:ascii="Cambria Math" w:eastAsia="Times New Roman" w:hAnsi="Cambria Math" w:cs="Times New Roman"/>
                    <w:i/>
                  </w:rPr>
                </m:ctrlPr>
              </m:sSubPr>
              <m:e>
                <m:r>
                  <w:rPr>
                    <w:rFonts w:ascii="Cambria Math" w:eastAsia="Times New Roman" w:hAnsi="Cambria Math" w:cs="Times New Roman"/>
                  </w:rPr>
                  <m:t>t</m:t>
                </m:r>
              </m:e>
              <m:sub>
                <m:r>
                  <w:rPr>
                    <w:rFonts w:ascii="Cambria Math" w:eastAsia="Times New Roman" w:hAnsi="Cambria Math" w:cs="Times New Roman"/>
                  </w:rPr>
                  <m:t>i,t-1</m:t>
                </m:r>
              </m:sub>
            </m:sSub>
          </m:den>
        </m:f>
        <m:r>
          <w:rPr>
            <w:rFonts w:ascii="Cambria Math" w:eastAsia="Times New Roman" w:hAnsi="Cambria Math" w:cs="Times New Roman"/>
          </w:rPr>
          <m:t>=</m:t>
        </m:r>
        <m:sSub>
          <m:sSubPr>
            <m:ctrlPr>
              <w:rPr>
                <w:rFonts w:ascii="Cambria Math" w:eastAsia="Times New Roman" w:hAnsi="Cambria Math" w:cs="Times New Roman"/>
              </w:rPr>
            </m:ctrlPr>
          </m:sSubPr>
          <m:e>
            <m:r>
              <w:rPr>
                <w:rFonts w:ascii="Cambria Math" w:eastAsia="Times New Roman" w:hAnsi="Cambria Math" w:cs="Times New Roman"/>
              </w:rPr>
              <m:t>β</m:t>
            </m:r>
          </m:e>
          <m:sub>
            <m:r>
              <m:rPr>
                <m:sty m:val="p"/>
              </m:rPr>
              <w:rPr>
                <w:rFonts w:ascii="Cambria Math" w:eastAsia="Times New Roman" w:hAnsi="Cambria Math" w:cs="Times New Roman"/>
              </w:rPr>
              <m:t>1</m:t>
            </m:r>
          </m:sub>
        </m:sSub>
      </m:oMath>
    </w:p>
    <w:p w14:paraId="55936512" w14:textId="77777777" w:rsidR="00BF0763" w:rsidRPr="00BF0763" w:rsidRDefault="00BF0763" w:rsidP="00B34C76">
      <w:pPr>
        <w:rPr>
          <w:rFonts w:eastAsia="Times New Roman" w:cs="Times New Roman"/>
          <w:b/>
          <w:bCs/>
        </w:rPr>
      </w:pPr>
      <w:r w:rsidRPr="00BF0763">
        <w:rPr>
          <w:rFonts w:eastAsia="Times New Roman" w:cs="Times New Roman"/>
          <w:b/>
          <w:bCs/>
        </w:rPr>
        <w:t>Interpretation:</w:t>
      </w:r>
    </w:p>
    <w:p w14:paraId="12994852" w14:textId="77777777" w:rsidR="00BF0763" w:rsidRPr="00BF0763" w:rsidRDefault="00BF0763" w:rsidP="00B34C76">
      <w:pPr>
        <w:numPr>
          <w:ilvl w:val="0"/>
          <w:numId w:val="44"/>
        </w:numPr>
        <w:contextualSpacing/>
        <w:rPr>
          <w:rFonts w:eastAsia="Times New Roman" w:cs="Times New Roman"/>
        </w:rPr>
      </w:pPr>
      <w:r w:rsidRPr="00BF0763">
        <w:rPr>
          <w:rFonts w:eastAsia="Times New Roman" w:cs="Times New Roman"/>
        </w:rPr>
        <w:t xml:space="preserve">A 1-unit increase in </w:t>
      </w:r>
      <m:oMath>
        <m:r>
          <w:rPr>
            <w:rFonts w:ascii="Cambria Math" w:eastAsia="Times New Roman" w:hAnsi="Cambria Math" w:cs="Times New Roman"/>
          </w:rPr>
          <m:t>FireCount</m:t>
        </m:r>
      </m:oMath>
      <w:r w:rsidRPr="00BF0763">
        <w:rPr>
          <w:rFonts w:eastAsia="Times New Roman" w:cs="Times New Roman"/>
        </w:rPr>
        <w:t xml:space="preserve"> (scaled by 1,000 fires) results in a </w:t>
      </w:r>
      <m:oMath>
        <m:sSub>
          <m:sSubPr>
            <m:ctrlPr>
              <w:rPr>
                <w:rFonts w:ascii="Cambria Math" w:eastAsia="Times New Roman" w:hAnsi="Cambria Math" w:cs="Times New Roman"/>
                <w:i/>
              </w:rPr>
            </m:ctrlPr>
          </m:sSubPr>
          <m:e>
            <m:r>
              <w:rPr>
                <w:rFonts w:ascii="Cambria Math" w:eastAsia="Times New Roman" w:hAnsi="Cambria Math" w:cs="Times New Roman"/>
              </w:rPr>
              <m:t>β</m:t>
            </m:r>
          </m:e>
          <m:sub>
            <m:r>
              <w:rPr>
                <w:rFonts w:ascii="Cambria Math" w:eastAsia="Times New Roman" w:hAnsi="Cambria Math" w:cs="Times New Roman"/>
              </w:rPr>
              <m:t>1</m:t>
            </m:r>
          </m:sub>
        </m:sSub>
        <m:r>
          <w:rPr>
            <w:rFonts w:ascii="Cambria Math" w:eastAsia="Times New Roman" w:hAnsi="Cambria Math" w:cs="Times New Roman"/>
          </w:rPr>
          <m:t>*100%</m:t>
        </m:r>
      </m:oMath>
      <w:r w:rsidRPr="00BF0763">
        <w:rPr>
          <w:rFonts w:eastAsia="Times New Roman" w:cs="Times New Roman"/>
        </w:rPr>
        <w:t xml:space="preserve"> change in </w:t>
      </w:r>
      <m:oMath>
        <m:r>
          <w:rPr>
            <w:rFonts w:ascii="Cambria Math" w:eastAsia="Times New Roman" w:hAnsi="Cambria Math" w:cs="Times New Roman"/>
          </w:rPr>
          <m:t>E[</m:t>
        </m:r>
        <m:sSub>
          <m:sSubPr>
            <m:ctrlPr>
              <w:rPr>
                <w:rFonts w:ascii="Cambria Math" w:eastAsia="Times New Roman" w:hAnsi="Cambria Math" w:cs="Times New Roman"/>
                <w:i/>
              </w:rPr>
            </m:ctrlPr>
          </m:sSubPr>
          <m:e>
            <m:r>
              <w:rPr>
                <w:rFonts w:ascii="Cambria Math" w:eastAsia="Times New Roman" w:hAnsi="Cambria Math" w:cs="Times New Roman"/>
              </w:rPr>
              <m:t>Y</m:t>
            </m:r>
          </m:e>
          <m:sub>
            <m:r>
              <w:rPr>
                <w:rFonts w:ascii="Cambria Math" w:eastAsia="Times New Roman" w:hAnsi="Cambria Math" w:cs="Times New Roman"/>
              </w:rPr>
              <m:t>its</m:t>
            </m:r>
          </m:sub>
        </m:sSub>
        <m:r>
          <w:rPr>
            <w:rFonts w:ascii="Cambria Math" w:eastAsia="Times New Roman" w:hAnsi="Cambria Math" w:cs="Times New Roman"/>
          </w:rPr>
          <m:t>]</m:t>
        </m:r>
      </m:oMath>
      <w:r w:rsidRPr="00BF0763">
        <w:rPr>
          <w:rFonts w:eastAsia="Times New Roman" w:cs="Times New Roman"/>
        </w:rPr>
        <w:t>.</w:t>
      </w:r>
    </w:p>
    <w:p w14:paraId="1D783108" w14:textId="77777777" w:rsidR="00BF0763" w:rsidRPr="00BF0763" w:rsidRDefault="00BF0763" w:rsidP="00B34C76">
      <w:pPr>
        <w:numPr>
          <w:ilvl w:val="0"/>
          <w:numId w:val="44"/>
        </w:numPr>
        <w:contextualSpacing/>
        <w:rPr>
          <w:rFonts w:eastAsia="Times New Roman" w:cs="Times New Roman"/>
        </w:rPr>
      </w:pPr>
      <w:r w:rsidRPr="00BF0763">
        <w:rPr>
          <w:rFonts w:eastAsia="Times New Roman" w:cs="Times New Roman"/>
        </w:rPr>
        <w:t xml:space="preserve">For a smaller increment of 0.1 units (representing 100 fires), the marginal effect is </w:t>
      </w:r>
      <m:oMath>
        <m:r>
          <w:rPr>
            <w:rFonts w:ascii="Cambria Math" w:eastAsia="Times New Roman" w:hAnsi="Cambria Math" w:cs="Times New Roman"/>
          </w:rPr>
          <m:t>0.1*</m:t>
        </m:r>
        <m:sSub>
          <m:sSubPr>
            <m:ctrlPr>
              <w:rPr>
                <w:rFonts w:ascii="Cambria Math" w:eastAsia="Times New Roman" w:hAnsi="Cambria Math" w:cs="Times New Roman"/>
                <w:i/>
              </w:rPr>
            </m:ctrlPr>
          </m:sSubPr>
          <m:e>
            <m:r>
              <w:rPr>
                <w:rFonts w:ascii="Cambria Math" w:eastAsia="Times New Roman" w:hAnsi="Cambria Math" w:cs="Times New Roman"/>
              </w:rPr>
              <m:t>β</m:t>
            </m:r>
          </m:e>
          <m:sub>
            <m:r>
              <w:rPr>
                <w:rFonts w:ascii="Cambria Math" w:eastAsia="Times New Roman" w:hAnsi="Cambria Math" w:cs="Times New Roman"/>
              </w:rPr>
              <m:t>1</m:t>
            </m:r>
          </m:sub>
        </m:sSub>
      </m:oMath>
      <w:r w:rsidRPr="00BF0763">
        <w:rPr>
          <w:rFonts w:eastAsia="Times New Roman" w:cs="Times New Roman"/>
        </w:rPr>
        <w:t>.</w:t>
      </w:r>
    </w:p>
    <w:p w14:paraId="6F97F419" w14:textId="77777777" w:rsidR="00BF0763" w:rsidRPr="00BF0763" w:rsidRDefault="00BF0763" w:rsidP="00B34C76">
      <w:pPr>
        <w:numPr>
          <w:ilvl w:val="0"/>
          <w:numId w:val="43"/>
        </w:numPr>
        <w:contextualSpacing/>
        <w:rPr>
          <w:rFonts w:eastAsia="Times New Roman" w:cs="Times New Roman"/>
          <w:b/>
          <w:bCs/>
        </w:rPr>
      </w:pPr>
      <w:r w:rsidRPr="00BF0763">
        <w:rPr>
          <w:rFonts w:eastAsia="Times New Roman" w:cs="Times New Roman"/>
          <w:b/>
          <w:bCs/>
        </w:rPr>
        <w:t>Marginal Effect for Burned Area</w:t>
      </w:r>
    </w:p>
    <w:p w14:paraId="418D2C39" w14:textId="3ADF311E" w:rsidR="00BF0763" w:rsidRPr="00EA289C" w:rsidRDefault="00BF0763" w:rsidP="00B34C76">
      <w:pPr>
        <w:rPr>
          <w:rFonts w:eastAsia="Times New Roman" w:cs="Times New Roman"/>
        </w:rPr>
      </w:pPr>
      <w:r w:rsidRPr="00BF0763">
        <w:rPr>
          <w:rFonts w:eastAsia="Times New Roman" w:cs="Times New Roman"/>
        </w:rPr>
        <w:t xml:space="preserve">The marginal effect of </w:t>
      </w:r>
      <m:oMath>
        <m:r>
          <w:rPr>
            <w:rFonts w:ascii="Cambria Math" w:eastAsia="Times New Roman" w:hAnsi="Cambria Math" w:cs="Times New Roman"/>
          </w:rPr>
          <m:t>Burned Area</m:t>
        </m:r>
        <m:sSub>
          <m:sSubPr>
            <m:ctrlPr>
              <w:rPr>
                <w:rFonts w:ascii="Cambria Math" w:eastAsia="Times New Roman" w:hAnsi="Cambria Math" w:cs="Times New Roman"/>
                <w:i/>
              </w:rPr>
            </m:ctrlPr>
          </m:sSubPr>
          <m:e>
            <m:r>
              <w:rPr>
                <w:rFonts w:ascii="Cambria Math" w:eastAsia="Times New Roman" w:hAnsi="Cambria Math" w:cs="Times New Roman"/>
              </w:rPr>
              <m:t>s</m:t>
            </m:r>
          </m:e>
          <m:sub>
            <m:r>
              <w:rPr>
                <w:rFonts w:ascii="Cambria Math" w:eastAsia="Times New Roman" w:hAnsi="Cambria Math" w:cs="Times New Roman"/>
              </w:rPr>
              <m:t>i,t-1</m:t>
            </m:r>
          </m:sub>
        </m:sSub>
      </m:oMath>
      <w:r w:rsidRPr="00BF0763">
        <w:rPr>
          <w:rFonts w:eastAsia="Times New Roman" w:cs="Times New Roman"/>
        </w:rPr>
        <w:t xml:space="preserve"> is:</w:t>
      </w:r>
      <w:r w:rsidR="00EA289C">
        <w:rPr>
          <w:rFonts w:eastAsia="Times New Roman" w:cs="Times New Roman"/>
        </w:rPr>
        <w:t xml:space="preserve"> </w:t>
      </w:r>
      <m:oMath>
        <m:f>
          <m:fPr>
            <m:ctrlPr>
              <w:rPr>
                <w:rFonts w:ascii="Cambria Math" w:eastAsia="Times New Roman" w:hAnsi="Cambria Math" w:cs="Times New Roman"/>
                <w:i/>
              </w:rPr>
            </m:ctrlPr>
          </m:fPr>
          <m:num>
            <m:r>
              <w:rPr>
                <w:rFonts w:ascii="Cambria Math" w:eastAsia="Times New Roman" w:hAnsi="Cambria Math" w:cs="Times New Roman"/>
              </w:rPr>
              <m:t>∂E</m:t>
            </m:r>
            <m:d>
              <m:dPr>
                <m:begChr m:val="["/>
                <m:endChr m:val="]"/>
                <m:ctrlPr>
                  <w:rPr>
                    <w:rFonts w:ascii="Cambria Math" w:eastAsia="Times New Roman" w:hAnsi="Cambria Math" w:cs="Times New Roman"/>
                    <w:i/>
                  </w:rPr>
                </m:ctrlPr>
              </m:dPr>
              <m:e>
                <m:sSub>
                  <m:sSubPr>
                    <m:ctrlPr>
                      <w:rPr>
                        <w:rFonts w:ascii="Cambria Math" w:eastAsia="Times New Roman" w:hAnsi="Cambria Math" w:cs="Times New Roman"/>
                        <w:i/>
                      </w:rPr>
                    </m:ctrlPr>
                  </m:sSubPr>
                  <m:e>
                    <m:r>
                      <w:rPr>
                        <w:rFonts w:ascii="Cambria Math" w:eastAsia="Times New Roman" w:hAnsi="Cambria Math" w:cs="Times New Roman"/>
                      </w:rPr>
                      <m:t>Y</m:t>
                    </m:r>
                  </m:e>
                  <m:sub>
                    <m:r>
                      <w:rPr>
                        <w:rFonts w:ascii="Cambria Math" w:eastAsia="Times New Roman" w:hAnsi="Cambria Math" w:cs="Times New Roman"/>
                      </w:rPr>
                      <m:t>its</m:t>
                    </m:r>
                  </m:sub>
                </m:sSub>
              </m:e>
              <m:e>
                <m:r>
                  <w:rPr>
                    <w:rFonts w:ascii="Cambria Math" w:eastAsia="Times New Roman" w:hAnsi="Cambria Math" w:cs="Times New Roman"/>
                  </w:rPr>
                  <m:t>Covariates</m:t>
                </m:r>
              </m:e>
            </m:d>
          </m:num>
          <m:den>
            <m:r>
              <w:rPr>
                <w:rFonts w:ascii="Cambria Math" w:eastAsia="Times New Roman" w:hAnsi="Cambria Math" w:cs="Times New Roman"/>
              </w:rPr>
              <m:t>∂Burned Area</m:t>
            </m:r>
            <m:sSub>
              <m:sSubPr>
                <m:ctrlPr>
                  <w:rPr>
                    <w:rFonts w:ascii="Cambria Math" w:eastAsia="Times New Roman" w:hAnsi="Cambria Math" w:cs="Times New Roman"/>
                    <w:i/>
                  </w:rPr>
                </m:ctrlPr>
              </m:sSubPr>
              <m:e>
                <m:r>
                  <w:rPr>
                    <w:rFonts w:ascii="Cambria Math" w:eastAsia="Times New Roman" w:hAnsi="Cambria Math" w:cs="Times New Roman"/>
                  </w:rPr>
                  <m:t>s</m:t>
                </m:r>
              </m:e>
              <m:sub>
                <m:r>
                  <w:rPr>
                    <w:rFonts w:ascii="Cambria Math" w:eastAsia="Times New Roman" w:hAnsi="Cambria Math" w:cs="Times New Roman"/>
                  </w:rPr>
                  <m:t>i,t-1</m:t>
                </m:r>
              </m:sub>
            </m:sSub>
          </m:den>
        </m:f>
        <m:r>
          <w:rPr>
            <w:rFonts w:ascii="Cambria Math" w:eastAsia="Times New Roman" w:hAnsi="Cambria Math" w:cs="Times New Roman"/>
          </w:rPr>
          <m:t>=E</m:t>
        </m:r>
        <m:d>
          <m:dPr>
            <m:begChr m:val="["/>
            <m:sepChr m:val="∣"/>
            <m:endChr m:val="]"/>
            <m:ctrlPr>
              <w:rPr>
                <w:rFonts w:ascii="Cambria Math" w:eastAsia="Times New Roman" w:hAnsi="Cambria Math" w:cs="Times New Roman"/>
                <w:i/>
              </w:rPr>
            </m:ctrlPr>
          </m:dPr>
          <m:e>
            <m:sSub>
              <m:sSubPr>
                <m:ctrlPr>
                  <w:rPr>
                    <w:rFonts w:ascii="Cambria Math" w:eastAsia="Times New Roman" w:hAnsi="Cambria Math" w:cs="Times New Roman"/>
                  </w:rPr>
                </m:ctrlPr>
              </m:sSubPr>
              <m:e>
                <m:r>
                  <w:rPr>
                    <w:rFonts w:ascii="Cambria Math" w:eastAsia="Times New Roman" w:hAnsi="Cambria Math" w:cs="Times New Roman"/>
                  </w:rPr>
                  <m:t>Y</m:t>
                </m:r>
              </m:e>
              <m:sub>
                <m:r>
                  <w:rPr>
                    <w:rFonts w:ascii="Cambria Math" w:eastAsia="Times New Roman" w:hAnsi="Cambria Math" w:cs="Times New Roman"/>
                  </w:rPr>
                  <m:t>its</m:t>
                </m:r>
              </m:sub>
            </m:sSub>
            <m:ctrlPr>
              <w:rPr>
                <w:rFonts w:ascii="Cambria Math" w:eastAsia="Times New Roman" w:hAnsi="Cambria Math" w:cs="Times New Roman"/>
              </w:rPr>
            </m:ctrlPr>
          </m:e>
          <m:e>
            <m:r>
              <w:rPr>
                <w:rFonts w:ascii="Cambria Math" w:eastAsia="Times New Roman" w:hAnsi="Cambria Math" w:cs="Times New Roman"/>
              </w:rPr>
              <m:t>Covariates</m:t>
            </m:r>
            <m:ctrlPr>
              <w:rPr>
                <w:rFonts w:ascii="Cambria Math" w:eastAsia="Times New Roman" w:hAnsi="Cambria Math" w:cs="Times New Roman"/>
              </w:rPr>
            </m:ctrlPr>
          </m:e>
        </m:d>
        <m:r>
          <m:rPr>
            <m:sty m:val="p"/>
          </m:rPr>
          <w:rPr>
            <w:rFonts w:ascii="Cambria Math" w:eastAsia="Times New Roman" w:hAnsi="Cambria Math" w:cs="Times New Roman"/>
          </w:rPr>
          <m:t>*</m:t>
        </m:r>
        <m:sSub>
          <m:sSubPr>
            <m:ctrlPr>
              <w:rPr>
                <w:rFonts w:ascii="Cambria Math" w:eastAsia="Times New Roman" w:hAnsi="Cambria Math" w:cs="Times New Roman"/>
              </w:rPr>
            </m:ctrlPr>
          </m:sSubPr>
          <m:e>
            <m:r>
              <w:rPr>
                <w:rFonts w:ascii="Cambria Math" w:eastAsia="Times New Roman" w:hAnsi="Cambria Math" w:cs="Times New Roman"/>
              </w:rPr>
              <m:t>β</m:t>
            </m:r>
          </m:e>
          <m:sub>
            <m:r>
              <m:rPr>
                <m:sty m:val="p"/>
              </m:rPr>
              <w:rPr>
                <w:rFonts w:ascii="Cambria Math" w:eastAsia="Times New Roman" w:hAnsi="Cambria Math" w:cs="Times New Roman"/>
              </w:rPr>
              <m:t>2</m:t>
            </m:r>
          </m:sub>
        </m:sSub>
      </m:oMath>
    </w:p>
    <w:p w14:paraId="212A2E07" w14:textId="59040671" w:rsidR="00BF0763" w:rsidRPr="00EA289C" w:rsidRDefault="00BF0763" w:rsidP="00B34C76">
      <w:pPr>
        <w:rPr>
          <w:rFonts w:eastAsia="Times New Roman" w:cs="Times New Roman"/>
        </w:rPr>
      </w:pPr>
      <w:r w:rsidRPr="00BF0763">
        <w:rPr>
          <w:rFonts w:eastAsia="Times New Roman" w:cs="Times New Roman"/>
        </w:rPr>
        <w:t>After normalization (</w:t>
      </w:r>
      <m:oMath>
        <m:r>
          <w:rPr>
            <w:rFonts w:ascii="Cambria Math" w:eastAsia="Times New Roman" w:hAnsi="Cambria Math" w:cs="Times New Roman"/>
          </w:rPr>
          <m:t>E</m:t>
        </m:r>
        <m:d>
          <m:dPr>
            <m:begChr m:val="["/>
            <m:endChr m:val="]"/>
            <m:ctrlPr>
              <w:rPr>
                <w:rFonts w:ascii="Cambria Math" w:eastAsia="Times New Roman" w:hAnsi="Cambria Math" w:cs="Times New Roman"/>
                <w:i/>
              </w:rPr>
            </m:ctrlPr>
          </m:dPr>
          <m:e>
            <m:sSub>
              <m:sSubPr>
                <m:ctrlPr>
                  <w:rPr>
                    <w:rFonts w:ascii="Cambria Math" w:eastAsia="Times New Roman" w:hAnsi="Cambria Math" w:cs="Times New Roman"/>
                    <w:i/>
                  </w:rPr>
                </m:ctrlPr>
              </m:sSubPr>
              <m:e>
                <m:r>
                  <w:rPr>
                    <w:rFonts w:ascii="Cambria Math" w:eastAsia="Times New Roman" w:hAnsi="Cambria Math" w:cs="Times New Roman"/>
                  </w:rPr>
                  <m:t>Y</m:t>
                </m:r>
              </m:e>
              <m:sub>
                <m:r>
                  <w:rPr>
                    <w:rFonts w:ascii="Cambria Math" w:eastAsia="Times New Roman" w:hAnsi="Cambria Math" w:cs="Times New Roman"/>
                  </w:rPr>
                  <m:t>its</m:t>
                </m:r>
              </m:sub>
            </m:sSub>
          </m:e>
        </m:d>
        <m:r>
          <w:rPr>
            <w:rFonts w:ascii="Cambria Math" w:eastAsia="Times New Roman" w:hAnsi="Cambria Math" w:cs="Times New Roman"/>
          </w:rPr>
          <m:t>=1</m:t>
        </m:r>
      </m:oMath>
      <w:r w:rsidRPr="00BF0763">
        <w:rPr>
          <w:rFonts w:eastAsia="Times New Roman" w:cs="Times New Roman"/>
        </w:rPr>
        <w:t>):</w:t>
      </w:r>
      <w:r w:rsidR="00EA289C">
        <w:rPr>
          <w:rFonts w:eastAsia="Times New Roman" w:cs="Times New Roman"/>
        </w:rPr>
        <w:t xml:space="preserve"> </w:t>
      </w:r>
      <m:oMath>
        <m:f>
          <m:fPr>
            <m:ctrlPr>
              <w:rPr>
                <w:rFonts w:ascii="Cambria Math" w:eastAsia="Times New Roman" w:hAnsi="Cambria Math" w:cs="Times New Roman"/>
                <w:i/>
              </w:rPr>
            </m:ctrlPr>
          </m:fPr>
          <m:num>
            <m:r>
              <w:rPr>
                <w:rFonts w:ascii="Cambria Math" w:eastAsia="Times New Roman" w:hAnsi="Cambria Math" w:cs="Times New Roman"/>
              </w:rPr>
              <m:t>∂E</m:t>
            </m:r>
            <m:d>
              <m:dPr>
                <m:begChr m:val="["/>
                <m:endChr m:val="]"/>
                <m:ctrlPr>
                  <w:rPr>
                    <w:rFonts w:ascii="Cambria Math" w:eastAsia="Times New Roman" w:hAnsi="Cambria Math" w:cs="Times New Roman"/>
                    <w:i/>
                  </w:rPr>
                </m:ctrlPr>
              </m:dPr>
              <m:e>
                <m:sSub>
                  <m:sSubPr>
                    <m:ctrlPr>
                      <w:rPr>
                        <w:rFonts w:ascii="Cambria Math" w:eastAsia="Times New Roman" w:hAnsi="Cambria Math" w:cs="Times New Roman"/>
                        <w:i/>
                      </w:rPr>
                    </m:ctrlPr>
                  </m:sSubPr>
                  <m:e>
                    <m:r>
                      <w:rPr>
                        <w:rFonts w:ascii="Cambria Math" w:eastAsia="Times New Roman" w:hAnsi="Cambria Math" w:cs="Times New Roman"/>
                      </w:rPr>
                      <m:t>Y</m:t>
                    </m:r>
                  </m:e>
                  <m:sub>
                    <m:r>
                      <w:rPr>
                        <w:rFonts w:ascii="Cambria Math" w:eastAsia="Times New Roman" w:hAnsi="Cambria Math" w:cs="Times New Roman"/>
                      </w:rPr>
                      <m:t>its</m:t>
                    </m:r>
                  </m:sub>
                </m:sSub>
              </m:e>
              <m:e>
                <m:r>
                  <w:rPr>
                    <w:rFonts w:ascii="Cambria Math" w:eastAsia="Times New Roman" w:hAnsi="Cambria Math" w:cs="Times New Roman"/>
                  </w:rPr>
                  <m:t>Covariates</m:t>
                </m:r>
              </m:e>
            </m:d>
          </m:num>
          <m:den>
            <m:r>
              <w:rPr>
                <w:rFonts w:ascii="Cambria Math" w:eastAsia="Times New Roman" w:hAnsi="Cambria Math" w:cs="Times New Roman"/>
              </w:rPr>
              <m:t>∂Burned Area</m:t>
            </m:r>
            <m:sSub>
              <m:sSubPr>
                <m:ctrlPr>
                  <w:rPr>
                    <w:rFonts w:ascii="Cambria Math" w:eastAsia="Times New Roman" w:hAnsi="Cambria Math" w:cs="Times New Roman"/>
                    <w:i/>
                  </w:rPr>
                </m:ctrlPr>
              </m:sSubPr>
              <m:e>
                <m:r>
                  <w:rPr>
                    <w:rFonts w:ascii="Cambria Math" w:eastAsia="Times New Roman" w:hAnsi="Cambria Math" w:cs="Times New Roman"/>
                  </w:rPr>
                  <m:t>s</m:t>
                </m:r>
              </m:e>
              <m:sub>
                <m:r>
                  <w:rPr>
                    <w:rFonts w:ascii="Cambria Math" w:eastAsia="Times New Roman" w:hAnsi="Cambria Math" w:cs="Times New Roman"/>
                  </w:rPr>
                  <m:t>i,t-1</m:t>
                </m:r>
              </m:sub>
            </m:sSub>
          </m:den>
        </m:f>
        <m:r>
          <w:rPr>
            <w:rFonts w:ascii="Cambria Math" w:eastAsia="Times New Roman" w:hAnsi="Cambria Math" w:cs="Times New Roman"/>
          </w:rPr>
          <m:t>=</m:t>
        </m:r>
        <m:sSub>
          <m:sSubPr>
            <m:ctrlPr>
              <w:rPr>
                <w:rFonts w:ascii="Cambria Math" w:eastAsia="Times New Roman" w:hAnsi="Cambria Math" w:cs="Times New Roman"/>
              </w:rPr>
            </m:ctrlPr>
          </m:sSubPr>
          <m:e>
            <m:r>
              <w:rPr>
                <w:rFonts w:ascii="Cambria Math" w:eastAsia="Times New Roman" w:hAnsi="Cambria Math" w:cs="Times New Roman"/>
              </w:rPr>
              <m:t>β</m:t>
            </m:r>
          </m:e>
          <m:sub>
            <m:r>
              <m:rPr>
                <m:sty m:val="p"/>
              </m:rPr>
              <w:rPr>
                <w:rFonts w:ascii="Cambria Math" w:eastAsia="Times New Roman" w:hAnsi="Cambria Math" w:cs="Times New Roman"/>
              </w:rPr>
              <m:t>2</m:t>
            </m:r>
          </m:sub>
        </m:sSub>
      </m:oMath>
    </w:p>
    <w:p w14:paraId="6A34951D" w14:textId="77777777" w:rsidR="00BF0763" w:rsidRPr="00BF0763" w:rsidRDefault="00BF0763" w:rsidP="00B34C76">
      <w:pPr>
        <w:rPr>
          <w:rFonts w:eastAsia="Times New Roman" w:cs="Times New Roman"/>
          <w:b/>
          <w:bCs/>
        </w:rPr>
      </w:pPr>
      <w:r w:rsidRPr="00BF0763">
        <w:rPr>
          <w:rFonts w:eastAsia="Times New Roman" w:cs="Times New Roman"/>
          <w:b/>
          <w:bCs/>
        </w:rPr>
        <w:lastRenderedPageBreak/>
        <w:t>Interpretation:</w:t>
      </w:r>
    </w:p>
    <w:p w14:paraId="7E4959D1" w14:textId="77777777" w:rsidR="00BF0763" w:rsidRPr="00BF0763" w:rsidRDefault="00BF0763" w:rsidP="00B34C76">
      <w:pPr>
        <w:numPr>
          <w:ilvl w:val="0"/>
          <w:numId w:val="45"/>
        </w:numPr>
        <w:contextualSpacing/>
        <w:rPr>
          <w:rFonts w:eastAsia="Times New Roman" w:cs="Times New Roman"/>
        </w:rPr>
      </w:pPr>
      <w:r w:rsidRPr="00BF0763">
        <w:rPr>
          <w:rFonts w:eastAsia="Times New Roman" w:cs="Times New Roman"/>
        </w:rPr>
        <w:t xml:space="preserve">A 1-unit increase in </w:t>
      </w:r>
      <m:oMath>
        <m:r>
          <w:rPr>
            <w:rFonts w:ascii="Cambria Math" w:eastAsia="Times New Roman" w:hAnsi="Cambria Math" w:cs="Times New Roman"/>
          </w:rPr>
          <m:t>Burned Areas</m:t>
        </m:r>
      </m:oMath>
      <w:r w:rsidRPr="00BF0763">
        <w:rPr>
          <w:rFonts w:eastAsia="Times New Roman" w:cs="Times New Roman"/>
        </w:rPr>
        <w:t xml:space="preserve"> (100% increase in area burned) results in a </w:t>
      </w:r>
      <m:oMath>
        <m:sSub>
          <m:sSubPr>
            <m:ctrlPr>
              <w:rPr>
                <w:rFonts w:ascii="Cambria Math" w:eastAsia="Times New Roman" w:hAnsi="Cambria Math" w:cs="Times New Roman"/>
                <w:i/>
              </w:rPr>
            </m:ctrlPr>
          </m:sSubPr>
          <m:e>
            <m:r>
              <w:rPr>
                <w:rFonts w:ascii="Cambria Math" w:eastAsia="Times New Roman" w:hAnsi="Cambria Math" w:cs="Times New Roman"/>
              </w:rPr>
              <m:t>β</m:t>
            </m:r>
          </m:e>
          <m:sub>
            <m:r>
              <w:rPr>
                <w:rFonts w:ascii="Cambria Math" w:eastAsia="Times New Roman" w:hAnsi="Cambria Math" w:cs="Times New Roman"/>
              </w:rPr>
              <m:t>2</m:t>
            </m:r>
          </m:sub>
        </m:sSub>
        <m:r>
          <w:rPr>
            <w:rFonts w:ascii="Cambria Math" w:eastAsia="Times New Roman" w:hAnsi="Cambria Math" w:cs="Times New Roman"/>
          </w:rPr>
          <m:t>*100%</m:t>
        </m:r>
      </m:oMath>
      <w:r w:rsidRPr="00BF0763">
        <w:rPr>
          <w:rFonts w:eastAsia="Times New Roman" w:cs="Times New Roman"/>
        </w:rPr>
        <w:t xml:space="preserve"> change in </w:t>
      </w:r>
      <m:oMath>
        <m:r>
          <w:rPr>
            <w:rFonts w:ascii="Cambria Math" w:eastAsia="Times New Roman" w:hAnsi="Cambria Math" w:cs="Times New Roman"/>
          </w:rPr>
          <m:t>E[</m:t>
        </m:r>
        <m:sSub>
          <m:sSubPr>
            <m:ctrlPr>
              <w:rPr>
                <w:rFonts w:ascii="Cambria Math" w:eastAsia="Times New Roman" w:hAnsi="Cambria Math" w:cs="Times New Roman"/>
                <w:i/>
              </w:rPr>
            </m:ctrlPr>
          </m:sSubPr>
          <m:e>
            <m:r>
              <w:rPr>
                <w:rFonts w:ascii="Cambria Math" w:eastAsia="Times New Roman" w:hAnsi="Cambria Math" w:cs="Times New Roman"/>
              </w:rPr>
              <m:t>Y</m:t>
            </m:r>
          </m:e>
          <m:sub>
            <m:r>
              <w:rPr>
                <w:rFonts w:ascii="Cambria Math" w:eastAsia="Times New Roman" w:hAnsi="Cambria Math" w:cs="Times New Roman"/>
              </w:rPr>
              <m:t>its</m:t>
            </m:r>
          </m:sub>
        </m:sSub>
        <m:r>
          <w:rPr>
            <w:rFonts w:ascii="Cambria Math" w:eastAsia="Times New Roman" w:hAnsi="Cambria Math" w:cs="Times New Roman"/>
          </w:rPr>
          <m:t>]</m:t>
        </m:r>
      </m:oMath>
      <w:r w:rsidRPr="00BF0763">
        <w:rPr>
          <w:rFonts w:eastAsia="Times New Roman" w:cs="Times New Roman"/>
        </w:rPr>
        <w:t>.</w:t>
      </w:r>
    </w:p>
    <w:p w14:paraId="5F07906C" w14:textId="77777777" w:rsidR="00BF0763" w:rsidRPr="00BF0763" w:rsidRDefault="00BF0763" w:rsidP="00B34C76">
      <w:pPr>
        <w:numPr>
          <w:ilvl w:val="0"/>
          <w:numId w:val="45"/>
        </w:numPr>
        <w:contextualSpacing/>
        <w:rPr>
          <w:rFonts w:eastAsia="Times New Roman" w:cs="Times New Roman"/>
        </w:rPr>
      </w:pPr>
      <w:r w:rsidRPr="00BF0763">
        <w:rPr>
          <w:rFonts w:eastAsia="Times New Roman" w:cs="Times New Roman"/>
        </w:rPr>
        <w:t xml:space="preserve">For a smaller increment of 0.01 units (1% increase in area burned), the marginal effect is </w:t>
      </w:r>
      <m:oMath>
        <m:r>
          <w:rPr>
            <w:rFonts w:ascii="Cambria Math" w:eastAsia="Times New Roman" w:hAnsi="Cambria Math" w:cs="Times New Roman"/>
          </w:rPr>
          <m:t>0.1*</m:t>
        </m:r>
        <m:sSub>
          <m:sSubPr>
            <m:ctrlPr>
              <w:rPr>
                <w:rFonts w:ascii="Cambria Math" w:eastAsia="Times New Roman" w:hAnsi="Cambria Math" w:cs="Times New Roman"/>
                <w:i/>
              </w:rPr>
            </m:ctrlPr>
          </m:sSubPr>
          <m:e>
            <m:r>
              <w:rPr>
                <w:rFonts w:ascii="Cambria Math" w:eastAsia="Times New Roman" w:hAnsi="Cambria Math" w:cs="Times New Roman"/>
              </w:rPr>
              <m:t>β</m:t>
            </m:r>
          </m:e>
          <m:sub>
            <m:r>
              <w:rPr>
                <w:rFonts w:ascii="Cambria Math" w:eastAsia="Times New Roman" w:hAnsi="Cambria Math" w:cs="Times New Roman"/>
              </w:rPr>
              <m:t>2</m:t>
            </m:r>
          </m:sub>
        </m:sSub>
      </m:oMath>
      <w:r w:rsidRPr="00BF0763">
        <w:rPr>
          <w:rFonts w:eastAsia="Times New Roman" w:cs="Times New Roman"/>
        </w:rPr>
        <w:t>.</w:t>
      </w:r>
    </w:p>
    <w:p w14:paraId="403C75D9" w14:textId="77777777" w:rsidR="00BF0763" w:rsidRPr="00EA289C" w:rsidRDefault="00BF0763" w:rsidP="00B34C76">
      <w:pPr>
        <w:rPr>
          <w:b/>
          <w:bCs/>
        </w:rPr>
      </w:pPr>
      <w:bookmarkStart w:id="524" w:name="_Toc187564791"/>
      <w:r w:rsidRPr="00EA289C">
        <w:rPr>
          <w:b/>
          <w:bCs/>
        </w:rPr>
        <w:t>What Is Normalization in the Context of Marginal Effects?</w:t>
      </w:r>
      <w:bookmarkEnd w:id="524"/>
    </w:p>
    <w:p w14:paraId="6A81CDE9" w14:textId="5CFD7295" w:rsidR="00BF0763" w:rsidRPr="00BF0763" w:rsidRDefault="00BF0763" w:rsidP="00B34C76">
      <w:pPr>
        <w:rPr>
          <w:rFonts w:eastAsia="Times New Roman" w:cs="Times New Roman"/>
        </w:rPr>
      </w:pPr>
      <w:r w:rsidRPr="00BF0763">
        <w:rPr>
          <w:rFonts w:eastAsia="Times New Roman" w:cs="Times New Roman"/>
        </w:rPr>
        <w:t xml:space="preserve">Normalization in the context of marginal effects refers to the simplification of the scaling factor </w:t>
      </w:r>
      <m:oMath>
        <m:r>
          <w:rPr>
            <w:rFonts w:ascii="Cambria Math" w:eastAsia="Times New Roman" w:hAnsi="Cambria Math" w:cs="Times New Roman"/>
          </w:rPr>
          <m:t>E</m:t>
        </m:r>
        <m:r>
          <m:rPr>
            <m:sty m:val="p"/>
          </m:rPr>
          <w:rPr>
            <w:rFonts w:ascii="Cambria Math" w:eastAsia="Times New Roman" w:hAnsi="Cambria Math" w:cs="Times New Roman"/>
          </w:rPr>
          <m:t>[</m:t>
        </m:r>
        <m:r>
          <w:rPr>
            <w:rFonts w:ascii="Cambria Math" w:eastAsia="Times New Roman" w:hAnsi="Cambria Math" w:cs="Times New Roman"/>
          </w:rPr>
          <m:t>Y</m:t>
        </m:r>
        <m:r>
          <m:rPr>
            <m:sty m:val="p"/>
          </m:rPr>
          <w:rPr>
            <w:rFonts w:ascii="Cambria Math" w:eastAsia="Times New Roman" w:hAnsi="Cambria Math" w:cs="Times New Roman"/>
          </w:rPr>
          <m:t>∣</m:t>
        </m:r>
        <m:r>
          <w:rPr>
            <w:rFonts w:ascii="Cambria Math" w:eastAsia="Times New Roman" w:hAnsi="Cambria Math" w:cs="Times New Roman"/>
          </w:rPr>
          <m:t>X</m:t>
        </m:r>
        <m:r>
          <m:rPr>
            <m:sty m:val="p"/>
          </m:rPr>
          <w:rPr>
            <w:rFonts w:ascii="Cambria Math" w:eastAsia="Times New Roman" w:hAnsi="Cambria Math" w:cs="Times New Roman"/>
          </w:rPr>
          <m:t>]</m:t>
        </m:r>
      </m:oMath>
      <w:r w:rsidRPr="00BF0763">
        <w:rPr>
          <w:rFonts w:eastAsia="Times New Roman" w:cs="Times New Roman"/>
        </w:rPr>
        <w:t xml:space="preserve"> (the expected value of the dependent variable) by assuming </w:t>
      </w:r>
      <m:oMath>
        <m:r>
          <w:rPr>
            <w:rFonts w:ascii="Cambria Math" w:eastAsia="Times New Roman" w:hAnsi="Cambria Math" w:cs="Times New Roman"/>
          </w:rPr>
          <m:t>E</m:t>
        </m:r>
        <m:r>
          <m:rPr>
            <m:sty m:val="p"/>
          </m:rPr>
          <w:rPr>
            <w:rFonts w:ascii="Cambria Math" w:eastAsia="Times New Roman" w:hAnsi="Cambria Math" w:cs="Times New Roman"/>
          </w:rPr>
          <m:t>[</m:t>
        </m:r>
        <m:r>
          <w:rPr>
            <w:rFonts w:ascii="Cambria Math" w:eastAsia="Times New Roman" w:hAnsi="Cambria Math" w:cs="Times New Roman"/>
          </w:rPr>
          <m:t>Y</m:t>
        </m:r>
        <m:r>
          <m:rPr>
            <m:sty m:val="p"/>
          </m:rPr>
          <w:rPr>
            <w:rFonts w:ascii="Cambria Math" w:eastAsia="Times New Roman" w:hAnsi="Cambria Math" w:cs="Times New Roman"/>
          </w:rPr>
          <m:t>∣</m:t>
        </m:r>
        <m:r>
          <w:rPr>
            <w:rFonts w:ascii="Cambria Math" w:eastAsia="Times New Roman" w:hAnsi="Cambria Math" w:cs="Times New Roman"/>
          </w:rPr>
          <m:t>X</m:t>
        </m:r>
        <m:r>
          <m:rPr>
            <m:sty m:val="p"/>
          </m:rPr>
          <w:rPr>
            <w:rFonts w:ascii="Cambria Math" w:eastAsia="Times New Roman" w:hAnsi="Cambria Math" w:cs="Times New Roman"/>
          </w:rPr>
          <m:t>]=1</m:t>
        </m:r>
      </m:oMath>
      <w:r w:rsidRPr="00BF0763">
        <w:rPr>
          <w:rFonts w:eastAsia="Times New Roman" w:cs="Times New Roman"/>
        </w:rPr>
        <w:t>. This is a common practice in econometric analysis to focus on relative changes in the dependent variable (</w:t>
      </w:r>
      <m:oMath>
        <m:r>
          <w:rPr>
            <w:rFonts w:ascii="Cambria Math" w:eastAsia="Times New Roman" w:hAnsi="Cambria Math" w:cs="Times New Roman"/>
          </w:rPr>
          <m:t>Y</m:t>
        </m:r>
      </m:oMath>
      <w:r w:rsidRPr="00BF0763">
        <w:rPr>
          <w:rFonts w:eastAsia="Times New Roman" w:cs="Times New Roman"/>
        </w:rPr>
        <w:t>) rather than its absolute level.</w:t>
      </w:r>
    </w:p>
    <w:p w14:paraId="10C559CF" w14:textId="77777777" w:rsidR="00BF0763" w:rsidRPr="00BF0763" w:rsidRDefault="00BF0763" w:rsidP="00B34C76">
      <w:pPr>
        <w:rPr>
          <w:rFonts w:eastAsia="Times New Roman" w:cs="Times New Roman"/>
          <w:b/>
          <w:bCs/>
          <w:lang/>
        </w:rPr>
      </w:pPr>
      <w:r w:rsidRPr="00BF0763">
        <w:rPr>
          <w:rFonts w:eastAsia="Times New Roman" w:cs="Times New Roman"/>
          <w:b/>
          <w:bCs/>
        </w:rPr>
        <w:t>Theoretical Justification</w:t>
      </w:r>
    </w:p>
    <w:p w14:paraId="7E131ED4" w14:textId="77777777" w:rsidR="00BF0763" w:rsidRPr="00BF0763" w:rsidRDefault="00BF0763" w:rsidP="00B34C76">
      <w:pPr>
        <w:rPr>
          <w:rFonts w:eastAsia="Times New Roman" w:cs="Times New Roman"/>
        </w:rPr>
      </w:pPr>
      <w:r w:rsidRPr="00BF0763">
        <w:rPr>
          <w:rFonts w:eastAsia="Times New Roman" w:cs="Times New Roman"/>
        </w:rPr>
        <w:t xml:space="preserve">Normalization involves setting </w:t>
      </w:r>
      <m:oMath>
        <m:r>
          <w:rPr>
            <w:rFonts w:ascii="Cambria Math" w:eastAsia="Times New Roman" w:hAnsi="Cambria Math" w:cs="Times New Roman"/>
          </w:rPr>
          <m:t>E</m:t>
        </m:r>
        <m:r>
          <m:rPr>
            <m:sty m:val="p"/>
          </m:rPr>
          <w:rPr>
            <w:rFonts w:ascii="Cambria Math" w:eastAsia="Times New Roman" w:hAnsi="Cambria Math" w:cs="Times New Roman"/>
          </w:rPr>
          <m:t>[</m:t>
        </m:r>
        <m:r>
          <w:rPr>
            <w:rFonts w:ascii="Cambria Math" w:eastAsia="Times New Roman" w:hAnsi="Cambria Math" w:cs="Times New Roman"/>
          </w:rPr>
          <m:t>Y</m:t>
        </m:r>
        <m:r>
          <m:rPr>
            <m:sty m:val="p"/>
          </m:rPr>
          <w:rPr>
            <w:rFonts w:ascii="Cambria Math" w:eastAsia="Times New Roman" w:hAnsi="Cambria Math" w:cs="Times New Roman"/>
          </w:rPr>
          <m:t>]=1</m:t>
        </m:r>
      </m:oMath>
      <w:r w:rsidRPr="00BF0763">
        <w:rPr>
          <w:rFonts w:eastAsia="Times New Roman" w:cs="Times New Roman"/>
        </w:rPr>
        <w:t xml:space="preserve"> to simplify the interpretation of marginal effects. This is standard in econometrics for non-linear models like the PPML model and supported by:</w:t>
      </w:r>
    </w:p>
    <w:p w14:paraId="3E92B9E7" w14:textId="77777777" w:rsidR="00BF0763" w:rsidRPr="00BF0763" w:rsidRDefault="00BF0763" w:rsidP="00B34C76">
      <w:pPr>
        <w:rPr>
          <w:rFonts w:eastAsia="Times New Roman" w:cs="Times New Roman"/>
        </w:rPr>
      </w:pPr>
      <w:r w:rsidRPr="00BF0763">
        <w:rPr>
          <w:rFonts w:eastAsia="Times New Roman" w:cs="Times New Roman"/>
          <w:b/>
          <w:bCs/>
        </w:rPr>
        <w:t>Cameron &amp; Trivedi (2013)</w:t>
      </w:r>
      <w:r w:rsidRPr="00BF0763">
        <w:rPr>
          <w:rFonts w:eastAsia="Times New Roman" w:cs="Times New Roman"/>
        </w:rPr>
        <w:t>: Emphasize that normalization simplifies semi-elasticity interpretations, allowing marginal effects to represent percentage changes directly.</w:t>
      </w:r>
    </w:p>
    <w:p w14:paraId="1DF2BBBF" w14:textId="3F6F5FA9" w:rsidR="00BF0763" w:rsidRPr="00BF0763" w:rsidRDefault="00BF0763" w:rsidP="00B34C76">
      <w:pPr>
        <w:rPr>
          <w:rFonts w:eastAsia="Times New Roman" w:cs="Times New Roman"/>
        </w:rPr>
      </w:pPr>
      <w:r w:rsidRPr="00BF0763">
        <w:rPr>
          <w:rFonts w:eastAsia="Times New Roman" w:cs="Times New Roman"/>
          <w:b/>
          <w:bCs/>
        </w:rPr>
        <w:t>Greene (2012)</w:t>
      </w:r>
      <w:r w:rsidRPr="00BF0763">
        <w:rPr>
          <w:rFonts w:eastAsia="Times New Roman" w:cs="Times New Roman"/>
        </w:rPr>
        <w:t xml:space="preserve">: States that normalization avoids the need to scale results by the level of </w:t>
      </w:r>
      <m:oMath>
        <m:r>
          <w:rPr>
            <w:rFonts w:ascii="Cambria Math" w:eastAsia="Times New Roman" w:hAnsi="Cambria Math" w:cs="Times New Roman"/>
          </w:rPr>
          <m:t>Y</m:t>
        </m:r>
      </m:oMath>
      <w:r w:rsidRPr="00BF0763">
        <w:rPr>
          <w:rFonts w:eastAsia="Times New Roman" w:cs="Times New Roman"/>
        </w:rPr>
        <w:t>, ensuring consistent interpretation across different dependent variable levels.</w:t>
      </w:r>
    </w:p>
    <w:p w14:paraId="58AA2553" w14:textId="4CD3A826" w:rsidR="00BF0763" w:rsidRPr="00BF0763" w:rsidRDefault="00BF0763" w:rsidP="00B34C76">
      <w:pPr>
        <w:rPr>
          <w:rFonts w:eastAsia="Times New Roman" w:cs="Times New Roman"/>
        </w:rPr>
      </w:pPr>
      <w:r w:rsidRPr="00BF0763">
        <w:rPr>
          <w:rFonts w:eastAsia="Times New Roman" w:cs="Times New Roman"/>
          <w:b/>
          <w:bCs/>
        </w:rPr>
        <w:t>Wooldridge (2010)</w:t>
      </w:r>
      <w:r w:rsidRPr="00BF0763">
        <w:rPr>
          <w:rFonts w:eastAsia="Times New Roman" w:cs="Times New Roman"/>
        </w:rPr>
        <w:t xml:space="preserve">: Suggests normalizing </w:t>
      </w:r>
      <m:oMath>
        <m:r>
          <w:rPr>
            <w:rFonts w:ascii="Cambria Math" w:eastAsia="Times New Roman" w:hAnsi="Cambria Math" w:cs="Times New Roman"/>
          </w:rPr>
          <m:t>E[Y</m:t>
        </m:r>
        <m:r>
          <w:rPr>
            <w:rFonts w:ascii="Cambria Math" w:eastAsia="Times New Roman" w:hAnsi="Cambria Math" w:cs="Cambria Math"/>
          </w:rPr>
          <m:t>∣</m:t>
        </m:r>
        <m:r>
          <w:rPr>
            <w:rFonts w:ascii="Cambria Math" w:eastAsia="Times New Roman" w:hAnsi="Cambria Math" w:cs="Times New Roman"/>
          </w:rPr>
          <m:t>X]</m:t>
        </m:r>
      </m:oMath>
      <w:r w:rsidRPr="00BF0763">
        <w:rPr>
          <w:rFonts w:eastAsia="Times New Roman" w:cs="Times New Roman"/>
        </w:rPr>
        <w:t xml:space="preserve"> to align with multiplicative models and facilitate direct interpretability of marginal effects as elasticities.</w:t>
      </w:r>
      <w:r w:rsidR="00EA289C">
        <w:rPr>
          <w:rFonts w:eastAsia="Times New Roman" w:cs="Times New Roman"/>
        </w:rPr>
        <w:t xml:space="preserve"> </w:t>
      </w:r>
      <w:r w:rsidRPr="00BF0763">
        <w:rPr>
          <w:rFonts w:eastAsia="Times New Roman" w:cs="Times New Roman"/>
        </w:rPr>
        <w:t>Hence the Normalization procedure aligns with common practices in the econometrics literature (Wooldridge, 2010; Greene, 2012; Cameron &amp; Trivedi, 2013)</w:t>
      </w:r>
      <w:r w:rsidR="00B34C76">
        <w:rPr>
          <w:rFonts w:eastAsia="Times New Roman" w:cs="Times New Roman"/>
        </w:rPr>
        <w:t>.</w:t>
      </w:r>
    </w:p>
    <w:p w14:paraId="6C36F1F1" w14:textId="5C822FB0" w:rsidR="009F55A7" w:rsidRDefault="00D61046" w:rsidP="00DB1842">
      <w:pPr>
        <w:pStyle w:val="Heading1"/>
      </w:pPr>
      <w:r w:rsidRPr="00D61046">
        <w:rPr>
          <w:rFonts w:cs="Times New Roman"/>
          <w:sz w:val="20"/>
          <w:szCs w:val="20"/>
        </w:rPr>
        <w:br w:type="page"/>
      </w:r>
      <w:bookmarkStart w:id="525" w:name="_Toc188379035"/>
      <w:bookmarkStart w:id="526" w:name="_Toc289175843"/>
      <w:bookmarkStart w:id="527" w:name="_Toc175638329"/>
      <w:bookmarkEnd w:id="185"/>
      <w:r w:rsidRPr="00525895">
        <w:lastRenderedPageBreak/>
        <w:t>CHAPTER III</w:t>
      </w:r>
      <w:r w:rsidR="009F55A7">
        <w:rPr>
          <w:lang w:val="en-US"/>
        </w:rPr>
        <w:t>:</w:t>
      </w:r>
      <w:r w:rsidR="007D52FE">
        <w:rPr>
          <w:lang w:val="en-US"/>
        </w:rPr>
        <w:t xml:space="preserve"> </w:t>
      </w:r>
      <w:r w:rsidR="009F55A7" w:rsidRPr="003E13FE">
        <w:t>FROM ENDANGERED TO RECOVERED</w:t>
      </w:r>
      <w:bookmarkEnd w:id="525"/>
    </w:p>
    <w:p w14:paraId="2DC7DB87" w14:textId="0876E7A8" w:rsidR="00D61046" w:rsidRPr="009F55A7" w:rsidRDefault="009F55A7" w:rsidP="009F55A7">
      <w:pPr>
        <w:jc w:val="center"/>
        <w:rPr>
          <w:b/>
          <w:bCs/>
        </w:rPr>
      </w:pPr>
      <w:r w:rsidRPr="009F55A7">
        <w:rPr>
          <w:b/>
          <w:bCs/>
        </w:rPr>
        <w:t>ECONOMIC EFFECTS OF SPECIES DELISTING WITH EVIDENCE FROM THE LOUISIANA BLACK BEAR</w:t>
      </w:r>
    </w:p>
    <w:p w14:paraId="07D15C4F" w14:textId="77777777" w:rsidR="00D61046" w:rsidRPr="00525895" w:rsidRDefault="00D61046" w:rsidP="004C39A4">
      <w:pPr>
        <w:rPr>
          <w:rFonts w:cs="Times New Roman"/>
          <w:b/>
          <w:bCs/>
          <w:caps/>
        </w:rPr>
      </w:pPr>
    </w:p>
    <w:p w14:paraId="43E49F13" w14:textId="77777777" w:rsidR="00D61046" w:rsidRPr="00525895" w:rsidRDefault="00D61046" w:rsidP="004C39A4">
      <w:pPr>
        <w:rPr>
          <w:rFonts w:cs="Times New Roman"/>
          <w:b/>
          <w:bCs/>
          <w:caps/>
        </w:rPr>
      </w:pPr>
      <w:r w:rsidRPr="00525895">
        <w:rPr>
          <w:rFonts w:cs="Times New Roman"/>
        </w:rPr>
        <w:br w:type="page"/>
      </w:r>
    </w:p>
    <w:p w14:paraId="6B1FF808" w14:textId="06CCEB40" w:rsidR="00E4693E" w:rsidRDefault="00D61046" w:rsidP="00E4693E">
      <w:pPr>
        <w:pStyle w:val="Heading2"/>
      </w:pPr>
      <w:bookmarkStart w:id="528" w:name="_Toc187789880"/>
      <w:bookmarkStart w:id="529" w:name="_Toc188379036"/>
      <w:r w:rsidRPr="00E4693E">
        <w:lastRenderedPageBreak/>
        <w:t>Abstract</w:t>
      </w:r>
      <w:bookmarkEnd w:id="528"/>
      <w:bookmarkEnd w:id="529"/>
    </w:p>
    <w:p w14:paraId="59523D34" w14:textId="34655394" w:rsidR="00D61046" w:rsidRDefault="00D61046" w:rsidP="00E4693E">
      <w:r w:rsidRPr="00E4693E">
        <w:t>This study examines the economic impacts of delisting the Louisiana Black Bear, providing one of the first rigorous empirical analyses of post-delisting effects on regional economies. Using data across multiple sectors and three key outcome variables—establishment count, job count, and sales volume—this dissertation chapter investigates the delisting impact on land-intensive and non-land-intensive sector outcomes. The analysis captures both immediate impacts and the temporal evolution of these effects. The results reveal significant heterogeneity in economic responses: LIS experience large and persistent declines, driven by their reliance on fixed land resources and infrastructure, while non-LIS demonstrate resilience and growth, benefiting from increased economic opportunities. For example, agriculture sees a 12.5% immediate decline in establishments, compounded annually, whereas construction shows a positive 8.7% immediate increase with further annual growth. This study makes several contributions to the literature on Conservation Economics, Land Use Economics, and Industrial Organization. First, it integrates spatial and temporal dimensions, providing a more nuanced understanding of delisting impacts. Second, it highlights sectoral heterogeneity, emphasizing the role of land dependency and economic flexibility in shaping outcomes. Finally, it offers practical policy recommendations, including targeted support for vulnerable industries, spatially differentiated interventions, and sustainable conservation management. This research advances the understanding of post-delisting trade-offs and provides policymakers with actionable insights to harmonize species recovery and economic development goals.</w:t>
      </w:r>
    </w:p>
    <w:p w14:paraId="2E44222B" w14:textId="77777777" w:rsidR="00E4693E" w:rsidRPr="00E4693E" w:rsidRDefault="00E4693E" w:rsidP="00E4693E">
      <w:pPr>
        <w:rPr>
          <w:lang w:eastAsia="zh-CN"/>
        </w:rPr>
      </w:pPr>
    </w:p>
    <w:p w14:paraId="5B3E8476" w14:textId="6A8322EE" w:rsidR="00D61046" w:rsidRPr="00E4693E" w:rsidRDefault="006075E1" w:rsidP="00E4693E">
      <w:pPr>
        <w:pStyle w:val="Heading2"/>
        <w:rPr>
          <w:rFonts w:eastAsia="DengXian Light"/>
        </w:rPr>
      </w:pPr>
      <w:bookmarkStart w:id="530" w:name="_Toc187789881"/>
      <w:bookmarkStart w:id="531" w:name="_Toc188379037"/>
      <w:r>
        <w:lastRenderedPageBreak/>
        <w:t>3.</w:t>
      </w:r>
      <w:r w:rsidR="00D61046" w:rsidRPr="00E4693E">
        <w:t>1 Introduction</w:t>
      </w:r>
      <w:bookmarkEnd w:id="530"/>
      <w:bookmarkEnd w:id="531"/>
    </w:p>
    <w:p w14:paraId="086C9C8E" w14:textId="77777777" w:rsidR="00D61046" w:rsidRPr="00D61046" w:rsidRDefault="00D61046" w:rsidP="009908F2">
      <w:pPr>
        <w:rPr>
          <w:rFonts w:cs="Times New Roman"/>
          <w:lang/>
        </w:rPr>
      </w:pPr>
      <w:r w:rsidRPr="00D61046">
        <w:rPr>
          <w:rFonts w:cs="Times New Roman"/>
          <w:lang/>
        </w:rPr>
        <w:t>The Endangered Species Act (ESA) has played a pivotal role in preventing species extinction, yet it remains a subject of debate due to its perceived economic implications. Critics argue that land-use restrictions imposed by the ESA disrupt economic activity, particularly in Land-Intensive Sectors (LIS) such as agriculture and mining. Proponents, on the other hand, emphasize its success in preserving biodiversity and ecosystem health. However, the economic dynamics following species delisting—when protections are lifted—remain poorly understood. This gap in understanding is critical, as delisting represents a transition point where regulatory constraints are removed, creating potential for both economic recovery and ecological risk.</w:t>
      </w:r>
    </w:p>
    <w:p w14:paraId="49BEA676" w14:textId="77777777" w:rsidR="00D61046" w:rsidRPr="00D61046" w:rsidRDefault="00D61046" w:rsidP="009908F2">
      <w:pPr>
        <w:rPr>
          <w:rFonts w:cs="Times New Roman"/>
          <w:lang/>
        </w:rPr>
      </w:pPr>
      <w:r w:rsidRPr="00D61046">
        <w:rPr>
          <w:rFonts w:cs="Times New Roman"/>
          <w:lang/>
        </w:rPr>
        <w:t>This study examines the economic impacts of species delisting using the case of the Louisiana Black Bear, which was removed from the ESA list in 2016 following decades of conservation efforts. Employing county-level data from 1998 to 2019 across 118 counties within the bear’s historical range, this analysis leverages a Poisson Pseudo-Maximum Likelihood (PPML) framework to evaluate changes in establishment counts, employment, and sales volumes. The study integrates spatial (species range overlap), temporal (time since delisting), and sectoral (LIS vs. non-LIS) dimensions, providing a comprehensive assessment of delisting’s economic consequences.</w:t>
      </w:r>
    </w:p>
    <w:p w14:paraId="3204E385" w14:textId="77777777" w:rsidR="00D61046" w:rsidRPr="00D61046" w:rsidRDefault="00D61046" w:rsidP="009908F2">
      <w:pPr>
        <w:rPr>
          <w:rFonts w:cs="Times New Roman"/>
          <w:lang/>
        </w:rPr>
      </w:pPr>
      <w:r w:rsidRPr="00D61046">
        <w:rPr>
          <w:rFonts w:cs="Times New Roman"/>
          <w:lang/>
        </w:rPr>
        <w:t xml:space="preserve">The findings reveal significant heterogeneities in how sectors respond to delisting. LIS such as agriculture and mining experience persistent declines, reflecting structural dependencies on land resources and slower adaptation to regulatory changes. In contrast, non-LIS like construction and real estate exhibit robust growth, capitalizing on reduced regulatory barriers. Temporally, LIS </w:t>
      </w:r>
      <w:r w:rsidRPr="00D61046">
        <w:rPr>
          <w:rFonts w:cs="Times New Roman"/>
          <w:lang/>
        </w:rPr>
        <w:lastRenderedPageBreak/>
        <w:t>exhibit immediate disruptions and cumulative declines, while non-LIS demonstrate steady growth over time. Spatially, counties with greater habitat overlap face delayed recovery in LIS but realize substantial long-term gains in adaptable industries. These results highlight the importance of understanding sectoral vulnerabilities, spatial variation, and temporal adjustments to develop effective conservation and economic policies.</w:t>
      </w:r>
    </w:p>
    <w:p w14:paraId="00993951" w14:textId="77777777" w:rsidR="00D61046" w:rsidRPr="00D61046" w:rsidRDefault="00D61046" w:rsidP="009908F2">
      <w:pPr>
        <w:rPr>
          <w:rFonts w:cs="Times New Roman"/>
          <w:lang/>
        </w:rPr>
      </w:pPr>
      <w:r w:rsidRPr="00D61046">
        <w:rPr>
          <w:rFonts w:cs="Times New Roman"/>
          <w:lang/>
        </w:rPr>
        <w:t>This study contributes to the literature on conservation economics, land use, and regional development by addressing the economic trade-offs associated with species delisting. It advances methodological precision through the integration of spatial and temporal dimensions, offering a nuanced perspective that balances ecological and economic considerations. The findings inform policymakers on strategies to support vulnerable sectors while leveraging growth opportunities in adaptable industries, underscoring the importance of post-delisting monitoring, targeted interventions, and dynamic conservation policies.</w:t>
      </w:r>
    </w:p>
    <w:p w14:paraId="11387D4B" w14:textId="77777777" w:rsidR="00D61046" w:rsidRPr="00D61046" w:rsidRDefault="00D61046" w:rsidP="009908F2">
      <w:pPr>
        <w:rPr>
          <w:rFonts w:cs="Times New Roman"/>
          <w:lang/>
        </w:rPr>
      </w:pPr>
      <w:r w:rsidRPr="00D61046">
        <w:rPr>
          <w:rFonts w:cs="Times New Roman"/>
          <w:lang/>
        </w:rPr>
        <w:t>The structure of this chapter is as follows: Section 2 reviews the existing literature on the economic implications of ESA regulations. Section 3 provides an overview of the ESA and the specific case of the Louisiana Black Bear. Section 4 details the research objectives, questions, and hypotheses. Section 5 describes the dataset, variables, and data sources, along with summary statistics. Section 6 presents the econometric methodology employed. Section 7 discusses the empirical results and their interpretation. Section 8 examines policy implications and broader relevance, while Section 9 concludes by summarizing key insights and outlining directions for future research.</w:t>
      </w:r>
    </w:p>
    <w:p w14:paraId="7F3A5310" w14:textId="72E957D3" w:rsidR="00D61046" w:rsidRPr="00D61046" w:rsidRDefault="006075E1" w:rsidP="00E4693E">
      <w:pPr>
        <w:pStyle w:val="Heading2"/>
        <w:rPr>
          <w:rFonts w:eastAsia="Times New Roman"/>
        </w:rPr>
      </w:pPr>
      <w:bookmarkStart w:id="532" w:name="_Toc187789882"/>
      <w:bookmarkStart w:id="533" w:name="_Toc188379038"/>
      <w:r>
        <w:lastRenderedPageBreak/>
        <w:t>3.</w:t>
      </w:r>
      <w:r w:rsidR="00D61046" w:rsidRPr="00D61046">
        <w:t xml:space="preserve">2 </w:t>
      </w:r>
      <w:bookmarkStart w:id="534" w:name="_Toc179574301"/>
      <w:r w:rsidR="00D61046" w:rsidRPr="00D61046">
        <w:t>The Endangered Species Act (ESA), and the Louisiana Black Bear</w:t>
      </w:r>
      <w:bookmarkEnd w:id="532"/>
      <w:bookmarkEnd w:id="533"/>
      <w:bookmarkEnd w:id="534"/>
    </w:p>
    <w:p w14:paraId="7B9193AE" w14:textId="7DF48A1F" w:rsidR="00D61046" w:rsidRPr="00D61046" w:rsidRDefault="006075E1" w:rsidP="004C39A4">
      <w:pPr>
        <w:pStyle w:val="Heading3"/>
      </w:pPr>
      <w:bookmarkStart w:id="535" w:name="_Toc187789883"/>
      <w:bookmarkStart w:id="536" w:name="_Toc188379039"/>
      <w:r>
        <w:rPr>
          <w:lang w:val="en-US"/>
        </w:rPr>
        <w:t>3.</w:t>
      </w:r>
      <w:r w:rsidR="00D61046" w:rsidRPr="00D61046">
        <w:t>2.1 The Endangered Species Act (ESA)</w:t>
      </w:r>
      <w:bookmarkEnd w:id="535"/>
      <w:bookmarkEnd w:id="536"/>
    </w:p>
    <w:p w14:paraId="1ADB789E" w14:textId="77777777" w:rsidR="00D61046" w:rsidRPr="00D61046" w:rsidRDefault="00D61046" w:rsidP="009908F2">
      <w:pPr>
        <w:rPr>
          <w:rFonts w:cs="Times New Roman"/>
        </w:rPr>
      </w:pPr>
      <w:r w:rsidRPr="00D61046">
        <w:rPr>
          <w:rFonts w:cs="Times New Roman"/>
        </w:rPr>
        <w:t>The ESA of 1973 is a cornerstone of U.S. conservation policy, providing legal protections for species at risk of extinction. Protections include restrictions on land use within designated Critical Habitat Designations (CHDs) and species ranges, which facilitate recovery but often constrain land-intensive industries. Of the 1,732 species listed under the ESA, only 3% have recovered (PERC, 2023). While the economic costs of listing have been extensively studied, the economic effects of delisting remain underexplored. This chapter addresses this gap by analyzing the delisting of the Louisiana Black Bear, following decades of successful conservation efforts.</w:t>
      </w:r>
    </w:p>
    <w:p w14:paraId="70AF095B" w14:textId="7391B5DB" w:rsidR="00D61046" w:rsidRPr="00D61046" w:rsidRDefault="006075E1" w:rsidP="004C39A4">
      <w:pPr>
        <w:pStyle w:val="Heading3"/>
      </w:pPr>
      <w:bookmarkStart w:id="537" w:name="_Toc187789884"/>
      <w:bookmarkStart w:id="538" w:name="_Toc188379040"/>
      <w:r>
        <w:rPr>
          <w:lang w:val="en-US"/>
        </w:rPr>
        <w:t>3.</w:t>
      </w:r>
      <w:r w:rsidR="00D61046" w:rsidRPr="00D61046">
        <w:t>2.2 The Louisiana Black Bear: Listing and Delisting</w:t>
      </w:r>
      <w:bookmarkEnd w:id="537"/>
      <w:bookmarkEnd w:id="538"/>
    </w:p>
    <w:p w14:paraId="0606DE99" w14:textId="77777777" w:rsidR="00D61046" w:rsidRPr="00D61046" w:rsidRDefault="00D61046" w:rsidP="009908F2">
      <w:pPr>
        <w:rPr>
          <w:rFonts w:cs="Times New Roman"/>
        </w:rPr>
      </w:pPr>
      <w:r w:rsidRPr="00D61046">
        <w:rPr>
          <w:rFonts w:cs="Times New Roman"/>
        </w:rPr>
        <w:t xml:space="preserve">The Louisiana Black Bear (Ursus americanus </w:t>
      </w:r>
      <w:proofErr w:type="spellStart"/>
      <w:r w:rsidRPr="00D61046">
        <w:rPr>
          <w:rFonts w:cs="Times New Roman"/>
        </w:rPr>
        <w:t>luteolus</w:t>
      </w:r>
      <w:proofErr w:type="spellEnd"/>
      <w:r w:rsidRPr="00D61046">
        <w:rPr>
          <w:rFonts w:cs="Times New Roman"/>
        </w:rPr>
        <w:t xml:space="preserve">) was listed as threatened under the ESA in 1992 due to habitat loss and population decline. The species’ large, connected habitat needs significantly impacted land use in its range, spanning Louisiana, Mississippi, and Texas. After decades of habitat restoration and population recovery, the bear was delisted in 2016, lifting ESA-imposed restrictions and creating an opportunity to evaluate the economic consequences of delisting. The Louisiana Black Bear serves as an ideal case study for this research due to the following reasons. </w:t>
      </w:r>
    </w:p>
    <w:p w14:paraId="509654D8" w14:textId="77777777" w:rsidR="00D61046" w:rsidRPr="00D61046" w:rsidRDefault="00D61046" w:rsidP="009908F2">
      <w:pPr>
        <w:rPr>
          <w:rFonts w:cs="Times New Roman"/>
        </w:rPr>
      </w:pPr>
      <w:r w:rsidRPr="00D61046">
        <w:rPr>
          <w:rFonts w:cs="Times New Roman"/>
        </w:rPr>
        <w:t xml:space="preserve">First, mammals like the Louisiana Black Bear require large habitats, amplifying the economic consequences of both listing and delisting, especially for LIS. Second, few mammals have been delisted, and even fewer provide sufficient post-delisting data for rigorous analysis, making the Louisiana Black Bear a rare and valuable subject. Third, Historical range data from reliable </w:t>
      </w:r>
      <w:r w:rsidRPr="00D61046">
        <w:rPr>
          <w:rFonts w:cs="Times New Roman"/>
        </w:rPr>
        <w:lastRenderedPageBreak/>
        <w:t xml:space="preserve">sources such as the U.S. Fish and Wildlife Service and the </w:t>
      </w:r>
      <w:proofErr w:type="spellStart"/>
      <w:r w:rsidRPr="00D61046">
        <w:rPr>
          <w:rFonts w:cs="Times New Roman"/>
        </w:rPr>
        <w:t>Databasin</w:t>
      </w:r>
      <w:proofErr w:type="spellEnd"/>
      <w:r w:rsidRPr="00D61046">
        <w:rPr>
          <w:rFonts w:cs="Times New Roman"/>
        </w:rPr>
        <w:t xml:space="preserve"> platform enable robust spatial analysis of economic outcomes. Fourth, the bear’s range overlaps with key LIS like agriculture, forestry, and construction, as well as non-land-intensive industries like real estate and tourism, allowing for sectoral comparisons. Lastly, the proprietary Data Axle Historical Business Database (1997–2019) aligns closely with the bear’s 2016 delisting, enabling robust empirical analysis of spatial, temporal, and sectoral impacts.</w:t>
      </w:r>
    </w:p>
    <w:p w14:paraId="3241C454" w14:textId="1F5F1CBC" w:rsidR="00D61046" w:rsidRPr="00D61046" w:rsidRDefault="006075E1" w:rsidP="004C39A4">
      <w:pPr>
        <w:pStyle w:val="Heading3"/>
      </w:pPr>
      <w:bookmarkStart w:id="539" w:name="_Toc187789885"/>
      <w:bookmarkStart w:id="540" w:name="_Toc188379041"/>
      <w:r>
        <w:rPr>
          <w:lang w:val="en-US"/>
        </w:rPr>
        <w:t>3.</w:t>
      </w:r>
      <w:r w:rsidR="00D61046" w:rsidRPr="00D61046">
        <w:t>2.3 Range as the Primary Measure</w:t>
      </w:r>
      <w:bookmarkEnd w:id="539"/>
      <w:bookmarkEnd w:id="540"/>
    </w:p>
    <w:p w14:paraId="20158689" w14:textId="77777777" w:rsidR="00D61046" w:rsidRPr="00D61046" w:rsidRDefault="00D61046" w:rsidP="009908F2">
      <w:pPr>
        <w:rPr>
          <w:rFonts w:cs="Times New Roman"/>
        </w:rPr>
      </w:pPr>
      <w:r w:rsidRPr="00D61046">
        <w:rPr>
          <w:rFonts w:cs="Times New Roman"/>
        </w:rPr>
        <w:t xml:space="preserve">This study uses the Louisiana Black Bear’s range as the primary measure of regulatory impact, as it aligns with the research objectives to analyze spatial, temporal, and sectoral economic outcomes. </w:t>
      </w:r>
    </w:p>
    <w:p w14:paraId="74D6FC33" w14:textId="77777777" w:rsidR="00D61046" w:rsidRPr="00D61046" w:rsidRDefault="00D61046" w:rsidP="009908F2">
      <w:pPr>
        <w:rPr>
          <w:rFonts w:cs="Times New Roman"/>
          <w:lang/>
        </w:rPr>
      </w:pPr>
      <w:r w:rsidRPr="00D61046">
        <w:rPr>
          <w:rFonts w:cs="Times New Roman"/>
          <w:lang/>
        </w:rPr>
        <w:t>The Range is defined using two complementary measures:</w:t>
      </w:r>
    </w:p>
    <w:p w14:paraId="769626D6" w14:textId="77777777" w:rsidR="00D61046" w:rsidRPr="00D61046" w:rsidRDefault="00D61046" w:rsidP="009908F2">
      <w:pPr>
        <w:numPr>
          <w:ilvl w:val="0"/>
          <w:numId w:val="29"/>
        </w:numPr>
        <w:ind w:left="714" w:hanging="357"/>
        <w:contextualSpacing/>
        <w:rPr>
          <w:rFonts w:cs="Times New Roman"/>
          <w:lang/>
        </w:rPr>
      </w:pPr>
      <w:r w:rsidRPr="00D61046">
        <w:rPr>
          <w:rFonts w:cs="Times New Roman"/>
          <w:b/>
          <w:bCs/>
          <w:lang/>
        </w:rPr>
        <w:t>Binary Measure</w:t>
      </w:r>
      <w:r w:rsidRPr="00D61046">
        <w:rPr>
          <w:rFonts w:cs="Times New Roman"/>
          <w:lang/>
        </w:rPr>
        <w:t>: This variable indicates whether any part of a county overlaps with the Louisiana Black Bear’s range (1 = within range, 0 = outside range). The binary measure enables categorical comparisons of economic outcomes between counties directly and indirectly affected by regulatory protections.</w:t>
      </w:r>
    </w:p>
    <w:p w14:paraId="795CD8C0" w14:textId="77777777" w:rsidR="00D61046" w:rsidRPr="00D61046" w:rsidRDefault="00D61046" w:rsidP="009908F2">
      <w:pPr>
        <w:numPr>
          <w:ilvl w:val="0"/>
          <w:numId w:val="29"/>
        </w:numPr>
        <w:rPr>
          <w:rFonts w:cs="Times New Roman"/>
          <w:lang/>
        </w:rPr>
      </w:pPr>
      <w:r w:rsidRPr="00D61046">
        <w:rPr>
          <w:rFonts w:cs="Times New Roman"/>
          <w:b/>
          <w:bCs/>
          <w:lang/>
        </w:rPr>
        <w:t>Continuous Measure</w:t>
      </w:r>
      <w:r w:rsidRPr="00D61046">
        <w:rPr>
          <w:rFonts w:cs="Times New Roman"/>
          <w:lang/>
        </w:rPr>
        <w:t>: This variable captures the percentage of a county’s land area within the bear’s range. The continuous measure allows for nuanced analyses of spatial variation and intensity of habitat overlap, offering insights into how economic impacts vary with the extent of range coverage.</w:t>
      </w:r>
    </w:p>
    <w:p w14:paraId="79F42513" w14:textId="77777777" w:rsidR="00D61046" w:rsidRPr="00D61046" w:rsidRDefault="00D61046" w:rsidP="009908F2">
      <w:pPr>
        <w:rPr>
          <w:rFonts w:cs="Times New Roman"/>
        </w:rPr>
      </w:pPr>
      <w:r w:rsidRPr="00D61046">
        <w:rPr>
          <w:rFonts w:cs="Times New Roman"/>
          <w:lang/>
        </w:rPr>
        <w:t xml:space="preserve">These dual definitions provide flexibility in capturing both the presence and magnitude of the species’ range within counties, enhancing the ability to evaluate spatial heterogeneity in </w:t>
      </w:r>
      <w:r w:rsidRPr="00D61046">
        <w:rPr>
          <w:rFonts w:cs="Times New Roman"/>
          <w:lang/>
        </w:rPr>
        <w:lastRenderedPageBreak/>
        <w:t>economic impacts. The choice of Range over Critical Habitat Designations (CHDs) further supports the study’s objectives</w:t>
      </w:r>
      <w:r w:rsidRPr="00D61046">
        <w:rPr>
          <w:rFonts w:cs="Times New Roman"/>
        </w:rPr>
        <w:t xml:space="preserve">. In terms of spatial coverage, the range encompasses all counties associated with the species, reflecting the full extent of regulatory impacts during and after listing. In contrast, CHDs are limited to specific areas and provide a narrower geographic scope. In terms of temporal relevance post-delisting, CHDs were removed alongside the bear’s delisting in 2016, limiting their applicability for understanding post-delisting adjustments. The range remains relevant for analyzing economic impacts and their evolution. </w:t>
      </w:r>
    </w:p>
    <w:p w14:paraId="263F3653" w14:textId="77777777" w:rsidR="00D61046" w:rsidRPr="00D61046" w:rsidRDefault="00D61046" w:rsidP="009908F2">
      <w:pPr>
        <w:rPr>
          <w:rFonts w:cs="Times New Roman"/>
        </w:rPr>
      </w:pPr>
      <w:r w:rsidRPr="00D61046">
        <w:rPr>
          <w:rFonts w:cs="Times New Roman"/>
        </w:rPr>
        <w:t>In terms of sectoral insights, the range intersects both LIS (e.g., agriculture, forestry) and non-LIS (e.g., real estate, tourism). This allows the study to evaluate sectoral heterogeneity more effectively than CHDs. In terms of policy context, even after delisting, the range reflects ongoing economic and conservation dynamics, including state regulations and voluntary conservation agreements that influence land use and industry adjustments. This makes the range a more effective proxy for capturing how delisting continues to shape economic activity. By prioritizing the species Range and employing dual definitions, this study ensures a robust and comprehensive analysis of delisting’s economic impacts, capturing spatial breadth, temporal evolution, and sectoral variation.</w:t>
      </w:r>
    </w:p>
    <w:p w14:paraId="6213E1B2" w14:textId="196CF124" w:rsidR="00D61046" w:rsidRPr="00C10EE4" w:rsidRDefault="006075E1" w:rsidP="00E4693E">
      <w:pPr>
        <w:pStyle w:val="Heading2"/>
      </w:pPr>
      <w:bookmarkStart w:id="541" w:name="_Toc187789886"/>
      <w:bookmarkStart w:id="542" w:name="_Toc188379042"/>
      <w:r>
        <w:t>3.</w:t>
      </w:r>
      <w:r w:rsidR="00D61046" w:rsidRPr="00C10EE4">
        <w:t>3 Research Objectives, Questions, and Hypotheses</w:t>
      </w:r>
      <w:bookmarkEnd w:id="541"/>
      <w:bookmarkEnd w:id="542"/>
    </w:p>
    <w:p w14:paraId="2FC657CF" w14:textId="57A35D40" w:rsidR="00D61046" w:rsidRPr="00A66BB0" w:rsidRDefault="006075E1" w:rsidP="004C39A4">
      <w:pPr>
        <w:pStyle w:val="Heading3"/>
        <w:rPr>
          <w:rStyle w:val="mord"/>
        </w:rPr>
      </w:pPr>
      <w:bookmarkStart w:id="543" w:name="_Toc187789887"/>
      <w:bookmarkStart w:id="544" w:name="_Toc188379043"/>
      <w:r>
        <w:rPr>
          <w:rStyle w:val="mord"/>
          <w:lang w:val="en-US"/>
        </w:rPr>
        <w:t>3.</w:t>
      </w:r>
      <w:r w:rsidR="00D61046" w:rsidRPr="00A66BB0">
        <w:rPr>
          <w:rStyle w:val="mord"/>
        </w:rPr>
        <w:t>3.1 Research Objectives</w:t>
      </w:r>
      <w:bookmarkEnd w:id="543"/>
      <w:bookmarkEnd w:id="544"/>
    </w:p>
    <w:p w14:paraId="67237A7C" w14:textId="77777777" w:rsidR="00D61046" w:rsidRPr="00D61046" w:rsidRDefault="00D61046" w:rsidP="009908F2">
      <w:pPr>
        <w:rPr>
          <w:rFonts w:cs="Times New Roman"/>
        </w:rPr>
      </w:pPr>
      <w:r w:rsidRPr="00D61046">
        <w:rPr>
          <w:rFonts w:cs="Times New Roman"/>
        </w:rPr>
        <w:t xml:space="preserve">The primary objective of this chapter is to quantify the economic impacts of delisting the Louisiana Black Bear under the Endangered Species Act (ESA). Specifically, the study examines how delisting influences economic outcomes—establishment counts, employment, and sales </w:t>
      </w:r>
      <w:r w:rsidRPr="00D61046">
        <w:rPr>
          <w:rFonts w:cs="Times New Roman"/>
        </w:rPr>
        <w:lastRenderedPageBreak/>
        <w:t xml:space="preserve">volumes—across spatial, temporal, and sectoral dimensions. Spatially, it evaluates differences in economic impacts between counties within the bear’s range and those outside. Temporally, it investigates how these impacts evolve over time following the delisting decision. </w:t>
      </w:r>
      <w:proofErr w:type="spellStart"/>
      <w:r w:rsidRPr="00D61046">
        <w:rPr>
          <w:rFonts w:cs="Times New Roman"/>
        </w:rPr>
        <w:t>Sectorally</w:t>
      </w:r>
      <w:proofErr w:type="spellEnd"/>
      <w:r w:rsidRPr="00D61046">
        <w:rPr>
          <w:rFonts w:cs="Times New Roman"/>
        </w:rPr>
        <w:t>, it analyzes variations in impacts between land-intensive industries and non-land-intensive industries. Together, these objectives provide a comprehensive framework to assess the economic adjustments driven by delisting, offering insights into the broader interplay between conservation policies and regional economic dynamics.</w:t>
      </w:r>
    </w:p>
    <w:p w14:paraId="571EE287" w14:textId="18656DF0" w:rsidR="00D61046" w:rsidRPr="00D61046" w:rsidRDefault="006075E1" w:rsidP="004C39A4">
      <w:pPr>
        <w:pStyle w:val="Heading3"/>
      </w:pPr>
      <w:bookmarkStart w:id="545" w:name="_Toc187789888"/>
      <w:bookmarkStart w:id="546" w:name="_Toc188379044"/>
      <w:r>
        <w:rPr>
          <w:lang w:val="en-US"/>
        </w:rPr>
        <w:t>3.</w:t>
      </w:r>
      <w:r w:rsidR="00D61046" w:rsidRPr="00D61046">
        <w:t>3.2 Research Questions and Hypotheses</w:t>
      </w:r>
      <w:bookmarkEnd w:id="545"/>
      <w:bookmarkEnd w:id="546"/>
    </w:p>
    <w:p w14:paraId="56E53C11" w14:textId="77777777" w:rsidR="00D61046" w:rsidRPr="00D61046" w:rsidRDefault="00D61046" w:rsidP="009908F2">
      <w:pPr>
        <w:rPr>
          <w:rFonts w:cs="Times New Roman"/>
        </w:rPr>
      </w:pPr>
      <w:r w:rsidRPr="00D61046">
        <w:rPr>
          <w:rFonts w:cs="Times New Roman"/>
        </w:rPr>
        <w:t>The study addresses three core research questions (RQs) and hypotheses (H):</w:t>
      </w:r>
    </w:p>
    <w:p w14:paraId="333E4F03" w14:textId="77777777" w:rsidR="00D61046" w:rsidRPr="00D61046" w:rsidRDefault="00D61046" w:rsidP="009908F2">
      <w:pPr>
        <w:rPr>
          <w:rFonts w:cs="Times New Roman"/>
        </w:rPr>
      </w:pPr>
      <w:r w:rsidRPr="00D61046">
        <w:rPr>
          <w:rFonts w:cs="Times New Roman"/>
          <w:b/>
          <w:bCs/>
        </w:rPr>
        <w:t>RQ1: Spatial Impacts:</w:t>
      </w:r>
      <w:r w:rsidRPr="00D61046">
        <w:rPr>
          <w:rFonts w:cs="Times New Roman"/>
        </w:rPr>
        <w:t xml:space="preserve"> How does the delisting of the Louisiana Black Bear affect economic outcomes (establishments, employment, and sales) in counties within the bear’s range compared to those outside?</w:t>
      </w:r>
    </w:p>
    <w:p w14:paraId="786A0313" w14:textId="77777777" w:rsidR="00D61046" w:rsidRPr="00D61046" w:rsidRDefault="00D61046" w:rsidP="009908F2">
      <w:pPr>
        <w:rPr>
          <w:rFonts w:cs="Times New Roman"/>
        </w:rPr>
      </w:pPr>
      <w:r w:rsidRPr="00D61046">
        <w:rPr>
          <w:rFonts w:cs="Times New Roman"/>
          <w:b/>
          <w:bCs/>
        </w:rPr>
        <w:t>H1:</w:t>
      </w:r>
      <w:r w:rsidRPr="00D61046">
        <w:rPr>
          <w:rFonts w:cs="Times New Roman"/>
        </w:rPr>
        <w:t xml:space="preserve"> Counties within the bear’s range experience significant differences in economic outcomes compared to counties outside the range.</w:t>
      </w:r>
    </w:p>
    <w:p w14:paraId="1604D9B4" w14:textId="77777777" w:rsidR="00D61046" w:rsidRPr="00D61046" w:rsidRDefault="00D61046" w:rsidP="009908F2">
      <w:pPr>
        <w:rPr>
          <w:rFonts w:cs="Times New Roman"/>
        </w:rPr>
      </w:pPr>
      <w:r w:rsidRPr="00D61046">
        <w:rPr>
          <w:rFonts w:cs="Times New Roman"/>
          <w:b/>
          <w:bCs/>
        </w:rPr>
        <w:t>RQ2: Temporal Dynamics:</w:t>
      </w:r>
      <w:r w:rsidRPr="00D61046">
        <w:rPr>
          <w:rFonts w:cs="Times New Roman"/>
        </w:rPr>
        <w:t xml:space="preserve"> How do the economic impacts of delisting vary over time in counties within the bear’s range?</w:t>
      </w:r>
    </w:p>
    <w:p w14:paraId="53209426" w14:textId="77777777" w:rsidR="00D61046" w:rsidRPr="00D61046" w:rsidRDefault="00D61046" w:rsidP="009908F2">
      <w:pPr>
        <w:rPr>
          <w:rFonts w:cs="Times New Roman"/>
        </w:rPr>
      </w:pPr>
      <w:r w:rsidRPr="00D61046">
        <w:rPr>
          <w:rFonts w:cs="Times New Roman"/>
          <w:b/>
          <w:bCs/>
        </w:rPr>
        <w:t>H2:</w:t>
      </w:r>
      <w:r w:rsidRPr="00D61046">
        <w:rPr>
          <w:rFonts w:cs="Times New Roman"/>
        </w:rPr>
        <w:t xml:space="preserve"> The interaction between the bear’s range and the time since its delisting explains the evolution of economic impacts, with effects either growing, stabilizing, or diminishing over time.</w:t>
      </w:r>
    </w:p>
    <w:p w14:paraId="23E053C4" w14:textId="77777777" w:rsidR="00D61046" w:rsidRPr="00D61046" w:rsidRDefault="00D61046" w:rsidP="009908F2">
      <w:pPr>
        <w:rPr>
          <w:rFonts w:cs="Times New Roman"/>
        </w:rPr>
      </w:pPr>
      <w:r w:rsidRPr="00D61046">
        <w:rPr>
          <w:rFonts w:cs="Times New Roman"/>
          <w:b/>
          <w:bCs/>
        </w:rPr>
        <w:t>RQ3: Sectoral Variation:</w:t>
      </w:r>
      <w:r w:rsidRPr="00D61046">
        <w:rPr>
          <w:rFonts w:cs="Times New Roman"/>
        </w:rPr>
        <w:t xml:space="preserve"> How do the impacts of delisting differ between land-intensive and non-LIS?</w:t>
      </w:r>
    </w:p>
    <w:p w14:paraId="6FFA577F" w14:textId="77777777" w:rsidR="00D61046" w:rsidRPr="00D61046" w:rsidRDefault="00D61046" w:rsidP="009908F2">
      <w:pPr>
        <w:rPr>
          <w:rFonts w:cs="Times New Roman"/>
        </w:rPr>
      </w:pPr>
      <w:r w:rsidRPr="00D61046">
        <w:rPr>
          <w:rFonts w:cs="Times New Roman"/>
          <w:b/>
          <w:bCs/>
        </w:rPr>
        <w:lastRenderedPageBreak/>
        <w:t>H3:</w:t>
      </w:r>
      <w:r w:rsidRPr="00D61046">
        <w:rPr>
          <w:rFonts w:cs="Times New Roman"/>
        </w:rPr>
        <w:t xml:space="preserve"> LIS experience more pronounced economic impacts than non-LIS, especially in counties with higher habitat coverage.</w:t>
      </w:r>
    </w:p>
    <w:p w14:paraId="71FBA669" w14:textId="151F74E9" w:rsidR="00D61046" w:rsidRPr="00D61046" w:rsidRDefault="006075E1" w:rsidP="004C39A4">
      <w:pPr>
        <w:pStyle w:val="Heading3"/>
      </w:pPr>
      <w:bookmarkStart w:id="547" w:name="_Toc187789889"/>
      <w:bookmarkStart w:id="548" w:name="_Toc188379045"/>
      <w:r>
        <w:rPr>
          <w:lang w:val="en-US"/>
        </w:rPr>
        <w:t>3.</w:t>
      </w:r>
      <w:r w:rsidR="00D61046" w:rsidRPr="00D61046">
        <w:t>3.3 Model Linkage and Applications</w:t>
      </w:r>
      <w:bookmarkEnd w:id="547"/>
      <w:bookmarkEnd w:id="548"/>
    </w:p>
    <w:p w14:paraId="5E2BECF9" w14:textId="77777777" w:rsidR="00D61046" w:rsidRPr="00D61046" w:rsidRDefault="00D61046" w:rsidP="004C39A4">
      <w:pPr>
        <w:rPr>
          <w:rFonts w:cs="Times New Roman"/>
          <w:lang/>
        </w:rPr>
      </w:pPr>
      <w:r w:rsidRPr="00D61046">
        <w:rPr>
          <w:rFonts w:cs="Times New Roman"/>
          <w:lang/>
        </w:rPr>
        <w:t>The econometric framework (detailed in Section 6) directly addresses the research questions and hypotheses by integrating the dual definitions of Range:</w:t>
      </w:r>
    </w:p>
    <w:p w14:paraId="562EFCC6" w14:textId="77777777" w:rsidR="00D61046" w:rsidRPr="00D61046" w:rsidRDefault="00D61046" w:rsidP="004C39A4">
      <w:pPr>
        <w:rPr>
          <w:rFonts w:cs="Times New Roman"/>
          <w:lang/>
        </w:rPr>
      </w:pPr>
      <w:r w:rsidRPr="00D61046">
        <w:rPr>
          <w:rFonts w:cs="Times New Roman"/>
          <w:b/>
          <w:bCs/>
          <w:lang/>
        </w:rPr>
        <w:t>Spatial Impacts (RQ1):</w:t>
      </w:r>
      <w:r w:rsidRPr="00D61046">
        <w:rPr>
          <w:rFonts w:cs="Times New Roman"/>
          <w:lang/>
        </w:rPr>
        <w:t xml:space="preserve"> The binary and continuous measures of Range allow for spatial analysis at different levels of granularity. The binary measure facilitates comparisons between counties within and outside the Range, while the continuous measure captures the intensity of habitat overlap and its economic effects.</w:t>
      </w:r>
    </w:p>
    <w:p w14:paraId="63A41C7B" w14:textId="77777777" w:rsidR="00D61046" w:rsidRPr="00D61046" w:rsidRDefault="00D61046" w:rsidP="004C39A4">
      <w:pPr>
        <w:rPr>
          <w:rFonts w:cs="Times New Roman"/>
          <w:lang/>
        </w:rPr>
      </w:pPr>
      <w:r w:rsidRPr="00D61046">
        <w:rPr>
          <w:rFonts w:cs="Times New Roman"/>
          <w:b/>
          <w:bCs/>
          <w:lang/>
        </w:rPr>
        <w:t>Temporal Dynamics (RQ2):</w:t>
      </w:r>
      <w:r w:rsidRPr="00D61046">
        <w:rPr>
          <w:rFonts w:cs="Times New Roman"/>
          <w:lang/>
        </w:rPr>
        <w:t xml:space="preserve"> Interaction terms incorporating the Time Since Delisting (TSD) variable are applied to both Range measures. This approach tracks the evolution of economic outcomes over time and assesses whether impacts grow, stabilize, or diminish following delisting.</w:t>
      </w:r>
    </w:p>
    <w:p w14:paraId="29E591BF" w14:textId="77777777" w:rsidR="00D61046" w:rsidRPr="00D61046" w:rsidRDefault="00D61046" w:rsidP="004C39A4">
      <w:pPr>
        <w:rPr>
          <w:rFonts w:cs="Times New Roman"/>
          <w:lang/>
        </w:rPr>
      </w:pPr>
      <w:r w:rsidRPr="00D61046">
        <w:rPr>
          <w:rFonts w:cs="Times New Roman"/>
          <w:b/>
          <w:bCs/>
          <w:lang/>
        </w:rPr>
        <w:t>Sectoral Variation (RQ3):</w:t>
      </w:r>
      <w:r w:rsidRPr="00D61046">
        <w:rPr>
          <w:rFonts w:cs="Times New Roman"/>
          <w:lang/>
        </w:rPr>
        <w:t xml:space="preserve"> Sector-specific regressions (based on NAICS industry categories) utilize the Range definitions to examine heterogeneity in economic impacts. Land-intensive and non-land-intensive industries are evaluated for differential responses based on their dependency on land access and regulatory relief.</w:t>
      </w:r>
    </w:p>
    <w:p w14:paraId="671517EA" w14:textId="77777777" w:rsidR="00D61046" w:rsidRPr="00D61046" w:rsidRDefault="00D61046" w:rsidP="004C39A4">
      <w:pPr>
        <w:rPr>
          <w:rFonts w:cs="Times New Roman"/>
          <w:lang/>
        </w:rPr>
      </w:pPr>
      <w:r w:rsidRPr="00D61046">
        <w:rPr>
          <w:rFonts w:cs="Times New Roman"/>
          <w:lang/>
        </w:rPr>
        <w:t>By employing these dual definitions within the econometric framework, this study ensures robust testing of the spatial, temporal, and sectoral hypotheses, offering deeper insights into the economic consequences of delisting.</w:t>
      </w:r>
    </w:p>
    <w:p w14:paraId="2F434972" w14:textId="682AA54B" w:rsidR="00D61046" w:rsidRPr="00D61046" w:rsidRDefault="006075E1" w:rsidP="004C39A4">
      <w:pPr>
        <w:pStyle w:val="Heading3"/>
      </w:pPr>
      <w:bookmarkStart w:id="549" w:name="_Toc187789890"/>
      <w:bookmarkStart w:id="550" w:name="_Toc188379046"/>
      <w:r>
        <w:rPr>
          <w:lang w:val="en-US"/>
        </w:rPr>
        <w:lastRenderedPageBreak/>
        <w:t>3.</w:t>
      </w:r>
      <w:r w:rsidR="00D61046" w:rsidRPr="00D61046">
        <w:t>3.4 Summary</w:t>
      </w:r>
      <w:bookmarkEnd w:id="549"/>
      <w:bookmarkEnd w:id="550"/>
    </w:p>
    <w:p w14:paraId="4365614C" w14:textId="77777777" w:rsidR="00D61046" w:rsidRPr="00D61046" w:rsidRDefault="00D61046" w:rsidP="004C39A4">
      <w:pPr>
        <w:rPr>
          <w:rFonts w:cs="Times New Roman"/>
        </w:rPr>
      </w:pPr>
      <w:r w:rsidRPr="00D61046">
        <w:rPr>
          <w:rFonts w:cs="Times New Roman"/>
        </w:rPr>
        <w:t>This chapter develops a structured approach to quantify the economic impacts of delisting the Louisiana Black Bear. By addressing spatial, temporal, and sectoral dimensions, the study aims to identify patterns of economic adjustment and their implications for regional development. The framework ensures alignment with the research objectives, focusing on measurable economic outcomes while informing policy strategies to balance conservation goals with economic opportunities.</w:t>
      </w:r>
    </w:p>
    <w:p w14:paraId="2D392A93" w14:textId="2EE7F549" w:rsidR="00D61046" w:rsidRPr="00D61046" w:rsidRDefault="006075E1" w:rsidP="00E4693E">
      <w:pPr>
        <w:pStyle w:val="Heading2"/>
        <w:rPr>
          <w:rFonts w:eastAsia="DengXian Light"/>
        </w:rPr>
      </w:pPr>
      <w:bookmarkStart w:id="551" w:name="_Toc187789891"/>
      <w:bookmarkStart w:id="552" w:name="_Toc188379047"/>
      <w:r>
        <w:t>3.</w:t>
      </w:r>
      <w:r w:rsidR="00D61046" w:rsidRPr="00D61046">
        <w:t>4</w:t>
      </w:r>
      <w:r>
        <w:t xml:space="preserve"> </w:t>
      </w:r>
      <w:r w:rsidR="00D61046" w:rsidRPr="00D61046">
        <w:t>Literature Review</w:t>
      </w:r>
      <w:bookmarkEnd w:id="551"/>
      <w:bookmarkEnd w:id="552"/>
    </w:p>
    <w:p w14:paraId="05230593" w14:textId="574E7607" w:rsidR="00D61046" w:rsidRPr="00D61046" w:rsidRDefault="006075E1" w:rsidP="004C39A4">
      <w:pPr>
        <w:pStyle w:val="Heading3"/>
        <w:rPr>
          <w:rFonts w:eastAsia="Times New Roman"/>
        </w:rPr>
      </w:pPr>
      <w:bookmarkStart w:id="553" w:name="_Toc187789892"/>
      <w:bookmarkStart w:id="554" w:name="_Toc188379048"/>
      <w:r>
        <w:rPr>
          <w:lang w:val="en-US"/>
        </w:rPr>
        <w:t>3.</w:t>
      </w:r>
      <w:r w:rsidR="00D61046" w:rsidRPr="00D61046">
        <w:t>4.1 Introduction</w:t>
      </w:r>
      <w:bookmarkEnd w:id="553"/>
      <w:bookmarkEnd w:id="554"/>
    </w:p>
    <w:p w14:paraId="2B998669" w14:textId="77777777" w:rsidR="00D61046" w:rsidRPr="00D61046" w:rsidRDefault="00D61046" w:rsidP="009908F2">
      <w:pPr>
        <w:rPr>
          <w:rFonts w:cs="Times New Roman"/>
        </w:rPr>
      </w:pPr>
      <w:r w:rsidRPr="00D61046">
        <w:rPr>
          <w:rFonts w:cs="Times New Roman"/>
        </w:rPr>
        <w:t>This section synthesizes key research examining the economic implications of the U.S. Endangered Species Act (ESA) and its regulations. The reviewed literature focuses on how ESA-related policies, including species listing and critical habitat designation (CHD), affect land use, economic activity, and labor markets. These studies inform this dissertation’s exploration of the economic consequences of delisting the Louisiana Black Bear, with particular emphasis on spatial, temporal, and sectoral variations.</w:t>
      </w:r>
    </w:p>
    <w:p w14:paraId="3BC631DA" w14:textId="041E689A" w:rsidR="00D61046" w:rsidRPr="00D61046" w:rsidRDefault="006075E1" w:rsidP="009908F2">
      <w:pPr>
        <w:pStyle w:val="Heading3"/>
      </w:pPr>
      <w:bookmarkStart w:id="555" w:name="_Toc187789893"/>
      <w:bookmarkStart w:id="556" w:name="_Toc188379049"/>
      <w:r>
        <w:rPr>
          <w:lang w:val="en-US"/>
        </w:rPr>
        <w:t>3.</w:t>
      </w:r>
      <w:r w:rsidR="00D61046" w:rsidRPr="00D61046">
        <w:t>4.2 Economic Impacts of ESA Regulations</w:t>
      </w:r>
      <w:bookmarkEnd w:id="555"/>
      <w:bookmarkEnd w:id="556"/>
    </w:p>
    <w:p w14:paraId="3D734B84" w14:textId="77777777" w:rsidR="00D61046" w:rsidRPr="00D61046" w:rsidRDefault="00D61046" w:rsidP="009908F2">
      <w:pPr>
        <w:rPr>
          <w:rFonts w:cs="Times New Roman"/>
          <w:lang/>
        </w:rPr>
      </w:pPr>
      <w:r w:rsidRPr="00D61046">
        <w:rPr>
          <w:rFonts w:cs="Times New Roman"/>
          <w:lang/>
        </w:rPr>
        <w:t xml:space="preserve">Research demonstrates that ESA-imposed land use restrictions significantly influence agricultural and labor markets. Melstrom (2020) employed a hedonic pricing model to examine the effects of ESA restrictions on agricultural land values, profits, and revenues. The study found that dryland areas—regions with less than 1% of agricultural land under irrigation—experienced a 4% decline in land values and profitability post-listing. Irrigated areas, in contrast, showed no </w:t>
      </w:r>
      <w:r w:rsidRPr="00D61046">
        <w:rPr>
          <w:rFonts w:cs="Times New Roman"/>
          <w:lang/>
        </w:rPr>
        <w:lastRenderedPageBreak/>
        <w:t>measurable impact, underscoring the heterogeneous economic burdens of ESA compliance. Similarly, Melstrom (2016) assessed the labor market consequences of the ESA listing of the lesser prairie chicken. Using a difference-in-differences framework with county-level employment data, the study identified a 1% decline in employment in counties with prairie chicken habitats. The magnitude of the impact was proportional to the extent of habitat coverage, suggesting that areas with larger habitats faced greater economic disruption.</w:t>
      </w:r>
    </w:p>
    <w:p w14:paraId="0B24E032" w14:textId="0FF45563" w:rsidR="00D61046" w:rsidRPr="00D61046" w:rsidRDefault="006075E1" w:rsidP="009908F2">
      <w:pPr>
        <w:pStyle w:val="Heading3"/>
      </w:pPr>
      <w:bookmarkStart w:id="557" w:name="_Toc187789894"/>
      <w:bookmarkStart w:id="558" w:name="_Toc188379050"/>
      <w:r>
        <w:rPr>
          <w:lang w:val="en-US"/>
        </w:rPr>
        <w:t>3.</w:t>
      </w:r>
      <w:r w:rsidR="00D61046" w:rsidRPr="00D61046">
        <w:t>4.3 Critical Habitat Designation and Development</w:t>
      </w:r>
      <w:bookmarkEnd w:id="557"/>
      <w:bookmarkEnd w:id="558"/>
    </w:p>
    <w:p w14:paraId="20B99E74" w14:textId="77777777" w:rsidR="00D61046" w:rsidRPr="00D61046" w:rsidRDefault="00D61046" w:rsidP="009908F2">
      <w:pPr>
        <w:rPr>
          <w:rFonts w:cs="Times New Roman"/>
          <w:lang/>
        </w:rPr>
      </w:pPr>
      <w:r w:rsidRPr="00D61046">
        <w:rPr>
          <w:rFonts w:cs="Times New Roman"/>
          <w:lang/>
        </w:rPr>
        <w:t>Critical Habitat Designation (CHD) is another contentious aspect of the ESA, with significant implications for development activities. Zabel and Paterson (2006) investigated the effect of CHD on California’s housing market by analyzing permit issuance data over a 13-year period. Their fixed-effects regression analysis revealed a 23.5% reduction in housing permits in the short term and a 37% decline in the long term. These findings suggest that CHD increases development costs and acts as a deterrent to construction activities, thereby affecting housing supply and local economic dynamics.</w:t>
      </w:r>
    </w:p>
    <w:p w14:paraId="0C009C24" w14:textId="62B55890" w:rsidR="00D61046" w:rsidRPr="00D61046" w:rsidRDefault="006075E1" w:rsidP="009908F2">
      <w:pPr>
        <w:pStyle w:val="Heading3"/>
      </w:pPr>
      <w:bookmarkStart w:id="559" w:name="_Toc187789895"/>
      <w:bookmarkStart w:id="560" w:name="_Toc188379051"/>
      <w:r>
        <w:rPr>
          <w:lang w:val="en-US"/>
        </w:rPr>
        <w:t>3.</w:t>
      </w:r>
      <w:r w:rsidR="00D61046" w:rsidRPr="00D61046">
        <w:t>4.4 Behavioral Responses to ESA Policies</w:t>
      </w:r>
      <w:bookmarkEnd w:id="559"/>
      <w:bookmarkEnd w:id="560"/>
    </w:p>
    <w:p w14:paraId="0E72B5F2" w14:textId="77777777" w:rsidR="00D61046" w:rsidRPr="00D61046" w:rsidRDefault="00D61046" w:rsidP="009908F2">
      <w:pPr>
        <w:rPr>
          <w:rFonts w:cs="Times New Roman"/>
          <w:lang/>
        </w:rPr>
      </w:pPr>
      <w:r w:rsidRPr="00D61046">
        <w:rPr>
          <w:rFonts w:cs="Times New Roman"/>
          <w:lang/>
        </w:rPr>
        <w:t xml:space="preserve">Regulatory uncertainty often triggers unintended economic and environmental consequences. Zhang (2007) explored the behavioral responses of timberland owners to the potential listing of the red-cockaded woodpecker. The study found that landowners preemptively clear-cut forests to avoid future restrictions, thereby undermining conservation objectives. Using econometric models, Zhang demonstrated the counterproductive effects of ESA-induced regulatory uncertainty on private land management (Zhang, 2007). In contrast, Sims et al. (2019) provided </w:t>
      </w:r>
      <w:r w:rsidRPr="00D61046">
        <w:rPr>
          <w:rFonts w:cs="Times New Roman"/>
          <w:lang/>
        </w:rPr>
        <w:lastRenderedPageBreak/>
        <w:t>evidence that land protection under the ESA can have neutral or even positive local economic effects. Their quasi-experimental analysis of employment and housing permits in New England showed modest increases in employment without significant changes in housing development or median incomes. This study underscores the complexity of balancing conservation and economic objectives, suggesting that well-managed land protection policies can support local economies.</w:t>
      </w:r>
    </w:p>
    <w:p w14:paraId="61BAC679" w14:textId="1D14B9E9" w:rsidR="00D61046" w:rsidRPr="00D61046" w:rsidRDefault="006075E1" w:rsidP="009908F2">
      <w:pPr>
        <w:pStyle w:val="Heading3"/>
      </w:pPr>
      <w:bookmarkStart w:id="561" w:name="_Toc187789896"/>
      <w:bookmarkStart w:id="562" w:name="_Toc188379052"/>
      <w:r>
        <w:rPr>
          <w:lang w:val="en-US"/>
        </w:rPr>
        <w:t>3.</w:t>
      </w:r>
      <w:r w:rsidR="00D61046" w:rsidRPr="00D61046">
        <w:t>4.5 Broader Regional and Sectoral Impacts</w:t>
      </w:r>
      <w:bookmarkEnd w:id="561"/>
      <w:bookmarkEnd w:id="562"/>
    </w:p>
    <w:p w14:paraId="555D0DB0" w14:textId="77777777" w:rsidR="00D61046" w:rsidRPr="00D61046" w:rsidRDefault="00D61046" w:rsidP="009908F2">
      <w:pPr>
        <w:rPr>
          <w:rFonts w:cs="Times New Roman"/>
          <w:lang/>
        </w:rPr>
      </w:pPr>
      <w:r w:rsidRPr="00D61046">
        <w:rPr>
          <w:rFonts w:cs="Times New Roman"/>
          <w:lang/>
        </w:rPr>
        <w:t>Several studies have examined the broader economic impacts of ESA policies across regions and sectors. Ferris et al. (2021) analyzed the labor market effects of the Northern Spotted Owl’s listing, which led to extensive logging restrictions in the Pacific Northwest. Using spatial data and control group comparisons, the study estimated long-run employment declines of 13.9% regionally and 28.1% nationally in the timber sector. Areas with larger shares of federally protected timberland experienced the most significant job losses, highlighting the localized costs of conservation policies. Aillery et al. (1996) evaluated the economic consequences of salmon recovery measures in the Pacific Northwest. The study estimated annual agricultural losses of $4 to $35 million due to reduced irrigation and increased transportation costs. Despite these losses, the study emphasized the ecological and recreational benefits of salmon recovery, including improved fishery health and ecosystem services. This dual perspective illustrates the complex trade-offs between economic costs and environmental gains.</w:t>
      </w:r>
    </w:p>
    <w:p w14:paraId="6DE2EAD5" w14:textId="39BCAF1E" w:rsidR="00D61046" w:rsidRPr="00D61046" w:rsidRDefault="006075E1" w:rsidP="009908F2">
      <w:pPr>
        <w:pStyle w:val="Heading3"/>
      </w:pPr>
      <w:bookmarkStart w:id="563" w:name="_Toc187789897"/>
      <w:bookmarkStart w:id="564" w:name="_Toc188379053"/>
      <w:r>
        <w:rPr>
          <w:lang w:val="en-US"/>
        </w:rPr>
        <w:t>3.</w:t>
      </w:r>
      <w:r w:rsidR="00D61046" w:rsidRPr="00D61046">
        <w:t>4.6 Contribution of This Research</w:t>
      </w:r>
      <w:bookmarkEnd w:id="563"/>
      <w:bookmarkEnd w:id="564"/>
    </w:p>
    <w:p w14:paraId="3557DBAD" w14:textId="77777777" w:rsidR="00D61046" w:rsidRPr="00D61046" w:rsidRDefault="00D61046" w:rsidP="009908F2">
      <w:pPr>
        <w:rPr>
          <w:rFonts w:cs="Times New Roman"/>
          <w:lang/>
        </w:rPr>
      </w:pPr>
      <w:r w:rsidRPr="00D61046">
        <w:rPr>
          <w:rFonts w:cs="Times New Roman"/>
          <w:lang/>
        </w:rPr>
        <w:t xml:space="preserve">This dissertation makes a significant and novel contribution to the existing literature on the economic impacts of conservation policies under the ESA. While previous studies have </w:t>
      </w:r>
      <w:r w:rsidRPr="00D61046">
        <w:rPr>
          <w:rFonts w:cs="Times New Roman"/>
          <w:lang/>
        </w:rPr>
        <w:lastRenderedPageBreak/>
        <w:t xml:space="preserve">extensively examined the effects of species listing and critical habitat designation (e.g., Melstrom, 2020; Zabel &amp; Paterson, 2006; Ferris et al., 2021), no research to date has empirically investigated the economic implications of </w:t>
      </w:r>
      <w:r w:rsidRPr="00D61046">
        <w:rPr>
          <w:rFonts w:cs="Times New Roman"/>
          <w:i/>
          <w:iCs/>
          <w:lang/>
        </w:rPr>
        <w:t>delisting</w:t>
      </w:r>
      <w:r w:rsidRPr="00D61046">
        <w:rPr>
          <w:rFonts w:cs="Times New Roman"/>
          <w:lang/>
        </w:rPr>
        <w:t xml:space="preserve"> a species. By focusing on the Louisiana Black Bear, this study addresses a critical gap in the literature, shifting the focus from the restrictive impacts of ESA policies to the economic dynamics of their reversal.</w:t>
      </w:r>
    </w:p>
    <w:p w14:paraId="06933DB7" w14:textId="77777777" w:rsidR="00D61046" w:rsidRPr="00D61046" w:rsidRDefault="00D61046" w:rsidP="009908F2">
      <w:pPr>
        <w:rPr>
          <w:rFonts w:cs="Times New Roman"/>
          <w:lang/>
        </w:rPr>
      </w:pPr>
      <w:r w:rsidRPr="00D61046">
        <w:rPr>
          <w:rFonts w:cs="Times New Roman"/>
          <w:lang/>
        </w:rPr>
        <w:t>The findings provide robust evidence on the heterogeneous effects of delisting across spatial, temporal, and sectoral dimensions, highlighting the differential impacts on land-intensive and non-land-intensive industries. Moreover, the study’s methodological approach—leveraging high-dimensional fixed effects and longitudinal data—adds a new layer of rigor to the empirical analysis of conservation policies. This research not only informs the broader debate on balancing conservation and economic development but also offers actionable insights for policymakers navigating post-delisting transitions.</w:t>
      </w:r>
    </w:p>
    <w:p w14:paraId="59B33BFE" w14:textId="77777777" w:rsidR="00D61046" w:rsidRPr="00D61046" w:rsidRDefault="00D61046" w:rsidP="009908F2">
      <w:pPr>
        <w:rPr>
          <w:rFonts w:cs="Times New Roman"/>
          <w:lang/>
        </w:rPr>
      </w:pPr>
      <w:r w:rsidRPr="00D61046">
        <w:rPr>
          <w:rFonts w:cs="Times New Roman"/>
          <w:lang/>
        </w:rPr>
        <w:t>By filling this unexplored niche, the study establishes a foundation for future research on delisting decisions and their socio-economic consequences, extending the literature on conservation economics to a domain previously overlooked.</w:t>
      </w:r>
    </w:p>
    <w:p w14:paraId="52AB2727" w14:textId="77AEAF94" w:rsidR="00D61046" w:rsidRPr="00D61046" w:rsidRDefault="006075E1" w:rsidP="00E4693E">
      <w:pPr>
        <w:pStyle w:val="Heading2"/>
      </w:pPr>
      <w:bookmarkStart w:id="565" w:name="_Toc187789898"/>
      <w:bookmarkStart w:id="566" w:name="_Toc188379054"/>
      <w:r>
        <w:t>3.</w:t>
      </w:r>
      <w:r w:rsidR="00D61046" w:rsidRPr="00D61046">
        <w:t>5 Data, and Data Source</w:t>
      </w:r>
      <w:bookmarkEnd w:id="565"/>
      <w:bookmarkEnd w:id="566"/>
    </w:p>
    <w:p w14:paraId="0B09DD4F" w14:textId="312F8E30" w:rsidR="00D61046" w:rsidRPr="00D61046" w:rsidRDefault="006075E1" w:rsidP="004C39A4">
      <w:pPr>
        <w:pStyle w:val="Heading3"/>
      </w:pPr>
      <w:bookmarkStart w:id="567" w:name="_Toc179574307"/>
      <w:bookmarkStart w:id="568" w:name="_Toc187789899"/>
      <w:bookmarkStart w:id="569" w:name="_Toc188379055"/>
      <w:r>
        <w:rPr>
          <w:lang w:val="en-US"/>
        </w:rPr>
        <w:t>3.</w:t>
      </w:r>
      <w:r w:rsidR="00D61046" w:rsidRPr="00D61046">
        <w:t>5.1 Introduction</w:t>
      </w:r>
      <w:bookmarkEnd w:id="567"/>
      <w:bookmarkEnd w:id="568"/>
      <w:bookmarkEnd w:id="569"/>
    </w:p>
    <w:p w14:paraId="147BE6E2" w14:textId="77777777" w:rsidR="00D61046" w:rsidRPr="009908F2" w:rsidRDefault="00D61046" w:rsidP="009908F2">
      <w:pPr>
        <w:rPr>
          <w:rFonts w:cs="Times New Roman"/>
        </w:rPr>
      </w:pPr>
      <w:r w:rsidRPr="009908F2">
        <w:rPr>
          <w:rFonts w:cs="Times New Roman"/>
        </w:rPr>
        <w:t xml:space="preserve">This section outlines the data sources, variables, and summary statistics used to evaluate the economic impacts of delisting the Louisiana Black Bear. The analysis is based on a county-year panel dataset covering 3,246 counties in the contiguous United States from 1998 to 2019. The study investigates the effects of delisting on three primary economic outcomes—establishment </w:t>
      </w:r>
      <w:r w:rsidRPr="009908F2">
        <w:rPr>
          <w:rFonts w:cs="Times New Roman"/>
        </w:rPr>
        <w:lastRenderedPageBreak/>
        <w:t xml:space="preserve">count, employment, and sales volume—across land-intensive and non-LIS. The explanatory variables include species-specific measures of habitat and temporal changes post-delisting, as well as a robust set of socio-economic, demographic, and environmental controls. </w:t>
      </w:r>
    </w:p>
    <w:p w14:paraId="70553501" w14:textId="1581A5BD" w:rsidR="00D61046" w:rsidRPr="009908F2" w:rsidRDefault="006075E1" w:rsidP="009908F2">
      <w:pPr>
        <w:pStyle w:val="Heading3"/>
        <w:rPr>
          <w:rFonts w:cs="Times New Roman"/>
        </w:rPr>
      </w:pPr>
      <w:bookmarkStart w:id="570" w:name="_Toc187789900"/>
      <w:bookmarkStart w:id="571" w:name="_Toc188379056"/>
      <w:r>
        <w:rPr>
          <w:rFonts w:cs="Times New Roman"/>
          <w:lang w:val="en-US"/>
        </w:rPr>
        <w:t>3.</w:t>
      </w:r>
      <w:r w:rsidR="00D61046" w:rsidRPr="009908F2">
        <w:rPr>
          <w:rFonts w:cs="Times New Roman"/>
        </w:rPr>
        <w:t>5.2 Outcome Variables</w:t>
      </w:r>
      <w:bookmarkEnd w:id="570"/>
      <w:bookmarkEnd w:id="571"/>
    </w:p>
    <w:p w14:paraId="0FDF5D74" w14:textId="44702BC6" w:rsidR="00D61046" w:rsidRPr="009908F2" w:rsidRDefault="006075E1" w:rsidP="001953BB">
      <w:pPr>
        <w:pStyle w:val="Heading4"/>
      </w:pPr>
      <w:bookmarkStart w:id="572" w:name="_Toc187789901"/>
      <w:r>
        <w:t>3.</w:t>
      </w:r>
      <w:r w:rsidR="00D61046" w:rsidRPr="009908F2">
        <w:t>5.2.1 Establishment Count</w:t>
      </w:r>
      <w:bookmarkEnd w:id="572"/>
    </w:p>
    <w:p w14:paraId="0710E8CF" w14:textId="77777777" w:rsidR="00D61046" w:rsidRPr="009908F2" w:rsidRDefault="00D61046" w:rsidP="009908F2">
      <w:pPr>
        <w:rPr>
          <w:rFonts w:cs="Times New Roman"/>
        </w:rPr>
      </w:pPr>
      <w:r w:rsidRPr="009908F2">
        <w:rPr>
          <w:rFonts w:cs="Times New Roman"/>
        </w:rPr>
        <w:t>Establishment count refers to the number of operational businesses in a sector, county, and year. This variable reflects business dynamics in response to regulatory changes and is commonly used in studies of industrial location and economic adjustment to policy interventions (Henderson, 1988; Ferris and Frank, 2021). Delisting is expected to lower entry barriers for new establishments, particularly in LIS.</w:t>
      </w:r>
    </w:p>
    <w:p w14:paraId="2EC0137C" w14:textId="6BF476AC" w:rsidR="00D61046" w:rsidRPr="009908F2" w:rsidRDefault="006075E1" w:rsidP="001953BB">
      <w:pPr>
        <w:pStyle w:val="Heading4"/>
      </w:pPr>
      <w:bookmarkStart w:id="573" w:name="_Toc187789902"/>
      <w:r>
        <w:t>3.</w:t>
      </w:r>
      <w:r w:rsidR="00D61046" w:rsidRPr="009908F2">
        <w:t>5.2.2 Employment</w:t>
      </w:r>
      <w:bookmarkEnd w:id="573"/>
    </w:p>
    <w:p w14:paraId="19B83E10" w14:textId="77777777" w:rsidR="00D61046" w:rsidRPr="009908F2" w:rsidRDefault="00D61046" w:rsidP="009908F2">
      <w:pPr>
        <w:rPr>
          <w:rFonts w:cs="Times New Roman"/>
        </w:rPr>
      </w:pPr>
      <w:r w:rsidRPr="009908F2">
        <w:rPr>
          <w:rFonts w:cs="Times New Roman"/>
        </w:rPr>
        <w:t>Employment measures the total number of jobs within a sector, county, and year.</w:t>
      </w:r>
      <w:r w:rsidRPr="009908F2">
        <w:rPr>
          <w:rFonts w:cs="Times New Roman"/>
        </w:rPr>
        <w:br/>
        <w:t>As a core indicator of economic activity, employment captures the labor market effects of delisting-induced changes in land use and regulatory constraints (Gerber, 2016; Sims et al., 2019). Increased land access and reduced compliance costs post-delisting are hypothesized to drive employment growth in affected industries.</w:t>
      </w:r>
    </w:p>
    <w:p w14:paraId="4C31A043" w14:textId="0128ABB1" w:rsidR="00D61046" w:rsidRPr="009908F2" w:rsidRDefault="006075E1" w:rsidP="001953BB">
      <w:pPr>
        <w:pStyle w:val="Heading4"/>
      </w:pPr>
      <w:bookmarkStart w:id="574" w:name="_Toc187789903"/>
      <w:r>
        <w:t>3.</w:t>
      </w:r>
      <w:r w:rsidR="00D61046" w:rsidRPr="009908F2">
        <w:t>5.2.3 Sales Volume</w:t>
      </w:r>
      <w:bookmarkEnd w:id="574"/>
    </w:p>
    <w:p w14:paraId="26DE09E0" w14:textId="77777777" w:rsidR="00D61046" w:rsidRPr="009908F2" w:rsidRDefault="00D61046" w:rsidP="009908F2">
      <w:pPr>
        <w:rPr>
          <w:rFonts w:cs="Times New Roman"/>
        </w:rPr>
      </w:pPr>
      <w:r w:rsidRPr="009908F2">
        <w:rPr>
          <w:rFonts w:cs="Times New Roman"/>
        </w:rPr>
        <w:t>Sales volume refers to the total revenue generated by businesses in a sector, county, and year. Sales volume captures sectoral economic output and provides insights into revenue shifts following delisting. Prior research highlights its importance in assessing the economic spillovers of environmental regulations (Zhang, 2007; Melstrom et al., 2016).</w:t>
      </w:r>
    </w:p>
    <w:p w14:paraId="2F2DA08E" w14:textId="77777777" w:rsidR="00D61046" w:rsidRPr="009908F2" w:rsidRDefault="00D61046" w:rsidP="009908F2">
      <w:pPr>
        <w:rPr>
          <w:rFonts w:cs="Times New Roman"/>
        </w:rPr>
      </w:pPr>
      <w:r w:rsidRPr="009908F2">
        <w:rPr>
          <w:rFonts w:cs="Times New Roman"/>
        </w:rPr>
        <w:lastRenderedPageBreak/>
        <w:t>Together, these outcome variables offer a comprehensive view of the economic impacts, capturing changes in business activity, labor markets, and sectoral performance.</w:t>
      </w:r>
    </w:p>
    <w:p w14:paraId="04753AAF" w14:textId="4F443982" w:rsidR="00D61046" w:rsidRPr="009908F2" w:rsidRDefault="006075E1" w:rsidP="009908F2">
      <w:pPr>
        <w:pStyle w:val="Heading3"/>
        <w:rPr>
          <w:rFonts w:cs="Times New Roman"/>
        </w:rPr>
      </w:pPr>
      <w:bookmarkStart w:id="575" w:name="_Toc187789904"/>
      <w:bookmarkStart w:id="576" w:name="_Toc188379057"/>
      <w:r>
        <w:rPr>
          <w:rFonts w:cs="Times New Roman"/>
          <w:lang w:val="en-US"/>
        </w:rPr>
        <w:t>3.</w:t>
      </w:r>
      <w:r w:rsidR="00D61046" w:rsidRPr="009908F2">
        <w:rPr>
          <w:rFonts w:cs="Times New Roman"/>
        </w:rPr>
        <w:t>5.3 Key Explanatory Variables</w:t>
      </w:r>
      <w:bookmarkEnd w:id="575"/>
      <w:bookmarkEnd w:id="576"/>
    </w:p>
    <w:p w14:paraId="20590FE9" w14:textId="657D9F73" w:rsidR="00D61046" w:rsidRPr="009908F2" w:rsidRDefault="006075E1" w:rsidP="001953BB">
      <w:pPr>
        <w:pStyle w:val="Heading4"/>
      </w:pPr>
      <w:bookmarkStart w:id="577" w:name="_Toc187789905"/>
      <w:r>
        <w:t>3.</w:t>
      </w:r>
      <w:r w:rsidR="00D61046" w:rsidRPr="009908F2">
        <w:t>5.3.1 Species Range</w:t>
      </w:r>
      <w:bookmarkEnd w:id="577"/>
    </w:p>
    <w:p w14:paraId="13C42A4D" w14:textId="77777777" w:rsidR="00D61046" w:rsidRPr="009908F2" w:rsidRDefault="00D61046" w:rsidP="009908F2">
      <w:pPr>
        <w:rPr>
          <w:rFonts w:cs="Times New Roman"/>
        </w:rPr>
      </w:pPr>
      <w:r w:rsidRPr="009908F2">
        <w:rPr>
          <w:rFonts w:cs="Times New Roman"/>
        </w:rPr>
        <w:t>The range of the Louisiana Black Bear is a key explanatory variable in this study, capturing the spatial dimensions of delisting’s economic impacts. To provide a robust and nuanced analysis, the species range is measured using two definitions: binary and continuous. These complementary approaches ensure that the study captures both broad patterns and finer spatial variations in economic outcomes.</w:t>
      </w:r>
    </w:p>
    <w:p w14:paraId="6797787A" w14:textId="77777777" w:rsidR="00D61046" w:rsidRPr="009908F2" w:rsidRDefault="00D61046" w:rsidP="009908F2">
      <w:pPr>
        <w:rPr>
          <w:rFonts w:cs="Times New Roman"/>
        </w:rPr>
      </w:pPr>
      <w:r w:rsidRPr="009908F2">
        <w:rPr>
          <w:rFonts w:cs="Times New Roman"/>
        </w:rPr>
        <w:t>The binary definition is a categorical measure that identifies whether a county overlaps with any portion of the Louisiana Black Bear’s range. Counties within the range are assigned a value of 1, while those outside the range are assigned a value of 0. This measure simplifies the spatial analysis, enabling clear comparisons between counties that are directly affected by delisting and those that are not. The binary approach is particularly useful for identifying broad, immediate impacts of habitat presence on economic activities.</w:t>
      </w:r>
    </w:p>
    <w:p w14:paraId="38F5DC7A" w14:textId="77777777" w:rsidR="00D61046" w:rsidRPr="009908F2" w:rsidRDefault="00D61046" w:rsidP="009908F2">
      <w:pPr>
        <w:rPr>
          <w:rFonts w:cs="Times New Roman"/>
        </w:rPr>
      </w:pPr>
      <w:r w:rsidRPr="009908F2">
        <w:rPr>
          <w:rFonts w:cs="Times New Roman"/>
        </w:rPr>
        <w:t>In contrast, the continuous definition quantifies the percentage of a county’s land area that overlaps with the bear’s range. This measure provides a more granular understanding of how varying levels of habitat overlap influence economic outcomes. By accounting for differences in habitat coverage, the continuous definition captures spatial heterogeneity, allowing for more precise analysis of marginal effects. This approach is particularly valuable in identifying how economic impacts scale with increasing habitat overlap.</w:t>
      </w:r>
    </w:p>
    <w:p w14:paraId="4B180D56" w14:textId="77777777" w:rsidR="00D61046" w:rsidRPr="009908F2" w:rsidRDefault="00D61046" w:rsidP="009908F2">
      <w:pPr>
        <w:rPr>
          <w:rFonts w:cs="Times New Roman"/>
        </w:rPr>
      </w:pPr>
      <w:r w:rsidRPr="009908F2">
        <w:rPr>
          <w:rFonts w:cs="Times New Roman"/>
        </w:rPr>
        <w:lastRenderedPageBreak/>
        <w:t>These dual definitions align with established methodologies in conservation economics, such as those employed by Zabel and Paterson (2006). By incorporating both binary and continuous measures, this study ensures a comprehensive evaluation of delisting’s spatial impacts, accommodating varying levels of habitat overlap and their associated economic effects.</w:t>
      </w:r>
    </w:p>
    <w:p w14:paraId="74C46DFC" w14:textId="7CFB22A2" w:rsidR="00D61046" w:rsidRPr="009908F2" w:rsidRDefault="006075E1" w:rsidP="001953BB">
      <w:pPr>
        <w:pStyle w:val="Heading4"/>
      </w:pPr>
      <w:bookmarkStart w:id="578" w:name="_Toc187789906"/>
      <w:r>
        <w:t>3.</w:t>
      </w:r>
      <w:r w:rsidR="00D61046" w:rsidRPr="009908F2">
        <w:t>5.3.2 Time Since Delisting (TSD)</w:t>
      </w:r>
      <w:bookmarkEnd w:id="578"/>
    </w:p>
    <w:p w14:paraId="2EBC6345" w14:textId="77777777" w:rsidR="00D61046" w:rsidRPr="009908F2" w:rsidRDefault="00D61046" w:rsidP="009908F2">
      <w:pPr>
        <w:rPr>
          <w:rFonts w:cs="Times New Roman"/>
        </w:rPr>
      </w:pPr>
      <w:r w:rsidRPr="009908F2">
        <w:rPr>
          <w:rFonts w:cs="Times New Roman"/>
        </w:rPr>
        <w:t>Time Since Delisting (TSD) measures the number of years since the Louisiana Black Bear was removed from the Endangered Species Act (ESA) list in 2016. This variable is bounded below by zero, reflecting only the post-delisting period. It is instrumental in capturing the temporal evolution of economic impacts as industries adapt to regulatory changes associated with the delisting decision.</w:t>
      </w:r>
    </w:p>
    <w:p w14:paraId="0C391853" w14:textId="77777777" w:rsidR="00D61046" w:rsidRPr="009908F2" w:rsidRDefault="00D61046" w:rsidP="009908F2">
      <w:pPr>
        <w:rPr>
          <w:rFonts w:cs="Times New Roman"/>
        </w:rPr>
      </w:pPr>
      <w:r w:rsidRPr="009908F2">
        <w:rPr>
          <w:rFonts w:cs="Times New Roman"/>
        </w:rPr>
        <w:t>TSD provides a framework for analyzing how economic outcomes develop over time following the removal of federal protections. Immediate responses to delisting may be observed in industries that are highly sensitive to regulatory changes, while gradual adjustments may characterize sectors requiring time to adapt operations or reallocate resources. The interaction between TSD and the species range measures allows the study to distinguish between immediate impacts (β1) and evolving temporal effects (</w:t>
      </w:r>
      <w:r w:rsidRPr="009908F2">
        <w:rPr>
          <w:rFonts w:ascii="Cambria Math" w:hAnsi="Cambria Math" w:cs="Cambria Math"/>
        </w:rPr>
        <w:t>𝛽</w:t>
      </w:r>
      <w:r w:rsidRPr="009908F2">
        <w:rPr>
          <w:rFonts w:cs="Times New Roman"/>
        </w:rPr>
        <w:t>2), capturing the dynamic nature of sectoral responses to delisting.</w:t>
      </w:r>
    </w:p>
    <w:p w14:paraId="0566DBDB" w14:textId="77777777" w:rsidR="00D61046" w:rsidRPr="009908F2" w:rsidRDefault="00D61046" w:rsidP="009908F2">
      <w:pPr>
        <w:rPr>
          <w:rFonts w:cs="Times New Roman"/>
        </w:rPr>
      </w:pPr>
      <w:r w:rsidRPr="009908F2">
        <w:rPr>
          <w:rFonts w:cs="Times New Roman"/>
        </w:rPr>
        <w:t xml:space="preserve">The data availability in this study extends from 1998 to 2019, with the delisting event occurring in 2016. This temporal range ensures robust pre-delisting observations, facilitating a clear baseline for identifying shifts in economic outcomes post-delisting. However, the limited three-year window (2016–2019) available for post-delisting analysis imposes constraints on capturing </w:t>
      </w:r>
      <w:r w:rsidRPr="009908F2">
        <w:rPr>
          <w:rFonts w:cs="Times New Roman"/>
        </w:rPr>
        <w:lastRenderedPageBreak/>
        <w:t>long-term trends. While this window is sufficient for identifying initial and immediate responses, it may not fully capture extended sectoral adjustments, particularly for industries requiring longer periods to adapt to reduced regulatory constraints.</w:t>
      </w:r>
    </w:p>
    <w:p w14:paraId="560D20C5" w14:textId="77777777" w:rsidR="00D61046" w:rsidRPr="009908F2" w:rsidRDefault="00D61046" w:rsidP="009908F2">
      <w:pPr>
        <w:rPr>
          <w:rFonts w:cs="Times New Roman"/>
        </w:rPr>
      </w:pPr>
      <w:r w:rsidRPr="009908F2">
        <w:rPr>
          <w:rFonts w:cs="Times New Roman"/>
        </w:rPr>
        <w:t>The inclusion of TSD in this analysis aligns with the approaches employed in prior studies, such as Melstrom et al. (2016), which emphasize the importance of temporal variables in assessing the impacts of species conservation policies. By integrating TSD with the spatial measures of range, this study provides a multi-dimensional perspective on the economic implications of delisting, balancing immediate and temporal effects within the available data constraints.</w:t>
      </w:r>
    </w:p>
    <w:p w14:paraId="50AF18F5" w14:textId="678266CC" w:rsidR="00D61046" w:rsidRPr="009908F2" w:rsidRDefault="006075E1" w:rsidP="009908F2">
      <w:pPr>
        <w:pStyle w:val="Heading3"/>
        <w:rPr>
          <w:rFonts w:cs="Times New Roman"/>
        </w:rPr>
      </w:pPr>
      <w:bookmarkStart w:id="579" w:name="_Toc187789907"/>
      <w:bookmarkStart w:id="580" w:name="_Toc188379058"/>
      <w:r>
        <w:rPr>
          <w:rFonts w:cs="Times New Roman"/>
          <w:lang w:val="en-US"/>
        </w:rPr>
        <w:t>3.</w:t>
      </w:r>
      <w:r w:rsidR="00D61046" w:rsidRPr="009908F2">
        <w:rPr>
          <w:rFonts w:cs="Times New Roman"/>
        </w:rPr>
        <w:t>5.4 Control Variables</w:t>
      </w:r>
      <w:bookmarkEnd w:id="579"/>
      <w:bookmarkEnd w:id="580"/>
    </w:p>
    <w:p w14:paraId="685D3E5A" w14:textId="77777777" w:rsidR="00D61046" w:rsidRPr="009908F2" w:rsidRDefault="00D61046" w:rsidP="009908F2">
      <w:pPr>
        <w:rPr>
          <w:rFonts w:cs="Times New Roman"/>
        </w:rPr>
      </w:pPr>
      <w:r w:rsidRPr="009908F2">
        <w:rPr>
          <w:rFonts w:cs="Times New Roman"/>
        </w:rPr>
        <w:t>A comprehensive set of control variables is included to account for socio-economic, demographic, and environmental factors that influence economic outcomes. These controls are widely recognized in the literature as determinants of industrial performance and location decisions (Greenstone, 2002; Levinson, 2003; List, 2001).</w:t>
      </w:r>
    </w:p>
    <w:p w14:paraId="5C2DEA3F" w14:textId="77777777" w:rsidR="00D61046" w:rsidRPr="009908F2" w:rsidRDefault="00D61046" w:rsidP="009908F2">
      <w:pPr>
        <w:rPr>
          <w:rFonts w:cs="Times New Roman"/>
        </w:rPr>
      </w:pPr>
      <w:r w:rsidRPr="009908F2">
        <w:rPr>
          <w:rFonts w:cs="Times New Roman"/>
          <w:b/>
          <w:bCs/>
        </w:rPr>
        <w:t xml:space="preserve">Socio-Economic and Demographic Controls: </w:t>
      </w:r>
      <w:r w:rsidRPr="009908F2">
        <w:rPr>
          <w:rFonts w:cs="Times New Roman"/>
        </w:rPr>
        <w:t xml:space="preserve">Poverty rate is included as it reflects regional economic conditions affecting labor supply and demand. Unemployment Rate serves as a measure of labor market slack, influencing industrial activity. As a proxy for regional economic health and purchasing power, we include the median household income. To capture market size and urbanization effects on economic activity, we include population density. To account for property value changes over time, housing price index is included serving as an indicator of regional economic health and land-use dynamics. To </w:t>
      </w:r>
      <w:proofErr w:type="gramStart"/>
      <w:r w:rsidRPr="009908F2">
        <w:rPr>
          <w:rFonts w:cs="Times New Roman"/>
        </w:rPr>
        <w:t>control for</w:t>
      </w:r>
      <w:proofErr w:type="gramEnd"/>
      <w:r w:rsidRPr="009908F2">
        <w:rPr>
          <w:rFonts w:cs="Times New Roman"/>
        </w:rPr>
        <w:t xml:space="preserve"> localization economies, </w:t>
      </w:r>
      <w:r w:rsidRPr="009908F2">
        <w:rPr>
          <w:rFonts w:cs="Times New Roman"/>
        </w:rPr>
        <w:lastRenderedPageBreak/>
        <w:t>accounting for agglomeration effects and pre-existing economic activity, we include the number of business establishments in the prior period.</w:t>
      </w:r>
    </w:p>
    <w:p w14:paraId="68804DC6" w14:textId="77777777" w:rsidR="00D61046" w:rsidRPr="009908F2" w:rsidRDefault="00D61046" w:rsidP="009908F2">
      <w:pPr>
        <w:rPr>
          <w:rFonts w:cs="Times New Roman"/>
        </w:rPr>
      </w:pPr>
      <w:r w:rsidRPr="009908F2">
        <w:rPr>
          <w:rFonts w:cs="Times New Roman"/>
          <w:b/>
          <w:bCs/>
        </w:rPr>
        <w:t xml:space="preserve">Environmental Controls: </w:t>
      </w:r>
      <w:r w:rsidRPr="009908F2">
        <w:rPr>
          <w:rFonts w:cs="Times New Roman"/>
        </w:rPr>
        <w:t xml:space="preserve">We include measures of protected area designations (PADs), </w:t>
      </w:r>
      <w:proofErr w:type="gramStart"/>
      <w:r w:rsidRPr="009908F2">
        <w:rPr>
          <w:rFonts w:cs="Times New Roman"/>
        </w:rPr>
        <w:t>in particular</w:t>
      </w:r>
      <w:proofErr w:type="gramEnd"/>
      <w:r w:rsidRPr="009908F2">
        <w:rPr>
          <w:rFonts w:cs="Times New Roman"/>
        </w:rPr>
        <w:t xml:space="preserve"> the percentage of county land under conservation restrictions, which can influence land availability for industrial use. We also control for air quality attainment status, including binary indicators for EPA-regulated pollutants (e.g., SO₂, O₃, CO, PSM, Pb, </w:t>
      </w:r>
      <m:oMath>
        <m:r>
          <w:rPr>
            <w:rFonts w:ascii="Cambria Math" w:hAnsi="Cambria Math" w:cs="Times New Roman"/>
          </w:rPr>
          <m:t>N</m:t>
        </m:r>
        <m:sSub>
          <m:sSubPr>
            <m:ctrlPr>
              <w:rPr>
                <w:rFonts w:ascii="Cambria Math" w:hAnsi="Cambria Math" w:cs="Times New Roman"/>
                <w:i/>
              </w:rPr>
            </m:ctrlPr>
          </m:sSubPr>
          <m:e>
            <m:r>
              <w:rPr>
                <w:rFonts w:ascii="Cambria Math" w:hAnsi="Cambria Math" w:cs="Times New Roman"/>
              </w:rPr>
              <m:t>O</m:t>
            </m:r>
          </m:e>
          <m:sub>
            <m:r>
              <w:rPr>
                <w:rFonts w:ascii="Cambria Math" w:hAnsi="Cambria Math" w:cs="Times New Roman"/>
              </w:rPr>
              <m:t>2</m:t>
            </m:r>
          </m:sub>
        </m:sSub>
      </m:oMath>
      <w:r w:rsidRPr="009908F2">
        <w:rPr>
          <w:rFonts w:cs="Times New Roman"/>
        </w:rPr>
        <w:t>), capturing regulatory compliance and environmental quality effects on businesses.</w:t>
      </w:r>
    </w:p>
    <w:p w14:paraId="1D348B6F" w14:textId="12523C64" w:rsidR="00D61046" w:rsidRPr="009908F2" w:rsidRDefault="006075E1" w:rsidP="009908F2">
      <w:pPr>
        <w:pStyle w:val="Heading3"/>
        <w:rPr>
          <w:rFonts w:cs="Times New Roman"/>
        </w:rPr>
      </w:pPr>
      <w:bookmarkStart w:id="581" w:name="_Toc187789908"/>
      <w:bookmarkStart w:id="582" w:name="_Toc188379059"/>
      <w:r>
        <w:rPr>
          <w:rFonts w:cs="Times New Roman"/>
          <w:lang w:val="en-US"/>
        </w:rPr>
        <w:t>3.</w:t>
      </w:r>
      <w:r w:rsidR="00D61046" w:rsidRPr="009908F2">
        <w:rPr>
          <w:rFonts w:cs="Times New Roman"/>
        </w:rPr>
        <w:t>5.5 Data Sources</w:t>
      </w:r>
      <w:bookmarkEnd w:id="581"/>
      <w:bookmarkEnd w:id="582"/>
    </w:p>
    <w:p w14:paraId="03D5E763" w14:textId="6C8A4595" w:rsidR="00D61046" w:rsidRPr="009908F2" w:rsidRDefault="006075E1" w:rsidP="001953BB">
      <w:pPr>
        <w:pStyle w:val="Heading4"/>
      </w:pPr>
      <w:bookmarkStart w:id="583" w:name="_Toc187789909"/>
      <w:r>
        <w:t>3.</w:t>
      </w:r>
      <w:r w:rsidR="00D61046" w:rsidRPr="009908F2">
        <w:t>5.5.1 Species-Specific Data</w:t>
      </w:r>
      <w:bookmarkEnd w:id="583"/>
    </w:p>
    <w:p w14:paraId="401A6E12" w14:textId="77777777" w:rsidR="00D61046" w:rsidRPr="009908F2" w:rsidRDefault="00D61046" w:rsidP="009908F2">
      <w:pPr>
        <w:rPr>
          <w:rFonts w:cs="Times New Roman"/>
        </w:rPr>
      </w:pPr>
      <w:r w:rsidRPr="009908F2">
        <w:rPr>
          <w:rFonts w:cs="Times New Roman"/>
          <w:lang/>
        </w:rPr>
        <w:t xml:space="preserve">This study relies on species-specific data sourced from the Environmental Conservation Online System (ECOS), maintained by the U.S. Fish and Wildlife Service (FWS). ECOS is a comprehensive platform that consolidates data on species listings, critical habitat designations, conservation plans, and range maps. Shapefiles of the Louisiana Black Bear’s range were downloaded from ECOS and cross-verified with data from the Databasin platform, an additional resource providing species-specific spatial information. The range data focus on counties and parishes where the Louisiana Black Bear is known to occur, based on field surveys, expert reports, and habitat modelling conducted by the FWS. These data were processed using ArcGIS Pro, where shapefiles of the species range were overlaid with county boundary maps (FIPS codes) to calculate the percentage of each county’s land area that overlaps with the bear’s range. </w:t>
      </w:r>
    </w:p>
    <w:p w14:paraId="50FD8FB7" w14:textId="3E218A48" w:rsidR="00D61046" w:rsidRPr="009908F2" w:rsidRDefault="00D61046" w:rsidP="009908F2">
      <w:pPr>
        <w:rPr>
          <w:rFonts w:cs="Times New Roman"/>
          <w:lang/>
        </w:rPr>
      </w:pPr>
      <w:r w:rsidRPr="003D770C">
        <w:rPr>
          <w:rFonts w:cs="Times New Roman"/>
          <w:b/>
          <w:bCs/>
          <w:lang/>
        </w:rPr>
        <w:t>Figure A1</w:t>
      </w:r>
      <w:r w:rsidR="000E6D1D" w:rsidRPr="003D770C">
        <w:rPr>
          <w:rFonts w:cs="Times New Roman"/>
          <w:b/>
          <w:bCs/>
        </w:rPr>
        <w:t>7</w:t>
      </w:r>
      <w:r w:rsidRPr="009908F2">
        <w:rPr>
          <w:rFonts w:cs="Times New Roman"/>
          <w:lang/>
        </w:rPr>
        <w:t xml:space="preserve"> presents a visual map of the Louisiana Black Bear’s range to illustrate the geographic distribution of the species across the study area. The year of delisting (2016) was </w:t>
      </w:r>
      <w:r w:rsidRPr="009908F2">
        <w:rPr>
          <w:rFonts w:cs="Times New Roman"/>
          <w:lang/>
        </w:rPr>
        <w:lastRenderedPageBreak/>
        <w:t>verified using the official FWS website and corresponding Federal Register documents, which detail the legal and procedural context for the bear’s removal from the Endangered Species List. This verification ensures that the temporal dimensions of the study, including the Time Since Delisting (TSD) variable, align accurately with the regulatory timeline. By combining detailed spatial data with rigorous processing methods, this study ensures that the constructed range variables are accurate and suitable for examining the economic impacts of delisting across counties.</w:t>
      </w:r>
    </w:p>
    <w:p w14:paraId="2A7F3DE4" w14:textId="7E21BD09" w:rsidR="00D61046" w:rsidRPr="009908F2" w:rsidRDefault="006075E1" w:rsidP="001953BB">
      <w:pPr>
        <w:pStyle w:val="Heading4"/>
      </w:pPr>
      <w:bookmarkStart w:id="584" w:name="_Toc187789910"/>
      <w:r>
        <w:t>3.</w:t>
      </w:r>
      <w:r w:rsidR="00D61046" w:rsidRPr="009908F2">
        <w:t>5.5.2 Socio-Economic, Demographic and Environmental Data</w:t>
      </w:r>
      <w:bookmarkEnd w:id="584"/>
      <w:r w:rsidR="00D61046" w:rsidRPr="009908F2">
        <w:t xml:space="preserve"> </w:t>
      </w:r>
    </w:p>
    <w:p w14:paraId="6E762892" w14:textId="77777777" w:rsidR="00D61046" w:rsidRPr="009908F2" w:rsidRDefault="00D61046" w:rsidP="009908F2">
      <w:pPr>
        <w:rPr>
          <w:rFonts w:cs="Times New Roman"/>
        </w:rPr>
      </w:pPr>
      <w:r w:rsidRPr="009908F2">
        <w:rPr>
          <w:rFonts w:cs="Times New Roman"/>
        </w:rPr>
        <w:t xml:space="preserve">The three county-level outcome variables, namely the count of establishments, employment count, and sales volume, were constructed from Data Axle’s Historical Business Database, which provides annual establishment-level data on each sector-specific business establishment from 1997 to 2019 within the USA. As detailed in Chapter 1, this proprietary dataset overcomes the suppression limitations of public datasets, offering granular insights critical for this study. </w:t>
      </w:r>
    </w:p>
    <w:p w14:paraId="45FF5396" w14:textId="77777777" w:rsidR="00D61046" w:rsidRPr="009908F2" w:rsidRDefault="00D61046" w:rsidP="009908F2">
      <w:pPr>
        <w:rPr>
          <w:rFonts w:cs="Times New Roman"/>
        </w:rPr>
      </w:pPr>
      <w:r w:rsidRPr="009908F2">
        <w:rPr>
          <w:rFonts w:cs="Times New Roman"/>
        </w:rPr>
        <w:t>Socio-Economic and Demographic Variables were sourced from the Bureau of Labor Statistics (BLS) and from the County Business Patterns (CBP). The environmental county attainment status variables were extracted from the EPA’s Greenbook and data on PADs were downloaded from the Protected Areas Database website (PAD-US 3.0). Refer to Chapter 1 for more details on the construction of the PAD variable.</w:t>
      </w:r>
    </w:p>
    <w:p w14:paraId="6F3686B8" w14:textId="04B14C5C" w:rsidR="00D61046" w:rsidRPr="009908F2" w:rsidRDefault="006075E1" w:rsidP="009908F2">
      <w:pPr>
        <w:pStyle w:val="Heading3"/>
        <w:rPr>
          <w:rFonts w:cs="Times New Roman"/>
        </w:rPr>
      </w:pPr>
      <w:bookmarkStart w:id="585" w:name="_Toc179574308"/>
      <w:bookmarkStart w:id="586" w:name="_Toc187789911"/>
      <w:bookmarkStart w:id="587" w:name="_Toc188379060"/>
      <w:r>
        <w:rPr>
          <w:rFonts w:cs="Times New Roman"/>
          <w:lang w:val="en-US"/>
        </w:rPr>
        <w:lastRenderedPageBreak/>
        <w:t>3.</w:t>
      </w:r>
      <w:r w:rsidR="00D61046" w:rsidRPr="009908F2">
        <w:rPr>
          <w:rFonts w:cs="Times New Roman"/>
        </w:rPr>
        <w:t>5.6 Summary Statistics</w:t>
      </w:r>
      <w:bookmarkEnd w:id="585"/>
      <w:bookmarkEnd w:id="586"/>
      <w:bookmarkEnd w:id="587"/>
    </w:p>
    <w:p w14:paraId="19DB29E5" w14:textId="2B83F5D9" w:rsidR="00D61046" w:rsidRPr="009908F2" w:rsidRDefault="006075E1" w:rsidP="001953BB">
      <w:pPr>
        <w:pStyle w:val="Heading4"/>
      </w:pPr>
      <w:bookmarkStart w:id="588" w:name="_Toc187789912"/>
      <w:r>
        <w:t>3.</w:t>
      </w:r>
      <w:r w:rsidR="00D61046" w:rsidRPr="009908F2">
        <w:t>5.6.1 Explanatory Variables</w:t>
      </w:r>
      <w:bookmarkEnd w:id="588"/>
    </w:p>
    <w:p w14:paraId="07E30326" w14:textId="6676D75A" w:rsidR="00D61046" w:rsidRPr="009908F2" w:rsidRDefault="00D61046" w:rsidP="009908F2">
      <w:pPr>
        <w:rPr>
          <w:rFonts w:cs="Times New Roman"/>
        </w:rPr>
      </w:pPr>
      <w:r w:rsidRPr="009908F2">
        <w:rPr>
          <w:rFonts w:cs="Times New Roman"/>
          <w:lang/>
        </w:rPr>
        <w:t xml:space="preserve">The summary statistics presented in </w:t>
      </w:r>
      <w:r w:rsidRPr="004E4775">
        <w:rPr>
          <w:rFonts w:cs="Times New Roman"/>
          <w:b/>
          <w:bCs/>
          <w:lang/>
        </w:rPr>
        <w:t>Table A</w:t>
      </w:r>
      <w:r w:rsidR="00C929C6" w:rsidRPr="004E4775">
        <w:rPr>
          <w:rFonts w:cs="Times New Roman"/>
          <w:b/>
          <w:bCs/>
        </w:rPr>
        <w:t>4</w:t>
      </w:r>
      <w:r w:rsidRPr="004E4775">
        <w:rPr>
          <w:rFonts w:cs="Times New Roman"/>
          <w:b/>
          <w:bCs/>
          <w:lang/>
        </w:rPr>
        <w:t>1</w:t>
      </w:r>
      <w:r w:rsidRPr="009908F2">
        <w:rPr>
          <w:rFonts w:cs="Times New Roman"/>
          <w:lang/>
        </w:rPr>
        <w:t xml:space="preserve"> provide an overview of county-level explanatory variables, encompassing socio-economic, demographic, and environmental indicators that are significant determinants of regional economic outcomes and policy impacts. </w:t>
      </w:r>
      <w:r w:rsidRPr="009908F2">
        <w:rPr>
          <w:rFonts w:cs="Times New Roman"/>
        </w:rPr>
        <w:t>Most of the variables have been scaled, where the scaling factor is written in parentheses.</w:t>
      </w:r>
    </w:p>
    <w:p w14:paraId="2AFC6AD3" w14:textId="77777777" w:rsidR="00D61046" w:rsidRPr="009908F2" w:rsidRDefault="00D61046" w:rsidP="009908F2">
      <w:pPr>
        <w:rPr>
          <w:rFonts w:cs="Times New Roman"/>
          <w:lang/>
        </w:rPr>
      </w:pPr>
      <w:r w:rsidRPr="009908F2">
        <w:rPr>
          <w:rFonts w:cs="Times New Roman"/>
          <w:b/>
          <w:bCs/>
        </w:rPr>
        <w:t xml:space="preserve">Socio-Economic and Demographic Variables: </w:t>
      </w:r>
      <w:r w:rsidRPr="009908F2">
        <w:rPr>
          <w:rFonts w:cs="Times New Roman"/>
          <w:lang/>
        </w:rPr>
        <w:t xml:space="preserve">The poverty rate exhibits a mean of 15.36%, with a standard deviation of 6.24%, indicating moderate variability across counties. Its minimum value of 1.7% and maximum of 62% reflect substantial socio-economic disparities between counties. Similarly, the unemployment rate averages 5.96% with a standard deviation of 2.76%, suggesting relatively consistent employment conditions across most counties, although the range (0.7% to 30.6%) highlights significant variation in labor market conditions. Median household income averages $42,770, with a standard deviation of $12,630, reflecting notable income inequality across counties. Income levels range from $9,860 to $151,810, indicating a mix of low-income rural areas and affluent urban regions. </w:t>
      </w:r>
    </w:p>
    <w:p w14:paraId="309AE5F6" w14:textId="77777777" w:rsidR="00D61046" w:rsidRPr="009908F2" w:rsidRDefault="00D61046" w:rsidP="009908F2">
      <w:pPr>
        <w:rPr>
          <w:rFonts w:cs="Times New Roman"/>
          <w:lang/>
        </w:rPr>
      </w:pPr>
      <w:r w:rsidRPr="009908F2">
        <w:rPr>
          <w:rFonts w:cs="Times New Roman"/>
          <w:lang/>
        </w:rPr>
        <w:t xml:space="preserve">The housing price index, which measures changes in property values, has a mean of 2.47 and a standard deviation of 1.58, indicating considerable variability in housing market dynamics. Property values range from 0.64 to 21.17, suggesting the presence of both highly rural and urbanized counties with divergent housing market trends. Population density, measured per 100 units, has a low mean of 0.004 and a standard deviation of 0.0281, underscoring the </w:t>
      </w:r>
      <w:r w:rsidRPr="009908F2">
        <w:rPr>
          <w:rFonts w:cs="Times New Roman"/>
          <w:lang/>
        </w:rPr>
        <w:lastRenderedPageBreak/>
        <w:t>predominance of rural areas in the dataset, although some counties reach higher urbanization levels, as reflected by the maximum value of 1.1655.</w:t>
      </w:r>
    </w:p>
    <w:p w14:paraId="4174E8E1" w14:textId="77777777" w:rsidR="00D61046" w:rsidRPr="009908F2" w:rsidRDefault="00D61046" w:rsidP="009908F2">
      <w:pPr>
        <w:rPr>
          <w:rFonts w:cs="Times New Roman"/>
          <w:lang/>
        </w:rPr>
      </w:pPr>
      <w:r w:rsidRPr="009908F2">
        <w:rPr>
          <w:rFonts w:cs="Times New Roman"/>
          <w:b/>
          <w:bCs/>
        </w:rPr>
        <w:t xml:space="preserve">Environmental Variables: </w:t>
      </w:r>
      <w:r w:rsidRPr="009908F2">
        <w:rPr>
          <w:rFonts w:cs="Times New Roman"/>
        </w:rPr>
        <w:t xml:space="preserve">EPA County Attainment Status: </w:t>
      </w:r>
      <w:r w:rsidRPr="009908F2">
        <w:rPr>
          <w:rFonts w:cs="Times New Roman"/>
          <w:lang/>
        </w:rPr>
        <w:t>For sulphur dioxide (SO₂), the mean value of 0.0041 reflects that most counties are in non-attainment, with limited regions achieving compliance. For particulate suspended matter (PSM), the mean is 0.0457, while for ozone (O₃), it is 0.1005, both suggesting widespread non-attainment. Attainment for nitrogen dioxide (NO₂) is minimal, indicating pervasive non-attainment, and similarly low attainment is observed for lead (Pb), with a mean of 0.0017, and for carbon monoxide (CO), with a mean of 0.1417. The standard deviations for these variables, such as 0.2377 for PSM and 0.1866 for CO, highlight considerable regional variation in compliance status.</w:t>
      </w:r>
    </w:p>
    <w:p w14:paraId="3D16E9C3" w14:textId="77777777" w:rsidR="00D61046" w:rsidRPr="009908F2" w:rsidRDefault="00D61046" w:rsidP="009908F2">
      <w:pPr>
        <w:rPr>
          <w:rFonts w:cs="Times New Roman"/>
          <w:lang/>
        </w:rPr>
      </w:pPr>
      <w:r w:rsidRPr="009908F2">
        <w:rPr>
          <w:rFonts w:cs="Times New Roman"/>
          <w:lang/>
        </w:rPr>
        <w:t>Lastly, the percentage of county land designated as protected, measured by the Protected Area Designation (PAD) variable, has a mean of 14.1% (0.1417), with a standard deviation of 18.66%, reflecting substantial variation across counties. Some counties have no protected land, while others have up to 88% of their area designated as protected. This diversity highlights the differing conservation priorities and land-use policies across counties, which are critical for understanding the spatial heterogeneity in economic outcomes related to environmental protections.</w:t>
      </w:r>
    </w:p>
    <w:p w14:paraId="3312B881" w14:textId="78307C3F" w:rsidR="00D61046" w:rsidRPr="009908F2" w:rsidRDefault="00D61046" w:rsidP="009908F2">
      <w:pPr>
        <w:rPr>
          <w:rFonts w:cs="Times New Roman"/>
        </w:rPr>
      </w:pPr>
      <w:r w:rsidRPr="009908F2">
        <w:rPr>
          <w:rFonts w:cs="Times New Roman"/>
          <w:b/>
          <w:bCs/>
        </w:rPr>
        <w:t xml:space="preserve">Range of Bear: </w:t>
      </w:r>
      <w:r w:rsidRPr="009908F2">
        <w:rPr>
          <w:rFonts w:cs="Times New Roman"/>
        </w:rPr>
        <w:t xml:space="preserve">The summary statistics in </w:t>
      </w:r>
      <w:r w:rsidRPr="004E4775">
        <w:rPr>
          <w:rFonts w:cs="Times New Roman"/>
          <w:b/>
          <w:bCs/>
        </w:rPr>
        <w:t>Table A</w:t>
      </w:r>
      <w:r w:rsidR="00C929C6" w:rsidRPr="004E4775">
        <w:rPr>
          <w:rFonts w:cs="Times New Roman"/>
          <w:b/>
          <w:bCs/>
        </w:rPr>
        <w:t>4</w:t>
      </w:r>
      <w:r w:rsidRPr="004E4775">
        <w:rPr>
          <w:rFonts w:cs="Times New Roman"/>
          <w:b/>
          <w:bCs/>
        </w:rPr>
        <w:t>2</w:t>
      </w:r>
      <w:r w:rsidRPr="009908F2">
        <w:rPr>
          <w:rFonts w:cs="Times New Roman"/>
        </w:rPr>
        <w:t xml:space="preserve"> provide insights into the subset of 118 counties within the range of the Louisiana Black Bear, which are mainly located in Louisiana, Texas and Mississippi. Among the 118 counties in the range, the mean percentage is 35.63%, indicating that, on average, over one-third of the land area in these counties overlaps with the </w:t>
      </w:r>
      <w:r w:rsidRPr="009908F2">
        <w:rPr>
          <w:rFonts w:cs="Times New Roman"/>
        </w:rPr>
        <w:lastRenderedPageBreak/>
        <w:t xml:space="preserve">bear’s range. The standard deviation of 12.81%, with a minimum of 5.55% and a maximum of 63.69%, highlights significant spatial variability in the extent of habitat overlap. </w:t>
      </w:r>
    </w:p>
    <w:p w14:paraId="703CFE75" w14:textId="1565F9F0" w:rsidR="00D61046" w:rsidRPr="009908F2" w:rsidRDefault="006075E1" w:rsidP="001953BB">
      <w:pPr>
        <w:pStyle w:val="Heading4"/>
      </w:pPr>
      <w:bookmarkStart w:id="589" w:name="_Toc179574309"/>
      <w:bookmarkStart w:id="590" w:name="_Toc187789913"/>
      <w:r>
        <w:t>3.</w:t>
      </w:r>
      <w:r w:rsidR="00D61046" w:rsidRPr="009908F2">
        <w:t xml:space="preserve">5.6.2 </w:t>
      </w:r>
      <w:bookmarkEnd w:id="589"/>
      <w:r w:rsidR="00D61046" w:rsidRPr="009908F2">
        <w:t>Outcome Variables</w:t>
      </w:r>
      <w:bookmarkEnd w:id="590"/>
    </w:p>
    <w:p w14:paraId="6EFAC749" w14:textId="771B73F2" w:rsidR="00D61046" w:rsidRPr="009908F2" w:rsidRDefault="00D61046" w:rsidP="009908F2">
      <w:pPr>
        <w:rPr>
          <w:rFonts w:cs="Times New Roman"/>
        </w:rPr>
      </w:pPr>
      <w:r w:rsidRPr="009908F2">
        <w:rPr>
          <w:rFonts w:cs="Times New Roman"/>
        </w:rPr>
        <w:t xml:space="preserve">The summary statistics of the outcome variables across each sector is presented in </w:t>
      </w:r>
      <w:r w:rsidRPr="004E4775">
        <w:rPr>
          <w:rFonts w:cs="Times New Roman"/>
          <w:b/>
          <w:bCs/>
        </w:rPr>
        <w:t>Table A</w:t>
      </w:r>
      <w:r w:rsidR="00C929C6" w:rsidRPr="004E4775">
        <w:rPr>
          <w:rFonts w:cs="Times New Roman"/>
          <w:b/>
          <w:bCs/>
        </w:rPr>
        <w:t>4</w:t>
      </w:r>
      <w:r w:rsidRPr="004E4775">
        <w:rPr>
          <w:rFonts w:cs="Times New Roman"/>
          <w:b/>
          <w:bCs/>
        </w:rPr>
        <w:t>3</w:t>
      </w:r>
      <w:r w:rsidRPr="009908F2">
        <w:rPr>
          <w:rFonts w:cs="Times New Roman"/>
        </w:rPr>
        <w:t>.</w:t>
      </w:r>
    </w:p>
    <w:p w14:paraId="25BC343B" w14:textId="77777777" w:rsidR="00D61046" w:rsidRPr="009908F2" w:rsidRDefault="00D61046" w:rsidP="009908F2">
      <w:pPr>
        <w:rPr>
          <w:rFonts w:cs="Times New Roman"/>
        </w:rPr>
      </w:pPr>
      <w:r w:rsidRPr="009908F2">
        <w:rPr>
          <w:rFonts w:cs="Times New Roman"/>
          <w:b/>
          <w:bCs/>
        </w:rPr>
        <w:t xml:space="preserve">LIS: </w:t>
      </w:r>
      <w:r w:rsidRPr="009908F2">
        <w:rPr>
          <w:rFonts w:cs="Times New Roman"/>
        </w:rPr>
        <w:t>LIS exhibit lower average establishment counts but significantly higher economic output per establishment. Establishments in agriculture, mining, utilities, and construction (mean counts ranging from 7 to 301) show considerable variability across counties. Employment figures reflect the labor and capital intensity of these industries, with averages ranging from 122 employees in mining (NAICS 21) to over 2,200 in construction (NAICS 23). Sales volumes are disproportionately high, particularly in utilities (NAICS 22, $98.6M average), reflecting the critical infrastructure and capital requirements of this sector. These sectors’ strong reliance on land access underscores their vulnerability to regulatory constraints and their substantial capacity for economic recovery once those constraints are removed.</w:t>
      </w:r>
    </w:p>
    <w:p w14:paraId="402C86E3" w14:textId="77777777" w:rsidR="00D61046" w:rsidRPr="009908F2" w:rsidRDefault="00D61046" w:rsidP="009908F2">
      <w:pPr>
        <w:rPr>
          <w:rFonts w:cs="Times New Roman"/>
        </w:rPr>
      </w:pPr>
      <w:r w:rsidRPr="009908F2">
        <w:rPr>
          <w:rFonts w:cs="Times New Roman"/>
          <w:b/>
          <w:bCs/>
        </w:rPr>
        <w:t xml:space="preserve">Non-LIS: </w:t>
      </w:r>
      <w:r w:rsidRPr="009908F2">
        <w:rPr>
          <w:rFonts w:cs="Times New Roman"/>
        </w:rPr>
        <w:t>Non-LIS, including manufacturing, real estate, and arts, entertainment, and recreation, demonstrate greater variability in scale and output. Manufacturing (NAICS 31-33) stands out for its substantial employment (average of 4,428 employees) and sales volumes (average $1.05B), reflecting the presence of both small-scale operations and large industrial hubs. Real estate (NAICS 53) and arts and recreation (NAICS 71) have smaller establishment counts on average but still contribute significantly to sales and employment. These sectors benefit indirectly from broader economic recovery, though they are less directly influenced by changes in land use.</w:t>
      </w:r>
    </w:p>
    <w:p w14:paraId="073F88F0" w14:textId="77777777" w:rsidR="00D61046" w:rsidRPr="009908F2" w:rsidRDefault="00D61046" w:rsidP="009908F2">
      <w:pPr>
        <w:rPr>
          <w:rFonts w:cs="Times New Roman"/>
        </w:rPr>
      </w:pPr>
      <w:r w:rsidRPr="009908F2">
        <w:rPr>
          <w:rFonts w:cs="Times New Roman"/>
          <w:b/>
          <w:bCs/>
        </w:rPr>
        <w:lastRenderedPageBreak/>
        <w:t xml:space="preserve">General Observations: </w:t>
      </w:r>
      <w:r w:rsidRPr="009908F2">
        <w:rPr>
          <w:rFonts w:cs="Times New Roman"/>
        </w:rPr>
        <w:t xml:space="preserve">Across sectors, the variability in establishment count, employment count, and sales volumes highlights the diversity of county-level economic activity. This preliminary analysis reinforces the importance of distinguishing between land-intensive and non-land-intensive industries when evaluating the economic impacts of species delisting. </w:t>
      </w:r>
    </w:p>
    <w:p w14:paraId="4320AF09" w14:textId="6C3CA072" w:rsidR="00D61046" w:rsidRPr="00D61046" w:rsidRDefault="006075E1" w:rsidP="00E4693E">
      <w:pPr>
        <w:pStyle w:val="Heading2"/>
      </w:pPr>
      <w:bookmarkStart w:id="591" w:name="_Toc179574332"/>
      <w:bookmarkStart w:id="592" w:name="_Toc187789914"/>
      <w:bookmarkStart w:id="593" w:name="_Toc188379061"/>
      <w:r>
        <w:t>3.</w:t>
      </w:r>
      <w:r w:rsidR="00D61046" w:rsidRPr="00D61046">
        <w:t>6 Methodology</w:t>
      </w:r>
      <w:bookmarkEnd w:id="591"/>
      <w:bookmarkEnd w:id="592"/>
      <w:bookmarkEnd w:id="593"/>
    </w:p>
    <w:p w14:paraId="57E7CFFF" w14:textId="77777777" w:rsidR="00D61046" w:rsidRPr="00D61046" w:rsidRDefault="00D61046" w:rsidP="009908F2">
      <w:pPr>
        <w:rPr>
          <w:rFonts w:cs="Times New Roman"/>
          <w:lang/>
        </w:rPr>
      </w:pPr>
      <w:bookmarkStart w:id="594" w:name="_Hlk184828670"/>
      <w:bookmarkStart w:id="595" w:name="_Hlk185327258"/>
      <w:r w:rsidRPr="00D61046">
        <w:rPr>
          <w:rFonts w:cs="Times New Roman"/>
        </w:rPr>
        <w:t>This section outlines the econometric framework used to analyze the economic impacts of delisting the Louisiana Black Bear, integrating spatial, temporal, and sectoral dimensions. Given the diversity of economic responses observed across regions and industries, the methodology is designed to capture both immediate and evolving effects of delisting. We employ the Pseudo Poisson Maximum Likelihood (PPML) with High-Dimensional Fixed Effects (HDFE)</w:t>
      </w:r>
      <w:proofErr w:type="gramStart"/>
      <w:r w:rsidRPr="00D61046">
        <w:rPr>
          <w:rFonts w:cs="Times New Roman"/>
        </w:rPr>
        <w:t xml:space="preserve"> which</w:t>
      </w:r>
      <w:proofErr w:type="gramEnd"/>
      <w:r w:rsidRPr="00D61046">
        <w:rPr>
          <w:rFonts w:cs="Times New Roman"/>
        </w:rPr>
        <w:t xml:space="preserve"> offers several advantages. Regarding h</w:t>
      </w:r>
      <w:r w:rsidRPr="00D61046">
        <w:rPr>
          <w:rFonts w:cs="Times New Roman"/>
          <w:lang/>
        </w:rPr>
        <w:t>eteroskedasticity</w:t>
      </w:r>
      <w:r w:rsidRPr="00D61046">
        <w:rPr>
          <w:rFonts w:cs="Times New Roman"/>
        </w:rPr>
        <w:t>,</w:t>
      </w:r>
      <w:r w:rsidRPr="00D61046">
        <w:rPr>
          <w:rFonts w:cs="Times New Roman"/>
          <w:lang/>
        </w:rPr>
        <w:t xml:space="preserve"> </w:t>
      </w:r>
      <w:r w:rsidRPr="00D61046">
        <w:rPr>
          <w:rFonts w:cs="Times New Roman"/>
        </w:rPr>
        <w:t xml:space="preserve">the </w:t>
      </w:r>
      <w:r w:rsidRPr="00D61046">
        <w:rPr>
          <w:rFonts w:cs="Times New Roman"/>
          <w:lang/>
        </w:rPr>
        <w:t>PPML provides consistent estimates even when the variance of the outcome variable (</w:t>
      </w:r>
      <m:oMath>
        <m:r>
          <w:rPr>
            <w:rFonts w:ascii="Cambria Math" w:hAnsi="Cambria Math" w:cs="Times New Roman"/>
            <w:lang/>
          </w:rPr>
          <m:t>Y</m:t>
        </m:r>
      </m:oMath>
      <w:r w:rsidRPr="00D61046">
        <w:rPr>
          <w:rFonts w:cs="Times New Roman"/>
          <w:lang/>
        </w:rPr>
        <w:t>) is not constant.</w:t>
      </w:r>
      <w:r w:rsidRPr="00D61046">
        <w:rPr>
          <w:rFonts w:cs="Times New Roman"/>
        </w:rPr>
        <w:t xml:space="preserve"> Also, m</w:t>
      </w:r>
      <w:r w:rsidRPr="00D61046">
        <w:rPr>
          <w:rFonts w:cs="Times New Roman"/>
          <w:lang/>
        </w:rPr>
        <w:t>any observations involve zero establishment counts, and PPML models these appropriately without transformation.</w:t>
      </w:r>
      <w:r w:rsidRPr="00D61046">
        <w:rPr>
          <w:rFonts w:cs="Times New Roman"/>
        </w:rPr>
        <w:t xml:space="preserve"> Last, c</w:t>
      </w:r>
      <w:r w:rsidRPr="00D61046">
        <w:rPr>
          <w:rFonts w:cs="Times New Roman"/>
          <w:lang/>
        </w:rPr>
        <w:t xml:space="preserve">oefficients are interpreted as semi-elasticities, meaning they reflect percentage changes in the expected outcome </w:t>
      </w:r>
      <m:oMath>
        <m:r>
          <w:rPr>
            <w:rFonts w:ascii="Cambria Math" w:hAnsi="Cambria Math" w:cs="Times New Roman"/>
            <w:lang/>
          </w:rPr>
          <m:t>(E[Y∣X]</m:t>
        </m:r>
        <m:r>
          <w:rPr>
            <w:rFonts w:ascii="Cambria Math" w:hAnsi="Cambria Math" w:cs="Times New Roman"/>
          </w:rPr>
          <m:t>)</m:t>
        </m:r>
      </m:oMath>
      <w:r w:rsidRPr="00D61046">
        <w:rPr>
          <w:rFonts w:cs="Times New Roman"/>
          <w:lang/>
        </w:rPr>
        <w:t xml:space="preserve"> for a unit change in explanatory variables.</w:t>
      </w:r>
    </w:p>
    <w:p w14:paraId="732360C5" w14:textId="77777777" w:rsidR="00D61046" w:rsidRPr="00D61046" w:rsidRDefault="00D61046" w:rsidP="009908F2">
      <w:pPr>
        <w:rPr>
          <w:rFonts w:cs="Times New Roman"/>
        </w:rPr>
      </w:pPr>
      <w:r w:rsidRPr="00D61046">
        <w:rPr>
          <w:rFonts w:cs="Times New Roman"/>
        </w:rPr>
        <w:t>The analysis focuses on three key outcome variables—establishment count, employment, and sales volume—across land-intensive and non-LIS, with the Range and Time Since Delisting serving as the primary explanatory variables. By incorporating socio-economic, demographic, and environmental controls, this section lays the foundation for a rigorous exploration of post-delisting economic dynamics.</w:t>
      </w:r>
    </w:p>
    <w:p w14:paraId="2F445E6D" w14:textId="06EE9273" w:rsidR="00D61046" w:rsidRPr="00D61046" w:rsidRDefault="006075E1" w:rsidP="009908F2">
      <w:pPr>
        <w:pStyle w:val="Heading3"/>
      </w:pPr>
      <w:bookmarkStart w:id="596" w:name="_Toc187789915"/>
      <w:bookmarkStart w:id="597" w:name="_Toc188379062"/>
      <w:r>
        <w:rPr>
          <w:lang w:val="en-US"/>
        </w:rPr>
        <w:lastRenderedPageBreak/>
        <w:t>3.</w:t>
      </w:r>
      <w:r w:rsidR="00D61046" w:rsidRPr="00D61046">
        <w:t>6.1 Model Specification</w:t>
      </w:r>
      <w:bookmarkEnd w:id="596"/>
      <w:bookmarkEnd w:id="597"/>
    </w:p>
    <w:p w14:paraId="6CE754FC" w14:textId="77777777" w:rsidR="00D61046" w:rsidRPr="00D61046" w:rsidRDefault="00D61046" w:rsidP="009908F2">
      <w:pPr>
        <w:rPr>
          <w:rFonts w:cs="Times New Roman"/>
        </w:rPr>
      </w:pPr>
      <w:r w:rsidRPr="00D61046">
        <w:rPr>
          <w:rFonts w:cs="Times New Roman"/>
        </w:rPr>
        <w:t>The model specification is:</w:t>
      </w:r>
    </w:p>
    <w:p w14:paraId="01B43C24" w14:textId="77777777" w:rsidR="00D61046" w:rsidRPr="00D61046" w:rsidRDefault="00000000" w:rsidP="009908F2">
      <w:pPr>
        <w:rPr>
          <w:rFonts w:cs="Times New Roman"/>
        </w:rPr>
      </w:pPr>
      <m:oMath>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cstn</m:t>
            </m:r>
          </m:sub>
        </m:sSub>
        <m:r>
          <w:rPr>
            <w:rFonts w:ascii="Cambria Math" w:hAnsi="Cambria Math" w:cs="Times New Roman"/>
          </w:rPr>
          <m:t>=</m:t>
        </m:r>
        <m:r>
          <m:rPr>
            <m:sty m:val="p"/>
          </m:rPr>
          <w:rPr>
            <w:rFonts w:ascii="Cambria Math" w:hAnsi="Cambria Math" w:cs="Times New Roman"/>
          </w:rPr>
          <m:t>exp⁡</m:t>
        </m:r>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0</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1</m:t>
            </m:r>
          </m:sub>
        </m:sSub>
        <m:r>
          <w:rPr>
            <w:rFonts w:ascii="Cambria Math" w:hAnsi="Cambria Math" w:cs="Times New Roman"/>
          </w:rPr>
          <m:t>Rang</m:t>
        </m:r>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cst</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2</m:t>
            </m:r>
          </m:sub>
        </m:sSub>
        <w:bookmarkStart w:id="598" w:name="_Hlk185587505"/>
        <m:r>
          <w:rPr>
            <w:rFonts w:ascii="Cambria Math" w:hAnsi="Cambria Math" w:cs="Times New Roman"/>
          </w:rPr>
          <m:t>Rang</m:t>
        </m:r>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cst</m:t>
            </m:r>
          </m:sub>
        </m:sSub>
        <m:r>
          <w:rPr>
            <w:rFonts w:ascii="Cambria Math" w:hAnsi="Cambria Math" w:cs="Times New Roman"/>
          </w:rPr>
          <m:t>*TS</m:t>
        </m:r>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t</m:t>
            </m:r>
          </m:sub>
        </m:sSub>
        <w:bookmarkEnd w:id="598"/>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3</m:t>
            </m:r>
          </m:sub>
        </m:sSub>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cstn</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α</m:t>
            </m:r>
          </m:e>
          <m:sub>
            <m:r>
              <w:rPr>
                <w:rFonts w:ascii="Cambria Math" w:hAnsi="Cambria Math" w:cs="Times New Roman"/>
              </w:rPr>
              <m:t>c</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γ</m:t>
            </m:r>
          </m:e>
          <m:sub>
            <m:r>
              <m:rPr>
                <m:sty m:val="p"/>
              </m:rPr>
              <w:rPr>
                <w:rFonts w:ascii="Cambria Math" w:hAnsi="Cambria Math" w:cs="Times New Roman"/>
              </w:rPr>
              <m:t>s</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ρ</m:t>
            </m:r>
          </m:e>
          <m:sub>
            <m:r>
              <m:rPr>
                <m:sty m:val="p"/>
              </m:rPr>
              <w:rPr>
                <w:rFonts w:ascii="Cambria Math" w:hAnsi="Cambria Math" w:cs="Times New Roman"/>
              </w:rPr>
              <m:t>t</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ϵ</m:t>
            </m:r>
          </m:e>
          <m:sub>
            <m:r>
              <m:rPr>
                <m:sty m:val="p"/>
              </m:rPr>
              <w:rPr>
                <w:rFonts w:ascii="Cambria Math" w:hAnsi="Cambria Math" w:cs="Times New Roman"/>
              </w:rPr>
              <m:t>cst</m:t>
            </m:r>
          </m:sub>
        </m:sSub>
        <m:r>
          <m:rPr>
            <m:sty m:val="p"/>
          </m:rPr>
          <w:rPr>
            <w:rFonts w:ascii="Cambria Math" w:hAnsi="Cambria Math" w:cs="Times New Roman"/>
          </w:rPr>
          <m:t>)</m:t>
        </m:r>
      </m:oMath>
      <w:r w:rsidR="00D61046" w:rsidRPr="00D61046">
        <w:rPr>
          <w:rFonts w:cs="Times New Roman"/>
        </w:rPr>
        <w:t xml:space="preserve"> </w:t>
      </w:r>
    </w:p>
    <w:p w14:paraId="7A73D677" w14:textId="77777777" w:rsidR="00D61046" w:rsidRPr="00D61046" w:rsidRDefault="00D61046" w:rsidP="009908F2">
      <w:pPr>
        <w:rPr>
          <w:rFonts w:cs="Times New Roman"/>
        </w:rPr>
      </w:pPr>
      <w:r w:rsidRPr="00D61046">
        <w:rPr>
          <w:rFonts w:cs="Times New Roman"/>
        </w:rPr>
        <w:t>Where:</w:t>
      </w:r>
    </w:p>
    <w:p w14:paraId="48F78593" w14:textId="77777777" w:rsidR="00D61046" w:rsidRPr="00D61046" w:rsidRDefault="00000000" w:rsidP="009908F2">
      <w:pPr>
        <w:numPr>
          <w:ilvl w:val="0"/>
          <w:numId w:val="30"/>
        </w:numPr>
        <w:contextualSpacing/>
        <w:rPr>
          <w:rFonts w:eastAsia="Calibri" w:cs="Times New Roman"/>
          <w:kern w:val="2"/>
        </w:rPr>
      </w:pPr>
      <m:oMath>
        <m:sSub>
          <m:sSubPr>
            <m:ctrlPr>
              <w:rPr>
                <w:rFonts w:ascii="Cambria Math" w:eastAsia="Calibri" w:hAnsi="Cambria Math" w:cs="Times New Roman"/>
                <w:b/>
                <w:bCs/>
                <w:i/>
                <w:kern w:val="2"/>
              </w:rPr>
            </m:ctrlPr>
          </m:sSubPr>
          <m:e>
            <m:r>
              <m:rPr>
                <m:sty m:val="bi"/>
              </m:rPr>
              <w:rPr>
                <w:rFonts w:ascii="Cambria Math" w:hAnsi="Cambria Math" w:cs="Times New Roman"/>
                <w:kern w:val="2"/>
              </w:rPr>
              <m:t>Y</m:t>
            </m:r>
          </m:e>
          <m:sub>
            <m:r>
              <m:rPr>
                <m:sty m:val="bi"/>
              </m:rPr>
              <w:rPr>
                <w:rFonts w:ascii="Cambria Math" w:hAnsi="Cambria Math" w:cs="Times New Roman"/>
                <w:kern w:val="2"/>
              </w:rPr>
              <m:t>cstn</m:t>
            </m:r>
          </m:sub>
        </m:sSub>
        <m:r>
          <w:rPr>
            <w:rFonts w:ascii="Cambria Math" w:hAnsi="Cambria Math" w:cs="Times New Roman"/>
            <w:kern w:val="2"/>
          </w:rPr>
          <m:t>:</m:t>
        </m:r>
      </m:oMath>
      <w:r w:rsidR="00D61046" w:rsidRPr="00D61046">
        <w:rPr>
          <w:rFonts w:cs="Times New Roman"/>
          <w:kern w:val="2"/>
        </w:rPr>
        <w:t xml:space="preserve"> Dependent variable capturing economic outcomes at the county (c), state (s), year (t), and NAICS sector (n) levels.</w:t>
      </w:r>
    </w:p>
    <w:p w14:paraId="5ACC29FF" w14:textId="77777777" w:rsidR="00D61046" w:rsidRPr="00D61046" w:rsidRDefault="00000000" w:rsidP="009908F2">
      <w:pPr>
        <w:numPr>
          <w:ilvl w:val="0"/>
          <w:numId w:val="30"/>
        </w:numPr>
        <w:contextualSpacing/>
        <w:rPr>
          <w:rFonts w:cs="Times New Roman"/>
          <w:kern w:val="2"/>
        </w:rPr>
      </w:pPr>
      <m:oMath>
        <m:sSub>
          <m:sSubPr>
            <m:ctrlPr>
              <w:rPr>
                <w:rFonts w:ascii="Cambria Math" w:eastAsia="Calibri" w:hAnsi="Cambria Math" w:cs="Times New Roman"/>
                <w:b/>
                <w:bCs/>
                <w:i/>
                <w:kern w:val="2"/>
              </w:rPr>
            </m:ctrlPr>
          </m:sSubPr>
          <m:e>
            <m:r>
              <m:rPr>
                <m:sty m:val="bi"/>
              </m:rPr>
              <w:rPr>
                <w:rFonts w:ascii="Cambria Math" w:hAnsi="Cambria Math" w:cs="Times New Roman"/>
                <w:kern w:val="2"/>
              </w:rPr>
              <m:t>β</m:t>
            </m:r>
          </m:e>
          <m:sub>
            <m:r>
              <m:rPr>
                <m:sty m:val="bi"/>
              </m:rPr>
              <w:rPr>
                <w:rFonts w:ascii="Cambria Math" w:hAnsi="Cambria Math" w:cs="Times New Roman"/>
                <w:kern w:val="2"/>
              </w:rPr>
              <m:t>0</m:t>
            </m:r>
          </m:sub>
        </m:sSub>
        <m:r>
          <w:rPr>
            <w:rFonts w:ascii="Cambria Math" w:hAnsi="Cambria Math" w:cs="Times New Roman"/>
            <w:kern w:val="2"/>
          </w:rPr>
          <m:t>:</m:t>
        </m:r>
      </m:oMath>
      <w:r w:rsidR="00D61046" w:rsidRPr="00D61046">
        <w:rPr>
          <w:rFonts w:cs="Times New Roman"/>
          <w:kern w:val="2"/>
        </w:rPr>
        <w:t xml:space="preserve"> Intercept term</w:t>
      </w:r>
    </w:p>
    <w:p w14:paraId="6574146B" w14:textId="77777777" w:rsidR="00D61046" w:rsidRPr="00D61046" w:rsidRDefault="00D61046" w:rsidP="009908F2">
      <w:pPr>
        <w:numPr>
          <w:ilvl w:val="0"/>
          <w:numId w:val="30"/>
        </w:numPr>
        <w:contextualSpacing/>
        <w:rPr>
          <w:rFonts w:cs="Times New Roman"/>
          <w:kern w:val="2"/>
        </w:rPr>
      </w:pPr>
      <m:oMath>
        <m:r>
          <m:rPr>
            <m:sty m:val="bi"/>
          </m:rPr>
          <w:rPr>
            <w:rFonts w:ascii="Cambria Math" w:hAnsi="Cambria Math" w:cs="Times New Roman"/>
            <w:kern w:val="2"/>
          </w:rPr>
          <m:t>Rang</m:t>
        </m:r>
        <m:sSub>
          <m:sSubPr>
            <m:ctrlPr>
              <w:rPr>
                <w:rFonts w:ascii="Cambria Math" w:eastAsia="Calibri" w:hAnsi="Cambria Math" w:cs="Times New Roman"/>
                <w:b/>
                <w:bCs/>
                <w:i/>
                <w:kern w:val="2"/>
              </w:rPr>
            </m:ctrlPr>
          </m:sSubPr>
          <m:e>
            <m:r>
              <m:rPr>
                <m:sty m:val="bi"/>
              </m:rPr>
              <w:rPr>
                <w:rFonts w:ascii="Cambria Math" w:hAnsi="Cambria Math" w:cs="Times New Roman"/>
                <w:kern w:val="2"/>
              </w:rPr>
              <m:t>e</m:t>
            </m:r>
          </m:e>
          <m:sub>
            <m:r>
              <m:rPr>
                <m:sty m:val="bi"/>
              </m:rPr>
              <w:rPr>
                <w:rFonts w:ascii="Cambria Math" w:hAnsi="Cambria Math" w:cs="Times New Roman"/>
                <w:kern w:val="2"/>
              </w:rPr>
              <m:t>cst</m:t>
            </m:r>
          </m:sub>
        </m:sSub>
        <m:r>
          <w:rPr>
            <w:rFonts w:ascii="Cambria Math" w:hAnsi="Cambria Math" w:cs="Times New Roman"/>
            <w:kern w:val="2"/>
          </w:rPr>
          <m:t>:</m:t>
        </m:r>
      </m:oMath>
      <w:r w:rsidRPr="00D61046">
        <w:rPr>
          <w:rFonts w:cs="Times New Roman"/>
          <w:kern w:val="2"/>
        </w:rPr>
        <w:t xml:space="preserve"> Explanatory variable representing the species range, constructed as either a binary indicator (1 = within range, 0 = outside range) or a continuous measure (percentage of county land within the range).</w:t>
      </w:r>
    </w:p>
    <w:p w14:paraId="31404595" w14:textId="77777777" w:rsidR="00D61046" w:rsidRPr="00D61046" w:rsidRDefault="00D61046" w:rsidP="009908F2">
      <w:pPr>
        <w:numPr>
          <w:ilvl w:val="0"/>
          <w:numId w:val="30"/>
        </w:numPr>
        <w:contextualSpacing/>
        <w:rPr>
          <w:rFonts w:cs="Times New Roman"/>
          <w:kern w:val="2"/>
        </w:rPr>
      </w:pPr>
      <m:oMath>
        <m:r>
          <m:rPr>
            <m:sty m:val="bi"/>
          </m:rPr>
          <w:rPr>
            <w:rFonts w:ascii="Cambria Math" w:hAnsi="Cambria Math" w:cs="Times New Roman"/>
            <w:kern w:val="2"/>
          </w:rPr>
          <m:t>TS</m:t>
        </m:r>
        <m:sSub>
          <m:sSubPr>
            <m:ctrlPr>
              <w:rPr>
                <w:rFonts w:ascii="Cambria Math" w:eastAsia="Calibri" w:hAnsi="Cambria Math" w:cs="Times New Roman"/>
                <w:i/>
                <w:kern w:val="2"/>
              </w:rPr>
            </m:ctrlPr>
          </m:sSubPr>
          <m:e>
            <m:r>
              <m:rPr>
                <m:sty m:val="bi"/>
              </m:rPr>
              <w:rPr>
                <w:rFonts w:ascii="Cambria Math" w:hAnsi="Cambria Math" w:cs="Times New Roman"/>
                <w:kern w:val="2"/>
              </w:rPr>
              <m:t>D</m:t>
            </m:r>
            <m:ctrlPr>
              <w:rPr>
                <w:rFonts w:ascii="Cambria Math" w:eastAsia="Calibri" w:hAnsi="Cambria Math" w:cs="Times New Roman"/>
                <w:b/>
                <w:bCs/>
                <w:i/>
                <w:kern w:val="2"/>
              </w:rPr>
            </m:ctrlPr>
          </m:e>
          <m:sub>
            <m:r>
              <w:rPr>
                <w:rFonts w:ascii="Cambria Math" w:hAnsi="Cambria Math" w:cs="Times New Roman"/>
                <w:kern w:val="2"/>
              </w:rPr>
              <m:t>t</m:t>
            </m:r>
          </m:sub>
        </m:sSub>
        <m:r>
          <w:rPr>
            <w:rFonts w:ascii="Cambria Math" w:hAnsi="Cambria Math" w:cs="Times New Roman"/>
            <w:kern w:val="2"/>
          </w:rPr>
          <m:t>:</m:t>
        </m:r>
      </m:oMath>
      <w:r w:rsidRPr="00D61046">
        <w:rPr>
          <w:rFonts w:cs="Times New Roman"/>
          <w:kern w:val="2"/>
        </w:rPr>
        <w:t xml:space="preserve"> Time Since Delisting, capturing the number of years since the Louisiana Black Bear’s delisting in 2016.</w:t>
      </w:r>
    </w:p>
    <w:p w14:paraId="09BA3083" w14:textId="77777777" w:rsidR="00D61046" w:rsidRPr="00D61046" w:rsidRDefault="00D61046" w:rsidP="009908F2">
      <w:pPr>
        <w:numPr>
          <w:ilvl w:val="0"/>
          <w:numId w:val="30"/>
        </w:numPr>
        <w:contextualSpacing/>
        <w:rPr>
          <w:rFonts w:cs="Times New Roman"/>
          <w:kern w:val="2"/>
        </w:rPr>
      </w:pPr>
      <m:oMath>
        <m:r>
          <m:rPr>
            <m:sty m:val="bi"/>
          </m:rPr>
          <w:rPr>
            <w:rFonts w:ascii="Cambria Math" w:hAnsi="Cambria Math" w:cs="Times New Roman"/>
            <w:kern w:val="2"/>
          </w:rPr>
          <m:t>Rang</m:t>
        </m:r>
        <m:sSub>
          <m:sSubPr>
            <m:ctrlPr>
              <w:rPr>
                <w:rFonts w:ascii="Cambria Math" w:hAnsi="Cambria Math" w:cs="Times New Roman"/>
                <w:b/>
                <w:bCs/>
                <w:i/>
                <w:kern w:val="2"/>
              </w:rPr>
            </m:ctrlPr>
          </m:sSubPr>
          <m:e>
            <m:r>
              <m:rPr>
                <m:sty m:val="bi"/>
              </m:rPr>
              <w:rPr>
                <w:rFonts w:ascii="Cambria Math" w:hAnsi="Cambria Math" w:cs="Times New Roman"/>
                <w:kern w:val="2"/>
              </w:rPr>
              <m:t>e</m:t>
            </m:r>
          </m:e>
          <m:sub>
            <m:r>
              <m:rPr>
                <m:sty m:val="bi"/>
              </m:rPr>
              <w:rPr>
                <w:rFonts w:ascii="Cambria Math" w:hAnsi="Cambria Math" w:cs="Times New Roman"/>
                <w:kern w:val="2"/>
              </w:rPr>
              <m:t>cst</m:t>
            </m:r>
          </m:sub>
        </m:sSub>
        <m:r>
          <m:rPr>
            <m:sty m:val="bi"/>
          </m:rPr>
          <w:rPr>
            <w:rFonts w:ascii="Cambria Math" w:hAnsi="Cambria Math" w:cs="Times New Roman"/>
            <w:kern w:val="2"/>
          </w:rPr>
          <m:t>*TS</m:t>
        </m:r>
        <m:sSub>
          <m:sSubPr>
            <m:ctrlPr>
              <w:rPr>
                <w:rFonts w:ascii="Cambria Math" w:hAnsi="Cambria Math" w:cs="Times New Roman"/>
                <w:b/>
                <w:bCs/>
                <w:i/>
                <w:kern w:val="2"/>
              </w:rPr>
            </m:ctrlPr>
          </m:sSubPr>
          <m:e>
            <m:r>
              <m:rPr>
                <m:sty m:val="bi"/>
              </m:rPr>
              <w:rPr>
                <w:rFonts w:ascii="Cambria Math" w:hAnsi="Cambria Math" w:cs="Times New Roman"/>
                <w:kern w:val="2"/>
              </w:rPr>
              <m:t>D</m:t>
            </m:r>
          </m:e>
          <m:sub>
            <m:r>
              <m:rPr>
                <m:sty m:val="bi"/>
              </m:rPr>
              <w:rPr>
                <w:rFonts w:ascii="Cambria Math" w:hAnsi="Cambria Math" w:cs="Times New Roman"/>
                <w:kern w:val="2"/>
              </w:rPr>
              <m:t>t</m:t>
            </m:r>
          </m:sub>
        </m:sSub>
        <m:r>
          <w:rPr>
            <w:rFonts w:ascii="Cambria Math" w:hAnsi="Cambria Math" w:cs="Times New Roman"/>
            <w:kern w:val="2"/>
          </w:rPr>
          <m:t>:</m:t>
        </m:r>
      </m:oMath>
      <w:r w:rsidRPr="00D61046">
        <w:rPr>
          <w:rFonts w:cs="Times New Roman"/>
          <w:kern w:val="2"/>
        </w:rPr>
        <w:t xml:space="preserve"> Interaction term to measure how the spatial impacts of the range evolve over time post-delisting.</w:t>
      </w:r>
    </w:p>
    <w:p w14:paraId="46E3BABA" w14:textId="77777777" w:rsidR="00D61046" w:rsidRPr="00D61046" w:rsidRDefault="00000000" w:rsidP="009908F2">
      <w:pPr>
        <w:numPr>
          <w:ilvl w:val="0"/>
          <w:numId w:val="30"/>
        </w:numPr>
        <w:contextualSpacing/>
        <w:rPr>
          <w:rFonts w:cs="Times New Roman"/>
          <w:kern w:val="2"/>
        </w:rPr>
      </w:pPr>
      <m:oMath>
        <m:sSub>
          <m:sSubPr>
            <m:ctrlPr>
              <w:rPr>
                <w:rFonts w:ascii="Cambria Math" w:eastAsia="Calibri" w:hAnsi="Cambria Math" w:cs="Times New Roman"/>
                <w:b/>
                <w:bCs/>
                <w:i/>
                <w:kern w:val="2"/>
              </w:rPr>
            </m:ctrlPr>
          </m:sSubPr>
          <m:e>
            <m:r>
              <m:rPr>
                <m:sty m:val="bi"/>
              </m:rPr>
              <w:rPr>
                <w:rFonts w:ascii="Cambria Math" w:hAnsi="Cambria Math" w:cs="Times New Roman"/>
                <w:kern w:val="2"/>
              </w:rPr>
              <m:t>X</m:t>
            </m:r>
          </m:e>
          <m:sub>
            <m:r>
              <m:rPr>
                <m:sty m:val="bi"/>
              </m:rPr>
              <w:rPr>
                <w:rFonts w:ascii="Cambria Math" w:hAnsi="Cambria Math" w:cs="Times New Roman"/>
                <w:kern w:val="2"/>
              </w:rPr>
              <m:t>csti</m:t>
            </m:r>
          </m:sub>
        </m:sSub>
        <m:r>
          <w:rPr>
            <w:rFonts w:ascii="Cambria Math" w:hAnsi="Cambria Math" w:cs="Times New Roman"/>
            <w:kern w:val="2"/>
          </w:rPr>
          <m:t>:</m:t>
        </m:r>
      </m:oMath>
      <w:r w:rsidR="00D61046" w:rsidRPr="00D61046">
        <w:rPr>
          <w:rFonts w:cs="Times New Roman"/>
          <w:kern w:val="2"/>
        </w:rPr>
        <w:t xml:space="preserve"> Vector of control variables including socio-economic, demographic, </w:t>
      </w:r>
      <w:proofErr w:type="gramStart"/>
      <w:r w:rsidR="00D61046" w:rsidRPr="00D61046">
        <w:rPr>
          <w:rFonts w:cs="Times New Roman"/>
          <w:kern w:val="2"/>
        </w:rPr>
        <w:t>environmental ,</w:t>
      </w:r>
      <w:proofErr w:type="gramEnd"/>
      <w:r w:rsidR="00D61046" w:rsidRPr="00D61046">
        <w:rPr>
          <w:rFonts w:cs="Times New Roman"/>
          <w:kern w:val="2"/>
        </w:rPr>
        <w:t xml:space="preserve"> and sectoral factors.</w:t>
      </w:r>
    </w:p>
    <w:p w14:paraId="297F40B2" w14:textId="77777777" w:rsidR="00D61046" w:rsidRPr="00D61046" w:rsidRDefault="00000000" w:rsidP="009908F2">
      <w:pPr>
        <w:numPr>
          <w:ilvl w:val="0"/>
          <w:numId w:val="30"/>
        </w:numPr>
        <w:contextualSpacing/>
        <w:rPr>
          <w:rFonts w:cs="Times New Roman"/>
          <w:kern w:val="2"/>
        </w:rPr>
      </w:pPr>
      <m:oMath>
        <m:sSub>
          <m:sSubPr>
            <m:ctrlPr>
              <w:rPr>
                <w:rFonts w:ascii="Cambria Math" w:eastAsia="Calibri" w:hAnsi="Cambria Math" w:cs="Times New Roman"/>
                <w:b/>
                <w:bCs/>
                <w:i/>
                <w:kern w:val="2"/>
              </w:rPr>
            </m:ctrlPr>
          </m:sSubPr>
          <m:e>
            <m:r>
              <m:rPr>
                <m:sty m:val="bi"/>
              </m:rPr>
              <w:rPr>
                <w:rFonts w:ascii="Cambria Math" w:hAnsi="Cambria Math" w:cs="Times New Roman"/>
                <w:kern w:val="2"/>
              </w:rPr>
              <m:t>α</m:t>
            </m:r>
          </m:e>
          <m:sub>
            <m:r>
              <m:rPr>
                <m:sty m:val="bi"/>
              </m:rPr>
              <w:rPr>
                <w:rFonts w:ascii="Cambria Math" w:hAnsi="Cambria Math" w:cs="Times New Roman"/>
                <w:kern w:val="2"/>
              </w:rPr>
              <m:t>c</m:t>
            </m:r>
          </m:sub>
        </m:sSub>
        <m:r>
          <m:rPr>
            <m:sty m:val="bi"/>
          </m:rPr>
          <w:rPr>
            <w:rFonts w:ascii="Cambria Math" w:hAnsi="Cambria Math" w:cs="Times New Roman"/>
            <w:kern w:val="2"/>
          </w:rPr>
          <m:t xml:space="preserve">, </m:t>
        </m:r>
        <m:sSub>
          <m:sSubPr>
            <m:ctrlPr>
              <w:rPr>
                <w:rFonts w:ascii="Cambria Math" w:eastAsia="Calibri" w:hAnsi="Cambria Math" w:cs="Times New Roman"/>
                <w:b/>
                <w:bCs/>
                <w:i/>
                <w:kern w:val="2"/>
              </w:rPr>
            </m:ctrlPr>
          </m:sSubPr>
          <m:e>
            <m:r>
              <m:rPr>
                <m:sty m:val="bi"/>
              </m:rPr>
              <w:rPr>
                <w:rFonts w:ascii="Cambria Math" w:hAnsi="Cambria Math" w:cs="Times New Roman"/>
                <w:kern w:val="2"/>
              </w:rPr>
              <m:t>γ</m:t>
            </m:r>
          </m:e>
          <m:sub>
            <m:r>
              <m:rPr>
                <m:sty m:val="bi"/>
              </m:rPr>
              <w:rPr>
                <w:rFonts w:ascii="Cambria Math" w:hAnsi="Cambria Math" w:cs="Times New Roman"/>
                <w:kern w:val="2"/>
              </w:rPr>
              <m:t>s</m:t>
            </m:r>
          </m:sub>
        </m:sSub>
        <m:r>
          <m:rPr>
            <m:sty m:val="bi"/>
          </m:rPr>
          <w:rPr>
            <w:rFonts w:ascii="Cambria Math" w:hAnsi="Cambria Math" w:cs="Times New Roman"/>
            <w:kern w:val="2"/>
          </w:rPr>
          <m:t xml:space="preserve">, </m:t>
        </m:r>
        <m:sSub>
          <m:sSubPr>
            <m:ctrlPr>
              <w:rPr>
                <w:rFonts w:ascii="Cambria Math" w:hAnsi="Cambria Math" w:cs="Times New Roman"/>
                <w:b/>
                <w:bCs/>
                <w:kern w:val="2"/>
              </w:rPr>
            </m:ctrlPr>
          </m:sSubPr>
          <m:e>
            <m:r>
              <m:rPr>
                <m:sty m:val="b"/>
              </m:rPr>
              <w:rPr>
                <w:rFonts w:ascii="Cambria Math" w:hAnsi="Cambria Math" w:cs="Times New Roman"/>
                <w:kern w:val="2"/>
              </w:rPr>
              <m:t>ρ</m:t>
            </m:r>
          </m:e>
          <m:sub>
            <m:r>
              <m:rPr>
                <m:sty m:val="b"/>
              </m:rPr>
              <w:rPr>
                <w:rFonts w:ascii="Cambria Math" w:hAnsi="Cambria Math" w:cs="Times New Roman"/>
                <w:kern w:val="2"/>
              </w:rPr>
              <m:t>t</m:t>
            </m:r>
          </m:sub>
        </m:sSub>
        <m:r>
          <w:rPr>
            <w:rFonts w:ascii="Cambria Math" w:hAnsi="Cambria Math" w:cs="Times New Roman"/>
            <w:kern w:val="2"/>
          </w:rPr>
          <m:t>:</m:t>
        </m:r>
      </m:oMath>
      <w:r w:rsidR="00D61046" w:rsidRPr="00D61046">
        <w:rPr>
          <w:rFonts w:cs="Times New Roman"/>
          <w:kern w:val="2"/>
        </w:rPr>
        <w:t xml:space="preserve"> County fixed effects (Controlling for unobserved, time-invariant heterogeneity across counties), State fixed effects (Controls for unobserved heterogeneity across states), Year fixed effects (To capture time-specific shocks or trends), respectively. </w:t>
      </w:r>
    </w:p>
    <w:p w14:paraId="11E1BF50" w14:textId="77777777" w:rsidR="00D61046" w:rsidRPr="00D61046" w:rsidRDefault="00000000" w:rsidP="009908F2">
      <w:pPr>
        <w:numPr>
          <w:ilvl w:val="0"/>
          <w:numId w:val="30"/>
        </w:numPr>
        <w:contextualSpacing/>
        <w:rPr>
          <w:rFonts w:cs="Times New Roman"/>
          <w:kern w:val="2"/>
        </w:rPr>
      </w:pPr>
      <m:oMath>
        <m:sSub>
          <m:sSubPr>
            <m:ctrlPr>
              <w:rPr>
                <w:rFonts w:ascii="Cambria Math" w:hAnsi="Cambria Math" w:cs="Times New Roman"/>
                <w:b/>
                <w:bCs/>
                <w:kern w:val="2"/>
              </w:rPr>
            </m:ctrlPr>
          </m:sSubPr>
          <m:e>
            <m:r>
              <m:rPr>
                <m:sty m:val="b"/>
              </m:rPr>
              <w:rPr>
                <w:rFonts w:ascii="Cambria Math" w:hAnsi="Cambria Math" w:cs="Times New Roman"/>
                <w:kern w:val="2"/>
              </w:rPr>
              <m:t>ϵ</m:t>
            </m:r>
          </m:e>
          <m:sub>
            <m:r>
              <m:rPr>
                <m:sty m:val="b"/>
              </m:rPr>
              <w:rPr>
                <w:rFonts w:ascii="Cambria Math" w:hAnsi="Cambria Math" w:cs="Times New Roman"/>
                <w:kern w:val="2"/>
              </w:rPr>
              <m:t>csti</m:t>
            </m:r>
          </m:sub>
        </m:sSub>
        <m:r>
          <w:rPr>
            <w:rFonts w:ascii="Cambria Math" w:hAnsi="Cambria Math" w:cs="Times New Roman"/>
            <w:kern w:val="2"/>
          </w:rPr>
          <m:t>:</m:t>
        </m:r>
      </m:oMath>
      <w:r w:rsidR="00D61046" w:rsidRPr="00D61046">
        <w:rPr>
          <w:rFonts w:cs="Times New Roman"/>
          <w:kern w:val="2"/>
        </w:rPr>
        <w:t xml:space="preserve"> Error term.</w:t>
      </w:r>
      <w:bookmarkEnd w:id="594"/>
      <w:r w:rsidR="00D61046" w:rsidRPr="00D61046">
        <w:rPr>
          <w:rFonts w:cs="Times New Roman"/>
          <w:kern w:val="2"/>
        </w:rPr>
        <w:t xml:space="preserve"> Standard errors have been clustered at the county-level.</w:t>
      </w:r>
    </w:p>
    <w:p w14:paraId="1C7520F4" w14:textId="65409EAA" w:rsidR="00D61046" w:rsidRPr="00D61046" w:rsidRDefault="006075E1" w:rsidP="009908F2">
      <w:pPr>
        <w:pStyle w:val="Heading3"/>
      </w:pPr>
      <w:bookmarkStart w:id="599" w:name="_Toc187789916"/>
      <w:bookmarkStart w:id="600" w:name="_Toc188379063"/>
      <w:r>
        <w:rPr>
          <w:lang w:val="en-US"/>
        </w:rPr>
        <w:lastRenderedPageBreak/>
        <w:t>3.</w:t>
      </w:r>
      <w:r w:rsidR="00D61046" w:rsidRPr="00D61046">
        <w:t>6.2 Justification for Excluding Standalone TSD</w:t>
      </w:r>
      <w:bookmarkEnd w:id="599"/>
      <w:bookmarkEnd w:id="600"/>
    </w:p>
    <w:p w14:paraId="547DEFA8" w14:textId="77777777" w:rsidR="00D61046" w:rsidRPr="00D61046" w:rsidRDefault="00D61046" w:rsidP="009908F2">
      <w:pPr>
        <w:rPr>
          <w:rFonts w:cs="Times New Roman"/>
          <w:iCs/>
          <w:lang/>
        </w:rPr>
      </w:pPr>
      <w:r w:rsidRPr="00D61046">
        <w:rPr>
          <w:rFonts w:cs="Times New Roman"/>
          <w:iCs/>
          <w:lang/>
        </w:rPr>
        <w:t>The standalone Time Since Delisting (TSD) variable is excluded for the following reasons</w:t>
      </w:r>
      <w:r w:rsidRPr="00D61046">
        <w:rPr>
          <w:rFonts w:cs="Times New Roman"/>
          <w:iCs/>
        </w:rPr>
        <w:t xml:space="preserve">. First, </w:t>
      </w:r>
      <w:proofErr w:type="spellStart"/>
      <w:r w:rsidRPr="00D61046">
        <w:rPr>
          <w:rFonts w:cs="Times New Roman"/>
          <w:iCs/>
        </w:rPr>
        <w:t>i</w:t>
      </w:r>
      <w:proofErr w:type="spellEnd"/>
      <w:r w:rsidRPr="00D61046">
        <w:rPr>
          <w:rFonts w:cs="Times New Roman"/>
          <w:iCs/>
          <w:lang/>
        </w:rPr>
        <w:t xml:space="preserve">ncluding both </w:t>
      </w:r>
      <m:oMath>
        <m:r>
          <w:rPr>
            <w:rFonts w:ascii="Cambria Math" w:hAnsi="Cambria Math" w:cs="Times New Roman"/>
            <w:lang/>
          </w:rPr>
          <m:t>TSD</m:t>
        </m:r>
      </m:oMath>
      <w:r w:rsidRPr="00D61046">
        <w:rPr>
          <w:rFonts w:cs="Times New Roman"/>
          <w:iCs/>
          <w:lang/>
        </w:rPr>
        <w:t xml:space="preserve"> and the interaction term </w:t>
      </w:r>
      <m:oMath>
        <m:r>
          <w:rPr>
            <w:rFonts w:ascii="Cambria Math" w:hAnsi="Cambria Math" w:cs="Times New Roman"/>
            <w:lang/>
          </w:rPr>
          <m:t>(Range×TSD)</m:t>
        </m:r>
      </m:oMath>
      <w:r w:rsidRPr="00D61046">
        <w:rPr>
          <w:rFonts w:cs="Times New Roman"/>
          <w:iCs/>
          <w:lang/>
        </w:rPr>
        <w:t xml:space="preserve"> introduces perfect collinearity, as </w:t>
      </w:r>
      <m:oMath>
        <m:r>
          <w:rPr>
            <w:rFonts w:ascii="Cambria Math" w:hAnsi="Cambria Math" w:cs="Times New Roman"/>
            <w:lang/>
          </w:rPr>
          <m:t>TSD</m:t>
        </m:r>
      </m:oMath>
      <w:r w:rsidRPr="00D61046">
        <w:rPr>
          <w:rFonts w:cs="Times New Roman"/>
          <w:iCs/>
          <w:lang/>
        </w:rPr>
        <w:t xml:space="preserve"> is implicitly captured in the fixed effects (e.g., year effects) and through the interaction term.</w:t>
      </w:r>
      <w:r w:rsidRPr="00D61046">
        <w:rPr>
          <w:rFonts w:cs="Times New Roman"/>
          <w:iCs/>
        </w:rPr>
        <w:t xml:space="preserve"> Second, e</w:t>
      </w:r>
      <w:r w:rsidRPr="00D61046">
        <w:rPr>
          <w:rFonts w:cs="Times New Roman"/>
          <w:iCs/>
          <w:lang/>
        </w:rPr>
        <w:t xml:space="preserve">xcluding </w:t>
      </w:r>
      <m:oMath>
        <m:r>
          <w:rPr>
            <w:rFonts w:ascii="Cambria Math" w:hAnsi="Cambria Math" w:cs="Times New Roman"/>
            <w:lang/>
          </w:rPr>
          <m:t>TSD</m:t>
        </m:r>
      </m:oMath>
      <w:r w:rsidRPr="00D61046">
        <w:rPr>
          <w:rFonts w:cs="Times New Roman"/>
          <w:iCs/>
          <w:lang/>
        </w:rPr>
        <w:t xml:space="preserve"> focuses the analysis on spatial and interaction effects, providing a cleaner interpretation of how habitat overlap and delisting jointly influence economic outcomes.</w:t>
      </w:r>
      <w:r w:rsidRPr="00D61046">
        <w:rPr>
          <w:rFonts w:cs="Times New Roman"/>
          <w:iCs/>
        </w:rPr>
        <w:t xml:space="preserve"> Third, e</w:t>
      </w:r>
      <w:r w:rsidRPr="00D61046">
        <w:rPr>
          <w:rFonts w:cs="Times New Roman"/>
          <w:iCs/>
          <w:lang/>
        </w:rPr>
        <w:t xml:space="preserve">mpirical tests show identical results whether </w:t>
      </w:r>
      <m:oMath>
        <m:r>
          <w:rPr>
            <w:rFonts w:ascii="Cambria Math" w:hAnsi="Cambria Math" w:cs="Times New Roman"/>
            <w:lang/>
          </w:rPr>
          <m:t>TSD</m:t>
        </m:r>
      </m:oMath>
      <w:r w:rsidRPr="00D61046">
        <w:rPr>
          <w:rFonts w:cs="Times New Roman"/>
          <w:iCs/>
          <w:lang/>
        </w:rPr>
        <w:t xml:space="preserve"> is included or excluded, demonstrating its redundancy.</w:t>
      </w:r>
      <w:r w:rsidRPr="00D61046">
        <w:rPr>
          <w:rFonts w:cs="Times New Roman"/>
          <w:iCs/>
        </w:rPr>
        <w:t xml:space="preserve"> Fourth, </w:t>
      </w:r>
      <w:r w:rsidRPr="00D61046">
        <w:rPr>
          <w:rFonts w:cs="Times New Roman"/>
          <w:b/>
          <w:bCs/>
          <w:iCs/>
        </w:rPr>
        <w:t>s</w:t>
      </w:r>
      <w:r w:rsidRPr="00D61046">
        <w:rPr>
          <w:rFonts w:cs="Times New Roman"/>
          <w:iCs/>
          <w:lang/>
        </w:rPr>
        <w:t xml:space="preserve">implifying the model by excluding </w:t>
      </w:r>
      <m:oMath>
        <m:r>
          <w:rPr>
            <w:rFonts w:ascii="Cambria Math" w:hAnsi="Cambria Math" w:cs="Times New Roman"/>
            <w:lang/>
          </w:rPr>
          <m:t>TSD</m:t>
        </m:r>
      </m:oMath>
      <w:r w:rsidRPr="00D61046">
        <w:rPr>
          <w:rFonts w:cs="Times New Roman"/>
          <w:iCs/>
          <w:lang/>
        </w:rPr>
        <w:t xml:space="preserve"> improves parsimony, aligning with econometric best practices. This approach ensures that the effects of delisting are captured through meaningful variables </w:t>
      </w:r>
      <m:oMath>
        <m:r>
          <w:rPr>
            <w:rFonts w:ascii="Cambria Math" w:hAnsi="Cambria Math" w:cs="Times New Roman"/>
            <w:lang/>
          </w:rPr>
          <m:t>(Range and Range×TSD)</m:t>
        </m:r>
      </m:oMath>
      <w:r w:rsidRPr="00D61046">
        <w:rPr>
          <w:rFonts w:cs="Times New Roman"/>
          <w:iCs/>
          <w:lang/>
        </w:rPr>
        <w:t>, avoiding unnecessary complexity.</w:t>
      </w:r>
    </w:p>
    <w:p w14:paraId="7E5FD0A7" w14:textId="43F3F881" w:rsidR="00D61046" w:rsidRPr="00D61046" w:rsidRDefault="006075E1" w:rsidP="009908F2">
      <w:pPr>
        <w:pStyle w:val="Heading3"/>
      </w:pPr>
      <w:bookmarkStart w:id="601" w:name="_Toc179574333"/>
      <w:bookmarkStart w:id="602" w:name="_Toc187789917"/>
      <w:bookmarkStart w:id="603" w:name="_Toc188379064"/>
      <w:r>
        <w:rPr>
          <w:lang w:val="en-US"/>
        </w:rPr>
        <w:t>3.</w:t>
      </w:r>
      <w:r w:rsidR="00D61046" w:rsidRPr="00D61046">
        <w:t>6.3 Key Variables</w:t>
      </w:r>
      <w:bookmarkEnd w:id="601"/>
      <w:bookmarkEnd w:id="602"/>
      <w:bookmarkEnd w:id="603"/>
    </w:p>
    <w:p w14:paraId="3CD48197" w14:textId="3F632144" w:rsidR="00D61046" w:rsidRPr="00D61046" w:rsidRDefault="006075E1" w:rsidP="001953BB">
      <w:pPr>
        <w:pStyle w:val="Heading4"/>
      </w:pPr>
      <w:bookmarkStart w:id="604" w:name="_Toc187789918"/>
      <w:r>
        <w:t>3.</w:t>
      </w:r>
      <w:r w:rsidR="00D61046" w:rsidRPr="00D61046">
        <w:t>6.3.1 Outcome Variables</w:t>
      </w:r>
      <w:bookmarkEnd w:id="604"/>
    </w:p>
    <w:p w14:paraId="3F7C5F7D" w14:textId="77777777" w:rsidR="00D61046" w:rsidRPr="00D61046" w:rsidRDefault="00D61046" w:rsidP="009908F2">
      <w:pPr>
        <w:rPr>
          <w:rFonts w:cs="Times New Roman"/>
          <w:lang/>
        </w:rPr>
      </w:pPr>
      <w:bookmarkStart w:id="605" w:name="_Toc179574334"/>
      <w:r w:rsidRPr="00D61046">
        <w:rPr>
          <w:rFonts w:cs="Times New Roman"/>
          <w:lang/>
        </w:rPr>
        <w:t>The model assesses three key economic outcomes across land-intensive and non-LIS</w:t>
      </w:r>
      <w:r w:rsidRPr="00D61046">
        <w:rPr>
          <w:rFonts w:cs="Times New Roman"/>
        </w:rPr>
        <w:t xml:space="preserve">. First, establishment count which </w:t>
      </w:r>
      <w:r w:rsidRPr="00D61046">
        <w:rPr>
          <w:rFonts w:cs="Times New Roman"/>
          <w:lang/>
        </w:rPr>
        <w:t>measures business presence and entry/exit dynamics.</w:t>
      </w:r>
      <w:r w:rsidRPr="00D61046">
        <w:rPr>
          <w:rFonts w:cs="Times New Roman"/>
        </w:rPr>
        <w:t xml:space="preserve"> Second, employment count which t</w:t>
      </w:r>
      <w:r w:rsidRPr="00D61046">
        <w:rPr>
          <w:rFonts w:cs="Times New Roman"/>
          <w:lang/>
        </w:rPr>
        <w:t>racks labor market effects across industries.</w:t>
      </w:r>
      <w:r w:rsidRPr="00D61046">
        <w:rPr>
          <w:rFonts w:cs="Times New Roman"/>
        </w:rPr>
        <w:t xml:space="preserve"> Third, sales volume which captures the </w:t>
      </w:r>
      <w:r w:rsidRPr="00D61046">
        <w:rPr>
          <w:rFonts w:cs="Times New Roman"/>
          <w:lang/>
        </w:rPr>
        <w:t>sectoral economic output and revenue changes. These outcomes collectively provide a comprehensive picture of how delisting affects regional economic activity.</w:t>
      </w:r>
    </w:p>
    <w:p w14:paraId="52F232EB" w14:textId="77777777" w:rsidR="00DB1842" w:rsidRDefault="00DB1842">
      <w:pPr>
        <w:spacing w:line="240" w:lineRule="auto"/>
        <w:rPr>
          <w:rFonts w:eastAsia="DengXian Light" w:cstheme="majorBidi"/>
          <w:b/>
          <w:i/>
          <w:iCs/>
          <w:lang w:eastAsia="zh-CN"/>
        </w:rPr>
      </w:pPr>
      <w:bookmarkStart w:id="606" w:name="_Toc187789919"/>
      <w:r>
        <w:br w:type="page"/>
      </w:r>
    </w:p>
    <w:p w14:paraId="21680BE3" w14:textId="19D67278" w:rsidR="00D61046" w:rsidRPr="00D61046" w:rsidRDefault="006075E1" w:rsidP="001953BB">
      <w:pPr>
        <w:pStyle w:val="Heading4"/>
      </w:pPr>
      <w:r>
        <w:lastRenderedPageBreak/>
        <w:t>3.</w:t>
      </w:r>
      <w:r w:rsidR="00D61046" w:rsidRPr="00D61046">
        <w:t>6.3.2 Independent Variables</w:t>
      </w:r>
      <w:bookmarkEnd w:id="605"/>
      <w:bookmarkEnd w:id="606"/>
    </w:p>
    <w:p w14:paraId="2F9CD643" w14:textId="77777777" w:rsidR="00D61046" w:rsidRPr="00D61046" w:rsidRDefault="00D61046" w:rsidP="009908F2">
      <w:pPr>
        <w:outlineLvl w:val="3"/>
        <w:rPr>
          <w:rFonts w:cs="Times New Roman"/>
          <w:b/>
          <w:bCs/>
        </w:rPr>
      </w:pPr>
      <w:r w:rsidRPr="00D61046">
        <w:rPr>
          <w:rFonts w:cs="Times New Roman"/>
          <w:b/>
          <w:bCs/>
        </w:rPr>
        <w:t>Main Explanatory Variables</w:t>
      </w:r>
    </w:p>
    <w:bookmarkEnd w:id="595"/>
    <w:p w14:paraId="2ED4972A" w14:textId="77777777" w:rsidR="00D61046" w:rsidRPr="00D61046" w:rsidRDefault="00D61046" w:rsidP="009908F2">
      <w:pPr>
        <w:numPr>
          <w:ilvl w:val="0"/>
          <w:numId w:val="31"/>
        </w:numPr>
        <w:contextualSpacing/>
        <w:rPr>
          <w:rFonts w:cs="Times New Roman"/>
          <w:kern w:val="2"/>
          <w:lang/>
        </w:rPr>
      </w:pPr>
      <w:r w:rsidRPr="00D61046">
        <w:rPr>
          <w:rFonts w:cs="Times New Roman"/>
          <w:b/>
          <w:bCs/>
          <w:kern w:val="2"/>
          <w:lang/>
        </w:rPr>
        <w:t xml:space="preserve">Range (Binary and Continuous): </w:t>
      </w:r>
      <w:r w:rsidRPr="00D61046">
        <w:rPr>
          <w:rFonts w:cs="Times New Roman"/>
          <w:kern w:val="2"/>
        </w:rPr>
        <w:t xml:space="preserve">First as </w:t>
      </w:r>
      <w:r w:rsidRPr="00D61046">
        <w:rPr>
          <w:rFonts w:cs="Times New Roman"/>
          <w:kern w:val="2"/>
          <w:lang/>
        </w:rPr>
        <w:t>binary</w:t>
      </w:r>
      <w:r w:rsidRPr="00D61046">
        <w:rPr>
          <w:rFonts w:cs="Times New Roman"/>
          <w:kern w:val="2"/>
        </w:rPr>
        <w:t>, it</w:t>
      </w:r>
      <w:r w:rsidRPr="00D61046">
        <w:rPr>
          <w:rFonts w:cs="Times New Roman"/>
          <w:kern w:val="2"/>
          <w:lang/>
        </w:rPr>
        <w:t xml:space="preserve"> indicates whether a county overlaps with the bear’s range (1 = yes; 0 = no).</w:t>
      </w:r>
      <w:r w:rsidRPr="00D61046">
        <w:rPr>
          <w:rFonts w:cs="Times New Roman"/>
          <w:kern w:val="2"/>
        </w:rPr>
        <w:t xml:space="preserve"> Secondly, as </w:t>
      </w:r>
      <w:r w:rsidRPr="00D61046">
        <w:rPr>
          <w:rFonts w:cs="Times New Roman"/>
          <w:kern w:val="2"/>
          <w:lang/>
        </w:rPr>
        <w:t>continuous</w:t>
      </w:r>
      <w:r w:rsidRPr="00D61046">
        <w:rPr>
          <w:rFonts w:cs="Times New Roman"/>
          <w:kern w:val="2"/>
        </w:rPr>
        <w:t>, it</w:t>
      </w:r>
      <w:r w:rsidRPr="00D61046">
        <w:rPr>
          <w:rFonts w:cs="Times New Roman"/>
          <w:b/>
          <w:bCs/>
          <w:kern w:val="2"/>
        </w:rPr>
        <w:t xml:space="preserve"> </w:t>
      </w:r>
      <w:r w:rsidRPr="00D61046">
        <w:rPr>
          <w:rFonts w:cs="Times New Roman"/>
          <w:kern w:val="2"/>
          <w:lang/>
        </w:rPr>
        <w:t>measures the percentage of county land within the bear’s range, capturing spatial heterogeneity.</w:t>
      </w:r>
    </w:p>
    <w:p w14:paraId="2CB80365" w14:textId="77777777" w:rsidR="00D61046" w:rsidRPr="00D61046" w:rsidRDefault="00D61046" w:rsidP="009908F2">
      <w:pPr>
        <w:numPr>
          <w:ilvl w:val="0"/>
          <w:numId w:val="31"/>
        </w:numPr>
        <w:contextualSpacing/>
        <w:rPr>
          <w:rFonts w:cs="Times New Roman"/>
          <w:kern w:val="2"/>
          <w:lang/>
        </w:rPr>
      </w:pPr>
      <w:r w:rsidRPr="00D61046">
        <w:rPr>
          <w:rFonts w:cs="Times New Roman"/>
          <w:b/>
          <w:bCs/>
          <w:kern w:val="2"/>
          <w:lang/>
        </w:rPr>
        <w:t xml:space="preserve">Interaction Term </w:t>
      </w:r>
      <m:oMath>
        <m:r>
          <m:rPr>
            <m:sty m:val="bi"/>
          </m:rPr>
          <w:rPr>
            <w:rFonts w:ascii="Cambria Math" w:hAnsi="Cambria Math" w:cs="Times New Roman"/>
            <w:kern w:val="2"/>
            <w:lang/>
          </w:rPr>
          <m:t>(Range×TSD)</m:t>
        </m:r>
      </m:oMath>
      <w:r w:rsidRPr="00D61046">
        <w:rPr>
          <w:rFonts w:cs="Times New Roman"/>
          <w:b/>
          <w:bCs/>
          <w:kern w:val="2"/>
          <w:lang/>
        </w:rPr>
        <w:t xml:space="preserve">: </w:t>
      </w:r>
      <w:r w:rsidRPr="00D61046">
        <w:rPr>
          <w:rFonts w:cs="Times New Roman"/>
          <w:kern w:val="2"/>
          <w:lang/>
        </w:rPr>
        <w:t>Explains how the spatial impact of range evolves over time as regulatory constraints are lifted.</w:t>
      </w:r>
    </w:p>
    <w:p w14:paraId="2A670B11" w14:textId="77777777" w:rsidR="00D61046" w:rsidRPr="00D61046" w:rsidRDefault="00D61046" w:rsidP="009908F2">
      <w:pPr>
        <w:rPr>
          <w:rFonts w:eastAsia="Calibri" w:cs="Times New Roman"/>
        </w:rPr>
      </w:pPr>
      <w:r w:rsidRPr="00D61046">
        <w:rPr>
          <w:rFonts w:cs="Times New Roman"/>
          <w:b/>
          <w:bCs/>
        </w:rPr>
        <w:t xml:space="preserve">Other Control Variables: </w:t>
      </w:r>
      <w:r w:rsidRPr="00D61046">
        <w:rPr>
          <w:rFonts w:cs="Times New Roman"/>
        </w:rPr>
        <w:t>Socio-Economic-Demographic and Environmental Controls (</w:t>
      </w:r>
      <m:oMath>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csti</m:t>
            </m:r>
          </m:sub>
        </m:sSub>
      </m:oMath>
      <w:r w:rsidRPr="00D61046">
        <w:rPr>
          <w:rFonts w:cs="Times New Roman"/>
        </w:rPr>
        <w:t xml:space="preserve">): Include poverty rate, unemployment rate, population density, median household income, housing price index, county attainment status vis a vis the criteria pollutants Sulphur dioxide </w:t>
      </w:r>
      <m:oMath>
        <m:r>
          <w:rPr>
            <w:rFonts w:ascii="Cambria Math" w:hAnsi="Cambria Math" w:cs="Times New Roman"/>
          </w:rPr>
          <m:t>(S</m:t>
        </m:r>
        <m:sSub>
          <m:sSubPr>
            <m:ctrlPr>
              <w:rPr>
                <w:rFonts w:ascii="Cambria Math" w:eastAsia="Calibri" w:hAnsi="Cambria Math" w:cs="Times New Roman"/>
                <w:i/>
              </w:rPr>
            </m:ctrlPr>
          </m:sSubPr>
          <m:e>
            <m:r>
              <w:rPr>
                <w:rFonts w:ascii="Cambria Math" w:hAnsi="Cambria Math" w:cs="Times New Roman"/>
              </w:rPr>
              <m:t>O</m:t>
            </m:r>
          </m:e>
          <m:sub>
            <m:r>
              <w:rPr>
                <w:rFonts w:ascii="Cambria Math" w:hAnsi="Cambria Math" w:cs="Times New Roman"/>
              </w:rPr>
              <m:t>2</m:t>
            </m:r>
          </m:sub>
        </m:sSub>
        <m:r>
          <w:rPr>
            <w:rFonts w:ascii="Cambria Math" w:hAnsi="Cambria Math" w:cs="Times New Roman"/>
          </w:rPr>
          <m:t>)</m:t>
        </m:r>
      </m:oMath>
      <w:r w:rsidRPr="00D61046">
        <w:rPr>
          <w:rFonts w:cs="Times New Roman"/>
        </w:rPr>
        <w:t xml:space="preserve">, particulate suspended matter </w:t>
      </w:r>
      <m:oMath>
        <m:r>
          <w:rPr>
            <w:rFonts w:ascii="Cambria Math" w:hAnsi="Cambria Math" w:cs="Times New Roman"/>
          </w:rPr>
          <m:t>(PSM)</m:t>
        </m:r>
      </m:oMath>
      <w:r w:rsidRPr="00D61046">
        <w:rPr>
          <w:rFonts w:cs="Times New Roman"/>
        </w:rPr>
        <w:t xml:space="preserve">, ozone </w:t>
      </w:r>
      <m:oMath>
        <m:r>
          <w:rPr>
            <w:rFonts w:ascii="Cambria Math" w:hAnsi="Cambria Math" w:cs="Times New Roman"/>
          </w:rPr>
          <m:t>(</m:t>
        </m:r>
        <m:sSub>
          <m:sSubPr>
            <m:ctrlPr>
              <w:rPr>
                <w:rFonts w:ascii="Cambria Math" w:eastAsia="Calibri" w:hAnsi="Cambria Math" w:cs="Times New Roman"/>
                <w:i/>
              </w:rPr>
            </m:ctrlPr>
          </m:sSubPr>
          <m:e>
            <m:r>
              <w:rPr>
                <w:rFonts w:ascii="Cambria Math" w:hAnsi="Cambria Math" w:cs="Times New Roman"/>
              </w:rPr>
              <m:t>O</m:t>
            </m:r>
          </m:e>
          <m:sub>
            <m:r>
              <w:rPr>
                <w:rFonts w:ascii="Cambria Math" w:hAnsi="Cambria Math" w:cs="Times New Roman"/>
              </w:rPr>
              <m:t>3</m:t>
            </m:r>
          </m:sub>
        </m:sSub>
        <m:r>
          <w:rPr>
            <w:rFonts w:ascii="Cambria Math" w:hAnsi="Cambria Math" w:cs="Times New Roman"/>
          </w:rPr>
          <m:t>)</m:t>
        </m:r>
      </m:oMath>
      <w:r w:rsidRPr="00D61046">
        <w:rPr>
          <w:rFonts w:cs="Times New Roman"/>
        </w:rPr>
        <w:t xml:space="preserve">, nitrogen dioxide </w:t>
      </w:r>
      <m:oMath>
        <m:r>
          <w:rPr>
            <w:rFonts w:ascii="Cambria Math" w:hAnsi="Cambria Math" w:cs="Times New Roman"/>
          </w:rPr>
          <m:t>(N</m:t>
        </m:r>
        <m:sSub>
          <m:sSubPr>
            <m:ctrlPr>
              <w:rPr>
                <w:rFonts w:ascii="Cambria Math" w:eastAsia="Calibri" w:hAnsi="Cambria Math" w:cs="Times New Roman"/>
                <w:i/>
              </w:rPr>
            </m:ctrlPr>
          </m:sSubPr>
          <m:e>
            <m:r>
              <w:rPr>
                <w:rFonts w:ascii="Cambria Math" w:hAnsi="Cambria Math" w:cs="Times New Roman"/>
              </w:rPr>
              <m:t>O</m:t>
            </m:r>
          </m:e>
          <m:sub>
            <m:r>
              <w:rPr>
                <w:rFonts w:ascii="Cambria Math" w:hAnsi="Cambria Math" w:cs="Times New Roman"/>
              </w:rPr>
              <m:t>2</m:t>
            </m:r>
          </m:sub>
        </m:sSub>
        <m:r>
          <w:rPr>
            <w:rFonts w:ascii="Cambria Math" w:hAnsi="Cambria Math" w:cs="Times New Roman"/>
          </w:rPr>
          <m:t>)</m:t>
        </m:r>
      </m:oMath>
      <w:r w:rsidRPr="00D61046">
        <w:rPr>
          <w:rFonts w:cs="Times New Roman"/>
        </w:rPr>
        <w:t xml:space="preserve">, lead </w:t>
      </w:r>
      <m:oMath>
        <m:r>
          <w:rPr>
            <w:rFonts w:ascii="Cambria Math" w:hAnsi="Cambria Math" w:cs="Times New Roman"/>
          </w:rPr>
          <m:t>(Pb)</m:t>
        </m:r>
      </m:oMath>
      <w:r w:rsidRPr="00D61046">
        <w:rPr>
          <w:rFonts w:cs="Times New Roman"/>
        </w:rPr>
        <w:t xml:space="preserve">, carbon monoxide </w:t>
      </w:r>
      <m:oMath>
        <m:r>
          <w:rPr>
            <w:rFonts w:ascii="Cambria Math" w:hAnsi="Cambria Math" w:cs="Times New Roman"/>
          </w:rPr>
          <m:t>(CO)</m:t>
        </m:r>
      </m:oMath>
      <w:r w:rsidRPr="00D61046">
        <w:rPr>
          <w:rFonts w:cs="Times New Roman"/>
        </w:rPr>
        <w:t>, protected area designation, and prior year sector specific establishment count.</w:t>
      </w:r>
    </w:p>
    <w:p w14:paraId="4E2048B1" w14:textId="56ED2EFB" w:rsidR="00D61046" w:rsidRPr="00D61046" w:rsidRDefault="006075E1" w:rsidP="009908F2">
      <w:pPr>
        <w:pStyle w:val="Heading3"/>
        <w:rPr>
          <w:rFonts w:eastAsia="Times New Roman"/>
        </w:rPr>
      </w:pPr>
      <w:bookmarkStart w:id="607" w:name="_Toc187789920"/>
      <w:bookmarkStart w:id="608" w:name="_Toc188379065"/>
      <w:r>
        <w:rPr>
          <w:lang w:val="en-US"/>
        </w:rPr>
        <w:t>3.</w:t>
      </w:r>
      <w:r w:rsidR="00D61046" w:rsidRPr="00D61046">
        <w:t>6.</w:t>
      </w:r>
      <w:r w:rsidR="00895B67">
        <w:rPr>
          <w:lang w:val="en-US"/>
        </w:rPr>
        <w:t>4</w:t>
      </w:r>
      <w:r w:rsidR="00D61046" w:rsidRPr="00D61046">
        <w:t xml:space="preserve"> Joint-Significance Tests</w:t>
      </w:r>
      <w:bookmarkEnd w:id="607"/>
      <w:bookmarkEnd w:id="608"/>
    </w:p>
    <w:p w14:paraId="47918D03" w14:textId="77777777" w:rsidR="00D61046" w:rsidRPr="00D61046" w:rsidRDefault="00D61046" w:rsidP="009908F2">
      <w:pPr>
        <w:rPr>
          <w:rFonts w:eastAsia="Calibri" w:cs="Times New Roman"/>
          <w:lang w:val="zh-CN" w:eastAsia="zh-CN"/>
        </w:rPr>
      </w:pPr>
      <w:r w:rsidRPr="00D61046">
        <w:rPr>
          <w:rFonts w:cs="Times New Roman"/>
          <w:lang w:val="zh-CN" w:eastAsia="zh-CN"/>
        </w:rPr>
        <w:t>To</w:t>
      </w:r>
      <w:r w:rsidRPr="00D61046">
        <w:rPr>
          <w:rFonts w:cs="Times New Roman"/>
        </w:rPr>
        <w:t xml:space="preserve"> assess the joint contribution of </w:t>
      </w:r>
      <m:oMath>
        <m:r>
          <w:rPr>
            <w:rFonts w:ascii="Cambria Math" w:hAnsi="Cambria Math" w:cs="Times New Roman"/>
          </w:rPr>
          <m:t>Rang</m:t>
        </m:r>
        <m:sSub>
          <m:sSubPr>
            <m:ctrlPr>
              <w:rPr>
                <w:rFonts w:ascii="Cambria Math" w:eastAsia="Calibri" w:hAnsi="Cambria Math" w:cs="Times New Roman"/>
                <w:i/>
              </w:rPr>
            </m:ctrlPr>
          </m:sSubPr>
          <m:e>
            <m:r>
              <w:rPr>
                <w:rFonts w:ascii="Cambria Math" w:hAnsi="Cambria Math" w:cs="Times New Roman"/>
              </w:rPr>
              <m:t>e</m:t>
            </m:r>
          </m:e>
          <m:sub>
            <m:r>
              <w:rPr>
                <w:rFonts w:ascii="Cambria Math" w:hAnsi="Cambria Math" w:cs="Times New Roman"/>
              </w:rPr>
              <m:t>cst</m:t>
            </m:r>
          </m:sub>
        </m:sSub>
      </m:oMath>
      <w:r w:rsidRPr="00D61046">
        <w:rPr>
          <w:rFonts w:cs="Times New Roman"/>
        </w:rPr>
        <w:t xml:space="preserve"> and its interaction with </w:t>
      </w:r>
      <m:oMath>
        <m:r>
          <w:rPr>
            <w:rFonts w:ascii="Cambria Math" w:hAnsi="Cambria Math" w:cs="Times New Roman"/>
          </w:rPr>
          <m:t>TS</m:t>
        </m:r>
        <m:sSub>
          <m:sSubPr>
            <m:ctrlPr>
              <w:rPr>
                <w:rFonts w:ascii="Cambria Math" w:eastAsia="Calibri" w:hAnsi="Cambria Math" w:cs="Times New Roman"/>
                <w:i/>
              </w:rPr>
            </m:ctrlPr>
          </m:sSubPr>
          <m:e>
            <m:r>
              <w:rPr>
                <w:rFonts w:ascii="Cambria Math" w:hAnsi="Cambria Math" w:cs="Times New Roman"/>
              </w:rPr>
              <m:t>D</m:t>
            </m:r>
          </m:e>
          <m:sub>
            <m:r>
              <w:rPr>
                <w:rFonts w:ascii="Cambria Math" w:hAnsi="Cambria Math" w:cs="Times New Roman"/>
              </w:rPr>
              <m:t>t</m:t>
            </m:r>
          </m:sub>
        </m:sSub>
      </m:oMath>
      <w:r w:rsidRPr="00D61046">
        <w:rPr>
          <w:rFonts w:cs="Times New Roman"/>
        </w:rPr>
        <w:t xml:space="preserve"> on establishment outcomes, joint significance tests are conducted. These tests evaluate the null hypothesis</w:t>
      </w:r>
      <w:r w:rsidRPr="00D61046">
        <w:rPr>
          <w:rFonts w:cs="Times New Roman"/>
          <w:lang w:val="zh-CN" w:eastAsia="zh-CN"/>
        </w:rPr>
        <w:t>:</w:t>
      </w:r>
    </w:p>
    <w:p w14:paraId="35DB7658" w14:textId="1D0D0213" w:rsidR="00D61046" w:rsidRPr="00D61046" w:rsidRDefault="00000000" w:rsidP="009908F2">
      <w:pPr>
        <w:rPr>
          <w:rFonts w:cs="Times New Roman"/>
        </w:rPr>
      </w:pPr>
      <m:oMath>
        <m:sSub>
          <m:sSubPr>
            <m:ctrlPr>
              <w:rPr>
                <w:rFonts w:ascii="Cambria Math" w:eastAsia="Calibri" w:hAnsi="Cambria Math" w:cs="Times New Roman"/>
                <w:i/>
                <w:lang/>
              </w:rPr>
            </m:ctrlPr>
          </m:sSubPr>
          <m:e>
            <m:r>
              <w:rPr>
                <w:rFonts w:ascii="Cambria Math" w:hAnsi="Cambria Math" w:cs="Times New Roman"/>
                <w:lang/>
              </w:rPr>
              <m:t>H</m:t>
            </m:r>
          </m:e>
          <m:sub>
            <m:r>
              <w:rPr>
                <w:rFonts w:ascii="Cambria Math" w:hAnsi="Cambria Math" w:cs="Times New Roman"/>
                <w:lang/>
              </w:rPr>
              <m:t>0</m:t>
            </m:r>
          </m:sub>
        </m:sSub>
        <m:r>
          <w:rPr>
            <w:rFonts w:ascii="Cambria Math" w:hAnsi="Cambria Math" w:cs="Times New Roman"/>
            <w:lang/>
          </w:rPr>
          <m:t xml:space="preserve">: </m:t>
        </m:r>
        <m:sSub>
          <m:sSubPr>
            <m:ctrlPr>
              <w:rPr>
                <w:rFonts w:ascii="Cambria Math" w:eastAsia="Calibri" w:hAnsi="Cambria Math" w:cs="Times New Roman"/>
                <w:i/>
                <w:lang/>
              </w:rPr>
            </m:ctrlPr>
          </m:sSubPr>
          <m:e>
            <m:r>
              <w:rPr>
                <w:rFonts w:ascii="Cambria Math" w:hAnsi="Cambria Math" w:cs="Times New Roman"/>
                <w:lang/>
              </w:rPr>
              <m:t>β</m:t>
            </m:r>
            <m:ctrlPr>
              <w:rPr>
                <w:rFonts w:ascii="Cambria Math" w:eastAsia="Calibri" w:hAnsi="Cambria Math" w:cs="Times New Roman"/>
                <w:i/>
              </w:rPr>
            </m:ctrlPr>
          </m:e>
          <m:sub>
            <m:r>
              <w:rPr>
                <w:rFonts w:ascii="Cambria Math" w:hAnsi="Cambria Math" w:cs="Times New Roman"/>
              </w:rPr>
              <m:t>1</m:t>
            </m:r>
          </m:sub>
        </m:sSub>
        <m:r>
          <w:rPr>
            <w:rFonts w:ascii="Cambria Math" w:hAnsi="Cambria Math" w:cs="Times New Roman"/>
            <w:lang/>
          </w:rPr>
          <m:t xml:space="preserve">=0 and </m:t>
        </m:r>
        <m:sSub>
          <m:sSubPr>
            <m:ctrlPr>
              <w:rPr>
                <w:rFonts w:ascii="Cambria Math" w:eastAsia="Calibri" w:hAnsi="Cambria Math" w:cs="Times New Roman"/>
                <w:i/>
                <w:lang/>
              </w:rPr>
            </m:ctrlPr>
          </m:sSubPr>
          <m:e>
            <m:r>
              <w:rPr>
                <w:rFonts w:ascii="Cambria Math" w:hAnsi="Cambria Math" w:cs="Times New Roman"/>
                <w:lang/>
              </w:rPr>
              <m:t>β</m:t>
            </m:r>
            <m:ctrlPr>
              <w:rPr>
                <w:rFonts w:ascii="Cambria Math" w:eastAsia="Calibri" w:hAnsi="Cambria Math" w:cs="Times New Roman"/>
                <w:i/>
              </w:rPr>
            </m:ctrlPr>
          </m:e>
          <m:sub>
            <m:r>
              <w:rPr>
                <w:rFonts w:ascii="Cambria Math" w:hAnsi="Cambria Math" w:cs="Times New Roman"/>
              </w:rPr>
              <m:t>2</m:t>
            </m:r>
          </m:sub>
        </m:sSub>
        <m:r>
          <w:rPr>
            <w:rFonts w:ascii="Cambria Math" w:hAnsi="Cambria Math" w:cs="Times New Roman"/>
            <w:lang/>
          </w:rPr>
          <m:t xml:space="preserve">=0 </m:t>
        </m:r>
      </m:oMath>
      <w:r w:rsidR="00D61046" w:rsidRPr="00D61046">
        <w:rPr>
          <w:rFonts w:cs="Times New Roman"/>
        </w:rPr>
        <w:t xml:space="preserve">        vs         </w:t>
      </w:r>
      <m:oMath>
        <m:sSub>
          <m:sSubPr>
            <m:ctrlPr>
              <w:rPr>
                <w:rFonts w:ascii="Cambria Math" w:eastAsia="Calibri" w:hAnsi="Cambria Math" w:cs="Times New Roman"/>
                <w:i/>
              </w:rPr>
            </m:ctrlPr>
          </m:sSubPr>
          <m:e>
            <m:r>
              <w:rPr>
                <w:rFonts w:ascii="Cambria Math" w:hAnsi="Cambria Math" w:cs="Times New Roman"/>
              </w:rPr>
              <m:t>H</m:t>
            </m:r>
          </m:e>
          <m:sub>
            <m:r>
              <w:rPr>
                <w:rFonts w:ascii="Cambria Math" w:hAnsi="Cambria Math" w:cs="Times New Roman"/>
              </w:rPr>
              <m:t>a</m:t>
            </m:r>
          </m:sub>
        </m:sSub>
        <m:r>
          <w:rPr>
            <w:rFonts w:ascii="Cambria Math" w:hAnsi="Cambria Math" w:cs="Times New Roman"/>
          </w:rPr>
          <m:t>:</m:t>
        </m:r>
        <m:sSub>
          <m:sSubPr>
            <m:ctrlPr>
              <w:rPr>
                <w:rFonts w:ascii="Cambria Math" w:eastAsia="Calibri" w:hAnsi="Cambria Math" w:cs="Times New Roman"/>
                <w:i/>
              </w:rPr>
            </m:ctrlPr>
          </m:sSubPr>
          <m:e>
            <m:r>
              <w:rPr>
                <w:rFonts w:ascii="Cambria Math" w:hAnsi="Cambria Math" w:cs="Times New Roman"/>
              </w:rPr>
              <m:t>β</m:t>
            </m:r>
          </m:e>
          <m:sub>
            <m:r>
              <w:rPr>
                <w:rFonts w:ascii="Cambria Math" w:hAnsi="Cambria Math" w:cs="Times New Roman"/>
              </w:rPr>
              <m:t>1</m:t>
            </m:r>
          </m:sub>
        </m:sSub>
        <m:r>
          <w:rPr>
            <w:rFonts w:ascii="Cambria Math" w:hAnsi="Cambria Math" w:cs="Times New Roman"/>
          </w:rPr>
          <m:t xml:space="preserve">≠0 or </m:t>
        </m:r>
        <m:sSub>
          <m:sSubPr>
            <m:ctrlPr>
              <w:rPr>
                <w:rFonts w:ascii="Cambria Math" w:eastAsia="Calibri" w:hAnsi="Cambria Math" w:cs="Times New Roman"/>
                <w:i/>
              </w:rPr>
            </m:ctrlPr>
          </m:sSubPr>
          <m:e>
            <m:r>
              <w:rPr>
                <w:rFonts w:ascii="Cambria Math" w:hAnsi="Cambria Math" w:cs="Times New Roman"/>
              </w:rPr>
              <m:t>β</m:t>
            </m:r>
          </m:e>
          <m:sub>
            <m:r>
              <w:rPr>
                <w:rFonts w:ascii="Cambria Math" w:hAnsi="Cambria Math" w:cs="Times New Roman"/>
              </w:rPr>
              <m:t>2</m:t>
            </m:r>
          </m:sub>
        </m:sSub>
        <m:r>
          <w:rPr>
            <w:rFonts w:ascii="Cambria Math" w:hAnsi="Cambria Math" w:cs="Times New Roman"/>
          </w:rPr>
          <m:t>≠0,</m:t>
        </m:r>
      </m:oMath>
    </w:p>
    <w:p w14:paraId="3F57E808" w14:textId="77777777" w:rsidR="00D61046" w:rsidRPr="00D61046" w:rsidRDefault="00D61046" w:rsidP="009908F2">
      <w:pPr>
        <w:rPr>
          <w:rFonts w:cs="Times New Roman"/>
          <w:lang/>
        </w:rPr>
      </w:pPr>
      <w:r w:rsidRPr="00D61046">
        <w:rPr>
          <w:rFonts w:cs="Times New Roman"/>
        </w:rPr>
        <w:t xml:space="preserve">Where </w:t>
      </w:r>
      <m:oMath>
        <m:sSub>
          <m:sSubPr>
            <m:ctrlPr>
              <w:rPr>
                <w:rFonts w:ascii="Cambria Math" w:eastAsia="Calibri" w:hAnsi="Cambria Math" w:cs="Times New Roman"/>
                <w:i/>
              </w:rPr>
            </m:ctrlPr>
          </m:sSubPr>
          <m:e>
            <m:r>
              <w:rPr>
                <w:rFonts w:ascii="Cambria Math" w:hAnsi="Cambria Math" w:cs="Times New Roman"/>
              </w:rPr>
              <m:t>β</m:t>
            </m:r>
          </m:e>
          <m:sub>
            <m:r>
              <w:rPr>
                <w:rFonts w:ascii="Cambria Math" w:hAnsi="Cambria Math" w:cs="Times New Roman"/>
              </w:rPr>
              <m:t>1</m:t>
            </m:r>
          </m:sub>
        </m:sSub>
      </m:oMath>
      <w:r w:rsidRPr="00D61046">
        <w:rPr>
          <w:rFonts w:cs="Times New Roman"/>
        </w:rPr>
        <w:t xml:space="preserve">is the baseline effect of </w:t>
      </w:r>
      <m:oMath>
        <m:r>
          <w:rPr>
            <w:rFonts w:ascii="Cambria Math" w:hAnsi="Cambria Math" w:cs="Times New Roman"/>
          </w:rPr>
          <m:t>Rang</m:t>
        </m:r>
        <m:sSub>
          <m:sSubPr>
            <m:ctrlPr>
              <w:rPr>
                <w:rFonts w:ascii="Cambria Math" w:eastAsia="Calibri" w:hAnsi="Cambria Math" w:cs="Times New Roman"/>
                <w:i/>
              </w:rPr>
            </m:ctrlPr>
          </m:sSubPr>
          <m:e>
            <m:r>
              <w:rPr>
                <w:rFonts w:ascii="Cambria Math" w:hAnsi="Cambria Math" w:cs="Times New Roman"/>
              </w:rPr>
              <m:t>e</m:t>
            </m:r>
          </m:e>
          <m:sub>
            <m:r>
              <w:rPr>
                <w:rFonts w:ascii="Cambria Math" w:hAnsi="Cambria Math" w:cs="Times New Roman"/>
              </w:rPr>
              <m:t>cst</m:t>
            </m:r>
          </m:sub>
        </m:sSub>
      </m:oMath>
      <w:r w:rsidRPr="00D61046">
        <w:rPr>
          <w:rFonts w:cs="Times New Roman"/>
        </w:rPr>
        <w:t xml:space="preserve"> on establishment outcomes, and </w:t>
      </w:r>
      <m:oMath>
        <m:sSub>
          <m:sSubPr>
            <m:ctrlPr>
              <w:rPr>
                <w:rFonts w:ascii="Cambria Math" w:eastAsia="Calibri" w:hAnsi="Cambria Math" w:cs="Times New Roman"/>
                <w:i/>
              </w:rPr>
            </m:ctrlPr>
          </m:sSubPr>
          <m:e>
            <m:r>
              <w:rPr>
                <w:rFonts w:ascii="Cambria Math" w:hAnsi="Cambria Math" w:cs="Times New Roman"/>
              </w:rPr>
              <m:t>β</m:t>
            </m:r>
          </m:e>
          <m:sub>
            <m:r>
              <w:rPr>
                <w:rFonts w:ascii="Cambria Math" w:hAnsi="Cambria Math" w:cs="Times New Roman"/>
              </w:rPr>
              <m:t>2</m:t>
            </m:r>
          </m:sub>
        </m:sSub>
      </m:oMath>
      <w:r w:rsidRPr="00D61046">
        <w:rPr>
          <w:rFonts w:cs="Times New Roman"/>
        </w:rPr>
        <w:t xml:space="preserve"> shows how the effect of </w:t>
      </w:r>
      <m:oMath>
        <m:r>
          <w:rPr>
            <w:rFonts w:ascii="Cambria Math" w:hAnsi="Cambria Math" w:cs="Times New Roman"/>
          </w:rPr>
          <m:t>Rang</m:t>
        </m:r>
        <m:sSub>
          <m:sSubPr>
            <m:ctrlPr>
              <w:rPr>
                <w:rFonts w:ascii="Cambria Math" w:eastAsia="Calibri" w:hAnsi="Cambria Math" w:cs="Times New Roman"/>
                <w:i/>
              </w:rPr>
            </m:ctrlPr>
          </m:sSubPr>
          <m:e>
            <m:r>
              <w:rPr>
                <w:rFonts w:ascii="Cambria Math" w:hAnsi="Cambria Math" w:cs="Times New Roman"/>
              </w:rPr>
              <m:t>e</m:t>
            </m:r>
          </m:e>
          <m:sub>
            <m:r>
              <w:rPr>
                <w:rFonts w:ascii="Cambria Math" w:hAnsi="Cambria Math" w:cs="Times New Roman"/>
              </w:rPr>
              <m:t>cst</m:t>
            </m:r>
          </m:sub>
        </m:sSub>
      </m:oMath>
      <w:r w:rsidRPr="00D61046">
        <w:rPr>
          <w:rFonts w:cs="Times New Roman"/>
        </w:rPr>
        <w:t xml:space="preserve"> evolves (annually) with time since delisting (TSD), through the interaction term </w:t>
      </w:r>
      <m:oMath>
        <m:r>
          <w:rPr>
            <w:rFonts w:ascii="Cambria Math" w:hAnsi="Cambria Math" w:cs="Times New Roman"/>
          </w:rPr>
          <m:t>Rang</m:t>
        </m:r>
        <m:sSub>
          <m:sSubPr>
            <m:ctrlPr>
              <w:rPr>
                <w:rFonts w:ascii="Cambria Math" w:eastAsia="Calibri" w:hAnsi="Cambria Math" w:cs="Times New Roman"/>
                <w:i/>
              </w:rPr>
            </m:ctrlPr>
          </m:sSubPr>
          <m:e>
            <m:r>
              <w:rPr>
                <w:rFonts w:ascii="Cambria Math" w:hAnsi="Cambria Math" w:cs="Times New Roman"/>
              </w:rPr>
              <m:t>e</m:t>
            </m:r>
          </m:e>
          <m:sub>
            <m:r>
              <w:rPr>
                <w:rFonts w:ascii="Cambria Math" w:hAnsi="Cambria Math" w:cs="Times New Roman"/>
              </w:rPr>
              <m:t>cst</m:t>
            </m:r>
          </m:sub>
        </m:sSub>
        <m:r>
          <w:rPr>
            <w:rFonts w:ascii="Cambria Math" w:hAnsi="Cambria Math" w:cs="Times New Roman"/>
          </w:rPr>
          <m:t>*TS</m:t>
        </m:r>
        <m:sSub>
          <m:sSubPr>
            <m:ctrlPr>
              <w:rPr>
                <w:rFonts w:ascii="Cambria Math" w:eastAsia="Calibri" w:hAnsi="Cambria Math" w:cs="Times New Roman"/>
                <w:i/>
              </w:rPr>
            </m:ctrlPr>
          </m:sSubPr>
          <m:e>
            <m:r>
              <w:rPr>
                <w:rFonts w:ascii="Cambria Math" w:hAnsi="Cambria Math" w:cs="Times New Roman"/>
              </w:rPr>
              <m:t>D</m:t>
            </m:r>
          </m:e>
          <m:sub>
            <m:r>
              <w:rPr>
                <w:rFonts w:ascii="Cambria Math" w:hAnsi="Cambria Math" w:cs="Times New Roman"/>
              </w:rPr>
              <m:t>t</m:t>
            </m:r>
          </m:sub>
        </m:sSub>
      </m:oMath>
      <w:r w:rsidRPr="00D61046">
        <w:rPr>
          <w:rFonts w:cs="Times New Roman"/>
        </w:rPr>
        <w:t xml:space="preserve">. </w:t>
      </w:r>
      <w:r w:rsidRPr="00D61046">
        <w:rPr>
          <w:rFonts w:cs="Times New Roman"/>
          <w:lang/>
        </w:rPr>
        <w:t xml:space="preserve">It is essential to examine whether both </w:t>
      </w:r>
      <m:oMath>
        <m:sSub>
          <m:sSubPr>
            <m:ctrlPr>
              <w:rPr>
                <w:rFonts w:ascii="Cambria Math" w:eastAsia="Calibri" w:hAnsi="Cambria Math" w:cs="Times New Roman"/>
                <w:i/>
                <w:lang/>
              </w:rPr>
            </m:ctrlPr>
          </m:sSubPr>
          <m:e>
            <m:r>
              <w:rPr>
                <w:rFonts w:ascii="Cambria Math" w:hAnsi="Cambria Math" w:cs="Times New Roman"/>
                <w:lang/>
              </w:rPr>
              <m:t>β</m:t>
            </m:r>
          </m:e>
          <m:sub>
            <m:r>
              <w:rPr>
                <w:rFonts w:ascii="Cambria Math" w:hAnsi="Cambria Math" w:cs="Times New Roman"/>
                <w:lang/>
              </w:rPr>
              <m:t>1</m:t>
            </m:r>
          </m:sub>
        </m:sSub>
        <m:r>
          <w:rPr>
            <w:rFonts w:ascii="Cambria Math" w:hAnsi="Cambria Math" w:cs="Times New Roman"/>
            <w:lang/>
          </w:rPr>
          <m:t xml:space="preserve"> </m:t>
        </m:r>
      </m:oMath>
      <w:r w:rsidRPr="00D61046">
        <w:rPr>
          <w:rFonts w:cs="Times New Roman"/>
          <w:lang/>
        </w:rPr>
        <w:t xml:space="preserve">​ and </w:t>
      </w:r>
      <m:oMath>
        <m:sSub>
          <m:sSubPr>
            <m:ctrlPr>
              <w:rPr>
                <w:rFonts w:ascii="Cambria Math" w:eastAsia="Calibri" w:hAnsi="Cambria Math" w:cs="Times New Roman"/>
                <w:i/>
                <w:lang/>
              </w:rPr>
            </m:ctrlPr>
          </m:sSubPr>
          <m:e>
            <m:r>
              <w:rPr>
                <w:rFonts w:ascii="Cambria Math" w:hAnsi="Cambria Math" w:cs="Times New Roman"/>
                <w:lang/>
              </w:rPr>
              <m:t>β</m:t>
            </m:r>
          </m:e>
          <m:sub>
            <m:r>
              <w:rPr>
                <w:rFonts w:ascii="Cambria Math" w:hAnsi="Cambria Math" w:cs="Times New Roman"/>
                <w:lang/>
              </w:rPr>
              <m:t>2</m:t>
            </m:r>
          </m:sub>
        </m:sSub>
      </m:oMath>
      <w:r w:rsidRPr="00D61046">
        <w:rPr>
          <w:rFonts w:cs="Times New Roman"/>
          <w:lang/>
        </w:rPr>
        <w:t xml:space="preserve">​ are jointly significant. Even if one of these coefficients (say </w:t>
      </w:r>
      <m:oMath>
        <m:sSub>
          <m:sSubPr>
            <m:ctrlPr>
              <w:rPr>
                <w:rFonts w:ascii="Cambria Math" w:eastAsia="Calibri" w:hAnsi="Cambria Math" w:cs="Times New Roman"/>
                <w:i/>
                <w:lang/>
              </w:rPr>
            </m:ctrlPr>
          </m:sSubPr>
          <m:e>
            <m:r>
              <w:rPr>
                <w:rFonts w:ascii="Cambria Math" w:hAnsi="Cambria Math" w:cs="Times New Roman"/>
                <w:lang/>
              </w:rPr>
              <m:t>β</m:t>
            </m:r>
          </m:e>
          <m:sub>
            <m:r>
              <w:rPr>
                <w:rFonts w:ascii="Cambria Math" w:hAnsi="Cambria Math" w:cs="Times New Roman"/>
                <w:lang/>
              </w:rPr>
              <m:t>1</m:t>
            </m:r>
          </m:sub>
        </m:sSub>
      </m:oMath>
      <w:r w:rsidRPr="00D61046">
        <w:rPr>
          <w:rFonts w:cs="Times New Roman"/>
          <w:lang/>
        </w:rPr>
        <w:t xml:space="preserve">​) is significant individually, but </w:t>
      </w:r>
      <m:oMath>
        <m:sSub>
          <m:sSubPr>
            <m:ctrlPr>
              <w:rPr>
                <w:rFonts w:ascii="Cambria Math" w:eastAsia="Calibri" w:hAnsi="Cambria Math" w:cs="Times New Roman"/>
                <w:i/>
                <w:lang/>
              </w:rPr>
            </m:ctrlPr>
          </m:sSubPr>
          <m:e>
            <m:r>
              <w:rPr>
                <w:rFonts w:ascii="Cambria Math" w:hAnsi="Cambria Math" w:cs="Times New Roman"/>
                <w:lang/>
              </w:rPr>
              <m:t>β</m:t>
            </m:r>
          </m:e>
          <m:sub>
            <m:r>
              <w:rPr>
                <w:rFonts w:ascii="Cambria Math" w:hAnsi="Cambria Math" w:cs="Times New Roman"/>
                <w:lang/>
              </w:rPr>
              <m:t>2</m:t>
            </m:r>
          </m:sub>
        </m:sSub>
      </m:oMath>
      <w:r w:rsidRPr="00D61046">
        <w:rPr>
          <w:rFonts w:cs="Times New Roman"/>
          <w:lang/>
        </w:rPr>
        <w:t xml:space="preserve">​ is not, interpreting them separately may lead to misleading conclusions. In such cases, the joint test will determine </w:t>
      </w:r>
      <w:r w:rsidRPr="00D61046">
        <w:rPr>
          <w:rFonts w:cs="Times New Roman"/>
          <w:lang/>
        </w:rPr>
        <w:lastRenderedPageBreak/>
        <w:t xml:space="preserve">if, together, the coefficients contribute significantly to explaining variations in the dependent variable. If both </w:t>
      </w:r>
      <m:oMath>
        <m:sSub>
          <m:sSubPr>
            <m:ctrlPr>
              <w:rPr>
                <w:rFonts w:ascii="Cambria Math" w:eastAsia="Calibri" w:hAnsi="Cambria Math" w:cs="Times New Roman"/>
                <w:i/>
                <w:lang/>
              </w:rPr>
            </m:ctrlPr>
          </m:sSubPr>
          <m:e>
            <m:r>
              <w:rPr>
                <w:rFonts w:ascii="Cambria Math" w:hAnsi="Cambria Math" w:cs="Times New Roman"/>
                <w:lang/>
              </w:rPr>
              <m:t>β</m:t>
            </m:r>
          </m:e>
          <m:sub>
            <m:r>
              <w:rPr>
                <w:rFonts w:ascii="Cambria Math" w:hAnsi="Cambria Math" w:cs="Times New Roman"/>
                <w:lang/>
              </w:rPr>
              <m:t>1</m:t>
            </m:r>
          </m:sub>
        </m:sSub>
      </m:oMath>
      <w:r w:rsidRPr="00D61046">
        <w:rPr>
          <w:rFonts w:cs="Times New Roman"/>
          <w:lang/>
        </w:rPr>
        <w:t xml:space="preserve">​ and </w:t>
      </w:r>
      <m:oMath>
        <m:sSub>
          <m:sSubPr>
            <m:ctrlPr>
              <w:rPr>
                <w:rFonts w:ascii="Cambria Math" w:eastAsia="Calibri" w:hAnsi="Cambria Math" w:cs="Times New Roman"/>
                <w:i/>
                <w:lang/>
              </w:rPr>
            </m:ctrlPr>
          </m:sSubPr>
          <m:e>
            <m:r>
              <w:rPr>
                <w:rFonts w:ascii="Cambria Math" w:hAnsi="Cambria Math" w:cs="Times New Roman"/>
                <w:lang/>
              </w:rPr>
              <m:t>β</m:t>
            </m:r>
          </m:e>
          <m:sub>
            <m:r>
              <w:rPr>
                <w:rFonts w:ascii="Cambria Math" w:hAnsi="Cambria Math" w:cs="Times New Roman"/>
                <w:lang/>
              </w:rPr>
              <m:t>1</m:t>
            </m:r>
          </m:sub>
        </m:sSub>
      </m:oMath>
      <w:r w:rsidRPr="00D61046">
        <w:rPr>
          <w:rFonts w:cs="Times New Roman"/>
          <w:lang/>
        </w:rPr>
        <w:t xml:space="preserve">​ are jointly significant, we can confidently say that the effect of </w:t>
      </w:r>
      <m:oMath>
        <m:r>
          <w:rPr>
            <w:rFonts w:ascii="Cambria Math" w:hAnsi="Cambria Math" w:cs="Times New Roman"/>
            <w:lang/>
          </w:rPr>
          <m:t>Rang</m:t>
        </m:r>
        <m:sSub>
          <m:sSubPr>
            <m:ctrlPr>
              <w:rPr>
                <w:rFonts w:ascii="Cambria Math" w:eastAsia="Calibri" w:hAnsi="Cambria Math" w:cs="Times New Roman"/>
                <w:i/>
                <w:lang/>
              </w:rPr>
            </m:ctrlPr>
          </m:sSubPr>
          <m:e>
            <m:r>
              <w:rPr>
                <w:rFonts w:ascii="Cambria Math" w:hAnsi="Cambria Math" w:cs="Times New Roman"/>
                <w:lang/>
              </w:rPr>
              <m:t>e</m:t>
            </m:r>
          </m:e>
          <m:sub>
            <m:r>
              <w:rPr>
                <w:rFonts w:ascii="Cambria Math" w:hAnsi="Cambria Math" w:cs="Times New Roman"/>
                <w:lang/>
              </w:rPr>
              <m:t>cst</m:t>
            </m:r>
          </m:sub>
        </m:sSub>
      </m:oMath>
      <w:r w:rsidRPr="00D61046">
        <w:rPr>
          <w:rFonts w:cs="Times New Roman"/>
          <w:lang/>
        </w:rPr>
        <w:t xml:space="preserve"> on outcomes depends on the time since delisting (TSD). If the joint test is not significant (i.e., </w:t>
      </w:r>
      <m:oMath>
        <m:sSub>
          <m:sSubPr>
            <m:ctrlPr>
              <w:rPr>
                <w:rFonts w:ascii="Cambria Math" w:eastAsia="Calibri" w:hAnsi="Cambria Math" w:cs="Times New Roman"/>
                <w:i/>
                <w:lang/>
              </w:rPr>
            </m:ctrlPr>
          </m:sSubPr>
          <m:e>
            <m:r>
              <w:rPr>
                <w:rFonts w:ascii="Cambria Math" w:hAnsi="Cambria Math" w:cs="Times New Roman"/>
                <w:lang/>
              </w:rPr>
              <m:t>H</m:t>
            </m:r>
          </m:e>
          <m:sub>
            <m:r>
              <w:rPr>
                <w:rFonts w:ascii="Cambria Math" w:hAnsi="Cambria Math" w:cs="Times New Roman"/>
                <w:lang/>
              </w:rPr>
              <m:t>0</m:t>
            </m:r>
          </m:sub>
        </m:sSub>
      </m:oMath>
      <w:r w:rsidRPr="00D61046">
        <w:rPr>
          <w:rFonts w:cs="Times New Roman"/>
          <w:lang/>
        </w:rPr>
        <w:t xml:space="preserve">​ is not rejected), it implies that the interaction between </w:t>
      </w:r>
      <m:oMath>
        <m:r>
          <w:rPr>
            <w:rFonts w:ascii="Cambria Math" w:hAnsi="Cambria Math" w:cs="Times New Roman"/>
            <w:lang/>
          </w:rPr>
          <m:t>Rang</m:t>
        </m:r>
        <m:sSub>
          <m:sSubPr>
            <m:ctrlPr>
              <w:rPr>
                <w:rFonts w:ascii="Cambria Math" w:eastAsia="Calibri" w:hAnsi="Cambria Math" w:cs="Times New Roman"/>
                <w:i/>
                <w:lang/>
              </w:rPr>
            </m:ctrlPr>
          </m:sSubPr>
          <m:e>
            <m:r>
              <w:rPr>
                <w:rFonts w:ascii="Cambria Math" w:hAnsi="Cambria Math" w:cs="Times New Roman"/>
                <w:lang/>
              </w:rPr>
              <m:t>e</m:t>
            </m:r>
          </m:e>
          <m:sub>
            <m:r>
              <w:rPr>
                <w:rFonts w:ascii="Cambria Math" w:hAnsi="Cambria Math" w:cs="Times New Roman"/>
                <w:lang/>
              </w:rPr>
              <m:t>cst</m:t>
            </m:r>
          </m:sub>
        </m:sSub>
      </m:oMath>
      <w:r w:rsidRPr="00D61046">
        <w:rPr>
          <w:rFonts w:cs="Times New Roman"/>
          <w:lang/>
        </w:rPr>
        <w:t xml:space="preserve">​ and </w:t>
      </w:r>
      <m:oMath>
        <m:r>
          <w:rPr>
            <w:rFonts w:ascii="Cambria Math" w:hAnsi="Cambria Math" w:cs="Times New Roman"/>
            <w:lang/>
          </w:rPr>
          <m:t>TS</m:t>
        </m:r>
        <m:sSub>
          <m:sSubPr>
            <m:ctrlPr>
              <w:rPr>
                <w:rFonts w:ascii="Cambria Math" w:eastAsia="Calibri" w:hAnsi="Cambria Math" w:cs="Times New Roman"/>
                <w:i/>
                <w:lang/>
              </w:rPr>
            </m:ctrlPr>
          </m:sSubPr>
          <m:e>
            <m:r>
              <w:rPr>
                <w:rFonts w:ascii="Cambria Math" w:hAnsi="Cambria Math" w:cs="Times New Roman"/>
                <w:lang/>
              </w:rPr>
              <m:t>D</m:t>
            </m:r>
          </m:e>
          <m:sub>
            <m:r>
              <w:rPr>
                <w:rFonts w:ascii="Cambria Math" w:hAnsi="Cambria Math" w:cs="Times New Roman"/>
                <w:lang/>
              </w:rPr>
              <m:t>t</m:t>
            </m:r>
          </m:sub>
        </m:sSub>
      </m:oMath>
      <w:r w:rsidRPr="00D61046">
        <w:rPr>
          <w:rFonts w:cs="Times New Roman"/>
          <w:lang/>
        </w:rPr>
        <w:t xml:space="preserve">​ does not add substantial explanatory power beyond the individual effect of </w:t>
      </w:r>
      <m:oMath>
        <m:r>
          <w:rPr>
            <w:rFonts w:ascii="Cambria Math" w:hAnsi="Cambria Math" w:cs="Times New Roman"/>
            <w:lang/>
          </w:rPr>
          <m:t>Rang</m:t>
        </m:r>
        <m:sSub>
          <m:sSubPr>
            <m:ctrlPr>
              <w:rPr>
                <w:rFonts w:ascii="Cambria Math" w:eastAsia="Calibri" w:hAnsi="Cambria Math" w:cs="Times New Roman"/>
                <w:i/>
                <w:lang/>
              </w:rPr>
            </m:ctrlPr>
          </m:sSubPr>
          <m:e>
            <m:r>
              <w:rPr>
                <w:rFonts w:ascii="Cambria Math" w:hAnsi="Cambria Math" w:cs="Times New Roman"/>
                <w:lang/>
              </w:rPr>
              <m:t>e</m:t>
            </m:r>
          </m:e>
          <m:sub>
            <m:r>
              <w:rPr>
                <w:rFonts w:ascii="Cambria Math" w:hAnsi="Cambria Math" w:cs="Times New Roman"/>
                <w:lang/>
              </w:rPr>
              <m:t>cst</m:t>
            </m:r>
          </m:sub>
        </m:sSub>
      </m:oMath>
      <w:r w:rsidRPr="00D61046">
        <w:rPr>
          <w:rFonts w:cs="Times New Roman"/>
          <w:lang/>
        </w:rPr>
        <w:t xml:space="preserve"> ​.</w:t>
      </w:r>
    </w:p>
    <w:p w14:paraId="2A6D617C" w14:textId="77777777" w:rsidR="00D61046" w:rsidRPr="00D61046" w:rsidRDefault="00D61046" w:rsidP="009908F2">
      <w:pPr>
        <w:rPr>
          <w:rFonts w:cs="Times New Roman"/>
          <w:b/>
          <w:bCs/>
        </w:rPr>
      </w:pPr>
      <w:r w:rsidRPr="00D61046">
        <w:rPr>
          <w:rFonts w:cs="Times New Roman"/>
          <w:b/>
          <w:bCs/>
          <w:lang/>
        </w:rPr>
        <w:t>Methodologies</w:t>
      </w:r>
      <w:r w:rsidRPr="00D61046">
        <w:rPr>
          <w:rFonts w:cs="Times New Roman"/>
          <w:b/>
          <w:bCs/>
        </w:rPr>
        <w:t xml:space="preserve"> for Joint Tests</w:t>
      </w:r>
    </w:p>
    <w:p w14:paraId="0D806B41" w14:textId="4EC137B5" w:rsidR="00D61046" w:rsidRPr="00B34C76" w:rsidRDefault="00D61046" w:rsidP="00B311A8">
      <w:pPr>
        <w:numPr>
          <w:ilvl w:val="0"/>
          <w:numId w:val="32"/>
        </w:numPr>
        <w:contextualSpacing/>
        <w:rPr>
          <w:rFonts w:eastAsia="Times New Roman" w:cs="Times New Roman"/>
          <w:kern w:val="2"/>
        </w:rPr>
      </w:pPr>
      <w:r w:rsidRPr="00B34C76">
        <w:rPr>
          <w:rFonts w:cs="Times New Roman"/>
          <w:b/>
          <w:bCs/>
          <w:lang/>
        </w:rPr>
        <w:t>Wald Test</w:t>
      </w:r>
      <w:r w:rsidRPr="00B34C76">
        <w:rPr>
          <w:rFonts w:cs="Times New Roman"/>
          <w:lang/>
        </w:rPr>
        <w:t xml:space="preserve">: </w:t>
      </w:r>
      <w:r w:rsidRPr="00B34C76">
        <w:rPr>
          <w:rFonts w:cs="Times New Roman"/>
        </w:rPr>
        <w:t xml:space="preserve">Assesses </w:t>
      </w:r>
      <m:oMath>
        <m:sSub>
          <m:sSubPr>
            <m:ctrlPr>
              <w:rPr>
                <w:rFonts w:ascii="Cambria Math" w:eastAsia="Calibri" w:hAnsi="Cambria Math" w:cs="Times New Roman"/>
                <w:i/>
              </w:rPr>
            </m:ctrlPr>
          </m:sSubPr>
          <m:e>
            <m:r>
              <w:rPr>
                <w:rFonts w:ascii="Cambria Math" w:hAnsi="Cambria Math" w:cs="Times New Roman"/>
              </w:rPr>
              <m:t>H</m:t>
            </m:r>
          </m:e>
          <m:sub>
            <m:r>
              <w:rPr>
                <w:rFonts w:ascii="Cambria Math" w:hAnsi="Cambria Math" w:cs="Times New Roman"/>
              </w:rPr>
              <m:t>0</m:t>
            </m:r>
          </m:sub>
        </m:sSub>
      </m:oMath>
      <w:r w:rsidRPr="00B34C76">
        <w:rPr>
          <w:rFonts w:cs="Times New Roman"/>
        </w:rPr>
        <w:t xml:space="preserve"> using the estimated coefficients </w:t>
      </w:r>
      <m:oMath>
        <m:r>
          <w:rPr>
            <w:rFonts w:ascii="Cambria Math" w:hAnsi="Cambria Math" w:cs="Times New Roman"/>
          </w:rPr>
          <m:t>(</m:t>
        </m:r>
        <m:acc>
          <m:accPr>
            <m:ctrlPr>
              <w:rPr>
                <w:rFonts w:ascii="Cambria Math" w:eastAsia="Calibri" w:hAnsi="Cambria Math" w:cs="Times New Roman"/>
                <w:i/>
              </w:rPr>
            </m:ctrlPr>
          </m:accPr>
          <m:e>
            <m:sSub>
              <m:sSubPr>
                <m:ctrlPr>
                  <w:rPr>
                    <w:rFonts w:ascii="Cambria Math" w:eastAsia="Calibri" w:hAnsi="Cambria Math" w:cs="Times New Roman"/>
                    <w:i/>
                  </w:rPr>
                </m:ctrlPr>
              </m:sSubPr>
              <m:e>
                <m:r>
                  <w:rPr>
                    <w:rFonts w:ascii="Cambria Math" w:hAnsi="Cambria Math" w:cs="Times New Roman"/>
                  </w:rPr>
                  <m:t>β</m:t>
                </m:r>
              </m:e>
              <m:sub>
                <m:r>
                  <w:rPr>
                    <w:rFonts w:ascii="Cambria Math" w:hAnsi="Cambria Math" w:cs="Times New Roman"/>
                  </w:rPr>
                  <m:t>1</m:t>
                </m:r>
              </m:sub>
            </m:sSub>
          </m:e>
        </m:acc>
        <m:r>
          <w:rPr>
            <w:rFonts w:ascii="Cambria Math" w:hAnsi="Cambria Math" w:cs="Times New Roman"/>
          </w:rPr>
          <m:t>,</m:t>
        </m:r>
        <m:acc>
          <m:accPr>
            <m:ctrlPr>
              <w:rPr>
                <w:rFonts w:ascii="Cambria Math" w:eastAsia="Calibri" w:hAnsi="Cambria Math" w:cs="Times New Roman"/>
                <w:i/>
              </w:rPr>
            </m:ctrlPr>
          </m:accPr>
          <m:e>
            <m:sSub>
              <m:sSubPr>
                <m:ctrlPr>
                  <w:rPr>
                    <w:rFonts w:ascii="Cambria Math" w:eastAsia="Calibri" w:hAnsi="Cambria Math" w:cs="Times New Roman"/>
                    <w:i/>
                  </w:rPr>
                </m:ctrlPr>
              </m:sSubPr>
              <m:e>
                <m:r>
                  <w:rPr>
                    <w:rFonts w:ascii="Cambria Math" w:hAnsi="Cambria Math" w:cs="Times New Roman"/>
                  </w:rPr>
                  <m:t>β</m:t>
                </m:r>
              </m:e>
              <m:sub>
                <m:r>
                  <w:rPr>
                    <w:rFonts w:ascii="Cambria Math" w:hAnsi="Cambria Math" w:cs="Times New Roman"/>
                  </w:rPr>
                  <m:t>2</m:t>
                </m:r>
              </m:sub>
            </m:sSub>
          </m:e>
        </m:acc>
      </m:oMath>
      <w:r w:rsidRPr="00B34C76">
        <w:rPr>
          <w:rFonts w:cs="Times New Roman"/>
        </w:rPr>
        <w:t>) and their covariance matrix. The test statistic is computed as:</w:t>
      </w:r>
      <w:r w:rsidR="00B34C76">
        <w:rPr>
          <w:rFonts w:cs="Times New Roman"/>
        </w:rPr>
        <w:t xml:space="preserve"> </w:t>
      </w:r>
      <m:oMath>
        <m:r>
          <w:rPr>
            <w:rFonts w:ascii="Cambria Math" w:hAnsi="Cambria Math" w:cs="Times New Roman"/>
            <w:kern w:val="2"/>
          </w:rPr>
          <m:t>W=</m:t>
        </m:r>
        <m:acc>
          <m:accPr>
            <m:ctrlPr>
              <w:rPr>
                <w:rFonts w:ascii="Cambria Math" w:hAnsi="Cambria Math" w:cs="Times New Roman"/>
                <w:i/>
                <w:kern w:val="2"/>
              </w:rPr>
            </m:ctrlPr>
          </m:accPr>
          <m:e>
            <m:r>
              <w:rPr>
                <w:rFonts w:ascii="Cambria Math" w:hAnsi="Cambria Math" w:cs="Times New Roman"/>
                <w:kern w:val="2"/>
              </w:rPr>
              <m:t>β</m:t>
            </m:r>
          </m:e>
        </m:acc>
        <m:r>
          <w:rPr>
            <w:rFonts w:ascii="Cambria Math" w:hAnsi="Cambria Math" w:cs="Times New Roman"/>
            <w:kern w:val="2"/>
          </w:rPr>
          <m:t>'*Var</m:t>
        </m:r>
        <m:sSup>
          <m:sSupPr>
            <m:ctrlPr>
              <w:rPr>
                <w:rFonts w:ascii="Cambria Math" w:hAnsi="Cambria Math" w:cs="Times New Roman"/>
                <w:i/>
                <w:kern w:val="2"/>
              </w:rPr>
            </m:ctrlPr>
          </m:sSupPr>
          <m:e>
            <m:d>
              <m:dPr>
                <m:ctrlPr>
                  <w:rPr>
                    <w:rFonts w:ascii="Cambria Math" w:hAnsi="Cambria Math" w:cs="Times New Roman"/>
                    <w:i/>
                    <w:kern w:val="2"/>
                  </w:rPr>
                </m:ctrlPr>
              </m:dPr>
              <m:e>
                <m:acc>
                  <m:accPr>
                    <m:ctrlPr>
                      <w:rPr>
                        <w:rFonts w:ascii="Cambria Math" w:hAnsi="Cambria Math" w:cs="Times New Roman"/>
                        <w:i/>
                        <w:kern w:val="2"/>
                      </w:rPr>
                    </m:ctrlPr>
                  </m:accPr>
                  <m:e>
                    <m:r>
                      <w:rPr>
                        <w:rFonts w:ascii="Cambria Math" w:hAnsi="Cambria Math" w:cs="Times New Roman"/>
                        <w:kern w:val="2"/>
                      </w:rPr>
                      <m:t>β</m:t>
                    </m:r>
                  </m:e>
                </m:acc>
              </m:e>
            </m:d>
          </m:e>
          <m:sup>
            <m:r>
              <w:rPr>
                <w:rFonts w:ascii="Cambria Math" w:hAnsi="Cambria Math" w:cs="Times New Roman"/>
                <w:kern w:val="2"/>
              </w:rPr>
              <m:t>-1</m:t>
            </m:r>
          </m:sup>
        </m:sSup>
        <m:r>
          <w:rPr>
            <w:rFonts w:ascii="Cambria Math" w:hAnsi="Cambria Math" w:cs="Times New Roman"/>
            <w:kern w:val="2"/>
          </w:rPr>
          <m:t>*</m:t>
        </m:r>
        <m:acc>
          <m:accPr>
            <m:ctrlPr>
              <w:rPr>
                <w:rFonts w:ascii="Cambria Math" w:hAnsi="Cambria Math" w:cs="Times New Roman"/>
                <w:i/>
                <w:kern w:val="2"/>
              </w:rPr>
            </m:ctrlPr>
          </m:accPr>
          <m:e>
            <m:r>
              <w:rPr>
                <w:rFonts w:ascii="Cambria Math" w:hAnsi="Cambria Math" w:cs="Times New Roman"/>
                <w:kern w:val="2"/>
              </w:rPr>
              <m:t>β</m:t>
            </m:r>
          </m:e>
        </m:acc>
      </m:oMath>
    </w:p>
    <w:p w14:paraId="129F5DCE" w14:textId="77777777" w:rsidR="00D61046" w:rsidRPr="00D61046" w:rsidRDefault="00D61046" w:rsidP="009908F2">
      <w:pPr>
        <w:ind w:left="720"/>
        <w:rPr>
          <w:rFonts w:cs="Times New Roman"/>
        </w:rPr>
      </w:pPr>
      <w:r w:rsidRPr="00D61046">
        <w:rPr>
          <w:rFonts w:cs="Times New Roman"/>
          <w:iCs/>
        </w:rPr>
        <w:t xml:space="preserve">Where </w:t>
      </w:r>
      <m:oMath>
        <m:acc>
          <m:accPr>
            <m:ctrlPr>
              <w:rPr>
                <w:rFonts w:ascii="Cambria Math" w:hAnsi="Cambria Math" w:cs="Times New Roman"/>
                <w:i/>
              </w:rPr>
            </m:ctrlPr>
          </m:accPr>
          <m:e>
            <m:r>
              <w:rPr>
                <w:rFonts w:ascii="Cambria Math" w:hAnsi="Cambria Math" w:cs="Times New Roman"/>
              </w:rPr>
              <m:t>β</m:t>
            </m:r>
          </m:e>
        </m:acc>
        <m:r>
          <w:rPr>
            <w:rFonts w:ascii="Cambria Math" w:hAnsi="Cambria Math" w:cs="Times New Roman"/>
          </w:rPr>
          <m:t>=[</m:t>
        </m:r>
        <m:acc>
          <m:accPr>
            <m:ctrlPr>
              <w:rPr>
                <w:rFonts w:ascii="Cambria Math" w:eastAsia="Calibri" w:hAnsi="Cambria Math" w:cs="Times New Roman"/>
                <w:i/>
              </w:rPr>
            </m:ctrlPr>
          </m:accPr>
          <m:e>
            <m:sSub>
              <m:sSubPr>
                <m:ctrlPr>
                  <w:rPr>
                    <w:rFonts w:ascii="Cambria Math" w:eastAsia="Calibri" w:hAnsi="Cambria Math" w:cs="Times New Roman"/>
                    <w:i/>
                  </w:rPr>
                </m:ctrlPr>
              </m:sSubPr>
              <m:e>
                <m:r>
                  <w:rPr>
                    <w:rFonts w:ascii="Cambria Math" w:hAnsi="Cambria Math" w:cs="Times New Roman"/>
                  </w:rPr>
                  <m:t>β</m:t>
                </m:r>
                <m:ctrlPr>
                  <w:rPr>
                    <w:rFonts w:ascii="Cambria Math" w:hAnsi="Cambria Math" w:cs="Times New Roman"/>
                    <w:i/>
                  </w:rPr>
                </m:ctrlPr>
              </m:e>
              <m:sub>
                <m:r>
                  <w:rPr>
                    <w:rFonts w:ascii="Cambria Math" w:hAnsi="Cambria Math" w:cs="Times New Roman"/>
                  </w:rPr>
                  <m:t>1</m:t>
                </m:r>
              </m:sub>
            </m:sSub>
          </m:e>
        </m:acc>
        <m:r>
          <w:rPr>
            <w:rFonts w:ascii="Cambria Math" w:hAnsi="Cambria Math" w:cs="Times New Roman"/>
          </w:rPr>
          <m:t>,</m:t>
        </m:r>
        <m:acc>
          <m:accPr>
            <m:ctrlPr>
              <w:rPr>
                <w:rFonts w:ascii="Cambria Math" w:hAnsi="Cambria Math" w:cs="Times New Roman"/>
                <w:i/>
              </w:rPr>
            </m:ctrlPr>
          </m:accPr>
          <m:e>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2</m:t>
                </m:r>
              </m:sub>
            </m:sSub>
          </m:e>
        </m:acc>
        <m:r>
          <w:rPr>
            <w:rFonts w:ascii="Cambria Math" w:hAnsi="Cambria Math" w:cs="Times New Roman"/>
          </w:rPr>
          <m:t>]'</m:t>
        </m:r>
      </m:oMath>
      <w:r w:rsidRPr="00D61046">
        <w:rPr>
          <w:rFonts w:cs="Times New Roman"/>
        </w:rPr>
        <w:t xml:space="preserve"> is the vector of estimated coefficients, and</w:t>
      </w:r>
      <m:oMath>
        <m:r>
          <w:rPr>
            <w:rFonts w:ascii="Cambria Math" w:hAnsi="Cambria Math" w:cs="Times New Roman"/>
          </w:rPr>
          <m:t>Var(</m:t>
        </m:r>
        <m:acc>
          <m:accPr>
            <m:ctrlPr>
              <w:rPr>
                <w:rFonts w:ascii="Cambria Math" w:hAnsi="Cambria Math" w:cs="Times New Roman"/>
                <w:i/>
              </w:rPr>
            </m:ctrlPr>
          </m:accPr>
          <m:e>
            <m:r>
              <w:rPr>
                <w:rFonts w:ascii="Cambria Math" w:hAnsi="Cambria Math" w:cs="Times New Roman"/>
              </w:rPr>
              <m:t>β</m:t>
            </m:r>
          </m:e>
        </m:acc>
        <m:r>
          <w:rPr>
            <w:rFonts w:ascii="Cambria Math" w:hAnsi="Cambria Math" w:cs="Times New Roman"/>
          </w:rPr>
          <m:t>)</m:t>
        </m:r>
      </m:oMath>
      <w:r w:rsidRPr="00D61046">
        <w:rPr>
          <w:rFonts w:cs="Times New Roman"/>
        </w:rPr>
        <w:t xml:space="preserve"> is the covariance matrix of</w:t>
      </w:r>
      <m:oMath>
        <m:r>
          <w:rPr>
            <w:rFonts w:ascii="Cambria Math" w:hAnsi="Cambria Math" w:cs="Times New Roman"/>
          </w:rPr>
          <m:t xml:space="preserve"> </m:t>
        </m:r>
        <m:acc>
          <m:accPr>
            <m:ctrlPr>
              <w:rPr>
                <w:rFonts w:ascii="Cambria Math" w:hAnsi="Cambria Math" w:cs="Times New Roman"/>
                <w:i/>
              </w:rPr>
            </m:ctrlPr>
          </m:accPr>
          <m:e>
            <m:r>
              <w:rPr>
                <w:rFonts w:ascii="Cambria Math" w:hAnsi="Cambria Math" w:cs="Times New Roman"/>
              </w:rPr>
              <m:t>β</m:t>
            </m:r>
          </m:e>
        </m:acc>
      </m:oMath>
      <w:r w:rsidRPr="00D61046">
        <w:rPr>
          <w:rFonts w:cs="Times New Roman"/>
        </w:rPr>
        <w:t>. The Wald statistic follows a chi-square distribution with degrees of freedom equal to the number of restrictions (2 in this case).</w:t>
      </w:r>
    </w:p>
    <w:p w14:paraId="1C5E1928" w14:textId="1D31B9DD" w:rsidR="00D61046" w:rsidRPr="00B34C76" w:rsidRDefault="00D61046" w:rsidP="00C72415">
      <w:pPr>
        <w:numPr>
          <w:ilvl w:val="0"/>
          <w:numId w:val="32"/>
        </w:numPr>
        <w:tabs>
          <w:tab w:val="left" w:pos="720"/>
        </w:tabs>
        <w:contextualSpacing/>
        <w:rPr>
          <w:rFonts w:cs="Times New Roman"/>
          <w:kern w:val="2"/>
        </w:rPr>
      </w:pPr>
      <w:r w:rsidRPr="00B34C76">
        <w:rPr>
          <w:rFonts w:cs="Times New Roman"/>
          <w:b/>
          <w:bCs/>
          <w:kern w:val="2"/>
          <w:lang/>
        </w:rPr>
        <w:t xml:space="preserve">Likelihood Ratio </w:t>
      </w:r>
      <w:r w:rsidRPr="00B34C76">
        <w:rPr>
          <w:rFonts w:cs="Times New Roman"/>
          <w:b/>
          <w:bCs/>
          <w:kern w:val="2"/>
        </w:rPr>
        <w:t xml:space="preserve">(LR) </w:t>
      </w:r>
      <w:r w:rsidRPr="00B34C76">
        <w:rPr>
          <w:rFonts w:cs="Times New Roman"/>
          <w:b/>
          <w:bCs/>
          <w:kern w:val="2"/>
          <w:lang/>
        </w:rPr>
        <w:t>Test</w:t>
      </w:r>
      <w:r w:rsidRPr="00B34C76">
        <w:rPr>
          <w:rFonts w:cs="Times New Roman"/>
          <w:kern w:val="2"/>
          <w:lang/>
        </w:rPr>
        <w:t xml:space="preserve">: </w:t>
      </w:r>
      <w:r w:rsidRPr="00B34C76">
        <w:rPr>
          <w:rFonts w:cs="Times New Roman"/>
          <w:kern w:val="2"/>
        </w:rPr>
        <w:t>The LR test com</w:t>
      </w:r>
      <w:r w:rsidRPr="00B34C76">
        <w:rPr>
          <w:rFonts w:cs="Times New Roman"/>
          <w:kern w:val="2"/>
          <w:lang/>
        </w:rPr>
        <w:t>pares the goodness</w:t>
      </w:r>
      <w:r w:rsidRPr="00B34C76">
        <w:rPr>
          <w:rFonts w:cs="Times New Roman"/>
          <w:kern w:val="2"/>
        </w:rPr>
        <w:t>-</w:t>
      </w:r>
      <w:r w:rsidRPr="00B34C76">
        <w:rPr>
          <w:rFonts w:cs="Times New Roman"/>
          <w:kern w:val="2"/>
          <w:lang/>
        </w:rPr>
        <w:t>of</w:t>
      </w:r>
      <w:r w:rsidRPr="00B34C76">
        <w:rPr>
          <w:rFonts w:cs="Times New Roman"/>
          <w:kern w:val="2"/>
        </w:rPr>
        <w:t>-</w:t>
      </w:r>
      <w:r w:rsidRPr="00B34C76">
        <w:rPr>
          <w:rFonts w:cs="Times New Roman"/>
          <w:kern w:val="2"/>
          <w:lang/>
        </w:rPr>
        <w:t xml:space="preserve">fit </w:t>
      </w:r>
      <w:r w:rsidRPr="00B34C76">
        <w:rPr>
          <w:rFonts w:cs="Times New Roman"/>
          <w:kern w:val="2"/>
        </w:rPr>
        <w:t xml:space="preserve">of the unrestricted model (including </w:t>
      </w:r>
      <m:oMath>
        <m:sSub>
          <m:sSubPr>
            <m:ctrlPr>
              <w:rPr>
                <w:rFonts w:ascii="Cambria Math" w:eastAsia="Calibri" w:hAnsi="Cambria Math" w:cs="Times New Roman"/>
                <w:i/>
                <w:kern w:val="2"/>
              </w:rPr>
            </m:ctrlPr>
          </m:sSubPr>
          <m:e>
            <m:r>
              <w:rPr>
                <w:rFonts w:ascii="Cambria Math" w:hAnsi="Cambria Math" w:cs="Times New Roman"/>
                <w:kern w:val="2"/>
              </w:rPr>
              <m:t>β</m:t>
            </m:r>
          </m:e>
          <m:sub>
            <m:r>
              <w:rPr>
                <w:rFonts w:ascii="Cambria Math" w:hAnsi="Cambria Math" w:cs="Times New Roman"/>
                <w:kern w:val="2"/>
              </w:rPr>
              <m:t>1</m:t>
            </m:r>
          </m:sub>
        </m:sSub>
        <m:r>
          <w:rPr>
            <w:rFonts w:ascii="Cambria Math" w:hAnsi="Cambria Math" w:cs="Times New Roman"/>
            <w:kern w:val="2"/>
          </w:rPr>
          <m:t xml:space="preserve"> and </m:t>
        </m:r>
        <m:sSub>
          <m:sSubPr>
            <m:ctrlPr>
              <w:rPr>
                <w:rFonts w:ascii="Cambria Math" w:eastAsia="Calibri" w:hAnsi="Cambria Math" w:cs="Times New Roman"/>
                <w:i/>
                <w:kern w:val="2"/>
              </w:rPr>
            </m:ctrlPr>
          </m:sSubPr>
          <m:e>
            <m:r>
              <w:rPr>
                <w:rFonts w:ascii="Cambria Math" w:hAnsi="Cambria Math" w:cs="Times New Roman"/>
                <w:kern w:val="2"/>
              </w:rPr>
              <m:t>β</m:t>
            </m:r>
          </m:e>
          <m:sub>
            <m:r>
              <w:rPr>
                <w:rFonts w:ascii="Cambria Math" w:hAnsi="Cambria Math" w:cs="Times New Roman"/>
                <w:kern w:val="2"/>
              </w:rPr>
              <m:t>2</m:t>
            </m:r>
          </m:sub>
        </m:sSub>
        <m:r>
          <w:rPr>
            <w:rFonts w:ascii="Cambria Math" w:hAnsi="Cambria Math" w:cs="Times New Roman"/>
            <w:kern w:val="2"/>
          </w:rPr>
          <m:t>)</m:t>
        </m:r>
      </m:oMath>
      <w:r w:rsidRPr="00B34C76">
        <w:rPr>
          <w:rFonts w:cs="Times New Roman"/>
          <w:kern w:val="2"/>
        </w:rPr>
        <w:t xml:space="preserve"> to the restricted model (excluding </w:t>
      </w:r>
      <m:oMath>
        <m:sSub>
          <m:sSubPr>
            <m:ctrlPr>
              <w:rPr>
                <w:rFonts w:ascii="Cambria Math" w:eastAsia="Calibri" w:hAnsi="Cambria Math" w:cs="Times New Roman"/>
                <w:i/>
                <w:kern w:val="2"/>
              </w:rPr>
            </m:ctrlPr>
          </m:sSubPr>
          <m:e>
            <m:r>
              <w:rPr>
                <w:rFonts w:ascii="Cambria Math" w:hAnsi="Cambria Math" w:cs="Times New Roman"/>
                <w:kern w:val="2"/>
              </w:rPr>
              <m:t>β</m:t>
            </m:r>
          </m:e>
          <m:sub>
            <m:r>
              <w:rPr>
                <w:rFonts w:ascii="Cambria Math" w:hAnsi="Cambria Math" w:cs="Times New Roman"/>
                <w:kern w:val="2"/>
              </w:rPr>
              <m:t>1</m:t>
            </m:r>
          </m:sub>
        </m:sSub>
        <m:r>
          <w:rPr>
            <w:rFonts w:ascii="Cambria Math" w:hAnsi="Cambria Math" w:cs="Times New Roman"/>
            <w:kern w:val="2"/>
          </w:rPr>
          <m:t xml:space="preserve"> and </m:t>
        </m:r>
        <m:sSub>
          <m:sSubPr>
            <m:ctrlPr>
              <w:rPr>
                <w:rFonts w:ascii="Cambria Math" w:eastAsia="Calibri" w:hAnsi="Cambria Math" w:cs="Times New Roman"/>
                <w:i/>
                <w:kern w:val="2"/>
              </w:rPr>
            </m:ctrlPr>
          </m:sSubPr>
          <m:e>
            <m:r>
              <w:rPr>
                <w:rFonts w:ascii="Cambria Math" w:hAnsi="Cambria Math" w:cs="Times New Roman"/>
                <w:kern w:val="2"/>
              </w:rPr>
              <m:t>β</m:t>
            </m:r>
          </m:e>
          <m:sub>
            <m:r>
              <w:rPr>
                <w:rFonts w:ascii="Cambria Math" w:hAnsi="Cambria Math" w:cs="Times New Roman"/>
                <w:kern w:val="2"/>
              </w:rPr>
              <m:t>2</m:t>
            </m:r>
          </m:sub>
        </m:sSub>
      </m:oMath>
      <w:r w:rsidRPr="00B34C76">
        <w:rPr>
          <w:rFonts w:cs="Times New Roman"/>
          <w:kern w:val="2"/>
        </w:rPr>
        <w:t>). The test statistic is given by:</w:t>
      </w:r>
      <w:r w:rsidR="00B34C76">
        <w:rPr>
          <w:rFonts w:cs="Times New Roman"/>
          <w:kern w:val="2"/>
        </w:rPr>
        <w:t xml:space="preserve"> </w:t>
      </w:r>
      <m:oMath>
        <m:r>
          <w:rPr>
            <w:rFonts w:ascii="Cambria Math" w:hAnsi="Cambria Math" w:cs="Times New Roman"/>
            <w:kern w:val="2"/>
          </w:rPr>
          <m:t>LR= -2*[</m:t>
        </m:r>
        <m:func>
          <m:funcPr>
            <m:ctrlPr>
              <w:rPr>
                <w:rFonts w:ascii="Cambria Math" w:hAnsi="Cambria Math" w:cs="Times New Roman"/>
                <w:i/>
                <w:lang/>
              </w:rPr>
            </m:ctrlPr>
          </m:funcPr>
          <m:fName>
            <m:r>
              <m:rPr>
                <m:sty m:val="p"/>
              </m:rPr>
              <w:rPr>
                <w:rFonts w:ascii="Cambria Math" w:hAnsi="Cambria Math" w:cs="Times New Roman"/>
                <w:kern w:val="2"/>
              </w:rPr>
              <m:t>ln</m:t>
            </m:r>
          </m:fName>
          <m:e>
            <m:r>
              <w:rPr>
                <w:rFonts w:ascii="Cambria Math" w:hAnsi="Cambria Math" w:cs="Times New Roman"/>
                <w:kern w:val="2"/>
              </w:rPr>
              <m:t>(</m:t>
            </m:r>
            <m:sSub>
              <m:sSubPr>
                <m:ctrlPr>
                  <w:rPr>
                    <w:rFonts w:ascii="Cambria Math" w:hAnsi="Cambria Math" w:cs="Times New Roman"/>
                    <w:i/>
                    <w:lang/>
                  </w:rPr>
                </m:ctrlPr>
              </m:sSubPr>
              <m:e>
                <m:r>
                  <w:rPr>
                    <w:rFonts w:ascii="Cambria Math" w:hAnsi="Cambria Math" w:cs="Times New Roman"/>
                    <w:kern w:val="2"/>
                  </w:rPr>
                  <m:t>L</m:t>
                </m:r>
              </m:e>
              <m:sub>
                <m:r>
                  <w:rPr>
                    <w:rFonts w:ascii="Cambria Math" w:hAnsi="Cambria Math" w:cs="Times New Roman"/>
                    <w:kern w:val="2"/>
                  </w:rPr>
                  <m:t>restricted</m:t>
                </m:r>
              </m:sub>
            </m:sSub>
            <m:r>
              <w:rPr>
                <w:rFonts w:ascii="Cambria Math" w:hAnsi="Cambria Math" w:cs="Times New Roman"/>
                <w:kern w:val="2"/>
              </w:rPr>
              <m:t>)</m:t>
            </m:r>
          </m:e>
        </m:func>
        <m:r>
          <w:rPr>
            <w:rFonts w:ascii="Cambria Math" w:hAnsi="Cambria Math" w:cs="Times New Roman"/>
            <w:kern w:val="2"/>
          </w:rPr>
          <m:t>-</m:t>
        </m:r>
        <m:func>
          <m:funcPr>
            <m:ctrlPr>
              <w:rPr>
                <w:rFonts w:ascii="Cambria Math" w:hAnsi="Cambria Math" w:cs="Times New Roman"/>
                <w:i/>
                <w:lang/>
              </w:rPr>
            </m:ctrlPr>
          </m:funcPr>
          <m:fName>
            <m:r>
              <m:rPr>
                <m:sty m:val="p"/>
              </m:rPr>
              <w:rPr>
                <w:rFonts w:ascii="Cambria Math" w:hAnsi="Cambria Math" w:cs="Times New Roman"/>
                <w:kern w:val="2"/>
              </w:rPr>
              <m:t>ln</m:t>
            </m:r>
          </m:fName>
          <m:e>
            <m:r>
              <w:rPr>
                <w:rFonts w:ascii="Cambria Math" w:hAnsi="Cambria Math" w:cs="Times New Roman"/>
                <w:kern w:val="2"/>
              </w:rPr>
              <m:t>(</m:t>
            </m:r>
            <m:sSub>
              <m:sSubPr>
                <m:ctrlPr>
                  <w:rPr>
                    <w:rFonts w:ascii="Cambria Math" w:hAnsi="Cambria Math" w:cs="Times New Roman"/>
                    <w:i/>
                    <w:lang/>
                  </w:rPr>
                </m:ctrlPr>
              </m:sSubPr>
              <m:e>
                <m:r>
                  <w:rPr>
                    <w:rFonts w:ascii="Cambria Math" w:hAnsi="Cambria Math" w:cs="Times New Roman"/>
                    <w:kern w:val="2"/>
                  </w:rPr>
                  <m:t>L</m:t>
                </m:r>
              </m:e>
              <m:sub>
                <m:r>
                  <w:rPr>
                    <w:rFonts w:ascii="Cambria Math" w:hAnsi="Cambria Math" w:cs="Times New Roman"/>
                    <w:kern w:val="2"/>
                  </w:rPr>
                  <m:t>unrestricted</m:t>
                </m:r>
              </m:sub>
            </m:sSub>
          </m:e>
        </m:func>
        <m:r>
          <w:rPr>
            <w:rFonts w:ascii="Cambria Math" w:hAnsi="Cambria Math" w:cs="Times New Roman"/>
            <w:kern w:val="2"/>
          </w:rPr>
          <m:t>)]</m:t>
        </m:r>
      </m:oMath>
    </w:p>
    <w:p w14:paraId="2165D22E" w14:textId="4F3C4C27" w:rsidR="00D61046" w:rsidRPr="00D61046" w:rsidRDefault="00D61046" w:rsidP="009908F2">
      <w:pPr>
        <w:tabs>
          <w:tab w:val="left" w:pos="720"/>
          <w:tab w:val="left" w:pos="1440"/>
        </w:tabs>
        <w:ind w:left="720"/>
        <w:contextualSpacing/>
        <w:rPr>
          <w:rFonts w:cs="Times New Roman"/>
          <w:kern w:val="2"/>
        </w:rPr>
      </w:pPr>
      <w:r w:rsidRPr="00D61046">
        <w:rPr>
          <w:rFonts w:cs="Times New Roman"/>
          <w:kern w:val="2"/>
        </w:rPr>
        <w:t xml:space="preserve">Where </w:t>
      </w:r>
      <m:oMath>
        <m:sSub>
          <m:sSubPr>
            <m:ctrlPr>
              <w:rPr>
                <w:rFonts w:ascii="Cambria Math" w:hAnsi="Cambria Math" w:cs="Times New Roman"/>
                <w:i/>
                <w:kern w:val="2"/>
              </w:rPr>
            </m:ctrlPr>
          </m:sSubPr>
          <m:e>
            <m:r>
              <w:rPr>
                <w:rFonts w:ascii="Cambria Math" w:hAnsi="Cambria Math" w:cs="Times New Roman"/>
                <w:kern w:val="2"/>
              </w:rPr>
              <m:t>L</m:t>
            </m:r>
          </m:e>
          <m:sub>
            <m:r>
              <w:rPr>
                <w:rFonts w:ascii="Cambria Math" w:hAnsi="Cambria Math" w:cs="Times New Roman"/>
                <w:kern w:val="2"/>
              </w:rPr>
              <m:t>restricted</m:t>
            </m:r>
          </m:sub>
        </m:sSub>
      </m:oMath>
      <w:r w:rsidRPr="00D61046">
        <w:rPr>
          <w:rFonts w:cs="Times New Roman"/>
          <w:kern w:val="2"/>
        </w:rPr>
        <w:t xml:space="preserve">is the Log-likelihood of the model excluding the variables of interest and </w:t>
      </w:r>
      <m:oMath>
        <m:sSub>
          <m:sSubPr>
            <m:ctrlPr>
              <w:rPr>
                <w:rFonts w:ascii="Cambria Math" w:hAnsi="Cambria Math" w:cs="Times New Roman"/>
                <w:i/>
                <w:kern w:val="2"/>
              </w:rPr>
            </m:ctrlPr>
          </m:sSubPr>
          <m:e>
            <m:r>
              <w:rPr>
                <w:rFonts w:ascii="Cambria Math" w:hAnsi="Cambria Math" w:cs="Times New Roman"/>
                <w:kern w:val="2"/>
              </w:rPr>
              <m:t>L</m:t>
            </m:r>
          </m:e>
          <m:sub>
            <m:r>
              <w:rPr>
                <w:rFonts w:ascii="Cambria Math" w:hAnsi="Cambria Math" w:cs="Times New Roman"/>
                <w:kern w:val="2"/>
              </w:rPr>
              <m:t>unrestricted</m:t>
            </m:r>
          </m:sub>
        </m:sSub>
      </m:oMath>
      <w:r w:rsidRPr="00D61046">
        <w:rPr>
          <w:rFonts w:cs="Times New Roman"/>
          <w:kern w:val="2"/>
        </w:rPr>
        <w:t xml:space="preserve"> is the Log-likelihood of the model including the variables of interest.</w:t>
      </w:r>
      <w:r w:rsidR="00614F15">
        <w:rPr>
          <w:rFonts w:cs="Times New Roman"/>
          <w:kern w:val="2"/>
        </w:rPr>
        <w:t xml:space="preserve"> </w:t>
      </w:r>
      <w:r w:rsidRPr="00D61046">
        <w:rPr>
          <w:rFonts w:cs="Times New Roman"/>
          <w:kern w:val="2"/>
        </w:rPr>
        <w:t>The LR statistic also follows a chi-square distribution with 2 degrees of freedom.</w:t>
      </w:r>
    </w:p>
    <w:p w14:paraId="5A3CE6C2" w14:textId="77777777" w:rsidR="00D61046" w:rsidRPr="00D61046" w:rsidRDefault="00D61046" w:rsidP="009908F2">
      <w:pPr>
        <w:numPr>
          <w:ilvl w:val="0"/>
          <w:numId w:val="32"/>
        </w:numPr>
        <w:rPr>
          <w:rFonts w:eastAsia="Calibri" w:cs="Times New Roman"/>
          <w:lang/>
        </w:rPr>
      </w:pPr>
      <w:r w:rsidRPr="00D61046">
        <w:rPr>
          <w:rFonts w:cs="Times New Roman"/>
          <w:b/>
          <w:bCs/>
          <w:lang/>
        </w:rPr>
        <w:t>Bootstrap Wald Test</w:t>
      </w:r>
      <w:r w:rsidRPr="00D61046">
        <w:rPr>
          <w:rFonts w:cs="Times New Roman"/>
          <w:lang/>
        </w:rPr>
        <w:t xml:space="preserve">: </w:t>
      </w:r>
      <w:r w:rsidRPr="00D61046">
        <w:rPr>
          <w:rFonts w:cs="Times New Roman"/>
        </w:rPr>
        <w:t>To address potential heteroskedasticity or small-sample biases, a bootstrap-based Wald test is employed. This involves resampling the data to estimate the sampling distribution of the Wald statistic, providing robust inference.</w:t>
      </w:r>
    </w:p>
    <w:p w14:paraId="6D6D7538" w14:textId="77777777" w:rsidR="00D61046" w:rsidRPr="00D61046" w:rsidRDefault="00D61046" w:rsidP="009908F2">
      <w:pPr>
        <w:rPr>
          <w:rFonts w:eastAsia="Times New Roman" w:cs="Times New Roman"/>
        </w:rPr>
      </w:pPr>
      <w:r w:rsidRPr="00D61046">
        <w:rPr>
          <w:rFonts w:cs="Times New Roman"/>
        </w:rPr>
        <w:lastRenderedPageBreak/>
        <w:t xml:space="preserve">We report the p-values from the Wald tests for joint significance in the regression tables. This choice ensures brevity and clarity in presenting results while maintaining alignment with standard regression reporting formats. Notably, the results of the Wald and Likelihood Ratio (LR) tests are generally consistent; however, some deviations arise when applying more stringent tests or alternative robustness checks. In such cases, we prioritize results where the Wald and LR tests align, ensuring the reliability of the findings. While the joint significance tests provide an essential basis for interpreting the main and interaction terms, it is important to acknowledge that these methods represent standard, though not exhaustive, approaches for evaluating joint contributions. </w:t>
      </w:r>
    </w:p>
    <w:p w14:paraId="1B36CFE5" w14:textId="77777777" w:rsidR="00D61046" w:rsidRPr="00D61046" w:rsidRDefault="00D61046" w:rsidP="009908F2">
      <w:pPr>
        <w:rPr>
          <w:rFonts w:cs="Times New Roman"/>
        </w:rPr>
      </w:pPr>
      <w:r w:rsidRPr="00D61046">
        <w:rPr>
          <w:rFonts w:cs="Times New Roman"/>
        </w:rPr>
        <w:t>Additional tests, such as robustness checks across alternative model specifications or more restrictive hypothesis tests, can further validate the findings. Incorporating these alternative approaches enhances transparency and strengthens the robustness of the conclusions, even if certain results are attenuated under more stringent tests. By combining joint significance tests with robustness checks, the analysis adheres to best practices in econometric research (Cameron &amp; Trivedi, 2013; Wooldridge, 2010). This approach ensures that the conclusions drawn are both theoretically grounded and empirically validated, providing a reliable foundation for interpreting the interactive and non-linear effects of the explanatory variables.</w:t>
      </w:r>
    </w:p>
    <w:p w14:paraId="20D2430F" w14:textId="293BB9D5" w:rsidR="00D61046" w:rsidRPr="00D61046" w:rsidRDefault="006075E1" w:rsidP="009908F2">
      <w:pPr>
        <w:pStyle w:val="Heading3"/>
      </w:pPr>
      <w:bookmarkStart w:id="609" w:name="_Toc187789921"/>
      <w:bookmarkStart w:id="610" w:name="_Toc188379066"/>
      <w:r>
        <w:rPr>
          <w:lang w:val="en-US"/>
        </w:rPr>
        <w:t>3.</w:t>
      </w:r>
      <w:r w:rsidR="00D61046" w:rsidRPr="00D61046">
        <w:t>6.</w:t>
      </w:r>
      <w:r w:rsidR="00895B67">
        <w:rPr>
          <w:lang w:val="en-US"/>
        </w:rPr>
        <w:t>5</w:t>
      </w:r>
      <w:r w:rsidR="00D61046" w:rsidRPr="00D61046">
        <w:t xml:space="preserve"> Marginal Effects and Their Interpretation</w:t>
      </w:r>
      <w:bookmarkEnd w:id="609"/>
      <w:bookmarkEnd w:id="610"/>
    </w:p>
    <w:p w14:paraId="3D635923" w14:textId="77777777" w:rsidR="00D61046" w:rsidRPr="00D61046" w:rsidRDefault="00D61046" w:rsidP="009908F2">
      <w:pPr>
        <w:rPr>
          <w:rFonts w:eastAsia="Calibri" w:cs="Times New Roman"/>
        </w:rPr>
      </w:pPr>
      <w:r w:rsidRPr="00D61046">
        <w:rPr>
          <w:rFonts w:cs="Times New Roman"/>
        </w:rPr>
        <w:t xml:space="preserve">Building on the results of the joint significance tests (Section 6.3), this section explores the marginal effects of the explanatory variables </w:t>
      </w:r>
      <m:oMath>
        <m:r>
          <m:rPr>
            <m:sty m:val="bi"/>
          </m:rPr>
          <w:rPr>
            <w:rFonts w:ascii="Cambria Math" w:hAnsi="Cambria Math" w:cs="Times New Roman"/>
          </w:rPr>
          <m:t>Rang</m:t>
        </m:r>
        <m:sSub>
          <m:sSubPr>
            <m:ctrlPr>
              <w:rPr>
                <w:rFonts w:ascii="Cambria Math" w:eastAsia="Calibri" w:hAnsi="Cambria Math" w:cs="Times New Roman"/>
                <w:b/>
                <w:bCs/>
                <w:i/>
              </w:rPr>
            </m:ctrlPr>
          </m:sSubPr>
          <m:e>
            <m:r>
              <m:rPr>
                <m:sty m:val="bi"/>
              </m:rPr>
              <w:rPr>
                <w:rFonts w:ascii="Cambria Math" w:hAnsi="Cambria Math" w:cs="Times New Roman"/>
              </w:rPr>
              <m:t>e</m:t>
            </m:r>
          </m:e>
          <m:sub>
            <m:r>
              <m:rPr>
                <m:sty m:val="bi"/>
              </m:rPr>
              <w:rPr>
                <w:rFonts w:ascii="Cambria Math" w:hAnsi="Cambria Math" w:cs="Times New Roman"/>
              </w:rPr>
              <m:t>cst</m:t>
            </m:r>
          </m:sub>
        </m:sSub>
      </m:oMath>
      <w:r w:rsidRPr="00D61046">
        <w:rPr>
          <w:rFonts w:cs="Times New Roman"/>
          <w:b/>
          <w:bCs/>
        </w:rPr>
        <w:t xml:space="preserve"> </w:t>
      </w:r>
      <w:r w:rsidRPr="00D61046">
        <w:rPr>
          <w:rFonts w:cs="Times New Roman"/>
        </w:rPr>
        <w:t xml:space="preserve">and </w:t>
      </w:r>
      <m:oMath>
        <m:r>
          <m:rPr>
            <m:sty m:val="bi"/>
          </m:rPr>
          <w:rPr>
            <w:rFonts w:ascii="Cambria Math" w:hAnsi="Cambria Math" w:cs="Times New Roman"/>
          </w:rPr>
          <m:t>TS</m:t>
        </m:r>
        <m:sSub>
          <m:sSubPr>
            <m:ctrlPr>
              <w:rPr>
                <w:rFonts w:ascii="Cambria Math" w:eastAsia="Calibri" w:hAnsi="Cambria Math" w:cs="Times New Roman"/>
                <w:b/>
                <w:bCs/>
                <w:i/>
              </w:rPr>
            </m:ctrlPr>
          </m:sSubPr>
          <m:e>
            <m:r>
              <m:rPr>
                <m:sty m:val="bi"/>
              </m:rPr>
              <w:rPr>
                <w:rFonts w:ascii="Cambria Math" w:hAnsi="Cambria Math" w:cs="Times New Roman"/>
              </w:rPr>
              <m:t>D</m:t>
            </m:r>
          </m:e>
          <m:sub>
            <m:r>
              <m:rPr>
                <m:sty m:val="bi"/>
              </m:rPr>
              <w:rPr>
                <w:rFonts w:ascii="Cambria Math" w:hAnsi="Cambria Math" w:cs="Times New Roman"/>
              </w:rPr>
              <m:t>t</m:t>
            </m:r>
          </m:sub>
        </m:sSub>
      </m:oMath>
      <w:r w:rsidRPr="00D61046">
        <w:rPr>
          <w:rFonts w:cs="Times New Roman"/>
          <w:b/>
          <w:bCs/>
        </w:rPr>
        <w:t xml:space="preserve"> </w:t>
      </w:r>
      <w:r w:rsidRPr="00D61046">
        <w:rPr>
          <w:rFonts w:cs="Times New Roman"/>
        </w:rPr>
        <w:t xml:space="preserve">on establishment outcomes. These marginal effects reveal the incremental impact of these variables while accounting for </w:t>
      </w:r>
      <w:r w:rsidRPr="00D61046">
        <w:rPr>
          <w:rFonts w:cs="Times New Roman"/>
        </w:rPr>
        <w:lastRenderedPageBreak/>
        <w:t>their dynamic, interactive relationships. This section also addresses normalization, scaling, and practical considerations for interpretation.</w:t>
      </w:r>
    </w:p>
    <w:p w14:paraId="275F6085" w14:textId="1D4C90D0" w:rsidR="00D61046" w:rsidRPr="00D61046" w:rsidRDefault="006075E1" w:rsidP="001953BB">
      <w:pPr>
        <w:pStyle w:val="Heading4"/>
      </w:pPr>
      <w:bookmarkStart w:id="611" w:name="_Toc187789922"/>
      <w:r>
        <w:t>3.</w:t>
      </w:r>
      <w:r w:rsidR="00D61046" w:rsidRPr="00D61046">
        <w:t>6.</w:t>
      </w:r>
      <w:r w:rsidR="00895B67">
        <w:t>5</w:t>
      </w:r>
      <w:r w:rsidR="00D61046" w:rsidRPr="00D61046">
        <w:t>.1 From the Model to Marginal Effects</w:t>
      </w:r>
      <w:bookmarkEnd w:id="611"/>
    </w:p>
    <w:p w14:paraId="110688C3" w14:textId="77777777" w:rsidR="00D61046" w:rsidRPr="00D61046" w:rsidRDefault="00D61046" w:rsidP="009908F2">
      <w:pPr>
        <w:rPr>
          <w:rFonts w:cs="Times New Roman"/>
          <w:lang/>
        </w:rPr>
      </w:pPr>
      <w:r w:rsidRPr="00D61046">
        <w:rPr>
          <w:rFonts w:cs="Times New Roman"/>
          <w:lang/>
        </w:rPr>
        <w:t>Transitioning from our PPML specification, the expected outcome is given by:</w:t>
      </w:r>
    </w:p>
    <w:p w14:paraId="42B96E64" w14:textId="77777777" w:rsidR="00D61046" w:rsidRPr="00D61046" w:rsidRDefault="00D61046" w:rsidP="009908F2">
      <w:pPr>
        <w:rPr>
          <w:rFonts w:cs="Times New Roman"/>
          <w:lang/>
        </w:rPr>
      </w:pPr>
      <m:oMath>
        <m:r>
          <w:rPr>
            <w:rFonts w:ascii="Cambria Math" w:hAnsi="Cambria Math" w:cs="Times New Roman"/>
            <w:lang/>
          </w:rPr>
          <m:t>E</m:t>
        </m:r>
        <m:d>
          <m:dPr>
            <m:begChr m:val="["/>
            <m:endChr m:val="]"/>
            <m:ctrlPr>
              <w:rPr>
                <w:rFonts w:ascii="Cambria Math" w:hAnsi="Cambria Math" w:cs="Times New Roman"/>
                <w:i/>
                <w:lang/>
              </w:rPr>
            </m:ctrlPr>
          </m:dPr>
          <m:e>
            <m:r>
              <w:rPr>
                <w:rFonts w:ascii="Cambria Math" w:hAnsi="Cambria Math" w:cs="Times New Roman"/>
                <w:lang/>
              </w:rPr>
              <m:t>Y</m:t>
            </m:r>
          </m:e>
          <m:e>
            <m:r>
              <w:rPr>
                <w:rFonts w:ascii="Cambria Math" w:hAnsi="Cambria Math" w:cs="Times New Roman"/>
                <w:lang/>
              </w:rPr>
              <m:t>X</m:t>
            </m:r>
          </m:e>
        </m:d>
        <m:r>
          <w:rPr>
            <w:rFonts w:ascii="Cambria Math" w:hAnsi="Cambria Math" w:cs="Times New Roman"/>
            <w:lang/>
          </w:rPr>
          <m:t>=</m:t>
        </m:r>
        <m:r>
          <m:rPr>
            <m:sty m:val="p"/>
          </m:rPr>
          <w:rPr>
            <w:rFonts w:ascii="Cambria Math" w:hAnsi="Cambria Math" w:cs="Times New Roman"/>
            <w:lang/>
          </w:rPr>
          <m:t>exp⁡</m:t>
        </m:r>
        <m:r>
          <w:rPr>
            <w:rFonts w:ascii="Cambria Math" w:hAnsi="Cambria Math" w:cs="Times New Roman"/>
            <w:lang/>
          </w:rPr>
          <m:t>(</m:t>
        </m:r>
        <m:sSub>
          <m:sSubPr>
            <m:ctrlPr>
              <w:rPr>
                <w:rFonts w:ascii="Cambria Math" w:hAnsi="Cambria Math" w:cs="Times New Roman"/>
                <w:i/>
                <w:lang/>
              </w:rPr>
            </m:ctrlPr>
          </m:sSubPr>
          <m:e>
            <m:r>
              <w:rPr>
                <w:rFonts w:ascii="Cambria Math" w:hAnsi="Cambria Math" w:cs="Times New Roman"/>
                <w:lang/>
              </w:rPr>
              <m:t>β</m:t>
            </m:r>
          </m:e>
          <m:sub>
            <m:r>
              <w:rPr>
                <w:rFonts w:ascii="Cambria Math" w:hAnsi="Cambria Math" w:cs="Times New Roman"/>
                <w:lang/>
              </w:rPr>
              <m:t>0</m:t>
            </m:r>
          </m:sub>
        </m:sSub>
        <m:r>
          <w:rPr>
            <w:rFonts w:ascii="Cambria Math" w:hAnsi="Cambria Math" w:cs="Times New Roman"/>
            <w:lang/>
          </w:rPr>
          <m:t>+</m:t>
        </m:r>
        <m:sSub>
          <m:sSubPr>
            <m:ctrlPr>
              <w:rPr>
                <w:rFonts w:ascii="Cambria Math" w:hAnsi="Cambria Math" w:cs="Times New Roman"/>
                <w:i/>
                <w:lang/>
              </w:rPr>
            </m:ctrlPr>
          </m:sSubPr>
          <m:e>
            <m:r>
              <w:rPr>
                <w:rFonts w:ascii="Cambria Math" w:hAnsi="Cambria Math" w:cs="Times New Roman"/>
                <w:lang/>
              </w:rPr>
              <m:t>β</m:t>
            </m:r>
          </m:e>
          <m:sub>
            <m:r>
              <w:rPr>
                <w:rFonts w:ascii="Cambria Math" w:hAnsi="Cambria Math" w:cs="Times New Roman"/>
                <w:lang/>
              </w:rPr>
              <m:t>1</m:t>
            </m:r>
          </m:sub>
        </m:sSub>
        <m:r>
          <w:rPr>
            <w:rFonts w:ascii="Cambria Math" w:hAnsi="Cambria Math" w:cs="Times New Roman"/>
            <w:lang/>
          </w:rPr>
          <m:t>Rang</m:t>
        </m:r>
        <m:sSub>
          <m:sSubPr>
            <m:ctrlPr>
              <w:rPr>
                <w:rFonts w:ascii="Cambria Math" w:hAnsi="Cambria Math" w:cs="Times New Roman"/>
                <w:i/>
                <w:lang/>
              </w:rPr>
            </m:ctrlPr>
          </m:sSubPr>
          <m:e>
            <m:r>
              <w:rPr>
                <w:rFonts w:ascii="Cambria Math" w:hAnsi="Cambria Math" w:cs="Times New Roman"/>
                <w:lang/>
              </w:rPr>
              <m:t>e</m:t>
            </m:r>
          </m:e>
          <m:sub>
            <m:r>
              <w:rPr>
                <w:rFonts w:ascii="Cambria Math" w:hAnsi="Cambria Math" w:cs="Times New Roman"/>
                <w:lang/>
              </w:rPr>
              <m:t>cst</m:t>
            </m:r>
          </m:sub>
        </m:sSub>
        <m:r>
          <w:rPr>
            <w:rFonts w:ascii="Cambria Math" w:hAnsi="Cambria Math" w:cs="Times New Roman"/>
            <w:lang/>
          </w:rPr>
          <m:t>+</m:t>
        </m:r>
        <m:sSub>
          <m:sSubPr>
            <m:ctrlPr>
              <w:rPr>
                <w:rFonts w:ascii="Cambria Math" w:hAnsi="Cambria Math" w:cs="Times New Roman"/>
                <w:i/>
                <w:lang/>
              </w:rPr>
            </m:ctrlPr>
          </m:sSubPr>
          <m:e>
            <m:r>
              <w:rPr>
                <w:rFonts w:ascii="Cambria Math" w:hAnsi="Cambria Math" w:cs="Times New Roman"/>
                <w:lang/>
              </w:rPr>
              <m:t>β</m:t>
            </m:r>
          </m:e>
          <m:sub>
            <m:r>
              <w:rPr>
                <w:rFonts w:ascii="Cambria Math" w:hAnsi="Cambria Math" w:cs="Times New Roman"/>
                <w:lang/>
              </w:rPr>
              <m:t>2</m:t>
            </m:r>
          </m:sub>
        </m:sSub>
        <m:r>
          <w:rPr>
            <w:rFonts w:ascii="Cambria Math" w:hAnsi="Cambria Math" w:cs="Times New Roman"/>
            <w:lang/>
          </w:rPr>
          <m:t>Rang</m:t>
        </m:r>
        <m:sSub>
          <m:sSubPr>
            <m:ctrlPr>
              <w:rPr>
                <w:rFonts w:ascii="Cambria Math" w:hAnsi="Cambria Math" w:cs="Times New Roman"/>
                <w:i/>
                <w:lang/>
              </w:rPr>
            </m:ctrlPr>
          </m:sSubPr>
          <m:e>
            <m:r>
              <w:rPr>
                <w:rFonts w:ascii="Cambria Math" w:hAnsi="Cambria Math" w:cs="Times New Roman"/>
                <w:lang/>
              </w:rPr>
              <m:t>e</m:t>
            </m:r>
          </m:e>
          <m:sub>
            <m:r>
              <w:rPr>
                <w:rFonts w:ascii="Cambria Math" w:hAnsi="Cambria Math" w:cs="Times New Roman"/>
                <w:lang/>
              </w:rPr>
              <m:t>cst</m:t>
            </m:r>
          </m:sub>
        </m:sSub>
        <m:r>
          <w:rPr>
            <w:rFonts w:ascii="Cambria Math" w:hAnsi="Cambria Math" w:cs="Times New Roman"/>
            <w:lang/>
          </w:rPr>
          <m:t>*TS</m:t>
        </m:r>
        <m:sSub>
          <m:sSubPr>
            <m:ctrlPr>
              <w:rPr>
                <w:rFonts w:ascii="Cambria Math" w:hAnsi="Cambria Math" w:cs="Times New Roman"/>
                <w:i/>
                <w:lang/>
              </w:rPr>
            </m:ctrlPr>
          </m:sSubPr>
          <m:e>
            <m:r>
              <w:rPr>
                <w:rFonts w:ascii="Cambria Math" w:hAnsi="Cambria Math" w:cs="Times New Roman"/>
                <w:lang/>
              </w:rPr>
              <m:t>D</m:t>
            </m:r>
          </m:e>
          <m:sub>
            <m:r>
              <w:rPr>
                <w:rFonts w:ascii="Cambria Math" w:hAnsi="Cambria Math" w:cs="Times New Roman"/>
                <w:lang/>
              </w:rPr>
              <m:t>t</m:t>
            </m:r>
          </m:sub>
        </m:sSub>
        <m:r>
          <w:rPr>
            <w:rFonts w:ascii="Cambria Math" w:hAnsi="Cambria Math" w:cs="Times New Roman"/>
            <w:lang/>
          </w:rPr>
          <m:t>+</m:t>
        </m:r>
        <m:sSub>
          <m:sSubPr>
            <m:ctrlPr>
              <w:rPr>
                <w:rFonts w:ascii="Cambria Math" w:hAnsi="Cambria Math" w:cs="Times New Roman"/>
                <w:i/>
                <w:lang/>
              </w:rPr>
            </m:ctrlPr>
          </m:sSubPr>
          <m:e>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3</m:t>
                </m:r>
              </m:sub>
            </m:sSub>
            <m:sSup>
              <m:sSupPr>
                <m:ctrlPr>
                  <w:rPr>
                    <w:rFonts w:ascii="Cambria Math" w:hAnsi="Cambria Math" w:cs="Times New Roman"/>
                    <w:i/>
                    <w:lang/>
                  </w:rPr>
                </m:ctrlPr>
              </m:sSupPr>
              <m:e>
                <m:r>
                  <w:rPr>
                    <w:rFonts w:ascii="Cambria Math" w:hAnsi="Cambria Math" w:cs="Times New Roman"/>
                    <w:lang/>
                  </w:rPr>
                  <m:t>X</m:t>
                </m:r>
              </m:e>
              <m:sup>
                <m:r>
                  <w:rPr>
                    <w:rFonts w:ascii="Cambria Math" w:hAnsi="Cambria Math" w:cs="Times New Roman"/>
                    <w:lang/>
                  </w:rPr>
                  <m:t>'</m:t>
                </m:r>
              </m:sup>
            </m:sSup>
          </m:e>
          <m:sub>
            <m:r>
              <w:rPr>
                <w:rFonts w:ascii="Cambria Math" w:hAnsi="Cambria Math" w:cs="Times New Roman"/>
                <w:lang/>
              </w:rPr>
              <m:t>cst</m:t>
            </m:r>
          </m:sub>
        </m:sSub>
      </m:oMath>
      <w:r w:rsidRPr="00D61046">
        <w:rPr>
          <w:rFonts w:cs="Times New Roman"/>
          <w:lang/>
        </w:rPr>
        <w:t>)</w:t>
      </w:r>
    </w:p>
    <w:p w14:paraId="5ECCCC17" w14:textId="77777777" w:rsidR="00D61046" w:rsidRPr="00D61046" w:rsidRDefault="00D61046" w:rsidP="009908F2">
      <w:pPr>
        <w:rPr>
          <w:rFonts w:cs="Times New Roman"/>
          <w:lang/>
        </w:rPr>
      </w:pPr>
      <w:r w:rsidRPr="00D61046">
        <w:rPr>
          <w:rFonts w:cs="Times New Roman"/>
          <w:lang/>
        </w:rPr>
        <w:t xml:space="preserve">which links the explanatory variables directly to the expected value of </w:t>
      </w:r>
      <m:oMath>
        <m:r>
          <w:rPr>
            <w:rFonts w:ascii="Cambria Math" w:hAnsi="Cambria Math" w:cs="Times New Roman"/>
            <w:lang/>
          </w:rPr>
          <m:t>Y</m:t>
        </m:r>
      </m:oMath>
      <w:r w:rsidRPr="00D61046">
        <w:rPr>
          <w:rFonts w:cs="Times New Roman"/>
          <w:lang/>
        </w:rPr>
        <w:t>. T</w:t>
      </w:r>
      <w:r w:rsidRPr="00D61046">
        <w:rPr>
          <w:rFonts w:cs="Times New Roman"/>
          <w:lang/>
        </w:rPr>
        <w:t>he marginal effects quantify the expected percentage change in the outcome variable (</w:t>
      </w:r>
      <m:oMath>
        <m:r>
          <w:rPr>
            <w:rFonts w:ascii="Cambria Math" w:hAnsi="Cambria Math" w:cs="Times New Roman"/>
            <w:lang/>
          </w:rPr>
          <m:t>Y</m:t>
        </m:r>
      </m:oMath>
      <w:r w:rsidRPr="00D61046">
        <w:rPr>
          <w:rFonts w:cs="Times New Roman"/>
          <w:lang/>
        </w:rPr>
        <w:t>) given a unit change in an explanatory variable. For this chapter, the marginal effects of interest are:</w:t>
      </w:r>
    </w:p>
    <w:p w14:paraId="77D3803C" w14:textId="54C5AF1C" w:rsidR="00D61046" w:rsidRPr="00B34C76" w:rsidRDefault="00D61046" w:rsidP="00B34C76">
      <w:pPr>
        <w:keepNext/>
        <w:keepLines/>
        <w:widowControl w:val="0"/>
        <w:outlineLvl w:val="4"/>
        <w:rPr>
          <w:rFonts w:eastAsia="Calibri" w:cs="Times New Roman"/>
        </w:rPr>
      </w:pPr>
      <w:r w:rsidRPr="00B34C76">
        <w:rPr>
          <w:rFonts w:eastAsia="DengXian Light" w:cs="Times New Roman"/>
          <w:lang/>
        </w:rPr>
        <w:t xml:space="preserve">The </w:t>
      </w:r>
      <w:r w:rsidRPr="00B34C76">
        <w:rPr>
          <w:rFonts w:eastAsia="DengXian Light" w:cs="Times New Roman"/>
          <w:lang/>
        </w:rPr>
        <w:t xml:space="preserve">marginal effect of </w:t>
      </w:r>
      <m:oMath>
        <m:r>
          <w:rPr>
            <w:rFonts w:ascii="Cambria Math" w:eastAsia="DengXian Light" w:hAnsi="Cambria Math" w:cs="Times New Roman"/>
            <w:lang/>
          </w:rPr>
          <m:t>Rang</m:t>
        </m:r>
        <m:sSub>
          <m:sSubPr>
            <m:ctrlPr>
              <w:rPr>
                <w:rFonts w:ascii="Cambria Math" w:eastAsia="DengXian Light" w:hAnsi="Cambria Math" w:cs="Times New Roman"/>
                <w:i/>
                <w:lang/>
              </w:rPr>
            </m:ctrlPr>
          </m:sSubPr>
          <m:e>
            <m:r>
              <w:rPr>
                <w:rFonts w:ascii="Cambria Math" w:eastAsia="DengXian Light" w:hAnsi="Cambria Math" w:cs="Times New Roman"/>
                <w:lang/>
              </w:rPr>
              <m:t>e</m:t>
            </m:r>
          </m:e>
          <m:sub>
            <m:r>
              <w:rPr>
                <w:rFonts w:ascii="Cambria Math" w:eastAsia="DengXian Light" w:hAnsi="Cambria Math" w:cs="Times New Roman"/>
                <w:lang/>
              </w:rPr>
              <m:t>cst</m:t>
            </m:r>
          </m:sub>
        </m:sSub>
      </m:oMath>
      <w:r w:rsidRPr="00B34C76">
        <w:rPr>
          <w:rFonts w:eastAsia="DengXian Light" w:cs="Times New Roman"/>
          <w:lang/>
        </w:rPr>
        <w:t>, is expressed as</w:t>
      </w:r>
      <w:r w:rsidRPr="00B34C76">
        <w:rPr>
          <w:rFonts w:eastAsia="DengXian Light" w:cs="Times New Roman"/>
          <w:lang/>
        </w:rPr>
        <w:t>​:</w:t>
      </w:r>
      <w:r w:rsidR="00B34C76" w:rsidRPr="00B34C76">
        <w:rPr>
          <w:rFonts w:eastAsia="DengXian Light" w:cs="Times New Roman"/>
          <w:lang/>
        </w:rPr>
        <w:t xml:space="preserve"> </w:t>
      </w:r>
      <m:oMath>
        <m:f>
          <m:fPr>
            <m:ctrlPr>
              <w:rPr>
                <w:rFonts w:ascii="Cambria Math" w:hAnsi="Cambria Math" w:cs="Times New Roman"/>
                <w:i/>
              </w:rPr>
            </m:ctrlPr>
          </m:fPr>
          <m:num>
            <m:r>
              <w:rPr>
                <w:rFonts w:ascii="Cambria Math" w:hAnsi="Cambria Math" w:cs="Times New Roman"/>
              </w:rPr>
              <m:t>∂E</m:t>
            </m:r>
            <m:d>
              <m:dPr>
                <m:begChr m:val="["/>
                <m:endChr m:val="]"/>
                <m:ctrlPr>
                  <w:rPr>
                    <w:rFonts w:ascii="Cambria Math" w:hAnsi="Cambria Math" w:cs="Times New Roman"/>
                    <w:i/>
                  </w:rPr>
                </m:ctrlPr>
              </m:dPr>
              <m:e>
                <m:r>
                  <w:rPr>
                    <w:rFonts w:ascii="Cambria Math" w:hAnsi="Cambria Math" w:cs="Times New Roman"/>
                  </w:rPr>
                  <m:t>Y</m:t>
                </m:r>
              </m:e>
              <m:e>
                <m:r>
                  <w:rPr>
                    <w:rFonts w:ascii="Cambria Math" w:hAnsi="Cambria Math" w:cs="Times New Roman"/>
                  </w:rPr>
                  <m:t>X</m:t>
                </m:r>
              </m:e>
            </m:d>
          </m:num>
          <m:den>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Range</m:t>
                </m:r>
              </m:e>
              <m:sub>
                <m:r>
                  <w:rPr>
                    <w:rFonts w:ascii="Cambria Math" w:hAnsi="Cambria Math" w:cs="Times New Roman"/>
                  </w:rPr>
                  <m:t>cst</m:t>
                </m:r>
              </m:sub>
            </m:sSub>
          </m:den>
        </m:f>
        <m:r>
          <w:rPr>
            <w:rFonts w:ascii="Cambria Math" w:hAnsi="Cambria Math" w:cs="Times New Roman"/>
          </w:rPr>
          <m:t>=E</m:t>
        </m:r>
        <m:d>
          <m:dPr>
            <m:begChr m:val="["/>
            <m:sepChr m:val="∣"/>
            <m:endChr m:val="]"/>
            <m:ctrlPr>
              <w:rPr>
                <w:rFonts w:ascii="Cambria Math" w:hAnsi="Cambria Math" w:cs="Times New Roman"/>
                <w:i/>
              </w:rPr>
            </m:ctrlPr>
          </m:dPr>
          <m:e>
            <m:r>
              <m:rPr>
                <m:sty m:val="p"/>
              </m:rPr>
              <w:rPr>
                <w:rFonts w:ascii="Cambria Math" w:hAnsi="Cambria Math" w:cs="Times New Roman"/>
              </w:rPr>
              <m:t>Y</m:t>
            </m:r>
            <m:ctrlPr>
              <w:rPr>
                <w:rFonts w:ascii="Cambria Math" w:hAnsi="Cambria Math" w:cs="Times New Roman"/>
              </w:rPr>
            </m:ctrlPr>
          </m:e>
          <m:e>
            <m:r>
              <w:rPr>
                <w:rFonts w:ascii="Cambria Math" w:hAnsi="Cambria Math" w:cs="Times New Roman"/>
              </w:rPr>
              <m:t>X</m:t>
            </m:r>
            <m:ctrlPr>
              <w:rPr>
                <w:rFonts w:ascii="Cambria Math" w:hAnsi="Cambria Math" w:cs="Times New Roman"/>
              </w:rPr>
            </m:ctrlPr>
          </m:e>
        </m:d>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β</m:t>
            </m:r>
          </m:e>
          <m:sub>
            <m:r>
              <m:rPr>
                <m:sty m:val="p"/>
              </m:rPr>
              <w:rPr>
                <w:rFonts w:ascii="Cambria Math" w:hAnsi="Cambria Math" w:cs="Times New Roman"/>
              </w:rPr>
              <m:t>1</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2</m:t>
            </m:r>
          </m:sub>
        </m:sSub>
        <m:r>
          <w:rPr>
            <w:rFonts w:ascii="Cambria Math" w:hAnsi="Cambria Math" w:cs="Times New Roman"/>
          </w:rPr>
          <m:t>*TS</m:t>
        </m:r>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t</m:t>
            </m:r>
          </m:sub>
        </m:sSub>
        <m:r>
          <w:rPr>
            <w:rFonts w:ascii="Cambria Math" w:hAnsi="Cambria Math" w:cs="Times New Roman"/>
          </w:rPr>
          <m:t>)</m:t>
        </m:r>
      </m:oMath>
      <w:r w:rsidR="00B34C76">
        <w:rPr>
          <w:rFonts w:eastAsia="DengXian Light" w:cs="Times New Roman"/>
        </w:rPr>
        <w:t>,</w:t>
      </w:r>
      <w:r w:rsidR="00B34C76" w:rsidRPr="00B34C76">
        <w:rPr>
          <w:rFonts w:eastAsia="DengXian Light" w:cs="Times New Roman"/>
        </w:rPr>
        <w:t xml:space="preserve"> where </w:t>
      </w:r>
      <m:oMath>
        <m:sSub>
          <m:sSubPr>
            <m:ctrlPr>
              <w:rPr>
                <w:rFonts w:ascii="Cambria Math" w:eastAsia="Calibri" w:hAnsi="Cambria Math" w:cs="Times New Roman"/>
                <w:i/>
              </w:rPr>
            </m:ctrlPr>
          </m:sSubPr>
          <m:e>
            <m:r>
              <w:rPr>
                <w:rFonts w:ascii="Cambria Math" w:hAnsi="Cambria Math" w:cs="Times New Roman"/>
              </w:rPr>
              <m:t>β</m:t>
            </m:r>
          </m:e>
          <m:sub>
            <m:r>
              <w:rPr>
                <w:rFonts w:ascii="Cambria Math" w:hAnsi="Cambria Math" w:cs="Times New Roman"/>
              </w:rPr>
              <m:t>1</m:t>
            </m:r>
          </m:sub>
        </m:sSub>
      </m:oMath>
      <w:r w:rsidRPr="00B34C76">
        <w:rPr>
          <w:rFonts w:cs="Times New Roman"/>
        </w:rPr>
        <w:t xml:space="preserve"> captures the baseline effect of </w:t>
      </w:r>
      <m:oMath>
        <m:r>
          <w:rPr>
            <w:rFonts w:ascii="Cambria Math" w:hAnsi="Cambria Math" w:cs="Times New Roman"/>
          </w:rPr>
          <m:t>Rang</m:t>
        </m:r>
        <m:sSub>
          <m:sSubPr>
            <m:ctrlPr>
              <w:rPr>
                <w:rFonts w:ascii="Cambria Math" w:eastAsia="Calibri" w:hAnsi="Cambria Math" w:cs="Times New Roman"/>
                <w:i/>
              </w:rPr>
            </m:ctrlPr>
          </m:sSubPr>
          <m:e>
            <m:r>
              <w:rPr>
                <w:rFonts w:ascii="Cambria Math" w:hAnsi="Cambria Math" w:cs="Times New Roman"/>
              </w:rPr>
              <m:t>e</m:t>
            </m:r>
          </m:e>
          <m:sub>
            <m:r>
              <w:rPr>
                <w:rFonts w:ascii="Cambria Math" w:hAnsi="Cambria Math" w:cs="Times New Roman"/>
              </w:rPr>
              <m:t>cst</m:t>
            </m:r>
          </m:sub>
        </m:sSub>
      </m:oMath>
      <w:r w:rsidRPr="00B34C76">
        <w:rPr>
          <w:rFonts w:cs="Times New Roman"/>
        </w:rPr>
        <w:t xml:space="preserve"> on establishment outcomes. </w:t>
      </w:r>
      <m:oMath>
        <m:sSub>
          <m:sSubPr>
            <m:ctrlPr>
              <w:rPr>
                <w:rFonts w:ascii="Cambria Math" w:eastAsia="Calibri" w:hAnsi="Cambria Math" w:cs="Times New Roman"/>
                <w:i/>
              </w:rPr>
            </m:ctrlPr>
          </m:sSubPr>
          <m:e>
            <m:r>
              <w:rPr>
                <w:rFonts w:ascii="Cambria Math" w:hAnsi="Cambria Math" w:cs="Times New Roman"/>
              </w:rPr>
              <m:t>β</m:t>
            </m:r>
          </m:e>
          <m:sub>
            <m:r>
              <w:rPr>
                <w:rFonts w:ascii="Cambria Math" w:hAnsi="Cambria Math" w:cs="Times New Roman"/>
              </w:rPr>
              <m:t>2</m:t>
            </m:r>
          </m:sub>
        </m:sSub>
      </m:oMath>
      <w:r w:rsidRPr="00B34C76">
        <w:rPr>
          <w:rFonts w:cs="Times New Roman"/>
        </w:rPr>
        <w:t xml:space="preserve"> reflects how the effect of </w:t>
      </w:r>
      <m:oMath>
        <m:r>
          <w:rPr>
            <w:rFonts w:ascii="Cambria Math" w:hAnsi="Cambria Math" w:cs="Times New Roman"/>
          </w:rPr>
          <m:t>Rang</m:t>
        </m:r>
        <m:sSub>
          <m:sSubPr>
            <m:ctrlPr>
              <w:rPr>
                <w:rFonts w:ascii="Cambria Math" w:eastAsia="Calibri" w:hAnsi="Cambria Math" w:cs="Times New Roman"/>
                <w:i/>
              </w:rPr>
            </m:ctrlPr>
          </m:sSubPr>
          <m:e>
            <m:r>
              <w:rPr>
                <w:rFonts w:ascii="Cambria Math" w:hAnsi="Cambria Math" w:cs="Times New Roman"/>
              </w:rPr>
              <m:t>e</m:t>
            </m:r>
          </m:e>
          <m:sub>
            <m:r>
              <w:rPr>
                <w:rFonts w:ascii="Cambria Math" w:hAnsi="Cambria Math" w:cs="Times New Roman"/>
              </w:rPr>
              <m:t>cst</m:t>
            </m:r>
          </m:sub>
        </m:sSub>
      </m:oMath>
      <w:r w:rsidRPr="00B34C76">
        <w:rPr>
          <w:rFonts w:cs="Times New Roman"/>
        </w:rPr>
        <w:t xml:space="preserve"> evolves over time through its interaction with </w:t>
      </w:r>
      <m:oMath>
        <m:r>
          <w:rPr>
            <w:rFonts w:ascii="Cambria Math" w:hAnsi="Cambria Math" w:cs="Times New Roman"/>
          </w:rPr>
          <m:t>TS</m:t>
        </m:r>
        <m:sSub>
          <m:sSubPr>
            <m:ctrlPr>
              <w:rPr>
                <w:rFonts w:ascii="Cambria Math" w:eastAsia="Calibri" w:hAnsi="Cambria Math" w:cs="Times New Roman"/>
                <w:i/>
              </w:rPr>
            </m:ctrlPr>
          </m:sSubPr>
          <m:e>
            <m:r>
              <w:rPr>
                <w:rFonts w:ascii="Cambria Math" w:hAnsi="Cambria Math" w:cs="Times New Roman"/>
              </w:rPr>
              <m:t>D</m:t>
            </m:r>
          </m:e>
          <m:sub>
            <m:r>
              <w:rPr>
                <w:rFonts w:ascii="Cambria Math" w:hAnsi="Cambria Math" w:cs="Times New Roman"/>
              </w:rPr>
              <m:t>t</m:t>
            </m:r>
          </m:sub>
        </m:sSub>
      </m:oMath>
      <w:r w:rsidRPr="00B34C76">
        <w:rPr>
          <w:rFonts w:cs="Times New Roman"/>
        </w:rPr>
        <w:t xml:space="preserve">, where </w:t>
      </w:r>
      <m:oMath>
        <m:r>
          <w:rPr>
            <w:rFonts w:ascii="Cambria Math" w:hAnsi="Cambria Math" w:cs="Times New Roman"/>
          </w:rPr>
          <m:t>TS</m:t>
        </m:r>
        <m:sSub>
          <m:sSubPr>
            <m:ctrlPr>
              <w:rPr>
                <w:rFonts w:ascii="Cambria Math" w:eastAsia="Calibri" w:hAnsi="Cambria Math" w:cs="Times New Roman"/>
                <w:i/>
              </w:rPr>
            </m:ctrlPr>
          </m:sSubPr>
          <m:e>
            <m:r>
              <w:rPr>
                <w:rFonts w:ascii="Cambria Math" w:hAnsi="Cambria Math" w:cs="Times New Roman"/>
              </w:rPr>
              <m:t>D</m:t>
            </m:r>
          </m:e>
          <m:sub>
            <m:r>
              <w:rPr>
                <w:rFonts w:ascii="Cambria Math" w:hAnsi="Cambria Math" w:cs="Times New Roman"/>
              </w:rPr>
              <m:t>t</m:t>
            </m:r>
          </m:sub>
        </m:sSub>
      </m:oMath>
      <w:r w:rsidRPr="00B34C76">
        <w:rPr>
          <w:rFonts w:cs="Times New Roman"/>
        </w:rPr>
        <w:t xml:space="preserve"> is the time since delisting.</w:t>
      </w:r>
    </w:p>
    <w:p w14:paraId="2EFDE808" w14:textId="3EDB9FB0" w:rsidR="00D61046" w:rsidRPr="00B34C76" w:rsidRDefault="00D61046" w:rsidP="00B34C76">
      <w:pPr>
        <w:keepNext/>
        <w:keepLines/>
        <w:widowControl w:val="0"/>
        <w:outlineLvl w:val="4"/>
        <w:rPr>
          <w:rFonts w:cs="Times New Roman"/>
        </w:rPr>
      </w:pPr>
      <w:r w:rsidRPr="00B34C76">
        <w:rPr>
          <w:rFonts w:eastAsia="DengXian Light" w:cs="Times New Roman"/>
        </w:rPr>
        <w:t xml:space="preserve">The marginal effect of </w:t>
      </w:r>
      <m:oMath>
        <m:r>
          <w:rPr>
            <w:rFonts w:ascii="Cambria Math" w:eastAsia="DengXian Light" w:hAnsi="Cambria Math" w:cs="Times New Roman"/>
          </w:rPr>
          <m:t>TS</m:t>
        </m:r>
        <m:sSub>
          <m:sSubPr>
            <m:ctrlPr>
              <w:rPr>
                <w:rFonts w:ascii="Cambria Math" w:eastAsia="DengXian Light" w:hAnsi="Cambria Math" w:cs="Times New Roman"/>
              </w:rPr>
            </m:ctrlPr>
          </m:sSubPr>
          <m:e>
            <m:r>
              <w:rPr>
                <w:rFonts w:ascii="Cambria Math" w:eastAsia="DengXian Light" w:hAnsi="Cambria Math" w:cs="Times New Roman"/>
              </w:rPr>
              <m:t>D</m:t>
            </m:r>
          </m:e>
          <m:sub>
            <m:r>
              <w:rPr>
                <w:rFonts w:ascii="Cambria Math" w:eastAsia="DengXian Light" w:hAnsi="Cambria Math" w:cs="Times New Roman"/>
              </w:rPr>
              <m:t>t</m:t>
            </m:r>
          </m:sub>
        </m:sSub>
      </m:oMath>
      <w:r w:rsidRPr="00B34C76">
        <w:rPr>
          <w:rFonts w:eastAsia="DengXian Light" w:cs="Times New Roman"/>
        </w:rPr>
        <w:t>, which is given by:</w:t>
      </w:r>
      <w:r w:rsidR="00B34C76" w:rsidRPr="00B34C76">
        <w:rPr>
          <w:rFonts w:eastAsia="DengXian Light" w:cs="Times New Roman"/>
        </w:rPr>
        <w:t xml:space="preserve"> </w:t>
      </w:r>
      <m:oMath>
        <m:f>
          <m:fPr>
            <m:ctrlPr>
              <w:rPr>
                <w:rFonts w:ascii="Cambria Math" w:hAnsi="Cambria Math" w:cs="Times New Roman"/>
                <w:i/>
              </w:rPr>
            </m:ctrlPr>
          </m:fPr>
          <m:num>
            <m:r>
              <w:rPr>
                <w:rFonts w:ascii="Cambria Math" w:hAnsi="Cambria Math" w:cs="Times New Roman"/>
              </w:rPr>
              <m:t>∂E</m:t>
            </m:r>
            <m:d>
              <m:dPr>
                <m:begChr m:val="["/>
                <m:endChr m:val="]"/>
                <m:ctrlPr>
                  <w:rPr>
                    <w:rFonts w:ascii="Cambria Math" w:hAnsi="Cambria Math" w:cs="Times New Roman"/>
                    <w:i/>
                  </w:rPr>
                </m:ctrlPr>
              </m:dPr>
              <m:e>
                <m:r>
                  <w:rPr>
                    <w:rFonts w:ascii="Cambria Math" w:hAnsi="Cambria Math" w:cs="Times New Roman"/>
                  </w:rPr>
                  <m:t>Y</m:t>
                </m:r>
              </m:e>
              <m:e>
                <m:r>
                  <w:rPr>
                    <w:rFonts w:ascii="Cambria Math" w:hAnsi="Cambria Math" w:cs="Times New Roman"/>
                  </w:rPr>
                  <m:t>X</m:t>
                </m:r>
              </m:e>
            </m:d>
          </m:num>
          <m:den>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TSD</m:t>
                </m:r>
              </m:e>
              <m:sub>
                <m:r>
                  <w:rPr>
                    <w:rFonts w:ascii="Cambria Math" w:hAnsi="Cambria Math" w:cs="Times New Roman"/>
                  </w:rPr>
                  <m:t>t</m:t>
                </m:r>
              </m:sub>
            </m:sSub>
          </m:den>
        </m:f>
        <m:r>
          <w:rPr>
            <w:rFonts w:ascii="Cambria Math" w:hAnsi="Cambria Math" w:cs="Times New Roman"/>
          </w:rPr>
          <m:t>=E</m:t>
        </m:r>
        <m:d>
          <m:dPr>
            <m:begChr m:val="["/>
            <m:sepChr m:val="∣"/>
            <m:endChr m:val="]"/>
            <m:ctrlPr>
              <w:rPr>
                <w:rFonts w:ascii="Cambria Math" w:hAnsi="Cambria Math" w:cs="Times New Roman"/>
                <w:i/>
              </w:rPr>
            </m:ctrlPr>
          </m:dPr>
          <m:e>
            <m:r>
              <m:rPr>
                <m:sty m:val="p"/>
              </m:rPr>
              <w:rPr>
                <w:rFonts w:ascii="Cambria Math" w:hAnsi="Cambria Math" w:cs="Times New Roman"/>
              </w:rPr>
              <m:t>Y</m:t>
            </m:r>
            <m:ctrlPr>
              <w:rPr>
                <w:rFonts w:ascii="Cambria Math" w:hAnsi="Cambria Math" w:cs="Times New Roman"/>
              </w:rPr>
            </m:ctrlPr>
          </m:e>
          <m:e>
            <m:r>
              <w:rPr>
                <w:rFonts w:ascii="Cambria Math" w:hAnsi="Cambria Math" w:cs="Times New Roman"/>
              </w:rPr>
              <m:t>X</m:t>
            </m:r>
            <m:ctrlPr>
              <w:rPr>
                <w:rFonts w:ascii="Cambria Math" w:hAnsi="Cambria Math" w:cs="Times New Roman"/>
              </w:rPr>
            </m:ctrlPr>
          </m:e>
        </m:d>
        <m:r>
          <m:rPr>
            <m:sty m:val="p"/>
          </m:rP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2</m:t>
            </m:r>
          </m:sub>
        </m:sSub>
        <m:r>
          <w:rPr>
            <w:rFonts w:ascii="Cambria Math" w:hAnsi="Cambria Math" w:cs="Times New Roman"/>
          </w:rPr>
          <m:t>*Rang</m:t>
        </m:r>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cst</m:t>
            </m:r>
          </m:sub>
        </m:sSub>
        <m:r>
          <w:rPr>
            <w:rFonts w:ascii="Cambria Math" w:hAnsi="Cambria Math" w:cs="Times New Roman"/>
          </w:rPr>
          <m:t>)</m:t>
        </m:r>
      </m:oMath>
      <w:r w:rsidR="00B34C76">
        <w:rPr>
          <w:rFonts w:eastAsia="DengXian Light" w:cs="Times New Roman"/>
        </w:rPr>
        <w:t>,</w:t>
      </w:r>
      <w:r w:rsidR="00B34C76">
        <w:rPr>
          <w:rFonts w:cs="Times New Roman"/>
        </w:rPr>
        <w:t xml:space="preserve"> w</w:t>
      </w:r>
      <w:r w:rsidRPr="00B34C76">
        <w:rPr>
          <w:rFonts w:cs="Times New Roman"/>
        </w:rPr>
        <w:t xml:space="preserve">here </w:t>
      </w:r>
      <m:oMath>
        <m:sSub>
          <m:sSubPr>
            <m:ctrlPr>
              <w:rPr>
                <w:rFonts w:ascii="Cambria Math" w:eastAsia="DengXian Light" w:hAnsi="Cambria Math" w:cs="Times New Roman"/>
                <w:i/>
              </w:rPr>
            </m:ctrlPr>
          </m:sSubPr>
          <m:e>
            <m:r>
              <w:rPr>
                <w:rFonts w:ascii="Cambria Math" w:hAnsi="Cambria Math" w:cs="Times New Roman"/>
              </w:rPr>
              <m:t>β</m:t>
            </m:r>
          </m:e>
          <m:sub>
            <m:r>
              <w:rPr>
                <w:rFonts w:ascii="Cambria Math" w:hAnsi="Cambria Math" w:cs="Times New Roman"/>
              </w:rPr>
              <m:t>2</m:t>
            </m:r>
          </m:sub>
        </m:sSub>
      </m:oMath>
      <w:r w:rsidRPr="00B34C76">
        <w:rPr>
          <w:rFonts w:cs="Times New Roman"/>
        </w:rPr>
        <w:t xml:space="preserve"> captures the temporal dynamics and </w:t>
      </w:r>
      <m:oMath>
        <m:r>
          <w:rPr>
            <w:rFonts w:ascii="Cambria Math" w:hAnsi="Cambria Math" w:cs="Times New Roman"/>
          </w:rPr>
          <m:t>Rang</m:t>
        </m:r>
        <m:sSub>
          <m:sSubPr>
            <m:ctrlPr>
              <w:rPr>
                <w:rFonts w:ascii="Cambria Math" w:eastAsia="DengXian Light" w:hAnsi="Cambria Math" w:cs="Times New Roman"/>
                <w:i/>
              </w:rPr>
            </m:ctrlPr>
          </m:sSubPr>
          <m:e>
            <m:r>
              <w:rPr>
                <w:rFonts w:ascii="Cambria Math" w:hAnsi="Cambria Math" w:cs="Times New Roman"/>
              </w:rPr>
              <m:t>e</m:t>
            </m:r>
          </m:e>
          <m:sub>
            <m:r>
              <w:rPr>
                <w:rFonts w:ascii="Cambria Math" w:hAnsi="Cambria Math" w:cs="Times New Roman"/>
              </w:rPr>
              <m:t>cst</m:t>
            </m:r>
          </m:sub>
        </m:sSub>
      </m:oMath>
      <w:r w:rsidRPr="00B34C76">
        <w:rPr>
          <w:rFonts w:cs="Times New Roman"/>
        </w:rPr>
        <w:t xml:space="preserve"> moderates the effect.</w:t>
      </w:r>
    </w:p>
    <w:p w14:paraId="5DBB58F1" w14:textId="763A50A5" w:rsidR="00D61046" w:rsidRPr="00D61046" w:rsidRDefault="006075E1" w:rsidP="001953BB">
      <w:pPr>
        <w:pStyle w:val="Heading4"/>
      </w:pPr>
      <w:bookmarkStart w:id="612" w:name="_Toc187789923"/>
      <w:r>
        <w:t>3.</w:t>
      </w:r>
      <w:r w:rsidR="00D61046" w:rsidRPr="00D61046">
        <w:t>6.</w:t>
      </w:r>
      <w:r w:rsidR="00895B67">
        <w:t>5</w:t>
      </w:r>
      <w:r w:rsidR="00D61046" w:rsidRPr="00D61046">
        <w:t>.2 Normalization for Simplification</w:t>
      </w:r>
      <w:bookmarkEnd w:id="612"/>
    </w:p>
    <w:p w14:paraId="774FEDD0" w14:textId="0A89E69A" w:rsidR="00D61046" w:rsidRPr="00D61046" w:rsidRDefault="00D61046" w:rsidP="009908F2">
      <w:pPr>
        <w:rPr>
          <w:rFonts w:eastAsia="Calibri" w:cs="Times New Roman"/>
        </w:rPr>
      </w:pPr>
      <w:r w:rsidRPr="00D61046">
        <w:rPr>
          <w:rFonts w:cs="Times New Roman"/>
          <w:lang/>
        </w:rPr>
        <w:t xml:space="preserve">In PPML models, the marginal effects are scaled by the expected value of the dependent variable </w:t>
      </w:r>
      <m:oMath>
        <m:r>
          <w:rPr>
            <w:rFonts w:ascii="Cambria Math" w:hAnsi="Cambria Math" w:cs="Times New Roman"/>
            <w:lang/>
          </w:rPr>
          <m:t>(E[Y∣X])</m:t>
        </m:r>
      </m:oMath>
      <w:r w:rsidRPr="00D61046">
        <w:rPr>
          <w:rFonts w:cs="Times New Roman"/>
        </w:rPr>
        <w:t>.</w:t>
      </w:r>
      <w:r w:rsidRPr="00D61046">
        <w:rPr>
          <w:rFonts w:cs="Times New Roman"/>
          <w:lang/>
        </w:rPr>
        <w:t xml:space="preserve"> To simplify this, normalization assumes </w:t>
      </w:r>
      <m:oMath>
        <m:r>
          <w:rPr>
            <w:rFonts w:ascii="Cambria Math" w:hAnsi="Cambria Math" w:cs="Times New Roman"/>
            <w:lang/>
          </w:rPr>
          <m:t>E[Y∣X]=1</m:t>
        </m:r>
      </m:oMath>
      <w:r w:rsidRPr="00D61046">
        <w:rPr>
          <w:rFonts w:cs="Times New Roman"/>
          <w:lang/>
        </w:rPr>
        <w:t xml:space="preserve">, allowing coefficients and marginal effects to be interpreted as semi-elasticities. Normalization standardizes the marginal effects, ensuring they are independent of the expected level of </w:t>
      </w:r>
      <m:oMath>
        <m:r>
          <w:rPr>
            <w:rFonts w:ascii="Cambria Math" w:hAnsi="Cambria Math" w:cs="Times New Roman"/>
            <w:lang/>
          </w:rPr>
          <m:t>Y</m:t>
        </m:r>
      </m:oMath>
      <w:r w:rsidRPr="00D61046">
        <w:rPr>
          <w:rFonts w:cs="Times New Roman"/>
          <w:lang/>
        </w:rPr>
        <w:t xml:space="preserve">. After normalization, coefficients represent the percentage change in </w:t>
      </w:r>
      <m:oMath>
        <m:r>
          <m:rPr>
            <m:sty m:val="bi"/>
          </m:rPr>
          <w:rPr>
            <w:rFonts w:ascii="Cambria Math" w:hAnsi="Cambria Math" w:cs="Times New Roman"/>
            <w:lang/>
          </w:rPr>
          <m:t>Y</m:t>
        </m:r>
      </m:oMath>
      <w:r w:rsidRPr="00D61046">
        <w:rPr>
          <w:rFonts w:cs="Times New Roman"/>
          <w:lang/>
        </w:rPr>
        <w:t xml:space="preserve"> for a unit change in an explanatory variable. </w:t>
      </w:r>
      <w:r w:rsidRPr="00D61046">
        <w:rPr>
          <w:rFonts w:cs="Times New Roman"/>
          <w:lang/>
        </w:rPr>
        <w:lastRenderedPageBreak/>
        <w:t>This approach is widely adopted in count data models and ensures comparability across observations and models.</w:t>
      </w:r>
      <w:r w:rsidRPr="00D61046">
        <w:rPr>
          <w:rFonts w:cs="Times New Roman"/>
        </w:rPr>
        <w:t xml:space="preserve"> Therefore</w:t>
      </w:r>
      <w:r w:rsidR="00B34C76">
        <w:rPr>
          <w:rFonts w:cs="Times New Roman"/>
        </w:rPr>
        <w:t>,</w:t>
      </w:r>
      <w:r w:rsidRPr="00D61046">
        <w:rPr>
          <w:rFonts w:cs="Times New Roman"/>
        </w:rPr>
        <w:t xml:space="preserve"> with normalization:</w:t>
      </w:r>
    </w:p>
    <w:p w14:paraId="0B29A6C4" w14:textId="1D1DF5C5" w:rsidR="00D61046" w:rsidRPr="00D61046" w:rsidRDefault="00D61046" w:rsidP="009908F2">
      <w:pPr>
        <w:rPr>
          <w:rFonts w:cs="Times New Roman"/>
        </w:rPr>
      </w:pPr>
      <m:oMath>
        <m:r>
          <w:rPr>
            <w:rFonts w:ascii="Cambria Math" w:hAnsi="Cambria Math" w:cs="Times New Roman"/>
          </w:rPr>
          <m:t>Marginal Effec</m:t>
        </m:r>
        <m:sSub>
          <m:sSubPr>
            <m:ctrlPr>
              <w:rPr>
                <w:rFonts w:ascii="Cambria Math" w:eastAsia="Calibri" w:hAnsi="Cambria Math" w:cs="Times New Roman"/>
                <w:i/>
              </w:rPr>
            </m:ctrlPr>
          </m:sSubPr>
          <m:e>
            <m:r>
              <w:rPr>
                <w:rFonts w:ascii="Cambria Math" w:hAnsi="Cambria Math" w:cs="Times New Roman"/>
              </w:rPr>
              <m:t>t</m:t>
            </m:r>
          </m:e>
          <m:sub>
            <m:r>
              <w:rPr>
                <w:rFonts w:ascii="Cambria Math" w:hAnsi="Cambria Math" w:cs="Times New Roman"/>
              </w:rPr>
              <m:t>Range</m:t>
            </m:r>
          </m:sub>
        </m:sSub>
        <m:r>
          <w:rPr>
            <w:rFonts w:ascii="Cambria Math" w:hAnsi="Cambria Math" w:cs="Times New Roman"/>
          </w:rPr>
          <m:t>=</m:t>
        </m:r>
        <m:sSub>
          <m:sSubPr>
            <m:ctrlPr>
              <w:rPr>
                <w:rFonts w:ascii="Cambria Math" w:eastAsia="Calibri" w:hAnsi="Cambria Math" w:cs="Times New Roman"/>
                <w:i/>
              </w:rPr>
            </m:ctrlPr>
          </m:sSubPr>
          <m:e>
            <m:r>
              <w:rPr>
                <w:rFonts w:ascii="Cambria Math" w:hAnsi="Cambria Math" w:cs="Times New Roman"/>
              </w:rPr>
              <m:t>β</m:t>
            </m:r>
          </m:e>
          <m:sub>
            <m:r>
              <w:rPr>
                <w:rFonts w:ascii="Cambria Math" w:hAnsi="Cambria Math" w:cs="Times New Roman"/>
              </w:rPr>
              <m:t>1</m:t>
            </m:r>
          </m:sub>
        </m:sSub>
        <m:r>
          <w:rPr>
            <w:rFonts w:ascii="Cambria Math" w:hAnsi="Cambria Math" w:cs="Times New Roman"/>
          </w:rPr>
          <m:t>+</m:t>
        </m:r>
        <m:sSub>
          <m:sSubPr>
            <m:ctrlPr>
              <w:rPr>
                <w:rFonts w:ascii="Cambria Math" w:eastAsia="Calibri" w:hAnsi="Cambria Math" w:cs="Times New Roman"/>
                <w:i/>
              </w:rPr>
            </m:ctrlPr>
          </m:sSubPr>
          <m:e>
            <m:r>
              <w:rPr>
                <w:rFonts w:ascii="Cambria Math" w:hAnsi="Cambria Math" w:cs="Times New Roman"/>
              </w:rPr>
              <m:t>β</m:t>
            </m:r>
          </m:e>
          <m:sub>
            <m:r>
              <w:rPr>
                <w:rFonts w:ascii="Cambria Math" w:hAnsi="Cambria Math" w:cs="Times New Roman"/>
              </w:rPr>
              <m:t>2</m:t>
            </m:r>
          </m:sub>
        </m:sSub>
        <m:r>
          <w:rPr>
            <w:rFonts w:ascii="Cambria Math" w:hAnsi="Cambria Math" w:cs="Times New Roman"/>
          </w:rPr>
          <m:t>*TS</m:t>
        </m:r>
        <m:sSub>
          <m:sSubPr>
            <m:ctrlPr>
              <w:rPr>
                <w:rFonts w:ascii="Cambria Math" w:eastAsia="Calibri" w:hAnsi="Cambria Math" w:cs="Times New Roman"/>
                <w:i/>
              </w:rPr>
            </m:ctrlPr>
          </m:sSubPr>
          <m:e>
            <m:r>
              <w:rPr>
                <w:rFonts w:ascii="Cambria Math" w:hAnsi="Cambria Math" w:cs="Times New Roman"/>
              </w:rPr>
              <m:t>D</m:t>
            </m:r>
          </m:e>
          <m:sub>
            <m:r>
              <w:rPr>
                <w:rFonts w:ascii="Cambria Math" w:hAnsi="Cambria Math" w:cs="Times New Roman"/>
              </w:rPr>
              <m:t>t</m:t>
            </m:r>
          </m:sub>
        </m:sSub>
      </m:oMath>
      <w:r w:rsidRPr="00D61046">
        <w:rPr>
          <w:rFonts w:cs="Times New Roman"/>
        </w:rPr>
        <w:t xml:space="preserve">  and  </w:t>
      </w:r>
      <m:oMath>
        <m:r>
          <w:rPr>
            <w:rFonts w:ascii="Cambria Math" w:hAnsi="Cambria Math" w:cs="Times New Roman"/>
          </w:rPr>
          <m:t>Marginal Effec</m:t>
        </m:r>
        <m:sSub>
          <m:sSubPr>
            <m:ctrlPr>
              <w:rPr>
                <w:rFonts w:ascii="Cambria Math" w:eastAsia="Calibri" w:hAnsi="Cambria Math" w:cs="Times New Roman"/>
                <w:i/>
              </w:rPr>
            </m:ctrlPr>
          </m:sSubPr>
          <m:e>
            <m:r>
              <w:rPr>
                <w:rFonts w:ascii="Cambria Math" w:hAnsi="Cambria Math" w:cs="Times New Roman"/>
              </w:rPr>
              <m:t>t</m:t>
            </m:r>
          </m:e>
          <m:sub>
            <m:r>
              <w:rPr>
                <w:rFonts w:ascii="Cambria Math" w:hAnsi="Cambria Math" w:cs="Times New Roman"/>
              </w:rPr>
              <m:t>TSD</m:t>
            </m:r>
          </m:sub>
        </m:sSub>
        <m:r>
          <w:rPr>
            <w:rFonts w:ascii="Cambria Math" w:hAnsi="Cambria Math" w:cs="Times New Roman"/>
          </w:rPr>
          <m:t>=</m:t>
        </m:r>
        <m:sSub>
          <m:sSubPr>
            <m:ctrlPr>
              <w:rPr>
                <w:rFonts w:ascii="Cambria Math" w:eastAsia="Calibri" w:hAnsi="Cambria Math" w:cs="Times New Roman"/>
                <w:i/>
              </w:rPr>
            </m:ctrlPr>
          </m:sSubPr>
          <m:e>
            <m:r>
              <w:rPr>
                <w:rFonts w:ascii="Cambria Math" w:hAnsi="Cambria Math" w:cs="Times New Roman"/>
              </w:rPr>
              <m:t>β</m:t>
            </m:r>
          </m:e>
          <m:sub>
            <m:r>
              <w:rPr>
                <w:rFonts w:ascii="Cambria Math" w:hAnsi="Cambria Math" w:cs="Times New Roman"/>
              </w:rPr>
              <m:t>2</m:t>
            </m:r>
          </m:sub>
        </m:sSub>
        <m:r>
          <w:rPr>
            <w:rFonts w:ascii="Cambria Math" w:hAnsi="Cambria Math" w:cs="Times New Roman"/>
          </w:rPr>
          <m:t>*Rang</m:t>
        </m:r>
        <m:sSub>
          <m:sSubPr>
            <m:ctrlPr>
              <w:rPr>
                <w:rFonts w:ascii="Cambria Math" w:eastAsia="Calibri" w:hAnsi="Cambria Math" w:cs="Times New Roman"/>
                <w:i/>
              </w:rPr>
            </m:ctrlPr>
          </m:sSubPr>
          <m:e>
            <m:r>
              <w:rPr>
                <w:rFonts w:ascii="Cambria Math" w:hAnsi="Cambria Math" w:cs="Times New Roman"/>
              </w:rPr>
              <m:t>e</m:t>
            </m:r>
          </m:e>
          <m:sub>
            <m:r>
              <w:rPr>
                <w:rFonts w:ascii="Cambria Math" w:hAnsi="Cambria Math" w:cs="Times New Roman"/>
              </w:rPr>
              <m:t>cst</m:t>
            </m:r>
          </m:sub>
        </m:sSub>
      </m:oMath>
    </w:p>
    <w:p w14:paraId="57EF542A" w14:textId="77777777" w:rsidR="00D61046" w:rsidRPr="00D61046" w:rsidRDefault="00D61046" w:rsidP="009908F2">
      <w:pPr>
        <w:rPr>
          <w:rFonts w:cs="Times New Roman"/>
          <w:lang/>
        </w:rPr>
      </w:pPr>
      <w:r w:rsidRPr="00D61046">
        <w:rPr>
          <w:rFonts w:cs="Times New Roman"/>
          <w:lang/>
        </w:rPr>
        <w:t>This allows coefficients to be interpreted as semi-elasticities, where</w:t>
      </w:r>
      <m:oMath>
        <m:sSub>
          <m:sSubPr>
            <m:ctrlPr>
              <w:rPr>
                <w:rFonts w:ascii="Cambria Math" w:eastAsia="Calibri" w:hAnsi="Cambria Math" w:cs="Times New Roman"/>
                <w:i/>
                <w:lang/>
              </w:rPr>
            </m:ctrlPr>
          </m:sSubPr>
          <m:e>
            <m:r>
              <w:rPr>
                <w:rFonts w:ascii="Cambria Math" w:hAnsi="Cambria Math" w:cs="Times New Roman"/>
                <w:lang/>
              </w:rPr>
              <m:t>β</m:t>
            </m:r>
          </m:e>
          <m:sub>
            <m:r>
              <w:rPr>
                <w:rFonts w:ascii="Cambria Math" w:hAnsi="Cambria Math" w:cs="Times New Roman"/>
                <w:lang/>
              </w:rPr>
              <m:t>1</m:t>
            </m:r>
          </m:sub>
        </m:sSub>
      </m:oMath>
      <w:r w:rsidRPr="00D61046">
        <w:rPr>
          <w:rFonts w:cs="Times New Roman"/>
          <w:lang/>
        </w:rPr>
        <w:t xml:space="preserve"> represents the percentage change in </w:t>
      </w:r>
      <m:oMath>
        <m:r>
          <w:rPr>
            <w:rFonts w:ascii="Cambria Math" w:hAnsi="Cambria Math" w:cs="Times New Roman"/>
            <w:lang/>
          </w:rPr>
          <m:t>Y</m:t>
        </m:r>
      </m:oMath>
      <w:r w:rsidRPr="00D61046">
        <w:rPr>
          <w:rFonts w:cs="Times New Roman"/>
          <w:lang/>
        </w:rPr>
        <w:t xml:space="preserve"> for a one-unit increase in </w:t>
      </w:r>
      <m:oMath>
        <m:r>
          <w:rPr>
            <w:rFonts w:ascii="Cambria Math" w:hAnsi="Cambria Math" w:cs="Times New Roman"/>
            <w:lang/>
          </w:rPr>
          <m:t>Rang</m:t>
        </m:r>
        <m:sSub>
          <m:sSubPr>
            <m:ctrlPr>
              <w:rPr>
                <w:rFonts w:ascii="Cambria Math" w:eastAsia="Calibri" w:hAnsi="Cambria Math" w:cs="Times New Roman"/>
                <w:i/>
                <w:lang/>
              </w:rPr>
            </m:ctrlPr>
          </m:sSubPr>
          <m:e>
            <m:r>
              <w:rPr>
                <w:rFonts w:ascii="Cambria Math" w:hAnsi="Cambria Math" w:cs="Times New Roman"/>
                <w:lang/>
              </w:rPr>
              <m:t>e</m:t>
            </m:r>
          </m:e>
          <m:sub>
            <m:r>
              <w:rPr>
                <w:rFonts w:ascii="Cambria Math" w:hAnsi="Cambria Math" w:cs="Times New Roman"/>
                <w:lang/>
              </w:rPr>
              <m:t>cst</m:t>
            </m:r>
          </m:sub>
        </m:sSub>
      </m:oMath>
      <w:r w:rsidRPr="00D61046">
        <w:rPr>
          <w:rFonts w:cs="Times New Roman"/>
          <w:lang/>
        </w:rPr>
        <w:t>​ (e.g., moving from 0 to 1 in the binary case or a 1-percentage-point increase in the proportional case).</w:t>
      </w:r>
      <w:r w:rsidRPr="00D61046">
        <w:rPr>
          <w:rFonts w:cs="Times New Roman"/>
        </w:rPr>
        <w:t xml:space="preserve"> And </w:t>
      </w:r>
      <m:oMath>
        <m:sSub>
          <m:sSubPr>
            <m:ctrlPr>
              <w:rPr>
                <w:rFonts w:ascii="Cambria Math" w:eastAsia="Calibri" w:hAnsi="Cambria Math" w:cs="Times New Roman"/>
                <w:i/>
                <w:lang/>
              </w:rPr>
            </m:ctrlPr>
          </m:sSubPr>
          <m:e>
            <m:r>
              <w:rPr>
                <w:rFonts w:ascii="Cambria Math" w:hAnsi="Cambria Math" w:cs="Times New Roman"/>
                <w:lang/>
              </w:rPr>
              <m:t>β</m:t>
            </m:r>
          </m:e>
          <m:sub>
            <m:r>
              <w:rPr>
                <w:rFonts w:ascii="Cambria Math" w:hAnsi="Cambria Math" w:cs="Times New Roman"/>
                <w:lang/>
              </w:rPr>
              <m:t>2</m:t>
            </m:r>
          </m:sub>
        </m:sSub>
      </m:oMath>
      <w:r w:rsidRPr="00D61046">
        <w:rPr>
          <w:rFonts w:cs="Times New Roman"/>
          <w:lang/>
        </w:rPr>
        <w:t xml:space="preserve"> represents the percentage change in </w:t>
      </w:r>
      <m:oMath>
        <m:r>
          <w:rPr>
            <w:rFonts w:ascii="Cambria Math" w:hAnsi="Cambria Math" w:cs="Times New Roman"/>
            <w:lang/>
          </w:rPr>
          <m:t>Y</m:t>
        </m:r>
      </m:oMath>
      <w:r w:rsidRPr="00D61046">
        <w:rPr>
          <w:rFonts w:cs="Times New Roman"/>
          <w:lang/>
        </w:rPr>
        <w:t xml:space="preserve"> for a one-unit increase in </w:t>
      </w:r>
      <m:oMath>
        <m:r>
          <w:rPr>
            <w:rFonts w:ascii="Cambria Math" w:hAnsi="Cambria Math" w:cs="Times New Roman"/>
            <w:lang/>
          </w:rPr>
          <m:t>TS</m:t>
        </m:r>
        <m:sSub>
          <m:sSubPr>
            <m:ctrlPr>
              <w:rPr>
                <w:rFonts w:ascii="Cambria Math" w:eastAsia="Calibri" w:hAnsi="Cambria Math" w:cs="Times New Roman"/>
                <w:i/>
                <w:lang/>
              </w:rPr>
            </m:ctrlPr>
          </m:sSubPr>
          <m:e>
            <m:r>
              <w:rPr>
                <w:rFonts w:ascii="Cambria Math" w:hAnsi="Cambria Math" w:cs="Times New Roman"/>
                <w:lang/>
              </w:rPr>
              <m:t>D</m:t>
            </m:r>
          </m:e>
          <m:sub>
            <m:r>
              <w:rPr>
                <w:rFonts w:ascii="Cambria Math" w:hAnsi="Cambria Math" w:cs="Times New Roman"/>
                <w:lang/>
              </w:rPr>
              <m:t>t</m:t>
            </m:r>
          </m:sub>
        </m:sSub>
      </m:oMath>
      <w:r w:rsidRPr="00D61046">
        <w:rPr>
          <w:rFonts w:cs="Times New Roman"/>
          <w:lang/>
        </w:rPr>
        <w:t xml:space="preserve">​, moderated by </w:t>
      </w:r>
      <m:oMath>
        <m:r>
          <w:rPr>
            <w:rFonts w:ascii="Cambria Math" w:hAnsi="Cambria Math" w:cs="Times New Roman"/>
            <w:lang/>
          </w:rPr>
          <m:t>Rang</m:t>
        </m:r>
        <m:sSub>
          <m:sSubPr>
            <m:ctrlPr>
              <w:rPr>
                <w:rFonts w:ascii="Cambria Math" w:eastAsia="Calibri" w:hAnsi="Cambria Math" w:cs="Times New Roman"/>
                <w:i/>
                <w:lang/>
              </w:rPr>
            </m:ctrlPr>
          </m:sSubPr>
          <m:e>
            <m:r>
              <w:rPr>
                <w:rFonts w:ascii="Cambria Math" w:hAnsi="Cambria Math" w:cs="Times New Roman"/>
                <w:lang/>
              </w:rPr>
              <m:t>e</m:t>
            </m:r>
          </m:e>
          <m:sub>
            <m:r>
              <w:rPr>
                <w:rFonts w:ascii="Cambria Math" w:hAnsi="Cambria Math" w:cs="Times New Roman"/>
                <w:lang/>
              </w:rPr>
              <m:t>cst</m:t>
            </m:r>
          </m:sub>
        </m:sSub>
      </m:oMath>
      <w:r w:rsidRPr="00D61046">
        <w:rPr>
          <w:rFonts w:cs="Times New Roman"/>
          <w:lang/>
        </w:rPr>
        <w:t>​.</w:t>
      </w:r>
    </w:p>
    <w:p w14:paraId="137CBA7C" w14:textId="204795B1" w:rsidR="00D61046" w:rsidRPr="00D61046" w:rsidRDefault="006075E1" w:rsidP="001953BB">
      <w:pPr>
        <w:pStyle w:val="Heading4"/>
      </w:pPr>
      <w:bookmarkStart w:id="613" w:name="_Toc187789924"/>
      <w:r>
        <w:t>3.</w:t>
      </w:r>
      <w:r w:rsidR="00D61046" w:rsidRPr="00D61046">
        <w:t>6.</w:t>
      </w:r>
      <w:r w:rsidR="00895B67">
        <w:t>5</w:t>
      </w:r>
      <w:r w:rsidR="00D61046" w:rsidRPr="00D61046">
        <w:t>.3 Context-Specific Interpretation</w:t>
      </w:r>
      <w:bookmarkEnd w:id="613"/>
    </w:p>
    <w:p w14:paraId="330AD7C0" w14:textId="77777777" w:rsidR="00D61046" w:rsidRPr="00D61046" w:rsidRDefault="00D61046" w:rsidP="009908F2">
      <w:pPr>
        <w:rPr>
          <w:rFonts w:cs="Times New Roman"/>
        </w:rPr>
      </w:pPr>
      <w:r w:rsidRPr="00D61046">
        <w:rPr>
          <w:rFonts w:cs="Times New Roman"/>
          <w:lang/>
        </w:rPr>
        <w:t xml:space="preserve">When </w:t>
      </w:r>
      <m:oMath>
        <m:r>
          <w:rPr>
            <w:rFonts w:ascii="Cambria Math" w:hAnsi="Cambria Math" w:cs="Times New Roman"/>
            <w:lang/>
          </w:rPr>
          <m:t>Rang</m:t>
        </m:r>
        <m:sSub>
          <m:sSubPr>
            <m:ctrlPr>
              <w:rPr>
                <w:rFonts w:ascii="Cambria Math" w:eastAsia="Calibri" w:hAnsi="Cambria Math" w:cs="Times New Roman"/>
                <w:i/>
                <w:lang/>
              </w:rPr>
            </m:ctrlPr>
          </m:sSubPr>
          <m:e>
            <m:r>
              <w:rPr>
                <w:rFonts w:ascii="Cambria Math" w:hAnsi="Cambria Math" w:cs="Times New Roman"/>
                <w:lang/>
              </w:rPr>
              <m:t>e</m:t>
            </m:r>
          </m:e>
          <m:sub>
            <m:r>
              <w:rPr>
                <w:rFonts w:ascii="Cambria Math" w:hAnsi="Cambria Math" w:cs="Times New Roman"/>
                <w:lang/>
              </w:rPr>
              <m:t>cst</m:t>
            </m:r>
          </m:sub>
        </m:sSub>
      </m:oMath>
      <w:r w:rsidRPr="00D61046">
        <w:rPr>
          <w:rFonts w:cs="Times New Roman"/>
          <w:lang/>
        </w:rPr>
        <w:t xml:space="preserve"> is binary (1 = within range, 0 = outside range)</w:t>
      </w:r>
      <w:r w:rsidRPr="00D61046">
        <w:rPr>
          <w:rFonts w:cs="Times New Roman"/>
        </w:rPr>
        <w:t xml:space="preserve">, </w:t>
      </w:r>
      <m:oMath>
        <m:sSub>
          <m:sSubPr>
            <m:ctrlPr>
              <w:rPr>
                <w:rFonts w:ascii="Cambria Math" w:eastAsia="Calibri" w:hAnsi="Cambria Math" w:cs="Times New Roman"/>
                <w:i/>
                <w:lang/>
              </w:rPr>
            </m:ctrlPr>
          </m:sSubPr>
          <m:e>
            <m:r>
              <w:rPr>
                <w:rFonts w:ascii="Cambria Math" w:hAnsi="Cambria Math" w:cs="Times New Roman"/>
                <w:lang/>
              </w:rPr>
              <m:t>β</m:t>
            </m:r>
          </m:e>
          <m:sub>
            <m:r>
              <w:rPr>
                <w:rFonts w:ascii="Cambria Math" w:hAnsi="Cambria Math" w:cs="Times New Roman"/>
                <w:lang/>
              </w:rPr>
              <m:t>1</m:t>
            </m:r>
          </m:sub>
        </m:sSub>
      </m:oMath>
      <w:r w:rsidRPr="00D61046">
        <w:rPr>
          <w:rFonts w:cs="Times New Roman"/>
          <w:b/>
          <w:lang/>
        </w:rPr>
        <w:t xml:space="preserve"> </w:t>
      </w:r>
      <w:r w:rsidRPr="00D61046">
        <w:rPr>
          <w:rFonts w:cs="Times New Roman"/>
          <w:lang/>
        </w:rPr>
        <w:t>measures the baseline spatial effect of being within the bear’s range</w:t>
      </w:r>
      <w:r w:rsidRPr="00D61046">
        <w:rPr>
          <w:rFonts w:cs="Times New Roman"/>
        </w:rPr>
        <w:t xml:space="preserve">, and </w:t>
      </w:r>
      <m:oMath>
        <m:sSub>
          <m:sSubPr>
            <m:ctrlPr>
              <w:rPr>
                <w:rFonts w:ascii="Cambria Math" w:eastAsia="Calibri" w:hAnsi="Cambria Math" w:cs="Times New Roman"/>
                <w:i/>
                <w:lang/>
              </w:rPr>
            </m:ctrlPr>
          </m:sSubPr>
          <m:e>
            <m:r>
              <w:rPr>
                <w:rFonts w:ascii="Cambria Math" w:hAnsi="Cambria Math" w:cs="Times New Roman"/>
                <w:lang/>
              </w:rPr>
              <m:t>β</m:t>
            </m:r>
          </m:e>
          <m:sub>
            <m:r>
              <w:rPr>
                <w:rFonts w:ascii="Cambria Math" w:hAnsi="Cambria Math" w:cs="Times New Roman"/>
                <w:lang/>
              </w:rPr>
              <m:t>2</m:t>
            </m:r>
          </m:sub>
        </m:sSub>
      </m:oMath>
      <w:r w:rsidRPr="00D61046">
        <w:rPr>
          <w:rFonts w:cs="Times New Roman"/>
          <w:lang/>
        </w:rPr>
        <w:t xml:space="preserve"> captures how the baseline effect evolves over time as </w:t>
      </w:r>
      <m:oMath>
        <m:r>
          <m:rPr>
            <m:sty m:val="bi"/>
          </m:rPr>
          <w:rPr>
            <w:rFonts w:ascii="Cambria Math" w:hAnsi="Cambria Math" w:cs="Times New Roman"/>
          </w:rPr>
          <m:t>TS</m:t>
        </m:r>
        <m:sSub>
          <m:sSubPr>
            <m:ctrlPr>
              <w:rPr>
                <w:rFonts w:ascii="Cambria Math" w:eastAsia="Calibri" w:hAnsi="Cambria Math" w:cs="Times New Roman"/>
                <w:i/>
              </w:rPr>
            </m:ctrlPr>
          </m:sSubPr>
          <m:e>
            <m:r>
              <m:rPr>
                <m:sty m:val="bi"/>
              </m:rPr>
              <w:rPr>
                <w:rFonts w:ascii="Cambria Math" w:hAnsi="Cambria Math" w:cs="Times New Roman"/>
              </w:rPr>
              <m:t>D</m:t>
            </m:r>
          </m:e>
          <m:sub>
            <m:r>
              <m:rPr>
                <m:sty m:val="bi"/>
              </m:rPr>
              <w:rPr>
                <w:rFonts w:ascii="Cambria Math" w:hAnsi="Cambria Math" w:cs="Times New Roman"/>
              </w:rPr>
              <m:t>t</m:t>
            </m:r>
          </m:sub>
        </m:sSub>
      </m:oMath>
      <w:r w:rsidRPr="00D61046">
        <w:rPr>
          <w:rFonts w:cs="Times New Roman"/>
          <w:lang/>
        </w:rPr>
        <w:t>​ increases.</w:t>
      </w:r>
      <w:r w:rsidRPr="00D61046">
        <w:rPr>
          <w:rFonts w:cs="Times New Roman"/>
        </w:rPr>
        <w:t xml:space="preserve"> The </w:t>
      </w:r>
      <w:r w:rsidRPr="00D61046">
        <w:rPr>
          <w:rFonts w:cs="Times New Roman"/>
          <w:lang/>
        </w:rPr>
        <w:t xml:space="preserve">total effect of </w:t>
      </w:r>
      <m:oMath>
        <m:r>
          <w:rPr>
            <w:rFonts w:ascii="Cambria Math" w:hAnsi="Cambria Math" w:cs="Times New Roman"/>
            <w:lang/>
          </w:rPr>
          <m:t>Rang</m:t>
        </m:r>
        <m:sSub>
          <m:sSubPr>
            <m:ctrlPr>
              <w:rPr>
                <w:rFonts w:ascii="Cambria Math" w:eastAsia="Calibri" w:hAnsi="Cambria Math" w:cs="Times New Roman"/>
                <w:i/>
                <w:lang/>
              </w:rPr>
            </m:ctrlPr>
          </m:sSubPr>
          <m:e>
            <m:r>
              <w:rPr>
                <w:rFonts w:ascii="Cambria Math" w:hAnsi="Cambria Math" w:cs="Times New Roman"/>
                <w:lang/>
              </w:rPr>
              <m:t>e</m:t>
            </m:r>
          </m:e>
          <m:sub>
            <m:r>
              <w:rPr>
                <w:rFonts w:ascii="Cambria Math" w:hAnsi="Cambria Math" w:cs="Times New Roman"/>
                <w:lang/>
              </w:rPr>
              <m:t>cst</m:t>
            </m:r>
          </m:sub>
        </m:sSub>
      </m:oMath>
      <w:r w:rsidRPr="00D61046">
        <w:rPr>
          <w:rFonts w:cs="Times New Roman"/>
        </w:rPr>
        <w:t xml:space="preserve"> is </w:t>
      </w:r>
      <m:oMath>
        <m:sSub>
          <m:sSubPr>
            <m:ctrlPr>
              <w:rPr>
                <w:rFonts w:ascii="Cambria Math" w:eastAsia="Calibri" w:hAnsi="Cambria Math" w:cs="Times New Roman"/>
                <w:i/>
                <w:lang/>
              </w:rPr>
            </m:ctrlPr>
          </m:sSubPr>
          <m:e>
            <m:r>
              <w:rPr>
                <w:rFonts w:ascii="Cambria Math" w:hAnsi="Cambria Math" w:cs="Times New Roman"/>
                <w:lang/>
              </w:rPr>
              <m:t>β</m:t>
            </m:r>
          </m:e>
          <m:sub>
            <m:r>
              <w:rPr>
                <w:rFonts w:ascii="Cambria Math" w:hAnsi="Cambria Math" w:cs="Times New Roman"/>
                <w:lang/>
              </w:rPr>
              <m:t>1</m:t>
            </m:r>
          </m:sub>
        </m:sSub>
        <m:r>
          <w:rPr>
            <w:rFonts w:ascii="Cambria Math" w:hAnsi="Cambria Math" w:cs="Times New Roman"/>
            <w:lang/>
          </w:rPr>
          <m:t>+</m:t>
        </m:r>
        <m:sSub>
          <m:sSubPr>
            <m:ctrlPr>
              <w:rPr>
                <w:rFonts w:ascii="Cambria Math" w:eastAsia="Calibri" w:hAnsi="Cambria Math" w:cs="Times New Roman"/>
                <w:i/>
                <w:lang/>
              </w:rPr>
            </m:ctrlPr>
          </m:sSubPr>
          <m:e>
            <m:r>
              <w:rPr>
                <w:rFonts w:ascii="Cambria Math" w:hAnsi="Cambria Math" w:cs="Times New Roman"/>
                <w:lang/>
              </w:rPr>
              <m:t>β</m:t>
            </m:r>
          </m:e>
          <m:sub>
            <m:r>
              <w:rPr>
                <w:rFonts w:ascii="Cambria Math" w:hAnsi="Cambria Math" w:cs="Times New Roman"/>
                <w:lang/>
              </w:rPr>
              <m:t>2</m:t>
            </m:r>
          </m:sub>
        </m:sSub>
        <m:r>
          <w:rPr>
            <w:rFonts w:ascii="Cambria Math" w:hAnsi="Cambria Math" w:cs="Times New Roman"/>
            <w:lang/>
          </w:rPr>
          <m:t>*TS</m:t>
        </m:r>
        <m:sSub>
          <m:sSubPr>
            <m:ctrlPr>
              <w:rPr>
                <w:rFonts w:ascii="Cambria Math" w:eastAsia="Calibri" w:hAnsi="Cambria Math" w:cs="Times New Roman"/>
                <w:i/>
                <w:lang/>
              </w:rPr>
            </m:ctrlPr>
          </m:sSubPr>
          <m:e>
            <m:r>
              <w:rPr>
                <w:rFonts w:ascii="Cambria Math" w:hAnsi="Cambria Math" w:cs="Times New Roman"/>
                <w:lang/>
              </w:rPr>
              <m:t>D</m:t>
            </m:r>
          </m:e>
          <m:sub>
            <m:r>
              <w:rPr>
                <w:rFonts w:ascii="Cambria Math" w:hAnsi="Cambria Math" w:cs="Times New Roman"/>
                <w:lang/>
              </w:rPr>
              <m:t>t</m:t>
            </m:r>
          </m:sub>
        </m:sSub>
      </m:oMath>
      <w:r w:rsidRPr="00D61046">
        <w:rPr>
          <w:rFonts w:cs="Times New Roman"/>
        </w:rPr>
        <w:t xml:space="preserve">, </w:t>
      </w:r>
      <w:r w:rsidRPr="00D61046">
        <w:rPr>
          <w:rFonts w:cs="Times New Roman"/>
          <w:lang/>
        </w:rPr>
        <w:t>which reflects the immediate and dynamic adjustments associated with habitat overlap.</w:t>
      </w:r>
    </w:p>
    <w:p w14:paraId="4203BD23" w14:textId="77777777" w:rsidR="00D61046" w:rsidRPr="00D61046" w:rsidRDefault="00D61046" w:rsidP="009908F2">
      <w:pPr>
        <w:rPr>
          <w:rFonts w:cs="Times New Roman"/>
        </w:rPr>
      </w:pPr>
      <w:r w:rsidRPr="00D61046">
        <w:rPr>
          <w:rFonts w:cs="Times New Roman"/>
          <w:lang/>
        </w:rPr>
        <w:t xml:space="preserve">When </w:t>
      </w:r>
      <m:oMath>
        <m:r>
          <w:rPr>
            <w:rFonts w:ascii="Cambria Math" w:hAnsi="Cambria Math" w:cs="Times New Roman"/>
            <w:lang/>
          </w:rPr>
          <m:t>Rang</m:t>
        </m:r>
        <m:sSub>
          <m:sSubPr>
            <m:ctrlPr>
              <w:rPr>
                <w:rFonts w:ascii="Cambria Math" w:eastAsia="Calibri" w:hAnsi="Cambria Math" w:cs="Times New Roman"/>
                <w:i/>
                <w:lang/>
              </w:rPr>
            </m:ctrlPr>
          </m:sSubPr>
          <m:e>
            <m:r>
              <w:rPr>
                <w:rFonts w:ascii="Cambria Math" w:hAnsi="Cambria Math" w:cs="Times New Roman"/>
                <w:lang/>
              </w:rPr>
              <m:t>e</m:t>
            </m:r>
          </m:e>
          <m:sub>
            <m:r>
              <w:rPr>
                <w:rFonts w:ascii="Cambria Math" w:hAnsi="Cambria Math" w:cs="Times New Roman"/>
                <w:lang/>
              </w:rPr>
              <m:t>cst</m:t>
            </m:r>
          </m:sub>
        </m:sSub>
      </m:oMath>
      <w:r w:rsidRPr="00D61046">
        <w:rPr>
          <w:rFonts w:cs="Times New Roman"/>
          <w:lang/>
        </w:rPr>
        <w:t xml:space="preserve"> is proportional (e.g., 10% overlap = 0.1)</w:t>
      </w:r>
      <w:r w:rsidRPr="00D61046">
        <w:rPr>
          <w:rFonts w:cs="Times New Roman"/>
        </w:rPr>
        <w:t xml:space="preserve">, </w:t>
      </w:r>
      <m:oMath>
        <m:sSub>
          <m:sSubPr>
            <m:ctrlPr>
              <w:rPr>
                <w:rFonts w:ascii="Cambria Math" w:eastAsia="Calibri" w:hAnsi="Cambria Math" w:cs="Times New Roman"/>
                <w:i/>
                <w:lang/>
              </w:rPr>
            </m:ctrlPr>
          </m:sSubPr>
          <m:e>
            <m:r>
              <w:rPr>
                <w:rFonts w:ascii="Cambria Math" w:hAnsi="Cambria Math" w:cs="Times New Roman"/>
                <w:lang/>
              </w:rPr>
              <m:t>β</m:t>
            </m:r>
          </m:e>
          <m:sub>
            <m:r>
              <w:rPr>
                <w:rFonts w:ascii="Cambria Math" w:hAnsi="Cambria Math" w:cs="Times New Roman"/>
                <w:lang/>
              </w:rPr>
              <m:t>1</m:t>
            </m:r>
          </m:sub>
        </m:sSub>
      </m:oMath>
      <w:r w:rsidRPr="00D61046">
        <w:rPr>
          <w:rFonts w:cs="Times New Roman"/>
          <w:lang/>
        </w:rPr>
        <w:t xml:space="preserve"> represents the percentage change in </w:t>
      </w:r>
      <m:oMath>
        <m:r>
          <w:rPr>
            <w:rFonts w:ascii="Cambria Math" w:hAnsi="Cambria Math" w:cs="Times New Roman"/>
            <w:lang/>
          </w:rPr>
          <m:t>Y</m:t>
        </m:r>
      </m:oMath>
      <w:r w:rsidRPr="00D61046">
        <w:rPr>
          <w:rFonts w:cs="Times New Roman"/>
          <w:lang/>
        </w:rPr>
        <w:t xml:space="preserve"> for a 1-percentage-point increase in </w:t>
      </w:r>
      <m:oMath>
        <m:r>
          <w:rPr>
            <w:rFonts w:ascii="Cambria Math" w:hAnsi="Cambria Math" w:cs="Times New Roman"/>
            <w:lang/>
          </w:rPr>
          <m:t>Rang</m:t>
        </m:r>
        <m:sSub>
          <m:sSubPr>
            <m:ctrlPr>
              <w:rPr>
                <w:rFonts w:ascii="Cambria Math" w:eastAsia="Calibri" w:hAnsi="Cambria Math" w:cs="Times New Roman"/>
                <w:i/>
                <w:lang/>
              </w:rPr>
            </m:ctrlPr>
          </m:sSubPr>
          <m:e>
            <m:r>
              <w:rPr>
                <w:rFonts w:ascii="Cambria Math" w:hAnsi="Cambria Math" w:cs="Times New Roman"/>
                <w:lang/>
              </w:rPr>
              <m:t>e</m:t>
            </m:r>
          </m:e>
          <m:sub>
            <m:r>
              <w:rPr>
                <w:rFonts w:ascii="Cambria Math" w:hAnsi="Cambria Math" w:cs="Times New Roman"/>
                <w:lang/>
              </w:rPr>
              <m:t>cst</m:t>
            </m:r>
          </m:sub>
        </m:sSub>
      </m:oMath>
      <w:r w:rsidRPr="00D61046">
        <w:rPr>
          <w:rFonts w:cs="Times New Roman"/>
        </w:rPr>
        <w:t>.</w:t>
      </w:r>
      <w:r w:rsidRPr="00D61046">
        <w:rPr>
          <w:rFonts w:cs="Times New Roman"/>
          <w:lang/>
        </w:rPr>
        <w:t xml:space="preserve"> For example, if </w:t>
      </w:r>
      <m:oMath>
        <m:sSub>
          <m:sSubPr>
            <m:ctrlPr>
              <w:rPr>
                <w:rFonts w:ascii="Cambria Math" w:eastAsia="Calibri" w:hAnsi="Cambria Math" w:cs="Times New Roman"/>
                <w:i/>
                <w:lang/>
              </w:rPr>
            </m:ctrlPr>
          </m:sSubPr>
          <m:e>
            <m:r>
              <w:rPr>
                <w:rFonts w:ascii="Cambria Math" w:hAnsi="Cambria Math" w:cs="Times New Roman"/>
                <w:lang/>
              </w:rPr>
              <m:t>β</m:t>
            </m:r>
          </m:e>
          <m:sub>
            <m:r>
              <w:rPr>
                <w:rFonts w:ascii="Cambria Math" w:hAnsi="Cambria Math" w:cs="Times New Roman"/>
                <w:lang/>
              </w:rPr>
              <m:t>1</m:t>
            </m:r>
          </m:sub>
        </m:sSub>
        <m:r>
          <w:rPr>
            <w:rFonts w:ascii="Cambria Math" w:hAnsi="Cambria Math" w:cs="Times New Roman"/>
            <w:lang/>
          </w:rPr>
          <m:t xml:space="preserve"> = 0.05</m:t>
        </m:r>
      </m:oMath>
      <w:r w:rsidRPr="00D61046">
        <w:rPr>
          <w:rFonts w:cs="Times New Roman"/>
        </w:rPr>
        <w:t>,</w:t>
      </w:r>
      <w:r w:rsidRPr="00D61046">
        <w:rPr>
          <w:rFonts w:cs="Times New Roman"/>
          <w:lang/>
        </w:rPr>
        <w:t xml:space="preserve"> a 1-percentage-point increase in </w:t>
      </w:r>
      <m:oMath>
        <m:r>
          <w:rPr>
            <w:rFonts w:ascii="Cambria Math" w:hAnsi="Cambria Math" w:cs="Times New Roman"/>
            <w:lang/>
          </w:rPr>
          <m:t>Rang</m:t>
        </m:r>
        <m:sSub>
          <m:sSubPr>
            <m:ctrlPr>
              <w:rPr>
                <w:rFonts w:ascii="Cambria Math" w:eastAsia="Calibri" w:hAnsi="Cambria Math" w:cs="Times New Roman"/>
                <w:i/>
                <w:lang/>
              </w:rPr>
            </m:ctrlPr>
          </m:sSubPr>
          <m:e>
            <m:r>
              <w:rPr>
                <w:rFonts w:ascii="Cambria Math" w:hAnsi="Cambria Math" w:cs="Times New Roman"/>
                <w:lang/>
              </w:rPr>
              <m:t>e</m:t>
            </m:r>
          </m:e>
          <m:sub>
            <m:r>
              <w:rPr>
                <w:rFonts w:ascii="Cambria Math" w:hAnsi="Cambria Math" w:cs="Times New Roman"/>
                <w:lang/>
              </w:rPr>
              <m:t>cst</m:t>
            </m:r>
          </m:sub>
        </m:sSub>
      </m:oMath>
      <w:r w:rsidRPr="00D61046">
        <w:rPr>
          <w:rFonts w:cs="Times New Roman"/>
          <w:b/>
          <w:lang/>
        </w:rPr>
        <w:t xml:space="preserve"> </w:t>
      </w:r>
      <w:r w:rsidRPr="00D61046">
        <w:rPr>
          <w:rFonts w:cs="Times New Roman"/>
          <w:lang/>
        </w:rPr>
        <w:t xml:space="preserve">leads to a 0.05% change in </w:t>
      </w:r>
      <m:oMath>
        <m:r>
          <w:rPr>
            <w:rFonts w:ascii="Cambria Math" w:hAnsi="Cambria Math" w:cs="Times New Roman"/>
            <w:lang/>
          </w:rPr>
          <m:t>Y</m:t>
        </m:r>
      </m:oMath>
      <w:r w:rsidRPr="00D61046">
        <w:rPr>
          <w:rFonts w:cs="Times New Roman"/>
          <w:lang/>
        </w:rPr>
        <w:t xml:space="preserve">. </w:t>
      </w:r>
      <m:oMath>
        <m:sSub>
          <m:sSubPr>
            <m:ctrlPr>
              <w:rPr>
                <w:rFonts w:ascii="Cambria Math" w:eastAsia="Calibri" w:hAnsi="Cambria Math" w:cs="Times New Roman"/>
                <w:i/>
                <w:lang/>
              </w:rPr>
            </m:ctrlPr>
          </m:sSubPr>
          <m:e>
            <m:r>
              <w:rPr>
                <w:rFonts w:ascii="Cambria Math" w:hAnsi="Cambria Math" w:cs="Times New Roman"/>
                <w:lang/>
              </w:rPr>
              <m:t>β</m:t>
            </m:r>
          </m:e>
          <m:sub>
            <m:r>
              <w:rPr>
                <w:rFonts w:ascii="Cambria Math" w:hAnsi="Cambria Math" w:cs="Times New Roman"/>
                <w:lang/>
              </w:rPr>
              <m:t>2</m:t>
            </m:r>
          </m:sub>
        </m:sSub>
      </m:oMath>
      <w:r w:rsidRPr="00D61046">
        <w:rPr>
          <w:rFonts w:cs="Times New Roman"/>
          <w:lang/>
        </w:rPr>
        <w:t xml:space="preserve"> </w:t>
      </w:r>
      <w:r w:rsidRPr="00D61046">
        <w:rPr>
          <w:rFonts w:cs="Times New Roman"/>
        </w:rPr>
        <w:t xml:space="preserve">scales </w:t>
      </w:r>
      <w:r w:rsidRPr="00D61046">
        <w:rPr>
          <w:rFonts w:cs="Times New Roman"/>
          <w:lang/>
        </w:rPr>
        <w:t xml:space="preserve">the temporal evolution of impacts, proportional to the percentage of habitat overlap. </w:t>
      </w:r>
    </w:p>
    <w:p w14:paraId="3A8698B7" w14:textId="44A3617E" w:rsidR="00D61046" w:rsidRPr="00D61046" w:rsidRDefault="00D61046" w:rsidP="009908F2">
      <w:pPr>
        <w:rPr>
          <w:rFonts w:cs="Times New Roman"/>
          <w:lang/>
        </w:rPr>
      </w:pPr>
      <w:r w:rsidRPr="00D61046">
        <w:rPr>
          <w:rFonts w:cs="Times New Roman"/>
        </w:rPr>
        <w:t xml:space="preserve">The </w:t>
      </w:r>
      <w:r w:rsidRPr="00D61046">
        <w:rPr>
          <w:rFonts w:cs="Times New Roman"/>
          <w:lang/>
        </w:rPr>
        <w:t>practical Marginal Effect</w:t>
      </w:r>
      <w:r w:rsidR="00B34C76">
        <w:rPr>
          <w:rFonts w:cs="Times New Roman"/>
        </w:rPr>
        <w:t xml:space="preserve"> being</w:t>
      </w:r>
      <w:r w:rsidRPr="00D61046">
        <w:rPr>
          <w:rFonts w:cs="Times New Roman"/>
          <w:lang/>
        </w:rPr>
        <w:t xml:space="preserve">: </w:t>
      </w:r>
      <m:oMath>
        <m:r>
          <w:rPr>
            <w:rFonts w:ascii="Cambria Math" w:hAnsi="Cambria Math" w:cs="Times New Roman"/>
            <w:lang/>
          </w:rPr>
          <m:t>Marginal Effec</m:t>
        </m:r>
        <m:sSub>
          <m:sSubPr>
            <m:ctrlPr>
              <w:rPr>
                <w:rFonts w:ascii="Cambria Math" w:eastAsia="Calibri" w:hAnsi="Cambria Math" w:cs="Times New Roman"/>
                <w:i/>
                <w:lang/>
              </w:rPr>
            </m:ctrlPr>
          </m:sSubPr>
          <m:e>
            <m:r>
              <w:rPr>
                <w:rFonts w:ascii="Cambria Math" w:hAnsi="Cambria Math" w:cs="Times New Roman"/>
                <w:lang/>
              </w:rPr>
              <m:t>t</m:t>
            </m:r>
          </m:e>
          <m:sub>
            <m:r>
              <w:rPr>
                <w:rFonts w:ascii="Cambria Math" w:hAnsi="Cambria Math" w:cs="Times New Roman"/>
                <w:lang/>
              </w:rPr>
              <m:t>Range</m:t>
            </m:r>
          </m:sub>
        </m:sSub>
        <m:r>
          <w:rPr>
            <w:rFonts w:ascii="Cambria Math" w:hAnsi="Cambria Math" w:cs="Times New Roman"/>
            <w:lang/>
          </w:rPr>
          <m:t>=</m:t>
        </m:r>
        <m:f>
          <m:fPr>
            <m:ctrlPr>
              <w:rPr>
                <w:rFonts w:ascii="Cambria Math" w:eastAsia="Calibri" w:hAnsi="Cambria Math" w:cs="Times New Roman"/>
                <w:i/>
                <w:lang/>
              </w:rPr>
            </m:ctrlPr>
          </m:fPr>
          <m:num>
            <m:sSub>
              <m:sSubPr>
                <m:ctrlPr>
                  <w:rPr>
                    <w:rFonts w:ascii="Cambria Math" w:eastAsia="Calibri" w:hAnsi="Cambria Math" w:cs="Times New Roman"/>
                    <w:i/>
                    <w:lang/>
                  </w:rPr>
                </m:ctrlPr>
              </m:sSubPr>
              <m:e>
                <m:r>
                  <w:rPr>
                    <w:rFonts w:ascii="Cambria Math" w:hAnsi="Cambria Math" w:cs="Times New Roman"/>
                    <w:lang/>
                  </w:rPr>
                  <m:t>β</m:t>
                </m:r>
              </m:e>
              <m:sub>
                <m:r>
                  <w:rPr>
                    <w:rFonts w:ascii="Cambria Math" w:hAnsi="Cambria Math" w:cs="Times New Roman"/>
                    <w:lang/>
                  </w:rPr>
                  <m:t>1</m:t>
                </m:r>
              </m:sub>
            </m:sSub>
            <m:r>
              <w:rPr>
                <w:rFonts w:ascii="Cambria Math" w:hAnsi="Cambria Math" w:cs="Times New Roman"/>
                <w:lang/>
              </w:rPr>
              <m:t>+</m:t>
            </m:r>
            <m:sSub>
              <m:sSubPr>
                <m:ctrlPr>
                  <w:rPr>
                    <w:rFonts w:ascii="Cambria Math" w:eastAsia="Calibri" w:hAnsi="Cambria Math" w:cs="Times New Roman"/>
                    <w:i/>
                    <w:lang/>
                  </w:rPr>
                </m:ctrlPr>
              </m:sSubPr>
              <m:e>
                <m:r>
                  <w:rPr>
                    <w:rFonts w:ascii="Cambria Math" w:hAnsi="Cambria Math" w:cs="Times New Roman"/>
                    <w:lang/>
                  </w:rPr>
                  <m:t>β</m:t>
                </m:r>
              </m:e>
              <m:sub>
                <m:r>
                  <w:rPr>
                    <w:rFonts w:ascii="Cambria Math" w:hAnsi="Cambria Math" w:cs="Times New Roman"/>
                    <w:lang/>
                  </w:rPr>
                  <m:t>2</m:t>
                </m:r>
              </m:sub>
            </m:sSub>
            <m:r>
              <w:rPr>
                <w:rFonts w:ascii="Cambria Math" w:hAnsi="Cambria Math" w:cs="Times New Roman"/>
                <w:lang/>
              </w:rPr>
              <m:t>⋅TS</m:t>
            </m:r>
            <m:sSub>
              <m:sSubPr>
                <m:ctrlPr>
                  <w:rPr>
                    <w:rFonts w:ascii="Cambria Math" w:eastAsia="Calibri" w:hAnsi="Cambria Math" w:cs="Times New Roman"/>
                    <w:i/>
                    <w:lang/>
                  </w:rPr>
                </m:ctrlPr>
              </m:sSubPr>
              <m:e>
                <m:r>
                  <w:rPr>
                    <w:rFonts w:ascii="Cambria Math" w:hAnsi="Cambria Math" w:cs="Times New Roman"/>
                    <w:lang/>
                  </w:rPr>
                  <m:t>D</m:t>
                </m:r>
              </m:e>
              <m:sub>
                <m:r>
                  <w:rPr>
                    <w:rFonts w:ascii="Cambria Math" w:hAnsi="Cambria Math" w:cs="Times New Roman"/>
                    <w:lang/>
                  </w:rPr>
                  <m:t>t</m:t>
                </m:r>
              </m:sub>
            </m:sSub>
          </m:num>
          <m:den>
            <m:r>
              <w:rPr>
                <w:rFonts w:ascii="Cambria Math" w:hAnsi="Cambria Math" w:cs="Times New Roman"/>
                <w:lang/>
              </w:rPr>
              <m:t>100</m:t>
            </m:r>
          </m:den>
        </m:f>
      </m:oMath>
      <w:r w:rsidRPr="00D61046">
        <w:rPr>
          <w:rFonts w:cs="Times New Roman"/>
          <w:lang/>
        </w:rPr>
        <w:t>​​,</w:t>
      </w:r>
    </w:p>
    <w:p w14:paraId="589D7F71" w14:textId="77777777" w:rsidR="00D61046" w:rsidRPr="00D61046" w:rsidRDefault="00D61046" w:rsidP="009908F2">
      <w:pPr>
        <w:rPr>
          <w:rFonts w:cs="Times New Roman"/>
          <w:lang/>
        </w:rPr>
      </w:pPr>
      <w:r w:rsidRPr="00D61046">
        <w:rPr>
          <w:rFonts w:cs="Times New Roman"/>
          <w:lang/>
        </w:rPr>
        <w:t>ensures that small changes (e.g., 1-percentage-point increases) are interpreted accurately.</w:t>
      </w:r>
    </w:p>
    <w:p w14:paraId="17F773F5" w14:textId="77777777" w:rsidR="00DB1842" w:rsidRDefault="00DB1842">
      <w:pPr>
        <w:spacing w:line="240" w:lineRule="auto"/>
        <w:rPr>
          <w:rFonts w:eastAsia="DengXian Light" w:cstheme="majorBidi"/>
          <w:b/>
          <w:i/>
          <w:iCs/>
          <w:lang w:eastAsia="zh-CN"/>
        </w:rPr>
      </w:pPr>
      <w:bookmarkStart w:id="614" w:name="_Toc187789925"/>
      <w:r>
        <w:br w:type="page"/>
      </w:r>
    </w:p>
    <w:p w14:paraId="2D2EFF86" w14:textId="047858E8" w:rsidR="00D61046" w:rsidRPr="00D61046" w:rsidRDefault="006075E1" w:rsidP="001953BB">
      <w:pPr>
        <w:pStyle w:val="Heading4"/>
      </w:pPr>
      <w:r>
        <w:lastRenderedPageBreak/>
        <w:t>3.</w:t>
      </w:r>
      <w:r w:rsidR="00D61046" w:rsidRPr="00D61046">
        <w:t>6.</w:t>
      </w:r>
      <w:r w:rsidR="00895B67">
        <w:t>5</w:t>
      </w:r>
      <w:r w:rsidR="00D61046" w:rsidRPr="00D61046">
        <w:t>.4 Conclusion</w:t>
      </w:r>
      <w:bookmarkEnd w:id="614"/>
    </w:p>
    <w:p w14:paraId="7F0D799D" w14:textId="77777777" w:rsidR="00D61046" w:rsidRPr="00D61046" w:rsidRDefault="00D61046" w:rsidP="009908F2">
      <w:pPr>
        <w:rPr>
          <w:rFonts w:eastAsia="Calibri" w:cs="Times New Roman"/>
          <w:kern w:val="2"/>
        </w:rPr>
      </w:pPr>
      <w:r w:rsidRPr="00D61046">
        <w:rPr>
          <w:rFonts w:cs="Times New Roman"/>
          <w:kern w:val="2"/>
        </w:rPr>
        <w:t>In conclusion, the marginal effects analysis provides a nuanced understanding of the dynamic relationships between Range, TSD, and establishment outcomes. By transitioning from the Poisson model to the expected outcomes framework, we demonstrate how spatial and temporal factors jointly shape the economic impacts of delisting policies. Normalization ensures that coefficients and marginal effects are interpreted as semi-elasticities, simplifying their practical application while maintaining theoretical rigor. The distinction between percentage-point and percentage changes is particularly critical for proportional variables like Range, enabling accurate and contextually relevant interpretations of small, incremental changes in habitat overlap. These insights highlight the dual importance of understanding baseline spatial effects and their temporal evolution, especially when evaluating policies with long-term ecological and economic implications. By integrating joint tests, normalization, and carefully scaled marginal effects, this analysis provides a robust framework for assessing the spatial-temporal dynamics underlying policy impacts on economic outcomes.</w:t>
      </w:r>
    </w:p>
    <w:p w14:paraId="2B542E9A" w14:textId="6BF682C6" w:rsidR="00614F15" w:rsidRPr="00D61046" w:rsidRDefault="006075E1" w:rsidP="009908F2">
      <w:pPr>
        <w:pStyle w:val="Heading3"/>
      </w:pPr>
      <w:bookmarkStart w:id="615" w:name="_Toc187789926"/>
      <w:bookmarkStart w:id="616" w:name="_Toc188379067"/>
      <w:r>
        <w:rPr>
          <w:lang w:val="en-US"/>
        </w:rPr>
        <w:t>3.</w:t>
      </w:r>
      <w:r w:rsidR="00D61046" w:rsidRPr="00D61046">
        <w:t>6.</w:t>
      </w:r>
      <w:r w:rsidR="00895B67">
        <w:rPr>
          <w:lang w:val="en-US"/>
        </w:rPr>
        <w:t>6</w:t>
      </w:r>
      <w:r w:rsidR="00D61046" w:rsidRPr="00D61046">
        <w:t xml:space="preserve"> Robustness Checks and Model Validation</w:t>
      </w:r>
      <w:bookmarkEnd w:id="615"/>
      <w:bookmarkEnd w:id="616"/>
    </w:p>
    <w:p w14:paraId="5D680C40" w14:textId="77777777" w:rsidR="00D61046" w:rsidRPr="00D61046" w:rsidRDefault="00D61046" w:rsidP="009908F2">
      <w:pPr>
        <w:rPr>
          <w:rFonts w:cs="Times New Roman"/>
          <w:lang/>
        </w:rPr>
      </w:pPr>
      <w:r w:rsidRPr="00D61046">
        <w:rPr>
          <w:rFonts w:cs="Times New Roman"/>
          <w:lang/>
        </w:rPr>
        <w:t>To ensure the reliability and robustness of the econometric results, the analysis incorporates a series of robustness checks and validation exercises:</w:t>
      </w:r>
    </w:p>
    <w:p w14:paraId="7BAAEA62" w14:textId="77777777" w:rsidR="00D61046" w:rsidRPr="00D61046" w:rsidRDefault="00D61046" w:rsidP="009908F2">
      <w:pPr>
        <w:rPr>
          <w:rFonts w:cs="Times New Roman"/>
          <w:lang/>
        </w:rPr>
      </w:pPr>
      <w:r w:rsidRPr="00D61046">
        <w:rPr>
          <w:rFonts w:cs="Times New Roman"/>
          <w:b/>
          <w:bCs/>
          <w:lang/>
        </w:rPr>
        <w:t>Alternative Fixed Effects Specifications</w:t>
      </w:r>
      <w:r w:rsidRPr="00D61046">
        <w:rPr>
          <w:rFonts w:cs="Times New Roman"/>
          <w:lang/>
        </w:rPr>
        <w:t xml:space="preserve">: The baseline model </w:t>
      </w:r>
      <w:r w:rsidRPr="00D61046">
        <w:rPr>
          <w:rFonts w:cs="Times New Roman"/>
        </w:rPr>
        <w:t xml:space="preserve">does not include fixed effects. Our preferred model </w:t>
      </w:r>
      <w:r w:rsidRPr="00D61046">
        <w:rPr>
          <w:rFonts w:cs="Times New Roman"/>
          <w:lang/>
        </w:rPr>
        <w:t xml:space="preserve">includes high-dimensional fixed effects to account for unobserved heterogeneity at the county, state, and year levels. To test the robustness of these specifications, </w:t>
      </w:r>
      <w:r w:rsidRPr="00D61046">
        <w:rPr>
          <w:rFonts w:cs="Times New Roman"/>
          <w:lang/>
        </w:rPr>
        <w:lastRenderedPageBreak/>
        <w:t xml:space="preserve">alternative fixed effects (e.g., state-year and county-year combinations) are incorporated to verify the stability of key coefficients </w:t>
      </w:r>
      <m:oMath>
        <m:r>
          <w:rPr>
            <w:rFonts w:ascii="Cambria Math" w:hAnsi="Cambria Math" w:cs="Times New Roman"/>
            <w:lang/>
          </w:rPr>
          <m:t>(</m:t>
        </m:r>
        <m:sSub>
          <m:sSubPr>
            <m:ctrlPr>
              <w:rPr>
                <w:rFonts w:ascii="Cambria Math" w:eastAsia="Calibri" w:hAnsi="Cambria Math" w:cs="Times New Roman"/>
                <w:i/>
              </w:rPr>
            </m:ctrlPr>
          </m:sSubPr>
          <m:e>
            <m:r>
              <w:rPr>
                <w:rFonts w:ascii="Cambria Math" w:hAnsi="Cambria Math" w:cs="Times New Roman"/>
                <w:lang/>
              </w:rPr>
              <m:t>β</m:t>
            </m:r>
            <m:ctrlPr>
              <w:rPr>
                <w:rFonts w:ascii="Cambria Math" w:eastAsia="Calibri" w:hAnsi="Cambria Math" w:cs="Times New Roman"/>
                <w:i/>
                <w:lang/>
              </w:rPr>
            </m:ctrlPr>
          </m:e>
          <m:sub>
            <m:r>
              <w:rPr>
                <w:rFonts w:ascii="Cambria Math" w:hAnsi="Cambria Math" w:cs="Times New Roman"/>
                <w:lang/>
              </w:rPr>
              <m:t>1</m:t>
            </m:r>
          </m:sub>
        </m:sSub>
        <m:r>
          <w:rPr>
            <w:rFonts w:ascii="Cambria Math" w:hAnsi="Cambria Math" w:cs="Times New Roman"/>
            <w:lang/>
          </w:rPr>
          <m:t xml:space="preserve"> and </m:t>
        </m:r>
        <m:sSub>
          <m:sSubPr>
            <m:ctrlPr>
              <w:rPr>
                <w:rFonts w:ascii="Cambria Math" w:eastAsia="Calibri" w:hAnsi="Cambria Math" w:cs="Times New Roman"/>
                <w:i/>
                <w:lang/>
              </w:rPr>
            </m:ctrlPr>
          </m:sSubPr>
          <m:e>
            <m:r>
              <w:rPr>
                <w:rFonts w:ascii="Cambria Math" w:hAnsi="Cambria Math" w:cs="Times New Roman"/>
                <w:lang/>
              </w:rPr>
              <m:t>β</m:t>
            </m:r>
          </m:e>
          <m:sub>
            <m:r>
              <w:rPr>
                <w:rFonts w:ascii="Cambria Math" w:hAnsi="Cambria Math" w:cs="Times New Roman"/>
                <w:lang/>
              </w:rPr>
              <m:t>2</m:t>
            </m:r>
          </m:sub>
        </m:sSub>
        <m:r>
          <w:rPr>
            <w:rFonts w:ascii="Cambria Math" w:hAnsi="Cambria Math" w:cs="Times New Roman"/>
            <w:lang/>
          </w:rPr>
          <m:t>​).</m:t>
        </m:r>
      </m:oMath>
    </w:p>
    <w:p w14:paraId="66EEAA75" w14:textId="77777777" w:rsidR="00D61046" w:rsidRPr="00D61046" w:rsidRDefault="00D61046" w:rsidP="009908F2">
      <w:pPr>
        <w:rPr>
          <w:rFonts w:cs="Times New Roman"/>
          <w:lang/>
        </w:rPr>
      </w:pPr>
      <w:r w:rsidRPr="00D61046">
        <w:rPr>
          <w:rFonts w:cs="Times New Roman"/>
          <w:b/>
          <w:bCs/>
          <w:lang/>
        </w:rPr>
        <w:t>Alternative Range Definitions</w:t>
      </w:r>
      <w:r w:rsidRPr="00D61046">
        <w:rPr>
          <w:rFonts w:cs="Times New Roman"/>
          <w:lang/>
        </w:rPr>
        <w:t>: Both binary and continuous measures of Range are employed in the analysis. Comparing results across these definitions ensures that findings are not sensitive to the choice of spatial variable.</w:t>
      </w:r>
    </w:p>
    <w:p w14:paraId="6D0E4A41" w14:textId="77777777" w:rsidR="00D61046" w:rsidRPr="00D61046" w:rsidRDefault="00D61046" w:rsidP="009908F2">
      <w:pPr>
        <w:tabs>
          <w:tab w:val="num" w:pos="1440"/>
        </w:tabs>
        <w:rPr>
          <w:rFonts w:cs="Times New Roman"/>
          <w:lang/>
        </w:rPr>
      </w:pPr>
      <w:r w:rsidRPr="00D61046">
        <w:rPr>
          <w:rFonts w:cs="Times New Roman"/>
          <w:b/>
          <w:bCs/>
          <w:lang/>
        </w:rPr>
        <w:t>Lagged Dependent Variable</w:t>
      </w:r>
      <w:r w:rsidRPr="00D61046">
        <w:rPr>
          <w:rFonts w:cs="Times New Roman"/>
          <w:lang/>
        </w:rPr>
        <w:t>: The inclusion of lagged outcome variables (e.g., establishment count, employment) helps control for autocorrelation and pre-existing trends in economic activity.</w:t>
      </w:r>
    </w:p>
    <w:p w14:paraId="58439433" w14:textId="77777777" w:rsidR="00D61046" w:rsidRPr="00D61046" w:rsidRDefault="00D61046" w:rsidP="009908F2">
      <w:pPr>
        <w:tabs>
          <w:tab w:val="num" w:pos="1440"/>
        </w:tabs>
        <w:rPr>
          <w:rFonts w:cs="Times New Roman"/>
          <w:lang/>
        </w:rPr>
      </w:pPr>
      <w:r w:rsidRPr="00D61046">
        <w:rPr>
          <w:rFonts w:cs="Times New Roman"/>
          <w:b/>
          <w:bCs/>
          <w:lang/>
        </w:rPr>
        <w:t>Robustness to Outliers</w:t>
      </w:r>
      <w:r w:rsidRPr="00D61046">
        <w:rPr>
          <w:rFonts w:cs="Times New Roman"/>
          <w:lang/>
        </w:rPr>
        <w:t>: The model’s sensitivity to outlier observations (e.g., counties with extremely high or low levels of habitat overlap or economic outcomes) is assessed through trimming and winsorization of key variables.</w:t>
      </w:r>
    </w:p>
    <w:p w14:paraId="33995AA5" w14:textId="77777777" w:rsidR="00D61046" w:rsidRPr="00D61046" w:rsidRDefault="00D61046" w:rsidP="009908F2">
      <w:pPr>
        <w:tabs>
          <w:tab w:val="num" w:pos="1440"/>
        </w:tabs>
        <w:rPr>
          <w:rFonts w:cs="Times New Roman"/>
          <w:lang/>
        </w:rPr>
      </w:pPr>
      <w:r w:rsidRPr="00D61046">
        <w:rPr>
          <w:rFonts w:cs="Times New Roman"/>
          <w:b/>
          <w:bCs/>
          <w:lang/>
        </w:rPr>
        <w:t>Heteroskedasticity Robustness</w:t>
      </w:r>
      <w:r w:rsidRPr="00D61046">
        <w:rPr>
          <w:rFonts w:cs="Times New Roman"/>
          <w:lang/>
        </w:rPr>
        <w:t>: The PPML approach inherently accounts for heteroskedasticity in count data. Additional robustness checks involve re-estimating models using alternative techniques, such as Ordinary Least Squares (OLS) with robust standard errors, to confirm the consistency of key results.</w:t>
      </w:r>
    </w:p>
    <w:p w14:paraId="1D3737EC" w14:textId="77777777" w:rsidR="00D61046" w:rsidRPr="00D61046" w:rsidRDefault="00D61046" w:rsidP="009908F2">
      <w:pPr>
        <w:tabs>
          <w:tab w:val="num" w:pos="1440"/>
        </w:tabs>
        <w:rPr>
          <w:rFonts w:cs="Times New Roman"/>
          <w:lang/>
        </w:rPr>
      </w:pPr>
      <w:r w:rsidRPr="00D61046">
        <w:rPr>
          <w:rFonts w:cs="Times New Roman"/>
          <w:b/>
          <w:bCs/>
          <w:lang/>
        </w:rPr>
        <w:t>Placebo Tests</w:t>
      </w:r>
      <w:r w:rsidRPr="00D61046">
        <w:rPr>
          <w:rFonts w:cs="Times New Roman"/>
          <w:lang/>
        </w:rPr>
        <w:t>: Placebo tests are conducted by simulating "pseudo-delisting" years before 2016 to verify that the observed temporal dynamics are attributable to the actual delisting event and not spurious trends.</w:t>
      </w:r>
    </w:p>
    <w:p w14:paraId="6A691340" w14:textId="77777777" w:rsidR="00D61046" w:rsidRPr="00D61046" w:rsidRDefault="00D61046" w:rsidP="009908F2">
      <w:pPr>
        <w:rPr>
          <w:rFonts w:cs="Times New Roman"/>
          <w:lang/>
        </w:rPr>
      </w:pPr>
      <w:r w:rsidRPr="00D61046">
        <w:rPr>
          <w:rFonts w:cs="Times New Roman"/>
          <w:lang/>
        </w:rPr>
        <w:t xml:space="preserve">These robustness checks provide confidence in the validity and generalizability of the findings, ensuring that the estimated effects of </w:t>
      </w:r>
      <m:oMath>
        <m:r>
          <w:rPr>
            <w:rFonts w:ascii="Cambria Math" w:hAnsi="Cambria Math" w:cs="Times New Roman"/>
            <w:lang/>
          </w:rPr>
          <m:t>Range</m:t>
        </m:r>
      </m:oMath>
      <w:r w:rsidRPr="00D61046">
        <w:rPr>
          <w:rFonts w:cs="Times New Roman"/>
          <w:lang/>
        </w:rPr>
        <w:t xml:space="preserve"> and </w:t>
      </w:r>
      <m:oMath>
        <m:r>
          <w:rPr>
            <w:rFonts w:ascii="Cambria Math" w:hAnsi="Cambria Math" w:cs="Times New Roman"/>
            <w:lang/>
          </w:rPr>
          <m:t>TSD</m:t>
        </m:r>
      </m:oMath>
      <w:r w:rsidRPr="00D61046">
        <w:rPr>
          <w:rFonts w:cs="Times New Roman"/>
          <w:lang/>
        </w:rPr>
        <w:t xml:space="preserve"> are credible and not driven by modeling assumptions.</w:t>
      </w:r>
    </w:p>
    <w:p w14:paraId="5C147922" w14:textId="0FE574FF" w:rsidR="00D61046" w:rsidRPr="00D61046" w:rsidRDefault="006075E1" w:rsidP="009908F2">
      <w:pPr>
        <w:pStyle w:val="Heading3"/>
      </w:pPr>
      <w:bookmarkStart w:id="617" w:name="_Toc187789927"/>
      <w:bookmarkStart w:id="618" w:name="_Toc188379068"/>
      <w:r>
        <w:rPr>
          <w:lang w:val="en-US"/>
        </w:rPr>
        <w:lastRenderedPageBreak/>
        <w:t>3.</w:t>
      </w:r>
      <w:r w:rsidR="00D61046" w:rsidRPr="00D61046">
        <w:t>6.</w:t>
      </w:r>
      <w:r w:rsidR="00895B67">
        <w:rPr>
          <w:lang w:val="en-US"/>
        </w:rPr>
        <w:t>7</w:t>
      </w:r>
      <w:r w:rsidR="00D61046" w:rsidRPr="00D61046">
        <w:t xml:space="preserve"> Limitations and Scope</w:t>
      </w:r>
      <w:bookmarkEnd w:id="617"/>
      <w:bookmarkEnd w:id="618"/>
    </w:p>
    <w:p w14:paraId="1877E2FF" w14:textId="77777777" w:rsidR="00D61046" w:rsidRPr="00D61046" w:rsidRDefault="00D61046" w:rsidP="009908F2">
      <w:pPr>
        <w:rPr>
          <w:rFonts w:cs="Times New Roman"/>
          <w:lang/>
        </w:rPr>
      </w:pPr>
      <w:r w:rsidRPr="00D61046">
        <w:rPr>
          <w:rFonts w:cs="Times New Roman"/>
          <w:lang/>
        </w:rPr>
        <w:t>While the econometric framework is robust and the data comprehensive, several limitations must be acknowledged</w:t>
      </w:r>
      <w:r w:rsidRPr="00D61046">
        <w:rPr>
          <w:rFonts w:cs="Times New Roman"/>
        </w:rPr>
        <w:t xml:space="preserve">. </w:t>
      </w:r>
      <w:r w:rsidRPr="00D61046">
        <w:rPr>
          <w:rFonts w:cs="Times New Roman"/>
          <w:lang/>
        </w:rPr>
        <w:t>County-level data may mask finer spatial or temporal variations in economic outcomes, particularly in large or heterogeneous counties. Although fixed effects capture time-invariant heterogeneity, some dynamic unobserved factors (e.g., local policy changes, environmental shocks) could influence results. The distinction between land-intensive and non-LIS assumes uniform behavior within each category, which may not fully account for sub-sectoral heterogeneity. While the methodology accounts for confounders and uses robust interaction terms, the results remain correlational due to the observational nature of the data. Despite these limitations, the approach offers a rigorous and nuanced analysis of the economic impacts of species delisting.</w:t>
      </w:r>
    </w:p>
    <w:p w14:paraId="4A4C1BB7" w14:textId="7C8218E3" w:rsidR="00D61046" w:rsidRPr="00D61046" w:rsidRDefault="006075E1" w:rsidP="009908F2">
      <w:pPr>
        <w:pStyle w:val="Heading3"/>
      </w:pPr>
      <w:bookmarkStart w:id="619" w:name="_Toc187789928"/>
      <w:bookmarkStart w:id="620" w:name="_Toc188379069"/>
      <w:r>
        <w:rPr>
          <w:lang w:val="en-US"/>
        </w:rPr>
        <w:t>3.</w:t>
      </w:r>
      <w:r w:rsidR="00D61046" w:rsidRPr="00D61046">
        <w:t>6.</w:t>
      </w:r>
      <w:r w:rsidR="00895B67">
        <w:rPr>
          <w:lang w:val="en-US"/>
        </w:rPr>
        <w:t>8</w:t>
      </w:r>
      <w:r w:rsidR="00D61046" w:rsidRPr="00D61046">
        <w:t xml:space="preserve"> Conclusion</w:t>
      </w:r>
      <w:bookmarkEnd w:id="619"/>
      <w:bookmarkEnd w:id="620"/>
    </w:p>
    <w:p w14:paraId="64D01578" w14:textId="77777777" w:rsidR="00D61046" w:rsidRPr="00D61046" w:rsidRDefault="00D61046" w:rsidP="009908F2">
      <w:pPr>
        <w:rPr>
          <w:rFonts w:cs="Times New Roman"/>
          <w:lang/>
        </w:rPr>
      </w:pPr>
      <w:r w:rsidRPr="00D61046">
        <w:rPr>
          <w:rFonts w:cs="Times New Roman"/>
          <w:lang/>
        </w:rPr>
        <w:t xml:space="preserve">This section outlined the econometric methodology employed to analyze the economic impacts of delisting the Louisiana Black Bear. By leveraging a PPMLHDFE framework, the analysis integrates spatial, temporal, and sectoral dimensions, capturing both baseline effects </w:t>
      </w:r>
      <m:oMath>
        <m:r>
          <w:rPr>
            <w:rFonts w:ascii="Cambria Math" w:hAnsi="Cambria Math" w:cs="Times New Roman"/>
            <w:lang/>
          </w:rPr>
          <m:t>(</m:t>
        </m:r>
        <m:sSub>
          <m:sSubPr>
            <m:ctrlPr>
              <w:rPr>
                <w:rFonts w:ascii="Cambria Math" w:eastAsia="Calibri" w:hAnsi="Cambria Math" w:cs="Times New Roman"/>
                <w:i/>
                <w:lang/>
              </w:rPr>
            </m:ctrlPr>
          </m:sSubPr>
          <m:e>
            <m:r>
              <w:rPr>
                <w:rFonts w:ascii="Cambria Math" w:hAnsi="Cambria Math" w:cs="Times New Roman"/>
                <w:lang/>
              </w:rPr>
              <m:t>β</m:t>
            </m:r>
          </m:e>
          <m:sub>
            <m:r>
              <w:rPr>
                <w:rFonts w:ascii="Cambria Math" w:hAnsi="Cambria Math" w:cs="Times New Roman"/>
                <w:lang/>
              </w:rPr>
              <m:t>1</m:t>
            </m:r>
          </m:sub>
        </m:sSub>
        <m:r>
          <w:rPr>
            <w:rFonts w:ascii="Cambria Math" w:hAnsi="Cambria Math" w:cs="Times New Roman"/>
            <w:lang/>
          </w:rPr>
          <m:t>​)</m:t>
        </m:r>
      </m:oMath>
      <w:r w:rsidRPr="00D61046">
        <w:rPr>
          <w:rFonts w:cs="Times New Roman"/>
          <w:lang/>
        </w:rPr>
        <w:t xml:space="preserve"> and their evolution over time </w:t>
      </w:r>
      <m:oMath>
        <m:r>
          <w:rPr>
            <w:rFonts w:ascii="Cambria Math" w:hAnsi="Cambria Math" w:cs="Times New Roman"/>
            <w:lang/>
          </w:rPr>
          <m:t>(</m:t>
        </m:r>
        <m:sSub>
          <m:sSubPr>
            <m:ctrlPr>
              <w:rPr>
                <w:rFonts w:ascii="Cambria Math" w:eastAsia="Calibri" w:hAnsi="Cambria Math" w:cs="Times New Roman"/>
                <w:i/>
                <w:lang/>
              </w:rPr>
            </m:ctrlPr>
          </m:sSubPr>
          <m:e>
            <m:r>
              <w:rPr>
                <w:rFonts w:ascii="Cambria Math" w:hAnsi="Cambria Math" w:cs="Times New Roman"/>
                <w:lang/>
              </w:rPr>
              <m:t>β</m:t>
            </m:r>
          </m:e>
          <m:sub>
            <m:r>
              <w:rPr>
                <w:rFonts w:ascii="Cambria Math" w:hAnsi="Cambria Math" w:cs="Times New Roman"/>
                <w:lang/>
              </w:rPr>
              <m:t>2</m:t>
            </m:r>
          </m:sub>
        </m:sSub>
        <m:r>
          <w:rPr>
            <w:rFonts w:ascii="Cambria Math" w:hAnsi="Cambria Math" w:cs="Times New Roman"/>
            <w:lang/>
          </w:rPr>
          <m:t>)</m:t>
        </m:r>
      </m:oMath>
      <w:r w:rsidRPr="00D61046">
        <w:rPr>
          <w:rFonts w:cs="Times New Roman"/>
          <w:lang/>
        </w:rPr>
        <w:t xml:space="preserve">. The inclusion of binary and continuous Range definitions enhances the ability to measure spatial heterogeneity, while interaction terms </w:t>
      </w:r>
      <m:oMath>
        <m:r>
          <w:rPr>
            <w:rFonts w:ascii="Cambria Math" w:hAnsi="Cambria Math" w:cs="Times New Roman"/>
            <w:lang/>
          </w:rPr>
          <m:t>(Range×TSD)</m:t>
        </m:r>
      </m:oMath>
      <w:r w:rsidRPr="00D61046">
        <w:rPr>
          <w:rFonts w:cs="Times New Roman"/>
          <w:lang/>
        </w:rPr>
        <w:t xml:space="preserve"> reveal dynamic temporal patterns. A robust set of controls and fixed effects ensures the validity of the results, and planned robustness checks address potential concerns about model assumptions and data reliability. This methodological framework lays a solid foundation for </w:t>
      </w:r>
      <w:r w:rsidRPr="00D61046">
        <w:rPr>
          <w:rFonts w:cs="Times New Roman"/>
          <w:lang/>
        </w:rPr>
        <w:lastRenderedPageBreak/>
        <w:t>interpreting the results in Section 7, where spatial and temporal dynamics will be systematically evaluated to provide actionable insights into the economic consequences of species delisting.</w:t>
      </w:r>
      <w:bookmarkStart w:id="621" w:name="_Toc179574340"/>
    </w:p>
    <w:p w14:paraId="7BADA809" w14:textId="7A9669A1" w:rsidR="00D61046" w:rsidRPr="009908F2" w:rsidRDefault="006075E1" w:rsidP="00E4693E">
      <w:pPr>
        <w:pStyle w:val="Heading2"/>
      </w:pPr>
      <w:bookmarkStart w:id="622" w:name="_Toc187789929"/>
      <w:bookmarkStart w:id="623" w:name="_Toc188379070"/>
      <w:r>
        <w:t>3.</w:t>
      </w:r>
      <w:r w:rsidR="00D61046" w:rsidRPr="009908F2">
        <w:t>7 Results and Interpretation</w:t>
      </w:r>
      <w:bookmarkEnd w:id="622"/>
      <w:bookmarkEnd w:id="623"/>
    </w:p>
    <w:p w14:paraId="5014569B" w14:textId="19E52CF3" w:rsidR="00D61046" w:rsidRPr="00D61046" w:rsidRDefault="006075E1" w:rsidP="00346227">
      <w:pPr>
        <w:pStyle w:val="Heading3"/>
        <w:rPr>
          <w:rFonts w:eastAsia="Times New Roman"/>
        </w:rPr>
      </w:pPr>
      <w:bookmarkStart w:id="624" w:name="_Toc187789930"/>
      <w:bookmarkStart w:id="625" w:name="_Toc188379071"/>
      <w:r>
        <w:rPr>
          <w:lang w:val="en-US"/>
        </w:rPr>
        <w:t>3.</w:t>
      </w:r>
      <w:r w:rsidR="00D61046" w:rsidRPr="00D61046">
        <w:t>7.1 Introduction</w:t>
      </w:r>
      <w:bookmarkEnd w:id="624"/>
      <w:bookmarkEnd w:id="625"/>
    </w:p>
    <w:p w14:paraId="374B6388" w14:textId="77777777" w:rsidR="00D61046" w:rsidRPr="00D61046" w:rsidRDefault="00D61046" w:rsidP="00346227">
      <w:pPr>
        <w:rPr>
          <w:rFonts w:cs="Times New Roman"/>
          <w:lang/>
        </w:rPr>
      </w:pPr>
      <w:r w:rsidRPr="00D61046">
        <w:rPr>
          <w:rFonts w:cs="Times New Roman"/>
          <w:lang/>
        </w:rPr>
        <w:t>This section investigates the economic impacts of the delisting of the Louisiana Black Bear, focusing on three key outcome variables: establishment count, job count, and sales volume. These analyses are conducted across land-intensive and non-LIS to assess how delisting policies interact with economic outcomes in distinct industry contexts. The primary emphasis is on interpreting the coefficients of the species-related explanatory variables, particularly Range (spatial overlap with the bear’s habitat) and Time Since Delisting</w:t>
      </w:r>
      <w:r w:rsidRPr="00D61046">
        <w:rPr>
          <w:rFonts w:cs="Times New Roman"/>
          <w:b/>
          <w:bCs/>
          <w:lang/>
        </w:rPr>
        <w:t xml:space="preserve"> </w:t>
      </w:r>
      <w:r w:rsidRPr="00D61046">
        <w:rPr>
          <w:rFonts w:cs="Times New Roman"/>
          <w:lang/>
        </w:rPr>
        <w:t>(TSD), along with their interaction.</w:t>
      </w:r>
    </w:p>
    <w:p w14:paraId="62362F79" w14:textId="77777777" w:rsidR="00D61046" w:rsidRPr="00D61046" w:rsidRDefault="00D61046" w:rsidP="00346227">
      <w:pPr>
        <w:rPr>
          <w:rFonts w:cs="Times New Roman"/>
        </w:rPr>
      </w:pPr>
      <w:r w:rsidRPr="00D61046">
        <w:rPr>
          <w:rFonts w:cs="Times New Roman"/>
          <w:lang/>
        </w:rPr>
        <w:t>To address concerns about clarity and interpretation, we explicitly define TSD as capturing time elapsed since delisting, bounded at zero to ensure the results focus solely on post-delisting dynamics. The interaction between Range and TSD (</w:t>
      </w:r>
      <m:oMath>
        <m:sSub>
          <m:sSubPr>
            <m:ctrlPr>
              <w:rPr>
                <w:rFonts w:ascii="Cambria Math" w:hAnsi="Cambria Math" w:cs="Times New Roman"/>
                <w:i/>
                <w:lang/>
              </w:rPr>
            </m:ctrlPr>
          </m:sSubPr>
          <m:e>
            <m:r>
              <w:rPr>
                <w:rFonts w:ascii="Cambria Math" w:hAnsi="Cambria Math" w:cs="Times New Roman"/>
                <w:lang/>
              </w:rPr>
              <m:t>β</m:t>
            </m:r>
          </m:e>
          <m:sub>
            <m:r>
              <w:rPr>
                <w:rFonts w:ascii="Cambria Math" w:hAnsi="Cambria Math" w:cs="Times New Roman"/>
                <w:lang/>
              </w:rPr>
              <m:t>2</m:t>
            </m:r>
          </m:sub>
        </m:sSub>
      </m:oMath>
      <w:r w:rsidRPr="00D61046">
        <w:rPr>
          <w:rFonts w:cs="Times New Roman"/>
          <w:lang/>
        </w:rPr>
        <w:t>​) captures how the baseline spatial effects (</w:t>
      </w:r>
      <m:oMath>
        <m:sSub>
          <m:sSubPr>
            <m:ctrlPr>
              <w:rPr>
                <w:rFonts w:ascii="Cambria Math" w:hAnsi="Cambria Math" w:cs="Times New Roman"/>
                <w:i/>
                <w:lang/>
              </w:rPr>
            </m:ctrlPr>
          </m:sSubPr>
          <m:e>
            <m:r>
              <w:rPr>
                <w:rFonts w:ascii="Cambria Math" w:hAnsi="Cambria Math" w:cs="Times New Roman"/>
                <w:lang/>
              </w:rPr>
              <m:t>β</m:t>
            </m:r>
          </m:e>
          <m:sub>
            <m:r>
              <w:rPr>
                <w:rFonts w:ascii="Cambria Math" w:hAnsi="Cambria Math" w:cs="Times New Roman"/>
                <w:lang/>
              </w:rPr>
              <m:t>1</m:t>
            </m:r>
          </m:sub>
        </m:sSub>
      </m:oMath>
      <w:r w:rsidRPr="00D61046">
        <w:rPr>
          <w:rFonts w:cs="Times New Roman"/>
          <w:lang/>
        </w:rPr>
        <w:t>​) evolve over time, providing a comprehensive view of spatial-temporal dynamics. Acknowledging the limited post-delisting data (three years), we interpret the results cautiously, noting that longer time horizons may reveal more pronounced patterns. Furthermore, the results incorporate both binary and continuous definitions of Range</w:t>
      </w:r>
      <w:r w:rsidRPr="00D61046">
        <w:rPr>
          <w:rFonts w:cs="Times New Roman"/>
        </w:rPr>
        <w:t xml:space="preserve">. The </w:t>
      </w:r>
      <w:r w:rsidRPr="00D61046">
        <w:rPr>
          <w:rFonts w:cs="Times New Roman"/>
          <w:lang/>
        </w:rPr>
        <w:t>binary definition indicates the presence or absence of habitat overlap (Range = 0 or 1), measuring the immediate effects of being within the bear’s range.</w:t>
      </w:r>
      <w:r w:rsidRPr="00D61046">
        <w:rPr>
          <w:rFonts w:cs="Times New Roman"/>
        </w:rPr>
        <w:t xml:space="preserve"> Whereas the </w:t>
      </w:r>
      <w:r w:rsidRPr="00D61046">
        <w:rPr>
          <w:rFonts w:cs="Times New Roman"/>
          <w:lang/>
        </w:rPr>
        <w:t xml:space="preserve">continuous definition quantifies the proportion of a </w:t>
      </w:r>
      <w:r w:rsidRPr="00D61046">
        <w:rPr>
          <w:rFonts w:cs="Times New Roman"/>
          <w:lang/>
        </w:rPr>
        <w:lastRenderedPageBreak/>
        <w:t xml:space="preserve">county’s land overlapping with the habitat, enabling a more detailed understanding of spatial heterogeneity. </w:t>
      </w:r>
    </w:p>
    <w:p w14:paraId="53C81158" w14:textId="77777777" w:rsidR="00D61046" w:rsidRPr="00D61046" w:rsidRDefault="00D61046" w:rsidP="00346227">
      <w:pPr>
        <w:rPr>
          <w:rFonts w:cs="Times New Roman"/>
          <w:lang/>
        </w:rPr>
      </w:pPr>
      <w:r w:rsidRPr="00D61046">
        <w:rPr>
          <w:rFonts w:cs="Times New Roman"/>
          <w:lang/>
        </w:rPr>
        <w:t>The marginal effects of Range and TSD are central to the interpretation</w:t>
      </w:r>
      <w:r w:rsidRPr="00D61046">
        <w:rPr>
          <w:rFonts w:cs="Times New Roman"/>
        </w:rPr>
        <w:t xml:space="preserve">. </w:t>
      </w:r>
      <w:r w:rsidRPr="00D61046">
        <w:rPr>
          <w:rFonts w:cs="Times New Roman"/>
          <w:lang/>
        </w:rPr>
        <w:t xml:space="preserve">For binary Range, </w:t>
      </w:r>
      <m:oMath>
        <m:sSub>
          <m:sSubPr>
            <m:ctrlPr>
              <w:rPr>
                <w:rFonts w:ascii="Cambria Math" w:hAnsi="Cambria Math" w:cs="Times New Roman"/>
                <w:i/>
                <w:lang/>
              </w:rPr>
            </m:ctrlPr>
          </m:sSubPr>
          <m:e>
            <m:r>
              <w:rPr>
                <w:rFonts w:ascii="Cambria Math" w:hAnsi="Cambria Math" w:cs="Times New Roman"/>
                <w:lang/>
              </w:rPr>
              <m:t>β</m:t>
            </m:r>
          </m:e>
          <m:sub>
            <m:r>
              <w:rPr>
                <w:rFonts w:ascii="Cambria Math" w:hAnsi="Cambria Math" w:cs="Times New Roman"/>
                <w:lang/>
              </w:rPr>
              <m:t>1</m:t>
            </m:r>
          </m:sub>
        </m:sSub>
        <m:r>
          <w:rPr>
            <w:rFonts w:ascii="Cambria Math" w:hAnsi="Cambria Math" w:cs="Times New Roman"/>
            <w:lang/>
          </w:rPr>
          <m:t xml:space="preserve"> </m:t>
        </m:r>
      </m:oMath>
      <w:r w:rsidRPr="00D61046">
        <w:rPr>
          <w:rFonts w:cs="Times New Roman"/>
        </w:rPr>
        <w:t>r</w:t>
      </w:r>
      <w:r w:rsidRPr="00D61046">
        <w:rPr>
          <w:rFonts w:cs="Times New Roman"/>
          <w:lang/>
        </w:rPr>
        <w:t xml:space="preserve">eflects the baseline spatial effect of habitat overlap, while </w:t>
      </w:r>
      <m:oMath>
        <m:sSub>
          <m:sSubPr>
            <m:ctrlPr>
              <w:rPr>
                <w:rFonts w:ascii="Cambria Math" w:hAnsi="Cambria Math" w:cs="Times New Roman"/>
                <w:i/>
                <w:lang/>
              </w:rPr>
            </m:ctrlPr>
          </m:sSubPr>
          <m:e>
            <m:r>
              <w:rPr>
                <w:rFonts w:ascii="Cambria Math" w:hAnsi="Cambria Math" w:cs="Times New Roman"/>
                <w:lang/>
              </w:rPr>
              <m:t>β</m:t>
            </m:r>
          </m:e>
          <m:sub>
            <m:r>
              <w:rPr>
                <w:rFonts w:ascii="Cambria Math" w:hAnsi="Cambria Math" w:cs="Times New Roman"/>
                <w:lang/>
              </w:rPr>
              <m:t>2</m:t>
            </m:r>
          </m:sub>
        </m:sSub>
        <m:r>
          <w:rPr>
            <w:rFonts w:ascii="Cambria Math" w:hAnsi="Cambria Math" w:cs="Times New Roman"/>
            <w:lang/>
          </w:rPr>
          <m:t>​*TSD</m:t>
        </m:r>
      </m:oMath>
      <w:r w:rsidRPr="00D61046">
        <w:rPr>
          <w:rFonts w:cs="Times New Roman"/>
          <w:lang/>
        </w:rPr>
        <w:t xml:space="preserve"> measures how this effect changes over time. For continuous Range, marginal effects are interpreted in terms of percentage-point changes in habitat overlap, explicitly distinguishing them from percentage changes. For example, a 1-percentage-point increase in habitat overlap corresponds to a marginal effect scaled by </w:t>
      </w:r>
      <m:oMath>
        <m:sSub>
          <m:sSubPr>
            <m:ctrlPr>
              <w:rPr>
                <w:rFonts w:ascii="Cambria Math" w:hAnsi="Cambria Math" w:cs="Times New Roman"/>
                <w:i/>
                <w:lang/>
              </w:rPr>
            </m:ctrlPr>
          </m:sSubPr>
          <m:e>
            <m:r>
              <w:rPr>
                <w:rFonts w:ascii="Cambria Math" w:hAnsi="Cambria Math" w:cs="Times New Roman"/>
                <w:lang/>
              </w:rPr>
              <m:t>β</m:t>
            </m:r>
          </m:e>
          <m:sub>
            <m:r>
              <w:rPr>
                <w:rFonts w:ascii="Cambria Math" w:hAnsi="Cambria Math" w:cs="Times New Roman"/>
                <w:lang/>
              </w:rPr>
              <m:t>1</m:t>
            </m:r>
          </m:sub>
        </m:sSub>
        <m:r>
          <w:rPr>
            <w:rFonts w:ascii="Cambria Math" w:hAnsi="Cambria Math" w:cs="Times New Roman"/>
            <w:lang/>
          </w:rPr>
          <m:t>+</m:t>
        </m:r>
        <m:sSub>
          <m:sSubPr>
            <m:ctrlPr>
              <w:rPr>
                <w:rFonts w:ascii="Cambria Math" w:hAnsi="Cambria Math" w:cs="Times New Roman"/>
                <w:i/>
                <w:lang/>
              </w:rPr>
            </m:ctrlPr>
          </m:sSubPr>
          <m:e>
            <m:r>
              <w:rPr>
                <w:rFonts w:ascii="Cambria Math" w:hAnsi="Cambria Math" w:cs="Times New Roman"/>
                <w:lang/>
              </w:rPr>
              <m:t>β</m:t>
            </m:r>
          </m:e>
          <m:sub>
            <m:r>
              <w:rPr>
                <w:rFonts w:ascii="Cambria Math" w:hAnsi="Cambria Math" w:cs="Times New Roman"/>
                <w:lang/>
              </w:rPr>
              <m:t>2</m:t>
            </m:r>
          </m:sub>
        </m:sSub>
        <m:r>
          <w:rPr>
            <w:rFonts w:ascii="Cambria Math" w:hAnsi="Cambria Math" w:cs="Times New Roman"/>
            <w:lang/>
          </w:rPr>
          <m:t>⋅TSD</m:t>
        </m:r>
      </m:oMath>
      <w:r w:rsidRPr="00D61046">
        <w:rPr>
          <w:rFonts w:cs="Times New Roman"/>
          <w:lang/>
        </w:rPr>
        <w:t xml:space="preserve">. </w:t>
      </w:r>
      <w:r w:rsidRPr="00D61046">
        <w:rPr>
          <w:rFonts w:cs="Times New Roman"/>
        </w:rPr>
        <w:t>W</w:t>
      </w:r>
      <w:r w:rsidRPr="00D61046">
        <w:rPr>
          <w:rFonts w:cs="Times New Roman"/>
          <w:lang/>
        </w:rPr>
        <w:t xml:space="preserve">e acknowledge instances of counter-intuitive findings, such as negative coefficients for </w:t>
      </w:r>
      <m:oMath>
        <m:sSub>
          <m:sSubPr>
            <m:ctrlPr>
              <w:rPr>
                <w:rFonts w:ascii="Cambria Math" w:hAnsi="Cambria Math" w:cs="Times New Roman"/>
                <w:i/>
                <w:lang/>
              </w:rPr>
            </m:ctrlPr>
          </m:sSubPr>
          <m:e>
            <m:r>
              <w:rPr>
                <w:rFonts w:ascii="Cambria Math" w:hAnsi="Cambria Math" w:cs="Times New Roman"/>
                <w:lang/>
              </w:rPr>
              <m:t>β</m:t>
            </m:r>
          </m:e>
          <m:sub>
            <m:r>
              <w:rPr>
                <w:rFonts w:ascii="Cambria Math" w:hAnsi="Cambria Math" w:cs="Times New Roman"/>
                <w:lang/>
              </w:rPr>
              <m:t>2</m:t>
            </m:r>
          </m:sub>
        </m:sSub>
      </m:oMath>
      <w:r w:rsidRPr="00D61046">
        <w:rPr>
          <w:rFonts w:cs="Times New Roman"/>
          <w:lang/>
        </w:rPr>
        <w:t>​ in some sectors. These are interpreted as evidence of diminishing spatial impacts over time, possibly due to sector-specific constraints or delayed regulatory adaptation. Where applicable, we also highlight the importance of joint significance tests in guiding the interpretation of these coefficients. The results of Wald and LR tests are consistent in most cases, and for brevity, we report the Wald test results in regression tables.</w:t>
      </w:r>
    </w:p>
    <w:p w14:paraId="3D4E3562" w14:textId="07338C29" w:rsidR="00D61046" w:rsidRPr="00D61046" w:rsidRDefault="00D61046" w:rsidP="00346227">
      <w:pPr>
        <w:rPr>
          <w:rFonts w:cs="Times New Roman"/>
        </w:rPr>
      </w:pPr>
      <w:r w:rsidRPr="00D61046">
        <w:rPr>
          <w:rFonts w:cs="Times New Roman"/>
          <w:lang/>
        </w:rPr>
        <w:t>The regression results are organized as follows</w:t>
      </w:r>
      <w:r w:rsidRPr="00D61046">
        <w:rPr>
          <w:rFonts w:cs="Times New Roman"/>
        </w:rPr>
        <w:t xml:space="preserve">. Our </w:t>
      </w:r>
      <w:r w:rsidRPr="00D61046">
        <w:rPr>
          <w:rFonts w:cs="Times New Roman"/>
          <w:lang/>
        </w:rPr>
        <w:t>summarized results</w:t>
      </w:r>
      <w:r w:rsidRPr="00D61046">
        <w:rPr>
          <w:rFonts w:cs="Times New Roman"/>
        </w:rPr>
        <w:t xml:space="preserve"> are </w:t>
      </w:r>
      <w:proofErr w:type="gramStart"/>
      <w:r w:rsidRPr="00D61046">
        <w:rPr>
          <w:rFonts w:cs="Times New Roman"/>
        </w:rPr>
        <w:t xml:space="preserve">presented </w:t>
      </w:r>
      <w:r w:rsidR="004E4775">
        <w:rPr>
          <w:rFonts w:cs="Times New Roman"/>
        </w:rPr>
        <w:t>as</w:t>
      </w:r>
      <w:proofErr w:type="gramEnd"/>
      <w:r w:rsidR="004E4775">
        <w:rPr>
          <w:rFonts w:cs="Times New Roman"/>
        </w:rPr>
        <w:t xml:space="preserve"> from </w:t>
      </w:r>
      <w:r w:rsidRPr="004E4775">
        <w:rPr>
          <w:rFonts w:cs="Times New Roman"/>
          <w:b/>
          <w:bCs/>
          <w:lang/>
        </w:rPr>
        <w:t>Table A</w:t>
      </w:r>
      <w:r w:rsidR="00C929C6" w:rsidRPr="004E4775">
        <w:rPr>
          <w:rFonts w:cs="Times New Roman"/>
          <w:b/>
          <w:bCs/>
        </w:rPr>
        <w:t>4</w:t>
      </w:r>
      <w:r w:rsidRPr="004E4775">
        <w:rPr>
          <w:rFonts w:cs="Times New Roman"/>
          <w:b/>
          <w:bCs/>
          <w:lang/>
        </w:rPr>
        <w:t>4</w:t>
      </w:r>
      <w:r w:rsidRPr="00D61046">
        <w:rPr>
          <w:rFonts w:cs="Times New Roman"/>
          <w:lang/>
        </w:rPr>
        <w:t xml:space="preserve"> to </w:t>
      </w:r>
      <w:r w:rsidR="004E4775" w:rsidRPr="004E4775">
        <w:rPr>
          <w:rFonts w:eastAsia="Calibri" w:cs="Times New Roman"/>
          <w:b/>
          <w:bCs/>
        </w:rPr>
        <w:t>Table</w:t>
      </w:r>
      <w:r w:rsidR="004E4775" w:rsidRPr="004E4775">
        <w:rPr>
          <w:rFonts w:cs="Times New Roman"/>
          <w:b/>
          <w:bCs/>
          <w:lang/>
        </w:rPr>
        <w:t xml:space="preserve"> </w:t>
      </w:r>
      <w:r w:rsidRPr="004E4775">
        <w:rPr>
          <w:rFonts w:cs="Times New Roman"/>
          <w:b/>
          <w:bCs/>
          <w:lang/>
        </w:rPr>
        <w:t>A</w:t>
      </w:r>
      <w:r w:rsidR="00C929C6" w:rsidRPr="004E4775">
        <w:rPr>
          <w:rFonts w:cs="Times New Roman"/>
          <w:b/>
          <w:bCs/>
        </w:rPr>
        <w:t>5</w:t>
      </w:r>
      <w:r w:rsidRPr="004E4775">
        <w:rPr>
          <w:rFonts w:cs="Times New Roman"/>
          <w:b/>
          <w:bCs/>
          <w:lang/>
        </w:rPr>
        <w:t>7</w:t>
      </w:r>
      <w:r w:rsidRPr="00D61046">
        <w:rPr>
          <w:rFonts w:cs="Times New Roman"/>
          <w:lang/>
        </w:rPr>
        <w:t xml:space="preserve"> provid</w:t>
      </w:r>
      <w:proofErr w:type="spellStart"/>
      <w:r w:rsidRPr="00D61046">
        <w:rPr>
          <w:rFonts w:cs="Times New Roman"/>
        </w:rPr>
        <w:t>ing</w:t>
      </w:r>
      <w:proofErr w:type="spellEnd"/>
      <w:r w:rsidRPr="00D61046">
        <w:rPr>
          <w:rFonts w:cs="Times New Roman"/>
          <w:lang/>
        </w:rPr>
        <w:t xml:space="preserve"> an overview of key findings.</w:t>
      </w:r>
      <w:r w:rsidRPr="00D61046">
        <w:rPr>
          <w:rFonts w:cs="Times New Roman"/>
        </w:rPr>
        <w:t xml:space="preserve"> Our </w:t>
      </w:r>
      <w:r w:rsidRPr="00D61046">
        <w:rPr>
          <w:rFonts w:cs="Times New Roman"/>
          <w:lang/>
        </w:rPr>
        <w:t>detailed results</w:t>
      </w:r>
      <w:r w:rsidRPr="00D61046">
        <w:rPr>
          <w:rFonts w:cs="Times New Roman"/>
        </w:rPr>
        <w:t xml:space="preserve"> are presented </w:t>
      </w:r>
      <w:r w:rsidR="004E4775">
        <w:rPr>
          <w:rFonts w:cs="Times New Roman"/>
        </w:rPr>
        <w:t xml:space="preserve">as from </w:t>
      </w:r>
      <w:r w:rsidRPr="004E4775">
        <w:rPr>
          <w:rFonts w:cs="Times New Roman"/>
          <w:b/>
          <w:bCs/>
          <w:lang/>
        </w:rPr>
        <w:t>Table A</w:t>
      </w:r>
      <w:r w:rsidR="00C929C6" w:rsidRPr="004E4775">
        <w:rPr>
          <w:rFonts w:cs="Times New Roman"/>
          <w:b/>
          <w:bCs/>
        </w:rPr>
        <w:t>5</w:t>
      </w:r>
      <w:r w:rsidRPr="004E4775">
        <w:rPr>
          <w:rFonts w:cs="Times New Roman"/>
          <w:b/>
          <w:bCs/>
          <w:lang/>
        </w:rPr>
        <w:t>8</w:t>
      </w:r>
      <w:r w:rsidRPr="00D61046">
        <w:rPr>
          <w:rFonts w:cs="Times New Roman"/>
          <w:lang/>
        </w:rPr>
        <w:t xml:space="preserve"> to </w:t>
      </w:r>
      <w:r w:rsidR="004E4775" w:rsidRPr="004E4775">
        <w:rPr>
          <w:rFonts w:eastAsia="Calibri" w:cs="Times New Roman"/>
          <w:b/>
          <w:bCs/>
        </w:rPr>
        <w:t>Table</w:t>
      </w:r>
      <w:r w:rsidR="004E4775" w:rsidRPr="004E4775">
        <w:rPr>
          <w:rFonts w:cs="Times New Roman"/>
          <w:b/>
          <w:bCs/>
          <w:lang/>
        </w:rPr>
        <w:t xml:space="preserve"> </w:t>
      </w:r>
      <w:r w:rsidRPr="004E4775">
        <w:rPr>
          <w:rFonts w:cs="Times New Roman"/>
          <w:b/>
          <w:bCs/>
          <w:lang/>
        </w:rPr>
        <w:t>A</w:t>
      </w:r>
      <w:r w:rsidR="00C929C6" w:rsidRPr="004E4775">
        <w:rPr>
          <w:rFonts w:cs="Times New Roman"/>
          <w:b/>
          <w:bCs/>
        </w:rPr>
        <w:t>6</w:t>
      </w:r>
      <w:r w:rsidRPr="004E4775">
        <w:rPr>
          <w:rFonts w:cs="Times New Roman"/>
          <w:b/>
          <w:bCs/>
          <w:lang/>
        </w:rPr>
        <w:t>9</w:t>
      </w:r>
      <w:r w:rsidRPr="00D61046">
        <w:rPr>
          <w:rFonts w:cs="Times New Roman"/>
          <w:lang/>
        </w:rPr>
        <w:t xml:space="preserve"> offer comprehensive regression outputs, including joint significance tests and marginal effects evaluations. </w:t>
      </w:r>
      <w:r w:rsidRPr="00D61046">
        <w:rPr>
          <w:rFonts w:cs="Times New Roman"/>
        </w:rPr>
        <w:t xml:space="preserve">This section begins by presenting the results for aggregate impacts across all sectors, distinguishing between LIS and non-LIS. Subsections 7.2 and 7.3 provide deeper insights into LIS and non-LIS sectors, respectively, focusing on the spatial-temporal dynamics of Range and TSD. Section 7.4 delves into robustness checks, highlighting how alternative specifications validate key findings. Finally, Section 7.5 </w:t>
      </w:r>
      <w:r w:rsidRPr="00D61046">
        <w:rPr>
          <w:rFonts w:cs="Times New Roman"/>
        </w:rPr>
        <w:lastRenderedPageBreak/>
        <w:t xml:space="preserve">discusses broader policy implications, tying the results back to research questions and the role of delisting policies in shaping economic outcomes. </w:t>
      </w:r>
    </w:p>
    <w:p w14:paraId="7C62D753" w14:textId="77777777" w:rsidR="00D61046" w:rsidRPr="00D61046" w:rsidRDefault="00D61046" w:rsidP="00346227">
      <w:pPr>
        <w:rPr>
          <w:rFonts w:cs="Times New Roman"/>
        </w:rPr>
      </w:pPr>
      <w:r w:rsidRPr="00D61046">
        <w:rPr>
          <w:rFonts w:cs="Times New Roman"/>
        </w:rPr>
        <w:t>Together, these subsections provide a comprehensive analysis of how delisting policies affect economic dynamics across sectors, offering insights into the interplay between conservation policies and economic adjustments.</w:t>
      </w:r>
    </w:p>
    <w:p w14:paraId="76EB8C7A" w14:textId="215BCB8C" w:rsidR="00D61046" w:rsidRPr="00D61046" w:rsidRDefault="006075E1" w:rsidP="00346227">
      <w:pPr>
        <w:pStyle w:val="Heading3"/>
      </w:pPr>
      <w:bookmarkStart w:id="626" w:name="_Toc187789931"/>
      <w:bookmarkStart w:id="627" w:name="_Toc188379072"/>
      <w:r>
        <w:rPr>
          <w:lang w:val="en-US"/>
        </w:rPr>
        <w:t>3.</w:t>
      </w:r>
      <w:r w:rsidR="00D61046" w:rsidRPr="00D61046">
        <w:t>7.2 Land Intensive Sectors</w:t>
      </w:r>
      <w:bookmarkEnd w:id="626"/>
      <w:bookmarkEnd w:id="627"/>
    </w:p>
    <w:p w14:paraId="457911F1" w14:textId="77777777" w:rsidR="00D61046" w:rsidRPr="00D61046" w:rsidRDefault="00D61046" w:rsidP="00346227">
      <w:pPr>
        <w:rPr>
          <w:rFonts w:cs="Times New Roman"/>
        </w:rPr>
      </w:pPr>
      <w:r w:rsidRPr="00D61046">
        <w:rPr>
          <w:rFonts w:cs="Times New Roman"/>
        </w:rPr>
        <w:t>This section examines the impacts of delisting on LIS, including Agriculture, Mining, Utilities, and Construction. The results reflect both spatial and temporal dynamics, captured through Range (binary and continuous definitions) and Time Since Delisting (TSD). Key findings highlight the importance of land availability, sector-specific adaptation capacities, and regulatory constraints in shaping economic outcomes.</w:t>
      </w:r>
    </w:p>
    <w:p w14:paraId="50B21A80" w14:textId="60F30FB9" w:rsidR="00D61046" w:rsidRPr="00D61046" w:rsidRDefault="006075E1" w:rsidP="001953BB">
      <w:pPr>
        <w:pStyle w:val="Heading4"/>
      </w:pPr>
      <w:bookmarkStart w:id="628" w:name="_Toc187789932"/>
      <w:r>
        <w:t>3.</w:t>
      </w:r>
      <w:r w:rsidR="00D61046" w:rsidRPr="00D61046">
        <w:t>7.2.1 Agriculture, Forestry, Fishing, and Hunting (NAICS 11)</w:t>
      </w:r>
      <w:bookmarkEnd w:id="628"/>
    </w:p>
    <w:p w14:paraId="5BAF7312" w14:textId="77777777" w:rsidR="00D61046" w:rsidRPr="00D61046" w:rsidRDefault="00D61046" w:rsidP="00346227">
      <w:pPr>
        <w:rPr>
          <w:rFonts w:cs="Times New Roman"/>
        </w:rPr>
      </w:pPr>
      <w:r w:rsidRPr="00D61046">
        <w:rPr>
          <w:rFonts w:cs="Times New Roman"/>
        </w:rPr>
        <w:t xml:space="preserve">The </w:t>
      </w:r>
      <w:proofErr w:type="gramStart"/>
      <w:r w:rsidRPr="00D61046">
        <w:rPr>
          <w:rFonts w:cs="Times New Roman"/>
        </w:rPr>
        <w:t>Agriculture</w:t>
      </w:r>
      <w:proofErr w:type="gramEnd"/>
      <w:r w:rsidRPr="00D61046">
        <w:rPr>
          <w:rFonts w:cs="Times New Roman"/>
        </w:rPr>
        <w:t xml:space="preserve"> sector demonstrates significant and consistent declines across all economic outcomes, driven by its structural dependency on land availability and vulnerability to habitat-related constraints. Both immediate and temporal effects are evident, highlighting the sustained negative impacts of delisting-related dynamics. These effects are observed under both binary and continuous definitions of Range.</w:t>
      </w:r>
    </w:p>
    <w:p w14:paraId="74DE59D2" w14:textId="40CEF1C8" w:rsidR="00D61046" w:rsidRPr="00D61046" w:rsidRDefault="00D61046" w:rsidP="00346227">
      <w:pPr>
        <w:rPr>
          <w:rFonts w:cs="Times New Roman"/>
        </w:rPr>
      </w:pPr>
      <w:r w:rsidRPr="00D61046">
        <w:rPr>
          <w:rFonts w:cs="Times New Roman"/>
          <w:b/>
          <w:bCs/>
        </w:rPr>
        <w:t>Establishment Counts:</w:t>
      </w:r>
      <w:r w:rsidRPr="00D61046">
        <w:rPr>
          <w:rFonts w:cs="Times New Roman"/>
        </w:rPr>
        <w:t xml:space="preserve"> Under the binary range definition (</w:t>
      </w:r>
      <w:r w:rsidRPr="004E4775">
        <w:rPr>
          <w:rFonts w:cs="Times New Roman"/>
          <w:b/>
          <w:bCs/>
        </w:rPr>
        <w:t>Table A</w:t>
      </w:r>
      <w:r w:rsidR="00C929C6" w:rsidRPr="004E4775">
        <w:rPr>
          <w:rFonts w:cs="Times New Roman"/>
          <w:b/>
          <w:bCs/>
        </w:rPr>
        <w:t>4</w:t>
      </w:r>
      <w:r w:rsidRPr="004E4775">
        <w:rPr>
          <w:rFonts w:cs="Times New Roman"/>
          <w:b/>
          <w:bCs/>
        </w:rPr>
        <w:t>4</w:t>
      </w:r>
      <w:r w:rsidRPr="00D61046">
        <w:rPr>
          <w:rFonts w:cs="Times New Roman"/>
        </w:rPr>
        <w:t xml:space="preserve">), counties within the bear’s range experience an immediate 12.5% decline in establishment counts, which worsens further over time with an additional 20.5% annual decline. These results emphasize the broad and severe disruptions faced by </w:t>
      </w:r>
      <w:proofErr w:type="spellStart"/>
      <w:proofErr w:type="gramStart"/>
      <w:r w:rsidRPr="00D61046">
        <w:rPr>
          <w:rFonts w:cs="Times New Roman"/>
        </w:rPr>
        <w:t>range</w:t>
      </w:r>
      <w:proofErr w:type="spellEnd"/>
      <w:proofErr w:type="gramEnd"/>
      <w:r w:rsidRPr="00D61046">
        <w:rPr>
          <w:rFonts w:cs="Times New Roman"/>
        </w:rPr>
        <w:t xml:space="preserve"> counties. Under the continuous range definition (</w:t>
      </w:r>
      <w:r w:rsidRPr="004E4775">
        <w:rPr>
          <w:rFonts w:cs="Times New Roman"/>
          <w:b/>
          <w:bCs/>
        </w:rPr>
        <w:t xml:space="preserve">Table </w:t>
      </w:r>
      <w:r w:rsidRPr="004E4775">
        <w:rPr>
          <w:rFonts w:cs="Times New Roman"/>
          <w:b/>
          <w:bCs/>
        </w:rPr>
        <w:lastRenderedPageBreak/>
        <w:t>A</w:t>
      </w:r>
      <w:r w:rsidR="00C929C6" w:rsidRPr="004E4775">
        <w:rPr>
          <w:rFonts w:cs="Times New Roman"/>
          <w:b/>
          <w:bCs/>
        </w:rPr>
        <w:t>4</w:t>
      </w:r>
      <w:r w:rsidRPr="004E4775">
        <w:rPr>
          <w:rFonts w:cs="Times New Roman"/>
          <w:b/>
          <w:bCs/>
        </w:rPr>
        <w:t>5</w:t>
      </w:r>
      <w:r w:rsidRPr="00D61046">
        <w:rPr>
          <w:rFonts w:cs="Times New Roman"/>
        </w:rPr>
        <w:t>), a 1-percentage-point increase in habitat overlap leads to an immediate 0.1% decline in establishment counts, followed by an additional 0.17% annual reduction. These findings highlight that the negative effects scale proportionally with habitat overlap, offering a more nuanced understanding of spatial heterogeneity compared to the binary definition.</w:t>
      </w:r>
    </w:p>
    <w:p w14:paraId="1128B6CB" w14:textId="4EBDF73F" w:rsidR="00D61046" w:rsidRPr="00D61046" w:rsidRDefault="00D61046" w:rsidP="00346227">
      <w:pPr>
        <w:rPr>
          <w:rFonts w:cs="Times New Roman"/>
        </w:rPr>
      </w:pPr>
      <w:r w:rsidRPr="00D61046">
        <w:rPr>
          <w:rFonts w:cs="Times New Roman"/>
          <w:b/>
          <w:bCs/>
        </w:rPr>
        <w:t>Employment:</w:t>
      </w:r>
      <w:r w:rsidRPr="00D61046">
        <w:rPr>
          <w:rFonts w:cs="Times New Roman"/>
        </w:rPr>
        <w:t xml:space="preserve"> The binary range definition (</w:t>
      </w:r>
      <w:r w:rsidRPr="004E4775">
        <w:rPr>
          <w:rFonts w:cs="Times New Roman"/>
          <w:b/>
          <w:bCs/>
        </w:rPr>
        <w:t>Table A</w:t>
      </w:r>
      <w:r w:rsidR="00C929C6" w:rsidRPr="004E4775">
        <w:rPr>
          <w:rFonts w:cs="Times New Roman"/>
          <w:b/>
          <w:bCs/>
        </w:rPr>
        <w:t>4</w:t>
      </w:r>
      <w:r w:rsidRPr="004E4775">
        <w:rPr>
          <w:rFonts w:cs="Times New Roman"/>
          <w:b/>
          <w:bCs/>
        </w:rPr>
        <w:t>4</w:t>
      </w:r>
      <w:r w:rsidRPr="00D61046">
        <w:rPr>
          <w:rFonts w:cs="Times New Roman"/>
        </w:rPr>
        <w:t xml:space="preserve">) indicates an annual 12.1% decline in employment in </w:t>
      </w:r>
      <w:proofErr w:type="spellStart"/>
      <w:r w:rsidRPr="00D61046">
        <w:rPr>
          <w:rFonts w:cs="Times New Roman"/>
        </w:rPr>
        <w:t>range</w:t>
      </w:r>
      <w:proofErr w:type="spellEnd"/>
      <w:r w:rsidRPr="00D61046">
        <w:rPr>
          <w:rFonts w:cs="Times New Roman"/>
        </w:rPr>
        <w:t xml:space="preserve"> counties, reflecting cumulative workforce losses over time. The continuous definition (</w:t>
      </w:r>
      <w:r w:rsidRPr="004E4775">
        <w:rPr>
          <w:rFonts w:cs="Times New Roman"/>
          <w:b/>
          <w:bCs/>
        </w:rPr>
        <w:t>Table A</w:t>
      </w:r>
      <w:r w:rsidR="00C929C6" w:rsidRPr="004E4775">
        <w:rPr>
          <w:rFonts w:cs="Times New Roman"/>
          <w:b/>
          <w:bCs/>
        </w:rPr>
        <w:t>4</w:t>
      </w:r>
      <w:r w:rsidRPr="004E4775">
        <w:rPr>
          <w:rFonts w:cs="Times New Roman"/>
          <w:b/>
          <w:bCs/>
        </w:rPr>
        <w:t>5</w:t>
      </w:r>
      <w:r w:rsidRPr="00D61046">
        <w:rPr>
          <w:rFonts w:cs="Times New Roman"/>
        </w:rPr>
        <w:t>) reveals smaller, incremental effects, with a 1-percentage-point increase in habitat overlap leading to an annual 0.097% reduction in job counts. These gradual and compounding declines underscore the challenges faced by agricultural employment in adapting to habitat-related restrictions, particularly in counties with higher habitat coverage.</w:t>
      </w:r>
    </w:p>
    <w:p w14:paraId="61F933A1" w14:textId="1EDEC9CD" w:rsidR="00D61046" w:rsidRPr="00D61046" w:rsidRDefault="00D61046" w:rsidP="00346227">
      <w:pPr>
        <w:rPr>
          <w:rFonts w:cs="Times New Roman"/>
        </w:rPr>
      </w:pPr>
      <w:r w:rsidRPr="00D61046">
        <w:rPr>
          <w:rFonts w:cs="Times New Roman"/>
          <w:b/>
          <w:bCs/>
        </w:rPr>
        <w:t>Sales Volume:</w:t>
      </w:r>
      <w:r w:rsidRPr="00D61046">
        <w:rPr>
          <w:rFonts w:cs="Times New Roman"/>
        </w:rPr>
        <w:t xml:space="preserve"> Sales volume also exhibits significant declines. Under the binary range definition (</w:t>
      </w:r>
      <w:r w:rsidRPr="004E4775">
        <w:rPr>
          <w:rFonts w:cs="Times New Roman"/>
          <w:b/>
          <w:bCs/>
        </w:rPr>
        <w:t>Table A</w:t>
      </w:r>
      <w:r w:rsidR="00C929C6" w:rsidRPr="004E4775">
        <w:rPr>
          <w:rFonts w:cs="Times New Roman"/>
          <w:b/>
          <w:bCs/>
        </w:rPr>
        <w:t>4</w:t>
      </w:r>
      <w:r w:rsidRPr="004E4775">
        <w:rPr>
          <w:rFonts w:cs="Times New Roman"/>
          <w:b/>
          <w:bCs/>
        </w:rPr>
        <w:t>4</w:t>
      </w:r>
      <w:r w:rsidRPr="00D61046">
        <w:rPr>
          <w:rFonts w:cs="Times New Roman"/>
        </w:rPr>
        <w:t>), counties within the bear’s range experience a 21% immediate contraction in sales volume, signaling abrupt revenue losses. Continuous measures (</w:t>
      </w:r>
      <w:r w:rsidRPr="004E4775">
        <w:rPr>
          <w:rFonts w:cs="Times New Roman"/>
          <w:b/>
          <w:bCs/>
        </w:rPr>
        <w:t>Table A</w:t>
      </w:r>
      <w:r w:rsidR="00C929C6" w:rsidRPr="004E4775">
        <w:rPr>
          <w:rFonts w:cs="Times New Roman"/>
          <w:b/>
          <w:bCs/>
        </w:rPr>
        <w:t>4</w:t>
      </w:r>
      <w:r w:rsidRPr="004E4775">
        <w:rPr>
          <w:rFonts w:cs="Times New Roman"/>
          <w:b/>
          <w:bCs/>
        </w:rPr>
        <w:t>5</w:t>
      </w:r>
      <w:r w:rsidRPr="00D61046">
        <w:rPr>
          <w:rFonts w:cs="Times New Roman"/>
        </w:rPr>
        <w:t>) reveal worsening declines over time, with each 1-percentage-point increase in habitat overlap contributing to both immediate and compounding reductions in revenue. These results reflect both the direct and cascading economic impacts of delisting.</w:t>
      </w:r>
    </w:p>
    <w:p w14:paraId="303E95EF" w14:textId="77777777" w:rsidR="00D61046" w:rsidRPr="00D61046" w:rsidRDefault="00D61046" w:rsidP="00346227">
      <w:pPr>
        <w:rPr>
          <w:rFonts w:cs="Times New Roman"/>
        </w:rPr>
      </w:pPr>
      <w:r w:rsidRPr="00D61046">
        <w:rPr>
          <w:rFonts w:cs="Times New Roman"/>
        </w:rPr>
        <w:t xml:space="preserve">These findings indicate that agriculture’s limited capacity for adaptation makes it particularly vulnerable to regulatory changes stemming from delisting. The observed declines likely arise from a combination of reduced production areas, increased compliance costs, and heightened investment risks in </w:t>
      </w:r>
      <w:proofErr w:type="spellStart"/>
      <w:r w:rsidRPr="00D61046">
        <w:rPr>
          <w:rFonts w:cs="Times New Roman"/>
        </w:rPr>
        <w:t>range</w:t>
      </w:r>
      <w:proofErr w:type="spellEnd"/>
      <w:r w:rsidRPr="00D61046">
        <w:rPr>
          <w:rFonts w:cs="Times New Roman"/>
        </w:rPr>
        <w:t xml:space="preserve"> counties. These results align with the literature on Land Use Economics, where habitat protection often disrupts agricultural efficiency and capital allocation </w:t>
      </w:r>
      <w:r w:rsidRPr="00D61046">
        <w:rPr>
          <w:rFonts w:cs="Times New Roman"/>
        </w:rPr>
        <w:lastRenderedPageBreak/>
        <w:t xml:space="preserve">(Irwin &amp; Wrenn, 2010). The cumulative nature of these declines underscores the sector’s struggle to respond to delisting-related challenges, revealing significant economic vulnerabilities in </w:t>
      </w:r>
      <w:proofErr w:type="spellStart"/>
      <w:r w:rsidRPr="00D61046">
        <w:rPr>
          <w:rFonts w:cs="Times New Roman"/>
        </w:rPr>
        <w:t>range</w:t>
      </w:r>
      <w:proofErr w:type="spellEnd"/>
      <w:r w:rsidRPr="00D61046">
        <w:rPr>
          <w:rFonts w:cs="Times New Roman"/>
        </w:rPr>
        <w:t xml:space="preserve"> counties.</w:t>
      </w:r>
    </w:p>
    <w:p w14:paraId="6C0AC19F" w14:textId="435C2B71" w:rsidR="00D61046" w:rsidRPr="00D61046" w:rsidRDefault="006075E1" w:rsidP="001953BB">
      <w:pPr>
        <w:pStyle w:val="Heading4"/>
      </w:pPr>
      <w:bookmarkStart w:id="629" w:name="_Toc187789933"/>
      <w:r>
        <w:t>3.</w:t>
      </w:r>
      <w:r w:rsidR="00D61046" w:rsidRPr="00D61046">
        <w:t>7.2.2 Mining, Quarrying, and Oil and Gas Extraction (NAICS 21)</w:t>
      </w:r>
      <w:bookmarkEnd w:id="629"/>
    </w:p>
    <w:p w14:paraId="73B2DBC2" w14:textId="77777777" w:rsidR="00D61046" w:rsidRPr="00D61046" w:rsidRDefault="00D61046" w:rsidP="00346227">
      <w:pPr>
        <w:rPr>
          <w:rFonts w:cs="Times New Roman"/>
        </w:rPr>
      </w:pPr>
      <w:r w:rsidRPr="00D61046">
        <w:rPr>
          <w:rFonts w:cs="Times New Roman"/>
        </w:rPr>
        <w:t>The Mining sector experiences significant declines across all outcomes, reflecting the sector's sensitivity to habitat-related constraints and its reliance on stable regulatory environments. Both binary and continuous definitions of Range highlight these adverse effects, which manifest as gradual but persistent contractions over time.</w:t>
      </w:r>
    </w:p>
    <w:p w14:paraId="2FA58A01" w14:textId="1E1ADE8F" w:rsidR="00D61046" w:rsidRPr="00D61046" w:rsidRDefault="00D61046" w:rsidP="00346227">
      <w:pPr>
        <w:rPr>
          <w:rFonts w:cs="Times New Roman"/>
        </w:rPr>
      </w:pPr>
      <w:r w:rsidRPr="00D61046">
        <w:rPr>
          <w:rFonts w:cs="Times New Roman"/>
          <w:b/>
          <w:bCs/>
        </w:rPr>
        <w:t>Establishment Counts:</w:t>
      </w:r>
      <w:r w:rsidRPr="00D61046">
        <w:rPr>
          <w:rFonts w:cs="Times New Roman"/>
        </w:rPr>
        <w:t xml:space="preserve"> The binary range definition (</w:t>
      </w:r>
      <w:r w:rsidRPr="004E4775">
        <w:rPr>
          <w:rFonts w:cs="Times New Roman"/>
          <w:b/>
          <w:bCs/>
        </w:rPr>
        <w:t>Table A</w:t>
      </w:r>
      <w:r w:rsidR="00C929C6" w:rsidRPr="004E4775">
        <w:rPr>
          <w:rFonts w:cs="Times New Roman"/>
          <w:b/>
          <w:bCs/>
        </w:rPr>
        <w:t>4</w:t>
      </w:r>
      <w:r w:rsidRPr="004E4775">
        <w:rPr>
          <w:rFonts w:cs="Times New Roman"/>
          <w:b/>
          <w:bCs/>
        </w:rPr>
        <w:t>6</w:t>
      </w:r>
      <w:r w:rsidRPr="00D61046">
        <w:rPr>
          <w:rFonts w:cs="Times New Roman"/>
        </w:rPr>
        <w:t>) reveals a 10.4% annual decline in establishment counts for counties within the bear’s range. This broad trend captures the disruptive effects of delisting-related policies on mining activities. Under the continuous range definition (</w:t>
      </w:r>
      <w:r w:rsidRPr="004E4775">
        <w:rPr>
          <w:rFonts w:cs="Times New Roman"/>
          <w:b/>
          <w:bCs/>
        </w:rPr>
        <w:t>Table A</w:t>
      </w:r>
      <w:r w:rsidR="00C929C6" w:rsidRPr="004E4775">
        <w:rPr>
          <w:rFonts w:cs="Times New Roman"/>
          <w:b/>
          <w:bCs/>
        </w:rPr>
        <w:t>4</w:t>
      </w:r>
      <w:r w:rsidRPr="004E4775">
        <w:rPr>
          <w:rFonts w:cs="Times New Roman"/>
          <w:b/>
          <w:bCs/>
        </w:rPr>
        <w:t>7</w:t>
      </w:r>
      <w:r w:rsidRPr="00D61046">
        <w:rPr>
          <w:rFonts w:cs="Times New Roman"/>
        </w:rPr>
        <w:t>), each 1-percentage-point increase in habitat overlap results in an incremental 0.1% annual reduction in establishment counts. The continuous measure demonstrates the scaling nature of the impact, where counties with greater habitat overlap experience proportionately larger declines. These results underscore the increasing regulatory and operational constraints faced by mining establishments as habitat overlap intensifies.</w:t>
      </w:r>
    </w:p>
    <w:p w14:paraId="7CAC0AD2" w14:textId="24083F85" w:rsidR="00D61046" w:rsidRPr="00D61046" w:rsidRDefault="00D61046" w:rsidP="00346227">
      <w:pPr>
        <w:rPr>
          <w:rFonts w:cs="Times New Roman"/>
        </w:rPr>
      </w:pPr>
      <w:r w:rsidRPr="00D61046">
        <w:rPr>
          <w:rFonts w:cs="Times New Roman"/>
          <w:b/>
          <w:bCs/>
        </w:rPr>
        <w:t>Employment:</w:t>
      </w:r>
      <w:r w:rsidRPr="00D61046">
        <w:rPr>
          <w:rFonts w:cs="Times New Roman"/>
        </w:rPr>
        <w:t xml:space="preserve"> Employment in the mining sector also exhibits significant declines. The binary measure (</w:t>
      </w:r>
      <w:r w:rsidRPr="004E4775">
        <w:rPr>
          <w:rFonts w:cs="Times New Roman"/>
          <w:b/>
          <w:bCs/>
        </w:rPr>
        <w:t>Table A</w:t>
      </w:r>
      <w:r w:rsidR="00C929C6" w:rsidRPr="004E4775">
        <w:rPr>
          <w:rFonts w:cs="Times New Roman"/>
          <w:b/>
          <w:bCs/>
        </w:rPr>
        <w:t>4</w:t>
      </w:r>
      <w:r w:rsidRPr="004E4775">
        <w:rPr>
          <w:rFonts w:cs="Times New Roman"/>
          <w:b/>
          <w:bCs/>
        </w:rPr>
        <w:t>6</w:t>
      </w:r>
      <w:r w:rsidRPr="00D61046">
        <w:rPr>
          <w:rFonts w:cs="Times New Roman"/>
        </w:rPr>
        <w:t xml:space="preserve">) indicates a 17.2% annual decline in job counts for </w:t>
      </w:r>
      <w:proofErr w:type="spellStart"/>
      <w:r w:rsidRPr="00D61046">
        <w:rPr>
          <w:rFonts w:cs="Times New Roman"/>
        </w:rPr>
        <w:t>range</w:t>
      </w:r>
      <w:proofErr w:type="spellEnd"/>
      <w:r w:rsidRPr="00D61046">
        <w:rPr>
          <w:rFonts w:cs="Times New Roman"/>
        </w:rPr>
        <w:t xml:space="preserve"> counties, reflecting substantial workforce contractions over time. The continuous measure (</w:t>
      </w:r>
      <w:r w:rsidRPr="004E4775">
        <w:rPr>
          <w:rFonts w:cs="Times New Roman"/>
          <w:b/>
          <w:bCs/>
        </w:rPr>
        <w:t>Table A</w:t>
      </w:r>
      <w:r w:rsidR="00C929C6" w:rsidRPr="004E4775">
        <w:rPr>
          <w:rFonts w:cs="Times New Roman"/>
          <w:b/>
          <w:bCs/>
        </w:rPr>
        <w:t>4</w:t>
      </w:r>
      <w:r w:rsidRPr="004E4775">
        <w:rPr>
          <w:rFonts w:cs="Times New Roman"/>
          <w:b/>
          <w:bCs/>
        </w:rPr>
        <w:t>7</w:t>
      </w:r>
      <w:r w:rsidRPr="00D61046">
        <w:rPr>
          <w:rFonts w:cs="Times New Roman"/>
        </w:rPr>
        <w:t xml:space="preserve">) provides a more detailed picture, revealing both immediate and compounding effects. Each 1-percentage-point increase in habitat overlap leads to an immediate 0.22% decline in jobs, </w:t>
      </w:r>
      <w:r w:rsidRPr="00D61046">
        <w:rPr>
          <w:rFonts w:cs="Times New Roman"/>
        </w:rPr>
        <w:lastRenderedPageBreak/>
        <w:t>followed by an additional 0.14% annual reduction. These findings emphasize the gradual erosion of mining employment, driven by long-term challenges in land access, operational restrictions, and regulatory uncertainty.</w:t>
      </w:r>
    </w:p>
    <w:p w14:paraId="6F281EE9" w14:textId="77777777" w:rsidR="00D61046" w:rsidRPr="00D61046" w:rsidRDefault="00D61046" w:rsidP="00346227">
      <w:pPr>
        <w:rPr>
          <w:rFonts w:cs="Times New Roman"/>
        </w:rPr>
      </w:pPr>
      <w:r w:rsidRPr="00D61046">
        <w:rPr>
          <w:rFonts w:cs="Times New Roman"/>
        </w:rPr>
        <w:t>The distinct patterns of immediate and annual declines highlight the mining sector’s reliance on long-term investment cycles and stable land access. Unlike agriculture, which responds immediately to habitat-related constraints, mining's response unfolds gradually, reflecting the sector’s reliance on large-scale infrastructure, lengthy project timelines, and complex regulatory processes. These persistent effects likely stem from increased compliance costs, heightened uncertainties, and reduced investment incentives in counties with significant habitat overlap.</w:t>
      </w:r>
    </w:p>
    <w:p w14:paraId="7136BDF6" w14:textId="77777777" w:rsidR="00D61046" w:rsidRPr="00D61046" w:rsidRDefault="00D61046" w:rsidP="00346227">
      <w:pPr>
        <w:rPr>
          <w:rFonts w:cs="Times New Roman"/>
        </w:rPr>
      </w:pPr>
      <w:r w:rsidRPr="00D61046">
        <w:rPr>
          <w:rFonts w:cs="Times New Roman"/>
        </w:rPr>
        <w:t>These findings align with the Industrial Organization literature, particularly Dixit and Pindyck’s (1994) work on Investment Under Uncertainty, which underscores the importance of policy stability in enabling resource-dependent industries to plan extraction schedules and allocate capital effectively. The observed declines in both establishments and employment emphasize the need for predictable regulatory frameworks to mitigate economic disruptions in mining and ensure long-term sectoral viability.</w:t>
      </w:r>
    </w:p>
    <w:p w14:paraId="5C22872B" w14:textId="6454ACEE" w:rsidR="00D61046" w:rsidRPr="00D61046" w:rsidRDefault="006075E1" w:rsidP="001953BB">
      <w:pPr>
        <w:pStyle w:val="Heading4"/>
      </w:pPr>
      <w:bookmarkStart w:id="630" w:name="_Toc187789934"/>
      <w:r>
        <w:t>3.</w:t>
      </w:r>
      <w:r w:rsidR="00D61046" w:rsidRPr="00D61046">
        <w:t>7.2.3 Utilities (NAICS 22)</w:t>
      </w:r>
      <w:bookmarkEnd w:id="630"/>
    </w:p>
    <w:p w14:paraId="33A85FC1" w14:textId="77777777" w:rsidR="00D61046" w:rsidRPr="00D61046" w:rsidRDefault="00D61046" w:rsidP="00346227">
      <w:pPr>
        <w:rPr>
          <w:rFonts w:cs="Times New Roman"/>
        </w:rPr>
      </w:pPr>
      <w:r w:rsidRPr="00D61046">
        <w:rPr>
          <w:rFonts w:cs="Times New Roman"/>
        </w:rPr>
        <w:t>The Utilities sector experiences significant negative impacts across key outcomes, reflecting its reliance on fixed infrastructure and capital-intensive operations. Both binary and continuous range definitions highlight the adverse effects of delisting-related constraints, with evidence of both immediate disruptions and gradual, compounding declines over time.</w:t>
      </w:r>
    </w:p>
    <w:p w14:paraId="5D6E2E80" w14:textId="3246B622" w:rsidR="00D61046" w:rsidRPr="00D61046" w:rsidRDefault="00D61046" w:rsidP="00346227">
      <w:pPr>
        <w:rPr>
          <w:rFonts w:cs="Times New Roman"/>
        </w:rPr>
      </w:pPr>
      <w:r w:rsidRPr="00D61046">
        <w:rPr>
          <w:rFonts w:cs="Times New Roman"/>
          <w:b/>
          <w:bCs/>
        </w:rPr>
        <w:lastRenderedPageBreak/>
        <w:t>Establishment Counts:</w:t>
      </w:r>
      <w:r w:rsidRPr="00D61046">
        <w:rPr>
          <w:rFonts w:cs="Times New Roman"/>
        </w:rPr>
        <w:t xml:space="preserve"> Under the binary range definition (</w:t>
      </w:r>
      <w:r w:rsidRPr="004E4775">
        <w:rPr>
          <w:rFonts w:cs="Times New Roman"/>
          <w:b/>
          <w:bCs/>
        </w:rPr>
        <w:t>Table A</w:t>
      </w:r>
      <w:r w:rsidR="00C929C6" w:rsidRPr="004E4775">
        <w:rPr>
          <w:rFonts w:cs="Times New Roman"/>
          <w:b/>
          <w:bCs/>
        </w:rPr>
        <w:t>4</w:t>
      </w:r>
      <w:r w:rsidRPr="004E4775">
        <w:rPr>
          <w:rFonts w:cs="Times New Roman"/>
          <w:b/>
          <w:bCs/>
        </w:rPr>
        <w:t>8</w:t>
      </w:r>
      <w:r w:rsidRPr="00D61046">
        <w:rPr>
          <w:rFonts w:cs="Times New Roman"/>
        </w:rPr>
        <w:t>), establishment counts decline by 6.1% annually in counties within the bear’s range. This broad spatial effect reflects the sector’s sensitivity to land-use restrictions. The continuous measure (</w:t>
      </w:r>
      <w:r w:rsidRPr="004E4775">
        <w:rPr>
          <w:rFonts w:cs="Times New Roman"/>
          <w:b/>
          <w:bCs/>
        </w:rPr>
        <w:t>Table A</w:t>
      </w:r>
      <w:r w:rsidR="00C929C6" w:rsidRPr="004E4775">
        <w:rPr>
          <w:rFonts w:cs="Times New Roman"/>
          <w:b/>
          <w:bCs/>
        </w:rPr>
        <w:t>4</w:t>
      </w:r>
      <w:r w:rsidRPr="004E4775">
        <w:rPr>
          <w:rFonts w:cs="Times New Roman"/>
          <w:b/>
          <w:bCs/>
        </w:rPr>
        <w:t>9</w:t>
      </w:r>
      <w:r w:rsidRPr="00D61046">
        <w:rPr>
          <w:rFonts w:cs="Times New Roman"/>
        </w:rPr>
        <w:t>) reveals a smaller, incremental decline, with each 1-percentage-point increase in habitat overlap reducing establishment counts by 0.045% annually. These results demonstrate that greater habitat overlap intensifies these negative effects over time, though the impacts are less pronounced than in other LIS.</w:t>
      </w:r>
    </w:p>
    <w:p w14:paraId="66FAD7F6" w14:textId="0E856639" w:rsidR="00D61046" w:rsidRPr="00D61046" w:rsidRDefault="00D61046" w:rsidP="00346227">
      <w:pPr>
        <w:rPr>
          <w:rFonts w:cs="Times New Roman"/>
        </w:rPr>
      </w:pPr>
      <w:r w:rsidRPr="00D61046">
        <w:rPr>
          <w:rFonts w:cs="Times New Roman"/>
          <w:b/>
          <w:bCs/>
        </w:rPr>
        <w:t>Employment:</w:t>
      </w:r>
      <w:r w:rsidRPr="00D61046">
        <w:rPr>
          <w:rFonts w:cs="Times New Roman"/>
        </w:rPr>
        <w:t xml:space="preserve"> Utilities face sharp job losses immediately post-delisting. Under the binary range definition (</w:t>
      </w:r>
      <w:r w:rsidRPr="004E4775">
        <w:rPr>
          <w:rFonts w:cs="Times New Roman"/>
          <w:b/>
          <w:bCs/>
        </w:rPr>
        <w:t>Table A</w:t>
      </w:r>
      <w:r w:rsidR="00C929C6" w:rsidRPr="004E4775">
        <w:rPr>
          <w:rFonts w:cs="Times New Roman"/>
          <w:b/>
          <w:bCs/>
        </w:rPr>
        <w:t>4</w:t>
      </w:r>
      <w:r w:rsidRPr="004E4775">
        <w:rPr>
          <w:rFonts w:cs="Times New Roman"/>
          <w:b/>
          <w:bCs/>
        </w:rPr>
        <w:t>8</w:t>
      </w:r>
      <w:r w:rsidRPr="00D61046">
        <w:rPr>
          <w:rFonts w:cs="Times New Roman"/>
        </w:rPr>
        <w:t>), job counts decline by 16.3% immediately, indicating significant workforce contractions. The continuous measure (</w:t>
      </w:r>
      <w:r w:rsidRPr="004E4775">
        <w:rPr>
          <w:rFonts w:cs="Times New Roman"/>
          <w:b/>
          <w:bCs/>
        </w:rPr>
        <w:t>Table A</w:t>
      </w:r>
      <w:r w:rsidR="00C929C6" w:rsidRPr="004E4775">
        <w:rPr>
          <w:rFonts w:cs="Times New Roman"/>
          <w:b/>
          <w:bCs/>
        </w:rPr>
        <w:t>4</w:t>
      </w:r>
      <w:r w:rsidRPr="004E4775">
        <w:rPr>
          <w:rFonts w:cs="Times New Roman"/>
          <w:b/>
          <w:bCs/>
        </w:rPr>
        <w:t>9</w:t>
      </w:r>
      <w:r w:rsidRPr="00D61046">
        <w:rPr>
          <w:rFonts w:cs="Times New Roman"/>
        </w:rPr>
        <w:t>) shows more gradual effects: each 1-percentage-point increase in habitat overlap leads to 0.16% immediate reductions in jobs, with an additional 0.08% annual decline. These results suggest that while utilities face immediate employment shocks, the cumulative effects of increasing habitat overlap exacerbate these challenges over time.</w:t>
      </w:r>
    </w:p>
    <w:p w14:paraId="403BF50C" w14:textId="16F06E67" w:rsidR="00D61046" w:rsidRPr="00D61046" w:rsidRDefault="00D61046" w:rsidP="00346227">
      <w:pPr>
        <w:rPr>
          <w:rFonts w:cs="Times New Roman"/>
        </w:rPr>
      </w:pPr>
      <w:r w:rsidRPr="00D61046">
        <w:rPr>
          <w:rFonts w:cs="Times New Roman"/>
          <w:b/>
          <w:bCs/>
        </w:rPr>
        <w:t>Sales Volume:</w:t>
      </w:r>
      <w:r w:rsidRPr="00D61046">
        <w:rPr>
          <w:rFonts w:cs="Times New Roman"/>
        </w:rPr>
        <w:t xml:space="preserve"> Sales revenue in the Utilities sector also experiences substantial declines. The binary measure (</w:t>
      </w:r>
      <w:r w:rsidRPr="004E4775">
        <w:rPr>
          <w:rFonts w:cs="Times New Roman"/>
          <w:b/>
          <w:bCs/>
        </w:rPr>
        <w:t>Table A</w:t>
      </w:r>
      <w:r w:rsidR="00C929C6" w:rsidRPr="004E4775">
        <w:rPr>
          <w:rFonts w:cs="Times New Roman"/>
          <w:b/>
          <w:bCs/>
        </w:rPr>
        <w:t>4</w:t>
      </w:r>
      <w:r w:rsidRPr="004E4775">
        <w:rPr>
          <w:rFonts w:cs="Times New Roman"/>
          <w:b/>
          <w:bCs/>
        </w:rPr>
        <w:t>8</w:t>
      </w:r>
      <w:r w:rsidRPr="00D61046">
        <w:rPr>
          <w:rFonts w:cs="Times New Roman"/>
        </w:rPr>
        <w:t>) indicates a 33.9% immediate reduction in sales volume for counties within the bear’s range, reflecting sharp revenue losses. Under the continuous range definition (</w:t>
      </w:r>
      <w:r w:rsidRPr="004E4775">
        <w:rPr>
          <w:rFonts w:cs="Times New Roman"/>
          <w:b/>
          <w:bCs/>
        </w:rPr>
        <w:t>Table A</w:t>
      </w:r>
      <w:r w:rsidR="00C929C6" w:rsidRPr="004E4775">
        <w:rPr>
          <w:rFonts w:cs="Times New Roman"/>
          <w:b/>
          <w:bCs/>
        </w:rPr>
        <w:t>4</w:t>
      </w:r>
      <w:r w:rsidRPr="004E4775">
        <w:rPr>
          <w:rFonts w:cs="Times New Roman"/>
          <w:b/>
          <w:bCs/>
        </w:rPr>
        <w:t>9</w:t>
      </w:r>
      <w:r w:rsidRPr="00D61046">
        <w:rPr>
          <w:rFonts w:cs="Times New Roman"/>
        </w:rPr>
        <w:t>), each 1-percentage-point increase in habitat overlap results in an immediate 0.39% reduction, with further annual declines of 0.085%. These findings highlight the compounding nature of revenue losses in counties with greater habitat overlap, driven by both direct constraints and operational inefficiencies.</w:t>
      </w:r>
    </w:p>
    <w:p w14:paraId="5734B0CA" w14:textId="77777777" w:rsidR="00D61046" w:rsidRPr="00D61046" w:rsidRDefault="00D61046" w:rsidP="00346227">
      <w:pPr>
        <w:rPr>
          <w:rFonts w:cs="Times New Roman"/>
        </w:rPr>
      </w:pPr>
      <w:r w:rsidRPr="00D61046">
        <w:rPr>
          <w:rFonts w:cs="Times New Roman"/>
        </w:rPr>
        <w:lastRenderedPageBreak/>
        <w:t>The pronounced impacts observed in the Utilities sector can be attributed to its reliance on fixed infrastructure, such as power lines, pipelines, and treatment facilities, which are costly to relocate or adapt to habitat constraints. Habitat protection measures likely impede the expansion of essential infrastructure, restricting the sector’s ability to scale operations in high-overlap counties. Furthermore, the sector’s immobility limits its capacity to adapt to delisting-related challenges, as fixed assets cannot easily be reallocated to less constrained locations.</w:t>
      </w:r>
    </w:p>
    <w:p w14:paraId="1B6F10A6" w14:textId="77777777" w:rsidR="00D61046" w:rsidRPr="00D61046" w:rsidRDefault="00D61046" w:rsidP="00346227">
      <w:pPr>
        <w:rPr>
          <w:rFonts w:cs="Times New Roman"/>
        </w:rPr>
      </w:pPr>
      <w:r w:rsidRPr="00D61046">
        <w:rPr>
          <w:rFonts w:cs="Times New Roman"/>
        </w:rPr>
        <w:t>These results align with Capital Immobility theory (Jorgenson, 1963), which posits that sectors reliant on immobile, capital-intensive infrastructure are disproportionately affected by regulatory changes that restrict land use. The immediate and incremental revenue and employment losses observed in utilities underscore the sector’s vulnerability to habitat-related constraints, highlighting the need for targeted policy interventions to mitigate these economic disruptions.</w:t>
      </w:r>
    </w:p>
    <w:p w14:paraId="0EDE6CED" w14:textId="4FA73A89" w:rsidR="00D61046" w:rsidRPr="00D61046" w:rsidRDefault="006075E1" w:rsidP="001953BB">
      <w:pPr>
        <w:pStyle w:val="Heading4"/>
      </w:pPr>
      <w:bookmarkStart w:id="631" w:name="_Toc187789935"/>
      <w:r>
        <w:t>3.</w:t>
      </w:r>
      <w:r w:rsidR="00D61046" w:rsidRPr="00D61046">
        <w:t>7.2.4 Construction (NAICS 23)</w:t>
      </w:r>
      <w:bookmarkEnd w:id="631"/>
    </w:p>
    <w:p w14:paraId="0605718E" w14:textId="77777777" w:rsidR="00D61046" w:rsidRPr="00D61046" w:rsidRDefault="00D61046" w:rsidP="00346227">
      <w:pPr>
        <w:rPr>
          <w:rFonts w:cs="Times New Roman"/>
        </w:rPr>
      </w:pPr>
      <w:r w:rsidRPr="00D61046">
        <w:rPr>
          <w:rFonts w:cs="Times New Roman"/>
        </w:rPr>
        <w:t>Unlike other LIS, the construction industry experiences significant and positive impacts post-delisting, demonstrating its capacity to capitalize on reduced regulatory barriers and increased land-use opportunities. Both binary and continuous range definitions highlight the sector’s adaptability and ability to benefit from delisting policies.</w:t>
      </w:r>
    </w:p>
    <w:p w14:paraId="19E20392" w14:textId="287EE909" w:rsidR="00D61046" w:rsidRPr="00D61046" w:rsidRDefault="00D61046" w:rsidP="00346227">
      <w:pPr>
        <w:rPr>
          <w:rFonts w:cs="Times New Roman"/>
        </w:rPr>
      </w:pPr>
      <w:r w:rsidRPr="00D61046">
        <w:rPr>
          <w:rFonts w:cs="Times New Roman"/>
          <w:b/>
          <w:bCs/>
        </w:rPr>
        <w:t>Establishment Counts:</w:t>
      </w:r>
      <w:r w:rsidRPr="00D61046">
        <w:rPr>
          <w:rFonts w:cs="Times New Roman"/>
        </w:rPr>
        <w:t xml:space="preserve"> The binary range definition (</w:t>
      </w:r>
      <w:r w:rsidRPr="004E4775">
        <w:rPr>
          <w:rFonts w:cs="Times New Roman"/>
          <w:b/>
          <w:bCs/>
        </w:rPr>
        <w:t>Table A</w:t>
      </w:r>
      <w:r w:rsidR="00C929C6" w:rsidRPr="004E4775">
        <w:rPr>
          <w:rFonts w:cs="Times New Roman"/>
          <w:b/>
          <w:bCs/>
        </w:rPr>
        <w:t>5</w:t>
      </w:r>
      <w:r w:rsidRPr="004E4775">
        <w:rPr>
          <w:rFonts w:cs="Times New Roman"/>
          <w:b/>
          <w:bCs/>
        </w:rPr>
        <w:t>0</w:t>
      </w:r>
      <w:r w:rsidRPr="00D61046">
        <w:rPr>
          <w:rFonts w:cs="Times New Roman"/>
        </w:rPr>
        <w:t xml:space="preserve">) shows an 8.7% immediate increase in establishment counts for counties within the bear’s range, with </w:t>
      </w:r>
      <w:proofErr w:type="gramStart"/>
      <w:r w:rsidRPr="00D61046">
        <w:rPr>
          <w:rFonts w:cs="Times New Roman"/>
        </w:rPr>
        <w:t>further</w:t>
      </w:r>
      <w:proofErr w:type="gramEnd"/>
      <w:r w:rsidRPr="00D61046">
        <w:rPr>
          <w:rFonts w:cs="Times New Roman"/>
        </w:rPr>
        <w:t xml:space="preserve"> 2.8% annual growth over time. The continuous measure (</w:t>
      </w:r>
      <w:r w:rsidRPr="004E4775">
        <w:rPr>
          <w:rFonts w:cs="Times New Roman"/>
          <w:b/>
          <w:bCs/>
        </w:rPr>
        <w:t>Table A</w:t>
      </w:r>
      <w:r w:rsidR="00C929C6" w:rsidRPr="004E4775">
        <w:rPr>
          <w:rFonts w:cs="Times New Roman"/>
          <w:b/>
          <w:bCs/>
        </w:rPr>
        <w:t>5</w:t>
      </w:r>
      <w:r w:rsidRPr="004E4775">
        <w:rPr>
          <w:rFonts w:cs="Times New Roman"/>
          <w:b/>
          <w:bCs/>
        </w:rPr>
        <w:t>1</w:t>
      </w:r>
      <w:r w:rsidRPr="00D61046">
        <w:rPr>
          <w:rFonts w:cs="Times New Roman"/>
        </w:rPr>
        <w:t xml:space="preserve">) reveals a more incremental effect: each 1-percentage-point increase in habitat overlap leads to an immediate 0.078% increase in </w:t>
      </w:r>
      <w:r w:rsidRPr="00D61046">
        <w:rPr>
          <w:rFonts w:cs="Times New Roman"/>
        </w:rPr>
        <w:lastRenderedPageBreak/>
        <w:t>establishment counts, followed by 0.027% annual growth. These findings underscore the sector’s ability to leverage eased habitat restrictions to spur new business formation.</w:t>
      </w:r>
    </w:p>
    <w:p w14:paraId="0EAFA73F" w14:textId="77777777" w:rsidR="00D61046" w:rsidRPr="00D61046" w:rsidRDefault="00D61046" w:rsidP="00346227">
      <w:pPr>
        <w:rPr>
          <w:rFonts w:cs="Times New Roman"/>
        </w:rPr>
      </w:pPr>
      <w:r w:rsidRPr="00D61046">
        <w:rPr>
          <w:rFonts w:cs="Times New Roman"/>
        </w:rPr>
        <w:t xml:space="preserve">The positive </w:t>
      </w:r>
      <w:proofErr w:type="gramStart"/>
      <w:r w:rsidRPr="00D61046">
        <w:rPr>
          <w:rFonts w:cs="Times New Roman"/>
        </w:rPr>
        <w:t>impacts</w:t>
      </w:r>
      <w:proofErr w:type="gramEnd"/>
      <w:r w:rsidRPr="00D61046">
        <w:rPr>
          <w:rFonts w:cs="Times New Roman"/>
        </w:rPr>
        <w:t xml:space="preserve"> on establishment counts highlight the construction sector’s inherent flexibility and its ability to rapidly respond to changes in land-use policies. As habitat restrictions are lifted, construction activities such as housing developments, infrastructure projects, and commercial construction are likely to accelerate, contributing to broader economic growth in counties with habitat overlap.</w:t>
      </w:r>
    </w:p>
    <w:p w14:paraId="03AFE000" w14:textId="77777777" w:rsidR="00D61046" w:rsidRPr="00D61046" w:rsidRDefault="00D61046" w:rsidP="00346227">
      <w:pPr>
        <w:rPr>
          <w:rFonts w:cs="Times New Roman"/>
          <w:b/>
          <w:bCs/>
        </w:rPr>
      </w:pPr>
      <w:r w:rsidRPr="00D61046">
        <w:rPr>
          <w:rFonts w:cs="Times New Roman"/>
        </w:rPr>
        <w:t>The results align with Churning Dynamics theory (Davis &amp; Haltiwanger, 1999), which emphasizes the reallocation of economic activity toward sectors with fewer constraints following regulatory changes. Construction’s positive response to delisting underscores its role as a key driver of economic adjustment, with benefits concentrated in areas where regulatory relief enables increased land development and investment.</w:t>
      </w:r>
    </w:p>
    <w:p w14:paraId="0D3117C0" w14:textId="33979903" w:rsidR="00D61046" w:rsidRPr="00D61046" w:rsidRDefault="006075E1" w:rsidP="00346227">
      <w:pPr>
        <w:pStyle w:val="Heading3"/>
      </w:pPr>
      <w:bookmarkStart w:id="632" w:name="_Toc187789936"/>
      <w:bookmarkStart w:id="633" w:name="_Toc188379073"/>
      <w:r>
        <w:rPr>
          <w:lang w:val="en-US"/>
        </w:rPr>
        <w:t>3.</w:t>
      </w:r>
      <w:r w:rsidR="00D61046" w:rsidRPr="00D61046">
        <w:t xml:space="preserve">7.3 </w:t>
      </w:r>
      <w:proofErr w:type="gramStart"/>
      <w:r w:rsidR="00D61046" w:rsidRPr="00D61046">
        <w:t>Non-LIS</w:t>
      </w:r>
      <w:bookmarkEnd w:id="632"/>
      <w:bookmarkEnd w:id="633"/>
      <w:proofErr w:type="gramEnd"/>
    </w:p>
    <w:p w14:paraId="2F68D99F" w14:textId="77777777" w:rsidR="00D61046" w:rsidRPr="00D61046" w:rsidRDefault="00D61046" w:rsidP="00346227">
      <w:pPr>
        <w:rPr>
          <w:rFonts w:cs="Times New Roman"/>
        </w:rPr>
      </w:pPr>
      <w:r w:rsidRPr="00D61046">
        <w:rPr>
          <w:rFonts w:cs="Times New Roman"/>
        </w:rPr>
        <w:t>Non-LIS—Manufacturing (NAICS 31-33), Real Estate (NAICS 53), and Arts, Entertainment, and Recreation (NAICS 71)—exhibit more favorable responses to delisting compared to their land-intensive counterparts. Unlike sectors heavily dependent on land resources, these industries rely less on fixed land inputs, enabling greater adaptability to the economic shifts brought about by delisting policies. The observed impacts are predominantly immediate (β₁), with relatively fewer significant temporal effects (β₂), suggesting that these sectors undergo rapid adjustments with limited long-term evolution.</w:t>
      </w:r>
    </w:p>
    <w:p w14:paraId="64717D6E" w14:textId="77777777" w:rsidR="00D61046" w:rsidRPr="00D61046" w:rsidRDefault="00D61046" w:rsidP="00346227">
      <w:pPr>
        <w:rPr>
          <w:rFonts w:cs="Times New Roman"/>
        </w:rPr>
      </w:pPr>
      <w:r w:rsidRPr="00D61046">
        <w:rPr>
          <w:rFonts w:cs="Times New Roman"/>
        </w:rPr>
        <w:lastRenderedPageBreak/>
        <w:t>The differences between land-intensive and non-LIS highlight the role of resource flexibility in shaping economic outcomes post-delisting. Non-land-intensive industries benefit from their ability to reallocate resources and adapt operationally without being heavily constrained by habitat-related regulations. This flexibility allows them to capitalize on the economic opportunities associated with reduced regulatory oversight.</w:t>
      </w:r>
    </w:p>
    <w:p w14:paraId="70E5C88A" w14:textId="77777777" w:rsidR="00D61046" w:rsidRPr="00D61046" w:rsidRDefault="00D61046" w:rsidP="00346227">
      <w:pPr>
        <w:rPr>
          <w:rFonts w:cs="Times New Roman"/>
        </w:rPr>
      </w:pPr>
      <w:r w:rsidRPr="00D61046">
        <w:rPr>
          <w:rFonts w:cs="Times New Roman"/>
        </w:rPr>
        <w:t>In subsequent subsections, we examine the specific responses of Manufacturing, Real Estate, and Arts and Recreation sectors, focusing on establishment counts, employment, and sales volume. These analyses underscore how the spatial-temporal dynamics of Range and TSD differ between non-land-intensive and land-intensive industries, revealing insights into the broader implications of delisting for economic resilience and sectoral heterogeneity.</w:t>
      </w:r>
    </w:p>
    <w:p w14:paraId="3A4B3F55" w14:textId="7E0CB056" w:rsidR="00D61046" w:rsidRPr="00D61046" w:rsidRDefault="006075E1" w:rsidP="001953BB">
      <w:pPr>
        <w:pStyle w:val="Heading4"/>
      </w:pPr>
      <w:bookmarkStart w:id="634" w:name="_Toc187789937"/>
      <w:r>
        <w:t>3.</w:t>
      </w:r>
      <w:r w:rsidR="00D61046" w:rsidRPr="00D61046">
        <w:t>7.3.1 Manufacturing (NAICS 31-33)</w:t>
      </w:r>
      <w:bookmarkEnd w:id="634"/>
    </w:p>
    <w:p w14:paraId="73C97A9D" w14:textId="77777777" w:rsidR="00D61046" w:rsidRPr="00D61046" w:rsidRDefault="00D61046" w:rsidP="00346227">
      <w:pPr>
        <w:rPr>
          <w:rFonts w:cs="Times New Roman"/>
        </w:rPr>
      </w:pPr>
      <w:r w:rsidRPr="00D61046">
        <w:rPr>
          <w:rFonts w:cs="Times New Roman"/>
        </w:rPr>
        <w:t>The Manufacturing sector demonstrates strong positive impacts on sales volume following delisting, highlighting its resilience and ability to adapt to economic changes with minimal reliance on land resources. These results suggest that manufacturing firms capitalize on market opportunities generated by delisting without requiring significant expansions in workforce or physical infrastructure.</w:t>
      </w:r>
    </w:p>
    <w:p w14:paraId="1371D7F7" w14:textId="34BDE7A2" w:rsidR="00D61046" w:rsidRPr="00D61046" w:rsidRDefault="00D61046" w:rsidP="00346227">
      <w:pPr>
        <w:rPr>
          <w:rFonts w:cs="Times New Roman"/>
        </w:rPr>
      </w:pPr>
      <w:r w:rsidRPr="00D61046">
        <w:rPr>
          <w:rFonts w:cs="Times New Roman"/>
          <w:b/>
          <w:bCs/>
        </w:rPr>
        <w:t>Sales Volume:</w:t>
      </w:r>
      <w:r w:rsidRPr="00D61046">
        <w:rPr>
          <w:rFonts w:cs="Times New Roman"/>
        </w:rPr>
        <w:t xml:space="preserve"> Under the binary range definition (</w:t>
      </w:r>
      <w:r w:rsidRPr="004E4775">
        <w:rPr>
          <w:rFonts w:cs="Times New Roman"/>
          <w:b/>
          <w:bCs/>
        </w:rPr>
        <w:t>Table A</w:t>
      </w:r>
      <w:r w:rsidR="00C929C6" w:rsidRPr="004E4775">
        <w:rPr>
          <w:rFonts w:cs="Times New Roman"/>
          <w:b/>
          <w:bCs/>
        </w:rPr>
        <w:t>5</w:t>
      </w:r>
      <w:r w:rsidRPr="004E4775">
        <w:rPr>
          <w:rFonts w:cs="Times New Roman"/>
          <w:b/>
          <w:bCs/>
        </w:rPr>
        <w:t>2</w:t>
      </w:r>
      <w:r w:rsidRPr="00D61046">
        <w:rPr>
          <w:rFonts w:cs="Times New Roman"/>
        </w:rPr>
        <w:t>), sales volume increases immediately by 77% in counties within the bear’s range relative to those outside. The continuous range definition (</w:t>
      </w:r>
      <w:r w:rsidRPr="004E4775">
        <w:rPr>
          <w:rFonts w:cs="Times New Roman"/>
          <w:b/>
          <w:bCs/>
        </w:rPr>
        <w:t>Table A</w:t>
      </w:r>
      <w:r w:rsidR="00E87B9C" w:rsidRPr="004E4775">
        <w:rPr>
          <w:rFonts w:cs="Times New Roman"/>
          <w:b/>
          <w:bCs/>
        </w:rPr>
        <w:t>5</w:t>
      </w:r>
      <w:r w:rsidRPr="004E4775">
        <w:rPr>
          <w:rFonts w:cs="Times New Roman"/>
          <w:b/>
          <w:bCs/>
        </w:rPr>
        <w:t>3</w:t>
      </w:r>
      <w:r w:rsidRPr="00D61046">
        <w:rPr>
          <w:rFonts w:cs="Times New Roman"/>
        </w:rPr>
        <w:t xml:space="preserve">) reveals that each 1-percentage-point increase in habitat overlap leads to an immediate 0.57% increase in sales volume. These significant revenue gains suggest </w:t>
      </w:r>
      <w:r w:rsidRPr="00D61046">
        <w:rPr>
          <w:rFonts w:cs="Times New Roman"/>
        </w:rPr>
        <w:lastRenderedPageBreak/>
        <w:t xml:space="preserve">that delisting creates favorable conditions for manufacturing output, likely driven by heightened demand or improved economic activity in </w:t>
      </w:r>
      <w:proofErr w:type="spellStart"/>
      <w:r w:rsidRPr="00D61046">
        <w:rPr>
          <w:rFonts w:cs="Times New Roman"/>
        </w:rPr>
        <w:t>range</w:t>
      </w:r>
      <w:proofErr w:type="spellEnd"/>
      <w:r w:rsidRPr="00D61046">
        <w:rPr>
          <w:rFonts w:cs="Times New Roman"/>
        </w:rPr>
        <w:t xml:space="preserve"> counties.</w:t>
      </w:r>
    </w:p>
    <w:p w14:paraId="1176ED2F" w14:textId="77777777" w:rsidR="00D61046" w:rsidRPr="00D61046" w:rsidRDefault="00D61046" w:rsidP="00346227">
      <w:pPr>
        <w:rPr>
          <w:rFonts w:cs="Times New Roman"/>
        </w:rPr>
      </w:pPr>
      <w:r w:rsidRPr="00D61046">
        <w:rPr>
          <w:rFonts w:cs="Times New Roman"/>
          <w:b/>
          <w:bCs/>
        </w:rPr>
        <w:t>Establishment and Job Counts:</w:t>
      </w:r>
      <w:r w:rsidRPr="00D61046">
        <w:rPr>
          <w:rFonts w:cs="Times New Roman"/>
        </w:rPr>
        <w:t xml:space="preserve"> Results for establishment count and job count remain statistically insignificant under both range definitions. This indicates that the observed revenue increases are more likely attributable to productivity improvements or operational efficiencies rather than physical expansions or workforce growth. Manufacturing firms may achieve these gains by leveraging existing resources more effectively, reflecting the sector’s scalability and flexibility.</w:t>
      </w:r>
    </w:p>
    <w:p w14:paraId="1A75DE5F" w14:textId="77777777" w:rsidR="00D61046" w:rsidRPr="00D61046" w:rsidRDefault="00D61046" w:rsidP="00346227">
      <w:pPr>
        <w:rPr>
          <w:rFonts w:cs="Times New Roman"/>
        </w:rPr>
      </w:pPr>
      <w:r w:rsidRPr="00D61046">
        <w:rPr>
          <w:rFonts w:cs="Times New Roman"/>
        </w:rPr>
        <w:t>The positive outcomes in manufacturing highlight its ability to benefit indirectly from delisting-related economic adjustments, such as increased demand for manufactured goods stemming from upstream construction activities. Additionally, the sector’s relatively lower dependency on land resources allows it to capitalize on these opportunities without being constrained by habitat-related regulations.</w:t>
      </w:r>
    </w:p>
    <w:p w14:paraId="36E0A220" w14:textId="77777777" w:rsidR="00D61046" w:rsidRPr="00D61046" w:rsidRDefault="00D61046" w:rsidP="00346227">
      <w:pPr>
        <w:rPr>
          <w:rFonts w:cs="Times New Roman"/>
        </w:rPr>
      </w:pPr>
      <w:r w:rsidRPr="00D61046">
        <w:rPr>
          <w:rFonts w:cs="Times New Roman"/>
        </w:rPr>
        <w:t xml:space="preserve">These findings align with the Industrial Organization literature (Syverson, 2011), which emphasizes the role of productivity and operational efficiency in driving sectoral resilience. Manufacturing firms’ ability to scale production without significant new investments in land or infrastructure reflects their capacity to adapt quickly to changes in economic conditions, further reinforcing the sector’s role as a stabilizing force in </w:t>
      </w:r>
      <w:proofErr w:type="spellStart"/>
      <w:r w:rsidRPr="00D61046">
        <w:rPr>
          <w:rFonts w:cs="Times New Roman"/>
        </w:rPr>
        <w:t>range</w:t>
      </w:r>
      <w:proofErr w:type="spellEnd"/>
      <w:r w:rsidRPr="00D61046">
        <w:rPr>
          <w:rFonts w:cs="Times New Roman"/>
        </w:rPr>
        <w:t xml:space="preserve"> counties post-delisting.</w:t>
      </w:r>
    </w:p>
    <w:p w14:paraId="1FC2B013" w14:textId="77777777" w:rsidR="00DB1842" w:rsidRDefault="00DB1842">
      <w:pPr>
        <w:spacing w:line="240" w:lineRule="auto"/>
        <w:rPr>
          <w:rFonts w:eastAsia="DengXian Light" w:cstheme="majorBidi"/>
          <w:b/>
          <w:i/>
          <w:iCs/>
          <w:lang w:eastAsia="zh-CN"/>
        </w:rPr>
      </w:pPr>
      <w:bookmarkStart w:id="635" w:name="_Toc187789938"/>
      <w:r>
        <w:br w:type="page"/>
      </w:r>
    </w:p>
    <w:p w14:paraId="62B887A1" w14:textId="0B282FE9" w:rsidR="00D61046" w:rsidRPr="00D61046" w:rsidRDefault="006075E1" w:rsidP="001953BB">
      <w:pPr>
        <w:pStyle w:val="Heading4"/>
      </w:pPr>
      <w:r>
        <w:lastRenderedPageBreak/>
        <w:t>3.</w:t>
      </w:r>
      <w:r w:rsidR="00D61046" w:rsidRPr="00D61046">
        <w:t>7.3.2 Real Estate, Rental, and Leasing (NAICS 53)</w:t>
      </w:r>
      <w:bookmarkEnd w:id="635"/>
    </w:p>
    <w:p w14:paraId="5C381BCE" w14:textId="77777777" w:rsidR="00D61046" w:rsidRPr="00D61046" w:rsidRDefault="00D61046" w:rsidP="00346227">
      <w:pPr>
        <w:rPr>
          <w:rFonts w:cs="Times New Roman"/>
        </w:rPr>
      </w:pPr>
      <w:r w:rsidRPr="00D61046">
        <w:rPr>
          <w:rFonts w:cs="Times New Roman"/>
        </w:rPr>
        <w:t xml:space="preserve">The Real Estate sector experiences modest but statistically significant gains in establishment counts following delisting, reflecting improved investor confidence and reduced regulatory uncertainty. However, the absence of significant impacts on job </w:t>
      </w:r>
      <w:proofErr w:type="gramStart"/>
      <w:r w:rsidRPr="00D61046">
        <w:rPr>
          <w:rFonts w:cs="Times New Roman"/>
        </w:rPr>
        <w:t>count</w:t>
      </w:r>
      <w:proofErr w:type="gramEnd"/>
      <w:r w:rsidRPr="00D61046">
        <w:rPr>
          <w:rFonts w:cs="Times New Roman"/>
        </w:rPr>
        <w:t xml:space="preserve"> or sales volume suggests that these gains may represent early-stage developments rather than fully realized economic activity.</w:t>
      </w:r>
    </w:p>
    <w:p w14:paraId="6F8F9263" w14:textId="41209C08" w:rsidR="00D61046" w:rsidRPr="00D61046" w:rsidRDefault="00D61046" w:rsidP="00346227">
      <w:pPr>
        <w:rPr>
          <w:rFonts w:cs="Times New Roman"/>
        </w:rPr>
      </w:pPr>
      <w:r w:rsidRPr="00D61046">
        <w:rPr>
          <w:rFonts w:cs="Times New Roman"/>
          <w:b/>
          <w:bCs/>
        </w:rPr>
        <w:t>Establishment Counts:</w:t>
      </w:r>
      <w:r w:rsidRPr="00D61046">
        <w:rPr>
          <w:rFonts w:cs="Times New Roman"/>
        </w:rPr>
        <w:t xml:space="preserve"> Under the binary range definition (</w:t>
      </w:r>
      <w:r w:rsidRPr="004E4775">
        <w:rPr>
          <w:rFonts w:cs="Times New Roman"/>
          <w:b/>
          <w:bCs/>
        </w:rPr>
        <w:t>Table A</w:t>
      </w:r>
      <w:r w:rsidR="00E87B9C" w:rsidRPr="004E4775">
        <w:rPr>
          <w:rFonts w:cs="Times New Roman"/>
          <w:b/>
          <w:bCs/>
        </w:rPr>
        <w:t>5</w:t>
      </w:r>
      <w:r w:rsidRPr="004E4775">
        <w:rPr>
          <w:rFonts w:cs="Times New Roman"/>
          <w:b/>
          <w:bCs/>
        </w:rPr>
        <w:t>4</w:t>
      </w:r>
      <w:r w:rsidRPr="00D61046">
        <w:rPr>
          <w:rFonts w:cs="Times New Roman"/>
        </w:rPr>
        <w:t>), establishment counts increase immediately by 4.6% in counties within the bear’s range relative to those outside. The continuous range definition (</w:t>
      </w:r>
      <w:r w:rsidRPr="004E4775">
        <w:rPr>
          <w:rFonts w:cs="Times New Roman"/>
          <w:b/>
          <w:bCs/>
        </w:rPr>
        <w:t>Table A</w:t>
      </w:r>
      <w:r w:rsidR="00E87B9C" w:rsidRPr="004E4775">
        <w:rPr>
          <w:rFonts w:cs="Times New Roman"/>
          <w:b/>
          <w:bCs/>
        </w:rPr>
        <w:t>5</w:t>
      </w:r>
      <w:r w:rsidRPr="004E4775">
        <w:rPr>
          <w:rFonts w:cs="Times New Roman"/>
          <w:b/>
          <w:bCs/>
        </w:rPr>
        <w:t>5</w:t>
      </w:r>
      <w:r w:rsidRPr="00D61046">
        <w:rPr>
          <w:rFonts w:cs="Times New Roman"/>
        </w:rPr>
        <w:t>) indicates that each 1-percentage-point increase in habitat overlap leads to an immediate 0.028% increase in establishment counts. These results suggest modest but steady growth in real estate establishments, driven by the easing of regulatory constraints and improved investor confidence.</w:t>
      </w:r>
    </w:p>
    <w:p w14:paraId="71EFD706" w14:textId="77777777" w:rsidR="00D61046" w:rsidRPr="00D61046" w:rsidRDefault="00D61046" w:rsidP="00346227">
      <w:pPr>
        <w:rPr>
          <w:rFonts w:cs="Times New Roman"/>
        </w:rPr>
      </w:pPr>
      <w:r w:rsidRPr="00D61046">
        <w:rPr>
          <w:rFonts w:cs="Times New Roman"/>
          <w:b/>
          <w:bCs/>
        </w:rPr>
        <w:t>Job Count and Sales Volume</w:t>
      </w:r>
      <w:r w:rsidRPr="00D61046">
        <w:rPr>
          <w:rFonts w:cs="Times New Roman"/>
        </w:rPr>
        <w:t xml:space="preserve">: Results for job count and sales volume remain statistically insignificant under both range definitions. This lack of significant </w:t>
      </w:r>
      <w:proofErr w:type="gramStart"/>
      <w:r w:rsidRPr="00D61046">
        <w:rPr>
          <w:rFonts w:cs="Times New Roman"/>
        </w:rPr>
        <w:t>impacts</w:t>
      </w:r>
      <w:proofErr w:type="gramEnd"/>
      <w:r w:rsidRPr="00D61046">
        <w:rPr>
          <w:rFonts w:cs="Times New Roman"/>
        </w:rPr>
        <w:t xml:space="preserve"> indicates that while delisting encourages the establishment of new real estate firms, these gains may not yet translate into substantial employment growth or revenue generation. The observed establishment increases may reflect early-stage developments, speculative investments, or enhanced property leasing and development activities.</w:t>
      </w:r>
    </w:p>
    <w:p w14:paraId="1918F326" w14:textId="77777777" w:rsidR="00D61046" w:rsidRPr="00D61046" w:rsidRDefault="00D61046" w:rsidP="00346227">
      <w:pPr>
        <w:rPr>
          <w:rFonts w:cs="Times New Roman"/>
        </w:rPr>
      </w:pPr>
      <w:r w:rsidRPr="00D61046">
        <w:rPr>
          <w:rFonts w:cs="Times New Roman"/>
        </w:rPr>
        <w:t xml:space="preserve">The positive impacts on real estate align with Location Dynamics theory (Glaeser et al., 2008), which emphasizes the role of reduced regulatory uncertainty in unlocking investment opportunities. By easing land-use restrictions, delisting likely facilitates property development, </w:t>
      </w:r>
      <w:r w:rsidRPr="00D61046">
        <w:rPr>
          <w:rFonts w:cs="Times New Roman"/>
        </w:rPr>
        <w:lastRenderedPageBreak/>
        <w:t xml:space="preserve">leasing activities, and speculative ventures in </w:t>
      </w:r>
      <w:proofErr w:type="spellStart"/>
      <w:r w:rsidRPr="00D61046">
        <w:rPr>
          <w:rFonts w:cs="Times New Roman"/>
        </w:rPr>
        <w:t>range</w:t>
      </w:r>
      <w:proofErr w:type="spellEnd"/>
      <w:r w:rsidRPr="00D61046">
        <w:rPr>
          <w:rFonts w:cs="Times New Roman"/>
        </w:rPr>
        <w:t xml:space="preserve"> counties. However, the limited scope of economic activity beyond establishment growth highlights the sector’s gradual adjustment to delisting-related changes, suggesting that more substantial impacts on jobs and sales may materialize over time as real estate projects mature and market conditions stabilize.</w:t>
      </w:r>
    </w:p>
    <w:p w14:paraId="6D34B6EB" w14:textId="417D15DF" w:rsidR="00D61046" w:rsidRPr="00D61046" w:rsidRDefault="006075E1" w:rsidP="001953BB">
      <w:pPr>
        <w:pStyle w:val="Heading4"/>
      </w:pPr>
      <w:bookmarkStart w:id="636" w:name="_Toc187789939"/>
      <w:r>
        <w:t>3.</w:t>
      </w:r>
      <w:r w:rsidR="00D61046" w:rsidRPr="00D61046">
        <w:t>7.3.3 Arts, Entertainment, and Recreation (NAICS 71)</w:t>
      </w:r>
      <w:bookmarkEnd w:id="636"/>
    </w:p>
    <w:p w14:paraId="1A5A4577" w14:textId="77777777" w:rsidR="00D61046" w:rsidRPr="00D61046" w:rsidRDefault="00D61046" w:rsidP="00346227">
      <w:pPr>
        <w:rPr>
          <w:rFonts w:cs="Times New Roman"/>
        </w:rPr>
      </w:pPr>
      <w:r w:rsidRPr="00D61046">
        <w:rPr>
          <w:rFonts w:cs="Times New Roman"/>
        </w:rPr>
        <w:t>The Arts, Entertainment, and Recreation sector emerges as a significant beneficiary of delisting, with positive and statistically significant impacts observed across establishment counts, employment, and sales volume. These results underscore the sector’s ability to capitalize on improved economic conditions and increased consumer spending following delisting, highlighting its adaptability and lower dependency on fixed land resources.</w:t>
      </w:r>
    </w:p>
    <w:p w14:paraId="1427B5E2" w14:textId="6093645C" w:rsidR="00D61046" w:rsidRPr="00D61046" w:rsidRDefault="00D61046" w:rsidP="00346227">
      <w:pPr>
        <w:rPr>
          <w:rFonts w:cs="Times New Roman"/>
        </w:rPr>
      </w:pPr>
      <w:r w:rsidRPr="00D61046">
        <w:rPr>
          <w:rFonts w:cs="Times New Roman"/>
          <w:b/>
          <w:bCs/>
        </w:rPr>
        <w:t>Establishment Counts:</w:t>
      </w:r>
      <w:r w:rsidRPr="00D61046">
        <w:rPr>
          <w:rFonts w:cs="Times New Roman"/>
        </w:rPr>
        <w:t xml:space="preserve"> Immediate growth in establishment counts under the binary range definition (</w:t>
      </w:r>
      <w:r w:rsidRPr="004E4775">
        <w:rPr>
          <w:rFonts w:cs="Times New Roman"/>
          <w:b/>
          <w:bCs/>
        </w:rPr>
        <w:t>Table A</w:t>
      </w:r>
      <w:r w:rsidR="00E87B9C" w:rsidRPr="004E4775">
        <w:rPr>
          <w:rFonts w:cs="Times New Roman"/>
          <w:b/>
          <w:bCs/>
        </w:rPr>
        <w:t>5</w:t>
      </w:r>
      <w:r w:rsidRPr="004E4775">
        <w:rPr>
          <w:rFonts w:cs="Times New Roman"/>
          <w:b/>
          <w:bCs/>
        </w:rPr>
        <w:t>6</w:t>
      </w:r>
      <w:r w:rsidRPr="00D61046">
        <w:rPr>
          <w:rFonts w:cs="Times New Roman"/>
        </w:rPr>
        <w:t xml:space="preserve">) is approximately 3.9%, indicating that businesses in this sector respond swiftly to improved economic conditions in </w:t>
      </w:r>
      <w:proofErr w:type="spellStart"/>
      <w:r w:rsidRPr="00D61046">
        <w:rPr>
          <w:rFonts w:cs="Times New Roman"/>
        </w:rPr>
        <w:t>range</w:t>
      </w:r>
      <w:proofErr w:type="spellEnd"/>
      <w:r w:rsidRPr="00D61046">
        <w:rPr>
          <w:rFonts w:cs="Times New Roman"/>
        </w:rPr>
        <w:t xml:space="preserve"> counties. The continuous range measure (</w:t>
      </w:r>
      <w:r w:rsidRPr="004E4775">
        <w:rPr>
          <w:rFonts w:cs="Times New Roman"/>
          <w:b/>
          <w:bCs/>
        </w:rPr>
        <w:t>Table A</w:t>
      </w:r>
      <w:r w:rsidR="00E87B9C" w:rsidRPr="004E4775">
        <w:rPr>
          <w:rFonts w:cs="Times New Roman"/>
          <w:b/>
          <w:bCs/>
        </w:rPr>
        <w:t>5</w:t>
      </w:r>
      <w:r w:rsidRPr="004E4775">
        <w:rPr>
          <w:rFonts w:cs="Times New Roman"/>
          <w:b/>
          <w:bCs/>
        </w:rPr>
        <w:t>7</w:t>
      </w:r>
      <w:r w:rsidRPr="00D61046">
        <w:rPr>
          <w:rFonts w:cs="Times New Roman"/>
        </w:rPr>
        <w:t>) reveals that each 1-percentage-point increase in habitat overlap leads to an immediate 0.023% increase in establishment counts. These findings suggest that greater habitat overlap correlates with a gradual but steady increase in the number of recreational establishments, reflecting the sector’s flexibility and responsiveness.</w:t>
      </w:r>
    </w:p>
    <w:p w14:paraId="527955CC" w14:textId="14836F4E" w:rsidR="00D61046" w:rsidRPr="00D61046" w:rsidRDefault="00D61046" w:rsidP="00346227">
      <w:pPr>
        <w:rPr>
          <w:rFonts w:cs="Times New Roman"/>
        </w:rPr>
      </w:pPr>
      <w:r w:rsidRPr="00D61046">
        <w:rPr>
          <w:rFonts w:cs="Times New Roman"/>
          <w:b/>
          <w:bCs/>
        </w:rPr>
        <w:t>Employment:</w:t>
      </w:r>
      <w:r w:rsidRPr="00D61046">
        <w:rPr>
          <w:rFonts w:cs="Times New Roman"/>
        </w:rPr>
        <w:t xml:space="preserve"> The sector experiences substantial labor demand as recreational businesses expand operations. Under the binary range definition (</w:t>
      </w:r>
      <w:r w:rsidRPr="004E4775">
        <w:rPr>
          <w:rFonts w:cs="Times New Roman"/>
          <w:b/>
          <w:bCs/>
        </w:rPr>
        <w:t>Table A</w:t>
      </w:r>
      <w:r w:rsidR="00E87B9C" w:rsidRPr="004E4775">
        <w:rPr>
          <w:rFonts w:cs="Times New Roman"/>
          <w:b/>
          <w:bCs/>
        </w:rPr>
        <w:t>5</w:t>
      </w:r>
      <w:r w:rsidRPr="004E4775">
        <w:rPr>
          <w:rFonts w:cs="Times New Roman"/>
          <w:b/>
          <w:bCs/>
        </w:rPr>
        <w:t>6</w:t>
      </w:r>
      <w:r w:rsidRPr="00D61046">
        <w:rPr>
          <w:rFonts w:cs="Times New Roman"/>
        </w:rPr>
        <w:t>), employment increases by 59.4%, highlighting strong and immediate workforce growth. The continuous range definition (</w:t>
      </w:r>
      <w:r w:rsidRPr="004E4775">
        <w:rPr>
          <w:rFonts w:cs="Times New Roman"/>
          <w:b/>
          <w:bCs/>
        </w:rPr>
        <w:t>Table A</w:t>
      </w:r>
      <w:r w:rsidR="00E87B9C" w:rsidRPr="004E4775">
        <w:rPr>
          <w:rFonts w:cs="Times New Roman"/>
          <w:b/>
          <w:bCs/>
        </w:rPr>
        <w:t>5</w:t>
      </w:r>
      <w:r w:rsidRPr="004E4775">
        <w:rPr>
          <w:rFonts w:cs="Times New Roman"/>
          <w:b/>
          <w:bCs/>
        </w:rPr>
        <w:t>7</w:t>
      </w:r>
      <w:r w:rsidRPr="00D61046">
        <w:rPr>
          <w:rFonts w:cs="Times New Roman"/>
        </w:rPr>
        <w:t xml:space="preserve">) shows that each 1-percentage-point increase in habitat overlap leads to an </w:t>
      </w:r>
      <w:r w:rsidRPr="00D61046">
        <w:rPr>
          <w:rFonts w:cs="Times New Roman"/>
        </w:rPr>
        <w:lastRenderedPageBreak/>
        <w:t>immediate 0.37% increase in job counts. These results demonstrate the sector’s ability to absorb labor efficiently and meet the rising demand for leisure and entertainment services.</w:t>
      </w:r>
    </w:p>
    <w:p w14:paraId="13DD63E1" w14:textId="72E3234E" w:rsidR="00D61046" w:rsidRPr="00D61046" w:rsidRDefault="00D61046" w:rsidP="00346227">
      <w:pPr>
        <w:rPr>
          <w:rFonts w:cs="Times New Roman"/>
        </w:rPr>
      </w:pPr>
      <w:r w:rsidRPr="00D61046">
        <w:rPr>
          <w:rFonts w:cs="Times New Roman"/>
          <w:b/>
          <w:bCs/>
        </w:rPr>
        <w:t>Sales Volume:</w:t>
      </w:r>
      <w:r w:rsidRPr="00D61046">
        <w:rPr>
          <w:rFonts w:cs="Times New Roman"/>
        </w:rPr>
        <w:t xml:space="preserve"> Sales revenue in the sector also experiences robust growth. Under the binary range definition (</w:t>
      </w:r>
      <w:r w:rsidRPr="004E4775">
        <w:rPr>
          <w:rFonts w:cs="Times New Roman"/>
          <w:b/>
          <w:bCs/>
        </w:rPr>
        <w:t>Table A</w:t>
      </w:r>
      <w:r w:rsidR="00E87B9C" w:rsidRPr="004E4775">
        <w:rPr>
          <w:rFonts w:cs="Times New Roman"/>
          <w:b/>
          <w:bCs/>
        </w:rPr>
        <w:t>5</w:t>
      </w:r>
      <w:r w:rsidRPr="004E4775">
        <w:rPr>
          <w:rFonts w:cs="Times New Roman"/>
          <w:b/>
          <w:bCs/>
        </w:rPr>
        <w:t>6</w:t>
      </w:r>
      <w:r w:rsidRPr="00D61046">
        <w:rPr>
          <w:rFonts w:cs="Times New Roman"/>
        </w:rPr>
        <w:t>), sales volume increases immediately by 31.9%, reflecting increased consumer spending. The continuous range definition (</w:t>
      </w:r>
      <w:r w:rsidRPr="004E4775">
        <w:rPr>
          <w:rFonts w:cs="Times New Roman"/>
          <w:b/>
          <w:bCs/>
        </w:rPr>
        <w:t>Table A</w:t>
      </w:r>
      <w:r w:rsidR="00E87B9C" w:rsidRPr="004E4775">
        <w:rPr>
          <w:rFonts w:cs="Times New Roman"/>
          <w:b/>
          <w:bCs/>
        </w:rPr>
        <w:t>5</w:t>
      </w:r>
      <w:r w:rsidRPr="004E4775">
        <w:rPr>
          <w:rFonts w:cs="Times New Roman"/>
          <w:b/>
          <w:bCs/>
        </w:rPr>
        <w:t>7</w:t>
      </w:r>
      <w:r w:rsidRPr="00D61046">
        <w:rPr>
          <w:rFonts w:cs="Times New Roman"/>
        </w:rPr>
        <w:t>) shows that each 1-percentage-point increase in habitat overlap leads to an immediate 0.23% increase in sales volume. These findings indicate that the sector benefits significantly from post-delisting economic adjustments, driven by heightened demand for recreational activities and services.</w:t>
      </w:r>
    </w:p>
    <w:p w14:paraId="2F4D7060" w14:textId="77777777" w:rsidR="00D61046" w:rsidRPr="00D61046" w:rsidRDefault="00D61046" w:rsidP="00346227">
      <w:pPr>
        <w:rPr>
          <w:rFonts w:cs="Times New Roman"/>
        </w:rPr>
      </w:pPr>
      <w:r w:rsidRPr="00D61046">
        <w:rPr>
          <w:rFonts w:cs="Times New Roman"/>
        </w:rPr>
        <w:t xml:space="preserve">The positive impacts across all three outcome variables highlight the sector’s ability to thrive in improved economic conditions, leveraging increased consumer spending and tourism opportunities in </w:t>
      </w:r>
      <w:proofErr w:type="spellStart"/>
      <w:proofErr w:type="gramStart"/>
      <w:r w:rsidRPr="00D61046">
        <w:rPr>
          <w:rFonts w:cs="Times New Roman"/>
        </w:rPr>
        <w:t>range</w:t>
      </w:r>
      <w:proofErr w:type="spellEnd"/>
      <w:proofErr w:type="gramEnd"/>
      <w:r w:rsidRPr="00D61046">
        <w:rPr>
          <w:rFonts w:cs="Times New Roman"/>
        </w:rPr>
        <w:t xml:space="preserve"> counties. Greater habitat overlap appears to enhance recreational and leisure activities, creating spillover effects that benefit the local economy. These results align with insights from Welfare Economics and labor market studies (Moretti, 2010), which emphasize how improved economic conditions stimulate demand for recreational services and support local economic growth.</w:t>
      </w:r>
    </w:p>
    <w:p w14:paraId="48DCF136" w14:textId="77777777" w:rsidR="00D61046" w:rsidRPr="00D61046" w:rsidRDefault="00D61046" w:rsidP="00346227">
      <w:pPr>
        <w:rPr>
          <w:rFonts w:cs="Times New Roman"/>
        </w:rPr>
      </w:pPr>
      <w:r w:rsidRPr="00D61046">
        <w:rPr>
          <w:rFonts w:cs="Times New Roman"/>
        </w:rPr>
        <w:t xml:space="preserve">The sector’s responsiveness </w:t>
      </w:r>
      <w:proofErr w:type="gramStart"/>
      <w:r w:rsidRPr="00D61046">
        <w:rPr>
          <w:rFonts w:cs="Times New Roman"/>
        </w:rPr>
        <w:t>also reflects</w:t>
      </w:r>
      <w:proofErr w:type="gramEnd"/>
      <w:r w:rsidRPr="00D61046">
        <w:rPr>
          <w:rFonts w:cs="Times New Roman"/>
        </w:rPr>
        <w:t xml:space="preserve"> its lower barriers to entry compared to land-intensive industries. Recreational businesses, such as entertainment venues, tourism services, and leisure activities, can adapt quickly to shifting economic conditions without being constrained by fixed infrastructure or extensive regulatory requirements. This flexibility enables the Arts, Entertainment, and Recreation sector to capitalize on delisting-related changes more effectively than other industries.</w:t>
      </w:r>
    </w:p>
    <w:p w14:paraId="5F1E7264" w14:textId="44FEEE12" w:rsidR="00D61046" w:rsidRPr="00D61046" w:rsidRDefault="006075E1" w:rsidP="00346227">
      <w:pPr>
        <w:pStyle w:val="Heading3"/>
      </w:pPr>
      <w:bookmarkStart w:id="637" w:name="_Toc187789940"/>
      <w:bookmarkStart w:id="638" w:name="_Toc188379074"/>
      <w:r>
        <w:rPr>
          <w:lang w:val="en-US"/>
        </w:rPr>
        <w:lastRenderedPageBreak/>
        <w:t>3.</w:t>
      </w:r>
      <w:r w:rsidR="00D61046" w:rsidRPr="00D61046">
        <w:t>7.4 Overall Conclusions: Integrating Findings</w:t>
      </w:r>
      <w:bookmarkEnd w:id="637"/>
      <w:bookmarkEnd w:id="638"/>
    </w:p>
    <w:p w14:paraId="2E175500" w14:textId="77777777" w:rsidR="00D61046" w:rsidRPr="00D61046" w:rsidRDefault="00D61046" w:rsidP="00346227">
      <w:pPr>
        <w:rPr>
          <w:rFonts w:cs="Times New Roman"/>
        </w:rPr>
      </w:pPr>
      <w:r w:rsidRPr="00D61046">
        <w:rPr>
          <w:rFonts w:cs="Times New Roman"/>
        </w:rPr>
        <w:t>The findings of this study provide a comprehensive and nuanced understanding of the economic impacts of delisting the Louisiana Black Bear. By analyzing results under both binary (presence/absence) and continuous range definitions (proportion of habitat overlap), this study reveals significant differences in how these two measures capture spatial and temporal effects. This section synthesizes the key findings, contrasts the outcomes across land-intensive and non-LIS, and highlights the broader implications for addressing the research questions, hypotheses, and policy considerations.</w:t>
      </w:r>
    </w:p>
    <w:p w14:paraId="50249F57" w14:textId="30E6E63E" w:rsidR="00D61046" w:rsidRPr="00D61046" w:rsidRDefault="006075E1" w:rsidP="001953BB">
      <w:pPr>
        <w:pStyle w:val="Heading4"/>
      </w:pPr>
      <w:bookmarkStart w:id="639" w:name="_Toc187789941"/>
      <w:r>
        <w:t>3.</w:t>
      </w:r>
      <w:r w:rsidR="00D61046" w:rsidRPr="00D61046">
        <w:t>7.4.1 Key Findings and Comparative Insights</w:t>
      </w:r>
      <w:bookmarkEnd w:id="639"/>
    </w:p>
    <w:p w14:paraId="2801AB3E" w14:textId="77777777" w:rsidR="00D61046" w:rsidRPr="00D61046" w:rsidRDefault="00D61046" w:rsidP="00346227">
      <w:pPr>
        <w:rPr>
          <w:rFonts w:cs="Times New Roman"/>
        </w:rPr>
      </w:pPr>
      <w:r w:rsidRPr="00D61046">
        <w:rPr>
          <w:rFonts w:cs="Times New Roman"/>
        </w:rPr>
        <w:t>The results reveal clear distinctions between the binary and continuous range definitions, offering complementary perspectives that together enhance the understanding of delisting’s impacts.</w:t>
      </w:r>
    </w:p>
    <w:p w14:paraId="63132CCF" w14:textId="0ECE667E" w:rsidR="00D61046" w:rsidRPr="00D61046" w:rsidRDefault="00D61046" w:rsidP="00346227">
      <w:pPr>
        <w:rPr>
          <w:rFonts w:cs="Times New Roman"/>
        </w:rPr>
      </w:pPr>
      <w:r w:rsidRPr="00D61046">
        <w:rPr>
          <w:rFonts w:cs="Times New Roman"/>
          <w:b/>
          <w:bCs/>
        </w:rPr>
        <w:t>Binary Range Definition:</w:t>
      </w:r>
      <w:r w:rsidRPr="00D61046">
        <w:rPr>
          <w:rFonts w:cs="Times New Roman"/>
        </w:rPr>
        <w:t xml:space="preserve"> The binary measure simplifies the interpretation by dividing counties into two clear groups—those with and without bear range. The impacts captured under this definition reflect the average immediate effect of habitat presence. For example: In NAICS 11 (Agriculture), establishment counts decline by 12.5% immediately (</w:t>
      </w:r>
      <w:r w:rsidRPr="004E4775">
        <w:rPr>
          <w:rFonts w:cs="Times New Roman"/>
          <w:b/>
          <w:bCs/>
        </w:rPr>
        <w:t>Table A</w:t>
      </w:r>
      <w:r w:rsidR="00E87B9C" w:rsidRPr="004E4775">
        <w:rPr>
          <w:rFonts w:cs="Times New Roman"/>
          <w:b/>
          <w:bCs/>
        </w:rPr>
        <w:t>4</w:t>
      </w:r>
      <w:r w:rsidRPr="004E4775">
        <w:rPr>
          <w:rFonts w:cs="Times New Roman"/>
          <w:b/>
          <w:bCs/>
        </w:rPr>
        <w:t>4</w:t>
      </w:r>
      <w:r w:rsidRPr="00D61046">
        <w:rPr>
          <w:rFonts w:cs="Times New Roman"/>
        </w:rPr>
        <w:t xml:space="preserve">), reflecting broad disruptions in </w:t>
      </w:r>
      <w:proofErr w:type="spellStart"/>
      <w:r w:rsidRPr="00D61046">
        <w:rPr>
          <w:rFonts w:cs="Times New Roman"/>
        </w:rPr>
        <w:t>range</w:t>
      </w:r>
      <w:proofErr w:type="spellEnd"/>
      <w:r w:rsidRPr="00D61046">
        <w:rPr>
          <w:rFonts w:cs="Times New Roman"/>
        </w:rPr>
        <w:t xml:space="preserve"> counties. Similarly, utilities experience sharp immediate declines in job counts and sales volumes, underscoring the structural rigidity of LIS. The binary measure is particularly useful for identifying the overall spatial impact of delisting across sectors and is highly interpretable for policymakers seeking general insights into affected areas.</w:t>
      </w:r>
    </w:p>
    <w:p w14:paraId="71AADF62" w14:textId="1F3EACB1" w:rsidR="00D61046" w:rsidRPr="00D61046" w:rsidRDefault="00D61046" w:rsidP="00346227">
      <w:pPr>
        <w:rPr>
          <w:rFonts w:cs="Times New Roman"/>
        </w:rPr>
      </w:pPr>
      <w:r w:rsidRPr="00D61046">
        <w:rPr>
          <w:rFonts w:cs="Times New Roman"/>
          <w:b/>
          <w:bCs/>
        </w:rPr>
        <w:lastRenderedPageBreak/>
        <w:t>Continuous Range Definition:</w:t>
      </w:r>
      <w:r w:rsidRPr="00D61046">
        <w:rPr>
          <w:rFonts w:cs="Times New Roman"/>
        </w:rPr>
        <w:t xml:space="preserve"> The continuous measure refines the analysis by capturing the marginal effects of incremental increases in habitat overlap. This allows for a more granular understanding of how the intensity of habitat presence affects economic outcomes. For instance: In NAICS 11 (Agriculture), establishment counts decrease by 0.1% for every 1% increase in land overlap, compounding annually with a further 0.17% reduction (</w:t>
      </w:r>
      <w:r w:rsidRPr="004E4775">
        <w:rPr>
          <w:rFonts w:cs="Times New Roman"/>
          <w:b/>
          <w:bCs/>
        </w:rPr>
        <w:t>Table A</w:t>
      </w:r>
      <w:r w:rsidR="00E87B9C" w:rsidRPr="004E4775">
        <w:rPr>
          <w:rFonts w:cs="Times New Roman"/>
          <w:b/>
          <w:bCs/>
        </w:rPr>
        <w:t>4</w:t>
      </w:r>
      <w:r w:rsidRPr="004E4775">
        <w:rPr>
          <w:rFonts w:cs="Times New Roman"/>
          <w:b/>
          <w:bCs/>
        </w:rPr>
        <w:t>5</w:t>
      </w:r>
      <w:r w:rsidRPr="00D61046">
        <w:rPr>
          <w:rFonts w:cs="Times New Roman"/>
        </w:rPr>
        <w:t>). In NAICS 21 (Mining), cumulative reductions in establishment counts and job losses scale proportionately with increasing habitat coverage. These results emphasize the scaling nature of the impacts, which binary definitions cannot capture. Continuous measures are particularly valuable for identifying variation across counties with differing levels of range overlap, making them ideal for designing targeted interventions.</w:t>
      </w:r>
    </w:p>
    <w:p w14:paraId="434898CE" w14:textId="77777777" w:rsidR="00D61046" w:rsidRPr="00D61046" w:rsidRDefault="00D61046" w:rsidP="00346227">
      <w:pPr>
        <w:rPr>
          <w:rFonts w:cs="Times New Roman"/>
        </w:rPr>
      </w:pPr>
      <w:r w:rsidRPr="00D61046">
        <w:rPr>
          <w:rFonts w:cs="Times New Roman"/>
          <w:b/>
          <w:bCs/>
        </w:rPr>
        <w:t>Temporal Dynamics:</w:t>
      </w:r>
      <w:r w:rsidRPr="00D61046">
        <w:rPr>
          <w:rFonts w:cs="Times New Roman"/>
        </w:rPr>
        <w:t xml:space="preserve"> The coefficient on the interaction variable </w:t>
      </w:r>
      <m:oMath>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2</m:t>
            </m:r>
          </m:sub>
        </m:sSub>
        <m:r>
          <w:rPr>
            <w:rFonts w:ascii="Cambria Math" w:hAnsi="Cambria Math" w:cs="Times New Roman"/>
          </w:rPr>
          <m:t>​)</m:t>
        </m:r>
      </m:oMath>
      <w:r w:rsidRPr="00D61046">
        <w:rPr>
          <w:rFonts w:cs="Times New Roman"/>
        </w:rPr>
        <w:t xml:space="preserve"> reveals how impacts evolve over time, adding another layer of complexity. The results highlight two key trends: LIS (e.g., agriculture, mining, and utilities) exhibit cumulative annual declines, with negative effects worsening over time. These trends underscore the rigidity and slow adjustment of industries reliant on fixed land and infrastructure. In contrast, sectors such as construction and arts and recreation demonstrate positive cumulative effects or immediate stabilization, reflecting their greater adaptability to shifting economic conditions. </w:t>
      </w:r>
    </w:p>
    <w:p w14:paraId="531AE762" w14:textId="77777777" w:rsidR="00D61046" w:rsidRPr="00D61046" w:rsidRDefault="00D61046" w:rsidP="00346227">
      <w:pPr>
        <w:rPr>
          <w:rFonts w:cs="Times New Roman"/>
        </w:rPr>
      </w:pPr>
      <w:r w:rsidRPr="00D61046">
        <w:rPr>
          <w:rFonts w:cs="Times New Roman"/>
        </w:rPr>
        <w:t>The combination of binary and continuous definitions, along with temporal dynamics, provides a more complete and realistic view of delisting’s economic impacts. This nuanced comparison ensures that the analysis is not oversimplified, a limitation common in other studies.</w:t>
      </w:r>
    </w:p>
    <w:p w14:paraId="4A2B7E8E" w14:textId="2F0A2B54" w:rsidR="00D61046" w:rsidRPr="00D61046" w:rsidRDefault="006075E1" w:rsidP="001953BB">
      <w:pPr>
        <w:pStyle w:val="Heading4"/>
      </w:pPr>
      <w:bookmarkStart w:id="640" w:name="_Toc187789942"/>
      <w:r>
        <w:lastRenderedPageBreak/>
        <w:t>3.</w:t>
      </w:r>
      <w:r w:rsidR="00D61046" w:rsidRPr="00D61046">
        <w:t>7.4.2 Sectoral Heterogeneity and Key Patterns</w:t>
      </w:r>
      <w:bookmarkEnd w:id="640"/>
    </w:p>
    <w:p w14:paraId="01A2F345" w14:textId="77777777" w:rsidR="00D61046" w:rsidRPr="00D61046" w:rsidRDefault="00D61046" w:rsidP="00346227">
      <w:pPr>
        <w:rPr>
          <w:rFonts w:cs="Times New Roman"/>
        </w:rPr>
      </w:pPr>
      <w:r w:rsidRPr="00D61046">
        <w:rPr>
          <w:rFonts w:cs="Times New Roman"/>
        </w:rPr>
        <w:t>The findings reveal stark differences in how sectors respond to delisting, driven by their land dependency, adaptability, and exposure to economic spillovers:</w:t>
      </w:r>
    </w:p>
    <w:p w14:paraId="635B3DD6" w14:textId="77777777" w:rsidR="00D61046" w:rsidRPr="00D61046" w:rsidRDefault="00D61046" w:rsidP="00346227">
      <w:pPr>
        <w:rPr>
          <w:rFonts w:cs="Times New Roman"/>
        </w:rPr>
      </w:pPr>
      <w:r w:rsidRPr="00D61046">
        <w:rPr>
          <w:rFonts w:cs="Times New Roman"/>
          <w:b/>
          <w:bCs/>
        </w:rPr>
        <w:t>LIS:</w:t>
      </w:r>
      <w:r w:rsidRPr="00D61046">
        <w:rPr>
          <w:rFonts w:cs="Times New Roman"/>
        </w:rPr>
        <w:t xml:space="preserve"> Agriculture, mining, and utilities face significant and persistent declines across establishment counts, employment, and sales volume. These sectors exhibit both immediate impacts and cumulative declines, reflecting their structural reliance on land resources and fixed infrastructure. Similarly, mining experiences proportional declines in job counts and establishments as habitat overlap increases, with effects worsening annually. Construction stands out as a notable exception, with establishment counts growing immediately and continuing to increase over time. The sector benefits from reduced regulatory barriers, which facilitate new development and infrastructure projects.</w:t>
      </w:r>
    </w:p>
    <w:p w14:paraId="3E60152F" w14:textId="77777777" w:rsidR="00D61046" w:rsidRPr="00D61046" w:rsidRDefault="00D61046" w:rsidP="00346227">
      <w:pPr>
        <w:rPr>
          <w:rFonts w:cs="Times New Roman"/>
        </w:rPr>
      </w:pPr>
      <w:r w:rsidRPr="00D61046">
        <w:rPr>
          <w:rFonts w:cs="Times New Roman"/>
          <w:b/>
          <w:bCs/>
        </w:rPr>
        <w:t>Non-LIS:</w:t>
      </w:r>
      <w:r w:rsidRPr="00D61046">
        <w:rPr>
          <w:rFonts w:cs="Times New Roman"/>
        </w:rPr>
        <w:t xml:space="preserve"> Non-LIS, such as manufacturing, real estate, and arts and recreation, demonstrate more favorable outcomes. Manufacturing sees substantial increases in sales volume, likely driven by productivity improvements and spillover effects from construction activity. Real Estate experiences modest establishment growth, reflecting improved investor confidence and reduced land-use uncertainty. Arts, Entertainment, and Recreation emerges as a major beneficiary, with gains in establishments, employment, and sales volume. These results highlight the sector’s sensitivity to economic recovery and consumer demand. </w:t>
      </w:r>
    </w:p>
    <w:p w14:paraId="0719743C" w14:textId="77777777" w:rsidR="00D61046" w:rsidRPr="00D61046" w:rsidRDefault="00D61046" w:rsidP="00346227">
      <w:pPr>
        <w:rPr>
          <w:rFonts w:cs="Times New Roman"/>
        </w:rPr>
      </w:pPr>
      <w:r w:rsidRPr="00D61046">
        <w:rPr>
          <w:rFonts w:cs="Times New Roman"/>
        </w:rPr>
        <w:t>The divergent responses between land-intensive and non-LIS underscore the importance of sectoral adaptability. Industries with fixed land requirements face greater challenges, while those with operational flexibility can respond quickly to improved economic conditions.</w:t>
      </w:r>
    </w:p>
    <w:p w14:paraId="768CD233" w14:textId="3DF55BC7" w:rsidR="00D61046" w:rsidRPr="00D61046" w:rsidRDefault="006075E1" w:rsidP="001953BB">
      <w:pPr>
        <w:pStyle w:val="Heading4"/>
      </w:pPr>
      <w:bookmarkStart w:id="641" w:name="_Toc187789943"/>
      <w:r>
        <w:lastRenderedPageBreak/>
        <w:t>3.</w:t>
      </w:r>
      <w:r w:rsidR="00D61046" w:rsidRPr="00D61046">
        <w:t>7.4.3 Key Findings and Comparative Insights</w:t>
      </w:r>
      <w:bookmarkEnd w:id="641"/>
    </w:p>
    <w:p w14:paraId="1368D568" w14:textId="77777777" w:rsidR="00D61046" w:rsidRPr="00D61046" w:rsidRDefault="00D61046" w:rsidP="00346227">
      <w:pPr>
        <w:rPr>
          <w:rFonts w:cs="Times New Roman"/>
        </w:rPr>
      </w:pPr>
      <w:r w:rsidRPr="00D61046">
        <w:rPr>
          <w:rFonts w:cs="Times New Roman"/>
        </w:rPr>
        <w:t>The analysis highlights distinct strengths and limitations of binary and continuous range definitions, with each capturing unique dimensions of delisting’s impacts:</w:t>
      </w:r>
    </w:p>
    <w:p w14:paraId="37CFB965" w14:textId="6FF11858" w:rsidR="00D61046" w:rsidRPr="00D61046" w:rsidRDefault="00D61046" w:rsidP="00346227">
      <w:pPr>
        <w:rPr>
          <w:rFonts w:cs="Times New Roman"/>
        </w:rPr>
      </w:pPr>
      <w:r w:rsidRPr="00D61046">
        <w:rPr>
          <w:rFonts w:cs="Times New Roman"/>
          <w:b/>
          <w:bCs/>
        </w:rPr>
        <w:t>Binary Range Definition:</w:t>
      </w:r>
      <w:r w:rsidRPr="00D61046">
        <w:rPr>
          <w:rFonts w:cs="Times New Roman"/>
        </w:rPr>
        <w:t xml:space="preserve"> The binary measure divides counties into those with and without bear range, capturing average immediate effects of habitat presence. This approach is straightforward and highly interpretable for policymakers needing broad insights into delisting’s spatial impacts. For instance, in NAICS 11 (Agriculture), establishment counts decline 12.5% immediately in </w:t>
      </w:r>
      <w:proofErr w:type="spellStart"/>
      <w:r w:rsidRPr="00D61046">
        <w:rPr>
          <w:rFonts w:cs="Times New Roman"/>
        </w:rPr>
        <w:t>range</w:t>
      </w:r>
      <w:proofErr w:type="spellEnd"/>
      <w:r w:rsidRPr="00D61046">
        <w:rPr>
          <w:rFonts w:cs="Times New Roman"/>
        </w:rPr>
        <w:t xml:space="preserve"> counties (</w:t>
      </w:r>
      <w:r w:rsidRPr="004E4775">
        <w:rPr>
          <w:rFonts w:cs="Times New Roman"/>
          <w:b/>
          <w:bCs/>
        </w:rPr>
        <w:t>Table A</w:t>
      </w:r>
      <w:r w:rsidR="00E87B9C" w:rsidRPr="004E4775">
        <w:rPr>
          <w:rFonts w:cs="Times New Roman"/>
          <w:b/>
          <w:bCs/>
        </w:rPr>
        <w:t>4</w:t>
      </w:r>
      <w:r w:rsidRPr="004E4775">
        <w:rPr>
          <w:rFonts w:cs="Times New Roman"/>
          <w:b/>
          <w:bCs/>
        </w:rPr>
        <w:t>4</w:t>
      </w:r>
      <w:r w:rsidRPr="00D61046">
        <w:rPr>
          <w:rFonts w:cs="Times New Roman"/>
        </w:rPr>
        <w:t>), reflecting significant disruptions in production and workforce stability. In Utilities (NAICS 22), sharp 16.3% declines in employment and 33.9% reductions in sales volume (</w:t>
      </w:r>
      <w:r w:rsidRPr="004E4775">
        <w:rPr>
          <w:rFonts w:cs="Times New Roman"/>
          <w:b/>
          <w:bCs/>
        </w:rPr>
        <w:t>Table A</w:t>
      </w:r>
      <w:r w:rsidR="00E87B9C" w:rsidRPr="004E4775">
        <w:rPr>
          <w:rFonts w:cs="Times New Roman"/>
          <w:b/>
          <w:bCs/>
        </w:rPr>
        <w:t>4</w:t>
      </w:r>
      <w:r w:rsidRPr="004E4775">
        <w:rPr>
          <w:rFonts w:cs="Times New Roman"/>
          <w:b/>
          <w:bCs/>
        </w:rPr>
        <w:t>8</w:t>
      </w:r>
      <w:r w:rsidRPr="00D61046">
        <w:rPr>
          <w:rFonts w:cs="Times New Roman"/>
        </w:rPr>
        <w:t>) illustrate the structural rigidity of land-intensive industries. The binary definition is particularly useful for identifying broad patterns and understanding the spatial scope of delisting’s effects across sectors.</w:t>
      </w:r>
    </w:p>
    <w:p w14:paraId="37081D87" w14:textId="21505698" w:rsidR="00D61046" w:rsidRPr="00D61046" w:rsidRDefault="00D61046" w:rsidP="00346227">
      <w:pPr>
        <w:rPr>
          <w:rFonts w:cs="Times New Roman"/>
        </w:rPr>
      </w:pPr>
      <w:r w:rsidRPr="00D61046">
        <w:rPr>
          <w:rFonts w:cs="Times New Roman"/>
          <w:b/>
          <w:bCs/>
        </w:rPr>
        <w:t>Continuous Range Definition:</w:t>
      </w:r>
      <w:r w:rsidRPr="00D61046">
        <w:rPr>
          <w:rFonts w:cs="Times New Roman"/>
        </w:rPr>
        <w:t xml:space="preserve"> The continuous measure refines the analysis, capturing the marginal effects of incremental increases in habitat overlap. This allows for a more granular understanding of how habitat intensity influences economic outcomes. For example, in NAICS 11 (Agriculture), a 1-percentage-point increase in habitat overlap results in an immediate 0.1% decline in establishment counts, compounded annually by an additional 0.17% reduction (</w:t>
      </w:r>
      <w:r w:rsidRPr="004E4775">
        <w:rPr>
          <w:rFonts w:cs="Times New Roman"/>
          <w:b/>
          <w:bCs/>
        </w:rPr>
        <w:t>Table A</w:t>
      </w:r>
      <w:r w:rsidR="00E87B9C" w:rsidRPr="004E4775">
        <w:rPr>
          <w:rFonts w:cs="Times New Roman"/>
          <w:b/>
          <w:bCs/>
        </w:rPr>
        <w:t>4</w:t>
      </w:r>
      <w:r w:rsidRPr="004E4775">
        <w:rPr>
          <w:rFonts w:cs="Times New Roman"/>
          <w:b/>
          <w:bCs/>
        </w:rPr>
        <w:t>5</w:t>
      </w:r>
      <w:r w:rsidRPr="00D61046">
        <w:rPr>
          <w:rFonts w:cs="Times New Roman"/>
        </w:rPr>
        <w:t>). In NAICS 21 (Mining), job and establishment losses scale proportionately with habitat overlap, with cumulative annual declines reflecting the sector’s dependency on land stability and long-term planning (</w:t>
      </w:r>
      <w:r w:rsidRPr="004E4775">
        <w:rPr>
          <w:rFonts w:cs="Times New Roman"/>
          <w:b/>
          <w:bCs/>
        </w:rPr>
        <w:t>Table A</w:t>
      </w:r>
      <w:r w:rsidR="00E87B9C" w:rsidRPr="004E4775">
        <w:rPr>
          <w:rFonts w:cs="Times New Roman"/>
          <w:b/>
          <w:bCs/>
        </w:rPr>
        <w:t>4</w:t>
      </w:r>
      <w:r w:rsidRPr="004E4775">
        <w:rPr>
          <w:rFonts w:cs="Times New Roman"/>
          <w:b/>
          <w:bCs/>
        </w:rPr>
        <w:t>7</w:t>
      </w:r>
      <w:r w:rsidRPr="00D61046">
        <w:rPr>
          <w:rFonts w:cs="Times New Roman"/>
        </w:rPr>
        <w:t xml:space="preserve">). Continuous measures are particularly valuable for targeting </w:t>
      </w:r>
      <w:r w:rsidRPr="00D61046">
        <w:rPr>
          <w:rFonts w:cs="Times New Roman"/>
        </w:rPr>
        <w:lastRenderedPageBreak/>
        <w:t>interventions in areas with varying levels of habitat overlap, offering actionable insights for policy design.</w:t>
      </w:r>
    </w:p>
    <w:p w14:paraId="4D61829C" w14:textId="77777777" w:rsidR="00D61046" w:rsidRPr="00D61046" w:rsidRDefault="00D61046" w:rsidP="00346227">
      <w:pPr>
        <w:rPr>
          <w:rFonts w:cs="Times New Roman"/>
        </w:rPr>
      </w:pPr>
      <w:r w:rsidRPr="00D61046">
        <w:rPr>
          <w:rFonts w:cs="Times New Roman"/>
          <w:b/>
          <w:bCs/>
        </w:rPr>
        <w:t>Temporal Dynamics:</w:t>
      </w:r>
      <w:r w:rsidRPr="00D61046">
        <w:rPr>
          <w:rFonts w:cs="Times New Roman"/>
        </w:rPr>
        <w:t xml:space="preserve"> The coefficient on the interaction term (</w:t>
      </w:r>
      <m:oMath>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2</m:t>
            </m:r>
          </m:sub>
        </m:sSub>
      </m:oMath>
      <w:r w:rsidRPr="00D61046">
        <w:rPr>
          <w:rFonts w:cs="Times New Roman"/>
        </w:rPr>
        <w:t>) captures how impacts evolve over time, revealing two overarching trends. LIS such as agriculture, mining, and utilities experience cumulative annual declines as negative effects worsen over time. This reflects the rigidity of sectors reliant on land and fixed infrastructure, which are slow to adjust to regulatory and market changes. On the other hand, non-LIS such as construction and arts and recreation show immediate stabilization or positive cumulative effects, reflecting their operational flexibility and ability to capitalize on shifting economic conditions.</w:t>
      </w:r>
    </w:p>
    <w:p w14:paraId="30DC67D9" w14:textId="77777777" w:rsidR="00D61046" w:rsidRPr="00D61046" w:rsidRDefault="00D61046" w:rsidP="00346227">
      <w:pPr>
        <w:rPr>
          <w:rFonts w:cs="Times New Roman"/>
        </w:rPr>
      </w:pPr>
      <w:r w:rsidRPr="00D61046">
        <w:rPr>
          <w:rFonts w:cs="Times New Roman"/>
        </w:rPr>
        <w:t>By combining these approaches, the analysis provides a multi-dimensional perspective of delisting’s impacts, overcoming the limitations of relying on a single measure. This comprehensive framework ensures a more accurate and policy-relevant interpretation of spatial and temporal dynamics.</w:t>
      </w:r>
    </w:p>
    <w:p w14:paraId="1288CD1F" w14:textId="77497DC0" w:rsidR="00D61046" w:rsidRPr="00D61046" w:rsidRDefault="006075E1" w:rsidP="001953BB">
      <w:pPr>
        <w:pStyle w:val="Heading4"/>
      </w:pPr>
      <w:bookmarkStart w:id="642" w:name="_Toc187789944"/>
      <w:r>
        <w:t>3.</w:t>
      </w:r>
      <w:r w:rsidR="00D61046" w:rsidRPr="00D61046">
        <w:t>7.4.</w:t>
      </w:r>
      <w:r>
        <w:t>4</w:t>
      </w:r>
      <w:r w:rsidR="00D61046" w:rsidRPr="00D61046">
        <w:t xml:space="preserve"> Sectoral Heterogeneity and Key Patterns</w:t>
      </w:r>
      <w:bookmarkEnd w:id="642"/>
    </w:p>
    <w:p w14:paraId="2531D736" w14:textId="77777777" w:rsidR="00D61046" w:rsidRPr="00D61046" w:rsidRDefault="00D61046" w:rsidP="00346227">
      <w:pPr>
        <w:rPr>
          <w:rFonts w:cs="Times New Roman"/>
        </w:rPr>
      </w:pPr>
      <w:r w:rsidRPr="00D61046">
        <w:rPr>
          <w:rFonts w:cs="Times New Roman"/>
        </w:rPr>
        <w:t>The findings reveal stark differences in sectoral responses to delisting, driven by variation in land dependency, adaptability, and exposure to economic spillovers:</w:t>
      </w:r>
    </w:p>
    <w:p w14:paraId="0419E7E5" w14:textId="7A6838EF" w:rsidR="00D61046" w:rsidRPr="00D61046" w:rsidRDefault="00D61046" w:rsidP="00346227">
      <w:pPr>
        <w:rPr>
          <w:rFonts w:cs="Times New Roman"/>
        </w:rPr>
      </w:pPr>
      <w:r w:rsidRPr="00D61046">
        <w:rPr>
          <w:rFonts w:cs="Times New Roman"/>
          <w:b/>
          <w:bCs/>
        </w:rPr>
        <w:t xml:space="preserve">1. LIS: </w:t>
      </w:r>
      <w:r w:rsidRPr="00D61046">
        <w:rPr>
          <w:rFonts w:cs="Times New Roman"/>
        </w:rPr>
        <w:t>For Agriculture, Mining, and Utilities, these sectors face significant and persistent declines across establishment counts, employment, and sales volume. Immediate impacts, compounded by annual declines, reflect their structural reliance on land resources and fixed infrastructure. For example, mining exhibits 17.2% annual declines in job counts (</w:t>
      </w:r>
      <w:r w:rsidRPr="004E4775">
        <w:rPr>
          <w:rFonts w:cs="Times New Roman"/>
          <w:b/>
          <w:bCs/>
        </w:rPr>
        <w:t>Table A</w:t>
      </w:r>
      <w:r w:rsidR="00E87B9C" w:rsidRPr="004E4775">
        <w:rPr>
          <w:rFonts w:cs="Times New Roman"/>
          <w:b/>
          <w:bCs/>
        </w:rPr>
        <w:t>4</w:t>
      </w:r>
      <w:r w:rsidRPr="004E4775">
        <w:rPr>
          <w:rFonts w:cs="Times New Roman"/>
          <w:b/>
          <w:bCs/>
        </w:rPr>
        <w:t>6</w:t>
      </w:r>
      <w:r w:rsidRPr="00D61046">
        <w:rPr>
          <w:rFonts w:cs="Times New Roman"/>
        </w:rPr>
        <w:t xml:space="preserve">), and utilities suffer incremental declines in establishments and sales revenue as habitat overlap </w:t>
      </w:r>
      <w:r w:rsidRPr="00D61046">
        <w:rPr>
          <w:rFonts w:cs="Times New Roman"/>
        </w:rPr>
        <w:lastRenderedPageBreak/>
        <w:t>intensifies (</w:t>
      </w:r>
      <w:r w:rsidRPr="004E4775">
        <w:rPr>
          <w:rFonts w:cs="Times New Roman"/>
          <w:b/>
          <w:bCs/>
        </w:rPr>
        <w:t>Table A</w:t>
      </w:r>
      <w:r w:rsidR="00E87B9C" w:rsidRPr="004E4775">
        <w:rPr>
          <w:rFonts w:cs="Times New Roman"/>
          <w:b/>
          <w:bCs/>
        </w:rPr>
        <w:t>4</w:t>
      </w:r>
      <w:r w:rsidRPr="004E4775">
        <w:rPr>
          <w:rFonts w:cs="Times New Roman"/>
          <w:b/>
          <w:bCs/>
        </w:rPr>
        <w:t>9</w:t>
      </w:r>
      <w:r w:rsidRPr="00D61046">
        <w:rPr>
          <w:rFonts w:cs="Times New Roman"/>
        </w:rPr>
        <w:t xml:space="preserve">). In contrast, construction stands out as a positive exception. Establishment counts </w:t>
      </w:r>
      <w:proofErr w:type="gramStart"/>
      <w:r w:rsidRPr="00D61046">
        <w:rPr>
          <w:rFonts w:cs="Times New Roman"/>
        </w:rPr>
        <w:t>grow</w:t>
      </w:r>
      <w:proofErr w:type="gramEnd"/>
      <w:r w:rsidRPr="00D61046">
        <w:rPr>
          <w:rFonts w:cs="Times New Roman"/>
        </w:rPr>
        <w:t xml:space="preserve"> by 8.7% immediately, with further 2.8% annual growth (</w:t>
      </w:r>
      <w:r w:rsidRPr="004E4775">
        <w:rPr>
          <w:rFonts w:cs="Times New Roman"/>
          <w:b/>
          <w:bCs/>
        </w:rPr>
        <w:t>Table A</w:t>
      </w:r>
      <w:r w:rsidR="00E87B9C" w:rsidRPr="004E4775">
        <w:rPr>
          <w:rFonts w:cs="Times New Roman"/>
          <w:b/>
          <w:bCs/>
        </w:rPr>
        <w:t>5</w:t>
      </w:r>
      <w:r w:rsidRPr="004E4775">
        <w:rPr>
          <w:rFonts w:cs="Times New Roman"/>
          <w:b/>
          <w:bCs/>
        </w:rPr>
        <w:t>0</w:t>
      </w:r>
      <w:r w:rsidRPr="00D61046">
        <w:rPr>
          <w:rFonts w:cs="Times New Roman"/>
        </w:rPr>
        <w:t>). The sector benefits from reduced regulatory barriers, which facilitate new development and infrastructure projects, highlighting its capacity to capitalize on delisting policies.</w:t>
      </w:r>
    </w:p>
    <w:p w14:paraId="70E1F549" w14:textId="59AA45B8" w:rsidR="00D61046" w:rsidRPr="00D61046" w:rsidRDefault="00D61046" w:rsidP="00346227">
      <w:pPr>
        <w:rPr>
          <w:rFonts w:cs="Times New Roman"/>
        </w:rPr>
      </w:pPr>
      <w:r w:rsidRPr="00D61046">
        <w:rPr>
          <w:rFonts w:cs="Times New Roman"/>
          <w:b/>
          <w:bCs/>
        </w:rPr>
        <w:t xml:space="preserve">2. Non-LIS: </w:t>
      </w:r>
      <w:r w:rsidRPr="00D61046">
        <w:rPr>
          <w:rFonts w:cs="Times New Roman"/>
        </w:rPr>
        <w:t>The manufacturing sector shows significant gains in sales volume, with an immediate 77% increase under the binary measure (</w:t>
      </w:r>
      <w:r w:rsidRPr="004E4775">
        <w:rPr>
          <w:rFonts w:cs="Times New Roman"/>
          <w:b/>
          <w:bCs/>
        </w:rPr>
        <w:t>Table A</w:t>
      </w:r>
      <w:r w:rsidR="00E87B9C" w:rsidRPr="004E4775">
        <w:rPr>
          <w:rFonts w:cs="Times New Roman"/>
          <w:b/>
          <w:bCs/>
        </w:rPr>
        <w:t>5</w:t>
      </w:r>
      <w:r w:rsidRPr="004E4775">
        <w:rPr>
          <w:rFonts w:cs="Times New Roman"/>
          <w:b/>
          <w:bCs/>
        </w:rPr>
        <w:t>2</w:t>
      </w:r>
      <w:r w:rsidRPr="00D61046">
        <w:rPr>
          <w:rFonts w:cs="Times New Roman"/>
        </w:rPr>
        <w:t xml:space="preserve">). These gains are driven by productivity improvements and spillover effects from upstream construction activities, rather than workforce or establishment expansion. The Real Estate sector shows </w:t>
      </w:r>
      <w:proofErr w:type="gramStart"/>
      <w:r w:rsidRPr="00D61046">
        <w:rPr>
          <w:rFonts w:cs="Times New Roman"/>
        </w:rPr>
        <w:t>modest</w:t>
      </w:r>
      <w:proofErr w:type="gramEnd"/>
      <w:r w:rsidRPr="00D61046">
        <w:rPr>
          <w:rFonts w:cs="Times New Roman"/>
        </w:rPr>
        <w:t xml:space="preserve"> but steady establishment growth reflects improved investor confidence and reduced regulatory uncertainty. Establishment counts increase by 4.6% immediately under the binary definition (</w:t>
      </w:r>
      <w:r w:rsidRPr="004E4775">
        <w:rPr>
          <w:rFonts w:cs="Times New Roman"/>
          <w:b/>
          <w:bCs/>
        </w:rPr>
        <w:t>Table A</w:t>
      </w:r>
      <w:r w:rsidR="00E87B9C" w:rsidRPr="004E4775">
        <w:rPr>
          <w:rFonts w:cs="Times New Roman"/>
          <w:b/>
          <w:bCs/>
        </w:rPr>
        <w:t>5</w:t>
      </w:r>
      <w:r w:rsidRPr="004E4775">
        <w:rPr>
          <w:rFonts w:cs="Times New Roman"/>
          <w:b/>
          <w:bCs/>
        </w:rPr>
        <w:t>4</w:t>
      </w:r>
      <w:r w:rsidRPr="00D61046">
        <w:rPr>
          <w:rFonts w:cs="Times New Roman"/>
        </w:rPr>
        <w:t>), though impacts on job counts and sales volume remain insignificant. The Arts, Entertainment, and Recreation sector emerges as a key beneficiary, with gains across all three outcome variables. Establishment counts increase by 3.9% immediately, while employment rises by 59.4%, and sales volume grows by 31.9% (</w:t>
      </w:r>
      <w:r w:rsidRPr="004E4775">
        <w:rPr>
          <w:rFonts w:cs="Times New Roman"/>
          <w:b/>
          <w:bCs/>
        </w:rPr>
        <w:t>Table A</w:t>
      </w:r>
      <w:r w:rsidR="00E87B9C" w:rsidRPr="004E4775">
        <w:rPr>
          <w:rFonts w:cs="Times New Roman"/>
          <w:b/>
          <w:bCs/>
        </w:rPr>
        <w:t>5</w:t>
      </w:r>
      <w:r w:rsidRPr="004E4775">
        <w:rPr>
          <w:rFonts w:cs="Times New Roman"/>
          <w:b/>
          <w:bCs/>
        </w:rPr>
        <w:t>6</w:t>
      </w:r>
      <w:r w:rsidRPr="00D61046">
        <w:rPr>
          <w:rFonts w:cs="Times New Roman"/>
        </w:rPr>
        <w:t>). These gains reflect increased consumer demand and tourism opportunities post-delisting.</w:t>
      </w:r>
    </w:p>
    <w:p w14:paraId="278BDB18" w14:textId="77777777" w:rsidR="00D61046" w:rsidRPr="00D61046" w:rsidRDefault="00D61046" w:rsidP="00346227">
      <w:pPr>
        <w:rPr>
          <w:rFonts w:cs="Times New Roman"/>
        </w:rPr>
      </w:pPr>
      <w:r w:rsidRPr="00D61046">
        <w:rPr>
          <w:rFonts w:cs="Times New Roman"/>
        </w:rPr>
        <w:t>The divergence between LIS and non-LIS underscores the importance of sectoral adaptability. LIS face structural challenges tied to fixed land resources and immobile infrastructure, which limit their ability to respond to economic shifts. Non-LIS leverage their operational flexibility to adapt quickly to delisting-related changes, benefiting from improved market conditions and consumer demand.</w:t>
      </w:r>
    </w:p>
    <w:p w14:paraId="3B60FF03" w14:textId="14E3C884" w:rsidR="00D61046" w:rsidRPr="00D61046" w:rsidRDefault="006075E1" w:rsidP="001953BB">
      <w:pPr>
        <w:pStyle w:val="Heading4"/>
      </w:pPr>
      <w:bookmarkStart w:id="643" w:name="_Toc187789945"/>
      <w:r>
        <w:lastRenderedPageBreak/>
        <w:t>3.</w:t>
      </w:r>
      <w:r w:rsidR="00D61046" w:rsidRPr="00D61046">
        <w:t>7.4.</w:t>
      </w:r>
      <w:r>
        <w:t>5</w:t>
      </w:r>
      <w:r w:rsidR="00D61046" w:rsidRPr="00D61046">
        <w:t xml:space="preserve"> Addressing the Research Questions and Hypotheses</w:t>
      </w:r>
      <w:bookmarkEnd w:id="643"/>
    </w:p>
    <w:bookmarkEnd w:id="621"/>
    <w:p w14:paraId="1323E105" w14:textId="77777777" w:rsidR="00D61046" w:rsidRPr="00D61046" w:rsidRDefault="00D61046" w:rsidP="00346227">
      <w:pPr>
        <w:rPr>
          <w:rFonts w:cs="Times New Roman"/>
        </w:rPr>
      </w:pPr>
      <w:r w:rsidRPr="00D61046">
        <w:rPr>
          <w:rFonts w:cs="Times New Roman"/>
        </w:rPr>
        <w:t>The findings systematically address the research questions (RQs</w:t>
      </w:r>
      <w:proofErr w:type="gramStart"/>
      <w:r w:rsidRPr="00D61046">
        <w:rPr>
          <w:rFonts w:cs="Times New Roman"/>
        </w:rPr>
        <w:t>)</w:t>
      </w:r>
      <w:proofErr w:type="gramEnd"/>
      <w:r w:rsidRPr="00D61046">
        <w:rPr>
          <w:rFonts w:cs="Times New Roman"/>
        </w:rPr>
        <w:t xml:space="preserve"> and hypotheses (H) outlined in this study, with clear insights into the spatial, sectoral, and temporal dimensions of delisting’s economic impacts:</w:t>
      </w:r>
    </w:p>
    <w:p w14:paraId="627C48DE" w14:textId="77777777" w:rsidR="00D61046" w:rsidRPr="00D61046" w:rsidRDefault="00D61046" w:rsidP="00346227">
      <w:pPr>
        <w:rPr>
          <w:rFonts w:cs="Times New Roman"/>
        </w:rPr>
      </w:pPr>
      <w:r w:rsidRPr="00D61046">
        <w:rPr>
          <w:rFonts w:cs="Times New Roman"/>
          <w:b/>
          <w:bCs/>
        </w:rPr>
        <w:t xml:space="preserve">1. Research Question 1 (H1: Non-Linear Effects Across Sectors): </w:t>
      </w:r>
      <w:r w:rsidRPr="00D61046">
        <w:rPr>
          <w:rFonts w:cs="Times New Roman"/>
        </w:rPr>
        <w:t>The results confirm significant non-linear effects across sectors, with LIS (e.g., agriculture, mining, utilities) experiencing large and persistent negative impacts. These sectors’ reliance on fixed land and infrastructure limits their ability to adjust to delisting-related constraints, leading to cumulative declines in establishment counts, employment, and sales volume. Non-LIS (e.g., arts, recreation, manufacturing) exhibit stable or positive responses, reflecting their adaptability and lower dependency on land resources. This divergence underscores the importance of sectoral heterogeneity in understanding delisting’s economic implications.</w:t>
      </w:r>
    </w:p>
    <w:p w14:paraId="55045480" w14:textId="77777777" w:rsidR="00D61046" w:rsidRPr="00D61046" w:rsidRDefault="00D61046" w:rsidP="00346227">
      <w:pPr>
        <w:rPr>
          <w:rFonts w:cs="Times New Roman"/>
        </w:rPr>
      </w:pPr>
      <w:r w:rsidRPr="00D61046">
        <w:rPr>
          <w:rFonts w:cs="Times New Roman"/>
          <w:b/>
          <w:bCs/>
        </w:rPr>
        <w:t xml:space="preserve">2. Research Question 2 (H2: Temporal Dynamics of Impacts): </w:t>
      </w:r>
      <w:r w:rsidRPr="00D61046">
        <w:rPr>
          <w:rFonts w:cs="Times New Roman"/>
        </w:rPr>
        <w:t xml:space="preserve">Temporal dynamics, captured by </w:t>
      </w:r>
      <m:oMath>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2</m:t>
            </m:r>
          </m:sub>
        </m:sSub>
      </m:oMath>
      <w:r w:rsidRPr="00D61046">
        <w:rPr>
          <w:rFonts w:cs="Times New Roman"/>
        </w:rPr>
        <w:t xml:space="preserve">, reveal key patterns: cumulative declines in LIS and immediate stabilization or growth in non-LIS. For example, construction demonstrates sustained </w:t>
      </w:r>
      <w:proofErr w:type="gramStart"/>
      <w:r w:rsidRPr="00D61046">
        <w:rPr>
          <w:rFonts w:cs="Times New Roman"/>
        </w:rPr>
        <w:t>positive growth</w:t>
      </w:r>
      <w:proofErr w:type="gramEnd"/>
      <w:r w:rsidRPr="00D61046">
        <w:rPr>
          <w:rFonts w:cs="Times New Roman"/>
        </w:rPr>
        <w:t xml:space="preserve"> in establishments, benefiting from reduced regulatory barriers and increased development opportunities. While the negative </w:t>
      </w:r>
      <m:oMath>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2</m:t>
            </m:r>
          </m:sub>
        </m:sSub>
      </m:oMath>
      <w:r w:rsidRPr="00D61046">
        <w:rPr>
          <w:rFonts w:cs="Times New Roman"/>
        </w:rPr>
        <w:t xml:space="preserve"> coefficients in some cases, such as utilities, appear counter-intuitive, they reflect worsening conditions in the immediate years following delisting (2016–2019). This result likely stems from the short post-delisting observation window, which limits the ability to capture longer-term recovery trends. This finding highlights the importance of extending future analyses to include a longer post-delisting period to validate these temporal effects.</w:t>
      </w:r>
    </w:p>
    <w:p w14:paraId="222A82E6" w14:textId="77777777" w:rsidR="00D61046" w:rsidRPr="00D61046" w:rsidRDefault="00D61046" w:rsidP="00346227">
      <w:pPr>
        <w:rPr>
          <w:rFonts w:cs="Times New Roman"/>
        </w:rPr>
      </w:pPr>
      <w:r w:rsidRPr="00D61046">
        <w:rPr>
          <w:rFonts w:cs="Times New Roman"/>
          <w:b/>
          <w:bCs/>
        </w:rPr>
        <w:lastRenderedPageBreak/>
        <w:t xml:space="preserve">3. Research Question 3 (H3: Structural and Resilience Challenges): </w:t>
      </w:r>
      <w:r w:rsidRPr="00D61046">
        <w:rPr>
          <w:rFonts w:cs="Times New Roman"/>
        </w:rPr>
        <w:t>The evidence strongly supports H3, highlighting the structural challenges faced by LIS and the resilience of non-LIS. Sectors like agriculture and mining struggle with regulatory and operational constraints, while adaptable sectors, such as arts and recreation, thrive on improved economic conditions and consumer demand.</w:t>
      </w:r>
    </w:p>
    <w:p w14:paraId="53EC8792" w14:textId="77777777" w:rsidR="00D61046" w:rsidRPr="00D61046" w:rsidRDefault="00D61046" w:rsidP="00346227">
      <w:pPr>
        <w:rPr>
          <w:rFonts w:cs="Times New Roman"/>
        </w:rPr>
      </w:pPr>
      <w:r w:rsidRPr="00D61046">
        <w:rPr>
          <w:rFonts w:cs="Times New Roman"/>
        </w:rPr>
        <w:t>These findings collectively provide a nuanced understanding of delisting’s economic impacts, validating the hypotheses and addressing the study’s research objectives.</w:t>
      </w:r>
    </w:p>
    <w:p w14:paraId="3419D9F6" w14:textId="15523A9B" w:rsidR="00D61046" w:rsidRPr="00D61046" w:rsidRDefault="006075E1" w:rsidP="00346227">
      <w:pPr>
        <w:pStyle w:val="Heading3"/>
      </w:pPr>
      <w:bookmarkStart w:id="644" w:name="_Toc187789946"/>
      <w:bookmarkStart w:id="645" w:name="_Toc188379075"/>
      <w:r>
        <w:rPr>
          <w:lang w:val="en-US"/>
        </w:rPr>
        <w:t>3.</w:t>
      </w:r>
      <w:r w:rsidR="00D61046" w:rsidRPr="00D61046">
        <w:t>7.5 Conclusion</w:t>
      </w:r>
      <w:bookmarkEnd w:id="644"/>
      <w:bookmarkEnd w:id="645"/>
    </w:p>
    <w:p w14:paraId="5ECB77C0" w14:textId="77777777" w:rsidR="00D61046" w:rsidRPr="00D61046" w:rsidRDefault="00D61046" w:rsidP="00346227">
      <w:pPr>
        <w:rPr>
          <w:rFonts w:cs="Times New Roman"/>
        </w:rPr>
      </w:pPr>
      <w:r w:rsidRPr="00D61046">
        <w:rPr>
          <w:rFonts w:cs="Times New Roman"/>
        </w:rPr>
        <w:t>This study integrates spatial, sectoral, and temporal analyses to provide a comprehensive understanding of the economic impacts of delisting the Louisiana Black Bear. By addressing the core research questions and hypotheses, the study highlights key contributions to Conservation Economics, Land Use Economics, and Industrial Organization:</w:t>
      </w:r>
    </w:p>
    <w:p w14:paraId="3EBDE23B" w14:textId="77777777" w:rsidR="00D61046" w:rsidRPr="00D61046" w:rsidRDefault="00D61046" w:rsidP="00346227">
      <w:pPr>
        <w:rPr>
          <w:rFonts w:cs="Times New Roman"/>
        </w:rPr>
      </w:pPr>
      <w:r w:rsidRPr="00D61046">
        <w:rPr>
          <w:rFonts w:cs="Times New Roman"/>
          <w:b/>
          <w:bCs/>
        </w:rPr>
        <w:t>1. Interpretation of Coefficients (</w:t>
      </w:r>
      <m:oMath>
        <m:sSub>
          <m:sSubPr>
            <m:ctrlPr>
              <w:rPr>
                <w:rFonts w:ascii="Cambria Math" w:hAnsi="Cambria Math" w:cs="Times New Roman"/>
                <w:b/>
                <w:bCs/>
                <w:i/>
              </w:rPr>
            </m:ctrlPr>
          </m:sSubPr>
          <m:e>
            <m:r>
              <m:rPr>
                <m:sty m:val="bi"/>
              </m:rPr>
              <w:rPr>
                <w:rFonts w:ascii="Cambria Math" w:hAnsi="Cambria Math" w:cs="Times New Roman"/>
              </w:rPr>
              <m:t>β</m:t>
            </m:r>
          </m:e>
          <m:sub>
            <m:r>
              <m:rPr>
                <m:sty m:val="bi"/>
              </m:rPr>
              <w:rPr>
                <w:rFonts w:ascii="Cambria Math" w:hAnsi="Cambria Math" w:cs="Times New Roman"/>
              </w:rPr>
              <m:t>1</m:t>
            </m:r>
          </m:sub>
        </m:sSub>
        <m:r>
          <m:rPr>
            <m:sty m:val="bi"/>
          </m:rPr>
          <w:rPr>
            <w:rFonts w:ascii="Cambria Math" w:hAnsi="Cambria Math" w:cs="Times New Roman"/>
          </w:rPr>
          <m:t xml:space="preserve"> </m:t>
        </m:r>
      </m:oMath>
      <w:r w:rsidRPr="00D61046">
        <w:rPr>
          <w:rFonts w:cs="Times New Roman"/>
          <w:b/>
          <w:bCs/>
        </w:rPr>
        <w:t>and</w:t>
      </w:r>
      <m:oMath>
        <m:r>
          <m:rPr>
            <m:sty m:val="bi"/>
          </m:rPr>
          <w:rPr>
            <w:rFonts w:ascii="Cambria Math" w:hAnsi="Cambria Math" w:cs="Times New Roman"/>
          </w:rPr>
          <m:t xml:space="preserve"> </m:t>
        </m:r>
        <m:sSub>
          <m:sSubPr>
            <m:ctrlPr>
              <w:rPr>
                <w:rFonts w:ascii="Cambria Math" w:hAnsi="Cambria Math" w:cs="Times New Roman"/>
                <w:b/>
                <w:bCs/>
                <w:i/>
              </w:rPr>
            </m:ctrlPr>
          </m:sSubPr>
          <m:e>
            <m:r>
              <m:rPr>
                <m:sty m:val="bi"/>
              </m:rPr>
              <w:rPr>
                <w:rFonts w:ascii="Cambria Math" w:hAnsi="Cambria Math" w:cs="Times New Roman"/>
              </w:rPr>
              <m:t>β</m:t>
            </m:r>
          </m:e>
          <m:sub>
            <m:r>
              <m:rPr>
                <m:sty m:val="bi"/>
              </m:rPr>
              <w:rPr>
                <w:rFonts w:ascii="Cambria Math" w:hAnsi="Cambria Math" w:cs="Times New Roman"/>
              </w:rPr>
              <m:t>2</m:t>
            </m:r>
          </m:sub>
        </m:sSub>
      </m:oMath>
      <w:r w:rsidRPr="00D61046">
        <w:rPr>
          <w:rFonts w:cs="Times New Roman"/>
          <w:b/>
          <w:bCs/>
        </w:rPr>
        <w:t xml:space="preserve">): </w:t>
      </w:r>
      <w:r w:rsidRPr="00D61046">
        <w:rPr>
          <w:rFonts w:cs="Times New Roman"/>
        </w:rPr>
        <w:t>The immediate effects (</w:t>
      </w:r>
      <m:oMath>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1</m:t>
            </m:r>
          </m:sub>
        </m:sSub>
      </m:oMath>
      <w:r w:rsidRPr="00D61046">
        <w:rPr>
          <w:rFonts w:cs="Times New Roman"/>
        </w:rPr>
        <w:t>) capture the direct impact of habitat overlap on economic outcomes, distinguishing between counties with and without bear range (binary) or incremental increases in habitat overlap (continuous). Temporal effects (</w:t>
      </w:r>
      <m:oMath>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2</m:t>
            </m:r>
          </m:sub>
        </m:sSub>
      </m:oMath>
      <w:r w:rsidRPr="00D61046">
        <w:rPr>
          <w:rFonts w:cs="Times New Roman"/>
        </w:rPr>
        <w:t>) provide insight into how impacts evolve over time, with negative values in LIS reflecting short-term economic adjustments post-delisting. These values, though initially counter-intuitive, underscore the boundedness of TSD, which measures only the years post-delisting (2016–2019). The limited observation window highlights the need for extended analyses to capture long-term recovery trends.</w:t>
      </w:r>
    </w:p>
    <w:p w14:paraId="159CD757" w14:textId="77777777" w:rsidR="00D61046" w:rsidRPr="00D61046" w:rsidRDefault="00D61046" w:rsidP="00346227">
      <w:pPr>
        <w:rPr>
          <w:rFonts w:cs="Times New Roman"/>
        </w:rPr>
      </w:pPr>
      <w:r w:rsidRPr="00D61046">
        <w:rPr>
          <w:rFonts w:cs="Times New Roman"/>
          <w:b/>
          <w:bCs/>
        </w:rPr>
        <w:lastRenderedPageBreak/>
        <w:t xml:space="preserve">2. Methodological Contributions: </w:t>
      </w:r>
      <w:r w:rsidRPr="00D61046">
        <w:rPr>
          <w:rFonts w:cs="Times New Roman"/>
        </w:rPr>
        <w:t>The use of binary and continuous range definitions ensures a multi-dimensional analysis of delisting impacts, offering complementary perspectives. The binary measure simplifies spatial impacts, while the continuous measure captures marginal effects of habitat overlap, providing granular insights into spatial heterogeneity. Temporal interaction terms further enrich the analysis by distinguishing immediate impacts from cumulative trends, addressing the dynamic nature of sectoral adjustments.</w:t>
      </w:r>
    </w:p>
    <w:p w14:paraId="3CFDD948" w14:textId="77777777" w:rsidR="00D61046" w:rsidRPr="00D61046" w:rsidRDefault="00D61046" w:rsidP="00346227">
      <w:pPr>
        <w:rPr>
          <w:rFonts w:cs="Times New Roman"/>
        </w:rPr>
      </w:pPr>
      <w:r w:rsidRPr="00D61046">
        <w:rPr>
          <w:rFonts w:cs="Times New Roman"/>
          <w:b/>
          <w:bCs/>
        </w:rPr>
        <w:t xml:space="preserve">3. Key Findings and Policy Implications: </w:t>
      </w:r>
      <w:r w:rsidRPr="00D61046">
        <w:rPr>
          <w:rFonts w:cs="Times New Roman"/>
        </w:rPr>
        <w:t xml:space="preserve">LIS </w:t>
      </w:r>
      <w:proofErr w:type="gramStart"/>
      <w:r w:rsidRPr="00D61046">
        <w:rPr>
          <w:rFonts w:cs="Times New Roman"/>
        </w:rPr>
        <w:t>face</w:t>
      </w:r>
      <w:proofErr w:type="gramEnd"/>
      <w:r w:rsidRPr="00D61046">
        <w:rPr>
          <w:rFonts w:cs="Times New Roman"/>
        </w:rPr>
        <w:t xml:space="preserve"> significant and persistent economic challenges, underscoring the need for targeted policies to support sectors like agriculture, mining, and utilities. These policies should address structural constraints and facilitate adaptation to changing regulatory landscapes. Non-LIS benefit from improved market conditions, highlighting the potential for delisting to spur growth in adaptable industries like manufacturing, real estate, and recreation. Policymakers should consider sector-specific interventions that balance conservation goals with economic resilience, leveraging delisting decisions to foster sustainable development while mitigating adverse impacts.</w:t>
      </w:r>
    </w:p>
    <w:p w14:paraId="7CCA7C82" w14:textId="77777777" w:rsidR="00C3308B" w:rsidRDefault="00D61046" w:rsidP="00346227">
      <w:pPr>
        <w:rPr>
          <w:rFonts w:cs="Times New Roman"/>
        </w:rPr>
      </w:pPr>
      <w:r w:rsidRPr="00D61046">
        <w:rPr>
          <w:rFonts w:cs="Times New Roman"/>
          <w:b/>
          <w:bCs/>
        </w:rPr>
        <w:t xml:space="preserve">4. Acknowledgment of Limitations: </w:t>
      </w:r>
      <w:r w:rsidRPr="00D61046">
        <w:rPr>
          <w:rFonts w:cs="Times New Roman"/>
        </w:rPr>
        <w:t>The study acknowledges the short post-delisting observation window (2016–2019), which limits the ability to capture longer-term sectoral adjustments. Future research should extend the temporal scope to better understand the evolving economic impacts of delisting. By combining rigorous econometric methods with a focus on spatial, temporal, and sectoral heterogeneity, this study provides actionable insights for policymakers and contributes to the broader understanding of the economic trade-offs inherent in species conservation decisions.</w:t>
      </w:r>
      <w:bookmarkStart w:id="646" w:name="_Toc187789947"/>
    </w:p>
    <w:p w14:paraId="26BC549D" w14:textId="45ED2493" w:rsidR="00D61046" w:rsidRPr="00D61046" w:rsidRDefault="006075E1" w:rsidP="00E4693E">
      <w:pPr>
        <w:pStyle w:val="Heading2"/>
      </w:pPr>
      <w:bookmarkStart w:id="647" w:name="_Toc188379076"/>
      <w:r>
        <w:lastRenderedPageBreak/>
        <w:t>3.</w:t>
      </w:r>
      <w:r w:rsidR="00D61046" w:rsidRPr="00D61046">
        <w:t>8 Discussion and Policy Implications</w:t>
      </w:r>
      <w:bookmarkEnd w:id="646"/>
      <w:bookmarkEnd w:id="647"/>
    </w:p>
    <w:p w14:paraId="2206DF55" w14:textId="7B6FE758" w:rsidR="00D61046" w:rsidRPr="00D61046" w:rsidRDefault="006075E1" w:rsidP="00346227">
      <w:pPr>
        <w:pStyle w:val="Heading3"/>
      </w:pPr>
      <w:bookmarkStart w:id="648" w:name="_Toc187789948"/>
      <w:bookmarkStart w:id="649" w:name="_Toc188379077"/>
      <w:r>
        <w:rPr>
          <w:lang w:val="en-US"/>
        </w:rPr>
        <w:t>3.</w:t>
      </w:r>
      <w:r w:rsidR="00D61046" w:rsidRPr="00D61046">
        <w:t>8.1 Introduction</w:t>
      </w:r>
      <w:bookmarkEnd w:id="648"/>
      <w:bookmarkEnd w:id="649"/>
    </w:p>
    <w:p w14:paraId="7CB2809D" w14:textId="77777777" w:rsidR="00D61046" w:rsidRPr="00D61046" w:rsidRDefault="00D61046" w:rsidP="00346227">
      <w:pPr>
        <w:rPr>
          <w:rFonts w:cs="Times New Roman"/>
        </w:rPr>
      </w:pPr>
      <w:r w:rsidRPr="00D61046">
        <w:rPr>
          <w:rFonts w:cs="Times New Roman"/>
        </w:rPr>
        <w:t>The findings of this study provide significant empirical evidence on the economic consequences of delisting the Louisiana Black Bear, revealing sharp contrasts across LIS and non-LIS. The study captures the nuanced spatial and temporal effects of habitat regulatory changes. This dual approach highlights critical patterns often overlooked in similar studies, offering actionable insights for policymakers and advancing the broader field of conservation economics.</w:t>
      </w:r>
    </w:p>
    <w:p w14:paraId="66FD04D6" w14:textId="3937EC0F" w:rsidR="00D61046" w:rsidRPr="00D61046" w:rsidRDefault="006075E1" w:rsidP="00346227">
      <w:pPr>
        <w:pStyle w:val="Heading3"/>
      </w:pPr>
      <w:bookmarkStart w:id="650" w:name="_Toc187789949"/>
      <w:bookmarkStart w:id="651" w:name="_Toc188379078"/>
      <w:r>
        <w:rPr>
          <w:lang w:val="en-US"/>
        </w:rPr>
        <w:t>3.</w:t>
      </w:r>
      <w:r w:rsidR="00D61046" w:rsidRPr="00D61046">
        <w:t>8.2 Reconciling Economic Recovery with Conservation Objectives</w:t>
      </w:r>
      <w:bookmarkEnd w:id="650"/>
      <w:bookmarkEnd w:id="651"/>
    </w:p>
    <w:p w14:paraId="13AF850C" w14:textId="77777777" w:rsidR="00D61046" w:rsidRPr="00D61046" w:rsidRDefault="00D61046" w:rsidP="00346227">
      <w:pPr>
        <w:rPr>
          <w:rFonts w:cs="Times New Roman"/>
        </w:rPr>
      </w:pPr>
      <w:r w:rsidRPr="00D61046">
        <w:rPr>
          <w:rFonts w:cs="Times New Roman"/>
        </w:rPr>
        <w:t>The results underscore the tension between economic recovery and species persistence, a central concern in post-delisting scenarios. LIS such as agriculture, mining, and utilities experience significant and persistent declines, particularly in counties with high habitat overlap. These findings align with literature on the economic costs of environmental regulations, where fixed land dependencies heighten vulnerabilities (Ferris &amp; Frank, 2021; Melstrom, 2020). Sectors like construction and non-LIS, including arts and real estate, show immediate or incremental gains. This outcome reflects the capacity of certain industries to capitalize on regulatory relief, particularly when operational flexibility and market adaptability are high. For example, the arts sector’s 31.9% increase in sales volume mirrors findings by Sims et al. (2019), where tourism and recreation industries benefited from eased restrictions.</w:t>
      </w:r>
    </w:p>
    <w:p w14:paraId="3BBCB6BF" w14:textId="77777777" w:rsidR="00DB1842" w:rsidRDefault="00DB1842">
      <w:pPr>
        <w:spacing w:line="240" w:lineRule="auto"/>
        <w:rPr>
          <w:rFonts w:eastAsia="DengXian Light"/>
          <w:b/>
          <w:bCs/>
          <w:szCs w:val="26"/>
          <w:lang w:eastAsia="zh-CN"/>
        </w:rPr>
      </w:pPr>
      <w:bookmarkStart w:id="652" w:name="_Toc187789950"/>
      <w:r>
        <w:br w:type="page"/>
      </w:r>
    </w:p>
    <w:p w14:paraId="4F8FE823" w14:textId="0AE985BF" w:rsidR="00D61046" w:rsidRPr="00D61046" w:rsidRDefault="006075E1" w:rsidP="00346227">
      <w:pPr>
        <w:pStyle w:val="Heading3"/>
      </w:pPr>
      <w:bookmarkStart w:id="653" w:name="_Toc188379079"/>
      <w:r>
        <w:rPr>
          <w:lang w:val="en-US"/>
        </w:rPr>
        <w:lastRenderedPageBreak/>
        <w:t>3.</w:t>
      </w:r>
      <w:r w:rsidR="00D61046" w:rsidRPr="00D61046">
        <w:t>8.3 Policy Recommendations</w:t>
      </w:r>
      <w:bookmarkEnd w:id="652"/>
      <w:bookmarkEnd w:id="653"/>
    </w:p>
    <w:p w14:paraId="5EC96B31" w14:textId="77777777" w:rsidR="00D61046" w:rsidRPr="00D61046" w:rsidRDefault="00D61046" w:rsidP="00346227">
      <w:pPr>
        <w:rPr>
          <w:rFonts w:cs="Times New Roman"/>
        </w:rPr>
      </w:pPr>
      <w:r w:rsidRPr="00D61046">
        <w:rPr>
          <w:rFonts w:cs="Times New Roman"/>
        </w:rPr>
        <w:t>This study highlights actionable strategies to balance economic recovery and habitat protection following delisting.</w:t>
      </w:r>
    </w:p>
    <w:p w14:paraId="702226E4" w14:textId="77777777" w:rsidR="00D61046" w:rsidRPr="00D61046" w:rsidRDefault="00D61046" w:rsidP="00346227">
      <w:pPr>
        <w:rPr>
          <w:rFonts w:cs="Times New Roman"/>
        </w:rPr>
      </w:pPr>
      <w:r w:rsidRPr="00D61046">
        <w:rPr>
          <w:rFonts w:cs="Times New Roman"/>
        </w:rPr>
        <w:t xml:space="preserve">First, post-delisting monitoring programs should track habitat quality and species populations, particularly in high-overlap counties where cumulative declines in LIS are most pronounced. Monitoring can provide early warnings of habitat degradation and enable timely interventions. Second, spatially targeted interventions are crucial for addressing localized pressures. High-overlap counties require conservation resources and tailored economic support to mitigate habitat and economic vulnerabilities. The study’s findings reveal that economic impacts scale proportionally with habitat overlap, emphasizing the need for localized solutions. Third, incentives for sustainable practices can align economic activities with conservation goals. Programs promoting sustainable agriculture, responsible mining, and habitat-sensitive development can reduce ecological disruptions while supporting economic resilience. Finally, adaptive conservation policies should evolve based on monitoring outcomes. </w:t>
      </w:r>
    </w:p>
    <w:p w14:paraId="693AEED7" w14:textId="77777777" w:rsidR="00D61046" w:rsidRPr="00D61046" w:rsidRDefault="00D61046" w:rsidP="00346227">
      <w:pPr>
        <w:rPr>
          <w:rFonts w:cs="Times New Roman"/>
          <w:b/>
          <w:bCs/>
        </w:rPr>
      </w:pPr>
      <w:r w:rsidRPr="00D61046">
        <w:rPr>
          <w:rFonts w:cs="Times New Roman"/>
        </w:rPr>
        <w:t>These dynamic strategies can address immediate shocks and accommodate long-term adjustments, reflecting the study’s temporal findings of gradual sectoral changes. Flexible policies ensure effective responses to shifting economic and ecological conditions.</w:t>
      </w:r>
    </w:p>
    <w:p w14:paraId="14E98B3F" w14:textId="5446E117" w:rsidR="00D61046" w:rsidRPr="00D61046" w:rsidRDefault="006075E1" w:rsidP="00346227">
      <w:pPr>
        <w:pStyle w:val="Heading3"/>
      </w:pPr>
      <w:bookmarkStart w:id="654" w:name="_Toc187789951"/>
      <w:bookmarkStart w:id="655" w:name="_Toc188379080"/>
      <w:r>
        <w:rPr>
          <w:lang w:val="en-US"/>
        </w:rPr>
        <w:t>3.</w:t>
      </w:r>
      <w:r w:rsidR="00D61046" w:rsidRPr="00D61046">
        <w:t>8.4 Contributions to the Literature and Policy Discourse</w:t>
      </w:r>
      <w:bookmarkEnd w:id="654"/>
      <w:bookmarkEnd w:id="655"/>
    </w:p>
    <w:p w14:paraId="5E8F9AE5" w14:textId="77777777" w:rsidR="00D61046" w:rsidRPr="00D61046" w:rsidRDefault="00D61046" w:rsidP="00346227">
      <w:pPr>
        <w:rPr>
          <w:rFonts w:cs="Times New Roman"/>
        </w:rPr>
      </w:pPr>
      <w:r w:rsidRPr="00D61046">
        <w:rPr>
          <w:rFonts w:cs="Times New Roman"/>
        </w:rPr>
        <w:t xml:space="preserve">This study makes significant contributions by integrating spatial, temporal, and sectoral analyses to evaluate delisting’s economic impacts. The dual range definitions (binary and continuous) advance understanding by capturing both broad spatial patterns and the marginal effects of </w:t>
      </w:r>
      <w:r w:rsidRPr="00D61046">
        <w:rPr>
          <w:rFonts w:cs="Times New Roman"/>
        </w:rPr>
        <w:lastRenderedPageBreak/>
        <w:t>habitat overlap. Temporal dynamics, captured through interaction terms, reveal evolving impacts over time, underscoring the importance of adaptability in conservation and economic policy. The distinction between LIS and non-LIS highlights critical heterogeneities. LIS face persistent declines due to structural dependencies on land resources, while non-LIS exhibit resilience, leveraging improved economic conditions post-delisting. Importantly, this study challenges the assumption that conservation policies and economic growth are incompatible. The findings demonstrate that delisting can stimulate growth in adaptable sectors while identifying the need for safeguards in vulnerable industries. These insights inform balanced policy strategies that promote both economic recovery and conservation objectives.</w:t>
      </w:r>
    </w:p>
    <w:p w14:paraId="2685BC40" w14:textId="4A09BDE9" w:rsidR="00D61046" w:rsidRPr="00D61046" w:rsidRDefault="00775652" w:rsidP="00E4693E">
      <w:pPr>
        <w:pStyle w:val="Heading2"/>
      </w:pPr>
      <w:bookmarkStart w:id="656" w:name="_Toc187789952"/>
      <w:bookmarkStart w:id="657" w:name="_Toc188379081"/>
      <w:r>
        <w:t>3.</w:t>
      </w:r>
      <w:r w:rsidR="00D61046" w:rsidRPr="00D61046">
        <w:t>9 Conclusion</w:t>
      </w:r>
      <w:bookmarkEnd w:id="656"/>
      <w:bookmarkEnd w:id="657"/>
    </w:p>
    <w:p w14:paraId="7393AD80" w14:textId="77777777" w:rsidR="00D61046" w:rsidRPr="00D61046" w:rsidRDefault="00D61046" w:rsidP="00346227">
      <w:pPr>
        <w:rPr>
          <w:rFonts w:cs="Times New Roman"/>
        </w:rPr>
      </w:pPr>
      <w:r w:rsidRPr="00D61046">
        <w:rPr>
          <w:rFonts w:cs="Times New Roman"/>
        </w:rPr>
        <w:t>This study provides a comprehensive empirical analysis of the economic impacts of delisting the Louisiana Black Bear, addressing critical gaps in the literature on species conservation and regional economic development. By evaluating three primary outcomes—establishment count, job count, and sales volume—across land-intensive (LIS) and non-land-intensive sectors (non-LIS), the research offers nuanced insights into the spatial, temporal, and sectoral dimensions of delisting. The hypotheses were systematically tested, revealing that delisting creates significant economic impacts that vary spatially and temporally, with profound sectoral differences driven by land dependency, regulatory relief, and adaptability.</w:t>
      </w:r>
    </w:p>
    <w:p w14:paraId="037407EE" w14:textId="77777777" w:rsidR="00D61046" w:rsidRPr="00D61046" w:rsidRDefault="00D61046" w:rsidP="00346227">
      <w:pPr>
        <w:rPr>
          <w:rFonts w:cs="Times New Roman"/>
        </w:rPr>
      </w:pPr>
      <w:r w:rsidRPr="00D61046">
        <w:rPr>
          <w:rFonts w:cs="Times New Roman"/>
        </w:rPr>
        <w:t xml:space="preserve">This research makes pivotal contributions to Conservation Economics, Land Use Economics, and Industrial Organization. First, it advances methodological precision by integrating spatial and temporal frameworks. The dual use of binary and continuous range definitions captures both </w:t>
      </w:r>
      <w:r w:rsidRPr="00D61046">
        <w:rPr>
          <w:rFonts w:cs="Times New Roman"/>
        </w:rPr>
        <w:lastRenderedPageBreak/>
        <w:t>broad spatial patterns and incremental sensitivities to habitat overlap, providing a robust understanding of how delisting impacts evolve over time and space. Temporal dynamics, captured through the Time Since Delisting (TSD) variable, highlight the interplay between immediate impacts and longer-term adjustments, with results reflecting the limited three-year post-delisting observation window.</w:t>
      </w:r>
    </w:p>
    <w:p w14:paraId="1560F5D4" w14:textId="77777777" w:rsidR="00D61046" w:rsidRPr="00D61046" w:rsidRDefault="00D61046" w:rsidP="00346227">
      <w:pPr>
        <w:rPr>
          <w:rFonts w:cs="Times New Roman"/>
        </w:rPr>
      </w:pPr>
      <w:r w:rsidRPr="00D61046">
        <w:rPr>
          <w:rFonts w:cs="Times New Roman"/>
        </w:rPr>
        <w:t>Second, the study emphasizes sectoral heterogeneity, revealing how land-intensive sectors like agriculture, mining, and utilities face persistent economic challenges due to fixed capital constraints and dependency on land resources. In contrast, adaptable sectors like construction and arts experience significant growth post-delisting, capitalizing on reduced regulatory barriers and improved market conditions. These findings underscore the importance of differentiating sectoral responses when analyzing conservation policy impacts.</w:t>
      </w:r>
    </w:p>
    <w:p w14:paraId="43C37A9E" w14:textId="77777777" w:rsidR="00D61046" w:rsidRPr="00D61046" w:rsidRDefault="00D61046" w:rsidP="00346227">
      <w:pPr>
        <w:rPr>
          <w:rFonts w:cs="Times New Roman"/>
        </w:rPr>
      </w:pPr>
      <w:r w:rsidRPr="00D61046">
        <w:rPr>
          <w:rFonts w:cs="Times New Roman"/>
        </w:rPr>
        <w:t>Third, the study provides real-world policy relevance, challenging the assumption that species delisting universally benefits local economies. Instead, the findings reveal trade-offs between economic growth and conservation objectives, emphasizing the need for sector-specific policies. Industries like agriculture and mining require targeted interventions, including sustainable land-use practices and financial support, to mitigate compounding economic losses. Simultaneously, adaptable sectors like construction and arts should be supported through infrastructure investments, workforce development, and tourism promotion to foster economic resilience.</w:t>
      </w:r>
    </w:p>
    <w:p w14:paraId="3D43C682" w14:textId="77777777" w:rsidR="00D61046" w:rsidRPr="00D61046" w:rsidRDefault="00D61046" w:rsidP="00346227">
      <w:pPr>
        <w:rPr>
          <w:rFonts w:cs="Times New Roman"/>
        </w:rPr>
      </w:pPr>
      <w:r w:rsidRPr="00D61046">
        <w:rPr>
          <w:rFonts w:cs="Times New Roman"/>
        </w:rPr>
        <w:t xml:space="preserve">The results carry clear policy implications. Continuous range measures emphasize the need for localized interventions in counties with high habitat overlap, where economic and habitat pressures are most acute. Monitoring programs and adaptive policies are critical for balancing </w:t>
      </w:r>
      <w:r w:rsidRPr="00D61046">
        <w:rPr>
          <w:rFonts w:cs="Times New Roman"/>
        </w:rPr>
        <w:lastRenderedPageBreak/>
        <w:t>economic recovery with long-term species conservation, reducing the risk of habitat encroachment and potential relisting. The study reinforces the importance of integrating economic foresight into conservation planning, bridging the gap between ecological and economic objectives.</w:t>
      </w:r>
    </w:p>
    <w:p w14:paraId="6C232B29" w14:textId="77777777" w:rsidR="00D61046" w:rsidRPr="00D61046" w:rsidRDefault="00D61046" w:rsidP="00346227">
      <w:pPr>
        <w:rPr>
          <w:rFonts w:cs="Times New Roman"/>
        </w:rPr>
      </w:pPr>
      <w:r w:rsidRPr="00D61046">
        <w:rPr>
          <w:rFonts w:cs="Times New Roman"/>
        </w:rPr>
        <w:t>This study challenges policymakers to move beyond simplistic narratives, advocating for nuanced, evidence-based strategies that balance economic recovery with ecological sustainability. By capturing sectoral heterogeneity, spatial nuances, and temporal dynamics, it offers a realistic and balanced understanding of how delisting decisions impact regional economies. These findings contribute to broader discussions on Environmental Federalism (Oates, 1999) and Dynamic Conservation Policies (Ando &amp; Shah, 2014), providing actionable insights for policymakers and conservation managers.</w:t>
      </w:r>
    </w:p>
    <w:p w14:paraId="1C3BBE1B" w14:textId="77777777" w:rsidR="00D61046" w:rsidRPr="00D61046" w:rsidRDefault="00D61046" w:rsidP="00346227">
      <w:pPr>
        <w:rPr>
          <w:rFonts w:cs="Times New Roman"/>
        </w:rPr>
      </w:pPr>
      <w:r w:rsidRPr="00D61046">
        <w:rPr>
          <w:rFonts w:cs="Times New Roman"/>
        </w:rPr>
        <w:t>In conclusion, this research serves as a foundation for future studies and policy innovations, offering a blueprint for harmonizing economic growth with species conservation. It underscores that successful conservation policies require not only ecological sensitivity but also strategic flexibility and economic foresight. As species conservation and land-use decisions grow increasingly complex, this study provides critical insights for designing policies that support both sustainable development and biodiversity recovery.</w:t>
      </w:r>
    </w:p>
    <w:p w14:paraId="3AF8CF2D" w14:textId="77777777" w:rsidR="00D61046" w:rsidRPr="00D61046" w:rsidRDefault="00D61046" w:rsidP="004C39A4">
      <w:pPr>
        <w:spacing w:line="256" w:lineRule="auto"/>
        <w:rPr>
          <w:rFonts w:cs="Times New Roman"/>
          <w:b/>
          <w:bCs/>
          <w:kern w:val="44"/>
        </w:rPr>
      </w:pPr>
      <w:r w:rsidRPr="00D61046">
        <w:rPr>
          <w:rFonts w:cs="Times New Roman"/>
        </w:rPr>
        <w:br w:type="page"/>
      </w:r>
    </w:p>
    <w:p w14:paraId="7630C21E" w14:textId="1D33A712" w:rsidR="00D61046" w:rsidRPr="00D61046" w:rsidRDefault="00D61046" w:rsidP="003B5A8E">
      <w:pPr>
        <w:pStyle w:val="Heading2"/>
      </w:pPr>
      <w:bookmarkStart w:id="658" w:name="_Toc187789953"/>
      <w:bookmarkStart w:id="659" w:name="_Toc188379082"/>
      <w:r w:rsidRPr="00D61046">
        <w:lastRenderedPageBreak/>
        <w:t>Reference</w:t>
      </w:r>
      <w:bookmarkEnd w:id="658"/>
      <w:bookmarkEnd w:id="659"/>
      <w:r w:rsidR="00A843CB">
        <w:t>s</w:t>
      </w:r>
    </w:p>
    <w:p w14:paraId="03EF4ABD" w14:textId="77777777" w:rsidR="00263ED2" w:rsidRPr="00263ED2" w:rsidRDefault="00263ED2" w:rsidP="003B5A8E">
      <w:pPr>
        <w:pStyle w:val="ListParagraph"/>
        <w:numPr>
          <w:ilvl w:val="0"/>
          <w:numId w:val="48"/>
        </w:numPr>
        <w:spacing w:before="0" w:beforeAutospacing="0" w:after="0" w:line="480" w:lineRule="auto"/>
        <w:rPr>
          <w:rFonts w:ascii="Times New Roman" w:hAnsi="Times New Roman"/>
          <w:sz w:val="24"/>
          <w:szCs w:val="24"/>
          <w:lang/>
        </w:rPr>
      </w:pPr>
      <w:r w:rsidRPr="00263ED2">
        <w:rPr>
          <w:rFonts w:ascii="Times New Roman" w:hAnsi="Times New Roman"/>
          <w:sz w:val="24"/>
          <w:szCs w:val="24"/>
          <w:lang/>
        </w:rPr>
        <w:t xml:space="preserve">Aillery, M., Gollehon, N., &amp; Caswell, M. (1996). Economic effects of salmon recovery on irrigated agriculture in the Pacific Northwest. </w:t>
      </w:r>
      <w:r w:rsidRPr="00263ED2">
        <w:rPr>
          <w:rFonts w:ascii="Times New Roman" w:hAnsi="Times New Roman"/>
          <w:i/>
          <w:iCs/>
          <w:sz w:val="24"/>
          <w:szCs w:val="24"/>
          <w:lang/>
        </w:rPr>
        <w:t>Agricultural Economics Research, 48</w:t>
      </w:r>
      <w:r w:rsidRPr="00263ED2">
        <w:rPr>
          <w:rFonts w:ascii="Times New Roman" w:hAnsi="Times New Roman"/>
          <w:sz w:val="24"/>
          <w:szCs w:val="24"/>
          <w:lang/>
        </w:rPr>
        <w:t>(4), 20–29.</w:t>
      </w:r>
    </w:p>
    <w:p w14:paraId="0E12F64D" w14:textId="5546C987" w:rsidR="00263ED2" w:rsidRPr="00263ED2" w:rsidRDefault="00263ED2" w:rsidP="00263ED2">
      <w:pPr>
        <w:pStyle w:val="ListParagraph"/>
        <w:numPr>
          <w:ilvl w:val="0"/>
          <w:numId w:val="48"/>
        </w:numPr>
        <w:spacing w:line="480" w:lineRule="auto"/>
        <w:rPr>
          <w:rFonts w:ascii="Times New Roman" w:hAnsi="Times New Roman"/>
          <w:sz w:val="24"/>
          <w:szCs w:val="24"/>
          <w:lang/>
        </w:rPr>
      </w:pPr>
      <w:r w:rsidRPr="00263ED2">
        <w:rPr>
          <w:rFonts w:ascii="Times New Roman" w:hAnsi="Times New Roman"/>
          <w:sz w:val="24"/>
          <w:szCs w:val="24"/>
          <w:lang/>
        </w:rPr>
        <w:t xml:space="preserve">Ando, A. W., &amp; Shah, P. (2014). The economics of conservation and finance: A review of the literature. </w:t>
      </w:r>
      <w:r w:rsidRPr="00263ED2">
        <w:rPr>
          <w:rFonts w:ascii="Times New Roman" w:hAnsi="Times New Roman"/>
          <w:i/>
          <w:iCs/>
          <w:sz w:val="24"/>
          <w:szCs w:val="24"/>
          <w:lang/>
        </w:rPr>
        <w:t>International Review of Environmental and Resource Economics, 7</w:t>
      </w:r>
      <w:r w:rsidRPr="00263ED2">
        <w:rPr>
          <w:rFonts w:ascii="Times New Roman" w:hAnsi="Times New Roman"/>
          <w:sz w:val="24"/>
          <w:szCs w:val="24"/>
          <w:lang/>
        </w:rPr>
        <w:t>(3–4), 353–422. https://doi.org/10.1561/101.00000056</w:t>
      </w:r>
    </w:p>
    <w:p w14:paraId="087F9FF3" w14:textId="77777777" w:rsidR="00263ED2" w:rsidRPr="00263ED2" w:rsidRDefault="00263ED2" w:rsidP="00263ED2">
      <w:pPr>
        <w:pStyle w:val="ListParagraph"/>
        <w:numPr>
          <w:ilvl w:val="0"/>
          <w:numId w:val="48"/>
        </w:numPr>
        <w:spacing w:line="480" w:lineRule="auto"/>
        <w:rPr>
          <w:rFonts w:ascii="Times New Roman" w:hAnsi="Times New Roman"/>
          <w:sz w:val="24"/>
          <w:szCs w:val="24"/>
          <w:lang/>
        </w:rPr>
      </w:pPr>
      <w:r w:rsidRPr="00263ED2">
        <w:rPr>
          <w:rFonts w:ascii="Times New Roman" w:hAnsi="Times New Roman"/>
          <w:sz w:val="24"/>
          <w:szCs w:val="24"/>
          <w:lang/>
        </w:rPr>
        <w:t xml:space="preserve">Davis, S. J., &amp; Haltiwanger, J. (1999). Gross job flows. In O. Ashenfelter &amp; D. Card (Eds.), </w:t>
      </w:r>
      <w:r w:rsidRPr="00263ED2">
        <w:rPr>
          <w:rFonts w:ascii="Times New Roman" w:hAnsi="Times New Roman"/>
          <w:i/>
          <w:iCs/>
          <w:sz w:val="24"/>
          <w:szCs w:val="24"/>
          <w:lang/>
        </w:rPr>
        <w:t>Handbook of labor economics</w:t>
      </w:r>
      <w:r w:rsidRPr="00263ED2">
        <w:rPr>
          <w:rFonts w:ascii="Times New Roman" w:hAnsi="Times New Roman"/>
          <w:sz w:val="24"/>
          <w:szCs w:val="24"/>
          <w:lang/>
        </w:rPr>
        <w:t xml:space="preserve"> (Vol. 3, pp. 2711–2805). Elsevier. https://doi.org/10.1016/S1573-4463(99)30027-6</w:t>
      </w:r>
    </w:p>
    <w:p w14:paraId="2327D4B1" w14:textId="77777777" w:rsidR="00263ED2" w:rsidRPr="00263ED2" w:rsidRDefault="00263ED2" w:rsidP="00263ED2">
      <w:pPr>
        <w:pStyle w:val="ListParagraph"/>
        <w:numPr>
          <w:ilvl w:val="0"/>
          <w:numId w:val="48"/>
        </w:numPr>
        <w:spacing w:line="480" w:lineRule="auto"/>
        <w:rPr>
          <w:rFonts w:ascii="Times New Roman" w:hAnsi="Times New Roman"/>
          <w:sz w:val="24"/>
          <w:szCs w:val="24"/>
          <w:lang/>
        </w:rPr>
      </w:pPr>
      <w:r w:rsidRPr="00263ED2">
        <w:rPr>
          <w:rFonts w:ascii="Times New Roman" w:hAnsi="Times New Roman"/>
          <w:sz w:val="24"/>
          <w:szCs w:val="24"/>
          <w:lang/>
        </w:rPr>
        <w:t xml:space="preserve">Dixit, A. K., &amp; Pindyck, R. S. (1994). </w:t>
      </w:r>
      <w:r w:rsidRPr="00263ED2">
        <w:rPr>
          <w:rFonts w:ascii="Times New Roman" w:hAnsi="Times New Roman"/>
          <w:i/>
          <w:iCs/>
          <w:sz w:val="24"/>
          <w:szCs w:val="24"/>
          <w:lang/>
        </w:rPr>
        <w:t>Investment under uncertainty</w:t>
      </w:r>
      <w:r w:rsidRPr="00263ED2">
        <w:rPr>
          <w:rFonts w:ascii="Times New Roman" w:hAnsi="Times New Roman"/>
          <w:sz w:val="24"/>
          <w:szCs w:val="24"/>
          <w:lang/>
        </w:rPr>
        <w:t>. Princeton University Press.</w:t>
      </w:r>
    </w:p>
    <w:p w14:paraId="4A17529B" w14:textId="10AA5C2B" w:rsidR="00263ED2" w:rsidRPr="00263ED2" w:rsidRDefault="00263ED2" w:rsidP="00263ED2">
      <w:pPr>
        <w:pStyle w:val="ListParagraph"/>
        <w:numPr>
          <w:ilvl w:val="0"/>
          <w:numId w:val="48"/>
        </w:numPr>
        <w:spacing w:line="480" w:lineRule="auto"/>
        <w:rPr>
          <w:rFonts w:ascii="Times New Roman" w:hAnsi="Times New Roman"/>
          <w:sz w:val="24"/>
          <w:szCs w:val="24"/>
          <w:lang/>
        </w:rPr>
      </w:pPr>
      <w:r w:rsidRPr="00263ED2">
        <w:rPr>
          <w:rFonts w:ascii="Times New Roman" w:hAnsi="Times New Roman"/>
          <w:sz w:val="24"/>
          <w:szCs w:val="24"/>
          <w:lang/>
        </w:rPr>
        <w:t xml:space="preserve">Ferris, R., &amp; Frank, A. (2021). The long-run employment effects of endangered species listing: Evidence from the Northern Spotted Owl. </w:t>
      </w:r>
      <w:r w:rsidRPr="00263ED2">
        <w:rPr>
          <w:rFonts w:ascii="Times New Roman" w:hAnsi="Times New Roman"/>
          <w:i/>
          <w:iCs/>
          <w:sz w:val="24"/>
          <w:szCs w:val="24"/>
          <w:lang/>
        </w:rPr>
        <w:t>Journal of Environmental Economics and Management, 105</w:t>
      </w:r>
      <w:r w:rsidRPr="00263ED2">
        <w:rPr>
          <w:rFonts w:ascii="Times New Roman" w:hAnsi="Times New Roman"/>
          <w:sz w:val="24"/>
          <w:szCs w:val="24"/>
          <w:lang/>
        </w:rPr>
        <w:t>, 102382. https://doi.org/10.1016/j.jeem.2020.102382</w:t>
      </w:r>
    </w:p>
    <w:p w14:paraId="7BC8E902" w14:textId="77777777" w:rsidR="00263ED2" w:rsidRPr="00263ED2" w:rsidRDefault="00263ED2" w:rsidP="00263ED2">
      <w:pPr>
        <w:pStyle w:val="ListParagraph"/>
        <w:numPr>
          <w:ilvl w:val="0"/>
          <w:numId w:val="48"/>
        </w:numPr>
        <w:spacing w:line="480" w:lineRule="auto"/>
        <w:rPr>
          <w:rFonts w:ascii="Times New Roman" w:hAnsi="Times New Roman"/>
          <w:sz w:val="24"/>
          <w:szCs w:val="24"/>
          <w:lang/>
        </w:rPr>
      </w:pPr>
      <w:r w:rsidRPr="00263ED2">
        <w:rPr>
          <w:rFonts w:ascii="Times New Roman" w:hAnsi="Times New Roman"/>
          <w:sz w:val="24"/>
          <w:szCs w:val="24"/>
          <w:lang/>
        </w:rPr>
        <w:t xml:space="preserve">Glaeser, E. L., Kolko, J., &amp; Saiz, A. (2008). Consumer city. </w:t>
      </w:r>
      <w:r w:rsidRPr="00263ED2">
        <w:rPr>
          <w:rFonts w:ascii="Times New Roman" w:hAnsi="Times New Roman"/>
          <w:i/>
          <w:iCs/>
          <w:sz w:val="24"/>
          <w:szCs w:val="24"/>
          <w:lang/>
        </w:rPr>
        <w:t>Journal of Economic Geography, 1</w:t>
      </w:r>
      <w:r w:rsidRPr="00263ED2">
        <w:rPr>
          <w:rFonts w:ascii="Times New Roman" w:hAnsi="Times New Roman"/>
          <w:sz w:val="24"/>
          <w:szCs w:val="24"/>
          <w:lang/>
        </w:rPr>
        <w:t>(1), 27–50. https://doi.org/10.1093/jeg/1.1.27</w:t>
      </w:r>
    </w:p>
    <w:p w14:paraId="659FF6B9" w14:textId="49ACACAF" w:rsidR="00263ED2" w:rsidRPr="00263ED2" w:rsidRDefault="00263ED2" w:rsidP="00263ED2">
      <w:pPr>
        <w:pStyle w:val="ListParagraph"/>
        <w:numPr>
          <w:ilvl w:val="0"/>
          <w:numId w:val="48"/>
        </w:numPr>
        <w:spacing w:line="480" w:lineRule="auto"/>
        <w:rPr>
          <w:rFonts w:ascii="Times New Roman" w:hAnsi="Times New Roman"/>
          <w:sz w:val="24"/>
          <w:szCs w:val="24"/>
          <w:lang/>
        </w:rPr>
      </w:pPr>
      <w:r w:rsidRPr="00263ED2">
        <w:rPr>
          <w:rFonts w:ascii="Times New Roman" w:hAnsi="Times New Roman"/>
          <w:sz w:val="24"/>
          <w:szCs w:val="24"/>
          <w:lang/>
        </w:rPr>
        <w:t xml:space="preserve">Greenstone, M. (2002). The impacts of environmental regulations on industrial activity: Evidence from the 1970 and 1977 Clean Air Act Amendments and the Census of Manufactures. </w:t>
      </w:r>
      <w:r w:rsidRPr="00263ED2">
        <w:rPr>
          <w:rFonts w:ascii="Times New Roman" w:hAnsi="Times New Roman"/>
          <w:i/>
          <w:iCs/>
          <w:sz w:val="24"/>
          <w:szCs w:val="24"/>
          <w:lang/>
        </w:rPr>
        <w:t>Journal of Political Economy, 110</w:t>
      </w:r>
      <w:r w:rsidRPr="00263ED2">
        <w:rPr>
          <w:rFonts w:ascii="Times New Roman" w:hAnsi="Times New Roman"/>
          <w:sz w:val="24"/>
          <w:szCs w:val="24"/>
          <w:lang/>
        </w:rPr>
        <w:t>(6), 1175–1219. https://doi.org/10.1086/342808</w:t>
      </w:r>
    </w:p>
    <w:p w14:paraId="44C900EE" w14:textId="77777777" w:rsidR="00263ED2" w:rsidRPr="00263ED2" w:rsidRDefault="00263ED2" w:rsidP="00263ED2">
      <w:pPr>
        <w:pStyle w:val="ListParagraph"/>
        <w:numPr>
          <w:ilvl w:val="0"/>
          <w:numId w:val="48"/>
        </w:numPr>
        <w:spacing w:line="480" w:lineRule="auto"/>
        <w:rPr>
          <w:rFonts w:ascii="Times New Roman" w:hAnsi="Times New Roman"/>
          <w:sz w:val="24"/>
          <w:szCs w:val="24"/>
          <w:lang/>
        </w:rPr>
      </w:pPr>
      <w:r w:rsidRPr="00263ED2">
        <w:rPr>
          <w:rFonts w:ascii="Times New Roman" w:hAnsi="Times New Roman"/>
          <w:sz w:val="24"/>
          <w:szCs w:val="24"/>
          <w:lang/>
        </w:rPr>
        <w:lastRenderedPageBreak/>
        <w:t xml:space="preserve">Henderson, J. V. (1988). </w:t>
      </w:r>
      <w:r w:rsidRPr="00263ED2">
        <w:rPr>
          <w:rFonts w:ascii="Times New Roman" w:hAnsi="Times New Roman"/>
          <w:i/>
          <w:iCs/>
          <w:sz w:val="24"/>
          <w:szCs w:val="24"/>
          <w:lang/>
        </w:rPr>
        <w:t>Urban development: Theory, fact, and illusion</w:t>
      </w:r>
      <w:r w:rsidRPr="00263ED2">
        <w:rPr>
          <w:rFonts w:ascii="Times New Roman" w:hAnsi="Times New Roman"/>
          <w:sz w:val="24"/>
          <w:szCs w:val="24"/>
          <w:lang/>
        </w:rPr>
        <w:t>. Oxford University Press.</w:t>
      </w:r>
    </w:p>
    <w:p w14:paraId="6E358F9D" w14:textId="77777777" w:rsidR="00263ED2" w:rsidRPr="00263ED2" w:rsidRDefault="00263ED2" w:rsidP="00263ED2">
      <w:pPr>
        <w:pStyle w:val="ListParagraph"/>
        <w:numPr>
          <w:ilvl w:val="0"/>
          <w:numId w:val="48"/>
        </w:numPr>
        <w:spacing w:line="480" w:lineRule="auto"/>
        <w:rPr>
          <w:rFonts w:ascii="Times New Roman" w:hAnsi="Times New Roman"/>
          <w:sz w:val="24"/>
          <w:szCs w:val="24"/>
          <w:lang/>
        </w:rPr>
      </w:pPr>
      <w:r w:rsidRPr="00263ED2">
        <w:rPr>
          <w:rFonts w:ascii="Times New Roman" w:hAnsi="Times New Roman"/>
          <w:sz w:val="24"/>
          <w:szCs w:val="24"/>
          <w:lang/>
        </w:rPr>
        <w:t xml:space="preserve">Irwin, E. G., &amp; Wrenn, D. H. (2010). Land-use regulations and economic development: Evidence from the rural-urban fringe. </w:t>
      </w:r>
      <w:r w:rsidRPr="00263ED2">
        <w:rPr>
          <w:rFonts w:ascii="Times New Roman" w:hAnsi="Times New Roman"/>
          <w:i/>
          <w:iCs/>
          <w:sz w:val="24"/>
          <w:szCs w:val="24"/>
          <w:lang/>
        </w:rPr>
        <w:t>Urban Studies, 47</w:t>
      </w:r>
      <w:r w:rsidRPr="00263ED2">
        <w:rPr>
          <w:rFonts w:ascii="Times New Roman" w:hAnsi="Times New Roman"/>
          <w:sz w:val="24"/>
          <w:szCs w:val="24"/>
          <w:lang/>
        </w:rPr>
        <w:t>(2), 407–423. https://doi.org/10.1177/0042098009348320</w:t>
      </w:r>
    </w:p>
    <w:p w14:paraId="17D35C1E" w14:textId="77777777" w:rsidR="00263ED2" w:rsidRPr="00263ED2" w:rsidRDefault="00263ED2" w:rsidP="00263ED2">
      <w:pPr>
        <w:pStyle w:val="ListParagraph"/>
        <w:numPr>
          <w:ilvl w:val="0"/>
          <w:numId w:val="48"/>
        </w:numPr>
        <w:spacing w:line="480" w:lineRule="auto"/>
        <w:rPr>
          <w:rFonts w:ascii="Times New Roman" w:hAnsi="Times New Roman"/>
          <w:sz w:val="24"/>
          <w:szCs w:val="24"/>
          <w:lang/>
        </w:rPr>
      </w:pPr>
      <w:r w:rsidRPr="00263ED2">
        <w:rPr>
          <w:rFonts w:ascii="Times New Roman" w:hAnsi="Times New Roman"/>
          <w:sz w:val="24"/>
          <w:szCs w:val="24"/>
          <w:lang/>
        </w:rPr>
        <w:t xml:space="preserve">Jorgenson, D. W. (1963). Capital theory and investment behavior. </w:t>
      </w:r>
      <w:r w:rsidRPr="00263ED2">
        <w:rPr>
          <w:rFonts w:ascii="Times New Roman" w:hAnsi="Times New Roman"/>
          <w:i/>
          <w:iCs/>
          <w:sz w:val="24"/>
          <w:szCs w:val="24"/>
          <w:lang/>
        </w:rPr>
        <w:t>The American Economic Review, 53</w:t>
      </w:r>
      <w:r w:rsidRPr="00263ED2">
        <w:rPr>
          <w:rFonts w:ascii="Times New Roman" w:hAnsi="Times New Roman"/>
          <w:sz w:val="24"/>
          <w:szCs w:val="24"/>
          <w:lang/>
        </w:rPr>
        <w:t>(2), 247–259.</w:t>
      </w:r>
    </w:p>
    <w:p w14:paraId="2281BBE6" w14:textId="6B9BB398" w:rsidR="00263ED2" w:rsidRPr="00263ED2" w:rsidRDefault="00263ED2" w:rsidP="00263ED2">
      <w:pPr>
        <w:pStyle w:val="ListParagraph"/>
        <w:numPr>
          <w:ilvl w:val="0"/>
          <w:numId w:val="48"/>
        </w:numPr>
        <w:spacing w:line="480" w:lineRule="auto"/>
        <w:rPr>
          <w:rFonts w:ascii="Times New Roman" w:hAnsi="Times New Roman"/>
          <w:sz w:val="24"/>
          <w:szCs w:val="24"/>
          <w:lang/>
        </w:rPr>
      </w:pPr>
      <w:r w:rsidRPr="00263ED2">
        <w:rPr>
          <w:rFonts w:ascii="Times New Roman" w:hAnsi="Times New Roman"/>
          <w:sz w:val="24"/>
          <w:szCs w:val="24"/>
          <w:lang/>
        </w:rPr>
        <w:t xml:space="preserve">Levinson, A. (2003). Environmental regulatory competition: A status report and some new evidence. </w:t>
      </w:r>
      <w:r w:rsidRPr="00263ED2">
        <w:rPr>
          <w:rFonts w:ascii="Times New Roman" w:hAnsi="Times New Roman"/>
          <w:i/>
          <w:iCs/>
          <w:sz w:val="24"/>
          <w:szCs w:val="24"/>
          <w:lang/>
        </w:rPr>
        <w:t>National Tax Journal, 56</w:t>
      </w:r>
      <w:r w:rsidRPr="00263ED2">
        <w:rPr>
          <w:rFonts w:ascii="Times New Roman" w:hAnsi="Times New Roman"/>
          <w:sz w:val="24"/>
          <w:szCs w:val="24"/>
          <w:lang/>
        </w:rPr>
        <w:t>(1), 91–106. https://doi.org/10.17310/ntj.2003.1.05</w:t>
      </w:r>
    </w:p>
    <w:p w14:paraId="66122797" w14:textId="77777777" w:rsidR="00263ED2" w:rsidRPr="00263ED2" w:rsidRDefault="00263ED2" w:rsidP="00263ED2">
      <w:pPr>
        <w:pStyle w:val="ListParagraph"/>
        <w:numPr>
          <w:ilvl w:val="0"/>
          <w:numId w:val="48"/>
        </w:numPr>
        <w:spacing w:line="480" w:lineRule="auto"/>
        <w:rPr>
          <w:rFonts w:ascii="Times New Roman" w:hAnsi="Times New Roman"/>
          <w:sz w:val="24"/>
          <w:szCs w:val="24"/>
          <w:lang/>
        </w:rPr>
      </w:pPr>
      <w:r w:rsidRPr="00263ED2">
        <w:rPr>
          <w:rFonts w:ascii="Times New Roman" w:hAnsi="Times New Roman"/>
          <w:sz w:val="24"/>
          <w:szCs w:val="24"/>
          <w:lang/>
        </w:rPr>
        <w:t xml:space="preserve">List, J. A. (2001). U.S. county-level determinants of inbound FDI: Evidence from a two-step modified count data model. </w:t>
      </w:r>
      <w:r w:rsidRPr="00263ED2">
        <w:rPr>
          <w:rFonts w:ascii="Times New Roman" w:hAnsi="Times New Roman"/>
          <w:i/>
          <w:iCs/>
          <w:sz w:val="24"/>
          <w:szCs w:val="24"/>
          <w:lang/>
        </w:rPr>
        <w:t>International Journal of Industrial Organization, 19</w:t>
      </w:r>
      <w:r w:rsidRPr="00263ED2">
        <w:rPr>
          <w:rFonts w:ascii="Times New Roman" w:hAnsi="Times New Roman"/>
          <w:sz w:val="24"/>
          <w:szCs w:val="24"/>
          <w:lang/>
        </w:rPr>
        <w:t>(6), 953–973. https://doi.org/10.1016/S0167-7187(99)00043-7</w:t>
      </w:r>
    </w:p>
    <w:p w14:paraId="6185BF2B" w14:textId="77777777" w:rsidR="00263ED2" w:rsidRPr="00263ED2" w:rsidRDefault="00263ED2" w:rsidP="00263ED2">
      <w:pPr>
        <w:pStyle w:val="ListParagraph"/>
        <w:numPr>
          <w:ilvl w:val="0"/>
          <w:numId w:val="48"/>
        </w:numPr>
        <w:spacing w:line="480" w:lineRule="auto"/>
        <w:rPr>
          <w:rFonts w:ascii="Times New Roman" w:hAnsi="Times New Roman"/>
          <w:sz w:val="24"/>
          <w:szCs w:val="24"/>
          <w:lang/>
        </w:rPr>
      </w:pPr>
      <w:r w:rsidRPr="00263ED2">
        <w:rPr>
          <w:rFonts w:ascii="Times New Roman" w:hAnsi="Times New Roman"/>
          <w:sz w:val="24"/>
          <w:szCs w:val="24"/>
          <w:lang/>
        </w:rPr>
        <w:t xml:space="preserve">Melstrom, R. T. (2020). The economic costs of endangered species conservation: Evidence from agricultural land values in the United States. </w:t>
      </w:r>
      <w:r w:rsidRPr="00263ED2">
        <w:rPr>
          <w:rFonts w:ascii="Times New Roman" w:hAnsi="Times New Roman"/>
          <w:i/>
          <w:iCs/>
          <w:sz w:val="24"/>
          <w:szCs w:val="24"/>
          <w:lang/>
        </w:rPr>
        <w:t>Land Economics, 96</w:t>
      </w:r>
      <w:r w:rsidRPr="00263ED2">
        <w:rPr>
          <w:rFonts w:ascii="Times New Roman" w:hAnsi="Times New Roman"/>
          <w:sz w:val="24"/>
          <w:szCs w:val="24"/>
          <w:lang/>
        </w:rPr>
        <w:t>(4), 487–499. https://doi.org/10.3368/le.96.4.487</w:t>
      </w:r>
    </w:p>
    <w:p w14:paraId="6303C35D" w14:textId="77777777" w:rsidR="00263ED2" w:rsidRPr="00263ED2" w:rsidRDefault="00263ED2" w:rsidP="00263ED2">
      <w:pPr>
        <w:pStyle w:val="ListParagraph"/>
        <w:numPr>
          <w:ilvl w:val="0"/>
          <w:numId w:val="48"/>
        </w:numPr>
        <w:spacing w:line="480" w:lineRule="auto"/>
        <w:rPr>
          <w:rFonts w:ascii="Times New Roman" w:hAnsi="Times New Roman"/>
          <w:sz w:val="24"/>
          <w:szCs w:val="24"/>
          <w:lang/>
        </w:rPr>
      </w:pPr>
      <w:r w:rsidRPr="00263ED2">
        <w:rPr>
          <w:rFonts w:ascii="Times New Roman" w:hAnsi="Times New Roman"/>
          <w:sz w:val="24"/>
          <w:szCs w:val="24"/>
          <w:lang/>
        </w:rPr>
        <w:t xml:space="preserve">Melstrom, R. T., &amp; Woomer, C. M. (2016). The labor market impacts of environmental regulations: Evidence from the listing of the lesser prairie chicken. </w:t>
      </w:r>
      <w:r w:rsidRPr="00263ED2">
        <w:rPr>
          <w:rFonts w:ascii="Times New Roman" w:hAnsi="Times New Roman"/>
          <w:i/>
          <w:iCs/>
          <w:sz w:val="24"/>
          <w:szCs w:val="24"/>
          <w:lang/>
        </w:rPr>
        <w:t>Environmental and Resource Economics, 65</w:t>
      </w:r>
      <w:r w:rsidRPr="00263ED2">
        <w:rPr>
          <w:rFonts w:ascii="Times New Roman" w:hAnsi="Times New Roman"/>
          <w:sz w:val="24"/>
          <w:szCs w:val="24"/>
          <w:lang/>
        </w:rPr>
        <w:t>(1), 101–122. https://doi.org/10.1007/s10640-015-9965-2</w:t>
      </w:r>
    </w:p>
    <w:p w14:paraId="226AB276" w14:textId="4007D3AB" w:rsidR="00263ED2" w:rsidRPr="00263ED2" w:rsidRDefault="00263ED2" w:rsidP="00895B67">
      <w:pPr>
        <w:pStyle w:val="ListParagraph"/>
        <w:numPr>
          <w:ilvl w:val="0"/>
          <w:numId w:val="48"/>
        </w:numPr>
        <w:spacing w:line="480" w:lineRule="auto"/>
        <w:rPr>
          <w:rFonts w:ascii="Times New Roman" w:hAnsi="Times New Roman"/>
          <w:sz w:val="24"/>
          <w:szCs w:val="24"/>
          <w:lang/>
        </w:rPr>
      </w:pPr>
      <w:r w:rsidRPr="00263ED2">
        <w:rPr>
          <w:rFonts w:ascii="Times New Roman" w:hAnsi="Times New Roman"/>
          <w:sz w:val="24"/>
          <w:szCs w:val="24"/>
          <w:lang/>
        </w:rPr>
        <w:t xml:space="preserve">Moretti, E. (2010). Local multipliers. </w:t>
      </w:r>
      <w:r w:rsidRPr="00263ED2">
        <w:rPr>
          <w:rFonts w:ascii="Times New Roman" w:hAnsi="Times New Roman"/>
          <w:i/>
          <w:iCs/>
          <w:sz w:val="24"/>
          <w:szCs w:val="24"/>
          <w:lang/>
        </w:rPr>
        <w:t>The American Economic Review: Papers and Proceedings, 100</w:t>
      </w:r>
      <w:r w:rsidRPr="00263ED2">
        <w:rPr>
          <w:rFonts w:ascii="Times New Roman" w:hAnsi="Times New Roman"/>
          <w:sz w:val="24"/>
          <w:szCs w:val="24"/>
          <w:lang/>
        </w:rPr>
        <w:t>(2), 373–377. https://doi.org/10.1257/aer.100.2.373</w:t>
      </w:r>
    </w:p>
    <w:p w14:paraId="724D0D04" w14:textId="77777777" w:rsidR="00263ED2" w:rsidRPr="00263ED2" w:rsidRDefault="00263ED2" w:rsidP="00263ED2">
      <w:pPr>
        <w:pStyle w:val="ListParagraph"/>
        <w:numPr>
          <w:ilvl w:val="0"/>
          <w:numId w:val="48"/>
        </w:numPr>
        <w:spacing w:line="480" w:lineRule="auto"/>
        <w:rPr>
          <w:rFonts w:ascii="Times New Roman" w:hAnsi="Times New Roman"/>
          <w:sz w:val="24"/>
          <w:szCs w:val="24"/>
          <w:lang/>
        </w:rPr>
      </w:pPr>
      <w:r w:rsidRPr="00263ED2">
        <w:rPr>
          <w:rFonts w:ascii="Times New Roman" w:hAnsi="Times New Roman"/>
          <w:sz w:val="24"/>
          <w:szCs w:val="24"/>
          <w:lang/>
        </w:rPr>
        <w:lastRenderedPageBreak/>
        <w:t xml:space="preserve">Oates, W. E. (1999). An essay on fiscal federalism. </w:t>
      </w:r>
      <w:r w:rsidRPr="00263ED2">
        <w:rPr>
          <w:rFonts w:ascii="Times New Roman" w:hAnsi="Times New Roman"/>
          <w:i/>
          <w:iCs/>
          <w:sz w:val="24"/>
          <w:szCs w:val="24"/>
          <w:lang/>
        </w:rPr>
        <w:t>Journal of Economic Literature, 37</w:t>
      </w:r>
      <w:r w:rsidRPr="00263ED2">
        <w:rPr>
          <w:rFonts w:ascii="Times New Roman" w:hAnsi="Times New Roman"/>
          <w:sz w:val="24"/>
          <w:szCs w:val="24"/>
          <w:lang/>
        </w:rPr>
        <w:t>(3), 1120–1149. https://doi.org/10.1257/jel.37.3.1120</w:t>
      </w:r>
    </w:p>
    <w:p w14:paraId="10F93C7B" w14:textId="77777777" w:rsidR="00263ED2" w:rsidRPr="00263ED2" w:rsidRDefault="00263ED2" w:rsidP="00263ED2">
      <w:pPr>
        <w:pStyle w:val="ListParagraph"/>
        <w:numPr>
          <w:ilvl w:val="0"/>
          <w:numId w:val="48"/>
        </w:numPr>
        <w:spacing w:line="480" w:lineRule="auto"/>
        <w:rPr>
          <w:rFonts w:ascii="Times New Roman" w:hAnsi="Times New Roman"/>
          <w:sz w:val="24"/>
          <w:szCs w:val="24"/>
          <w:lang/>
        </w:rPr>
      </w:pPr>
      <w:r w:rsidRPr="00263ED2">
        <w:rPr>
          <w:rFonts w:ascii="Times New Roman" w:hAnsi="Times New Roman"/>
          <w:sz w:val="24"/>
          <w:szCs w:val="24"/>
          <w:lang/>
        </w:rPr>
        <w:t xml:space="preserve">Sims, K. R. E., Dent, L., &amp; Edwards, E. (2019). Economic impacts of protected areas: Evidence from New England property markets. </w:t>
      </w:r>
      <w:r w:rsidRPr="00263ED2">
        <w:rPr>
          <w:rFonts w:ascii="Times New Roman" w:hAnsi="Times New Roman"/>
          <w:i/>
          <w:iCs/>
          <w:sz w:val="24"/>
          <w:szCs w:val="24"/>
          <w:lang/>
        </w:rPr>
        <w:t>Journal of Environmental Economics and Management, 97</w:t>
      </w:r>
      <w:r w:rsidRPr="00263ED2">
        <w:rPr>
          <w:rFonts w:ascii="Times New Roman" w:hAnsi="Times New Roman"/>
          <w:sz w:val="24"/>
          <w:szCs w:val="24"/>
          <w:lang/>
        </w:rPr>
        <w:t>, 159–176. https://doi.org/10.1016/j.jeem.2019.05.001</w:t>
      </w:r>
    </w:p>
    <w:p w14:paraId="4491EF0F" w14:textId="77777777" w:rsidR="00263ED2" w:rsidRPr="00263ED2" w:rsidRDefault="00263ED2" w:rsidP="00263ED2">
      <w:pPr>
        <w:pStyle w:val="ListParagraph"/>
        <w:numPr>
          <w:ilvl w:val="0"/>
          <w:numId w:val="48"/>
        </w:numPr>
        <w:spacing w:line="480" w:lineRule="auto"/>
        <w:rPr>
          <w:rFonts w:ascii="Times New Roman" w:hAnsi="Times New Roman"/>
          <w:sz w:val="24"/>
          <w:szCs w:val="24"/>
          <w:lang/>
        </w:rPr>
      </w:pPr>
      <w:r w:rsidRPr="00263ED2">
        <w:rPr>
          <w:rFonts w:ascii="Times New Roman" w:hAnsi="Times New Roman"/>
          <w:sz w:val="24"/>
          <w:szCs w:val="24"/>
          <w:lang/>
        </w:rPr>
        <w:t xml:space="preserve">Syverson, C. (2011). What determines productivity? </w:t>
      </w:r>
      <w:r w:rsidRPr="00263ED2">
        <w:rPr>
          <w:rFonts w:ascii="Times New Roman" w:hAnsi="Times New Roman"/>
          <w:i/>
          <w:iCs/>
          <w:sz w:val="24"/>
          <w:szCs w:val="24"/>
          <w:lang/>
        </w:rPr>
        <w:t>Journal of Economic Literature, 49</w:t>
      </w:r>
      <w:r w:rsidRPr="00263ED2">
        <w:rPr>
          <w:rFonts w:ascii="Times New Roman" w:hAnsi="Times New Roman"/>
          <w:sz w:val="24"/>
          <w:szCs w:val="24"/>
          <w:lang/>
        </w:rPr>
        <w:t>(2), 326–365. https://doi.org/10.1257/jel.49.2.326</w:t>
      </w:r>
    </w:p>
    <w:p w14:paraId="2D8CEB04" w14:textId="77777777" w:rsidR="00263ED2" w:rsidRPr="00263ED2" w:rsidRDefault="00263ED2" w:rsidP="00263ED2">
      <w:pPr>
        <w:pStyle w:val="ListParagraph"/>
        <w:numPr>
          <w:ilvl w:val="0"/>
          <w:numId w:val="48"/>
        </w:numPr>
        <w:spacing w:line="480" w:lineRule="auto"/>
        <w:rPr>
          <w:rFonts w:ascii="Times New Roman" w:hAnsi="Times New Roman"/>
          <w:sz w:val="24"/>
          <w:szCs w:val="24"/>
          <w:lang/>
        </w:rPr>
      </w:pPr>
      <w:r w:rsidRPr="00263ED2">
        <w:rPr>
          <w:rFonts w:ascii="Times New Roman" w:hAnsi="Times New Roman"/>
          <w:sz w:val="24"/>
          <w:szCs w:val="24"/>
          <w:lang/>
        </w:rPr>
        <w:t xml:space="preserve">Sunding, D. L. (2003). Evidence of a regulatory cost differential for the endangered species act. </w:t>
      </w:r>
      <w:r w:rsidRPr="00263ED2">
        <w:rPr>
          <w:rFonts w:ascii="Times New Roman" w:hAnsi="Times New Roman"/>
          <w:i/>
          <w:iCs/>
          <w:sz w:val="24"/>
          <w:szCs w:val="24"/>
          <w:lang/>
        </w:rPr>
        <w:t>Journal of Regional Science, 43</w:t>
      </w:r>
      <w:r w:rsidRPr="00263ED2">
        <w:rPr>
          <w:rFonts w:ascii="Times New Roman" w:hAnsi="Times New Roman"/>
          <w:sz w:val="24"/>
          <w:szCs w:val="24"/>
          <w:lang/>
        </w:rPr>
        <w:t>(4), 731–748. https://doi.org/10.1111/1467-9787.00310</w:t>
      </w:r>
    </w:p>
    <w:p w14:paraId="1220C6C2" w14:textId="77777777" w:rsidR="00263ED2" w:rsidRPr="00263ED2" w:rsidRDefault="00263ED2" w:rsidP="00263ED2">
      <w:pPr>
        <w:pStyle w:val="ListParagraph"/>
        <w:numPr>
          <w:ilvl w:val="0"/>
          <w:numId w:val="48"/>
        </w:numPr>
        <w:spacing w:line="480" w:lineRule="auto"/>
        <w:rPr>
          <w:rFonts w:ascii="Times New Roman" w:hAnsi="Times New Roman"/>
          <w:sz w:val="24"/>
          <w:szCs w:val="24"/>
          <w:lang/>
        </w:rPr>
      </w:pPr>
      <w:r w:rsidRPr="00263ED2">
        <w:rPr>
          <w:rFonts w:ascii="Times New Roman" w:hAnsi="Times New Roman"/>
          <w:sz w:val="24"/>
          <w:szCs w:val="24"/>
          <w:lang/>
        </w:rPr>
        <w:t xml:space="preserve">Wydeven, A. P., Treves, A., Brost, B., &amp; Wiedenhoeft, J. E. (2009). Recovery of gray wolves in the Great Lakes region of the United States: An endangered species success story. </w:t>
      </w:r>
      <w:r w:rsidRPr="00263ED2">
        <w:rPr>
          <w:rFonts w:ascii="Times New Roman" w:hAnsi="Times New Roman"/>
          <w:i/>
          <w:iCs/>
          <w:sz w:val="24"/>
          <w:szCs w:val="24"/>
          <w:lang/>
        </w:rPr>
        <w:t>Restoration Ecology, 17</w:t>
      </w:r>
      <w:r w:rsidRPr="00263ED2">
        <w:rPr>
          <w:rFonts w:ascii="Times New Roman" w:hAnsi="Times New Roman"/>
          <w:sz w:val="24"/>
          <w:szCs w:val="24"/>
          <w:lang/>
        </w:rPr>
        <w:t>(1), 72–81. https://doi.org/10.1111/j.1526-100X.2008.00356.x</w:t>
      </w:r>
    </w:p>
    <w:p w14:paraId="0E75ACD6" w14:textId="77777777" w:rsidR="00263ED2" w:rsidRPr="00263ED2" w:rsidRDefault="00263ED2" w:rsidP="00263ED2">
      <w:pPr>
        <w:pStyle w:val="ListParagraph"/>
        <w:numPr>
          <w:ilvl w:val="0"/>
          <w:numId w:val="48"/>
        </w:numPr>
        <w:spacing w:line="480" w:lineRule="auto"/>
        <w:rPr>
          <w:rFonts w:ascii="Times New Roman" w:hAnsi="Times New Roman"/>
          <w:sz w:val="24"/>
          <w:szCs w:val="24"/>
          <w:lang/>
        </w:rPr>
      </w:pPr>
      <w:r w:rsidRPr="00263ED2">
        <w:rPr>
          <w:rFonts w:ascii="Times New Roman" w:hAnsi="Times New Roman"/>
          <w:sz w:val="24"/>
          <w:szCs w:val="24"/>
          <w:lang/>
        </w:rPr>
        <w:t xml:space="preserve">Zabel, J., &amp; Paterson, R. (2006). The effects of critical habitat designation on housing supply: Evidence from California. </w:t>
      </w:r>
      <w:r w:rsidRPr="00263ED2">
        <w:rPr>
          <w:rFonts w:ascii="Times New Roman" w:hAnsi="Times New Roman"/>
          <w:i/>
          <w:iCs/>
          <w:sz w:val="24"/>
          <w:szCs w:val="24"/>
          <w:lang/>
        </w:rPr>
        <w:t>Regional Science and Urban Economics, 36</w:t>
      </w:r>
      <w:r w:rsidRPr="00263ED2">
        <w:rPr>
          <w:rFonts w:ascii="Times New Roman" w:hAnsi="Times New Roman"/>
          <w:sz w:val="24"/>
          <w:szCs w:val="24"/>
          <w:lang/>
        </w:rPr>
        <w:t>(2), 207–229. https://doi.org/10.1016/j.regsciurbeco.2005.10.003</w:t>
      </w:r>
    </w:p>
    <w:p w14:paraId="02949986" w14:textId="4F91CFEA" w:rsidR="00D61046" w:rsidRPr="00263ED2" w:rsidRDefault="00263ED2" w:rsidP="00263ED2">
      <w:pPr>
        <w:pStyle w:val="ListParagraph"/>
        <w:numPr>
          <w:ilvl w:val="0"/>
          <w:numId w:val="48"/>
        </w:numPr>
        <w:spacing w:line="480" w:lineRule="auto"/>
        <w:rPr>
          <w:rFonts w:ascii="Times New Roman" w:hAnsi="Times New Roman"/>
          <w:sz w:val="24"/>
          <w:szCs w:val="24"/>
          <w:lang/>
        </w:rPr>
      </w:pPr>
      <w:r w:rsidRPr="00263ED2">
        <w:rPr>
          <w:rFonts w:ascii="Times New Roman" w:hAnsi="Times New Roman"/>
          <w:sz w:val="24"/>
          <w:szCs w:val="24"/>
          <w:lang/>
        </w:rPr>
        <w:t xml:space="preserve">Zhang, D. (2007). The effects of regulatory uncertainty on timberland investments. </w:t>
      </w:r>
      <w:r w:rsidRPr="00263ED2">
        <w:rPr>
          <w:rFonts w:ascii="Times New Roman" w:hAnsi="Times New Roman"/>
          <w:i/>
          <w:iCs/>
          <w:sz w:val="24"/>
          <w:szCs w:val="24"/>
          <w:lang/>
        </w:rPr>
        <w:t>Land Economics, 83</w:t>
      </w:r>
      <w:r w:rsidRPr="00263ED2">
        <w:rPr>
          <w:rFonts w:ascii="Times New Roman" w:hAnsi="Times New Roman"/>
          <w:sz w:val="24"/>
          <w:szCs w:val="24"/>
          <w:lang/>
        </w:rPr>
        <w:t>(4), 561–575. https://doi.org/10.3368/le.83.4.561</w:t>
      </w:r>
    </w:p>
    <w:p w14:paraId="00AC8044" w14:textId="210D9083" w:rsidR="00D61046" w:rsidRPr="00525895" w:rsidRDefault="00D61046" w:rsidP="004C39A4">
      <w:pPr>
        <w:rPr>
          <w:rFonts w:cs="Times New Roman"/>
        </w:rPr>
      </w:pPr>
      <w:r w:rsidRPr="00525895">
        <w:rPr>
          <w:rFonts w:cs="Times New Roman"/>
        </w:rPr>
        <w:br w:type="page"/>
      </w:r>
    </w:p>
    <w:p w14:paraId="1B3262DF" w14:textId="02C05B9E" w:rsidR="00AB5818" w:rsidRPr="00AB5818" w:rsidRDefault="00AB5818" w:rsidP="00E4693E">
      <w:pPr>
        <w:pStyle w:val="Heading2"/>
      </w:pPr>
      <w:bookmarkStart w:id="660" w:name="_Toc188379083"/>
      <w:r w:rsidRPr="00AB5818">
        <w:lastRenderedPageBreak/>
        <w:t>Appendix</w:t>
      </w:r>
      <w:bookmarkEnd w:id="660"/>
    </w:p>
    <w:p w14:paraId="7707CAEB" w14:textId="77777777" w:rsidR="00AB5818" w:rsidRPr="00AB5818" w:rsidRDefault="00AB5818" w:rsidP="004C39A4">
      <w:pPr>
        <w:spacing w:line="240" w:lineRule="auto"/>
        <w:jc w:val="center"/>
        <w:rPr>
          <w:rFonts w:eastAsia="Calibri" w:cs="Times New Roman"/>
          <w:sz w:val="20"/>
          <w:szCs w:val="20"/>
        </w:rPr>
      </w:pPr>
    </w:p>
    <w:p w14:paraId="0F77E97F" w14:textId="77777777" w:rsidR="00AB5818" w:rsidRPr="00AB5818" w:rsidRDefault="00AB5818" w:rsidP="004C39A4">
      <w:pPr>
        <w:spacing w:line="240" w:lineRule="auto"/>
        <w:jc w:val="center"/>
        <w:rPr>
          <w:rFonts w:eastAsia="Calibri" w:cs="Times New Roman"/>
          <w:sz w:val="20"/>
          <w:szCs w:val="20"/>
          <w:lang/>
        </w:rPr>
      </w:pPr>
      <w:r w:rsidRPr="00AB5818">
        <w:rPr>
          <w:rFonts w:eastAsia="Calibri" w:cs="Times New Roman"/>
          <w:noProof/>
          <w:sz w:val="20"/>
          <w:szCs w:val="20"/>
          <w:lang/>
        </w:rPr>
        <w:drawing>
          <wp:inline distT="0" distB="0" distL="0" distR="0" wp14:anchorId="37F64CBB" wp14:editId="1395D713">
            <wp:extent cx="4754880" cy="3578008"/>
            <wp:effectExtent l="0" t="0" r="7620" b="3810"/>
            <wp:docPr id="2"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771666" cy="3590639"/>
                    </a:xfrm>
                    <a:prstGeom prst="rect">
                      <a:avLst/>
                    </a:prstGeom>
                    <a:noFill/>
                    <a:ln>
                      <a:noFill/>
                    </a:ln>
                  </pic:spPr>
                </pic:pic>
              </a:graphicData>
            </a:graphic>
          </wp:inline>
        </w:drawing>
      </w:r>
    </w:p>
    <w:p w14:paraId="691B0AFA" w14:textId="28167CDE" w:rsidR="005E02DB" w:rsidRPr="00A843CB" w:rsidRDefault="005E02DB" w:rsidP="00A843CB">
      <w:pPr>
        <w:pStyle w:val="Caption"/>
        <w:rPr>
          <w:sz w:val="20"/>
        </w:rPr>
      </w:pPr>
      <w:bookmarkStart w:id="661" w:name="_Toc188056049"/>
      <w:bookmarkStart w:id="662" w:name="_Toc188057133"/>
      <w:bookmarkStart w:id="663" w:name="_Toc188359973"/>
      <w:bookmarkStart w:id="664" w:name="_Toc188367100"/>
      <w:r w:rsidRPr="00A843CB">
        <w:rPr>
          <w:sz w:val="20"/>
        </w:rPr>
        <w:t>Figure A</w:t>
      </w:r>
      <w:r w:rsidR="007666F2" w:rsidRPr="00A843CB">
        <w:rPr>
          <w:sz w:val="20"/>
        </w:rPr>
        <w:t>17</w:t>
      </w:r>
      <w:r w:rsidRPr="00A843CB">
        <w:rPr>
          <w:sz w:val="20"/>
        </w:rPr>
        <w:t>: Habitat Range of the Louisiana Black Bear</w:t>
      </w:r>
      <w:bookmarkEnd w:id="661"/>
      <w:bookmarkEnd w:id="662"/>
      <w:bookmarkEnd w:id="663"/>
      <w:bookmarkEnd w:id="664"/>
    </w:p>
    <w:p w14:paraId="647417AA" w14:textId="77777777" w:rsidR="00A843CB" w:rsidRPr="00A843CB" w:rsidRDefault="00A843CB" w:rsidP="00A843CB">
      <w:pPr>
        <w:spacing w:line="240" w:lineRule="auto"/>
        <w:rPr>
          <w:rFonts w:eastAsia="Calibri" w:cs="Times New Roman"/>
          <w:sz w:val="20"/>
          <w:szCs w:val="20"/>
          <w:lang/>
        </w:rPr>
      </w:pPr>
      <w:r w:rsidRPr="00A843CB">
        <w:rPr>
          <w:rFonts w:eastAsia="Calibri" w:cs="Times New Roman"/>
          <w:sz w:val="20"/>
          <w:szCs w:val="20"/>
          <w:lang/>
        </w:rPr>
        <w:t xml:space="preserve">Source: </w:t>
      </w:r>
      <w:hyperlink r:id="rId29" w:history="1">
        <w:r w:rsidRPr="00A843CB">
          <w:rPr>
            <w:rFonts w:eastAsia="Calibri" w:cs="Times New Roman"/>
            <w:color w:val="0563C1"/>
            <w:sz w:val="20"/>
            <w:szCs w:val="20"/>
            <w:u w:val="single"/>
            <w:lang/>
          </w:rPr>
          <w:t>https://ecos.fws.gov/ecp/species/8552</w:t>
        </w:r>
      </w:hyperlink>
    </w:p>
    <w:p w14:paraId="6DAAFDD6" w14:textId="4ADFF16B" w:rsidR="00CE0D78" w:rsidRDefault="00CE0D78" w:rsidP="004C39A4">
      <w:pPr>
        <w:spacing w:line="240" w:lineRule="auto"/>
        <w:rPr>
          <w:rFonts w:eastAsia="Calibri" w:cs="Times New Roman"/>
          <w:sz w:val="20"/>
          <w:szCs w:val="20"/>
          <w:lang/>
        </w:rPr>
      </w:pPr>
    </w:p>
    <w:p w14:paraId="0C3D7D20" w14:textId="415B18D8" w:rsidR="00B34C76" w:rsidRDefault="00B34C76" w:rsidP="004C39A4">
      <w:pPr>
        <w:spacing w:line="240" w:lineRule="auto"/>
        <w:rPr>
          <w:rFonts w:eastAsia="Calibri" w:cs="Times New Roman"/>
          <w:sz w:val="20"/>
          <w:szCs w:val="20"/>
          <w:lang/>
        </w:rPr>
      </w:pPr>
    </w:p>
    <w:p w14:paraId="5ED4EEA8" w14:textId="77777777" w:rsidR="00895B67" w:rsidRDefault="00895B67" w:rsidP="004C39A4">
      <w:pPr>
        <w:spacing w:line="240" w:lineRule="auto"/>
        <w:rPr>
          <w:rFonts w:eastAsia="Calibri" w:cs="Times New Roman"/>
          <w:sz w:val="20"/>
          <w:szCs w:val="20"/>
          <w:lang/>
        </w:rPr>
      </w:pPr>
    </w:p>
    <w:p w14:paraId="671FAA58" w14:textId="2DF5F3A4" w:rsidR="00AB5818" w:rsidRDefault="00AB5818" w:rsidP="00CE0D78">
      <w:pPr>
        <w:rPr>
          <w:rFonts w:eastAsia="Calibri" w:cs="Times New Roman"/>
          <w:lang/>
        </w:rPr>
      </w:pPr>
      <w:r w:rsidRPr="00CE0D78">
        <w:rPr>
          <w:rFonts w:eastAsia="Calibri" w:cs="Times New Roman"/>
          <w:lang/>
        </w:rPr>
        <w:t>Th</w:t>
      </w:r>
      <w:r w:rsidR="00CE0D78" w:rsidRPr="00CE0D78">
        <w:rPr>
          <w:rFonts w:eastAsia="Calibri" w:cs="Times New Roman"/>
        </w:rPr>
        <w:t>e</w:t>
      </w:r>
      <w:r w:rsidRPr="00CE0D78">
        <w:rPr>
          <w:rFonts w:eastAsia="Calibri" w:cs="Times New Roman"/>
          <w:lang/>
        </w:rPr>
        <w:t xml:space="preserve"> map </w:t>
      </w:r>
      <w:r w:rsidR="00CE0D78" w:rsidRPr="00CE0D78">
        <w:rPr>
          <w:rFonts w:eastAsia="Calibri" w:cs="Times New Roman"/>
        </w:rPr>
        <w:t xml:space="preserve">in </w:t>
      </w:r>
      <w:r w:rsidR="00CE0D78" w:rsidRPr="003D770C">
        <w:rPr>
          <w:rFonts w:eastAsia="Calibri" w:cs="Times New Roman"/>
          <w:b/>
          <w:bCs/>
        </w:rPr>
        <w:t>Figure A17</w:t>
      </w:r>
      <w:r w:rsidR="00CE0D78" w:rsidRPr="00CE0D78">
        <w:rPr>
          <w:rFonts w:eastAsia="Calibri" w:cs="Times New Roman"/>
        </w:rPr>
        <w:t xml:space="preserve"> above </w:t>
      </w:r>
      <w:r w:rsidRPr="00CE0D78">
        <w:rPr>
          <w:rFonts w:eastAsia="Calibri" w:cs="Times New Roman"/>
          <w:lang/>
        </w:rPr>
        <w:t>illustrates the spatial distribution of the Louisiana Black Bear’s habitat, highlighting three distinct areas: the historic range, current breeding range, and confirmed reports and sightings. The historic range (light green) represents the broader area where the species was historically found, while the current breeding range (dark red) identifies areas with active populations. Yellow dots denote confirmed bear sightings, emphasizing the species’ spatial presence and recovery efforts. Data sourced from the U.S. Fish and Wildlife Service (ECOS).</w:t>
      </w:r>
    </w:p>
    <w:p w14:paraId="4F90AB33" w14:textId="77777777" w:rsidR="00B34C76" w:rsidRPr="00CE0D78" w:rsidRDefault="00B34C76" w:rsidP="00CE0D78">
      <w:pPr>
        <w:rPr>
          <w:rFonts w:eastAsia="Calibri" w:cs="Times New Roman"/>
        </w:rPr>
      </w:pPr>
    </w:p>
    <w:p w14:paraId="1AAEB29B" w14:textId="42DCAEAE" w:rsidR="00AB5818" w:rsidRPr="00AB5818" w:rsidRDefault="00AB5818" w:rsidP="00095E25">
      <w:pPr>
        <w:pStyle w:val="Title"/>
      </w:pPr>
      <w:bookmarkStart w:id="665" w:name="_Toc179574367"/>
      <w:bookmarkStart w:id="666" w:name="_Toc188056050"/>
      <w:bookmarkStart w:id="667" w:name="_Toc188057134"/>
      <w:bookmarkStart w:id="668" w:name="_Toc188359646"/>
      <w:bookmarkStart w:id="669" w:name="_Toc188359934"/>
      <w:bookmarkStart w:id="670" w:name="_Toc188361170"/>
      <w:bookmarkStart w:id="671" w:name="_Toc188367014"/>
      <w:r w:rsidRPr="00AB5818">
        <w:lastRenderedPageBreak/>
        <w:t>Table A</w:t>
      </w:r>
      <w:r w:rsidR="005E02DB">
        <w:t>41</w:t>
      </w:r>
      <w:r w:rsidRPr="00AB5818">
        <w:t>: Summary Statistics for County-Level Explanatory Variables</w:t>
      </w:r>
      <w:bookmarkEnd w:id="665"/>
      <w:bookmarkEnd w:id="666"/>
      <w:bookmarkEnd w:id="667"/>
      <w:bookmarkEnd w:id="668"/>
      <w:bookmarkEnd w:id="669"/>
      <w:bookmarkEnd w:id="670"/>
      <w:bookmarkEnd w:id="671"/>
    </w:p>
    <w:tbl>
      <w:tblPr>
        <w:tblW w:w="5000" w:type="pct"/>
        <w:tblLook w:val="04A0" w:firstRow="1" w:lastRow="0" w:firstColumn="1" w:lastColumn="0" w:noHBand="0" w:noVBand="1"/>
      </w:tblPr>
      <w:tblGrid>
        <w:gridCol w:w="3342"/>
        <w:gridCol w:w="1505"/>
        <w:gridCol w:w="1505"/>
        <w:gridCol w:w="1505"/>
        <w:gridCol w:w="1503"/>
      </w:tblGrid>
      <w:tr w:rsidR="00AB5818" w:rsidRPr="007666F2" w14:paraId="47CD9B33" w14:textId="77777777" w:rsidTr="007666F2">
        <w:tc>
          <w:tcPr>
            <w:tcW w:w="1785" w:type="pct"/>
            <w:tcBorders>
              <w:top w:val="single" w:sz="4" w:space="0" w:color="auto"/>
              <w:left w:val="nil"/>
              <w:bottom w:val="single" w:sz="12" w:space="0" w:color="auto"/>
              <w:right w:val="nil"/>
            </w:tcBorders>
            <w:hideMark/>
          </w:tcPr>
          <w:p w14:paraId="3B06ABB7" w14:textId="2FF4A938" w:rsidR="00AB5818" w:rsidRPr="007666F2" w:rsidRDefault="00AB5818" w:rsidP="002E4B8A">
            <w:pPr>
              <w:spacing w:line="240" w:lineRule="auto"/>
              <w:rPr>
                <w:rFonts w:eastAsia="Calibri" w:cs="Times New Roman"/>
                <w:b/>
                <w:bCs/>
                <w:sz w:val="20"/>
                <w:szCs w:val="20"/>
                <w:lang/>
              </w:rPr>
            </w:pPr>
            <w:r w:rsidRPr="007666F2">
              <w:rPr>
                <w:rFonts w:eastAsia="Calibri" w:cs="Times New Roman"/>
                <w:b/>
                <w:bCs/>
                <w:sz w:val="20"/>
                <w:szCs w:val="20"/>
                <w:lang/>
              </w:rPr>
              <w:t>Variable</w:t>
            </w:r>
          </w:p>
        </w:tc>
        <w:tc>
          <w:tcPr>
            <w:tcW w:w="804" w:type="pct"/>
            <w:tcBorders>
              <w:top w:val="single" w:sz="4" w:space="0" w:color="auto"/>
              <w:left w:val="nil"/>
              <w:bottom w:val="single" w:sz="12" w:space="0" w:color="auto"/>
              <w:right w:val="nil"/>
            </w:tcBorders>
            <w:hideMark/>
          </w:tcPr>
          <w:p w14:paraId="09F6694B" w14:textId="580C9F36" w:rsidR="00AB5818" w:rsidRPr="007666F2" w:rsidRDefault="00AB5818" w:rsidP="002E4B8A">
            <w:pPr>
              <w:spacing w:line="240" w:lineRule="auto"/>
              <w:rPr>
                <w:rFonts w:eastAsia="Calibri" w:cs="Times New Roman"/>
                <w:b/>
                <w:bCs/>
                <w:sz w:val="20"/>
                <w:szCs w:val="20"/>
                <w:lang/>
              </w:rPr>
            </w:pPr>
            <w:r w:rsidRPr="007666F2">
              <w:rPr>
                <w:rFonts w:eastAsia="Calibri" w:cs="Times New Roman"/>
                <w:b/>
                <w:bCs/>
                <w:sz w:val="20"/>
                <w:szCs w:val="20"/>
                <w:lang/>
              </w:rPr>
              <w:t>Mean</w:t>
            </w:r>
          </w:p>
        </w:tc>
        <w:tc>
          <w:tcPr>
            <w:tcW w:w="804" w:type="pct"/>
            <w:tcBorders>
              <w:top w:val="single" w:sz="4" w:space="0" w:color="auto"/>
              <w:left w:val="nil"/>
              <w:bottom w:val="single" w:sz="12" w:space="0" w:color="auto"/>
              <w:right w:val="nil"/>
            </w:tcBorders>
            <w:hideMark/>
          </w:tcPr>
          <w:p w14:paraId="4D32259B" w14:textId="7744BA99" w:rsidR="00AB5818" w:rsidRPr="007666F2" w:rsidRDefault="00AB5818" w:rsidP="002E4B8A">
            <w:pPr>
              <w:spacing w:line="240" w:lineRule="auto"/>
              <w:rPr>
                <w:rFonts w:eastAsia="Calibri" w:cs="Times New Roman"/>
                <w:b/>
                <w:bCs/>
                <w:sz w:val="20"/>
                <w:szCs w:val="20"/>
                <w:lang/>
              </w:rPr>
            </w:pPr>
            <w:r w:rsidRPr="007666F2">
              <w:rPr>
                <w:rFonts w:eastAsia="Calibri" w:cs="Times New Roman"/>
                <w:b/>
                <w:bCs/>
                <w:sz w:val="20"/>
                <w:szCs w:val="20"/>
                <w:lang/>
              </w:rPr>
              <w:t>Std. Dev.</w:t>
            </w:r>
          </w:p>
        </w:tc>
        <w:tc>
          <w:tcPr>
            <w:tcW w:w="804" w:type="pct"/>
            <w:tcBorders>
              <w:top w:val="single" w:sz="4" w:space="0" w:color="auto"/>
              <w:left w:val="nil"/>
              <w:bottom w:val="single" w:sz="12" w:space="0" w:color="auto"/>
              <w:right w:val="nil"/>
            </w:tcBorders>
            <w:hideMark/>
          </w:tcPr>
          <w:p w14:paraId="17D99077" w14:textId="22B77393" w:rsidR="00AB5818" w:rsidRPr="007666F2" w:rsidRDefault="00AB5818" w:rsidP="002E4B8A">
            <w:pPr>
              <w:spacing w:line="240" w:lineRule="auto"/>
              <w:rPr>
                <w:rFonts w:eastAsia="Calibri" w:cs="Times New Roman"/>
                <w:b/>
                <w:bCs/>
                <w:sz w:val="20"/>
                <w:szCs w:val="20"/>
                <w:lang/>
              </w:rPr>
            </w:pPr>
            <w:r w:rsidRPr="007666F2">
              <w:rPr>
                <w:rFonts w:eastAsia="Calibri" w:cs="Times New Roman"/>
                <w:b/>
                <w:bCs/>
                <w:sz w:val="20"/>
                <w:szCs w:val="20"/>
                <w:lang/>
              </w:rPr>
              <w:t>Min</w:t>
            </w:r>
          </w:p>
        </w:tc>
        <w:tc>
          <w:tcPr>
            <w:tcW w:w="804" w:type="pct"/>
            <w:tcBorders>
              <w:top w:val="single" w:sz="4" w:space="0" w:color="auto"/>
              <w:left w:val="nil"/>
              <w:bottom w:val="single" w:sz="12" w:space="0" w:color="auto"/>
              <w:right w:val="nil"/>
            </w:tcBorders>
            <w:hideMark/>
          </w:tcPr>
          <w:p w14:paraId="1087E0F4" w14:textId="72D988C5" w:rsidR="00AB5818" w:rsidRPr="007666F2" w:rsidRDefault="00AB5818" w:rsidP="002E4B8A">
            <w:pPr>
              <w:spacing w:line="240" w:lineRule="auto"/>
              <w:rPr>
                <w:rFonts w:eastAsia="Calibri" w:cs="Times New Roman"/>
                <w:b/>
                <w:bCs/>
                <w:sz w:val="20"/>
                <w:szCs w:val="20"/>
                <w:lang/>
              </w:rPr>
            </w:pPr>
            <w:r w:rsidRPr="007666F2">
              <w:rPr>
                <w:rFonts w:eastAsia="Calibri" w:cs="Times New Roman"/>
                <w:b/>
                <w:bCs/>
                <w:sz w:val="20"/>
                <w:szCs w:val="20"/>
                <w:lang/>
              </w:rPr>
              <w:t>Max</w:t>
            </w:r>
          </w:p>
        </w:tc>
      </w:tr>
      <w:tr w:rsidR="00AB5818" w:rsidRPr="007666F2" w14:paraId="39311CCC" w14:textId="77777777" w:rsidTr="007666F2">
        <w:tc>
          <w:tcPr>
            <w:tcW w:w="1785" w:type="pct"/>
            <w:hideMark/>
          </w:tcPr>
          <w:p w14:paraId="35C7D3F6" w14:textId="77777777" w:rsidR="00AB5818" w:rsidRPr="007666F2" w:rsidRDefault="00AB5818" w:rsidP="00CE0D78">
            <w:pPr>
              <w:spacing w:line="240" w:lineRule="auto"/>
              <w:rPr>
                <w:rFonts w:eastAsia="Calibri" w:cs="Times New Roman"/>
                <w:sz w:val="20"/>
                <w:szCs w:val="20"/>
                <w:lang/>
              </w:rPr>
            </w:pPr>
            <w:r w:rsidRPr="007666F2">
              <w:rPr>
                <w:rFonts w:eastAsia="Calibri" w:cs="Times New Roman"/>
                <w:sz w:val="20"/>
                <w:szCs w:val="20"/>
                <w:lang/>
              </w:rPr>
              <w:t xml:space="preserve"> Poverty rate (100s)</w:t>
            </w:r>
          </w:p>
        </w:tc>
        <w:tc>
          <w:tcPr>
            <w:tcW w:w="804" w:type="pct"/>
            <w:hideMark/>
          </w:tcPr>
          <w:p w14:paraId="4E1B5570" w14:textId="07626036" w:rsidR="00AB5818" w:rsidRPr="007666F2" w:rsidRDefault="00AB5818" w:rsidP="00CE0D78">
            <w:pPr>
              <w:spacing w:line="240" w:lineRule="auto"/>
              <w:rPr>
                <w:rFonts w:eastAsia="Calibri" w:cs="Times New Roman"/>
                <w:sz w:val="20"/>
                <w:szCs w:val="20"/>
              </w:rPr>
            </w:pPr>
            <w:r w:rsidRPr="007666F2">
              <w:rPr>
                <w:rFonts w:eastAsia="Calibri" w:cs="Times New Roman"/>
                <w:sz w:val="20"/>
                <w:szCs w:val="20"/>
                <w:lang/>
              </w:rPr>
              <w:t>.15</w:t>
            </w:r>
            <w:r w:rsidR="00B57F27" w:rsidRPr="007666F2">
              <w:rPr>
                <w:rFonts w:eastAsia="Calibri" w:cs="Times New Roman"/>
                <w:sz w:val="20"/>
                <w:szCs w:val="20"/>
              </w:rPr>
              <w:t>4</w:t>
            </w:r>
          </w:p>
        </w:tc>
        <w:tc>
          <w:tcPr>
            <w:tcW w:w="804" w:type="pct"/>
            <w:hideMark/>
          </w:tcPr>
          <w:p w14:paraId="09A9980F" w14:textId="77777777" w:rsidR="00AB5818" w:rsidRPr="007666F2" w:rsidRDefault="00AB5818" w:rsidP="00CE0D78">
            <w:pPr>
              <w:spacing w:line="240" w:lineRule="auto"/>
              <w:rPr>
                <w:rFonts w:eastAsia="Calibri" w:cs="Times New Roman"/>
                <w:sz w:val="20"/>
                <w:szCs w:val="20"/>
                <w:lang/>
              </w:rPr>
            </w:pPr>
            <w:r w:rsidRPr="007666F2">
              <w:rPr>
                <w:rFonts w:eastAsia="Calibri" w:cs="Times New Roman"/>
                <w:sz w:val="20"/>
                <w:szCs w:val="20"/>
                <w:lang/>
              </w:rPr>
              <w:t>.0624</w:t>
            </w:r>
          </w:p>
        </w:tc>
        <w:tc>
          <w:tcPr>
            <w:tcW w:w="804" w:type="pct"/>
            <w:hideMark/>
          </w:tcPr>
          <w:p w14:paraId="4A3B4047" w14:textId="77777777" w:rsidR="00AB5818" w:rsidRPr="007666F2" w:rsidRDefault="00AB5818" w:rsidP="00CE0D78">
            <w:pPr>
              <w:spacing w:line="240" w:lineRule="auto"/>
              <w:rPr>
                <w:rFonts w:eastAsia="Calibri" w:cs="Times New Roman"/>
                <w:sz w:val="20"/>
                <w:szCs w:val="20"/>
                <w:lang/>
              </w:rPr>
            </w:pPr>
            <w:r w:rsidRPr="007666F2">
              <w:rPr>
                <w:rFonts w:eastAsia="Calibri" w:cs="Times New Roman"/>
                <w:sz w:val="20"/>
                <w:szCs w:val="20"/>
                <w:lang/>
              </w:rPr>
              <w:t>.017</w:t>
            </w:r>
          </w:p>
        </w:tc>
        <w:tc>
          <w:tcPr>
            <w:tcW w:w="804" w:type="pct"/>
            <w:hideMark/>
          </w:tcPr>
          <w:p w14:paraId="5E1DD2E9" w14:textId="77777777" w:rsidR="00AB5818" w:rsidRPr="007666F2" w:rsidRDefault="00AB5818" w:rsidP="00CE0D78">
            <w:pPr>
              <w:spacing w:line="240" w:lineRule="auto"/>
              <w:rPr>
                <w:rFonts w:eastAsia="Calibri" w:cs="Times New Roman"/>
                <w:sz w:val="20"/>
                <w:szCs w:val="20"/>
                <w:lang/>
              </w:rPr>
            </w:pPr>
            <w:r w:rsidRPr="007666F2">
              <w:rPr>
                <w:rFonts w:eastAsia="Calibri" w:cs="Times New Roman"/>
                <w:sz w:val="20"/>
                <w:szCs w:val="20"/>
                <w:lang/>
              </w:rPr>
              <w:t>.62</w:t>
            </w:r>
          </w:p>
        </w:tc>
      </w:tr>
      <w:tr w:rsidR="00AB5818" w:rsidRPr="007666F2" w14:paraId="3692D99E" w14:textId="77777777" w:rsidTr="007666F2">
        <w:tc>
          <w:tcPr>
            <w:tcW w:w="1785" w:type="pct"/>
            <w:hideMark/>
          </w:tcPr>
          <w:p w14:paraId="2C2A8405" w14:textId="77777777" w:rsidR="00AB5818" w:rsidRPr="007666F2" w:rsidRDefault="00AB5818" w:rsidP="00CE0D78">
            <w:pPr>
              <w:spacing w:line="240" w:lineRule="auto"/>
              <w:rPr>
                <w:rFonts w:eastAsia="Calibri" w:cs="Times New Roman"/>
                <w:sz w:val="20"/>
                <w:szCs w:val="20"/>
                <w:lang/>
              </w:rPr>
            </w:pPr>
            <w:r w:rsidRPr="007666F2">
              <w:rPr>
                <w:rFonts w:eastAsia="Calibri" w:cs="Times New Roman"/>
                <w:sz w:val="20"/>
                <w:szCs w:val="20"/>
                <w:lang/>
              </w:rPr>
              <w:t xml:space="preserve"> Unemployment rate (100s)</w:t>
            </w:r>
          </w:p>
        </w:tc>
        <w:tc>
          <w:tcPr>
            <w:tcW w:w="804" w:type="pct"/>
            <w:hideMark/>
          </w:tcPr>
          <w:p w14:paraId="76177959" w14:textId="77777777" w:rsidR="00AB5818" w:rsidRPr="007666F2" w:rsidRDefault="00AB5818" w:rsidP="00CE0D78">
            <w:pPr>
              <w:spacing w:line="240" w:lineRule="auto"/>
              <w:rPr>
                <w:rFonts w:eastAsia="Calibri" w:cs="Times New Roman"/>
                <w:sz w:val="20"/>
                <w:szCs w:val="20"/>
                <w:lang/>
              </w:rPr>
            </w:pPr>
            <w:r w:rsidRPr="007666F2">
              <w:rPr>
                <w:rFonts w:eastAsia="Calibri" w:cs="Times New Roman"/>
                <w:sz w:val="20"/>
                <w:szCs w:val="20"/>
                <w:lang/>
              </w:rPr>
              <w:t>.0596</w:t>
            </w:r>
          </w:p>
        </w:tc>
        <w:tc>
          <w:tcPr>
            <w:tcW w:w="804" w:type="pct"/>
            <w:hideMark/>
          </w:tcPr>
          <w:p w14:paraId="7D973ABF" w14:textId="77777777" w:rsidR="00AB5818" w:rsidRPr="007666F2" w:rsidRDefault="00AB5818" w:rsidP="00CE0D78">
            <w:pPr>
              <w:spacing w:line="240" w:lineRule="auto"/>
              <w:rPr>
                <w:rFonts w:eastAsia="Calibri" w:cs="Times New Roman"/>
                <w:sz w:val="20"/>
                <w:szCs w:val="20"/>
                <w:lang/>
              </w:rPr>
            </w:pPr>
            <w:r w:rsidRPr="007666F2">
              <w:rPr>
                <w:rFonts w:eastAsia="Calibri" w:cs="Times New Roman"/>
                <w:sz w:val="20"/>
                <w:szCs w:val="20"/>
                <w:lang/>
              </w:rPr>
              <w:t>.0276</w:t>
            </w:r>
          </w:p>
        </w:tc>
        <w:tc>
          <w:tcPr>
            <w:tcW w:w="804" w:type="pct"/>
            <w:hideMark/>
          </w:tcPr>
          <w:p w14:paraId="2DB5B57D" w14:textId="77777777" w:rsidR="00AB5818" w:rsidRPr="007666F2" w:rsidRDefault="00AB5818" w:rsidP="00CE0D78">
            <w:pPr>
              <w:spacing w:line="240" w:lineRule="auto"/>
              <w:rPr>
                <w:rFonts w:eastAsia="Calibri" w:cs="Times New Roman"/>
                <w:sz w:val="20"/>
                <w:szCs w:val="20"/>
                <w:lang/>
              </w:rPr>
            </w:pPr>
            <w:r w:rsidRPr="007666F2">
              <w:rPr>
                <w:rFonts w:eastAsia="Calibri" w:cs="Times New Roman"/>
                <w:sz w:val="20"/>
                <w:szCs w:val="20"/>
                <w:lang/>
              </w:rPr>
              <w:t>.007</w:t>
            </w:r>
          </w:p>
        </w:tc>
        <w:tc>
          <w:tcPr>
            <w:tcW w:w="804" w:type="pct"/>
            <w:hideMark/>
          </w:tcPr>
          <w:p w14:paraId="2F0038E1" w14:textId="77777777" w:rsidR="00AB5818" w:rsidRPr="007666F2" w:rsidRDefault="00AB5818" w:rsidP="00CE0D78">
            <w:pPr>
              <w:spacing w:line="240" w:lineRule="auto"/>
              <w:rPr>
                <w:rFonts w:eastAsia="Calibri" w:cs="Times New Roman"/>
                <w:sz w:val="20"/>
                <w:szCs w:val="20"/>
                <w:lang/>
              </w:rPr>
            </w:pPr>
            <w:r w:rsidRPr="007666F2">
              <w:rPr>
                <w:rFonts w:eastAsia="Calibri" w:cs="Times New Roman"/>
                <w:sz w:val="20"/>
                <w:szCs w:val="20"/>
                <w:lang/>
              </w:rPr>
              <w:t>.306</w:t>
            </w:r>
          </w:p>
        </w:tc>
      </w:tr>
      <w:tr w:rsidR="00AB5818" w:rsidRPr="007666F2" w14:paraId="3F9436CD" w14:textId="77777777" w:rsidTr="007666F2">
        <w:tc>
          <w:tcPr>
            <w:tcW w:w="1785" w:type="pct"/>
            <w:hideMark/>
          </w:tcPr>
          <w:p w14:paraId="3AB35FFC" w14:textId="77777777" w:rsidR="00AB5818" w:rsidRPr="007666F2" w:rsidRDefault="00AB5818" w:rsidP="00CE0D78">
            <w:pPr>
              <w:spacing w:line="240" w:lineRule="auto"/>
              <w:rPr>
                <w:rFonts w:eastAsia="Calibri" w:cs="Times New Roman"/>
                <w:sz w:val="20"/>
                <w:szCs w:val="20"/>
                <w:lang/>
              </w:rPr>
            </w:pPr>
            <w:r w:rsidRPr="007666F2">
              <w:rPr>
                <w:rFonts w:eastAsia="Calibri" w:cs="Times New Roman"/>
                <w:sz w:val="20"/>
                <w:szCs w:val="20"/>
                <w:lang/>
              </w:rPr>
              <w:t xml:space="preserve"> Median HH Income (100ks)</w:t>
            </w:r>
          </w:p>
        </w:tc>
        <w:tc>
          <w:tcPr>
            <w:tcW w:w="804" w:type="pct"/>
            <w:hideMark/>
          </w:tcPr>
          <w:p w14:paraId="0E761B5E" w14:textId="3B33903C" w:rsidR="00AB5818" w:rsidRPr="007666F2" w:rsidRDefault="00AB5818" w:rsidP="00CE0D78">
            <w:pPr>
              <w:spacing w:line="240" w:lineRule="auto"/>
              <w:rPr>
                <w:rFonts w:eastAsia="Calibri" w:cs="Times New Roman"/>
                <w:sz w:val="20"/>
                <w:szCs w:val="20"/>
              </w:rPr>
            </w:pPr>
            <w:r w:rsidRPr="007666F2">
              <w:rPr>
                <w:rFonts w:eastAsia="Calibri" w:cs="Times New Roman"/>
                <w:sz w:val="20"/>
                <w:szCs w:val="20"/>
                <w:lang/>
              </w:rPr>
              <w:t>.42</w:t>
            </w:r>
            <w:r w:rsidR="00B57F27" w:rsidRPr="007666F2">
              <w:rPr>
                <w:rFonts w:eastAsia="Calibri" w:cs="Times New Roman"/>
                <w:sz w:val="20"/>
                <w:szCs w:val="20"/>
              </w:rPr>
              <w:t>8</w:t>
            </w:r>
          </w:p>
        </w:tc>
        <w:tc>
          <w:tcPr>
            <w:tcW w:w="804" w:type="pct"/>
            <w:hideMark/>
          </w:tcPr>
          <w:p w14:paraId="6404B04D" w14:textId="44312B62" w:rsidR="00AB5818" w:rsidRPr="007666F2" w:rsidRDefault="00AB5818" w:rsidP="00CE0D78">
            <w:pPr>
              <w:spacing w:line="240" w:lineRule="auto"/>
              <w:rPr>
                <w:rFonts w:eastAsia="Calibri" w:cs="Times New Roman"/>
                <w:sz w:val="20"/>
                <w:szCs w:val="20"/>
                <w:lang/>
              </w:rPr>
            </w:pPr>
            <w:r w:rsidRPr="007666F2">
              <w:rPr>
                <w:rFonts w:eastAsia="Calibri" w:cs="Times New Roman"/>
                <w:sz w:val="20"/>
                <w:szCs w:val="20"/>
                <w:lang/>
              </w:rPr>
              <w:t>.126</w:t>
            </w:r>
          </w:p>
        </w:tc>
        <w:tc>
          <w:tcPr>
            <w:tcW w:w="804" w:type="pct"/>
            <w:hideMark/>
          </w:tcPr>
          <w:p w14:paraId="22EC5AEF" w14:textId="77777777" w:rsidR="00AB5818" w:rsidRPr="007666F2" w:rsidRDefault="00AB5818" w:rsidP="00CE0D78">
            <w:pPr>
              <w:spacing w:line="240" w:lineRule="auto"/>
              <w:rPr>
                <w:rFonts w:eastAsia="Calibri" w:cs="Times New Roman"/>
                <w:sz w:val="20"/>
                <w:szCs w:val="20"/>
                <w:lang/>
              </w:rPr>
            </w:pPr>
            <w:r w:rsidRPr="007666F2">
              <w:rPr>
                <w:rFonts w:eastAsia="Calibri" w:cs="Times New Roman"/>
                <w:sz w:val="20"/>
                <w:szCs w:val="20"/>
                <w:lang/>
              </w:rPr>
              <w:t>.0986</w:t>
            </w:r>
          </w:p>
        </w:tc>
        <w:tc>
          <w:tcPr>
            <w:tcW w:w="804" w:type="pct"/>
            <w:hideMark/>
          </w:tcPr>
          <w:p w14:paraId="606937F2" w14:textId="6CB2505F" w:rsidR="00AB5818" w:rsidRPr="007666F2" w:rsidRDefault="00AB5818" w:rsidP="00CE0D78">
            <w:pPr>
              <w:spacing w:line="240" w:lineRule="auto"/>
              <w:rPr>
                <w:rFonts w:eastAsia="Calibri" w:cs="Times New Roman"/>
                <w:sz w:val="20"/>
                <w:szCs w:val="20"/>
              </w:rPr>
            </w:pPr>
            <w:r w:rsidRPr="007666F2">
              <w:rPr>
                <w:rFonts w:eastAsia="Calibri" w:cs="Times New Roman"/>
                <w:sz w:val="20"/>
                <w:szCs w:val="20"/>
                <w:lang/>
              </w:rPr>
              <w:t>1.5</w:t>
            </w:r>
            <w:r w:rsidR="00B57F27" w:rsidRPr="007666F2">
              <w:rPr>
                <w:rFonts w:eastAsia="Calibri" w:cs="Times New Roman"/>
                <w:sz w:val="20"/>
                <w:szCs w:val="20"/>
              </w:rPr>
              <w:t>2</w:t>
            </w:r>
          </w:p>
        </w:tc>
      </w:tr>
      <w:tr w:rsidR="00AB5818" w:rsidRPr="007666F2" w14:paraId="292C4108" w14:textId="77777777" w:rsidTr="007666F2">
        <w:tc>
          <w:tcPr>
            <w:tcW w:w="1785" w:type="pct"/>
            <w:hideMark/>
          </w:tcPr>
          <w:p w14:paraId="340721ED" w14:textId="77777777" w:rsidR="00AB5818" w:rsidRPr="007666F2" w:rsidRDefault="00AB5818" w:rsidP="00CE0D78">
            <w:pPr>
              <w:spacing w:line="240" w:lineRule="auto"/>
              <w:rPr>
                <w:rFonts w:eastAsia="Calibri" w:cs="Times New Roman"/>
                <w:sz w:val="20"/>
                <w:szCs w:val="20"/>
                <w:lang/>
              </w:rPr>
            </w:pPr>
            <w:r w:rsidRPr="007666F2">
              <w:rPr>
                <w:rFonts w:eastAsia="Calibri" w:cs="Times New Roman"/>
                <w:sz w:val="20"/>
                <w:szCs w:val="20"/>
                <w:lang/>
              </w:rPr>
              <w:t xml:space="preserve"> Housing Price Index (100s)</w:t>
            </w:r>
          </w:p>
        </w:tc>
        <w:tc>
          <w:tcPr>
            <w:tcW w:w="804" w:type="pct"/>
            <w:hideMark/>
          </w:tcPr>
          <w:p w14:paraId="10AD5791" w14:textId="5F47F412" w:rsidR="00AB5818" w:rsidRPr="007666F2" w:rsidRDefault="00AB5818" w:rsidP="00CE0D78">
            <w:pPr>
              <w:spacing w:line="240" w:lineRule="auto"/>
              <w:rPr>
                <w:rFonts w:eastAsia="Calibri" w:cs="Times New Roman"/>
                <w:sz w:val="20"/>
                <w:szCs w:val="20"/>
                <w:lang/>
              </w:rPr>
            </w:pPr>
            <w:r w:rsidRPr="007666F2">
              <w:rPr>
                <w:rFonts w:eastAsia="Calibri" w:cs="Times New Roman"/>
                <w:sz w:val="20"/>
                <w:szCs w:val="20"/>
                <w:lang/>
              </w:rPr>
              <w:t>2.47</w:t>
            </w:r>
          </w:p>
        </w:tc>
        <w:tc>
          <w:tcPr>
            <w:tcW w:w="804" w:type="pct"/>
            <w:hideMark/>
          </w:tcPr>
          <w:p w14:paraId="650520AD" w14:textId="4F798213" w:rsidR="00AB5818" w:rsidRPr="007666F2" w:rsidRDefault="00AB5818" w:rsidP="00CE0D78">
            <w:pPr>
              <w:spacing w:line="240" w:lineRule="auto"/>
              <w:rPr>
                <w:rFonts w:eastAsia="Calibri" w:cs="Times New Roman"/>
                <w:sz w:val="20"/>
                <w:szCs w:val="20"/>
                <w:lang/>
              </w:rPr>
            </w:pPr>
            <w:r w:rsidRPr="007666F2">
              <w:rPr>
                <w:rFonts w:eastAsia="Calibri" w:cs="Times New Roman"/>
                <w:sz w:val="20"/>
                <w:szCs w:val="20"/>
                <w:lang/>
              </w:rPr>
              <w:t>1.58</w:t>
            </w:r>
          </w:p>
        </w:tc>
        <w:tc>
          <w:tcPr>
            <w:tcW w:w="804" w:type="pct"/>
            <w:hideMark/>
          </w:tcPr>
          <w:p w14:paraId="10C3863C" w14:textId="19772234" w:rsidR="00AB5818" w:rsidRPr="007666F2" w:rsidRDefault="00AB5818" w:rsidP="00CE0D78">
            <w:pPr>
              <w:spacing w:line="240" w:lineRule="auto"/>
              <w:rPr>
                <w:rFonts w:eastAsia="Calibri" w:cs="Times New Roman"/>
                <w:sz w:val="20"/>
                <w:szCs w:val="20"/>
              </w:rPr>
            </w:pPr>
            <w:r w:rsidRPr="007666F2">
              <w:rPr>
                <w:rFonts w:eastAsia="Calibri" w:cs="Times New Roman"/>
                <w:sz w:val="20"/>
                <w:szCs w:val="20"/>
                <w:lang/>
              </w:rPr>
              <w:t>.63</w:t>
            </w:r>
            <w:r w:rsidR="00B57F27" w:rsidRPr="007666F2">
              <w:rPr>
                <w:rFonts w:eastAsia="Calibri" w:cs="Times New Roman"/>
                <w:sz w:val="20"/>
                <w:szCs w:val="20"/>
              </w:rPr>
              <w:t>7</w:t>
            </w:r>
          </w:p>
        </w:tc>
        <w:tc>
          <w:tcPr>
            <w:tcW w:w="804" w:type="pct"/>
            <w:hideMark/>
          </w:tcPr>
          <w:p w14:paraId="3801692A" w14:textId="7B3B8D40" w:rsidR="00AB5818" w:rsidRPr="007666F2" w:rsidRDefault="00AB5818" w:rsidP="00CE0D78">
            <w:pPr>
              <w:spacing w:line="240" w:lineRule="auto"/>
              <w:rPr>
                <w:rFonts w:eastAsia="Calibri" w:cs="Times New Roman"/>
                <w:sz w:val="20"/>
                <w:szCs w:val="20"/>
              </w:rPr>
            </w:pPr>
            <w:r w:rsidRPr="007666F2">
              <w:rPr>
                <w:rFonts w:eastAsia="Calibri" w:cs="Times New Roman"/>
                <w:sz w:val="20"/>
                <w:szCs w:val="20"/>
                <w:lang/>
              </w:rPr>
              <w:t>21.</w:t>
            </w:r>
            <w:r w:rsidR="00B57F27" w:rsidRPr="007666F2">
              <w:rPr>
                <w:rFonts w:eastAsia="Calibri" w:cs="Times New Roman"/>
                <w:sz w:val="20"/>
                <w:szCs w:val="20"/>
              </w:rPr>
              <w:t>2</w:t>
            </w:r>
          </w:p>
        </w:tc>
      </w:tr>
      <w:tr w:rsidR="00AB5818" w:rsidRPr="007666F2" w14:paraId="6EFE1A2A" w14:textId="77777777" w:rsidTr="007666F2">
        <w:tc>
          <w:tcPr>
            <w:tcW w:w="1785" w:type="pct"/>
            <w:hideMark/>
          </w:tcPr>
          <w:p w14:paraId="21C7A268" w14:textId="77777777" w:rsidR="00AB5818" w:rsidRPr="007666F2" w:rsidRDefault="00AB5818" w:rsidP="00CE0D78">
            <w:pPr>
              <w:spacing w:line="240" w:lineRule="auto"/>
              <w:rPr>
                <w:rFonts w:eastAsia="Calibri" w:cs="Times New Roman"/>
                <w:sz w:val="20"/>
                <w:szCs w:val="20"/>
                <w:lang/>
              </w:rPr>
            </w:pPr>
            <w:r w:rsidRPr="007666F2">
              <w:rPr>
                <w:rFonts w:eastAsia="Calibri" w:cs="Times New Roman"/>
                <w:sz w:val="20"/>
                <w:szCs w:val="20"/>
                <w:lang/>
              </w:rPr>
              <w:t xml:space="preserve"> Population Density (100s)</w:t>
            </w:r>
          </w:p>
        </w:tc>
        <w:tc>
          <w:tcPr>
            <w:tcW w:w="804" w:type="pct"/>
            <w:hideMark/>
          </w:tcPr>
          <w:p w14:paraId="02AE22BD" w14:textId="77777777" w:rsidR="00AB5818" w:rsidRPr="007666F2" w:rsidRDefault="00AB5818" w:rsidP="00CE0D78">
            <w:pPr>
              <w:spacing w:line="240" w:lineRule="auto"/>
              <w:rPr>
                <w:rFonts w:eastAsia="Calibri" w:cs="Times New Roman"/>
                <w:sz w:val="20"/>
                <w:szCs w:val="20"/>
                <w:lang/>
              </w:rPr>
            </w:pPr>
            <w:r w:rsidRPr="007666F2">
              <w:rPr>
                <w:rFonts w:eastAsia="Calibri" w:cs="Times New Roman"/>
                <w:sz w:val="20"/>
                <w:szCs w:val="20"/>
                <w:lang/>
              </w:rPr>
              <w:t>.004</w:t>
            </w:r>
          </w:p>
        </w:tc>
        <w:tc>
          <w:tcPr>
            <w:tcW w:w="804" w:type="pct"/>
            <w:hideMark/>
          </w:tcPr>
          <w:p w14:paraId="6D774D8D" w14:textId="77777777" w:rsidR="00AB5818" w:rsidRPr="007666F2" w:rsidRDefault="00AB5818" w:rsidP="00CE0D78">
            <w:pPr>
              <w:spacing w:line="240" w:lineRule="auto"/>
              <w:rPr>
                <w:rFonts w:eastAsia="Calibri" w:cs="Times New Roman"/>
                <w:sz w:val="20"/>
                <w:szCs w:val="20"/>
                <w:lang/>
              </w:rPr>
            </w:pPr>
            <w:r w:rsidRPr="007666F2">
              <w:rPr>
                <w:rFonts w:eastAsia="Calibri" w:cs="Times New Roman"/>
                <w:sz w:val="20"/>
                <w:szCs w:val="20"/>
                <w:lang/>
              </w:rPr>
              <w:t>.0281</w:t>
            </w:r>
          </w:p>
        </w:tc>
        <w:tc>
          <w:tcPr>
            <w:tcW w:w="804" w:type="pct"/>
            <w:hideMark/>
          </w:tcPr>
          <w:p w14:paraId="14E71077" w14:textId="77777777" w:rsidR="00AB5818" w:rsidRPr="007666F2" w:rsidRDefault="00AB5818" w:rsidP="00CE0D78">
            <w:pPr>
              <w:spacing w:line="240" w:lineRule="auto"/>
              <w:rPr>
                <w:rFonts w:eastAsia="Calibri" w:cs="Times New Roman"/>
                <w:sz w:val="20"/>
                <w:szCs w:val="20"/>
                <w:lang/>
              </w:rPr>
            </w:pPr>
            <w:r w:rsidRPr="007666F2">
              <w:rPr>
                <w:rFonts w:eastAsia="Calibri" w:cs="Times New Roman"/>
                <w:sz w:val="20"/>
                <w:szCs w:val="20"/>
                <w:lang/>
              </w:rPr>
              <w:t>0</w:t>
            </w:r>
          </w:p>
        </w:tc>
        <w:tc>
          <w:tcPr>
            <w:tcW w:w="804" w:type="pct"/>
            <w:hideMark/>
          </w:tcPr>
          <w:p w14:paraId="7F6F618B" w14:textId="6D4F4B6E" w:rsidR="00AB5818" w:rsidRPr="007666F2" w:rsidRDefault="00AB5818" w:rsidP="00CE0D78">
            <w:pPr>
              <w:spacing w:line="240" w:lineRule="auto"/>
              <w:rPr>
                <w:rFonts w:eastAsia="Calibri" w:cs="Times New Roman"/>
                <w:sz w:val="20"/>
                <w:szCs w:val="20"/>
              </w:rPr>
            </w:pPr>
            <w:r w:rsidRPr="007666F2">
              <w:rPr>
                <w:rFonts w:eastAsia="Calibri" w:cs="Times New Roman"/>
                <w:sz w:val="20"/>
                <w:szCs w:val="20"/>
                <w:lang/>
              </w:rPr>
              <w:t>1.1</w:t>
            </w:r>
            <w:r w:rsidR="00B57F27" w:rsidRPr="007666F2">
              <w:rPr>
                <w:rFonts w:eastAsia="Calibri" w:cs="Times New Roman"/>
                <w:sz w:val="20"/>
                <w:szCs w:val="20"/>
              </w:rPr>
              <w:t>7</w:t>
            </w:r>
          </w:p>
        </w:tc>
      </w:tr>
      <w:tr w:rsidR="00AB5818" w:rsidRPr="007666F2" w14:paraId="7E5C8F32" w14:textId="77777777" w:rsidTr="007666F2">
        <w:tc>
          <w:tcPr>
            <w:tcW w:w="1785" w:type="pct"/>
            <w:hideMark/>
          </w:tcPr>
          <w:p w14:paraId="253EA316" w14:textId="77777777" w:rsidR="00AB5818" w:rsidRPr="007666F2" w:rsidRDefault="00AB5818" w:rsidP="00CE0D78">
            <w:pPr>
              <w:spacing w:line="240" w:lineRule="auto"/>
              <w:rPr>
                <w:rFonts w:eastAsia="Calibri" w:cs="Times New Roman"/>
                <w:sz w:val="20"/>
                <w:szCs w:val="20"/>
                <w:lang/>
              </w:rPr>
            </w:pPr>
            <w:r w:rsidRPr="007666F2">
              <w:rPr>
                <w:rFonts w:eastAsia="Calibri" w:cs="Times New Roman"/>
                <w:sz w:val="20"/>
                <w:szCs w:val="20"/>
                <w:lang/>
              </w:rPr>
              <w:t xml:space="preserve"> SO2 - Attain. Status (t-1)</w:t>
            </w:r>
          </w:p>
        </w:tc>
        <w:tc>
          <w:tcPr>
            <w:tcW w:w="804" w:type="pct"/>
            <w:hideMark/>
          </w:tcPr>
          <w:p w14:paraId="6F035722" w14:textId="77777777" w:rsidR="00AB5818" w:rsidRPr="007666F2" w:rsidRDefault="00AB5818" w:rsidP="00CE0D78">
            <w:pPr>
              <w:spacing w:line="240" w:lineRule="auto"/>
              <w:rPr>
                <w:rFonts w:eastAsia="Calibri" w:cs="Times New Roman"/>
                <w:sz w:val="20"/>
                <w:szCs w:val="20"/>
                <w:lang/>
              </w:rPr>
            </w:pPr>
            <w:r w:rsidRPr="007666F2">
              <w:rPr>
                <w:rFonts w:eastAsia="Calibri" w:cs="Times New Roman"/>
                <w:sz w:val="20"/>
                <w:szCs w:val="20"/>
                <w:lang/>
              </w:rPr>
              <w:t>.0041</w:t>
            </w:r>
          </w:p>
        </w:tc>
        <w:tc>
          <w:tcPr>
            <w:tcW w:w="804" w:type="pct"/>
            <w:hideMark/>
          </w:tcPr>
          <w:p w14:paraId="6E32B2E1" w14:textId="77777777" w:rsidR="00AB5818" w:rsidRPr="007666F2" w:rsidRDefault="00AB5818" w:rsidP="00CE0D78">
            <w:pPr>
              <w:spacing w:line="240" w:lineRule="auto"/>
              <w:rPr>
                <w:rFonts w:eastAsia="Calibri" w:cs="Times New Roman"/>
                <w:sz w:val="20"/>
                <w:szCs w:val="20"/>
                <w:lang/>
              </w:rPr>
            </w:pPr>
            <w:r w:rsidRPr="007666F2">
              <w:rPr>
                <w:rFonts w:eastAsia="Calibri" w:cs="Times New Roman"/>
                <w:sz w:val="20"/>
                <w:szCs w:val="20"/>
                <w:lang/>
              </w:rPr>
              <w:t>.0496</w:t>
            </w:r>
          </w:p>
        </w:tc>
        <w:tc>
          <w:tcPr>
            <w:tcW w:w="804" w:type="pct"/>
            <w:hideMark/>
          </w:tcPr>
          <w:p w14:paraId="2A054193" w14:textId="77777777" w:rsidR="00AB5818" w:rsidRPr="007666F2" w:rsidRDefault="00AB5818" w:rsidP="00CE0D78">
            <w:pPr>
              <w:spacing w:line="240" w:lineRule="auto"/>
              <w:rPr>
                <w:rFonts w:eastAsia="Calibri" w:cs="Times New Roman"/>
                <w:sz w:val="20"/>
                <w:szCs w:val="20"/>
                <w:lang/>
              </w:rPr>
            </w:pPr>
            <w:r w:rsidRPr="007666F2">
              <w:rPr>
                <w:rFonts w:eastAsia="Calibri" w:cs="Times New Roman"/>
                <w:sz w:val="20"/>
                <w:szCs w:val="20"/>
                <w:lang/>
              </w:rPr>
              <w:t>0</w:t>
            </w:r>
          </w:p>
        </w:tc>
        <w:tc>
          <w:tcPr>
            <w:tcW w:w="804" w:type="pct"/>
            <w:hideMark/>
          </w:tcPr>
          <w:p w14:paraId="26B1642B" w14:textId="77777777" w:rsidR="00AB5818" w:rsidRPr="007666F2" w:rsidRDefault="00AB5818" w:rsidP="00CE0D78">
            <w:pPr>
              <w:spacing w:line="240" w:lineRule="auto"/>
              <w:rPr>
                <w:rFonts w:eastAsia="Calibri" w:cs="Times New Roman"/>
                <w:sz w:val="20"/>
                <w:szCs w:val="20"/>
              </w:rPr>
            </w:pPr>
            <w:r w:rsidRPr="007666F2">
              <w:rPr>
                <w:rFonts w:eastAsia="Calibri" w:cs="Times New Roman"/>
                <w:sz w:val="20"/>
                <w:szCs w:val="20"/>
                <w:lang/>
              </w:rPr>
              <w:t>1</w:t>
            </w:r>
          </w:p>
        </w:tc>
      </w:tr>
      <w:tr w:rsidR="00AB5818" w:rsidRPr="007666F2" w14:paraId="56C6709F" w14:textId="77777777" w:rsidTr="007666F2">
        <w:tc>
          <w:tcPr>
            <w:tcW w:w="1785" w:type="pct"/>
            <w:hideMark/>
          </w:tcPr>
          <w:p w14:paraId="3FEE7F9A" w14:textId="77777777" w:rsidR="00AB5818" w:rsidRPr="007666F2" w:rsidRDefault="00AB5818" w:rsidP="00CE0D78">
            <w:pPr>
              <w:spacing w:line="240" w:lineRule="auto"/>
              <w:rPr>
                <w:rFonts w:eastAsia="Calibri" w:cs="Times New Roman"/>
                <w:sz w:val="20"/>
                <w:szCs w:val="20"/>
                <w:lang/>
              </w:rPr>
            </w:pPr>
            <w:r w:rsidRPr="007666F2">
              <w:rPr>
                <w:rFonts w:eastAsia="Calibri" w:cs="Times New Roman"/>
                <w:sz w:val="20"/>
                <w:szCs w:val="20"/>
                <w:lang/>
              </w:rPr>
              <w:t xml:space="preserve"> PSM - Attain. Status (t-1)</w:t>
            </w:r>
          </w:p>
        </w:tc>
        <w:tc>
          <w:tcPr>
            <w:tcW w:w="804" w:type="pct"/>
            <w:hideMark/>
          </w:tcPr>
          <w:p w14:paraId="3BA21C53" w14:textId="77777777" w:rsidR="00AB5818" w:rsidRPr="007666F2" w:rsidRDefault="00AB5818" w:rsidP="00CE0D78">
            <w:pPr>
              <w:spacing w:line="240" w:lineRule="auto"/>
              <w:rPr>
                <w:rFonts w:eastAsia="Calibri" w:cs="Times New Roman"/>
                <w:sz w:val="20"/>
                <w:szCs w:val="20"/>
                <w:lang/>
              </w:rPr>
            </w:pPr>
            <w:r w:rsidRPr="007666F2">
              <w:rPr>
                <w:rFonts w:eastAsia="Calibri" w:cs="Times New Roman"/>
                <w:sz w:val="20"/>
                <w:szCs w:val="20"/>
                <w:lang/>
              </w:rPr>
              <w:t>.0457</w:t>
            </w:r>
          </w:p>
        </w:tc>
        <w:tc>
          <w:tcPr>
            <w:tcW w:w="804" w:type="pct"/>
            <w:hideMark/>
          </w:tcPr>
          <w:p w14:paraId="55256CC6" w14:textId="721DEE74" w:rsidR="00AB5818" w:rsidRPr="007666F2" w:rsidRDefault="00AB5818" w:rsidP="00CE0D78">
            <w:pPr>
              <w:spacing w:line="240" w:lineRule="auto"/>
              <w:rPr>
                <w:rFonts w:eastAsia="Calibri" w:cs="Times New Roman"/>
                <w:sz w:val="20"/>
                <w:szCs w:val="20"/>
              </w:rPr>
            </w:pPr>
            <w:r w:rsidRPr="007666F2">
              <w:rPr>
                <w:rFonts w:eastAsia="Calibri" w:cs="Times New Roman"/>
                <w:sz w:val="20"/>
                <w:szCs w:val="20"/>
                <w:lang/>
              </w:rPr>
              <w:t>.23</w:t>
            </w:r>
            <w:r w:rsidR="00B57F27" w:rsidRPr="007666F2">
              <w:rPr>
                <w:rFonts w:eastAsia="Calibri" w:cs="Times New Roman"/>
                <w:sz w:val="20"/>
                <w:szCs w:val="20"/>
              </w:rPr>
              <w:t>8</w:t>
            </w:r>
          </w:p>
        </w:tc>
        <w:tc>
          <w:tcPr>
            <w:tcW w:w="804" w:type="pct"/>
            <w:hideMark/>
          </w:tcPr>
          <w:p w14:paraId="17CAD2DB" w14:textId="77777777" w:rsidR="00AB5818" w:rsidRPr="007666F2" w:rsidRDefault="00AB5818" w:rsidP="00CE0D78">
            <w:pPr>
              <w:spacing w:line="240" w:lineRule="auto"/>
              <w:rPr>
                <w:rFonts w:eastAsia="Calibri" w:cs="Times New Roman"/>
                <w:sz w:val="20"/>
                <w:szCs w:val="20"/>
                <w:lang/>
              </w:rPr>
            </w:pPr>
            <w:r w:rsidRPr="007666F2">
              <w:rPr>
                <w:rFonts w:eastAsia="Calibri" w:cs="Times New Roman"/>
                <w:sz w:val="20"/>
                <w:szCs w:val="20"/>
                <w:lang/>
              </w:rPr>
              <w:t>0</w:t>
            </w:r>
          </w:p>
        </w:tc>
        <w:tc>
          <w:tcPr>
            <w:tcW w:w="804" w:type="pct"/>
            <w:hideMark/>
          </w:tcPr>
          <w:p w14:paraId="5B07D6C0" w14:textId="77777777" w:rsidR="00AB5818" w:rsidRPr="007666F2" w:rsidRDefault="00AB5818" w:rsidP="00CE0D78">
            <w:pPr>
              <w:spacing w:line="240" w:lineRule="auto"/>
              <w:rPr>
                <w:rFonts w:eastAsia="Calibri" w:cs="Times New Roman"/>
                <w:sz w:val="20"/>
                <w:szCs w:val="20"/>
              </w:rPr>
            </w:pPr>
            <w:r w:rsidRPr="007666F2">
              <w:rPr>
                <w:rFonts w:eastAsia="Calibri" w:cs="Times New Roman"/>
                <w:sz w:val="20"/>
                <w:szCs w:val="20"/>
              </w:rPr>
              <w:t>1</w:t>
            </w:r>
          </w:p>
        </w:tc>
      </w:tr>
      <w:tr w:rsidR="00AB5818" w:rsidRPr="007666F2" w14:paraId="63496318" w14:textId="77777777" w:rsidTr="007666F2">
        <w:tc>
          <w:tcPr>
            <w:tcW w:w="1785" w:type="pct"/>
            <w:hideMark/>
          </w:tcPr>
          <w:p w14:paraId="15DB5AAE" w14:textId="77777777" w:rsidR="00AB5818" w:rsidRPr="007666F2" w:rsidRDefault="00AB5818" w:rsidP="00CE0D78">
            <w:pPr>
              <w:spacing w:line="240" w:lineRule="auto"/>
              <w:rPr>
                <w:rFonts w:eastAsia="Calibri" w:cs="Times New Roman"/>
                <w:sz w:val="20"/>
                <w:szCs w:val="20"/>
                <w:lang/>
              </w:rPr>
            </w:pPr>
            <w:r w:rsidRPr="007666F2">
              <w:rPr>
                <w:rFonts w:eastAsia="Calibri" w:cs="Times New Roman"/>
                <w:sz w:val="20"/>
                <w:szCs w:val="20"/>
                <w:lang/>
              </w:rPr>
              <w:t xml:space="preserve"> O3 - Attain. Status (t-1)</w:t>
            </w:r>
          </w:p>
        </w:tc>
        <w:tc>
          <w:tcPr>
            <w:tcW w:w="804" w:type="pct"/>
            <w:hideMark/>
          </w:tcPr>
          <w:p w14:paraId="1B3293AA" w14:textId="24EC3F8E" w:rsidR="00AB5818" w:rsidRPr="007666F2" w:rsidRDefault="00AB5818" w:rsidP="00CE0D78">
            <w:pPr>
              <w:spacing w:line="240" w:lineRule="auto"/>
              <w:rPr>
                <w:rFonts w:eastAsia="Calibri" w:cs="Times New Roman"/>
                <w:sz w:val="20"/>
                <w:szCs w:val="20"/>
              </w:rPr>
            </w:pPr>
            <w:r w:rsidRPr="007666F2">
              <w:rPr>
                <w:rFonts w:eastAsia="Calibri" w:cs="Times New Roman"/>
                <w:sz w:val="20"/>
                <w:szCs w:val="20"/>
                <w:lang/>
              </w:rPr>
              <w:t>.10</w:t>
            </w:r>
            <w:r w:rsidR="00B57F27" w:rsidRPr="007666F2">
              <w:rPr>
                <w:rFonts w:eastAsia="Calibri" w:cs="Times New Roman"/>
                <w:sz w:val="20"/>
                <w:szCs w:val="20"/>
              </w:rPr>
              <w:t>1</w:t>
            </w:r>
          </w:p>
        </w:tc>
        <w:tc>
          <w:tcPr>
            <w:tcW w:w="804" w:type="pct"/>
            <w:hideMark/>
          </w:tcPr>
          <w:p w14:paraId="7E579B0C" w14:textId="32D1A846" w:rsidR="00AB5818" w:rsidRPr="007666F2" w:rsidRDefault="00AB5818" w:rsidP="00CE0D78">
            <w:pPr>
              <w:spacing w:line="240" w:lineRule="auto"/>
              <w:rPr>
                <w:rFonts w:eastAsia="Calibri" w:cs="Times New Roman"/>
                <w:sz w:val="20"/>
                <w:szCs w:val="20"/>
              </w:rPr>
            </w:pPr>
            <w:r w:rsidRPr="007666F2">
              <w:rPr>
                <w:rFonts w:eastAsia="Calibri" w:cs="Times New Roman"/>
                <w:sz w:val="20"/>
                <w:szCs w:val="20"/>
                <w:lang/>
              </w:rPr>
              <w:t>.33</w:t>
            </w:r>
            <w:r w:rsidR="00B57F27" w:rsidRPr="007666F2">
              <w:rPr>
                <w:rFonts w:eastAsia="Calibri" w:cs="Times New Roman"/>
                <w:sz w:val="20"/>
                <w:szCs w:val="20"/>
              </w:rPr>
              <w:t>8</w:t>
            </w:r>
          </w:p>
        </w:tc>
        <w:tc>
          <w:tcPr>
            <w:tcW w:w="804" w:type="pct"/>
            <w:hideMark/>
          </w:tcPr>
          <w:p w14:paraId="01E427B4" w14:textId="77777777" w:rsidR="00AB5818" w:rsidRPr="007666F2" w:rsidRDefault="00AB5818" w:rsidP="00CE0D78">
            <w:pPr>
              <w:spacing w:line="240" w:lineRule="auto"/>
              <w:rPr>
                <w:rFonts w:eastAsia="Calibri" w:cs="Times New Roman"/>
                <w:sz w:val="20"/>
                <w:szCs w:val="20"/>
                <w:lang/>
              </w:rPr>
            </w:pPr>
            <w:r w:rsidRPr="007666F2">
              <w:rPr>
                <w:rFonts w:eastAsia="Calibri" w:cs="Times New Roman"/>
                <w:sz w:val="20"/>
                <w:szCs w:val="20"/>
                <w:lang/>
              </w:rPr>
              <w:t>0</w:t>
            </w:r>
          </w:p>
        </w:tc>
        <w:tc>
          <w:tcPr>
            <w:tcW w:w="804" w:type="pct"/>
            <w:hideMark/>
          </w:tcPr>
          <w:p w14:paraId="28D3E01C" w14:textId="77777777" w:rsidR="00AB5818" w:rsidRPr="007666F2" w:rsidRDefault="00AB5818" w:rsidP="00CE0D78">
            <w:pPr>
              <w:spacing w:line="240" w:lineRule="auto"/>
              <w:rPr>
                <w:rFonts w:eastAsia="Calibri" w:cs="Times New Roman"/>
                <w:sz w:val="20"/>
                <w:szCs w:val="20"/>
                <w:lang/>
              </w:rPr>
            </w:pPr>
            <w:r w:rsidRPr="007666F2">
              <w:rPr>
                <w:rFonts w:eastAsia="Calibri" w:cs="Times New Roman"/>
                <w:sz w:val="20"/>
                <w:szCs w:val="20"/>
              </w:rPr>
              <w:t>1</w:t>
            </w:r>
          </w:p>
        </w:tc>
      </w:tr>
      <w:tr w:rsidR="00AB5818" w:rsidRPr="007666F2" w14:paraId="234CEE70" w14:textId="77777777" w:rsidTr="007666F2">
        <w:tc>
          <w:tcPr>
            <w:tcW w:w="1785" w:type="pct"/>
            <w:hideMark/>
          </w:tcPr>
          <w:p w14:paraId="116B8728" w14:textId="77777777" w:rsidR="00AB5818" w:rsidRPr="007666F2" w:rsidRDefault="00AB5818" w:rsidP="00CE0D78">
            <w:pPr>
              <w:spacing w:line="240" w:lineRule="auto"/>
              <w:rPr>
                <w:rFonts w:eastAsia="Calibri" w:cs="Times New Roman"/>
                <w:sz w:val="20"/>
                <w:szCs w:val="20"/>
                <w:lang/>
              </w:rPr>
            </w:pPr>
            <w:r w:rsidRPr="007666F2">
              <w:rPr>
                <w:rFonts w:eastAsia="Calibri" w:cs="Times New Roman"/>
                <w:sz w:val="20"/>
                <w:szCs w:val="20"/>
                <w:lang/>
              </w:rPr>
              <w:t xml:space="preserve"> NO2 - Attain. Status (t-1)</w:t>
            </w:r>
          </w:p>
        </w:tc>
        <w:tc>
          <w:tcPr>
            <w:tcW w:w="804" w:type="pct"/>
            <w:hideMark/>
          </w:tcPr>
          <w:p w14:paraId="652CD189" w14:textId="77777777" w:rsidR="00AB5818" w:rsidRPr="007666F2" w:rsidRDefault="00AB5818" w:rsidP="00CE0D78">
            <w:pPr>
              <w:spacing w:line="240" w:lineRule="auto"/>
              <w:rPr>
                <w:rFonts w:eastAsia="Calibri" w:cs="Times New Roman"/>
                <w:sz w:val="20"/>
                <w:szCs w:val="20"/>
                <w:lang/>
              </w:rPr>
            </w:pPr>
            <w:r w:rsidRPr="007666F2">
              <w:rPr>
                <w:rFonts w:eastAsia="Calibri" w:cs="Times New Roman"/>
                <w:sz w:val="20"/>
                <w:szCs w:val="20"/>
                <w:lang/>
              </w:rPr>
              <w:t>0</w:t>
            </w:r>
          </w:p>
        </w:tc>
        <w:tc>
          <w:tcPr>
            <w:tcW w:w="804" w:type="pct"/>
            <w:hideMark/>
          </w:tcPr>
          <w:p w14:paraId="036F63F8" w14:textId="77777777" w:rsidR="00AB5818" w:rsidRPr="007666F2" w:rsidRDefault="00AB5818" w:rsidP="00CE0D78">
            <w:pPr>
              <w:spacing w:line="240" w:lineRule="auto"/>
              <w:rPr>
                <w:rFonts w:eastAsia="Calibri" w:cs="Times New Roman"/>
                <w:sz w:val="20"/>
                <w:szCs w:val="20"/>
                <w:lang/>
              </w:rPr>
            </w:pPr>
            <w:r w:rsidRPr="007666F2">
              <w:rPr>
                <w:rFonts w:eastAsia="Calibri" w:cs="Times New Roman"/>
                <w:sz w:val="20"/>
                <w:szCs w:val="20"/>
                <w:lang/>
              </w:rPr>
              <w:t>.0044</w:t>
            </w:r>
          </w:p>
        </w:tc>
        <w:tc>
          <w:tcPr>
            <w:tcW w:w="804" w:type="pct"/>
            <w:hideMark/>
          </w:tcPr>
          <w:p w14:paraId="635AC37C" w14:textId="77777777" w:rsidR="00AB5818" w:rsidRPr="007666F2" w:rsidRDefault="00AB5818" w:rsidP="00CE0D78">
            <w:pPr>
              <w:spacing w:line="240" w:lineRule="auto"/>
              <w:rPr>
                <w:rFonts w:eastAsia="Calibri" w:cs="Times New Roman"/>
                <w:sz w:val="20"/>
                <w:szCs w:val="20"/>
                <w:lang/>
              </w:rPr>
            </w:pPr>
            <w:r w:rsidRPr="007666F2">
              <w:rPr>
                <w:rFonts w:eastAsia="Calibri" w:cs="Times New Roman"/>
                <w:sz w:val="20"/>
                <w:szCs w:val="20"/>
                <w:lang/>
              </w:rPr>
              <w:t>0</w:t>
            </w:r>
          </w:p>
        </w:tc>
        <w:tc>
          <w:tcPr>
            <w:tcW w:w="804" w:type="pct"/>
            <w:hideMark/>
          </w:tcPr>
          <w:p w14:paraId="2C0A5433" w14:textId="77777777" w:rsidR="00AB5818" w:rsidRPr="007666F2" w:rsidRDefault="00AB5818" w:rsidP="00CE0D78">
            <w:pPr>
              <w:spacing w:line="240" w:lineRule="auto"/>
              <w:rPr>
                <w:rFonts w:eastAsia="Calibri" w:cs="Times New Roman"/>
                <w:sz w:val="20"/>
                <w:szCs w:val="20"/>
                <w:lang/>
              </w:rPr>
            </w:pPr>
            <w:r w:rsidRPr="007666F2">
              <w:rPr>
                <w:rFonts w:eastAsia="Calibri" w:cs="Times New Roman"/>
                <w:sz w:val="20"/>
                <w:szCs w:val="20"/>
                <w:lang/>
              </w:rPr>
              <w:t>1</w:t>
            </w:r>
          </w:p>
        </w:tc>
      </w:tr>
      <w:tr w:rsidR="00AB5818" w:rsidRPr="007666F2" w14:paraId="4C17CE1F" w14:textId="77777777" w:rsidTr="007666F2">
        <w:tc>
          <w:tcPr>
            <w:tcW w:w="1785" w:type="pct"/>
            <w:hideMark/>
          </w:tcPr>
          <w:p w14:paraId="59640438" w14:textId="77777777" w:rsidR="00AB5818" w:rsidRPr="007666F2" w:rsidRDefault="00AB5818" w:rsidP="00CE0D78">
            <w:pPr>
              <w:spacing w:line="240" w:lineRule="auto"/>
              <w:rPr>
                <w:rFonts w:eastAsia="Calibri" w:cs="Times New Roman"/>
                <w:sz w:val="20"/>
                <w:szCs w:val="20"/>
                <w:lang/>
              </w:rPr>
            </w:pPr>
            <w:r w:rsidRPr="007666F2">
              <w:rPr>
                <w:rFonts w:eastAsia="Calibri" w:cs="Times New Roman"/>
                <w:sz w:val="20"/>
                <w:szCs w:val="20"/>
                <w:lang/>
              </w:rPr>
              <w:t xml:space="preserve"> Pb - Attain. Status (t-1)</w:t>
            </w:r>
          </w:p>
        </w:tc>
        <w:tc>
          <w:tcPr>
            <w:tcW w:w="804" w:type="pct"/>
            <w:hideMark/>
          </w:tcPr>
          <w:p w14:paraId="6D02C7C2" w14:textId="77777777" w:rsidR="00AB5818" w:rsidRPr="007666F2" w:rsidRDefault="00AB5818" w:rsidP="00CE0D78">
            <w:pPr>
              <w:spacing w:line="240" w:lineRule="auto"/>
              <w:rPr>
                <w:rFonts w:eastAsia="Calibri" w:cs="Times New Roman"/>
                <w:sz w:val="20"/>
                <w:szCs w:val="20"/>
                <w:lang/>
              </w:rPr>
            </w:pPr>
            <w:r w:rsidRPr="007666F2">
              <w:rPr>
                <w:rFonts w:eastAsia="Calibri" w:cs="Times New Roman"/>
                <w:sz w:val="20"/>
                <w:szCs w:val="20"/>
                <w:lang/>
              </w:rPr>
              <w:t>.0017</w:t>
            </w:r>
          </w:p>
        </w:tc>
        <w:tc>
          <w:tcPr>
            <w:tcW w:w="804" w:type="pct"/>
            <w:hideMark/>
          </w:tcPr>
          <w:p w14:paraId="1EB66181" w14:textId="77777777" w:rsidR="00AB5818" w:rsidRPr="007666F2" w:rsidRDefault="00AB5818" w:rsidP="00CE0D78">
            <w:pPr>
              <w:spacing w:line="240" w:lineRule="auto"/>
              <w:rPr>
                <w:rFonts w:eastAsia="Calibri" w:cs="Times New Roman"/>
                <w:sz w:val="20"/>
                <w:szCs w:val="20"/>
                <w:lang/>
              </w:rPr>
            </w:pPr>
            <w:r w:rsidRPr="007666F2">
              <w:rPr>
                <w:rFonts w:eastAsia="Calibri" w:cs="Times New Roman"/>
                <w:sz w:val="20"/>
                <w:szCs w:val="20"/>
                <w:lang/>
              </w:rPr>
              <w:t>.0303</w:t>
            </w:r>
          </w:p>
        </w:tc>
        <w:tc>
          <w:tcPr>
            <w:tcW w:w="804" w:type="pct"/>
            <w:hideMark/>
          </w:tcPr>
          <w:p w14:paraId="55C74770" w14:textId="77777777" w:rsidR="00AB5818" w:rsidRPr="007666F2" w:rsidRDefault="00AB5818" w:rsidP="00CE0D78">
            <w:pPr>
              <w:spacing w:line="240" w:lineRule="auto"/>
              <w:rPr>
                <w:rFonts w:eastAsia="Calibri" w:cs="Times New Roman"/>
                <w:sz w:val="20"/>
                <w:szCs w:val="20"/>
                <w:lang/>
              </w:rPr>
            </w:pPr>
            <w:r w:rsidRPr="007666F2">
              <w:rPr>
                <w:rFonts w:eastAsia="Calibri" w:cs="Times New Roman"/>
                <w:sz w:val="20"/>
                <w:szCs w:val="20"/>
                <w:lang/>
              </w:rPr>
              <w:t>0</w:t>
            </w:r>
          </w:p>
        </w:tc>
        <w:tc>
          <w:tcPr>
            <w:tcW w:w="804" w:type="pct"/>
            <w:hideMark/>
          </w:tcPr>
          <w:p w14:paraId="590C68A8" w14:textId="77777777" w:rsidR="00AB5818" w:rsidRPr="007666F2" w:rsidRDefault="00AB5818" w:rsidP="00CE0D78">
            <w:pPr>
              <w:spacing w:line="240" w:lineRule="auto"/>
              <w:rPr>
                <w:rFonts w:eastAsia="Calibri" w:cs="Times New Roman"/>
                <w:sz w:val="20"/>
                <w:szCs w:val="20"/>
                <w:lang/>
              </w:rPr>
            </w:pPr>
            <w:r w:rsidRPr="007666F2">
              <w:rPr>
                <w:rFonts w:eastAsia="Calibri" w:cs="Times New Roman"/>
                <w:sz w:val="20"/>
                <w:szCs w:val="20"/>
                <w:lang/>
              </w:rPr>
              <w:t>1</w:t>
            </w:r>
          </w:p>
        </w:tc>
      </w:tr>
      <w:tr w:rsidR="00AB5818" w:rsidRPr="007666F2" w14:paraId="5146EA7A" w14:textId="77777777" w:rsidTr="007666F2">
        <w:tc>
          <w:tcPr>
            <w:tcW w:w="1785" w:type="pct"/>
            <w:hideMark/>
          </w:tcPr>
          <w:p w14:paraId="484B53FA" w14:textId="77777777" w:rsidR="00AB5818" w:rsidRPr="007666F2" w:rsidRDefault="00AB5818" w:rsidP="00CE0D78">
            <w:pPr>
              <w:spacing w:line="240" w:lineRule="auto"/>
              <w:rPr>
                <w:rFonts w:eastAsia="Calibri" w:cs="Times New Roman"/>
                <w:sz w:val="20"/>
                <w:szCs w:val="20"/>
                <w:lang/>
              </w:rPr>
            </w:pPr>
            <w:r w:rsidRPr="007666F2">
              <w:rPr>
                <w:rFonts w:eastAsia="Calibri" w:cs="Times New Roman"/>
                <w:sz w:val="20"/>
                <w:szCs w:val="20"/>
                <w:lang/>
              </w:rPr>
              <w:t xml:space="preserve"> CO - Attain. Status (t-1)</w:t>
            </w:r>
          </w:p>
        </w:tc>
        <w:tc>
          <w:tcPr>
            <w:tcW w:w="804" w:type="pct"/>
            <w:hideMark/>
          </w:tcPr>
          <w:p w14:paraId="0CE17A0F" w14:textId="77777777" w:rsidR="00AB5818" w:rsidRPr="007666F2" w:rsidRDefault="00AB5818" w:rsidP="00CE0D78">
            <w:pPr>
              <w:spacing w:line="240" w:lineRule="auto"/>
              <w:rPr>
                <w:rFonts w:eastAsia="Calibri" w:cs="Times New Roman"/>
                <w:sz w:val="20"/>
                <w:szCs w:val="20"/>
                <w:lang/>
              </w:rPr>
            </w:pPr>
            <w:r w:rsidRPr="007666F2">
              <w:rPr>
                <w:rFonts w:eastAsia="Calibri" w:cs="Times New Roman"/>
                <w:sz w:val="20"/>
                <w:szCs w:val="20"/>
                <w:lang/>
              </w:rPr>
              <w:t>.0032</w:t>
            </w:r>
          </w:p>
        </w:tc>
        <w:tc>
          <w:tcPr>
            <w:tcW w:w="804" w:type="pct"/>
            <w:hideMark/>
          </w:tcPr>
          <w:p w14:paraId="41145BEE" w14:textId="77777777" w:rsidR="00AB5818" w:rsidRPr="007666F2" w:rsidRDefault="00AB5818" w:rsidP="00CE0D78">
            <w:pPr>
              <w:spacing w:line="240" w:lineRule="auto"/>
              <w:rPr>
                <w:rFonts w:eastAsia="Calibri" w:cs="Times New Roman"/>
                <w:sz w:val="20"/>
                <w:szCs w:val="20"/>
                <w:lang/>
              </w:rPr>
            </w:pPr>
            <w:r w:rsidRPr="007666F2">
              <w:rPr>
                <w:rFonts w:eastAsia="Calibri" w:cs="Times New Roman"/>
                <w:sz w:val="20"/>
                <w:szCs w:val="20"/>
                <w:lang/>
              </w:rPr>
              <w:t>.0474</w:t>
            </w:r>
          </w:p>
        </w:tc>
        <w:tc>
          <w:tcPr>
            <w:tcW w:w="804" w:type="pct"/>
            <w:hideMark/>
          </w:tcPr>
          <w:p w14:paraId="45178211" w14:textId="77777777" w:rsidR="00AB5818" w:rsidRPr="007666F2" w:rsidRDefault="00AB5818" w:rsidP="00CE0D78">
            <w:pPr>
              <w:spacing w:line="240" w:lineRule="auto"/>
              <w:rPr>
                <w:rFonts w:eastAsia="Calibri" w:cs="Times New Roman"/>
                <w:sz w:val="20"/>
                <w:szCs w:val="20"/>
                <w:lang/>
              </w:rPr>
            </w:pPr>
            <w:r w:rsidRPr="007666F2">
              <w:rPr>
                <w:rFonts w:eastAsia="Calibri" w:cs="Times New Roman"/>
                <w:sz w:val="20"/>
                <w:szCs w:val="20"/>
                <w:lang/>
              </w:rPr>
              <w:t>0</w:t>
            </w:r>
          </w:p>
        </w:tc>
        <w:tc>
          <w:tcPr>
            <w:tcW w:w="804" w:type="pct"/>
            <w:hideMark/>
          </w:tcPr>
          <w:p w14:paraId="31E5A064" w14:textId="77777777" w:rsidR="00AB5818" w:rsidRPr="007666F2" w:rsidRDefault="00AB5818" w:rsidP="00CE0D78">
            <w:pPr>
              <w:spacing w:line="240" w:lineRule="auto"/>
              <w:rPr>
                <w:rFonts w:eastAsia="Calibri" w:cs="Times New Roman"/>
                <w:sz w:val="20"/>
                <w:szCs w:val="20"/>
                <w:lang/>
              </w:rPr>
            </w:pPr>
            <w:r w:rsidRPr="007666F2">
              <w:rPr>
                <w:rFonts w:eastAsia="Calibri" w:cs="Times New Roman"/>
                <w:sz w:val="20"/>
                <w:szCs w:val="20"/>
                <w:lang/>
              </w:rPr>
              <w:t>1</w:t>
            </w:r>
          </w:p>
        </w:tc>
      </w:tr>
      <w:tr w:rsidR="00AB5818" w:rsidRPr="007666F2" w14:paraId="6B75EA59" w14:textId="77777777" w:rsidTr="007666F2">
        <w:tc>
          <w:tcPr>
            <w:tcW w:w="1785" w:type="pct"/>
            <w:tcBorders>
              <w:top w:val="nil"/>
              <w:left w:val="nil"/>
              <w:bottom w:val="single" w:sz="4" w:space="0" w:color="auto"/>
              <w:right w:val="nil"/>
            </w:tcBorders>
            <w:hideMark/>
          </w:tcPr>
          <w:p w14:paraId="289E3578" w14:textId="77777777" w:rsidR="00AB5818" w:rsidRPr="007666F2" w:rsidRDefault="00AB5818" w:rsidP="00CE0D78">
            <w:pPr>
              <w:spacing w:line="240" w:lineRule="auto"/>
              <w:rPr>
                <w:rFonts w:eastAsia="Calibri" w:cs="Times New Roman"/>
                <w:sz w:val="20"/>
                <w:szCs w:val="20"/>
                <w:lang/>
              </w:rPr>
            </w:pPr>
            <w:r w:rsidRPr="007666F2">
              <w:rPr>
                <w:rFonts w:eastAsia="Calibri" w:cs="Times New Roman"/>
                <w:sz w:val="20"/>
                <w:szCs w:val="20"/>
                <w:lang/>
              </w:rPr>
              <w:t xml:space="preserve"> PAD - All GAPs (t-1)</w:t>
            </w:r>
          </w:p>
        </w:tc>
        <w:tc>
          <w:tcPr>
            <w:tcW w:w="804" w:type="pct"/>
            <w:tcBorders>
              <w:top w:val="nil"/>
              <w:left w:val="nil"/>
              <w:bottom w:val="single" w:sz="4" w:space="0" w:color="auto"/>
              <w:right w:val="nil"/>
            </w:tcBorders>
            <w:hideMark/>
          </w:tcPr>
          <w:p w14:paraId="58760CB1" w14:textId="149DCA74" w:rsidR="00AB5818" w:rsidRPr="007666F2" w:rsidRDefault="00AB5818" w:rsidP="00CE0D78">
            <w:pPr>
              <w:spacing w:line="240" w:lineRule="auto"/>
              <w:rPr>
                <w:rFonts w:eastAsia="Calibri" w:cs="Times New Roman"/>
                <w:sz w:val="20"/>
                <w:szCs w:val="20"/>
              </w:rPr>
            </w:pPr>
            <w:r w:rsidRPr="007666F2">
              <w:rPr>
                <w:rFonts w:eastAsia="Calibri" w:cs="Times New Roman"/>
                <w:sz w:val="20"/>
                <w:szCs w:val="20"/>
                <w:lang/>
              </w:rPr>
              <w:t>.14</w:t>
            </w:r>
            <w:r w:rsidR="00B57F27" w:rsidRPr="007666F2">
              <w:rPr>
                <w:rFonts w:eastAsia="Calibri" w:cs="Times New Roman"/>
                <w:sz w:val="20"/>
                <w:szCs w:val="20"/>
              </w:rPr>
              <w:t>2</w:t>
            </w:r>
          </w:p>
        </w:tc>
        <w:tc>
          <w:tcPr>
            <w:tcW w:w="804" w:type="pct"/>
            <w:tcBorders>
              <w:top w:val="nil"/>
              <w:left w:val="nil"/>
              <w:bottom w:val="single" w:sz="4" w:space="0" w:color="auto"/>
              <w:right w:val="nil"/>
            </w:tcBorders>
            <w:hideMark/>
          </w:tcPr>
          <w:p w14:paraId="43D1C2CF" w14:textId="319725E9" w:rsidR="00AB5818" w:rsidRPr="007666F2" w:rsidRDefault="00AB5818" w:rsidP="00CE0D78">
            <w:pPr>
              <w:spacing w:line="240" w:lineRule="auto"/>
              <w:rPr>
                <w:rFonts w:eastAsia="Calibri" w:cs="Times New Roman"/>
                <w:sz w:val="20"/>
                <w:szCs w:val="20"/>
              </w:rPr>
            </w:pPr>
            <w:r w:rsidRPr="007666F2">
              <w:rPr>
                <w:rFonts w:eastAsia="Calibri" w:cs="Times New Roman"/>
                <w:sz w:val="20"/>
                <w:szCs w:val="20"/>
                <w:lang/>
              </w:rPr>
              <w:t>.18</w:t>
            </w:r>
            <w:r w:rsidR="00B57F27" w:rsidRPr="007666F2">
              <w:rPr>
                <w:rFonts w:eastAsia="Calibri" w:cs="Times New Roman"/>
                <w:sz w:val="20"/>
                <w:szCs w:val="20"/>
              </w:rPr>
              <w:t>7</w:t>
            </w:r>
          </w:p>
        </w:tc>
        <w:tc>
          <w:tcPr>
            <w:tcW w:w="804" w:type="pct"/>
            <w:tcBorders>
              <w:top w:val="nil"/>
              <w:left w:val="nil"/>
              <w:bottom w:val="single" w:sz="4" w:space="0" w:color="auto"/>
              <w:right w:val="nil"/>
            </w:tcBorders>
            <w:hideMark/>
          </w:tcPr>
          <w:p w14:paraId="612B573D" w14:textId="77777777" w:rsidR="00AB5818" w:rsidRPr="007666F2" w:rsidRDefault="00AB5818" w:rsidP="00CE0D78">
            <w:pPr>
              <w:spacing w:line="240" w:lineRule="auto"/>
              <w:rPr>
                <w:rFonts w:eastAsia="Calibri" w:cs="Times New Roman"/>
                <w:sz w:val="20"/>
                <w:szCs w:val="20"/>
                <w:lang/>
              </w:rPr>
            </w:pPr>
            <w:r w:rsidRPr="007666F2">
              <w:rPr>
                <w:rFonts w:eastAsia="Calibri" w:cs="Times New Roman"/>
                <w:sz w:val="20"/>
                <w:szCs w:val="20"/>
                <w:lang/>
              </w:rPr>
              <w:t>0</w:t>
            </w:r>
          </w:p>
        </w:tc>
        <w:tc>
          <w:tcPr>
            <w:tcW w:w="804" w:type="pct"/>
            <w:tcBorders>
              <w:top w:val="nil"/>
              <w:left w:val="nil"/>
              <w:bottom w:val="single" w:sz="4" w:space="0" w:color="auto"/>
              <w:right w:val="nil"/>
            </w:tcBorders>
            <w:hideMark/>
          </w:tcPr>
          <w:p w14:paraId="56BEA968" w14:textId="77777777" w:rsidR="00AB5818" w:rsidRPr="007666F2" w:rsidRDefault="00AB5818" w:rsidP="00CE0D78">
            <w:pPr>
              <w:spacing w:line="240" w:lineRule="auto"/>
              <w:rPr>
                <w:rFonts w:eastAsia="Calibri" w:cs="Times New Roman"/>
                <w:sz w:val="20"/>
                <w:szCs w:val="20"/>
                <w:lang/>
              </w:rPr>
            </w:pPr>
            <w:r w:rsidRPr="007666F2">
              <w:rPr>
                <w:rFonts w:eastAsia="Calibri" w:cs="Times New Roman"/>
                <w:sz w:val="20"/>
                <w:szCs w:val="20"/>
                <w:lang/>
              </w:rPr>
              <w:t>.88</w:t>
            </w:r>
          </w:p>
        </w:tc>
      </w:tr>
    </w:tbl>
    <w:p w14:paraId="25AC43EE" w14:textId="7DA715CE" w:rsidR="00AB5818" w:rsidRPr="007666F2" w:rsidRDefault="000E300A" w:rsidP="00CE0D78">
      <w:pPr>
        <w:spacing w:line="240" w:lineRule="auto"/>
        <w:rPr>
          <w:rFonts w:eastAsia="Calibri" w:cs="Times New Roman"/>
          <w:sz w:val="20"/>
          <w:szCs w:val="20"/>
          <w:lang/>
        </w:rPr>
      </w:pPr>
      <w:r>
        <w:rPr>
          <w:rFonts w:eastAsia="Calibri" w:cs="Times New Roman"/>
          <w:sz w:val="20"/>
          <w:szCs w:val="20"/>
        </w:rPr>
        <w:t>T</w:t>
      </w:r>
      <w:r w:rsidR="00AB5818" w:rsidRPr="007666F2">
        <w:rPr>
          <w:rFonts w:eastAsia="Calibri" w:cs="Times New Roman"/>
          <w:sz w:val="20"/>
          <w:szCs w:val="20"/>
          <w:lang/>
        </w:rPr>
        <w:t xml:space="preserve">able </w:t>
      </w:r>
      <w:r>
        <w:rPr>
          <w:rFonts w:eastAsia="Calibri" w:cs="Times New Roman"/>
          <w:sz w:val="20"/>
          <w:szCs w:val="20"/>
        </w:rPr>
        <w:t>A41: S</w:t>
      </w:r>
      <w:r w:rsidR="00AB5818" w:rsidRPr="007666F2">
        <w:rPr>
          <w:rFonts w:eastAsia="Calibri" w:cs="Times New Roman"/>
          <w:sz w:val="20"/>
          <w:szCs w:val="20"/>
          <w:lang/>
        </w:rPr>
        <w:t>ummar</w:t>
      </w:r>
      <w:r>
        <w:rPr>
          <w:rFonts w:eastAsia="Calibri" w:cs="Times New Roman"/>
          <w:sz w:val="20"/>
          <w:szCs w:val="20"/>
        </w:rPr>
        <w:t>y statistics of</w:t>
      </w:r>
      <w:r w:rsidR="00AB5818" w:rsidRPr="007666F2">
        <w:rPr>
          <w:rFonts w:eastAsia="Calibri" w:cs="Times New Roman"/>
          <w:sz w:val="20"/>
          <w:szCs w:val="20"/>
          <w:lang/>
        </w:rPr>
        <w:t xml:space="preserve"> socio-economic, demographic, and environmental variables across counties, including poverty rate, unemployment rate, and air quality attainment status for pollutants. The Protected Area Designation (PAD) variable highlights variation in conservation land use, while housing price index and population density capture regional economic dynamics.</w:t>
      </w:r>
    </w:p>
    <w:p w14:paraId="5CB6D501" w14:textId="7C04AE72" w:rsidR="00AB5818" w:rsidRDefault="00AB5818" w:rsidP="00CE0D78">
      <w:pPr>
        <w:spacing w:line="240" w:lineRule="auto"/>
        <w:jc w:val="both"/>
        <w:rPr>
          <w:rFonts w:eastAsia="Calibri" w:cs="Times New Roman"/>
          <w:sz w:val="20"/>
          <w:szCs w:val="20"/>
          <w:lang/>
        </w:rPr>
      </w:pPr>
    </w:p>
    <w:p w14:paraId="5AA55355" w14:textId="29F63E5B" w:rsidR="00B34C76" w:rsidRDefault="00B34C76" w:rsidP="00CE0D78">
      <w:pPr>
        <w:spacing w:line="240" w:lineRule="auto"/>
        <w:jc w:val="both"/>
        <w:rPr>
          <w:rFonts w:eastAsia="Calibri" w:cs="Times New Roman"/>
          <w:sz w:val="20"/>
          <w:szCs w:val="20"/>
          <w:lang/>
        </w:rPr>
      </w:pPr>
    </w:p>
    <w:p w14:paraId="66C2E41A" w14:textId="77777777" w:rsidR="00B34C76" w:rsidRPr="00AB5818" w:rsidRDefault="00B34C76" w:rsidP="00CE0D78">
      <w:pPr>
        <w:spacing w:line="240" w:lineRule="auto"/>
        <w:jc w:val="both"/>
        <w:rPr>
          <w:rFonts w:eastAsia="Calibri" w:cs="Times New Roman"/>
          <w:sz w:val="20"/>
          <w:szCs w:val="20"/>
          <w:lang/>
        </w:rPr>
      </w:pPr>
    </w:p>
    <w:p w14:paraId="6D167581" w14:textId="6FD421EF" w:rsidR="00AB5818" w:rsidRPr="00AB5818" w:rsidRDefault="00CE0D78" w:rsidP="00CE0D78">
      <w:pPr>
        <w:rPr>
          <w:lang/>
        </w:rPr>
      </w:pPr>
      <w:r w:rsidRPr="004E4775">
        <w:rPr>
          <w:b/>
          <w:bCs/>
        </w:rPr>
        <w:t>Table A41</w:t>
      </w:r>
      <w:r>
        <w:t xml:space="preserve"> above </w:t>
      </w:r>
      <w:r w:rsidR="00AB5818" w:rsidRPr="00AB5818">
        <w:rPr>
          <w:lang/>
        </w:rPr>
        <w:t xml:space="preserve">presents </w:t>
      </w:r>
      <w:r>
        <w:t xml:space="preserve">the </w:t>
      </w:r>
      <w:r w:rsidR="00AB5818" w:rsidRPr="00AB5818">
        <w:rPr>
          <w:lang/>
        </w:rPr>
        <w:t>descriptive statistics for key explanatory variables used in the analysis, covering socio-economic, demographic, and environmental factors at the county level. Variables include poverty rate, unemployment rate, median household income, housing price index, and population density. Environmental indicators, such as air quality attainment status for pollutants (e.g., SO₂, PSM, O₃, NO₂, Pb, and CO) and PAD, capture regional regulatory and conservation contexts. Mean, standard deviation, minimum, and maximum values highlight the variability across counties, providing insights into the spatial and economic heterogeneity of the dataset.</w:t>
      </w:r>
    </w:p>
    <w:p w14:paraId="23ECEC88" w14:textId="6AFB9895" w:rsidR="00922EC5" w:rsidRDefault="00922EC5" w:rsidP="00CE0D78">
      <w:pPr>
        <w:spacing w:line="240" w:lineRule="auto"/>
        <w:rPr>
          <w:b/>
          <w:bCs/>
          <w:kern w:val="2"/>
          <w:szCs w:val="20"/>
        </w:rPr>
      </w:pPr>
      <w:bookmarkStart w:id="672" w:name="_Toc188056051"/>
      <w:bookmarkStart w:id="673" w:name="_Toc188057135"/>
    </w:p>
    <w:p w14:paraId="0BFC6FE2" w14:textId="77777777" w:rsidR="00CE0D78" w:rsidRDefault="00CE0D78" w:rsidP="00CE0D78">
      <w:pPr>
        <w:spacing w:line="240" w:lineRule="auto"/>
        <w:rPr>
          <w:b/>
          <w:bCs/>
          <w:lang/>
        </w:rPr>
      </w:pPr>
      <w:r>
        <w:br w:type="page"/>
      </w:r>
    </w:p>
    <w:p w14:paraId="7F35886F" w14:textId="10F48FCC" w:rsidR="00AB5818" w:rsidRPr="00AB5818" w:rsidRDefault="00AB5818" w:rsidP="00095E25">
      <w:pPr>
        <w:pStyle w:val="Title"/>
      </w:pPr>
      <w:bookmarkStart w:id="674" w:name="_Toc188359647"/>
      <w:bookmarkStart w:id="675" w:name="_Toc188359935"/>
      <w:bookmarkStart w:id="676" w:name="_Toc188361171"/>
      <w:bookmarkStart w:id="677" w:name="_Toc188367015"/>
      <w:r w:rsidRPr="00AB5818">
        <w:lastRenderedPageBreak/>
        <w:t>Table A</w:t>
      </w:r>
      <w:r w:rsidR="005E02DB">
        <w:t>4</w:t>
      </w:r>
      <w:r w:rsidRPr="00AB5818">
        <w:t>2</w:t>
      </w:r>
      <w:r w:rsidR="009F55A7">
        <w:rPr>
          <w:lang w:val="en-US"/>
        </w:rPr>
        <w:t>:</w:t>
      </w:r>
      <w:r w:rsidRPr="00AB5818">
        <w:t xml:space="preserve"> Summary Statistics for Bear Range</w:t>
      </w:r>
      <w:bookmarkEnd w:id="672"/>
      <w:bookmarkEnd w:id="673"/>
      <w:bookmarkEnd w:id="674"/>
      <w:bookmarkEnd w:id="675"/>
      <w:bookmarkEnd w:id="676"/>
      <w:bookmarkEnd w:id="677"/>
      <w:r w:rsidRPr="00AB5818">
        <w:t xml:space="preserve"> </w:t>
      </w:r>
    </w:p>
    <w:tbl>
      <w:tblPr>
        <w:tblW w:w="5000" w:type="pct"/>
        <w:tblLook w:val="04A0" w:firstRow="1" w:lastRow="0" w:firstColumn="1" w:lastColumn="0" w:noHBand="0" w:noVBand="1"/>
      </w:tblPr>
      <w:tblGrid>
        <w:gridCol w:w="3060"/>
        <w:gridCol w:w="788"/>
        <w:gridCol w:w="1378"/>
        <w:gridCol w:w="1378"/>
        <w:gridCol w:w="1378"/>
        <w:gridCol w:w="1378"/>
      </w:tblGrid>
      <w:tr w:rsidR="00AB5818" w:rsidRPr="00AB5818" w14:paraId="1C13E689" w14:textId="77777777" w:rsidTr="007666F2">
        <w:tc>
          <w:tcPr>
            <w:tcW w:w="1635" w:type="pct"/>
            <w:tcBorders>
              <w:top w:val="single" w:sz="4" w:space="0" w:color="auto"/>
              <w:left w:val="nil"/>
              <w:bottom w:val="single" w:sz="12" w:space="0" w:color="auto"/>
              <w:right w:val="nil"/>
            </w:tcBorders>
            <w:hideMark/>
          </w:tcPr>
          <w:p w14:paraId="43BFFD0A" w14:textId="1E60DA84" w:rsidR="00AB5818" w:rsidRPr="007666F2" w:rsidRDefault="00AB5818" w:rsidP="002E4B8A">
            <w:pPr>
              <w:spacing w:line="240" w:lineRule="auto"/>
              <w:rPr>
                <w:rFonts w:eastAsia="Calibri" w:cs="Times New Roman"/>
                <w:b/>
                <w:bCs/>
                <w:sz w:val="20"/>
                <w:szCs w:val="20"/>
                <w:lang/>
              </w:rPr>
            </w:pPr>
            <w:r w:rsidRPr="007666F2">
              <w:rPr>
                <w:rFonts w:eastAsia="Calibri" w:cs="Times New Roman"/>
                <w:b/>
                <w:bCs/>
                <w:sz w:val="20"/>
                <w:szCs w:val="20"/>
                <w:lang/>
              </w:rPr>
              <w:t>Variable</w:t>
            </w:r>
          </w:p>
        </w:tc>
        <w:tc>
          <w:tcPr>
            <w:tcW w:w="421" w:type="pct"/>
            <w:tcBorders>
              <w:top w:val="single" w:sz="4" w:space="0" w:color="auto"/>
              <w:left w:val="nil"/>
              <w:bottom w:val="single" w:sz="12" w:space="0" w:color="auto"/>
              <w:right w:val="nil"/>
            </w:tcBorders>
            <w:hideMark/>
          </w:tcPr>
          <w:p w14:paraId="375B4612" w14:textId="04ABB1A1" w:rsidR="00AB5818" w:rsidRPr="00271798" w:rsidRDefault="00271798" w:rsidP="002E4B8A">
            <w:pPr>
              <w:spacing w:line="240" w:lineRule="auto"/>
              <w:rPr>
                <w:rFonts w:eastAsia="Calibri" w:cs="Times New Roman"/>
                <w:b/>
                <w:bCs/>
                <w:sz w:val="20"/>
                <w:szCs w:val="20"/>
              </w:rPr>
            </w:pPr>
            <w:r>
              <w:rPr>
                <w:rFonts w:eastAsia="Calibri" w:cs="Times New Roman"/>
                <w:b/>
                <w:bCs/>
                <w:sz w:val="20"/>
                <w:szCs w:val="20"/>
              </w:rPr>
              <w:t>N</w:t>
            </w:r>
          </w:p>
        </w:tc>
        <w:tc>
          <w:tcPr>
            <w:tcW w:w="736" w:type="pct"/>
            <w:tcBorders>
              <w:top w:val="single" w:sz="4" w:space="0" w:color="auto"/>
              <w:left w:val="nil"/>
              <w:bottom w:val="single" w:sz="12" w:space="0" w:color="auto"/>
              <w:right w:val="nil"/>
            </w:tcBorders>
            <w:hideMark/>
          </w:tcPr>
          <w:p w14:paraId="439BE76C" w14:textId="49CA1F64" w:rsidR="00AB5818" w:rsidRPr="007666F2" w:rsidRDefault="00AB5818" w:rsidP="002E4B8A">
            <w:pPr>
              <w:spacing w:line="240" w:lineRule="auto"/>
              <w:rPr>
                <w:rFonts w:eastAsia="Calibri" w:cs="Times New Roman"/>
                <w:b/>
                <w:bCs/>
                <w:sz w:val="20"/>
                <w:szCs w:val="20"/>
                <w:lang/>
              </w:rPr>
            </w:pPr>
            <w:r w:rsidRPr="007666F2">
              <w:rPr>
                <w:rFonts w:eastAsia="Calibri" w:cs="Times New Roman"/>
                <w:b/>
                <w:bCs/>
                <w:sz w:val="20"/>
                <w:szCs w:val="20"/>
                <w:lang/>
              </w:rPr>
              <w:t>Mean</w:t>
            </w:r>
          </w:p>
        </w:tc>
        <w:tc>
          <w:tcPr>
            <w:tcW w:w="736" w:type="pct"/>
            <w:tcBorders>
              <w:top w:val="single" w:sz="4" w:space="0" w:color="auto"/>
              <w:left w:val="nil"/>
              <w:bottom w:val="single" w:sz="12" w:space="0" w:color="auto"/>
              <w:right w:val="nil"/>
            </w:tcBorders>
            <w:hideMark/>
          </w:tcPr>
          <w:p w14:paraId="4F09EDA1" w14:textId="6A23181E" w:rsidR="00AB5818" w:rsidRPr="007666F2" w:rsidRDefault="00AB5818" w:rsidP="002E4B8A">
            <w:pPr>
              <w:spacing w:line="240" w:lineRule="auto"/>
              <w:rPr>
                <w:rFonts w:eastAsia="Calibri" w:cs="Times New Roman"/>
                <w:b/>
                <w:bCs/>
                <w:sz w:val="20"/>
                <w:szCs w:val="20"/>
                <w:lang/>
              </w:rPr>
            </w:pPr>
            <w:r w:rsidRPr="007666F2">
              <w:rPr>
                <w:rFonts w:eastAsia="Calibri" w:cs="Times New Roman"/>
                <w:b/>
                <w:bCs/>
                <w:sz w:val="20"/>
                <w:szCs w:val="20"/>
                <w:lang/>
              </w:rPr>
              <w:t>Std. Dev.</w:t>
            </w:r>
          </w:p>
        </w:tc>
        <w:tc>
          <w:tcPr>
            <w:tcW w:w="736" w:type="pct"/>
            <w:tcBorders>
              <w:top w:val="single" w:sz="4" w:space="0" w:color="auto"/>
              <w:left w:val="nil"/>
              <w:bottom w:val="single" w:sz="12" w:space="0" w:color="auto"/>
              <w:right w:val="nil"/>
            </w:tcBorders>
            <w:hideMark/>
          </w:tcPr>
          <w:p w14:paraId="4AEE19B2" w14:textId="5F611A1A" w:rsidR="00AB5818" w:rsidRPr="007666F2" w:rsidRDefault="00AB5818" w:rsidP="002E4B8A">
            <w:pPr>
              <w:spacing w:line="240" w:lineRule="auto"/>
              <w:rPr>
                <w:rFonts w:eastAsia="Calibri" w:cs="Times New Roman"/>
                <w:b/>
                <w:bCs/>
                <w:sz w:val="20"/>
                <w:szCs w:val="20"/>
                <w:lang/>
              </w:rPr>
            </w:pPr>
            <w:r w:rsidRPr="007666F2">
              <w:rPr>
                <w:rFonts w:eastAsia="Calibri" w:cs="Times New Roman"/>
                <w:b/>
                <w:bCs/>
                <w:sz w:val="20"/>
                <w:szCs w:val="20"/>
                <w:lang/>
              </w:rPr>
              <w:t>Min</w:t>
            </w:r>
          </w:p>
        </w:tc>
        <w:tc>
          <w:tcPr>
            <w:tcW w:w="736" w:type="pct"/>
            <w:tcBorders>
              <w:top w:val="single" w:sz="4" w:space="0" w:color="auto"/>
              <w:left w:val="nil"/>
              <w:bottom w:val="single" w:sz="12" w:space="0" w:color="auto"/>
              <w:right w:val="nil"/>
            </w:tcBorders>
            <w:hideMark/>
          </w:tcPr>
          <w:p w14:paraId="2B5CA432" w14:textId="2B33442B" w:rsidR="00AB5818" w:rsidRPr="007666F2" w:rsidRDefault="00AB5818" w:rsidP="002E4B8A">
            <w:pPr>
              <w:spacing w:line="240" w:lineRule="auto"/>
              <w:rPr>
                <w:rFonts w:eastAsia="Calibri" w:cs="Times New Roman"/>
                <w:b/>
                <w:bCs/>
                <w:sz w:val="20"/>
                <w:szCs w:val="20"/>
                <w:lang/>
              </w:rPr>
            </w:pPr>
            <w:r w:rsidRPr="007666F2">
              <w:rPr>
                <w:rFonts w:eastAsia="Calibri" w:cs="Times New Roman"/>
                <w:b/>
                <w:bCs/>
                <w:sz w:val="20"/>
                <w:szCs w:val="20"/>
                <w:lang/>
              </w:rPr>
              <w:t>Max</w:t>
            </w:r>
          </w:p>
        </w:tc>
      </w:tr>
      <w:tr w:rsidR="00AB5818" w:rsidRPr="00AB5818" w14:paraId="0F6E891B" w14:textId="77777777" w:rsidTr="007666F2">
        <w:tc>
          <w:tcPr>
            <w:tcW w:w="1635" w:type="pct"/>
            <w:hideMark/>
          </w:tcPr>
          <w:p w14:paraId="427FDD7A" w14:textId="68CAEE99" w:rsidR="00AB5818" w:rsidRPr="00AB5818" w:rsidRDefault="00AB5818" w:rsidP="002E4B8A">
            <w:pPr>
              <w:spacing w:line="240" w:lineRule="auto"/>
              <w:rPr>
                <w:rFonts w:eastAsia="Calibri" w:cs="Times New Roman"/>
                <w:sz w:val="20"/>
                <w:szCs w:val="20"/>
                <w:lang/>
              </w:rPr>
            </w:pPr>
            <w:r w:rsidRPr="00AB5818">
              <w:rPr>
                <w:rFonts w:eastAsia="Calibri" w:cs="Times New Roman"/>
                <w:sz w:val="20"/>
                <w:szCs w:val="20"/>
                <w:lang/>
              </w:rPr>
              <w:t>Bear - Range Indicator</w:t>
            </w:r>
          </w:p>
        </w:tc>
        <w:tc>
          <w:tcPr>
            <w:tcW w:w="421" w:type="pct"/>
            <w:hideMark/>
          </w:tcPr>
          <w:p w14:paraId="3E6064A4" w14:textId="77777777" w:rsidR="00AB5818" w:rsidRPr="00AB5818" w:rsidRDefault="00AB5818" w:rsidP="002E4B8A">
            <w:pPr>
              <w:spacing w:line="240" w:lineRule="auto"/>
              <w:rPr>
                <w:rFonts w:eastAsia="Calibri" w:cs="Times New Roman"/>
                <w:sz w:val="20"/>
                <w:szCs w:val="20"/>
                <w:lang/>
              </w:rPr>
            </w:pPr>
            <w:r w:rsidRPr="00AB5818">
              <w:rPr>
                <w:rFonts w:eastAsia="Calibri" w:cs="Times New Roman"/>
                <w:sz w:val="20"/>
                <w:szCs w:val="20"/>
                <w:lang/>
              </w:rPr>
              <w:t>118</w:t>
            </w:r>
          </w:p>
        </w:tc>
        <w:tc>
          <w:tcPr>
            <w:tcW w:w="736" w:type="pct"/>
            <w:hideMark/>
          </w:tcPr>
          <w:p w14:paraId="1301C0D2" w14:textId="77777777" w:rsidR="00AB5818" w:rsidRPr="00AB5818" w:rsidRDefault="00AB5818" w:rsidP="002E4B8A">
            <w:pPr>
              <w:spacing w:line="240" w:lineRule="auto"/>
              <w:rPr>
                <w:rFonts w:eastAsia="Calibri" w:cs="Times New Roman"/>
                <w:sz w:val="20"/>
                <w:szCs w:val="20"/>
                <w:lang/>
              </w:rPr>
            </w:pPr>
            <w:r w:rsidRPr="00AB5818">
              <w:rPr>
                <w:rFonts w:eastAsia="Calibri" w:cs="Times New Roman"/>
                <w:sz w:val="20"/>
                <w:szCs w:val="20"/>
                <w:lang/>
              </w:rPr>
              <w:t>1.00</w:t>
            </w:r>
          </w:p>
        </w:tc>
        <w:tc>
          <w:tcPr>
            <w:tcW w:w="736" w:type="pct"/>
            <w:hideMark/>
          </w:tcPr>
          <w:p w14:paraId="454EF894" w14:textId="77777777" w:rsidR="00AB5818" w:rsidRPr="00AB5818" w:rsidRDefault="00AB5818" w:rsidP="002E4B8A">
            <w:pPr>
              <w:spacing w:line="240" w:lineRule="auto"/>
              <w:rPr>
                <w:rFonts w:eastAsia="Calibri" w:cs="Times New Roman"/>
                <w:sz w:val="20"/>
                <w:szCs w:val="20"/>
                <w:lang/>
              </w:rPr>
            </w:pPr>
            <w:r w:rsidRPr="00AB5818">
              <w:rPr>
                <w:rFonts w:eastAsia="Calibri" w:cs="Times New Roman"/>
                <w:sz w:val="20"/>
                <w:szCs w:val="20"/>
                <w:lang/>
              </w:rPr>
              <w:t>0.00</w:t>
            </w:r>
          </w:p>
        </w:tc>
        <w:tc>
          <w:tcPr>
            <w:tcW w:w="736" w:type="pct"/>
            <w:hideMark/>
          </w:tcPr>
          <w:p w14:paraId="01A319C4" w14:textId="77777777" w:rsidR="00AB5818" w:rsidRPr="00AB5818" w:rsidRDefault="00AB5818" w:rsidP="002E4B8A">
            <w:pPr>
              <w:spacing w:line="240" w:lineRule="auto"/>
              <w:rPr>
                <w:rFonts w:eastAsia="Calibri" w:cs="Times New Roman"/>
                <w:sz w:val="20"/>
                <w:szCs w:val="20"/>
                <w:lang/>
              </w:rPr>
            </w:pPr>
            <w:r w:rsidRPr="00AB5818">
              <w:rPr>
                <w:rFonts w:eastAsia="Calibri" w:cs="Times New Roman"/>
                <w:sz w:val="20"/>
                <w:szCs w:val="20"/>
                <w:lang/>
              </w:rPr>
              <w:t>1.00</w:t>
            </w:r>
          </w:p>
        </w:tc>
        <w:tc>
          <w:tcPr>
            <w:tcW w:w="736" w:type="pct"/>
            <w:hideMark/>
          </w:tcPr>
          <w:p w14:paraId="69201911" w14:textId="77777777" w:rsidR="00AB5818" w:rsidRPr="00AB5818" w:rsidRDefault="00AB5818" w:rsidP="002E4B8A">
            <w:pPr>
              <w:spacing w:line="240" w:lineRule="auto"/>
              <w:rPr>
                <w:rFonts w:eastAsia="Calibri" w:cs="Times New Roman"/>
                <w:sz w:val="20"/>
                <w:szCs w:val="20"/>
                <w:lang/>
              </w:rPr>
            </w:pPr>
            <w:r w:rsidRPr="00AB5818">
              <w:rPr>
                <w:rFonts w:eastAsia="Calibri" w:cs="Times New Roman"/>
                <w:sz w:val="20"/>
                <w:szCs w:val="20"/>
                <w:lang/>
              </w:rPr>
              <w:t>1.00</w:t>
            </w:r>
          </w:p>
        </w:tc>
      </w:tr>
      <w:tr w:rsidR="00AB5818" w:rsidRPr="00AB5818" w14:paraId="0AE055EA" w14:textId="77777777" w:rsidTr="007666F2">
        <w:tc>
          <w:tcPr>
            <w:tcW w:w="1635" w:type="pct"/>
            <w:hideMark/>
          </w:tcPr>
          <w:p w14:paraId="1E8E8D47" w14:textId="4C3060A3" w:rsidR="00AB5818" w:rsidRPr="00AB5818" w:rsidRDefault="00AB5818" w:rsidP="002E4B8A">
            <w:pPr>
              <w:spacing w:line="240" w:lineRule="auto"/>
              <w:rPr>
                <w:rFonts w:eastAsia="Calibri" w:cs="Times New Roman"/>
                <w:sz w:val="20"/>
                <w:szCs w:val="20"/>
                <w:lang/>
              </w:rPr>
            </w:pPr>
            <w:r w:rsidRPr="00AB5818">
              <w:rPr>
                <w:rFonts w:eastAsia="Calibri" w:cs="Times New Roman"/>
                <w:sz w:val="20"/>
                <w:szCs w:val="20"/>
                <w:lang/>
              </w:rPr>
              <w:t>Bear - % County in range</w:t>
            </w:r>
          </w:p>
        </w:tc>
        <w:tc>
          <w:tcPr>
            <w:tcW w:w="421" w:type="pct"/>
            <w:hideMark/>
          </w:tcPr>
          <w:p w14:paraId="5DCEA6AC" w14:textId="77777777" w:rsidR="00AB5818" w:rsidRPr="00AB5818" w:rsidRDefault="00AB5818" w:rsidP="002E4B8A">
            <w:pPr>
              <w:spacing w:line="240" w:lineRule="auto"/>
              <w:rPr>
                <w:rFonts w:eastAsia="Calibri" w:cs="Times New Roman"/>
                <w:sz w:val="20"/>
                <w:szCs w:val="20"/>
                <w:lang/>
              </w:rPr>
            </w:pPr>
            <w:r w:rsidRPr="00AB5818">
              <w:rPr>
                <w:rFonts w:eastAsia="Calibri" w:cs="Times New Roman"/>
                <w:sz w:val="20"/>
                <w:szCs w:val="20"/>
                <w:lang/>
              </w:rPr>
              <w:t>118</w:t>
            </w:r>
          </w:p>
        </w:tc>
        <w:tc>
          <w:tcPr>
            <w:tcW w:w="736" w:type="pct"/>
            <w:hideMark/>
          </w:tcPr>
          <w:p w14:paraId="5BDCF212" w14:textId="77777777" w:rsidR="00AB5818" w:rsidRPr="00AB5818" w:rsidRDefault="00AB5818" w:rsidP="002E4B8A">
            <w:pPr>
              <w:spacing w:line="240" w:lineRule="auto"/>
              <w:rPr>
                <w:rFonts w:eastAsia="Calibri" w:cs="Times New Roman"/>
                <w:sz w:val="20"/>
                <w:szCs w:val="20"/>
                <w:lang/>
              </w:rPr>
            </w:pPr>
            <w:r w:rsidRPr="00AB5818">
              <w:rPr>
                <w:rFonts w:eastAsia="Calibri" w:cs="Times New Roman"/>
                <w:sz w:val="20"/>
                <w:szCs w:val="20"/>
                <w:lang/>
              </w:rPr>
              <w:t>35.63</w:t>
            </w:r>
          </w:p>
        </w:tc>
        <w:tc>
          <w:tcPr>
            <w:tcW w:w="736" w:type="pct"/>
            <w:hideMark/>
          </w:tcPr>
          <w:p w14:paraId="463F715C" w14:textId="77777777" w:rsidR="00AB5818" w:rsidRPr="00AB5818" w:rsidRDefault="00AB5818" w:rsidP="002E4B8A">
            <w:pPr>
              <w:spacing w:line="240" w:lineRule="auto"/>
              <w:rPr>
                <w:rFonts w:eastAsia="Calibri" w:cs="Times New Roman"/>
                <w:sz w:val="20"/>
                <w:szCs w:val="20"/>
                <w:lang/>
              </w:rPr>
            </w:pPr>
            <w:r w:rsidRPr="00AB5818">
              <w:rPr>
                <w:rFonts w:eastAsia="Calibri" w:cs="Times New Roman"/>
                <w:sz w:val="20"/>
                <w:szCs w:val="20"/>
                <w:lang/>
              </w:rPr>
              <w:t>12.81</w:t>
            </w:r>
          </w:p>
        </w:tc>
        <w:tc>
          <w:tcPr>
            <w:tcW w:w="736" w:type="pct"/>
            <w:hideMark/>
          </w:tcPr>
          <w:p w14:paraId="0AECA194" w14:textId="77777777" w:rsidR="00AB5818" w:rsidRPr="00AB5818" w:rsidRDefault="00AB5818" w:rsidP="002E4B8A">
            <w:pPr>
              <w:spacing w:line="240" w:lineRule="auto"/>
              <w:rPr>
                <w:rFonts w:eastAsia="Calibri" w:cs="Times New Roman"/>
                <w:sz w:val="20"/>
                <w:szCs w:val="20"/>
                <w:lang/>
              </w:rPr>
            </w:pPr>
            <w:r w:rsidRPr="00AB5818">
              <w:rPr>
                <w:rFonts w:eastAsia="Calibri" w:cs="Times New Roman"/>
                <w:sz w:val="20"/>
                <w:szCs w:val="20"/>
                <w:lang/>
              </w:rPr>
              <w:t>5.55</w:t>
            </w:r>
          </w:p>
        </w:tc>
        <w:tc>
          <w:tcPr>
            <w:tcW w:w="736" w:type="pct"/>
            <w:hideMark/>
          </w:tcPr>
          <w:p w14:paraId="32FF655C" w14:textId="77777777" w:rsidR="00AB5818" w:rsidRPr="00AB5818" w:rsidRDefault="00AB5818" w:rsidP="002E4B8A">
            <w:pPr>
              <w:spacing w:line="240" w:lineRule="auto"/>
              <w:rPr>
                <w:rFonts w:eastAsia="Calibri" w:cs="Times New Roman"/>
                <w:sz w:val="20"/>
                <w:szCs w:val="20"/>
                <w:lang/>
              </w:rPr>
            </w:pPr>
            <w:r w:rsidRPr="00AB5818">
              <w:rPr>
                <w:rFonts w:eastAsia="Calibri" w:cs="Times New Roman"/>
                <w:sz w:val="20"/>
                <w:szCs w:val="20"/>
                <w:lang/>
              </w:rPr>
              <w:t>63.69</w:t>
            </w:r>
          </w:p>
        </w:tc>
      </w:tr>
      <w:tr w:rsidR="00AB5818" w:rsidRPr="00AB5818" w14:paraId="25364613" w14:textId="77777777" w:rsidTr="007666F2">
        <w:tc>
          <w:tcPr>
            <w:tcW w:w="5000" w:type="pct"/>
            <w:gridSpan w:val="6"/>
            <w:tcBorders>
              <w:top w:val="single" w:sz="6" w:space="0" w:color="auto"/>
              <w:left w:val="nil"/>
              <w:bottom w:val="nil"/>
              <w:right w:val="nil"/>
            </w:tcBorders>
            <w:hideMark/>
          </w:tcPr>
          <w:p w14:paraId="5B4C9D2A" w14:textId="53D6AEF1" w:rsidR="00AB5818" w:rsidRPr="00AB5818" w:rsidRDefault="000E300A" w:rsidP="00CE0D78">
            <w:pPr>
              <w:spacing w:line="240" w:lineRule="auto"/>
              <w:rPr>
                <w:rFonts w:eastAsia="Calibri" w:cs="Times New Roman"/>
                <w:bCs/>
                <w:sz w:val="20"/>
                <w:szCs w:val="20"/>
                <w:lang/>
              </w:rPr>
            </w:pPr>
            <w:r>
              <w:rPr>
                <w:rFonts w:eastAsia="Calibri" w:cs="Times New Roman"/>
                <w:bCs/>
                <w:sz w:val="20"/>
                <w:szCs w:val="20"/>
              </w:rPr>
              <w:t xml:space="preserve">Table A42: </w:t>
            </w:r>
            <w:r w:rsidR="00AB5818" w:rsidRPr="00AB5818">
              <w:rPr>
                <w:rFonts w:eastAsia="Calibri" w:cs="Times New Roman"/>
                <w:bCs/>
                <w:sz w:val="20"/>
                <w:szCs w:val="20"/>
                <w:lang/>
              </w:rPr>
              <w:t>Summary statistics for counties within the range of the Louisiana Black Bear. This includes the percentage of county land in the bear's range and an indicator of whether the county is within the range.</w:t>
            </w:r>
          </w:p>
        </w:tc>
      </w:tr>
    </w:tbl>
    <w:p w14:paraId="2E2B1D5F" w14:textId="5DB59861" w:rsidR="00AB5818" w:rsidRDefault="00AB5818" w:rsidP="00CE0D78">
      <w:pPr>
        <w:spacing w:line="240" w:lineRule="auto"/>
        <w:rPr>
          <w:rFonts w:eastAsia="Calibri" w:cs="Times New Roman"/>
          <w:sz w:val="20"/>
          <w:szCs w:val="20"/>
          <w:lang/>
        </w:rPr>
      </w:pPr>
    </w:p>
    <w:p w14:paraId="1AA3A066" w14:textId="124D36C2" w:rsidR="00B34C76" w:rsidRDefault="00B34C76" w:rsidP="00CE0D78">
      <w:pPr>
        <w:spacing w:line="240" w:lineRule="auto"/>
        <w:rPr>
          <w:rFonts w:eastAsia="Calibri" w:cs="Times New Roman"/>
          <w:sz w:val="20"/>
          <w:szCs w:val="20"/>
          <w:lang/>
        </w:rPr>
      </w:pPr>
    </w:p>
    <w:p w14:paraId="373A71D1" w14:textId="77777777" w:rsidR="00B34C76" w:rsidRPr="00AB5818" w:rsidRDefault="00B34C76" w:rsidP="00CE0D78">
      <w:pPr>
        <w:spacing w:line="240" w:lineRule="auto"/>
        <w:rPr>
          <w:rFonts w:eastAsia="Calibri" w:cs="Times New Roman"/>
          <w:sz w:val="20"/>
          <w:szCs w:val="20"/>
          <w:lang/>
        </w:rPr>
      </w:pPr>
    </w:p>
    <w:p w14:paraId="47129084" w14:textId="579130A9" w:rsidR="00AB5818" w:rsidRDefault="00CE0D78" w:rsidP="00CE0D78">
      <w:pPr>
        <w:rPr>
          <w:lang/>
        </w:rPr>
      </w:pPr>
      <w:r w:rsidRPr="007B2509">
        <w:rPr>
          <w:b/>
          <w:bCs/>
        </w:rPr>
        <w:t>Table A42</w:t>
      </w:r>
      <w:r>
        <w:t xml:space="preserve"> above </w:t>
      </w:r>
      <w:r w:rsidR="00AB5818" w:rsidRPr="00AB5818">
        <w:rPr>
          <w:lang/>
        </w:rPr>
        <w:t xml:space="preserve">provides summary statistics for counties within the range of the Louisiana Black Bear. The </w:t>
      </w:r>
      <w:r w:rsidR="00AB5818" w:rsidRPr="00AB5818">
        <w:rPr>
          <w:bCs/>
          <w:lang/>
        </w:rPr>
        <w:t>Bear - Range Indicator</w:t>
      </w:r>
      <w:r w:rsidR="00AB5818" w:rsidRPr="00AB5818">
        <w:rPr>
          <w:lang/>
        </w:rPr>
        <w:t xml:space="preserve"> is a binary variable indicating whether a county is within the species' range (1 = yes, 0 = no). The </w:t>
      </w:r>
      <w:r w:rsidR="00AB5818" w:rsidRPr="00AB5818">
        <w:rPr>
          <w:bCs/>
          <w:lang/>
        </w:rPr>
        <w:t>Bear - % County in Range</w:t>
      </w:r>
      <w:r w:rsidR="00AB5818" w:rsidRPr="00AB5818">
        <w:rPr>
          <w:lang/>
        </w:rPr>
        <w:t xml:space="preserve"> captures the percentage of each county's land area that overlaps with the bear's range, highlighting spatial variation among counties. The mean percentage of overlap is 35.63%, with a minimum of 5.55% and a maximum of 63.69%.</w:t>
      </w:r>
    </w:p>
    <w:p w14:paraId="7804A027" w14:textId="77777777" w:rsidR="0057442E" w:rsidRPr="0057442E" w:rsidRDefault="0057442E" w:rsidP="0057442E">
      <w:pPr>
        <w:spacing w:line="240" w:lineRule="auto"/>
        <w:rPr>
          <w:sz w:val="20"/>
          <w:szCs w:val="20"/>
          <w:lang/>
        </w:rPr>
      </w:pPr>
    </w:p>
    <w:p w14:paraId="14D7E08C" w14:textId="77777777" w:rsidR="0057442E" w:rsidRPr="0057442E" w:rsidRDefault="0057442E" w:rsidP="0057442E">
      <w:pPr>
        <w:spacing w:line="240" w:lineRule="auto"/>
        <w:rPr>
          <w:sz w:val="20"/>
          <w:szCs w:val="20"/>
          <w:lang/>
        </w:rPr>
      </w:pPr>
    </w:p>
    <w:p w14:paraId="4042C0AA" w14:textId="67FC4789" w:rsidR="00CE0D78" w:rsidRDefault="00CE0D78" w:rsidP="00CE0D78">
      <w:pPr>
        <w:spacing w:line="240" w:lineRule="auto"/>
        <w:rPr>
          <w:b/>
          <w:bCs/>
          <w:lang/>
        </w:rPr>
      </w:pPr>
      <w:bookmarkStart w:id="678" w:name="_Toc188056052"/>
      <w:bookmarkStart w:id="679" w:name="_Toc188057136"/>
      <w:bookmarkStart w:id="680" w:name="_Toc179574368"/>
    </w:p>
    <w:p w14:paraId="5666B139" w14:textId="77777777" w:rsidR="00B34C76" w:rsidRDefault="00B34C76">
      <w:pPr>
        <w:spacing w:line="240" w:lineRule="auto"/>
        <w:rPr>
          <w:rFonts w:cs="Times New Roman"/>
          <w:b/>
          <w:bCs/>
          <w:lang/>
        </w:rPr>
      </w:pPr>
      <w:r>
        <w:br w:type="page"/>
      </w:r>
    </w:p>
    <w:p w14:paraId="517FE7A6" w14:textId="77777777" w:rsidR="00B34C76" w:rsidRDefault="00B34C76" w:rsidP="00095E25">
      <w:pPr>
        <w:pStyle w:val="Title"/>
        <w:sectPr w:rsidR="00B34C76" w:rsidSect="00766FCC">
          <w:pgSz w:w="12240" w:h="15840" w:code="1"/>
          <w:pgMar w:top="1440" w:right="1440" w:bottom="1440" w:left="1440" w:header="720" w:footer="1440" w:gutter="0"/>
          <w:cols w:space="720"/>
          <w:noEndnote/>
          <w:docGrid w:linePitch="360"/>
        </w:sectPr>
      </w:pPr>
    </w:p>
    <w:p w14:paraId="2E3EEAFA" w14:textId="15900797" w:rsidR="00AB5818" w:rsidRPr="00AB5818" w:rsidRDefault="00AB5818" w:rsidP="00095E25">
      <w:pPr>
        <w:pStyle w:val="Title"/>
      </w:pPr>
      <w:bookmarkStart w:id="681" w:name="_Toc188359648"/>
      <w:bookmarkStart w:id="682" w:name="_Toc188359936"/>
      <w:bookmarkStart w:id="683" w:name="_Toc188361172"/>
      <w:bookmarkStart w:id="684" w:name="_Toc188367016"/>
      <w:r w:rsidRPr="00AB5818">
        <w:lastRenderedPageBreak/>
        <w:t>Table A</w:t>
      </w:r>
      <w:r w:rsidR="005E02DB">
        <w:t>4</w:t>
      </w:r>
      <w:r w:rsidRPr="00AB5818">
        <w:t>3: Summary Statistics of Outcome Variables</w:t>
      </w:r>
      <w:bookmarkEnd w:id="678"/>
      <w:bookmarkEnd w:id="679"/>
      <w:bookmarkEnd w:id="681"/>
      <w:bookmarkEnd w:id="682"/>
      <w:bookmarkEnd w:id="683"/>
      <w:bookmarkEnd w:id="684"/>
    </w:p>
    <w:tbl>
      <w:tblPr>
        <w:tblW w:w="4769" w:type="pct"/>
        <w:tblLook w:val="04A0" w:firstRow="1" w:lastRow="0" w:firstColumn="1" w:lastColumn="0" w:noHBand="0" w:noVBand="1"/>
      </w:tblPr>
      <w:tblGrid>
        <w:gridCol w:w="1442"/>
        <w:gridCol w:w="1475"/>
        <w:gridCol w:w="920"/>
        <w:gridCol w:w="918"/>
        <w:gridCol w:w="573"/>
        <w:gridCol w:w="3600"/>
      </w:tblGrid>
      <w:tr w:rsidR="003B5A8E" w:rsidRPr="007666F2" w14:paraId="4BA53B8F" w14:textId="77777777" w:rsidTr="003B5A8E">
        <w:trPr>
          <w:trHeight w:val="288"/>
        </w:trPr>
        <w:tc>
          <w:tcPr>
            <w:tcW w:w="808" w:type="pct"/>
            <w:tcBorders>
              <w:top w:val="single" w:sz="4" w:space="0" w:color="auto"/>
              <w:left w:val="nil"/>
              <w:bottom w:val="single" w:sz="4" w:space="0" w:color="auto"/>
              <w:right w:val="nil"/>
            </w:tcBorders>
          </w:tcPr>
          <w:p w14:paraId="5B2C0A33" w14:textId="77777777" w:rsidR="003B5A8E" w:rsidRDefault="009D3026" w:rsidP="002E4B8A">
            <w:pPr>
              <w:spacing w:line="240" w:lineRule="auto"/>
              <w:rPr>
                <w:rFonts w:eastAsia="Calibri" w:cs="Times New Roman"/>
                <w:b/>
                <w:bCs/>
                <w:sz w:val="20"/>
                <w:szCs w:val="20"/>
              </w:rPr>
            </w:pPr>
            <w:r>
              <w:rPr>
                <w:rFonts w:eastAsia="Calibri" w:cs="Times New Roman"/>
                <w:b/>
                <w:bCs/>
                <w:sz w:val="20"/>
                <w:szCs w:val="20"/>
              </w:rPr>
              <w:t xml:space="preserve">NAICS </w:t>
            </w:r>
          </w:p>
          <w:p w14:paraId="68FF50EB" w14:textId="7A7AFC40" w:rsidR="009D3026" w:rsidRPr="007666F2" w:rsidRDefault="009D3026" w:rsidP="002E4B8A">
            <w:pPr>
              <w:spacing w:line="240" w:lineRule="auto"/>
              <w:rPr>
                <w:rFonts w:eastAsia="Calibri" w:cs="Times New Roman"/>
                <w:b/>
                <w:bCs/>
                <w:sz w:val="20"/>
                <w:szCs w:val="20"/>
              </w:rPr>
            </w:pPr>
            <w:r>
              <w:rPr>
                <w:rFonts w:eastAsia="Calibri" w:cs="Times New Roman"/>
                <w:b/>
                <w:bCs/>
                <w:sz w:val="20"/>
                <w:szCs w:val="20"/>
              </w:rPr>
              <w:t>Sector</w:t>
            </w:r>
          </w:p>
        </w:tc>
        <w:tc>
          <w:tcPr>
            <w:tcW w:w="826" w:type="pct"/>
            <w:tcBorders>
              <w:top w:val="single" w:sz="4" w:space="0" w:color="auto"/>
              <w:left w:val="nil"/>
              <w:bottom w:val="single" w:sz="4" w:space="0" w:color="auto"/>
              <w:right w:val="nil"/>
            </w:tcBorders>
            <w:hideMark/>
          </w:tcPr>
          <w:p w14:paraId="4830A036" w14:textId="1EF6469A" w:rsidR="009D3026" w:rsidRPr="007666F2" w:rsidRDefault="009D3026" w:rsidP="002E4B8A">
            <w:pPr>
              <w:spacing w:line="240" w:lineRule="auto"/>
              <w:rPr>
                <w:rFonts w:eastAsia="Calibri" w:cs="Times New Roman"/>
                <w:b/>
                <w:bCs/>
                <w:sz w:val="20"/>
                <w:szCs w:val="20"/>
              </w:rPr>
            </w:pPr>
            <w:r w:rsidRPr="007666F2">
              <w:rPr>
                <w:rFonts w:eastAsia="Calibri" w:cs="Times New Roman"/>
                <w:b/>
                <w:bCs/>
                <w:sz w:val="20"/>
                <w:szCs w:val="20"/>
              </w:rPr>
              <w:t>Variable</w:t>
            </w:r>
          </w:p>
        </w:tc>
        <w:tc>
          <w:tcPr>
            <w:tcW w:w="515" w:type="pct"/>
            <w:tcBorders>
              <w:top w:val="single" w:sz="4" w:space="0" w:color="auto"/>
              <w:left w:val="nil"/>
              <w:bottom w:val="single" w:sz="4" w:space="0" w:color="auto"/>
              <w:right w:val="nil"/>
            </w:tcBorders>
            <w:hideMark/>
          </w:tcPr>
          <w:p w14:paraId="0C7F0A1E" w14:textId="77777777" w:rsidR="009D3026" w:rsidRPr="007666F2" w:rsidRDefault="009D3026" w:rsidP="002E4B8A">
            <w:pPr>
              <w:spacing w:line="240" w:lineRule="auto"/>
              <w:rPr>
                <w:rFonts w:eastAsia="Calibri" w:cs="Times New Roman"/>
                <w:b/>
                <w:bCs/>
                <w:sz w:val="20"/>
                <w:szCs w:val="20"/>
              </w:rPr>
            </w:pPr>
            <w:r w:rsidRPr="007666F2">
              <w:rPr>
                <w:rFonts w:eastAsia="Calibri" w:cs="Times New Roman"/>
                <w:b/>
                <w:bCs/>
                <w:sz w:val="20"/>
                <w:szCs w:val="20"/>
                <w:lang/>
              </w:rPr>
              <w:t>Mean</w:t>
            </w:r>
          </w:p>
        </w:tc>
        <w:tc>
          <w:tcPr>
            <w:tcW w:w="514" w:type="pct"/>
            <w:tcBorders>
              <w:top w:val="single" w:sz="4" w:space="0" w:color="auto"/>
              <w:left w:val="nil"/>
              <w:bottom w:val="single" w:sz="4" w:space="0" w:color="auto"/>
              <w:right w:val="nil"/>
            </w:tcBorders>
            <w:hideMark/>
          </w:tcPr>
          <w:p w14:paraId="00B3D3DB" w14:textId="6FC6CD93" w:rsidR="009D3026" w:rsidRPr="007666F2" w:rsidRDefault="009D3026" w:rsidP="002E4B8A">
            <w:pPr>
              <w:spacing w:line="240" w:lineRule="auto"/>
              <w:rPr>
                <w:rFonts w:eastAsia="Calibri" w:cs="Times New Roman"/>
                <w:b/>
                <w:bCs/>
                <w:sz w:val="20"/>
                <w:szCs w:val="20"/>
              </w:rPr>
            </w:pPr>
            <w:r w:rsidRPr="007666F2">
              <w:rPr>
                <w:rFonts w:eastAsia="Calibri" w:cs="Times New Roman"/>
                <w:b/>
                <w:bCs/>
                <w:sz w:val="20"/>
                <w:szCs w:val="20"/>
                <w:lang/>
              </w:rPr>
              <w:t>SD</w:t>
            </w:r>
          </w:p>
        </w:tc>
        <w:tc>
          <w:tcPr>
            <w:tcW w:w="321" w:type="pct"/>
            <w:tcBorders>
              <w:top w:val="single" w:sz="4" w:space="0" w:color="auto"/>
              <w:left w:val="nil"/>
              <w:bottom w:val="single" w:sz="4" w:space="0" w:color="auto"/>
              <w:right w:val="nil"/>
            </w:tcBorders>
            <w:hideMark/>
          </w:tcPr>
          <w:p w14:paraId="0DD31975" w14:textId="77777777" w:rsidR="009D3026" w:rsidRPr="007666F2" w:rsidRDefault="009D3026" w:rsidP="002E4B8A">
            <w:pPr>
              <w:spacing w:line="240" w:lineRule="auto"/>
              <w:rPr>
                <w:rFonts w:eastAsia="Calibri" w:cs="Times New Roman"/>
                <w:b/>
                <w:bCs/>
                <w:sz w:val="20"/>
                <w:szCs w:val="20"/>
                <w:lang/>
              </w:rPr>
            </w:pPr>
            <w:r w:rsidRPr="007666F2">
              <w:rPr>
                <w:rFonts w:eastAsia="Calibri" w:cs="Times New Roman"/>
                <w:b/>
                <w:bCs/>
                <w:sz w:val="20"/>
                <w:szCs w:val="20"/>
                <w:lang/>
              </w:rPr>
              <w:t>Min</w:t>
            </w:r>
          </w:p>
        </w:tc>
        <w:tc>
          <w:tcPr>
            <w:tcW w:w="2016" w:type="pct"/>
            <w:tcBorders>
              <w:top w:val="single" w:sz="4" w:space="0" w:color="auto"/>
              <w:left w:val="nil"/>
              <w:bottom w:val="single" w:sz="4" w:space="0" w:color="auto"/>
              <w:right w:val="nil"/>
            </w:tcBorders>
            <w:hideMark/>
          </w:tcPr>
          <w:p w14:paraId="76844703" w14:textId="77777777" w:rsidR="009D3026" w:rsidRPr="007666F2" w:rsidRDefault="009D3026" w:rsidP="002E4B8A">
            <w:pPr>
              <w:spacing w:line="240" w:lineRule="auto"/>
              <w:rPr>
                <w:rFonts w:eastAsia="Calibri" w:cs="Times New Roman"/>
                <w:b/>
                <w:bCs/>
                <w:sz w:val="20"/>
                <w:szCs w:val="20"/>
                <w:lang/>
              </w:rPr>
            </w:pPr>
            <w:r w:rsidRPr="007666F2">
              <w:rPr>
                <w:rFonts w:eastAsia="Calibri" w:cs="Times New Roman"/>
                <w:b/>
                <w:bCs/>
                <w:sz w:val="20"/>
                <w:szCs w:val="20"/>
                <w:lang/>
              </w:rPr>
              <w:t>Max</w:t>
            </w:r>
          </w:p>
        </w:tc>
      </w:tr>
      <w:tr w:rsidR="003B5A8E" w:rsidRPr="007666F2" w14:paraId="7D66B74C" w14:textId="77777777" w:rsidTr="003B5A8E">
        <w:tc>
          <w:tcPr>
            <w:tcW w:w="808" w:type="pct"/>
            <w:vMerge w:val="restart"/>
            <w:tcBorders>
              <w:top w:val="single" w:sz="4" w:space="0" w:color="auto"/>
            </w:tcBorders>
          </w:tcPr>
          <w:p w14:paraId="0B42204B" w14:textId="5BB831A7" w:rsidR="009D3026" w:rsidRPr="009D3026" w:rsidRDefault="009D3026" w:rsidP="002E4B8A">
            <w:pPr>
              <w:spacing w:line="240" w:lineRule="auto"/>
              <w:rPr>
                <w:rFonts w:eastAsia="Calibri" w:cs="Times New Roman"/>
                <w:sz w:val="20"/>
                <w:szCs w:val="20"/>
              </w:rPr>
            </w:pPr>
            <w:r w:rsidRPr="009D3026">
              <w:rPr>
                <w:rFonts w:eastAsia="Calibri" w:cs="Times New Roman"/>
                <w:sz w:val="20"/>
                <w:szCs w:val="20"/>
              </w:rPr>
              <w:t>11 – Agriculture, Forestry, Fishing, and Hunting</w:t>
            </w:r>
          </w:p>
        </w:tc>
        <w:tc>
          <w:tcPr>
            <w:tcW w:w="826" w:type="pct"/>
            <w:tcBorders>
              <w:top w:val="single" w:sz="4" w:space="0" w:color="auto"/>
            </w:tcBorders>
            <w:hideMark/>
          </w:tcPr>
          <w:p w14:paraId="717F0B8E" w14:textId="1750A121" w:rsidR="009D3026" w:rsidRPr="007666F2" w:rsidRDefault="009D3026" w:rsidP="002E4B8A">
            <w:pPr>
              <w:spacing w:line="240" w:lineRule="auto"/>
              <w:rPr>
                <w:rFonts w:eastAsia="Calibri" w:cs="Times New Roman"/>
                <w:sz w:val="20"/>
                <w:szCs w:val="20"/>
              </w:rPr>
            </w:pPr>
            <w:r w:rsidRPr="007666F2">
              <w:rPr>
                <w:rFonts w:eastAsia="Calibri" w:cs="Times New Roman"/>
                <w:sz w:val="20"/>
                <w:szCs w:val="20"/>
              </w:rPr>
              <w:t>Establishment Count</w:t>
            </w:r>
          </w:p>
        </w:tc>
        <w:tc>
          <w:tcPr>
            <w:tcW w:w="515" w:type="pct"/>
            <w:tcBorders>
              <w:top w:val="single" w:sz="4" w:space="0" w:color="auto"/>
            </w:tcBorders>
            <w:hideMark/>
          </w:tcPr>
          <w:p w14:paraId="31EB3A80" w14:textId="77777777" w:rsidR="009D3026" w:rsidRPr="007666F2" w:rsidRDefault="009D3026" w:rsidP="002E4B8A">
            <w:pPr>
              <w:spacing w:line="240" w:lineRule="auto"/>
              <w:rPr>
                <w:rFonts w:eastAsia="Calibri" w:cs="Times New Roman"/>
                <w:sz w:val="20"/>
                <w:szCs w:val="20"/>
              </w:rPr>
            </w:pPr>
            <w:r w:rsidRPr="007666F2">
              <w:rPr>
                <w:rFonts w:eastAsia="Calibri" w:cs="Times New Roman"/>
                <w:sz w:val="20"/>
                <w:szCs w:val="20"/>
                <w:lang/>
              </w:rPr>
              <w:t>2</w:t>
            </w:r>
            <w:r w:rsidRPr="007666F2">
              <w:rPr>
                <w:rFonts w:eastAsia="Calibri" w:cs="Times New Roman"/>
                <w:sz w:val="20"/>
                <w:szCs w:val="20"/>
              </w:rPr>
              <w:t>7</w:t>
            </w:r>
          </w:p>
        </w:tc>
        <w:tc>
          <w:tcPr>
            <w:tcW w:w="514" w:type="pct"/>
            <w:tcBorders>
              <w:top w:val="single" w:sz="4" w:space="0" w:color="auto"/>
            </w:tcBorders>
            <w:hideMark/>
          </w:tcPr>
          <w:p w14:paraId="28301A57" w14:textId="77777777" w:rsidR="009D3026" w:rsidRPr="007666F2" w:rsidRDefault="009D3026" w:rsidP="002E4B8A">
            <w:pPr>
              <w:spacing w:line="240" w:lineRule="auto"/>
              <w:rPr>
                <w:rFonts w:eastAsia="Calibri" w:cs="Times New Roman"/>
                <w:sz w:val="20"/>
                <w:szCs w:val="20"/>
                <w:lang/>
              </w:rPr>
            </w:pPr>
            <w:r w:rsidRPr="007666F2">
              <w:rPr>
                <w:rFonts w:eastAsia="Calibri" w:cs="Times New Roman"/>
                <w:sz w:val="20"/>
                <w:szCs w:val="20"/>
                <w:lang/>
              </w:rPr>
              <w:t>33</w:t>
            </w:r>
          </w:p>
        </w:tc>
        <w:tc>
          <w:tcPr>
            <w:tcW w:w="321" w:type="pct"/>
            <w:tcBorders>
              <w:top w:val="single" w:sz="4" w:space="0" w:color="auto"/>
            </w:tcBorders>
            <w:hideMark/>
          </w:tcPr>
          <w:p w14:paraId="586F4D47" w14:textId="77777777" w:rsidR="009D3026" w:rsidRPr="007666F2" w:rsidRDefault="009D3026" w:rsidP="002E4B8A">
            <w:pPr>
              <w:spacing w:line="240" w:lineRule="auto"/>
              <w:rPr>
                <w:rFonts w:eastAsia="Calibri" w:cs="Times New Roman"/>
                <w:sz w:val="20"/>
                <w:szCs w:val="20"/>
                <w:lang/>
              </w:rPr>
            </w:pPr>
            <w:r w:rsidRPr="007666F2">
              <w:rPr>
                <w:rFonts w:eastAsia="Calibri" w:cs="Times New Roman"/>
                <w:sz w:val="20"/>
                <w:szCs w:val="20"/>
                <w:lang/>
              </w:rPr>
              <w:t>0.00</w:t>
            </w:r>
          </w:p>
        </w:tc>
        <w:tc>
          <w:tcPr>
            <w:tcW w:w="2016" w:type="pct"/>
            <w:tcBorders>
              <w:top w:val="single" w:sz="4" w:space="0" w:color="auto"/>
            </w:tcBorders>
            <w:hideMark/>
          </w:tcPr>
          <w:p w14:paraId="40F4762F" w14:textId="77777777" w:rsidR="009D3026" w:rsidRPr="007666F2" w:rsidRDefault="009D3026" w:rsidP="002E4B8A">
            <w:pPr>
              <w:spacing w:line="240" w:lineRule="auto"/>
              <w:rPr>
                <w:rFonts w:eastAsia="Calibri" w:cs="Times New Roman"/>
                <w:sz w:val="20"/>
                <w:szCs w:val="20"/>
                <w:lang/>
              </w:rPr>
            </w:pPr>
            <w:r w:rsidRPr="007666F2">
              <w:rPr>
                <w:rFonts w:eastAsia="Calibri" w:cs="Times New Roman"/>
                <w:sz w:val="20"/>
                <w:szCs w:val="20"/>
                <w:lang/>
              </w:rPr>
              <w:t>874</w:t>
            </w:r>
          </w:p>
        </w:tc>
      </w:tr>
      <w:tr w:rsidR="003B5A8E" w:rsidRPr="007666F2" w14:paraId="1E6CF081" w14:textId="77777777" w:rsidTr="003B5A8E">
        <w:tc>
          <w:tcPr>
            <w:tcW w:w="808" w:type="pct"/>
            <w:vMerge/>
          </w:tcPr>
          <w:p w14:paraId="0C02787B" w14:textId="77777777" w:rsidR="009D3026" w:rsidRPr="009D3026" w:rsidRDefault="009D3026" w:rsidP="002E4B8A">
            <w:pPr>
              <w:spacing w:line="240" w:lineRule="auto"/>
              <w:rPr>
                <w:rFonts w:eastAsia="Calibri" w:cs="Times New Roman"/>
                <w:sz w:val="20"/>
                <w:szCs w:val="20"/>
              </w:rPr>
            </w:pPr>
          </w:p>
        </w:tc>
        <w:tc>
          <w:tcPr>
            <w:tcW w:w="826" w:type="pct"/>
            <w:hideMark/>
          </w:tcPr>
          <w:p w14:paraId="635E3B9F" w14:textId="02DDA4A8" w:rsidR="009D3026" w:rsidRPr="007666F2" w:rsidRDefault="009D3026" w:rsidP="002E4B8A">
            <w:pPr>
              <w:spacing w:line="240" w:lineRule="auto"/>
              <w:rPr>
                <w:rFonts w:eastAsia="Calibri" w:cs="Times New Roman"/>
                <w:sz w:val="20"/>
                <w:szCs w:val="20"/>
                <w:lang/>
              </w:rPr>
            </w:pPr>
            <w:r w:rsidRPr="007666F2">
              <w:rPr>
                <w:rFonts w:eastAsia="Calibri" w:cs="Times New Roman"/>
                <w:sz w:val="20"/>
                <w:szCs w:val="20"/>
              </w:rPr>
              <w:t>Employment Count</w:t>
            </w:r>
          </w:p>
        </w:tc>
        <w:tc>
          <w:tcPr>
            <w:tcW w:w="515" w:type="pct"/>
            <w:hideMark/>
          </w:tcPr>
          <w:p w14:paraId="31222A9D" w14:textId="77777777" w:rsidR="009D3026" w:rsidRPr="007666F2" w:rsidRDefault="009D3026" w:rsidP="002E4B8A">
            <w:pPr>
              <w:spacing w:line="240" w:lineRule="auto"/>
              <w:rPr>
                <w:rFonts w:eastAsia="Calibri" w:cs="Times New Roman"/>
                <w:sz w:val="20"/>
                <w:szCs w:val="20"/>
                <w:lang/>
              </w:rPr>
            </w:pPr>
            <w:r w:rsidRPr="007666F2">
              <w:rPr>
                <w:rFonts w:eastAsia="Calibri" w:cs="Times New Roman"/>
                <w:sz w:val="20"/>
                <w:szCs w:val="20"/>
                <w:lang/>
              </w:rPr>
              <w:t>188</w:t>
            </w:r>
          </w:p>
        </w:tc>
        <w:tc>
          <w:tcPr>
            <w:tcW w:w="514" w:type="pct"/>
            <w:hideMark/>
          </w:tcPr>
          <w:p w14:paraId="06C99970" w14:textId="77777777" w:rsidR="009D3026" w:rsidRPr="007666F2" w:rsidRDefault="009D3026" w:rsidP="002E4B8A">
            <w:pPr>
              <w:spacing w:line="240" w:lineRule="auto"/>
              <w:rPr>
                <w:rFonts w:eastAsia="Calibri" w:cs="Times New Roman"/>
                <w:sz w:val="20"/>
                <w:szCs w:val="20"/>
                <w:lang/>
              </w:rPr>
            </w:pPr>
            <w:r w:rsidRPr="007666F2">
              <w:rPr>
                <w:rFonts w:eastAsia="Calibri" w:cs="Times New Roman"/>
                <w:sz w:val="20"/>
                <w:szCs w:val="20"/>
                <w:lang/>
              </w:rPr>
              <w:t>511</w:t>
            </w:r>
          </w:p>
        </w:tc>
        <w:tc>
          <w:tcPr>
            <w:tcW w:w="321" w:type="pct"/>
            <w:hideMark/>
          </w:tcPr>
          <w:p w14:paraId="7F100D57" w14:textId="77777777" w:rsidR="009D3026" w:rsidRPr="007666F2" w:rsidRDefault="009D3026" w:rsidP="002E4B8A">
            <w:pPr>
              <w:spacing w:line="240" w:lineRule="auto"/>
              <w:rPr>
                <w:rFonts w:eastAsia="Calibri" w:cs="Times New Roman"/>
                <w:sz w:val="20"/>
                <w:szCs w:val="20"/>
                <w:lang/>
              </w:rPr>
            </w:pPr>
            <w:r w:rsidRPr="007666F2">
              <w:rPr>
                <w:rFonts w:eastAsia="Calibri" w:cs="Times New Roman"/>
                <w:sz w:val="20"/>
                <w:szCs w:val="20"/>
                <w:lang/>
              </w:rPr>
              <w:t>0.00</w:t>
            </w:r>
          </w:p>
        </w:tc>
        <w:tc>
          <w:tcPr>
            <w:tcW w:w="2016" w:type="pct"/>
            <w:hideMark/>
          </w:tcPr>
          <w:p w14:paraId="25DCB087" w14:textId="77777777" w:rsidR="009D3026" w:rsidRPr="007666F2" w:rsidRDefault="009D3026" w:rsidP="002E4B8A">
            <w:pPr>
              <w:spacing w:line="240" w:lineRule="auto"/>
              <w:rPr>
                <w:rFonts w:eastAsia="Calibri" w:cs="Times New Roman"/>
                <w:sz w:val="20"/>
                <w:szCs w:val="20"/>
                <w:lang/>
              </w:rPr>
            </w:pPr>
            <w:r w:rsidRPr="007666F2">
              <w:rPr>
                <w:rFonts w:eastAsia="Calibri" w:cs="Times New Roman"/>
                <w:sz w:val="20"/>
                <w:szCs w:val="20"/>
                <w:lang/>
              </w:rPr>
              <w:t>1687</w:t>
            </w:r>
          </w:p>
        </w:tc>
      </w:tr>
      <w:tr w:rsidR="003B5A8E" w:rsidRPr="007666F2" w14:paraId="5FBB96DC" w14:textId="77777777" w:rsidTr="003B5A8E">
        <w:tc>
          <w:tcPr>
            <w:tcW w:w="808" w:type="pct"/>
            <w:vMerge/>
            <w:tcBorders>
              <w:bottom w:val="single" w:sz="4" w:space="0" w:color="auto"/>
            </w:tcBorders>
          </w:tcPr>
          <w:p w14:paraId="5F580424" w14:textId="77777777" w:rsidR="009D3026" w:rsidRPr="009D3026" w:rsidRDefault="009D3026" w:rsidP="002E4B8A">
            <w:pPr>
              <w:spacing w:line="240" w:lineRule="auto"/>
              <w:rPr>
                <w:rFonts w:eastAsia="Calibri" w:cs="Times New Roman"/>
                <w:sz w:val="20"/>
                <w:szCs w:val="20"/>
              </w:rPr>
            </w:pPr>
          </w:p>
        </w:tc>
        <w:tc>
          <w:tcPr>
            <w:tcW w:w="826" w:type="pct"/>
            <w:tcBorders>
              <w:top w:val="nil"/>
              <w:bottom w:val="single" w:sz="4" w:space="0" w:color="auto"/>
              <w:right w:val="nil"/>
            </w:tcBorders>
            <w:hideMark/>
          </w:tcPr>
          <w:p w14:paraId="19D5BA10" w14:textId="55D4CA0C" w:rsidR="009D3026" w:rsidRPr="007666F2" w:rsidRDefault="009D3026" w:rsidP="002E4B8A">
            <w:pPr>
              <w:spacing w:line="240" w:lineRule="auto"/>
              <w:rPr>
                <w:rFonts w:eastAsia="Calibri" w:cs="Times New Roman"/>
                <w:sz w:val="20"/>
                <w:szCs w:val="20"/>
                <w:lang/>
              </w:rPr>
            </w:pPr>
            <w:r w:rsidRPr="007666F2">
              <w:rPr>
                <w:rFonts w:eastAsia="Calibri" w:cs="Times New Roman"/>
                <w:sz w:val="20"/>
                <w:szCs w:val="20"/>
              </w:rPr>
              <w:t>S</w:t>
            </w:r>
            <w:r w:rsidRPr="007666F2">
              <w:rPr>
                <w:rFonts w:eastAsia="Calibri" w:cs="Times New Roman"/>
                <w:sz w:val="20"/>
                <w:szCs w:val="20"/>
                <w:lang/>
              </w:rPr>
              <w:t xml:space="preserve">ales </w:t>
            </w:r>
            <w:r>
              <w:rPr>
                <w:rFonts w:eastAsia="Calibri" w:cs="Times New Roman"/>
                <w:sz w:val="20"/>
                <w:szCs w:val="20"/>
              </w:rPr>
              <w:t>V</w:t>
            </w:r>
            <w:r w:rsidRPr="007666F2">
              <w:rPr>
                <w:rFonts w:eastAsia="Calibri" w:cs="Times New Roman"/>
                <w:sz w:val="20"/>
                <w:szCs w:val="20"/>
                <w:lang/>
              </w:rPr>
              <w:t>olume</w:t>
            </w:r>
          </w:p>
        </w:tc>
        <w:tc>
          <w:tcPr>
            <w:tcW w:w="515" w:type="pct"/>
            <w:tcBorders>
              <w:top w:val="nil"/>
              <w:left w:val="nil"/>
              <w:bottom w:val="single" w:sz="4" w:space="0" w:color="auto"/>
              <w:right w:val="nil"/>
            </w:tcBorders>
            <w:hideMark/>
          </w:tcPr>
          <w:p w14:paraId="374FACDD" w14:textId="77777777" w:rsidR="009D3026" w:rsidRPr="007666F2" w:rsidRDefault="009D3026" w:rsidP="002E4B8A">
            <w:pPr>
              <w:spacing w:line="240" w:lineRule="auto"/>
              <w:rPr>
                <w:rFonts w:eastAsia="Calibri" w:cs="Times New Roman"/>
                <w:sz w:val="20"/>
                <w:szCs w:val="20"/>
                <w:lang/>
              </w:rPr>
            </w:pPr>
            <w:r w:rsidRPr="007666F2">
              <w:rPr>
                <w:rFonts w:eastAsia="Calibri" w:cs="Times New Roman"/>
                <w:sz w:val="20"/>
                <w:szCs w:val="20"/>
                <w:lang/>
              </w:rPr>
              <w:t>32668</w:t>
            </w:r>
          </w:p>
        </w:tc>
        <w:tc>
          <w:tcPr>
            <w:tcW w:w="514" w:type="pct"/>
            <w:tcBorders>
              <w:top w:val="nil"/>
              <w:left w:val="nil"/>
              <w:bottom w:val="single" w:sz="4" w:space="0" w:color="auto"/>
              <w:right w:val="nil"/>
            </w:tcBorders>
            <w:hideMark/>
          </w:tcPr>
          <w:p w14:paraId="06A764D8" w14:textId="77777777" w:rsidR="009D3026" w:rsidRPr="007666F2" w:rsidRDefault="009D3026" w:rsidP="002E4B8A">
            <w:pPr>
              <w:spacing w:line="240" w:lineRule="auto"/>
              <w:rPr>
                <w:rFonts w:eastAsia="Calibri" w:cs="Times New Roman"/>
                <w:sz w:val="20"/>
                <w:szCs w:val="20"/>
                <w:lang/>
              </w:rPr>
            </w:pPr>
            <w:r w:rsidRPr="007666F2">
              <w:rPr>
                <w:rFonts w:eastAsia="Calibri" w:cs="Times New Roman"/>
                <w:sz w:val="20"/>
                <w:szCs w:val="20"/>
                <w:lang/>
              </w:rPr>
              <w:t>128178</w:t>
            </w:r>
          </w:p>
        </w:tc>
        <w:tc>
          <w:tcPr>
            <w:tcW w:w="321" w:type="pct"/>
            <w:tcBorders>
              <w:top w:val="nil"/>
              <w:left w:val="nil"/>
              <w:bottom w:val="single" w:sz="4" w:space="0" w:color="auto"/>
              <w:right w:val="nil"/>
            </w:tcBorders>
            <w:hideMark/>
          </w:tcPr>
          <w:p w14:paraId="5ED45BAE" w14:textId="77777777" w:rsidR="009D3026" w:rsidRPr="007666F2" w:rsidRDefault="009D3026" w:rsidP="002E4B8A">
            <w:pPr>
              <w:spacing w:line="240" w:lineRule="auto"/>
              <w:rPr>
                <w:rFonts w:eastAsia="Calibri" w:cs="Times New Roman"/>
                <w:sz w:val="20"/>
                <w:szCs w:val="20"/>
                <w:lang/>
              </w:rPr>
            </w:pPr>
            <w:r w:rsidRPr="007666F2">
              <w:rPr>
                <w:rFonts w:eastAsia="Calibri" w:cs="Times New Roman"/>
                <w:sz w:val="20"/>
                <w:szCs w:val="20"/>
                <w:lang/>
              </w:rPr>
              <w:t>0.00</w:t>
            </w:r>
          </w:p>
        </w:tc>
        <w:tc>
          <w:tcPr>
            <w:tcW w:w="2016" w:type="pct"/>
            <w:tcBorders>
              <w:top w:val="nil"/>
              <w:left w:val="nil"/>
              <w:bottom w:val="single" w:sz="4" w:space="0" w:color="auto"/>
              <w:right w:val="nil"/>
            </w:tcBorders>
            <w:hideMark/>
          </w:tcPr>
          <w:p w14:paraId="13CDF84E" w14:textId="77777777" w:rsidR="009D3026" w:rsidRPr="007666F2" w:rsidRDefault="009D3026" w:rsidP="002E4B8A">
            <w:pPr>
              <w:spacing w:line="240" w:lineRule="auto"/>
              <w:rPr>
                <w:rFonts w:eastAsia="Calibri" w:cs="Times New Roman"/>
                <w:sz w:val="20"/>
                <w:szCs w:val="20"/>
                <w:lang/>
              </w:rPr>
            </w:pPr>
            <w:r w:rsidRPr="007666F2">
              <w:rPr>
                <w:rFonts w:eastAsia="Calibri" w:cs="Times New Roman"/>
                <w:sz w:val="20"/>
                <w:szCs w:val="20"/>
                <w:lang/>
              </w:rPr>
              <w:t>11548636</w:t>
            </w:r>
          </w:p>
        </w:tc>
      </w:tr>
      <w:tr w:rsidR="003B5A8E" w:rsidRPr="007666F2" w14:paraId="20A43E95" w14:textId="77777777" w:rsidTr="003B5A8E">
        <w:tc>
          <w:tcPr>
            <w:tcW w:w="808" w:type="pct"/>
            <w:vMerge w:val="restart"/>
            <w:tcBorders>
              <w:top w:val="single" w:sz="4" w:space="0" w:color="auto"/>
            </w:tcBorders>
          </w:tcPr>
          <w:p w14:paraId="12615E91" w14:textId="6E647A84" w:rsidR="009D3026" w:rsidRPr="009D3026" w:rsidRDefault="009D3026" w:rsidP="002E4B8A">
            <w:pPr>
              <w:spacing w:line="240" w:lineRule="auto"/>
              <w:rPr>
                <w:rFonts w:eastAsia="Calibri" w:cs="Times New Roman"/>
                <w:sz w:val="20"/>
                <w:szCs w:val="20"/>
              </w:rPr>
            </w:pPr>
            <w:r w:rsidRPr="009D3026">
              <w:rPr>
                <w:rFonts w:eastAsia="Calibri" w:cs="Times New Roman"/>
                <w:sz w:val="20"/>
                <w:szCs w:val="20"/>
              </w:rPr>
              <w:t>21 – Mining, Quarrying, and Oil and Gas Extraction</w:t>
            </w:r>
          </w:p>
        </w:tc>
        <w:tc>
          <w:tcPr>
            <w:tcW w:w="826" w:type="pct"/>
            <w:tcBorders>
              <w:top w:val="single" w:sz="4" w:space="0" w:color="auto"/>
            </w:tcBorders>
            <w:hideMark/>
          </w:tcPr>
          <w:p w14:paraId="5BECA5B7" w14:textId="73795FE9" w:rsidR="009D3026" w:rsidRPr="007666F2" w:rsidRDefault="009D3026" w:rsidP="002E4B8A">
            <w:pPr>
              <w:spacing w:line="240" w:lineRule="auto"/>
              <w:rPr>
                <w:rFonts w:eastAsia="Calibri" w:cs="Times New Roman"/>
                <w:sz w:val="20"/>
                <w:szCs w:val="20"/>
                <w:lang/>
              </w:rPr>
            </w:pPr>
            <w:r w:rsidRPr="007666F2">
              <w:rPr>
                <w:rFonts w:eastAsia="Calibri" w:cs="Times New Roman"/>
                <w:sz w:val="20"/>
                <w:szCs w:val="20"/>
              </w:rPr>
              <w:t>Establishment Count</w:t>
            </w:r>
          </w:p>
        </w:tc>
        <w:tc>
          <w:tcPr>
            <w:tcW w:w="515" w:type="pct"/>
            <w:tcBorders>
              <w:top w:val="single" w:sz="4" w:space="0" w:color="auto"/>
            </w:tcBorders>
            <w:hideMark/>
          </w:tcPr>
          <w:p w14:paraId="209E3FDD" w14:textId="77777777" w:rsidR="009D3026" w:rsidRPr="007666F2" w:rsidRDefault="009D3026" w:rsidP="002E4B8A">
            <w:pPr>
              <w:spacing w:line="240" w:lineRule="auto"/>
              <w:rPr>
                <w:rFonts w:eastAsia="Calibri" w:cs="Times New Roman"/>
                <w:sz w:val="20"/>
                <w:szCs w:val="20"/>
                <w:lang/>
              </w:rPr>
            </w:pPr>
            <w:r w:rsidRPr="007666F2">
              <w:rPr>
                <w:rFonts w:eastAsia="Calibri" w:cs="Times New Roman"/>
                <w:sz w:val="20"/>
                <w:szCs w:val="20"/>
                <w:lang/>
              </w:rPr>
              <w:t>7</w:t>
            </w:r>
          </w:p>
        </w:tc>
        <w:tc>
          <w:tcPr>
            <w:tcW w:w="514" w:type="pct"/>
            <w:tcBorders>
              <w:top w:val="single" w:sz="4" w:space="0" w:color="auto"/>
            </w:tcBorders>
            <w:hideMark/>
          </w:tcPr>
          <w:p w14:paraId="7204C7B7" w14:textId="77777777" w:rsidR="009D3026" w:rsidRPr="007666F2" w:rsidRDefault="009D3026" w:rsidP="002E4B8A">
            <w:pPr>
              <w:spacing w:line="240" w:lineRule="auto"/>
              <w:rPr>
                <w:rFonts w:eastAsia="Calibri" w:cs="Times New Roman"/>
                <w:sz w:val="20"/>
                <w:szCs w:val="20"/>
                <w:lang/>
              </w:rPr>
            </w:pPr>
            <w:r w:rsidRPr="007666F2">
              <w:rPr>
                <w:rFonts w:eastAsia="Calibri" w:cs="Times New Roman"/>
                <w:sz w:val="20"/>
                <w:szCs w:val="20"/>
                <w:lang/>
              </w:rPr>
              <w:t>33</w:t>
            </w:r>
          </w:p>
        </w:tc>
        <w:tc>
          <w:tcPr>
            <w:tcW w:w="321" w:type="pct"/>
            <w:tcBorders>
              <w:top w:val="single" w:sz="4" w:space="0" w:color="auto"/>
            </w:tcBorders>
            <w:hideMark/>
          </w:tcPr>
          <w:p w14:paraId="3C6EADCB" w14:textId="77777777" w:rsidR="009D3026" w:rsidRPr="007666F2" w:rsidRDefault="009D3026" w:rsidP="002E4B8A">
            <w:pPr>
              <w:spacing w:line="240" w:lineRule="auto"/>
              <w:rPr>
                <w:rFonts w:eastAsia="Calibri" w:cs="Times New Roman"/>
                <w:sz w:val="20"/>
                <w:szCs w:val="20"/>
                <w:lang/>
              </w:rPr>
            </w:pPr>
            <w:r w:rsidRPr="007666F2">
              <w:rPr>
                <w:rFonts w:eastAsia="Calibri" w:cs="Times New Roman"/>
                <w:sz w:val="20"/>
                <w:szCs w:val="20"/>
                <w:lang/>
              </w:rPr>
              <w:t>0.00</w:t>
            </w:r>
          </w:p>
        </w:tc>
        <w:tc>
          <w:tcPr>
            <w:tcW w:w="2016" w:type="pct"/>
            <w:tcBorders>
              <w:top w:val="single" w:sz="4" w:space="0" w:color="auto"/>
            </w:tcBorders>
            <w:hideMark/>
          </w:tcPr>
          <w:p w14:paraId="7D0E1763" w14:textId="77777777" w:rsidR="009D3026" w:rsidRPr="007666F2" w:rsidRDefault="009D3026" w:rsidP="002E4B8A">
            <w:pPr>
              <w:spacing w:line="240" w:lineRule="auto"/>
              <w:rPr>
                <w:rFonts w:eastAsia="Calibri" w:cs="Times New Roman"/>
                <w:sz w:val="20"/>
                <w:szCs w:val="20"/>
                <w:lang/>
              </w:rPr>
            </w:pPr>
            <w:r w:rsidRPr="007666F2">
              <w:rPr>
                <w:rFonts w:eastAsia="Calibri" w:cs="Times New Roman"/>
                <w:sz w:val="20"/>
                <w:szCs w:val="20"/>
                <w:lang/>
              </w:rPr>
              <w:t>1416</w:t>
            </w:r>
          </w:p>
        </w:tc>
      </w:tr>
      <w:tr w:rsidR="003B5A8E" w:rsidRPr="007666F2" w14:paraId="1D33E47B" w14:textId="77777777" w:rsidTr="003B5A8E">
        <w:tc>
          <w:tcPr>
            <w:tcW w:w="808" w:type="pct"/>
            <w:vMerge/>
          </w:tcPr>
          <w:p w14:paraId="043A7F6F" w14:textId="77777777" w:rsidR="009D3026" w:rsidRPr="009D3026" w:rsidRDefault="009D3026" w:rsidP="002E4B8A">
            <w:pPr>
              <w:spacing w:line="240" w:lineRule="auto"/>
              <w:rPr>
                <w:rFonts w:eastAsia="Calibri" w:cs="Times New Roman"/>
                <w:sz w:val="20"/>
                <w:szCs w:val="20"/>
              </w:rPr>
            </w:pPr>
          </w:p>
        </w:tc>
        <w:tc>
          <w:tcPr>
            <w:tcW w:w="826" w:type="pct"/>
            <w:hideMark/>
          </w:tcPr>
          <w:p w14:paraId="5062B0CE" w14:textId="3C7589F6" w:rsidR="009D3026" w:rsidRPr="007666F2" w:rsidRDefault="009D3026" w:rsidP="002E4B8A">
            <w:pPr>
              <w:spacing w:line="240" w:lineRule="auto"/>
              <w:rPr>
                <w:rFonts w:eastAsia="Calibri" w:cs="Times New Roman"/>
                <w:sz w:val="20"/>
                <w:szCs w:val="20"/>
                <w:lang/>
              </w:rPr>
            </w:pPr>
            <w:r w:rsidRPr="007666F2">
              <w:rPr>
                <w:rFonts w:eastAsia="Calibri" w:cs="Times New Roman"/>
                <w:sz w:val="20"/>
                <w:szCs w:val="20"/>
              </w:rPr>
              <w:t>Employment Count</w:t>
            </w:r>
          </w:p>
        </w:tc>
        <w:tc>
          <w:tcPr>
            <w:tcW w:w="515" w:type="pct"/>
            <w:hideMark/>
          </w:tcPr>
          <w:p w14:paraId="7525B183" w14:textId="77777777" w:rsidR="009D3026" w:rsidRPr="007666F2" w:rsidRDefault="009D3026" w:rsidP="002E4B8A">
            <w:pPr>
              <w:spacing w:line="240" w:lineRule="auto"/>
              <w:rPr>
                <w:rFonts w:eastAsia="Calibri" w:cs="Times New Roman"/>
                <w:sz w:val="20"/>
                <w:szCs w:val="20"/>
                <w:lang/>
              </w:rPr>
            </w:pPr>
            <w:r w:rsidRPr="007666F2">
              <w:rPr>
                <w:rFonts w:eastAsia="Calibri" w:cs="Times New Roman"/>
                <w:sz w:val="20"/>
                <w:szCs w:val="20"/>
                <w:lang/>
              </w:rPr>
              <w:t>122</w:t>
            </w:r>
          </w:p>
        </w:tc>
        <w:tc>
          <w:tcPr>
            <w:tcW w:w="514" w:type="pct"/>
            <w:hideMark/>
          </w:tcPr>
          <w:p w14:paraId="4217F742" w14:textId="77777777" w:rsidR="009D3026" w:rsidRPr="007666F2" w:rsidRDefault="009D3026" w:rsidP="002E4B8A">
            <w:pPr>
              <w:spacing w:line="240" w:lineRule="auto"/>
              <w:rPr>
                <w:rFonts w:eastAsia="Calibri" w:cs="Times New Roman"/>
                <w:sz w:val="20"/>
                <w:szCs w:val="20"/>
                <w:lang/>
              </w:rPr>
            </w:pPr>
            <w:r w:rsidRPr="007666F2">
              <w:rPr>
                <w:rFonts w:eastAsia="Calibri" w:cs="Times New Roman"/>
                <w:sz w:val="20"/>
                <w:szCs w:val="20"/>
                <w:lang/>
              </w:rPr>
              <w:t>1188</w:t>
            </w:r>
          </w:p>
        </w:tc>
        <w:tc>
          <w:tcPr>
            <w:tcW w:w="321" w:type="pct"/>
            <w:hideMark/>
          </w:tcPr>
          <w:p w14:paraId="2C7584CE" w14:textId="77777777" w:rsidR="009D3026" w:rsidRPr="007666F2" w:rsidRDefault="009D3026" w:rsidP="002E4B8A">
            <w:pPr>
              <w:spacing w:line="240" w:lineRule="auto"/>
              <w:rPr>
                <w:rFonts w:eastAsia="Calibri" w:cs="Times New Roman"/>
                <w:sz w:val="20"/>
                <w:szCs w:val="20"/>
                <w:lang/>
              </w:rPr>
            </w:pPr>
            <w:r w:rsidRPr="007666F2">
              <w:rPr>
                <w:rFonts w:eastAsia="Calibri" w:cs="Times New Roman"/>
                <w:sz w:val="20"/>
                <w:szCs w:val="20"/>
                <w:lang/>
              </w:rPr>
              <w:t>0.00</w:t>
            </w:r>
          </w:p>
        </w:tc>
        <w:tc>
          <w:tcPr>
            <w:tcW w:w="2016" w:type="pct"/>
            <w:hideMark/>
          </w:tcPr>
          <w:p w14:paraId="3374A6E8" w14:textId="77777777" w:rsidR="009D3026" w:rsidRPr="007666F2" w:rsidRDefault="009D3026" w:rsidP="002E4B8A">
            <w:pPr>
              <w:spacing w:line="240" w:lineRule="auto"/>
              <w:rPr>
                <w:rFonts w:eastAsia="Calibri" w:cs="Times New Roman"/>
                <w:sz w:val="20"/>
                <w:szCs w:val="20"/>
                <w:lang/>
              </w:rPr>
            </w:pPr>
            <w:r w:rsidRPr="007666F2">
              <w:rPr>
                <w:rFonts w:eastAsia="Calibri" w:cs="Times New Roman"/>
                <w:sz w:val="20"/>
                <w:szCs w:val="20"/>
                <w:lang/>
              </w:rPr>
              <w:t>108030</w:t>
            </w:r>
          </w:p>
        </w:tc>
      </w:tr>
      <w:tr w:rsidR="003B5A8E" w:rsidRPr="007666F2" w14:paraId="6D3E5E70" w14:textId="77777777" w:rsidTr="003B5A8E">
        <w:tc>
          <w:tcPr>
            <w:tcW w:w="808" w:type="pct"/>
            <w:vMerge/>
            <w:tcBorders>
              <w:bottom w:val="single" w:sz="4" w:space="0" w:color="auto"/>
            </w:tcBorders>
          </w:tcPr>
          <w:p w14:paraId="0FD1FCCA" w14:textId="77777777" w:rsidR="009D3026" w:rsidRPr="009D3026" w:rsidRDefault="009D3026" w:rsidP="002E4B8A">
            <w:pPr>
              <w:spacing w:line="240" w:lineRule="auto"/>
              <w:rPr>
                <w:rFonts w:eastAsia="Calibri" w:cs="Times New Roman"/>
                <w:sz w:val="20"/>
                <w:szCs w:val="20"/>
              </w:rPr>
            </w:pPr>
          </w:p>
        </w:tc>
        <w:tc>
          <w:tcPr>
            <w:tcW w:w="826" w:type="pct"/>
            <w:tcBorders>
              <w:top w:val="nil"/>
              <w:bottom w:val="single" w:sz="4" w:space="0" w:color="auto"/>
              <w:right w:val="nil"/>
            </w:tcBorders>
            <w:hideMark/>
          </w:tcPr>
          <w:p w14:paraId="6EFEA35D" w14:textId="5337695D" w:rsidR="009D3026" w:rsidRPr="007666F2" w:rsidRDefault="009D3026" w:rsidP="002E4B8A">
            <w:pPr>
              <w:spacing w:line="240" w:lineRule="auto"/>
              <w:rPr>
                <w:rFonts w:eastAsia="Calibri" w:cs="Times New Roman"/>
                <w:sz w:val="20"/>
                <w:szCs w:val="20"/>
                <w:lang/>
              </w:rPr>
            </w:pPr>
            <w:r w:rsidRPr="007666F2">
              <w:rPr>
                <w:rFonts w:eastAsia="Calibri" w:cs="Times New Roman"/>
                <w:sz w:val="20"/>
                <w:szCs w:val="20"/>
              </w:rPr>
              <w:t>S</w:t>
            </w:r>
            <w:r w:rsidRPr="007666F2">
              <w:rPr>
                <w:rFonts w:eastAsia="Calibri" w:cs="Times New Roman"/>
                <w:sz w:val="20"/>
                <w:szCs w:val="20"/>
                <w:lang/>
              </w:rPr>
              <w:t xml:space="preserve">ales </w:t>
            </w:r>
            <w:r>
              <w:rPr>
                <w:rFonts w:eastAsia="Calibri" w:cs="Times New Roman"/>
                <w:sz w:val="20"/>
                <w:szCs w:val="20"/>
              </w:rPr>
              <w:t>V</w:t>
            </w:r>
            <w:r w:rsidRPr="007666F2">
              <w:rPr>
                <w:rFonts w:eastAsia="Calibri" w:cs="Times New Roman"/>
                <w:sz w:val="20"/>
                <w:szCs w:val="20"/>
                <w:lang/>
              </w:rPr>
              <w:t>olume</w:t>
            </w:r>
          </w:p>
        </w:tc>
        <w:tc>
          <w:tcPr>
            <w:tcW w:w="515" w:type="pct"/>
            <w:tcBorders>
              <w:top w:val="nil"/>
              <w:left w:val="nil"/>
              <w:bottom w:val="single" w:sz="4" w:space="0" w:color="auto"/>
              <w:right w:val="nil"/>
            </w:tcBorders>
            <w:hideMark/>
          </w:tcPr>
          <w:p w14:paraId="39CE1B99" w14:textId="77777777" w:rsidR="009D3026" w:rsidRPr="007666F2" w:rsidRDefault="009D3026" w:rsidP="002E4B8A">
            <w:pPr>
              <w:spacing w:line="240" w:lineRule="auto"/>
              <w:rPr>
                <w:rFonts w:eastAsia="Calibri" w:cs="Times New Roman"/>
                <w:sz w:val="20"/>
                <w:szCs w:val="20"/>
                <w:lang/>
              </w:rPr>
            </w:pPr>
            <w:r w:rsidRPr="007666F2">
              <w:rPr>
                <w:rFonts w:eastAsia="Calibri" w:cs="Times New Roman"/>
                <w:sz w:val="20"/>
                <w:szCs w:val="20"/>
                <w:lang/>
              </w:rPr>
              <w:t>48050</w:t>
            </w:r>
          </w:p>
        </w:tc>
        <w:tc>
          <w:tcPr>
            <w:tcW w:w="514" w:type="pct"/>
            <w:tcBorders>
              <w:top w:val="nil"/>
              <w:left w:val="nil"/>
              <w:bottom w:val="single" w:sz="4" w:space="0" w:color="auto"/>
              <w:right w:val="nil"/>
            </w:tcBorders>
            <w:hideMark/>
          </w:tcPr>
          <w:p w14:paraId="33059D51" w14:textId="77777777" w:rsidR="009D3026" w:rsidRPr="007666F2" w:rsidRDefault="009D3026" w:rsidP="002E4B8A">
            <w:pPr>
              <w:spacing w:line="240" w:lineRule="auto"/>
              <w:rPr>
                <w:rFonts w:eastAsia="Calibri" w:cs="Times New Roman"/>
                <w:sz w:val="20"/>
                <w:szCs w:val="20"/>
                <w:lang/>
              </w:rPr>
            </w:pPr>
            <w:r w:rsidRPr="007666F2">
              <w:rPr>
                <w:rFonts w:eastAsia="Calibri" w:cs="Times New Roman"/>
                <w:sz w:val="20"/>
                <w:szCs w:val="20"/>
                <w:lang/>
              </w:rPr>
              <w:t>736002</w:t>
            </w:r>
          </w:p>
        </w:tc>
        <w:tc>
          <w:tcPr>
            <w:tcW w:w="321" w:type="pct"/>
            <w:tcBorders>
              <w:top w:val="nil"/>
              <w:left w:val="nil"/>
              <w:bottom w:val="single" w:sz="4" w:space="0" w:color="auto"/>
              <w:right w:val="nil"/>
            </w:tcBorders>
            <w:hideMark/>
          </w:tcPr>
          <w:p w14:paraId="7970F301" w14:textId="77777777" w:rsidR="009D3026" w:rsidRPr="007666F2" w:rsidRDefault="009D3026" w:rsidP="002E4B8A">
            <w:pPr>
              <w:spacing w:line="240" w:lineRule="auto"/>
              <w:rPr>
                <w:rFonts w:eastAsia="Calibri" w:cs="Times New Roman"/>
                <w:sz w:val="20"/>
                <w:szCs w:val="20"/>
                <w:lang/>
              </w:rPr>
            </w:pPr>
            <w:r w:rsidRPr="007666F2">
              <w:rPr>
                <w:rFonts w:eastAsia="Calibri" w:cs="Times New Roman"/>
                <w:sz w:val="20"/>
                <w:szCs w:val="20"/>
                <w:lang/>
              </w:rPr>
              <w:t>0.00</w:t>
            </w:r>
          </w:p>
        </w:tc>
        <w:tc>
          <w:tcPr>
            <w:tcW w:w="2016" w:type="pct"/>
            <w:tcBorders>
              <w:top w:val="nil"/>
              <w:left w:val="nil"/>
              <w:bottom w:val="single" w:sz="4" w:space="0" w:color="auto"/>
              <w:right w:val="nil"/>
            </w:tcBorders>
            <w:hideMark/>
          </w:tcPr>
          <w:p w14:paraId="7D27719C" w14:textId="77777777" w:rsidR="009D3026" w:rsidRPr="007666F2" w:rsidRDefault="009D3026" w:rsidP="002E4B8A">
            <w:pPr>
              <w:spacing w:line="240" w:lineRule="auto"/>
              <w:rPr>
                <w:rFonts w:eastAsia="Calibri" w:cs="Times New Roman"/>
                <w:sz w:val="20"/>
                <w:szCs w:val="20"/>
                <w:lang/>
              </w:rPr>
            </w:pPr>
            <w:r w:rsidRPr="007666F2">
              <w:rPr>
                <w:rFonts w:eastAsia="Calibri" w:cs="Times New Roman"/>
                <w:sz w:val="20"/>
                <w:szCs w:val="20"/>
                <w:lang/>
              </w:rPr>
              <w:t>79516648</w:t>
            </w:r>
          </w:p>
        </w:tc>
      </w:tr>
      <w:tr w:rsidR="003B5A8E" w:rsidRPr="007666F2" w14:paraId="40D52DAF" w14:textId="77777777" w:rsidTr="003B5A8E">
        <w:tc>
          <w:tcPr>
            <w:tcW w:w="808" w:type="pct"/>
            <w:vMerge w:val="restart"/>
            <w:tcBorders>
              <w:top w:val="single" w:sz="4" w:space="0" w:color="auto"/>
            </w:tcBorders>
          </w:tcPr>
          <w:p w14:paraId="0A798011" w14:textId="6E5A571F" w:rsidR="009D3026" w:rsidRPr="009D3026" w:rsidRDefault="009D3026" w:rsidP="002E4B8A">
            <w:pPr>
              <w:spacing w:line="240" w:lineRule="auto"/>
              <w:rPr>
                <w:rFonts w:eastAsia="Calibri" w:cs="Times New Roman"/>
                <w:sz w:val="20"/>
                <w:szCs w:val="20"/>
              </w:rPr>
            </w:pPr>
            <w:r w:rsidRPr="009D3026">
              <w:rPr>
                <w:rFonts w:eastAsia="Calibri" w:cs="Times New Roman"/>
                <w:sz w:val="20"/>
                <w:szCs w:val="20"/>
              </w:rPr>
              <w:t>22 - Utilities</w:t>
            </w:r>
          </w:p>
        </w:tc>
        <w:tc>
          <w:tcPr>
            <w:tcW w:w="826" w:type="pct"/>
            <w:tcBorders>
              <w:top w:val="single" w:sz="4" w:space="0" w:color="auto"/>
            </w:tcBorders>
            <w:hideMark/>
          </w:tcPr>
          <w:p w14:paraId="5070DC38" w14:textId="44EB1B0C" w:rsidR="009D3026" w:rsidRPr="007666F2" w:rsidRDefault="009D3026" w:rsidP="002E4B8A">
            <w:pPr>
              <w:spacing w:line="240" w:lineRule="auto"/>
              <w:rPr>
                <w:rFonts w:eastAsia="Calibri" w:cs="Times New Roman"/>
                <w:sz w:val="20"/>
                <w:szCs w:val="20"/>
                <w:lang/>
              </w:rPr>
            </w:pPr>
            <w:r w:rsidRPr="007666F2">
              <w:rPr>
                <w:rFonts w:eastAsia="Calibri" w:cs="Times New Roman"/>
                <w:sz w:val="20"/>
                <w:szCs w:val="20"/>
              </w:rPr>
              <w:t>Establishment Count</w:t>
            </w:r>
          </w:p>
        </w:tc>
        <w:tc>
          <w:tcPr>
            <w:tcW w:w="515" w:type="pct"/>
            <w:tcBorders>
              <w:top w:val="single" w:sz="4" w:space="0" w:color="auto"/>
            </w:tcBorders>
            <w:hideMark/>
          </w:tcPr>
          <w:p w14:paraId="14BD20F8" w14:textId="77777777" w:rsidR="009D3026" w:rsidRPr="007666F2" w:rsidRDefault="009D3026" w:rsidP="002E4B8A">
            <w:pPr>
              <w:spacing w:line="240" w:lineRule="auto"/>
              <w:rPr>
                <w:rFonts w:eastAsia="Calibri" w:cs="Times New Roman"/>
                <w:sz w:val="20"/>
                <w:szCs w:val="20"/>
                <w:lang/>
              </w:rPr>
            </w:pPr>
            <w:r w:rsidRPr="007666F2">
              <w:rPr>
                <w:rFonts w:eastAsia="Calibri" w:cs="Times New Roman"/>
                <w:sz w:val="20"/>
                <w:szCs w:val="20"/>
                <w:lang/>
              </w:rPr>
              <w:t>7</w:t>
            </w:r>
          </w:p>
        </w:tc>
        <w:tc>
          <w:tcPr>
            <w:tcW w:w="514" w:type="pct"/>
            <w:tcBorders>
              <w:top w:val="single" w:sz="4" w:space="0" w:color="auto"/>
            </w:tcBorders>
            <w:hideMark/>
          </w:tcPr>
          <w:p w14:paraId="36A68EA7" w14:textId="77777777" w:rsidR="009D3026" w:rsidRPr="007666F2" w:rsidRDefault="009D3026" w:rsidP="002E4B8A">
            <w:pPr>
              <w:spacing w:line="240" w:lineRule="auto"/>
              <w:rPr>
                <w:rFonts w:eastAsia="Calibri" w:cs="Times New Roman"/>
                <w:sz w:val="20"/>
                <w:szCs w:val="20"/>
                <w:lang/>
              </w:rPr>
            </w:pPr>
            <w:r w:rsidRPr="007666F2">
              <w:rPr>
                <w:rFonts w:eastAsia="Calibri" w:cs="Times New Roman"/>
                <w:sz w:val="20"/>
                <w:szCs w:val="20"/>
                <w:lang/>
              </w:rPr>
              <w:t>12</w:t>
            </w:r>
          </w:p>
        </w:tc>
        <w:tc>
          <w:tcPr>
            <w:tcW w:w="321" w:type="pct"/>
            <w:tcBorders>
              <w:top w:val="single" w:sz="4" w:space="0" w:color="auto"/>
            </w:tcBorders>
            <w:hideMark/>
          </w:tcPr>
          <w:p w14:paraId="2EBB7E3A" w14:textId="77777777" w:rsidR="009D3026" w:rsidRPr="007666F2" w:rsidRDefault="009D3026" w:rsidP="002E4B8A">
            <w:pPr>
              <w:spacing w:line="240" w:lineRule="auto"/>
              <w:rPr>
                <w:rFonts w:eastAsia="Calibri" w:cs="Times New Roman"/>
                <w:sz w:val="20"/>
                <w:szCs w:val="20"/>
                <w:lang/>
              </w:rPr>
            </w:pPr>
            <w:r w:rsidRPr="007666F2">
              <w:rPr>
                <w:rFonts w:eastAsia="Calibri" w:cs="Times New Roman"/>
                <w:sz w:val="20"/>
                <w:szCs w:val="20"/>
                <w:lang/>
              </w:rPr>
              <w:t>1.00</w:t>
            </w:r>
          </w:p>
        </w:tc>
        <w:tc>
          <w:tcPr>
            <w:tcW w:w="2016" w:type="pct"/>
            <w:tcBorders>
              <w:top w:val="single" w:sz="4" w:space="0" w:color="auto"/>
            </w:tcBorders>
            <w:hideMark/>
          </w:tcPr>
          <w:p w14:paraId="69E63D93" w14:textId="77777777" w:rsidR="009D3026" w:rsidRPr="007666F2" w:rsidRDefault="009D3026" w:rsidP="002E4B8A">
            <w:pPr>
              <w:spacing w:line="240" w:lineRule="auto"/>
              <w:rPr>
                <w:rFonts w:eastAsia="Calibri" w:cs="Times New Roman"/>
                <w:sz w:val="20"/>
                <w:szCs w:val="20"/>
                <w:lang/>
              </w:rPr>
            </w:pPr>
            <w:r w:rsidRPr="007666F2">
              <w:rPr>
                <w:rFonts w:eastAsia="Calibri" w:cs="Times New Roman"/>
                <w:sz w:val="20"/>
                <w:szCs w:val="20"/>
                <w:lang/>
              </w:rPr>
              <w:t>420</w:t>
            </w:r>
          </w:p>
        </w:tc>
      </w:tr>
      <w:tr w:rsidR="003B5A8E" w:rsidRPr="007666F2" w14:paraId="2689A71F" w14:textId="77777777" w:rsidTr="003B5A8E">
        <w:tc>
          <w:tcPr>
            <w:tcW w:w="808" w:type="pct"/>
            <w:vMerge/>
          </w:tcPr>
          <w:p w14:paraId="20A73311" w14:textId="77777777" w:rsidR="009D3026" w:rsidRPr="009D3026" w:rsidRDefault="009D3026" w:rsidP="002E4B8A">
            <w:pPr>
              <w:spacing w:line="240" w:lineRule="auto"/>
              <w:rPr>
                <w:rFonts w:eastAsia="Calibri" w:cs="Times New Roman"/>
                <w:sz w:val="20"/>
                <w:szCs w:val="20"/>
              </w:rPr>
            </w:pPr>
          </w:p>
        </w:tc>
        <w:tc>
          <w:tcPr>
            <w:tcW w:w="826" w:type="pct"/>
            <w:hideMark/>
          </w:tcPr>
          <w:p w14:paraId="200503D7" w14:textId="7232C472" w:rsidR="009D3026" w:rsidRPr="007666F2" w:rsidRDefault="009D3026" w:rsidP="002E4B8A">
            <w:pPr>
              <w:spacing w:line="240" w:lineRule="auto"/>
              <w:rPr>
                <w:rFonts w:eastAsia="Calibri" w:cs="Times New Roman"/>
                <w:sz w:val="20"/>
                <w:szCs w:val="20"/>
                <w:lang/>
              </w:rPr>
            </w:pPr>
            <w:r w:rsidRPr="007666F2">
              <w:rPr>
                <w:rFonts w:eastAsia="Calibri" w:cs="Times New Roman"/>
                <w:sz w:val="20"/>
                <w:szCs w:val="20"/>
              </w:rPr>
              <w:t>Employment Count</w:t>
            </w:r>
          </w:p>
        </w:tc>
        <w:tc>
          <w:tcPr>
            <w:tcW w:w="515" w:type="pct"/>
            <w:hideMark/>
          </w:tcPr>
          <w:p w14:paraId="7B710EB7" w14:textId="77777777" w:rsidR="009D3026" w:rsidRPr="007666F2" w:rsidRDefault="009D3026" w:rsidP="002E4B8A">
            <w:pPr>
              <w:spacing w:line="240" w:lineRule="auto"/>
              <w:rPr>
                <w:rFonts w:eastAsia="Calibri" w:cs="Times New Roman"/>
                <w:sz w:val="20"/>
                <w:szCs w:val="20"/>
                <w:lang/>
              </w:rPr>
            </w:pPr>
            <w:r w:rsidRPr="007666F2">
              <w:rPr>
                <w:rFonts w:eastAsia="Calibri" w:cs="Times New Roman"/>
                <w:sz w:val="20"/>
                <w:szCs w:val="20"/>
                <w:lang/>
              </w:rPr>
              <w:t>196</w:t>
            </w:r>
          </w:p>
        </w:tc>
        <w:tc>
          <w:tcPr>
            <w:tcW w:w="514" w:type="pct"/>
            <w:hideMark/>
          </w:tcPr>
          <w:p w14:paraId="3B4E8ADA" w14:textId="77777777" w:rsidR="009D3026" w:rsidRPr="007666F2" w:rsidRDefault="009D3026" w:rsidP="002E4B8A">
            <w:pPr>
              <w:spacing w:line="240" w:lineRule="auto"/>
              <w:rPr>
                <w:rFonts w:eastAsia="Calibri" w:cs="Times New Roman"/>
                <w:sz w:val="20"/>
                <w:szCs w:val="20"/>
                <w:lang/>
              </w:rPr>
            </w:pPr>
            <w:r w:rsidRPr="007666F2">
              <w:rPr>
                <w:rFonts w:eastAsia="Calibri" w:cs="Times New Roman"/>
                <w:sz w:val="20"/>
                <w:szCs w:val="20"/>
                <w:lang/>
              </w:rPr>
              <w:t>664</w:t>
            </w:r>
          </w:p>
        </w:tc>
        <w:tc>
          <w:tcPr>
            <w:tcW w:w="321" w:type="pct"/>
            <w:hideMark/>
          </w:tcPr>
          <w:p w14:paraId="4F319726" w14:textId="77777777" w:rsidR="009D3026" w:rsidRPr="007666F2" w:rsidRDefault="009D3026" w:rsidP="002E4B8A">
            <w:pPr>
              <w:spacing w:line="240" w:lineRule="auto"/>
              <w:rPr>
                <w:rFonts w:eastAsia="Calibri" w:cs="Times New Roman"/>
                <w:sz w:val="20"/>
                <w:szCs w:val="20"/>
                <w:lang/>
              </w:rPr>
            </w:pPr>
            <w:r w:rsidRPr="007666F2">
              <w:rPr>
                <w:rFonts w:eastAsia="Calibri" w:cs="Times New Roman"/>
                <w:sz w:val="20"/>
                <w:szCs w:val="20"/>
                <w:lang/>
              </w:rPr>
              <w:t>0.00</w:t>
            </w:r>
          </w:p>
        </w:tc>
        <w:tc>
          <w:tcPr>
            <w:tcW w:w="2016" w:type="pct"/>
            <w:hideMark/>
          </w:tcPr>
          <w:p w14:paraId="3C80715C" w14:textId="77777777" w:rsidR="009D3026" w:rsidRPr="007666F2" w:rsidRDefault="009D3026" w:rsidP="002E4B8A">
            <w:pPr>
              <w:spacing w:line="240" w:lineRule="auto"/>
              <w:rPr>
                <w:rFonts w:eastAsia="Calibri" w:cs="Times New Roman"/>
                <w:sz w:val="20"/>
                <w:szCs w:val="20"/>
                <w:lang/>
              </w:rPr>
            </w:pPr>
            <w:r w:rsidRPr="007666F2">
              <w:rPr>
                <w:rFonts w:eastAsia="Calibri" w:cs="Times New Roman"/>
                <w:sz w:val="20"/>
                <w:szCs w:val="20"/>
                <w:lang/>
              </w:rPr>
              <w:t>32869</w:t>
            </w:r>
          </w:p>
        </w:tc>
      </w:tr>
      <w:tr w:rsidR="003B5A8E" w:rsidRPr="007666F2" w14:paraId="4D7C26FC" w14:textId="77777777" w:rsidTr="003B5A8E">
        <w:tc>
          <w:tcPr>
            <w:tcW w:w="808" w:type="pct"/>
            <w:vMerge/>
            <w:tcBorders>
              <w:bottom w:val="single" w:sz="4" w:space="0" w:color="auto"/>
            </w:tcBorders>
          </w:tcPr>
          <w:p w14:paraId="54A43E94" w14:textId="77777777" w:rsidR="009D3026" w:rsidRPr="009D3026" w:rsidRDefault="009D3026" w:rsidP="002E4B8A">
            <w:pPr>
              <w:spacing w:line="240" w:lineRule="auto"/>
              <w:rPr>
                <w:rFonts w:eastAsia="Calibri" w:cs="Times New Roman"/>
                <w:sz w:val="20"/>
                <w:szCs w:val="20"/>
              </w:rPr>
            </w:pPr>
          </w:p>
        </w:tc>
        <w:tc>
          <w:tcPr>
            <w:tcW w:w="826" w:type="pct"/>
            <w:tcBorders>
              <w:top w:val="nil"/>
              <w:bottom w:val="single" w:sz="4" w:space="0" w:color="auto"/>
              <w:right w:val="nil"/>
            </w:tcBorders>
            <w:hideMark/>
          </w:tcPr>
          <w:p w14:paraId="027FF1D3" w14:textId="495ECB26" w:rsidR="009D3026" w:rsidRPr="007666F2" w:rsidRDefault="009D3026" w:rsidP="002E4B8A">
            <w:pPr>
              <w:spacing w:line="240" w:lineRule="auto"/>
              <w:rPr>
                <w:rFonts w:eastAsia="Calibri" w:cs="Times New Roman"/>
                <w:sz w:val="20"/>
                <w:szCs w:val="20"/>
                <w:lang/>
              </w:rPr>
            </w:pPr>
            <w:r w:rsidRPr="007666F2">
              <w:rPr>
                <w:rFonts w:eastAsia="Calibri" w:cs="Times New Roman"/>
                <w:sz w:val="20"/>
                <w:szCs w:val="20"/>
              </w:rPr>
              <w:t>S</w:t>
            </w:r>
            <w:r w:rsidRPr="007666F2">
              <w:rPr>
                <w:rFonts w:eastAsia="Calibri" w:cs="Times New Roman"/>
                <w:sz w:val="20"/>
                <w:szCs w:val="20"/>
                <w:lang/>
              </w:rPr>
              <w:t xml:space="preserve">ales </w:t>
            </w:r>
            <w:r w:rsidRPr="007666F2">
              <w:rPr>
                <w:rFonts w:eastAsia="Calibri" w:cs="Times New Roman"/>
                <w:sz w:val="20"/>
                <w:szCs w:val="20"/>
              </w:rPr>
              <w:t>V</w:t>
            </w:r>
            <w:r w:rsidRPr="007666F2">
              <w:rPr>
                <w:rFonts w:eastAsia="Calibri" w:cs="Times New Roman"/>
                <w:sz w:val="20"/>
                <w:szCs w:val="20"/>
                <w:lang/>
              </w:rPr>
              <w:t>olume</w:t>
            </w:r>
          </w:p>
        </w:tc>
        <w:tc>
          <w:tcPr>
            <w:tcW w:w="515" w:type="pct"/>
            <w:tcBorders>
              <w:top w:val="nil"/>
              <w:left w:val="nil"/>
              <w:bottom w:val="single" w:sz="4" w:space="0" w:color="auto"/>
              <w:right w:val="nil"/>
            </w:tcBorders>
            <w:hideMark/>
          </w:tcPr>
          <w:p w14:paraId="016CCC2D" w14:textId="77777777" w:rsidR="009D3026" w:rsidRPr="007666F2" w:rsidRDefault="009D3026" w:rsidP="002E4B8A">
            <w:pPr>
              <w:spacing w:line="240" w:lineRule="auto"/>
              <w:rPr>
                <w:rFonts w:eastAsia="Calibri" w:cs="Times New Roman"/>
                <w:sz w:val="20"/>
                <w:szCs w:val="20"/>
                <w:lang/>
              </w:rPr>
            </w:pPr>
            <w:r w:rsidRPr="007666F2">
              <w:rPr>
                <w:rFonts w:eastAsia="Calibri" w:cs="Times New Roman"/>
                <w:sz w:val="20"/>
                <w:szCs w:val="20"/>
                <w:lang/>
              </w:rPr>
              <w:t>98613</w:t>
            </w:r>
          </w:p>
        </w:tc>
        <w:tc>
          <w:tcPr>
            <w:tcW w:w="514" w:type="pct"/>
            <w:tcBorders>
              <w:top w:val="nil"/>
              <w:left w:val="nil"/>
              <w:bottom w:val="single" w:sz="4" w:space="0" w:color="auto"/>
              <w:right w:val="nil"/>
            </w:tcBorders>
            <w:hideMark/>
          </w:tcPr>
          <w:p w14:paraId="45E18762" w14:textId="77777777" w:rsidR="009D3026" w:rsidRPr="007666F2" w:rsidRDefault="009D3026" w:rsidP="002E4B8A">
            <w:pPr>
              <w:spacing w:line="240" w:lineRule="auto"/>
              <w:rPr>
                <w:rFonts w:eastAsia="Calibri" w:cs="Times New Roman"/>
                <w:sz w:val="20"/>
                <w:szCs w:val="20"/>
                <w:lang/>
              </w:rPr>
            </w:pPr>
            <w:r w:rsidRPr="007666F2">
              <w:rPr>
                <w:rFonts w:eastAsia="Calibri" w:cs="Times New Roman"/>
                <w:sz w:val="20"/>
                <w:szCs w:val="20"/>
                <w:lang/>
              </w:rPr>
              <w:t>323305</w:t>
            </w:r>
          </w:p>
        </w:tc>
        <w:tc>
          <w:tcPr>
            <w:tcW w:w="321" w:type="pct"/>
            <w:tcBorders>
              <w:top w:val="nil"/>
              <w:left w:val="nil"/>
              <w:bottom w:val="single" w:sz="4" w:space="0" w:color="auto"/>
              <w:right w:val="nil"/>
            </w:tcBorders>
            <w:hideMark/>
          </w:tcPr>
          <w:p w14:paraId="78138B71" w14:textId="77777777" w:rsidR="009D3026" w:rsidRPr="007666F2" w:rsidRDefault="009D3026" w:rsidP="002E4B8A">
            <w:pPr>
              <w:spacing w:line="240" w:lineRule="auto"/>
              <w:rPr>
                <w:rFonts w:eastAsia="Calibri" w:cs="Times New Roman"/>
                <w:sz w:val="20"/>
                <w:szCs w:val="20"/>
                <w:lang/>
              </w:rPr>
            </w:pPr>
            <w:r w:rsidRPr="007666F2">
              <w:rPr>
                <w:rFonts w:eastAsia="Calibri" w:cs="Times New Roman"/>
                <w:sz w:val="20"/>
                <w:szCs w:val="20"/>
                <w:lang/>
              </w:rPr>
              <w:t>0.00</w:t>
            </w:r>
          </w:p>
        </w:tc>
        <w:tc>
          <w:tcPr>
            <w:tcW w:w="2016" w:type="pct"/>
            <w:tcBorders>
              <w:top w:val="nil"/>
              <w:left w:val="nil"/>
              <w:bottom w:val="single" w:sz="4" w:space="0" w:color="auto"/>
              <w:right w:val="nil"/>
            </w:tcBorders>
            <w:hideMark/>
          </w:tcPr>
          <w:p w14:paraId="20D95AC6" w14:textId="77777777" w:rsidR="009D3026" w:rsidRPr="007666F2" w:rsidRDefault="009D3026" w:rsidP="002E4B8A">
            <w:pPr>
              <w:spacing w:line="240" w:lineRule="auto"/>
              <w:rPr>
                <w:rFonts w:eastAsia="Calibri" w:cs="Times New Roman"/>
                <w:sz w:val="20"/>
                <w:szCs w:val="20"/>
                <w:lang/>
              </w:rPr>
            </w:pPr>
            <w:r w:rsidRPr="007666F2">
              <w:rPr>
                <w:rFonts w:eastAsia="Calibri" w:cs="Times New Roman"/>
                <w:sz w:val="20"/>
                <w:szCs w:val="20"/>
                <w:lang/>
              </w:rPr>
              <w:t>20420646</w:t>
            </w:r>
          </w:p>
        </w:tc>
      </w:tr>
      <w:tr w:rsidR="003B5A8E" w:rsidRPr="007666F2" w14:paraId="4C1F3CCA" w14:textId="77777777" w:rsidTr="003B5A8E">
        <w:tc>
          <w:tcPr>
            <w:tcW w:w="808" w:type="pct"/>
            <w:vMerge w:val="restart"/>
            <w:tcBorders>
              <w:top w:val="single" w:sz="4" w:space="0" w:color="auto"/>
            </w:tcBorders>
          </w:tcPr>
          <w:p w14:paraId="48762FFF" w14:textId="76F82D1F" w:rsidR="009D3026" w:rsidRPr="009D3026" w:rsidRDefault="009D3026" w:rsidP="002E4B8A">
            <w:pPr>
              <w:spacing w:line="240" w:lineRule="auto"/>
              <w:rPr>
                <w:rFonts w:eastAsia="Calibri" w:cs="Times New Roman"/>
                <w:sz w:val="20"/>
                <w:szCs w:val="20"/>
              </w:rPr>
            </w:pPr>
            <w:r w:rsidRPr="009D3026">
              <w:rPr>
                <w:rFonts w:eastAsia="Calibri" w:cs="Times New Roman"/>
                <w:sz w:val="20"/>
                <w:szCs w:val="20"/>
              </w:rPr>
              <w:t>23 - Construction</w:t>
            </w:r>
          </w:p>
        </w:tc>
        <w:tc>
          <w:tcPr>
            <w:tcW w:w="826" w:type="pct"/>
            <w:tcBorders>
              <w:top w:val="single" w:sz="4" w:space="0" w:color="auto"/>
            </w:tcBorders>
            <w:hideMark/>
          </w:tcPr>
          <w:p w14:paraId="58E7200A" w14:textId="06B4282E" w:rsidR="009D3026" w:rsidRPr="007666F2" w:rsidRDefault="009D3026" w:rsidP="002E4B8A">
            <w:pPr>
              <w:spacing w:line="240" w:lineRule="auto"/>
              <w:rPr>
                <w:rFonts w:eastAsia="Calibri" w:cs="Times New Roman"/>
                <w:sz w:val="20"/>
                <w:szCs w:val="20"/>
                <w:lang/>
              </w:rPr>
            </w:pPr>
            <w:r w:rsidRPr="007666F2">
              <w:rPr>
                <w:rFonts w:eastAsia="Calibri" w:cs="Times New Roman"/>
                <w:sz w:val="20"/>
                <w:szCs w:val="20"/>
              </w:rPr>
              <w:t>Establishment Count</w:t>
            </w:r>
          </w:p>
        </w:tc>
        <w:tc>
          <w:tcPr>
            <w:tcW w:w="515" w:type="pct"/>
            <w:tcBorders>
              <w:top w:val="single" w:sz="4" w:space="0" w:color="auto"/>
            </w:tcBorders>
            <w:hideMark/>
          </w:tcPr>
          <w:p w14:paraId="35C50D07" w14:textId="77777777" w:rsidR="009D3026" w:rsidRPr="007666F2" w:rsidRDefault="009D3026" w:rsidP="002E4B8A">
            <w:pPr>
              <w:spacing w:line="240" w:lineRule="auto"/>
              <w:rPr>
                <w:rFonts w:eastAsia="Calibri" w:cs="Times New Roman"/>
                <w:sz w:val="20"/>
                <w:szCs w:val="20"/>
                <w:lang/>
              </w:rPr>
            </w:pPr>
            <w:r w:rsidRPr="007666F2">
              <w:rPr>
                <w:rFonts w:eastAsia="Calibri" w:cs="Times New Roman"/>
                <w:sz w:val="20"/>
                <w:szCs w:val="20"/>
                <w:lang/>
              </w:rPr>
              <w:t>301</w:t>
            </w:r>
          </w:p>
        </w:tc>
        <w:tc>
          <w:tcPr>
            <w:tcW w:w="514" w:type="pct"/>
            <w:tcBorders>
              <w:top w:val="single" w:sz="4" w:space="0" w:color="auto"/>
            </w:tcBorders>
            <w:hideMark/>
          </w:tcPr>
          <w:p w14:paraId="6391A6DF" w14:textId="77777777" w:rsidR="009D3026" w:rsidRPr="007666F2" w:rsidRDefault="009D3026" w:rsidP="002E4B8A">
            <w:pPr>
              <w:spacing w:line="240" w:lineRule="auto"/>
              <w:rPr>
                <w:rFonts w:eastAsia="Calibri" w:cs="Times New Roman"/>
                <w:sz w:val="20"/>
                <w:szCs w:val="20"/>
                <w:lang/>
              </w:rPr>
            </w:pPr>
            <w:r w:rsidRPr="007666F2">
              <w:rPr>
                <w:rFonts w:eastAsia="Calibri" w:cs="Times New Roman"/>
                <w:sz w:val="20"/>
                <w:szCs w:val="20"/>
                <w:lang/>
              </w:rPr>
              <w:t>829</w:t>
            </w:r>
          </w:p>
        </w:tc>
        <w:tc>
          <w:tcPr>
            <w:tcW w:w="321" w:type="pct"/>
            <w:tcBorders>
              <w:top w:val="single" w:sz="4" w:space="0" w:color="auto"/>
            </w:tcBorders>
            <w:hideMark/>
          </w:tcPr>
          <w:p w14:paraId="65BBB757" w14:textId="77777777" w:rsidR="009D3026" w:rsidRPr="007666F2" w:rsidRDefault="009D3026" w:rsidP="002E4B8A">
            <w:pPr>
              <w:spacing w:line="240" w:lineRule="auto"/>
              <w:rPr>
                <w:rFonts w:eastAsia="Calibri" w:cs="Times New Roman"/>
                <w:sz w:val="20"/>
                <w:szCs w:val="20"/>
                <w:lang/>
              </w:rPr>
            </w:pPr>
            <w:r w:rsidRPr="007666F2">
              <w:rPr>
                <w:rFonts w:eastAsia="Calibri" w:cs="Times New Roman"/>
                <w:sz w:val="20"/>
                <w:szCs w:val="20"/>
                <w:lang/>
              </w:rPr>
              <w:t>0.00</w:t>
            </w:r>
          </w:p>
        </w:tc>
        <w:tc>
          <w:tcPr>
            <w:tcW w:w="2016" w:type="pct"/>
            <w:tcBorders>
              <w:top w:val="single" w:sz="4" w:space="0" w:color="auto"/>
            </w:tcBorders>
            <w:hideMark/>
          </w:tcPr>
          <w:p w14:paraId="6D7567E2" w14:textId="77777777" w:rsidR="009D3026" w:rsidRPr="007666F2" w:rsidRDefault="009D3026" w:rsidP="002E4B8A">
            <w:pPr>
              <w:spacing w:line="240" w:lineRule="auto"/>
              <w:rPr>
                <w:rFonts w:eastAsia="Calibri" w:cs="Times New Roman"/>
                <w:sz w:val="20"/>
                <w:szCs w:val="20"/>
                <w:lang/>
              </w:rPr>
            </w:pPr>
            <w:r w:rsidRPr="007666F2">
              <w:rPr>
                <w:rFonts w:eastAsia="Calibri" w:cs="Times New Roman"/>
                <w:sz w:val="20"/>
                <w:szCs w:val="20"/>
                <w:lang/>
              </w:rPr>
              <w:t>26029</w:t>
            </w:r>
          </w:p>
        </w:tc>
      </w:tr>
      <w:tr w:rsidR="003B5A8E" w:rsidRPr="007666F2" w14:paraId="7132C4D9" w14:textId="77777777" w:rsidTr="003B5A8E">
        <w:tc>
          <w:tcPr>
            <w:tcW w:w="808" w:type="pct"/>
            <w:vMerge/>
          </w:tcPr>
          <w:p w14:paraId="4830897E" w14:textId="77777777" w:rsidR="009D3026" w:rsidRPr="009D3026" w:rsidRDefault="009D3026" w:rsidP="002E4B8A">
            <w:pPr>
              <w:spacing w:line="240" w:lineRule="auto"/>
              <w:rPr>
                <w:rFonts w:eastAsia="Calibri" w:cs="Times New Roman"/>
                <w:sz w:val="20"/>
                <w:szCs w:val="20"/>
              </w:rPr>
            </w:pPr>
          </w:p>
        </w:tc>
        <w:tc>
          <w:tcPr>
            <w:tcW w:w="826" w:type="pct"/>
            <w:hideMark/>
          </w:tcPr>
          <w:p w14:paraId="7AC69D5F" w14:textId="791C27D2" w:rsidR="009D3026" w:rsidRPr="007666F2" w:rsidRDefault="009D3026" w:rsidP="002E4B8A">
            <w:pPr>
              <w:spacing w:line="240" w:lineRule="auto"/>
              <w:rPr>
                <w:rFonts w:eastAsia="Calibri" w:cs="Times New Roman"/>
                <w:sz w:val="20"/>
                <w:szCs w:val="20"/>
                <w:lang/>
              </w:rPr>
            </w:pPr>
            <w:r w:rsidRPr="007666F2">
              <w:rPr>
                <w:rFonts w:eastAsia="Calibri" w:cs="Times New Roman"/>
                <w:sz w:val="20"/>
                <w:szCs w:val="20"/>
              </w:rPr>
              <w:t>Employment Count</w:t>
            </w:r>
          </w:p>
        </w:tc>
        <w:tc>
          <w:tcPr>
            <w:tcW w:w="515" w:type="pct"/>
            <w:hideMark/>
          </w:tcPr>
          <w:p w14:paraId="30904843" w14:textId="77777777" w:rsidR="009D3026" w:rsidRPr="007666F2" w:rsidRDefault="009D3026" w:rsidP="002E4B8A">
            <w:pPr>
              <w:spacing w:line="240" w:lineRule="auto"/>
              <w:rPr>
                <w:rFonts w:eastAsia="Calibri" w:cs="Times New Roman"/>
                <w:sz w:val="20"/>
                <w:szCs w:val="20"/>
                <w:lang/>
              </w:rPr>
            </w:pPr>
            <w:r w:rsidRPr="007666F2">
              <w:rPr>
                <w:rFonts w:eastAsia="Calibri" w:cs="Times New Roman"/>
                <w:sz w:val="20"/>
                <w:szCs w:val="20"/>
                <w:lang/>
              </w:rPr>
              <w:t>2214</w:t>
            </w:r>
          </w:p>
        </w:tc>
        <w:tc>
          <w:tcPr>
            <w:tcW w:w="514" w:type="pct"/>
            <w:hideMark/>
          </w:tcPr>
          <w:p w14:paraId="2A310AD5" w14:textId="77777777" w:rsidR="009D3026" w:rsidRPr="007666F2" w:rsidRDefault="009D3026" w:rsidP="002E4B8A">
            <w:pPr>
              <w:spacing w:line="240" w:lineRule="auto"/>
              <w:rPr>
                <w:rFonts w:eastAsia="Calibri" w:cs="Times New Roman"/>
                <w:sz w:val="20"/>
                <w:szCs w:val="20"/>
                <w:lang/>
              </w:rPr>
            </w:pPr>
            <w:r w:rsidRPr="007666F2">
              <w:rPr>
                <w:rFonts w:eastAsia="Calibri" w:cs="Times New Roman"/>
                <w:sz w:val="20"/>
                <w:szCs w:val="20"/>
                <w:lang/>
              </w:rPr>
              <w:t>7002</w:t>
            </w:r>
          </w:p>
        </w:tc>
        <w:tc>
          <w:tcPr>
            <w:tcW w:w="321" w:type="pct"/>
            <w:hideMark/>
          </w:tcPr>
          <w:p w14:paraId="367954B6" w14:textId="77777777" w:rsidR="009D3026" w:rsidRPr="007666F2" w:rsidRDefault="009D3026" w:rsidP="002E4B8A">
            <w:pPr>
              <w:spacing w:line="240" w:lineRule="auto"/>
              <w:rPr>
                <w:rFonts w:eastAsia="Calibri" w:cs="Times New Roman"/>
                <w:sz w:val="20"/>
                <w:szCs w:val="20"/>
                <w:lang/>
              </w:rPr>
            </w:pPr>
            <w:r w:rsidRPr="007666F2">
              <w:rPr>
                <w:rFonts w:eastAsia="Calibri" w:cs="Times New Roman"/>
                <w:sz w:val="20"/>
                <w:szCs w:val="20"/>
                <w:lang/>
              </w:rPr>
              <w:t>0.00</w:t>
            </w:r>
          </w:p>
        </w:tc>
        <w:tc>
          <w:tcPr>
            <w:tcW w:w="2016" w:type="pct"/>
            <w:hideMark/>
          </w:tcPr>
          <w:p w14:paraId="67B3A0F5" w14:textId="77777777" w:rsidR="009D3026" w:rsidRPr="007666F2" w:rsidRDefault="009D3026" w:rsidP="002E4B8A">
            <w:pPr>
              <w:spacing w:line="240" w:lineRule="auto"/>
              <w:rPr>
                <w:rFonts w:eastAsia="Calibri" w:cs="Times New Roman"/>
                <w:sz w:val="20"/>
                <w:szCs w:val="20"/>
                <w:lang/>
              </w:rPr>
            </w:pPr>
            <w:r w:rsidRPr="007666F2">
              <w:rPr>
                <w:rFonts w:eastAsia="Calibri" w:cs="Times New Roman"/>
                <w:sz w:val="20"/>
                <w:szCs w:val="20"/>
                <w:lang/>
              </w:rPr>
              <w:t>180952</w:t>
            </w:r>
          </w:p>
        </w:tc>
      </w:tr>
      <w:tr w:rsidR="003B5A8E" w:rsidRPr="007666F2" w14:paraId="4BB15E8A" w14:textId="77777777" w:rsidTr="003B5A8E">
        <w:tc>
          <w:tcPr>
            <w:tcW w:w="808" w:type="pct"/>
            <w:vMerge/>
            <w:tcBorders>
              <w:bottom w:val="single" w:sz="4" w:space="0" w:color="auto"/>
            </w:tcBorders>
          </w:tcPr>
          <w:p w14:paraId="644968BE" w14:textId="77777777" w:rsidR="009D3026" w:rsidRPr="009D3026" w:rsidRDefault="009D3026" w:rsidP="002E4B8A">
            <w:pPr>
              <w:spacing w:line="240" w:lineRule="auto"/>
              <w:rPr>
                <w:rFonts w:eastAsia="Calibri" w:cs="Times New Roman"/>
                <w:sz w:val="20"/>
                <w:szCs w:val="20"/>
              </w:rPr>
            </w:pPr>
          </w:p>
        </w:tc>
        <w:tc>
          <w:tcPr>
            <w:tcW w:w="826" w:type="pct"/>
            <w:tcBorders>
              <w:top w:val="nil"/>
              <w:bottom w:val="single" w:sz="4" w:space="0" w:color="auto"/>
              <w:right w:val="nil"/>
            </w:tcBorders>
            <w:hideMark/>
          </w:tcPr>
          <w:p w14:paraId="4FC94F59" w14:textId="09177753" w:rsidR="009D3026" w:rsidRPr="007666F2" w:rsidRDefault="009D3026" w:rsidP="002E4B8A">
            <w:pPr>
              <w:spacing w:line="240" w:lineRule="auto"/>
              <w:rPr>
                <w:rFonts w:eastAsia="Calibri" w:cs="Times New Roman"/>
                <w:sz w:val="20"/>
                <w:szCs w:val="20"/>
                <w:lang/>
              </w:rPr>
            </w:pPr>
            <w:r w:rsidRPr="007666F2">
              <w:rPr>
                <w:rFonts w:eastAsia="Calibri" w:cs="Times New Roman"/>
                <w:sz w:val="20"/>
                <w:szCs w:val="20"/>
              </w:rPr>
              <w:t>S</w:t>
            </w:r>
            <w:r w:rsidRPr="007666F2">
              <w:rPr>
                <w:rFonts w:eastAsia="Calibri" w:cs="Times New Roman"/>
                <w:sz w:val="20"/>
                <w:szCs w:val="20"/>
                <w:lang/>
              </w:rPr>
              <w:t xml:space="preserve">ales </w:t>
            </w:r>
            <w:r w:rsidRPr="007666F2">
              <w:rPr>
                <w:rFonts w:eastAsia="Calibri" w:cs="Times New Roman"/>
                <w:sz w:val="20"/>
                <w:szCs w:val="20"/>
              </w:rPr>
              <w:t>V</w:t>
            </w:r>
            <w:r w:rsidRPr="007666F2">
              <w:rPr>
                <w:rFonts w:eastAsia="Calibri" w:cs="Times New Roman"/>
                <w:sz w:val="20"/>
                <w:szCs w:val="20"/>
                <w:lang/>
              </w:rPr>
              <w:t>olume</w:t>
            </w:r>
          </w:p>
        </w:tc>
        <w:tc>
          <w:tcPr>
            <w:tcW w:w="515" w:type="pct"/>
            <w:tcBorders>
              <w:top w:val="nil"/>
              <w:left w:val="nil"/>
              <w:bottom w:val="single" w:sz="4" w:space="0" w:color="auto"/>
              <w:right w:val="nil"/>
            </w:tcBorders>
            <w:hideMark/>
          </w:tcPr>
          <w:p w14:paraId="78F5F5D3" w14:textId="77777777" w:rsidR="009D3026" w:rsidRPr="007666F2" w:rsidRDefault="009D3026" w:rsidP="002E4B8A">
            <w:pPr>
              <w:spacing w:line="240" w:lineRule="auto"/>
              <w:rPr>
                <w:rFonts w:eastAsia="Calibri" w:cs="Times New Roman"/>
                <w:sz w:val="20"/>
                <w:szCs w:val="20"/>
                <w:lang/>
              </w:rPr>
            </w:pPr>
            <w:r w:rsidRPr="007666F2">
              <w:rPr>
                <w:rFonts w:eastAsia="Calibri" w:cs="Times New Roman"/>
                <w:sz w:val="20"/>
                <w:szCs w:val="20"/>
                <w:lang/>
              </w:rPr>
              <w:t>468517</w:t>
            </w:r>
          </w:p>
        </w:tc>
        <w:tc>
          <w:tcPr>
            <w:tcW w:w="514" w:type="pct"/>
            <w:tcBorders>
              <w:top w:val="nil"/>
              <w:left w:val="nil"/>
              <w:bottom w:val="single" w:sz="4" w:space="0" w:color="auto"/>
              <w:right w:val="nil"/>
            </w:tcBorders>
            <w:hideMark/>
          </w:tcPr>
          <w:p w14:paraId="0EE4A075" w14:textId="77777777" w:rsidR="009D3026" w:rsidRPr="007666F2" w:rsidRDefault="009D3026" w:rsidP="002E4B8A">
            <w:pPr>
              <w:spacing w:line="240" w:lineRule="auto"/>
              <w:rPr>
                <w:rFonts w:eastAsia="Calibri" w:cs="Times New Roman"/>
                <w:sz w:val="20"/>
                <w:szCs w:val="20"/>
                <w:lang/>
              </w:rPr>
            </w:pPr>
            <w:r w:rsidRPr="007666F2">
              <w:rPr>
                <w:rFonts w:eastAsia="Calibri" w:cs="Times New Roman"/>
                <w:sz w:val="20"/>
                <w:szCs w:val="20"/>
                <w:lang/>
              </w:rPr>
              <w:t>1654091</w:t>
            </w:r>
          </w:p>
        </w:tc>
        <w:tc>
          <w:tcPr>
            <w:tcW w:w="321" w:type="pct"/>
            <w:tcBorders>
              <w:top w:val="nil"/>
              <w:left w:val="nil"/>
              <w:bottom w:val="single" w:sz="4" w:space="0" w:color="auto"/>
              <w:right w:val="nil"/>
            </w:tcBorders>
            <w:hideMark/>
          </w:tcPr>
          <w:p w14:paraId="73EC6545" w14:textId="77777777" w:rsidR="009D3026" w:rsidRPr="007666F2" w:rsidRDefault="009D3026" w:rsidP="002E4B8A">
            <w:pPr>
              <w:spacing w:line="240" w:lineRule="auto"/>
              <w:rPr>
                <w:rFonts w:eastAsia="Calibri" w:cs="Times New Roman"/>
                <w:sz w:val="20"/>
                <w:szCs w:val="20"/>
                <w:lang/>
              </w:rPr>
            </w:pPr>
            <w:r w:rsidRPr="007666F2">
              <w:rPr>
                <w:rFonts w:eastAsia="Calibri" w:cs="Times New Roman"/>
                <w:sz w:val="20"/>
                <w:szCs w:val="20"/>
                <w:lang/>
              </w:rPr>
              <w:t>0.00</w:t>
            </w:r>
          </w:p>
        </w:tc>
        <w:tc>
          <w:tcPr>
            <w:tcW w:w="2016" w:type="pct"/>
            <w:tcBorders>
              <w:top w:val="nil"/>
              <w:left w:val="nil"/>
              <w:bottom w:val="single" w:sz="4" w:space="0" w:color="auto"/>
              <w:right w:val="nil"/>
            </w:tcBorders>
            <w:hideMark/>
          </w:tcPr>
          <w:p w14:paraId="4EF5EDD2" w14:textId="77777777" w:rsidR="009D3026" w:rsidRPr="007666F2" w:rsidRDefault="009D3026" w:rsidP="002E4B8A">
            <w:pPr>
              <w:spacing w:line="240" w:lineRule="auto"/>
              <w:rPr>
                <w:rFonts w:eastAsia="Calibri" w:cs="Times New Roman"/>
                <w:sz w:val="20"/>
                <w:szCs w:val="20"/>
                <w:lang/>
              </w:rPr>
            </w:pPr>
            <w:r w:rsidRPr="007666F2">
              <w:rPr>
                <w:rFonts w:eastAsia="Calibri" w:cs="Times New Roman"/>
                <w:sz w:val="20"/>
                <w:szCs w:val="20"/>
                <w:lang/>
              </w:rPr>
              <w:t>105773792</w:t>
            </w:r>
          </w:p>
        </w:tc>
      </w:tr>
      <w:tr w:rsidR="003B5A8E" w:rsidRPr="007666F2" w14:paraId="70B0DE11" w14:textId="77777777" w:rsidTr="003B5A8E">
        <w:tc>
          <w:tcPr>
            <w:tcW w:w="808" w:type="pct"/>
            <w:vMerge w:val="restart"/>
            <w:tcBorders>
              <w:top w:val="single" w:sz="4" w:space="0" w:color="auto"/>
            </w:tcBorders>
          </w:tcPr>
          <w:p w14:paraId="40BEE9F4" w14:textId="29E7EB49" w:rsidR="009D3026" w:rsidRPr="009D3026" w:rsidRDefault="009D3026" w:rsidP="002E4B8A">
            <w:pPr>
              <w:spacing w:line="240" w:lineRule="auto"/>
              <w:rPr>
                <w:rFonts w:eastAsia="Calibri" w:cs="Times New Roman"/>
                <w:sz w:val="20"/>
                <w:szCs w:val="20"/>
              </w:rPr>
            </w:pPr>
            <w:r w:rsidRPr="009D3026">
              <w:rPr>
                <w:rFonts w:eastAsia="Calibri" w:cs="Times New Roman"/>
                <w:sz w:val="20"/>
                <w:szCs w:val="20"/>
              </w:rPr>
              <w:t>53 – Real Estate, Rental, and Leasing</w:t>
            </w:r>
          </w:p>
        </w:tc>
        <w:tc>
          <w:tcPr>
            <w:tcW w:w="826" w:type="pct"/>
            <w:tcBorders>
              <w:top w:val="single" w:sz="4" w:space="0" w:color="auto"/>
            </w:tcBorders>
            <w:hideMark/>
          </w:tcPr>
          <w:p w14:paraId="74A28926" w14:textId="657B281E" w:rsidR="009D3026" w:rsidRPr="007666F2" w:rsidRDefault="009D3026" w:rsidP="002E4B8A">
            <w:pPr>
              <w:spacing w:line="240" w:lineRule="auto"/>
              <w:rPr>
                <w:rFonts w:eastAsia="Calibri" w:cs="Times New Roman"/>
                <w:sz w:val="20"/>
                <w:szCs w:val="20"/>
                <w:lang/>
              </w:rPr>
            </w:pPr>
            <w:r w:rsidRPr="007666F2">
              <w:rPr>
                <w:rFonts w:eastAsia="Calibri" w:cs="Times New Roman"/>
                <w:sz w:val="20"/>
                <w:szCs w:val="20"/>
              </w:rPr>
              <w:t>Establishment Count</w:t>
            </w:r>
          </w:p>
        </w:tc>
        <w:tc>
          <w:tcPr>
            <w:tcW w:w="515" w:type="pct"/>
            <w:tcBorders>
              <w:top w:val="single" w:sz="4" w:space="0" w:color="auto"/>
            </w:tcBorders>
            <w:hideMark/>
          </w:tcPr>
          <w:p w14:paraId="1A747942" w14:textId="77777777" w:rsidR="009D3026" w:rsidRPr="007666F2" w:rsidRDefault="009D3026" w:rsidP="002E4B8A">
            <w:pPr>
              <w:spacing w:line="240" w:lineRule="auto"/>
              <w:rPr>
                <w:rFonts w:eastAsia="Calibri" w:cs="Times New Roman"/>
                <w:sz w:val="20"/>
                <w:szCs w:val="20"/>
                <w:lang/>
              </w:rPr>
            </w:pPr>
            <w:r w:rsidRPr="007666F2">
              <w:rPr>
                <w:rFonts w:eastAsia="Calibri" w:cs="Times New Roman"/>
                <w:sz w:val="20"/>
                <w:szCs w:val="20"/>
                <w:lang/>
              </w:rPr>
              <w:t>193</w:t>
            </w:r>
          </w:p>
        </w:tc>
        <w:tc>
          <w:tcPr>
            <w:tcW w:w="514" w:type="pct"/>
            <w:tcBorders>
              <w:top w:val="single" w:sz="4" w:space="0" w:color="auto"/>
            </w:tcBorders>
            <w:hideMark/>
          </w:tcPr>
          <w:p w14:paraId="015C9599" w14:textId="77777777" w:rsidR="009D3026" w:rsidRPr="007666F2" w:rsidRDefault="009D3026" w:rsidP="002E4B8A">
            <w:pPr>
              <w:spacing w:line="240" w:lineRule="auto"/>
              <w:rPr>
                <w:rFonts w:eastAsia="Calibri" w:cs="Times New Roman"/>
                <w:sz w:val="20"/>
                <w:szCs w:val="20"/>
                <w:lang/>
              </w:rPr>
            </w:pPr>
            <w:r w:rsidRPr="007666F2">
              <w:rPr>
                <w:rFonts w:eastAsia="Calibri" w:cs="Times New Roman"/>
                <w:sz w:val="20"/>
                <w:szCs w:val="20"/>
                <w:lang/>
              </w:rPr>
              <w:t>692</w:t>
            </w:r>
          </w:p>
        </w:tc>
        <w:tc>
          <w:tcPr>
            <w:tcW w:w="321" w:type="pct"/>
            <w:tcBorders>
              <w:top w:val="single" w:sz="4" w:space="0" w:color="auto"/>
            </w:tcBorders>
            <w:hideMark/>
          </w:tcPr>
          <w:p w14:paraId="57E3C009" w14:textId="77777777" w:rsidR="009D3026" w:rsidRPr="007666F2" w:rsidRDefault="009D3026" w:rsidP="002E4B8A">
            <w:pPr>
              <w:spacing w:line="240" w:lineRule="auto"/>
              <w:rPr>
                <w:rFonts w:eastAsia="Calibri" w:cs="Times New Roman"/>
                <w:sz w:val="20"/>
                <w:szCs w:val="20"/>
                <w:lang/>
              </w:rPr>
            </w:pPr>
            <w:r w:rsidRPr="007666F2">
              <w:rPr>
                <w:rFonts w:eastAsia="Calibri" w:cs="Times New Roman"/>
                <w:sz w:val="20"/>
                <w:szCs w:val="20"/>
                <w:lang/>
              </w:rPr>
              <w:t>0.00</w:t>
            </w:r>
          </w:p>
        </w:tc>
        <w:tc>
          <w:tcPr>
            <w:tcW w:w="2016" w:type="pct"/>
            <w:tcBorders>
              <w:top w:val="single" w:sz="4" w:space="0" w:color="auto"/>
            </w:tcBorders>
            <w:hideMark/>
          </w:tcPr>
          <w:p w14:paraId="574AEE9D" w14:textId="77777777" w:rsidR="009D3026" w:rsidRPr="007666F2" w:rsidRDefault="009D3026" w:rsidP="002E4B8A">
            <w:pPr>
              <w:spacing w:line="240" w:lineRule="auto"/>
              <w:rPr>
                <w:rFonts w:eastAsia="Calibri" w:cs="Times New Roman"/>
                <w:sz w:val="20"/>
                <w:szCs w:val="20"/>
                <w:lang/>
              </w:rPr>
            </w:pPr>
            <w:r w:rsidRPr="007666F2">
              <w:rPr>
                <w:rFonts w:eastAsia="Calibri" w:cs="Times New Roman"/>
                <w:sz w:val="20"/>
                <w:szCs w:val="20"/>
                <w:lang/>
              </w:rPr>
              <w:t>36535</w:t>
            </w:r>
          </w:p>
        </w:tc>
      </w:tr>
      <w:tr w:rsidR="003B5A8E" w:rsidRPr="007666F2" w14:paraId="380CAC5C" w14:textId="77777777" w:rsidTr="003B5A8E">
        <w:tc>
          <w:tcPr>
            <w:tcW w:w="808" w:type="pct"/>
            <w:vMerge/>
          </w:tcPr>
          <w:p w14:paraId="71766AD1" w14:textId="77777777" w:rsidR="009D3026" w:rsidRPr="009D3026" w:rsidRDefault="009D3026" w:rsidP="002E4B8A">
            <w:pPr>
              <w:spacing w:line="240" w:lineRule="auto"/>
              <w:rPr>
                <w:rFonts w:eastAsia="Calibri" w:cs="Times New Roman"/>
                <w:sz w:val="20"/>
                <w:szCs w:val="20"/>
              </w:rPr>
            </w:pPr>
          </w:p>
        </w:tc>
        <w:tc>
          <w:tcPr>
            <w:tcW w:w="826" w:type="pct"/>
            <w:hideMark/>
          </w:tcPr>
          <w:p w14:paraId="6AD85866" w14:textId="7722146C" w:rsidR="009D3026" w:rsidRPr="007666F2" w:rsidRDefault="009D3026" w:rsidP="002E4B8A">
            <w:pPr>
              <w:spacing w:line="240" w:lineRule="auto"/>
              <w:rPr>
                <w:rFonts w:eastAsia="Calibri" w:cs="Times New Roman"/>
                <w:sz w:val="20"/>
                <w:szCs w:val="20"/>
                <w:lang/>
              </w:rPr>
            </w:pPr>
            <w:r w:rsidRPr="007666F2">
              <w:rPr>
                <w:rFonts w:eastAsia="Calibri" w:cs="Times New Roman"/>
                <w:sz w:val="20"/>
                <w:szCs w:val="20"/>
              </w:rPr>
              <w:t>Employment Count</w:t>
            </w:r>
          </w:p>
        </w:tc>
        <w:tc>
          <w:tcPr>
            <w:tcW w:w="515" w:type="pct"/>
            <w:hideMark/>
          </w:tcPr>
          <w:p w14:paraId="08C44130" w14:textId="77777777" w:rsidR="009D3026" w:rsidRPr="007666F2" w:rsidRDefault="009D3026" w:rsidP="002E4B8A">
            <w:pPr>
              <w:spacing w:line="240" w:lineRule="auto"/>
              <w:rPr>
                <w:rFonts w:eastAsia="Calibri" w:cs="Times New Roman"/>
                <w:sz w:val="20"/>
                <w:szCs w:val="20"/>
                <w:lang/>
              </w:rPr>
            </w:pPr>
            <w:r w:rsidRPr="007666F2">
              <w:rPr>
                <w:rFonts w:eastAsia="Calibri" w:cs="Times New Roman"/>
                <w:sz w:val="20"/>
                <w:szCs w:val="20"/>
                <w:lang/>
              </w:rPr>
              <w:t>1186</w:t>
            </w:r>
          </w:p>
        </w:tc>
        <w:tc>
          <w:tcPr>
            <w:tcW w:w="514" w:type="pct"/>
            <w:hideMark/>
          </w:tcPr>
          <w:p w14:paraId="6C0572ED" w14:textId="77777777" w:rsidR="009D3026" w:rsidRPr="007666F2" w:rsidRDefault="009D3026" w:rsidP="002E4B8A">
            <w:pPr>
              <w:spacing w:line="240" w:lineRule="auto"/>
              <w:rPr>
                <w:rFonts w:eastAsia="Calibri" w:cs="Times New Roman"/>
                <w:sz w:val="20"/>
                <w:szCs w:val="20"/>
                <w:lang/>
              </w:rPr>
            </w:pPr>
            <w:r w:rsidRPr="007666F2">
              <w:rPr>
                <w:rFonts w:eastAsia="Calibri" w:cs="Times New Roman"/>
                <w:sz w:val="20"/>
                <w:szCs w:val="20"/>
                <w:lang/>
              </w:rPr>
              <w:t>4972</w:t>
            </w:r>
          </w:p>
        </w:tc>
        <w:tc>
          <w:tcPr>
            <w:tcW w:w="321" w:type="pct"/>
            <w:hideMark/>
          </w:tcPr>
          <w:p w14:paraId="2816D98C" w14:textId="77777777" w:rsidR="009D3026" w:rsidRPr="007666F2" w:rsidRDefault="009D3026" w:rsidP="002E4B8A">
            <w:pPr>
              <w:spacing w:line="240" w:lineRule="auto"/>
              <w:rPr>
                <w:rFonts w:eastAsia="Calibri" w:cs="Times New Roman"/>
                <w:sz w:val="20"/>
                <w:szCs w:val="20"/>
                <w:lang/>
              </w:rPr>
            </w:pPr>
            <w:r w:rsidRPr="007666F2">
              <w:rPr>
                <w:rFonts w:eastAsia="Calibri" w:cs="Times New Roman"/>
                <w:sz w:val="20"/>
                <w:szCs w:val="20"/>
                <w:lang/>
              </w:rPr>
              <w:t>0.00</w:t>
            </w:r>
          </w:p>
        </w:tc>
        <w:tc>
          <w:tcPr>
            <w:tcW w:w="2016" w:type="pct"/>
            <w:hideMark/>
          </w:tcPr>
          <w:p w14:paraId="0FA4959F" w14:textId="77777777" w:rsidR="009D3026" w:rsidRPr="007666F2" w:rsidRDefault="009D3026" w:rsidP="002E4B8A">
            <w:pPr>
              <w:spacing w:line="240" w:lineRule="auto"/>
              <w:rPr>
                <w:rFonts w:eastAsia="Calibri" w:cs="Times New Roman"/>
                <w:sz w:val="20"/>
                <w:szCs w:val="20"/>
                <w:lang/>
              </w:rPr>
            </w:pPr>
            <w:r w:rsidRPr="007666F2">
              <w:rPr>
                <w:rFonts w:eastAsia="Calibri" w:cs="Times New Roman"/>
                <w:sz w:val="20"/>
                <w:szCs w:val="20"/>
                <w:lang/>
              </w:rPr>
              <w:t>159344</w:t>
            </w:r>
          </w:p>
        </w:tc>
      </w:tr>
      <w:tr w:rsidR="003B5A8E" w:rsidRPr="007666F2" w14:paraId="5EC2F42E" w14:textId="77777777" w:rsidTr="003B5A8E">
        <w:tc>
          <w:tcPr>
            <w:tcW w:w="808" w:type="pct"/>
            <w:vMerge/>
            <w:tcBorders>
              <w:bottom w:val="single" w:sz="4" w:space="0" w:color="auto"/>
            </w:tcBorders>
          </w:tcPr>
          <w:p w14:paraId="25FD4E76" w14:textId="77777777" w:rsidR="009D3026" w:rsidRPr="009D3026" w:rsidRDefault="009D3026" w:rsidP="002E4B8A">
            <w:pPr>
              <w:spacing w:line="240" w:lineRule="auto"/>
              <w:rPr>
                <w:rFonts w:eastAsia="Calibri" w:cs="Times New Roman"/>
                <w:sz w:val="20"/>
                <w:szCs w:val="20"/>
              </w:rPr>
            </w:pPr>
          </w:p>
        </w:tc>
        <w:tc>
          <w:tcPr>
            <w:tcW w:w="826" w:type="pct"/>
            <w:tcBorders>
              <w:top w:val="nil"/>
              <w:bottom w:val="single" w:sz="4" w:space="0" w:color="auto"/>
              <w:right w:val="nil"/>
            </w:tcBorders>
            <w:hideMark/>
          </w:tcPr>
          <w:p w14:paraId="179D6DC2" w14:textId="66ECD03B" w:rsidR="009D3026" w:rsidRPr="007666F2" w:rsidRDefault="009D3026" w:rsidP="002E4B8A">
            <w:pPr>
              <w:spacing w:line="240" w:lineRule="auto"/>
              <w:rPr>
                <w:rFonts w:eastAsia="Calibri" w:cs="Times New Roman"/>
                <w:sz w:val="20"/>
                <w:szCs w:val="20"/>
                <w:lang/>
              </w:rPr>
            </w:pPr>
            <w:r w:rsidRPr="007666F2">
              <w:rPr>
                <w:rFonts w:eastAsia="Calibri" w:cs="Times New Roman"/>
                <w:sz w:val="20"/>
                <w:szCs w:val="20"/>
              </w:rPr>
              <w:t>S</w:t>
            </w:r>
            <w:r w:rsidRPr="007666F2">
              <w:rPr>
                <w:rFonts w:eastAsia="Calibri" w:cs="Times New Roman"/>
                <w:sz w:val="20"/>
                <w:szCs w:val="20"/>
                <w:lang/>
              </w:rPr>
              <w:t xml:space="preserve">ales </w:t>
            </w:r>
            <w:r w:rsidRPr="007666F2">
              <w:rPr>
                <w:rFonts w:eastAsia="Calibri" w:cs="Times New Roman"/>
                <w:sz w:val="20"/>
                <w:szCs w:val="20"/>
              </w:rPr>
              <w:t>V</w:t>
            </w:r>
            <w:r w:rsidRPr="007666F2">
              <w:rPr>
                <w:rFonts w:eastAsia="Calibri" w:cs="Times New Roman"/>
                <w:sz w:val="20"/>
                <w:szCs w:val="20"/>
                <w:lang/>
              </w:rPr>
              <w:t>olume</w:t>
            </w:r>
          </w:p>
        </w:tc>
        <w:tc>
          <w:tcPr>
            <w:tcW w:w="515" w:type="pct"/>
            <w:tcBorders>
              <w:top w:val="nil"/>
              <w:left w:val="nil"/>
              <w:bottom w:val="single" w:sz="4" w:space="0" w:color="auto"/>
              <w:right w:val="nil"/>
            </w:tcBorders>
            <w:hideMark/>
          </w:tcPr>
          <w:p w14:paraId="0D8867F2" w14:textId="77777777" w:rsidR="009D3026" w:rsidRPr="007666F2" w:rsidRDefault="009D3026" w:rsidP="002E4B8A">
            <w:pPr>
              <w:spacing w:line="240" w:lineRule="auto"/>
              <w:rPr>
                <w:rFonts w:eastAsia="Calibri" w:cs="Times New Roman"/>
                <w:sz w:val="20"/>
                <w:szCs w:val="20"/>
                <w:lang/>
              </w:rPr>
            </w:pPr>
            <w:r w:rsidRPr="007666F2">
              <w:rPr>
                <w:rFonts w:eastAsia="Calibri" w:cs="Times New Roman"/>
                <w:sz w:val="20"/>
                <w:szCs w:val="20"/>
                <w:lang/>
              </w:rPr>
              <w:t>202151</w:t>
            </w:r>
          </w:p>
        </w:tc>
        <w:tc>
          <w:tcPr>
            <w:tcW w:w="514" w:type="pct"/>
            <w:tcBorders>
              <w:top w:val="nil"/>
              <w:left w:val="nil"/>
              <w:bottom w:val="single" w:sz="4" w:space="0" w:color="auto"/>
              <w:right w:val="nil"/>
            </w:tcBorders>
            <w:hideMark/>
          </w:tcPr>
          <w:p w14:paraId="450878CB" w14:textId="77777777" w:rsidR="009D3026" w:rsidRPr="007666F2" w:rsidRDefault="009D3026" w:rsidP="002E4B8A">
            <w:pPr>
              <w:spacing w:line="240" w:lineRule="auto"/>
              <w:rPr>
                <w:rFonts w:eastAsia="Calibri" w:cs="Times New Roman"/>
                <w:sz w:val="20"/>
                <w:szCs w:val="20"/>
                <w:lang/>
              </w:rPr>
            </w:pPr>
            <w:r w:rsidRPr="007666F2">
              <w:rPr>
                <w:rFonts w:eastAsia="Calibri" w:cs="Times New Roman"/>
                <w:sz w:val="20"/>
                <w:szCs w:val="20"/>
                <w:lang/>
              </w:rPr>
              <w:t>960384</w:t>
            </w:r>
          </w:p>
        </w:tc>
        <w:tc>
          <w:tcPr>
            <w:tcW w:w="321" w:type="pct"/>
            <w:tcBorders>
              <w:top w:val="nil"/>
              <w:left w:val="nil"/>
              <w:bottom w:val="single" w:sz="4" w:space="0" w:color="auto"/>
              <w:right w:val="nil"/>
            </w:tcBorders>
            <w:hideMark/>
          </w:tcPr>
          <w:p w14:paraId="710EE154" w14:textId="77777777" w:rsidR="009D3026" w:rsidRPr="007666F2" w:rsidRDefault="009D3026" w:rsidP="002E4B8A">
            <w:pPr>
              <w:spacing w:line="240" w:lineRule="auto"/>
              <w:rPr>
                <w:rFonts w:eastAsia="Calibri" w:cs="Times New Roman"/>
                <w:sz w:val="20"/>
                <w:szCs w:val="20"/>
                <w:lang/>
              </w:rPr>
            </w:pPr>
            <w:r w:rsidRPr="007666F2">
              <w:rPr>
                <w:rFonts w:eastAsia="Calibri" w:cs="Times New Roman"/>
                <w:sz w:val="20"/>
                <w:szCs w:val="20"/>
                <w:lang/>
              </w:rPr>
              <w:t>0.00</w:t>
            </w:r>
          </w:p>
        </w:tc>
        <w:tc>
          <w:tcPr>
            <w:tcW w:w="2016" w:type="pct"/>
            <w:tcBorders>
              <w:top w:val="nil"/>
              <w:left w:val="nil"/>
              <w:bottom w:val="single" w:sz="4" w:space="0" w:color="auto"/>
              <w:right w:val="nil"/>
            </w:tcBorders>
            <w:hideMark/>
          </w:tcPr>
          <w:p w14:paraId="62E74EB2" w14:textId="77777777" w:rsidR="009D3026" w:rsidRPr="007666F2" w:rsidRDefault="009D3026" w:rsidP="002E4B8A">
            <w:pPr>
              <w:spacing w:line="240" w:lineRule="auto"/>
              <w:rPr>
                <w:rFonts w:eastAsia="Calibri" w:cs="Times New Roman"/>
                <w:sz w:val="20"/>
                <w:szCs w:val="20"/>
                <w:lang/>
              </w:rPr>
            </w:pPr>
            <w:r w:rsidRPr="007666F2">
              <w:rPr>
                <w:rFonts w:eastAsia="Calibri" w:cs="Times New Roman"/>
                <w:sz w:val="20"/>
                <w:szCs w:val="20"/>
                <w:lang/>
              </w:rPr>
              <w:t>40728208</w:t>
            </w:r>
          </w:p>
        </w:tc>
      </w:tr>
      <w:tr w:rsidR="003B5A8E" w:rsidRPr="007666F2" w14:paraId="59753DED" w14:textId="77777777" w:rsidTr="003B5A8E">
        <w:tc>
          <w:tcPr>
            <w:tcW w:w="808" w:type="pct"/>
            <w:vMerge w:val="restart"/>
            <w:tcBorders>
              <w:top w:val="single" w:sz="4" w:space="0" w:color="auto"/>
            </w:tcBorders>
          </w:tcPr>
          <w:p w14:paraId="73ADEAC8" w14:textId="413A0E16" w:rsidR="009D3026" w:rsidRPr="009D3026" w:rsidRDefault="009D3026" w:rsidP="002E4B8A">
            <w:pPr>
              <w:spacing w:line="240" w:lineRule="auto"/>
              <w:rPr>
                <w:rFonts w:eastAsia="Calibri" w:cs="Times New Roman"/>
                <w:sz w:val="20"/>
                <w:szCs w:val="20"/>
              </w:rPr>
            </w:pPr>
            <w:r w:rsidRPr="009D3026">
              <w:rPr>
                <w:rFonts w:eastAsia="Calibri" w:cs="Times New Roman"/>
                <w:sz w:val="20"/>
                <w:szCs w:val="20"/>
              </w:rPr>
              <w:t>71 – Arts, Entertainment, and Recreation</w:t>
            </w:r>
          </w:p>
        </w:tc>
        <w:tc>
          <w:tcPr>
            <w:tcW w:w="826" w:type="pct"/>
            <w:tcBorders>
              <w:top w:val="single" w:sz="4" w:space="0" w:color="auto"/>
            </w:tcBorders>
            <w:hideMark/>
          </w:tcPr>
          <w:p w14:paraId="41C8A09C" w14:textId="484755A8" w:rsidR="009D3026" w:rsidRPr="007666F2" w:rsidRDefault="009D3026" w:rsidP="002E4B8A">
            <w:pPr>
              <w:spacing w:line="240" w:lineRule="auto"/>
              <w:rPr>
                <w:rFonts w:eastAsia="Calibri" w:cs="Times New Roman"/>
                <w:sz w:val="20"/>
                <w:szCs w:val="20"/>
                <w:lang/>
              </w:rPr>
            </w:pPr>
            <w:r w:rsidRPr="007666F2">
              <w:rPr>
                <w:rFonts w:eastAsia="Calibri" w:cs="Times New Roman"/>
                <w:sz w:val="20"/>
                <w:szCs w:val="20"/>
              </w:rPr>
              <w:t>Establishment Count</w:t>
            </w:r>
          </w:p>
        </w:tc>
        <w:tc>
          <w:tcPr>
            <w:tcW w:w="515" w:type="pct"/>
            <w:tcBorders>
              <w:top w:val="single" w:sz="4" w:space="0" w:color="auto"/>
            </w:tcBorders>
            <w:hideMark/>
          </w:tcPr>
          <w:p w14:paraId="48C65245" w14:textId="77777777" w:rsidR="009D3026" w:rsidRPr="007666F2" w:rsidRDefault="009D3026" w:rsidP="002E4B8A">
            <w:pPr>
              <w:spacing w:line="240" w:lineRule="auto"/>
              <w:rPr>
                <w:rFonts w:eastAsia="Calibri" w:cs="Times New Roman"/>
                <w:sz w:val="20"/>
                <w:szCs w:val="20"/>
                <w:lang/>
              </w:rPr>
            </w:pPr>
            <w:r w:rsidRPr="007666F2">
              <w:rPr>
                <w:rFonts w:eastAsia="Calibri" w:cs="Times New Roman"/>
                <w:sz w:val="20"/>
                <w:szCs w:val="20"/>
                <w:lang/>
              </w:rPr>
              <w:t>66</w:t>
            </w:r>
          </w:p>
        </w:tc>
        <w:tc>
          <w:tcPr>
            <w:tcW w:w="514" w:type="pct"/>
            <w:tcBorders>
              <w:top w:val="single" w:sz="4" w:space="0" w:color="auto"/>
            </w:tcBorders>
            <w:hideMark/>
          </w:tcPr>
          <w:p w14:paraId="7B4EF37C" w14:textId="77777777" w:rsidR="009D3026" w:rsidRPr="007666F2" w:rsidRDefault="009D3026" w:rsidP="002E4B8A">
            <w:pPr>
              <w:spacing w:line="240" w:lineRule="auto"/>
              <w:rPr>
                <w:rFonts w:eastAsia="Calibri" w:cs="Times New Roman"/>
                <w:sz w:val="20"/>
                <w:szCs w:val="20"/>
                <w:lang/>
              </w:rPr>
            </w:pPr>
            <w:r w:rsidRPr="007666F2">
              <w:rPr>
                <w:rFonts w:eastAsia="Calibri" w:cs="Times New Roman"/>
                <w:sz w:val="20"/>
                <w:szCs w:val="20"/>
                <w:lang/>
              </w:rPr>
              <w:t>206</w:t>
            </w:r>
          </w:p>
        </w:tc>
        <w:tc>
          <w:tcPr>
            <w:tcW w:w="321" w:type="pct"/>
            <w:tcBorders>
              <w:top w:val="single" w:sz="4" w:space="0" w:color="auto"/>
            </w:tcBorders>
            <w:hideMark/>
          </w:tcPr>
          <w:p w14:paraId="1EDFD4C2" w14:textId="77777777" w:rsidR="009D3026" w:rsidRPr="007666F2" w:rsidRDefault="009D3026" w:rsidP="002E4B8A">
            <w:pPr>
              <w:spacing w:line="240" w:lineRule="auto"/>
              <w:rPr>
                <w:rFonts w:eastAsia="Calibri" w:cs="Times New Roman"/>
                <w:sz w:val="20"/>
                <w:szCs w:val="20"/>
                <w:lang/>
              </w:rPr>
            </w:pPr>
            <w:r w:rsidRPr="007666F2">
              <w:rPr>
                <w:rFonts w:eastAsia="Calibri" w:cs="Times New Roman"/>
                <w:sz w:val="20"/>
                <w:szCs w:val="20"/>
                <w:lang/>
              </w:rPr>
              <w:t>1.00</w:t>
            </w:r>
          </w:p>
        </w:tc>
        <w:tc>
          <w:tcPr>
            <w:tcW w:w="2016" w:type="pct"/>
            <w:tcBorders>
              <w:top w:val="single" w:sz="4" w:space="0" w:color="auto"/>
            </w:tcBorders>
            <w:hideMark/>
          </w:tcPr>
          <w:p w14:paraId="0BF1E1EF" w14:textId="77777777" w:rsidR="009D3026" w:rsidRPr="007666F2" w:rsidRDefault="009D3026" w:rsidP="002E4B8A">
            <w:pPr>
              <w:spacing w:line="240" w:lineRule="auto"/>
              <w:rPr>
                <w:rFonts w:eastAsia="Calibri" w:cs="Times New Roman"/>
                <w:sz w:val="20"/>
                <w:szCs w:val="20"/>
                <w:lang/>
              </w:rPr>
            </w:pPr>
            <w:r w:rsidRPr="007666F2">
              <w:rPr>
                <w:rFonts w:eastAsia="Calibri" w:cs="Times New Roman"/>
                <w:sz w:val="20"/>
                <w:szCs w:val="20"/>
                <w:lang/>
              </w:rPr>
              <w:t>7733</w:t>
            </w:r>
          </w:p>
        </w:tc>
      </w:tr>
      <w:tr w:rsidR="003B5A8E" w:rsidRPr="007666F2" w14:paraId="1DF8146F" w14:textId="77777777" w:rsidTr="003B5A8E">
        <w:tc>
          <w:tcPr>
            <w:tcW w:w="808" w:type="pct"/>
            <w:vMerge/>
          </w:tcPr>
          <w:p w14:paraId="26E07E97" w14:textId="77777777" w:rsidR="009D3026" w:rsidRPr="009D3026" w:rsidRDefault="009D3026" w:rsidP="002E4B8A">
            <w:pPr>
              <w:spacing w:line="240" w:lineRule="auto"/>
              <w:rPr>
                <w:rFonts w:eastAsia="Calibri" w:cs="Times New Roman"/>
                <w:sz w:val="20"/>
                <w:szCs w:val="20"/>
              </w:rPr>
            </w:pPr>
          </w:p>
        </w:tc>
        <w:tc>
          <w:tcPr>
            <w:tcW w:w="826" w:type="pct"/>
            <w:hideMark/>
          </w:tcPr>
          <w:p w14:paraId="7B2D0E3F" w14:textId="7214E6A0" w:rsidR="009D3026" w:rsidRPr="007666F2" w:rsidRDefault="009D3026" w:rsidP="002E4B8A">
            <w:pPr>
              <w:spacing w:line="240" w:lineRule="auto"/>
              <w:rPr>
                <w:rFonts w:eastAsia="Calibri" w:cs="Times New Roman"/>
                <w:sz w:val="20"/>
                <w:szCs w:val="20"/>
                <w:lang/>
              </w:rPr>
            </w:pPr>
            <w:r w:rsidRPr="007666F2">
              <w:rPr>
                <w:rFonts w:eastAsia="Calibri" w:cs="Times New Roman"/>
                <w:sz w:val="20"/>
                <w:szCs w:val="20"/>
              </w:rPr>
              <w:t>Employment Count</w:t>
            </w:r>
          </w:p>
        </w:tc>
        <w:tc>
          <w:tcPr>
            <w:tcW w:w="515" w:type="pct"/>
            <w:hideMark/>
          </w:tcPr>
          <w:p w14:paraId="0A8890FC" w14:textId="77777777" w:rsidR="009D3026" w:rsidRPr="007666F2" w:rsidRDefault="009D3026" w:rsidP="002E4B8A">
            <w:pPr>
              <w:spacing w:line="240" w:lineRule="auto"/>
              <w:rPr>
                <w:rFonts w:eastAsia="Calibri" w:cs="Times New Roman"/>
                <w:sz w:val="20"/>
                <w:szCs w:val="20"/>
                <w:lang/>
              </w:rPr>
            </w:pPr>
            <w:r w:rsidRPr="007666F2">
              <w:rPr>
                <w:rFonts w:eastAsia="Calibri" w:cs="Times New Roman"/>
                <w:sz w:val="20"/>
                <w:szCs w:val="20"/>
                <w:lang/>
              </w:rPr>
              <w:t>781</w:t>
            </w:r>
          </w:p>
        </w:tc>
        <w:tc>
          <w:tcPr>
            <w:tcW w:w="514" w:type="pct"/>
            <w:hideMark/>
          </w:tcPr>
          <w:p w14:paraId="342ED4F6" w14:textId="77777777" w:rsidR="009D3026" w:rsidRPr="007666F2" w:rsidRDefault="009D3026" w:rsidP="002E4B8A">
            <w:pPr>
              <w:spacing w:line="240" w:lineRule="auto"/>
              <w:rPr>
                <w:rFonts w:eastAsia="Calibri" w:cs="Times New Roman"/>
                <w:sz w:val="20"/>
                <w:szCs w:val="20"/>
                <w:lang/>
              </w:rPr>
            </w:pPr>
            <w:r w:rsidRPr="007666F2">
              <w:rPr>
                <w:rFonts w:eastAsia="Calibri" w:cs="Times New Roman"/>
                <w:sz w:val="20"/>
                <w:szCs w:val="20"/>
                <w:lang/>
              </w:rPr>
              <w:t>3265</w:t>
            </w:r>
          </w:p>
        </w:tc>
        <w:tc>
          <w:tcPr>
            <w:tcW w:w="321" w:type="pct"/>
            <w:hideMark/>
          </w:tcPr>
          <w:p w14:paraId="03ACAACD" w14:textId="77777777" w:rsidR="009D3026" w:rsidRPr="007666F2" w:rsidRDefault="009D3026" w:rsidP="002E4B8A">
            <w:pPr>
              <w:spacing w:line="240" w:lineRule="auto"/>
              <w:rPr>
                <w:rFonts w:eastAsia="Calibri" w:cs="Times New Roman"/>
                <w:sz w:val="20"/>
                <w:szCs w:val="20"/>
                <w:lang/>
              </w:rPr>
            </w:pPr>
            <w:r w:rsidRPr="007666F2">
              <w:rPr>
                <w:rFonts w:eastAsia="Calibri" w:cs="Times New Roman"/>
                <w:sz w:val="20"/>
                <w:szCs w:val="20"/>
                <w:lang/>
              </w:rPr>
              <w:t>0.00</w:t>
            </w:r>
          </w:p>
        </w:tc>
        <w:tc>
          <w:tcPr>
            <w:tcW w:w="2016" w:type="pct"/>
            <w:hideMark/>
          </w:tcPr>
          <w:p w14:paraId="12212E40" w14:textId="77777777" w:rsidR="009D3026" w:rsidRPr="007666F2" w:rsidRDefault="009D3026" w:rsidP="002E4B8A">
            <w:pPr>
              <w:spacing w:line="240" w:lineRule="auto"/>
              <w:rPr>
                <w:rFonts w:eastAsia="Calibri" w:cs="Times New Roman"/>
                <w:sz w:val="20"/>
                <w:szCs w:val="20"/>
                <w:lang/>
              </w:rPr>
            </w:pPr>
            <w:r w:rsidRPr="007666F2">
              <w:rPr>
                <w:rFonts w:eastAsia="Calibri" w:cs="Times New Roman"/>
                <w:sz w:val="20"/>
                <w:szCs w:val="20"/>
                <w:lang/>
              </w:rPr>
              <w:t>127463</w:t>
            </w:r>
          </w:p>
        </w:tc>
      </w:tr>
      <w:tr w:rsidR="003B5A8E" w:rsidRPr="007666F2" w14:paraId="1EE899A5" w14:textId="77777777" w:rsidTr="003B5A8E">
        <w:tc>
          <w:tcPr>
            <w:tcW w:w="808" w:type="pct"/>
            <w:vMerge/>
            <w:tcBorders>
              <w:bottom w:val="single" w:sz="4" w:space="0" w:color="auto"/>
            </w:tcBorders>
          </w:tcPr>
          <w:p w14:paraId="7BB2B4E8" w14:textId="77777777" w:rsidR="009D3026" w:rsidRPr="009D3026" w:rsidRDefault="009D3026" w:rsidP="002E4B8A">
            <w:pPr>
              <w:spacing w:line="240" w:lineRule="auto"/>
              <w:rPr>
                <w:rFonts w:eastAsia="Calibri" w:cs="Times New Roman"/>
                <w:sz w:val="20"/>
                <w:szCs w:val="20"/>
              </w:rPr>
            </w:pPr>
          </w:p>
        </w:tc>
        <w:tc>
          <w:tcPr>
            <w:tcW w:w="826" w:type="pct"/>
            <w:tcBorders>
              <w:top w:val="nil"/>
              <w:bottom w:val="single" w:sz="4" w:space="0" w:color="auto"/>
              <w:right w:val="nil"/>
            </w:tcBorders>
            <w:hideMark/>
          </w:tcPr>
          <w:p w14:paraId="6D333A28" w14:textId="0D652114" w:rsidR="009D3026" w:rsidRPr="007666F2" w:rsidRDefault="009D3026" w:rsidP="002E4B8A">
            <w:pPr>
              <w:spacing w:line="240" w:lineRule="auto"/>
              <w:rPr>
                <w:rFonts w:eastAsia="Calibri" w:cs="Times New Roman"/>
                <w:sz w:val="20"/>
                <w:szCs w:val="20"/>
                <w:lang/>
              </w:rPr>
            </w:pPr>
            <w:r w:rsidRPr="007666F2">
              <w:rPr>
                <w:rFonts w:eastAsia="Calibri" w:cs="Times New Roman"/>
                <w:sz w:val="20"/>
                <w:szCs w:val="20"/>
              </w:rPr>
              <w:t>S</w:t>
            </w:r>
            <w:r w:rsidRPr="007666F2">
              <w:rPr>
                <w:rFonts w:eastAsia="Calibri" w:cs="Times New Roman"/>
                <w:sz w:val="20"/>
                <w:szCs w:val="20"/>
                <w:lang/>
              </w:rPr>
              <w:t xml:space="preserve">ales </w:t>
            </w:r>
            <w:r w:rsidRPr="007666F2">
              <w:rPr>
                <w:rFonts w:eastAsia="Calibri" w:cs="Times New Roman"/>
                <w:sz w:val="20"/>
                <w:szCs w:val="20"/>
              </w:rPr>
              <w:t>V</w:t>
            </w:r>
            <w:r w:rsidRPr="007666F2">
              <w:rPr>
                <w:rFonts w:eastAsia="Calibri" w:cs="Times New Roman"/>
                <w:sz w:val="20"/>
                <w:szCs w:val="20"/>
                <w:lang/>
              </w:rPr>
              <w:t>olume</w:t>
            </w:r>
          </w:p>
        </w:tc>
        <w:tc>
          <w:tcPr>
            <w:tcW w:w="515" w:type="pct"/>
            <w:tcBorders>
              <w:top w:val="nil"/>
              <w:left w:val="nil"/>
              <w:bottom w:val="single" w:sz="4" w:space="0" w:color="auto"/>
              <w:right w:val="nil"/>
            </w:tcBorders>
            <w:hideMark/>
          </w:tcPr>
          <w:p w14:paraId="614AF48F" w14:textId="77777777" w:rsidR="009D3026" w:rsidRPr="007666F2" w:rsidRDefault="009D3026" w:rsidP="002E4B8A">
            <w:pPr>
              <w:spacing w:line="240" w:lineRule="auto"/>
              <w:rPr>
                <w:rFonts w:eastAsia="Calibri" w:cs="Times New Roman"/>
                <w:sz w:val="20"/>
                <w:szCs w:val="20"/>
                <w:lang/>
              </w:rPr>
            </w:pPr>
            <w:r w:rsidRPr="007666F2">
              <w:rPr>
                <w:rFonts w:eastAsia="Calibri" w:cs="Times New Roman"/>
                <w:sz w:val="20"/>
                <w:szCs w:val="20"/>
                <w:lang/>
              </w:rPr>
              <w:t>68090</w:t>
            </w:r>
          </w:p>
        </w:tc>
        <w:tc>
          <w:tcPr>
            <w:tcW w:w="514" w:type="pct"/>
            <w:tcBorders>
              <w:top w:val="nil"/>
              <w:left w:val="nil"/>
              <w:bottom w:val="single" w:sz="4" w:space="0" w:color="auto"/>
              <w:right w:val="nil"/>
            </w:tcBorders>
            <w:hideMark/>
          </w:tcPr>
          <w:p w14:paraId="1394FEAC" w14:textId="77777777" w:rsidR="009D3026" w:rsidRPr="007666F2" w:rsidRDefault="009D3026" w:rsidP="002E4B8A">
            <w:pPr>
              <w:spacing w:line="240" w:lineRule="auto"/>
              <w:rPr>
                <w:rFonts w:eastAsia="Calibri" w:cs="Times New Roman"/>
                <w:sz w:val="20"/>
                <w:szCs w:val="20"/>
                <w:lang/>
              </w:rPr>
            </w:pPr>
            <w:r w:rsidRPr="007666F2">
              <w:rPr>
                <w:rFonts w:eastAsia="Calibri" w:cs="Times New Roman"/>
                <w:sz w:val="20"/>
                <w:szCs w:val="20"/>
                <w:lang/>
              </w:rPr>
              <w:t>330876</w:t>
            </w:r>
          </w:p>
        </w:tc>
        <w:tc>
          <w:tcPr>
            <w:tcW w:w="321" w:type="pct"/>
            <w:tcBorders>
              <w:top w:val="nil"/>
              <w:left w:val="nil"/>
              <w:bottom w:val="single" w:sz="4" w:space="0" w:color="auto"/>
              <w:right w:val="nil"/>
            </w:tcBorders>
            <w:hideMark/>
          </w:tcPr>
          <w:p w14:paraId="55FAD577" w14:textId="77777777" w:rsidR="009D3026" w:rsidRPr="007666F2" w:rsidRDefault="009D3026" w:rsidP="002E4B8A">
            <w:pPr>
              <w:spacing w:line="240" w:lineRule="auto"/>
              <w:rPr>
                <w:rFonts w:eastAsia="Calibri" w:cs="Times New Roman"/>
                <w:sz w:val="20"/>
                <w:szCs w:val="20"/>
                <w:lang/>
              </w:rPr>
            </w:pPr>
            <w:r w:rsidRPr="007666F2">
              <w:rPr>
                <w:rFonts w:eastAsia="Calibri" w:cs="Times New Roman"/>
                <w:sz w:val="20"/>
                <w:szCs w:val="20"/>
                <w:lang/>
              </w:rPr>
              <w:t>0.00</w:t>
            </w:r>
          </w:p>
        </w:tc>
        <w:tc>
          <w:tcPr>
            <w:tcW w:w="2016" w:type="pct"/>
            <w:tcBorders>
              <w:top w:val="nil"/>
              <w:left w:val="nil"/>
              <w:bottom w:val="single" w:sz="4" w:space="0" w:color="auto"/>
              <w:right w:val="nil"/>
            </w:tcBorders>
            <w:hideMark/>
          </w:tcPr>
          <w:p w14:paraId="12DC0CED" w14:textId="77777777" w:rsidR="009D3026" w:rsidRPr="007666F2" w:rsidRDefault="009D3026" w:rsidP="002E4B8A">
            <w:pPr>
              <w:spacing w:line="240" w:lineRule="auto"/>
              <w:rPr>
                <w:rFonts w:eastAsia="Calibri" w:cs="Times New Roman"/>
                <w:sz w:val="20"/>
                <w:szCs w:val="20"/>
                <w:lang/>
              </w:rPr>
            </w:pPr>
            <w:r w:rsidRPr="007666F2">
              <w:rPr>
                <w:rFonts w:eastAsia="Calibri" w:cs="Times New Roman"/>
                <w:sz w:val="20"/>
                <w:szCs w:val="20"/>
                <w:lang/>
              </w:rPr>
              <w:t>24991232</w:t>
            </w:r>
          </w:p>
        </w:tc>
      </w:tr>
      <w:tr w:rsidR="003B5A8E" w:rsidRPr="007666F2" w14:paraId="3D045C3C" w14:textId="77777777" w:rsidTr="003B5A8E">
        <w:tc>
          <w:tcPr>
            <w:tcW w:w="808" w:type="pct"/>
            <w:vMerge w:val="restart"/>
            <w:tcBorders>
              <w:top w:val="single" w:sz="4" w:space="0" w:color="auto"/>
            </w:tcBorders>
          </w:tcPr>
          <w:p w14:paraId="604BB151" w14:textId="6B3B2F2B" w:rsidR="009D3026" w:rsidRPr="009D3026" w:rsidRDefault="009D3026" w:rsidP="002E4B8A">
            <w:pPr>
              <w:spacing w:line="240" w:lineRule="auto"/>
              <w:rPr>
                <w:rFonts w:eastAsia="Calibri" w:cs="Times New Roman"/>
                <w:sz w:val="20"/>
                <w:szCs w:val="20"/>
              </w:rPr>
            </w:pPr>
            <w:r w:rsidRPr="009D3026">
              <w:rPr>
                <w:rFonts w:eastAsia="Calibri" w:cs="Times New Roman"/>
                <w:sz w:val="20"/>
                <w:szCs w:val="20"/>
              </w:rPr>
              <w:t>31-33 - Manufacturing</w:t>
            </w:r>
          </w:p>
        </w:tc>
        <w:tc>
          <w:tcPr>
            <w:tcW w:w="826" w:type="pct"/>
            <w:tcBorders>
              <w:top w:val="single" w:sz="4" w:space="0" w:color="auto"/>
            </w:tcBorders>
            <w:hideMark/>
          </w:tcPr>
          <w:p w14:paraId="2D587370" w14:textId="7F25982B" w:rsidR="009D3026" w:rsidRPr="007666F2" w:rsidRDefault="009D3026" w:rsidP="002E4B8A">
            <w:pPr>
              <w:spacing w:line="240" w:lineRule="auto"/>
              <w:rPr>
                <w:rFonts w:eastAsia="Calibri" w:cs="Times New Roman"/>
                <w:sz w:val="20"/>
                <w:szCs w:val="20"/>
                <w:lang/>
              </w:rPr>
            </w:pPr>
            <w:r w:rsidRPr="007666F2">
              <w:rPr>
                <w:rFonts w:eastAsia="Calibri" w:cs="Times New Roman"/>
                <w:sz w:val="20"/>
                <w:szCs w:val="20"/>
              </w:rPr>
              <w:t>Establishment Count</w:t>
            </w:r>
          </w:p>
        </w:tc>
        <w:tc>
          <w:tcPr>
            <w:tcW w:w="515" w:type="pct"/>
            <w:tcBorders>
              <w:top w:val="single" w:sz="4" w:space="0" w:color="auto"/>
            </w:tcBorders>
            <w:hideMark/>
          </w:tcPr>
          <w:p w14:paraId="355155E5" w14:textId="77777777" w:rsidR="009D3026" w:rsidRPr="007666F2" w:rsidRDefault="009D3026" w:rsidP="002E4B8A">
            <w:pPr>
              <w:spacing w:line="240" w:lineRule="auto"/>
              <w:rPr>
                <w:rFonts w:eastAsia="Calibri" w:cs="Times New Roman"/>
                <w:sz w:val="20"/>
                <w:szCs w:val="20"/>
                <w:lang/>
              </w:rPr>
            </w:pPr>
            <w:r w:rsidRPr="007666F2">
              <w:rPr>
                <w:rFonts w:eastAsia="Calibri" w:cs="Times New Roman"/>
                <w:sz w:val="20"/>
                <w:szCs w:val="20"/>
                <w:lang/>
              </w:rPr>
              <w:t>148</w:t>
            </w:r>
          </w:p>
        </w:tc>
        <w:tc>
          <w:tcPr>
            <w:tcW w:w="514" w:type="pct"/>
            <w:tcBorders>
              <w:top w:val="single" w:sz="4" w:space="0" w:color="auto"/>
            </w:tcBorders>
            <w:hideMark/>
          </w:tcPr>
          <w:p w14:paraId="0C59139A" w14:textId="77777777" w:rsidR="009D3026" w:rsidRPr="007666F2" w:rsidRDefault="009D3026" w:rsidP="002E4B8A">
            <w:pPr>
              <w:spacing w:line="240" w:lineRule="auto"/>
              <w:rPr>
                <w:rFonts w:eastAsia="Calibri" w:cs="Times New Roman"/>
                <w:sz w:val="20"/>
                <w:szCs w:val="20"/>
                <w:lang/>
              </w:rPr>
            </w:pPr>
            <w:r w:rsidRPr="007666F2">
              <w:rPr>
                <w:rFonts w:eastAsia="Calibri" w:cs="Times New Roman"/>
                <w:sz w:val="20"/>
                <w:szCs w:val="20"/>
                <w:lang/>
              </w:rPr>
              <w:t>574</w:t>
            </w:r>
          </w:p>
        </w:tc>
        <w:tc>
          <w:tcPr>
            <w:tcW w:w="321" w:type="pct"/>
            <w:tcBorders>
              <w:top w:val="single" w:sz="4" w:space="0" w:color="auto"/>
            </w:tcBorders>
            <w:hideMark/>
          </w:tcPr>
          <w:p w14:paraId="5051B384" w14:textId="77777777" w:rsidR="009D3026" w:rsidRPr="007666F2" w:rsidRDefault="009D3026" w:rsidP="002E4B8A">
            <w:pPr>
              <w:spacing w:line="240" w:lineRule="auto"/>
              <w:rPr>
                <w:rFonts w:eastAsia="Calibri" w:cs="Times New Roman"/>
                <w:sz w:val="20"/>
                <w:szCs w:val="20"/>
                <w:lang/>
              </w:rPr>
            </w:pPr>
            <w:r w:rsidRPr="007666F2">
              <w:rPr>
                <w:rFonts w:eastAsia="Calibri" w:cs="Times New Roman"/>
                <w:sz w:val="20"/>
                <w:szCs w:val="20"/>
                <w:lang/>
              </w:rPr>
              <w:t>1.00</w:t>
            </w:r>
          </w:p>
        </w:tc>
        <w:tc>
          <w:tcPr>
            <w:tcW w:w="2016" w:type="pct"/>
            <w:tcBorders>
              <w:top w:val="single" w:sz="4" w:space="0" w:color="auto"/>
            </w:tcBorders>
            <w:hideMark/>
          </w:tcPr>
          <w:p w14:paraId="6960AE1C" w14:textId="77777777" w:rsidR="009D3026" w:rsidRPr="007666F2" w:rsidRDefault="009D3026" w:rsidP="002E4B8A">
            <w:pPr>
              <w:spacing w:line="240" w:lineRule="auto"/>
              <w:rPr>
                <w:rFonts w:eastAsia="Calibri" w:cs="Times New Roman"/>
                <w:sz w:val="20"/>
                <w:szCs w:val="20"/>
                <w:lang/>
              </w:rPr>
            </w:pPr>
            <w:r w:rsidRPr="007666F2">
              <w:rPr>
                <w:rFonts w:eastAsia="Calibri" w:cs="Times New Roman"/>
                <w:sz w:val="20"/>
                <w:szCs w:val="20"/>
                <w:lang/>
              </w:rPr>
              <w:t>27803</w:t>
            </w:r>
          </w:p>
        </w:tc>
      </w:tr>
      <w:tr w:rsidR="003B5A8E" w:rsidRPr="007666F2" w14:paraId="5184174F" w14:textId="77777777" w:rsidTr="003B5A8E">
        <w:tc>
          <w:tcPr>
            <w:tcW w:w="808" w:type="pct"/>
            <w:vMerge/>
          </w:tcPr>
          <w:p w14:paraId="348EE77B" w14:textId="77777777" w:rsidR="009D3026" w:rsidRPr="007666F2" w:rsidRDefault="009D3026" w:rsidP="002E4B8A">
            <w:pPr>
              <w:spacing w:line="240" w:lineRule="auto"/>
              <w:rPr>
                <w:rFonts w:eastAsia="Calibri" w:cs="Times New Roman"/>
                <w:sz w:val="20"/>
                <w:szCs w:val="20"/>
              </w:rPr>
            </w:pPr>
          </w:p>
        </w:tc>
        <w:tc>
          <w:tcPr>
            <w:tcW w:w="826" w:type="pct"/>
            <w:hideMark/>
          </w:tcPr>
          <w:p w14:paraId="766A5DF5" w14:textId="52DE4877" w:rsidR="009D3026" w:rsidRPr="007666F2" w:rsidRDefault="009D3026" w:rsidP="002E4B8A">
            <w:pPr>
              <w:spacing w:line="240" w:lineRule="auto"/>
              <w:rPr>
                <w:rFonts w:eastAsia="Calibri" w:cs="Times New Roman"/>
                <w:sz w:val="20"/>
                <w:szCs w:val="20"/>
                <w:lang/>
              </w:rPr>
            </w:pPr>
            <w:r w:rsidRPr="007666F2">
              <w:rPr>
                <w:rFonts w:eastAsia="Calibri" w:cs="Times New Roman"/>
                <w:sz w:val="20"/>
                <w:szCs w:val="20"/>
              </w:rPr>
              <w:t>Employment Count</w:t>
            </w:r>
          </w:p>
        </w:tc>
        <w:tc>
          <w:tcPr>
            <w:tcW w:w="515" w:type="pct"/>
            <w:hideMark/>
          </w:tcPr>
          <w:p w14:paraId="69A384B3" w14:textId="77777777" w:rsidR="009D3026" w:rsidRPr="007666F2" w:rsidRDefault="009D3026" w:rsidP="002E4B8A">
            <w:pPr>
              <w:spacing w:line="240" w:lineRule="auto"/>
              <w:rPr>
                <w:rFonts w:eastAsia="Calibri" w:cs="Times New Roman"/>
                <w:sz w:val="20"/>
                <w:szCs w:val="20"/>
                <w:lang/>
              </w:rPr>
            </w:pPr>
            <w:r w:rsidRPr="007666F2">
              <w:rPr>
                <w:rFonts w:eastAsia="Calibri" w:cs="Times New Roman"/>
                <w:sz w:val="20"/>
                <w:szCs w:val="20"/>
                <w:lang/>
              </w:rPr>
              <w:t>4428</w:t>
            </w:r>
          </w:p>
        </w:tc>
        <w:tc>
          <w:tcPr>
            <w:tcW w:w="514" w:type="pct"/>
            <w:hideMark/>
          </w:tcPr>
          <w:p w14:paraId="4126BB3E" w14:textId="77777777" w:rsidR="009D3026" w:rsidRPr="007666F2" w:rsidRDefault="009D3026" w:rsidP="002E4B8A">
            <w:pPr>
              <w:spacing w:line="240" w:lineRule="auto"/>
              <w:rPr>
                <w:rFonts w:eastAsia="Calibri" w:cs="Times New Roman"/>
                <w:sz w:val="20"/>
                <w:szCs w:val="20"/>
                <w:lang/>
              </w:rPr>
            </w:pPr>
            <w:r w:rsidRPr="007666F2">
              <w:rPr>
                <w:rFonts w:eastAsia="Calibri" w:cs="Times New Roman"/>
                <w:sz w:val="20"/>
                <w:szCs w:val="20"/>
                <w:lang/>
              </w:rPr>
              <w:t>14484</w:t>
            </w:r>
          </w:p>
        </w:tc>
        <w:tc>
          <w:tcPr>
            <w:tcW w:w="321" w:type="pct"/>
            <w:hideMark/>
          </w:tcPr>
          <w:p w14:paraId="05EA08CD" w14:textId="77777777" w:rsidR="009D3026" w:rsidRPr="007666F2" w:rsidRDefault="009D3026" w:rsidP="002E4B8A">
            <w:pPr>
              <w:spacing w:line="240" w:lineRule="auto"/>
              <w:rPr>
                <w:rFonts w:eastAsia="Calibri" w:cs="Times New Roman"/>
                <w:sz w:val="20"/>
                <w:szCs w:val="20"/>
                <w:lang/>
              </w:rPr>
            </w:pPr>
            <w:r w:rsidRPr="007666F2">
              <w:rPr>
                <w:rFonts w:eastAsia="Calibri" w:cs="Times New Roman"/>
                <w:sz w:val="20"/>
                <w:szCs w:val="20"/>
                <w:lang/>
              </w:rPr>
              <w:t>0.00</w:t>
            </w:r>
          </w:p>
        </w:tc>
        <w:tc>
          <w:tcPr>
            <w:tcW w:w="2016" w:type="pct"/>
            <w:hideMark/>
          </w:tcPr>
          <w:p w14:paraId="7E605AB0" w14:textId="77777777" w:rsidR="009D3026" w:rsidRPr="007666F2" w:rsidRDefault="009D3026" w:rsidP="002E4B8A">
            <w:pPr>
              <w:spacing w:line="240" w:lineRule="auto"/>
              <w:rPr>
                <w:rFonts w:eastAsia="Calibri" w:cs="Times New Roman"/>
                <w:sz w:val="20"/>
                <w:szCs w:val="20"/>
                <w:lang/>
              </w:rPr>
            </w:pPr>
            <w:r w:rsidRPr="007666F2">
              <w:rPr>
                <w:rFonts w:eastAsia="Calibri" w:cs="Times New Roman"/>
                <w:sz w:val="20"/>
                <w:szCs w:val="20"/>
                <w:lang/>
              </w:rPr>
              <w:t>536899</w:t>
            </w:r>
          </w:p>
        </w:tc>
      </w:tr>
      <w:tr w:rsidR="003B5A8E" w:rsidRPr="007666F2" w14:paraId="5C98620D" w14:textId="77777777" w:rsidTr="003B5A8E">
        <w:tc>
          <w:tcPr>
            <w:tcW w:w="808" w:type="pct"/>
            <w:vMerge/>
            <w:tcBorders>
              <w:bottom w:val="single" w:sz="6" w:space="0" w:color="auto"/>
            </w:tcBorders>
          </w:tcPr>
          <w:p w14:paraId="356E4A10" w14:textId="77777777" w:rsidR="009D3026" w:rsidRPr="007666F2" w:rsidRDefault="009D3026" w:rsidP="002E4B8A">
            <w:pPr>
              <w:spacing w:line="240" w:lineRule="auto"/>
              <w:rPr>
                <w:rFonts w:eastAsia="Calibri" w:cs="Times New Roman"/>
                <w:sz w:val="20"/>
                <w:szCs w:val="20"/>
              </w:rPr>
            </w:pPr>
          </w:p>
        </w:tc>
        <w:tc>
          <w:tcPr>
            <w:tcW w:w="826" w:type="pct"/>
            <w:tcBorders>
              <w:top w:val="nil"/>
              <w:bottom w:val="single" w:sz="6" w:space="0" w:color="auto"/>
              <w:right w:val="nil"/>
            </w:tcBorders>
            <w:hideMark/>
          </w:tcPr>
          <w:p w14:paraId="4DC1E998" w14:textId="695322E3" w:rsidR="009D3026" w:rsidRPr="007666F2" w:rsidRDefault="009D3026" w:rsidP="002E4B8A">
            <w:pPr>
              <w:spacing w:line="240" w:lineRule="auto"/>
              <w:rPr>
                <w:rFonts w:eastAsia="Calibri" w:cs="Times New Roman"/>
                <w:sz w:val="20"/>
                <w:szCs w:val="20"/>
                <w:lang/>
              </w:rPr>
            </w:pPr>
            <w:r w:rsidRPr="007666F2">
              <w:rPr>
                <w:rFonts w:eastAsia="Calibri" w:cs="Times New Roman"/>
                <w:sz w:val="20"/>
                <w:szCs w:val="20"/>
              </w:rPr>
              <w:t>S</w:t>
            </w:r>
            <w:r w:rsidRPr="007666F2">
              <w:rPr>
                <w:rFonts w:eastAsia="Calibri" w:cs="Times New Roman"/>
                <w:sz w:val="20"/>
                <w:szCs w:val="20"/>
                <w:lang/>
              </w:rPr>
              <w:t xml:space="preserve">ales </w:t>
            </w:r>
            <w:r w:rsidRPr="007666F2">
              <w:rPr>
                <w:rFonts w:eastAsia="Calibri" w:cs="Times New Roman"/>
                <w:sz w:val="20"/>
                <w:szCs w:val="20"/>
              </w:rPr>
              <w:t>V</w:t>
            </w:r>
            <w:r w:rsidRPr="007666F2">
              <w:rPr>
                <w:rFonts w:eastAsia="Calibri" w:cs="Times New Roman"/>
                <w:sz w:val="20"/>
                <w:szCs w:val="20"/>
                <w:lang/>
              </w:rPr>
              <w:t>olume</w:t>
            </w:r>
          </w:p>
        </w:tc>
        <w:tc>
          <w:tcPr>
            <w:tcW w:w="515" w:type="pct"/>
            <w:tcBorders>
              <w:top w:val="nil"/>
              <w:left w:val="nil"/>
              <w:bottom w:val="single" w:sz="6" w:space="0" w:color="auto"/>
              <w:right w:val="nil"/>
            </w:tcBorders>
            <w:hideMark/>
          </w:tcPr>
          <w:p w14:paraId="232B544C" w14:textId="77777777" w:rsidR="009D3026" w:rsidRPr="007666F2" w:rsidRDefault="009D3026" w:rsidP="002E4B8A">
            <w:pPr>
              <w:spacing w:line="240" w:lineRule="auto"/>
              <w:rPr>
                <w:rFonts w:eastAsia="Calibri" w:cs="Times New Roman"/>
                <w:sz w:val="20"/>
                <w:szCs w:val="20"/>
                <w:lang/>
              </w:rPr>
            </w:pPr>
            <w:r w:rsidRPr="007666F2">
              <w:rPr>
                <w:rFonts w:eastAsia="Calibri" w:cs="Times New Roman"/>
                <w:sz w:val="20"/>
                <w:szCs w:val="20"/>
                <w:lang/>
              </w:rPr>
              <w:t>1056941</w:t>
            </w:r>
          </w:p>
        </w:tc>
        <w:tc>
          <w:tcPr>
            <w:tcW w:w="514" w:type="pct"/>
            <w:tcBorders>
              <w:top w:val="nil"/>
              <w:left w:val="nil"/>
              <w:bottom w:val="single" w:sz="6" w:space="0" w:color="auto"/>
              <w:right w:val="nil"/>
            </w:tcBorders>
            <w:hideMark/>
          </w:tcPr>
          <w:p w14:paraId="504DA68C" w14:textId="77777777" w:rsidR="009D3026" w:rsidRPr="007666F2" w:rsidRDefault="009D3026" w:rsidP="002E4B8A">
            <w:pPr>
              <w:spacing w:line="240" w:lineRule="auto"/>
              <w:rPr>
                <w:rFonts w:eastAsia="Calibri" w:cs="Times New Roman"/>
                <w:sz w:val="20"/>
                <w:szCs w:val="20"/>
                <w:lang/>
              </w:rPr>
            </w:pPr>
            <w:r w:rsidRPr="007666F2">
              <w:rPr>
                <w:rFonts w:eastAsia="Calibri" w:cs="Times New Roman"/>
                <w:sz w:val="20"/>
                <w:szCs w:val="20"/>
                <w:lang/>
              </w:rPr>
              <w:t>4108503</w:t>
            </w:r>
          </w:p>
        </w:tc>
        <w:tc>
          <w:tcPr>
            <w:tcW w:w="321" w:type="pct"/>
            <w:tcBorders>
              <w:top w:val="nil"/>
              <w:left w:val="nil"/>
              <w:bottom w:val="single" w:sz="6" w:space="0" w:color="auto"/>
              <w:right w:val="nil"/>
            </w:tcBorders>
            <w:hideMark/>
          </w:tcPr>
          <w:p w14:paraId="4DFB38E0" w14:textId="77777777" w:rsidR="009D3026" w:rsidRPr="007666F2" w:rsidRDefault="009D3026" w:rsidP="002E4B8A">
            <w:pPr>
              <w:spacing w:line="240" w:lineRule="auto"/>
              <w:rPr>
                <w:rFonts w:eastAsia="Calibri" w:cs="Times New Roman"/>
                <w:sz w:val="20"/>
                <w:szCs w:val="20"/>
                <w:lang/>
              </w:rPr>
            </w:pPr>
            <w:r w:rsidRPr="007666F2">
              <w:rPr>
                <w:rFonts w:eastAsia="Calibri" w:cs="Times New Roman"/>
                <w:sz w:val="20"/>
                <w:szCs w:val="20"/>
                <w:lang/>
              </w:rPr>
              <w:t>0.00</w:t>
            </w:r>
          </w:p>
        </w:tc>
        <w:tc>
          <w:tcPr>
            <w:tcW w:w="2016" w:type="pct"/>
            <w:tcBorders>
              <w:top w:val="nil"/>
              <w:left w:val="nil"/>
              <w:bottom w:val="single" w:sz="6" w:space="0" w:color="auto"/>
              <w:right w:val="nil"/>
            </w:tcBorders>
            <w:hideMark/>
          </w:tcPr>
          <w:p w14:paraId="39C1D86B" w14:textId="77777777" w:rsidR="009D3026" w:rsidRPr="007666F2" w:rsidRDefault="009D3026" w:rsidP="002E4B8A">
            <w:pPr>
              <w:spacing w:line="240" w:lineRule="auto"/>
              <w:rPr>
                <w:rFonts w:eastAsia="Calibri" w:cs="Times New Roman"/>
                <w:sz w:val="20"/>
                <w:szCs w:val="20"/>
                <w:lang/>
              </w:rPr>
            </w:pPr>
            <w:r w:rsidRPr="007666F2">
              <w:rPr>
                <w:rFonts w:eastAsia="Calibri" w:cs="Times New Roman"/>
                <w:sz w:val="20"/>
                <w:szCs w:val="20"/>
                <w:lang/>
              </w:rPr>
              <w:t>199494336</w:t>
            </w:r>
          </w:p>
        </w:tc>
      </w:tr>
    </w:tbl>
    <w:p w14:paraId="5537EEE4" w14:textId="7E5B29DD" w:rsidR="00773A39" w:rsidRDefault="000E300A" w:rsidP="00CE0D78">
      <w:pPr>
        <w:spacing w:line="240" w:lineRule="auto"/>
        <w:rPr>
          <w:rFonts w:eastAsia="Calibri" w:cs="Times New Roman"/>
          <w:sz w:val="20"/>
          <w:szCs w:val="20"/>
        </w:rPr>
      </w:pPr>
      <w:r>
        <w:rPr>
          <w:rFonts w:eastAsia="Calibri" w:cs="Times New Roman"/>
          <w:sz w:val="20"/>
          <w:szCs w:val="20"/>
        </w:rPr>
        <w:t xml:space="preserve">Table A43: Summary Statistics, including the </w:t>
      </w:r>
      <w:r w:rsidR="00AB5818" w:rsidRPr="00AB5818">
        <w:rPr>
          <w:rFonts w:eastAsia="Calibri" w:cs="Times New Roman"/>
          <w:sz w:val="20"/>
          <w:szCs w:val="20"/>
          <w:lang/>
        </w:rPr>
        <w:t>mean, standard deviation, and range for the outcome variables—Establishment Count, Employment Count, and Sales Volume—across NAICS sectors. The data illustrate economic variability in land-intensive sectors (e.g., agriculture, mining) and non-land-intensive sectors (e.g., real estate, manufacturing), providing insights into sectoral responses to delistin</w:t>
      </w:r>
      <w:r w:rsidR="00CE0D78">
        <w:rPr>
          <w:rFonts w:eastAsia="Calibri" w:cs="Times New Roman"/>
          <w:sz w:val="20"/>
          <w:szCs w:val="20"/>
        </w:rPr>
        <w:t>g.</w:t>
      </w:r>
    </w:p>
    <w:p w14:paraId="2EEBD999" w14:textId="5C4D90F8" w:rsidR="009D3026" w:rsidRDefault="009D3026" w:rsidP="009D3026">
      <w:pPr>
        <w:spacing w:line="240" w:lineRule="auto"/>
      </w:pPr>
      <w:bookmarkStart w:id="685" w:name="_Toc188056053"/>
      <w:bookmarkStart w:id="686" w:name="_Toc188057137"/>
      <w:bookmarkEnd w:id="680"/>
    </w:p>
    <w:p w14:paraId="26BF72F4" w14:textId="7B181D30" w:rsidR="00B34C76" w:rsidRDefault="00B34C76" w:rsidP="009D3026">
      <w:pPr>
        <w:spacing w:line="240" w:lineRule="auto"/>
      </w:pPr>
    </w:p>
    <w:p w14:paraId="6724AAC1" w14:textId="77777777" w:rsidR="00095E25" w:rsidRDefault="00095E25" w:rsidP="009D3026">
      <w:pPr>
        <w:spacing w:line="240" w:lineRule="auto"/>
      </w:pPr>
    </w:p>
    <w:p w14:paraId="23352543" w14:textId="77777777" w:rsidR="00B34C76" w:rsidRDefault="00B34C76" w:rsidP="009D3026">
      <w:pPr>
        <w:spacing w:line="240" w:lineRule="auto"/>
      </w:pPr>
    </w:p>
    <w:p w14:paraId="686EDD4F" w14:textId="77777777" w:rsidR="003B5A8E" w:rsidRDefault="003B5A8E" w:rsidP="009D3026">
      <w:pPr>
        <w:spacing w:line="240" w:lineRule="auto"/>
      </w:pPr>
    </w:p>
    <w:p w14:paraId="2F2A49A7" w14:textId="77777777" w:rsidR="003B5A8E" w:rsidRDefault="003B5A8E" w:rsidP="009D3026">
      <w:pPr>
        <w:spacing w:line="240" w:lineRule="auto"/>
      </w:pPr>
    </w:p>
    <w:p w14:paraId="28AE2A14" w14:textId="77777777" w:rsidR="003B5A8E" w:rsidRPr="009D3026" w:rsidRDefault="003B5A8E" w:rsidP="009D3026">
      <w:pPr>
        <w:spacing w:line="240" w:lineRule="auto"/>
      </w:pPr>
    </w:p>
    <w:p w14:paraId="788F4C3F" w14:textId="43619A35" w:rsidR="00AB5818" w:rsidRPr="00AB5818" w:rsidRDefault="00AB5818" w:rsidP="00095E25">
      <w:pPr>
        <w:pStyle w:val="Title"/>
      </w:pPr>
      <w:bookmarkStart w:id="687" w:name="_Toc188359649"/>
      <w:bookmarkStart w:id="688" w:name="_Toc188359937"/>
      <w:bookmarkStart w:id="689" w:name="_Toc188361173"/>
      <w:bookmarkStart w:id="690" w:name="_Toc188367017"/>
      <w:r w:rsidRPr="00AB5818">
        <w:lastRenderedPageBreak/>
        <w:t>Table A</w:t>
      </w:r>
      <w:r w:rsidR="005E02DB">
        <w:t>4</w:t>
      </w:r>
      <w:r w:rsidRPr="00AB5818">
        <w:t xml:space="preserve">4: </w:t>
      </w:r>
      <w:r w:rsidR="00AB0CC4">
        <w:rPr>
          <w:lang w:val="en-US"/>
        </w:rPr>
        <w:t xml:space="preserve">Summary of </w:t>
      </w:r>
      <w:r w:rsidR="00AB0CC4" w:rsidRPr="00AB5818">
        <w:t>NAICS 11</w:t>
      </w:r>
      <w:r w:rsidR="00AB0CC4">
        <w:rPr>
          <w:lang w:val="en-US"/>
        </w:rPr>
        <w:t xml:space="preserve"> Regression Results </w:t>
      </w:r>
      <w:r w:rsidRPr="00AB5818">
        <w:t>– Binary Range Indicator</w:t>
      </w:r>
      <w:bookmarkEnd w:id="685"/>
      <w:bookmarkEnd w:id="686"/>
      <w:bookmarkEnd w:id="687"/>
      <w:bookmarkEnd w:id="688"/>
      <w:bookmarkEnd w:id="689"/>
      <w:bookmarkEnd w:id="690"/>
    </w:p>
    <w:tbl>
      <w:tblPr>
        <w:tblW w:w="49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0"/>
        <w:gridCol w:w="1500"/>
        <w:gridCol w:w="1248"/>
        <w:gridCol w:w="1246"/>
        <w:gridCol w:w="1248"/>
        <w:gridCol w:w="1244"/>
        <w:gridCol w:w="1235"/>
      </w:tblGrid>
      <w:tr w:rsidR="00AB5818" w:rsidRPr="00AB5818" w14:paraId="0C2D6B1A" w14:textId="77777777" w:rsidTr="00922EC5">
        <w:tc>
          <w:tcPr>
            <w:tcW w:w="836" w:type="pct"/>
            <w:tcBorders>
              <w:top w:val="single" w:sz="4" w:space="0" w:color="auto"/>
              <w:left w:val="single" w:sz="4" w:space="0" w:color="auto"/>
              <w:bottom w:val="single" w:sz="4" w:space="0" w:color="auto"/>
              <w:right w:val="single" w:sz="4" w:space="0" w:color="auto"/>
            </w:tcBorders>
            <w:hideMark/>
          </w:tcPr>
          <w:p w14:paraId="2C6CFE68" w14:textId="2BDAD7C8" w:rsidR="00AB5818" w:rsidRPr="00922EC5" w:rsidRDefault="00922EC5" w:rsidP="002E4B8A">
            <w:pPr>
              <w:widowControl w:val="0"/>
              <w:autoSpaceDE w:val="0"/>
              <w:autoSpaceDN w:val="0"/>
              <w:adjustRightInd w:val="0"/>
              <w:spacing w:line="240" w:lineRule="auto"/>
              <w:rPr>
                <w:rFonts w:eastAsia="Calibri" w:cs="Times New Roman"/>
                <w:b/>
                <w:bCs/>
                <w:sz w:val="20"/>
                <w:szCs w:val="20"/>
              </w:rPr>
            </w:pPr>
            <w:r w:rsidRPr="00922EC5">
              <w:rPr>
                <w:rFonts w:eastAsia="Calibri" w:cs="Times New Roman"/>
                <w:b/>
                <w:bCs/>
                <w:sz w:val="20"/>
                <w:szCs w:val="20"/>
              </w:rPr>
              <w:t>Variable</w:t>
            </w:r>
          </w:p>
        </w:tc>
        <w:tc>
          <w:tcPr>
            <w:tcW w:w="1482" w:type="pct"/>
            <w:gridSpan w:val="2"/>
            <w:tcBorders>
              <w:top w:val="single" w:sz="4" w:space="0" w:color="auto"/>
              <w:left w:val="single" w:sz="4" w:space="0" w:color="auto"/>
              <w:bottom w:val="single" w:sz="4" w:space="0" w:color="auto"/>
              <w:right w:val="single" w:sz="4" w:space="0" w:color="auto"/>
            </w:tcBorders>
            <w:shd w:val="clear" w:color="auto" w:fill="auto"/>
            <w:hideMark/>
          </w:tcPr>
          <w:p w14:paraId="6C689673" w14:textId="212C4F8B" w:rsidR="00AB5818" w:rsidRPr="00922EC5" w:rsidRDefault="00AB5818" w:rsidP="002E4B8A">
            <w:pPr>
              <w:spacing w:line="240" w:lineRule="auto"/>
              <w:rPr>
                <w:rFonts w:cs="Times New Roman"/>
                <w:b/>
                <w:bCs/>
                <w:sz w:val="20"/>
                <w:szCs w:val="20"/>
              </w:rPr>
            </w:pPr>
            <w:r w:rsidRPr="00922EC5">
              <w:rPr>
                <w:rFonts w:cs="Times New Roman"/>
                <w:b/>
                <w:bCs/>
                <w:sz w:val="20"/>
                <w:szCs w:val="20"/>
              </w:rPr>
              <w:t>Estab</w:t>
            </w:r>
            <w:r w:rsidR="00922EC5" w:rsidRPr="00922EC5">
              <w:rPr>
                <w:rFonts w:cs="Times New Roman"/>
                <w:b/>
                <w:bCs/>
                <w:sz w:val="20"/>
                <w:szCs w:val="20"/>
              </w:rPr>
              <w:t xml:space="preserve">lishment </w:t>
            </w:r>
            <w:r w:rsidRPr="00922EC5">
              <w:rPr>
                <w:rFonts w:cs="Times New Roman"/>
                <w:b/>
                <w:bCs/>
                <w:sz w:val="20"/>
                <w:szCs w:val="20"/>
              </w:rPr>
              <w:t>Count</w:t>
            </w:r>
          </w:p>
        </w:tc>
        <w:tc>
          <w:tcPr>
            <w:tcW w:w="1345" w:type="pct"/>
            <w:gridSpan w:val="2"/>
            <w:tcBorders>
              <w:top w:val="single" w:sz="4" w:space="0" w:color="auto"/>
              <w:left w:val="single" w:sz="4" w:space="0" w:color="auto"/>
              <w:bottom w:val="single" w:sz="4" w:space="0" w:color="auto"/>
              <w:right w:val="single" w:sz="4" w:space="0" w:color="auto"/>
            </w:tcBorders>
            <w:shd w:val="clear" w:color="auto" w:fill="auto"/>
            <w:hideMark/>
          </w:tcPr>
          <w:p w14:paraId="03609C3D" w14:textId="77777777" w:rsidR="00AB5818" w:rsidRPr="00922EC5" w:rsidRDefault="00AB5818" w:rsidP="002E4B8A">
            <w:pPr>
              <w:spacing w:line="240" w:lineRule="auto"/>
              <w:rPr>
                <w:rFonts w:cs="Times New Roman"/>
                <w:b/>
                <w:bCs/>
                <w:sz w:val="20"/>
                <w:szCs w:val="20"/>
              </w:rPr>
            </w:pPr>
            <w:r w:rsidRPr="00922EC5">
              <w:rPr>
                <w:rFonts w:cs="Times New Roman"/>
                <w:b/>
                <w:bCs/>
                <w:sz w:val="20"/>
                <w:szCs w:val="20"/>
              </w:rPr>
              <w:t>Job Count</w:t>
            </w:r>
          </w:p>
        </w:tc>
        <w:tc>
          <w:tcPr>
            <w:tcW w:w="1337" w:type="pct"/>
            <w:gridSpan w:val="2"/>
            <w:tcBorders>
              <w:top w:val="single" w:sz="4" w:space="0" w:color="auto"/>
              <w:left w:val="single" w:sz="4" w:space="0" w:color="auto"/>
              <w:bottom w:val="single" w:sz="4" w:space="0" w:color="auto"/>
              <w:right w:val="single" w:sz="4" w:space="0" w:color="auto"/>
            </w:tcBorders>
            <w:shd w:val="clear" w:color="auto" w:fill="auto"/>
            <w:hideMark/>
          </w:tcPr>
          <w:p w14:paraId="2C567759" w14:textId="77777777" w:rsidR="00AB5818" w:rsidRPr="00922EC5" w:rsidRDefault="00AB5818" w:rsidP="002E4B8A">
            <w:pPr>
              <w:spacing w:line="240" w:lineRule="auto"/>
              <w:rPr>
                <w:rFonts w:cs="Times New Roman"/>
                <w:b/>
                <w:bCs/>
                <w:sz w:val="20"/>
                <w:szCs w:val="20"/>
              </w:rPr>
            </w:pPr>
            <w:r w:rsidRPr="00922EC5">
              <w:rPr>
                <w:rFonts w:cs="Times New Roman"/>
                <w:b/>
                <w:bCs/>
                <w:sz w:val="20"/>
                <w:szCs w:val="20"/>
              </w:rPr>
              <w:t>Sales Volume</w:t>
            </w:r>
          </w:p>
        </w:tc>
      </w:tr>
      <w:tr w:rsidR="00AB5818" w:rsidRPr="00AB5818" w14:paraId="5BD66F98"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457268C9" w14:textId="77777777" w:rsidR="00AB5818" w:rsidRPr="00922EC5" w:rsidRDefault="00AB5818" w:rsidP="002E4B8A">
            <w:pPr>
              <w:widowControl w:val="0"/>
              <w:autoSpaceDE w:val="0"/>
              <w:autoSpaceDN w:val="0"/>
              <w:adjustRightInd w:val="0"/>
              <w:spacing w:line="240" w:lineRule="auto"/>
              <w:rPr>
                <w:rFonts w:eastAsia="Calibri" w:cs="Times New Roman"/>
                <w:sz w:val="20"/>
                <w:szCs w:val="20"/>
              </w:rPr>
            </w:pPr>
            <w:r w:rsidRPr="00922EC5">
              <w:rPr>
                <w:rFonts w:eastAsia="Calibri" w:cs="Times New Roman"/>
                <w:sz w:val="20"/>
                <w:szCs w:val="20"/>
              </w:rPr>
              <w:t>Range</w:t>
            </w:r>
          </w:p>
        </w:tc>
        <w:tc>
          <w:tcPr>
            <w:tcW w:w="809" w:type="pct"/>
            <w:tcBorders>
              <w:top w:val="single" w:sz="4" w:space="0" w:color="auto"/>
              <w:left w:val="single" w:sz="4" w:space="0" w:color="auto"/>
              <w:bottom w:val="single" w:sz="4" w:space="0" w:color="auto"/>
              <w:right w:val="single" w:sz="4" w:space="0" w:color="auto"/>
            </w:tcBorders>
            <w:hideMark/>
          </w:tcPr>
          <w:p w14:paraId="512AC488" w14:textId="77777777" w:rsidR="00AB5818" w:rsidRPr="00922EC5" w:rsidRDefault="00AB5818" w:rsidP="002E4B8A">
            <w:pPr>
              <w:widowControl w:val="0"/>
              <w:autoSpaceDE w:val="0"/>
              <w:autoSpaceDN w:val="0"/>
              <w:adjustRightInd w:val="0"/>
              <w:spacing w:line="240" w:lineRule="auto"/>
              <w:rPr>
                <w:rFonts w:eastAsia="Calibri" w:cs="Times New Roman"/>
                <w:sz w:val="20"/>
                <w:szCs w:val="20"/>
                <w:highlight w:val="magenta"/>
              </w:rPr>
            </w:pPr>
            <w:r w:rsidRPr="00922EC5">
              <w:rPr>
                <w:rFonts w:eastAsia="Calibri" w:cs="Times New Roman"/>
                <w:sz w:val="20"/>
                <w:szCs w:val="20"/>
              </w:rPr>
              <w:t>-.02026</w:t>
            </w:r>
          </w:p>
        </w:tc>
        <w:tc>
          <w:tcPr>
            <w:tcW w:w="673" w:type="pct"/>
            <w:tcBorders>
              <w:top w:val="single" w:sz="4" w:space="0" w:color="auto"/>
              <w:left w:val="single" w:sz="4" w:space="0" w:color="auto"/>
              <w:bottom w:val="single" w:sz="4" w:space="0" w:color="auto"/>
              <w:right w:val="single" w:sz="4" w:space="0" w:color="auto"/>
            </w:tcBorders>
            <w:hideMark/>
          </w:tcPr>
          <w:p w14:paraId="70C26341" w14:textId="77777777" w:rsidR="00AB5818" w:rsidRPr="00922EC5" w:rsidRDefault="00AB5818" w:rsidP="002E4B8A">
            <w:pPr>
              <w:widowControl w:val="0"/>
              <w:autoSpaceDE w:val="0"/>
              <w:autoSpaceDN w:val="0"/>
              <w:adjustRightInd w:val="0"/>
              <w:spacing w:line="240" w:lineRule="auto"/>
              <w:rPr>
                <w:rFonts w:eastAsia="Calibri" w:cs="Times New Roman"/>
                <w:sz w:val="20"/>
                <w:szCs w:val="20"/>
                <w:highlight w:val="magenta"/>
              </w:rPr>
            </w:pPr>
            <w:bookmarkStart w:id="691" w:name="_Hlk184837870"/>
            <w:r w:rsidRPr="00922EC5">
              <w:rPr>
                <w:rFonts w:eastAsia="Calibri" w:cs="Times New Roman"/>
                <w:sz w:val="20"/>
                <w:szCs w:val="20"/>
              </w:rPr>
              <w:t>-.12552***</w:t>
            </w:r>
            <w:bookmarkEnd w:id="691"/>
          </w:p>
        </w:tc>
        <w:tc>
          <w:tcPr>
            <w:tcW w:w="672" w:type="pct"/>
            <w:tcBorders>
              <w:top w:val="single" w:sz="4" w:space="0" w:color="auto"/>
              <w:left w:val="single" w:sz="4" w:space="0" w:color="auto"/>
              <w:bottom w:val="single" w:sz="4" w:space="0" w:color="auto"/>
              <w:right w:val="single" w:sz="4" w:space="0" w:color="auto"/>
            </w:tcBorders>
            <w:hideMark/>
          </w:tcPr>
          <w:p w14:paraId="6C66AA40" w14:textId="77777777" w:rsidR="00AB5818" w:rsidRPr="00922EC5" w:rsidRDefault="00AB5818" w:rsidP="002E4B8A">
            <w:pPr>
              <w:widowControl w:val="0"/>
              <w:autoSpaceDE w:val="0"/>
              <w:autoSpaceDN w:val="0"/>
              <w:adjustRightInd w:val="0"/>
              <w:spacing w:line="240" w:lineRule="auto"/>
              <w:rPr>
                <w:rFonts w:eastAsia="Calibri" w:cs="Times New Roman"/>
                <w:sz w:val="20"/>
                <w:szCs w:val="20"/>
              </w:rPr>
            </w:pPr>
            <w:r w:rsidRPr="00922EC5">
              <w:rPr>
                <w:rFonts w:eastAsia="Calibri" w:cs="Times New Roman"/>
                <w:sz w:val="20"/>
                <w:szCs w:val="20"/>
              </w:rPr>
              <w:t>-.15822**</w:t>
            </w:r>
          </w:p>
        </w:tc>
        <w:tc>
          <w:tcPr>
            <w:tcW w:w="673" w:type="pct"/>
            <w:tcBorders>
              <w:top w:val="single" w:sz="4" w:space="0" w:color="auto"/>
              <w:left w:val="single" w:sz="4" w:space="0" w:color="auto"/>
              <w:bottom w:val="single" w:sz="4" w:space="0" w:color="auto"/>
              <w:right w:val="single" w:sz="4" w:space="0" w:color="auto"/>
            </w:tcBorders>
            <w:hideMark/>
          </w:tcPr>
          <w:p w14:paraId="399E39FC" w14:textId="77777777" w:rsidR="00AB5818" w:rsidRPr="00922EC5" w:rsidRDefault="00AB5818" w:rsidP="002E4B8A">
            <w:pPr>
              <w:widowControl w:val="0"/>
              <w:autoSpaceDE w:val="0"/>
              <w:autoSpaceDN w:val="0"/>
              <w:adjustRightInd w:val="0"/>
              <w:spacing w:line="240" w:lineRule="auto"/>
              <w:rPr>
                <w:rFonts w:eastAsia="Calibri" w:cs="Times New Roman"/>
                <w:sz w:val="20"/>
                <w:szCs w:val="20"/>
              </w:rPr>
            </w:pPr>
            <w:r w:rsidRPr="00922EC5">
              <w:rPr>
                <w:rFonts w:eastAsia="Calibri" w:cs="Times New Roman"/>
                <w:sz w:val="20"/>
                <w:szCs w:val="20"/>
              </w:rPr>
              <w:t>-.10657</w:t>
            </w:r>
          </w:p>
        </w:tc>
        <w:tc>
          <w:tcPr>
            <w:tcW w:w="671" w:type="pct"/>
            <w:tcBorders>
              <w:top w:val="single" w:sz="4" w:space="0" w:color="auto"/>
              <w:left w:val="single" w:sz="4" w:space="0" w:color="auto"/>
              <w:bottom w:val="single" w:sz="4" w:space="0" w:color="auto"/>
              <w:right w:val="single" w:sz="4" w:space="0" w:color="auto"/>
            </w:tcBorders>
            <w:hideMark/>
          </w:tcPr>
          <w:p w14:paraId="06233F35" w14:textId="77777777" w:rsidR="00AB5818" w:rsidRPr="00922EC5" w:rsidRDefault="00AB5818" w:rsidP="002E4B8A">
            <w:pPr>
              <w:widowControl w:val="0"/>
              <w:autoSpaceDE w:val="0"/>
              <w:autoSpaceDN w:val="0"/>
              <w:adjustRightInd w:val="0"/>
              <w:spacing w:line="240" w:lineRule="auto"/>
              <w:rPr>
                <w:rFonts w:eastAsia="Calibri" w:cs="Times New Roman"/>
                <w:sz w:val="20"/>
                <w:szCs w:val="20"/>
              </w:rPr>
            </w:pPr>
            <w:r w:rsidRPr="00922EC5">
              <w:rPr>
                <w:rFonts w:eastAsia="Calibri" w:cs="Times New Roman"/>
                <w:sz w:val="20"/>
                <w:szCs w:val="20"/>
              </w:rPr>
              <w:t>-.08914</w:t>
            </w:r>
          </w:p>
        </w:tc>
        <w:tc>
          <w:tcPr>
            <w:tcW w:w="666" w:type="pct"/>
            <w:tcBorders>
              <w:top w:val="single" w:sz="4" w:space="0" w:color="auto"/>
              <w:left w:val="single" w:sz="4" w:space="0" w:color="auto"/>
              <w:bottom w:val="single" w:sz="4" w:space="0" w:color="auto"/>
              <w:right w:val="single" w:sz="4" w:space="0" w:color="auto"/>
            </w:tcBorders>
            <w:hideMark/>
          </w:tcPr>
          <w:p w14:paraId="113C92BF" w14:textId="77777777" w:rsidR="00AB5818" w:rsidRPr="00922EC5" w:rsidRDefault="00AB5818" w:rsidP="002E4B8A">
            <w:pPr>
              <w:widowControl w:val="0"/>
              <w:autoSpaceDE w:val="0"/>
              <w:autoSpaceDN w:val="0"/>
              <w:adjustRightInd w:val="0"/>
              <w:spacing w:line="240" w:lineRule="auto"/>
              <w:rPr>
                <w:rFonts w:eastAsia="Calibri" w:cs="Times New Roman"/>
                <w:sz w:val="20"/>
                <w:szCs w:val="20"/>
              </w:rPr>
            </w:pPr>
            <w:r w:rsidRPr="00922EC5">
              <w:rPr>
                <w:rFonts w:eastAsia="Calibri" w:cs="Times New Roman"/>
                <w:sz w:val="20"/>
                <w:szCs w:val="20"/>
              </w:rPr>
              <w:t>-.21062*</w:t>
            </w:r>
          </w:p>
        </w:tc>
      </w:tr>
      <w:tr w:rsidR="00AB5818" w:rsidRPr="00AB5818" w14:paraId="7204BB9B"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4C83FBA0" w14:textId="588D61E8" w:rsidR="00AB5818" w:rsidRPr="00922EC5" w:rsidRDefault="00AB5818" w:rsidP="002E4B8A">
            <w:pPr>
              <w:widowControl w:val="0"/>
              <w:autoSpaceDE w:val="0"/>
              <w:autoSpaceDN w:val="0"/>
              <w:adjustRightInd w:val="0"/>
              <w:spacing w:line="240" w:lineRule="auto"/>
              <w:rPr>
                <w:rFonts w:eastAsia="Calibri" w:cs="Times New Roman"/>
                <w:sz w:val="20"/>
                <w:szCs w:val="20"/>
              </w:rPr>
            </w:pPr>
          </w:p>
        </w:tc>
        <w:tc>
          <w:tcPr>
            <w:tcW w:w="809" w:type="pct"/>
            <w:tcBorders>
              <w:top w:val="single" w:sz="4" w:space="0" w:color="auto"/>
              <w:left w:val="single" w:sz="4" w:space="0" w:color="auto"/>
              <w:bottom w:val="single" w:sz="4" w:space="0" w:color="auto"/>
              <w:right w:val="single" w:sz="4" w:space="0" w:color="auto"/>
            </w:tcBorders>
            <w:hideMark/>
          </w:tcPr>
          <w:p w14:paraId="7E59080E" w14:textId="77777777" w:rsidR="00AB5818" w:rsidRPr="00922EC5" w:rsidRDefault="00AB5818" w:rsidP="002E4B8A">
            <w:pPr>
              <w:widowControl w:val="0"/>
              <w:autoSpaceDE w:val="0"/>
              <w:autoSpaceDN w:val="0"/>
              <w:adjustRightInd w:val="0"/>
              <w:spacing w:line="240" w:lineRule="auto"/>
              <w:rPr>
                <w:rFonts w:eastAsia="Calibri" w:cs="Times New Roman"/>
                <w:sz w:val="20"/>
                <w:szCs w:val="20"/>
              </w:rPr>
            </w:pPr>
            <w:r w:rsidRPr="00922EC5">
              <w:rPr>
                <w:rFonts w:eastAsia="Calibri" w:cs="Times New Roman"/>
                <w:sz w:val="20"/>
                <w:szCs w:val="20"/>
              </w:rPr>
              <w:t>(.0383)</w:t>
            </w:r>
          </w:p>
        </w:tc>
        <w:tc>
          <w:tcPr>
            <w:tcW w:w="673" w:type="pct"/>
            <w:tcBorders>
              <w:top w:val="single" w:sz="4" w:space="0" w:color="auto"/>
              <w:left w:val="single" w:sz="4" w:space="0" w:color="auto"/>
              <w:bottom w:val="single" w:sz="4" w:space="0" w:color="auto"/>
              <w:right w:val="single" w:sz="4" w:space="0" w:color="auto"/>
            </w:tcBorders>
            <w:hideMark/>
          </w:tcPr>
          <w:p w14:paraId="3897069C" w14:textId="77777777" w:rsidR="00AB5818" w:rsidRPr="00922EC5" w:rsidRDefault="00AB5818" w:rsidP="002E4B8A">
            <w:pPr>
              <w:widowControl w:val="0"/>
              <w:autoSpaceDE w:val="0"/>
              <w:autoSpaceDN w:val="0"/>
              <w:adjustRightInd w:val="0"/>
              <w:spacing w:line="240" w:lineRule="auto"/>
              <w:rPr>
                <w:rFonts w:eastAsia="Calibri" w:cs="Times New Roman"/>
                <w:sz w:val="20"/>
                <w:szCs w:val="20"/>
              </w:rPr>
            </w:pPr>
            <w:r w:rsidRPr="00922EC5">
              <w:rPr>
                <w:rFonts w:eastAsia="Calibri" w:cs="Times New Roman"/>
                <w:sz w:val="20"/>
                <w:szCs w:val="20"/>
              </w:rPr>
              <w:t>(.0357)</w:t>
            </w:r>
          </w:p>
        </w:tc>
        <w:tc>
          <w:tcPr>
            <w:tcW w:w="672" w:type="pct"/>
            <w:tcBorders>
              <w:top w:val="single" w:sz="4" w:space="0" w:color="auto"/>
              <w:left w:val="single" w:sz="4" w:space="0" w:color="auto"/>
              <w:bottom w:val="single" w:sz="4" w:space="0" w:color="auto"/>
              <w:right w:val="single" w:sz="4" w:space="0" w:color="auto"/>
            </w:tcBorders>
            <w:hideMark/>
          </w:tcPr>
          <w:p w14:paraId="14E55C86" w14:textId="77777777" w:rsidR="00AB5818" w:rsidRPr="00922EC5" w:rsidRDefault="00AB5818" w:rsidP="002E4B8A">
            <w:pPr>
              <w:widowControl w:val="0"/>
              <w:autoSpaceDE w:val="0"/>
              <w:autoSpaceDN w:val="0"/>
              <w:adjustRightInd w:val="0"/>
              <w:spacing w:line="240" w:lineRule="auto"/>
              <w:rPr>
                <w:rFonts w:eastAsia="Calibri" w:cs="Times New Roman"/>
                <w:sz w:val="20"/>
                <w:szCs w:val="20"/>
              </w:rPr>
            </w:pPr>
            <w:r w:rsidRPr="00922EC5">
              <w:rPr>
                <w:rFonts w:eastAsia="Calibri" w:cs="Times New Roman"/>
                <w:sz w:val="20"/>
                <w:szCs w:val="20"/>
              </w:rPr>
              <w:t>(.06791)</w:t>
            </w:r>
          </w:p>
        </w:tc>
        <w:tc>
          <w:tcPr>
            <w:tcW w:w="673" w:type="pct"/>
            <w:tcBorders>
              <w:top w:val="single" w:sz="4" w:space="0" w:color="auto"/>
              <w:left w:val="single" w:sz="4" w:space="0" w:color="auto"/>
              <w:bottom w:val="single" w:sz="4" w:space="0" w:color="auto"/>
              <w:right w:val="single" w:sz="4" w:space="0" w:color="auto"/>
            </w:tcBorders>
            <w:hideMark/>
          </w:tcPr>
          <w:p w14:paraId="3E1B4FF4" w14:textId="77777777" w:rsidR="00AB5818" w:rsidRPr="00922EC5" w:rsidRDefault="00AB5818" w:rsidP="002E4B8A">
            <w:pPr>
              <w:widowControl w:val="0"/>
              <w:autoSpaceDE w:val="0"/>
              <w:autoSpaceDN w:val="0"/>
              <w:adjustRightInd w:val="0"/>
              <w:spacing w:line="240" w:lineRule="auto"/>
              <w:rPr>
                <w:rFonts w:eastAsia="Calibri" w:cs="Times New Roman"/>
                <w:sz w:val="20"/>
                <w:szCs w:val="20"/>
              </w:rPr>
            </w:pPr>
            <w:r w:rsidRPr="00922EC5">
              <w:rPr>
                <w:rFonts w:eastAsia="Calibri" w:cs="Times New Roman"/>
                <w:sz w:val="20"/>
                <w:szCs w:val="20"/>
              </w:rPr>
              <w:t>(.07043)</w:t>
            </w:r>
          </w:p>
        </w:tc>
        <w:tc>
          <w:tcPr>
            <w:tcW w:w="671" w:type="pct"/>
            <w:tcBorders>
              <w:top w:val="single" w:sz="4" w:space="0" w:color="auto"/>
              <w:left w:val="single" w:sz="4" w:space="0" w:color="auto"/>
              <w:bottom w:val="single" w:sz="4" w:space="0" w:color="auto"/>
              <w:right w:val="single" w:sz="4" w:space="0" w:color="auto"/>
            </w:tcBorders>
            <w:hideMark/>
          </w:tcPr>
          <w:p w14:paraId="38D72439" w14:textId="77777777" w:rsidR="00AB5818" w:rsidRPr="00922EC5" w:rsidRDefault="00AB5818" w:rsidP="002E4B8A">
            <w:pPr>
              <w:widowControl w:val="0"/>
              <w:autoSpaceDE w:val="0"/>
              <w:autoSpaceDN w:val="0"/>
              <w:adjustRightInd w:val="0"/>
              <w:spacing w:line="240" w:lineRule="auto"/>
              <w:rPr>
                <w:rFonts w:eastAsia="Calibri" w:cs="Times New Roman"/>
                <w:sz w:val="20"/>
                <w:szCs w:val="20"/>
              </w:rPr>
            </w:pPr>
            <w:r w:rsidRPr="00922EC5">
              <w:rPr>
                <w:rFonts w:eastAsia="Calibri" w:cs="Times New Roman"/>
                <w:sz w:val="20"/>
                <w:szCs w:val="20"/>
              </w:rPr>
              <w:t>(.0765)</w:t>
            </w:r>
          </w:p>
        </w:tc>
        <w:tc>
          <w:tcPr>
            <w:tcW w:w="666" w:type="pct"/>
            <w:tcBorders>
              <w:top w:val="single" w:sz="4" w:space="0" w:color="auto"/>
              <w:left w:val="single" w:sz="4" w:space="0" w:color="auto"/>
              <w:bottom w:val="single" w:sz="4" w:space="0" w:color="auto"/>
              <w:right w:val="single" w:sz="4" w:space="0" w:color="auto"/>
            </w:tcBorders>
            <w:hideMark/>
          </w:tcPr>
          <w:p w14:paraId="30957DB8" w14:textId="77777777" w:rsidR="00AB5818" w:rsidRPr="00922EC5" w:rsidRDefault="00AB5818" w:rsidP="002E4B8A">
            <w:pPr>
              <w:widowControl w:val="0"/>
              <w:autoSpaceDE w:val="0"/>
              <w:autoSpaceDN w:val="0"/>
              <w:adjustRightInd w:val="0"/>
              <w:spacing w:line="240" w:lineRule="auto"/>
              <w:rPr>
                <w:rFonts w:eastAsia="Calibri" w:cs="Times New Roman"/>
                <w:sz w:val="20"/>
                <w:szCs w:val="20"/>
              </w:rPr>
            </w:pPr>
            <w:r w:rsidRPr="00922EC5">
              <w:rPr>
                <w:rFonts w:eastAsia="Calibri" w:cs="Times New Roman"/>
                <w:sz w:val="20"/>
                <w:szCs w:val="20"/>
              </w:rPr>
              <w:t>(.12038)</w:t>
            </w:r>
          </w:p>
        </w:tc>
      </w:tr>
      <w:tr w:rsidR="00AB5818" w:rsidRPr="00AB5818" w14:paraId="0A18EE4D"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3A9E1941" w14:textId="77777777" w:rsidR="00AB5818" w:rsidRPr="00922EC5" w:rsidRDefault="00AB5818" w:rsidP="002E4B8A">
            <w:pPr>
              <w:widowControl w:val="0"/>
              <w:autoSpaceDE w:val="0"/>
              <w:autoSpaceDN w:val="0"/>
              <w:adjustRightInd w:val="0"/>
              <w:spacing w:line="240" w:lineRule="auto"/>
              <w:rPr>
                <w:rFonts w:eastAsia="Calibri" w:cs="Times New Roman"/>
                <w:sz w:val="20"/>
                <w:szCs w:val="20"/>
              </w:rPr>
            </w:pPr>
            <w:r w:rsidRPr="00922EC5">
              <w:rPr>
                <w:rFonts w:eastAsia="Calibri" w:cs="Times New Roman"/>
                <w:sz w:val="20"/>
                <w:szCs w:val="20"/>
              </w:rPr>
              <w:t>TSD * Range</w:t>
            </w:r>
          </w:p>
        </w:tc>
        <w:tc>
          <w:tcPr>
            <w:tcW w:w="809" w:type="pct"/>
            <w:tcBorders>
              <w:top w:val="single" w:sz="4" w:space="0" w:color="auto"/>
              <w:left w:val="single" w:sz="4" w:space="0" w:color="auto"/>
              <w:bottom w:val="single" w:sz="4" w:space="0" w:color="auto"/>
              <w:right w:val="single" w:sz="4" w:space="0" w:color="auto"/>
            </w:tcBorders>
            <w:hideMark/>
          </w:tcPr>
          <w:p w14:paraId="5E3B9479" w14:textId="77777777" w:rsidR="00AB5818" w:rsidRPr="00922EC5" w:rsidRDefault="00AB5818" w:rsidP="002E4B8A">
            <w:pPr>
              <w:widowControl w:val="0"/>
              <w:autoSpaceDE w:val="0"/>
              <w:autoSpaceDN w:val="0"/>
              <w:adjustRightInd w:val="0"/>
              <w:spacing w:line="240" w:lineRule="auto"/>
              <w:rPr>
                <w:rFonts w:eastAsia="Calibri" w:cs="Times New Roman"/>
                <w:sz w:val="20"/>
                <w:szCs w:val="20"/>
              </w:rPr>
            </w:pPr>
            <w:r w:rsidRPr="00922EC5">
              <w:rPr>
                <w:rFonts w:eastAsia="Calibri" w:cs="Times New Roman"/>
                <w:sz w:val="20"/>
                <w:szCs w:val="20"/>
              </w:rPr>
              <w:t>-.28491***</w:t>
            </w:r>
          </w:p>
        </w:tc>
        <w:tc>
          <w:tcPr>
            <w:tcW w:w="673" w:type="pct"/>
            <w:tcBorders>
              <w:top w:val="single" w:sz="4" w:space="0" w:color="auto"/>
              <w:left w:val="single" w:sz="4" w:space="0" w:color="auto"/>
              <w:bottom w:val="single" w:sz="4" w:space="0" w:color="auto"/>
              <w:right w:val="single" w:sz="4" w:space="0" w:color="auto"/>
            </w:tcBorders>
            <w:hideMark/>
          </w:tcPr>
          <w:p w14:paraId="2EBBD933" w14:textId="77777777" w:rsidR="00AB5818" w:rsidRPr="00922EC5" w:rsidRDefault="00AB5818" w:rsidP="002E4B8A">
            <w:pPr>
              <w:widowControl w:val="0"/>
              <w:autoSpaceDE w:val="0"/>
              <w:autoSpaceDN w:val="0"/>
              <w:adjustRightInd w:val="0"/>
              <w:spacing w:line="240" w:lineRule="auto"/>
              <w:rPr>
                <w:rFonts w:eastAsia="Calibri" w:cs="Times New Roman"/>
                <w:sz w:val="20"/>
                <w:szCs w:val="20"/>
              </w:rPr>
            </w:pPr>
            <w:bookmarkStart w:id="692" w:name="_Hlk184837885"/>
            <w:r w:rsidRPr="00922EC5">
              <w:rPr>
                <w:rFonts w:eastAsia="Calibri" w:cs="Times New Roman"/>
                <w:sz w:val="20"/>
                <w:szCs w:val="20"/>
              </w:rPr>
              <w:t>-.205</w:t>
            </w:r>
            <w:bookmarkEnd w:id="692"/>
            <w:r w:rsidRPr="00922EC5">
              <w:rPr>
                <w:rFonts w:eastAsia="Calibri" w:cs="Times New Roman"/>
                <w:sz w:val="20"/>
                <w:szCs w:val="20"/>
              </w:rPr>
              <w:t>***</w:t>
            </w:r>
          </w:p>
        </w:tc>
        <w:tc>
          <w:tcPr>
            <w:tcW w:w="672" w:type="pct"/>
            <w:tcBorders>
              <w:top w:val="single" w:sz="4" w:space="0" w:color="auto"/>
              <w:left w:val="single" w:sz="4" w:space="0" w:color="auto"/>
              <w:bottom w:val="single" w:sz="4" w:space="0" w:color="auto"/>
              <w:right w:val="single" w:sz="4" w:space="0" w:color="auto"/>
            </w:tcBorders>
            <w:hideMark/>
          </w:tcPr>
          <w:p w14:paraId="77883AF0" w14:textId="77777777" w:rsidR="00AB5818" w:rsidRPr="00922EC5" w:rsidRDefault="00AB5818" w:rsidP="002E4B8A">
            <w:pPr>
              <w:widowControl w:val="0"/>
              <w:autoSpaceDE w:val="0"/>
              <w:autoSpaceDN w:val="0"/>
              <w:adjustRightInd w:val="0"/>
              <w:spacing w:line="240" w:lineRule="auto"/>
              <w:rPr>
                <w:rFonts w:eastAsia="Calibri" w:cs="Times New Roman"/>
                <w:sz w:val="20"/>
                <w:szCs w:val="20"/>
              </w:rPr>
            </w:pPr>
            <w:r w:rsidRPr="00922EC5">
              <w:rPr>
                <w:rFonts w:eastAsia="Calibri" w:cs="Times New Roman"/>
                <w:sz w:val="20"/>
                <w:szCs w:val="20"/>
              </w:rPr>
              <w:t>-.06013</w:t>
            </w:r>
          </w:p>
        </w:tc>
        <w:tc>
          <w:tcPr>
            <w:tcW w:w="673" w:type="pct"/>
            <w:tcBorders>
              <w:top w:val="single" w:sz="4" w:space="0" w:color="auto"/>
              <w:left w:val="single" w:sz="4" w:space="0" w:color="auto"/>
              <w:bottom w:val="single" w:sz="4" w:space="0" w:color="auto"/>
              <w:right w:val="single" w:sz="4" w:space="0" w:color="auto"/>
            </w:tcBorders>
            <w:hideMark/>
          </w:tcPr>
          <w:p w14:paraId="4049F8FB" w14:textId="77777777" w:rsidR="00AB5818" w:rsidRPr="00922EC5" w:rsidRDefault="00AB5818" w:rsidP="002E4B8A">
            <w:pPr>
              <w:widowControl w:val="0"/>
              <w:autoSpaceDE w:val="0"/>
              <w:autoSpaceDN w:val="0"/>
              <w:adjustRightInd w:val="0"/>
              <w:spacing w:line="240" w:lineRule="auto"/>
              <w:rPr>
                <w:rFonts w:eastAsia="Calibri" w:cs="Times New Roman"/>
                <w:sz w:val="20"/>
                <w:szCs w:val="20"/>
              </w:rPr>
            </w:pPr>
            <w:r w:rsidRPr="00922EC5">
              <w:rPr>
                <w:rFonts w:eastAsia="Calibri" w:cs="Times New Roman"/>
                <w:sz w:val="20"/>
                <w:szCs w:val="20"/>
              </w:rPr>
              <w:t>-.12129***</w:t>
            </w:r>
          </w:p>
        </w:tc>
        <w:tc>
          <w:tcPr>
            <w:tcW w:w="671" w:type="pct"/>
            <w:tcBorders>
              <w:top w:val="single" w:sz="4" w:space="0" w:color="auto"/>
              <w:left w:val="single" w:sz="4" w:space="0" w:color="auto"/>
              <w:bottom w:val="single" w:sz="4" w:space="0" w:color="auto"/>
              <w:right w:val="single" w:sz="4" w:space="0" w:color="auto"/>
            </w:tcBorders>
            <w:hideMark/>
          </w:tcPr>
          <w:p w14:paraId="70E18F52" w14:textId="77777777" w:rsidR="00AB5818" w:rsidRPr="00922EC5" w:rsidRDefault="00AB5818" w:rsidP="002E4B8A">
            <w:pPr>
              <w:widowControl w:val="0"/>
              <w:autoSpaceDE w:val="0"/>
              <w:autoSpaceDN w:val="0"/>
              <w:adjustRightInd w:val="0"/>
              <w:spacing w:line="240" w:lineRule="auto"/>
              <w:rPr>
                <w:rFonts w:eastAsia="Calibri" w:cs="Times New Roman"/>
                <w:sz w:val="20"/>
                <w:szCs w:val="20"/>
              </w:rPr>
            </w:pPr>
            <w:r w:rsidRPr="00922EC5">
              <w:rPr>
                <w:rFonts w:eastAsia="Calibri" w:cs="Times New Roman"/>
                <w:sz w:val="20"/>
                <w:szCs w:val="20"/>
              </w:rPr>
              <w:t>-.31045***</w:t>
            </w:r>
          </w:p>
        </w:tc>
        <w:tc>
          <w:tcPr>
            <w:tcW w:w="666" w:type="pct"/>
            <w:tcBorders>
              <w:top w:val="single" w:sz="4" w:space="0" w:color="auto"/>
              <w:left w:val="single" w:sz="4" w:space="0" w:color="auto"/>
              <w:bottom w:val="single" w:sz="4" w:space="0" w:color="auto"/>
              <w:right w:val="single" w:sz="4" w:space="0" w:color="auto"/>
            </w:tcBorders>
            <w:hideMark/>
          </w:tcPr>
          <w:p w14:paraId="18442A56" w14:textId="77777777" w:rsidR="00AB5818" w:rsidRPr="00922EC5" w:rsidRDefault="00AB5818" w:rsidP="002E4B8A">
            <w:pPr>
              <w:widowControl w:val="0"/>
              <w:autoSpaceDE w:val="0"/>
              <w:autoSpaceDN w:val="0"/>
              <w:adjustRightInd w:val="0"/>
              <w:spacing w:line="240" w:lineRule="auto"/>
              <w:rPr>
                <w:rFonts w:eastAsia="Calibri" w:cs="Times New Roman"/>
                <w:sz w:val="20"/>
                <w:szCs w:val="20"/>
              </w:rPr>
            </w:pPr>
            <w:r w:rsidRPr="00922EC5">
              <w:rPr>
                <w:rFonts w:eastAsia="Calibri" w:cs="Times New Roman"/>
                <w:sz w:val="20"/>
                <w:szCs w:val="20"/>
              </w:rPr>
              <w:t>-.19488***</w:t>
            </w:r>
          </w:p>
        </w:tc>
      </w:tr>
      <w:tr w:rsidR="00AB5818" w:rsidRPr="00AB5818" w14:paraId="1607F059"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797AB744" w14:textId="42F1E0AA" w:rsidR="00AB5818" w:rsidRPr="00922EC5" w:rsidRDefault="00AB5818" w:rsidP="002E4B8A">
            <w:pPr>
              <w:widowControl w:val="0"/>
              <w:autoSpaceDE w:val="0"/>
              <w:autoSpaceDN w:val="0"/>
              <w:adjustRightInd w:val="0"/>
              <w:spacing w:line="240" w:lineRule="auto"/>
              <w:rPr>
                <w:rFonts w:eastAsia="Calibri" w:cs="Times New Roman"/>
                <w:sz w:val="20"/>
                <w:szCs w:val="20"/>
              </w:rPr>
            </w:pPr>
          </w:p>
        </w:tc>
        <w:tc>
          <w:tcPr>
            <w:tcW w:w="809" w:type="pct"/>
            <w:tcBorders>
              <w:top w:val="single" w:sz="4" w:space="0" w:color="auto"/>
              <w:left w:val="single" w:sz="4" w:space="0" w:color="auto"/>
              <w:bottom w:val="single" w:sz="4" w:space="0" w:color="auto"/>
              <w:right w:val="single" w:sz="4" w:space="0" w:color="auto"/>
            </w:tcBorders>
            <w:hideMark/>
          </w:tcPr>
          <w:p w14:paraId="73D5ADDA" w14:textId="77777777" w:rsidR="00AB5818" w:rsidRPr="00922EC5" w:rsidRDefault="00AB5818" w:rsidP="002E4B8A">
            <w:pPr>
              <w:widowControl w:val="0"/>
              <w:autoSpaceDE w:val="0"/>
              <w:autoSpaceDN w:val="0"/>
              <w:adjustRightInd w:val="0"/>
              <w:spacing w:line="240" w:lineRule="auto"/>
              <w:rPr>
                <w:rFonts w:eastAsia="Calibri" w:cs="Times New Roman"/>
                <w:sz w:val="20"/>
                <w:szCs w:val="20"/>
              </w:rPr>
            </w:pPr>
            <w:r w:rsidRPr="00922EC5">
              <w:rPr>
                <w:rFonts w:eastAsia="Calibri" w:cs="Times New Roman"/>
                <w:sz w:val="20"/>
                <w:szCs w:val="20"/>
              </w:rPr>
              <w:t>(.02307)</w:t>
            </w:r>
          </w:p>
        </w:tc>
        <w:tc>
          <w:tcPr>
            <w:tcW w:w="673" w:type="pct"/>
            <w:tcBorders>
              <w:top w:val="single" w:sz="4" w:space="0" w:color="auto"/>
              <w:left w:val="single" w:sz="4" w:space="0" w:color="auto"/>
              <w:bottom w:val="single" w:sz="4" w:space="0" w:color="auto"/>
              <w:right w:val="single" w:sz="4" w:space="0" w:color="auto"/>
            </w:tcBorders>
            <w:hideMark/>
          </w:tcPr>
          <w:p w14:paraId="677B71AA" w14:textId="77777777" w:rsidR="00AB5818" w:rsidRPr="00922EC5" w:rsidRDefault="00AB5818" w:rsidP="002E4B8A">
            <w:pPr>
              <w:widowControl w:val="0"/>
              <w:autoSpaceDE w:val="0"/>
              <w:autoSpaceDN w:val="0"/>
              <w:adjustRightInd w:val="0"/>
              <w:spacing w:line="240" w:lineRule="auto"/>
              <w:rPr>
                <w:rFonts w:eastAsia="Calibri" w:cs="Times New Roman"/>
                <w:sz w:val="20"/>
                <w:szCs w:val="20"/>
              </w:rPr>
            </w:pPr>
            <w:r w:rsidRPr="00922EC5">
              <w:rPr>
                <w:rFonts w:eastAsia="Calibri" w:cs="Times New Roman"/>
                <w:sz w:val="20"/>
                <w:szCs w:val="20"/>
              </w:rPr>
              <w:t>(.02097)</w:t>
            </w:r>
          </w:p>
        </w:tc>
        <w:tc>
          <w:tcPr>
            <w:tcW w:w="672" w:type="pct"/>
            <w:tcBorders>
              <w:top w:val="single" w:sz="4" w:space="0" w:color="auto"/>
              <w:left w:val="single" w:sz="4" w:space="0" w:color="auto"/>
              <w:bottom w:val="single" w:sz="4" w:space="0" w:color="auto"/>
              <w:right w:val="single" w:sz="4" w:space="0" w:color="auto"/>
            </w:tcBorders>
            <w:hideMark/>
          </w:tcPr>
          <w:p w14:paraId="05C46F23" w14:textId="77777777" w:rsidR="00AB5818" w:rsidRPr="00922EC5" w:rsidRDefault="00AB5818" w:rsidP="002E4B8A">
            <w:pPr>
              <w:widowControl w:val="0"/>
              <w:autoSpaceDE w:val="0"/>
              <w:autoSpaceDN w:val="0"/>
              <w:adjustRightInd w:val="0"/>
              <w:spacing w:line="240" w:lineRule="auto"/>
              <w:rPr>
                <w:rFonts w:eastAsia="Calibri" w:cs="Times New Roman"/>
                <w:sz w:val="20"/>
                <w:szCs w:val="20"/>
              </w:rPr>
            </w:pPr>
            <w:r w:rsidRPr="00922EC5">
              <w:rPr>
                <w:rFonts w:eastAsia="Calibri" w:cs="Times New Roman"/>
                <w:sz w:val="20"/>
                <w:szCs w:val="20"/>
              </w:rPr>
              <w:t>(.04282)</w:t>
            </w:r>
          </w:p>
        </w:tc>
        <w:tc>
          <w:tcPr>
            <w:tcW w:w="673" w:type="pct"/>
            <w:tcBorders>
              <w:top w:val="single" w:sz="4" w:space="0" w:color="auto"/>
              <w:left w:val="single" w:sz="4" w:space="0" w:color="auto"/>
              <w:bottom w:val="single" w:sz="4" w:space="0" w:color="auto"/>
              <w:right w:val="single" w:sz="4" w:space="0" w:color="auto"/>
            </w:tcBorders>
            <w:hideMark/>
          </w:tcPr>
          <w:p w14:paraId="5BE8462A" w14:textId="77777777" w:rsidR="00AB5818" w:rsidRPr="00922EC5" w:rsidRDefault="00AB5818" w:rsidP="002E4B8A">
            <w:pPr>
              <w:widowControl w:val="0"/>
              <w:autoSpaceDE w:val="0"/>
              <w:autoSpaceDN w:val="0"/>
              <w:adjustRightInd w:val="0"/>
              <w:spacing w:line="240" w:lineRule="auto"/>
              <w:rPr>
                <w:rFonts w:eastAsia="Calibri" w:cs="Times New Roman"/>
                <w:sz w:val="20"/>
                <w:szCs w:val="20"/>
              </w:rPr>
            </w:pPr>
            <w:r w:rsidRPr="00922EC5">
              <w:rPr>
                <w:rFonts w:eastAsia="Calibri" w:cs="Times New Roman"/>
                <w:sz w:val="20"/>
                <w:szCs w:val="20"/>
              </w:rPr>
              <w:t>(.03778)</w:t>
            </w:r>
          </w:p>
        </w:tc>
        <w:tc>
          <w:tcPr>
            <w:tcW w:w="671" w:type="pct"/>
            <w:tcBorders>
              <w:top w:val="single" w:sz="4" w:space="0" w:color="auto"/>
              <w:left w:val="single" w:sz="4" w:space="0" w:color="auto"/>
              <w:bottom w:val="single" w:sz="4" w:space="0" w:color="auto"/>
              <w:right w:val="single" w:sz="4" w:space="0" w:color="auto"/>
            </w:tcBorders>
            <w:hideMark/>
          </w:tcPr>
          <w:p w14:paraId="78D898CA" w14:textId="77777777" w:rsidR="00AB5818" w:rsidRPr="00922EC5" w:rsidRDefault="00AB5818" w:rsidP="002E4B8A">
            <w:pPr>
              <w:widowControl w:val="0"/>
              <w:autoSpaceDE w:val="0"/>
              <w:autoSpaceDN w:val="0"/>
              <w:adjustRightInd w:val="0"/>
              <w:spacing w:line="240" w:lineRule="auto"/>
              <w:rPr>
                <w:rFonts w:eastAsia="Calibri" w:cs="Times New Roman"/>
                <w:sz w:val="20"/>
                <w:szCs w:val="20"/>
              </w:rPr>
            </w:pPr>
            <w:r w:rsidRPr="00922EC5">
              <w:rPr>
                <w:rFonts w:eastAsia="Calibri" w:cs="Times New Roman"/>
                <w:sz w:val="20"/>
                <w:szCs w:val="20"/>
              </w:rPr>
              <w:t>(.07212)</w:t>
            </w:r>
          </w:p>
        </w:tc>
        <w:tc>
          <w:tcPr>
            <w:tcW w:w="666" w:type="pct"/>
            <w:tcBorders>
              <w:top w:val="single" w:sz="4" w:space="0" w:color="auto"/>
              <w:left w:val="single" w:sz="4" w:space="0" w:color="auto"/>
              <w:bottom w:val="single" w:sz="4" w:space="0" w:color="auto"/>
              <w:right w:val="single" w:sz="4" w:space="0" w:color="auto"/>
            </w:tcBorders>
            <w:hideMark/>
          </w:tcPr>
          <w:p w14:paraId="286A6DED" w14:textId="77777777" w:rsidR="00AB5818" w:rsidRPr="00922EC5" w:rsidRDefault="00AB5818" w:rsidP="002E4B8A">
            <w:pPr>
              <w:widowControl w:val="0"/>
              <w:autoSpaceDE w:val="0"/>
              <w:autoSpaceDN w:val="0"/>
              <w:adjustRightInd w:val="0"/>
              <w:spacing w:line="240" w:lineRule="auto"/>
              <w:rPr>
                <w:rFonts w:eastAsia="Calibri" w:cs="Times New Roman"/>
                <w:sz w:val="20"/>
                <w:szCs w:val="20"/>
              </w:rPr>
            </w:pPr>
            <w:r w:rsidRPr="00922EC5">
              <w:rPr>
                <w:rFonts w:eastAsia="Calibri" w:cs="Times New Roman"/>
                <w:sz w:val="20"/>
                <w:szCs w:val="20"/>
              </w:rPr>
              <w:t>(.06694)</w:t>
            </w:r>
          </w:p>
        </w:tc>
      </w:tr>
      <w:tr w:rsidR="00AB5818" w:rsidRPr="00AB5818" w14:paraId="0AE8A0D0"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499C323D" w14:textId="77777777" w:rsidR="00AB5818" w:rsidRPr="00922EC5" w:rsidRDefault="00AB5818" w:rsidP="002E4B8A">
            <w:pPr>
              <w:widowControl w:val="0"/>
              <w:autoSpaceDE w:val="0"/>
              <w:autoSpaceDN w:val="0"/>
              <w:adjustRightInd w:val="0"/>
              <w:spacing w:line="240" w:lineRule="auto"/>
              <w:rPr>
                <w:rFonts w:eastAsia="Calibri" w:cs="Times New Roman"/>
                <w:sz w:val="20"/>
                <w:szCs w:val="20"/>
              </w:rPr>
            </w:pPr>
            <w:r w:rsidRPr="00922EC5">
              <w:rPr>
                <w:rFonts w:eastAsia="Calibri" w:cs="Times New Roman"/>
                <w:sz w:val="20"/>
                <w:szCs w:val="20"/>
              </w:rPr>
              <w:t>Joint Test (p-value)</w:t>
            </w:r>
          </w:p>
        </w:tc>
        <w:tc>
          <w:tcPr>
            <w:tcW w:w="809" w:type="pct"/>
            <w:tcBorders>
              <w:top w:val="single" w:sz="4" w:space="0" w:color="auto"/>
              <w:left w:val="single" w:sz="4" w:space="0" w:color="auto"/>
              <w:bottom w:val="single" w:sz="4" w:space="0" w:color="auto"/>
              <w:right w:val="single" w:sz="4" w:space="0" w:color="auto"/>
            </w:tcBorders>
            <w:hideMark/>
          </w:tcPr>
          <w:p w14:paraId="084038F0" w14:textId="77777777" w:rsidR="00AB5818" w:rsidRPr="00271798" w:rsidRDefault="00AB5818" w:rsidP="002E4B8A">
            <w:pPr>
              <w:spacing w:line="240" w:lineRule="auto"/>
              <w:rPr>
                <w:rFonts w:eastAsia="Calibri" w:cs="Times New Roman"/>
                <w:sz w:val="20"/>
                <w:szCs w:val="20"/>
                <w:lang/>
              </w:rPr>
            </w:pPr>
            <w:r w:rsidRPr="00271798">
              <w:rPr>
                <w:rFonts w:eastAsia="Calibri" w:cs="Times New Roman"/>
                <w:sz w:val="20"/>
                <w:szCs w:val="20"/>
                <w:lang/>
              </w:rPr>
              <w:t>0.0000</w:t>
            </w:r>
          </w:p>
        </w:tc>
        <w:tc>
          <w:tcPr>
            <w:tcW w:w="673" w:type="pct"/>
            <w:tcBorders>
              <w:top w:val="single" w:sz="4" w:space="0" w:color="auto"/>
              <w:left w:val="single" w:sz="4" w:space="0" w:color="auto"/>
              <w:bottom w:val="single" w:sz="4" w:space="0" w:color="auto"/>
              <w:right w:val="single" w:sz="4" w:space="0" w:color="auto"/>
            </w:tcBorders>
            <w:hideMark/>
          </w:tcPr>
          <w:p w14:paraId="22D4FC72" w14:textId="77777777" w:rsidR="00AB5818" w:rsidRPr="00271798" w:rsidRDefault="00AB5818" w:rsidP="002E4B8A">
            <w:pPr>
              <w:widowControl w:val="0"/>
              <w:autoSpaceDE w:val="0"/>
              <w:autoSpaceDN w:val="0"/>
              <w:adjustRightInd w:val="0"/>
              <w:spacing w:line="240" w:lineRule="auto"/>
              <w:rPr>
                <w:rFonts w:eastAsia="Calibri" w:cs="Times New Roman"/>
                <w:sz w:val="20"/>
                <w:szCs w:val="20"/>
              </w:rPr>
            </w:pPr>
            <w:r w:rsidRPr="00271798">
              <w:rPr>
                <w:rFonts w:eastAsia="Calibri" w:cs="Times New Roman"/>
                <w:sz w:val="20"/>
                <w:szCs w:val="20"/>
                <w:lang/>
              </w:rPr>
              <w:t>0.0000</w:t>
            </w:r>
          </w:p>
        </w:tc>
        <w:tc>
          <w:tcPr>
            <w:tcW w:w="672" w:type="pct"/>
            <w:tcBorders>
              <w:top w:val="single" w:sz="4" w:space="0" w:color="auto"/>
              <w:left w:val="single" w:sz="4" w:space="0" w:color="auto"/>
              <w:bottom w:val="single" w:sz="4" w:space="0" w:color="auto"/>
              <w:right w:val="single" w:sz="4" w:space="0" w:color="auto"/>
            </w:tcBorders>
            <w:hideMark/>
          </w:tcPr>
          <w:p w14:paraId="5FE57029" w14:textId="77777777" w:rsidR="00AB5818" w:rsidRPr="00271798" w:rsidRDefault="00AB5818" w:rsidP="002E4B8A">
            <w:pPr>
              <w:widowControl w:val="0"/>
              <w:autoSpaceDE w:val="0"/>
              <w:autoSpaceDN w:val="0"/>
              <w:adjustRightInd w:val="0"/>
              <w:spacing w:line="240" w:lineRule="auto"/>
              <w:rPr>
                <w:rFonts w:eastAsia="Calibri" w:cs="Times New Roman"/>
                <w:sz w:val="20"/>
                <w:szCs w:val="20"/>
              </w:rPr>
            </w:pPr>
            <w:r w:rsidRPr="00271798">
              <w:rPr>
                <w:rFonts w:eastAsia="Calibri" w:cs="Times New Roman"/>
                <w:sz w:val="20"/>
                <w:szCs w:val="20"/>
              </w:rPr>
              <w:t>0.0127</w:t>
            </w:r>
          </w:p>
        </w:tc>
        <w:tc>
          <w:tcPr>
            <w:tcW w:w="673" w:type="pct"/>
            <w:tcBorders>
              <w:top w:val="single" w:sz="4" w:space="0" w:color="auto"/>
              <w:left w:val="single" w:sz="4" w:space="0" w:color="auto"/>
              <w:bottom w:val="single" w:sz="4" w:space="0" w:color="auto"/>
              <w:right w:val="single" w:sz="4" w:space="0" w:color="auto"/>
            </w:tcBorders>
            <w:hideMark/>
          </w:tcPr>
          <w:p w14:paraId="000CD16E" w14:textId="77777777" w:rsidR="00AB5818" w:rsidRPr="00271798" w:rsidRDefault="00AB5818" w:rsidP="002E4B8A">
            <w:pPr>
              <w:widowControl w:val="0"/>
              <w:autoSpaceDE w:val="0"/>
              <w:autoSpaceDN w:val="0"/>
              <w:adjustRightInd w:val="0"/>
              <w:spacing w:line="240" w:lineRule="auto"/>
              <w:rPr>
                <w:rFonts w:eastAsia="Calibri" w:cs="Times New Roman"/>
                <w:sz w:val="20"/>
                <w:szCs w:val="20"/>
              </w:rPr>
            </w:pPr>
            <w:r w:rsidRPr="00271798">
              <w:rPr>
                <w:rFonts w:eastAsia="Calibri" w:cs="Times New Roman"/>
                <w:sz w:val="20"/>
                <w:szCs w:val="20"/>
                <w:lang/>
              </w:rPr>
              <w:t>0.00</w:t>
            </w:r>
            <w:r w:rsidRPr="00271798">
              <w:rPr>
                <w:rFonts w:eastAsia="Calibri" w:cs="Times New Roman"/>
                <w:sz w:val="20"/>
                <w:szCs w:val="20"/>
              </w:rPr>
              <w:t>19</w:t>
            </w:r>
          </w:p>
        </w:tc>
        <w:tc>
          <w:tcPr>
            <w:tcW w:w="671" w:type="pct"/>
            <w:tcBorders>
              <w:top w:val="single" w:sz="4" w:space="0" w:color="auto"/>
              <w:left w:val="single" w:sz="4" w:space="0" w:color="auto"/>
              <w:bottom w:val="single" w:sz="4" w:space="0" w:color="auto"/>
              <w:right w:val="single" w:sz="4" w:space="0" w:color="auto"/>
            </w:tcBorders>
            <w:hideMark/>
          </w:tcPr>
          <w:p w14:paraId="06CB1818" w14:textId="77777777" w:rsidR="00AB5818" w:rsidRPr="00271798" w:rsidRDefault="00AB5818" w:rsidP="002E4B8A">
            <w:pPr>
              <w:widowControl w:val="0"/>
              <w:autoSpaceDE w:val="0"/>
              <w:autoSpaceDN w:val="0"/>
              <w:adjustRightInd w:val="0"/>
              <w:spacing w:line="240" w:lineRule="auto"/>
              <w:rPr>
                <w:rFonts w:eastAsia="Calibri" w:cs="Times New Roman"/>
                <w:sz w:val="20"/>
                <w:szCs w:val="20"/>
                <w:lang/>
              </w:rPr>
            </w:pPr>
            <w:r w:rsidRPr="00271798">
              <w:rPr>
                <w:rFonts w:eastAsia="Calibri" w:cs="Times New Roman"/>
                <w:sz w:val="20"/>
                <w:szCs w:val="20"/>
                <w:lang/>
              </w:rPr>
              <w:t>0.0000</w:t>
            </w:r>
          </w:p>
        </w:tc>
        <w:tc>
          <w:tcPr>
            <w:tcW w:w="666" w:type="pct"/>
            <w:tcBorders>
              <w:top w:val="single" w:sz="4" w:space="0" w:color="auto"/>
              <w:left w:val="single" w:sz="4" w:space="0" w:color="auto"/>
              <w:bottom w:val="single" w:sz="4" w:space="0" w:color="auto"/>
              <w:right w:val="single" w:sz="4" w:space="0" w:color="auto"/>
            </w:tcBorders>
            <w:hideMark/>
          </w:tcPr>
          <w:p w14:paraId="38680DDD" w14:textId="77777777" w:rsidR="00AB5818" w:rsidRPr="00271798" w:rsidRDefault="00AB5818" w:rsidP="002E4B8A">
            <w:pPr>
              <w:widowControl w:val="0"/>
              <w:autoSpaceDE w:val="0"/>
              <w:autoSpaceDN w:val="0"/>
              <w:adjustRightInd w:val="0"/>
              <w:spacing w:line="240" w:lineRule="auto"/>
              <w:rPr>
                <w:rFonts w:eastAsia="Calibri" w:cs="Times New Roman"/>
                <w:sz w:val="20"/>
                <w:szCs w:val="20"/>
                <w:lang/>
              </w:rPr>
            </w:pPr>
            <w:r w:rsidRPr="00271798">
              <w:rPr>
                <w:rFonts w:eastAsia="Calibri" w:cs="Times New Roman"/>
                <w:sz w:val="20"/>
                <w:szCs w:val="20"/>
              </w:rPr>
              <w:t>0.0017</w:t>
            </w:r>
          </w:p>
        </w:tc>
      </w:tr>
      <w:tr w:rsidR="00AB5818" w:rsidRPr="00AB5818" w14:paraId="282CC7D8"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196DFE71" w14:textId="77777777" w:rsidR="00AB5818" w:rsidRPr="00922EC5" w:rsidRDefault="00AB5818" w:rsidP="002E4B8A">
            <w:pPr>
              <w:widowControl w:val="0"/>
              <w:autoSpaceDE w:val="0"/>
              <w:autoSpaceDN w:val="0"/>
              <w:adjustRightInd w:val="0"/>
              <w:spacing w:line="240" w:lineRule="auto"/>
              <w:rPr>
                <w:rFonts w:eastAsia="Calibri" w:cs="Times New Roman"/>
                <w:sz w:val="20"/>
                <w:szCs w:val="20"/>
              </w:rPr>
            </w:pPr>
            <w:r w:rsidRPr="00922EC5">
              <w:rPr>
                <w:rFonts w:eastAsia="Calibri" w:cs="Times New Roman"/>
                <w:sz w:val="20"/>
                <w:szCs w:val="20"/>
              </w:rPr>
              <w:t>State FE</w:t>
            </w:r>
          </w:p>
        </w:tc>
        <w:tc>
          <w:tcPr>
            <w:tcW w:w="809" w:type="pct"/>
            <w:tcBorders>
              <w:top w:val="single" w:sz="4" w:space="0" w:color="auto"/>
              <w:left w:val="single" w:sz="4" w:space="0" w:color="auto"/>
              <w:bottom w:val="single" w:sz="4" w:space="0" w:color="auto"/>
              <w:right w:val="single" w:sz="4" w:space="0" w:color="auto"/>
            </w:tcBorders>
            <w:hideMark/>
          </w:tcPr>
          <w:p w14:paraId="2BC6F557" w14:textId="77777777" w:rsidR="00AB5818" w:rsidRPr="00922EC5" w:rsidRDefault="00AB5818" w:rsidP="002E4B8A">
            <w:pPr>
              <w:widowControl w:val="0"/>
              <w:autoSpaceDE w:val="0"/>
              <w:autoSpaceDN w:val="0"/>
              <w:adjustRightInd w:val="0"/>
              <w:spacing w:line="240" w:lineRule="auto"/>
              <w:rPr>
                <w:rFonts w:eastAsia="Calibri" w:cs="Times New Roman"/>
                <w:sz w:val="20"/>
                <w:szCs w:val="20"/>
              </w:rPr>
            </w:pPr>
            <w:r w:rsidRPr="00922EC5">
              <w:rPr>
                <w:rFonts w:eastAsia="Calibri" w:cs="Times New Roman"/>
                <w:sz w:val="20"/>
                <w:szCs w:val="20"/>
              </w:rPr>
              <w:t>-</w:t>
            </w:r>
          </w:p>
        </w:tc>
        <w:tc>
          <w:tcPr>
            <w:tcW w:w="673" w:type="pct"/>
            <w:tcBorders>
              <w:top w:val="single" w:sz="4" w:space="0" w:color="auto"/>
              <w:left w:val="single" w:sz="4" w:space="0" w:color="auto"/>
              <w:bottom w:val="single" w:sz="4" w:space="0" w:color="auto"/>
              <w:right w:val="single" w:sz="4" w:space="0" w:color="auto"/>
            </w:tcBorders>
            <w:hideMark/>
          </w:tcPr>
          <w:p w14:paraId="0ABEDE9B" w14:textId="77777777" w:rsidR="00AB5818" w:rsidRPr="00922EC5" w:rsidRDefault="00AB5818" w:rsidP="002E4B8A">
            <w:pPr>
              <w:widowControl w:val="0"/>
              <w:autoSpaceDE w:val="0"/>
              <w:autoSpaceDN w:val="0"/>
              <w:adjustRightInd w:val="0"/>
              <w:spacing w:line="240" w:lineRule="auto"/>
              <w:rPr>
                <w:rFonts w:eastAsia="Calibri" w:cs="Times New Roman"/>
                <w:sz w:val="20"/>
                <w:szCs w:val="20"/>
              </w:rPr>
            </w:pPr>
            <w:r w:rsidRPr="00922EC5">
              <w:rPr>
                <w:rFonts w:eastAsia="Calibri" w:cs="Times New Roman"/>
                <w:sz w:val="20"/>
                <w:szCs w:val="20"/>
              </w:rPr>
              <w:t>Yes</w:t>
            </w:r>
          </w:p>
        </w:tc>
        <w:tc>
          <w:tcPr>
            <w:tcW w:w="672" w:type="pct"/>
            <w:tcBorders>
              <w:top w:val="single" w:sz="4" w:space="0" w:color="auto"/>
              <w:left w:val="single" w:sz="4" w:space="0" w:color="auto"/>
              <w:bottom w:val="single" w:sz="4" w:space="0" w:color="auto"/>
              <w:right w:val="single" w:sz="4" w:space="0" w:color="auto"/>
            </w:tcBorders>
            <w:hideMark/>
          </w:tcPr>
          <w:p w14:paraId="576E852C" w14:textId="77777777" w:rsidR="00AB5818" w:rsidRPr="00922EC5" w:rsidRDefault="00AB5818" w:rsidP="002E4B8A">
            <w:pPr>
              <w:widowControl w:val="0"/>
              <w:autoSpaceDE w:val="0"/>
              <w:autoSpaceDN w:val="0"/>
              <w:adjustRightInd w:val="0"/>
              <w:spacing w:line="240" w:lineRule="auto"/>
              <w:rPr>
                <w:rFonts w:eastAsia="Calibri" w:cs="Times New Roman"/>
                <w:sz w:val="20"/>
                <w:szCs w:val="20"/>
              </w:rPr>
            </w:pPr>
            <w:r w:rsidRPr="00922EC5">
              <w:rPr>
                <w:rFonts w:eastAsia="Calibri" w:cs="Times New Roman"/>
                <w:sz w:val="20"/>
                <w:szCs w:val="20"/>
              </w:rPr>
              <w:t>-</w:t>
            </w:r>
          </w:p>
        </w:tc>
        <w:tc>
          <w:tcPr>
            <w:tcW w:w="673" w:type="pct"/>
            <w:tcBorders>
              <w:top w:val="single" w:sz="4" w:space="0" w:color="auto"/>
              <w:left w:val="single" w:sz="4" w:space="0" w:color="auto"/>
              <w:bottom w:val="single" w:sz="4" w:space="0" w:color="auto"/>
              <w:right w:val="single" w:sz="4" w:space="0" w:color="auto"/>
            </w:tcBorders>
            <w:hideMark/>
          </w:tcPr>
          <w:p w14:paraId="45F7D0E9" w14:textId="77777777" w:rsidR="00AB5818" w:rsidRPr="00922EC5" w:rsidRDefault="00AB5818" w:rsidP="002E4B8A">
            <w:pPr>
              <w:widowControl w:val="0"/>
              <w:autoSpaceDE w:val="0"/>
              <w:autoSpaceDN w:val="0"/>
              <w:adjustRightInd w:val="0"/>
              <w:spacing w:line="240" w:lineRule="auto"/>
              <w:rPr>
                <w:rFonts w:eastAsia="Calibri" w:cs="Times New Roman"/>
                <w:sz w:val="20"/>
                <w:szCs w:val="20"/>
              </w:rPr>
            </w:pPr>
            <w:r w:rsidRPr="00922EC5">
              <w:rPr>
                <w:rFonts w:eastAsia="Calibri" w:cs="Times New Roman"/>
                <w:sz w:val="20"/>
                <w:szCs w:val="20"/>
              </w:rPr>
              <w:t>Yes</w:t>
            </w:r>
          </w:p>
        </w:tc>
        <w:tc>
          <w:tcPr>
            <w:tcW w:w="671" w:type="pct"/>
            <w:tcBorders>
              <w:top w:val="single" w:sz="4" w:space="0" w:color="auto"/>
              <w:left w:val="single" w:sz="4" w:space="0" w:color="auto"/>
              <w:bottom w:val="single" w:sz="4" w:space="0" w:color="auto"/>
              <w:right w:val="single" w:sz="4" w:space="0" w:color="auto"/>
            </w:tcBorders>
            <w:hideMark/>
          </w:tcPr>
          <w:p w14:paraId="4F165203" w14:textId="77777777" w:rsidR="00AB5818" w:rsidRPr="00922EC5" w:rsidRDefault="00AB5818" w:rsidP="002E4B8A">
            <w:pPr>
              <w:widowControl w:val="0"/>
              <w:autoSpaceDE w:val="0"/>
              <w:autoSpaceDN w:val="0"/>
              <w:adjustRightInd w:val="0"/>
              <w:spacing w:line="240" w:lineRule="auto"/>
              <w:rPr>
                <w:rFonts w:eastAsia="Calibri" w:cs="Times New Roman"/>
                <w:sz w:val="20"/>
                <w:szCs w:val="20"/>
              </w:rPr>
            </w:pPr>
            <w:r w:rsidRPr="00922EC5">
              <w:rPr>
                <w:rFonts w:eastAsia="Calibri" w:cs="Times New Roman"/>
                <w:sz w:val="20"/>
                <w:szCs w:val="20"/>
              </w:rPr>
              <w:t>-</w:t>
            </w:r>
          </w:p>
        </w:tc>
        <w:tc>
          <w:tcPr>
            <w:tcW w:w="666" w:type="pct"/>
            <w:tcBorders>
              <w:top w:val="single" w:sz="4" w:space="0" w:color="auto"/>
              <w:left w:val="single" w:sz="4" w:space="0" w:color="auto"/>
              <w:bottom w:val="single" w:sz="4" w:space="0" w:color="auto"/>
              <w:right w:val="single" w:sz="4" w:space="0" w:color="auto"/>
            </w:tcBorders>
            <w:hideMark/>
          </w:tcPr>
          <w:p w14:paraId="26550EFD" w14:textId="77777777" w:rsidR="00AB5818" w:rsidRPr="00922EC5" w:rsidRDefault="00AB5818" w:rsidP="002E4B8A">
            <w:pPr>
              <w:widowControl w:val="0"/>
              <w:autoSpaceDE w:val="0"/>
              <w:autoSpaceDN w:val="0"/>
              <w:adjustRightInd w:val="0"/>
              <w:spacing w:line="240" w:lineRule="auto"/>
              <w:rPr>
                <w:rFonts w:eastAsia="Calibri" w:cs="Times New Roman"/>
                <w:sz w:val="20"/>
                <w:szCs w:val="20"/>
              </w:rPr>
            </w:pPr>
            <w:r w:rsidRPr="00922EC5">
              <w:rPr>
                <w:rFonts w:eastAsia="Calibri" w:cs="Times New Roman"/>
                <w:sz w:val="20"/>
                <w:szCs w:val="20"/>
              </w:rPr>
              <w:t>Yes</w:t>
            </w:r>
          </w:p>
        </w:tc>
      </w:tr>
      <w:tr w:rsidR="00AB5818" w:rsidRPr="00AB5818" w14:paraId="3EFF2C7E"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58FB6B54" w14:textId="77777777" w:rsidR="00AB5818" w:rsidRPr="00922EC5" w:rsidRDefault="00AB5818" w:rsidP="002E4B8A">
            <w:pPr>
              <w:widowControl w:val="0"/>
              <w:autoSpaceDE w:val="0"/>
              <w:autoSpaceDN w:val="0"/>
              <w:adjustRightInd w:val="0"/>
              <w:spacing w:line="240" w:lineRule="auto"/>
              <w:rPr>
                <w:rFonts w:eastAsia="Calibri" w:cs="Times New Roman"/>
                <w:sz w:val="20"/>
                <w:szCs w:val="20"/>
              </w:rPr>
            </w:pPr>
            <w:r w:rsidRPr="00922EC5">
              <w:rPr>
                <w:rFonts w:eastAsia="Calibri" w:cs="Times New Roman"/>
                <w:sz w:val="20"/>
                <w:szCs w:val="20"/>
              </w:rPr>
              <w:t>Year FE</w:t>
            </w:r>
          </w:p>
        </w:tc>
        <w:tc>
          <w:tcPr>
            <w:tcW w:w="809" w:type="pct"/>
            <w:tcBorders>
              <w:top w:val="single" w:sz="4" w:space="0" w:color="auto"/>
              <w:left w:val="single" w:sz="4" w:space="0" w:color="auto"/>
              <w:bottom w:val="single" w:sz="4" w:space="0" w:color="auto"/>
              <w:right w:val="single" w:sz="4" w:space="0" w:color="auto"/>
            </w:tcBorders>
            <w:hideMark/>
          </w:tcPr>
          <w:p w14:paraId="405168C1" w14:textId="77777777" w:rsidR="00AB5818" w:rsidRPr="00922EC5" w:rsidRDefault="00AB5818" w:rsidP="002E4B8A">
            <w:pPr>
              <w:widowControl w:val="0"/>
              <w:autoSpaceDE w:val="0"/>
              <w:autoSpaceDN w:val="0"/>
              <w:adjustRightInd w:val="0"/>
              <w:spacing w:line="240" w:lineRule="auto"/>
              <w:rPr>
                <w:rFonts w:eastAsia="Calibri" w:cs="Times New Roman"/>
                <w:sz w:val="20"/>
                <w:szCs w:val="20"/>
              </w:rPr>
            </w:pPr>
            <w:r w:rsidRPr="00922EC5">
              <w:rPr>
                <w:rFonts w:eastAsia="Calibri" w:cs="Times New Roman"/>
                <w:sz w:val="20"/>
                <w:szCs w:val="20"/>
              </w:rPr>
              <w:t>-</w:t>
            </w:r>
          </w:p>
        </w:tc>
        <w:tc>
          <w:tcPr>
            <w:tcW w:w="673" w:type="pct"/>
            <w:tcBorders>
              <w:top w:val="single" w:sz="4" w:space="0" w:color="auto"/>
              <w:left w:val="single" w:sz="4" w:space="0" w:color="auto"/>
              <w:bottom w:val="single" w:sz="4" w:space="0" w:color="auto"/>
              <w:right w:val="single" w:sz="4" w:space="0" w:color="auto"/>
            </w:tcBorders>
            <w:hideMark/>
          </w:tcPr>
          <w:p w14:paraId="0E2C9BE4" w14:textId="77777777" w:rsidR="00AB5818" w:rsidRPr="00922EC5" w:rsidRDefault="00AB5818" w:rsidP="002E4B8A">
            <w:pPr>
              <w:widowControl w:val="0"/>
              <w:autoSpaceDE w:val="0"/>
              <w:autoSpaceDN w:val="0"/>
              <w:adjustRightInd w:val="0"/>
              <w:spacing w:line="240" w:lineRule="auto"/>
              <w:rPr>
                <w:rFonts w:eastAsia="Calibri" w:cs="Times New Roman"/>
                <w:sz w:val="20"/>
                <w:szCs w:val="20"/>
              </w:rPr>
            </w:pPr>
            <w:r w:rsidRPr="00922EC5">
              <w:rPr>
                <w:rFonts w:eastAsia="Calibri" w:cs="Times New Roman"/>
                <w:sz w:val="20"/>
                <w:szCs w:val="20"/>
              </w:rPr>
              <w:t>Yes</w:t>
            </w:r>
          </w:p>
        </w:tc>
        <w:tc>
          <w:tcPr>
            <w:tcW w:w="672" w:type="pct"/>
            <w:tcBorders>
              <w:top w:val="single" w:sz="4" w:space="0" w:color="auto"/>
              <w:left w:val="single" w:sz="4" w:space="0" w:color="auto"/>
              <w:bottom w:val="single" w:sz="4" w:space="0" w:color="auto"/>
              <w:right w:val="single" w:sz="4" w:space="0" w:color="auto"/>
            </w:tcBorders>
            <w:hideMark/>
          </w:tcPr>
          <w:p w14:paraId="60654342" w14:textId="77777777" w:rsidR="00AB5818" w:rsidRPr="00922EC5" w:rsidRDefault="00AB5818" w:rsidP="002E4B8A">
            <w:pPr>
              <w:widowControl w:val="0"/>
              <w:autoSpaceDE w:val="0"/>
              <w:autoSpaceDN w:val="0"/>
              <w:adjustRightInd w:val="0"/>
              <w:spacing w:line="240" w:lineRule="auto"/>
              <w:rPr>
                <w:rFonts w:eastAsia="Calibri" w:cs="Times New Roman"/>
                <w:sz w:val="20"/>
                <w:szCs w:val="20"/>
              </w:rPr>
            </w:pPr>
            <w:r w:rsidRPr="00922EC5">
              <w:rPr>
                <w:rFonts w:eastAsia="Calibri" w:cs="Times New Roman"/>
                <w:sz w:val="20"/>
                <w:szCs w:val="20"/>
              </w:rPr>
              <w:t>-</w:t>
            </w:r>
          </w:p>
        </w:tc>
        <w:tc>
          <w:tcPr>
            <w:tcW w:w="673" w:type="pct"/>
            <w:tcBorders>
              <w:top w:val="single" w:sz="4" w:space="0" w:color="auto"/>
              <w:left w:val="single" w:sz="4" w:space="0" w:color="auto"/>
              <w:bottom w:val="single" w:sz="4" w:space="0" w:color="auto"/>
              <w:right w:val="single" w:sz="4" w:space="0" w:color="auto"/>
            </w:tcBorders>
            <w:hideMark/>
          </w:tcPr>
          <w:p w14:paraId="27D2151E" w14:textId="77777777" w:rsidR="00AB5818" w:rsidRPr="00922EC5" w:rsidRDefault="00AB5818" w:rsidP="002E4B8A">
            <w:pPr>
              <w:widowControl w:val="0"/>
              <w:autoSpaceDE w:val="0"/>
              <w:autoSpaceDN w:val="0"/>
              <w:adjustRightInd w:val="0"/>
              <w:spacing w:line="240" w:lineRule="auto"/>
              <w:rPr>
                <w:rFonts w:eastAsia="Calibri" w:cs="Times New Roman"/>
                <w:sz w:val="20"/>
                <w:szCs w:val="20"/>
              </w:rPr>
            </w:pPr>
            <w:r w:rsidRPr="00922EC5">
              <w:rPr>
                <w:rFonts w:eastAsia="Calibri" w:cs="Times New Roman"/>
                <w:sz w:val="20"/>
                <w:szCs w:val="20"/>
              </w:rPr>
              <w:t>Yes</w:t>
            </w:r>
          </w:p>
        </w:tc>
        <w:tc>
          <w:tcPr>
            <w:tcW w:w="671" w:type="pct"/>
            <w:tcBorders>
              <w:top w:val="single" w:sz="4" w:space="0" w:color="auto"/>
              <w:left w:val="single" w:sz="4" w:space="0" w:color="auto"/>
              <w:bottom w:val="single" w:sz="4" w:space="0" w:color="auto"/>
              <w:right w:val="single" w:sz="4" w:space="0" w:color="auto"/>
            </w:tcBorders>
            <w:hideMark/>
          </w:tcPr>
          <w:p w14:paraId="4180E715" w14:textId="77777777" w:rsidR="00AB5818" w:rsidRPr="00922EC5" w:rsidRDefault="00AB5818" w:rsidP="002E4B8A">
            <w:pPr>
              <w:widowControl w:val="0"/>
              <w:autoSpaceDE w:val="0"/>
              <w:autoSpaceDN w:val="0"/>
              <w:adjustRightInd w:val="0"/>
              <w:spacing w:line="240" w:lineRule="auto"/>
              <w:rPr>
                <w:rFonts w:eastAsia="Calibri" w:cs="Times New Roman"/>
                <w:sz w:val="20"/>
                <w:szCs w:val="20"/>
              </w:rPr>
            </w:pPr>
            <w:r w:rsidRPr="00922EC5">
              <w:rPr>
                <w:rFonts w:eastAsia="Calibri" w:cs="Times New Roman"/>
                <w:sz w:val="20"/>
                <w:szCs w:val="20"/>
              </w:rPr>
              <w:t>-</w:t>
            </w:r>
          </w:p>
        </w:tc>
        <w:tc>
          <w:tcPr>
            <w:tcW w:w="666" w:type="pct"/>
            <w:tcBorders>
              <w:top w:val="single" w:sz="4" w:space="0" w:color="auto"/>
              <w:left w:val="single" w:sz="4" w:space="0" w:color="auto"/>
              <w:bottom w:val="single" w:sz="4" w:space="0" w:color="auto"/>
              <w:right w:val="single" w:sz="4" w:space="0" w:color="auto"/>
            </w:tcBorders>
            <w:hideMark/>
          </w:tcPr>
          <w:p w14:paraId="092DD98A" w14:textId="77777777" w:rsidR="00AB5818" w:rsidRPr="00922EC5" w:rsidRDefault="00AB5818" w:rsidP="002E4B8A">
            <w:pPr>
              <w:widowControl w:val="0"/>
              <w:autoSpaceDE w:val="0"/>
              <w:autoSpaceDN w:val="0"/>
              <w:adjustRightInd w:val="0"/>
              <w:spacing w:line="240" w:lineRule="auto"/>
              <w:rPr>
                <w:rFonts w:eastAsia="Calibri" w:cs="Times New Roman"/>
                <w:sz w:val="20"/>
                <w:szCs w:val="20"/>
              </w:rPr>
            </w:pPr>
            <w:r w:rsidRPr="00922EC5">
              <w:rPr>
                <w:rFonts w:eastAsia="Calibri" w:cs="Times New Roman"/>
                <w:sz w:val="20"/>
                <w:szCs w:val="20"/>
              </w:rPr>
              <w:t>Yes</w:t>
            </w:r>
          </w:p>
        </w:tc>
      </w:tr>
      <w:tr w:rsidR="00AB5818" w:rsidRPr="00AB5818" w14:paraId="6C067512"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5E5AC1CD" w14:textId="77777777" w:rsidR="00AB5818" w:rsidRPr="00922EC5" w:rsidRDefault="00AB5818" w:rsidP="002E4B8A">
            <w:pPr>
              <w:widowControl w:val="0"/>
              <w:autoSpaceDE w:val="0"/>
              <w:autoSpaceDN w:val="0"/>
              <w:adjustRightInd w:val="0"/>
              <w:spacing w:line="240" w:lineRule="auto"/>
              <w:rPr>
                <w:rFonts w:eastAsia="Calibri" w:cs="Times New Roman"/>
                <w:sz w:val="20"/>
                <w:szCs w:val="20"/>
              </w:rPr>
            </w:pPr>
            <w:r w:rsidRPr="00922EC5">
              <w:rPr>
                <w:rFonts w:eastAsia="Calibri" w:cs="Times New Roman"/>
                <w:sz w:val="20"/>
                <w:szCs w:val="20"/>
              </w:rPr>
              <w:t>County FE</w:t>
            </w:r>
          </w:p>
        </w:tc>
        <w:tc>
          <w:tcPr>
            <w:tcW w:w="809" w:type="pct"/>
            <w:tcBorders>
              <w:top w:val="single" w:sz="4" w:space="0" w:color="auto"/>
              <w:left w:val="single" w:sz="4" w:space="0" w:color="auto"/>
              <w:bottom w:val="single" w:sz="4" w:space="0" w:color="auto"/>
              <w:right w:val="single" w:sz="4" w:space="0" w:color="auto"/>
            </w:tcBorders>
            <w:hideMark/>
          </w:tcPr>
          <w:p w14:paraId="5AC9C21E" w14:textId="77777777" w:rsidR="00AB5818" w:rsidRPr="00922EC5" w:rsidRDefault="00AB5818" w:rsidP="002E4B8A">
            <w:pPr>
              <w:widowControl w:val="0"/>
              <w:autoSpaceDE w:val="0"/>
              <w:autoSpaceDN w:val="0"/>
              <w:adjustRightInd w:val="0"/>
              <w:spacing w:line="240" w:lineRule="auto"/>
              <w:rPr>
                <w:rFonts w:eastAsia="Calibri" w:cs="Times New Roman"/>
                <w:sz w:val="20"/>
                <w:szCs w:val="20"/>
              </w:rPr>
            </w:pPr>
            <w:r w:rsidRPr="00922EC5">
              <w:rPr>
                <w:rFonts w:eastAsia="Calibri" w:cs="Times New Roman"/>
                <w:sz w:val="20"/>
                <w:szCs w:val="20"/>
              </w:rPr>
              <w:t>-</w:t>
            </w:r>
          </w:p>
        </w:tc>
        <w:tc>
          <w:tcPr>
            <w:tcW w:w="673" w:type="pct"/>
            <w:tcBorders>
              <w:top w:val="single" w:sz="4" w:space="0" w:color="auto"/>
              <w:left w:val="single" w:sz="4" w:space="0" w:color="auto"/>
              <w:bottom w:val="single" w:sz="4" w:space="0" w:color="auto"/>
              <w:right w:val="single" w:sz="4" w:space="0" w:color="auto"/>
            </w:tcBorders>
            <w:hideMark/>
          </w:tcPr>
          <w:p w14:paraId="0928E147" w14:textId="77777777" w:rsidR="00AB5818" w:rsidRPr="00922EC5" w:rsidRDefault="00AB5818" w:rsidP="002E4B8A">
            <w:pPr>
              <w:widowControl w:val="0"/>
              <w:autoSpaceDE w:val="0"/>
              <w:autoSpaceDN w:val="0"/>
              <w:adjustRightInd w:val="0"/>
              <w:spacing w:line="240" w:lineRule="auto"/>
              <w:rPr>
                <w:rFonts w:eastAsia="Calibri" w:cs="Times New Roman"/>
                <w:sz w:val="20"/>
                <w:szCs w:val="20"/>
              </w:rPr>
            </w:pPr>
            <w:r w:rsidRPr="00922EC5">
              <w:rPr>
                <w:rFonts w:eastAsia="Calibri" w:cs="Times New Roman"/>
                <w:sz w:val="20"/>
                <w:szCs w:val="20"/>
              </w:rPr>
              <w:t>Yes</w:t>
            </w:r>
          </w:p>
        </w:tc>
        <w:tc>
          <w:tcPr>
            <w:tcW w:w="672" w:type="pct"/>
            <w:tcBorders>
              <w:top w:val="single" w:sz="4" w:space="0" w:color="auto"/>
              <w:left w:val="single" w:sz="4" w:space="0" w:color="auto"/>
              <w:bottom w:val="single" w:sz="4" w:space="0" w:color="auto"/>
              <w:right w:val="single" w:sz="4" w:space="0" w:color="auto"/>
            </w:tcBorders>
            <w:hideMark/>
          </w:tcPr>
          <w:p w14:paraId="0057153F" w14:textId="77777777" w:rsidR="00AB5818" w:rsidRPr="00922EC5" w:rsidRDefault="00AB5818" w:rsidP="002E4B8A">
            <w:pPr>
              <w:widowControl w:val="0"/>
              <w:autoSpaceDE w:val="0"/>
              <w:autoSpaceDN w:val="0"/>
              <w:adjustRightInd w:val="0"/>
              <w:spacing w:line="240" w:lineRule="auto"/>
              <w:rPr>
                <w:rFonts w:eastAsia="Calibri" w:cs="Times New Roman"/>
                <w:sz w:val="20"/>
                <w:szCs w:val="20"/>
              </w:rPr>
            </w:pPr>
            <w:r w:rsidRPr="00922EC5">
              <w:rPr>
                <w:rFonts w:eastAsia="Calibri" w:cs="Times New Roman"/>
                <w:sz w:val="20"/>
                <w:szCs w:val="20"/>
              </w:rPr>
              <w:t>-</w:t>
            </w:r>
          </w:p>
        </w:tc>
        <w:tc>
          <w:tcPr>
            <w:tcW w:w="673" w:type="pct"/>
            <w:tcBorders>
              <w:top w:val="single" w:sz="4" w:space="0" w:color="auto"/>
              <w:left w:val="single" w:sz="4" w:space="0" w:color="auto"/>
              <w:bottom w:val="single" w:sz="4" w:space="0" w:color="auto"/>
              <w:right w:val="single" w:sz="4" w:space="0" w:color="auto"/>
            </w:tcBorders>
            <w:hideMark/>
          </w:tcPr>
          <w:p w14:paraId="27D6CB0F" w14:textId="77777777" w:rsidR="00AB5818" w:rsidRPr="00922EC5" w:rsidRDefault="00AB5818" w:rsidP="002E4B8A">
            <w:pPr>
              <w:widowControl w:val="0"/>
              <w:autoSpaceDE w:val="0"/>
              <w:autoSpaceDN w:val="0"/>
              <w:adjustRightInd w:val="0"/>
              <w:spacing w:line="240" w:lineRule="auto"/>
              <w:rPr>
                <w:rFonts w:eastAsia="Calibri" w:cs="Times New Roman"/>
                <w:sz w:val="20"/>
                <w:szCs w:val="20"/>
              </w:rPr>
            </w:pPr>
            <w:r w:rsidRPr="00922EC5">
              <w:rPr>
                <w:rFonts w:eastAsia="Calibri" w:cs="Times New Roman"/>
                <w:sz w:val="20"/>
                <w:szCs w:val="20"/>
              </w:rPr>
              <w:t>Yes</w:t>
            </w:r>
          </w:p>
        </w:tc>
        <w:tc>
          <w:tcPr>
            <w:tcW w:w="671" w:type="pct"/>
            <w:tcBorders>
              <w:top w:val="single" w:sz="4" w:space="0" w:color="auto"/>
              <w:left w:val="single" w:sz="4" w:space="0" w:color="auto"/>
              <w:bottom w:val="single" w:sz="4" w:space="0" w:color="auto"/>
              <w:right w:val="single" w:sz="4" w:space="0" w:color="auto"/>
            </w:tcBorders>
            <w:hideMark/>
          </w:tcPr>
          <w:p w14:paraId="7638C8A0" w14:textId="77777777" w:rsidR="00AB5818" w:rsidRPr="00922EC5" w:rsidRDefault="00AB5818" w:rsidP="002E4B8A">
            <w:pPr>
              <w:widowControl w:val="0"/>
              <w:autoSpaceDE w:val="0"/>
              <w:autoSpaceDN w:val="0"/>
              <w:adjustRightInd w:val="0"/>
              <w:spacing w:line="240" w:lineRule="auto"/>
              <w:rPr>
                <w:rFonts w:eastAsia="Calibri" w:cs="Times New Roman"/>
                <w:sz w:val="20"/>
                <w:szCs w:val="20"/>
              </w:rPr>
            </w:pPr>
            <w:r w:rsidRPr="00922EC5">
              <w:rPr>
                <w:rFonts w:eastAsia="Calibri" w:cs="Times New Roman"/>
                <w:sz w:val="20"/>
                <w:szCs w:val="20"/>
              </w:rPr>
              <w:t>-</w:t>
            </w:r>
          </w:p>
        </w:tc>
        <w:tc>
          <w:tcPr>
            <w:tcW w:w="666" w:type="pct"/>
            <w:tcBorders>
              <w:top w:val="single" w:sz="4" w:space="0" w:color="auto"/>
              <w:left w:val="single" w:sz="4" w:space="0" w:color="auto"/>
              <w:bottom w:val="single" w:sz="4" w:space="0" w:color="auto"/>
              <w:right w:val="single" w:sz="4" w:space="0" w:color="auto"/>
            </w:tcBorders>
            <w:hideMark/>
          </w:tcPr>
          <w:p w14:paraId="7B75A9F7" w14:textId="77777777" w:rsidR="00AB5818" w:rsidRPr="00922EC5" w:rsidRDefault="00AB5818" w:rsidP="002E4B8A">
            <w:pPr>
              <w:widowControl w:val="0"/>
              <w:autoSpaceDE w:val="0"/>
              <w:autoSpaceDN w:val="0"/>
              <w:adjustRightInd w:val="0"/>
              <w:spacing w:line="240" w:lineRule="auto"/>
              <w:rPr>
                <w:rFonts w:eastAsia="Calibri" w:cs="Times New Roman"/>
                <w:sz w:val="20"/>
                <w:szCs w:val="20"/>
              </w:rPr>
            </w:pPr>
            <w:r w:rsidRPr="00922EC5">
              <w:rPr>
                <w:rFonts w:eastAsia="Calibri" w:cs="Times New Roman"/>
                <w:sz w:val="20"/>
                <w:szCs w:val="20"/>
              </w:rPr>
              <w:t>Yes</w:t>
            </w:r>
          </w:p>
        </w:tc>
      </w:tr>
    </w:tbl>
    <w:p w14:paraId="5056B9FC" w14:textId="5D472B03" w:rsidR="005E02DB" w:rsidRDefault="000E300A" w:rsidP="00CE0D78">
      <w:pPr>
        <w:widowControl w:val="0"/>
        <w:autoSpaceDE w:val="0"/>
        <w:autoSpaceDN w:val="0"/>
        <w:adjustRightInd w:val="0"/>
        <w:spacing w:line="240" w:lineRule="auto"/>
        <w:rPr>
          <w:rFonts w:eastAsia="Calibri" w:cs="Times New Roman"/>
          <w:sz w:val="20"/>
          <w:szCs w:val="20"/>
          <w:lang/>
        </w:rPr>
      </w:pPr>
      <w:r>
        <w:rPr>
          <w:rFonts w:eastAsia="Calibri" w:cs="Times New Roman"/>
          <w:sz w:val="20"/>
          <w:szCs w:val="20"/>
        </w:rPr>
        <w:t xml:space="preserve">Table A44: Summary of PPMLHDFE </w:t>
      </w:r>
      <w:r w:rsidR="00AB5818" w:rsidRPr="00AB5818">
        <w:rPr>
          <w:rFonts w:eastAsia="Calibri" w:cs="Times New Roman"/>
          <w:sz w:val="20"/>
          <w:szCs w:val="20"/>
          <w:lang/>
        </w:rPr>
        <w:t xml:space="preserve">Regression results for agriculture, forestry, fishing, and hunting sectors, using a binary range indicator. Results display the spatial, temporal, and combined impacts of delisting on Establishment Count, Job Count, </w:t>
      </w:r>
      <w:r w:rsidR="008F6853">
        <w:rPr>
          <w:rFonts w:eastAsia="Calibri" w:cs="Times New Roman"/>
          <w:sz w:val="20"/>
          <w:szCs w:val="20"/>
        </w:rPr>
        <w:t>a</w:t>
      </w:r>
      <w:r w:rsidR="00AB5818" w:rsidRPr="00AB5818">
        <w:rPr>
          <w:rFonts w:eastAsia="Calibri" w:cs="Times New Roman"/>
          <w:sz w:val="20"/>
          <w:szCs w:val="20"/>
          <w:lang/>
        </w:rPr>
        <w:t>nd Sales Volume, with fixed effects at the state, year, and county levels.</w:t>
      </w:r>
      <w:r>
        <w:rPr>
          <w:rFonts w:eastAsia="Calibri" w:cs="Times New Roman"/>
          <w:sz w:val="20"/>
          <w:szCs w:val="20"/>
        </w:rPr>
        <w:t xml:space="preserve"> </w:t>
      </w:r>
      <w:r w:rsidRPr="000E300A">
        <w:rPr>
          <w:rFonts w:eastAsia="Calibri" w:cs="Times New Roman"/>
          <w:sz w:val="20"/>
          <w:szCs w:val="20"/>
        </w:rPr>
        <w:t>Statistically significant impacts are denoted by asterisks. These asterisks denote statistical significance at the following levels: ***p &lt; 0.01, **p &lt; 0.05, *p &lt; 0.1.</w:t>
      </w:r>
      <w:r w:rsidR="00AB5818" w:rsidRPr="00AB5818">
        <w:rPr>
          <w:rFonts w:eastAsia="Calibri" w:cs="Times New Roman"/>
          <w:sz w:val="20"/>
          <w:szCs w:val="20"/>
        </w:rPr>
        <w:br/>
      </w:r>
    </w:p>
    <w:p w14:paraId="4257CBAF" w14:textId="3D2DE0E0" w:rsidR="00F83040" w:rsidRDefault="00F83040" w:rsidP="00CE0D78">
      <w:pPr>
        <w:widowControl w:val="0"/>
        <w:autoSpaceDE w:val="0"/>
        <w:autoSpaceDN w:val="0"/>
        <w:adjustRightInd w:val="0"/>
        <w:spacing w:line="240" w:lineRule="auto"/>
        <w:rPr>
          <w:rFonts w:eastAsia="Calibri" w:cs="Times New Roman"/>
          <w:sz w:val="20"/>
          <w:szCs w:val="20"/>
          <w:lang/>
        </w:rPr>
      </w:pPr>
    </w:p>
    <w:p w14:paraId="2418C539" w14:textId="77777777" w:rsidR="00F83040" w:rsidRDefault="00F83040" w:rsidP="00CE0D78">
      <w:pPr>
        <w:widowControl w:val="0"/>
        <w:autoSpaceDE w:val="0"/>
        <w:autoSpaceDN w:val="0"/>
        <w:adjustRightInd w:val="0"/>
        <w:spacing w:line="240" w:lineRule="auto"/>
        <w:rPr>
          <w:rFonts w:eastAsia="Calibri" w:cs="Times New Roman"/>
          <w:sz w:val="20"/>
          <w:szCs w:val="20"/>
          <w:lang/>
        </w:rPr>
      </w:pPr>
    </w:p>
    <w:p w14:paraId="71BA8567" w14:textId="77777777" w:rsidR="00624082" w:rsidRDefault="00624082">
      <w:pPr>
        <w:spacing w:line="240" w:lineRule="auto"/>
        <w:rPr>
          <w:rFonts w:cs="Times New Roman"/>
          <w:b/>
          <w:bCs/>
          <w:lang/>
        </w:rPr>
      </w:pPr>
      <w:bookmarkStart w:id="693" w:name="_Toc188056054"/>
      <w:bookmarkStart w:id="694" w:name="_Toc188057138"/>
      <w:r>
        <w:br w:type="page"/>
      </w:r>
    </w:p>
    <w:p w14:paraId="29D90AE1" w14:textId="4651FE62" w:rsidR="00AB5818" w:rsidRPr="00AB5818" w:rsidRDefault="00AB5818" w:rsidP="00095E25">
      <w:pPr>
        <w:pStyle w:val="Title"/>
      </w:pPr>
      <w:bookmarkStart w:id="695" w:name="_Toc188359650"/>
      <w:bookmarkStart w:id="696" w:name="_Toc188359938"/>
      <w:bookmarkStart w:id="697" w:name="_Toc188361174"/>
      <w:bookmarkStart w:id="698" w:name="_Toc188367018"/>
      <w:r w:rsidRPr="00AB5818">
        <w:lastRenderedPageBreak/>
        <w:t>Table A</w:t>
      </w:r>
      <w:r w:rsidR="005E02DB">
        <w:t>4</w:t>
      </w:r>
      <w:r w:rsidRPr="00AB5818">
        <w:t xml:space="preserve">5: </w:t>
      </w:r>
      <w:r w:rsidR="00AB0CC4">
        <w:rPr>
          <w:lang w:val="en-US"/>
        </w:rPr>
        <w:t xml:space="preserve">Summary of </w:t>
      </w:r>
      <w:r w:rsidR="00AB0CC4" w:rsidRPr="00AB5818">
        <w:t>NAICS 11</w:t>
      </w:r>
      <w:r w:rsidR="00AB0CC4">
        <w:rPr>
          <w:lang w:val="en-US"/>
        </w:rPr>
        <w:t xml:space="preserve"> Regression Results </w:t>
      </w:r>
      <w:r w:rsidRPr="00AB5818">
        <w:t>– Continuous Range Indicator</w:t>
      </w:r>
      <w:bookmarkEnd w:id="693"/>
      <w:bookmarkEnd w:id="694"/>
      <w:bookmarkEnd w:id="695"/>
      <w:bookmarkEnd w:id="696"/>
      <w:bookmarkEnd w:id="697"/>
      <w:bookmarkEnd w:id="69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2"/>
        <w:gridCol w:w="1513"/>
        <w:gridCol w:w="1259"/>
        <w:gridCol w:w="1257"/>
        <w:gridCol w:w="1259"/>
        <w:gridCol w:w="1255"/>
        <w:gridCol w:w="1245"/>
      </w:tblGrid>
      <w:tr w:rsidR="00922EC5" w:rsidRPr="00AB5818" w14:paraId="63A422ED" w14:textId="77777777" w:rsidTr="00271798">
        <w:tc>
          <w:tcPr>
            <w:tcW w:w="836" w:type="pct"/>
            <w:tcBorders>
              <w:top w:val="single" w:sz="4" w:space="0" w:color="auto"/>
              <w:left w:val="single" w:sz="4" w:space="0" w:color="auto"/>
              <w:bottom w:val="single" w:sz="4" w:space="0" w:color="auto"/>
              <w:right w:val="single" w:sz="4" w:space="0" w:color="auto"/>
            </w:tcBorders>
            <w:hideMark/>
          </w:tcPr>
          <w:p w14:paraId="068326B2" w14:textId="733DD250" w:rsidR="00922EC5" w:rsidRPr="00AB5818" w:rsidRDefault="00922EC5" w:rsidP="002E4B8A">
            <w:pPr>
              <w:widowControl w:val="0"/>
              <w:autoSpaceDE w:val="0"/>
              <w:autoSpaceDN w:val="0"/>
              <w:adjustRightInd w:val="0"/>
              <w:spacing w:line="240" w:lineRule="auto"/>
              <w:rPr>
                <w:rFonts w:eastAsia="Calibri" w:cs="Times New Roman"/>
                <w:b/>
                <w:bCs/>
                <w:sz w:val="20"/>
                <w:szCs w:val="20"/>
              </w:rPr>
            </w:pPr>
            <w:r w:rsidRPr="00922EC5">
              <w:rPr>
                <w:rFonts w:eastAsia="Calibri" w:cs="Times New Roman"/>
                <w:b/>
                <w:bCs/>
                <w:sz w:val="20"/>
                <w:szCs w:val="20"/>
              </w:rPr>
              <w:t>Variable</w:t>
            </w:r>
          </w:p>
        </w:tc>
        <w:tc>
          <w:tcPr>
            <w:tcW w:w="1482" w:type="pct"/>
            <w:gridSpan w:val="2"/>
            <w:tcBorders>
              <w:top w:val="single" w:sz="4" w:space="0" w:color="auto"/>
              <w:left w:val="single" w:sz="4" w:space="0" w:color="auto"/>
              <w:bottom w:val="single" w:sz="4" w:space="0" w:color="auto"/>
              <w:right w:val="single" w:sz="4" w:space="0" w:color="auto"/>
            </w:tcBorders>
            <w:hideMark/>
          </w:tcPr>
          <w:p w14:paraId="70701CAE" w14:textId="7A00758E" w:rsidR="00922EC5" w:rsidRPr="00AB5818" w:rsidRDefault="00922EC5" w:rsidP="002E4B8A">
            <w:pPr>
              <w:widowControl w:val="0"/>
              <w:autoSpaceDE w:val="0"/>
              <w:autoSpaceDN w:val="0"/>
              <w:adjustRightInd w:val="0"/>
              <w:spacing w:line="240" w:lineRule="auto"/>
              <w:rPr>
                <w:rFonts w:eastAsia="Calibri" w:cs="Times New Roman"/>
                <w:b/>
                <w:bCs/>
                <w:color w:val="FF0000"/>
                <w:sz w:val="20"/>
                <w:szCs w:val="20"/>
                <w:highlight w:val="yellow"/>
              </w:rPr>
            </w:pPr>
            <w:r w:rsidRPr="00922EC5">
              <w:rPr>
                <w:rFonts w:cs="Times New Roman"/>
                <w:b/>
                <w:bCs/>
                <w:sz w:val="20"/>
                <w:szCs w:val="20"/>
              </w:rPr>
              <w:t>Establishment Count</w:t>
            </w:r>
          </w:p>
        </w:tc>
        <w:tc>
          <w:tcPr>
            <w:tcW w:w="1345" w:type="pct"/>
            <w:gridSpan w:val="2"/>
            <w:tcBorders>
              <w:top w:val="single" w:sz="4" w:space="0" w:color="auto"/>
              <w:left w:val="single" w:sz="4" w:space="0" w:color="auto"/>
              <w:bottom w:val="single" w:sz="4" w:space="0" w:color="auto"/>
              <w:right w:val="single" w:sz="4" w:space="0" w:color="auto"/>
            </w:tcBorders>
            <w:hideMark/>
          </w:tcPr>
          <w:p w14:paraId="18092AE3" w14:textId="797298B7" w:rsidR="00922EC5" w:rsidRPr="00AB5818" w:rsidRDefault="00922EC5" w:rsidP="002E4B8A">
            <w:pPr>
              <w:widowControl w:val="0"/>
              <w:autoSpaceDE w:val="0"/>
              <w:autoSpaceDN w:val="0"/>
              <w:adjustRightInd w:val="0"/>
              <w:spacing w:line="240" w:lineRule="auto"/>
              <w:rPr>
                <w:rFonts w:eastAsia="Calibri" w:cs="Times New Roman"/>
                <w:b/>
                <w:bCs/>
                <w:color w:val="FF0000"/>
                <w:sz w:val="20"/>
                <w:szCs w:val="20"/>
                <w:highlight w:val="yellow"/>
              </w:rPr>
            </w:pPr>
            <w:r w:rsidRPr="00922EC5">
              <w:rPr>
                <w:rFonts w:cs="Times New Roman"/>
                <w:b/>
                <w:bCs/>
                <w:sz w:val="20"/>
                <w:szCs w:val="20"/>
              </w:rPr>
              <w:t>Job Count</w:t>
            </w:r>
          </w:p>
        </w:tc>
        <w:tc>
          <w:tcPr>
            <w:tcW w:w="1337" w:type="pct"/>
            <w:gridSpan w:val="2"/>
            <w:tcBorders>
              <w:top w:val="single" w:sz="4" w:space="0" w:color="auto"/>
              <w:left w:val="single" w:sz="4" w:space="0" w:color="auto"/>
              <w:bottom w:val="single" w:sz="4" w:space="0" w:color="auto"/>
              <w:right w:val="single" w:sz="4" w:space="0" w:color="auto"/>
            </w:tcBorders>
            <w:hideMark/>
          </w:tcPr>
          <w:p w14:paraId="32BEFAB1" w14:textId="547D316D" w:rsidR="00922EC5" w:rsidRPr="00AB5818" w:rsidRDefault="00922EC5" w:rsidP="002E4B8A">
            <w:pPr>
              <w:widowControl w:val="0"/>
              <w:autoSpaceDE w:val="0"/>
              <w:autoSpaceDN w:val="0"/>
              <w:adjustRightInd w:val="0"/>
              <w:spacing w:line="240" w:lineRule="auto"/>
              <w:rPr>
                <w:rFonts w:eastAsia="Calibri" w:cs="Times New Roman"/>
                <w:b/>
                <w:bCs/>
                <w:color w:val="FF0000"/>
                <w:sz w:val="20"/>
                <w:szCs w:val="20"/>
                <w:highlight w:val="yellow"/>
              </w:rPr>
            </w:pPr>
            <w:r w:rsidRPr="00922EC5">
              <w:rPr>
                <w:rFonts w:cs="Times New Roman"/>
                <w:b/>
                <w:bCs/>
                <w:sz w:val="20"/>
                <w:szCs w:val="20"/>
              </w:rPr>
              <w:t>Sales Volume</w:t>
            </w:r>
          </w:p>
        </w:tc>
      </w:tr>
      <w:tr w:rsidR="00AB5818" w:rsidRPr="00AB5818" w14:paraId="13AA1109" w14:textId="77777777" w:rsidTr="00271798">
        <w:tc>
          <w:tcPr>
            <w:tcW w:w="836" w:type="pct"/>
            <w:tcBorders>
              <w:top w:val="single" w:sz="4" w:space="0" w:color="auto"/>
              <w:left w:val="single" w:sz="4" w:space="0" w:color="auto"/>
              <w:bottom w:val="single" w:sz="4" w:space="0" w:color="auto"/>
              <w:right w:val="single" w:sz="4" w:space="0" w:color="auto"/>
            </w:tcBorders>
            <w:hideMark/>
          </w:tcPr>
          <w:p w14:paraId="2ADCDB01"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Range</w:t>
            </w:r>
          </w:p>
        </w:tc>
        <w:tc>
          <w:tcPr>
            <w:tcW w:w="809" w:type="pct"/>
            <w:tcBorders>
              <w:top w:val="single" w:sz="4" w:space="0" w:color="auto"/>
              <w:left w:val="single" w:sz="4" w:space="0" w:color="auto"/>
              <w:bottom w:val="single" w:sz="4" w:space="0" w:color="auto"/>
              <w:right w:val="single" w:sz="4" w:space="0" w:color="auto"/>
            </w:tcBorders>
            <w:hideMark/>
          </w:tcPr>
          <w:p w14:paraId="75CA8755" w14:textId="77777777" w:rsidR="00AB5818" w:rsidRPr="00AB5818" w:rsidRDefault="00AB5818" w:rsidP="002E4B8A">
            <w:pPr>
              <w:widowControl w:val="0"/>
              <w:autoSpaceDE w:val="0"/>
              <w:autoSpaceDN w:val="0"/>
              <w:adjustRightInd w:val="0"/>
              <w:spacing w:line="240" w:lineRule="auto"/>
              <w:rPr>
                <w:rFonts w:eastAsia="Calibri" w:cs="Times New Roman"/>
                <w:sz w:val="20"/>
                <w:szCs w:val="20"/>
                <w:highlight w:val="magenta"/>
              </w:rPr>
            </w:pPr>
            <w:r w:rsidRPr="00AB5818">
              <w:rPr>
                <w:rFonts w:eastAsia="Calibri" w:cs="Times New Roman"/>
                <w:sz w:val="20"/>
                <w:szCs w:val="20"/>
              </w:rPr>
              <w:t>-.00056</w:t>
            </w:r>
          </w:p>
        </w:tc>
        <w:tc>
          <w:tcPr>
            <w:tcW w:w="673" w:type="pct"/>
            <w:tcBorders>
              <w:top w:val="single" w:sz="4" w:space="0" w:color="auto"/>
              <w:left w:val="single" w:sz="4" w:space="0" w:color="auto"/>
              <w:bottom w:val="single" w:sz="4" w:space="0" w:color="auto"/>
              <w:right w:val="single" w:sz="4" w:space="0" w:color="auto"/>
            </w:tcBorders>
            <w:hideMark/>
          </w:tcPr>
          <w:p w14:paraId="75B6BD24" w14:textId="77777777" w:rsidR="00AB5818" w:rsidRPr="00AB5818" w:rsidRDefault="00AB5818" w:rsidP="002E4B8A">
            <w:pPr>
              <w:widowControl w:val="0"/>
              <w:autoSpaceDE w:val="0"/>
              <w:autoSpaceDN w:val="0"/>
              <w:adjustRightInd w:val="0"/>
              <w:spacing w:line="240" w:lineRule="auto"/>
              <w:rPr>
                <w:rFonts w:eastAsia="Calibri" w:cs="Times New Roman"/>
                <w:sz w:val="20"/>
                <w:szCs w:val="20"/>
                <w:highlight w:val="magenta"/>
              </w:rPr>
            </w:pPr>
            <w:bookmarkStart w:id="699" w:name="_Hlk184837949"/>
            <w:r w:rsidRPr="00AB5818">
              <w:rPr>
                <w:rFonts w:eastAsia="Calibri" w:cs="Times New Roman"/>
                <w:sz w:val="20"/>
                <w:szCs w:val="20"/>
              </w:rPr>
              <w:t>-.00104</w:t>
            </w:r>
            <w:bookmarkEnd w:id="699"/>
            <w:r w:rsidRPr="00AB5818">
              <w:rPr>
                <w:rFonts w:eastAsia="Calibri" w:cs="Times New Roman"/>
                <w:sz w:val="20"/>
                <w:szCs w:val="20"/>
              </w:rPr>
              <w:t>***</w:t>
            </w:r>
          </w:p>
        </w:tc>
        <w:tc>
          <w:tcPr>
            <w:tcW w:w="672" w:type="pct"/>
            <w:tcBorders>
              <w:top w:val="single" w:sz="4" w:space="0" w:color="auto"/>
              <w:left w:val="single" w:sz="4" w:space="0" w:color="auto"/>
              <w:bottom w:val="single" w:sz="4" w:space="0" w:color="auto"/>
              <w:right w:val="single" w:sz="4" w:space="0" w:color="auto"/>
            </w:tcBorders>
            <w:hideMark/>
          </w:tcPr>
          <w:p w14:paraId="7E82F241"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-.00202***</w:t>
            </w:r>
          </w:p>
        </w:tc>
        <w:tc>
          <w:tcPr>
            <w:tcW w:w="673" w:type="pct"/>
            <w:tcBorders>
              <w:top w:val="single" w:sz="4" w:space="0" w:color="auto"/>
              <w:left w:val="single" w:sz="4" w:space="0" w:color="auto"/>
              <w:bottom w:val="single" w:sz="4" w:space="0" w:color="auto"/>
              <w:right w:val="single" w:sz="4" w:space="0" w:color="auto"/>
            </w:tcBorders>
            <w:hideMark/>
          </w:tcPr>
          <w:p w14:paraId="0094A246"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-.00069</w:t>
            </w:r>
          </w:p>
        </w:tc>
        <w:tc>
          <w:tcPr>
            <w:tcW w:w="671" w:type="pct"/>
            <w:tcBorders>
              <w:top w:val="single" w:sz="4" w:space="0" w:color="auto"/>
              <w:left w:val="single" w:sz="4" w:space="0" w:color="auto"/>
              <w:bottom w:val="single" w:sz="4" w:space="0" w:color="auto"/>
              <w:right w:val="single" w:sz="4" w:space="0" w:color="auto"/>
            </w:tcBorders>
            <w:hideMark/>
          </w:tcPr>
          <w:p w14:paraId="6122183E"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-.00164**</w:t>
            </w:r>
          </w:p>
        </w:tc>
        <w:tc>
          <w:tcPr>
            <w:tcW w:w="666" w:type="pct"/>
            <w:tcBorders>
              <w:top w:val="single" w:sz="4" w:space="0" w:color="auto"/>
              <w:left w:val="single" w:sz="4" w:space="0" w:color="auto"/>
              <w:bottom w:val="single" w:sz="4" w:space="0" w:color="auto"/>
              <w:right w:val="single" w:sz="4" w:space="0" w:color="auto"/>
            </w:tcBorders>
            <w:hideMark/>
          </w:tcPr>
          <w:p w14:paraId="7408E0EE"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-.00166</w:t>
            </w:r>
          </w:p>
        </w:tc>
      </w:tr>
      <w:tr w:rsidR="00AB5818" w:rsidRPr="00AB5818" w14:paraId="3E525C5F" w14:textId="77777777" w:rsidTr="00271798">
        <w:tc>
          <w:tcPr>
            <w:tcW w:w="836" w:type="pct"/>
            <w:tcBorders>
              <w:top w:val="single" w:sz="4" w:space="0" w:color="auto"/>
              <w:left w:val="single" w:sz="4" w:space="0" w:color="auto"/>
              <w:bottom w:val="single" w:sz="4" w:space="0" w:color="auto"/>
              <w:right w:val="single" w:sz="4" w:space="0" w:color="auto"/>
            </w:tcBorders>
            <w:hideMark/>
          </w:tcPr>
          <w:p w14:paraId="7E5C426F" w14:textId="25BA3728" w:rsidR="00AB5818" w:rsidRPr="00AB5818" w:rsidRDefault="00AB5818" w:rsidP="002E4B8A">
            <w:pPr>
              <w:widowControl w:val="0"/>
              <w:autoSpaceDE w:val="0"/>
              <w:autoSpaceDN w:val="0"/>
              <w:adjustRightInd w:val="0"/>
              <w:spacing w:line="240" w:lineRule="auto"/>
              <w:rPr>
                <w:rFonts w:eastAsia="Calibri" w:cs="Times New Roman"/>
                <w:sz w:val="20"/>
                <w:szCs w:val="20"/>
              </w:rPr>
            </w:pPr>
          </w:p>
        </w:tc>
        <w:tc>
          <w:tcPr>
            <w:tcW w:w="809" w:type="pct"/>
            <w:tcBorders>
              <w:top w:val="single" w:sz="4" w:space="0" w:color="auto"/>
              <w:left w:val="single" w:sz="4" w:space="0" w:color="auto"/>
              <w:bottom w:val="single" w:sz="4" w:space="0" w:color="auto"/>
              <w:right w:val="single" w:sz="4" w:space="0" w:color="auto"/>
            </w:tcBorders>
            <w:hideMark/>
          </w:tcPr>
          <w:p w14:paraId="346D970F"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(.00043)</w:t>
            </w:r>
          </w:p>
        </w:tc>
        <w:tc>
          <w:tcPr>
            <w:tcW w:w="673" w:type="pct"/>
            <w:tcBorders>
              <w:top w:val="single" w:sz="4" w:space="0" w:color="auto"/>
              <w:left w:val="single" w:sz="4" w:space="0" w:color="auto"/>
              <w:bottom w:val="single" w:sz="4" w:space="0" w:color="auto"/>
              <w:right w:val="single" w:sz="4" w:space="0" w:color="auto"/>
            </w:tcBorders>
            <w:hideMark/>
          </w:tcPr>
          <w:p w14:paraId="6B48E24E"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(.00035)</w:t>
            </w:r>
          </w:p>
        </w:tc>
        <w:tc>
          <w:tcPr>
            <w:tcW w:w="672" w:type="pct"/>
            <w:tcBorders>
              <w:top w:val="single" w:sz="4" w:space="0" w:color="auto"/>
              <w:left w:val="single" w:sz="4" w:space="0" w:color="auto"/>
              <w:bottom w:val="single" w:sz="4" w:space="0" w:color="auto"/>
              <w:right w:val="single" w:sz="4" w:space="0" w:color="auto"/>
            </w:tcBorders>
            <w:hideMark/>
          </w:tcPr>
          <w:p w14:paraId="661EAB97"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(.00068)</w:t>
            </w:r>
          </w:p>
        </w:tc>
        <w:tc>
          <w:tcPr>
            <w:tcW w:w="673" w:type="pct"/>
            <w:tcBorders>
              <w:top w:val="single" w:sz="4" w:space="0" w:color="auto"/>
              <w:left w:val="single" w:sz="4" w:space="0" w:color="auto"/>
              <w:bottom w:val="single" w:sz="4" w:space="0" w:color="auto"/>
              <w:right w:val="single" w:sz="4" w:space="0" w:color="auto"/>
            </w:tcBorders>
            <w:hideMark/>
          </w:tcPr>
          <w:p w14:paraId="41A9B75E"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(.00065)</w:t>
            </w:r>
          </w:p>
        </w:tc>
        <w:tc>
          <w:tcPr>
            <w:tcW w:w="671" w:type="pct"/>
            <w:tcBorders>
              <w:top w:val="single" w:sz="4" w:space="0" w:color="auto"/>
              <w:left w:val="single" w:sz="4" w:space="0" w:color="auto"/>
              <w:bottom w:val="single" w:sz="4" w:space="0" w:color="auto"/>
              <w:right w:val="single" w:sz="4" w:space="0" w:color="auto"/>
            </w:tcBorders>
            <w:hideMark/>
          </w:tcPr>
          <w:p w14:paraId="26EC6020"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(.00069)</w:t>
            </w:r>
          </w:p>
        </w:tc>
        <w:tc>
          <w:tcPr>
            <w:tcW w:w="666" w:type="pct"/>
            <w:tcBorders>
              <w:top w:val="single" w:sz="4" w:space="0" w:color="auto"/>
              <w:left w:val="single" w:sz="4" w:space="0" w:color="auto"/>
              <w:bottom w:val="single" w:sz="4" w:space="0" w:color="auto"/>
              <w:right w:val="single" w:sz="4" w:space="0" w:color="auto"/>
            </w:tcBorders>
            <w:hideMark/>
          </w:tcPr>
          <w:p w14:paraId="55307055"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(.00123)</w:t>
            </w:r>
          </w:p>
        </w:tc>
      </w:tr>
      <w:tr w:rsidR="00AB5818" w:rsidRPr="00AB5818" w14:paraId="01B11003" w14:textId="77777777" w:rsidTr="00271798">
        <w:tc>
          <w:tcPr>
            <w:tcW w:w="836" w:type="pct"/>
            <w:tcBorders>
              <w:top w:val="single" w:sz="4" w:space="0" w:color="auto"/>
              <w:left w:val="single" w:sz="4" w:space="0" w:color="auto"/>
              <w:bottom w:val="single" w:sz="4" w:space="0" w:color="auto"/>
              <w:right w:val="single" w:sz="4" w:space="0" w:color="auto"/>
            </w:tcBorders>
            <w:hideMark/>
          </w:tcPr>
          <w:p w14:paraId="78AE8D23"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TSD * Range</w:t>
            </w:r>
          </w:p>
        </w:tc>
        <w:tc>
          <w:tcPr>
            <w:tcW w:w="809" w:type="pct"/>
            <w:tcBorders>
              <w:top w:val="single" w:sz="4" w:space="0" w:color="auto"/>
              <w:left w:val="single" w:sz="4" w:space="0" w:color="auto"/>
              <w:bottom w:val="single" w:sz="4" w:space="0" w:color="auto"/>
              <w:right w:val="single" w:sz="4" w:space="0" w:color="auto"/>
            </w:tcBorders>
            <w:hideMark/>
          </w:tcPr>
          <w:p w14:paraId="5B6975BE"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-.00159***</w:t>
            </w:r>
          </w:p>
        </w:tc>
        <w:tc>
          <w:tcPr>
            <w:tcW w:w="673" w:type="pct"/>
            <w:tcBorders>
              <w:top w:val="single" w:sz="4" w:space="0" w:color="auto"/>
              <w:left w:val="single" w:sz="4" w:space="0" w:color="auto"/>
              <w:bottom w:val="single" w:sz="4" w:space="0" w:color="auto"/>
              <w:right w:val="single" w:sz="4" w:space="0" w:color="auto"/>
            </w:tcBorders>
            <w:hideMark/>
          </w:tcPr>
          <w:p w14:paraId="77D6E7F1"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bookmarkStart w:id="700" w:name="_Hlk184837959"/>
            <w:r w:rsidRPr="00AB5818">
              <w:rPr>
                <w:rFonts w:eastAsia="Calibri" w:cs="Times New Roman"/>
                <w:sz w:val="20"/>
                <w:szCs w:val="20"/>
              </w:rPr>
              <w:t>-.00171</w:t>
            </w:r>
            <w:bookmarkEnd w:id="700"/>
            <w:r w:rsidRPr="00AB5818">
              <w:rPr>
                <w:rFonts w:eastAsia="Calibri" w:cs="Times New Roman"/>
                <w:sz w:val="20"/>
                <w:szCs w:val="20"/>
              </w:rPr>
              <w:t>***</w:t>
            </w:r>
          </w:p>
        </w:tc>
        <w:tc>
          <w:tcPr>
            <w:tcW w:w="672" w:type="pct"/>
            <w:tcBorders>
              <w:top w:val="single" w:sz="4" w:space="0" w:color="auto"/>
              <w:left w:val="single" w:sz="4" w:space="0" w:color="auto"/>
              <w:bottom w:val="single" w:sz="4" w:space="0" w:color="auto"/>
              <w:right w:val="single" w:sz="4" w:space="0" w:color="auto"/>
            </w:tcBorders>
            <w:hideMark/>
          </w:tcPr>
          <w:p w14:paraId="0A8CF44D"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-.00094**</w:t>
            </w:r>
          </w:p>
        </w:tc>
        <w:tc>
          <w:tcPr>
            <w:tcW w:w="673" w:type="pct"/>
            <w:tcBorders>
              <w:top w:val="single" w:sz="4" w:space="0" w:color="auto"/>
              <w:left w:val="single" w:sz="4" w:space="0" w:color="auto"/>
              <w:bottom w:val="single" w:sz="4" w:space="0" w:color="auto"/>
              <w:right w:val="single" w:sz="4" w:space="0" w:color="auto"/>
            </w:tcBorders>
            <w:hideMark/>
          </w:tcPr>
          <w:p w14:paraId="5C84E93D"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-.00097**</w:t>
            </w:r>
          </w:p>
        </w:tc>
        <w:tc>
          <w:tcPr>
            <w:tcW w:w="671" w:type="pct"/>
            <w:tcBorders>
              <w:top w:val="single" w:sz="4" w:space="0" w:color="auto"/>
              <w:left w:val="single" w:sz="4" w:space="0" w:color="auto"/>
              <w:bottom w:val="single" w:sz="4" w:space="0" w:color="auto"/>
              <w:right w:val="single" w:sz="4" w:space="0" w:color="auto"/>
            </w:tcBorders>
            <w:hideMark/>
          </w:tcPr>
          <w:p w14:paraId="71F4BCFF"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-.00114</w:t>
            </w:r>
          </w:p>
        </w:tc>
        <w:tc>
          <w:tcPr>
            <w:tcW w:w="666" w:type="pct"/>
            <w:tcBorders>
              <w:top w:val="single" w:sz="4" w:space="0" w:color="auto"/>
              <w:left w:val="single" w:sz="4" w:space="0" w:color="auto"/>
              <w:bottom w:val="single" w:sz="4" w:space="0" w:color="auto"/>
              <w:right w:val="single" w:sz="4" w:space="0" w:color="auto"/>
            </w:tcBorders>
            <w:hideMark/>
          </w:tcPr>
          <w:p w14:paraId="55037BCB"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-.00116</w:t>
            </w:r>
          </w:p>
        </w:tc>
      </w:tr>
      <w:tr w:rsidR="00AB5818" w:rsidRPr="00AB5818" w14:paraId="4DB2F93A" w14:textId="77777777" w:rsidTr="00271798">
        <w:tc>
          <w:tcPr>
            <w:tcW w:w="836" w:type="pct"/>
            <w:tcBorders>
              <w:top w:val="single" w:sz="4" w:space="0" w:color="auto"/>
              <w:left w:val="single" w:sz="4" w:space="0" w:color="auto"/>
              <w:bottom w:val="single" w:sz="4" w:space="0" w:color="auto"/>
              <w:right w:val="single" w:sz="4" w:space="0" w:color="auto"/>
            </w:tcBorders>
            <w:hideMark/>
          </w:tcPr>
          <w:p w14:paraId="00C000D6" w14:textId="73E2C92D" w:rsidR="00AB5818" w:rsidRPr="00AB5818" w:rsidRDefault="00AB5818" w:rsidP="002E4B8A">
            <w:pPr>
              <w:widowControl w:val="0"/>
              <w:autoSpaceDE w:val="0"/>
              <w:autoSpaceDN w:val="0"/>
              <w:adjustRightInd w:val="0"/>
              <w:spacing w:line="240" w:lineRule="auto"/>
              <w:rPr>
                <w:rFonts w:eastAsia="Calibri" w:cs="Times New Roman"/>
                <w:sz w:val="20"/>
                <w:szCs w:val="20"/>
              </w:rPr>
            </w:pPr>
          </w:p>
        </w:tc>
        <w:tc>
          <w:tcPr>
            <w:tcW w:w="809" w:type="pct"/>
            <w:tcBorders>
              <w:top w:val="single" w:sz="4" w:space="0" w:color="auto"/>
              <w:left w:val="single" w:sz="4" w:space="0" w:color="auto"/>
              <w:bottom w:val="single" w:sz="4" w:space="0" w:color="auto"/>
              <w:right w:val="single" w:sz="4" w:space="0" w:color="auto"/>
            </w:tcBorders>
            <w:hideMark/>
          </w:tcPr>
          <w:p w14:paraId="60ECB8A1"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(.0002)</w:t>
            </w:r>
          </w:p>
        </w:tc>
        <w:tc>
          <w:tcPr>
            <w:tcW w:w="673" w:type="pct"/>
            <w:tcBorders>
              <w:top w:val="single" w:sz="4" w:space="0" w:color="auto"/>
              <w:left w:val="single" w:sz="4" w:space="0" w:color="auto"/>
              <w:bottom w:val="single" w:sz="4" w:space="0" w:color="auto"/>
              <w:right w:val="single" w:sz="4" w:space="0" w:color="auto"/>
            </w:tcBorders>
            <w:hideMark/>
          </w:tcPr>
          <w:p w14:paraId="7473F3BD"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(.00021)</w:t>
            </w:r>
          </w:p>
        </w:tc>
        <w:tc>
          <w:tcPr>
            <w:tcW w:w="672" w:type="pct"/>
            <w:tcBorders>
              <w:top w:val="single" w:sz="4" w:space="0" w:color="auto"/>
              <w:left w:val="single" w:sz="4" w:space="0" w:color="auto"/>
              <w:bottom w:val="single" w:sz="4" w:space="0" w:color="auto"/>
              <w:right w:val="single" w:sz="4" w:space="0" w:color="auto"/>
            </w:tcBorders>
            <w:hideMark/>
          </w:tcPr>
          <w:p w14:paraId="1F5A7F0A"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(.00044)</w:t>
            </w:r>
          </w:p>
        </w:tc>
        <w:tc>
          <w:tcPr>
            <w:tcW w:w="673" w:type="pct"/>
            <w:tcBorders>
              <w:top w:val="single" w:sz="4" w:space="0" w:color="auto"/>
              <w:left w:val="single" w:sz="4" w:space="0" w:color="auto"/>
              <w:bottom w:val="single" w:sz="4" w:space="0" w:color="auto"/>
              <w:right w:val="single" w:sz="4" w:space="0" w:color="auto"/>
            </w:tcBorders>
            <w:hideMark/>
          </w:tcPr>
          <w:p w14:paraId="6DC87354"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(.00045)</w:t>
            </w:r>
          </w:p>
        </w:tc>
        <w:tc>
          <w:tcPr>
            <w:tcW w:w="671" w:type="pct"/>
            <w:tcBorders>
              <w:top w:val="single" w:sz="4" w:space="0" w:color="auto"/>
              <w:left w:val="single" w:sz="4" w:space="0" w:color="auto"/>
              <w:bottom w:val="single" w:sz="4" w:space="0" w:color="auto"/>
              <w:right w:val="single" w:sz="4" w:space="0" w:color="auto"/>
            </w:tcBorders>
            <w:hideMark/>
          </w:tcPr>
          <w:p w14:paraId="3DFD4F68"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(.00076)</w:t>
            </w:r>
          </w:p>
        </w:tc>
        <w:tc>
          <w:tcPr>
            <w:tcW w:w="666" w:type="pct"/>
            <w:tcBorders>
              <w:top w:val="single" w:sz="4" w:space="0" w:color="auto"/>
              <w:left w:val="single" w:sz="4" w:space="0" w:color="auto"/>
              <w:bottom w:val="single" w:sz="4" w:space="0" w:color="auto"/>
              <w:right w:val="single" w:sz="4" w:space="0" w:color="auto"/>
            </w:tcBorders>
            <w:hideMark/>
          </w:tcPr>
          <w:p w14:paraId="39DC2638"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(.00075)</w:t>
            </w:r>
          </w:p>
        </w:tc>
      </w:tr>
      <w:tr w:rsidR="00AB5818" w:rsidRPr="00AB5818" w14:paraId="3774FB22" w14:textId="77777777" w:rsidTr="00271798">
        <w:tc>
          <w:tcPr>
            <w:tcW w:w="836" w:type="pct"/>
            <w:tcBorders>
              <w:top w:val="single" w:sz="4" w:space="0" w:color="auto"/>
              <w:left w:val="single" w:sz="4" w:space="0" w:color="auto"/>
              <w:bottom w:val="single" w:sz="4" w:space="0" w:color="auto"/>
              <w:right w:val="single" w:sz="4" w:space="0" w:color="auto"/>
            </w:tcBorders>
            <w:hideMark/>
          </w:tcPr>
          <w:p w14:paraId="660FF977"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Joint Test (p-value)</w:t>
            </w:r>
          </w:p>
        </w:tc>
        <w:tc>
          <w:tcPr>
            <w:tcW w:w="809" w:type="pct"/>
            <w:tcBorders>
              <w:top w:val="single" w:sz="4" w:space="0" w:color="auto"/>
              <w:left w:val="single" w:sz="4" w:space="0" w:color="auto"/>
              <w:bottom w:val="single" w:sz="4" w:space="0" w:color="auto"/>
              <w:right w:val="single" w:sz="4" w:space="0" w:color="auto"/>
            </w:tcBorders>
            <w:hideMark/>
          </w:tcPr>
          <w:p w14:paraId="0DE22A71" w14:textId="77777777" w:rsidR="00AB5818" w:rsidRPr="00271798" w:rsidRDefault="00AB5818" w:rsidP="002E4B8A">
            <w:pPr>
              <w:spacing w:line="240" w:lineRule="auto"/>
              <w:rPr>
                <w:rFonts w:eastAsia="Calibri" w:cs="Times New Roman"/>
                <w:sz w:val="20"/>
                <w:szCs w:val="20"/>
                <w:lang/>
              </w:rPr>
            </w:pPr>
            <w:r w:rsidRPr="00271798">
              <w:rPr>
                <w:rFonts w:eastAsia="Calibri" w:cs="Times New Roman"/>
                <w:sz w:val="20"/>
                <w:szCs w:val="20"/>
                <w:lang/>
              </w:rPr>
              <w:t>0.0000</w:t>
            </w:r>
          </w:p>
        </w:tc>
        <w:tc>
          <w:tcPr>
            <w:tcW w:w="673" w:type="pct"/>
            <w:tcBorders>
              <w:top w:val="single" w:sz="4" w:space="0" w:color="auto"/>
              <w:left w:val="single" w:sz="4" w:space="0" w:color="auto"/>
              <w:bottom w:val="single" w:sz="4" w:space="0" w:color="auto"/>
              <w:right w:val="single" w:sz="4" w:space="0" w:color="auto"/>
            </w:tcBorders>
            <w:hideMark/>
          </w:tcPr>
          <w:p w14:paraId="3882ED38" w14:textId="77777777" w:rsidR="00AB5818" w:rsidRPr="00271798" w:rsidRDefault="00AB5818" w:rsidP="002E4B8A">
            <w:pPr>
              <w:widowControl w:val="0"/>
              <w:autoSpaceDE w:val="0"/>
              <w:autoSpaceDN w:val="0"/>
              <w:adjustRightInd w:val="0"/>
              <w:spacing w:line="240" w:lineRule="auto"/>
              <w:rPr>
                <w:rFonts w:eastAsia="Calibri" w:cs="Times New Roman"/>
                <w:sz w:val="20"/>
                <w:szCs w:val="20"/>
              </w:rPr>
            </w:pPr>
            <w:r w:rsidRPr="00271798">
              <w:rPr>
                <w:rFonts w:eastAsia="Calibri" w:cs="Times New Roman"/>
                <w:sz w:val="20"/>
                <w:szCs w:val="20"/>
                <w:lang/>
              </w:rPr>
              <w:t>0.0000</w:t>
            </w:r>
          </w:p>
        </w:tc>
        <w:tc>
          <w:tcPr>
            <w:tcW w:w="672" w:type="pct"/>
            <w:tcBorders>
              <w:top w:val="single" w:sz="4" w:space="0" w:color="auto"/>
              <w:left w:val="single" w:sz="4" w:space="0" w:color="auto"/>
              <w:bottom w:val="single" w:sz="4" w:space="0" w:color="auto"/>
              <w:right w:val="single" w:sz="4" w:space="0" w:color="auto"/>
            </w:tcBorders>
            <w:hideMark/>
          </w:tcPr>
          <w:p w14:paraId="11D351B7" w14:textId="77777777" w:rsidR="00AB5818" w:rsidRPr="00271798" w:rsidRDefault="00AB5818" w:rsidP="002E4B8A">
            <w:pPr>
              <w:widowControl w:val="0"/>
              <w:autoSpaceDE w:val="0"/>
              <w:autoSpaceDN w:val="0"/>
              <w:adjustRightInd w:val="0"/>
              <w:spacing w:line="240" w:lineRule="auto"/>
              <w:rPr>
                <w:rFonts w:eastAsia="Calibri" w:cs="Times New Roman"/>
                <w:sz w:val="20"/>
                <w:szCs w:val="20"/>
              </w:rPr>
            </w:pPr>
            <w:r w:rsidRPr="00271798">
              <w:rPr>
                <w:rFonts w:eastAsia="Calibri" w:cs="Times New Roman"/>
                <w:sz w:val="20"/>
                <w:szCs w:val="20"/>
                <w:lang/>
              </w:rPr>
              <w:t>0.000</w:t>
            </w:r>
            <w:r w:rsidRPr="00271798">
              <w:rPr>
                <w:rFonts w:eastAsia="Calibri" w:cs="Times New Roman"/>
                <w:sz w:val="20"/>
                <w:szCs w:val="20"/>
              </w:rPr>
              <w:t>1</w:t>
            </w:r>
          </w:p>
        </w:tc>
        <w:tc>
          <w:tcPr>
            <w:tcW w:w="673" w:type="pct"/>
            <w:tcBorders>
              <w:top w:val="single" w:sz="4" w:space="0" w:color="auto"/>
              <w:left w:val="single" w:sz="4" w:space="0" w:color="auto"/>
              <w:bottom w:val="single" w:sz="4" w:space="0" w:color="auto"/>
              <w:right w:val="single" w:sz="4" w:space="0" w:color="auto"/>
            </w:tcBorders>
            <w:hideMark/>
          </w:tcPr>
          <w:p w14:paraId="72F2A12F" w14:textId="77777777" w:rsidR="00AB5818" w:rsidRPr="00271798" w:rsidRDefault="00AB5818" w:rsidP="002E4B8A">
            <w:pPr>
              <w:widowControl w:val="0"/>
              <w:autoSpaceDE w:val="0"/>
              <w:autoSpaceDN w:val="0"/>
              <w:adjustRightInd w:val="0"/>
              <w:spacing w:line="240" w:lineRule="auto"/>
              <w:rPr>
                <w:rFonts w:eastAsia="Calibri" w:cs="Times New Roman"/>
                <w:sz w:val="20"/>
                <w:szCs w:val="20"/>
              </w:rPr>
            </w:pPr>
            <w:r w:rsidRPr="00271798">
              <w:rPr>
                <w:rFonts w:eastAsia="Calibri" w:cs="Times New Roman"/>
                <w:sz w:val="20"/>
                <w:szCs w:val="20"/>
              </w:rPr>
              <w:t>0.0305</w:t>
            </w:r>
          </w:p>
        </w:tc>
        <w:tc>
          <w:tcPr>
            <w:tcW w:w="671" w:type="pct"/>
            <w:tcBorders>
              <w:top w:val="single" w:sz="4" w:space="0" w:color="auto"/>
              <w:left w:val="single" w:sz="4" w:space="0" w:color="auto"/>
              <w:bottom w:val="single" w:sz="4" w:space="0" w:color="auto"/>
              <w:right w:val="single" w:sz="4" w:space="0" w:color="auto"/>
            </w:tcBorders>
            <w:hideMark/>
          </w:tcPr>
          <w:p w14:paraId="611E81C2" w14:textId="77777777" w:rsidR="00AB5818" w:rsidRPr="00271798" w:rsidRDefault="00AB5818" w:rsidP="002E4B8A">
            <w:pPr>
              <w:widowControl w:val="0"/>
              <w:autoSpaceDE w:val="0"/>
              <w:autoSpaceDN w:val="0"/>
              <w:adjustRightInd w:val="0"/>
              <w:spacing w:line="240" w:lineRule="auto"/>
              <w:rPr>
                <w:rFonts w:eastAsia="Calibri" w:cs="Times New Roman"/>
                <w:sz w:val="20"/>
                <w:szCs w:val="20"/>
                <w:lang/>
              </w:rPr>
            </w:pPr>
            <w:r w:rsidRPr="00271798">
              <w:rPr>
                <w:rFonts w:eastAsia="Calibri" w:cs="Times New Roman"/>
                <w:sz w:val="20"/>
                <w:szCs w:val="20"/>
              </w:rPr>
              <w:t>0.0046</w:t>
            </w:r>
          </w:p>
        </w:tc>
        <w:tc>
          <w:tcPr>
            <w:tcW w:w="666" w:type="pct"/>
            <w:tcBorders>
              <w:top w:val="single" w:sz="4" w:space="0" w:color="auto"/>
              <w:left w:val="single" w:sz="4" w:space="0" w:color="auto"/>
              <w:bottom w:val="single" w:sz="4" w:space="0" w:color="auto"/>
              <w:right w:val="single" w:sz="4" w:space="0" w:color="auto"/>
            </w:tcBorders>
            <w:hideMark/>
          </w:tcPr>
          <w:p w14:paraId="6A64C8B7" w14:textId="77777777" w:rsidR="00AB5818" w:rsidRPr="00271798" w:rsidRDefault="00AB5818" w:rsidP="002E4B8A">
            <w:pPr>
              <w:widowControl w:val="0"/>
              <w:autoSpaceDE w:val="0"/>
              <w:autoSpaceDN w:val="0"/>
              <w:adjustRightInd w:val="0"/>
              <w:spacing w:line="240" w:lineRule="auto"/>
              <w:rPr>
                <w:rFonts w:eastAsia="Calibri" w:cs="Times New Roman"/>
                <w:sz w:val="20"/>
                <w:szCs w:val="20"/>
                <w:lang/>
              </w:rPr>
            </w:pPr>
            <w:r w:rsidRPr="00271798">
              <w:rPr>
                <w:rFonts w:eastAsia="Calibri" w:cs="Times New Roman"/>
                <w:sz w:val="20"/>
                <w:szCs w:val="20"/>
              </w:rPr>
              <w:t>0.0874</w:t>
            </w:r>
          </w:p>
        </w:tc>
      </w:tr>
      <w:tr w:rsidR="00AB5818" w:rsidRPr="00AB5818" w14:paraId="06395581" w14:textId="77777777" w:rsidTr="00271798">
        <w:tc>
          <w:tcPr>
            <w:tcW w:w="836" w:type="pct"/>
            <w:tcBorders>
              <w:top w:val="single" w:sz="4" w:space="0" w:color="auto"/>
              <w:left w:val="single" w:sz="4" w:space="0" w:color="auto"/>
              <w:bottom w:val="single" w:sz="4" w:space="0" w:color="auto"/>
              <w:right w:val="single" w:sz="4" w:space="0" w:color="auto"/>
            </w:tcBorders>
            <w:hideMark/>
          </w:tcPr>
          <w:p w14:paraId="1DD31B59"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State FE</w:t>
            </w:r>
          </w:p>
        </w:tc>
        <w:tc>
          <w:tcPr>
            <w:tcW w:w="809" w:type="pct"/>
            <w:tcBorders>
              <w:top w:val="single" w:sz="4" w:space="0" w:color="auto"/>
              <w:left w:val="single" w:sz="4" w:space="0" w:color="auto"/>
              <w:bottom w:val="single" w:sz="4" w:space="0" w:color="auto"/>
              <w:right w:val="single" w:sz="4" w:space="0" w:color="auto"/>
            </w:tcBorders>
            <w:hideMark/>
          </w:tcPr>
          <w:p w14:paraId="46CCF08F"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73" w:type="pct"/>
            <w:tcBorders>
              <w:top w:val="single" w:sz="4" w:space="0" w:color="auto"/>
              <w:left w:val="single" w:sz="4" w:space="0" w:color="auto"/>
              <w:bottom w:val="single" w:sz="4" w:space="0" w:color="auto"/>
              <w:right w:val="single" w:sz="4" w:space="0" w:color="auto"/>
            </w:tcBorders>
            <w:hideMark/>
          </w:tcPr>
          <w:p w14:paraId="3F3585E0"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c>
          <w:tcPr>
            <w:tcW w:w="672" w:type="pct"/>
            <w:tcBorders>
              <w:top w:val="single" w:sz="4" w:space="0" w:color="auto"/>
              <w:left w:val="single" w:sz="4" w:space="0" w:color="auto"/>
              <w:bottom w:val="single" w:sz="4" w:space="0" w:color="auto"/>
              <w:right w:val="single" w:sz="4" w:space="0" w:color="auto"/>
            </w:tcBorders>
            <w:hideMark/>
          </w:tcPr>
          <w:p w14:paraId="035DB9BF"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73" w:type="pct"/>
            <w:tcBorders>
              <w:top w:val="single" w:sz="4" w:space="0" w:color="auto"/>
              <w:left w:val="single" w:sz="4" w:space="0" w:color="auto"/>
              <w:bottom w:val="single" w:sz="4" w:space="0" w:color="auto"/>
              <w:right w:val="single" w:sz="4" w:space="0" w:color="auto"/>
            </w:tcBorders>
            <w:hideMark/>
          </w:tcPr>
          <w:p w14:paraId="3DAB7FEC"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c>
          <w:tcPr>
            <w:tcW w:w="671" w:type="pct"/>
            <w:tcBorders>
              <w:top w:val="single" w:sz="4" w:space="0" w:color="auto"/>
              <w:left w:val="single" w:sz="4" w:space="0" w:color="auto"/>
              <w:bottom w:val="single" w:sz="4" w:space="0" w:color="auto"/>
              <w:right w:val="single" w:sz="4" w:space="0" w:color="auto"/>
            </w:tcBorders>
            <w:hideMark/>
          </w:tcPr>
          <w:p w14:paraId="775748AA"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66" w:type="pct"/>
            <w:tcBorders>
              <w:top w:val="single" w:sz="4" w:space="0" w:color="auto"/>
              <w:left w:val="single" w:sz="4" w:space="0" w:color="auto"/>
              <w:bottom w:val="single" w:sz="4" w:space="0" w:color="auto"/>
              <w:right w:val="single" w:sz="4" w:space="0" w:color="auto"/>
            </w:tcBorders>
            <w:hideMark/>
          </w:tcPr>
          <w:p w14:paraId="6A8B89FB"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r>
      <w:tr w:rsidR="00AB5818" w:rsidRPr="00AB5818" w14:paraId="1625C776" w14:textId="77777777" w:rsidTr="00271798">
        <w:tc>
          <w:tcPr>
            <w:tcW w:w="836" w:type="pct"/>
            <w:tcBorders>
              <w:top w:val="single" w:sz="4" w:space="0" w:color="auto"/>
              <w:left w:val="single" w:sz="4" w:space="0" w:color="auto"/>
              <w:bottom w:val="single" w:sz="4" w:space="0" w:color="auto"/>
              <w:right w:val="single" w:sz="4" w:space="0" w:color="auto"/>
            </w:tcBorders>
            <w:hideMark/>
          </w:tcPr>
          <w:p w14:paraId="6091D7E1"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Year FE</w:t>
            </w:r>
          </w:p>
        </w:tc>
        <w:tc>
          <w:tcPr>
            <w:tcW w:w="809" w:type="pct"/>
            <w:tcBorders>
              <w:top w:val="single" w:sz="4" w:space="0" w:color="auto"/>
              <w:left w:val="single" w:sz="4" w:space="0" w:color="auto"/>
              <w:bottom w:val="single" w:sz="4" w:space="0" w:color="auto"/>
              <w:right w:val="single" w:sz="4" w:space="0" w:color="auto"/>
            </w:tcBorders>
            <w:hideMark/>
          </w:tcPr>
          <w:p w14:paraId="5613BE69"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73" w:type="pct"/>
            <w:tcBorders>
              <w:top w:val="single" w:sz="4" w:space="0" w:color="auto"/>
              <w:left w:val="single" w:sz="4" w:space="0" w:color="auto"/>
              <w:bottom w:val="single" w:sz="4" w:space="0" w:color="auto"/>
              <w:right w:val="single" w:sz="4" w:space="0" w:color="auto"/>
            </w:tcBorders>
            <w:hideMark/>
          </w:tcPr>
          <w:p w14:paraId="4E7C9CA8"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c>
          <w:tcPr>
            <w:tcW w:w="672" w:type="pct"/>
            <w:tcBorders>
              <w:top w:val="single" w:sz="4" w:space="0" w:color="auto"/>
              <w:left w:val="single" w:sz="4" w:space="0" w:color="auto"/>
              <w:bottom w:val="single" w:sz="4" w:space="0" w:color="auto"/>
              <w:right w:val="single" w:sz="4" w:space="0" w:color="auto"/>
            </w:tcBorders>
            <w:hideMark/>
          </w:tcPr>
          <w:p w14:paraId="1D92C30F"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73" w:type="pct"/>
            <w:tcBorders>
              <w:top w:val="single" w:sz="4" w:space="0" w:color="auto"/>
              <w:left w:val="single" w:sz="4" w:space="0" w:color="auto"/>
              <w:bottom w:val="single" w:sz="4" w:space="0" w:color="auto"/>
              <w:right w:val="single" w:sz="4" w:space="0" w:color="auto"/>
            </w:tcBorders>
            <w:hideMark/>
          </w:tcPr>
          <w:p w14:paraId="2251CAC0"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c>
          <w:tcPr>
            <w:tcW w:w="671" w:type="pct"/>
            <w:tcBorders>
              <w:top w:val="single" w:sz="4" w:space="0" w:color="auto"/>
              <w:left w:val="single" w:sz="4" w:space="0" w:color="auto"/>
              <w:bottom w:val="single" w:sz="4" w:space="0" w:color="auto"/>
              <w:right w:val="single" w:sz="4" w:space="0" w:color="auto"/>
            </w:tcBorders>
            <w:hideMark/>
          </w:tcPr>
          <w:p w14:paraId="36DBF959"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66" w:type="pct"/>
            <w:tcBorders>
              <w:top w:val="single" w:sz="4" w:space="0" w:color="auto"/>
              <w:left w:val="single" w:sz="4" w:space="0" w:color="auto"/>
              <w:bottom w:val="single" w:sz="4" w:space="0" w:color="auto"/>
              <w:right w:val="single" w:sz="4" w:space="0" w:color="auto"/>
            </w:tcBorders>
            <w:hideMark/>
          </w:tcPr>
          <w:p w14:paraId="2FF99DC1"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r>
      <w:tr w:rsidR="00AB5818" w:rsidRPr="00AB5818" w14:paraId="3CFCE80A" w14:textId="77777777" w:rsidTr="00271798">
        <w:tc>
          <w:tcPr>
            <w:tcW w:w="836" w:type="pct"/>
            <w:tcBorders>
              <w:top w:val="single" w:sz="4" w:space="0" w:color="auto"/>
              <w:left w:val="single" w:sz="4" w:space="0" w:color="auto"/>
              <w:bottom w:val="single" w:sz="4" w:space="0" w:color="auto"/>
              <w:right w:val="single" w:sz="4" w:space="0" w:color="auto"/>
            </w:tcBorders>
            <w:hideMark/>
          </w:tcPr>
          <w:p w14:paraId="4261C53F"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County FE</w:t>
            </w:r>
          </w:p>
        </w:tc>
        <w:tc>
          <w:tcPr>
            <w:tcW w:w="809" w:type="pct"/>
            <w:tcBorders>
              <w:top w:val="single" w:sz="4" w:space="0" w:color="auto"/>
              <w:left w:val="single" w:sz="4" w:space="0" w:color="auto"/>
              <w:bottom w:val="single" w:sz="4" w:space="0" w:color="auto"/>
              <w:right w:val="single" w:sz="4" w:space="0" w:color="auto"/>
            </w:tcBorders>
            <w:hideMark/>
          </w:tcPr>
          <w:p w14:paraId="3BD8D163"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73" w:type="pct"/>
            <w:tcBorders>
              <w:top w:val="single" w:sz="4" w:space="0" w:color="auto"/>
              <w:left w:val="single" w:sz="4" w:space="0" w:color="auto"/>
              <w:bottom w:val="single" w:sz="4" w:space="0" w:color="auto"/>
              <w:right w:val="single" w:sz="4" w:space="0" w:color="auto"/>
            </w:tcBorders>
            <w:hideMark/>
          </w:tcPr>
          <w:p w14:paraId="07E59218"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c>
          <w:tcPr>
            <w:tcW w:w="672" w:type="pct"/>
            <w:tcBorders>
              <w:top w:val="single" w:sz="4" w:space="0" w:color="auto"/>
              <w:left w:val="single" w:sz="4" w:space="0" w:color="auto"/>
              <w:bottom w:val="single" w:sz="4" w:space="0" w:color="auto"/>
              <w:right w:val="single" w:sz="4" w:space="0" w:color="auto"/>
            </w:tcBorders>
            <w:hideMark/>
          </w:tcPr>
          <w:p w14:paraId="0D224F01"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73" w:type="pct"/>
            <w:tcBorders>
              <w:top w:val="single" w:sz="4" w:space="0" w:color="auto"/>
              <w:left w:val="single" w:sz="4" w:space="0" w:color="auto"/>
              <w:bottom w:val="single" w:sz="4" w:space="0" w:color="auto"/>
              <w:right w:val="single" w:sz="4" w:space="0" w:color="auto"/>
            </w:tcBorders>
            <w:hideMark/>
          </w:tcPr>
          <w:p w14:paraId="783D9A40"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c>
          <w:tcPr>
            <w:tcW w:w="671" w:type="pct"/>
            <w:tcBorders>
              <w:top w:val="single" w:sz="4" w:space="0" w:color="auto"/>
              <w:left w:val="single" w:sz="4" w:space="0" w:color="auto"/>
              <w:bottom w:val="single" w:sz="4" w:space="0" w:color="auto"/>
              <w:right w:val="single" w:sz="4" w:space="0" w:color="auto"/>
            </w:tcBorders>
            <w:hideMark/>
          </w:tcPr>
          <w:p w14:paraId="6E536EA0"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66" w:type="pct"/>
            <w:tcBorders>
              <w:top w:val="single" w:sz="4" w:space="0" w:color="auto"/>
              <w:left w:val="single" w:sz="4" w:space="0" w:color="auto"/>
              <w:bottom w:val="single" w:sz="4" w:space="0" w:color="auto"/>
              <w:right w:val="single" w:sz="4" w:space="0" w:color="auto"/>
            </w:tcBorders>
            <w:hideMark/>
          </w:tcPr>
          <w:p w14:paraId="11C7E730"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r>
    </w:tbl>
    <w:p w14:paraId="4D5EAC09" w14:textId="30919931" w:rsidR="00AB5818" w:rsidRPr="000E300A" w:rsidRDefault="000E300A" w:rsidP="00CE0D78">
      <w:pPr>
        <w:spacing w:line="240" w:lineRule="auto"/>
        <w:rPr>
          <w:rFonts w:eastAsia="Calibri" w:cs="Times New Roman"/>
          <w:sz w:val="20"/>
          <w:szCs w:val="20"/>
        </w:rPr>
      </w:pPr>
      <w:r>
        <w:rPr>
          <w:rFonts w:eastAsia="Calibri" w:cs="Times New Roman"/>
          <w:sz w:val="20"/>
          <w:szCs w:val="20"/>
        </w:rPr>
        <w:t xml:space="preserve">Table A45: </w:t>
      </w:r>
      <w:r w:rsidR="00AB5818" w:rsidRPr="00AB5818">
        <w:rPr>
          <w:rFonts w:eastAsia="Calibri" w:cs="Times New Roman"/>
          <w:sz w:val="20"/>
          <w:szCs w:val="20"/>
          <w:lang/>
        </w:rPr>
        <w:t>Regression results for the same sector using the continuous range indicator (% of county land in range). The table highlights spatial variability in economic outcomes and tracks the temporal evolution post-delisting.</w:t>
      </w:r>
      <w:r>
        <w:rPr>
          <w:rFonts w:eastAsia="Calibri" w:cs="Times New Roman"/>
          <w:sz w:val="20"/>
          <w:szCs w:val="20"/>
        </w:rPr>
        <w:t xml:space="preserve"> </w:t>
      </w:r>
      <w:r w:rsidRPr="000E300A">
        <w:rPr>
          <w:rFonts w:eastAsia="Calibri" w:cs="Times New Roman"/>
          <w:sz w:val="20"/>
          <w:szCs w:val="20"/>
        </w:rPr>
        <w:t>Statistically significant impacts are denoted by asterisks. These asterisks denote statistical significance at the following levels: ***p &lt; 0.01, **p &lt; 0.05, *p &lt; 0.1.</w:t>
      </w:r>
    </w:p>
    <w:p w14:paraId="2A720A15" w14:textId="73F9927B" w:rsidR="00F83040" w:rsidRPr="00F83040" w:rsidRDefault="00F83040" w:rsidP="00F83040">
      <w:pPr>
        <w:spacing w:line="240" w:lineRule="auto"/>
        <w:rPr>
          <w:b/>
          <w:bCs/>
          <w:kern w:val="2"/>
          <w:sz w:val="20"/>
          <w:szCs w:val="16"/>
        </w:rPr>
      </w:pPr>
      <w:bookmarkStart w:id="701" w:name="_Toc188056055"/>
      <w:bookmarkStart w:id="702" w:name="_Toc188057139"/>
    </w:p>
    <w:p w14:paraId="48756421" w14:textId="77777777" w:rsidR="00F83040" w:rsidRPr="00F83040" w:rsidRDefault="00F83040" w:rsidP="00F83040">
      <w:pPr>
        <w:spacing w:line="240" w:lineRule="auto"/>
        <w:rPr>
          <w:b/>
          <w:bCs/>
          <w:kern w:val="2"/>
          <w:sz w:val="20"/>
          <w:szCs w:val="16"/>
        </w:rPr>
      </w:pPr>
    </w:p>
    <w:p w14:paraId="5AF0178D" w14:textId="3E6C5396" w:rsidR="00AB5818" w:rsidRPr="00AB5818" w:rsidRDefault="00AB5818" w:rsidP="00095E25">
      <w:pPr>
        <w:pStyle w:val="Title"/>
      </w:pPr>
      <w:bookmarkStart w:id="703" w:name="_Toc188359651"/>
      <w:bookmarkStart w:id="704" w:name="_Toc188359939"/>
      <w:bookmarkStart w:id="705" w:name="_Toc188361175"/>
      <w:bookmarkStart w:id="706" w:name="_Toc188367019"/>
      <w:r w:rsidRPr="00AB5818">
        <w:t>Table A</w:t>
      </w:r>
      <w:r w:rsidR="005E02DB">
        <w:t>4</w:t>
      </w:r>
      <w:r w:rsidRPr="00AB5818">
        <w:t xml:space="preserve">6: </w:t>
      </w:r>
      <w:r w:rsidR="002E1ED3">
        <w:rPr>
          <w:lang w:val="en-US"/>
        </w:rPr>
        <w:t xml:space="preserve">Summary of </w:t>
      </w:r>
      <w:r w:rsidR="002E1ED3" w:rsidRPr="00AB5818">
        <w:t xml:space="preserve">NAICS </w:t>
      </w:r>
      <w:r w:rsidR="002E1ED3">
        <w:rPr>
          <w:lang w:val="en-US"/>
        </w:rPr>
        <w:t>2</w:t>
      </w:r>
      <w:r w:rsidR="002E1ED3" w:rsidRPr="00AB5818">
        <w:t>1</w:t>
      </w:r>
      <w:r w:rsidR="002E1ED3">
        <w:rPr>
          <w:lang w:val="en-US"/>
        </w:rPr>
        <w:t xml:space="preserve"> Regression Results </w:t>
      </w:r>
      <w:r w:rsidR="002E1ED3" w:rsidRPr="00AB5818">
        <w:t>–</w:t>
      </w:r>
      <w:r w:rsidR="002E1ED3">
        <w:rPr>
          <w:lang w:val="en-US"/>
        </w:rPr>
        <w:t xml:space="preserve"> </w:t>
      </w:r>
      <w:r w:rsidRPr="00AB5818">
        <w:t>Binary Range Indicator</w:t>
      </w:r>
      <w:bookmarkEnd w:id="701"/>
      <w:bookmarkEnd w:id="702"/>
      <w:bookmarkEnd w:id="703"/>
      <w:bookmarkEnd w:id="704"/>
      <w:bookmarkEnd w:id="705"/>
      <w:bookmarkEnd w:id="706"/>
    </w:p>
    <w:tbl>
      <w:tblPr>
        <w:tblW w:w="49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0"/>
        <w:gridCol w:w="1500"/>
        <w:gridCol w:w="1248"/>
        <w:gridCol w:w="1246"/>
        <w:gridCol w:w="1248"/>
        <w:gridCol w:w="1244"/>
        <w:gridCol w:w="1235"/>
      </w:tblGrid>
      <w:tr w:rsidR="00922EC5" w:rsidRPr="00AB5818" w14:paraId="2407FB05"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47C47083" w14:textId="3A0654AA" w:rsidR="00922EC5" w:rsidRPr="00AB5818" w:rsidRDefault="00922EC5" w:rsidP="002E4B8A">
            <w:pPr>
              <w:widowControl w:val="0"/>
              <w:autoSpaceDE w:val="0"/>
              <w:autoSpaceDN w:val="0"/>
              <w:adjustRightInd w:val="0"/>
              <w:spacing w:line="240" w:lineRule="auto"/>
              <w:rPr>
                <w:rFonts w:eastAsia="Calibri" w:cs="Times New Roman"/>
                <w:b/>
                <w:bCs/>
                <w:sz w:val="20"/>
                <w:szCs w:val="20"/>
              </w:rPr>
            </w:pPr>
            <w:r w:rsidRPr="00922EC5">
              <w:rPr>
                <w:rFonts w:eastAsia="Calibri" w:cs="Times New Roman"/>
                <w:b/>
                <w:bCs/>
                <w:sz w:val="20"/>
                <w:szCs w:val="20"/>
              </w:rPr>
              <w:t>Variable</w:t>
            </w:r>
          </w:p>
        </w:tc>
        <w:tc>
          <w:tcPr>
            <w:tcW w:w="1482" w:type="pct"/>
            <w:gridSpan w:val="2"/>
            <w:tcBorders>
              <w:top w:val="single" w:sz="4" w:space="0" w:color="auto"/>
              <w:left w:val="single" w:sz="4" w:space="0" w:color="auto"/>
              <w:bottom w:val="single" w:sz="4" w:space="0" w:color="auto"/>
              <w:right w:val="single" w:sz="4" w:space="0" w:color="auto"/>
            </w:tcBorders>
            <w:hideMark/>
          </w:tcPr>
          <w:p w14:paraId="561D27D5" w14:textId="6999B95D" w:rsidR="00922EC5" w:rsidRPr="00AB5818" w:rsidRDefault="00922EC5" w:rsidP="002E4B8A">
            <w:pPr>
              <w:widowControl w:val="0"/>
              <w:autoSpaceDE w:val="0"/>
              <w:autoSpaceDN w:val="0"/>
              <w:adjustRightInd w:val="0"/>
              <w:spacing w:line="240" w:lineRule="auto"/>
              <w:rPr>
                <w:rFonts w:eastAsia="Calibri" w:cs="Times New Roman"/>
                <w:b/>
                <w:bCs/>
                <w:color w:val="FF0000"/>
                <w:sz w:val="20"/>
                <w:szCs w:val="20"/>
                <w:highlight w:val="yellow"/>
              </w:rPr>
            </w:pPr>
            <w:r w:rsidRPr="00922EC5">
              <w:rPr>
                <w:rFonts w:cs="Times New Roman"/>
                <w:b/>
                <w:bCs/>
                <w:sz w:val="20"/>
                <w:szCs w:val="20"/>
              </w:rPr>
              <w:t>Establishment Count</w:t>
            </w:r>
          </w:p>
        </w:tc>
        <w:tc>
          <w:tcPr>
            <w:tcW w:w="1345" w:type="pct"/>
            <w:gridSpan w:val="2"/>
            <w:tcBorders>
              <w:top w:val="single" w:sz="4" w:space="0" w:color="auto"/>
              <w:left w:val="single" w:sz="4" w:space="0" w:color="auto"/>
              <w:bottom w:val="single" w:sz="4" w:space="0" w:color="auto"/>
              <w:right w:val="single" w:sz="4" w:space="0" w:color="auto"/>
            </w:tcBorders>
            <w:hideMark/>
          </w:tcPr>
          <w:p w14:paraId="378DF2D7" w14:textId="5F166E1A" w:rsidR="00922EC5" w:rsidRPr="00AB5818" w:rsidRDefault="00922EC5" w:rsidP="002E4B8A">
            <w:pPr>
              <w:widowControl w:val="0"/>
              <w:autoSpaceDE w:val="0"/>
              <w:autoSpaceDN w:val="0"/>
              <w:adjustRightInd w:val="0"/>
              <w:spacing w:line="240" w:lineRule="auto"/>
              <w:rPr>
                <w:rFonts w:eastAsia="Calibri" w:cs="Times New Roman"/>
                <w:b/>
                <w:bCs/>
                <w:color w:val="FF0000"/>
                <w:sz w:val="20"/>
                <w:szCs w:val="20"/>
                <w:highlight w:val="yellow"/>
              </w:rPr>
            </w:pPr>
            <w:r w:rsidRPr="00922EC5">
              <w:rPr>
                <w:rFonts w:cs="Times New Roman"/>
                <w:b/>
                <w:bCs/>
                <w:sz w:val="20"/>
                <w:szCs w:val="20"/>
              </w:rPr>
              <w:t>Job Count</w:t>
            </w:r>
          </w:p>
        </w:tc>
        <w:tc>
          <w:tcPr>
            <w:tcW w:w="1337" w:type="pct"/>
            <w:gridSpan w:val="2"/>
            <w:tcBorders>
              <w:top w:val="single" w:sz="4" w:space="0" w:color="auto"/>
              <w:left w:val="single" w:sz="4" w:space="0" w:color="auto"/>
              <w:bottom w:val="single" w:sz="4" w:space="0" w:color="auto"/>
              <w:right w:val="single" w:sz="4" w:space="0" w:color="auto"/>
            </w:tcBorders>
            <w:hideMark/>
          </w:tcPr>
          <w:p w14:paraId="5BAA017D" w14:textId="384DACB1" w:rsidR="00922EC5" w:rsidRPr="00AB5818" w:rsidRDefault="00922EC5" w:rsidP="002E4B8A">
            <w:pPr>
              <w:widowControl w:val="0"/>
              <w:autoSpaceDE w:val="0"/>
              <w:autoSpaceDN w:val="0"/>
              <w:adjustRightInd w:val="0"/>
              <w:spacing w:line="240" w:lineRule="auto"/>
              <w:rPr>
                <w:rFonts w:eastAsia="Calibri" w:cs="Times New Roman"/>
                <w:b/>
                <w:bCs/>
                <w:color w:val="FF0000"/>
                <w:sz w:val="20"/>
                <w:szCs w:val="20"/>
                <w:highlight w:val="yellow"/>
              </w:rPr>
            </w:pPr>
            <w:r w:rsidRPr="00922EC5">
              <w:rPr>
                <w:rFonts w:cs="Times New Roman"/>
                <w:b/>
                <w:bCs/>
                <w:sz w:val="20"/>
                <w:szCs w:val="20"/>
              </w:rPr>
              <w:t>Sales Volume</w:t>
            </w:r>
          </w:p>
        </w:tc>
      </w:tr>
      <w:tr w:rsidR="00AB5818" w:rsidRPr="00AB5818" w14:paraId="66252505"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6135A3CA"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Range</w:t>
            </w:r>
          </w:p>
        </w:tc>
        <w:tc>
          <w:tcPr>
            <w:tcW w:w="809" w:type="pct"/>
            <w:tcBorders>
              <w:top w:val="single" w:sz="4" w:space="0" w:color="auto"/>
              <w:left w:val="single" w:sz="4" w:space="0" w:color="auto"/>
              <w:bottom w:val="single" w:sz="4" w:space="0" w:color="auto"/>
              <w:right w:val="single" w:sz="4" w:space="0" w:color="auto"/>
            </w:tcBorders>
            <w:hideMark/>
          </w:tcPr>
          <w:p w14:paraId="61D96654" w14:textId="77777777" w:rsidR="00AB5818" w:rsidRPr="00AB5818" w:rsidRDefault="00AB5818" w:rsidP="002E4B8A">
            <w:pPr>
              <w:widowControl w:val="0"/>
              <w:autoSpaceDE w:val="0"/>
              <w:autoSpaceDN w:val="0"/>
              <w:adjustRightInd w:val="0"/>
              <w:spacing w:line="240" w:lineRule="auto"/>
              <w:rPr>
                <w:rFonts w:eastAsia="Calibri" w:cs="Times New Roman"/>
                <w:sz w:val="20"/>
                <w:szCs w:val="20"/>
                <w:highlight w:val="magenta"/>
              </w:rPr>
            </w:pPr>
            <w:r w:rsidRPr="00AB5818">
              <w:rPr>
                <w:rFonts w:eastAsia="Calibri" w:cs="Times New Roman"/>
                <w:sz w:val="20"/>
                <w:szCs w:val="20"/>
              </w:rPr>
              <w:t>.94455***</w:t>
            </w:r>
          </w:p>
        </w:tc>
        <w:tc>
          <w:tcPr>
            <w:tcW w:w="673" w:type="pct"/>
            <w:tcBorders>
              <w:top w:val="single" w:sz="4" w:space="0" w:color="auto"/>
              <w:left w:val="single" w:sz="4" w:space="0" w:color="auto"/>
              <w:bottom w:val="single" w:sz="4" w:space="0" w:color="auto"/>
              <w:right w:val="single" w:sz="4" w:space="0" w:color="auto"/>
            </w:tcBorders>
            <w:hideMark/>
          </w:tcPr>
          <w:p w14:paraId="6C379E92" w14:textId="77777777" w:rsidR="00AB5818" w:rsidRPr="00AB5818" w:rsidRDefault="00AB5818" w:rsidP="002E4B8A">
            <w:pPr>
              <w:widowControl w:val="0"/>
              <w:autoSpaceDE w:val="0"/>
              <w:autoSpaceDN w:val="0"/>
              <w:adjustRightInd w:val="0"/>
              <w:spacing w:line="240" w:lineRule="auto"/>
              <w:rPr>
                <w:rFonts w:eastAsia="Calibri" w:cs="Times New Roman"/>
                <w:sz w:val="20"/>
                <w:szCs w:val="20"/>
                <w:highlight w:val="magenta"/>
              </w:rPr>
            </w:pPr>
            <w:r w:rsidRPr="00AB5818">
              <w:rPr>
                <w:rFonts w:eastAsia="Calibri" w:cs="Times New Roman"/>
                <w:sz w:val="20"/>
                <w:szCs w:val="20"/>
              </w:rPr>
              <w:t>-.0117</w:t>
            </w:r>
          </w:p>
        </w:tc>
        <w:tc>
          <w:tcPr>
            <w:tcW w:w="672" w:type="pct"/>
            <w:tcBorders>
              <w:top w:val="single" w:sz="4" w:space="0" w:color="auto"/>
              <w:left w:val="single" w:sz="4" w:space="0" w:color="auto"/>
              <w:bottom w:val="single" w:sz="4" w:space="0" w:color="auto"/>
              <w:right w:val="single" w:sz="4" w:space="0" w:color="auto"/>
            </w:tcBorders>
            <w:hideMark/>
          </w:tcPr>
          <w:p w14:paraId="2CCB431F"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.57236***</w:t>
            </w:r>
          </w:p>
        </w:tc>
        <w:tc>
          <w:tcPr>
            <w:tcW w:w="673" w:type="pct"/>
            <w:tcBorders>
              <w:top w:val="single" w:sz="4" w:space="0" w:color="auto"/>
              <w:left w:val="single" w:sz="4" w:space="0" w:color="auto"/>
              <w:bottom w:val="single" w:sz="4" w:space="0" w:color="auto"/>
              <w:right w:val="single" w:sz="4" w:space="0" w:color="auto"/>
            </w:tcBorders>
            <w:hideMark/>
          </w:tcPr>
          <w:p w14:paraId="0CDACE50"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-.17837</w:t>
            </w:r>
          </w:p>
        </w:tc>
        <w:tc>
          <w:tcPr>
            <w:tcW w:w="671" w:type="pct"/>
            <w:tcBorders>
              <w:top w:val="single" w:sz="4" w:space="0" w:color="auto"/>
              <w:left w:val="single" w:sz="4" w:space="0" w:color="auto"/>
              <w:bottom w:val="single" w:sz="4" w:space="0" w:color="auto"/>
              <w:right w:val="single" w:sz="4" w:space="0" w:color="auto"/>
            </w:tcBorders>
            <w:hideMark/>
          </w:tcPr>
          <w:p w14:paraId="41298291"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.90743***</w:t>
            </w:r>
          </w:p>
        </w:tc>
        <w:tc>
          <w:tcPr>
            <w:tcW w:w="666" w:type="pct"/>
            <w:tcBorders>
              <w:top w:val="single" w:sz="4" w:space="0" w:color="auto"/>
              <w:left w:val="single" w:sz="4" w:space="0" w:color="auto"/>
              <w:bottom w:val="single" w:sz="4" w:space="0" w:color="auto"/>
              <w:right w:val="single" w:sz="4" w:space="0" w:color="auto"/>
            </w:tcBorders>
            <w:hideMark/>
          </w:tcPr>
          <w:p w14:paraId="7082D4A8"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-.09349</w:t>
            </w:r>
          </w:p>
        </w:tc>
      </w:tr>
      <w:tr w:rsidR="00AB5818" w:rsidRPr="00AB5818" w14:paraId="6BAF0A1C"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3A0A118D" w14:textId="1FEAD6B3" w:rsidR="00AB5818" w:rsidRPr="00AB5818" w:rsidRDefault="00AB5818" w:rsidP="002E4B8A">
            <w:pPr>
              <w:widowControl w:val="0"/>
              <w:autoSpaceDE w:val="0"/>
              <w:autoSpaceDN w:val="0"/>
              <w:adjustRightInd w:val="0"/>
              <w:spacing w:line="240" w:lineRule="auto"/>
              <w:rPr>
                <w:rFonts w:eastAsia="Calibri" w:cs="Times New Roman"/>
                <w:sz w:val="20"/>
                <w:szCs w:val="20"/>
              </w:rPr>
            </w:pPr>
          </w:p>
        </w:tc>
        <w:tc>
          <w:tcPr>
            <w:tcW w:w="809" w:type="pct"/>
            <w:tcBorders>
              <w:top w:val="single" w:sz="4" w:space="0" w:color="auto"/>
              <w:left w:val="single" w:sz="4" w:space="0" w:color="auto"/>
              <w:bottom w:val="single" w:sz="4" w:space="0" w:color="auto"/>
              <w:right w:val="single" w:sz="4" w:space="0" w:color="auto"/>
            </w:tcBorders>
            <w:hideMark/>
          </w:tcPr>
          <w:p w14:paraId="2F5014CE"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(.14219)</w:t>
            </w:r>
          </w:p>
        </w:tc>
        <w:tc>
          <w:tcPr>
            <w:tcW w:w="673" w:type="pct"/>
            <w:tcBorders>
              <w:top w:val="single" w:sz="4" w:space="0" w:color="auto"/>
              <w:left w:val="single" w:sz="4" w:space="0" w:color="auto"/>
              <w:bottom w:val="single" w:sz="4" w:space="0" w:color="auto"/>
              <w:right w:val="single" w:sz="4" w:space="0" w:color="auto"/>
            </w:tcBorders>
            <w:hideMark/>
          </w:tcPr>
          <w:p w14:paraId="2E3B00B9"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(.05206)</w:t>
            </w:r>
          </w:p>
        </w:tc>
        <w:tc>
          <w:tcPr>
            <w:tcW w:w="672" w:type="pct"/>
            <w:tcBorders>
              <w:top w:val="single" w:sz="4" w:space="0" w:color="auto"/>
              <w:left w:val="single" w:sz="4" w:space="0" w:color="auto"/>
              <w:bottom w:val="single" w:sz="4" w:space="0" w:color="auto"/>
              <w:right w:val="single" w:sz="4" w:space="0" w:color="auto"/>
            </w:tcBorders>
            <w:hideMark/>
          </w:tcPr>
          <w:p w14:paraId="2897838A"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(.15853)</w:t>
            </w:r>
          </w:p>
        </w:tc>
        <w:tc>
          <w:tcPr>
            <w:tcW w:w="673" w:type="pct"/>
            <w:tcBorders>
              <w:top w:val="single" w:sz="4" w:space="0" w:color="auto"/>
              <w:left w:val="single" w:sz="4" w:space="0" w:color="auto"/>
              <w:bottom w:val="single" w:sz="4" w:space="0" w:color="auto"/>
              <w:right w:val="single" w:sz="4" w:space="0" w:color="auto"/>
            </w:tcBorders>
            <w:hideMark/>
          </w:tcPr>
          <w:p w14:paraId="579DFFCD"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(.15281)</w:t>
            </w:r>
          </w:p>
        </w:tc>
        <w:tc>
          <w:tcPr>
            <w:tcW w:w="671" w:type="pct"/>
            <w:tcBorders>
              <w:top w:val="single" w:sz="4" w:space="0" w:color="auto"/>
              <w:left w:val="single" w:sz="4" w:space="0" w:color="auto"/>
              <w:bottom w:val="single" w:sz="4" w:space="0" w:color="auto"/>
              <w:right w:val="single" w:sz="4" w:space="0" w:color="auto"/>
            </w:tcBorders>
            <w:hideMark/>
          </w:tcPr>
          <w:p w14:paraId="636B3DED"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(.1837)</w:t>
            </w:r>
          </w:p>
        </w:tc>
        <w:tc>
          <w:tcPr>
            <w:tcW w:w="666" w:type="pct"/>
            <w:tcBorders>
              <w:top w:val="single" w:sz="4" w:space="0" w:color="auto"/>
              <w:left w:val="single" w:sz="4" w:space="0" w:color="auto"/>
              <w:bottom w:val="single" w:sz="4" w:space="0" w:color="auto"/>
              <w:right w:val="single" w:sz="4" w:space="0" w:color="auto"/>
            </w:tcBorders>
            <w:hideMark/>
          </w:tcPr>
          <w:p w14:paraId="2433A0DD"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(.17135)</w:t>
            </w:r>
          </w:p>
        </w:tc>
      </w:tr>
      <w:tr w:rsidR="00AB5818" w:rsidRPr="00AB5818" w14:paraId="55DCD482"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3523CD7B"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TSD * Range</w:t>
            </w:r>
          </w:p>
        </w:tc>
        <w:tc>
          <w:tcPr>
            <w:tcW w:w="809" w:type="pct"/>
            <w:tcBorders>
              <w:top w:val="single" w:sz="4" w:space="0" w:color="auto"/>
              <w:left w:val="single" w:sz="4" w:space="0" w:color="auto"/>
              <w:bottom w:val="single" w:sz="4" w:space="0" w:color="auto"/>
              <w:right w:val="single" w:sz="4" w:space="0" w:color="auto"/>
            </w:tcBorders>
            <w:hideMark/>
          </w:tcPr>
          <w:p w14:paraId="398EC485"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-.45443***</w:t>
            </w:r>
          </w:p>
        </w:tc>
        <w:tc>
          <w:tcPr>
            <w:tcW w:w="673" w:type="pct"/>
            <w:tcBorders>
              <w:top w:val="single" w:sz="4" w:space="0" w:color="auto"/>
              <w:left w:val="single" w:sz="4" w:space="0" w:color="auto"/>
              <w:bottom w:val="single" w:sz="4" w:space="0" w:color="auto"/>
              <w:right w:val="single" w:sz="4" w:space="0" w:color="auto"/>
            </w:tcBorders>
            <w:hideMark/>
          </w:tcPr>
          <w:p w14:paraId="3515FE2E"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-.10357***</w:t>
            </w:r>
          </w:p>
        </w:tc>
        <w:tc>
          <w:tcPr>
            <w:tcW w:w="672" w:type="pct"/>
            <w:tcBorders>
              <w:top w:val="single" w:sz="4" w:space="0" w:color="auto"/>
              <w:left w:val="single" w:sz="4" w:space="0" w:color="auto"/>
              <w:bottom w:val="single" w:sz="4" w:space="0" w:color="auto"/>
              <w:right w:val="single" w:sz="4" w:space="0" w:color="auto"/>
            </w:tcBorders>
            <w:hideMark/>
          </w:tcPr>
          <w:p w14:paraId="27C4F8B7"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-.29202***</w:t>
            </w:r>
          </w:p>
        </w:tc>
        <w:tc>
          <w:tcPr>
            <w:tcW w:w="673" w:type="pct"/>
            <w:tcBorders>
              <w:top w:val="single" w:sz="4" w:space="0" w:color="auto"/>
              <w:left w:val="single" w:sz="4" w:space="0" w:color="auto"/>
              <w:bottom w:val="single" w:sz="4" w:space="0" w:color="auto"/>
              <w:right w:val="single" w:sz="4" w:space="0" w:color="auto"/>
            </w:tcBorders>
            <w:hideMark/>
          </w:tcPr>
          <w:p w14:paraId="4A863B54"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-.17156**</w:t>
            </w:r>
          </w:p>
        </w:tc>
        <w:tc>
          <w:tcPr>
            <w:tcW w:w="671" w:type="pct"/>
            <w:tcBorders>
              <w:top w:val="single" w:sz="4" w:space="0" w:color="auto"/>
              <w:left w:val="single" w:sz="4" w:space="0" w:color="auto"/>
              <w:bottom w:val="single" w:sz="4" w:space="0" w:color="auto"/>
              <w:right w:val="single" w:sz="4" w:space="0" w:color="auto"/>
            </w:tcBorders>
            <w:hideMark/>
          </w:tcPr>
          <w:p w14:paraId="1A9EDDDC"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-.37055***</w:t>
            </w:r>
          </w:p>
        </w:tc>
        <w:tc>
          <w:tcPr>
            <w:tcW w:w="666" w:type="pct"/>
            <w:tcBorders>
              <w:top w:val="single" w:sz="4" w:space="0" w:color="auto"/>
              <w:left w:val="single" w:sz="4" w:space="0" w:color="auto"/>
              <w:bottom w:val="single" w:sz="4" w:space="0" w:color="auto"/>
              <w:right w:val="single" w:sz="4" w:space="0" w:color="auto"/>
            </w:tcBorders>
            <w:hideMark/>
          </w:tcPr>
          <w:p w14:paraId="5BB1FA51"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-.11754</w:t>
            </w:r>
          </w:p>
        </w:tc>
      </w:tr>
      <w:tr w:rsidR="00AB5818" w:rsidRPr="00AB5818" w14:paraId="3421A451"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13D16C53" w14:textId="0F3B5BCF" w:rsidR="00AB5818" w:rsidRPr="00AB5818" w:rsidRDefault="00AB5818" w:rsidP="002E4B8A">
            <w:pPr>
              <w:widowControl w:val="0"/>
              <w:autoSpaceDE w:val="0"/>
              <w:autoSpaceDN w:val="0"/>
              <w:adjustRightInd w:val="0"/>
              <w:spacing w:line="240" w:lineRule="auto"/>
              <w:rPr>
                <w:rFonts w:eastAsia="Calibri" w:cs="Times New Roman"/>
                <w:sz w:val="20"/>
                <w:szCs w:val="20"/>
              </w:rPr>
            </w:pPr>
          </w:p>
        </w:tc>
        <w:tc>
          <w:tcPr>
            <w:tcW w:w="809" w:type="pct"/>
            <w:tcBorders>
              <w:top w:val="single" w:sz="4" w:space="0" w:color="auto"/>
              <w:left w:val="single" w:sz="4" w:space="0" w:color="auto"/>
              <w:bottom w:val="single" w:sz="4" w:space="0" w:color="auto"/>
              <w:right w:val="single" w:sz="4" w:space="0" w:color="auto"/>
            </w:tcBorders>
            <w:hideMark/>
          </w:tcPr>
          <w:p w14:paraId="6435719C"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(.04937)</w:t>
            </w:r>
          </w:p>
        </w:tc>
        <w:tc>
          <w:tcPr>
            <w:tcW w:w="673" w:type="pct"/>
            <w:tcBorders>
              <w:top w:val="single" w:sz="4" w:space="0" w:color="auto"/>
              <w:left w:val="single" w:sz="4" w:space="0" w:color="auto"/>
              <w:bottom w:val="single" w:sz="4" w:space="0" w:color="auto"/>
              <w:right w:val="single" w:sz="4" w:space="0" w:color="auto"/>
            </w:tcBorders>
            <w:hideMark/>
          </w:tcPr>
          <w:p w14:paraId="7154561F"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(.02409)</w:t>
            </w:r>
          </w:p>
        </w:tc>
        <w:tc>
          <w:tcPr>
            <w:tcW w:w="672" w:type="pct"/>
            <w:tcBorders>
              <w:top w:val="single" w:sz="4" w:space="0" w:color="auto"/>
              <w:left w:val="single" w:sz="4" w:space="0" w:color="auto"/>
              <w:bottom w:val="single" w:sz="4" w:space="0" w:color="auto"/>
              <w:right w:val="single" w:sz="4" w:space="0" w:color="auto"/>
            </w:tcBorders>
            <w:hideMark/>
          </w:tcPr>
          <w:p w14:paraId="4B78C50B"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(.06251)</w:t>
            </w:r>
          </w:p>
        </w:tc>
        <w:tc>
          <w:tcPr>
            <w:tcW w:w="673" w:type="pct"/>
            <w:tcBorders>
              <w:top w:val="single" w:sz="4" w:space="0" w:color="auto"/>
              <w:left w:val="single" w:sz="4" w:space="0" w:color="auto"/>
              <w:bottom w:val="single" w:sz="4" w:space="0" w:color="auto"/>
              <w:right w:val="single" w:sz="4" w:space="0" w:color="auto"/>
            </w:tcBorders>
            <w:hideMark/>
          </w:tcPr>
          <w:p w14:paraId="732C127B"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(.07054)</w:t>
            </w:r>
          </w:p>
        </w:tc>
        <w:tc>
          <w:tcPr>
            <w:tcW w:w="671" w:type="pct"/>
            <w:tcBorders>
              <w:top w:val="single" w:sz="4" w:space="0" w:color="auto"/>
              <w:left w:val="single" w:sz="4" w:space="0" w:color="auto"/>
              <w:bottom w:val="single" w:sz="4" w:space="0" w:color="auto"/>
              <w:right w:val="single" w:sz="4" w:space="0" w:color="auto"/>
            </w:tcBorders>
            <w:hideMark/>
          </w:tcPr>
          <w:p w14:paraId="7CCDF091"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(.09762)</w:t>
            </w:r>
          </w:p>
        </w:tc>
        <w:tc>
          <w:tcPr>
            <w:tcW w:w="666" w:type="pct"/>
            <w:tcBorders>
              <w:top w:val="single" w:sz="4" w:space="0" w:color="auto"/>
              <w:left w:val="single" w:sz="4" w:space="0" w:color="auto"/>
              <w:bottom w:val="single" w:sz="4" w:space="0" w:color="auto"/>
              <w:right w:val="single" w:sz="4" w:space="0" w:color="auto"/>
            </w:tcBorders>
            <w:hideMark/>
          </w:tcPr>
          <w:p w14:paraId="0392DC7F"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(.11099)</w:t>
            </w:r>
          </w:p>
        </w:tc>
      </w:tr>
      <w:tr w:rsidR="00AB5818" w:rsidRPr="00AB5818" w14:paraId="353F270F"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09A98967"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Joint Test (p-value)</w:t>
            </w:r>
          </w:p>
        </w:tc>
        <w:tc>
          <w:tcPr>
            <w:tcW w:w="809" w:type="pct"/>
            <w:tcBorders>
              <w:top w:val="single" w:sz="4" w:space="0" w:color="auto"/>
              <w:left w:val="single" w:sz="4" w:space="0" w:color="auto"/>
              <w:bottom w:val="single" w:sz="4" w:space="0" w:color="auto"/>
              <w:right w:val="single" w:sz="4" w:space="0" w:color="auto"/>
            </w:tcBorders>
            <w:hideMark/>
          </w:tcPr>
          <w:p w14:paraId="4808DCF4" w14:textId="77777777" w:rsidR="00AB5818" w:rsidRPr="00271798" w:rsidRDefault="00AB5818" w:rsidP="002E4B8A">
            <w:pPr>
              <w:spacing w:line="240" w:lineRule="auto"/>
              <w:rPr>
                <w:rFonts w:eastAsia="Calibri" w:cs="Times New Roman"/>
                <w:sz w:val="20"/>
                <w:szCs w:val="20"/>
                <w:lang/>
              </w:rPr>
            </w:pPr>
            <w:r w:rsidRPr="00271798">
              <w:rPr>
                <w:rFonts w:eastAsia="Calibri" w:cs="Times New Roman"/>
                <w:sz w:val="20"/>
                <w:szCs w:val="20"/>
                <w:lang/>
              </w:rPr>
              <w:t>0.0000</w:t>
            </w:r>
          </w:p>
        </w:tc>
        <w:tc>
          <w:tcPr>
            <w:tcW w:w="673" w:type="pct"/>
            <w:tcBorders>
              <w:top w:val="single" w:sz="4" w:space="0" w:color="auto"/>
              <w:left w:val="single" w:sz="4" w:space="0" w:color="auto"/>
              <w:bottom w:val="single" w:sz="4" w:space="0" w:color="auto"/>
              <w:right w:val="single" w:sz="4" w:space="0" w:color="auto"/>
            </w:tcBorders>
            <w:hideMark/>
          </w:tcPr>
          <w:p w14:paraId="171160BF" w14:textId="77777777" w:rsidR="00AB5818" w:rsidRPr="00271798" w:rsidRDefault="00AB5818" w:rsidP="002E4B8A">
            <w:pPr>
              <w:widowControl w:val="0"/>
              <w:autoSpaceDE w:val="0"/>
              <w:autoSpaceDN w:val="0"/>
              <w:adjustRightInd w:val="0"/>
              <w:spacing w:line="240" w:lineRule="auto"/>
              <w:rPr>
                <w:rFonts w:eastAsia="Calibri" w:cs="Times New Roman"/>
                <w:sz w:val="20"/>
                <w:szCs w:val="20"/>
              </w:rPr>
            </w:pPr>
            <w:r w:rsidRPr="00271798">
              <w:rPr>
                <w:rFonts w:eastAsia="Calibri" w:cs="Times New Roman"/>
                <w:sz w:val="20"/>
                <w:szCs w:val="20"/>
                <w:lang/>
              </w:rPr>
              <w:t>0.000</w:t>
            </w:r>
            <w:r w:rsidRPr="00271798">
              <w:rPr>
                <w:rFonts w:eastAsia="Calibri" w:cs="Times New Roman"/>
                <w:sz w:val="20"/>
                <w:szCs w:val="20"/>
              </w:rPr>
              <w:t>1</w:t>
            </w:r>
          </w:p>
        </w:tc>
        <w:tc>
          <w:tcPr>
            <w:tcW w:w="672" w:type="pct"/>
            <w:tcBorders>
              <w:top w:val="single" w:sz="4" w:space="0" w:color="auto"/>
              <w:left w:val="single" w:sz="4" w:space="0" w:color="auto"/>
              <w:bottom w:val="single" w:sz="4" w:space="0" w:color="auto"/>
              <w:right w:val="single" w:sz="4" w:space="0" w:color="auto"/>
            </w:tcBorders>
            <w:hideMark/>
          </w:tcPr>
          <w:p w14:paraId="10B94CA4" w14:textId="77777777" w:rsidR="00AB5818" w:rsidRPr="00271798" w:rsidRDefault="00AB5818" w:rsidP="002E4B8A">
            <w:pPr>
              <w:widowControl w:val="0"/>
              <w:autoSpaceDE w:val="0"/>
              <w:autoSpaceDN w:val="0"/>
              <w:adjustRightInd w:val="0"/>
              <w:spacing w:line="240" w:lineRule="auto"/>
              <w:rPr>
                <w:rFonts w:eastAsia="Calibri" w:cs="Times New Roman"/>
                <w:sz w:val="20"/>
                <w:szCs w:val="20"/>
              </w:rPr>
            </w:pPr>
            <w:r w:rsidRPr="00271798">
              <w:rPr>
                <w:rFonts w:eastAsia="Calibri" w:cs="Times New Roman"/>
                <w:sz w:val="20"/>
                <w:szCs w:val="20"/>
                <w:lang/>
              </w:rPr>
              <w:t>0.0000</w:t>
            </w:r>
          </w:p>
        </w:tc>
        <w:tc>
          <w:tcPr>
            <w:tcW w:w="673" w:type="pct"/>
            <w:tcBorders>
              <w:top w:val="single" w:sz="4" w:space="0" w:color="auto"/>
              <w:left w:val="single" w:sz="4" w:space="0" w:color="auto"/>
              <w:bottom w:val="single" w:sz="4" w:space="0" w:color="auto"/>
              <w:right w:val="single" w:sz="4" w:space="0" w:color="auto"/>
            </w:tcBorders>
            <w:hideMark/>
          </w:tcPr>
          <w:p w14:paraId="2FBDED78" w14:textId="77777777" w:rsidR="00AB5818" w:rsidRPr="00271798" w:rsidRDefault="00AB5818" w:rsidP="002E4B8A">
            <w:pPr>
              <w:widowControl w:val="0"/>
              <w:autoSpaceDE w:val="0"/>
              <w:autoSpaceDN w:val="0"/>
              <w:adjustRightInd w:val="0"/>
              <w:spacing w:line="240" w:lineRule="auto"/>
              <w:rPr>
                <w:rFonts w:eastAsia="Calibri" w:cs="Times New Roman"/>
                <w:sz w:val="20"/>
                <w:szCs w:val="20"/>
              </w:rPr>
            </w:pPr>
            <w:r w:rsidRPr="00271798">
              <w:rPr>
                <w:rFonts w:eastAsia="Calibri" w:cs="Times New Roman"/>
                <w:sz w:val="20"/>
                <w:szCs w:val="20"/>
                <w:lang/>
              </w:rPr>
              <w:t>0.0</w:t>
            </w:r>
            <w:r w:rsidRPr="00271798">
              <w:rPr>
                <w:rFonts w:eastAsia="Calibri" w:cs="Times New Roman"/>
                <w:sz w:val="20"/>
                <w:szCs w:val="20"/>
              </w:rPr>
              <w:t>378</w:t>
            </w:r>
          </w:p>
        </w:tc>
        <w:tc>
          <w:tcPr>
            <w:tcW w:w="671" w:type="pct"/>
            <w:tcBorders>
              <w:top w:val="single" w:sz="4" w:space="0" w:color="auto"/>
              <w:left w:val="single" w:sz="4" w:space="0" w:color="auto"/>
              <w:bottom w:val="single" w:sz="4" w:space="0" w:color="auto"/>
              <w:right w:val="single" w:sz="4" w:space="0" w:color="auto"/>
            </w:tcBorders>
            <w:hideMark/>
          </w:tcPr>
          <w:p w14:paraId="244BEFC9" w14:textId="77777777" w:rsidR="00AB5818" w:rsidRPr="00271798" w:rsidRDefault="00AB5818" w:rsidP="002E4B8A">
            <w:pPr>
              <w:widowControl w:val="0"/>
              <w:autoSpaceDE w:val="0"/>
              <w:autoSpaceDN w:val="0"/>
              <w:adjustRightInd w:val="0"/>
              <w:spacing w:line="240" w:lineRule="auto"/>
              <w:rPr>
                <w:rFonts w:eastAsia="Calibri" w:cs="Times New Roman"/>
                <w:sz w:val="20"/>
                <w:szCs w:val="20"/>
                <w:lang/>
              </w:rPr>
            </w:pPr>
            <w:r w:rsidRPr="00271798">
              <w:rPr>
                <w:rFonts w:eastAsia="Calibri" w:cs="Times New Roman"/>
                <w:sz w:val="20"/>
                <w:szCs w:val="20"/>
                <w:lang/>
              </w:rPr>
              <w:t>0.0000</w:t>
            </w:r>
          </w:p>
        </w:tc>
        <w:tc>
          <w:tcPr>
            <w:tcW w:w="666" w:type="pct"/>
            <w:tcBorders>
              <w:top w:val="single" w:sz="4" w:space="0" w:color="auto"/>
              <w:left w:val="single" w:sz="4" w:space="0" w:color="auto"/>
              <w:bottom w:val="single" w:sz="4" w:space="0" w:color="auto"/>
              <w:right w:val="single" w:sz="4" w:space="0" w:color="auto"/>
            </w:tcBorders>
            <w:hideMark/>
          </w:tcPr>
          <w:p w14:paraId="103AA7AC" w14:textId="77777777" w:rsidR="00AB5818" w:rsidRPr="00271798" w:rsidRDefault="00AB5818" w:rsidP="002E4B8A">
            <w:pPr>
              <w:widowControl w:val="0"/>
              <w:autoSpaceDE w:val="0"/>
              <w:autoSpaceDN w:val="0"/>
              <w:adjustRightInd w:val="0"/>
              <w:spacing w:line="240" w:lineRule="auto"/>
              <w:rPr>
                <w:rFonts w:eastAsia="Calibri" w:cs="Times New Roman"/>
                <w:sz w:val="20"/>
                <w:szCs w:val="20"/>
                <w:lang/>
              </w:rPr>
            </w:pPr>
            <w:r w:rsidRPr="00271798">
              <w:rPr>
                <w:rFonts w:eastAsia="Calibri" w:cs="Times New Roman"/>
                <w:sz w:val="20"/>
                <w:szCs w:val="20"/>
              </w:rPr>
              <w:t>0.5196</w:t>
            </w:r>
          </w:p>
        </w:tc>
      </w:tr>
      <w:tr w:rsidR="00AB5818" w:rsidRPr="00AB5818" w14:paraId="7F9FB579"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52CA3F6B"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State FE</w:t>
            </w:r>
          </w:p>
        </w:tc>
        <w:tc>
          <w:tcPr>
            <w:tcW w:w="809" w:type="pct"/>
            <w:tcBorders>
              <w:top w:val="single" w:sz="4" w:space="0" w:color="auto"/>
              <w:left w:val="single" w:sz="4" w:space="0" w:color="auto"/>
              <w:bottom w:val="single" w:sz="4" w:space="0" w:color="auto"/>
              <w:right w:val="single" w:sz="4" w:space="0" w:color="auto"/>
            </w:tcBorders>
            <w:hideMark/>
          </w:tcPr>
          <w:p w14:paraId="33EFC4F6"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73" w:type="pct"/>
            <w:tcBorders>
              <w:top w:val="single" w:sz="4" w:space="0" w:color="auto"/>
              <w:left w:val="single" w:sz="4" w:space="0" w:color="auto"/>
              <w:bottom w:val="single" w:sz="4" w:space="0" w:color="auto"/>
              <w:right w:val="single" w:sz="4" w:space="0" w:color="auto"/>
            </w:tcBorders>
            <w:hideMark/>
          </w:tcPr>
          <w:p w14:paraId="1063EA16"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c>
          <w:tcPr>
            <w:tcW w:w="672" w:type="pct"/>
            <w:tcBorders>
              <w:top w:val="single" w:sz="4" w:space="0" w:color="auto"/>
              <w:left w:val="single" w:sz="4" w:space="0" w:color="auto"/>
              <w:bottom w:val="single" w:sz="4" w:space="0" w:color="auto"/>
              <w:right w:val="single" w:sz="4" w:space="0" w:color="auto"/>
            </w:tcBorders>
            <w:hideMark/>
          </w:tcPr>
          <w:p w14:paraId="641803DD"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73" w:type="pct"/>
            <w:tcBorders>
              <w:top w:val="single" w:sz="4" w:space="0" w:color="auto"/>
              <w:left w:val="single" w:sz="4" w:space="0" w:color="auto"/>
              <w:bottom w:val="single" w:sz="4" w:space="0" w:color="auto"/>
              <w:right w:val="single" w:sz="4" w:space="0" w:color="auto"/>
            </w:tcBorders>
            <w:hideMark/>
          </w:tcPr>
          <w:p w14:paraId="08592622"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c>
          <w:tcPr>
            <w:tcW w:w="671" w:type="pct"/>
            <w:tcBorders>
              <w:top w:val="single" w:sz="4" w:space="0" w:color="auto"/>
              <w:left w:val="single" w:sz="4" w:space="0" w:color="auto"/>
              <w:bottom w:val="single" w:sz="4" w:space="0" w:color="auto"/>
              <w:right w:val="single" w:sz="4" w:space="0" w:color="auto"/>
            </w:tcBorders>
            <w:hideMark/>
          </w:tcPr>
          <w:p w14:paraId="5F188898"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66" w:type="pct"/>
            <w:tcBorders>
              <w:top w:val="single" w:sz="4" w:space="0" w:color="auto"/>
              <w:left w:val="single" w:sz="4" w:space="0" w:color="auto"/>
              <w:bottom w:val="single" w:sz="4" w:space="0" w:color="auto"/>
              <w:right w:val="single" w:sz="4" w:space="0" w:color="auto"/>
            </w:tcBorders>
            <w:hideMark/>
          </w:tcPr>
          <w:p w14:paraId="4B3D096F"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r>
      <w:tr w:rsidR="00AB5818" w:rsidRPr="00AB5818" w14:paraId="57A627AF"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2D01CE1B"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Year FE</w:t>
            </w:r>
          </w:p>
        </w:tc>
        <w:tc>
          <w:tcPr>
            <w:tcW w:w="809" w:type="pct"/>
            <w:tcBorders>
              <w:top w:val="single" w:sz="4" w:space="0" w:color="auto"/>
              <w:left w:val="single" w:sz="4" w:space="0" w:color="auto"/>
              <w:bottom w:val="single" w:sz="4" w:space="0" w:color="auto"/>
              <w:right w:val="single" w:sz="4" w:space="0" w:color="auto"/>
            </w:tcBorders>
            <w:hideMark/>
          </w:tcPr>
          <w:p w14:paraId="394CB20F"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73" w:type="pct"/>
            <w:tcBorders>
              <w:top w:val="single" w:sz="4" w:space="0" w:color="auto"/>
              <w:left w:val="single" w:sz="4" w:space="0" w:color="auto"/>
              <w:bottom w:val="single" w:sz="4" w:space="0" w:color="auto"/>
              <w:right w:val="single" w:sz="4" w:space="0" w:color="auto"/>
            </w:tcBorders>
            <w:hideMark/>
          </w:tcPr>
          <w:p w14:paraId="4E57B188"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c>
          <w:tcPr>
            <w:tcW w:w="672" w:type="pct"/>
            <w:tcBorders>
              <w:top w:val="single" w:sz="4" w:space="0" w:color="auto"/>
              <w:left w:val="single" w:sz="4" w:space="0" w:color="auto"/>
              <w:bottom w:val="single" w:sz="4" w:space="0" w:color="auto"/>
              <w:right w:val="single" w:sz="4" w:space="0" w:color="auto"/>
            </w:tcBorders>
            <w:hideMark/>
          </w:tcPr>
          <w:p w14:paraId="15427E35"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73" w:type="pct"/>
            <w:tcBorders>
              <w:top w:val="single" w:sz="4" w:space="0" w:color="auto"/>
              <w:left w:val="single" w:sz="4" w:space="0" w:color="auto"/>
              <w:bottom w:val="single" w:sz="4" w:space="0" w:color="auto"/>
              <w:right w:val="single" w:sz="4" w:space="0" w:color="auto"/>
            </w:tcBorders>
            <w:hideMark/>
          </w:tcPr>
          <w:p w14:paraId="32F07BE4"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c>
          <w:tcPr>
            <w:tcW w:w="671" w:type="pct"/>
            <w:tcBorders>
              <w:top w:val="single" w:sz="4" w:space="0" w:color="auto"/>
              <w:left w:val="single" w:sz="4" w:space="0" w:color="auto"/>
              <w:bottom w:val="single" w:sz="4" w:space="0" w:color="auto"/>
              <w:right w:val="single" w:sz="4" w:space="0" w:color="auto"/>
            </w:tcBorders>
            <w:hideMark/>
          </w:tcPr>
          <w:p w14:paraId="4ECD9BFD"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66" w:type="pct"/>
            <w:tcBorders>
              <w:top w:val="single" w:sz="4" w:space="0" w:color="auto"/>
              <w:left w:val="single" w:sz="4" w:space="0" w:color="auto"/>
              <w:bottom w:val="single" w:sz="4" w:space="0" w:color="auto"/>
              <w:right w:val="single" w:sz="4" w:space="0" w:color="auto"/>
            </w:tcBorders>
            <w:hideMark/>
          </w:tcPr>
          <w:p w14:paraId="40E621A9"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r>
      <w:tr w:rsidR="00AB5818" w:rsidRPr="00AB5818" w14:paraId="77B36F08"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1C4D55DE"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County FE</w:t>
            </w:r>
          </w:p>
        </w:tc>
        <w:tc>
          <w:tcPr>
            <w:tcW w:w="809" w:type="pct"/>
            <w:tcBorders>
              <w:top w:val="single" w:sz="4" w:space="0" w:color="auto"/>
              <w:left w:val="single" w:sz="4" w:space="0" w:color="auto"/>
              <w:bottom w:val="single" w:sz="4" w:space="0" w:color="auto"/>
              <w:right w:val="single" w:sz="4" w:space="0" w:color="auto"/>
            </w:tcBorders>
            <w:hideMark/>
          </w:tcPr>
          <w:p w14:paraId="5DE3F1B3"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73" w:type="pct"/>
            <w:tcBorders>
              <w:top w:val="single" w:sz="4" w:space="0" w:color="auto"/>
              <w:left w:val="single" w:sz="4" w:space="0" w:color="auto"/>
              <w:bottom w:val="single" w:sz="4" w:space="0" w:color="auto"/>
              <w:right w:val="single" w:sz="4" w:space="0" w:color="auto"/>
            </w:tcBorders>
            <w:hideMark/>
          </w:tcPr>
          <w:p w14:paraId="0CBC47E2"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c>
          <w:tcPr>
            <w:tcW w:w="672" w:type="pct"/>
            <w:tcBorders>
              <w:top w:val="single" w:sz="4" w:space="0" w:color="auto"/>
              <w:left w:val="single" w:sz="4" w:space="0" w:color="auto"/>
              <w:bottom w:val="single" w:sz="4" w:space="0" w:color="auto"/>
              <w:right w:val="single" w:sz="4" w:space="0" w:color="auto"/>
            </w:tcBorders>
            <w:hideMark/>
          </w:tcPr>
          <w:p w14:paraId="2E1E5323"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73" w:type="pct"/>
            <w:tcBorders>
              <w:top w:val="single" w:sz="4" w:space="0" w:color="auto"/>
              <w:left w:val="single" w:sz="4" w:space="0" w:color="auto"/>
              <w:bottom w:val="single" w:sz="4" w:space="0" w:color="auto"/>
              <w:right w:val="single" w:sz="4" w:space="0" w:color="auto"/>
            </w:tcBorders>
            <w:hideMark/>
          </w:tcPr>
          <w:p w14:paraId="5C683BBB"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c>
          <w:tcPr>
            <w:tcW w:w="671" w:type="pct"/>
            <w:tcBorders>
              <w:top w:val="single" w:sz="4" w:space="0" w:color="auto"/>
              <w:left w:val="single" w:sz="4" w:space="0" w:color="auto"/>
              <w:bottom w:val="single" w:sz="4" w:space="0" w:color="auto"/>
              <w:right w:val="single" w:sz="4" w:space="0" w:color="auto"/>
            </w:tcBorders>
            <w:hideMark/>
          </w:tcPr>
          <w:p w14:paraId="25C862DB"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66" w:type="pct"/>
            <w:tcBorders>
              <w:top w:val="single" w:sz="4" w:space="0" w:color="auto"/>
              <w:left w:val="single" w:sz="4" w:space="0" w:color="auto"/>
              <w:bottom w:val="single" w:sz="4" w:space="0" w:color="auto"/>
              <w:right w:val="single" w:sz="4" w:space="0" w:color="auto"/>
            </w:tcBorders>
            <w:hideMark/>
          </w:tcPr>
          <w:p w14:paraId="138530F2"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r>
    </w:tbl>
    <w:p w14:paraId="4DE357E6" w14:textId="2AFB183A" w:rsidR="009D3026" w:rsidRDefault="000E300A" w:rsidP="00624082">
      <w:pPr>
        <w:widowControl w:val="0"/>
        <w:autoSpaceDE w:val="0"/>
        <w:autoSpaceDN w:val="0"/>
        <w:adjustRightInd w:val="0"/>
        <w:spacing w:line="240" w:lineRule="auto"/>
        <w:rPr>
          <w:b/>
          <w:bCs/>
          <w:kern w:val="2"/>
          <w:szCs w:val="20"/>
        </w:rPr>
      </w:pPr>
      <w:r>
        <w:rPr>
          <w:rFonts w:eastAsia="Calibri" w:cs="Times New Roman"/>
          <w:sz w:val="20"/>
          <w:szCs w:val="20"/>
        </w:rPr>
        <w:t xml:space="preserve">Table A46: </w:t>
      </w:r>
      <w:r w:rsidR="00AB5818" w:rsidRPr="00AB5818">
        <w:rPr>
          <w:rFonts w:eastAsia="Calibri" w:cs="Times New Roman"/>
          <w:sz w:val="20"/>
          <w:szCs w:val="20"/>
          <w:lang/>
        </w:rPr>
        <w:t>Results for the mining and resource extraction sector, with binary range measures. Key findings include the direct and time-dependent effects of delisting on sectoral outcomes.</w:t>
      </w:r>
      <w:r>
        <w:rPr>
          <w:rFonts w:eastAsia="Calibri" w:cs="Times New Roman"/>
          <w:sz w:val="20"/>
          <w:szCs w:val="20"/>
        </w:rPr>
        <w:t xml:space="preserve"> </w:t>
      </w:r>
      <w:r w:rsidRPr="000E300A">
        <w:rPr>
          <w:rFonts w:eastAsia="Calibri" w:cs="Times New Roman"/>
          <w:sz w:val="20"/>
          <w:szCs w:val="20"/>
        </w:rPr>
        <w:t>Statistically significant impacts are denoted by asterisks. These asterisks denote statistical significance at the following levels: ***p &lt; 0.01, **p &lt; 0.05, *p &lt; 0.1.</w:t>
      </w:r>
      <w:r w:rsidR="00AB5818" w:rsidRPr="00AB5818">
        <w:rPr>
          <w:rFonts w:eastAsia="Calibri" w:cs="Times New Roman"/>
          <w:sz w:val="20"/>
          <w:szCs w:val="20"/>
        </w:rPr>
        <w:br/>
      </w:r>
      <w:bookmarkStart w:id="707" w:name="_Toc188056056"/>
      <w:bookmarkStart w:id="708" w:name="_Toc188057140"/>
    </w:p>
    <w:p w14:paraId="07ADC16F" w14:textId="77777777" w:rsidR="00624082" w:rsidRDefault="00624082" w:rsidP="00624082">
      <w:pPr>
        <w:widowControl w:val="0"/>
        <w:autoSpaceDE w:val="0"/>
        <w:autoSpaceDN w:val="0"/>
        <w:adjustRightInd w:val="0"/>
        <w:spacing w:line="240" w:lineRule="auto"/>
        <w:rPr>
          <w:b/>
          <w:bCs/>
          <w:kern w:val="2"/>
          <w:szCs w:val="20"/>
        </w:rPr>
      </w:pPr>
    </w:p>
    <w:p w14:paraId="0D48553D" w14:textId="7FE5573C" w:rsidR="00AB5818" w:rsidRPr="00AB5818" w:rsidRDefault="00AB5818" w:rsidP="00095E25">
      <w:pPr>
        <w:pStyle w:val="Title"/>
      </w:pPr>
      <w:bookmarkStart w:id="709" w:name="_Toc188359652"/>
      <w:bookmarkStart w:id="710" w:name="_Toc188359940"/>
      <w:bookmarkStart w:id="711" w:name="_Toc188361176"/>
      <w:bookmarkStart w:id="712" w:name="_Toc188367020"/>
      <w:r w:rsidRPr="00AB5818">
        <w:t>Table A</w:t>
      </w:r>
      <w:r w:rsidR="005E02DB">
        <w:t>4</w:t>
      </w:r>
      <w:r w:rsidRPr="00AB5818">
        <w:t xml:space="preserve">7: </w:t>
      </w:r>
      <w:r w:rsidR="002E1ED3">
        <w:rPr>
          <w:lang w:val="en-US"/>
        </w:rPr>
        <w:t xml:space="preserve">Summary of </w:t>
      </w:r>
      <w:r w:rsidR="002E1ED3" w:rsidRPr="00AB5818">
        <w:t xml:space="preserve">NAICS </w:t>
      </w:r>
      <w:r w:rsidR="002E1ED3">
        <w:rPr>
          <w:lang w:val="en-US"/>
        </w:rPr>
        <w:t>2</w:t>
      </w:r>
      <w:r w:rsidR="002E1ED3" w:rsidRPr="00AB5818">
        <w:t>1</w:t>
      </w:r>
      <w:r w:rsidR="002E1ED3">
        <w:rPr>
          <w:lang w:val="en-US"/>
        </w:rPr>
        <w:t xml:space="preserve"> Regression Results </w:t>
      </w:r>
      <w:r w:rsidR="002E1ED3" w:rsidRPr="00AB5818">
        <w:t>–</w:t>
      </w:r>
      <w:r w:rsidR="002E1ED3">
        <w:rPr>
          <w:lang w:val="en-US"/>
        </w:rPr>
        <w:t xml:space="preserve"> </w:t>
      </w:r>
      <w:r w:rsidRPr="00AB5818">
        <w:t>Continuous Range Indicator</w:t>
      </w:r>
      <w:bookmarkEnd w:id="707"/>
      <w:bookmarkEnd w:id="708"/>
      <w:bookmarkEnd w:id="709"/>
      <w:bookmarkEnd w:id="710"/>
      <w:bookmarkEnd w:id="711"/>
      <w:bookmarkEnd w:id="712"/>
    </w:p>
    <w:tbl>
      <w:tblPr>
        <w:tblW w:w="49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0"/>
        <w:gridCol w:w="1500"/>
        <w:gridCol w:w="1248"/>
        <w:gridCol w:w="1246"/>
        <w:gridCol w:w="1248"/>
        <w:gridCol w:w="1244"/>
        <w:gridCol w:w="1235"/>
      </w:tblGrid>
      <w:tr w:rsidR="00922EC5" w:rsidRPr="00AB5818" w14:paraId="57E59990"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2AFAC2FA" w14:textId="5CCFED76" w:rsidR="00922EC5" w:rsidRPr="00AB5818" w:rsidRDefault="00922EC5" w:rsidP="002E4B8A">
            <w:pPr>
              <w:widowControl w:val="0"/>
              <w:autoSpaceDE w:val="0"/>
              <w:autoSpaceDN w:val="0"/>
              <w:adjustRightInd w:val="0"/>
              <w:spacing w:line="240" w:lineRule="auto"/>
              <w:rPr>
                <w:rFonts w:eastAsia="Calibri" w:cs="Times New Roman"/>
                <w:b/>
                <w:bCs/>
                <w:sz w:val="20"/>
                <w:szCs w:val="20"/>
              </w:rPr>
            </w:pPr>
            <w:r w:rsidRPr="00922EC5">
              <w:rPr>
                <w:rFonts w:eastAsia="Calibri" w:cs="Times New Roman"/>
                <w:b/>
                <w:bCs/>
                <w:sz w:val="20"/>
                <w:szCs w:val="20"/>
              </w:rPr>
              <w:t>Variable</w:t>
            </w:r>
          </w:p>
        </w:tc>
        <w:tc>
          <w:tcPr>
            <w:tcW w:w="1482" w:type="pct"/>
            <w:gridSpan w:val="2"/>
            <w:tcBorders>
              <w:top w:val="single" w:sz="4" w:space="0" w:color="auto"/>
              <w:left w:val="single" w:sz="4" w:space="0" w:color="auto"/>
              <w:bottom w:val="single" w:sz="4" w:space="0" w:color="auto"/>
              <w:right w:val="single" w:sz="4" w:space="0" w:color="auto"/>
            </w:tcBorders>
            <w:hideMark/>
          </w:tcPr>
          <w:p w14:paraId="7116C509" w14:textId="40C42C0B" w:rsidR="00922EC5" w:rsidRPr="00AB5818" w:rsidRDefault="00922EC5" w:rsidP="002E4B8A">
            <w:pPr>
              <w:widowControl w:val="0"/>
              <w:autoSpaceDE w:val="0"/>
              <w:autoSpaceDN w:val="0"/>
              <w:adjustRightInd w:val="0"/>
              <w:spacing w:line="240" w:lineRule="auto"/>
              <w:rPr>
                <w:rFonts w:eastAsia="Calibri" w:cs="Times New Roman"/>
                <w:b/>
                <w:bCs/>
                <w:color w:val="FF0000"/>
                <w:sz w:val="20"/>
                <w:szCs w:val="20"/>
                <w:highlight w:val="yellow"/>
              </w:rPr>
            </w:pPr>
            <w:r w:rsidRPr="00922EC5">
              <w:rPr>
                <w:rFonts w:cs="Times New Roman"/>
                <w:b/>
                <w:bCs/>
                <w:sz w:val="20"/>
                <w:szCs w:val="20"/>
              </w:rPr>
              <w:t>Establishment Count</w:t>
            </w:r>
          </w:p>
        </w:tc>
        <w:tc>
          <w:tcPr>
            <w:tcW w:w="1345" w:type="pct"/>
            <w:gridSpan w:val="2"/>
            <w:tcBorders>
              <w:top w:val="single" w:sz="4" w:space="0" w:color="auto"/>
              <w:left w:val="single" w:sz="4" w:space="0" w:color="auto"/>
              <w:bottom w:val="single" w:sz="4" w:space="0" w:color="auto"/>
              <w:right w:val="single" w:sz="4" w:space="0" w:color="auto"/>
            </w:tcBorders>
            <w:hideMark/>
          </w:tcPr>
          <w:p w14:paraId="1191F0C5" w14:textId="1701A71C" w:rsidR="00922EC5" w:rsidRPr="00AB5818" w:rsidRDefault="00922EC5" w:rsidP="002E4B8A">
            <w:pPr>
              <w:widowControl w:val="0"/>
              <w:autoSpaceDE w:val="0"/>
              <w:autoSpaceDN w:val="0"/>
              <w:adjustRightInd w:val="0"/>
              <w:spacing w:line="240" w:lineRule="auto"/>
              <w:rPr>
                <w:rFonts w:eastAsia="Calibri" w:cs="Times New Roman"/>
                <w:b/>
                <w:bCs/>
                <w:color w:val="FF0000"/>
                <w:sz w:val="20"/>
                <w:szCs w:val="20"/>
                <w:highlight w:val="yellow"/>
              </w:rPr>
            </w:pPr>
            <w:r w:rsidRPr="00922EC5">
              <w:rPr>
                <w:rFonts w:cs="Times New Roman"/>
                <w:b/>
                <w:bCs/>
                <w:sz w:val="20"/>
                <w:szCs w:val="20"/>
              </w:rPr>
              <w:t>Job Count</w:t>
            </w:r>
          </w:p>
        </w:tc>
        <w:tc>
          <w:tcPr>
            <w:tcW w:w="1337" w:type="pct"/>
            <w:gridSpan w:val="2"/>
            <w:tcBorders>
              <w:top w:val="single" w:sz="4" w:space="0" w:color="auto"/>
              <w:left w:val="single" w:sz="4" w:space="0" w:color="auto"/>
              <w:bottom w:val="single" w:sz="4" w:space="0" w:color="auto"/>
              <w:right w:val="single" w:sz="4" w:space="0" w:color="auto"/>
            </w:tcBorders>
            <w:hideMark/>
          </w:tcPr>
          <w:p w14:paraId="26CE6AD8" w14:textId="54E0B656" w:rsidR="00922EC5" w:rsidRPr="00AB5818" w:rsidRDefault="00922EC5" w:rsidP="002E4B8A">
            <w:pPr>
              <w:widowControl w:val="0"/>
              <w:autoSpaceDE w:val="0"/>
              <w:autoSpaceDN w:val="0"/>
              <w:adjustRightInd w:val="0"/>
              <w:spacing w:line="240" w:lineRule="auto"/>
              <w:rPr>
                <w:rFonts w:eastAsia="Calibri" w:cs="Times New Roman"/>
                <w:b/>
                <w:bCs/>
                <w:color w:val="FF0000"/>
                <w:sz w:val="20"/>
                <w:szCs w:val="20"/>
                <w:highlight w:val="yellow"/>
              </w:rPr>
            </w:pPr>
            <w:r w:rsidRPr="00922EC5">
              <w:rPr>
                <w:rFonts w:cs="Times New Roman"/>
                <w:b/>
                <w:bCs/>
                <w:sz w:val="20"/>
                <w:szCs w:val="20"/>
              </w:rPr>
              <w:t>Sales Volume</w:t>
            </w:r>
          </w:p>
        </w:tc>
      </w:tr>
      <w:tr w:rsidR="00AB5818" w:rsidRPr="00AB5818" w14:paraId="4A9A5275"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1E4112E4"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Range</w:t>
            </w:r>
          </w:p>
        </w:tc>
        <w:tc>
          <w:tcPr>
            <w:tcW w:w="809" w:type="pct"/>
            <w:tcBorders>
              <w:top w:val="single" w:sz="4" w:space="0" w:color="auto"/>
              <w:left w:val="single" w:sz="4" w:space="0" w:color="auto"/>
              <w:bottom w:val="single" w:sz="4" w:space="0" w:color="auto"/>
              <w:right w:val="single" w:sz="4" w:space="0" w:color="auto"/>
            </w:tcBorders>
            <w:hideMark/>
          </w:tcPr>
          <w:p w14:paraId="417E65AE" w14:textId="77777777" w:rsidR="00AB5818" w:rsidRPr="00AB5818" w:rsidRDefault="00AB5818" w:rsidP="002E4B8A">
            <w:pPr>
              <w:widowControl w:val="0"/>
              <w:autoSpaceDE w:val="0"/>
              <w:autoSpaceDN w:val="0"/>
              <w:adjustRightInd w:val="0"/>
              <w:spacing w:line="240" w:lineRule="auto"/>
              <w:rPr>
                <w:rFonts w:eastAsia="Calibri" w:cs="Times New Roman"/>
                <w:sz w:val="20"/>
                <w:szCs w:val="20"/>
                <w:highlight w:val="magenta"/>
              </w:rPr>
            </w:pPr>
            <w:r w:rsidRPr="00AB5818">
              <w:rPr>
                <w:rFonts w:eastAsia="Calibri" w:cs="Times New Roman"/>
                <w:sz w:val="20"/>
                <w:szCs w:val="20"/>
              </w:rPr>
              <w:t>.00783***</w:t>
            </w:r>
          </w:p>
        </w:tc>
        <w:tc>
          <w:tcPr>
            <w:tcW w:w="673" w:type="pct"/>
            <w:tcBorders>
              <w:top w:val="single" w:sz="4" w:space="0" w:color="auto"/>
              <w:left w:val="single" w:sz="4" w:space="0" w:color="auto"/>
              <w:bottom w:val="single" w:sz="4" w:space="0" w:color="auto"/>
              <w:right w:val="single" w:sz="4" w:space="0" w:color="auto"/>
            </w:tcBorders>
            <w:hideMark/>
          </w:tcPr>
          <w:p w14:paraId="290FAE89" w14:textId="77777777" w:rsidR="00AB5818" w:rsidRPr="00AB5818" w:rsidRDefault="00AB5818" w:rsidP="002E4B8A">
            <w:pPr>
              <w:widowControl w:val="0"/>
              <w:autoSpaceDE w:val="0"/>
              <w:autoSpaceDN w:val="0"/>
              <w:adjustRightInd w:val="0"/>
              <w:spacing w:line="240" w:lineRule="auto"/>
              <w:rPr>
                <w:rFonts w:eastAsia="Calibri" w:cs="Times New Roman"/>
                <w:sz w:val="20"/>
                <w:szCs w:val="20"/>
                <w:highlight w:val="magenta"/>
              </w:rPr>
            </w:pPr>
            <w:r w:rsidRPr="00AB5818">
              <w:rPr>
                <w:rFonts w:eastAsia="Calibri" w:cs="Times New Roman"/>
                <w:sz w:val="20"/>
                <w:szCs w:val="20"/>
              </w:rPr>
              <w:t>-.00029</w:t>
            </w:r>
          </w:p>
        </w:tc>
        <w:tc>
          <w:tcPr>
            <w:tcW w:w="672" w:type="pct"/>
            <w:tcBorders>
              <w:top w:val="single" w:sz="4" w:space="0" w:color="auto"/>
              <w:left w:val="single" w:sz="4" w:space="0" w:color="auto"/>
              <w:bottom w:val="single" w:sz="4" w:space="0" w:color="auto"/>
              <w:right w:val="single" w:sz="4" w:space="0" w:color="auto"/>
            </w:tcBorders>
            <w:hideMark/>
          </w:tcPr>
          <w:p w14:paraId="59A78DF1"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.00515***</w:t>
            </w:r>
          </w:p>
        </w:tc>
        <w:tc>
          <w:tcPr>
            <w:tcW w:w="673" w:type="pct"/>
            <w:tcBorders>
              <w:top w:val="single" w:sz="4" w:space="0" w:color="auto"/>
              <w:left w:val="single" w:sz="4" w:space="0" w:color="auto"/>
              <w:bottom w:val="single" w:sz="4" w:space="0" w:color="auto"/>
              <w:right w:val="single" w:sz="4" w:space="0" w:color="auto"/>
            </w:tcBorders>
            <w:hideMark/>
          </w:tcPr>
          <w:p w14:paraId="0BFD3E08"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-.00223*</w:t>
            </w:r>
          </w:p>
        </w:tc>
        <w:tc>
          <w:tcPr>
            <w:tcW w:w="671" w:type="pct"/>
            <w:tcBorders>
              <w:top w:val="single" w:sz="4" w:space="0" w:color="auto"/>
              <w:left w:val="single" w:sz="4" w:space="0" w:color="auto"/>
              <w:bottom w:val="single" w:sz="4" w:space="0" w:color="auto"/>
              <w:right w:val="single" w:sz="4" w:space="0" w:color="auto"/>
            </w:tcBorders>
            <w:hideMark/>
          </w:tcPr>
          <w:p w14:paraId="0D416677"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.0072***</w:t>
            </w:r>
          </w:p>
        </w:tc>
        <w:tc>
          <w:tcPr>
            <w:tcW w:w="666" w:type="pct"/>
            <w:tcBorders>
              <w:top w:val="single" w:sz="4" w:space="0" w:color="auto"/>
              <w:left w:val="single" w:sz="4" w:space="0" w:color="auto"/>
              <w:bottom w:val="single" w:sz="4" w:space="0" w:color="auto"/>
              <w:right w:val="single" w:sz="4" w:space="0" w:color="auto"/>
            </w:tcBorders>
            <w:hideMark/>
          </w:tcPr>
          <w:p w14:paraId="2104A77E"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-.0017</w:t>
            </w:r>
          </w:p>
        </w:tc>
      </w:tr>
      <w:tr w:rsidR="00AB5818" w:rsidRPr="00AB5818" w14:paraId="35B14D9F"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1D5A2980" w14:textId="2FD5AB86" w:rsidR="00AB5818" w:rsidRPr="00AB5818" w:rsidRDefault="00AB5818" w:rsidP="002E4B8A">
            <w:pPr>
              <w:widowControl w:val="0"/>
              <w:autoSpaceDE w:val="0"/>
              <w:autoSpaceDN w:val="0"/>
              <w:adjustRightInd w:val="0"/>
              <w:spacing w:line="240" w:lineRule="auto"/>
              <w:rPr>
                <w:rFonts w:eastAsia="Calibri" w:cs="Times New Roman"/>
                <w:sz w:val="20"/>
                <w:szCs w:val="20"/>
              </w:rPr>
            </w:pPr>
          </w:p>
        </w:tc>
        <w:tc>
          <w:tcPr>
            <w:tcW w:w="809" w:type="pct"/>
            <w:tcBorders>
              <w:top w:val="single" w:sz="4" w:space="0" w:color="auto"/>
              <w:left w:val="single" w:sz="4" w:space="0" w:color="auto"/>
              <w:bottom w:val="single" w:sz="4" w:space="0" w:color="auto"/>
              <w:right w:val="single" w:sz="4" w:space="0" w:color="auto"/>
            </w:tcBorders>
            <w:hideMark/>
          </w:tcPr>
          <w:p w14:paraId="26F6C28F"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(.00115)</w:t>
            </w:r>
          </w:p>
        </w:tc>
        <w:tc>
          <w:tcPr>
            <w:tcW w:w="673" w:type="pct"/>
            <w:tcBorders>
              <w:top w:val="single" w:sz="4" w:space="0" w:color="auto"/>
              <w:left w:val="single" w:sz="4" w:space="0" w:color="auto"/>
              <w:bottom w:val="single" w:sz="4" w:space="0" w:color="auto"/>
              <w:right w:val="single" w:sz="4" w:space="0" w:color="auto"/>
            </w:tcBorders>
            <w:hideMark/>
          </w:tcPr>
          <w:p w14:paraId="63929E1F"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(.00046)</w:t>
            </w:r>
          </w:p>
        </w:tc>
        <w:tc>
          <w:tcPr>
            <w:tcW w:w="672" w:type="pct"/>
            <w:tcBorders>
              <w:top w:val="single" w:sz="4" w:space="0" w:color="auto"/>
              <w:left w:val="single" w:sz="4" w:space="0" w:color="auto"/>
              <w:bottom w:val="single" w:sz="4" w:space="0" w:color="auto"/>
              <w:right w:val="single" w:sz="4" w:space="0" w:color="auto"/>
            </w:tcBorders>
            <w:hideMark/>
          </w:tcPr>
          <w:p w14:paraId="0AC8F19E"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(.00128)</w:t>
            </w:r>
          </w:p>
        </w:tc>
        <w:tc>
          <w:tcPr>
            <w:tcW w:w="673" w:type="pct"/>
            <w:tcBorders>
              <w:top w:val="single" w:sz="4" w:space="0" w:color="auto"/>
              <w:left w:val="single" w:sz="4" w:space="0" w:color="auto"/>
              <w:bottom w:val="single" w:sz="4" w:space="0" w:color="auto"/>
              <w:right w:val="single" w:sz="4" w:space="0" w:color="auto"/>
            </w:tcBorders>
            <w:hideMark/>
          </w:tcPr>
          <w:p w14:paraId="59E9F285"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(.00115)</w:t>
            </w:r>
          </w:p>
        </w:tc>
        <w:tc>
          <w:tcPr>
            <w:tcW w:w="671" w:type="pct"/>
            <w:tcBorders>
              <w:top w:val="single" w:sz="4" w:space="0" w:color="auto"/>
              <w:left w:val="single" w:sz="4" w:space="0" w:color="auto"/>
              <w:bottom w:val="single" w:sz="4" w:space="0" w:color="auto"/>
              <w:right w:val="single" w:sz="4" w:space="0" w:color="auto"/>
            </w:tcBorders>
            <w:hideMark/>
          </w:tcPr>
          <w:p w14:paraId="7F09B406"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(.00141)</w:t>
            </w:r>
          </w:p>
        </w:tc>
        <w:tc>
          <w:tcPr>
            <w:tcW w:w="666" w:type="pct"/>
            <w:tcBorders>
              <w:top w:val="single" w:sz="4" w:space="0" w:color="auto"/>
              <w:left w:val="single" w:sz="4" w:space="0" w:color="auto"/>
              <w:bottom w:val="single" w:sz="4" w:space="0" w:color="auto"/>
              <w:right w:val="single" w:sz="4" w:space="0" w:color="auto"/>
            </w:tcBorders>
            <w:hideMark/>
          </w:tcPr>
          <w:p w14:paraId="324C56F9"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(.00137)</w:t>
            </w:r>
          </w:p>
        </w:tc>
      </w:tr>
      <w:tr w:rsidR="00AB5818" w:rsidRPr="00AB5818" w14:paraId="3873C090"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6DFBAB52"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TSD * Range</w:t>
            </w:r>
          </w:p>
        </w:tc>
        <w:tc>
          <w:tcPr>
            <w:tcW w:w="809" w:type="pct"/>
            <w:tcBorders>
              <w:top w:val="single" w:sz="4" w:space="0" w:color="auto"/>
              <w:left w:val="single" w:sz="4" w:space="0" w:color="auto"/>
              <w:bottom w:val="single" w:sz="4" w:space="0" w:color="auto"/>
              <w:right w:val="single" w:sz="4" w:space="0" w:color="auto"/>
            </w:tcBorders>
            <w:hideMark/>
          </w:tcPr>
          <w:p w14:paraId="6AE84B78"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.00046</w:t>
            </w:r>
          </w:p>
        </w:tc>
        <w:tc>
          <w:tcPr>
            <w:tcW w:w="673" w:type="pct"/>
            <w:tcBorders>
              <w:top w:val="single" w:sz="4" w:space="0" w:color="auto"/>
              <w:left w:val="single" w:sz="4" w:space="0" w:color="auto"/>
              <w:bottom w:val="single" w:sz="4" w:space="0" w:color="auto"/>
              <w:right w:val="single" w:sz="4" w:space="0" w:color="auto"/>
            </w:tcBorders>
            <w:hideMark/>
          </w:tcPr>
          <w:p w14:paraId="6CA41CF9"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-.00099***</w:t>
            </w:r>
          </w:p>
        </w:tc>
        <w:tc>
          <w:tcPr>
            <w:tcW w:w="672" w:type="pct"/>
            <w:tcBorders>
              <w:top w:val="single" w:sz="4" w:space="0" w:color="auto"/>
              <w:left w:val="single" w:sz="4" w:space="0" w:color="auto"/>
              <w:bottom w:val="single" w:sz="4" w:space="0" w:color="auto"/>
              <w:right w:val="single" w:sz="4" w:space="0" w:color="auto"/>
            </w:tcBorders>
            <w:hideMark/>
          </w:tcPr>
          <w:p w14:paraId="6EF86953"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-.00074</w:t>
            </w:r>
          </w:p>
        </w:tc>
        <w:tc>
          <w:tcPr>
            <w:tcW w:w="673" w:type="pct"/>
            <w:tcBorders>
              <w:top w:val="single" w:sz="4" w:space="0" w:color="auto"/>
              <w:left w:val="single" w:sz="4" w:space="0" w:color="auto"/>
              <w:bottom w:val="single" w:sz="4" w:space="0" w:color="auto"/>
              <w:right w:val="single" w:sz="4" w:space="0" w:color="auto"/>
            </w:tcBorders>
            <w:hideMark/>
          </w:tcPr>
          <w:p w14:paraId="4AED9282"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-.00135**</w:t>
            </w:r>
          </w:p>
        </w:tc>
        <w:tc>
          <w:tcPr>
            <w:tcW w:w="671" w:type="pct"/>
            <w:tcBorders>
              <w:top w:val="single" w:sz="4" w:space="0" w:color="auto"/>
              <w:left w:val="single" w:sz="4" w:space="0" w:color="auto"/>
              <w:bottom w:val="single" w:sz="4" w:space="0" w:color="auto"/>
              <w:right w:val="single" w:sz="4" w:space="0" w:color="auto"/>
            </w:tcBorders>
            <w:hideMark/>
          </w:tcPr>
          <w:p w14:paraId="171A5AB9"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-.00026</w:t>
            </w:r>
          </w:p>
        </w:tc>
        <w:tc>
          <w:tcPr>
            <w:tcW w:w="666" w:type="pct"/>
            <w:tcBorders>
              <w:top w:val="single" w:sz="4" w:space="0" w:color="auto"/>
              <w:left w:val="single" w:sz="4" w:space="0" w:color="auto"/>
              <w:bottom w:val="single" w:sz="4" w:space="0" w:color="auto"/>
              <w:right w:val="single" w:sz="4" w:space="0" w:color="auto"/>
            </w:tcBorders>
            <w:hideMark/>
          </w:tcPr>
          <w:p w14:paraId="69172859"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-.00095</w:t>
            </w:r>
          </w:p>
        </w:tc>
      </w:tr>
      <w:tr w:rsidR="00AB5818" w:rsidRPr="00AB5818" w14:paraId="16274175"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4BAF332C" w14:textId="3321FD7C" w:rsidR="00AB5818" w:rsidRPr="00AB5818" w:rsidRDefault="00AB5818" w:rsidP="002E4B8A">
            <w:pPr>
              <w:widowControl w:val="0"/>
              <w:autoSpaceDE w:val="0"/>
              <w:autoSpaceDN w:val="0"/>
              <w:adjustRightInd w:val="0"/>
              <w:spacing w:line="240" w:lineRule="auto"/>
              <w:rPr>
                <w:rFonts w:eastAsia="Calibri" w:cs="Times New Roman"/>
                <w:sz w:val="20"/>
                <w:szCs w:val="20"/>
              </w:rPr>
            </w:pPr>
          </w:p>
        </w:tc>
        <w:tc>
          <w:tcPr>
            <w:tcW w:w="809" w:type="pct"/>
            <w:tcBorders>
              <w:top w:val="single" w:sz="4" w:space="0" w:color="auto"/>
              <w:left w:val="single" w:sz="4" w:space="0" w:color="auto"/>
              <w:bottom w:val="single" w:sz="4" w:space="0" w:color="auto"/>
              <w:right w:val="single" w:sz="4" w:space="0" w:color="auto"/>
            </w:tcBorders>
            <w:hideMark/>
          </w:tcPr>
          <w:p w14:paraId="1B4AF72D"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(.00053)</w:t>
            </w:r>
          </w:p>
        </w:tc>
        <w:tc>
          <w:tcPr>
            <w:tcW w:w="673" w:type="pct"/>
            <w:tcBorders>
              <w:top w:val="single" w:sz="4" w:space="0" w:color="auto"/>
              <w:left w:val="single" w:sz="4" w:space="0" w:color="auto"/>
              <w:bottom w:val="single" w:sz="4" w:space="0" w:color="auto"/>
              <w:right w:val="single" w:sz="4" w:space="0" w:color="auto"/>
            </w:tcBorders>
            <w:hideMark/>
          </w:tcPr>
          <w:p w14:paraId="25F94B2C"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(.00021)</w:t>
            </w:r>
          </w:p>
        </w:tc>
        <w:tc>
          <w:tcPr>
            <w:tcW w:w="672" w:type="pct"/>
            <w:tcBorders>
              <w:top w:val="single" w:sz="4" w:space="0" w:color="auto"/>
              <w:left w:val="single" w:sz="4" w:space="0" w:color="auto"/>
              <w:bottom w:val="single" w:sz="4" w:space="0" w:color="auto"/>
              <w:right w:val="single" w:sz="4" w:space="0" w:color="auto"/>
            </w:tcBorders>
            <w:hideMark/>
          </w:tcPr>
          <w:p w14:paraId="67C597F2"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(.00071)</w:t>
            </w:r>
          </w:p>
        </w:tc>
        <w:tc>
          <w:tcPr>
            <w:tcW w:w="673" w:type="pct"/>
            <w:tcBorders>
              <w:top w:val="single" w:sz="4" w:space="0" w:color="auto"/>
              <w:left w:val="single" w:sz="4" w:space="0" w:color="auto"/>
              <w:bottom w:val="single" w:sz="4" w:space="0" w:color="auto"/>
              <w:right w:val="single" w:sz="4" w:space="0" w:color="auto"/>
            </w:tcBorders>
            <w:hideMark/>
          </w:tcPr>
          <w:p w14:paraId="22630B43"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(.00063)</w:t>
            </w:r>
          </w:p>
        </w:tc>
        <w:tc>
          <w:tcPr>
            <w:tcW w:w="671" w:type="pct"/>
            <w:tcBorders>
              <w:top w:val="single" w:sz="4" w:space="0" w:color="auto"/>
              <w:left w:val="single" w:sz="4" w:space="0" w:color="auto"/>
              <w:bottom w:val="single" w:sz="4" w:space="0" w:color="auto"/>
              <w:right w:val="single" w:sz="4" w:space="0" w:color="auto"/>
            </w:tcBorders>
            <w:hideMark/>
          </w:tcPr>
          <w:p w14:paraId="4CB3D5D7"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(.00131)</w:t>
            </w:r>
          </w:p>
        </w:tc>
        <w:tc>
          <w:tcPr>
            <w:tcW w:w="666" w:type="pct"/>
            <w:tcBorders>
              <w:top w:val="single" w:sz="4" w:space="0" w:color="auto"/>
              <w:left w:val="single" w:sz="4" w:space="0" w:color="auto"/>
              <w:bottom w:val="single" w:sz="4" w:space="0" w:color="auto"/>
              <w:right w:val="single" w:sz="4" w:space="0" w:color="auto"/>
            </w:tcBorders>
            <w:hideMark/>
          </w:tcPr>
          <w:p w14:paraId="2A1F8468"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(.00109)</w:t>
            </w:r>
          </w:p>
        </w:tc>
      </w:tr>
      <w:tr w:rsidR="00AB5818" w:rsidRPr="00AB5818" w14:paraId="4D58EC68"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7B06D767"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Joint Test (p-value)</w:t>
            </w:r>
          </w:p>
        </w:tc>
        <w:tc>
          <w:tcPr>
            <w:tcW w:w="809" w:type="pct"/>
            <w:tcBorders>
              <w:top w:val="single" w:sz="4" w:space="0" w:color="auto"/>
              <w:left w:val="single" w:sz="4" w:space="0" w:color="auto"/>
              <w:bottom w:val="single" w:sz="4" w:space="0" w:color="auto"/>
              <w:right w:val="single" w:sz="4" w:space="0" w:color="auto"/>
            </w:tcBorders>
            <w:hideMark/>
          </w:tcPr>
          <w:p w14:paraId="50828992" w14:textId="77777777" w:rsidR="00AB5818" w:rsidRPr="00271798" w:rsidRDefault="00AB5818" w:rsidP="002E4B8A">
            <w:pPr>
              <w:spacing w:line="240" w:lineRule="auto"/>
              <w:rPr>
                <w:rFonts w:eastAsia="Calibri" w:cs="Times New Roman"/>
                <w:sz w:val="20"/>
                <w:szCs w:val="20"/>
                <w:lang/>
              </w:rPr>
            </w:pPr>
            <w:r w:rsidRPr="00271798">
              <w:rPr>
                <w:rFonts w:eastAsia="Calibri" w:cs="Times New Roman"/>
                <w:sz w:val="20"/>
                <w:szCs w:val="20"/>
                <w:lang/>
              </w:rPr>
              <w:t>0.0000</w:t>
            </w:r>
          </w:p>
        </w:tc>
        <w:tc>
          <w:tcPr>
            <w:tcW w:w="673" w:type="pct"/>
            <w:tcBorders>
              <w:top w:val="single" w:sz="4" w:space="0" w:color="auto"/>
              <w:left w:val="single" w:sz="4" w:space="0" w:color="auto"/>
              <w:bottom w:val="single" w:sz="4" w:space="0" w:color="auto"/>
              <w:right w:val="single" w:sz="4" w:space="0" w:color="auto"/>
            </w:tcBorders>
            <w:hideMark/>
          </w:tcPr>
          <w:p w14:paraId="3AE48952" w14:textId="77777777" w:rsidR="00AB5818" w:rsidRPr="00271798" w:rsidRDefault="00AB5818" w:rsidP="002E4B8A">
            <w:pPr>
              <w:widowControl w:val="0"/>
              <w:autoSpaceDE w:val="0"/>
              <w:autoSpaceDN w:val="0"/>
              <w:adjustRightInd w:val="0"/>
              <w:spacing w:line="240" w:lineRule="auto"/>
              <w:rPr>
                <w:rFonts w:eastAsia="Calibri" w:cs="Times New Roman"/>
                <w:sz w:val="20"/>
                <w:szCs w:val="20"/>
              </w:rPr>
            </w:pPr>
            <w:r w:rsidRPr="00271798">
              <w:rPr>
                <w:rFonts w:eastAsia="Calibri" w:cs="Times New Roman"/>
                <w:sz w:val="20"/>
                <w:szCs w:val="20"/>
                <w:lang/>
              </w:rPr>
              <w:t>0.0000</w:t>
            </w:r>
          </w:p>
        </w:tc>
        <w:tc>
          <w:tcPr>
            <w:tcW w:w="672" w:type="pct"/>
            <w:tcBorders>
              <w:top w:val="single" w:sz="4" w:space="0" w:color="auto"/>
              <w:left w:val="single" w:sz="4" w:space="0" w:color="auto"/>
              <w:bottom w:val="single" w:sz="4" w:space="0" w:color="auto"/>
              <w:right w:val="single" w:sz="4" w:space="0" w:color="auto"/>
            </w:tcBorders>
            <w:hideMark/>
          </w:tcPr>
          <w:p w14:paraId="6C74DC1D" w14:textId="77777777" w:rsidR="00AB5818" w:rsidRPr="00271798" w:rsidRDefault="00AB5818" w:rsidP="002E4B8A">
            <w:pPr>
              <w:widowControl w:val="0"/>
              <w:autoSpaceDE w:val="0"/>
              <w:autoSpaceDN w:val="0"/>
              <w:adjustRightInd w:val="0"/>
              <w:spacing w:line="240" w:lineRule="auto"/>
              <w:rPr>
                <w:rFonts w:eastAsia="Calibri" w:cs="Times New Roman"/>
                <w:sz w:val="20"/>
                <w:szCs w:val="20"/>
              </w:rPr>
            </w:pPr>
            <w:r w:rsidRPr="00271798">
              <w:rPr>
                <w:rFonts w:eastAsia="Calibri" w:cs="Times New Roman"/>
                <w:sz w:val="20"/>
                <w:szCs w:val="20"/>
                <w:lang/>
              </w:rPr>
              <w:t>0.000</w:t>
            </w:r>
            <w:r w:rsidRPr="00271798">
              <w:rPr>
                <w:rFonts w:eastAsia="Calibri" w:cs="Times New Roman"/>
                <w:sz w:val="20"/>
                <w:szCs w:val="20"/>
              </w:rPr>
              <w:t>3</w:t>
            </w:r>
          </w:p>
        </w:tc>
        <w:tc>
          <w:tcPr>
            <w:tcW w:w="673" w:type="pct"/>
            <w:tcBorders>
              <w:top w:val="single" w:sz="4" w:space="0" w:color="auto"/>
              <w:left w:val="single" w:sz="4" w:space="0" w:color="auto"/>
              <w:bottom w:val="single" w:sz="4" w:space="0" w:color="auto"/>
              <w:right w:val="single" w:sz="4" w:space="0" w:color="auto"/>
            </w:tcBorders>
            <w:hideMark/>
          </w:tcPr>
          <w:p w14:paraId="5A2D2FC2" w14:textId="77777777" w:rsidR="00AB5818" w:rsidRPr="00271798" w:rsidRDefault="00AB5818" w:rsidP="002E4B8A">
            <w:pPr>
              <w:widowControl w:val="0"/>
              <w:autoSpaceDE w:val="0"/>
              <w:autoSpaceDN w:val="0"/>
              <w:adjustRightInd w:val="0"/>
              <w:spacing w:line="240" w:lineRule="auto"/>
              <w:rPr>
                <w:rFonts w:eastAsia="Calibri" w:cs="Times New Roman"/>
                <w:sz w:val="20"/>
                <w:szCs w:val="20"/>
              </w:rPr>
            </w:pPr>
            <w:r w:rsidRPr="00271798">
              <w:rPr>
                <w:rFonts w:eastAsia="Calibri" w:cs="Times New Roman"/>
                <w:sz w:val="20"/>
                <w:szCs w:val="20"/>
              </w:rPr>
              <w:t>0.0357</w:t>
            </w:r>
          </w:p>
        </w:tc>
        <w:tc>
          <w:tcPr>
            <w:tcW w:w="671" w:type="pct"/>
            <w:tcBorders>
              <w:top w:val="single" w:sz="4" w:space="0" w:color="auto"/>
              <w:left w:val="single" w:sz="4" w:space="0" w:color="auto"/>
              <w:bottom w:val="single" w:sz="4" w:space="0" w:color="auto"/>
              <w:right w:val="single" w:sz="4" w:space="0" w:color="auto"/>
            </w:tcBorders>
            <w:hideMark/>
          </w:tcPr>
          <w:p w14:paraId="128DFC9F" w14:textId="77777777" w:rsidR="00AB5818" w:rsidRPr="00271798" w:rsidRDefault="00AB5818" w:rsidP="002E4B8A">
            <w:pPr>
              <w:widowControl w:val="0"/>
              <w:autoSpaceDE w:val="0"/>
              <w:autoSpaceDN w:val="0"/>
              <w:adjustRightInd w:val="0"/>
              <w:spacing w:line="240" w:lineRule="auto"/>
              <w:rPr>
                <w:rFonts w:eastAsia="Calibri" w:cs="Times New Roman"/>
                <w:sz w:val="20"/>
                <w:szCs w:val="20"/>
                <w:lang/>
              </w:rPr>
            </w:pPr>
            <w:r w:rsidRPr="00271798">
              <w:rPr>
                <w:rFonts w:eastAsia="Calibri" w:cs="Times New Roman"/>
                <w:sz w:val="20"/>
                <w:szCs w:val="20"/>
                <w:lang/>
              </w:rPr>
              <w:t>0.0000</w:t>
            </w:r>
          </w:p>
        </w:tc>
        <w:tc>
          <w:tcPr>
            <w:tcW w:w="666" w:type="pct"/>
            <w:tcBorders>
              <w:top w:val="single" w:sz="4" w:space="0" w:color="auto"/>
              <w:left w:val="single" w:sz="4" w:space="0" w:color="auto"/>
              <w:bottom w:val="single" w:sz="4" w:space="0" w:color="auto"/>
              <w:right w:val="single" w:sz="4" w:space="0" w:color="auto"/>
            </w:tcBorders>
            <w:hideMark/>
          </w:tcPr>
          <w:p w14:paraId="6C211CC0" w14:textId="77777777" w:rsidR="00AB5818" w:rsidRPr="00271798" w:rsidRDefault="00AB5818" w:rsidP="002E4B8A">
            <w:pPr>
              <w:widowControl w:val="0"/>
              <w:autoSpaceDE w:val="0"/>
              <w:autoSpaceDN w:val="0"/>
              <w:adjustRightInd w:val="0"/>
              <w:spacing w:line="240" w:lineRule="auto"/>
              <w:rPr>
                <w:rFonts w:eastAsia="Calibri" w:cs="Times New Roman"/>
                <w:sz w:val="20"/>
                <w:szCs w:val="20"/>
                <w:lang/>
              </w:rPr>
            </w:pPr>
            <w:r w:rsidRPr="00271798">
              <w:rPr>
                <w:rFonts w:eastAsia="Calibri" w:cs="Times New Roman"/>
                <w:sz w:val="20"/>
                <w:szCs w:val="20"/>
              </w:rPr>
              <w:t>0.4026</w:t>
            </w:r>
          </w:p>
        </w:tc>
      </w:tr>
      <w:tr w:rsidR="00AB5818" w:rsidRPr="00AB5818" w14:paraId="092A0EC4"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677238F5"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State FE</w:t>
            </w:r>
          </w:p>
        </w:tc>
        <w:tc>
          <w:tcPr>
            <w:tcW w:w="809" w:type="pct"/>
            <w:tcBorders>
              <w:top w:val="single" w:sz="4" w:space="0" w:color="auto"/>
              <w:left w:val="single" w:sz="4" w:space="0" w:color="auto"/>
              <w:bottom w:val="single" w:sz="4" w:space="0" w:color="auto"/>
              <w:right w:val="single" w:sz="4" w:space="0" w:color="auto"/>
            </w:tcBorders>
            <w:hideMark/>
          </w:tcPr>
          <w:p w14:paraId="23FFED6A"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73" w:type="pct"/>
            <w:tcBorders>
              <w:top w:val="single" w:sz="4" w:space="0" w:color="auto"/>
              <w:left w:val="single" w:sz="4" w:space="0" w:color="auto"/>
              <w:bottom w:val="single" w:sz="4" w:space="0" w:color="auto"/>
              <w:right w:val="single" w:sz="4" w:space="0" w:color="auto"/>
            </w:tcBorders>
            <w:hideMark/>
          </w:tcPr>
          <w:p w14:paraId="2C43D041"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c>
          <w:tcPr>
            <w:tcW w:w="672" w:type="pct"/>
            <w:tcBorders>
              <w:top w:val="single" w:sz="4" w:space="0" w:color="auto"/>
              <w:left w:val="single" w:sz="4" w:space="0" w:color="auto"/>
              <w:bottom w:val="single" w:sz="4" w:space="0" w:color="auto"/>
              <w:right w:val="single" w:sz="4" w:space="0" w:color="auto"/>
            </w:tcBorders>
            <w:hideMark/>
          </w:tcPr>
          <w:p w14:paraId="409911CC"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73" w:type="pct"/>
            <w:tcBorders>
              <w:top w:val="single" w:sz="4" w:space="0" w:color="auto"/>
              <w:left w:val="single" w:sz="4" w:space="0" w:color="auto"/>
              <w:bottom w:val="single" w:sz="4" w:space="0" w:color="auto"/>
              <w:right w:val="single" w:sz="4" w:space="0" w:color="auto"/>
            </w:tcBorders>
            <w:hideMark/>
          </w:tcPr>
          <w:p w14:paraId="4B4CA430"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c>
          <w:tcPr>
            <w:tcW w:w="671" w:type="pct"/>
            <w:tcBorders>
              <w:top w:val="single" w:sz="4" w:space="0" w:color="auto"/>
              <w:left w:val="single" w:sz="4" w:space="0" w:color="auto"/>
              <w:bottom w:val="single" w:sz="4" w:space="0" w:color="auto"/>
              <w:right w:val="single" w:sz="4" w:space="0" w:color="auto"/>
            </w:tcBorders>
            <w:hideMark/>
          </w:tcPr>
          <w:p w14:paraId="5643A08D"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66" w:type="pct"/>
            <w:tcBorders>
              <w:top w:val="single" w:sz="4" w:space="0" w:color="auto"/>
              <w:left w:val="single" w:sz="4" w:space="0" w:color="auto"/>
              <w:bottom w:val="single" w:sz="4" w:space="0" w:color="auto"/>
              <w:right w:val="single" w:sz="4" w:space="0" w:color="auto"/>
            </w:tcBorders>
            <w:hideMark/>
          </w:tcPr>
          <w:p w14:paraId="7B731643"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r>
      <w:tr w:rsidR="00AB5818" w:rsidRPr="00AB5818" w14:paraId="724046E8"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2D852396"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Year FE</w:t>
            </w:r>
          </w:p>
        </w:tc>
        <w:tc>
          <w:tcPr>
            <w:tcW w:w="809" w:type="pct"/>
            <w:tcBorders>
              <w:top w:val="single" w:sz="4" w:space="0" w:color="auto"/>
              <w:left w:val="single" w:sz="4" w:space="0" w:color="auto"/>
              <w:bottom w:val="single" w:sz="4" w:space="0" w:color="auto"/>
              <w:right w:val="single" w:sz="4" w:space="0" w:color="auto"/>
            </w:tcBorders>
            <w:hideMark/>
          </w:tcPr>
          <w:p w14:paraId="67B2F5AD"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73" w:type="pct"/>
            <w:tcBorders>
              <w:top w:val="single" w:sz="4" w:space="0" w:color="auto"/>
              <w:left w:val="single" w:sz="4" w:space="0" w:color="auto"/>
              <w:bottom w:val="single" w:sz="4" w:space="0" w:color="auto"/>
              <w:right w:val="single" w:sz="4" w:space="0" w:color="auto"/>
            </w:tcBorders>
            <w:hideMark/>
          </w:tcPr>
          <w:p w14:paraId="5787D2ED"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c>
          <w:tcPr>
            <w:tcW w:w="672" w:type="pct"/>
            <w:tcBorders>
              <w:top w:val="single" w:sz="4" w:space="0" w:color="auto"/>
              <w:left w:val="single" w:sz="4" w:space="0" w:color="auto"/>
              <w:bottom w:val="single" w:sz="4" w:space="0" w:color="auto"/>
              <w:right w:val="single" w:sz="4" w:space="0" w:color="auto"/>
            </w:tcBorders>
            <w:hideMark/>
          </w:tcPr>
          <w:p w14:paraId="10B3A937"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73" w:type="pct"/>
            <w:tcBorders>
              <w:top w:val="single" w:sz="4" w:space="0" w:color="auto"/>
              <w:left w:val="single" w:sz="4" w:space="0" w:color="auto"/>
              <w:bottom w:val="single" w:sz="4" w:space="0" w:color="auto"/>
              <w:right w:val="single" w:sz="4" w:space="0" w:color="auto"/>
            </w:tcBorders>
            <w:hideMark/>
          </w:tcPr>
          <w:p w14:paraId="576F51A9"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c>
          <w:tcPr>
            <w:tcW w:w="671" w:type="pct"/>
            <w:tcBorders>
              <w:top w:val="single" w:sz="4" w:space="0" w:color="auto"/>
              <w:left w:val="single" w:sz="4" w:space="0" w:color="auto"/>
              <w:bottom w:val="single" w:sz="4" w:space="0" w:color="auto"/>
              <w:right w:val="single" w:sz="4" w:space="0" w:color="auto"/>
            </w:tcBorders>
            <w:hideMark/>
          </w:tcPr>
          <w:p w14:paraId="649CA073"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66" w:type="pct"/>
            <w:tcBorders>
              <w:top w:val="single" w:sz="4" w:space="0" w:color="auto"/>
              <w:left w:val="single" w:sz="4" w:space="0" w:color="auto"/>
              <w:bottom w:val="single" w:sz="4" w:space="0" w:color="auto"/>
              <w:right w:val="single" w:sz="4" w:space="0" w:color="auto"/>
            </w:tcBorders>
            <w:hideMark/>
          </w:tcPr>
          <w:p w14:paraId="67C456BC"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r>
      <w:tr w:rsidR="00AB5818" w:rsidRPr="00AB5818" w14:paraId="7CE1E2D8"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26ED1F9A"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County FE</w:t>
            </w:r>
          </w:p>
        </w:tc>
        <w:tc>
          <w:tcPr>
            <w:tcW w:w="809" w:type="pct"/>
            <w:tcBorders>
              <w:top w:val="single" w:sz="4" w:space="0" w:color="auto"/>
              <w:left w:val="single" w:sz="4" w:space="0" w:color="auto"/>
              <w:bottom w:val="single" w:sz="4" w:space="0" w:color="auto"/>
              <w:right w:val="single" w:sz="4" w:space="0" w:color="auto"/>
            </w:tcBorders>
            <w:hideMark/>
          </w:tcPr>
          <w:p w14:paraId="71E23162"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73" w:type="pct"/>
            <w:tcBorders>
              <w:top w:val="single" w:sz="4" w:space="0" w:color="auto"/>
              <w:left w:val="single" w:sz="4" w:space="0" w:color="auto"/>
              <w:bottom w:val="single" w:sz="4" w:space="0" w:color="auto"/>
              <w:right w:val="single" w:sz="4" w:space="0" w:color="auto"/>
            </w:tcBorders>
            <w:hideMark/>
          </w:tcPr>
          <w:p w14:paraId="0D8D5FA9"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c>
          <w:tcPr>
            <w:tcW w:w="672" w:type="pct"/>
            <w:tcBorders>
              <w:top w:val="single" w:sz="4" w:space="0" w:color="auto"/>
              <w:left w:val="single" w:sz="4" w:space="0" w:color="auto"/>
              <w:bottom w:val="single" w:sz="4" w:space="0" w:color="auto"/>
              <w:right w:val="single" w:sz="4" w:space="0" w:color="auto"/>
            </w:tcBorders>
            <w:hideMark/>
          </w:tcPr>
          <w:p w14:paraId="039B8EF8"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73" w:type="pct"/>
            <w:tcBorders>
              <w:top w:val="single" w:sz="4" w:space="0" w:color="auto"/>
              <w:left w:val="single" w:sz="4" w:space="0" w:color="auto"/>
              <w:bottom w:val="single" w:sz="4" w:space="0" w:color="auto"/>
              <w:right w:val="single" w:sz="4" w:space="0" w:color="auto"/>
            </w:tcBorders>
            <w:hideMark/>
          </w:tcPr>
          <w:p w14:paraId="01C878E5"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c>
          <w:tcPr>
            <w:tcW w:w="671" w:type="pct"/>
            <w:tcBorders>
              <w:top w:val="single" w:sz="4" w:space="0" w:color="auto"/>
              <w:left w:val="single" w:sz="4" w:space="0" w:color="auto"/>
              <w:bottom w:val="single" w:sz="4" w:space="0" w:color="auto"/>
              <w:right w:val="single" w:sz="4" w:space="0" w:color="auto"/>
            </w:tcBorders>
            <w:hideMark/>
          </w:tcPr>
          <w:p w14:paraId="02D29088"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66" w:type="pct"/>
            <w:tcBorders>
              <w:top w:val="single" w:sz="4" w:space="0" w:color="auto"/>
              <w:left w:val="single" w:sz="4" w:space="0" w:color="auto"/>
              <w:bottom w:val="single" w:sz="4" w:space="0" w:color="auto"/>
              <w:right w:val="single" w:sz="4" w:space="0" w:color="auto"/>
            </w:tcBorders>
            <w:hideMark/>
          </w:tcPr>
          <w:p w14:paraId="62FF72BF"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r>
    </w:tbl>
    <w:p w14:paraId="00C86C63" w14:textId="05343512" w:rsidR="00AB5818" w:rsidRPr="000E300A" w:rsidRDefault="000E300A" w:rsidP="00CE0D78">
      <w:pPr>
        <w:spacing w:line="240" w:lineRule="auto"/>
        <w:rPr>
          <w:rFonts w:eastAsia="Calibri" w:cs="Times New Roman"/>
          <w:sz w:val="20"/>
          <w:szCs w:val="20"/>
        </w:rPr>
      </w:pPr>
      <w:r>
        <w:rPr>
          <w:rFonts w:eastAsia="Calibri" w:cs="Times New Roman"/>
          <w:sz w:val="20"/>
          <w:szCs w:val="20"/>
        </w:rPr>
        <w:t xml:space="preserve">Table A47: </w:t>
      </w:r>
      <w:r w:rsidR="00AB5818" w:rsidRPr="00AB5818">
        <w:rPr>
          <w:rFonts w:eastAsia="Calibri" w:cs="Times New Roman"/>
          <w:sz w:val="20"/>
          <w:szCs w:val="20"/>
          <w:lang/>
        </w:rPr>
        <w:t>Results for the mining sector using the continuous range indicator. The interaction between range overlap and time since delisting provides insights into the dynamic adjustments in economic activity.</w:t>
      </w:r>
      <w:r>
        <w:rPr>
          <w:rFonts w:eastAsia="Calibri" w:cs="Times New Roman"/>
          <w:sz w:val="20"/>
          <w:szCs w:val="20"/>
        </w:rPr>
        <w:t xml:space="preserve"> </w:t>
      </w:r>
      <w:r w:rsidRPr="000E300A">
        <w:rPr>
          <w:rFonts w:eastAsia="Calibri" w:cs="Times New Roman"/>
          <w:sz w:val="20"/>
          <w:szCs w:val="20"/>
        </w:rPr>
        <w:t>Statistically significant impacts are denoted by asterisks. These asterisks denote statistical significance at the following levels: ***p &lt; 0.01, **p &lt; 0.05, *p &lt; 0.1.</w:t>
      </w:r>
    </w:p>
    <w:p w14:paraId="295133E6" w14:textId="639718FC" w:rsidR="009D3026" w:rsidRPr="00F83040" w:rsidRDefault="009D3026">
      <w:pPr>
        <w:spacing w:line="240" w:lineRule="auto"/>
        <w:rPr>
          <w:b/>
          <w:bCs/>
          <w:sz w:val="20"/>
          <w:szCs w:val="20"/>
        </w:rPr>
      </w:pPr>
      <w:bookmarkStart w:id="713" w:name="_Toc188056057"/>
      <w:bookmarkStart w:id="714" w:name="_Toc188057141"/>
    </w:p>
    <w:p w14:paraId="30F334B7" w14:textId="4390368C" w:rsidR="00AB5818" w:rsidRPr="00922EC5" w:rsidRDefault="00AB5818" w:rsidP="000E300A">
      <w:pPr>
        <w:spacing w:line="240" w:lineRule="auto"/>
        <w:rPr>
          <w:b/>
          <w:bCs/>
          <w:kern w:val="2"/>
          <w:szCs w:val="20"/>
        </w:rPr>
      </w:pPr>
      <w:bookmarkStart w:id="715" w:name="_Toc188359653"/>
      <w:bookmarkStart w:id="716" w:name="_Toc188359941"/>
      <w:bookmarkStart w:id="717" w:name="_Toc188361177"/>
      <w:r w:rsidRPr="00922EC5">
        <w:rPr>
          <w:b/>
          <w:bCs/>
        </w:rPr>
        <w:lastRenderedPageBreak/>
        <w:t>Table A</w:t>
      </w:r>
      <w:r w:rsidR="005E02DB" w:rsidRPr="00922EC5">
        <w:rPr>
          <w:b/>
          <w:bCs/>
        </w:rPr>
        <w:t>4</w:t>
      </w:r>
      <w:r w:rsidRPr="00922EC5">
        <w:rPr>
          <w:b/>
          <w:bCs/>
        </w:rPr>
        <w:t xml:space="preserve">8: </w:t>
      </w:r>
      <w:r w:rsidR="002E1ED3">
        <w:t xml:space="preserve">Summary of </w:t>
      </w:r>
      <w:r w:rsidR="002E1ED3" w:rsidRPr="00AB5818">
        <w:t xml:space="preserve">NAICS </w:t>
      </w:r>
      <w:r w:rsidR="002E1ED3">
        <w:t xml:space="preserve">22 Regression Results </w:t>
      </w:r>
      <w:r w:rsidR="002E1ED3" w:rsidRPr="00AB5818">
        <w:t>–</w:t>
      </w:r>
      <w:r w:rsidR="002E1ED3">
        <w:t xml:space="preserve"> </w:t>
      </w:r>
      <w:r w:rsidRPr="00922EC5">
        <w:rPr>
          <w:b/>
          <w:bCs/>
        </w:rPr>
        <w:t>Binary Range Indicator</w:t>
      </w:r>
      <w:bookmarkEnd w:id="713"/>
      <w:bookmarkEnd w:id="714"/>
      <w:bookmarkEnd w:id="715"/>
      <w:bookmarkEnd w:id="716"/>
      <w:bookmarkEnd w:id="717"/>
    </w:p>
    <w:tbl>
      <w:tblPr>
        <w:tblW w:w="49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0"/>
        <w:gridCol w:w="1500"/>
        <w:gridCol w:w="1248"/>
        <w:gridCol w:w="1246"/>
        <w:gridCol w:w="1248"/>
        <w:gridCol w:w="1244"/>
        <w:gridCol w:w="1235"/>
      </w:tblGrid>
      <w:tr w:rsidR="00922EC5" w:rsidRPr="00AB5818" w14:paraId="4C89734E"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7D3A1483" w14:textId="5444BC5D" w:rsidR="00922EC5" w:rsidRPr="00AB5818" w:rsidRDefault="00922EC5" w:rsidP="002E4B8A">
            <w:pPr>
              <w:widowControl w:val="0"/>
              <w:autoSpaceDE w:val="0"/>
              <w:autoSpaceDN w:val="0"/>
              <w:adjustRightInd w:val="0"/>
              <w:spacing w:line="240" w:lineRule="auto"/>
              <w:rPr>
                <w:rFonts w:eastAsia="Calibri" w:cs="Times New Roman"/>
                <w:b/>
                <w:bCs/>
                <w:sz w:val="20"/>
                <w:szCs w:val="20"/>
              </w:rPr>
            </w:pPr>
            <w:r w:rsidRPr="00922EC5">
              <w:rPr>
                <w:rFonts w:eastAsia="Calibri" w:cs="Times New Roman"/>
                <w:b/>
                <w:bCs/>
                <w:sz w:val="20"/>
                <w:szCs w:val="20"/>
              </w:rPr>
              <w:t>Variable</w:t>
            </w:r>
          </w:p>
        </w:tc>
        <w:tc>
          <w:tcPr>
            <w:tcW w:w="1482" w:type="pct"/>
            <w:gridSpan w:val="2"/>
            <w:tcBorders>
              <w:top w:val="single" w:sz="4" w:space="0" w:color="auto"/>
              <w:left w:val="single" w:sz="4" w:space="0" w:color="auto"/>
              <w:bottom w:val="single" w:sz="4" w:space="0" w:color="auto"/>
              <w:right w:val="single" w:sz="4" w:space="0" w:color="auto"/>
            </w:tcBorders>
            <w:hideMark/>
          </w:tcPr>
          <w:p w14:paraId="3831E318" w14:textId="42D36885" w:rsidR="00922EC5" w:rsidRPr="00AB5818" w:rsidRDefault="00922EC5" w:rsidP="002E4B8A">
            <w:pPr>
              <w:widowControl w:val="0"/>
              <w:autoSpaceDE w:val="0"/>
              <w:autoSpaceDN w:val="0"/>
              <w:adjustRightInd w:val="0"/>
              <w:spacing w:line="240" w:lineRule="auto"/>
              <w:rPr>
                <w:rFonts w:eastAsia="Calibri" w:cs="Times New Roman"/>
                <w:b/>
                <w:bCs/>
                <w:color w:val="FF0000"/>
                <w:sz w:val="20"/>
                <w:szCs w:val="20"/>
                <w:highlight w:val="yellow"/>
              </w:rPr>
            </w:pPr>
            <w:r w:rsidRPr="00922EC5">
              <w:rPr>
                <w:rFonts w:cs="Times New Roman"/>
                <w:b/>
                <w:bCs/>
                <w:sz w:val="20"/>
                <w:szCs w:val="20"/>
              </w:rPr>
              <w:t>Establishment Count</w:t>
            </w:r>
          </w:p>
        </w:tc>
        <w:tc>
          <w:tcPr>
            <w:tcW w:w="1345" w:type="pct"/>
            <w:gridSpan w:val="2"/>
            <w:tcBorders>
              <w:top w:val="single" w:sz="4" w:space="0" w:color="auto"/>
              <w:left w:val="single" w:sz="4" w:space="0" w:color="auto"/>
              <w:bottom w:val="single" w:sz="4" w:space="0" w:color="auto"/>
              <w:right w:val="single" w:sz="4" w:space="0" w:color="auto"/>
            </w:tcBorders>
            <w:hideMark/>
          </w:tcPr>
          <w:p w14:paraId="6CE1F325" w14:textId="760E901B" w:rsidR="00922EC5" w:rsidRPr="00AB5818" w:rsidRDefault="00922EC5" w:rsidP="002E4B8A">
            <w:pPr>
              <w:widowControl w:val="0"/>
              <w:autoSpaceDE w:val="0"/>
              <w:autoSpaceDN w:val="0"/>
              <w:adjustRightInd w:val="0"/>
              <w:spacing w:line="240" w:lineRule="auto"/>
              <w:rPr>
                <w:rFonts w:eastAsia="Calibri" w:cs="Times New Roman"/>
                <w:b/>
                <w:bCs/>
                <w:color w:val="FF0000"/>
                <w:sz w:val="20"/>
                <w:szCs w:val="20"/>
                <w:highlight w:val="yellow"/>
              </w:rPr>
            </w:pPr>
            <w:r w:rsidRPr="00922EC5">
              <w:rPr>
                <w:rFonts w:cs="Times New Roman"/>
                <w:b/>
                <w:bCs/>
                <w:sz w:val="20"/>
                <w:szCs w:val="20"/>
              </w:rPr>
              <w:t>Job Count</w:t>
            </w:r>
          </w:p>
        </w:tc>
        <w:tc>
          <w:tcPr>
            <w:tcW w:w="1337" w:type="pct"/>
            <w:gridSpan w:val="2"/>
            <w:tcBorders>
              <w:top w:val="single" w:sz="4" w:space="0" w:color="auto"/>
              <w:left w:val="single" w:sz="4" w:space="0" w:color="auto"/>
              <w:bottom w:val="single" w:sz="4" w:space="0" w:color="auto"/>
              <w:right w:val="single" w:sz="4" w:space="0" w:color="auto"/>
            </w:tcBorders>
            <w:hideMark/>
          </w:tcPr>
          <w:p w14:paraId="3339D412" w14:textId="5AEDC397" w:rsidR="00922EC5" w:rsidRPr="00AB5818" w:rsidRDefault="00922EC5" w:rsidP="002E4B8A">
            <w:pPr>
              <w:widowControl w:val="0"/>
              <w:autoSpaceDE w:val="0"/>
              <w:autoSpaceDN w:val="0"/>
              <w:adjustRightInd w:val="0"/>
              <w:spacing w:line="240" w:lineRule="auto"/>
              <w:rPr>
                <w:rFonts w:eastAsia="Calibri" w:cs="Times New Roman"/>
                <w:b/>
                <w:bCs/>
                <w:color w:val="FF0000"/>
                <w:sz w:val="20"/>
                <w:szCs w:val="20"/>
                <w:highlight w:val="yellow"/>
              </w:rPr>
            </w:pPr>
            <w:r w:rsidRPr="00922EC5">
              <w:rPr>
                <w:rFonts w:cs="Times New Roman"/>
                <w:b/>
                <w:bCs/>
                <w:sz w:val="20"/>
                <w:szCs w:val="20"/>
              </w:rPr>
              <w:t>Sales Volume</w:t>
            </w:r>
          </w:p>
        </w:tc>
      </w:tr>
      <w:tr w:rsidR="00AB5818" w:rsidRPr="00AB5818" w14:paraId="264D1FDF"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50195D17"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Range</w:t>
            </w:r>
          </w:p>
        </w:tc>
        <w:tc>
          <w:tcPr>
            <w:tcW w:w="809" w:type="pct"/>
            <w:tcBorders>
              <w:top w:val="single" w:sz="4" w:space="0" w:color="auto"/>
              <w:left w:val="single" w:sz="4" w:space="0" w:color="auto"/>
              <w:bottom w:val="single" w:sz="4" w:space="0" w:color="auto"/>
              <w:right w:val="single" w:sz="4" w:space="0" w:color="auto"/>
            </w:tcBorders>
            <w:hideMark/>
          </w:tcPr>
          <w:p w14:paraId="78150874" w14:textId="77777777" w:rsidR="00AB5818" w:rsidRPr="00AB5818" w:rsidRDefault="00AB5818" w:rsidP="002E4B8A">
            <w:pPr>
              <w:widowControl w:val="0"/>
              <w:autoSpaceDE w:val="0"/>
              <w:autoSpaceDN w:val="0"/>
              <w:adjustRightInd w:val="0"/>
              <w:spacing w:line="240" w:lineRule="auto"/>
              <w:rPr>
                <w:rFonts w:eastAsia="Calibri" w:cs="Times New Roman"/>
                <w:sz w:val="20"/>
                <w:szCs w:val="20"/>
                <w:highlight w:val="magenta"/>
              </w:rPr>
            </w:pPr>
            <w:r w:rsidRPr="00AB5818">
              <w:rPr>
                <w:rFonts w:eastAsia="Calibri" w:cs="Times New Roman"/>
                <w:sz w:val="20"/>
                <w:szCs w:val="20"/>
              </w:rPr>
              <w:t>.4058***</w:t>
            </w:r>
          </w:p>
        </w:tc>
        <w:tc>
          <w:tcPr>
            <w:tcW w:w="673" w:type="pct"/>
            <w:tcBorders>
              <w:top w:val="single" w:sz="4" w:space="0" w:color="auto"/>
              <w:left w:val="single" w:sz="4" w:space="0" w:color="auto"/>
              <w:bottom w:val="single" w:sz="4" w:space="0" w:color="auto"/>
              <w:right w:val="single" w:sz="4" w:space="0" w:color="auto"/>
            </w:tcBorders>
            <w:hideMark/>
          </w:tcPr>
          <w:p w14:paraId="59F246D2" w14:textId="77777777" w:rsidR="00AB5818" w:rsidRPr="00AB5818" w:rsidRDefault="00AB5818" w:rsidP="002E4B8A">
            <w:pPr>
              <w:widowControl w:val="0"/>
              <w:autoSpaceDE w:val="0"/>
              <w:autoSpaceDN w:val="0"/>
              <w:adjustRightInd w:val="0"/>
              <w:spacing w:line="240" w:lineRule="auto"/>
              <w:rPr>
                <w:rFonts w:eastAsia="Calibri" w:cs="Times New Roman"/>
                <w:sz w:val="20"/>
                <w:szCs w:val="20"/>
                <w:highlight w:val="magenta"/>
              </w:rPr>
            </w:pPr>
            <w:r w:rsidRPr="00AB5818">
              <w:rPr>
                <w:rFonts w:eastAsia="Calibri" w:cs="Times New Roman"/>
                <w:sz w:val="20"/>
                <w:szCs w:val="20"/>
              </w:rPr>
              <w:t>-.03869</w:t>
            </w:r>
          </w:p>
        </w:tc>
        <w:tc>
          <w:tcPr>
            <w:tcW w:w="672" w:type="pct"/>
            <w:tcBorders>
              <w:top w:val="single" w:sz="4" w:space="0" w:color="auto"/>
              <w:left w:val="single" w:sz="4" w:space="0" w:color="auto"/>
              <w:bottom w:val="single" w:sz="4" w:space="0" w:color="auto"/>
              <w:right w:val="single" w:sz="4" w:space="0" w:color="auto"/>
            </w:tcBorders>
            <w:hideMark/>
          </w:tcPr>
          <w:p w14:paraId="3E93C9B8"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.09534</w:t>
            </w:r>
          </w:p>
        </w:tc>
        <w:tc>
          <w:tcPr>
            <w:tcW w:w="673" w:type="pct"/>
            <w:tcBorders>
              <w:top w:val="single" w:sz="4" w:space="0" w:color="auto"/>
              <w:left w:val="single" w:sz="4" w:space="0" w:color="auto"/>
              <w:bottom w:val="single" w:sz="4" w:space="0" w:color="auto"/>
              <w:right w:val="single" w:sz="4" w:space="0" w:color="auto"/>
            </w:tcBorders>
            <w:hideMark/>
          </w:tcPr>
          <w:p w14:paraId="46AE731B"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-.16301*</w:t>
            </w:r>
          </w:p>
        </w:tc>
        <w:tc>
          <w:tcPr>
            <w:tcW w:w="671" w:type="pct"/>
            <w:tcBorders>
              <w:top w:val="single" w:sz="4" w:space="0" w:color="auto"/>
              <w:left w:val="single" w:sz="4" w:space="0" w:color="auto"/>
              <w:bottom w:val="single" w:sz="4" w:space="0" w:color="auto"/>
              <w:right w:val="single" w:sz="4" w:space="0" w:color="auto"/>
            </w:tcBorders>
            <w:hideMark/>
          </w:tcPr>
          <w:p w14:paraId="2D82B5CA"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.08406</w:t>
            </w:r>
          </w:p>
        </w:tc>
        <w:tc>
          <w:tcPr>
            <w:tcW w:w="666" w:type="pct"/>
            <w:tcBorders>
              <w:top w:val="single" w:sz="4" w:space="0" w:color="auto"/>
              <w:left w:val="single" w:sz="4" w:space="0" w:color="auto"/>
              <w:bottom w:val="single" w:sz="4" w:space="0" w:color="auto"/>
              <w:right w:val="single" w:sz="4" w:space="0" w:color="auto"/>
            </w:tcBorders>
            <w:hideMark/>
          </w:tcPr>
          <w:p w14:paraId="0A84DE34"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-.33931*</w:t>
            </w:r>
          </w:p>
        </w:tc>
      </w:tr>
      <w:tr w:rsidR="00AB5818" w:rsidRPr="00AB5818" w14:paraId="2CBFEC0B"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77CC8394" w14:textId="6BFB171F" w:rsidR="00AB5818" w:rsidRPr="00AB5818" w:rsidRDefault="00AB5818" w:rsidP="002E4B8A">
            <w:pPr>
              <w:widowControl w:val="0"/>
              <w:autoSpaceDE w:val="0"/>
              <w:autoSpaceDN w:val="0"/>
              <w:adjustRightInd w:val="0"/>
              <w:spacing w:line="240" w:lineRule="auto"/>
              <w:rPr>
                <w:rFonts w:eastAsia="Calibri" w:cs="Times New Roman"/>
                <w:sz w:val="20"/>
                <w:szCs w:val="20"/>
              </w:rPr>
            </w:pPr>
          </w:p>
        </w:tc>
        <w:tc>
          <w:tcPr>
            <w:tcW w:w="809" w:type="pct"/>
            <w:tcBorders>
              <w:top w:val="single" w:sz="4" w:space="0" w:color="auto"/>
              <w:left w:val="single" w:sz="4" w:space="0" w:color="auto"/>
              <w:bottom w:val="single" w:sz="4" w:space="0" w:color="auto"/>
              <w:right w:val="single" w:sz="4" w:space="0" w:color="auto"/>
            </w:tcBorders>
            <w:hideMark/>
          </w:tcPr>
          <w:p w14:paraId="7BE0AF3C"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(.04939)</w:t>
            </w:r>
          </w:p>
        </w:tc>
        <w:tc>
          <w:tcPr>
            <w:tcW w:w="673" w:type="pct"/>
            <w:tcBorders>
              <w:top w:val="single" w:sz="4" w:space="0" w:color="auto"/>
              <w:left w:val="single" w:sz="4" w:space="0" w:color="auto"/>
              <w:bottom w:val="single" w:sz="4" w:space="0" w:color="auto"/>
              <w:right w:val="single" w:sz="4" w:space="0" w:color="auto"/>
            </w:tcBorders>
            <w:hideMark/>
          </w:tcPr>
          <w:p w14:paraId="75AF9558"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(.02703)</w:t>
            </w:r>
          </w:p>
        </w:tc>
        <w:tc>
          <w:tcPr>
            <w:tcW w:w="672" w:type="pct"/>
            <w:tcBorders>
              <w:top w:val="single" w:sz="4" w:space="0" w:color="auto"/>
              <w:left w:val="single" w:sz="4" w:space="0" w:color="auto"/>
              <w:bottom w:val="single" w:sz="4" w:space="0" w:color="auto"/>
              <w:right w:val="single" w:sz="4" w:space="0" w:color="auto"/>
            </w:tcBorders>
            <w:hideMark/>
          </w:tcPr>
          <w:p w14:paraId="6C01373E"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(.1099)</w:t>
            </w:r>
          </w:p>
        </w:tc>
        <w:tc>
          <w:tcPr>
            <w:tcW w:w="673" w:type="pct"/>
            <w:tcBorders>
              <w:top w:val="single" w:sz="4" w:space="0" w:color="auto"/>
              <w:left w:val="single" w:sz="4" w:space="0" w:color="auto"/>
              <w:bottom w:val="single" w:sz="4" w:space="0" w:color="auto"/>
              <w:right w:val="single" w:sz="4" w:space="0" w:color="auto"/>
            </w:tcBorders>
            <w:hideMark/>
          </w:tcPr>
          <w:p w14:paraId="05B1437B"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(.0917)</w:t>
            </w:r>
          </w:p>
        </w:tc>
        <w:tc>
          <w:tcPr>
            <w:tcW w:w="671" w:type="pct"/>
            <w:tcBorders>
              <w:top w:val="single" w:sz="4" w:space="0" w:color="auto"/>
              <w:left w:val="single" w:sz="4" w:space="0" w:color="auto"/>
              <w:bottom w:val="single" w:sz="4" w:space="0" w:color="auto"/>
              <w:right w:val="single" w:sz="4" w:space="0" w:color="auto"/>
            </w:tcBorders>
            <w:hideMark/>
          </w:tcPr>
          <w:p w14:paraId="7C768632"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(.10063)</w:t>
            </w:r>
          </w:p>
        </w:tc>
        <w:tc>
          <w:tcPr>
            <w:tcW w:w="666" w:type="pct"/>
            <w:tcBorders>
              <w:top w:val="single" w:sz="4" w:space="0" w:color="auto"/>
              <w:left w:val="single" w:sz="4" w:space="0" w:color="auto"/>
              <w:bottom w:val="single" w:sz="4" w:space="0" w:color="auto"/>
              <w:right w:val="single" w:sz="4" w:space="0" w:color="auto"/>
            </w:tcBorders>
            <w:hideMark/>
          </w:tcPr>
          <w:p w14:paraId="6A071510"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(.2016)</w:t>
            </w:r>
          </w:p>
        </w:tc>
      </w:tr>
      <w:tr w:rsidR="00AB5818" w:rsidRPr="00AB5818" w14:paraId="427B66B9"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59CF24AE"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TSD * Range</w:t>
            </w:r>
          </w:p>
        </w:tc>
        <w:tc>
          <w:tcPr>
            <w:tcW w:w="809" w:type="pct"/>
            <w:tcBorders>
              <w:top w:val="single" w:sz="4" w:space="0" w:color="auto"/>
              <w:left w:val="single" w:sz="4" w:space="0" w:color="auto"/>
              <w:bottom w:val="single" w:sz="4" w:space="0" w:color="auto"/>
              <w:right w:val="single" w:sz="4" w:space="0" w:color="auto"/>
            </w:tcBorders>
            <w:hideMark/>
          </w:tcPr>
          <w:p w14:paraId="7ABF1A5F"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-.07804***</w:t>
            </w:r>
          </w:p>
        </w:tc>
        <w:tc>
          <w:tcPr>
            <w:tcW w:w="673" w:type="pct"/>
            <w:tcBorders>
              <w:top w:val="single" w:sz="4" w:space="0" w:color="auto"/>
              <w:left w:val="single" w:sz="4" w:space="0" w:color="auto"/>
              <w:bottom w:val="single" w:sz="4" w:space="0" w:color="auto"/>
              <w:right w:val="single" w:sz="4" w:space="0" w:color="auto"/>
            </w:tcBorders>
            <w:hideMark/>
          </w:tcPr>
          <w:p w14:paraId="1063B5B0"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-.06071***</w:t>
            </w:r>
          </w:p>
        </w:tc>
        <w:tc>
          <w:tcPr>
            <w:tcW w:w="672" w:type="pct"/>
            <w:tcBorders>
              <w:top w:val="single" w:sz="4" w:space="0" w:color="auto"/>
              <w:left w:val="single" w:sz="4" w:space="0" w:color="auto"/>
              <w:bottom w:val="single" w:sz="4" w:space="0" w:color="auto"/>
              <w:right w:val="single" w:sz="4" w:space="0" w:color="auto"/>
            </w:tcBorders>
            <w:hideMark/>
          </w:tcPr>
          <w:p w14:paraId="5C3DC820"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-.05026</w:t>
            </w:r>
          </w:p>
        </w:tc>
        <w:tc>
          <w:tcPr>
            <w:tcW w:w="673" w:type="pct"/>
            <w:tcBorders>
              <w:top w:val="single" w:sz="4" w:space="0" w:color="auto"/>
              <w:left w:val="single" w:sz="4" w:space="0" w:color="auto"/>
              <w:bottom w:val="single" w:sz="4" w:space="0" w:color="auto"/>
              <w:right w:val="single" w:sz="4" w:space="0" w:color="auto"/>
            </w:tcBorders>
            <w:hideMark/>
          </w:tcPr>
          <w:p w14:paraId="49334D64"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-.05257</w:t>
            </w:r>
          </w:p>
        </w:tc>
        <w:tc>
          <w:tcPr>
            <w:tcW w:w="671" w:type="pct"/>
            <w:tcBorders>
              <w:top w:val="single" w:sz="4" w:space="0" w:color="auto"/>
              <w:left w:val="single" w:sz="4" w:space="0" w:color="auto"/>
              <w:bottom w:val="single" w:sz="4" w:space="0" w:color="auto"/>
              <w:right w:val="single" w:sz="4" w:space="0" w:color="auto"/>
            </w:tcBorders>
            <w:hideMark/>
          </w:tcPr>
          <w:p w14:paraId="502CC008"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-.19853***</w:t>
            </w:r>
          </w:p>
        </w:tc>
        <w:tc>
          <w:tcPr>
            <w:tcW w:w="666" w:type="pct"/>
            <w:tcBorders>
              <w:top w:val="single" w:sz="4" w:space="0" w:color="auto"/>
              <w:left w:val="single" w:sz="4" w:space="0" w:color="auto"/>
              <w:bottom w:val="single" w:sz="4" w:space="0" w:color="auto"/>
              <w:right w:val="single" w:sz="4" w:space="0" w:color="auto"/>
            </w:tcBorders>
            <w:hideMark/>
          </w:tcPr>
          <w:p w14:paraId="5FCFD06A"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-.0309</w:t>
            </w:r>
          </w:p>
        </w:tc>
      </w:tr>
      <w:tr w:rsidR="00AB5818" w:rsidRPr="00AB5818" w14:paraId="17B0B91B"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1320967C" w14:textId="1AB2EA37" w:rsidR="00AB5818" w:rsidRPr="00AB5818" w:rsidRDefault="00AB5818" w:rsidP="002E4B8A">
            <w:pPr>
              <w:widowControl w:val="0"/>
              <w:autoSpaceDE w:val="0"/>
              <w:autoSpaceDN w:val="0"/>
              <w:adjustRightInd w:val="0"/>
              <w:spacing w:line="240" w:lineRule="auto"/>
              <w:rPr>
                <w:rFonts w:eastAsia="Calibri" w:cs="Times New Roman"/>
                <w:sz w:val="20"/>
                <w:szCs w:val="20"/>
              </w:rPr>
            </w:pPr>
          </w:p>
        </w:tc>
        <w:tc>
          <w:tcPr>
            <w:tcW w:w="809" w:type="pct"/>
            <w:tcBorders>
              <w:top w:val="single" w:sz="4" w:space="0" w:color="auto"/>
              <w:left w:val="single" w:sz="4" w:space="0" w:color="auto"/>
              <w:bottom w:val="single" w:sz="4" w:space="0" w:color="auto"/>
              <w:right w:val="single" w:sz="4" w:space="0" w:color="auto"/>
            </w:tcBorders>
            <w:hideMark/>
          </w:tcPr>
          <w:p w14:paraId="6439CD44"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(.02448)</w:t>
            </w:r>
          </w:p>
        </w:tc>
        <w:tc>
          <w:tcPr>
            <w:tcW w:w="673" w:type="pct"/>
            <w:tcBorders>
              <w:top w:val="single" w:sz="4" w:space="0" w:color="auto"/>
              <w:left w:val="single" w:sz="4" w:space="0" w:color="auto"/>
              <w:bottom w:val="single" w:sz="4" w:space="0" w:color="auto"/>
              <w:right w:val="single" w:sz="4" w:space="0" w:color="auto"/>
            </w:tcBorders>
            <w:hideMark/>
          </w:tcPr>
          <w:p w14:paraId="188488B7"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(.01801)</w:t>
            </w:r>
          </w:p>
        </w:tc>
        <w:tc>
          <w:tcPr>
            <w:tcW w:w="672" w:type="pct"/>
            <w:tcBorders>
              <w:top w:val="single" w:sz="4" w:space="0" w:color="auto"/>
              <w:left w:val="single" w:sz="4" w:space="0" w:color="auto"/>
              <w:bottom w:val="single" w:sz="4" w:space="0" w:color="auto"/>
              <w:right w:val="single" w:sz="4" w:space="0" w:color="auto"/>
            </w:tcBorders>
            <w:hideMark/>
          </w:tcPr>
          <w:p w14:paraId="2F7D943F"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(.05524)</w:t>
            </w:r>
          </w:p>
        </w:tc>
        <w:tc>
          <w:tcPr>
            <w:tcW w:w="673" w:type="pct"/>
            <w:tcBorders>
              <w:top w:val="single" w:sz="4" w:space="0" w:color="auto"/>
              <w:left w:val="single" w:sz="4" w:space="0" w:color="auto"/>
              <w:bottom w:val="single" w:sz="4" w:space="0" w:color="auto"/>
              <w:right w:val="single" w:sz="4" w:space="0" w:color="auto"/>
            </w:tcBorders>
            <w:hideMark/>
          </w:tcPr>
          <w:p w14:paraId="7FACFE76"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(.05143)</w:t>
            </w:r>
          </w:p>
        </w:tc>
        <w:tc>
          <w:tcPr>
            <w:tcW w:w="671" w:type="pct"/>
            <w:tcBorders>
              <w:top w:val="single" w:sz="4" w:space="0" w:color="auto"/>
              <w:left w:val="single" w:sz="4" w:space="0" w:color="auto"/>
              <w:bottom w:val="single" w:sz="4" w:space="0" w:color="auto"/>
              <w:right w:val="single" w:sz="4" w:space="0" w:color="auto"/>
            </w:tcBorders>
            <w:hideMark/>
          </w:tcPr>
          <w:p w14:paraId="2AAB034F"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(.05828)</w:t>
            </w:r>
          </w:p>
        </w:tc>
        <w:tc>
          <w:tcPr>
            <w:tcW w:w="666" w:type="pct"/>
            <w:tcBorders>
              <w:top w:val="single" w:sz="4" w:space="0" w:color="auto"/>
              <w:left w:val="single" w:sz="4" w:space="0" w:color="auto"/>
              <w:bottom w:val="single" w:sz="4" w:space="0" w:color="auto"/>
              <w:right w:val="single" w:sz="4" w:space="0" w:color="auto"/>
            </w:tcBorders>
            <w:hideMark/>
          </w:tcPr>
          <w:p w14:paraId="7DAAACB6"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(.05723)</w:t>
            </w:r>
          </w:p>
        </w:tc>
      </w:tr>
      <w:tr w:rsidR="00AB5818" w:rsidRPr="00AB5818" w14:paraId="50D646AD"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71BA055E"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Joint Test (p-value)</w:t>
            </w:r>
          </w:p>
        </w:tc>
        <w:tc>
          <w:tcPr>
            <w:tcW w:w="809" w:type="pct"/>
            <w:tcBorders>
              <w:top w:val="single" w:sz="4" w:space="0" w:color="auto"/>
              <w:left w:val="single" w:sz="4" w:space="0" w:color="auto"/>
              <w:bottom w:val="single" w:sz="4" w:space="0" w:color="auto"/>
              <w:right w:val="single" w:sz="4" w:space="0" w:color="auto"/>
            </w:tcBorders>
            <w:hideMark/>
          </w:tcPr>
          <w:p w14:paraId="086CC8B5" w14:textId="77777777" w:rsidR="00AB5818" w:rsidRPr="00271798" w:rsidRDefault="00AB5818" w:rsidP="002E4B8A">
            <w:pPr>
              <w:spacing w:line="240" w:lineRule="auto"/>
              <w:rPr>
                <w:rFonts w:eastAsia="Calibri" w:cs="Times New Roman"/>
                <w:sz w:val="20"/>
                <w:szCs w:val="20"/>
                <w:lang/>
              </w:rPr>
            </w:pPr>
            <w:r w:rsidRPr="00271798">
              <w:rPr>
                <w:rFonts w:eastAsia="Calibri" w:cs="Times New Roman"/>
                <w:sz w:val="20"/>
                <w:szCs w:val="20"/>
                <w:lang/>
              </w:rPr>
              <w:t>0.0000</w:t>
            </w:r>
          </w:p>
        </w:tc>
        <w:tc>
          <w:tcPr>
            <w:tcW w:w="673" w:type="pct"/>
            <w:tcBorders>
              <w:top w:val="single" w:sz="4" w:space="0" w:color="auto"/>
              <w:left w:val="single" w:sz="4" w:space="0" w:color="auto"/>
              <w:bottom w:val="single" w:sz="4" w:space="0" w:color="auto"/>
              <w:right w:val="single" w:sz="4" w:space="0" w:color="auto"/>
            </w:tcBorders>
            <w:hideMark/>
          </w:tcPr>
          <w:p w14:paraId="505C8E69" w14:textId="77777777" w:rsidR="00AB5818" w:rsidRPr="00271798" w:rsidRDefault="00AB5818" w:rsidP="002E4B8A">
            <w:pPr>
              <w:widowControl w:val="0"/>
              <w:autoSpaceDE w:val="0"/>
              <w:autoSpaceDN w:val="0"/>
              <w:adjustRightInd w:val="0"/>
              <w:spacing w:line="240" w:lineRule="auto"/>
              <w:rPr>
                <w:rFonts w:eastAsia="Calibri" w:cs="Times New Roman"/>
                <w:sz w:val="20"/>
                <w:szCs w:val="20"/>
              </w:rPr>
            </w:pPr>
            <w:r w:rsidRPr="00271798">
              <w:rPr>
                <w:rFonts w:eastAsia="Calibri" w:cs="Times New Roman"/>
                <w:sz w:val="20"/>
                <w:szCs w:val="20"/>
                <w:lang/>
              </w:rPr>
              <w:t>0.00</w:t>
            </w:r>
            <w:r w:rsidRPr="00271798">
              <w:rPr>
                <w:rFonts w:eastAsia="Calibri" w:cs="Times New Roman"/>
                <w:sz w:val="20"/>
                <w:szCs w:val="20"/>
              </w:rPr>
              <w:t>24</w:t>
            </w:r>
          </w:p>
        </w:tc>
        <w:tc>
          <w:tcPr>
            <w:tcW w:w="672" w:type="pct"/>
            <w:tcBorders>
              <w:top w:val="single" w:sz="4" w:space="0" w:color="auto"/>
              <w:left w:val="single" w:sz="4" w:space="0" w:color="auto"/>
              <w:bottom w:val="single" w:sz="4" w:space="0" w:color="auto"/>
              <w:right w:val="single" w:sz="4" w:space="0" w:color="auto"/>
            </w:tcBorders>
            <w:hideMark/>
          </w:tcPr>
          <w:p w14:paraId="09D03700" w14:textId="77777777" w:rsidR="00AB5818" w:rsidRPr="00271798" w:rsidRDefault="00AB5818" w:rsidP="002E4B8A">
            <w:pPr>
              <w:widowControl w:val="0"/>
              <w:autoSpaceDE w:val="0"/>
              <w:autoSpaceDN w:val="0"/>
              <w:adjustRightInd w:val="0"/>
              <w:spacing w:line="240" w:lineRule="auto"/>
              <w:rPr>
                <w:rFonts w:eastAsia="Calibri" w:cs="Times New Roman"/>
                <w:sz w:val="20"/>
                <w:szCs w:val="20"/>
              </w:rPr>
            </w:pPr>
            <w:r w:rsidRPr="00271798">
              <w:rPr>
                <w:rFonts w:eastAsia="Calibri" w:cs="Times New Roman"/>
                <w:sz w:val="20"/>
                <w:szCs w:val="20"/>
              </w:rPr>
              <w:t>0.5447</w:t>
            </w:r>
          </w:p>
        </w:tc>
        <w:tc>
          <w:tcPr>
            <w:tcW w:w="673" w:type="pct"/>
            <w:tcBorders>
              <w:top w:val="single" w:sz="4" w:space="0" w:color="auto"/>
              <w:left w:val="single" w:sz="4" w:space="0" w:color="auto"/>
              <w:bottom w:val="single" w:sz="4" w:space="0" w:color="auto"/>
              <w:right w:val="single" w:sz="4" w:space="0" w:color="auto"/>
            </w:tcBorders>
            <w:hideMark/>
          </w:tcPr>
          <w:p w14:paraId="13DAC136" w14:textId="77777777" w:rsidR="00AB5818" w:rsidRPr="00271798" w:rsidRDefault="00AB5818" w:rsidP="002E4B8A">
            <w:pPr>
              <w:widowControl w:val="0"/>
              <w:autoSpaceDE w:val="0"/>
              <w:autoSpaceDN w:val="0"/>
              <w:adjustRightInd w:val="0"/>
              <w:spacing w:line="240" w:lineRule="auto"/>
              <w:rPr>
                <w:rFonts w:eastAsia="Calibri" w:cs="Times New Roman"/>
                <w:sz w:val="20"/>
                <w:szCs w:val="20"/>
              </w:rPr>
            </w:pPr>
            <w:r w:rsidRPr="00271798">
              <w:rPr>
                <w:rFonts w:eastAsia="Calibri" w:cs="Times New Roman"/>
                <w:sz w:val="20"/>
                <w:szCs w:val="20"/>
              </w:rPr>
              <w:t>0.1148</w:t>
            </w:r>
          </w:p>
        </w:tc>
        <w:tc>
          <w:tcPr>
            <w:tcW w:w="671" w:type="pct"/>
            <w:tcBorders>
              <w:top w:val="single" w:sz="4" w:space="0" w:color="auto"/>
              <w:left w:val="single" w:sz="4" w:space="0" w:color="auto"/>
              <w:bottom w:val="single" w:sz="4" w:space="0" w:color="auto"/>
              <w:right w:val="single" w:sz="4" w:space="0" w:color="auto"/>
            </w:tcBorders>
            <w:hideMark/>
          </w:tcPr>
          <w:p w14:paraId="4A32EFA9" w14:textId="77777777" w:rsidR="00AB5818" w:rsidRPr="00271798" w:rsidRDefault="00AB5818" w:rsidP="002E4B8A">
            <w:pPr>
              <w:widowControl w:val="0"/>
              <w:autoSpaceDE w:val="0"/>
              <w:autoSpaceDN w:val="0"/>
              <w:adjustRightInd w:val="0"/>
              <w:spacing w:line="240" w:lineRule="auto"/>
              <w:rPr>
                <w:rFonts w:eastAsia="Calibri" w:cs="Times New Roman"/>
                <w:sz w:val="20"/>
                <w:szCs w:val="20"/>
                <w:lang/>
              </w:rPr>
            </w:pPr>
            <w:r w:rsidRPr="00271798">
              <w:rPr>
                <w:rFonts w:eastAsia="Calibri" w:cs="Times New Roman"/>
                <w:sz w:val="20"/>
                <w:szCs w:val="20"/>
                <w:lang/>
              </w:rPr>
              <w:t>0.00</w:t>
            </w:r>
            <w:r w:rsidRPr="00271798">
              <w:rPr>
                <w:rFonts w:eastAsia="Calibri" w:cs="Times New Roman"/>
                <w:sz w:val="20"/>
                <w:szCs w:val="20"/>
              </w:rPr>
              <w:t>30</w:t>
            </w:r>
          </w:p>
        </w:tc>
        <w:tc>
          <w:tcPr>
            <w:tcW w:w="666" w:type="pct"/>
            <w:tcBorders>
              <w:top w:val="single" w:sz="4" w:space="0" w:color="auto"/>
              <w:left w:val="single" w:sz="4" w:space="0" w:color="auto"/>
              <w:bottom w:val="single" w:sz="4" w:space="0" w:color="auto"/>
              <w:right w:val="single" w:sz="4" w:space="0" w:color="auto"/>
            </w:tcBorders>
            <w:hideMark/>
          </w:tcPr>
          <w:p w14:paraId="1F210555" w14:textId="77777777" w:rsidR="00AB5818" w:rsidRPr="00271798" w:rsidRDefault="00AB5818" w:rsidP="002E4B8A">
            <w:pPr>
              <w:widowControl w:val="0"/>
              <w:autoSpaceDE w:val="0"/>
              <w:autoSpaceDN w:val="0"/>
              <w:adjustRightInd w:val="0"/>
              <w:spacing w:line="240" w:lineRule="auto"/>
              <w:rPr>
                <w:rFonts w:eastAsia="Calibri" w:cs="Times New Roman"/>
                <w:sz w:val="20"/>
                <w:szCs w:val="20"/>
                <w:lang/>
              </w:rPr>
            </w:pPr>
            <w:r w:rsidRPr="00271798">
              <w:rPr>
                <w:rFonts w:eastAsia="Calibri" w:cs="Times New Roman"/>
                <w:sz w:val="20"/>
                <w:szCs w:val="20"/>
              </w:rPr>
              <w:t>0.1919</w:t>
            </w:r>
          </w:p>
        </w:tc>
      </w:tr>
      <w:tr w:rsidR="00AB5818" w:rsidRPr="00AB5818" w14:paraId="0B55624E"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4762288C"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State FE</w:t>
            </w:r>
          </w:p>
        </w:tc>
        <w:tc>
          <w:tcPr>
            <w:tcW w:w="809" w:type="pct"/>
            <w:tcBorders>
              <w:top w:val="single" w:sz="4" w:space="0" w:color="auto"/>
              <w:left w:val="single" w:sz="4" w:space="0" w:color="auto"/>
              <w:bottom w:val="single" w:sz="4" w:space="0" w:color="auto"/>
              <w:right w:val="single" w:sz="4" w:space="0" w:color="auto"/>
            </w:tcBorders>
            <w:hideMark/>
          </w:tcPr>
          <w:p w14:paraId="1BBA6A90"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73" w:type="pct"/>
            <w:tcBorders>
              <w:top w:val="single" w:sz="4" w:space="0" w:color="auto"/>
              <w:left w:val="single" w:sz="4" w:space="0" w:color="auto"/>
              <w:bottom w:val="single" w:sz="4" w:space="0" w:color="auto"/>
              <w:right w:val="single" w:sz="4" w:space="0" w:color="auto"/>
            </w:tcBorders>
            <w:hideMark/>
          </w:tcPr>
          <w:p w14:paraId="5996D8C6"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c>
          <w:tcPr>
            <w:tcW w:w="672" w:type="pct"/>
            <w:tcBorders>
              <w:top w:val="single" w:sz="4" w:space="0" w:color="auto"/>
              <w:left w:val="single" w:sz="4" w:space="0" w:color="auto"/>
              <w:bottom w:val="single" w:sz="4" w:space="0" w:color="auto"/>
              <w:right w:val="single" w:sz="4" w:space="0" w:color="auto"/>
            </w:tcBorders>
            <w:hideMark/>
          </w:tcPr>
          <w:p w14:paraId="0B070231"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73" w:type="pct"/>
            <w:tcBorders>
              <w:top w:val="single" w:sz="4" w:space="0" w:color="auto"/>
              <w:left w:val="single" w:sz="4" w:space="0" w:color="auto"/>
              <w:bottom w:val="single" w:sz="4" w:space="0" w:color="auto"/>
              <w:right w:val="single" w:sz="4" w:space="0" w:color="auto"/>
            </w:tcBorders>
            <w:hideMark/>
          </w:tcPr>
          <w:p w14:paraId="26EBD89C"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c>
          <w:tcPr>
            <w:tcW w:w="671" w:type="pct"/>
            <w:tcBorders>
              <w:top w:val="single" w:sz="4" w:space="0" w:color="auto"/>
              <w:left w:val="single" w:sz="4" w:space="0" w:color="auto"/>
              <w:bottom w:val="single" w:sz="4" w:space="0" w:color="auto"/>
              <w:right w:val="single" w:sz="4" w:space="0" w:color="auto"/>
            </w:tcBorders>
            <w:hideMark/>
          </w:tcPr>
          <w:p w14:paraId="40E1A519"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66" w:type="pct"/>
            <w:tcBorders>
              <w:top w:val="single" w:sz="4" w:space="0" w:color="auto"/>
              <w:left w:val="single" w:sz="4" w:space="0" w:color="auto"/>
              <w:bottom w:val="single" w:sz="4" w:space="0" w:color="auto"/>
              <w:right w:val="single" w:sz="4" w:space="0" w:color="auto"/>
            </w:tcBorders>
            <w:hideMark/>
          </w:tcPr>
          <w:p w14:paraId="2B87946A"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r>
      <w:tr w:rsidR="00AB5818" w:rsidRPr="00AB5818" w14:paraId="5DCF095B"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65A8FBDD"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Year FE</w:t>
            </w:r>
          </w:p>
        </w:tc>
        <w:tc>
          <w:tcPr>
            <w:tcW w:w="809" w:type="pct"/>
            <w:tcBorders>
              <w:top w:val="single" w:sz="4" w:space="0" w:color="auto"/>
              <w:left w:val="single" w:sz="4" w:space="0" w:color="auto"/>
              <w:bottom w:val="single" w:sz="4" w:space="0" w:color="auto"/>
              <w:right w:val="single" w:sz="4" w:space="0" w:color="auto"/>
            </w:tcBorders>
            <w:hideMark/>
          </w:tcPr>
          <w:p w14:paraId="1ED32999"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73" w:type="pct"/>
            <w:tcBorders>
              <w:top w:val="single" w:sz="4" w:space="0" w:color="auto"/>
              <w:left w:val="single" w:sz="4" w:space="0" w:color="auto"/>
              <w:bottom w:val="single" w:sz="4" w:space="0" w:color="auto"/>
              <w:right w:val="single" w:sz="4" w:space="0" w:color="auto"/>
            </w:tcBorders>
            <w:hideMark/>
          </w:tcPr>
          <w:p w14:paraId="25EFA408"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c>
          <w:tcPr>
            <w:tcW w:w="672" w:type="pct"/>
            <w:tcBorders>
              <w:top w:val="single" w:sz="4" w:space="0" w:color="auto"/>
              <w:left w:val="single" w:sz="4" w:space="0" w:color="auto"/>
              <w:bottom w:val="single" w:sz="4" w:space="0" w:color="auto"/>
              <w:right w:val="single" w:sz="4" w:space="0" w:color="auto"/>
            </w:tcBorders>
            <w:hideMark/>
          </w:tcPr>
          <w:p w14:paraId="75748B63"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73" w:type="pct"/>
            <w:tcBorders>
              <w:top w:val="single" w:sz="4" w:space="0" w:color="auto"/>
              <w:left w:val="single" w:sz="4" w:space="0" w:color="auto"/>
              <w:bottom w:val="single" w:sz="4" w:space="0" w:color="auto"/>
              <w:right w:val="single" w:sz="4" w:space="0" w:color="auto"/>
            </w:tcBorders>
            <w:hideMark/>
          </w:tcPr>
          <w:p w14:paraId="131455EB"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c>
          <w:tcPr>
            <w:tcW w:w="671" w:type="pct"/>
            <w:tcBorders>
              <w:top w:val="single" w:sz="4" w:space="0" w:color="auto"/>
              <w:left w:val="single" w:sz="4" w:space="0" w:color="auto"/>
              <w:bottom w:val="single" w:sz="4" w:space="0" w:color="auto"/>
              <w:right w:val="single" w:sz="4" w:space="0" w:color="auto"/>
            </w:tcBorders>
            <w:hideMark/>
          </w:tcPr>
          <w:p w14:paraId="0E30E314"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66" w:type="pct"/>
            <w:tcBorders>
              <w:top w:val="single" w:sz="4" w:space="0" w:color="auto"/>
              <w:left w:val="single" w:sz="4" w:space="0" w:color="auto"/>
              <w:bottom w:val="single" w:sz="4" w:space="0" w:color="auto"/>
              <w:right w:val="single" w:sz="4" w:space="0" w:color="auto"/>
            </w:tcBorders>
            <w:hideMark/>
          </w:tcPr>
          <w:p w14:paraId="04842D6B"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r>
      <w:tr w:rsidR="00AB5818" w:rsidRPr="00AB5818" w14:paraId="202BA9BF"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6AA6DDB2"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County FE</w:t>
            </w:r>
          </w:p>
        </w:tc>
        <w:tc>
          <w:tcPr>
            <w:tcW w:w="809" w:type="pct"/>
            <w:tcBorders>
              <w:top w:val="single" w:sz="4" w:space="0" w:color="auto"/>
              <w:left w:val="single" w:sz="4" w:space="0" w:color="auto"/>
              <w:bottom w:val="single" w:sz="4" w:space="0" w:color="auto"/>
              <w:right w:val="single" w:sz="4" w:space="0" w:color="auto"/>
            </w:tcBorders>
            <w:hideMark/>
          </w:tcPr>
          <w:p w14:paraId="1E93D640"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73" w:type="pct"/>
            <w:tcBorders>
              <w:top w:val="single" w:sz="4" w:space="0" w:color="auto"/>
              <w:left w:val="single" w:sz="4" w:space="0" w:color="auto"/>
              <w:bottom w:val="single" w:sz="4" w:space="0" w:color="auto"/>
              <w:right w:val="single" w:sz="4" w:space="0" w:color="auto"/>
            </w:tcBorders>
            <w:hideMark/>
          </w:tcPr>
          <w:p w14:paraId="288F0DE6"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c>
          <w:tcPr>
            <w:tcW w:w="672" w:type="pct"/>
            <w:tcBorders>
              <w:top w:val="single" w:sz="4" w:space="0" w:color="auto"/>
              <w:left w:val="single" w:sz="4" w:space="0" w:color="auto"/>
              <w:bottom w:val="single" w:sz="4" w:space="0" w:color="auto"/>
              <w:right w:val="single" w:sz="4" w:space="0" w:color="auto"/>
            </w:tcBorders>
            <w:hideMark/>
          </w:tcPr>
          <w:p w14:paraId="1314F052"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73" w:type="pct"/>
            <w:tcBorders>
              <w:top w:val="single" w:sz="4" w:space="0" w:color="auto"/>
              <w:left w:val="single" w:sz="4" w:space="0" w:color="auto"/>
              <w:bottom w:val="single" w:sz="4" w:space="0" w:color="auto"/>
              <w:right w:val="single" w:sz="4" w:space="0" w:color="auto"/>
            </w:tcBorders>
            <w:hideMark/>
          </w:tcPr>
          <w:p w14:paraId="2554435F"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c>
          <w:tcPr>
            <w:tcW w:w="671" w:type="pct"/>
            <w:tcBorders>
              <w:top w:val="single" w:sz="4" w:space="0" w:color="auto"/>
              <w:left w:val="single" w:sz="4" w:space="0" w:color="auto"/>
              <w:bottom w:val="single" w:sz="4" w:space="0" w:color="auto"/>
              <w:right w:val="single" w:sz="4" w:space="0" w:color="auto"/>
            </w:tcBorders>
            <w:hideMark/>
          </w:tcPr>
          <w:p w14:paraId="2CA9553A"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66" w:type="pct"/>
            <w:tcBorders>
              <w:top w:val="single" w:sz="4" w:space="0" w:color="auto"/>
              <w:left w:val="single" w:sz="4" w:space="0" w:color="auto"/>
              <w:bottom w:val="single" w:sz="4" w:space="0" w:color="auto"/>
              <w:right w:val="single" w:sz="4" w:space="0" w:color="auto"/>
            </w:tcBorders>
            <w:hideMark/>
          </w:tcPr>
          <w:p w14:paraId="77375102"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r>
    </w:tbl>
    <w:p w14:paraId="1DD5B9BE" w14:textId="10E035FD" w:rsidR="00CE0D78" w:rsidRDefault="000E300A" w:rsidP="00CE0D78">
      <w:pPr>
        <w:widowControl w:val="0"/>
        <w:autoSpaceDE w:val="0"/>
        <w:autoSpaceDN w:val="0"/>
        <w:adjustRightInd w:val="0"/>
        <w:spacing w:line="240" w:lineRule="auto"/>
        <w:rPr>
          <w:rFonts w:eastAsia="Calibri" w:cs="Times New Roman"/>
          <w:b/>
          <w:bCs/>
          <w:sz w:val="20"/>
          <w:szCs w:val="20"/>
        </w:rPr>
      </w:pPr>
      <w:r>
        <w:rPr>
          <w:rFonts w:eastAsia="Calibri" w:cs="Times New Roman"/>
          <w:sz w:val="20"/>
          <w:szCs w:val="20"/>
        </w:rPr>
        <w:t xml:space="preserve">Table A48: </w:t>
      </w:r>
      <w:r w:rsidR="00AB5818" w:rsidRPr="00AB5818">
        <w:rPr>
          <w:rFonts w:eastAsia="Calibri" w:cs="Times New Roman"/>
          <w:sz w:val="20"/>
          <w:szCs w:val="20"/>
          <w:lang/>
        </w:rPr>
        <w:t>Regression outputs for utilities, showcasing the effects of delisting on economic outcomes, with county-level spatial variation and fixed effects.</w:t>
      </w:r>
      <w:r>
        <w:rPr>
          <w:rFonts w:eastAsia="Calibri" w:cs="Times New Roman"/>
          <w:sz w:val="20"/>
          <w:szCs w:val="20"/>
        </w:rPr>
        <w:t xml:space="preserve"> </w:t>
      </w:r>
      <w:r w:rsidRPr="000E300A">
        <w:rPr>
          <w:rFonts w:eastAsia="Calibri" w:cs="Times New Roman"/>
          <w:sz w:val="20"/>
          <w:szCs w:val="20"/>
        </w:rPr>
        <w:t>Statistically significant impacts are denoted by asterisks. These asterisks denote statistical significance at the following levels: ***p &lt; 0.01, **p &lt; 0.05, *p &lt; 0.1.</w:t>
      </w:r>
      <w:r w:rsidR="00AB5818" w:rsidRPr="00AB5818">
        <w:rPr>
          <w:rFonts w:eastAsia="Calibri" w:cs="Times New Roman"/>
          <w:sz w:val="20"/>
          <w:szCs w:val="20"/>
        </w:rPr>
        <w:br/>
      </w:r>
    </w:p>
    <w:p w14:paraId="67644ADE" w14:textId="0D99141F" w:rsidR="00F83040" w:rsidRDefault="00F83040" w:rsidP="00CE0D78">
      <w:pPr>
        <w:widowControl w:val="0"/>
        <w:autoSpaceDE w:val="0"/>
        <w:autoSpaceDN w:val="0"/>
        <w:adjustRightInd w:val="0"/>
        <w:spacing w:line="240" w:lineRule="auto"/>
        <w:rPr>
          <w:rFonts w:eastAsia="Calibri" w:cs="Times New Roman"/>
          <w:b/>
          <w:bCs/>
          <w:sz w:val="20"/>
          <w:szCs w:val="20"/>
        </w:rPr>
      </w:pPr>
    </w:p>
    <w:p w14:paraId="44A5AB33" w14:textId="77777777" w:rsidR="00F83040" w:rsidRDefault="00F83040" w:rsidP="00CE0D78">
      <w:pPr>
        <w:widowControl w:val="0"/>
        <w:autoSpaceDE w:val="0"/>
        <w:autoSpaceDN w:val="0"/>
        <w:adjustRightInd w:val="0"/>
        <w:spacing w:line="240" w:lineRule="auto"/>
        <w:rPr>
          <w:rFonts w:eastAsia="Calibri" w:cs="Times New Roman"/>
          <w:b/>
          <w:bCs/>
          <w:sz w:val="20"/>
          <w:szCs w:val="20"/>
        </w:rPr>
      </w:pPr>
    </w:p>
    <w:p w14:paraId="2D568B58" w14:textId="66C490E3" w:rsidR="00AB5818" w:rsidRPr="00AB5818" w:rsidRDefault="00AB5818" w:rsidP="00095E25">
      <w:pPr>
        <w:pStyle w:val="Title"/>
      </w:pPr>
      <w:bookmarkStart w:id="718" w:name="_Toc188056058"/>
      <w:bookmarkStart w:id="719" w:name="_Toc188057142"/>
      <w:bookmarkStart w:id="720" w:name="_Toc188359654"/>
      <w:bookmarkStart w:id="721" w:name="_Toc188359942"/>
      <w:bookmarkStart w:id="722" w:name="_Toc188361178"/>
      <w:bookmarkStart w:id="723" w:name="_Toc188367021"/>
      <w:r w:rsidRPr="00AB5818">
        <w:t>Table A</w:t>
      </w:r>
      <w:r w:rsidR="005E02DB">
        <w:t>4</w:t>
      </w:r>
      <w:r w:rsidRPr="00AB5818">
        <w:t xml:space="preserve">9: </w:t>
      </w:r>
      <w:r w:rsidR="002E1ED3">
        <w:rPr>
          <w:lang w:val="en-US"/>
        </w:rPr>
        <w:t xml:space="preserve">Summary of </w:t>
      </w:r>
      <w:r w:rsidR="002E1ED3" w:rsidRPr="00AB5818">
        <w:t xml:space="preserve">NAICS </w:t>
      </w:r>
      <w:r w:rsidR="002E1ED3">
        <w:rPr>
          <w:lang w:val="en-US"/>
        </w:rPr>
        <w:t xml:space="preserve">22 Regression Results </w:t>
      </w:r>
      <w:r w:rsidRPr="00AB5818">
        <w:t>– Continuous Range Indicator</w:t>
      </w:r>
      <w:bookmarkEnd w:id="718"/>
      <w:bookmarkEnd w:id="719"/>
      <w:bookmarkEnd w:id="720"/>
      <w:bookmarkEnd w:id="721"/>
      <w:bookmarkEnd w:id="722"/>
      <w:bookmarkEnd w:id="723"/>
    </w:p>
    <w:tbl>
      <w:tblPr>
        <w:tblW w:w="49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0"/>
        <w:gridCol w:w="1500"/>
        <w:gridCol w:w="1248"/>
        <w:gridCol w:w="1246"/>
        <w:gridCol w:w="1248"/>
        <w:gridCol w:w="1244"/>
        <w:gridCol w:w="1235"/>
      </w:tblGrid>
      <w:tr w:rsidR="00922EC5" w:rsidRPr="00AB5818" w14:paraId="2F1DC117"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6C2C7480" w14:textId="5E4CC6C5" w:rsidR="00922EC5" w:rsidRPr="00AB5818" w:rsidRDefault="00922EC5" w:rsidP="002E4B8A">
            <w:pPr>
              <w:widowControl w:val="0"/>
              <w:autoSpaceDE w:val="0"/>
              <w:autoSpaceDN w:val="0"/>
              <w:adjustRightInd w:val="0"/>
              <w:spacing w:line="240" w:lineRule="auto"/>
              <w:rPr>
                <w:rFonts w:eastAsia="Calibri" w:cs="Times New Roman"/>
                <w:b/>
                <w:bCs/>
                <w:sz w:val="20"/>
                <w:szCs w:val="20"/>
              </w:rPr>
            </w:pPr>
            <w:r w:rsidRPr="00922EC5">
              <w:rPr>
                <w:rFonts w:eastAsia="Calibri" w:cs="Times New Roman"/>
                <w:b/>
                <w:bCs/>
                <w:sz w:val="20"/>
                <w:szCs w:val="20"/>
              </w:rPr>
              <w:t>Variable</w:t>
            </w:r>
          </w:p>
        </w:tc>
        <w:tc>
          <w:tcPr>
            <w:tcW w:w="1482" w:type="pct"/>
            <w:gridSpan w:val="2"/>
            <w:tcBorders>
              <w:top w:val="single" w:sz="4" w:space="0" w:color="auto"/>
              <w:left w:val="single" w:sz="4" w:space="0" w:color="auto"/>
              <w:bottom w:val="single" w:sz="4" w:space="0" w:color="auto"/>
              <w:right w:val="single" w:sz="4" w:space="0" w:color="auto"/>
            </w:tcBorders>
            <w:hideMark/>
          </w:tcPr>
          <w:p w14:paraId="007E41EC" w14:textId="5B321D5A" w:rsidR="00922EC5" w:rsidRPr="00AB5818" w:rsidRDefault="00922EC5" w:rsidP="002E4B8A">
            <w:pPr>
              <w:widowControl w:val="0"/>
              <w:autoSpaceDE w:val="0"/>
              <w:autoSpaceDN w:val="0"/>
              <w:adjustRightInd w:val="0"/>
              <w:spacing w:line="240" w:lineRule="auto"/>
              <w:rPr>
                <w:rFonts w:eastAsia="Calibri" w:cs="Times New Roman"/>
                <w:b/>
                <w:bCs/>
                <w:color w:val="FF0000"/>
                <w:sz w:val="20"/>
                <w:szCs w:val="20"/>
                <w:highlight w:val="yellow"/>
              </w:rPr>
            </w:pPr>
            <w:r w:rsidRPr="00922EC5">
              <w:rPr>
                <w:rFonts w:cs="Times New Roman"/>
                <w:b/>
                <w:bCs/>
                <w:sz w:val="20"/>
                <w:szCs w:val="20"/>
              </w:rPr>
              <w:t>Establishment Count</w:t>
            </w:r>
          </w:p>
        </w:tc>
        <w:tc>
          <w:tcPr>
            <w:tcW w:w="1345" w:type="pct"/>
            <w:gridSpan w:val="2"/>
            <w:tcBorders>
              <w:top w:val="single" w:sz="4" w:space="0" w:color="auto"/>
              <w:left w:val="single" w:sz="4" w:space="0" w:color="auto"/>
              <w:bottom w:val="single" w:sz="4" w:space="0" w:color="auto"/>
              <w:right w:val="single" w:sz="4" w:space="0" w:color="auto"/>
            </w:tcBorders>
            <w:hideMark/>
          </w:tcPr>
          <w:p w14:paraId="06B3B21C" w14:textId="18ED9FCE" w:rsidR="00922EC5" w:rsidRPr="00AB5818" w:rsidRDefault="00922EC5" w:rsidP="002E4B8A">
            <w:pPr>
              <w:widowControl w:val="0"/>
              <w:autoSpaceDE w:val="0"/>
              <w:autoSpaceDN w:val="0"/>
              <w:adjustRightInd w:val="0"/>
              <w:spacing w:line="240" w:lineRule="auto"/>
              <w:rPr>
                <w:rFonts w:eastAsia="Calibri" w:cs="Times New Roman"/>
                <w:b/>
                <w:bCs/>
                <w:color w:val="FF0000"/>
                <w:sz w:val="20"/>
                <w:szCs w:val="20"/>
                <w:highlight w:val="yellow"/>
              </w:rPr>
            </w:pPr>
            <w:r w:rsidRPr="00922EC5">
              <w:rPr>
                <w:rFonts w:cs="Times New Roman"/>
                <w:b/>
                <w:bCs/>
                <w:sz w:val="20"/>
                <w:szCs w:val="20"/>
              </w:rPr>
              <w:t>Job Count</w:t>
            </w:r>
          </w:p>
        </w:tc>
        <w:tc>
          <w:tcPr>
            <w:tcW w:w="1337" w:type="pct"/>
            <w:gridSpan w:val="2"/>
            <w:tcBorders>
              <w:top w:val="single" w:sz="4" w:space="0" w:color="auto"/>
              <w:left w:val="single" w:sz="4" w:space="0" w:color="auto"/>
              <w:bottom w:val="single" w:sz="4" w:space="0" w:color="auto"/>
              <w:right w:val="single" w:sz="4" w:space="0" w:color="auto"/>
            </w:tcBorders>
            <w:hideMark/>
          </w:tcPr>
          <w:p w14:paraId="36C49891" w14:textId="180B7C02" w:rsidR="00922EC5" w:rsidRPr="00AB5818" w:rsidRDefault="00922EC5" w:rsidP="002E4B8A">
            <w:pPr>
              <w:widowControl w:val="0"/>
              <w:autoSpaceDE w:val="0"/>
              <w:autoSpaceDN w:val="0"/>
              <w:adjustRightInd w:val="0"/>
              <w:spacing w:line="240" w:lineRule="auto"/>
              <w:rPr>
                <w:rFonts w:eastAsia="Calibri" w:cs="Times New Roman"/>
                <w:b/>
                <w:bCs/>
                <w:color w:val="FF0000"/>
                <w:sz w:val="20"/>
                <w:szCs w:val="20"/>
                <w:highlight w:val="yellow"/>
              </w:rPr>
            </w:pPr>
            <w:r w:rsidRPr="00922EC5">
              <w:rPr>
                <w:rFonts w:cs="Times New Roman"/>
                <w:b/>
                <w:bCs/>
                <w:sz w:val="20"/>
                <w:szCs w:val="20"/>
              </w:rPr>
              <w:t>Sales Volume</w:t>
            </w:r>
          </w:p>
        </w:tc>
      </w:tr>
      <w:tr w:rsidR="00AB5818" w:rsidRPr="00AB5818" w14:paraId="2C6CB5BC"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23855963"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Range</w:t>
            </w:r>
          </w:p>
        </w:tc>
        <w:tc>
          <w:tcPr>
            <w:tcW w:w="809" w:type="pct"/>
            <w:tcBorders>
              <w:top w:val="single" w:sz="4" w:space="0" w:color="auto"/>
              <w:left w:val="single" w:sz="4" w:space="0" w:color="auto"/>
              <w:bottom w:val="single" w:sz="4" w:space="0" w:color="auto"/>
              <w:right w:val="single" w:sz="4" w:space="0" w:color="auto"/>
            </w:tcBorders>
            <w:hideMark/>
          </w:tcPr>
          <w:p w14:paraId="4DC2F020" w14:textId="77777777" w:rsidR="00AB5818" w:rsidRPr="00AB5818" w:rsidRDefault="00AB5818" w:rsidP="002E4B8A">
            <w:pPr>
              <w:widowControl w:val="0"/>
              <w:autoSpaceDE w:val="0"/>
              <w:autoSpaceDN w:val="0"/>
              <w:adjustRightInd w:val="0"/>
              <w:spacing w:line="240" w:lineRule="auto"/>
              <w:rPr>
                <w:rFonts w:eastAsia="Calibri" w:cs="Times New Roman"/>
                <w:sz w:val="20"/>
                <w:szCs w:val="20"/>
                <w:highlight w:val="magenta"/>
              </w:rPr>
            </w:pPr>
            <w:r w:rsidRPr="00AB5818">
              <w:rPr>
                <w:rFonts w:eastAsia="Calibri" w:cs="Times New Roman"/>
                <w:sz w:val="20"/>
                <w:szCs w:val="20"/>
              </w:rPr>
              <w:t>.00313***</w:t>
            </w:r>
          </w:p>
        </w:tc>
        <w:tc>
          <w:tcPr>
            <w:tcW w:w="673" w:type="pct"/>
            <w:tcBorders>
              <w:top w:val="single" w:sz="4" w:space="0" w:color="auto"/>
              <w:left w:val="single" w:sz="4" w:space="0" w:color="auto"/>
              <w:bottom w:val="single" w:sz="4" w:space="0" w:color="auto"/>
              <w:right w:val="single" w:sz="4" w:space="0" w:color="auto"/>
            </w:tcBorders>
            <w:hideMark/>
          </w:tcPr>
          <w:p w14:paraId="4A82C834" w14:textId="77777777" w:rsidR="00AB5818" w:rsidRPr="00AB5818" w:rsidRDefault="00AB5818" w:rsidP="002E4B8A">
            <w:pPr>
              <w:widowControl w:val="0"/>
              <w:autoSpaceDE w:val="0"/>
              <w:autoSpaceDN w:val="0"/>
              <w:adjustRightInd w:val="0"/>
              <w:spacing w:line="240" w:lineRule="auto"/>
              <w:rPr>
                <w:rFonts w:eastAsia="Calibri" w:cs="Times New Roman"/>
                <w:sz w:val="20"/>
                <w:szCs w:val="20"/>
                <w:highlight w:val="magenta"/>
              </w:rPr>
            </w:pPr>
            <w:r w:rsidRPr="00AB5818">
              <w:rPr>
                <w:rFonts w:eastAsia="Calibri" w:cs="Times New Roman"/>
                <w:sz w:val="20"/>
                <w:szCs w:val="20"/>
              </w:rPr>
              <w:t>-.00039</w:t>
            </w:r>
          </w:p>
        </w:tc>
        <w:tc>
          <w:tcPr>
            <w:tcW w:w="672" w:type="pct"/>
            <w:tcBorders>
              <w:top w:val="single" w:sz="4" w:space="0" w:color="auto"/>
              <w:left w:val="single" w:sz="4" w:space="0" w:color="auto"/>
              <w:bottom w:val="single" w:sz="4" w:space="0" w:color="auto"/>
              <w:right w:val="single" w:sz="4" w:space="0" w:color="auto"/>
            </w:tcBorders>
            <w:hideMark/>
          </w:tcPr>
          <w:p w14:paraId="16473ECC"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.00104</w:t>
            </w:r>
          </w:p>
        </w:tc>
        <w:tc>
          <w:tcPr>
            <w:tcW w:w="673" w:type="pct"/>
            <w:tcBorders>
              <w:top w:val="single" w:sz="4" w:space="0" w:color="auto"/>
              <w:left w:val="single" w:sz="4" w:space="0" w:color="auto"/>
              <w:bottom w:val="single" w:sz="4" w:space="0" w:color="auto"/>
              <w:right w:val="single" w:sz="4" w:space="0" w:color="auto"/>
            </w:tcBorders>
            <w:hideMark/>
          </w:tcPr>
          <w:p w14:paraId="4640CBA9"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-.00157**</w:t>
            </w:r>
          </w:p>
        </w:tc>
        <w:tc>
          <w:tcPr>
            <w:tcW w:w="671" w:type="pct"/>
            <w:tcBorders>
              <w:top w:val="single" w:sz="4" w:space="0" w:color="auto"/>
              <w:left w:val="single" w:sz="4" w:space="0" w:color="auto"/>
              <w:bottom w:val="single" w:sz="4" w:space="0" w:color="auto"/>
              <w:right w:val="single" w:sz="4" w:space="0" w:color="auto"/>
            </w:tcBorders>
            <w:hideMark/>
          </w:tcPr>
          <w:p w14:paraId="3ED1EB09"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.00058</w:t>
            </w:r>
          </w:p>
        </w:tc>
        <w:tc>
          <w:tcPr>
            <w:tcW w:w="666" w:type="pct"/>
            <w:tcBorders>
              <w:top w:val="single" w:sz="4" w:space="0" w:color="auto"/>
              <w:left w:val="single" w:sz="4" w:space="0" w:color="auto"/>
              <w:bottom w:val="single" w:sz="4" w:space="0" w:color="auto"/>
              <w:right w:val="single" w:sz="4" w:space="0" w:color="auto"/>
            </w:tcBorders>
            <w:hideMark/>
          </w:tcPr>
          <w:p w14:paraId="16328D8A"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-.00394**</w:t>
            </w:r>
          </w:p>
        </w:tc>
      </w:tr>
      <w:tr w:rsidR="00AB5818" w:rsidRPr="00AB5818" w14:paraId="1BB0E3A1"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6184B587" w14:textId="4272647C" w:rsidR="00AB5818" w:rsidRPr="00AB5818" w:rsidRDefault="00AB5818" w:rsidP="002E4B8A">
            <w:pPr>
              <w:widowControl w:val="0"/>
              <w:autoSpaceDE w:val="0"/>
              <w:autoSpaceDN w:val="0"/>
              <w:adjustRightInd w:val="0"/>
              <w:spacing w:line="240" w:lineRule="auto"/>
              <w:rPr>
                <w:rFonts w:eastAsia="Calibri" w:cs="Times New Roman"/>
                <w:sz w:val="20"/>
                <w:szCs w:val="20"/>
              </w:rPr>
            </w:pPr>
          </w:p>
        </w:tc>
        <w:tc>
          <w:tcPr>
            <w:tcW w:w="809" w:type="pct"/>
            <w:tcBorders>
              <w:top w:val="single" w:sz="4" w:space="0" w:color="auto"/>
              <w:left w:val="single" w:sz="4" w:space="0" w:color="auto"/>
              <w:bottom w:val="single" w:sz="4" w:space="0" w:color="auto"/>
              <w:right w:val="single" w:sz="4" w:space="0" w:color="auto"/>
            </w:tcBorders>
            <w:hideMark/>
          </w:tcPr>
          <w:p w14:paraId="3B34D9C7"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(.0005)</w:t>
            </w:r>
          </w:p>
        </w:tc>
        <w:tc>
          <w:tcPr>
            <w:tcW w:w="673" w:type="pct"/>
            <w:tcBorders>
              <w:top w:val="single" w:sz="4" w:space="0" w:color="auto"/>
              <w:left w:val="single" w:sz="4" w:space="0" w:color="auto"/>
              <w:bottom w:val="single" w:sz="4" w:space="0" w:color="auto"/>
              <w:right w:val="single" w:sz="4" w:space="0" w:color="auto"/>
            </w:tcBorders>
            <w:hideMark/>
          </w:tcPr>
          <w:p w14:paraId="75938A0C"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(.00025)</w:t>
            </w:r>
          </w:p>
        </w:tc>
        <w:tc>
          <w:tcPr>
            <w:tcW w:w="672" w:type="pct"/>
            <w:tcBorders>
              <w:top w:val="single" w:sz="4" w:space="0" w:color="auto"/>
              <w:left w:val="single" w:sz="4" w:space="0" w:color="auto"/>
              <w:bottom w:val="single" w:sz="4" w:space="0" w:color="auto"/>
              <w:right w:val="single" w:sz="4" w:space="0" w:color="auto"/>
            </w:tcBorders>
            <w:hideMark/>
          </w:tcPr>
          <w:p w14:paraId="3823D7A2"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(.00108)</w:t>
            </w:r>
          </w:p>
        </w:tc>
        <w:tc>
          <w:tcPr>
            <w:tcW w:w="673" w:type="pct"/>
            <w:tcBorders>
              <w:top w:val="single" w:sz="4" w:space="0" w:color="auto"/>
              <w:left w:val="single" w:sz="4" w:space="0" w:color="auto"/>
              <w:bottom w:val="single" w:sz="4" w:space="0" w:color="auto"/>
              <w:right w:val="single" w:sz="4" w:space="0" w:color="auto"/>
            </w:tcBorders>
            <w:hideMark/>
          </w:tcPr>
          <w:p w14:paraId="521443A2"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(.00071)</w:t>
            </w:r>
          </w:p>
        </w:tc>
        <w:tc>
          <w:tcPr>
            <w:tcW w:w="671" w:type="pct"/>
            <w:tcBorders>
              <w:top w:val="single" w:sz="4" w:space="0" w:color="auto"/>
              <w:left w:val="single" w:sz="4" w:space="0" w:color="auto"/>
              <w:bottom w:val="single" w:sz="4" w:space="0" w:color="auto"/>
              <w:right w:val="single" w:sz="4" w:space="0" w:color="auto"/>
            </w:tcBorders>
            <w:hideMark/>
          </w:tcPr>
          <w:p w14:paraId="6E737943"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(.00093)</w:t>
            </w:r>
          </w:p>
        </w:tc>
        <w:tc>
          <w:tcPr>
            <w:tcW w:w="666" w:type="pct"/>
            <w:tcBorders>
              <w:top w:val="single" w:sz="4" w:space="0" w:color="auto"/>
              <w:left w:val="single" w:sz="4" w:space="0" w:color="auto"/>
              <w:bottom w:val="single" w:sz="4" w:space="0" w:color="auto"/>
              <w:right w:val="single" w:sz="4" w:space="0" w:color="auto"/>
            </w:tcBorders>
            <w:hideMark/>
          </w:tcPr>
          <w:p w14:paraId="5EFFF041"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(.002)</w:t>
            </w:r>
          </w:p>
        </w:tc>
      </w:tr>
      <w:tr w:rsidR="00AB5818" w:rsidRPr="00AB5818" w14:paraId="74ADDB44"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6C194E2F"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TSD * Range</w:t>
            </w:r>
          </w:p>
        </w:tc>
        <w:tc>
          <w:tcPr>
            <w:tcW w:w="809" w:type="pct"/>
            <w:tcBorders>
              <w:top w:val="single" w:sz="4" w:space="0" w:color="auto"/>
              <w:left w:val="single" w:sz="4" w:space="0" w:color="auto"/>
              <w:bottom w:val="single" w:sz="4" w:space="0" w:color="auto"/>
              <w:right w:val="single" w:sz="4" w:space="0" w:color="auto"/>
            </w:tcBorders>
            <w:hideMark/>
          </w:tcPr>
          <w:p w14:paraId="21D951D8"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.00027</w:t>
            </w:r>
          </w:p>
        </w:tc>
        <w:tc>
          <w:tcPr>
            <w:tcW w:w="673" w:type="pct"/>
            <w:tcBorders>
              <w:top w:val="single" w:sz="4" w:space="0" w:color="auto"/>
              <w:left w:val="single" w:sz="4" w:space="0" w:color="auto"/>
              <w:bottom w:val="single" w:sz="4" w:space="0" w:color="auto"/>
              <w:right w:val="single" w:sz="4" w:space="0" w:color="auto"/>
            </w:tcBorders>
            <w:hideMark/>
          </w:tcPr>
          <w:p w14:paraId="29258D2F"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-.00045**</w:t>
            </w:r>
          </w:p>
        </w:tc>
        <w:tc>
          <w:tcPr>
            <w:tcW w:w="672" w:type="pct"/>
            <w:tcBorders>
              <w:top w:val="single" w:sz="4" w:space="0" w:color="auto"/>
              <w:left w:val="single" w:sz="4" w:space="0" w:color="auto"/>
              <w:bottom w:val="single" w:sz="4" w:space="0" w:color="auto"/>
              <w:right w:val="single" w:sz="4" w:space="0" w:color="auto"/>
            </w:tcBorders>
            <w:hideMark/>
          </w:tcPr>
          <w:p w14:paraId="20A60304"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w:t>
            </w:r>
          </w:p>
        </w:tc>
        <w:tc>
          <w:tcPr>
            <w:tcW w:w="673" w:type="pct"/>
            <w:tcBorders>
              <w:top w:val="single" w:sz="4" w:space="0" w:color="auto"/>
              <w:left w:val="single" w:sz="4" w:space="0" w:color="auto"/>
              <w:bottom w:val="single" w:sz="4" w:space="0" w:color="auto"/>
              <w:right w:val="single" w:sz="4" w:space="0" w:color="auto"/>
            </w:tcBorders>
            <w:hideMark/>
          </w:tcPr>
          <w:p w14:paraId="1BCE7A1C"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-.0008**</w:t>
            </w:r>
          </w:p>
        </w:tc>
        <w:tc>
          <w:tcPr>
            <w:tcW w:w="671" w:type="pct"/>
            <w:tcBorders>
              <w:top w:val="single" w:sz="4" w:space="0" w:color="auto"/>
              <w:left w:val="single" w:sz="4" w:space="0" w:color="auto"/>
              <w:bottom w:val="single" w:sz="4" w:space="0" w:color="auto"/>
              <w:right w:val="single" w:sz="4" w:space="0" w:color="auto"/>
            </w:tcBorders>
            <w:hideMark/>
          </w:tcPr>
          <w:p w14:paraId="5B2F4CDA"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-.00023</w:t>
            </w:r>
          </w:p>
        </w:tc>
        <w:tc>
          <w:tcPr>
            <w:tcW w:w="666" w:type="pct"/>
            <w:tcBorders>
              <w:top w:val="single" w:sz="4" w:space="0" w:color="auto"/>
              <w:left w:val="single" w:sz="4" w:space="0" w:color="auto"/>
              <w:bottom w:val="single" w:sz="4" w:space="0" w:color="auto"/>
              <w:right w:val="single" w:sz="4" w:space="0" w:color="auto"/>
            </w:tcBorders>
            <w:hideMark/>
          </w:tcPr>
          <w:p w14:paraId="40A42861"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-.00085*</w:t>
            </w:r>
          </w:p>
        </w:tc>
      </w:tr>
      <w:tr w:rsidR="00AB5818" w:rsidRPr="00AB5818" w14:paraId="1D882505"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4CC1AB3A" w14:textId="3985B89F" w:rsidR="00AB5818" w:rsidRPr="00AB5818" w:rsidRDefault="00AB5818" w:rsidP="002E4B8A">
            <w:pPr>
              <w:widowControl w:val="0"/>
              <w:autoSpaceDE w:val="0"/>
              <w:autoSpaceDN w:val="0"/>
              <w:adjustRightInd w:val="0"/>
              <w:spacing w:line="240" w:lineRule="auto"/>
              <w:rPr>
                <w:rFonts w:eastAsia="Calibri" w:cs="Times New Roman"/>
                <w:sz w:val="20"/>
                <w:szCs w:val="20"/>
              </w:rPr>
            </w:pPr>
          </w:p>
        </w:tc>
        <w:tc>
          <w:tcPr>
            <w:tcW w:w="809" w:type="pct"/>
            <w:tcBorders>
              <w:top w:val="single" w:sz="4" w:space="0" w:color="auto"/>
              <w:left w:val="single" w:sz="4" w:space="0" w:color="auto"/>
              <w:bottom w:val="single" w:sz="4" w:space="0" w:color="auto"/>
              <w:right w:val="single" w:sz="4" w:space="0" w:color="auto"/>
            </w:tcBorders>
            <w:hideMark/>
          </w:tcPr>
          <w:p w14:paraId="3CD29CB9"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(.00024)</w:t>
            </w:r>
          </w:p>
        </w:tc>
        <w:tc>
          <w:tcPr>
            <w:tcW w:w="673" w:type="pct"/>
            <w:tcBorders>
              <w:top w:val="single" w:sz="4" w:space="0" w:color="auto"/>
              <w:left w:val="single" w:sz="4" w:space="0" w:color="auto"/>
              <w:bottom w:val="single" w:sz="4" w:space="0" w:color="auto"/>
              <w:right w:val="single" w:sz="4" w:space="0" w:color="auto"/>
            </w:tcBorders>
            <w:hideMark/>
          </w:tcPr>
          <w:p w14:paraId="76D33813"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(.00018)</w:t>
            </w:r>
          </w:p>
        </w:tc>
        <w:tc>
          <w:tcPr>
            <w:tcW w:w="672" w:type="pct"/>
            <w:tcBorders>
              <w:top w:val="single" w:sz="4" w:space="0" w:color="auto"/>
              <w:left w:val="single" w:sz="4" w:space="0" w:color="auto"/>
              <w:bottom w:val="single" w:sz="4" w:space="0" w:color="auto"/>
              <w:right w:val="single" w:sz="4" w:space="0" w:color="auto"/>
            </w:tcBorders>
            <w:hideMark/>
          </w:tcPr>
          <w:p w14:paraId="201B2D10"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(.00043)</w:t>
            </w:r>
          </w:p>
        </w:tc>
        <w:tc>
          <w:tcPr>
            <w:tcW w:w="673" w:type="pct"/>
            <w:tcBorders>
              <w:top w:val="single" w:sz="4" w:space="0" w:color="auto"/>
              <w:left w:val="single" w:sz="4" w:space="0" w:color="auto"/>
              <w:bottom w:val="single" w:sz="4" w:space="0" w:color="auto"/>
              <w:right w:val="single" w:sz="4" w:space="0" w:color="auto"/>
            </w:tcBorders>
            <w:hideMark/>
          </w:tcPr>
          <w:p w14:paraId="4D9C718A"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(.0004)</w:t>
            </w:r>
          </w:p>
        </w:tc>
        <w:tc>
          <w:tcPr>
            <w:tcW w:w="671" w:type="pct"/>
            <w:tcBorders>
              <w:top w:val="single" w:sz="4" w:space="0" w:color="auto"/>
              <w:left w:val="single" w:sz="4" w:space="0" w:color="auto"/>
              <w:bottom w:val="single" w:sz="4" w:space="0" w:color="auto"/>
              <w:right w:val="single" w:sz="4" w:space="0" w:color="auto"/>
            </w:tcBorders>
            <w:hideMark/>
          </w:tcPr>
          <w:p w14:paraId="05BC93DA"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(.0005)</w:t>
            </w:r>
          </w:p>
        </w:tc>
        <w:tc>
          <w:tcPr>
            <w:tcW w:w="666" w:type="pct"/>
            <w:tcBorders>
              <w:top w:val="single" w:sz="4" w:space="0" w:color="auto"/>
              <w:left w:val="single" w:sz="4" w:space="0" w:color="auto"/>
              <w:bottom w:val="single" w:sz="4" w:space="0" w:color="auto"/>
              <w:right w:val="single" w:sz="4" w:space="0" w:color="auto"/>
            </w:tcBorders>
            <w:hideMark/>
          </w:tcPr>
          <w:p w14:paraId="2E80C812"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(.00049)</w:t>
            </w:r>
          </w:p>
        </w:tc>
      </w:tr>
      <w:tr w:rsidR="00AB5818" w:rsidRPr="00AB5818" w14:paraId="5F3A88DF"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0B00F96D"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Joint Test (p-value)</w:t>
            </w:r>
          </w:p>
        </w:tc>
        <w:tc>
          <w:tcPr>
            <w:tcW w:w="809" w:type="pct"/>
            <w:tcBorders>
              <w:top w:val="single" w:sz="4" w:space="0" w:color="auto"/>
              <w:left w:val="single" w:sz="4" w:space="0" w:color="auto"/>
              <w:bottom w:val="single" w:sz="4" w:space="0" w:color="auto"/>
              <w:right w:val="single" w:sz="4" w:space="0" w:color="auto"/>
            </w:tcBorders>
            <w:hideMark/>
          </w:tcPr>
          <w:p w14:paraId="3F6D7E73" w14:textId="77777777" w:rsidR="00AB5818" w:rsidRPr="00271798" w:rsidRDefault="00AB5818" w:rsidP="002E4B8A">
            <w:pPr>
              <w:spacing w:line="240" w:lineRule="auto"/>
              <w:rPr>
                <w:rFonts w:eastAsia="Calibri" w:cs="Times New Roman"/>
                <w:sz w:val="20"/>
                <w:szCs w:val="20"/>
                <w:lang/>
              </w:rPr>
            </w:pPr>
            <w:r w:rsidRPr="00271798">
              <w:rPr>
                <w:rFonts w:eastAsia="Calibri" w:cs="Times New Roman"/>
                <w:sz w:val="20"/>
                <w:szCs w:val="20"/>
                <w:lang/>
              </w:rPr>
              <w:t>0.0000</w:t>
            </w:r>
          </w:p>
        </w:tc>
        <w:tc>
          <w:tcPr>
            <w:tcW w:w="673" w:type="pct"/>
            <w:tcBorders>
              <w:top w:val="single" w:sz="4" w:space="0" w:color="auto"/>
              <w:left w:val="single" w:sz="4" w:space="0" w:color="auto"/>
              <w:bottom w:val="single" w:sz="4" w:space="0" w:color="auto"/>
              <w:right w:val="single" w:sz="4" w:space="0" w:color="auto"/>
            </w:tcBorders>
            <w:hideMark/>
          </w:tcPr>
          <w:p w14:paraId="6698CFED" w14:textId="77777777" w:rsidR="00AB5818" w:rsidRPr="00271798" w:rsidRDefault="00AB5818" w:rsidP="002E4B8A">
            <w:pPr>
              <w:widowControl w:val="0"/>
              <w:autoSpaceDE w:val="0"/>
              <w:autoSpaceDN w:val="0"/>
              <w:adjustRightInd w:val="0"/>
              <w:spacing w:line="240" w:lineRule="auto"/>
              <w:rPr>
                <w:rFonts w:eastAsia="Calibri" w:cs="Times New Roman"/>
                <w:sz w:val="20"/>
                <w:szCs w:val="20"/>
              </w:rPr>
            </w:pPr>
            <w:r w:rsidRPr="00271798">
              <w:rPr>
                <w:rFonts w:eastAsia="Calibri" w:cs="Times New Roman"/>
                <w:sz w:val="20"/>
                <w:szCs w:val="20"/>
              </w:rPr>
              <w:t>0.0219</w:t>
            </w:r>
          </w:p>
        </w:tc>
        <w:tc>
          <w:tcPr>
            <w:tcW w:w="672" w:type="pct"/>
            <w:tcBorders>
              <w:top w:val="single" w:sz="4" w:space="0" w:color="auto"/>
              <w:left w:val="single" w:sz="4" w:space="0" w:color="auto"/>
              <w:bottom w:val="single" w:sz="4" w:space="0" w:color="auto"/>
              <w:right w:val="single" w:sz="4" w:space="0" w:color="auto"/>
            </w:tcBorders>
            <w:hideMark/>
          </w:tcPr>
          <w:p w14:paraId="0F6DA240" w14:textId="77777777" w:rsidR="00AB5818" w:rsidRPr="00271798" w:rsidRDefault="00AB5818" w:rsidP="002E4B8A">
            <w:pPr>
              <w:widowControl w:val="0"/>
              <w:autoSpaceDE w:val="0"/>
              <w:autoSpaceDN w:val="0"/>
              <w:adjustRightInd w:val="0"/>
              <w:spacing w:line="240" w:lineRule="auto"/>
              <w:rPr>
                <w:rFonts w:eastAsia="Calibri" w:cs="Times New Roman"/>
                <w:sz w:val="20"/>
                <w:szCs w:val="20"/>
              </w:rPr>
            </w:pPr>
            <w:r w:rsidRPr="00271798">
              <w:rPr>
                <w:rFonts w:eastAsia="Calibri" w:cs="Times New Roman"/>
                <w:sz w:val="20"/>
                <w:szCs w:val="20"/>
                <w:lang/>
              </w:rPr>
              <w:t>0.</w:t>
            </w:r>
            <w:r w:rsidRPr="00271798">
              <w:rPr>
                <w:rFonts w:eastAsia="Calibri" w:cs="Times New Roman"/>
                <w:sz w:val="20"/>
                <w:szCs w:val="20"/>
              </w:rPr>
              <w:t>6128</w:t>
            </w:r>
          </w:p>
        </w:tc>
        <w:tc>
          <w:tcPr>
            <w:tcW w:w="673" w:type="pct"/>
            <w:tcBorders>
              <w:top w:val="single" w:sz="4" w:space="0" w:color="auto"/>
              <w:left w:val="single" w:sz="4" w:space="0" w:color="auto"/>
              <w:bottom w:val="single" w:sz="4" w:space="0" w:color="auto"/>
              <w:right w:val="single" w:sz="4" w:space="0" w:color="auto"/>
            </w:tcBorders>
            <w:hideMark/>
          </w:tcPr>
          <w:p w14:paraId="7BF61AFB" w14:textId="77777777" w:rsidR="00AB5818" w:rsidRPr="00271798" w:rsidRDefault="00AB5818" w:rsidP="002E4B8A">
            <w:pPr>
              <w:widowControl w:val="0"/>
              <w:autoSpaceDE w:val="0"/>
              <w:autoSpaceDN w:val="0"/>
              <w:adjustRightInd w:val="0"/>
              <w:spacing w:line="240" w:lineRule="auto"/>
              <w:rPr>
                <w:rFonts w:eastAsia="Calibri" w:cs="Times New Roman"/>
                <w:sz w:val="20"/>
                <w:szCs w:val="20"/>
              </w:rPr>
            </w:pPr>
            <w:r w:rsidRPr="00271798">
              <w:rPr>
                <w:rFonts w:eastAsia="Calibri" w:cs="Times New Roman"/>
                <w:sz w:val="20"/>
                <w:szCs w:val="20"/>
              </w:rPr>
              <w:t>0.0010</w:t>
            </w:r>
          </w:p>
        </w:tc>
        <w:tc>
          <w:tcPr>
            <w:tcW w:w="671" w:type="pct"/>
            <w:tcBorders>
              <w:top w:val="single" w:sz="4" w:space="0" w:color="auto"/>
              <w:left w:val="single" w:sz="4" w:space="0" w:color="auto"/>
              <w:bottom w:val="single" w:sz="4" w:space="0" w:color="auto"/>
              <w:right w:val="single" w:sz="4" w:space="0" w:color="auto"/>
            </w:tcBorders>
            <w:hideMark/>
          </w:tcPr>
          <w:p w14:paraId="2B76160E" w14:textId="77777777" w:rsidR="00AB5818" w:rsidRPr="00271798" w:rsidRDefault="00AB5818" w:rsidP="002E4B8A">
            <w:pPr>
              <w:widowControl w:val="0"/>
              <w:autoSpaceDE w:val="0"/>
              <w:autoSpaceDN w:val="0"/>
              <w:adjustRightInd w:val="0"/>
              <w:spacing w:line="240" w:lineRule="auto"/>
              <w:rPr>
                <w:rFonts w:eastAsia="Calibri" w:cs="Times New Roman"/>
                <w:sz w:val="20"/>
                <w:szCs w:val="20"/>
                <w:lang/>
              </w:rPr>
            </w:pPr>
            <w:r w:rsidRPr="00271798">
              <w:rPr>
                <w:rFonts w:eastAsia="Calibri" w:cs="Times New Roman"/>
                <w:sz w:val="20"/>
                <w:szCs w:val="20"/>
              </w:rPr>
              <w:t>0.7891</w:t>
            </w:r>
          </w:p>
        </w:tc>
        <w:tc>
          <w:tcPr>
            <w:tcW w:w="666" w:type="pct"/>
            <w:tcBorders>
              <w:top w:val="single" w:sz="4" w:space="0" w:color="auto"/>
              <w:left w:val="single" w:sz="4" w:space="0" w:color="auto"/>
              <w:bottom w:val="single" w:sz="4" w:space="0" w:color="auto"/>
              <w:right w:val="single" w:sz="4" w:space="0" w:color="auto"/>
            </w:tcBorders>
            <w:hideMark/>
          </w:tcPr>
          <w:p w14:paraId="6C38EF20" w14:textId="77777777" w:rsidR="00AB5818" w:rsidRPr="00271798" w:rsidRDefault="00AB5818" w:rsidP="002E4B8A">
            <w:pPr>
              <w:widowControl w:val="0"/>
              <w:autoSpaceDE w:val="0"/>
              <w:autoSpaceDN w:val="0"/>
              <w:adjustRightInd w:val="0"/>
              <w:spacing w:line="240" w:lineRule="auto"/>
              <w:rPr>
                <w:rFonts w:eastAsia="Calibri" w:cs="Times New Roman"/>
                <w:sz w:val="20"/>
                <w:szCs w:val="20"/>
                <w:lang/>
              </w:rPr>
            </w:pPr>
            <w:r w:rsidRPr="00271798">
              <w:rPr>
                <w:rFonts w:eastAsia="Calibri" w:cs="Times New Roman"/>
                <w:sz w:val="20"/>
                <w:szCs w:val="20"/>
              </w:rPr>
              <w:t>0.0152</w:t>
            </w:r>
          </w:p>
        </w:tc>
      </w:tr>
      <w:tr w:rsidR="00AB5818" w:rsidRPr="00AB5818" w14:paraId="5F6BDED5"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63A1C2BA"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State FE</w:t>
            </w:r>
          </w:p>
        </w:tc>
        <w:tc>
          <w:tcPr>
            <w:tcW w:w="809" w:type="pct"/>
            <w:tcBorders>
              <w:top w:val="single" w:sz="4" w:space="0" w:color="auto"/>
              <w:left w:val="single" w:sz="4" w:space="0" w:color="auto"/>
              <w:bottom w:val="single" w:sz="4" w:space="0" w:color="auto"/>
              <w:right w:val="single" w:sz="4" w:space="0" w:color="auto"/>
            </w:tcBorders>
            <w:hideMark/>
          </w:tcPr>
          <w:p w14:paraId="4FB8531A"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73" w:type="pct"/>
            <w:tcBorders>
              <w:top w:val="single" w:sz="4" w:space="0" w:color="auto"/>
              <w:left w:val="single" w:sz="4" w:space="0" w:color="auto"/>
              <w:bottom w:val="single" w:sz="4" w:space="0" w:color="auto"/>
              <w:right w:val="single" w:sz="4" w:space="0" w:color="auto"/>
            </w:tcBorders>
            <w:hideMark/>
          </w:tcPr>
          <w:p w14:paraId="6D58FE1C"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c>
          <w:tcPr>
            <w:tcW w:w="672" w:type="pct"/>
            <w:tcBorders>
              <w:top w:val="single" w:sz="4" w:space="0" w:color="auto"/>
              <w:left w:val="single" w:sz="4" w:space="0" w:color="auto"/>
              <w:bottom w:val="single" w:sz="4" w:space="0" w:color="auto"/>
              <w:right w:val="single" w:sz="4" w:space="0" w:color="auto"/>
            </w:tcBorders>
            <w:hideMark/>
          </w:tcPr>
          <w:p w14:paraId="0A196712"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73" w:type="pct"/>
            <w:tcBorders>
              <w:top w:val="single" w:sz="4" w:space="0" w:color="auto"/>
              <w:left w:val="single" w:sz="4" w:space="0" w:color="auto"/>
              <w:bottom w:val="single" w:sz="4" w:space="0" w:color="auto"/>
              <w:right w:val="single" w:sz="4" w:space="0" w:color="auto"/>
            </w:tcBorders>
            <w:hideMark/>
          </w:tcPr>
          <w:p w14:paraId="0B93CA6D"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c>
          <w:tcPr>
            <w:tcW w:w="671" w:type="pct"/>
            <w:tcBorders>
              <w:top w:val="single" w:sz="4" w:space="0" w:color="auto"/>
              <w:left w:val="single" w:sz="4" w:space="0" w:color="auto"/>
              <w:bottom w:val="single" w:sz="4" w:space="0" w:color="auto"/>
              <w:right w:val="single" w:sz="4" w:space="0" w:color="auto"/>
            </w:tcBorders>
            <w:hideMark/>
          </w:tcPr>
          <w:p w14:paraId="3FC96382"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66" w:type="pct"/>
            <w:tcBorders>
              <w:top w:val="single" w:sz="4" w:space="0" w:color="auto"/>
              <w:left w:val="single" w:sz="4" w:space="0" w:color="auto"/>
              <w:bottom w:val="single" w:sz="4" w:space="0" w:color="auto"/>
              <w:right w:val="single" w:sz="4" w:space="0" w:color="auto"/>
            </w:tcBorders>
            <w:hideMark/>
          </w:tcPr>
          <w:p w14:paraId="2BFB36A3"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r>
      <w:tr w:rsidR="00AB5818" w:rsidRPr="00AB5818" w14:paraId="67E92102"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4850867E"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Year FE</w:t>
            </w:r>
          </w:p>
        </w:tc>
        <w:tc>
          <w:tcPr>
            <w:tcW w:w="809" w:type="pct"/>
            <w:tcBorders>
              <w:top w:val="single" w:sz="4" w:space="0" w:color="auto"/>
              <w:left w:val="single" w:sz="4" w:space="0" w:color="auto"/>
              <w:bottom w:val="single" w:sz="4" w:space="0" w:color="auto"/>
              <w:right w:val="single" w:sz="4" w:space="0" w:color="auto"/>
            </w:tcBorders>
            <w:hideMark/>
          </w:tcPr>
          <w:p w14:paraId="544465F1"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73" w:type="pct"/>
            <w:tcBorders>
              <w:top w:val="single" w:sz="4" w:space="0" w:color="auto"/>
              <w:left w:val="single" w:sz="4" w:space="0" w:color="auto"/>
              <w:bottom w:val="single" w:sz="4" w:space="0" w:color="auto"/>
              <w:right w:val="single" w:sz="4" w:space="0" w:color="auto"/>
            </w:tcBorders>
            <w:hideMark/>
          </w:tcPr>
          <w:p w14:paraId="5F07A40B"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c>
          <w:tcPr>
            <w:tcW w:w="672" w:type="pct"/>
            <w:tcBorders>
              <w:top w:val="single" w:sz="4" w:space="0" w:color="auto"/>
              <w:left w:val="single" w:sz="4" w:space="0" w:color="auto"/>
              <w:bottom w:val="single" w:sz="4" w:space="0" w:color="auto"/>
              <w:right w:val="single" w:sz="4" w:space="0" w:color="auto"/>
            </w:tcBorders>
            <w:hideMark/>
          </w:tcPr>
          <w:p w14:paraId="432D1D80"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73" w:type="pct"/>
            <w:tcBorders>
              <w:top w:val="single" w:sz="4" w:space="0" w:color="auto"/>
              <w:left w:val="single" w:sz="4" w:space="0" w:color="auto"/>
              <w:bottom w:val="single" w:sz="4" w:space="0" w:color="auto"/>
              <w:right w:val="single" w:sz="4" w:space="0" w:color="auto"/>
            </w:tcBorders>
            <w:hideMark/>
          </w:tcPr>
          <w:p w14:paraId="34D199BB"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c>
          <w:tcPr>
            <w:tcW w:w="671" w:type="pct"/>
            <w:tcBorders>
              <w:top w:val="single" w:sz="4" w:space="0" w:color="auto"/>
              <w:left w:val="single" w:sz="4" w:space="0" w:color="auto"/>
              <w:bottom w:val="single" w:sz="4" w:space="0" w:color="auto"/>
              <w:right w:val="single" w:sz="4" w:space="0" w:color="auto"/>
            </w:tcBorders>
            <w:hideMark/>
          </w:tcPr>
          <w:p w14:paraId="680379CA"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66" w:type="pct"/>
            <w:tcBorders>
              <w:top w:val="single" w:sz="4" w:space="0" w:color="auto"/>
              <w:left w:val="single" w:sz="4" w:space="0" w:color="auto"/>
              <w:bottom w:val="single" w:sz="4" w:space="0" w:color="auto"/>
              <w:right w:val="single" w:sz="4" w:space="0" w:color="auto"/>
            </w:tcBorders>
            <w:hideMark/>
          </w:tcPr>
          <w:p w14:paraId="686438EF"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r>
      <w:tr w:rsidR="00AB5818" w:rsidRPr="00AB5818" w14:paraId="00B2F347"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75A4310D"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County FE</w:t>
            </w:r>
          </w:p>
        </w:tc>
        <w:tc>
          <w:tcPr>
            <w:tcW w:w="809" w:type="pct"/>
            <w:tcBorders>
              <w:top w:val="single" w:sz="4" w:space="0" w:color="auto"/>
              <w:left w:val="single" w:sz="4" w:space="0" w:color="auto"/>
              <w:bottom w:val="single" w:sz="4" w:space="0" w:color="auto"/>
              <w:right w:val="single" w:sz="4" w:space="0" w:color="auto"/>
            </w:tcBorders>
            <w:hideMark/>
          </w:tcPr>
          <w:p w14:paraId="36FAAC12"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73" w:type="pct"/>
            <w:tcBorders>
              <w:top w:val="single" w:sz="4" w:space="0" w:color="auto"/>
              <w:left w:val="single" w:sz="4" w:space="0" w:color="auto"/>
              <w:bottom w:val="single" w:sz="4" w:space="0" w:color="auto"/>
              <w:right w:val="single" w:sz="4" w:space="0" w:color="auto"/>
            </w:tcBorders>
            <w:hideMark/>
          </w:tcPr>
          <w:p w14:paraId="49A7FB31"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c>
          <w:tcPr>
            <w:tcW w:w="672" w:type="pct"/>
            <w:tcBorders>
              <w:top w:val="single" w:sz="4" w:space="0" w:color="auto"/>
              <w:left w:val="single" w:sz="4" w:space="0" w:color="auto"/>
              <w:bottom w:val="single" w:sz="4" w:space="0" w:color="auto"/>
              <w:right w:val="single" w:sz="4" w:space="0" w:color="auto"/>
            </w:tcBorders>
            <w:hideMark/>
          </w:tcPr>
          <w:p w14:paraId="4C5C59AC"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73" w:type="pct"/>
            <w:tcBorders>
              <w:top w:val="single" w:sz="4" w:space="0" w:color="auto"/>
              <w:left w:val="single" w:sz="4" w:space="0" w:color="auto"/>
              <w:bottom w:val="single" w:sz="4" w:space="0" w:color="auto"/>
              <w:right w:val="single" w:sz="4" w:space="0" w:color="auto"/>
            </w:tcBorders>
            <w:hideMark/>
          </w:tcPr>
          <w:p w14:paraId="0DE8F148"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c>
          <w:tcPr>
            <w:tcW w:w="671" w:type="pct"/>
            <w:tcBorders>
              <w:top w:val="single" w:sz="4" w:space="0" w:color="auto"/>
              <w:left w:val="single" w:sz="4" w:space="0" w:color="auto"/>
              <w:bottom w:val="single" w:sz="4" w:space="0" w:color="auto"/>
              <w:right w:val="single" w:sz="4" w:space="0" w:color="auto"/>
            </w:tcBorders>
            <w:hideMark/>
          </w:tcPr>
          <w:p w14:paraId="3C7D09CF"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66" w:type="pct"/>
            <w:tcBorders>
              <w:top w:val="single" w:sz="4" w:space="0" w:color="auto"/>
              <w:left w:val="single" w:sz="4" w:space="0" w:color="auto"/>
              <w:bottom w:val="single" w:sz="4" w:space="0" w:color="auto"/>
              <w:right w:val="single" w:sz="4" w:space="0" w:color="auto"/>
            </w:tcBorders>
            <w:hideMark/>
          </w:tcPr>
          <w:p w14:paraId="23EE1BF3"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r>
    </w:tbl>
    <w:p w14:paraId="6C2B8E88" w14:textId="55B241B2" w:rsidR="00AB5818" w:rsidRPr="000E300A" w:rsidRDefault="000E300A" w:rsidP="00CE0D78">
      <w:pPr>
        <w:spacing w:line="240" w:lineRule="auto"/>
        <w:rPr>
          <w:rFonts w:eastAsia="Calibri" w:cs="Times New Roman"/>
          <w:sz w:val="20"/>
          <w:szCs w:val="20"/>
        </w:rPr>
      </w:pPr>
      <w:r>
        <w:rPr>
          <w:rFonts w:eastAsia="Calibri" w:cs="Times New Roman"/>
          <w:sz w:val="20"/>
          <w:szCs w:val="20"/>
        </w:rPr>
        <w:t xml:space="preserve">Table A49: </w:t>
      </w:r>
      <w:r w:rsidR="00AB5818" w:rsidRPr="00AB5818">
        <w:rPr>
          <w:rFonts w:eastAsia="Calibri" w:cs="Times New Roman"/>
          <w:sz w:val="20"/>
          <w:szCs w:val="20"/>
          <w:lang/>
        </w:rPr>
        <w:t>Results for utilities with continuous range indicators, reflecting the proportional economic impacts relative to habitat overlap and temporal evolution.</w:t>
      </w:r>
      <w:r>
        <w:rPr>
          <w:rFonts w:eastAsia="Calibri" w:cs="Times New Roman"/>
          <w:sz w:val="20"/>
          <w:szCs w:val="20"/>
        </w:rPr>
        <w:t xml:space="preserve"> </w:t>
      </w:r>
      <w:r w:rsidRPr="000E300A">
        <w:rPr>
          <w:rFonts w:eastAsia="Calibri" w:cs="Times New Roman"/>
          <w:sz w:val="20"/>
          <w:szCs w:val="20"/>
        </w:rPr>
        <w:t>Statistically significant impacts are denoted by asterisks. These asterisks denote statistical significance at the following levels: ***p &lt; 0.01, **p &lt; 0.05, *p &lt; 0.1.</w:t>
      </w:r>
    </w:p>
    <w:p w14:paraId="5E07E9E5" w14:textId="77777777" w:rsidR="00AB5818" w:rsidRPr="00AB5818" w:rsidRDefault="00AB5818" w:rsidP="00CE0D78">
      <w:pPr>
        <w:widowControl w:val="0"/>
        <w:autoSpaceDE w:val="0"/>
        <w:autoSpaceDN w:val="0"/>
        <w:adjustRightInd w:val="0"/>
        <w:spacing w:line="240" w:lineRule="auto"/>
        <w:rPr>
          <w:rFonts w:eastAsia="Calibri" w:cs="Times New Roman"/>
          <w:b/>
          <w:bCs/>
          <w:sz w:val="20"/>
          <w:szCs w:val="20"/>
        </w:rPr>
      </w:pPr>
    </w:p>
    <w:p w14:paraId="0A9A4B04" w14:textId="0612EABF" w:rsidR="00922EC5" w:rsidRDefault="00922EC5" w:rsidP="00CE0D78">
      <w:pPr>
        <w:spacing w:line="240" w:lineRule="auto"/>
        <w:rPr>
          <w:b/>
          <w:bCs/>
          <w:kern w:val="2"/>
          <w:szCs w:val="20"/>
        </w:rPr>
      </w:pPr>
      <w:bookmarkStart w:id="724" w:name="_Toc188056059"/>
      <w:bookmarkStart w:id="725" w:name="_Toc188057143"/>
    </w:p>
    <w:p w14:paraId="1EC46294" w14:textId="77777777" w:rsidR="00624082" w:rsidRDefault="00624082" w:rsidP="00CE0D78">
      <w:pPr>
        <w:spacing w:line="240" w:lineRule="auto"/>
        <w:rPr>
          <w:b/>
          <w:bCs/>
          <w:kern w:val="2"/>
          <w:szCs w:val="20"/>
        </w:rPr>
      </w:pPr>
    </w:p>
    <w:p w14:paraId="70A4F08C" w14:textId="621D4E62" w:rsidR="00AB5818" w:rsidRPr="00AB5818" w:rsidRDefault="00AB5818" w:rsidP="00095E25">
      <w:pPr>
        <w:pStyle w:val="Title"/>
      </w:pPr>
      <w:bookmarkStart w:id="726" w:name="_Toc188359655"/>
      <w:bookmarkStart w:id="727" w:name="_Toc188359943"/>
      <w:bookmarkStart w:id="728" w:name="_Toc188361179"/>
      <w:bookmarkStart w:id="729" w:name="_Toc188367022"/>
      <w:r w:rsidRPr="00AB5818">
        <w:t>Table A</w:t>
      </w:r>
      <w:r w:rsidR="005E02DB">
        <w:t>5</w:t>
      </w:r>
      <w:r w:rsidRPr="00AB5818">
        <w:t xml:space="preserve">0: </w:t>
      </w:r>
      <w:r w:rsidR="002E1ED3">
        <w:rPr>
          <w:lang w:val="en-US"/>
        </w:rPr>
        <w:t xml:space="preserve">Summary of </w:t>
      </w:r>
      <w:r w:rsidR="002E1ED3" w:rsidRPr="00AB5818">
        <w:t xml:space="preserve">NAICS </w:t>
      </w:r>
      <w:r w:rsidR="002E1ED3">
        <w:rPr>
          <w:lang w:val="en-US"/>
        </w:rPr>
        <w:t xml:space="preserve">23 Regression Results </w:t>
      </w:r>
      <w:r w:rsidR="002E1ED3" w:rsidRPr="00AB5818">
        <w:t>–</w:t>
      </w:r>
      <w:r w:rsidR="002E1ED3">
        <w:rPr>
          <w:lang w:val="en-US"/>
        </w:rPr>
        <w:t xml:space="preserve"> </w:t>
      </w:r>
      <w:r w:rsidRPr="00AB5818">
        <w:t>Binary Range Indicator</w:t>
      </w:r>
      <w:bookmarkEnd w:id="724"/>
      <w:bookmarkEnd w:id="725"/>
      <w:bookmarkEnd w:id="726"/>
      <w:bookmarkEnd w:id="727"/>
      <w:bookmarkEnd w:id="728"/>
      <w:bookmarkEnd w:id="729"/>
    </w:p>
    <w:tbl>
      <w:tblPr>
        <w:tblW w:w="49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0"/>
        <w:gridCol w:w="1500"/>
        <w:gridCol w:w="1248"/>
        <w:gridCol w:w="1246"/>
        <w:gridCol w:w="1248"/>
        <w:gridCol w:w="1244"/>
        <w:gridCol w:w="1235"/>
      </w:tblGrid>
      <w:tr w:rsidR="00922EC5" w:rsidRPr="00AB5818" w14:paraId="5CF6521A"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02AD1C74" w14:textId="5A0881DA" w:rsidR="00922EC5" w:rsidRPr="00AB5818" w:rsidRDefault="00922EC5" w:rsidP="002E4B8A">
            <w:pPr>
              <w:widowControl w:val="0"/>
              <w:autoSpaceDE w:val="0"/>
              <w:autoSpaceDN w:val="0"/>
              <w:adjustRightInd w:val="0"/>
              <w:spacing w:line="240" w:lineRule="auto"/>
              <w:rPr>
                <w:rFonts w:eastAsia="Calibri" w:cs="Times New Roman"/>
                <w:b/>
                <w:bCs/>
                <w:sz w:val="20"/>
                <w:szCs w:val="20"/>
              </w:rPr>
            </w:pPr>
            <w:r w:rsidRPr="00922EC5">
              <w:rPr>
                <w:rFonts w:eastAsia="Calibri" w:cs="Times New Roman"/>
                <w:b/>
                <w:bCs/>
                <w:sz w:val="20"/>
                <w:szCs w:val="20"/>
              </w:rPr>
              <w:t>Variable</w:t>
            </w:r>
          </w:p>
        </w:tc>
        <w:tc>
          <w:tcPr>
            <w:tcW w:w="1482" w:type="pct"/>
            <w:gridSpan w:val="2"/>
            <w:tcBorders>
              <w:top w:val="single" w:sz="4" w:space="0" w:color="auto"/>
              <w:left w:val="single" w:sz="4" w:space="0" w:color="auto"/>
              <w:bottom w:val="single" w:sz="4" w:space="0" w:color="auto"/>
              <w:right w:val="single" w:sz="4" w:space="0" w:color="auto"/>
            </w:tcBorders>
            <w:hideMark/>
          </w:tcPr>
          <w:p w14:paraId="46294FB4" w14:textId="73A654BF" w:rsidR="00922EC5" w:rsidRPr="00AB5818" w:rsidRDefault="00922EC5" w:rsidP="002E4B8A">
            <w:pPr>
              <w:widowControl w:val="0"/>
              <w:autoSpaceDE w:val="0"/>
              <w:autoSpaceDN w:val="0"/>
              <w:adjustRightInd w:val="0"/>
              <w:spacing w:line="240" w:lineRule="auto"/>
              <w:rPr>
                <w:rFonts w:eastAsia="Calibri" w:cs="Times New Roman"/>
                <w:b/>
                <w:bCs/>
                <w:color w:val="FF0000"/>
                <w:sz w:val="20"/>
                <w:szCs w:val="20"/>
                <w:highlight w:val="yellow"/>
              </w:rPr>
            </w:pPr>
            <w:r w:rsidRPr="00922EC5">
              <w:rPr>
                <w:rFonts w:cs="Times New Roman"/>
                <w:b/>
                <w:bCs/>
                <w:sz w:val="20"/>
                <w:szCs w:val="20"/>
              </w:rPr>
              <w:t>Establishment Count</w:t>
            </w:r>
          </w:p>
        </w:tc>
        <w:tc>
          <w:tcPr>
            <w:tcW w:w="1345" w:type="pct"/>
            <w:gridSpan w:val="2"/>
            <w:tcBorders>
              <w:top w:val="single" w:sz="4" w:space="0" w:color="auto"/>
              <w:left w:val="single" w:sz="4" w:space="0" w:color="auto"/>
              <w:bottom w:val="single" w:sz="4" w:space="0" w:color="auto"/>
              <w:right w:val="single" w:sz="4" w:space="0" w:color="auto"/>
            </w:tcBorders>
            <w:hideMark/>
          </w:tcPr>
          <w:p w14:paraId="39E383C3" w14:textId="6A89BFD8" w:rsidR="00922EC5" w:rsidRPr="00AB5818" w:rsidRDefault="00922EC5" w:rsidP="002E4B8A">
            <w:pPr>
              <w:widowControl w:val="0"/>
              <w:autoSpaceDE w:val="0"/>
              <w:autoSpaceDN w:val="0"/>
              <w:adjustRightInd w:val="0"/>
              <w:spacing w:line="240" w:lineRule="auto"/>
              <w:rPr>
                <w:rFonts w:eastAsia="Calibri" w:cs="Times New Roman"/>
                <w:b/>
                <w:bCs/>
                <w:color w:val="FF0000"/>
                <w:sz w:val="20"/>
                <w:szCs w:val="20"/>
                <w:highlight w:val="yellow"/>
              </w:rPr>
            </w:pPr>
            <w:r w:rsidRPr="00922EC5">
              <w:rPr>
                <w:rFonts w:cs="Times New Roman"/>
                <w:b/>
                <w:bCs/>
                <w:sz w:val="20"/>
                <w:szCs w:val="20"/>
              </w:rPr>
              <w:t>Job Count</w:t>
            </w:r>
          </w:p>
        </w:tc>
        <w:tc>
          <w:tcPr>
            <w:tcW w:w="1337" w:type="pct"/>
            <w:gridSpan w:val="2"/>
            <w:tcBorders>
              <w:top w:val="single" w:sz="4" w:space="0" w:color="auto"/>
              <w:left w:val="single" w:sz="4" w:space="0" w:color="auto"/>
              <w:bottom w:val="single" w:sz="4" w:space="0" w:color="auto"/>
              <w:right w:val="single" w:sz="4" w:space="0" w:color="auto"/>
            </w:tcBorders>
            <w:hideMark/>
          </w:tcPr>
          <w:p w14:paraId="68429260" w14:textId="0DB76C91" w:rsidR="00922EC5" w:rsidRPr="00AB5818" w:rsidRDefault="00922EC5" w:rsidP="002E4B8A">
            <w:pPr>
              <w:widowControl w:val="0"/>
              <w:autoSpaceDE w:val="0"/>
              <w:autoSpaceDN w:val="0"/>
              <w:adjustRightInd w:val="0"/>
              <w:spacing w:line="240" w:lineRule="auto"/>
              <w:rPr>
                <w:rFonts w:eastAsia="Calibri" w:cs="Times New Roman"/>
                <w:b/>
                <w:bCs/>
                <w:color w:val="FF0000"/>
                <w:sz w:val="20"/>
                <w:szCs w:val="20"/>
                <w:highlight w:val="yellow"/>
              </w:rPr>
            </w:pPr>
            <w:r w:rsidRPr="00922EC5">
              <w:rPr>
                <w:rFonts w:cs="Times New Roman"/>
                <w:b/>
                <w:bCs/>
                <w:sz w:val="20"/>
                <w:szCs w:val="20"/>
              </w:rPr>
              <w:t>Sales Volume</w:t>
            </w:r>
          </w:p>
        </w:tc>
      </w:tr>
      <w:tr w:rsidR="00AB5818" w:rsidRPr="00AB5818" w14:paraId="35663136"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70B8987E"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Range</w:t>
            </w:r>
          </w:p>
        </w:tc>
        <w:tc>
          <w:tcPr>
            <w:tcW w:w="809" w:type="pct"/>
            <w:tcBorders>
              <w:top w:val="single" w:sz="4" w:space="0" w:color="auto"/>
              <w:left w:val="single" w:sz="4" w:space="0" w:color="auto"/>
              <w:bottom w:val="single" w:sz="4" w:space="0" w:color="auto"/>
              <w:right w:val="single" w:sz="4" w:space="0" w:color="auto"/>
            </w:tcBorders>
            <w:hideMark/>
          </w:tcPr>
          <w:p w14:paraId="74BF0CEF" w14:textId="77777777" w:rsidR="00AB5818" w:rsidRPr="00AB5818" w:rsidRDefault="00AB5818" w:rsidP="002E4B8A">
            <w:pPr>
              <w:widowControl w:val="0"/>
              <w:autoSpaceDE w:val="0"/>
              <w:autoSpaceDN w:val="0"/>
              <w:adjustRightInd w:val="0"/>
              <w:spacing w:line="240" w:lineRule="auto"/>
              <w:rPr>
                <w:rFonts w:eastAsia="Calibri" w:cs="Times New Roman"/>
                <w:sz w:val="20"/>
                <w:szCs w:val="20"/>
                <w:highlight w:val="magenta"/>
              </w:rPr>
            </w:pPr>
            <w:r w:rsidRPr="00AB5818">
              <w:rPr>
                <w:rFonts w:eastAsia="Calibri" w:cs="Times New Roman"/>
                <w:sz w:val="20"/>
                <w:szCs w:val="20"/>
              </w:rPr>
              <w:t>.29576**</w:t>
            </w:r>
          </w:p>
        </w:tc>
        <w:tc>
          <w:tcPr>
            <w:tcW w:w="673" w:type="pct"/>
            <w:tcBorders>
              <w:top w:val="single" w:sz="4" w:space="0" w:color="auto"/>
              <w:left w:val="single" w:sz="4" w:space="0" w:color="auto"/>
              <w:bottom w:val="single" w:sz="4" w:space="0" w:color="auto"/>
              <w:right w:val="single" w:sz="4" w:space="0" w:color="auto"/>
            </w:tcBorders>
            <w:hideMark/>
          </w:tcPr>
          <w:p w14:paraId="60603411" w14:textId="77777777" w:rsidR="00AB5818" w:rsidRPr="00AB5818" w:rsidRDefault="00AB5818" w:rsidP="002E4B8A">
            <w:pPr>
              <w:widowControl w:val="0"/>
              <w:autoSpaceDE w:val="0"/>
              <w:autoSpaceDN w:val="0"/>
              <w:adjustRightInd w:val="0"/>
              <w:spacing w:line="240" w:lineRule="auto"/>
              <w:rPr>
                <w:rFonts w:eastAsia="Calibri" w:cs="Times New Roman"/>
                <w:sz w:val="20"/>
                <w:szCs w:val="20"/>
                <w:highlight w:val="magenta"/>
              </w:rPr>
            </w:pPr>
            <w:r w:rsidRPr="00AB5818">
              <w:rPr>
                <w:rFonts w:eastAsia="Calibri" w:cs="Times New Roman"/>
                <w:sz w:val="20"/>
                <w:szCs w:val="20"/>
              </w:rPr>
              <w:t>.08674***</w:t>
            </w:r>
          </w:p>
        </w:tc>
        <w:tc>
          <w:tcPr>
            <w:tcW w:w="672" w:type="pct"/>
            <w:tcBorders>
              <w:top w:val="single" w:sz="4" w:space="0" w:color="auto"/>
              <w:left w:val="single" w:sz="4" w:space="0" w:color="auto"/>
              <w:bottom w:val="single" w:sz="4" w:space="0" w:color="auto"/>
              <w:right w:val="single" w:sz="4" w:space="0" w:color="auto"/>
            </w:tcBorders>
            <w:hideMark/>
          </w:tcPr>
          <w:p w14:paraId="65BA6B22"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.41283***</w:t>
            </w:r>
          </w:p>
        </w:tc>
        <w:tc>
          <w:tcPr>
            <w:tcW w:w="673" w:type="pct"/>
            <w:tcBorders>
              <w:top w:val="single" w:sz="4" w:space="0" w:color="auto"/>
              <w:left w:val="single" w:sz="4" w:space="0" w:color="auto"/>
              <w:bottom w:val="single" w:sz="4" w:space="0" w:color="auto"/>
              <w:right w:val="single" w:sz="4" w:space="0" w:color="auto"/>
            </w:tcBorders>
            <w:hideMark/>
          </w:tcPr>
          <w:p w14:paraId="3BACD3F7"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-.01046</w:t>
            </w:r>
          </w:p>
        </w:tc>
        <w:tc>
          <w:tcPr>
            <w:tcW w:w="671" w:type="pct"/>
            <w:tcBorders>
              <w:top w:val="single" w:sz="4" w:space="0" w:color="auto"/>
              <w:left w:val="single" w:sz="4" w:space="0" w:color="auto"/>
              <w:bottom w:val="single" w:sz="4" w:space="0" w:color="auto"/>
              <w:right w:val="single" w:sz="4" w:space="0" w:color="auto"/>
            </w:tcBorders>
            <w:hideMark/>
          </w:tcPr>
          <w:p w14:paraId="704C71AF"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.42199***</w:t>
            </w:r>
          </w:p>
        </w:tc>
        <w:tc>
          <w:tcPr>
            <w:tcW w:w="666" w:type="pct"/>
            <w:tcBorders>
              <w:top w:val="single" w:sz="4" w:space="0" w:color="auto"/>
              <w:left w:val="single" w:sz="4" w:space="0" w:color="auto"/>
              <w:bottom w:val="single" w:sz="4" w:space="0" w:color="auto"/>
              <w:right w:val="single" w:sz="4" w:space="0" w:color="auto"/>
            </w:tcBorders>
            <w:hideMark/>
          </w:tcPr>
          <w:p w14:paraId="3FB2474D"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.03021</w:t>
            </w:r>
          </w:p>
        </w:tc>
      </w:tr>
      <w:tr w:rsidR="00AB5818" w:rsidRPr="00AB5818" w14:paraId="2E4D28DD"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2C7AAF19" w14:textId="136A7D16" w:rsidR="00AB5818" w:rsidRPr="00AB5818" w:rsidRDefault="00AB5818" w:rsidP="002E4B8A">
            <w:pPr>
              <w:widowControl w:val="0"/>
              <w:autoSpaceDE w:val="0"/>
              <w:autoSpaceDN w:val="0"/>
              <w:adjustRightInd w:val="0"/>
              <w:spacing w:line="240" w:lineRule="auto"/>
              <w:rPr>
                <w:rFonts w:eastAsia="Calibri" w:cs="Times New Roman"/>
                <w:sz w:val="20"/>
                <w:szCs w:val="20"/>
              </w:rPr>
            </w:pPr>
          </w:p>
        </w:tc>
        <w:tc>
          <w:tcPr>
            <w:tcW w:w="809" w:type="pct"/>
            <w:tcBorders>
              <w:top w:val="single" w:sz="4" w:space="0" w:color="auto"/>
              <w:left w:val="single" w:sz="4" w:space="0" w:color="auto"/>
              <w:bottom w:val="single" w:sz="4" w:space="0" w:color="auto"/>
              <w:right w:val="single" w:sz="4" w:space="0" w:color="auto"/>
            </w:tcBorders>
            <w:hideMark/>
          </w:tcPr>
          <w:p w14:paraId="799C1AAF"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(.13021)</w:t>
            </w:r>
          </w:p>
        </w:tc>
        <w:tc>
          <w:tcPr>
            <w:tcW w:w="673" w:type="pct"/>
            <w:tcBorders>
              <w:top w:val="single" w:sz="4" w:space="0" w:color="auto"/>
              <w:left w:val="single" w:sz="4" w:space="0" w:color="auto"/>
              <w:bottom w:val="single" w:sz="4" w:space="0" w:color="auto"/>
              <w:right w:val="single" w:sz="4" w:space="0" w:color="auto"/>
            </w:tcBorders>
            <w:hideMark/>
          </w:tcPr>
          <w:p w14:paraId="74B8AC26"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(.01606)</w:t>
            </w:r>
          </w:p>
        </w:tc>
        <w:tc>
          <w:tcPr>
            <w:tcW w:w="672" w:type="pct"/>
            <w:tcBorders>
              <w:top w:val="single" w:sz="4" w:space="0" w:color="auto"/>
              <w:left w:val="single" w:sz="4" w:space="0" w:color="auto"/>
              <w:bottom w:val="single" w:sz="4" w:space="0" w:color="auto"/>
              <w:right w:val="single" w:sz="4" w:space="0" w:color="auto"/>
            </w:tcBorders>
            <w:hideMark/>
          </w:tcPr>
          <w:p w14:paraId="6BB12251"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(.14327)</w:t>
            </w:r>
          </w:p>
        </w:tc>
        <w:tc>
          <w:tcPr>
            <w:tcW w:w="673" w:type="pct"/>
            <w:tcBorders>
              <w:top w:val="single" w:sz="4" w:space="0" w:color="auto"/>
              <w:left w:val="single" w:sz="4" w:space="0" w:color="auto"/>
              <w:bottom w:val="single" w:sz="4" w:space="0" w:color="auto"/>
              <w:right w:val="single" w:sz="4" w:space="0" w:color="auto"/>
            </w:tcBorders>
            <w:hideMark/>
          </w:tcPr>
          <w:p w14:paraId="057E68A7"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(.03381)</w:t>
            </w:r>
          </w:p>
        </w:tc>
        <w:tc>
          <w:tcPr>
            <w:tcW w:w="671" w:type="pct"/>
            <w:tcBorders>
              <w:top w:val="single" w:sz="4" w:space="0" w:color="auto"/>
              <w:left w:val="single" w:sz="4" w:space="0" w:color="auto"/>
              <w:bottom w:val="single" w:sz="4" w:space="0" w:color="auto"/>
              <w:right w:val="single" w:sz="4" w:space="0" w:color="auto"/>
            </w:tcBorders>
            <w:hideMark/>
          </w:tcPr>
          <w:p w14:paraId="5D817F72"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(.14316)</w:t>
            </w:r>
          </w:p>
        </w:tc>
        <w:tc>
          <w:tcPr>
            <w:tcW w:w="666" w:type="pct"/>
            <w:tcBorders>
              <w:top w:val="single" w:sz="4" w:space="0" w:color="auto"/>
              <w:left w:val="single" w:sz="4" w:space="0" w:color="auto"/>
              <w:bottom w:val="single" w:sz="4" w:space="0" w:color="auto"/>
              <w:right w:val="single" w:sz="4" w:space="0" w:color="auto"/>
            </w:tcBorders>
            <w:hideMark/>
          </w:tcPr>
          <w:p w14:paraId="4C031BC5"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(.0466)</w:t>
            </w:r>
          </w:p>
        </w:tc>
      </w:tr>
      <w:tr w:rsidR="00AB5818" w:rsidRPr="00AB5818" w14:paraId="684ED566"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61256706"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TSD * Range</w:t>
            </w:r>
          </w:p>
        </w:tc>
        <w:tc>
          <w:tcPr>
            <w:tcW w:w="809" w:type="pct"/>
            <w:tcBorders>
              <w:top w:val="single" w:sz="4" w:space="0" w:color="auto"/>
              <w:left w:val="single" w:sz="4" w:space="0" w:color="auto"/>
              <w:bottom w:val="single" w:sz="4" w:space="0" w:color="auto"/>
              <w:right w:val="single" w:sz="4" w:space="0" w:color="auto"/>
            </w:tcBorders>
            <w:hideMark/>
          </w:tcPr>
          <w:p w14:paraId="72EE289E"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-.15051***</w:t>
            </w:r>
          </w:p>
        </w:tc>
        <w:tc>
          <w:tcPr>
            <w:tcW w:w="673" w:type="pct"/>
            <w:tcBorders>
              <w:top w:val="single" w:sz="4" w:space="0" w:color="auto"/>
              <w:left w:val="single" w:sz="4" w:space="0" w:color="auto"/>
              <w:bottom w:val="single" w:sz="4" w:space="0" w:color="auto"/>
              <w:right w:val="single" w:sz="4" w:space="0" w:color="auto"/>
            </w:tcBorders>
            <w:hideMark/>
          </w:tcPr>
          <w:p w14:paraId="359934A1"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.02823**</w:t>
            </w:r>
          </w:p>
        </w:tc>
        <w:tc>
          <w:tcPr>
            <w:tcW w:w="672" w:type="pct"/>
            <w:tcBorders>
              <w:top w:val="single" w:sz="4" w:space="0" w:color="auto"/>
              <w:left w:val="single" w:sz="4" w:space="0" w:color="auto"/>
              <w:bottom w:val="single" w:sz="4" w:space="0" w:color="auto"/>
              <w:right w:val="single" w:sz="4" w:space="0" w:color="auto"/>
            </w:tcBorders>
            <w:hideMark/>
          </w:tcPr>
          <w:p w14:paraId="5184C873"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-.10711***</w:t>
            </w:r>
          </w:p>
        </w:tc>
        <w:tc>
          <w:tcPr>
            <w:tcW w:w="673" w:type="pct"/>
            <w:tcBorders>
              <w:top w:val="single" w:sz="4" w:space="0" w:color="auto"/>
              <w:left w:val="single" w:sz="4" w:space="0" w:color="auto"/>
              <w:bottom w:val="single" w:sz="4" w:space="0" w:color="auto"/>
              <w:right w:val="single" w:sz="4" w:space="0" w:color="auto"/>
            </w:tcBorders>
            <w:hideMark/>
          </w:tcPr>
          <w:p w14:paraId="6E0AB3F3"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.02717**</w:t>
            </w:r>
          </w:p>
        </w:tc>
        <w:tc>
          <w:tcPr>
            <w:tcW w:w="671" w:type="pct"/>
            <w:tcBorders>
              <w:top w:val="single" w:sz="4" w:space="0" w:color="auto"/>
              <w:left w:val="single" w:sz="4" w:space="0" w:color="auto"/>
              <w:bottom w:val="single" w:sz="4" w:space="0" w:color="auto"/>
              <w:right w:val="single" w:sz="4" w:space="0" w:color="auto"/>
            </w:tcBorders>
            <w:hideMark/>
          </w:tcPr>
          <w:p w14:paraId="2BA658C1"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-.26636***</w:t>
            </w:r>
          </w:p>
        </w:tc>
        <w:tc>
          <w:tcPr>
            <w:tcW w:w="666" w:type="pct"/>
            <w:tcBorders>
              <w:top w:val="single" w:sz="4" w:space="0" w:color="auto"/>
              <w:left w:val="single" w:sz="4" w:space="0" w:color="auto"/>
              <w:bottom w:val="single" w:sz="4" w:space="0" w:color="auto"/>
              <w:right w:val="single" w:sz="4" w:space="0" w:color="auto"/>
            </w:tcBorders>
            <w:hideMark/>
          </w:tcPr>
          <w:p w14:paraId="27A7B81C"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-.00234</w:t>
            </w:r>
          </w:p>
        </w:tc>
      </w:tr>
      <w:tr w:rsidR="00AB5818" w:rsidRPr="00AB5818" w14:paraId="2B58677A"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335D91FB" w14:textId="774D7640" w:rsidR="00AB5818" w:rsidRPr="00AB5818" w:rsidRDefault="00AB5818" w:rsidP="002E4B8A">
            <w:pPr>
              <w:widowControl w:val="0"/>
              <w:autoSpaceDE w:val="0"/>
              <w:autoSpaceDN w:val="0"/>
              <w:adjustRightInd w:val="0"/>
              <w:spacing w:line="240" w:lineRule="auto"/>
              <w:rPr>
                <w:rFonts w:eastAsia="Calibri" w:cs="Times New Roman"/>
                <w:sz w:val="20"/>
                <w:szCs w:val="20"/>
              </w:rPr>
            </w:pPr>
          </w:p>
        </w:tc>
        <w:tc>
          <w:tcPr>
            <w:tcW w:w="809" w:type="pct"/>
            <w:tcBorders>
              <w:top w:val="single" w:sz="4" w:space="0" w:color="auto"/>
              <w:left w:val="single" w:sz="4" w:space="0" w:color="auto"/>
              <w:bottom w:val="single" w:sz="4" w:space="0" w:color="auto"/>
              <w:right w:val="single" w:sz="4" w:space="0" w:color="auto"/>
            </w:tcBorders>
            <w:hideMark/>
          </w:tcPr>
          <w:p w14:paraId="27B6218D"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(.03579)</w:t>
            </w:r>
          </w:p>
        </w:tc>
        <w:tc>
          <w:tcPr>
            <w:tcW w:w="673" w:type="pct"/>
            <w:tcBorders>
              <w:top w:val="single" w:sz="4" w:space="0" w:color="auto"/>
              <w:left w:val="single" w:sz="4" w:space="0" w:color="auto"/>
              <w:bottom w:val="single" w:sz="4" w:space="0" w:color="auto"/>
              <w:right w:val="single" w:sz="4" w:space="0" w:color="auto"/>
            </w:tcBorders>
            <w:hideMark/>
          </w:tcPr>
          <w:p w14:paraId="1131F01F"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(.01434)</w:t>
            </w:r>
          </w:p>
        </w:tc>
        <w:tc>
          <w:tcPr>
            <w:tcW w:w="672" w:type="pct"/>
            <w:tcBorders>
              <w:top w:val="single" w:sz="4" w:space="0" w:color="auto"/>
              <w:left w:val="single" w:sz="4" w:space="0" w:color="auto"/>
              <w:bottom w:val="single" w:sz="4" w:space="0" w:color="auto"/>
              <w:right w:val="single" w:sz="4" w:space="0" w:color="auto"/>
            </w:tcBorders>
            <w:hideMark/>
          </w:tcPr>
          <w:p w14:paraId="43D59D31"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(.02569)</w:t>
            </w:r>
          </w:p>
        </w:tc>
        <w:tc>
          <w:tcPr>
            <w:tcW w:w="673" w:type="pct"/>
            <w:tcBorders>
              <w:top w:val="single" w:sz="4" w:space="0" w:color="auto"/>
              <w:left w:val="single" w:sz="4" w:space="0" w:color="auto"/>
              <w:bottom w:val="single" w:sz="4" w:space="0" w:color="auto"/>
              <w:right w:val="single" w:sz="4" w:space="0" w:color="auto"/>
            </w:tcBorders>
            <w:hideMark/>
          </w:tcPr>
          <w:p w14:paraId="74FC4906"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(.01355)</w:t>
            </w:r>
          </w:p>
        </w:tc>
        <w:tc>
          <w:tcPr>
            <w:tcW w:w="671" w:type="pct"/>
            <w:tcBorders>
              <w:top w:val="single" w:sz="4" w:space="0" w:color="auto"/>
              <w:left w:val="single" w:sz="4" w:space="0" w:color="auto"/>
              <w:bottom w:val="single" w:sz="4" w:space="0" w:color="auto"/>
              <w:right w:val="single" w:sz="4" w:space="0" w:color="auto"/>
            </w:tcBorders>
            <w:hideMark/>
          </w:tcPr>
          <w:p w14:paraId="0D8A5E6C"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(.02772)</w:t>
            </w:r>
          </w:p>
        </w:tc>
        <w:tc>
          <w:tcPr>
            <w:tcW w:w="666" w:type="pct"/>
            <w:tcBorders>
              <w:top w:val="single" w:sz="4" w:space="0" w:color="auto"/>
              <w:left w:val="single" w:sz="4" w:space="0" w:color="auto"/>
              <w:bottom w:val="single" w:sz="4" w:space="0" w:color="auto"/>
              <w:right w:val="single" w:sz="4" w:space="0" w:color="auto"/>
            </w:tcBorders>
            <w:hideMark/>
          </w:tcPr>
          <w:p w14:paraId="105516CD"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(.02296)</w:t>
            </w:r>
          </w:p>
        </w:tc>
      </w:tr>
      <w:tr w:rsidR="00AB5818" w:rsidRPr="00AB5818" w14:paraId="688BCEEB"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79868537"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Joint Test (p-value)</w:t>
            </w:r>
          </w:p>
        </w:tc>
        <w:tc>
          <w:tcPr>
            <w:tcW w:w="809" w:type="pct"/>
            <w:tcBorders>
              <w:top w:val="single" w:sz="4" w:space="0" w:color="auto"/>
              <w:left w:val="single" w:sz="4" w:space="0" w:color="auto"/>
              <w:bottom w:val="single" w:sz="4" w:space="0" w:color="auto"/>
              <w:right w:val="single" w:sz="4" w:space="0" w:color="auto"/>
            </w:tcBorders>
            <w:hideMark/>
          </w:tcPr>
          <w:p w14:paraId="38B17D47" w14:textId="77777777" w:rsidR="00AB5818" w:rsidRPr="00271798" w:rsidRDefault="00AB5818" w:rsidP="002E4B8A">
            <w:pPr>
              <w:spacing w:line="240" w:lineRule="auto"/>
              <w:rPr>
                <w:rFonts w:eastAsia="Calibri" w:cs="Times New Roman"/>
                <w:sz w:val="20"/>
                <w:szCs w:val="20"/>
                <w:lang/>
              </w:rPr>
            </w:pPr>
            <w:r w:rsidRPr="00271798">
              <w:rPr>
                <w:rFonts w:eastAsia="Calibri" w:cs="Times New Roman"/>
                <w:sz w:val="20"/>
                <w:szCs w:val="20"/>
                <w:lang/>
              </w:rPr>
              <w:t>0.000</w:t>
            </w:r>
            <w:r w:rsidRPr="00271798">
              <w:rPr>
                <w:rFonts w:eastAsia="Calibri" w:cs="Times New Roman"/>
                <w:sz w:val="20"/>
                <w:szCs w:val="20"/>
              </w:rPr>
              <w:t>1</w:t>
            </w:r>
          </w:p>
        </w:tc>
        <w:tc>
          <w:tcPr>
            <w:tcW w:w="673" w:type="pct"/>
            <w:tcBorders>
              <w:top w:val="single" w:sz="4" w:space="0" w:color="auto"/>
              <w:left w:val="single" w:sz="4" w:space="0" w:color="auto"/>
              <w:bottom w:val="single" w:sz="4" w:space="0" w:color="auto"/>
              <w:right w:val="single" w:sz="4" w:space="0" w:color="auto"/>
            </w:tcBorders>
            <w:hideMark/>
          </w:tcPr>
          <w:p w14:paraId="0C1FCEA9" w14:textId="77777777" w:rsidR="00AB5818" w:rsidRPr="00271798" w:rsidRDefault="00AB5818" w:rsidP="002E4B8A">
            <w:pPr>
              <w:widowControl w:val="0"/>
              <w:autoSpaceDE w:val="0"/>
              <w:autoSpaceDN w:val="0"/>
              <w:adjustRightInd w:val="0"/>
              <w:spacing w:line="240" w:lineRule="auto"/>
              <w:rPr>
                <w:rFonts w:eastAsia="Calibri" w:cs="Times New Roman"/>
                <w:sz w:val="20"/>
                <w:szCs w:val="20"/>
              </w:rPr>
            </w:pPr>
            <w:r w:rsidRPr="00271798">
              <w:rPr>
                <w:rFonts w:eastAsia="Calibri" w:cs="Times New Roman"/>
                <w:sz w:val="20"/>
                <w:szCs w:val="20"/>
                <w:lang/>
              </w:rPr>
              <w:t>0.0000</w:t>
            </w:r>
          </w:p>
        </w:tc>
        <w:tc>
          <w:tcPr>
            <w:tcW w:w="672" w:type="pct"/>
            <w:tcBorders>
              <w:top w:val="single" w:sz="4" w:space="0" w:color="auto"/>
              <w:left w:val="single" w:sz="4" w:space="0" w:color="auto"/>
              <w:bottom w:val="single" w:sz="4" w:space="0" w:color="auto"/>
              <w:right w:val="single" w:sz="4" w:space="0" w:color="auto"/>
            </w:tcBorders>
            <w:hideMark/>
          </w:tcPr>
          <w:p w14:paraId="3B47CFE9" w14:textId="77777777" w:rsidR="00AB5818" w:rsidRPr="00271798" w:rsidRDefault="00AB5818" w:rsidP="002E4B8A">
            <w:pPr>
              <w:widowControl w:val="0"/>
              <w:autoSpaceDE w:val="0"/>
              <w:autoSpaceDN w:val="0"/>
              <w:adjustRightInd w:val="0"/>
              <w:spacing w:line="240" w:lineRule="auto"/>
              <w:rPr>
                <w:rFonts w:eastAsia="Calibri" w:cs="Times New Roman"/>
                <w:sz w:val="20"/>
                <w:szCs w:val="20"/>
              </w:rPr>
            </w:pPr>
            <w:r w:rsidRPr="00271798">
              <w:rPr>
                <w:rFonts w:eastAsia="Calibri" w:cs="Times New Roman"/>
                <w:sz w:val="20"/>
                <w:szCs w:val="20"/>
                <w:lang/>
              </w:rPr>
              <w:t>0.0000</w:t>
            </w:r>
          </w:p>
        </w:tc>
        <w:tc>
          <w:tcPr>
            <w:tcW w:w="673" w:type="pct"/>
            <w:tcBorders>
              <w:top w:val="single" w:sz="4" w:space="0" w:color="auto"/>
              <w:left w:val="single" w:sz="4" w:space="0" w:color="auto"/>
              <w:bottom w:val="single" w:sz="4" w:space="0" w:color="auto"/>
              <w:right w:val="single" w:sz="4" w:space="0" w:color="auto"/>
            </w:tcBorders>
            <w:hideMark/>
          </w:tcPr>
          <w:p w14:paraId="4CFFDF0E" w14:textId="77777777" w:rsidR="00AB5818" w:rsidRPr="00271798" w:rsidRDefault="00AB5818" w:rsidP="002E4B8A">
            <w:pPr>
              <w:widowControl w:val="0"/>
              <w:autoSpaceDE w:val="0"/>
              <w:autoSpaceDN w:val="0"/>
              <w:adjustRightInd w:val="0"/>
              <w:spacing w:line="240" w:lineRule="auto"/>
              <w:rPr>
                <w:rFonts w:eastAsia="Calibri" w:cs="Times New Roman"/>
                <w:sz w:val="20"/>
                <w:szCs w:val="20"/>
              </w:rPr>
            </w:pPr>
            <w:r w:rsidRPr="00271798">
              <w:rPr>
                <w:rFonts w:eastAsia="Calibri" w:cs="Times New Roman"/>
                <w:sz w:val="20"/>
                <w:szCs w:val="20"/>
              </w:rPr>
              <w:t>0.0961</w:t>
            </w:r>
          </w:p>
        </w:tc>
        <w:tc>
          <w:tcPr>
            <w:tcW w:w="671" w:type="pct"/>
            <w:tcBorders>
              <w:top w:val="single" w:sz="4" w:space="0" w:color="auto"/>
              <w:left w:val="single" w:sz="4" w:space="0" w:color="auto"/>
              <w:bottom w:val="single" w:sz="4" w:space="0" w:color="auto"/>
              <w:right w:val="single" w:sz="4" w:space="0" w:color="auto"/>
            </w:tcBorders>
            <w:hideMark/>
          </w:tcPr>
          <w:p w14:paraId="0F1D0BE2" w14:textId="77777777" w:rsidR="00AB5818" w:rsidRPr="00271798" w:rsidRDefault="00AB5818" w:rsidP="002E4B8A">
            <w:pPr>
              <w:widowControl w:val="0"/>
              <w:autoSpaceDE w:val="0"/>
              <w:autoSpaceDN w:val="0"/>
              <w:adjustRightInd w:val="0"/>
              <w:spacing w:line="240" w:lineRule="auto"/>
              <w:rPr>
                <w:rFonts w:eastAsia="Calibri" w:cs="Times New Roman"/>
                <w:sz w:val="20"/>
                <w:szCs w:val="20"/>
                <w:lang/>
              </w:rPr>
            </w:pPr>
            <w:r w:rsidRPr="00271798">
              <w:rPr>
                <w:rFonts w:eastAsia="Calibri" w:cs="Times New Roman"/>
                <w:sz w:val="20"/>
                <w:szCs w:val="20"/>
                <w:lang/>
              </w:rPr>
              <w:t>0.0000</w:t>
            </w:r>
          </w:p>
        </w:tc>
        <w:tc>
          <w:tcPr>
            <w:tcW w:w="666" w:type="pct"/>
            <w:tcBorders>
              <w:top w:val="single" w:sz="4" w:space="0" w:color="auto"/>
              <w:left w:val="single" w:sz="4" w:space="0" w:color="auto"/>
              <w:bottom w:val="single" w:sz="4" w:space="0" w:color="auto"/>
              <w:right w:val="single" w:sz="4" w:space="0" w:color="auto"/>
            </w:tcBorders>
            <w:hideMark/>
          </w:tcPr>
          <w:p w14:paraId="685D90E0" w14:textId="77777777" w:rsidR="00AB5818" w:rsidRPr="00271798" w:rsidRDefault="00AB5818" w:rsidP="002E4B8A">
            <w:pPr>
              <w:widowControl w:val="0"/>
              <w:autoSpaceDE w:val="0"/>
              <w:autoSpaceDN w:val="0"/>
              <w:adjustRightInd w:val="0"/>
              <w:spacing w:line="240" w:lineRule="auto"/>
              <w:rPr>
                <w:rFonts w:eastAsia="Calibri" w:cs="Times New Roman"/>
                <w:sz w:val="20"/>
                <w:szCs w:val="20"/>
                <w:lang/>
              </w:rPr>
            </w:pPr>
            <w:r w:rsidRPr="00271798">
              <w:rPr>
                <w:rFonts w:eastAsia="Calibri" w:cs="Times New Roman"/>
                <w:sz w:val="20"/>
                <w:szCs w:val="20"/>
              </w:rPr>
              <w:t>0.8100</w:t>
            </w:r>
          </w:p>
        </w:tc>
      </w:tr>
      <w:tr w:rsidR="00AB5818" w:rsidRPr="00AB5818" w14:paraId="5A70FEEB"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568DFCA3"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State FE</w:t>
            </w:r>
          </w:p>
        </w:tc>
        <w:tc>
          <w:tcPr>
            <w:tcW w:w="809" w:type="pct"/>
            <w:tcBorders>
              <w:top w:val="single" w:sz="4" w:space="0" w:color="auto"/>
              <w:left w:val="single" w:sz="4" w:space="0" w:color="auto"/>
              <w:bottom w:val="single" w:sz="4" w:space="0" w:color="auto"/>
              <w:right w:val="single" w:sz="4" w:space="0" w:color="auto"/>
            </w:tcBorders>
            <w:hideMark/>
          </w:tcPr>
          <w:p w14:paraId="2021EF4E"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73" w:type="pct"/>
            <w:tcBorders>
              <w:top w:val="single" w:sz="4" w:space="0" w:color="auto"/>
              <w:left w:val="single" w:sz="4" w:space="0" w:color="auto"/>
              <w:bottom w:val="single" w:sz="4" w:space="0" w:color="auto"/>
              <w:right w:val="single" w:sz="4" w:space="0" w:color="auto"/>
            </w:tcBorders>
            <w:hideMark/>
          </w:tcPr>
          <w:p w14:paraId="50E64100"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c>
          <w:tcPr>
            <w:tcW w:w="672" w:type="pct"/>
            <w:tcBorders>
              <w:top w:val="single" w:sz="4" w:space="0" w:color="auto"/>
              <w:left w:val="single" w:sz="4" w:space="0" w:color="auto"/>
              <w:bottom w:val="single" w:sz="4" w:space="0" w:color="auto"/>
              <w:right w:val="single" w:sz="4" w:space="0" w:color="auto"/>
            </w:tcBorders>
            <w:hideMark/>
          </w:tcPr>
          <w:p w14:paraId="2C5889A6"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73" w:type="pct"/>
            <w:tcBorders>
              <w:top w:val="single" w:sz="4" w:space="0" w:color="auto"/>
              <w:left w:val="single" w:sz="4" w:space="0" w:color="auto"/>
              <w:bottom w:val="single" w:sz="4" w:space="0" w:color="auto"/>
              <w:right w:val="single" w:sz="4" w:space="0" w:color="auto"/>
            </w:tcBorders>
            <w:hideMark/>
          </w:tcPr>
          <w:p w14:paraId="5BA56751"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c>
          <w:tcPr>
            <w:tcW w:w="671" w:type="pct"/>
            <w:tcBorders>
              <w:top w:val="single" w:sz="4" w:space="0" w:color="auto"/>
              <w:left w:val="single" w:sz="4" w:space="0" w:color="auto"/>
              <w:bottom w:val="single" w:sz="4" w:space="0" w:color="auto"/>
              <w:right w:val="single" w:sz="4" w:space="0" w:color="auto"/>
            </w:tcBorders>
            <w:hideMark/>
          </w:tcPr>
          <w:p w14:paraId="7379693C"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66" w:type="pct"/>
            <w:tcBorders>
              <w:top w:val="single" w:sz="4" w:space="0" w:color="auto"/>
              <w:left w:val="single" w:sz="4" w:space="0" w:color="auto"/>
              <w:bottom w:val="single" w:sz="4" w:space="0" w:color="auto"/>
              <w:right w:val="single" w:sz="4" w:space="0" w:color="auto"/>
            </w:tcBorders>
            <w:hideMark/>
          </w:tcPr>
          <w:p w14:paraId="13C728B2"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r>
      <w:tr w:rsidR="00AB5818" w:rsidRPr="00AB5818" w14:paraId="11C0059C"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3BF0576F"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Year FE</w:t>
            </w:r>
          </w:p>
        </w:tc>
        <w:tc>
          <w:tcPr>
            <w:tcW w:w="809" w:type="pct"/>
            <w:tcBorders>
              <w:top w:val="single" w:sz="4" w:space="0" w:color="auto"/>
              <w:left w:val="single" w:sz="4" w:space="0" w:color="auto"/>
              <w:bottom w:val="single" w:sz="4" w:space="0" w:color="auto"/>
              <w:right w:val="single" w:sz="4" w:space="0" w:color="auto"/>
            </w:tcBorders>
            <w:hideMark/>
          </w:tcPr>
          <w:p w14:paraId="0E5723E8"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73" w:type="pct"/>
            <w:tcBorders>
              <w:top w:val="single" w:sz="4" w:space="0" w:color="auto"/>
              <w:left w:val="single" w:sz="4" w:space="0" w:color="auto"/>
              <w:bottom w:val="single" w:sz="4" w:space="0" w:color="auto"/>
              <w:right w:val="single" w:sz="4" w:space="0" w:color="auto"/>
            </w:tcBorders>
            <w:hideMark/>
          </w:tcPr>
          <w:p w14:paraId="400921F2"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c>
          <w:tcPr>
            <w:tcW w:w="672" w:type="pct"/>
            <w:tcBorders>
              <w:top w:val="single" w:sz="4" w:space="0" w:color="auto"/>
              <w:left w:val="single" w:sz="4" w:space="0" w:color="auto"/>
              <w:bottom w:val="single" w:sz="4" w:space="0" w:color="auto"/>
              <w:right w:val="single" w:sz="4" w:space="0" w:color="auto"/>
            </w:tcBorders>
            <w:hideMark/>
          </w:tcPr>
          <w:p w14:paraId="39681044"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73" w:type="pct"/>
            <w:tcBorders>
              <w:top w:val="single" w:sz="4" w:space="0" w:color="auto"/>
              <w:left w:val="single" w:sz="4" w:space="0" w:color="auto"/>
              <w:bottom w:val="single" w:sz="4" w:space="0" w:color="auto"/>
              <w:right w:val="single" w:sz="4" w:space="0" w:color="auto"/>
            </w:tcBorders>
            <w:hideMark/>
          </w:tcPr>
          <w:p w14:paraId="6844C1E3"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c>
          <w:tcPr>
            <w:tcW w:w="671" w:type="pct"/>
            <w:tcBorders>
              <w:top w:val="single" w:sz="4" w:space="0" w:color="auto"/>
              <w:left w:val="single" w:sz="4" w:space="0" w:color="auto"/>
              <w:bottom w:val="single" w:sz="4" w:space="0" w:color="auto"/>
              <w:right w:val="single" w:sz="4" w:space="0" w:color="auto"/>
            </w:tcBorders>
            <w:hideMark/>
          </w:tcPr>
          <w:p w14:paraId="30CF22B8"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66" w:type="pct"/>
            <w:tcBorders>
              <w:top w:val="single" w:sz="4" w:space="0" w:color="auto"/>
              <w:left w:val="single" w:sz="4" w:space="0" w:color="auto"/>
              <w:bottom w:val="single" w:sz="4" w:space="0" w:color="auto"/>
              <w:right w:val="single" w:sz="4" w:space="0" w:color="auto"/>
            </w:tcBorders>
            <w:hideMark/>
          </w:tcPr>
          <w:p w14:paraId="1573ACFC"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r>
      <w:tr w:rsidR="00AB5818" w:rsidRPr="00AB5818" w14:paraId="61309943"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0EA3DEC8"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County FE</w:t>
            </w:r>
          </w:p>
        </w:tc>
        <w:tc>
          <w:tcPr>
            <w:tcW w:w="809" w:type="pct"/>
            <w:tcBorders>
              <w:top w:val="single" w:sz="4" w:space="0" w:color="auto"/>
              <w:left w:val="single" w:sz="4" w:space="0" w:color="auto"/>
              <w:bottom w:val="single" w:sz="4" w:space="0" w:color="auto"/>
              <w:right w:val="single" w:sz="4" w:space="0" w:color="auto"/>
            </w:tcBorders>
            <w:hideMark/>
          </w:tcPr>
          <w:p w14:paraId="3FA65F78"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73" w:type="pct"/>
            <w:tcBorders>
              <w:top w:val="single" w:sz="4" w:space="0" w:color="auto"/>
              <w:left w:val="single" w:sz="4" w:space="0" w:color="auto"/>
              <w:bottom w:val="single" w:sz="4" w:space="0" w:color="auto"/>
              <w:right w:val="single" w:sz="4" w:space="0" w:color="auto"/>
            </w:tcBorders>
            <w:hideMark/>
          </w:tcPr>
          <w:p w14:paraId="6CA95D00"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c>
          <w:tcPr>
            <w:tcW w:w="672" w:type="pct"/>
            <w:tcBorders>
              <w:top w:val="single" w:sz="4" w:space="0" w:color="auto"/>
              <w:left w:val="single" w:sz="4" w:space="0" w:color="auto"/>
              <w:bottom w:val="single" w:sz="4" w:space="0" w:color="auto"/>
              <w:right w:val="single" w:sz="4" w:space="0" w:color="auto"/>
            </w:tcBorders>
            <w:hideMark/>
          </w:tcPr>
          <w:p w14:paraId="3861C41C"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73" w:type="pct"/>
            <w:tcBorders>
              <w:top w:val="single" w:sz="4" w:space="0" w:color="auto"/>
              <w:left w:val="single" w:sz="4" w:space="0" w:color="auto"/>
              <w:bottom w:val="single" w:sz="4" w:space="0" w:color="auto"/>
              <w:right w:val="single" w:sz="4" w:space="0" w:color="auto"/>
            </w:tcBorders>
            <w:hideMark/>
          </w:tcPr>
          <w:p w14:paraId="19AD2A6F"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c>
          <w:tcPr>
            <w:tcW w:w="671" w:type="pct"/>
            <w:tcBorders>
              <w:top w:val="single" w:sz="4" w:space="0" w:color="auto"/>
              <w:left w:val="single" w:sz="4" w:space="0" w:color="auto"/>
              <w:bottom w:val="single" w:sz="4" w:space="0" w:color="auto"/>
              <w:right w:val="single" w:sz="4" w:space="0" w:color="auto"/>
            </w:tcBorders>
            <w:hideMark/>
          </w:tcPr>
          <w:p w14:paraId="2341AA02"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66" w:type="pct"/>
            <w:tcBorders>
              <w:top w:val="single" w:sz="4" w:space="0" w:color="auto"/>
              <w:left w:val="single" w:sz="4" w:space="0" w:color="auto"/>
              <w:bottom w:val="single" w:sz="4" w:space="0" w:color="auto"/>
              <w:right w:val="single" w:sz="4" w:space="0" w:color="auto"/>
            </w:tcBorders>
            <w:hideMark/>
          </w:tcPr>
          <w:p w14:paraId="2923E5B8"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r>
    </w:tbl>
    <w:p w14:paraId="20747BE1" w14:textId="56B2F45C" w:rsidR="00AB5818" w:rsidRPr="000E300A" w:rsidRDefault="000E300A" w:rsidP="00CE0D78">
      <w:pPr>
        <w:widowControl w:val="0"/>
        <w:autoSpaceDE w:val="0"/>
        <w:autoSpaceDN w:val="0"/>
        <w:adjustRightInd w:val="0"/>
        <w:spacing w:line="240" w:lineRule="auto"/>
        <w:rPr>
          <w:rFonts w:eastAsia="Calibri" w:cs="Times New Roman"/>
          <w:sz w:val="20"/>
          <w:szCs w:val="20"/>
        </w:rPr>
      </w:pPr>
      <w:r>
        <w:rPr>
          <w:rFonts w:eastAsia="Calibri" w:cs="Times New Roman"/>
          <w:sz w:val="20"/>
          <w:szCs w:val="20"/>
        </w:rPr>
        <w:t xml:space="preserve">Table A50: </w:t>
      </w:r>
      <w:r w:rsidR="00AB5818" w:rsidRPr="00AB5818">
        <w:rPr>
          <w:rFonts w:eastAsia="Calibri" w:cs="Times New Roman"/>
          <w:sz w:val="20"/>
          <w:szCs w:val="20"/>
          <w:lang/>
        </w:rPr>
        <w:t>Results for construction, illustrating the spatial and temporal economic impacts of delisting, with binary range measures</w:t>
      </w:r>
      <w:r>
        <w:rPr>
          <w:rFonts w:eastAsia="Calibri" w:cs="Times New Roman"/>
          <w:sz w:val="20"/>
          <w:szCs w:val="20"/>
        </w:rPr>
        <w:t xml:space="preserve">. </w:t>
      </w:r>
      <w:r w:rsidRPr="000E300A">
        <w:rPr>
          <w:rFonts w:eastAsia="Calibri" w:cs="Times New Roman"/>
          <w:sz w:val="20"/>
          <w:szCs w:val="20"/>
        </w:rPr>
        <w:t>Statistically significant impacts are denoted by asterisks. These asterisks denote statistical significance at the following levels: ***p &lt; 0.01, **p &lt; 0.05, *p &lt; 0.1.</w:t>
      </w:r>
    </w:p>
    <w:p w14:paraId="66DB0962" w14:textId="43F4FFB5" w:rsidR="00624082" w:rsidRPr="003B5A8E" w:rsidRDefault="00624082" w:rsidP="00095E25">
      <w:pPr>
        <w:pStyle w:val="Title"/>
        <w:rPr>
          <w:lang w:val="en-US"/>
        </w:rPr>
      </w:pPr>
      <w:bookmarkStart w:id="730" w:name="_Toc188056060"/>
      <w:bookmarkStart w:id="731" w:name="_Toc188057144"/>
    </w:p>
    <w:p w14:paraId="1FF78C0F" w14:textId="2EA1F07C" w:rsidR="00AB5818" w:rsidRPr="00AB5818" w:rsidRDefault="00AB5818" w:rsidP="00095E25">
      <w:pPr>
        <w:pStyle w:val="Title"/>
      </w:pPr>
      <w:bookmarkStart w:id="732" w:name="_Toc188359656"/>
      <w:bookmarkStart w:id="733" w:name="_Toc188359944"/>
      <w:bookmarkStart w:id="734" w:name="_Toc188361180"/>
      <w:bookmarkStart w:id="735" w:name="_Toc188367023"/>
      <w:r w:rsidRPr="00AB5818">
        <w:lastRenderedPageBreak/>
        <w:t>Table A</w:t>
      </w:r>
      <w:r w:rsidR="005E02DB">
        <w:t>5</w:t>
      </w:r>
      <w:r w:rsidRPr="00AB5818">
        <w:t xml:space="preserve">1: </w:t>
      </w:r>
      <w:r w:rsidR="002E1ED3">
        <w:rPr>
          <w:lang w:val="en-US"/>
        </w:rPr>
        <w:t xml:space="preserve">Summary of </w:t>
      </w:r>
      <w:r w:rsidR="002E1ED3" w:rsidRPr="00AB5818">
        <w:t xml:space="preserve">NAICS </w:t>
      </w:r>
      <w:r w:rsidR="002E1ED3">
        <w:rPr>
          <w:lang w:val="en-US"/>
        </w:rPr>
        <w:t xml:space="preserve">23 Regression Results </w:t>
      </w:r>
      <w:r w:rsidR="002E1ED3" w:rsidRPr="00AB5818">
        <w:t>–</w:t>
      </w:r>
      <w:r w:rsidR="002E1ED3">
        <w:rPr>
          <w:lang w:val="en-US"/>
        </w:rPr>
        <w:t xml:space="preserve"> </w:t>
      </w:r>
      <w:r w:rsidRPr="00AB5818">
        <w:t>Continuous Range Indicator</w:t>
      </w:r>
      <w:bookmarkEnd w:id="730"/>
      <w:bookmarkEnd w:id="731"/>
      <w:bookmarkEnd w:id="732"/>
      <w:bookmarkEnd w:id="733"/>
      <w:bookmarkEnd w:id="734"/>
      <w:bookmarkEnd w:id="735"/>
    </w:p>
    <w:tbl>
      <w:tblPr>
        <w:tblW w:w="49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0"/>
        <w:gridCol w:w="1500"/>
        <w:gridCol w:w="1248"/>
        <w:gridCol w:w="1246"/>
        <w:gridCol w:w="1248"/>
        <w:gridCol w:w="1244"/>
        <w:gridCol w:w="1235"/>
      </w:tblGrid>
      <w:tr w:rsidR="00922EC5" w:rsidRPr="00AB5818" w14:paraId="6660EB2C"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76C4D0CC" w14:textId="71BE7D78" w:rsidR="00922EC5" w:rsidRPr="00AB5818" w:rsidRDefault="00922EC5" w:rsidP="002E4B8A">
            <w:pPr>
              <w:widowControl w:val="0"/>
              <w:autoSpaceDE w:val="0"/>
              <w:autoSpaceDN w:val="0"/>
              <w:adjustRightInd w:val="0"/>
              <w:spacing w:line="240" w:lineRule="auto"/>
              <w:rPr>
                <w:rFonts w:eastAsia="Calibri" w:cs="Times New Roman"/>
                <w:b/>
                <w:bCs/>
                <w:sz w:val="20"/>
                <w:szCs w:val="20"/>
              </w:rPr>
            </w:pPr>
            <w:r w:rsidRPr="00922EC5">
              <w:rPr>
                <w:rFonts w:eastAsia="Calibri" w:cs="Times New Roman"/>
                <w:b/>
                <w:bCs/>
                <w:sz w:val="20"/>
                <w:szCs w:val="20"/>
              </w:rPr>
              <w:t>Variable</w:t>
            </w:r>
          </w:p>
        </w:tc>
        <w:tc>
          <w:tcPr>
            <w:tcW w:w="1482" w:type="pct"/>
            <w:gridSpan w:val="2"/>
            <w:tcBorders>
              <w:top w:val="single" w:sz="4" w:space="0" w:color="auto"/>
              <w:left w:val="single" w:sz="4" w:space="0" w:color="auto"/>
              <w:bottom w:val="single" w:sz="4" w:space="0" w:color="auto"/>
              <w:right w:val="single" w:sz="4" w:space="0" w:color="auto"/>
            </w:tcBorders>
            <w:hideMark/>
          </w:tcPr>
          <w:p w14:paraId="778B0889" w14:textId="4244739C" w:rsidR="00922EC5" w:rsidRPr="00AB5818" w:rsidRDefault="00922EC5" w:rsidP="002E4B8A">
            <w:pPr>
              <w:widowControl w:val="0"/>
              <w:autoSpaceDE w:val="0"/>
              <w:autoSpaceDN w:val="0"/>
              <w:adjustRightInd w:val="0"/>
              <w:spacing w:line="240" w:lineRule="auto"/>
              <w:rPr>
                <w:rFonts w:eastAsia="Calibri" w:cs="Times New Roman"/>
                <w:b/>
                <w:bCs/>
                <w:color w:val="FF0000"/>
                <w:sz w:val="20"/>
                <w:szCs w:val="20"/>
                <w:highlight w:val="yellow"/>
              </w:rPr>
            </w:pPr>
            <w:r w:rsidRPr="00922EC5">
              <w:rPr>
                <w:rFonts w:cs="Times New Roman"/>
                <w:b/>
                <w:bCs/>
                <w:sz w:val="20"/>
                <w:szCs w:val="20"/>
              </w:rPr>
              <w:t>Establishment Count</w:t>
            </w:r>
          </w:p>
        </w:tc>
        <w:tc>
          <w:tcPr>
            <w:tcW w:w="1345" w:type="pct"/>
            <w:gridSpan w:val="2"/>
            <w:tcBorders>
              <w:top w:val="single" w:sz="4" w:space="0" w:color="auto"/>
              <w:left w:val="single" w:sz="4" w:space="0" w:color="auto"/>
              <w:bottom w:val="single" w:sz="4" w:space="0" w:color="auto"/>
              <w:right w:val="single" w:sz="4" w:space="0" w:color="auto"/>
            </w:tcBorders>
            <w:hideMark/>
          </w:tcPr>
          <w:p w14:paraId="2BD3554D" w14:textId="37C116C9" w:rsidR="00922EC5" w:rsidRPr="00AB5818" w:rsidRDefault="00922EC5" w:rsidP="002E4B8A">
            <w:pPr>
              <w:widowControl w:val="0"/>
              <w:autoSpaceDE w:val="0"/>
              <w:autoSpaceDN w:val="0"/>
              <w:adjustRightInd w:val="0"/>
              <w:spacing w:line="240" w:lineRule="auto"/>
              <w:rPr>
                <w:rFonts w:eastAsia="Calibri" w:cs="Times New Roman"/>
                <w:b/>
                <w:bCs/>
                <w:color w:val="FF0000"/>
                <w:sz w:val="20"/>
                <w:szCs w:val="20"/>
                <w:highlight w:val="yellow"/>
              </w:rPr>
            </w:pPr>
            <w:r w:rsidRPr="00922EC5">
              <w:rPr>
                <w:rFonts w:cs="Times New Roman"/>
                <w:b/>
                <w:bCs/>
                <w:sz w:val="20"/>
                <w:szCs w:val="20"/>
              </w:rPr>
              <w:t>Job Count</w:t>
            </w:r>
          </w:p>
        </w:tc>
        <w:tc>
          <w:tcPr>
            <w:tcW w:w="1337" w:type="pct"/>
            <w:gridSpan w:val="2"/>
            <w:tcBorders>
              <w:top w:val="single" w:sz="4" w:space="0" w:color="auto"/>
              <w:left w:val="single" w:sz="4" w:space="0" w:color="auto"/>
              <w:bottom w:val="single" w:sz="4" w:space="0" w:color="auto"/>
              <w:right w:val="single" w:sz="4" w:space="0" w:color="auto"/>
            </w:tcBorders>
            <w:hideMark/>
          </w:tcPr>
          <w:p w14:paraId="657C233E" w14:textId="1772531B" w:rsidR="00922EC5" w:rsidRPr="00AB5818" w:rsidRDefault="00922EC5" w:rsidP="002E4B8A">
            <w:pPr>
              <w:widowControl w:val="0"/>
              <w:autoSpaceDE w:val="0"/>
              <w:autoSpaceDN w:val="0"/>
              <w:adjustRightInd w:val="0"/>
              <w:spacing w:line="240" w:lineRule="auto"/>
              <w:rPr>
                <w:rFonts w:eastAsia="Calibri" w:cs="Times New Roman"/>
                <w:b/>
                <w:bCs/>
                <w:color w:val="FF0000"/>
                <w:sz w:val="20"/>
                <w:szCs w:val="20"/>
                <w:highlight w:val="yellow"/>
              </w:rPr>
            </w:pPr>
            <w:r w:rsidRPr="00922EC5">
              <w:rPr>
                <w:rFonts w:cs="Times New Roman"/>
                <w:b/>
                <w:bCs/>
                <w:sz w:val="20"/>
                <w:szCs w:val="20"/>
              </w:rPr>
              <w:t>Sales Volume</w:t>
            </w:r>
          </w:p>
        </w:tc>
      </w:tr>
      <w:tr w:rsidR="00AB5818" w:rsidRPr="00AB5818" w14:paraId="13380326"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2F2AD52C"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Range</w:t>
            </w:r>
          </w:p>
        </w:tc>
        <w:tc>
          <w:tcPr>
            <w:tcW w:w="809" w:type="pct"/>
            <w:tcBorders>
              <w:top w:val="single" w:sz="4" w:space="0" w:color="auto"/>
              <w:left w:val="single" w:sz="4" w:space="0" w:color="auto"/>
              <w:bottom w:val="single" w:sz="4" w:space="0" w:color="auto"/>
              <w:right w:val="single" w:sz="4" w:space="0" w:color="auto"/>
            </w:tcBorders>
            <w:hideMark/>
          </w:tcPr>
          <w:p w14:paraId="1940B8D3" w14:textId="77777777" w:rsidR="00AB5818" w:rsidRPr="00AB5818" w:rsidRDefault="00AB5818" w:rsidP="002E4B8A">
            <w:pPr>
              <w:widowControl w:val="0"/>
              <w:autoSpaceDE w:val="0"/>
              <w:autoSpaceDN w:val="0"/>
              <w:adjustRightInd w:val="0"/>
              <w:spacing w:line="240" w:lineRule="auto"/>
              <w:rPr>
                <w:rFonts w:eastAsia="Calibri" w:cs="Times New Roman"/>
                <w:sz w:val="20"/>
                <w:szCs w:val="20"/>
                <w:highlight w:val="magenta"/>
              </w:rPr>
            </w:pPr>
            <w:r w:rsidRPr="00AB5818">
              <w:rPr>
                <w:rFonts w:eastAsia="Calibri" w:cs="Times New Roman"/>
                <w:sz w:val="20"/>
                <w:szCs w:val="20"/>
              </w:rPr>
              <w:t>.00339***</w:t>
            </w:r>
          </w:p>
        </w:tc>
        <w:tc>
          <w:tcPr>
            <w:tcW w:w="673" w:type="pct"/>
            <w:tcBorders>
              <w:top w:val="single" w:sz="4" w:space="0" w:color="auto"/>
              <w:left w:val="single" w:sz="4" w:space="0" w:color="auto"/>
              <w:bottom w:val="single" w:sz="4" w:space="0" w:color="auto"/>
              <w:right w:val="single" w:sz="4" w:space="0" w:color="auto"/>
            </w:tcBorders>
            <w:hideMark/>
          </w:tcPr>
          <w:p w14:paraId="62FF4733" w14:textId="77777777" w:rsidR="00AB5818" w:rsidRPr="00AB5818" w:rsidRDefault="00AB5818" w:rsidP="002E4B8A">
            <w:pPr>
              <w:widowControl w:val="0"/>
              <w:autoSpaceDE w:val="0"/>
              <w:autoSpaceDN w:val="0"/>
              <w:adjustRightInd w:val="0"/>
              <w:spacing w:line="240" w:lineRule="auto"/>
              <w:rPr>
                <w:rFonts w:eastAsia="Calibri" w:cs="Times New Roman"/>
                <w:sz w:val="20"/>
                <w:szCs w:val="20"/>
                <w:highlight w:val="magenta"/>
              </w:rPr>
            </w:pPr>
            <w:r w:rsidRPr="00AB5818">
              <w:rPr>
                <w:rFonts w:eastAsia="Calibri" w:cs="Times New Roman"/>
                <w:sz w:val="20"/>
                <w:szCs w:val="20"/>
              </w:rPr>
              <w:t>.00078***</w:t>
            </w:r>
          </w:p>
        </w:tc>
        <w:tc>
          <w:tcPr>
            <w:tcW w:w="672" w:type="pct"/>
            <w:tcBorders>
              <w:top w:val="single" w:sz="4" w:space="0" w:color="auto"/>
              <w:left w:val="single" w:sz="4" w:space="0" w:color="auto"/>
              <w:bottom w:val="single" w:sz="4" w:space="0" w:color="auto"/>
              <w:right w:val="single" w:sz="4" w:space="0" w:color="auto"/>
            </w:tcBorders>
            <w:hideMark/>
          </w:tcPr>
          <w:p w14:paraId="765B537B"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.00455***</w:t>
            </w:r>
          </w:p>
        </w:tc>
        <w:tc>
          <w:tcPr>
            <w:tcW w:w="673" w:type="pct"/>
            <w:tcBorders>
              <w:top w:val="single" w:sz="4" w:space="0" w:color="auto"/>
              <w:left w:val="single" w:sz="4" w:space="0" w:color="auto"/>
              <w:bottom w:val="single" w:sz="4" w:space="0" w:color="auto"/>
              <w:right w:val="single" w:sz="4" w:space="0" w:color="auto"/>
            </w:tcBorders>
            <w:hideMark/>
          </w:tcPr>
          <w:p w14:paraId="289E7B5D"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-.00003</w:t>
            </w:r>
          </w:p>
        </w:tc>
        <w:tc>
          <w:tcPr>
            <w:tcW w:w="671" w:type="pct"/>
            <w:tcBorders>
              <w:top w:val="single" w:sz="4" w:space="0" w:color="auto"/>
              <w:left w:val="single" w:sz="4" w:space="0" w:color="auto"/>
              <w:bottom w:val="single" w:sz="4" w:space="0" w:color="auto"/>
              <w:right w:val="single" w:sz="4" w:space="0" w:color="auto"/>
            </w:tcBorders>
            <w:hideMark/>
          </w:tcPr>
          <w:p w14:paraId="62EF64FE"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.00456***</w:t>
            </w:r>
          </w:p>
        </w:tc>
        <w:tc>
          <w:tcPr>
            <w:tcW w:w="666" w:type="pct"/>
            <w:tcBorders>
              <w:top w:val="single" w:sz="4" w:space="0" w:color="auto"/>
              <w:left w:val="single" w:sz="4" w:space="0" w:color="auto"/>
              <w:bottom w:val="single" w:sz="4" w:space="0" w:color="auto"/>
              <w:right w:val="single" w:sz="4" w:space="0" w:color="auto"/>
            </w:tcBorders>
            <w:hideMark/>
          </w:tcPr>
          <w:p w14:paraId="150245AF"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.00009</w:t>
            </w:r>
          </w:p>
        </w:tc>
      </w:tr>
      <w:tr w:rsidR="00AB5818" w:rsidRPr="00AB5818" w14:paraId="20D16CBA"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66DD8199" w14:textId="33E04720" w:rsidR="00AB5818" w:rsidRPr="00AB5818" w:rsidRDefault="00AB5818" w:rsidP="002E4B8A">
            <w:pPr>
              <w:widowControl w:val="0"/>
              <w:autoSpaceDE w:val="0"/>
              <w:autoSpaceDN w:val="0"/>
              <w:adjustRightInd w:val="0"/>
              <w:spacing w:line="240" w:lineRule="auto"/>
              <w:rPr>
                <w:rFonts w:eastAsia="Calibri" w:cs="Times New Roman"/>
                <w:sz w:val="20"/>
                <w:szCs w:val="20"/>
              </w:rPr>
            </w:pPr>
          </w:p>
        </w:tc>
        <w:tc>
          <w:tcPr>
            <w:tcW w:w="809" w:type="pct"/>
            <w:tcBorders>
              <w:top w:val="single" w:sz="4" w:space="0" w:color="auto"/>
              <w:left w:val="single" w:sz="4" w:space="0" w:color="auto"/>
              <w:bottom w:val="single" w:sz="4" w:space="0" w:color="auto"/>
              <w:right w:val="single" w:sz="4" w:space="0" w:color="auto"/>
            </w:tcBorders>
            <w:hideMark/>
          </w:tcPr>
          <w:p w14:paraId="5AC1BEA5"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(.00114)</w:t>
            </w:r>
          </w:p>
        </w:tc>
        <w:tc>
          <w:tcPr>
            <w:tcW w:w="673" w:type="pct"/>
            <w:tcBorders>
              <w:top w:val="single" w:sz="4" w:space="0" w:color="auto"/>
              <w:left w:val="single" w:sz="4" w:space="0" w:color="auto"/>
              <w:bottom w:val="single" w:sz="4" w:space="0" w:color="auto"/>
              <w:right w:val="single" w:sz="4" w:space="0" w:color="auto"/>
            </w:tcBorders>
            <w:hideMark/>
          </w:tcPr>
          <w:p w14:paraId="55BBA7A4"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(.00009)</w:t>
            </w:r>
          </w:p>
        </w:tc>
        <w:tc>
          <w:tcPr>
            <w:tcW w:w="672" w:type="pct"/>
            <w:tcBorders>
              <w:top w:val="single" w:sz="4" w:space="0" w:color="auto"/>
              <w:left w:val="single" w:sz="4" w:space="0" w:color="auto"/>
              <w:bottom w:val="single" w:sz="4" w:space="0" w:color="auto"/>
              <w:right w:val="single" w:sz="4" w:space="0" w:color="auto"/>
            </w:tcBorders>
            <w:hideMark/>
          </w:tcPr>
          <w:p w14:paraId="1B1B2768"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(.00121)</w:t>
            </w:r>
          </w:p>
        </w:tc>
        <w:tc>
          <w:tcPr>
            <w:tcW w:w="673" w:type="pct"/>
            <w:tcBorders>
              <w:top w:val="single" w:sz="4" w:space="0" w:color="auto"/>
              <w:left w:val="single" w:sz="4" w:space="0" w:color="auto"/>
              <w:bottom w:val="single" w:sz="4" w:space="0" w:color="auto"/>
              <w:right w:val="single" w:sz="4" w:space="0" w:color="auto"/>
            </w:tcBorders>
            <w:hideMark/>
          </w:tcPr>
          <w:p w14:paraId="7BC378AD"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(.00027)</w:t>
            </w:r>
          </w:p>
        </w:tc>
        <w:tc>
          <w:tcPr>
            <w:tcW w:w="671" w:type="pct"/>
            <w:tcBorders>
              <w:top w:val="single" w:sz="4" w:space="0" w:color="auto"/>
              <w:left w:val="single" w:sz="4" w:space="0" w:color="auto"/>
              <w:bottom w:val="single" w:sz="4" w:space="0" w:color="auto"/>
              <w:right w:val="single" w:sz="4" w:space="0" w:color="auto"/>
            </w:tcBorders>
            <w:hideMark/>
          </w:tcPr>
          <w:p w14:paraId="14F97205"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(.0012)</w:t>
            </w:r>
          </w:p>
        </w:tc>
        <w:tc>
          <w:tcPr>
            <w:tcW w:w="666" w:type="pct"/>
            <w:tcBorders>
              <w:top w:val="single" w:sz="4" w:space="0" w:color="auto"/>
              <w:left w:val="single" w:sz="4" w:space="0" w:color="auto"/>
              <w:bottom w:val="single" w:sz="4" w:space="0" w:color="auto"/>
              <w:right w:val="single" w:sz="4" w:space="0" w:color="auto"/>
            </w:tcBorders>
            <w:hideMark/>
          </w:tcPr>
          <w:p w14:paraId="4097F652"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(.0004)</w:t>
            </w:r>
          </w:p>
        </w:tc>
      </w:tr>
      <w:tr w:rsidR="00AB5818" w:rsidRPr="00AB5818" w14:paraId="63D4D8A7"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1D44D33F"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TSD * Range</w:t>
            </w:r>
          </w:p>
        </w:tc>
        <w:tc>
          <w:tcPr>
            <w:tcW w:w="809" w:type="pct"/>
            <w:tcBorders>
              <w:top w:val="single" w:sz="4" w:space="0" w:color="auto"/>
              <w:left w:val="single" w:sz="4" w:space="0" w:color="auto"/>
              <w:bottom w:val="single" w:sz="4" w:space="0" w:color="auto"/>
              <w:right w:val="single" w:sz="4" w:space="0" w:color="auto"/>
            </w:tcBorders>
            <w:hideMark/>
          </w:tcPr>
          <w:p w14:paraId="7468C9C9"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.00002</w:t>
            </w:r>
          </w:p>
        </w:tc>
        <w:tc>
          <w:tcPr>
            <w:tcW w:w="673" w:type="pct"/>
            <w:tcBorders>
              <w:top w:val="single" w:sz="4" w:space="0" w:color="auto"/>
              <w:left w:val="single" w:sz="4" w:space="0" w:color="auto"/>
              <w:bottom w:val="single" w:sz="4" w:space="0" w:color="auto"/>
              <w:right w:val="single" w:sz="4" w:space="0" w:color="auto"/>
            </w:tcBorders>
            <w:hideMark/>
          </w:tcPr>
          <w:p w14:paraId="7312232C"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.00027**</w:t>
            </w:r>
          </w:p>
        </w:tc>
        <w:tc>
          <w:tcPr>
            <w:tcW w:w="672" w:type="pct"/>
            <w:tcBorders>
              <w:top w:val="single" w:sz="4" w:space="0" w:color="auto"/>
              <w:left w:val="single" w:sz="4" w:space="0" w:color="auto"/>
              <w:bottom w:val="single" w:sz="4" w:space="0" w:color="auto"/>
              <w:right w:val="single" w:sz="4" w:space="0" w:color="auto"/>
            </w:tcBorders>
            <w:hideMark/>
          </w:tcPr>
          <w:p w14:paraId="19DC3244"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.00013</w:t>
            </w:r>
          </w:p>
        </w:tc>
        <w:tc>
          <w:tcPr>
            <w:tcW w:w="673" w:type="pct"/>
            <w:tcBorders>
              <w:top w:val="single" w:sz="4" w:space="0" w:color="auto"/>
              <w:left w:val="single" w:sz="4" w:space="0" w:color="auto"/>
              <w:bottom w:val="single" w:sz="4" w:space="0" w:color="auto"/>
              <w:right w:val="single" w:sz="4" w:space="0" w:color="auto"/>
            </w:tcBorders>
            <w:hideMark/>
          </w:tcPr>
          <w:p w14:paraId="2F81281B"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.00013</w:t>
            </w:r>
          </w:p>
        </w:tc>
        <w:tc>
          <w:tcPr>
            <w:tcW w:w="671" w:type="pct"/>
            <w:tcBorders>
              <w:top w:val="single" w:sz="4" w:space="0" w:color="auto"/>
              <w:left w:val="single" w:sz="4" w:space="0" w:color="auto"/>
              <w:bottom w:val="single" w:sz="4" w:space="0" w:color="auto"/>
              <w:right w:val="single" w:sz="4" w:space="0" w:color="auto"/>
            </w:tcBorders>
            <w:hideMark/>
          </w:tcPr>
          <w:p w14:paraId="08EC5FA4"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-.00021</w:t>
            </w:r>
          </w:p>
        </w:tc>
        <w:tc>
          <w:tcPr>
            <w:tcW w:w="666" w:type="pct"/>
            <w:tcBorders>
              <w:top w:val="single" w:sz="4" w:space="0" w:color="auto"/>
              <w:left w:val="single" w:sz="4" w:space="0" w:color="auto"/>
              <w:bottom w:val="single" w:sz="4" w:space="0" w:color="auto"/>
              <w:right w:val="single" w:sz="4" w:space="0" w:color="auto"/>
            </w:tcBorders>
            <w:hideMark/>
          </w:tcPr>
          <w:p w14:paraId="6F1DC328"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-.00009</w:t>
            </w:r>
          </w:p>
        </w:tc>
      </w:tr>
      <w:tr w:rsidR="00AB5818" w:rsidRPr="00AB5818" w14:paraId="3E1CCDBF"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77887A12" w14:textId="3E156B12" w:rsidR="00AB5818" w:rsidRPr="00AB5818" w:rsidRDefault="00AB5818" w:rsidP="002E4B8A">
            <w:pPr>
              <w:widowControl w:val="0"/>
              <w:autoSpaceDE w:val="0"/>
              <w:autoSpaceDN w:val="0"/>
              <w:adjustRightInd w:val="0"/>
              <w:spacing w:line="240" w:lineRule="auto"/>
              <w:rPr>
                <w:rFonts w:eastAsia="Calibri" w:cs="Times New Roman"/>
                <w:sz w:val="20"/>
                <w:szCs w:val="20"/>
              </w:rPr>
            </w:pPr>
          </w:p>
        </w:tc>
        <w:tc>
          <w:tcPr>
            <w:tcW w:w="809" w:type="pct"/>
            <w:tcBorders>
              <w:top w:val="single" w:sz="4" w:space="0" w:color="auto"/>
              <w:left w:val="single" w:sz="4" w:space="0" w:color="auto"/>
              <w:bottom w:val="single" w:sz="4" w:space="0" w:color="auto"/>
              <w:right w:val="single" w:sz="4" w:space="0" w:color="auto"/>
            </w:tcBorders>
            <w:hideMark/>
          </w:tcPr>
          <w:p w14:paraId="49C00AF6"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(.00029)</w:t>
            </w:r>
          </w:p>
        </w:tc>
        <w:tc>
          <w:tcPr>
            <w:tcW w:w="673" w:type="pct"/>
            <w:tcBorders>
              <w:top w:val="single" w:sz="4" w:space="0" w:color="auto"/>
              <w:left w:val="single" w:sz="4" w:space="0" w:color="auto"/>
              <w:bottom w:val="single" w:sz="4" w:space="0" w:color="auto"/>
              <w:right w:val="single" w:sz="4" w:space="0" w:color="auto"/>
            </w:tcBorders>
            <w:hideMark/>
          </w:tcPr>
          <w:p w14:paraId="6771541C"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(.00012)</w:t>
            </w:r>
          </w:p>
        </w:tc>
        <w:tc>
          <w:tcPr>
            <w:tcW w:w="672" w:type="pct"/>
            <w:tcBorders>
              <w:top w:val="single" w:sz="4" w:space="0" w:color="auto"/>
              <w:left w:val="single" w:sz="4" w:space="0" w:color="auto"/>
              <w:bottom w:val="single" w:sz="4" w:space="0" w:color="auto"/>
              <w:right w:val="single" w:sz="4" w:space="0" w:color="auto"/>
            </w:tcBorders>
            <w:hideMark/>
          </w:tcPr>
          <w:p w14:paraId="01B4A0B9"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(.00025)</w:t>
            </w:r>
          </w:p>
        </w:tc>
        <w:tc>
          <w:tcPr>
            <w:tcW w:w="673" w:type="pct"/>
            <w:tcBorders>
              <w:top w:val="single" w:sz="4" w:space="0" w:color="auto"/>
              <w:left w:val="single" w:sz="4" w:space="0" w:color="auto"/>
              <w:bottom w:val="single" w:sz="4" w:space="0" w:color="auto"/>
              <w:right w:val="single" w:sz="4" w:space="0" w:color="auto"/>
            </w:tcBorders>
            <w:hideMark/>
          </w:tcPr>
          <w:p w14:paraId="098697ED"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(.00015)</w:t>
            </w:r>
          </w:p>
        </w:tc>
        <w:tc>
          <w:tcPr>
            <w:tcW w:w="671" w:type="pct"/>
            <w:tcBorders>
              <w:top w:val="single" w:sz="4" w:space="0" w:color="auto"/>
              <w:left w:val="single" w:sz="4" w:space="0" w:color="auto"/>
              <w:bottom w:val="single" w:sz="4" w:space="0" w:color="auto"/>
              <w:right w:val="single" w:sz="4" w:space="0" w:color="auto"/>
            </w:tcBorders>
            <w:hideMark/>
          </w:tcPr>
          <w:p w14:paraId="0B7F13DA"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(.00032)</w:t>
            </w:r>
          </w:p>
        </w:tc>
        <w:tc>
          <w:tcPr>
            <w:tcW w:w="666" w:type="pct"/>
            <w:tcBorders>
              <w:top w:val="single" w:sz="4" w:space="0" w:color="auto"/>
              <w:left w:val="single" w:sz="4" w:space="0" w:color="auto"/>
              <w:bottom w:val="single" w:sz="4" w:space="0" w:color="auto"/>
              <w:right w:val="single" w:sz="4" w:space="0" w:color="auto"/>
            </w:tcBorders>
            <w:hideMark/>
          </w:tcPr>
          <w:p w14:paraId="252957DF"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(.00023)</w:t>
            </w:r>
          </w:p>
        </w:tc>
      </w:tr>
      <w:tr w:rsidR="00AB5818" w:rsidRPr="00AB5818" w14:paraId="6DA3FCF1"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720DF31F"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Joint Test (p-value)</w:t>
            </w:r>
          </w:p>
        </w:tc>
        <w:tc>
          <w:tcPr>
            <w:tcW w:w="809" w:type="pct"/>
            <w:tcBorders>
              <w:top w:val="single" w:sz="4" w:space="0" w:color="auto"/>
              <w:left w:val="single" w:sz="4" w:space="0" w:color="auto"/>
              <w:bottom w:val="single" w:sz="4" w:space="0" w:color="auto"/>
              <w:right w:val="single" w:sz="4" w:space="0" w:color="auto"/>
            </w:tcBorders>
            <w:hideMark/>
          </w:tcPr>
          <w:p w14:paraId="1C34EB31" w14:textId="77777777" w:rsidR="00AB5818" w:rsidRPr="00271798" w:rsidRDefault="00AB5818" w:rsidP="002E4B8A">
            <w:pPr>
              <w:spacing w:line="240" w:lineRule="auto"/>
              <w:rPr>
                <w:rFonts w:eastAsia="Calibri" w:cs="Times New Roman"/>
                <w:sz w:val="20"/>
                <w:szCs w:val="20"/>
                <w:lang/>
              </w:rPr>
            </w:pPr>
            <w:r w:rsidRPr="00271798">
              <w:rPr>
                <w:rFonts w:eastAsia="Calibri" w:cs="Times New Roman"/>
                <w:sz w:val="20"/>
                <w:szCs w:val="20"/>
              </w:rPr>
              <w:t>0.0074</w:t>
            </w:r>
          </w:p>
        </w:tc>
        <w:tc>
          <w:tcPr>
            <w:tcW w:w="673" w:type="pct"/>
            <w:tcBorders>
              <w:top w:val="single" w:sz="4" w:space="0" w:color="auto"/>
              <w:left w:val="single" w:sz="4" w:space="0" w:color="auto"/>
              <w:bottom w:val="single" w:sz="4" w:space="0" w:color="auto"/>
              <w:right w:val="single" w:sz="4" w:space="0" w:color="auto"/>
            </w:tcBorders>
            <w:hideMark/>
          </w:tcPr>
          <w:p w14:paraId="352F8540" w14:textId="77777777" w:rsidR="00AB5818" w:rsidRPr="00271798" w:rsidRDefault="00AB5818" w:rsidP="002E4B8A">
            <w:pPr>
              <w:widowControl w:val="0"/>
              <w:autoSpaceDE w:val="0"/>
              <w:autoSpaceDN w:val="0"/>
              <w:adjustRightInd w:val="0"/>
              <w:spacing w:line="240" w:lineRule="auto"/>
              <w:rPr>
                <w:rFonts w:eastAsia="Calibri" w:cs="Times New Roman"/>
                <w:sz w:val="20"/>
                <w:szCs w:val="20"/>
              </w:rPr>
            </w:pPr>
            <w:r w:rsidRPr="00271798">
              <w:rPr>
                <w:rFonts w:eastAsia="Calibri" w:cs="Times New Roman"/>
                <w:sz w:val="20"/>
                <w:szCs w:val="20"/>
                <w:lang/>
              </w:rPr>
              <w:t>0.0000</w:t>
            </w:r>
          </w:p>
        </w:tc>
        <w:tc>
          <w:tcPr>
            <w:tcW w:w="672" w:type="pct"/>
            <w:tcBorders>
              <w:top w:val="single" w:sz="4" w:space="0" w:color="auto"/>
              <w:left w:val="single" w:sz="4" w:space="0" w:color="auto"/>
              <w:bottom w:val="single" w:sz="4" w:space="0" w:color="auto"/>
              <w:right w:val="single" w:sz="4" w:space="0" w:color="auto"/>
            </w:tcBorders>
            <w:hideMark/>
          </w:tcPr>
          <w:p w14:paraId="7B17C8E7" w14:textId="77777777" w:rsidR="00AB5818" w:rsidRPr="00271798" w:rsidRDefault="00AB5818" w:rsidP="002E4B8A">
            <w:pPr>
              <w:widowControl w:val="0"/>
              <w:autoSpaceDE w:val="0"/>
              <w:autoSpaceDN w:val="0"/>
              <w:adjustRightInd w:val="0"/>
              <w:spacing w:line="240" w:lineRule="auto"/>
              <w:rPr>
                <w:rFonts w:eastAsia="Calibri" w:cs="Times New Roman"/>
                <w:sz w:val="20"/>
                <w:szCs w:val="20"/>
              </w:rPr>
            </w:pPr>
            <w:r w:rsidRPr="00271798">
              <w:rPr>
                <w:rFonts w:eastAsia="Calibri" w:cs="Times New Roman"/>
                <w:sz w:val="20"/>
                <w:szCs w:val="20"/>
                <w:lang/>
              </w:rPr>
              <w:t>0.000</w:t>
            </w:r>
            <w:r w:rsidRPr="00271798">
              <w:rPr>
                <w:rFonts w:eastAsia="Calibri" w:cs="Times New Roman"/>
                <w:sz w:val="20"/>
                <w:szCs w:val="20"/>
              </w:rPr>
              <w:t>3</w:t>
            </w:r>
          </w:p>
        </w:tc>
        <w:tc>
          <w:tcPr>
            <w:tcW w:w="673" w:type="pct"/>
            <w:tcBorders>
              <w:top w:val="single" w:sz="4" w:space="0" w:color="auto"/>
              <w:left w:val="single" w:sz="4" w:space="0" w:color="auto"/>
              <w:bottom w:val="single" w:sz="4" w:space="0" w:color="auto"/>
              <w:right w:val="single" w:sz="4" w:space="0" w:color="auto"/>
            </w:tcBorders>
            <w:hideMark/>
          </w:tcPr>
          <w:p w14:paraId="5A835242" w14:textId="77777777" w:rsidR="00AB5818" w:rsidRPr="00271798" w:rsidRDefault="00AB5818" w:rsidP="002E4B8A">
            <w:pPr>
              <w:widowControl w:val="0"/>
              <w:autoSpaceDE w:val="0"/>
              <w:autoSpaceDN w:val="0"/>
              <w:adjustRightInd w:val="0"/>
              <w:spacing w:line="240" w:lineRule="auto"/>
              <w:rPr>
                <w:rFonts w:eastAsia="Calibri" w:cs="Times New Roman"/>
                <w:sz w:val="20"/>
                <w:szCs w:val="20"/>
              </w:rPr>
            </w:pPr>
            <w:r w:rsidRPr="00271798">
              <w:rPr>
                <w:rFonts w:eastAsia="Calibri" w:cs="Times New Roman"/>
                <w:sz w:val="20"/>
                <w:szCs w:val="20"/>
              </w:rPr>
              <w:t>0.5830</w:t>
            </w:r>
          </w:p>
        </w:tc>
        <w:tc>
          <w:tcPr>
            <w:tcW w:w="671" w:type="pct"/>
            <w:tcBorders>
              <w:top w:val="single" w:sz="4" w:space="0" w:color="auto"/>
              <w:left w:val="single" w:sz="4" w:space="0" w:color="auto"/>
              <w:bottom w:val="single" w:sz="4" w:space="0" w:color="auto"/>
              <w:right w:val="single" w:sz="4" w:space="0" w:color="auto"/>
            </w:tcBorders>
            <w:hideMark/>
          </w:tcPr>
          <w:p w14:paraId="7AF7900E" w14:textId="77777777" w:rsidR="00AB5818" w:rsidRPr="00271798" w:rsidRDefault="00AB5818" w:rsidP="002E4B8A">
            <w:pPr>
              <w:widowControl w:val="0"/>
              <w:autoSpaceDE w:val="0"/>
              <w:autoSpaceDN w:val="0"/>
              <w:adjustRightInd w:val="0"/>
              <w:spacing w:line="240" w:lineRule="auto"/>
              <w:rPr>
                <w:rFonts w:eastAsia="Calibri" w:cs="Times New Roman"/>
                <w:sz w:val="20"/>
                <w:szCs w:val="20"/>
                <w:lang/>
              </w:rPr>
            </w:pPr>
            <w:r w:rsidRPr="00271798">
              <w:rPr>
                <w:rFonts w:eastAsia="Calibri" w:cs="Times New Roman"/>
                <w:sz w:val="20"/>
                <w:szCs w:val="20"/>
                <w:lang/>
              </w:rPr>
              <w:t>0.000</w:t>
            </w:r>
            <w:r w:rsidRPr="00271798">
              <w:rPr>
                <w:rFonts w:eastAsia="Calibri" w:cs="Times New Roman"/>
                <w:sz w:val="20"/>
                <w:szCs w:val="20"/>
              </w:rPr>
              <w:t>3</w:t>
            </w:r>
          </w:p>
        </w:tc>
        <w:tc>
          <w:tcPr>
            <w:tcW w:w="666" w:type="pct"/>
            <w:tcBorders>
              <w:top w:val="single" w:sz="4" w:space="0" w:color="auto"/>
              <w:left w:val="single" w:sz="4" w:space="0" w:color="auto"/>
              <w:bottom w:val="single" w:sz="4" w:space="0" w:color="auto"/>
              <w:right w:val="single" w:sz="4" w:space="0" w:color="auto"/>
            </w:tcBorders>
            <w:hideMark/>
          </w:tcPr>
          <w:p w14:paraId="065E6060" w14:textId="77777777" w:rsidR="00AB5818" w:rsidRPr="00271798" w:rsidRDefault="00AB5818" w:rsidP="002E4B8A">
            <w:pPr>
              <w:widowControl w:val="0"/>
              <w:autoSpaceDE w:val="0"/>
              <w:autoSpaceDN w:val="0"/>
              <w:adjustRightInd w:val="0"/>
              <w:spacing w:line="240" w:lineRule="auto"/>
              <w:rPr>
                <w:rFonts w:eastAsia="Calibri" w:cs="Times New Roman"/>
                <w:sz w:val="20"/>
                <w:szCs w:val="20"/>
                <w:lang/>
              </w:rPr>
            </w:pPr>
            <w:r w:rsidRPr="00271798">
              <w:rPr>
                <w:rFonts w:eastAsia="Calibri" w:cs="Times New Roman"/>
                <w:sz w:val="20"/>
                <w:szCs w:val="20"/>
              </w:rPr>
              <w:t>0.9149</w:t>
            </w:r>
          </w:p>
        </w:tc>
      </w:tr>
      <w:tr w:rsidR="00AB5818" w:rsidRPr="00AB5818" w14:paraId="2BFAE03A"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472BA0FD"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State FE</w:t>
            </w:r>
          </w:p>
        </w:tc>
        <w:tc>
          <w:tcPr>
            <w:tcW w:w="809" w:type="pct"/>
            <w:tcBorders>
              <w:top w:val="single" w:sz="4" w:space="0" w:color="auto"/>
              <w:left w:val="single" w:sz="4" w:space="0" w:color="auto"/>
              <w:bottom w:val="single" w:sz="4" w:space="0" w:color="auto"/>
              <w:right w:val="single" w:sz="4" w:space="0" w:color="auto"/>
            </w:tcBorders>
            <w:hideMark/>
          </w:tcPr>
          <w:p w14:paraId="6FCBD210"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73" w:type="pct"/>
            <w:tcBorders>
              <w:top w:val="single" w:sz="4" w:space="0" w:color="auto"/>
              <w:left w:val="single" w:sz="4" w:space="0" w:color="auto"/>
              <w:bottom w:val="single" w:sz="4" w:space="0" w:color="auto"/>
              <w:right w:val="single" w:sz="4" w:space="0" w:color="auto"/>
            </w:tcBorders>
            <w:hideMark/>
          </w:tcPr>
          <w:p w14:paraId="7946ACF1"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c>
          <w:tcPr>
            <w:tcW w:w="672" w:type="pct"/>
            <w:tcBorders>
              <w:top w:val="single" w:sz="4" w:space="0" w:color="auto"/>
              <w:left w:val="single" w:sz="4" w:space="0" w:color="auto"/>
              <w:bottom w:val="single" w:sz="4" w:space="0" w:color="auto"/>
              <w:right w:val="single" w:sz="4" w:space="0" w:color="auto"/>
            </w:tcBorders>
            <w:hideMark/>
          </w:tcPr>
          <w:p w14:paraId="27658094"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73" w:type="pct"/>
            <w:tcBorders>
              <w:top w:val="single" w:sz="4" w:space="0" w:color="auto"/>
              <w:left w:val="single" w:sz="4" w:space="0" w:color="auto"/>
              <w:bottom w:val="single" w:sz="4" w:space="0" w:color="auto"/>
              <w:right w:val="single" w:sz="4" w:space="0" w:color="auto"/>
            </w:tcBorders>
            <w:hideMark/>
          </w:tcPr>
          <w:p w14:paraId="7C027E4F"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c>
          <w:tcPr>
            <w:tcW w:w="671" w:type="pct"/>
            <w:tcBorders>
              <w:top w:val="single" w:sz="4" w:space="0" w:color="auto"/>
              <w:left w:val="single" w:sz="4" w:space="0" w:color="auto"/>
              <w:bottom w:val="single" w:sz="4" w:space="0" w:color="auto"/>
              <w:right w:val="single" w:sz="4" w:space="0" w:color="auto"/>
            </w:tcBorders>
            <w:hideMark/>
          </w:tcPr>
          <w:p w14:paraId="06B4A705"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66" w:type="pct"/>
            <w:tcBorders>
              <w:top w:val="single" w:sz="4" w:space="0" w:color="auto"/>
              <w:left w:val="single" w:sz="4" w:space="0" w:color="auto"/>
              <w:bottom w:val="single" w:sz="4" w:space="0" w:color="auto"/>
              <w:right w:val="single" w:sz="4" w:space="0" w:color="auto"/>
            </w:tcBorders>
            <w:hideMark/>
          </w:tcPr>
          <w:p w14:paraId="5B782A48"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r>
      <w:tr w:rsidR="00AB5818" w:rsidRPr="00AB5818" w14:paraId="401EA19D"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5278E344"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Year FE</w:t>
            </w:r>
          </w:p>
        </w:tc>
        <w:tc>
          <w:tcPr>
            <w:tcW w:w="809" w:type="pct"/>
            <w:tcBorders>
              <w:top w:val="single" w:sz="4" w:space="0" w:color="auto"/>
              <w:left w:val="single" w:sz="4" w:space="0" w:color="auto"/>
              <w:bottom w:val="single" w:sz="4" w:space="0" w:color="auto"/>
              <w:right w:val="single" w:sz="4" w:space="0" w:color="auto"/>
            </w:tcBorders>
            <w:hideMark/>
          </w:tcPr>
          <w:p w14:paraId="02B38B83"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73" w:type="pct"/>
            <w:tcBorders>
              <w:top w:val="single" w:sz="4" w:space="0" w:color="auto"/>
              <w:left w:val="single" w:sz="4" w:space="0" w:color="auto"/>
              <w:bottom w:val="single" w:sz="4" w:space="0" w:color="auto"/>
              <w:right w:val="single" w:sz="4" w:space="0" w:color="auto"/>
            </w:tcBorders>
            <w:hideMark/>
          </w:tcPr>
          <w:p w14:paraId="3CFBD1F8"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c>
          <w:tcPr>
            <w:tcW w:w="672" w:type="pct"/>
            <w:tcBorders>
              <w:top w:val="single" w:sz="4" w:space="0" w:color="auto"/>
              <w:left w:val="single" w:sz="4" w:space="0" w:color="auto"/>
              <w:bottom w:val="single" w:sz="4" w:space="0" w:color="auto"/>
              <w:right w:val="single" w:sz="4" w:space="0" w:color="auto"/>
            </w:tcBorders>
            <w:hideMark/>
          </w:tcPr>
          <w:p w14:paraId="23B2E579"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73" w:type="pct"/>
            <w:tcBorders>
              <w:top w:val="single" w:sz="4" w:space="0" w:color="auto"/>
              <w:left w:val="single" w:sz="4" w:space="0" w:color="auto"/>
              <w:bottom w:val="single" w:sz="4" w:space="0" w:color="auto"/>
              <w:right w:val="single" w:sz="4" w:space="0" w:color="auto"/>
            </w:tcBorders>
            <w:hideMark/>
          </w:tcPr>
          <w:p w14:paraId="211A1D4A"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c>
          <w:tcPr>
            <w:tcW w:w="671" w:type="pct"/>
            <w:tcBorders>
              <w:top w:val="single" w:sz="4" w:space="0" w:color="auto"/>
              <w:left w:val="single" w:sz="4" w:space="0" w:color="auto"/>
              <w:bottom w:val="single" w:sz="4" w:space="0" w:color="auto"/>
              <w:right w:val="single" w:sz="4" w:space="0" w:color="auto"/>
            </w:tcBorders>
            <w:hideMark/>
          </w:tcPr>
          <w:p w14:paraId="01E25A8E"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66" w:type="pct"/>
            <w:tcBorders>
              <w:top w:val="single" w:sz="4" w:space="0" w:color="auto"/>
              <w:left w:val="single" w:sz="4" w:space="0" w:color="auto"/>
              <w:bottom w:val="single" w:sz="4" w:space="0" w:color="auto"/>
              <w:right w:val="single" w:sz="4" w:space="0" w:color="auto"/>
            </w:tcBorders>
            <w:hideMark/>
          </w:tcPr>
          <w:p w14:paraId="63B8B5AD"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r>
      <w:tr w:rsidR="00AB5818" w:rsidRPr="00AB5818" w14:paraId="653FC084"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722AE6DD"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County FE</w:t>
            </w:r>
          </w:p>
        </w:tc>
        <w:tc>
          <w:tcPr>
            <w:tcW w:w="809" w:type="pct"/>
            <w:tcBorders>
              <w:top w:val="single" w:sz="4" w:space="0" w:color="auto"/>
              <w:left w:val="single" w:sz="4" w:space="0" w:color="auto"/>
              <w:bottom w:val="single" w:sz="4" w:space="0" w:color="auto"/>
              <w:right w:val="single" w:sz="4" w:space="0" w:color="auto"/>
            </w:tcBorders>
            <w:hideMark/>
          </w:tcPr>
          <w:p w14:paraId="72E79C86"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73" w:type="pct"/>
            <w:tcBorders>
              <w:top w:val="single" w:sz="4" w:space="0" w:color="auto"/>
              <w:left w:val="single" w:sz="4" w:space="0" w:color="auto"/>
              <w:bottom w:val="single" w:sz="4" w:space="0" w:color="auto"/>
              <w:right w:val="single" w:sz="4" w:space="0" w:color="auto"/>
            </w:tcBorders>
            <w:hideMark/>
          </w:tcPr>
          <w:p w14:paraId="3A6CC4C7"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c>
          <w:tcPr>
            <w:tcW w:w="672" w:type="pct"/>
            <w:tcBorders>
              <w:top w:val="single" w:sz="4" w:space="0" w:color="auto"/>
              <w:left w:val="single" w:sz="4" w:space="0" w:color="auto"/>
              <w:bottom w:val="single" w:sz="4" w:space="0" w:color="auto"/>
              <w:right w:val="single" w:sz="4" w:space="0" w:color="auto"/>
            </w:tcBorders>
            <w:hideMark/>
          </w:tcPr>
          <w:p w14:paraId="79C5E91F"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73" w:type="pct"/>
            <w:tcBorders>
              <w:top w:val="single" w:sz="4" w:space="0" w:color="auto"/>
              <w:left w:val="single" w:sz="4" w:space="0" w:color="auto"/>
              <w:bottom w:val="single" w:sz="4" w:space="0" w:color="auto"/>
              <w:right w:val="single" w:sz="4" w:space="0" w:color="auto"/>
            </w:tcBorders>
            <w:hideMark/>
          </w:tcPr>
          <w:p w14:paraId="388D3A81"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c>
          <w:tcPr>
            <w:tcW w:w="671" w:type="pct"/>
            <w:tcBorders>
              <w:top w:val="single" w:sz="4" w:space="0" w:color="auto"/>
              <w:left w:val="single" w:sz="4" w:space="0" w:color="auto"/>
              <w:bottom w:val="single" w:sz="4" w:space="0" w:color="auto"/>
              <w:right w:val="single" w:sz="4" w:space="0" w:color="auto"/>
            </w:tcBorders>
            <w:hideMark/>
          </w:tcPr>
          <w:p w14:paraId="1D0A449A"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66" w:type="pct"/>
            <w:tcBorders>
              <w:top w:val="single" w:sz="4" w:space="0" w:color="auto"/>
              <w:left w:val="single" w:sz="4" w:space="0" w:color="auto"/>
              <w:bottom w:val="single" w:sz="4" w:space="0" w:color="auto"/>
              <w:right w:val="single" w:sz="4" w:space="0" w:color="auto"/>
            </w:tcBorders>
            <w:hideMark/>
          </w:tcPr>
          <w:p w14:paraId="2DF68457"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r>
    </w:tbl>
    <w:p w14:paraId="59C969A9" w14:textId="1634CE29" w:rsidR="00AB5818" w:rsidRPr="000E300A" w:rsidRDefault="000E300A" w:rsidP="00CE0D78">
      <w:pPr>
        <w:spacing w:line="240" w:lineRule="auto"/>
        <w:rPr>
          <w:rFonts w:eastAsia="Calibri" w:cs="Times New Roman"/>
          <w:sz w:val="20"/>
          <w:szCs w:val="20"/>
        </w:rPr>
      </w:pPr>
      <w:r>
        <w:rPr>
          <w:rFonts w:eastAsia="Calibri" w:cs="Times New Roman"/>
          <w:sz w:val="20"/>
          <w:szCs w:val="20"/>
        </w:rPr>
        <w:t xml:space="preserve">Table A51: </w:t>
      </w:r>
      <w:r w:rsidR="00AB5818" w:rsidRPr="00AB5818">
        <w:rPr>
          <w:rFonts w:eastAsia="Calibri" w:cs="Times New Roman"/>
          <w:sz w:val="20"/>
          <w:szCs w:val="20"/>
          <w:lang/>
        </w:rPr>
        <w:t>Continuous range analysis for construction, highlighting heterogeneity in outcomes as a function of habitat overlap and time since delisting.</w:t>
      </w:r>
      <w:r>
        <w:rPr>
          <w:rFonts w:eastAsia="Calibri" w:cs="Times New Roman"/>
          <w:sz w:val="20"/>
          <w:szCs w:val="20"/>
        </w:rPr>
        <w:t xml:space="preserve"> </w:t>
      </w:r>
      <w:r w:rsidRPr="000E300A">
        <w:rPr>
          <w:rFonts w:eastAsia="Calibri" w:cs="Times New Roman"/>
          <w:sz w:val="20"/>
          <w:szCs w:val="20"/>
        </w:rPr>
        <w:t>Statistically significant impacts are denoted by asterisks. These asterisks denote statistical significance at the following levels: ***p &lt; 0.01, **p &lt; 0.05, *p &lt; 0.1.</w:t>
      </w:r>
    </w:p>
    <w:p w14:paraId="6420A1DB" w14:textId="711B82E1" w:rsidR="00AB5818" w:rsidRDefault="00AB5818" w:rsidP="00CE0D78">
      <w:pPr>
        <w:widowControl w:val="0"/>
        <w:autoSpaceDE w:val="0"/>
        <w:autoSpaceDN w:val="0"/>
        <w:adjustRightInd w:val="0"/>
        <w:spacing w:line="240" w:lineRule="auto"/>
        <w:rPr>
          <w:rFonts w:eastAsia="Calibri" w:cs="Times New Roman"/>
          <w:b/>
          <w:bCs/>
          <w:sz w:val="20"/>
          <w:szCs w:val="20"/>
        </w:rPr>
      </w:pPr>
    </w:p>
    <w:p w14:paraId="4778E2A8" w14:textId="3BA7BDD6" w:rsidR="0057442E" w:rsidRDefault="0057442E" w:rsidP="00CE0D78">
      <w:pPr>
        <w:widowControl w:val="0"/>
        <w:autoSpaceDE w:val="0"/>
        <w:autoSpaceDN w:val="0"/>
        <w:adjustRightInd w:val="0"/>
        <w:spacing w:line="240" w:lineRule="auto"/>
        <w:rPr>
          <w:rFonts w:eastAsia="Calibri" w:cs="Times New Roman"/>
          <w:b/>
          <w:bCs/>
          <w:sz w:val="20"/>
          <w:szCs w:val="20"/>
        </w:rPr>
      </w:pPr>
    </w:p>
    <w:p w14:paraId="2D2A7C61" w14:textId="77777777" w:rsidR="0057442E" w:rsidRPr="00AB5818" w:rsidRDefault="0057442E" w:rsidP="00CE0D78">
      <w:pPr>
        <w:widowControl w:val="0"/>
        <w:autoSpaceDE w:val="0"/>
        <w:autoSpaceDN w:val="0"/>
        <w:adjustRightInd w:val="0"/>
        <w:spacing w:line="240" w:lineRule="auto"/>
        <w:rPr>
          <w:rFonts w:eastAsia="Calibri" w:cs="Times New Roman"/>
          <w:b/>
          <w:bCs/>
          <w:sz w:val="20"/>
          <w:szCs w:val="20"/>
        </w:rPr>
      </w:pPr>
    </w:p>
    <w:p w14:paraId="52EE282C" w14:textId="47E5BA20" w:rsidR="00AB5818" w:rsidRPr="00AB5818" w:rsidRDefault="00AB5818" w:rsidP="00095E25">
      <w:pPr>
        <w:pStyle w:val="Title"/>
      </w:pPr>
      <w:bookmarkStart w:id="736" w:name="_Toc188056061"/>
      <w:bookmarkStart w:id="737" w:name="_Toc188057145"/>
      <w:bookmarkStart w:id="738" w:name="_Toc188359657"/>
      <w:bookmarkStart w:id="739" w:name="_Toc188359945"/>
      <w:bookmarkStart w:id="740" w:name="_Toc188361181"/>
      <w:bookmarkStart w:id="741" w:name="_Toc188367024"/>
      <w:r w:rsidRPr="00AB5818">
        <w:t>Table A</w:t>
      </w:r>
      <w:r w:rsidR="005E02DB">
        <w:t>5</w:t>
      </w:r>
      <w:r w:rsidRPr="00AB5818">
        <w:t xml:space="preserve">2: </w:t>
      </w:r>
      <w:r w:rsidR="002E1ED3">
        <w:rPr>
          <w:lang w:val="en-US"/>
        </w:rPr>
        <w:t xml:space="preserve">Summary of </w:t>
      </w:r>
      <w:r w:rsidR="002E1ED3" w:rsidRPr="00AB5818">
        <w:t xml:space="preserve">NAICS </w:t>
      </w:r>
      <w:r w:rsidR="002E1ED3">
        <w:rPr>
          <w:lang w:val="en-US"/>
        </w:rPr>
        <w:t xml:space="preserve">31-33 Regression Results </w:t>
      </w:r>
      <w:r w:rsidR="002E1ED3" w:rsidRPr="00AB5818">
        <w:t>–</w:t>
      </w:r>
      <w:r w:rsidR="002E1ED3">
        <w:rPr>
          <w:lang w:val="en-US"/>
        </w:rPr>
        <w:t xml:space="preserve"> </w:t>
      </w:r>
      <w:r w:rsidRPr="00AB5818">
        <w:t>Binary Range Indicator</w:t>
      </w:r>
      <w:bookmarkEnd w:id="736"/>
      <w:bookmarkEnd w:id="737"/>
      <w:bookmarkEnd w:id="738"/>
      <w:bookmarkEnd w:id="739"/>
      <w:bookmarkEnd w:id="740"/>
      <w:bookmarkEnd w:id="741"/>
    </w:p>
    <w:tbl>
      <w:tblPr>
        <w:tblW w:w="49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0"/>
        <w:gridCol w:w="1500"/>
        <w:gridCol w:w="1248"/>
        <w:gridCol w:w="1246"/>
        <w:gridCol w:w="1248"/>
        <w:gridCol w:w="1244"/>
        <w:gridCol w:w="1235"/>
      </w:tblGrid>
      <w:tr w:rsidR="00922EC5" w:rsidRPr="00AB5818" w14:paraId="0BA37AB8"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1588031E" w14:textId="56B96036" w:rsidR="00922EC5" w:rsidRPr="00AB5818" w:rsidRDefault="00922EC5" w:rsidP="002E4B8A">
            <w:pPr>
              <w:widowControl w:val="0"/>
              <w:autoSpaceDE w:val="0"/>
              <w:autoSpaceDN w:val="0"/>
              <w:adjustRightInd w:val="0"/>
              <w:spacing w:line="240" w:lineRule="auto"/>
              <w:rPr>
                <w:rFonts w:eastAsia="Calibri" w:cs="Times New Roman"/>
                <w:b/>
                <w:bCs/>
                <w:sz w:val="20"/>
                <w:szCs w:val="20"/>
              </w:rPr>
            </w:pPr>
            <w:r w:rsidRPr="00922EC5">
              <w:rPr>
                <w:rFonts w:eastAsia="Calibri" w:cs="Times New Roman"/>
                <w:b/>
                <w:bCs/>
                <w:sz w:val="20"/>
                <w:szCs w:val="20"/>
              </w:rPr>
              <w:t>Variable</w:t>
            </w:r>
          </w:p>
        </w:tc>
        <w:tc>
          <w:tcPr>
            <w:tcW w:w="1482" w:type="pct"/>
            <w:gridSpan w:val="2"/>
            <w:tcBorders>
              <w:top w:val="single" w:sz="4" w:space="0" w:color="auto"/>
              <w:left w:val="single" w:sz="4" w:space="0" w:color="auto"/>
              <w:bottom w:val="single" w:sz="4" w:space="0" w:color="auto"/>
              <w:right w:val="single" w:sz="4" w:space="0" w:color="auto"/>
            </w:tcBorders>
            <w:hideMark/>
          </w:tcPr>
          <w:p w14:paraId="1DEC554A" w14:textId="06FA67CA" w:rsidR="00922EC5" w:rsidRPr="00AB5818" w:rsidRDefault="00922EC5" w:rsidP="002E4B8A">
            <w:pPr>
              <w:widowControl w:val="0"/>
              <w:autoSpaceDE w:val="0"/>
              <w:autoSpaceDN w:val="0"/>
              <w:adjustRightInd w:val="0"/>
              <w:spacing w:line="240" w:lineRule="auto"/>
              <w:rPr>
                <w:rFonts w:eastAsia="Calibri" w:cs="Times New Roman"/>
                <w:b/>
                <w:bCs/>
                <w:color w:val="FF0000"/>
                <w:sz w:val="20"/>
                <w:szCs w:val="20"/>
                <w:highlight w:val="yellow"/>
              </w:rPr>
            </w:pPr>
            <w:r w:rsidRPr="00922EC5">
              <w:rPr>
                <w:rFonts w:cs="Times New Roman"/>
                <w:b/>
                <w:bCs/>
                <w:sz w:val="20"/>
                <w:szCs w:val="20"/>
              </w:rPr>
              <w:t>Establishment Count</w:t>
            </w:r>
          </w:p>
        </w:tc>
        <w:tc>
          <w:tcPr>
            <w:tcW w:w="1345" w:type="pct"/>
            <w:gridSpan w:val="2"/>
            <w:tcBorders>
              <w:top w:val="single" w:sz="4" w:space="0" w:color="auto"/>
              <w:left w:val="single" w:sz="4" w:space="0" w:color="auto"/>
              <w:bottom w:val="single" w:sz="4" w:space="0" w:color="auto"/>
              <w:right w:val="single" w:sz="4" w:space="0" w:color="auto"/>
            </w:tcBorders>
            <w:hideMark/>
          </w:tcPr>
          <w:p w14:paraId="0E90C4FD" w14:textId="0DB28FEA" w:rsidR="00922EC5" w:rsidRPr="00AB5818" w:rsidRDefault="00922EC5" w:rsidP="002E4B8A">
            <w:pPr>
              <w:widowControl w:val="0"/>
              <w:autoSpaceDE w:val="0"/>
              <w:autoSpaceDN w:val="0"/>
              <w:adjustRightInd w:val="0"/>
              <w:spacing w:line="240" w:lineRule="auto"/>
              <w:rPr>
                <w:rFonts w:eastAsia="Calibri" w:cs="Times New Roman"/>
                <w:b/>
                <w:bCs/>
                <w:color w:val="FF0000"/>
                <w:sz w:val="20"/>
                <w:szCs w:val="20"/>
                <w:highlight w:val="yellow"/>
              </w:rPr>
            </w:pPr>
            <w:r w:rsidRPr="00922EC5">
              <w:rPr>
                <w:rFonts w:cs="Times New Roman"/>
                <w:b/>
                <w:bCs/>
                <w:sz w:val="20"/>
                <w:szCs w:val="20"/>
              </w:rPr>
              <w:t>Job Count</w:t>
            </w:r>
          </w:p>
        </w:tc>
        <w:tc>
          <w:tcPr>
            <w:tcW w:w="1337" w:type="pct"/>
            <w:gridSpan w:val="2"/>
            <w:tcBorders>
              <w:top w:val="single" w:sz="4" w:space="0" w:color="auto"/>
              <w:left w:val="single" w:sz="4" w:space="0" w:color="auto"/>
              <w:bottom w:val="single" w:sz="4" w:space="0" w:color="auto"/>
              <w:right w:val="single" w:sz="4" w:space="0" w:color="auto"/>
            </w:tcBorders>
            <w:hideMark/>
          </w:tcPr>
          <w:p w14:paraId="62E1CDDD" w14:textId="5917790D" w:rsidR="00922EC5" w:rsidRPr="00AB5818" w:rsidRDefault="00922EC5" w:rsidP="002E4B8A">
            <w:pPr>
              <w:widowControl w:val="0"/>
              <w:autoSpaceDE w:val="0"/>
              <w:autoSpaceDN w:val="0"/>
              <w:adjustRightInd w:val="0"/>
              <w:spacing w:line="240" w:lineRule="auto"/>
              <w:rPr>
                <w:rFonts w:eastAsia="Calibri" w:cs="Times New Roman"/>
                <w:b/>
                <w:bCs/>
                <w:color w:val="FF0000"/>
                <w:sz w:val="20"/>
                <w:szCs w:val="20"/>
                <w:highlight w:val="yellow"/>
              </w:rPr>
            </w:pPr>
            <w:r w:rsidRPr="00922EC5">
              <w:rPr>
                <w:rFonts w:cs="Times New Roman"/>
                <w:b/>
                <w:bCs/>
                <w:sz w:val="20"/>
                <w:szCs w:val="20"/>
              </w:rPr>
              <w:t>Sales Volume</w:t>
            </w:r>
          </w:p>
        </w:tc>
      </w:tr>
      <w:tr w:rsidR="00AB5818" w:rsidRPr="00AB5818" w14:paraId="09DACFAD"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19A799BF"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Range</w:t>
            </w:r>
          </w:p>
        </w:tc>
        <w:tc>
          <w:tcPr>
            <w:tcW w:w="809" w:type="pct"/>
            <w:tcBorders>
              <w:top w:val="single" w:sz="4" w:space="0" w:color="auto"/>
              <w:left w:val="single" w:sz="4" w:space="0" w:color="auto"/>
              <w:bottom w:val="single" w:sz="4" w:space="0" w:color="auto"/>
              <w:right w:val="single" w:sz="4" w:space="0" w:color="auto"/>
            </w:tcBorders>
            <w:hideMark/>
          </w:tcPr>
          <w:p w14:paraId="4DC1F101" w14:textId="77777777" w:rsidR="00AB5818" w:rsidRPr="00AB5818" w:rsidRDefault="00AB5818" w:rsidP="002E4B8A">
            <w:pPr>
              <w:widowControl w:val="0"/>
              <w:autoSpaceDE w:val="0"/>
              <w:autoSpaceDN w:val="0"/>
              <w:adjustRightInd w:val="0"/>
              <w:spacing w:line="240" w:lineRule="auto"/>
              <w:rPr>
                <w:rFonts w:eastAsia="Calibri" w:cs="Times New Roman"/>
                <w:sz w:val="20"/>
                <w:szCs w:val="20"/>
                <w:highlight w:val="magenta"/>
              </w:rPr>
            </w:pPr>
            <w:r w:rsidRPr="00AB5818">
              <w:rPr>
                <w:rFonts w:eastAsia="Calibri" w:cs="Times New Roman"/>
                <w:sz w:val="20"/>
                <w:szCs w:val="20"/>
              </w:rPr>
              <w:t>.15801</w:t>
            </w:r>
          </w:p>
        </w:tc>
        <w:tc>
          <w:tcPr>
            <w:tcW w:w="673" w:type="pct"/>
            <w:tcBorders>
              <w:top w:val="single" w:sz="4" w:space="0" w:color="auto"/>
              <w:left w:val="single" w:sz="4" w:space="0" w:color="auto"/>
              <w:bottom w:val="single" w:sz="4" w:space="0" w:color="auto"/>
              <w:right w:val="single" w:sz="4" w:space="0" w:color="auto"/>
            </w:tcBorders>
            <w:hideMark/>
          </w:tcPr>
          <w:p w14:paraId="24478B2E" w14:textId="77777777" w:rsidR="00AB5818" w:rsidRPr="00AB5818" w:rsidRDefault="00AB5818" w:rsidP="002E4B8A">
            <w:pPr>
              <w:widowControl w:val="0"/>
              <w:autoSpaceDE w:val="0"/>
              <w:autoSpaceDN w:val="0"/>
              <w:adjustRightInd w:val="0"/>
              <w:spacing w:line="240" w:lineRule="auto"/>
              <w:rPr>
                <w:rFonts w:eastAsia="Calibri" w:cs="Times New Roman"/>
                <w:sz w:val="20"/>
                <w:szCs w:val="20"/>
                <w:highlight w:val="magenta"/>
              </w:rPr>
            </w:pPr>
            <w:r w:rsidRPr="00AB5818">
              <w:rPr>
                <w:rFonts w:eastAsia="Calibri" w:cs="Times New Roman"/>
                <w:sz w:val="20"/>
                <w:szCs w:val="20"/>
              </w:rPr>
              <w:t>.00242</w:t>
            </w:r>
          </w:p>
        </w:tc>
        <w:tc>
          <w:tcPr>
            <w:tcW w:w="672" w:type="pct"/>
            <w:tcBorders>
              <w:top w:val="single" w:sz="4" w:space="0" w:color="auto"/>
              <w:left w:val="single" w:sz="4" w:space="0" w:color="auto"/>
              <w:bottom w:val="single" w:sz="4" w:space="0" w:color="auto"/>
              <w:right w:val="single" w:sz="4" w:space="0" w:color="auto"/>
            </w:tcBorders>
            <w:hideMark/>
          </w:tcPr>
          <w:p w14:paraId="67B3390D"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.01546</w:t>
            </w:r>
          </w:p>
        </w:tc>
        <w:tc>
          <w:tcPr>
            <w:tcW w:w="673" w:type="pct"/>
            <w:tcBorders>
              <w:top w:val="single" w:sz="4" w:space="0" w:color="auto"/>
              <w:left w:val="single" w:sz="4" w:space="0" w:color="auto"/>
              <w:bottom w:val="single" w:sz="4" w:space="0" w:color="auto"/>
              <w:right w:val="single" w:sz="4" w:space="0" w:color="auto"/>
            </w:tcBorders>
            <w:hideMark/>
          </w:tcPr>
          <w:p w14:paraId="61A0A3A7"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.01187</w:t>
            </w:r>
          </w:p>
        </w:tc>
        <w:tc>
          <w:tcPr>
            <w:tcW w:w="671" w:type="pct"/>
            <w:tcBorders>
              <w:top w:val="single" w:sz="4" w:space="0" w:color="auto"/>
              <w:left w:val="single" w:sz="4" w:space="0" w:color="auto"/>
              <w:bottom w:val="single" w:sz="4" w:space="0" w:color="auto"/>
              <w:right w:val="single" w:sz="4" w:space="0" w:color="auto"/>
            </w:tcBorders>
            <w:hideMark/>
          </w:tcPr>
          <w:p w14:paraId="6AB32824"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.50622***</w:t>
            </w:r>
          </w:p>
        </w:tc>
        <w:tc>
          <w:tcPr>
            <w:tcW w:w="666" w:type="pct"/>
            <w:tcBorders>
              <w:top w:val="single" w:sz="4" w:space="0" w:color="auto"/>
              <w:left w:val="single" w:sz="4" w:space="0" w:color="auto"/>
              <w:bottom w:val="single" w:sz="4" w:space="0" w:color="auto"/>
              <w:right w:val="single" w:sz="4" w:space="0" w:color="auto"/>
            </w:tcBorders>
            <w:hideMark/>
          </w:tcPr>
          <w:p w14:paraId="7617CB2F"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.7738**</w:t>
            </w:r>
          </w:p>
        </w:tc>
      </w:tr>
      <w:tr w:rsidR="00AB5818" w:rsidRPr="00AB5818" w14:paraId="52D008D0"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2A5DCE3B" w14:textId="20ACED2F" w:rsidR="00AB5818" w:rsidRPr="00AB5818" w:rsidRDefault="00AB5818" w:rsidP="002E4B8A">
            <w:pPr>
              <w:widowControl w:val="0"/>
              <w:autoSpaceDE w:val="0"/>
              <w:autoSpaceDN w:val="0"/>
              <w:adjustRightInd w:val="0"/>
              <w:spacing w:line="240" w:lineRule="auto"/>
              <w:rPr>
                <w:rFonts w:eastAsia="Calibri" w:cs="Times New Roman"/>
                <w:sz w:val="20"/>
                <w:szCs w:val="20"/>
              </w:rPr>
            </w:pPr>
          </w:p>
        </w:tc>
        <w:tc>
          <w:tcPr>
            <w:tcW w:w="809" w:type="pct"/>
            <w:tcBorders>
              <w:top w:val="single" w:sz="4" w:space="0" w:color="auto"/>
              <w:left w:val="single" w:sz="4" w:space="0" w:color="auto"/>
              <w:bottom w:val="single" w:sz="4" w:space="0" w:color="auto"/>
              <w:right w:val="single" w:sz="4" w:space="0" w:color="auto"/>
            </w:tcBorders>
            <w:hideMark/>
          </w:tcPr>
          <w:p w14:paraId="6BBD719E"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(.14644)</w:t>
            </w:r>
          </w:p>
        </w:tc>
        <w:tc>
          <w:tcPr>
            <w:tcW w:w="673" w:type="pct"/>
            <w:tcBorders>
              <w:top w:val="single" w:sz="4" w:space="0" w:color="auto"/>
              <w:left w:val="single" w:sz="4" w:space="0" w:color="auto"/>
              <w:bottom w:val="single" w:sz="4" w:space="0" w:color="auto"/>
              <w:right w:val="single" w:sz="4" w:space="0" w:color="auto"/>
            </w:tcBorders>
            <w:hideMark/>
          </w:tcPr>
          <w:p w14:paraId="5DBC9F7A"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(.02083)</w:t>
            </w:r>
          </w:p>
        </w:tc>
        <w:tc>
          <w:tcPr>
            <w:tcW w:w="672" w:type="pct"/>
            <w:tcBorders>
              <w:top w:val="single" w:sz="4" w:space="0" w:color="auto"/>
              <w:left w:val="single" w:sz="4" w:space="0" w:color="auto"/>
              <w:bottom w:val="single" w:sz="4" w:space="0" w:color="auto"/>
              <w:right w:val="single" w:sz="4" w:space="0" w:color="auto"/>
            </w:tcBorders>
            <w:hideMark/>
          </w:tcPr>
          <w:p w14:paraId="283EE683"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(.14577)</w:t>
            </w:r>
          </w:p>
        </w:tc>
        <w:tc>
          <w:tcPr>
            <w:tcW w:w="673" w:type="pct"/>
            <w:tcBorders>
              <w:top w:val="single" w:sz="4" w:space="0" w:color="auto"/>
              <w:left w:val="single" w:sz="4" w:space="0" w:color="auto"/>
              <w:bottom w:val="single" w:sz="4" w:space="0" w:color="auto"/>
              <w:right w:val="single" w:sz="4" w:space="0" w:color="auto"/>
            </w:tcBorders>
            <w:hideMark/>
          </w:tcPr>
          <w:p w14:paraId="101DE53E"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(.04566)</w:t>
            </w:r>
          </w:p>
        </w:tc>
        <w:tc>
          <w:tcPr>
            <w:tcW w:w="671" w:type="pct"/>
            <w:tcBorders>
              <w:top w:val="single" w:sz="4" w:space="0" w:color="auto"/>
              <w:left w:val="single" w:sz="4" w:space="0" w:color="auto"/>
              <w:bottom w:val="single" w:sz="4" w:space="0" w:color="auto"/>
              <w:right w:val="single" w:sz="4" w:space="0" w:color="auto"/>
            </w:tcBorders>
            <w:hideMark/>
          </w:tcPr>
          <w:p w14:paraId="65F03118"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(.1641)</w:t>
            </w:r>
          </w:p>
        </w:tc>
        <w:tc>
          <w:tcPr>
            <w:tcW w:w="666" w:type="pct"/>
            <w:tcBorders>
              <w:top w:val="single" w:sz="4" w:space="0" w:color="auto"/>
              <w:left w:val="single" w:sz="4" w:space="0" w:color="auto"/>
              <w:bottom w:val="single" w:sz="4" w:space="0" w:color="auto"/>
              <w:right w:val="single" w:sz="4" w:space="0" w:color="auto"/>
            </w:tcBorders>
            <w:hideMark/>
          </w:tcPr>
          <w:p w14:paraId="4A98610D"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(.36275)</w:t>
            </w:r>
          </w:p>
        </w:tc>
      </w:tr>
      <w:tr w:rsidR="00AB5818" w:rsidRPr="00AB5818" w14:paraId="5DAD9E36"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11EEEC48"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TSD * Range</w:t>
            </w:r>
          </w:p>
        </w:tc>
        <w:tc>
          <w:tcPr>
            <w:tcW w:w="809" w:type="pct"/>
            <w:tcBorders>
              <w:top w:val="single" w:sz="4" w:space="0" w:color="auto"/>
              <w:left w:val="single" w:sz="4" w:space="0" w:color="auto"/>
              <w:bottom w:val="single" w:sz="4" w:space="0" w:color="auto"/>
              <w:right w:val="single" w:sz="4" w:space="0" w:color="auto"/>
            </w:tcBorders>
            <w:hideMark/>
          </w:tcPr>
          <w:p w14:paraId="15EB3C08"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-.1549***</w:t>
            </w:r>
          </w:p>
        </w:tc>
        <w:tc>
          <w:tcPr>
            <w:tcW w:w="673" w:type="pct"/>
            <w:tcBorders>
              <w:top w:val="single" w:sz="4" w:space="0" w:color="auto"/>
              <w:left w:val="single" w:sz="4" w:space="0" w:color="auto"/>
              <w:bottom w:val="single" w:sz="4" w:space="0" w:color="auto"/>
              <w:right w:val="single" w:sz="4" w:space="0" w:color="auto"/>
            </w:tcBorders>
            <w:hideMark/>
          </w:tcPr>
          <w:p w14:paraId="7C6AC962"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.01431</w:t>
            </w:r>
          </w:p>
        </w:tc>
        <w:tc>
          <w:tcPr>
            <w:tcW w:w="672" w:type="pct"/>
            <w:tcBorders>
              <w:top w:val="single" w:sz="4" w:space="0" w:color="auto"/>
              <w:left w:val="single" w:sz="4" w:space="0" w:color="auto"/>
              <w:bottom w:val="single" w:sz="4" w:space="0" w:color="auto"/>
              <w:right w:val="single" w:sz="4" w:space="0" w:color="auto"/>
            </w:tcBorders>
            <w:hideMark/>
          </w:tcPr>
          <w:p w14:paraId="27BCA392"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-.13996***</w:t>
            </w:r>
          </w:p>
        </w:tc>
        <w:tc>
          <w:tcPr>
            <w:tcW w:w="673" w:type="pct"/>
            <w:tcBorders>
              <w:top w:val="single" w:sz="4" w:space="0" w:color="auto"/>
              <w:left w:val="single" w:sz="4" w:space="0" w:color="auto"/>
              <w:bottom w:val="single" w:sz="4" w:space="0" w:color="auto"/>
              <w:right w:val="single" w:sz="4" w:space="0" w:color="auto"/>
            </w:tcBorders>
            <w:hideMark/>
          </w:tcPr>
          <w:p w14:paraId="0ADBF255"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-.02041</w:t>
            </w:r>
          </w:p>
        </w:tc>
        <w:tc>
          <w:tcPr>
            <w:tcW w:w="671" w:type="pct"/>
            <w:tcBorders>
              <w:top w:val="single" w:sz="4" w:space="0" w:color="auto"/>
              <w:left w:val="single" w:sz="4" w:space="0" w:color="auto"/>
              <w:bottom w:val="single" w:sz="4" w:space="0" w:color="auto"/>
              <w:right w:val="single" w:sz="4" w:space="0" w:color="auto"/>
            </w:tcBorders>
            <w:hideMark/>
          </w:tcPr>
          <w:p w14:paraId="32EC55A3"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-.04711</w:t>
            </w:r>
          </w:p>
        </w:tc>
        <w:tc>
          <w:tcPr>
            <w:tcW w:w="666" w:type="pct"/>
            <w:tcBorders>
              <w:top w:val="single" w:sz="4" w:space="0" w:color="auto"/>
              <w:left w:val="single" w:sz="4" w:space="0" w:color="auto"/>
              <w:bottom w:val="single" w:sz="4" w:space="0" w:color="auto"/>
              <w:right w:val="single" w:sz="4" w:space="0" w:color="auto"/>
            </w:tcBorders>
            <w:hideMark/>
          </w:tcPr>
          <w:p w14:paraId="2F9E0EE1"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.04009</w:t>
            </w:r>
          </w:p>
        </w:tc>
      </w:tr>
      <w:tr w:rsidR="00AB5818" w:rsidRPr="00AB5818" w14:paraId="26BDD3C7"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689B5A9A" w14:textId="2513D754" w:rsidR="00AB5818" w:rsidRPr="00AB5818" w:rsidRDefault="00AB5818" w:rsidP="002E4B8A">
            <w:pPr>
              <w:widowControl w:val="0"/>
              <w:autoSpaceDE w:val="0"/>
              <w:autoSpaceDN w:val="0"/>
              <w:adjustRightInd w:val="0"/>
              <w:spacing w:line="240" w:lineRule="auto"/>
              <w:rPr>
                <w:rFonts w:eastAsia="Calibri" w:cs="Times New Roman"/>
                <w:sz w:val="20"/>
                <w:szCs w:val="20"/>
              </w:rPr>
            </w:pPr>
          </w:p>
        </w:tc>
        <w:tc>
          <w:tcPr>
            <w:tcW w:w="809" w:type="pct"/>
            <w:tcBorders>
              <w:top w:val="single" w:sz="4" w:space="0" w:color="auto"/>
              <w:left w:val="single" w:sz="4" w:space="0" w:color="auto"/>
              <w:bottom w:val="single" w:sz="4" w:space="0" w:color="auto"/>
              <w:right w:val="single" w:sz="4" w:space="0" w:color="auto"/>
            </w:tcBorders>
            <w:hideMark/>
          </w:tcPr>
          <w:p w14:paraId="2AEFAFBF"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(.03775)</w:t>
            </w:r>
          </w:p>
        </w:tc>
        <w:tc>
          <w:tcPr>
            <w:tcW w:w="673" w:type="pct"/>
            <w:tcBorders>
              <w:top w:val="single" w:sz="4" w:space="0" w:color="auto"/>
              <w:left w:val="single" w:sz="4" w:space="0" w:color="auto"/>
              <w:bottom w:val="single" w:sz="4" w:space="0" w:color="auto"/>
              <w:right w:val="single" w:sz="4" w:space="0" w:color="auto"/>
            </w:tcBorders>
            <w:hideMark/>
          </w:tcPr>
          <w:p w14:paraId="4835F825"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(.01452)</w:t>
            </w:r>
          </w:p>
        </w:tc>
        <w:tc>
          <w:tcPr>
            <w:tcW w:w="672" w:type="pct"/>
            <w:tcBorders>
              <w:top w:val="single" w:sz="4" w:space="0" w:color="auto"/>
              <w:left w:val="single" w:sz="4" w:space="0" w:color="auto"/>
              <w:bottom w:val="single" w:sz="4" w:space="0" w:color="auto"/>
              <w:right w:val="single" w:sz="4" w:space="0" w:color="auto"/>
            </w:tcBorders>
            <w:hideMark/>
          </w:tcPr>
          <w:p w14:paraId="597D8166"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(.03061)</w:t>
            </w:r>
          </w:p>
        </w:tc>
        <w:tc>
          <w:tcPr>
            <w:tcW w:w="673" w:type="pct"/>
            <w:tcBorders>
              <w:top w:val="single" w:sz="4" w:space="0" w:color="auto"/>
              <w:left w:val="single" w:sz="4" w:space="0" w:color="auto"/>
              <w:bottom w:val="single" w:sz="4" w:space="0" w:color="auto"/>
              <w:right w:val="single" w:sz="4" w:space="0" w:color="auto"/>
            </w:tcBorders>
            <w:hideMark/>
          </w:tcPr>
          <w:p w14:paraId="3EDA1DB7"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(.02061)</w:t>
            </w:r>
          </w:p>
        </w:tc>
        <w:tc>
          <w:tcPr>
            <w:tcW w:w="671" w:type="pct"/>
            <w:tcBorders>
              <w:top w:val="single" w:sz="4" w:space="0" w:color="auto"/>
              <w:left w:val="single" w:sz="4" w:space="0" w:color="auto"/>
              <w:bottom w:val="single" w:sz="4" w:space="0" w:color="auto"/>
              <w:right w:val="single" w:sz="4" w:space="0" w:color="auto"/>
            </w:tcBorders>
            <w:hideMark/>
          </w:tcPr>
          <w:p w14:paraId="50B2D264"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(.08541)</w:t>
            </w:r>
          </w:p>
        </w:tc>
        <w:tc>
          <w:tcPr>
            <w:tcW w:w="666" w:type="pct"/>
            <w:tcBorders>
              <w:top w:val="single" w:sz="4" w:space="0" w:color="auto"/>
              <w:left w:val="single" w:sz="4" w:space="0" w:color="auto"/>
              <w:bottom w:val="single" w:sz="4" w:space="0" w:color="auto"/>
              <w:right w:val="single" w:sz="4" w:space="0" w:color="auto"/>
            </w:tcBorders>
            <w:hideMark/>
          </w:tcPr>
          <w:p w14:paraId="773E2928"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(.0734)</w:t>
            </w:r>
          </w:p>
        </w:tc>
      </w:tr>
      <w:tr w:rsidR="00AB5818" w:rsidRPr="00AB5818" w14:paraId="44CDC491"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5B7230AA"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Joint Test (p-value)</w:t>
            </w:r>
          </w:p>
        </w:tc>
        <w:tc>
          <w:tcPr>
            <w:tcW w:w="809" w:type="pct"/>
            <w:tcBorders>
              <w:top w:val="single" w:sz="4" w:space="0" w:color="auto"/>
              <w:left w:val="single" w:sz="4" w:space="0" w:color="auto"/>
              <w:bottom w:val="single" w:sz="4" w:space="0" w:color="auto"/>
              <w:right w:val="single" w:sz="4" w:space="0" w:color="auto"/>
            </w:tcBorders>
            <w:hideMark/>
          </w:tcPr>
          <w:p w14:paraId="46C1CC83" w14:textId="77777777" w:rsidR="00AB5818" w:rsidRPr="00271798" w:rsidRDefault="00AB5818" w:rsidP="002E4B8A">
            <w:pPr>
              <w:spacing w:line="240" w:lineRule="auto"/>
              <w:rPr>
                <w:rFonts w:eastAsia="Calibri" w:cs="Times New Roman"/>
                <w:sz w:val="20"/>
                <w:szCs w:val="20"/>
                <w:lang/>
              </w:rPr>
            </w:pPr>
            <w:r w:rsidRPr="00271798">
              <w:rPr>
                <w:rFonts w:eastAsia="Calibri" w:cs="Times New Roman"/>
                <w:sz w:val="20"/>
                <w:szCs w:val="20"/>
                <w:lang/>
              </w:rPr>
              <w:t>0.000</w:t>
            </w:r>
            <w:r w:rsidRPr="00271798">
              <w:rPr>
                <w:rFonts w:eastAsia="Calibri" w:cs="Times New Roman"/>
                <w:sz w:val="20"/>
                <w:szCs w:val="20"/>
              </w:rPr>
              <w:t>2</w:t>
            </w:r>
          </w:p>
        </w:tc>
        <w:tc>
          <w:tcPr>
            <w:tcW w:w="673" w:type="pct"/>
            <w:tcBorders>
              <w:top w:val="single" w:sz="4" w:space="0" w:color="auto"/>
              <w:left w:val="single" w:sz="4" w:space="0" w:color="auto"/>
              <w:bottom w:val="single" w:sz="4" w:space="0" w:color="auto"/>
              <w:right w:val="single" w:sz="4" w:space="0" w:color="auto"/>
            </w:tcBorders>
            <w:hideMark/>
          </w:tcPr>
          <w:p w14:paraId="13CFA6DE" w14:textId="77777777" w:rsidR="00AB5818" w:rsidRPr="00271798" w:rsidRDefault="00AB5818" w:rsidP="002E4B8A">
            <w:pPr>
              <w:widowControl w:val="0"/>
              <w:autoSpaceDE w:val="0"/>
              <w:autoSpaceDN w:val="0"/>
              <w:adjustRightInd w:val="0"/>
              <w:spacing w:line="240" w:lineRule="auto"/>
              <w:rPr>
                <w:rFonts w:eastAsia="Calibri" w:cs="Times New Roman"/>
                <w:sz w:val="20"/>
                <w:szCs w:val="20"/>
              </w:rPr>
            </w:pPr>
            <w:r w:rsidRPr="00271798">
              <w:rPr>
                <w:rFonts w:eastAsia="Calibri" w:cs="Times New Roman"/>
                <w:sz w:val="20"/>
                <w:szCs w:val="20"/>
              </w:rPr>
              <w:t>0.5926</w:t>
            </w:r>
          </w:p>
        </w:tc>
        <w:tc>
          <w:tcPr>
            <w:tcW w:w="672" w:type="pct"/>
            <w:tcBorders>
              <w:top w:val="single" w:sz="4" w:space="0" w:color="auto"/>
              <w:left w:val="single" w:sz="4" w:space="0" w:color="auto"/>
              <w:bottom w:val="single" w:sz="4" w:space="0" w:color="auto"/>
              <w:right w:val="single" w:sz="4" w:space="0" w:color="auto"/>
            </w:tcBorders>
            <w:hideMark/>
          </w:tcPr>
          <w:p w14:paraId="20414DFE" w14:textId="77777777" w:rsidR="00AB5818" w:rsidRPr="00271798" w:rsidRDefault="00AB5818" w:rsidP="002E4B8A">
            <w:pPr>
              <w:widowControl w:val="0"/>
              <w:autoSpaceDE w:val="0"/>
              <w:autoSpaceDN w:val="0"/>
              <w:adjustRightInd w:val="0"/>
              <w:spacing w:line="240" w:lineRule="auto"/>
              <w:rPr>
                <w:rFonts w:eastAsia="Calibri" w:cs="Times New Roman"/>
                <w:sz w:val="20"/>
                <w:szCs w:val="20"/>
              </w:rPr>
            </w:pPr>
            <w:r w:rsidRPr="00271798">
              <w:rPr>
                <w:rFonts w:eastAsia="Calibri" w:cs="Times New Roman"/>
                <w:sz w:val="20"/>
                <w:szCs w:val="20"/>
                <w:lang/>
              </w:rPr>
              <w:t>0.0000</w:t>
            </w:r>
          </w:p>
        </w:tc>
        <w:tc>
          <w:tcPr>
            <w:tcW w:w="673" w:type="pct"/>
            <w:tcBorders>
              <w:top w:val="single" w:sz="4" w:space="0" w:color="auto"/>
              <w:left w:val="single" w:sz="4" w:space="0" w:color="auto"/>
              <w:bottom w:val="single" w:sz="4" w:space="0" w:color="auto"/>
              <w:right w:val="single" w:sz="4" w:space="0" w:color="auto"/>
            </w:tcBorders>
            <w:hideMark/>
          </w:tcPr>
          <w:p w14:paraId="0459DDB9" w14:textId="77777777" w:rsidR="00AB5818" w:rsidRPr="00271798" w:rsidRDefault="00AB5818" w:rsidP="002E4B8A">
            <w:pPr>
              <w:widowControl w:val="0"/>
              <w:autoSpaceDE w:val="0"/>
              <w:autoSpaceDN w:val="0"/>
              <w:adjustRightInd w:val="0"/>
              <w:spacing w:line="240" w:lineRule="auto"/>
              <w:rPr>
                <w:rFonts w:eastAsia="Calibri" w:cs="Times New Roman"/>
                <w:sz w:val="20"/>
                <w:szCs w:val="20"/>
              </w:rPr>
            </w:pPr>
            <w:r w:rsidRPr="00271798">
              <w:rPr>
                <w:rFonts w:eastAsia="Calibri" w:cs="Times New Roman"/>
                <w:sz w:val="20"/>
                <w:szCs w:val="20"/>
              </w:rPr>
              <w:t>0.4731</w:t>
            </w:r>
          </w:p>
        </w:tc>
        <w:tc>
          <w:tcPr>
            <w:tcW w:w="671" w:type="pct"/>
            <w:tcBorders>
              <w:top w:val="single" w:sz="4" w:space="0" w:color="auto"/>
              <w:left w:val="single" w:sz="4" w:space="0" w:color="auto"/>
              <w:bottom w:val="single" w:sz="4" w:space="0" w:color="auto"/>
              <w:right w:val="single" w:sz="4" w:space="0" w:color="auto"/>
            </w:tcBorders>
            <w:hideMark/>
          </w:tcPr>
          <w:p w14:paraId="069BAA86" w14:textId="77777777" w:rsidR="00AB5818" w:rsidRPr="00271798" w:rsidRDefault="00AB5818" w:rsidP="002E4B8A">
            <w:pPr>
              <w:widowControl w:val="0"/>
              <w:autoSpaceDE w:val="0"/>
              <w:autoSpaceDN w:val="0"/>
              <w:adjustRightInd w:val="0"/>
              <w:spacing w:line="240" w:lineRule="auto"/>
              <w:rPr>
                <w:rFonts w:eastAsia="Calibri" w:cs="Times New Roman"/>
                <w:sz w:val="20"/>
                <w:szCs w:val="20"/>
                <w:lang/>
              </w:rPr>
            </w:pPr>
            <w:r w:rsidRPr="00271798">
              <w:rPr>
                <w:rFonts w:eastAsia="Calibri" w:cs="Times New Roman"/>
                <w:sz w:val="20"/>
                <w:szCs w:val="20"/>
                <w:lang/>
              </w:rPr>
              <w:t>0.00</w:t>
            </w:r>
            <w:r w:rsidRPr="00271798">
              <w:rPr>
                <w:rFonts w:eastAsia="Calibri" w:cs="Times New Roman"/>
                <w:sz w:val="20"/>
                <w:szCs w:val="20"/>
              </w:rPr>
              <w:t>46</w:t>
            </w:r>
          </w:p>
        </w:tc>
        <w:tc>
          <w:tcPr>
            <w:tcW w:w="666" w:type="pct"/>
            <w:tcBorders>
              <w:top w:val="single" w:sz="4" w:space="0" w:color="auto"/>
              <w:left w:val="single" w:sz="4" w:space="0" w:color="auto"/>
              <w:bottom w:val="single" w:sz="4" w:space="0" w:color="auto"/>
              <w:right w:val="single" w:sz="4" w:space="0" w:color="auto"/>
            </w:tcBorders>
            <w:hideMark/>
          </w:tcPr>
          <w:p w14:paraId="1CE97F85" w14:textId="77777777" w:rsidR="00AB5818" w:rsidRPr="00271798" w:rsidRDefault="00AB5818" w:rsidP="002E4B8A">
            <w:pPr>
              <w:widowControl w:val="0"/>
              <w:autoSpaceDE w:val="0"/>
              <w:autoSpaceDN w:val="0"/>
              <w:adjustRightInd w:val="0"/>
              <w:spacing w:line="240" w:lineRule="auto"/>
              <w:rPr>
                <w:rFonts w:eastAsia="Calibri" w:cs="Times New Roman"/>
                <w:sz w:val="20"/>
                <w:szCs w:val="20"/>
                <w:lang/>
              </w:rPr>
            </w:pPr>
            <w:r w:rsidRPr="00271798">
              <w:rPr>
                <w:rFonts w:eastAsia="Calibri" w:cs="Times New Roman"/>
                <w:sz w:val="20"/>
                <w:szCs w:val="20"/>
              </w:rPr>
              <w:t>0.0198</w:t>
            </w:r>
          </w:p>
        </w:tc>
      </w:tr>
      <w:tr w:rsidR="00AB5818" w:rsidRPr="00AB5818" w14:paraId="07FB1EB4"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24FAD1CF"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State FE</w:t>
            </w:r>
          </w:p>
        </w:tc>
        <w:tc>
          <w:tcPr>
            <w:tcW w:w="809" w:type="pct"/>
            <w:tcBorders>
              <w:top w:val="single" w:sz="4" w:space="0" w:color="auto"/>
              <w:left w:val="single" w:sz="4" w:space="0" w:color="auto"/>
              <w:bottom w:val="single" w:sz="4" w:space="0" w:color="auto"/>
              <w:right w:val="single" w:sz="4" w:space="0" w:color="auto"/>
            </w:tcBorders>
            <w:hideMark/>
          </w:tcPr>
          <w:p w14:paraId="454FB197"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73" w:type="pct"/>
            <w:tcBorders>
              <w:top w:val="single" w:sz="4" w:space="0" w:color="auto"/>
              <w:left w:val="single" w:sz="4" w:space="0" w:color="auto"/>
              <w:bottom w:val="single" w:sz="4" w:space="0" w:color="auto"/>
              <w:right w:val="single" w:sz="4" w:space="0" w:color="auto"/>
            </w:tcBorders>
            <w:hideMark/>
          </w:tcPr>
          <w:p w14:paraId="1D5CBAF6"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c>
          <w:tcPr>
            <w:tcW w:w="672" w:type="pct"/>
            <w:tcBorders>
              <w:top w:val="single" w:sz="4" w:space="0" w:color="auto"/>
              <w:left w:val="single" w:sz="4" w:space="0" w:color="auto"/>
              <w:bottom w:val="single" w:sz="4" w:space="0" w:color="auto"/>
              <w:right w:val="single" w:sz="4" w:space="0" w:color="auto"/>
            </w:tcBorders>
            <w:hideMark/>
          </w:tcPr>
          <w:p w14:paraId="097D1F53"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73" w:type="pct"/>
            <w:tcBorders>
              <w:top w:val="single" w:sz="4" w:space="0" w:color="auto"/>
              <w:left w:val="single" w:sz="4" w:space="0" w:color="auto"/>
              <w:bottom w:val="single" w:sz="4" w:space="0" w:color="auto"/>
              <w:right w:val="single" w:sz="4" w:space="0" w:color="auto"/>
            </w:tcBorders>
            <w:hideMark/>
          </w:tcPr>
          <w:p w14:paraId="20277039"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c>
          <w:tcPr>
            <w:tcW w:w="671" w:type="pct"/>
            <w:tcBorders>
              <w:top w:val="single" w:sz="4" w:space="0" w:color="auto"/>
              <w:left w:val="single" w:sz="4" w:space="0" w:color="auto"/>
              <w:bottom w:val="single" w:sz="4" w:space="0" w:color="auto"/>
              <w:right w:val="single" w:sz="4" w:space="0" w:color="auto"/>
            </w:tcBorders>
            <w:hideMark/>
          </w:tcPr>
          <w:p w14:paraId="2408EF9C"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66" w:type="pct"/>
            <w:tcBorders>
              <w:top w:val="single" w:sz="4" w:space="0" w:color="auto"/>
              <w:left w:val="single" w:sz="4" w:space="0" w:color="auto"/>
              <w:bottom w:val="single" w:sz="4" w:space="0" w:color="auto"/>
              <w:right w:val="single" w:sz="4" w:space="0" w:color="auto"/>
            </w:tcBorders>
            <w:hideMark/>
          </w:tcPr>
          <w:p w14:paraId="05DCF04B"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r>
      <w:tr w:rsidR="00AB5818" w:rsidRPr="00AB5818" w14:paraId="0C1B344F"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47D58E5F"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Year FE</w:t>
            </w:r>
          </w:p>
        </w:tc>
        <w:tc>
          <w:tcPr>
            <w:tcW w:w="809" w:type="pct"/>
            <w:tcBorders>
              <w:top w:val="single" w:sz="4" w:space="0" w:color="auto"/>
              <w:left w:val="single" w:sz="4" w:space="0" w:color="auto"/>
              <w:bottom w:val="single" w:sz="4" w:space="0" w:color="auto"/>
              <w:right w:val="single" w:sz="4" w:space="0" w:color="auto"/>
            </w:tcBorders>
            <w:hideMark/>
          </w:tcPr>
          <w:p w14:paraId="66C3A814"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73" w:type="pct"/>
            <w:tcBorders>
              <w:top w:val="single" w:sz="4" w:space="0" w:color="auto"/>
              <w:left w:val="single" w:sz="4" w:space="0" w:color="auto"/>
              <w:bottom w:val="single" w:sz="4" w:space="0" w:color="auto"/>
              <w:right w:val="single" w:sz="4" w:space="0" w:color="auto"/>
            </w:tcBorders>
            <w:hideMark/>
          </w:tcPr>
          <w:p w14:paraId="7B13F1BC"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c>
          <w:tcPr>
            <w:tcW w:w="672" w:type="pct"/>
            <w:tcBorders>
              <w:top w:val="single" w:sz="4" w:space="0" w:color="auto"/>
              <w:left w:val="single" w:sz="4" w:space="0" w:color="auto"/>
              <w:bottom w:val="single" w:sz="4" w:space="0" w:color="auto"/>
              <w:right w:val="single" w:sz="4" w:space="0" w:color="auto"/>
            </w:tcBorders>
            <w:hideMark/>
          </w:tcPr>
          <w:p w14:paraId="472DBDC5"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73" w:type="pct"/>
            <w:tcBorders>
              <w:top w:val="single" w:sz="4" w:space="0" w:color="auto"/>
              <w:left w:val="single" w:sz="4" w:space="0" w:color="auto"/>
              <w:bottom w:val="single" w:sz="4" w:space="0" w:color="auto"/>
              <w:right w:val="single" w:sz="4" w:space="0" w:color="auto"/>
            </w:tcBorders>
            <w:hideMark/>
          </w:tcPr>
          <w:p w14:paraId="40D60DCD"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c>
          <w:tcPr>
            <w:tcW w:w="671" w:type="pct"/>
            <w:tcBorders>
              <w:top w:val="single" w:sz="4" w:space="0" w:color="auto"/>
              <w:left w:val="single" w:sz="4" w:space="0" w:color="auto"/>
              <w:bottom w:val="single" w:sz="4" w:space="0" w:color="auto"/>
              <w:right w:val="single" w:sz="4" w:space="0" w:color="auto"/>
            </w:tcBorders>
            <w:hideMark/>
          </w:tcPr>
          <w:p w14:paraId="6EDC4624"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66" w:type="pct"/>
            <w:tcBorders>
              <w:top w:val="single" w:sz="4" w:space="0" w:color="auto"/>
              <w:left w:val="single" w:sz="4" w:space="0" w:color="auto"/>
              <w:bottom w:val="single" w:sz="4" w:space="0" w:color="auto"/>
              <w:right w:val="single" w:sz="4" w:space="0" w:color="auto"/>
            </w:tcBorders>
            <w:hideMark/>
          </w:tcPr>
          <w:p w14:paraId="137BB6A9"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r>
      <w:tr w:rsidR="00AB5818" w:rsidRPr="00AB5818" w14:paraId="6CC595A1"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0AB2760C"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County FE</w:t>
            </w:r>
          </w:p>
        </w:tc>
        <w:tc>
          <w:tcPr>
            <w:tcW w:w="809" w:type="pct"/>
            <w:tcBorders>
              <w:top w:val="single" w:sz="4" w:space="0" w:color="auto"/>
              <w:left w:val="single" w:sz="4" w:space="0" w:color="auto"/>
              <w:bottom w:val="single" w:sz="4" w:space="0" w:color="auto"/>
              <w:right w:val="single" w:sz="4" w:space="0" w:color="auto"/>
            </w:tcBorders>
            <w:hideMark/>
          </w:tcPr>
          <w:p w14:paraId="7B675870"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73" w:type="pct"/>
            <w:tcBorders>
              <w:top w:val="single" w:sz="4" w:space="0" w:color="auto"/>
              <w:left w:val="single" w:sz="4" w:space="0" w:color="auto"/>
              <w:bottom w:val="single" w:sz="4" w:space="0" w:color="auto"/>
              <w:right w:val="single" w:sz="4" w:space="0" w:color="auto"/>
            </w:tcBorders>
            <w:hideMark/>
          </w:tcPr>
          <w:p w14:paraId="46B8B5BA"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c>
          <w:tcPr>
            <w:tcW w:w="672" w:type="pct"/>
            <w:tcBorders>
              <w:top w:val="single" w:sz="4" w:space="0" w:color="auto"/>
              <w:left w:val="single" w:sz="4" w:space="0" w:color="auto"/>
              <w:bottom w:val="single" w:sz="4" w:space="0" w:color="auto"/>
              <w:right w:val="single" w:sz="4" w:space="0" w:color="auto"/>
            </w:tcBorders>
            <w:hideMark/>
          </w:tcPr>
          <w:p w14:paraId="37206FEC"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73" w:type="pct"/>
            <w:tcBorders>
              <w:top w:val="single" w:sz="4" w:space="0" w:color="auto"/>
              <w:left w:val="single" w:sz="4" w:space="0" w:color="auto"/>
              <w:bottom w:val="single" w:sz="4" w:space="0" w:color="auto"/>
              <w:right w:val="single" w:sz="4" w:space="0" w:color="auto"/>
            </w:tcBorders>
            <w:hideMark/>
          </w:tcPr>
          <w:p w14:paraId="727271EB"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c>
          <w:tcPr>
            <w:tcW w:w="671" w:type="pct"/>
            <w:tcBorders>
              <w:top w:val="single" w:sz="4" w:space="0" w:color="auto"/>
              <w:left w:val="single" w:sz="4" w:space="0" w:color="auto"/>
              <w:bottom w:val="single" w:sz="4" w:space="0" w:color="auto"/>
              <w:right w:val="single" w:sz="4" w:space="0" w:color="auto"/>
            </w:tcBorders>
            <w:hideMark/>
          </w:tcPr>
          <w:p w14:paraId="2B8945A0"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66" w:type="pct"/>
            <w:tcBorders>
              <w:top w:val="single" w:sz="4" w:space="0" w:color="auto"/>
              <w:left w:val="single" w:sz="4" w:space="0" w:color="auto"/>
              <w:bottom w:val="single" w:sz="4" w:space="0" w:color="auto"/>
              <w:right w:val="single" w:sz="4" w:space="0" w:color="auto"/>
            </w:tcBorders>
            <w:hideMark/>
          </w:tcPr>
          <w:p w14:paraId="4C40CB57"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r>
    </w:tbl>
    <w:p w14:paraId="730A3733" w14:textId="4031CC0F" w:rsidR="00AB5818" w:rsidRPr="00AB5818" w:rsidRDefault="000E300A" w:rsidP="00CE0D78">
      <w:pPr>
        <w:widowControl w:val="0"/>
        <w:autoSpaceDE w:val="0"/>
        <w:autoSpaceDN w:val="0"/>
        <w:adjustRightInd w:val="0"/>
        <w:spacing w:line="240" w:lineRule="auto"/>
        <w:rPr>
          <w:rFonts w:eastAsia="Calibri" w:cs="Times New Roman"/>
          <w:sz w:val="20"/>
          <w:szCs w:val="20"/>
        </w:rPr>
      </w:pPr>
      <w:r>
        <w:rPr>
          <w:rFonts w:eastAsia="Calibri" w:cs="Times New Roman"/>
          <w:sz w:val="20"/>
          <w:szCs w:val="20"/>
        </w:rPr>
        <w:t xml:space="preserve">Table A52: </w:t>
      </w:r>
      <w:r w:rsidR="00AB5818" w:rsidRPr="00AB5818">
        <w:rPr>
          <w:rFonts w:eastAsia="Calibri" w:cs="Times New Roman"/>
          <w:sz w:val="20"/>
          <w:szCs w:val="20"/>
          <w:lang/>
        </w:rPr>
        <w:t>Regression results for manufacturing, using binary range measures. Captures the sector’s indirect economic responses to delisting.</w:t>
      </w:r>
      <w:r>
        <w:rPr>
          <w:rFonts w:eastAsia="Calibri" w:cs="Times New Roman"/>
          <w:sz w:val="20"/>
          <w:szCs w:val="20"/>
        </w:rPr>
        <w:t xml:space="preserve"> </w:t>
      </w:r>
      <w:r w:rsidRPr="000E300A">
        <w:rPr>
          <w:rFonts w:eastAsia="Calibri" w:cs="Times New Roman"/>
          <w:sz w:val="20"/>
          <w:szCs w:val="20"/>
        </w:rPr>
        <w:t>Statistically significant impacts are denoted by asterisks. These asterisks denote statistical significance at the following levels: ***p &lt; 0.01, **p &lt; 0.05, *p &lt; 0.1.</w:t>
      </w:r>
      <w:r w:rsidR="00AB5818" w:rsidRPr="00AB5818">
        <w:rPr>
          <w:rFonts w:eastAsia="Calibri" w:cs="Times New Roman"/>
          <w:sz w:val="20"/>
          <w:szCs w:val="20"/>
        </w:rPr>
        <w:br/>
      </w:r>
    </w:p>
    <w:p w14:paraId="1762EB68" w14:textId="48EDA7E2" w:rsidR="00271798" w:rsidRDefault="00271798" w:rsidP="00CE0D78">
      <w:pPr>
        <w:widowControl w:val="0"/>
        <w:autoSpaceDE w:val="0"/>
        <w:autoSpaceDN w:val="0"/>
        <w:adjustRightInd w:val="0"/>
        <w:spacing w:line="240" w:lineRule="auto"/>
        <w:rPr>
          <w:rFonts w:eastAsia="Calibri" w:cs="Times New Roman"/>
          <w:b/>
          <w:bCs/>
          <w:sz w:val="20"/>
          <w:szCs w:val="20"/>
        </w:rPr>
      </w:pPr>
    </w:p>
    <w:p w14:paraId="604E5E4B" w14:textId="77777777" w:rsidR="00271798" w:rsidRDefault="00271798" w:rsidP="00CE0D78">
      <w:pPr>
        <w:widowControl w:val="0"/>
        <w:autoSpaceDE w:val="0"/>
        <w:autoSpaceDN w:val="0"/>
        <w:adjustRightInd w:val="0"/>
        <w:spacing w:line="240" w:lineRule="auto"/>
        <w:rPr>
          <w:rFonts w:eastAsia="Calibri" w:cs="Times New Roman"/>
          <w:b/>
          <w:bCs/>
          <w:sz w:val="20"/>
          <w:szCs w:val="20"/>
        </w:rPr>
      </w:pPr>
    </w:p>
    <w:p w14:paraId="64F1C519" w14:textId="4FA58965" w:rsidR="00AB5818" w:rsidRPr="00AB5818" w:rsidRDefault="00AB5818" w:rsidP="00095E25">
      <w:pPr>
        <w:pStyle w:val="Title"/>
      </w:pPr>
      <w:bookmarkStart w:id="742" w:name="_Toc188056062"/>
      <w:bookmarkStart w:id="743" w:name="_Toc188057146"/>
      <w:bookmarkStart w:id="744" w:name="_Toc188359658"/>
      <w:bookmarkStart w:id="745" w:name="_Toc188359946"/>
      <w:bookmarkStart w:id="746" w:name="_Toc188361182"/>
      <w:bookmarkStart w:id="747" w:name="_Toc188367025"/>
      <w:r w:rsidRPr="00AB5818">
        <w:t>Table A</w:t>
      </w:r>
      <w:r w:rsidR="005E02DB">
        <w:t>5</w:t>
      </w:r>
      <w:r w:rsidRPr="00AB5818">
        <w:t xml:space="preserve">3: </w:t>
      </w:r>
      <w:r w:rsidR="002E1ED3">
        <w:rPr>
          <w:lang w:val="en-US"/>
        </w:rPr>
        <w:t xml:space="preserve">Summary of </w:t>
      </w:r>
      <w:r w:rsidR="002E1ED3" w:rsidRPr="00AB5818">
        <w:t xml:space="preserve">NAICS </w:t>
      </w:r>
      <w:r w:rsidR="002E1ED3">
        <w:rPr>
          <w:lang w:val="en-US"/>
        </w:rPr>
        <w:t xml:space="preserve">31-33 Regression Results </w:t>
      </w:r>
      <w:r w:rsidR="002E1ED3" w:rsidRPr="00AB5818">
        <w:t>–</w:t>
      </w:r>
      <w:r w:rsidR="002E1ED3">
        <w:rPr>
          <w:lang w:val="en-US"/>
        </w:rPr>
        <w:t xml:space="preserve"> </w:t>
      </w:r>
      <w:r w:rsidRPr="00AB5818">
        <w:t>Continuous Range Indicator</w:t>
      </w:r>
      <w:bookmarkEnd w:id="742"/>
      <w:bookmarkEnd w:id="743"/>
      <w:bookmarkEnd w:id="744"/>
      <w:bookmarkEnd w:id="745"/>
      <w:bookmarkEnd w:id="746"/>
      <w:bookmarkEnd w:id="747"/>
    </w:p>
    <w:tbl>
      <w:tblPr>
        <w:tblW w:w="49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0"/>
        <w:gridCol w:w="1500"/>
        <w:gridCol w:w="1248"/>
        <w:gridCol w:w="1246"/>
        <w:gridCol w:w="1248"/>
        <w:gridCol w:w="1244"/>
        <w:gridCol w:w="1235"/>
      </w:tblGrid>
      <w:tr w:rsidR="00922EC5" w:rsidRPr="00AB5818" w14:paraId="5C75A1D3"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2A23396F" w14:textId="05386E49" w:rsidR="00922EC5" w:rsidRPr="00AB5818" w:rsidRDefault="00922EC5" w:rsidP="002E4B8A">
            <w:pPr>
              <w:widowControl w:val="0"/>
              <w:autoSpaceDE w:val="0"/>
              <w:autoSpaceDN w:val="0"/>
              <w:adjustRightInd w:val="0"/>
              <w:spacing w:line="240" w:lineRule="auto"/>
              <w:rPr>
                <w:rFonts w:eastAsia="Calibri" w:cs="Times New Roman"/>
                <w:b/>
                <w:bCs/>
                <w:sz w:val="20"/>
                <w:szCs w:val="20"/>
              </w:rPr>
            </w:pPr>
            <w:r w:rsidRPr="00922EC5">
              <w:rPr>
                <w:rFonts w:eastAsia="Calibri" w:cs="Times New Roman"/>
                <w:b/>
                <w:bCs/>
                <w:sz w:val="20"/>
                <w:szCs w:val="20"/>
              </w:rPr>
              <w:t>Variable</w:t>
            </w:r>
          </w:p>
        </w:tc>
        <w:tc>
          <w:tcPr>
            <w:tcW w:w="1482" w:type="pct"/>
            <w:gridSpan w:val="2"/>
            <w:tcBorders>
              <w:top w:val="single" w:sz="4" w:space="0" w:color="auto"/>
              <w:left w:val="single" w:sz="4" w:space="0" w:color="auto"/>
              <w:bottom w:val="single" w:sz="4" w:space="0" w:color="auto"/>
              <w:right w:val="single" w:sz="4" w:space="0" w:color="auto"/>
            </w:tcBorders>
            <w:hideMark/>
          </w:tcPr>
          <w:p w14:paraId="245F19A3" w14:textId="6A5552FB" w:rsidR="00922EC5" w:rsidRPr="00AB5818" w:rsidRDefault="00922EC5" w:rsidP="002E4B8A">
            <w:pPr>
              <w:widowControl w:val="0"/>
              <w:autoSpaceDE w:val="0"/>
              <w:autoSpaceDN w:val="0"/>
              <w:adjustRightInd w:val="0"/>
              <w:spacing w:line="240" w:lineRule="auto"/>
              <w:rPr>
                <w:rFonts w:eastAsia="Calibri" w:cs="Times New Roman"/>
                <w:b/>
                <w:bCs/>
                <w:color w:val="FF0000"/>
                <w:sz w:val="20"/>
                <w:szCs w:val="20"/>
                <w:highlight w:val="yellow"/>
              </w:rPr>
            </w:pPr>
            <w:r w:rsidRPr="00922EC5">
              <w:rPr>
                <w:rFonts w:cs="Times New Roman"/>
                <w:b/>
                <w:bCs/>
                <w:sz w:val="20"/>
                <w:szCs w:val="20"/>
              </w:rPr>
              <w:t>Establishment Count</w:t>
            </w:r>
          </w:p>
        </w:tc>
        <w:tc>
          <w:tcPr>
            <w:tcW w:w="1345" w:type="pct"/>
            <w:gridSpan w:val="2"/>
            <w:tcBorders>
              <w:top w:val="single" w:sz="4" w:space="0" w:color="auto"/>
              <w:left w:val="single" w:sz="4" w:space="0" w:color="auto"/>
              <w:bottom w:val="single" w:sz="4" w:space="0" w:color="auto"/>
              <w:right w:val="single" w:sz="4" w:space="0" w:color="auto"/>
            </w:tcBorders>
            <w:hideMark/>
          </w:tcPr>
          <w:p w14:paraId="6F675289" w14:textId="24438174" w:rsidR="00922EC5" w:rsidRPr="00AB5818" w:rsidRDefault="00922EC5" w:rsidP="002E4B8A">
            <w:pPr>
              <w:widowControl w:val="0"/>
              <w:autoSpaceDE w:val="0"/>
              <w:autoSpaceDN w:val="0"/>
              <w:adjustRightInd w:val="0"/>
              <w:spacing w:line="240" w:lineRule="auto"/>
              <w:rPr>
                <w:rFonts w:eastAsia="Calibri" w:cs="Times New Roman"/>
                <w:b/>
                <w:bCs/>
                <w:color w:val="FF0000"/>
                <w:sz w:val="20"/>
                <w:szCs w:val="20"/>
                <w:highlight w:val="yellow"/>
              </w:rPr>
            </w:pPr>
            <w:r w:rsidRPr="00922EC5">
              <w:rPr>
                <w:rFonts w:cs="Times New Roman"/>
                <w:b/>
                <w:bCs/>
                <w:sz w:val="20"/>
                <w:szCs w:val="20"/>
              </w:rPr>
              <w:t>Job Count</w:t>
            </w:r>
          </w:p>
        </w:tc>
        <w:tc>
          <w:tcPr>
            <w:tcW w:w="1337" w:type="pct"/>
            <w:gridSpan w:val="2"/>
            <w:tcBorders>
              <w:top w:val="single" w:sz="4" w:space="0" w:color="auto"/>
              <w:left w:val="single" w:sz="4" w:space="0" w:color="auto"/>
              <w:bottom w:val="single" w:sz="4" w:space="0" w:color="auto"/>
              <w:right w:val="single" w:sz="4" w:space="0" w:color="auto"/>
            </w:tcBorders>
            <w:hideMark/>
          </w:tcPr>
          <w:p w14:paraId="69D6472E" w14:textId="7F752F21" w:rsidR="00922EC5" w:rsidRPr="00AB5818" w:rsidRDefault="00922EC5" w:rsidP="002E4B8A">
            <w:pPr>
              <w:widowControl w:val="0"/>
              <w:autoSpaceDE w:val="0"/>
              <w:autoSpaceDN w:val="0"/>
              <w:adjustRightInd w:val="0"/>
              <w:spacing w:line="240" w:lineRule="auto"/>
              <w:rPr>
                <w:rFonts w:eastAsia="Calibri" w:cs="Times New Roman"/>
                <w:b/>
                <w:bCs/>
                <w:color w:val="FF0000"/>
                <w:sz w:val="20"/>
                <w:szCs w:val="20"/>
                <w:highlight w:val="yellow"/>
              </w:rPr>
            </w:pPr>
            <w:r w:rsidRPr="00922EC5">
              <w:rPr>
                <w:rFonts w:cs="Times New Roman"/>
                <w:b/>
                <w:bCs/>
                <w:sz w:val="20"/>
                <w:szCs w:val="20"/>
              </w:rPr>
              <w:t>Sales Volume</w:t>
            </w:r>
          </w:p>
        </w:tc>
      </w:tr>
      <w:tr w:rsidR="00AB5818" w:rsidRPr="00AB5818" w14:paraId="5729E860"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27CE0DFF"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Range</w:t>
            </w:r>
          </w:p>
        </w:tc>
        <w:tc>
          <w:tcPr>
            <w:tcW w:w="809" w:type="pct"/>
            <w:tcBorders>
              <w:top w:val="single" w:sz="4" w:space="0" w:color="auto"/>
              <w:left w:val="single" w:sz="4" w:space="0" w:color="auto"/>
              <w:bottom w:val="single" w:sz="4" w:space="0" w:color="auto"/>
              <w:right w:val="single" w:sz="4" w:space="0" w:color="auto"/>
            </w:tcBorders>
            <w:hideMark/>
          </w:tcPr>
          <w:p w14:paraId="26FBAA28" w14:textId="77777777" w:rsidR="00AB5818" w:rsidRPr="00AB5818" w:rsidRDefault="00AB5818" w:rsidP="002E4B8A">
            <w:pPr>
              <w:widowControl w:val="0"/>
              <w:autoSpaceDE w:val="0"/>
              <w:autoSpaceDN w:val="0"/>
              <w:adjustRightInd w:val="0"/>
              <w:spacing w:line="240" w:lineRule="auto"/>
              <w:rPr>
                <w:rFonts w:eastAsia="Calibri" w:cs="Times New Roman"/>
                <w:sz w:val="20"/>
                <w:szCs w:val="20"/>
                <w:highlight w:val="magenta"/>
              </w:rPr>
            </w:pPr>
            <w:r w:rsidRPr="00AB5818">
              <w:rPr>
                <w:rFonts w:eastAsia="Calibri" w:cs="Times New Roman"/>
                <w:sz w:val="20"/>
                <w:szCs w:val="20"/>
              </w:rPr>
              <w:t>.0025*</w:t>
            </w:r>
          </w:p>
        </w:tc>
        <w:tc>
          <w:tcPr>
            <w:tcW w:w="673" w:type="pct"/>
            <w:tcBorders>
              <w:top w:val="single" w:sz="4" w:space="0" w:color="auto"/>
              <w:left w:val="single" w:sz="4" w:space="0" w:color="auto"/>
              <w:bottom w:val="single" w:sz="4" w:space="0" w:color="auto"/>
              <w:right w:val="single" w:sz="4" w:space="0" w:color="auto"/>
            </w:tcBorders>
            <w:hideMark/>
          </w:tcPr>
          <w:p w14:paraId="1FBB950D" w14:textId="77777777" w:rsidR="00AB5818" w:rsidRPr="00AB5818" w:rsidRDefault="00AB5818" w:rsidP="002E4B8A">
            <w:pPr>
              <w:widowControl w:val="0"/>
              <w:autoSpaceDE w:val="0"/>
              <w:autoSpaceDN w:val="0"/>
              <w:adjustRightInd w:val="0"/>
              <w:spacing w:line="240" w:lineRule="auto"/>
              <w:rPr>
                <w:rFonts w:eastAsia="Calibri" w:cs="Times New Roman"/>
                <w:sz w:val="20"/>
                <w:szCs w:val="20"/>
                <w:highlight w:val="magenta"/>
              </w:rPr>
            </w:pPr>
            <w:r w:rsidRPr="00AB5818">
              <w:rPr>
                <w:rFonts w:eastAsia="Calibri" w:cs="Times New Roman"/>
                <w:sz w:val="20"/>
                <w:szCs w:val="20"/>
              </w:rPr>
              <w:t>-.00011</w:t>
            </w:r>
          </w:p>
        </w:tc>
        <w:tc>
          <w:tcPr>
            <w:tcW w:w="672" w:type="pct"/>
            <w:tcBorders>
              <w:top w:val="single" w:sz="4" w:space="0" w:color="auto"/>
              <w:left w:val="single" w:sz="4" w:space="0" w:color="auto"/>
              <w:bottom w:val="single" w:sz="4" w:space="0" w:color="auto"/>
              <w:right w:val="single" w:sz="4" w:space="0" w:color="auto"/>
            </w:tcBorders>
            <w:hideMark/>
          </w:tcPr>
          <w:p w14:paraId="7A51E95D"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.00094</w:t>
            </w:r>
          </w:p>
        </w:tc>
        <w:tc>
          <w:tcPr>
            <w:tcW w:w="673" w:type="pct"/>
            <w:tcBorders>
              <w:top w:val="single" w:sz="4" w:space="0" w:color="auto"/>
              <w:left w:val="single" w:sz="4" w:space="0" w:color="auto"/>
              <w:bottom w:val="single" w:sz="4" w:space="0" w:color="auto"/>
              <w:right w:val="single" w:sz="4" w:space="0" w:color="auto"/>
            </w:tcBorders>
            <w:hideMark/>
          </w:tcPr>
          <w:p w14:paraId="3372863A"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-.00011</w:t>
            </w:r>
          </w:p>
        </w:tc>
        <w:tc>
          <w:tcPr>
            <w:tcW w:w="671" w:type="pct"/>
            <w:tcBorders>
              <w:top w:val="single" w:sz="4" w:space="0" w:color="auto"/>
              <w:left w:val="single" w:sz="4" w:space="0" w:color="auto"/>
              <w:bottom w:val="single" w:sz="4" w:space="0" w:color="auto"/>
              <w:right w:val="single" w:sz="4" w:space="0" w:color="auto"/>
            </w:tcBorders>
            <w:hideMark/>
          </w:tcPr>
          <w:p w14:paraId="4B943935"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.00559***</w:t>
            </w:r>
          </w:p>
        </w:tc>
        <w:tc>
          <w:tcPr>
            <w:tcW w:w="666" w:type="pct"/>
            <w:tcBorders>
              <w:top w:val="single" w:sz="4" w:space="0" w:color="auto"/>
              <w:left w:val="single" w:sz="4" w:space="0" w:color="auto"/>
              <w:bottom w:val="single" w:sz="4" w:space="0" w:color="auto"/>
              <w:right w:val="single" w:sz="4" w:space="0" w:color="auto"/>
            </w:tcBorders>
            <w:hideMark/>
          </w:tcPr>
          <w:p w14:paraId="106393CD"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.00571**</w:t>
            </w:r>
          </w:p>
        </w:tc>
      </w:tr>
      <w:tr w:rsidR="00AB5818" w:rsidRPr="00AB5818" w14:paraId="53A04BB4"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7DC4A0F5" w14:textId="60EBA5E8" w:rsidR="00AB5818" w:rsidRPr="00AB5818" w:rsidRDefault="00AB5818" w:rsidP="002E4B8A">
            <w:pPr>
              <w:widowControl w:val="0"/>
              <w:autoSpaceDE w:val="0"/>
              <w:autoSpaceDN w:val="0"/>
              <w:adjustRightInd w:val="0"/>
              <w:spacing w:line="240" w:lineRule="auto"/>
              <w:rPr>
                <w:rFonts w:eastAsia="Calibri" w:cs="Times New Roman"/>
                <w:sz w:val="20"/>
                <w:szCs w:val="20"/>
              </w:rPr>
            </w:pPr>
          </w:p>
        </w:tc>
        <w:tc>
          <w:tcPr>
            <w:tcW w:w="809" w:type="pct"/>
            <w:tcBorders>
              <w:top w:val="single" w:sz="4" w:space="0" w:color="auto"/>
              <w:left w:val="single" w:sz="4" w:space="0" w:color="auto"/>
              <w:bottom w:val="single" w:sz="4" w:space="0" w:color="auto"/>
              <w:right w:val="single" w:sz="4" w:space="0" w:color="auto"/>
            </w:tcBorders>
            <w:hideMark/>
          </w:tcPr>
          <w:p w14:paraId="7B5FE165"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(.0013)</w:t>
            </w:r>
          </w:p>
        </w:tc>
        <w:tc>
          <w:tcPr>
            <w:tcW w:w="673" w:type="pct"/>
            <w:tcBorders>
              <w:top w:val="single" w:sz="4" w:space="0" w:color="auto"/>
              <w:left w:val="single" w:sz="4" w:space="0" w:color="auto"/>
              <w:bottom w:val="single" w:sz="4" w:space="0" w:color="auto"/>
              <w:right w:val="single" w:sz="4" w:space="0" w:color="auto"/>
            </w:tcBorders>
            <w:hideMark/>
          </w:tcPr>
          <w:p w14:paraId="2856CC6A"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(.00021)</w:t>
            </w:r>
          </w:p>
        </w:tc>
        <w:tc>
          <w:tcPr>
            <w:tcW w:w="672" w:type="pct"/>
            <w:tcBorders>
              <w:top w:val="single" w:sz="4" w:space="0" w:color="auto"/>
              <w:left w:val="single" w:sz="4" w:space="0" w:color="auto"/>
              <w:bottom w:val="single" w:sz="4" w:space="0" w:color="auto"/>
              <w:right w:val="single" w:sz="4" w:space="0" w:color="auto"/>
            </w:tcBorders>
            <w:hideMark/>
          </w:tcPr>
          <w:p w14:paraId="24ECC791"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(.00134)</w:t>
            </w:r>
          </w:p>
        </w:tc>
        <w:tc>
          <w:tcPr>
            <w:tcW w:w="673" w:type="pct"/>
            <w:tcBorders>
              <w:top w:val="single" w:sz="4" w:space="0" w:color="auto"/>
              <w:left w:val="single" w:sz="4" w:space="0" w:color="auto"/>
              <w:bottom w:val="single" w:sz="4" w:space="0" w:color="auto"/>
              <w:right w:val="single" w:sz="4" w:space="0" w:color="auto"/>
            </w:tcBorders>
            <w:hideMark/>
          </w:tcPr>
          <w:p w14:paraId="2AB0BCF9"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(.00048)</w:t>
            </w:r>
          </w:p>
        </w:tc>
        <w:tc>
          <w:tcPr>
            <w:tcW w:w="671" w:type="pct"/>
            <w:tcBorders>
              <w:top w:val="single" w:sz="4" w:space="0" w:color="auto"/>
              <w:left w:val="single" w:sz="4" w:space="0" w:color="auto"/>
              <w:bottom w:val="single" w:sz="4" w:space="0" w:color="auto"/>
              <w:right w:val="single" w:sz="4" w:space="0" w:color="auto"/>
            </w:tcBorders>
            <w:hideMark/>
          </w:tcPr>
          <w:p w14:paraId="594E783E"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(.0013)</w:t>
            </w:r>
          </w:p>
        </w:tc>
        <w:tc>
          <w:tcPr>
            <w:tcW w:w="666" w:type="pct"/>
            <w:tcBorders>
              <w:top w:val="single" w:sz="4" w:space="0" w:color="auto"/>
              <w:left w:val="single" w:sz="4" w:space="0" w:color="auto"/>
              <w:bottom w:val="single" w:sz="4" w:space="0" w:color="auto"/>
              <w:right w:val="single" w:sz="4" w:space="0" w:color="auto"/>
            </w:tcBorders>
            <w:hideMark/>
          </w:tcPr>
          <w:p w14:paraId="3267CFEB"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(.00261)</w:t>
            </w:r>
          </w:p>
        </w:tc>
      </w:tr>
      <w:tr w:rsidR="00AB5818" w:rsidRPr="00AB5818" w14:paraId="0472FE2C"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4785105B"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TSD * Range</w:t>
            </w:r>
          </w:p>
        </w:tc>
        <w:tc>
          <w:tcPr>
            <w:tcW w:w="809" w:type="pct"/>
            <w:tcBorders>
              <w:top w:val="single" w:sz="4" w:space="0" w:color="auto"/>
              <w:left w:val="single" w:sz="4" w:space="0" w:color="auto"/>
              <w:bottom w:val="single" w:sz="4" w:space="0" w:color="auto"/>
              <w:right w:val="single" w:sz="4" w:space="0" w:color="auto"/>
            </w:tcBorders>
            <w:hideMark/>
          </w:tcPr>
          <w:p w14:paraId="56D15656"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.00003</w:t>
            </w:r>
          </w:p>
        </w:tc>
        <w:tc>
          <w:tcPr>
            <w:tcW w:w="673" w:type="pct"/>
            <w:tcBorders>
              <w:top w:val="single" w:sz="4" w:space="0" w:color="auto"/>
              <w:left w:val="single" w:sz="4" w:space="0" w:color="auto"/>
              <w:bottom w:val="single" w:sz="4" w:space="0" w:color="auto"/>
              <w:right w:val="single" w:sz="4" w:space="0" w:color="auto"/>
            </w:tcBorders>
            <w:hideMark/>
          </w:tcPr>
          <w:p w14:paraId="37EA14EF"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.00012</w:t>
            </w:r>
          </w:p>
        </w:tc>
        <w:tc>
          <w:tcPr>
            <w:tcW w:w="672" w:type="pct"/>
            <w:tcBorders>
              <w:top w:val="single" w:sz="4" w:space="0" w:color="auto"/>
              <w:left w:val="single" w:sz="4" w:space="0" w:color="auto"/>
              <w:bottom w:val="single" w:sz="4" w:space="0" w:color="auto"/>
              <w:right w:val="single" w:sz="4" w:space="0" w:color="auto"/>
            </w:tcBorders>
            <w:hideMark/>
          </w:tcPr>
          <w:p w14:paraId="2A31D9AF"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-.00017</w:t>
            </w:r>
          </w:p>
        </w:tc>
        <w:tc>
          <w:tcPr>
            <w:tcW w:w="673" w:type="pct"/>
            <w:tcBorders>
              <w:top w:val="single" w:sz="4" w:space="0" w:color="auto"/>
              <w:left w:val="single" w:sz="4" w:space="0" w:color="auto"/>
              <w:bottom w:val="single" w:sz="4" w:space="0" w:color="auto"/>
              <w:right w:val="single" w:sz="4" w:space="0" w:color="auto"/>
            </w:tcBorders>
            <w:hideMark/>
          </w:tcPr>
          <w:p w14:paraId="5578E5A4"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-.00014</w:t>
            </w:r>
          </w:p>
        </w:tc>
        <w:tc>
          <w:tcPr>
            <w:tcW w:w="671" w:type="pct"/>
            <w:tcBorders>
              <w:top w:val="single" w:sz="4" w:space="0" w:color="auto"/>
              <w:left w:val="single" w:sz="4" w:space="0" w:color="auto"/>
              <w:bottom w:val="single" w:sz="4" w:space="0" w:color="auto"/>
              <w:right w:val="single" w:sz="4" w:space="0" w:color="auto"/>
            </w:tcBorders>
            <w:hideMark/>
          </w:tcPr>
          <w:p w14:paraId="1A0EA0F8"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.00083</w:t>
            </w:r>
          </w:p>
        </w:tc>
        <w:tc>
          <w:tcPr>
            <w:tcW w:w="666" w:type="pct"/>
            <w:tcBorders>
              <w:top w:val="single" w:sz="4" w:space="0" w:color="auto"/>
              <w:left w:val="single" w:sz="4" w:space="0" w:color="auto"/>
              <w:bottom w:val="single" w:sz="4" w:space="0" w:color="auto"/>
              <w:right w:val="single" w:sz="4" w:space="0" w:color="auto"/>
            </w:tcBorders>
            <w:hideMark/>
          </w:tcPr>
          <w:p w14:paraId="3E41FC25"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.0005</w:t>
            </w:r>
          </w:p>
        </w:tc>
      </w:tr>
      <w:tr w:rsidR="00AB5818" w:rsidRPr="00AB5818" w14:paraId="31CE204E"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4A8D9295" w14:textId="4B48A8BF" w:rsidR="00AB5818" w:rsidRPr="00AB5818" w:rsidRDefault="00AB5818" w:rsidP="002E4B8A">
            <w:pPr>
              <w:widowControl w:val="0"/>
              <w:autoSpaceDE w:val="0"/>
              <w:autoSpaceDN w:val="0"/>
              <w:adjustRightInd w:val="0"/>
              <w:spacing w:line="240" w:lineRule="auto"/>
              <w:rPr>
                <w:rFonts w:eastAsia="Calibri" w:cs="Times New Roman"/>
                <w:sz w:val="20"/>
                <w:szCs w:val="20"/>
              </w:rPr>
            </w:pPr>
          </w:p>
        </w:tc>
        <w:tc>
          <w:tcPr>
            <w:tcW w:w="809" w:type="pct"/>
            <w:tcBorders>
              <w:top w:val="single" w:sz="4" w:space="0" w:color="auto"/>
              <w:left w:val="single" w:sz="4" w:space="0" w:color="auto"/>
              <w:bottom w:val="single" w:sz="4" w:space="0" w:color="auto"/>
              <w:right w:val="single" w:sz="4" w:space="0" w:color="auto"/>
            </w:tcBorders>
            <w:hideMark/>
          </w:tcPr>
          <w:p w14:paraId="343D4B9A"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(.00037)</w:t>
            </w:r>
          </w:p>
        </w:tc>
        <w:tc>
          <w:tcPr>
            <w:tcW w:w="673" w:type="pct"/>
            <w:tcBorders>
              <w:top w:val="single" w:sz="4" w:space="0" w:color="auto"/>
              <w:left w:val="single" w:sz="4" w:space="0" w:color="auto"/>
              <w:bottom w:val="single" w:sz="4" w:space="0" w:color="auto"/>
              <w:right w:val="single" w:sz="4" w:space="0" w:color="auto"/>
            </w:tcBorders>
            <w:hideMark/>
          </w:tcPr>
          <w:p w14:paraId="2E8A14E2"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(.00011)</w:t>
            </w:r>
          </w:p>
        </w:tc>
        <w:tc>
          <w:tcPr>
            <w:tcW w:w="672" w:type="pct"/>
            <w:tcBorders>
              <w:top w:val="single" w:sz="4" w:space="0" w:color="auto"/>
              <w:left w:val="single" w:sz="4" w:space="0" w:color="auto"/>
              <w:bottom w:val="single" w:sz="4" w:space="0" w:color="auto"/>
              <w:right w:val="single" w:sz="4" w:space="0" w:color="auto"/>
            </w:tcBorders>
            <w:hideMark/>
          </w:tcPr>
          <w:p w14:paraId="024FF5F3"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(.0003)</w:t>
            </w:r>
          </w:p>
        </w:tc>
        <w:tc>
          <w:tcPr>
            <w:tcW w:w="673" w:type="pct"/>
            <w:tcBorders>
              <w:top w:val="single" w:sz="4" w:space="0" w:color="auto"/>
              <w:left w:val="single" w:sz="4" w:space="0" w:color="auto"/>
              <w:bottom w:val="single" w:sz="4" w:space="0" w:color="auto"/>
              <w:right w:val="single" w:sz="4" w:space="0" w:color="auto"/>
            </w:tcBorders>
            <w:hideMark/>
          </w:tcPr>
          <w:p w14:paraId="509B2891"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(.00022)</w:t>
            </w:r>
          </w:p>
        </w:tc>
        <w:tc>
          <w:tcPr>
            <w:tcW w:w="671" w:type="pct"/>
            <w:tcBorders>
              <w:top w:val="single" w:sz="4" w:space="0" w:color="auto"/>
              <w:left w:val="single" w:sz="4" w:space="0" w:color="auto"/>
              <w:bottom w:val="single" w:sz="4" w:space="0" w:color="auto"/>
              <w:right w:val="single" w:sz="4" w:space="0" w:color="auto"/>
            </w:tcBorders>
            <w:hideMark/>
          </w:tcPr>
          <w:p w14:paraId="6B7032D8"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(.00085)</w:t>
            </w:r>
          </w:p>
        </w:tc>
        <w:tc>
          <w:tcPr>
            <w:tcW w:w="666" w:type="pct"/>
            <w:tcBorders>
              <w:top w:val="single" w:sz="4" w:space="0" w:color="auto"/>
              <w:left w:val="single" w:sz="4" w:space="0" w:color="auto"/>
              <w:bottom w:val="single" w:sz="4" w:space="0" w:color="auto"/>
              <w:right w:val="single" w:sz="4" w:space="0" w:color="auto"/>
            </w:tcBorders>
            <w:hideMark/>
          </w:tcPr>
          <w:p w14:paraId="4A5B7617"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(.00067)</w:t>
            </w:r>
          </w:p>
        </w:tc>
      </w:tr>
      <w:tr w:rsidR="00AB5818" w:rsidRPr="00AB5818" w14:paraId="5DCBE06D"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4BBA22E8"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Joint Test (p-value)</w:t>
            </w:r>
          </w:p>
        </w:tc>
        <w:tc>
          <w:tcPr>
            <w:tcW w:w="809" w:type="pct"/>
            <w:tcBorders>
              <w:top w:val="single" w:sz="4" w:space="0" w:color="auto"/>
              <w:left w:val="single" w:sz="4" w:space="0" w:color="auto"/>
              <w:bottom w:val="single" w:sz="4" w:space="0" w:color="auto"/>
              <w:right w:val="single" w:sz="4" w:space="0" w:color="auto"/>
            </w:tcBorders>
            <w:hideMark/>
          </w:tcPr>
          <w:p w14:paraId="3ED9FE91" w14:textId="77777777" w:rsidR="00AB5818" w:rsidRPr="00AB5818" w:rsidRDefault="00AB5818" w:rsidP="002E4B8A">
            <w:pPr>
              <w:spacing w:line="240" w:lineRule="auto"/>
              <w:rPr>
                <w:rFonts w:eastAsia="Calibri" w:cs="Times New Roman"/>
                <w:sz w:val="20"/>
                <w:szCs w:val="20"/>
                <w:lang/>
              </w:rPr>
            </w:pPr>
            <w:r w:rsidRPr="00AB5818">
              <w:rPr>
                <w:rFonts w:eastAsia="Calibri" w:cs="Times New Roman"/>
                <w:sz w:val="20"/>
                <w:szCs w:val="20"/>
              </w:rPr>
              <w:t>0.1424</w:t>
            </w:r>
          </w:p>
        </w:tc>
        <w:tc>
          <w:tcPr>
            <w:tcW w:w="673" w:type="pct"/>
            <w:tcBorders>
              <w:top w:val="single" w:sz="4" w:space="0" w:color="auto"/>
              <w:left w:val="single" w:sz="4" w:space="0" w:color="auto"/>
              <w:bottom w:val="single" w:sz="4" w:space="0" w:color="auto"/>
              <w:right w:val="single" w:sz="4" w:space="0" w:color="auto"/>
            </w:tcBorders>
            <w:hideMark/>
          </w:tcPr>
          <w:p w14:paraId="4C07C3D0"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0.4266</w:t>
            </w:r>
          </w:p>
        </w:tc>
        <w:tc>
          <w:tcPr>
            <w:tcW w:w="672" w:type="pct"/>
            <w:tcBorders>
              <w:top w:val="single" w:sz="4" w:space="0" w:color="auto"/>
              <w:left w:val="single" w:sz="4" w:space="0" w:color="auto"/>
              <w:bottom w:val="single" w:sz="4" w:space="0" w:color="auto"/>
              <w:right w:val="single" w:sz="4" w:space="0" w:color="auto"/>
            </w:tcBorders>
            <w:hideMark/>
          </w:tcPr>
          <w:p w14:paraId="60EFD2CF"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0.7151</w:t>
            </w:r>
          </w:p>
        </w:tc>
        <w:tc>
          <w:tcPr>
            <w:tcW w:w="673" w:type="pct"/>
            <w:tcBorders>
              <w:top w:val="single" w:sz="4" w:space="0" w:color="auto"/>
              <w:left w:val="single" w:sz="4" w:space="0" w:color="auto"/>
              <w:bottom w:val="single" w:sz="4" w:space="0" w:color="auto"/>
              <w:right w:val="single" w:sz="4" w:space="0" w:color="auto"/>
            </w:tcBorders>
            <w:hideMark/>
          </w:tcPr>
          <w:p w14:paraId="6B773DA4"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0.8048</w:t>
            </w:r>
          </w:p>
        </w:tc>
        <w:tc>
          <w:tcPr>
            <w:tcW w:w="671" w:type="pct"/>
            <w:tcBorders>
              <w:top w:val="single" w:sz="4" w:space="0" w:color="auto"/>
              <w:left w:val="single" w:sz="4" w:space="0" w:color="auto"/>
              <w:bottom w:val="single" w:sz="4" w:space="0" w:color="auto"/>
              <w:right w:val="single" w:sz="4" w:space="0" w:color="auto"/>
            </w:tcBorders>
            <w:hideMark/>
          </w:tcPr>
          <w:p w14:paraId="5884B2BD" w14:textId="77777777" w:rsidR="00AB5818" w:rsidRPr="00271798" w:rsidRDefault="00AB5818" w:rsidP="002E4B8A">
            <w:pPr>
              <w:widowControl w:val="0"/>
              <w:autoSpaceDE w:val="0"/>
              <w:autoSpaceDN w:val="0"/>
              <w:adjustRightInd w:val="0"/>
              <w:spacing w:line="240" w:lineRule="auto"/>
              <w:rPr>
                <w:rFonts w:eastAsia="Calibri" w:cs="Times New Roman"/>
                <w:sz w:val="20"/>
                <w:szCs w:val="20"/>
                <w:lang/>
              </w:rPr>
            </w:pPr>
            <w:r w:rsidRPr="00271798">
              <w:rPr>
                <w:rFonts w:eastAsia="Calibri" w:cs="Times New Roman"/>
                <w:sz w:val="20"/>
                <w:szCs w:val="20"/>
                <w:lang/>
              </w:rPr>
              <w:t>0.000</w:t>
            </w:r>
            <w:r w:rsidRPr="00271798">
              <w:rPr>
                <w:rFonts w:eastAsia="Calibri" w:cs="Times New Roman"/>
                <w:sz w:val="20"/>
                <w:szCs w:val="20"/>
              </w:rPr>
              <w:t>1</w:t>
            </w:r>
          </w:p>
        </w:tc>
        <w:tc>
          <w:tcPr>
            <w:tcW w:w="666" w:type="pct"/>
            <w:tcBorders>
              <w:top w:val="single" w:sz="4" w:space="0" w:color="auto"/>
              <w:left w:val="single" w:sz="4" w:space="0" w:color="auto"/>
              <w:bottom w:val="single" w:sz="4" w:space="0" w:color="auto"/>
              <w:right w:val="single" w:sz="4" w:space="0" w:color="auto"/>
            </w:tcBorders>
            <w:hideMark/>
          </w:tcPr>
          <w:p w14:paraId="75C9E7BB" w14:textId="77777777" w:rsidR="00AB5818" w:rsidRPr="00271798" w:rsidRDefault="00AB5818" w:rsidP="002E4B8A">
            <w:pPr>
              <w:widowControl w:val="0"/>
              <w:autoSpaceDE w:val="0"/>
              <w:autoSpaceDN w:val="0"/>
              <w:adjustRightInd w:val="0"/>
              <w:spacing w:line="240" w:lineRule="auto"/>
              <w:rPr>
                <w:rFonts w:eastAsia="Calibri" w:cs="Times New Roman"/>
                <w:sz w:val="20"/>
                <w:szCs w:val="20"/>
                <w:lang/>
              </w:rPr>
            </w:pPr>
            <w:r w:rsidRPr="00271798">
              <w:rPr>
                <w:rFonts w:eastAsia="Calibri" w:cs="Times New Roman"/>
                <w:sz w:val="20"/>
                <w:szCs w:val="20"/>
              </w:rPr>
              <w:t>0.0111</w:t>
            </w:r>
          </w:p>
        </w:tc>
      </w:tr>
      <w:tr w:rsidR="00AB5818" w:rsidRPr="00AB5818" w14:paraId="5714B639"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716D9A39"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State FE</w:t>
            </w:r>
          </w:p>
        </w:tc>
        <w:tc>
          <w:tcPr>
            <w:tcW w:w="809" w:type="pct"/>
            <w:tcBorders>
              <w:top w:val="single" w:sz="4" w:space="0" w:color="auto"/>
              <w:left w:val="single" w:sz="4" w:space="0" w:color="auto"/>
              <w:bottom w:val="single" w:sz="4" w:space="0" w:color="auto"/>
              <w:right w:val="single" w:sz="4" w:space="0" w:color="auto"/>
            </w:tcBorders>
            <w:hideMark/>
          </w:tcPr>
          <w:p w14:paraId="14C27ABD"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73" w:type="pct"/>
            <w:tcBorders>
              <w:top w:val="single" w:sz="4" w:space="0" w:color="auto"/>
              <w:left w:val="single" w:sz="4" w:space="0" w:color="auto"/>
              <w:bottom w:val="single" w:sz="4" w:space="0" w:color="auto"/>
              <w:right w:val="single" w:sz="4" w:space="0" w:color="auto"/>
            </w:tcBorders>
            <w:hideMark/>
          </w:tcPr>
          <w:p w14:paraId="03EB6C38"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c>
          <w:tcPr>
            <w:tcW w:w="672" w:type="pct"/>
            <w:tcBorders>
              <w:top w:val="single" w:sz="4" w:space="0" w:color="auto"/>
              <w:left w:val="single" w:sz="4" w:space="0" w:color="auto"/>
              <w:bottom w:val="single" w:sz="4" w:space="0" w:color="auto"/>
              <w:right w:val="single" w:sz="4" w:space="0" w:color="auto"/>
            </w:tcBorders>
            <w:hideMark/>
          </w:tcPr>
          <w:p w14:paraId="79A365B9"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73" w:type="pct"/>
            <w:tcBorders>
              <w:top w:val="single" w:sz="4" w:space="0" w:color="auto"/>
              <w:left w:val="single" w:sz="4" w:space="0" w:color="auto"/>
              <w:bottom w:val="single" w:sz="4" w:space="0" w:color="auto"/>
              <w:right w:val="single" w:sz="4" w:space="0" w:color="auto"/>
            </w:tcBorders>
            <w:hideMark/>
          </w:tcPr>
          <w:p w14:paraId="0C82720E"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c>
          <w:tcPr>
            <w:tcW w:w="671" w:type="pct"/>
            <w:tcBorders>
              <w:top w:val="single" w:sz="4" w:space="0" w:color="auto"/>
              <w:left w:val="single" w:sz="4" w:space="0" w:color="auto"/>
              <w:bottom w:val="single" w:sz="4" w:space="0" w:color="auto"/>
              <w:right w:val="single" w:sz="4" w:space="0" w:color="auto"/>
            </w:tcBorders>
            <w:hideMark/>
          </w:tcPr>
          <w:p w14:paraId="035E42B4"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66" w:type="pct"/>
            <w:tcBorders>
              <w:top w:val="single" w:sz="4" w:space="0" w:color="auto"/>
              <w:left w:val="single" w:sz="4" w:space="0" w:color="auto"/>
              <w:bottom w:val="single" w:sz="4" w:space="0" w:color="auto"/>
              <w:right w:val="single" w:sz="4" w:space="0" w:color="auto"/>
            </w:tcBorders>
            <w:hideMark/>
          </w:tcPr>
          <w:p w14:paraId="5231AF08"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r>
      <w:tr w:rsidR="00AB5818" w:rsidRPr="00AB5818" w14:paraId="5010AEE5"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509F8D43"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Year FE</w:t>
            </w:r>
          </w:p>
        </w:tc>
        <w:tc>
          <w:tcPr>
            <w:tcW w:w="809" w:type="pct"/>
            <w:tcBorders>
              <w:top w:val="single" w:sz="4" w:space="0" w:color="auto"/>
              <w:left w:val="single" w:sz="4" w:space="0" w:color="auto"/>
              <w:bottom w:val="single" w:sz="4" w:space="0" w:color="auto"/>
              <w:right w:val="single" w:sz="4" w:space="0" w:color="auto"/>
            </w:tcBorders>
            <w:hideMark/>
          </w:tcPr>
          <w:p w14:paraId="13FB140A"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73" w:type="pct"/>
            <w:tcBorders>
              <w:top w:val="single" w:sz="4" w:space="0" w:color="auto"/>
              <w:left w:val="single" w:sz="4" w:space="0" w:color="auto"/>
              <w:bottom w:val="single" w:sz="4" w:space="0" w:color="auto"/>
              <w:right w:val="single" w:sz="4" w:space="0" w:color="auto"/>
            </w:tcBorders>
            <w:hideMark/>
          </w:tcPr>
          <w:p w14:paraId="223C8F2A"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c>
          <w:tcPr>
            <w:tcW w:w="672" w:type="pct"/>
            <w:tcBorders>
              <w:top w:val="single" w:sz="4" w:space="0" w:color="auto"/>
              <w:left w:val="single" w:sz="4" w:space="0" w:color="auto"/>
              <w:bottom w:val="single" w:sz="4" w:space="0" w:color="auto"/>
              <w:right w:val="single" w:sz="4" w:space="0" w:color="auto"/>
            </w:tcBorders>
            <w:hideMark/>
          </w:tcPr>
          <w:p w14:paraId="084CF555"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73" w:type="pct"/>
            <w:tcBorders>
              <w:top w:val="single" w:sz="4" w:space="0" w:color="auto"/>
              <w:left w:val="single" w:sz="4" w:space="0" w:color="auto"/>
              <w:bottom w:val="single" w:sz="4" w:space="0" w:color="auto"/>
              <w:right w:val="single" w:sz="4" w:space="0" w:color="auto"/>
            </w:tcBorders>
            <w:hideMark/>
          </w:tcPr>
          <w:p w14:paraId="0B6C84C4"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c>
          <w:tcPr>
            <w:tcW w:w="671" w:type="pct"/>
            <w:tcBorders>
              <w:top w:val="single" w:sz="4" w:space="0" w:color="auto"/>
              <w:left w:val="single" w:sz="4" w:space="0" w:color="auto"/>
              <w:bottom w:val="single" w:sz="4" w:space="0" w:color="auto"/>
              <w:right w:val="single" w:sz="4" w:space="0" w:color="auto"/>
            </w:tcBorders>
            <w:hideMark/>
          </w:tcPr>
          <w:p w14:paraId="5D2E003C"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66" w:type="pct"/>
            <w:tcBorders>
              <w:top w:val="single" w:sz="4" w:space="0" w:color="auto"/>
              <w:left w:val="single" w:sz="4" w:space="0" w:color="auto"/>
              <w:bottom w:val="single" w:sz="4" w:space="0" w:color="auto"/>
              <w:right w:val="single" w:sz="4" w:space="0" w:color="auto"/>
            </w:tcBorders>
            <w:hideMark/>
          </w:tcPr>
          <w:p w14:paraId="48CBDE01"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r>
      <w:tr w:rsidR="00AB5818" w:rsidRPr="00AB5818" w14:paraId="4F781F75"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2B125B90"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County FE</w:t>
            </w:r>
          </w:p>
        </w:tc>
        <w:tc>
          <w:tcPr>
            <w:tcW w:w="809" w:type="pct"/>
            <w:tcBorders>
              <w:top w:val="single" w:sz="4" w:space="0" w:color="auto"/>
              <w:left w:val="single" w:sz="4" w:space="0" w:color="auto"/>
              <w:bottom w:val="single" w:sz="4" w:space="0" w:color="auto"/>
              <w:right w:val="single" w:sz="4" w:space="0" w:color="auto"/>
            </w:tcBorders>
            <w:hideMark/>
          </w:tcPr>
          <w:p w14:paraId="7A4F6B04"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73" w:type="pct"/>
            <w:tcBorders>
              <w:top w:val="single" w:sz="4" w:space="0" w:color="auto"/>
              <w:left w:val="single" w:sz="4" w:space="0" w:color="auto"/>
              <w:bottom w:val="single" w:sz="4" w:space="0" w:color="auto"/>
              <w:right w:val="single" w:sz="4" w:space="0" w:color="auto"/>
            </w:tcBorders>
            <w:hideMark/>
          </w:tcPr>
          <w:p w14:paraId="53C97223"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c>
          <w:tcPr>
            <w:tcW w:w="672" w:type="pct"/>
            <w:tcBorders>
              <w:top w:val="single" w:sz="4" w:space="0" w:color="auto"/>
              <w:left w:val="single" w:sz="4" w:space="0" w:color="auto"/>
              <w:bottom w:val="single" w:sz="4" w:space="0" w:color="auto"/>
              <w:right w:val="single" w:sz="4" w:space="0" w:color="auto"/>
            </w:tcBorders>
            <w:hideMark/>
          </w:tcPr>
          <w:p w14:paraId="722C81F4"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73" w:type="pct"/>
            <w:tcBorders>
              <w:top w:val="single" w:sz="4" w:space="0" w:color="auto"/>
              <w:left w:val="single" w:sz="4" w:space="0" w:color="auto"/>
              <w:bottom w:val="single" w:sz="4" w:space="0" w:color="auto"/>
              <w:right w:val="single" w:sz="4" w:space="0" w:color="auto"/>
            </w:tcBorders>
            <w:hideMark/>
          </w:tcPr>
          <w:p w14:paraId="3082544B"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c>
          <w:tcPr>
            <w:tcW w:w="671" w:type="pct"/>
            <w:tcBorders>
              <w:top w:val="single" w:sz="4" w:space="0" w:color="auto"/>
              <w:left w:val="single" w:sz="4" w:space="0" w:color="auto"/>
              <w:bottom w:val="single" w:sz="4" w:space="0" w:color="auto"/>
              <w:right w:val="single" w:sz="4" w:space="0" w:color="auto"/>
            </w:tcBorders>
            <w:hideMark/>
          </w:tcPr>
          <w:p w14:paraId="12E89565"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66" w:type="pct"/>
            <w:tcBorders>
              <w:top w:val="single" w:sz="4" w:space="0" w:color="auto"/>
              <w:left w:val="single" w:sz="4" w:space="0" w:color="auto"/>
              <w:bottom w:val="single" w:sz="4" w:space="0" w:color="auto"/>
              <w:right w:val="single" w:sz="4" w:space="0" w:color="auto"/>
            </w:tcBorders>
            <w:hideMark/>
          </w:tcPr>
          <w:p w14:paraId="7FB7F67D"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r>
    </w:tbl>
    <w:p w14:paraId="4E5BA3B2" w14:textId="4D3D442E" w:rsidR="00AB5818" w:rsidRPr="000E300A" w:rsidRDefault="000E300A" w:rsidP="00CE0D78">
      <w:pPr>
        <w:spacing w:line="240" w:lineRule="auto"/>
        <w:rPr>
          <w:rFonts w:eastAsia="Calibri" w:cs="Times New Roman"/>
          <w:sz w:val="20"/>
          <w:szCs w:val="20"/>
        </w:rPr>
      </w:pPr>
      <w:r>
        <w:rPr>
          <w:rFonts w:eastAsia="Calibri" w:cs="Times New Roman"/>
          <w:sz w:val="20"/>
          <w:szCs w:val="20"/>
        </w:rPr>
        <w:t xml:space="preserve">Table A53: </w:t>
      </w:r>
      <w:r w:rsidR="00AB5818" w:rsidRPr="00AB5818">
        <w:rPr>
          <w:rFonts w:eastAsia="Calibri" w:cs="Times New Roman"/>
          <w:sz w:val="20"/>
          <w:szCs w:val="20"/>
          <w:lang/>
        </w:rPr>
        <w:t>Results for manufacturing with continuous range measures, emphasizing nuanced spatial and temporal responses post-delisting.</w:t>
      </w:r>
      <w:r>
        <w:rPr>
          <w:rFonts w:eastAsia="Calibri" w:cs="Times New Roman"/>
          <w:sz w:val="20"/>
          <w:szCs w:val="20"/>
        </w:rPr>
        <w:t xml:space="preserve"> </w:t>
      </w:r>
      <w:r w:rsidRPr="000E300A">
        <w:rPr>
          <w:rFonts w:eastAsia="Calibri" w:cs="Times New Roman"/>
          <w:sz w:val="20"/>
          <w:szCs w:val="20"/>
        </w:rPr>
        <w:t>Statistically significant impacts are denoted by asterisks. These asterisks denote statistical significance at the following levels: ***p &lt; 0.01, **p &lt; 0.05, *p &lt; 0.1.</w:t>
      </w:r>
    </w:p>
    <w:p w14:paraId="70F8FEC9" w14:textId="459C5904" w:rsidR="00922EC5" w:rsidRPr="0057442E" w:rsidRDefault="00922EC5" w:rsidP="00CE0D78">
      <w:pPr>
        <w:spacing w:line="240" w:lineRule="auto"/>
        <w:rPr>
          <w:b/>
          <w:bCs/>
          <w:kern w:val="2"/>
          <w:sz w:val="20"/>
          <w:szCs w:val="16"/>
        </w:rPr>
      </w:pPr>
      <w:bookmarkStart w:id="748" w:name="_Toc188056063"/>
      <w:bookmarkStart w:id="749" w:name="_Toc188057147"/>
    </w:p>
    <w:p w14:paraId="1F763D60" w14:textId="62862C6A" w:rsidR="00AB5818" w:rsidRPr="00AB5818" w:rsidRDefault="00AB5818" w:rsidP="00095E25">
      <w:pPr>
        <w:pStyle w:val="Title"/>
      </w:pPr>
      <w:bookmarkStart w:id="750" w:name="_Toc188359659"/>
      <w:bookmarkStart w:id="751" w:name="_Toc188359947"/>
      <w:bookmarkStart w:id="752" w:name="_Toc188361183"/>
      <w:bookmarkStart w:id="753" w:name="_Toc188367026"/>
      <w:r w:rsidRPr="00AB5818">
        <w:lastRenderedPageBreak/>
        <w:t>Table A</w:t>
      </w:r>
      <w:r w:rsidR="005E02DB">
        <w:t>5</w:t>
      </w:r>
      <w:r w:rsidRPr="00AB5818">
        <w:t xml:space="preserve">4: </w:t>
      </w:r>
      <w:r w:rsidR="002E1ED3">
        <w:rPr>
          <w:lang w:val="en-US"/>
        </w:rPr>
        <w:t xml:space="preserve">Summary of </w:t>
      </w:r>
      <w:r w:rsidR="002E1ED3" w:rsidRPr="00AB5818">
        <w:t xml:space="preserve">NAICS </w:t>
      </w:r>
      <w:r w:rsidR="002E1ED3">
        <w:rPr>
          <w:lang w:val="en-US"/>
        </w:rPr>
        <w:t xml:space="preserve">53 Regression Results </w:t>
      </w:r>
      <w:r w:rsidR="002E1ED3" w:rsidRPr="00AB5818">
        <w:t>–</w:t>
      </w:r>
      <w:r w:rsidR="002E1ED3">
        <w:rPr>
          <w:lang w:val="en-US"/>
        </w:rPr>
        <w:t xml:space="preserve"> </w:t>
      </w:r>
      <w:r w:rsidRPr="00AB5818">
        <w:t>Binary Range Indicator</w:t>
      </w:r>
      <w:bookmarkEnd w:id="748"/>
      <w:bookmarkEnd w:id="749"/>
      <w:bookmarkEnd w:id="750"/>
      <w:bookmarkEnd w:id="751"/>
      <w:bookmarkEnd w:id="752"/>
      <w:bookmarkEnd w:id="753"/>
    </w:p>
    <w:tbl>
      <w:tblPr>
        <w:tblW w:w="49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0"/>
        <w:gridCol w:w="1500"/>
        <w:gridCol w:w="1248"/>
        <w:gridCol w:w="1246"/>
        <w:gridCol w:w="1248"/>
        <w:gridCol w:w="1244"/>
        <w:gridCol w:w="1235"/>
      </w:tblGrid>
      <w:tr w:rsidR="00922EC5" w:rsidRPr="00AB5818" w14:paraId="60220951"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161D51DC" w14:textId="3D7E7DB4" w:rsidR="00922EC5" w:rsidRPr="00AB5818" w:rsidRDefault="00922EC5" w:rsidP="002E4B8A">
            <w:pPr>
              <w:widowControl w:val="0"/>
              <w:autoSpaceDE w:val="0"/>
              <w:autoSpaceDN w:val="0"/>
              <w:adjustRightInd w:val="0"/>
              <w:spacing w:line="240" w:lineRule="auto"/>
              <w:rPr>
                <w:rFonts w:eastAsia="Calibri" w:cs="Times New Roman"/>
                <w:b/>
                <w:bCs/>
                <w:sz w:val="20"/>
                <w:szCs w:val="20"/>
              </w:rPr>
            </w:pPr>
            <w:r w:rsidRPr="00922EC5">
              <w:rPr>
                <w:rFonts w:eastAsia="Calibri" w:cs="Times New Roman"/>
                <w:b/>
                <w:bCs/>
                <w:sz w:val="20"/>
                <w:szCs w:val="20"/>
              </w:rPr>
              <w:t>Variable</w:t>
            </w:r>
          </w:p>
        </w:tc>
        <w:tc>
          <w:tcPr>
            <w:tcW w:w="1482" w:type="pct"/>
            <w:gridSpan w:val="2"/>
            <w:tcBorders>
              <w:top w:val="single" w:sz="4" w:space="0" w:color="auto"/>
              <w:left w:val="single" w:sz="4" w:space="0" w:color="auto"/>
              <w:bottom w:val="single" w:sz="4" w:space="0" w:color="auto"/>
              <w:right w:val="single" w:sz="4" w:space="0" w:color="auto"/>
            </w:tcBorders>
            <w:hideMark/>
          </w:tcPr>
          <w:p w14:paraId="7DDA316C" w14:textId="61CC30F6" w:rsidR="00922EC5" w:rsidRPr="00AB5818" w:rsidRDefault="00922EC5" w:rsidP="002E4B8A">
            <w:pPr>
              <w:widowControl w:val="0"/>
              <w:autoSpaceDE w:val="0"/>
              <w:autoSpaceDN w:val="0"/>
              <w:adjustRightInd w:val="0"/>
              <w:spacing w:line="240" w:lineRule="auto"/>
              <w:rPr>
                <w:rFonts w:eastAsia="Calibri" w:cs="Times New Roman"/>
                <w:b/>
                <w:bCs/>
                <w:color w:val="FF0000"/>
                <w:sz w:val="20"/>
                <w:szCs w:val="20"/>
                <w:highlight w:val="yellow"/>
              </w:rPr>
            </w:pPr>
            <w:r w:rsidRPr="00922EC5">
              <w:rPr>
                <w:rFonts w:cs="Times New Roman"/>
                <w:b/>
                <w:bCs/>
                <w:sz w:val="20"/>
                <w:szCs w:val="20"/>
              </w:rPr>
              <w:t>Establishment Count</w:t>
            </w:r>
          </w:p>
        </w:tc>
        <w:tc>
          <w:tcPr>
            <w:tcW w:w="1345" w:type="pct"/>
            <w:gridSpan w:val="2"/>
            <w:tcBorders>
              <w:top w:val="single" w:sz="4" w:space="0" w:color="auto"/>
              <w:left w:val="single" w:sz="4" w:space="0" w:color="auto"/>
              <w:bottom w:val="single" w:sz="4" w:space="0" w:color="auto"/>
              <w:right w:val="single" w:sz="4" w:space="0" w:color="auto"/>
            </w:tcBorders>
            <w:hideMark/>
          </w:tcPr>
          <w:p w14:paraId="36A6E788" w14:textId="3879F21F" w:rsidR="00922EC5" w:rsidRPr="00AB5818" w:rsidRDefault="00922EC5" w:rsidP="002E4B8A">
            <w:pPr>
              <w:widowControl w:val="0"/>
              <w:autoSpaceDE w:val="0"/>
              <w:autoSpaceDN w:val="0"/>
              <w:adjustRightInd w:val="0"/>
              <w:spacing w:line="240" w:lineRule="auto"/>
              <w:rPr>
                <w:rFonts w:eastAsia="Calibri" w:cs="Times New Roman"/>
                <w:b/>
                <w:bCs/>
                <w:color w:val="FF0000"/>
                <w:sz w:val="20"/>
                <w:szCs w:val="20"/>
                <w:highlight w:val="yellow"/>
              </w:rPr>
            </w:pPr>
            <w:r w:rsidRPr="00922EC5">
              <w:rPr>
                <w:rFonts w:cs="Times New Roman"/>
                <w:b/>
                <w:bCs/>
                <w:sz w:val="20"/>
                <w:szCs w:val="20"/>
              </w:rPr>
              <w:t>Job Count</w:t>
            </w:r>
          </w:p>
        </w:tc>
        <w:tc>
          <w:tcPr>
            <w:tcW w:w="1337" w:type="pct"/>
            <w:gridSpan w:val="2"/>
            <w:tcBorders>
              <w:top w:val="single" w:sz="4" w:space="0" w:color="auto"/>
              <w:left w:val="single" w:sz="4" w:space="0" w:color="auto"/>
              <w:bottom w:val="single" w:sz="4" w:space="0" w:color="auto"/>
              <w:right w:val="single" w:sz="4" w:space="0" w:color="auto"/>
            </w:tcBorders>
            <w:hideMark/>
          </w:tcPr>
          <w:p w14:paraId="3C0D2A71" w14:textId="7613A319" w:rsidR="00922EC5" w:rsidRPr="00AB5818" w:rsidRDefault="00922EC5" w:rsidP="002E4B8A">
            <w:pPr>
              <w:widowControl w:val="0"/>
              <w:autoSpaceDE w:val="0"/>
              <w:autoSpaceDN w:val="0"/>
              <w:adjustRightInd w:val="0"/>
              <w:spacing w:line="240" w:lineRule="auto"/>
              <w:rPr>
                <w:rFonts w:eastAsia="Calibri" w:cs="Times New Roman"/>
                <w:b/>
                <w:bCs/>
                <w:color w:val="FF0000"/>
                <w:sz w:val="20"/>
                <w:szCs w:val="20"/>
                <w:highlight w:val="yellow"/>
              </w:rPr>
            </w:pPr>
            <w:r w:rsidRPr="00922EC5">
              <w:rPr>
                <w:rFonts w:cs="Times New Roman"/>
                <w:b/>
                <w:bCs/>
                <w:sz w:val="20"/>
                <w:szCs w:val="20"/>
              </w:rPr>
              <w:t>Sales Volume</w:t>
            </w:r>
          </w:p>
        </w:tc>
      </w:tr>
      <w:tr w:rsidR="00AB5818" w:rsidRPr="00AB5818" w14:paraId="6576CF35"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14CC4138"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Range</w:t>
            </w:r>
          </w:p>
        </w:tc>
        <w:tc>
          <w:tcPr>
            <w:tcW w:w="809" w:type="pct"/>
            <w:tcBorders>
              <w:top w:val="single" w:sz="4" w:space="0" w:color="auto"/>
              <w:left w:val="single" w:sz="4" w:space="0" w:color="auto"/>
              <w:bottom w:val="single" w:sz="4" w:space="0" w:color="auto"/>
              <w:right w:val="single" w:sz="4" w:space="0" w:color="auto"/>
            </w:tcBorders>
            <w:hideMark/>
          </w:tcPr>
          <w:p w14:paraId="7AEEBE2F" w14:textId="77777777" w:rsidR="00AB5818" w:rsidRPr="00AB5818" w:rsidRDefault="00AB5818" w:rsidP="002E4B8A">
            <w:pPr>
              <w:widowControl w:val="0"/>
              <w:autoSpaceDE w:val="0"/>
              <w:autoSpaceDN w:val="0"/>
              <w:adjustRightInd w:val="0"/>
              <w:spacing w:line="240" w:lineRule="auto"/>
              <w:rPr>
                <w:rFonts w:eastAsia="Calibri" w:cs="Times New Roman"/>
                <w:sz w:val="20"/>
                <w:szCs w:val="20"/>
                <w:highlight w:val="magenta"/>
              </w:rPr>
            </w:pPr>
            <w:r w:rsidRPr="00AB5818">
              <w:rPr>
                <w:rFonts w:eastAsia="Calibri" w:cs="Times New Roman"/>
                <w:sz w:val="20"/>
                <w:szCs w:val="20"/>
              </w:rPr>
              <w:t>.28434*</w:t>
            </w:r>
          </w:p>
        </w:tc>
        <w:tc>
          <w:tcPr>
            <w:tcW w:w="673" w:type="pct"/>
            <w:tcBorders>
              <w:top w:val="single" w:sz="4" w:space="0" w:color="auto"/>
              <w:left w:val="single" w:sz="4" w:space="0" w:color="auto"/>
              <w:bottom w:val="single" w:sz="4" w:space="0" w:color="auto"/>
              <w:right w:val="single" w:sz="4" w:space="0" w:color="auto"/>
            </w:tcBorders>
            <w:hideMark/>
          </w:tcPr>
          <w:p w14:paraId="3402FDCC" w14:textId="77777777" w:rsidR="00AB5818" w:rsidRPr="00AB5818" w:rsidRDefault="00AB5818" w:rsidP="002E4B8A">
            <w:pPr>
              <w:widowControl w:val="0"/>
              <w:autoSpaceDE w:val="0"/>
              <w:autoSpaceDN w:val="0"/>
              <w:adjustRightInd w:val="0"/>
              <w:spacing w:line="240" w:lineRule="auto"/>
              <w:rPr>
                <w:rFonts w:eastAsia="Calibri" w:cs="Times New Roman"/>
                <w:sz w:val="20"/>
                <w:szCs w:val="20"/>
                <w:highlight w:val="magenta"/>
              </w:rPr>
            </w:pPr>
            <w:r w:rsidRPr="00AB5818">
              <w:rPr>
                <w:rFonts w:eastAsia="Calibri" w:cs="Times New Roman"/>
                <w:sz w:val="20"/>
                <w:szCs w:val="20"/>
              </w:rPr>
              <w:t>.04629**</w:t>
            </w:r>
          </w:p>
        </w:tc>
        <w:tc>
          <w:tcPr>
            <w:tcW w:w="672" w:type="pct"/>
            <w:tcBorders>
              <w:top w:val="single" w:sz="4" w:space="0" w:color="auto"/>
              <w:left w:val="single" w:sz="4" w:space="0" w:color="auto"/>
              <w:bottom w:val="single" w:sz="4" w:space="0" w:color="auto"/>
              <w:right w:val="single" w:sz="4" w:space="0" w:color="auto"/>
            </w:tcBorders>
            <w:hideMark/>
          </w:tcPr>
          <w:p w14:paraId="71CF4429"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.26674</w:t>
            </w:r>
          </w:p>
        </w:tc>
        <w:tc>
          <w:tcPr>
            <w:tcW w:w="673" w:type="pct"/>
            <w:tcBorders>
              <w:top w:val="single" w:sz="4" w:space="0" w:color="auto"/>
              <w:left w:val="single" w:sz="4" w:space="0" w:color="auto"/>
              <w:bottom w:val="single" w:sz="4" w:space="0" w:color="auto"/>
              <w:right w:val="single" w:sz="4" w:space="0" w:color="auto"/>
            </w:tcBorders>
            <w:hideMark/>
          </w:tcPr>
          <w:p w14:paraId="3776DCEB"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.05747</w:t>
            </w:r>
          </w:p>
        </w:tc>
        <w:tc>
          <w:tcPr>
            <w:tcW w:w="671" w:type="pct"/>
            <w:tcBorders>
              <w:top w:val="single" w:sz="4" w:space="0" w:color="auto"/>
              <w:left w:val="single" w:sz="4" w:space="0" w:color="auto"/>
              <w:bottom w:val="single" w:sz="4" w:space="0" w:color="auto"/>
              <w:right w:val="single" w:sz="4" w:space="0" w:color="auto"/>
            </w:tcBorders>
            <w:hideMark/>
          </w:tcPr>
          <w:p w14:paraId="6605FF4E"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.25466</w:t>
            </w:r>
          </w:p>
        </w:tc>
        <w:tc>
          <w:tcPr>
            <w:tcW w:w="666" w:type="pct"/>
            <w:tcBorders>
              <w:top w:val="single" w:sz="4" w:space="0" w:color="auto"/>
              <w:left w:val="single" w:sz="4" w:space="0" w:color="auto"/>
              <w:bottom w:val="single" w:sz="4" w:space="0" w:color="auto"/>
              <w:right w:val="single" w:sz="4" w:space="0" w:color="auto"/>
            </w:tcBorders>
            <w:hideMark/>
          </w:tcPr>
          <w:p w14:paraId="0F204EAC"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.05793</w:t>
            </w:r>
          </w:p>
        </w:tc>
      </w:tr>
      <w:tr w:rsidR="00AB5818" w:rsidRPr="00AB5818" w14:paraId="236C745D"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19F82356" w14:textId="38A945D2" w:rsidR="00AB5818" w:rsidRPr="00AB5818" w:rsidRDefault="00AB5818" w:rsidP="002E4B8A">
            <w:pPr>
              <w:widowControl w:val="0"/>
              <w:autoSpaceDE w:val="0"/>
              <w:autoSpaceDN w:val="0"/>
              <w:adjustRightInd w:val="0"/>
              <w:spacing w:line="240" w:lineRule="auto"/>
              <w:rPr>
                <w:rFonts w:eastAsia="Calibri" w:cs="Times New Roman"/>
                <w:sz w:val="20"/>
                <w:szCs w:val="20"/>
              </w:rPr>
            </w:pPr>
          </w:p>
        </w:tc>
        <w:tc>
          <w:tcPr>
            <w:tcW w:w="809" w:type="pct"/>
            <w:tcBorders>
              <w:top w:val="single" w:sz="4" w:space="0" w:color="auto"/>
              <w:left w:val="single" w:sz="4" w:space="0" w:color="auto"/>
              <w:bottom w:val="single" w:sz="4" w:space="0" w:color="auto"/>
              <w:right w:val="single" w:sz="4" w:space="0" w:color="auto"/>
            </w:tcBorders>
            <w:hideMark/>
          </w:tcPr>
          <w:p w14:paraId="5F70501D"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(.16094)</w:t>
            </w:r>
          </w:p>
        </w:tc>
        <w:tc>
          <w:tcPr>
            <w:tcW w:w="673" w:type="pct"/>
            <w:tcBorders>
              <w:top w:val="single" w:sz="4" w:space="0" w:color="auto"/>
              <w:left w:val="single" w:sz="4" w:space="0" w:color="auto"/>
              <w:bottom w:val="single" w:sz="4" w:space="0" w:color="auto"/>
              <w:right w:val="single" w:sz="4" w:space="0" w:color="auto"/>
            </w:tcBorders>
            <w:hideMark/>
          </w:tcPr>
          <w:p w14:paraId="72BE5960"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(.01986)</w:t>
            </w:r>
          </w:p>
        </w:tc>
        <w:tc>
          <w:tcPr>
            <w:tcW w:w="672" w:type="pct"/>
            <w:tcBorders>
              <w:top w:val="single" w:sz="4" w:space="0" w:color="auto"/>
              <w:left w:val="single" w:sz="4" w:space="0" w:color="auto"/>
              <w:bottom w:val="single" w:sz="4" w:space="0" w:color="auto"/>
              <w:right w:val="single" w:sz="4" w:space="0" w:color="auto"/>
            </w:tcBorders>
            <w:hideMark/>
          </w:tcPr>
          <w:p w14:paraId="0B77A6D9"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(.2023)</w:t>
            </w:r>
          </w:p>
        </w:tc>
        <w:tc>
          <w:tcPr>
            <w:tcW w:w="673" w:type="pct"/>
            <w:tcBorders>
              <w:top w:val="single" w:sz="4" w:space="0" w:color="auto"/>
              <w:left w:val="single" w:sz="4" w:space="0" w:color="auto"/>
              <w:bottom w:val="single" w:sz="4" w:space="0" w:color="auto"/>
              <w:right w:val="single" w:sz="4" w:space="0" w:color="auto"/>
            </w:tcBorders>
            <w:hideMark/>
          </w:tcPr>
          <w:p w14:paraId="084886C3"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(.03704)</w:t>
            </w:r>
          </w:p>
        </w:tc>
        <w:tc>
          <w:tcPr>
            <w:tcW w:w="671" w:type="pct"/>
            <w:tcBorders>
              <w:top w:val="single" w:sz="4" w:space="0" w:color="auto"/>
              <w:left w:val="single" w:sz="4" w:space="0" w:color="auto"/>
              <w:bottom w:val="single" w:sz="4" w:space="0" w:color="auto"/>
              <w:right w:val="single" w:sz="4" w:space="0" w:color="auto"/>
            </w:tcBorders>
            <w:hideMark/>
          </w:tcPr>
          <w:p w14:paraId="61669598"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(.19769)</w:t>
            </w:r>
          </w:p>
        </w:tc>
        <w:tc>
          <w:tcPr>
            <w:tcW w:w="666" w:type="pct"/>
            <w:tcBorders>
              <w:top w:val="single" w:sz="4" w:space="0" w:color="auto"/>
              <w:left w:val="single" w:sz="4" w:space="0" w:color="auto"/>
              <w:bottom w:val="single" w:sz="4" w:space="0" w:color="auto"/>
              <w:right w:val="single" w:sz="4" w:space="0" w:color="auto"/>
            </w:tcBorders>
            <w:hideMark/>
          </w:tcPr>
          <w:p w14:paraId="3785CF3F"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(.04243)</w:t>
            </w:r>
          </w:p>
        </w:tc>
      </w:tr>
      <w:tr w:rsidR="00AB5818" w:rsidRPr="00AB5818" w14:paraId="03EEFB91"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12B8CA69"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TSD * Range</w:t>
            </w:r>
          </w:p>
        </w:tc>
        <w:tc>
          <w:tcPr>
            <w:tcW w:w="809" w:type="pct"/>
            <w:tcBorders>
              <w:top w:val="single" w:sz="4" w:space="0" w:color="auto"/>
              <w:left w:val="single" w:sz="4" w:space="0" w:color="auto"/>
              <w:bottom w:val="single" w:sz="4" w:space="0" w:color="auto"/>
              <w:right w:val="single" w:sz="4" w:space="0" w:color="auto"/>
            </w:tcBorders>
            <w:hideMark/>
          </w:tcPr>
          <w:p w14:paraId="5639E194"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-.07786*</w:t>
            </w:r>
          </w:p>
        </w:tc>
        <w:tc>
          <w:tcPr>
            <w:tcW w:w="673" w:type="pct"/>
            <w:tcBorders>
              <w:top w:val="single" w:sz="4" w:space="0" w:color="auto"/>
              <w:left w:val="single" w:sz="4" w:space="0" w:color="auto"/>
              <w:bottom w:val="single" w:sz="4" w:space="0" w:color="auto"/>
              <w:right w:val="single" w:sz="4" w:space="0" w:color="auto"/>
            </w:tcBorders>
            <w:hideMark/>
          </w:tcPr>
          <w:p w14:paraId="058FD6E4"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-.00171</w:t>
            </w:r>
          </w:p>
        </w:tc>
        <w:tc>
          <w:tcPr>
            <w:tcW w:w="672" w:type="pct"/>
            <w:tcBorders>
              <w:top w:val="single" w:sz="4" w:space="0" w:color="auto"/>
              <w:left w:val="single" w:sz="4" w:space="0" w:color="auto"/>
              <w:bottom w:val="single" w:sz="4" w:space="0" w:color="auto"/>
              <w:right w:val="single" w:sz="4" w:space="0" w:color="auto"/>
            </w:tcBorders>
            <w:hideMark/>
          </w:tcPr>
          <w:p w14:paraId="7A33A06C"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-.083***</w:t>
            </w:r>
          </w:p>
        </w:tc>
        <w:tc>
          <w:tcPr>
            <w:tcW w:w="673" w:type="pct"/>
            <w:tcBorders>
              <w:top w:val="single" w:sz="4" w:space="0" w:color="auto"/>
              <w:left w:val="single" w:sz="4" w:space="0" w:color="auto"/>
              <w:bottom w:val="single" w:sz="4" w:space="0" w:color="auto"/>
              <w:right w:val="single" w:sz="4" w:space="0" w:color="auto"/>
            </w:tcBorders>
            <w:hideMark/>
          </w:tcPr>
          <w:p w14:paraId="299E46E6"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.0065</w:t>
            </w:r>
          </w:p>
        </w:tc>
        <w:tc>
          <w:tcPr>
            <w:tcW w:w="671" w:type="pct"/>
            <w:tcBorders>
              <w:top w:val="single" w:sz="4" w:space="0" w:color="auto"/>
              <w:left w:val="single" w:sz="4" w:space="0" w:color="auto"/>
              <w:bottom w:val="single" w:sz="4" w:space="0" w:color="auto"/>
              <w:right w:val="single" w:sz="4" w:space="0" w:color="auto"/>
            </w:tcBorders>
            <w:hideMark/>
          </w:tcPr>
          <w:p w14:paraId="38129C2E"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-.24489***</w:t>
            </w:r>
          </w:p>
        </w:tc>
        <w:tc>
          <w:tcPr>
            <w:tcW w:w="666" w:type="pct"/>
            <w:tcBorders>
              <w:top w:val="single" w:sz="4" w:space="0" w:color="auto"/>
              <w:left w:val="single" w:sz="4" w:space="0" w:color="auto"/>
              <w:bottom w:val="single" w:sz="4" w:space="0" w:color="auto"/>
              <w:right w:val="single" w:sz="4" w:space="0" w:color="auto"/>
            </w:tcBorders>
            <w:hideMark/>
          </w:tcPr>
          <w:p w14:paraId="3CFE5426"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-.02113</w:t>
            </w:r>
          </w:p>
        </w:tc>
      </w:tr>
      <w:tr w:rsidR="00AB5818" w:rsidRPr="00AB5818" w14:paraId="799587A7"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0235A147" w14:textId="50E8648D" w:rsidR="00AB5818" w:rsidRPr="00AB5818" w:rsidRDefault="00AB5818" w:rsidP="002E4B8A">
            <w:pPr>
              <w:widowControl w:val="0"/>
              <w:autoSpaceDE w:val="0"/>
              <w:autoSpaceDN w:val="0"/>
              <w:adjustRightInd w:val="0"/>
              <w:spacing w:line="240" w:lineRule="auto"/>
              <w:rPr>
                <w:rFonts w:eastAsia="Calibri" w:cs="Times New Roman"/>
                <w:sz w:val="20"/>
                <w:szCs w:val="20"/>
              </w:rPr>
            </w:pPr>
          </w:p>
        </w:tc>
        <w:tc>
          <w:tcPr>
            <w:tcW w:w="809" w:type="pct"/>
            <w:tcBorders>
              <w:top w:val="single" w:sz="4" w:space="0" w:color="auto"/>
              <w:left w:val="single" w:sz="4" w:space="0" w:color="auto"/>
              <w:bottom w:val="single" w:sz="4" w:space="0" w:color="auto"/>
              <w:right w:val="single" w:sz="4" w:space="0" w:color="auto"/>
            </w:tcBorders>
            <w:hideMark/>
          </w:tcPr>
          <w:p w14:paraId="5E78CBBA"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(.0425)</w:t>
            </w:r>
          </w:p>
        </w:tc>
        <w:tc>
          <w:tcPr>
            <w:tcW w:w="673" w:type="pct"/>
            <w:tcBorders>
              <w:top w:val="single" w:sz="4" w:space="0" w:color="auto"/>
              <w:left w:val="single" w:sz="4" w:space="0" w:color="auto"/>
              <w:bottom w:val="single" w:sz="4" w:space="0" w:color="auto"/>
              <w:right w:val="single" w:sz="4" w:space="0" w:color="auto"/>
            </w:tcBorders>
            <w:hideMark/>
          </w:tcPr>
          <w:p w14:paraId="5B2C7B7B"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(.02202)</w:t>
            </w:r>
          </w:p>
        </w:tc>
        <w:tc>
          <w:tcPr>
            <w:tcW w:w="672" w:type="pct"/>
            <w:tcBorders>
              <w:top w:val="single" w:sz="4" w:space="0" w:color="auto"/>
              <w:left w:val="single" w:sz="4" w:space="0" w:color="auto"/>
              <w:bottom w:val="single" w:sz="4" w:space="0" w:color="auto"/>
              <w:right w:val="single" w:sz="4" w:space="0" w:color="auto"/>
            </w:tcBorders>
            <w:hideMark/>
          </w:tcPr>
          <w:p w14:paraId="548A1784"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(.02879)</w:t>
            </w:r>
          </w:p>
        </w:tc>
        <w:tc>
          <w:tcPr>
            <w:tcW w:w="673" w:type="pct"/>
            <w:tcBorders>
              <w:top w:val="single" w:sz="4" w:space="0" w:color="auto"/>
              <w:left w:val="single" w:sz="4" w:space="0" w:color="auto"/>
              <w:bottom w:val="single" w:sz="4" w:space="0" w:color="auto"/>
              <w:right w:val="single" w:sz="4" w:space="0" w:color="auto"/>
            </w:tcBorders>
            <w:hideMark/>
          </w:tcPr>
          <w:p w14:paraId="50B50A21"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(.01795)</w:t>
            </w:r>
          </w:p>
        </w:tc>
        <w:tc>
          <w:tcPr>
            <w:tcW w:w="671" w:type="pct"/>
            <w:tcBorders>
              <w:top w:val="single" w:sz="4" w:space="0" w:color="auto"/>
              <w:left w:val="single" w:sz="4" w:space="0" w:color="auto"/>
              <w:bottom w:val="single" w:sz="4" w:space="0" w:color="auto"/>
              <w:right w:val="single" w:sz="4" w:space="0" w:color="auto"/>
            </w:tcBorders>
            <w:hideMark/>
          </w:tcPr>
          <w:p w14:paraId="4C527266"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(.03173)</w:t>
            </w:r>
          </w:p>
        </w:tc>
        <w:tc>
          <w:tcPr>
            <w:tcW w:w="666" w:type="pct"/>
            <w:tcBorders>
              <w:top w:val="single" w:sz="4" w:space="0" w:color="auto"/>
              <w:left w:val="single" w:sz="4" w:space="0" w:color="auto"/>
              <w:bottom w:val="single" w:sz="4" w:space="0" w:color="auto"/>
              <w:right w:val="single" w:sz="4" w:space="0" w:color="auto"/>
            </w:tcBorders>
            <w:hideMark/>
          </w:tcPr>
          <w:p w14:paraId="11FB87CD"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(.02103)</w:t>
            </w:r>
          </w:p>
        </w:tc>
      </w:tr>
      <w:tr w:rsidR="00AB5818" w:rsidRPr="00AB5818" w14:paraId="4549CB3A"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78821D1B"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Joint Test (p-value)</w:t>
            </w:r>
          </w:p>
        </w:tc>
        <w:tc>
          <w:tcPr>
            <w:tcW w:w="809" w:type="pct"/>
            <w:tcBorders>
              <w:top w:val="single" w:sz="4" w:space="0" w:color="auto"/>
              <w:left w:val="single" w:sz="4" w:space="0" w:color="auto"/>
              <w:bottom w:val="single" w:sz="4" w:space="0" w:color="auto"/>
              <w:right w:val="single" w:sz="4" w:space="0" w:color="auto"/>
            </w:tcBorders>
            <w:hideMark/>
          </w:tcPr>
          <w:p w14:paraId="32A3965C" w14:textId="77777777" w:rsidR="00AB5818" w:rsidRPr="00271798" w:rsidRDefault="00AB5818" w:rsidP="002E4B8A">
            <w:pPr>
              <w:spacing w:line="240" w:lineRule="auto"/>
              <w:rPr>
                <w:rFonts w:eastAsia="Calibri" w:cs="Times New Roman"/>
                <w:sz w:val="20"/>
                <w:szCs w:val="20"/>
                <w:lang/>
              </w:rPr>
            </w:pPr>
            <w:r w:rsidRPr="00271798">
              <w:rPr>
                <w:rFonts w:eastAsia="Calibri" w:cs="Times New Roman"/>
                <w:sz w:val="20"/>
                <w:szCs w:val="20"/>
                <w:lang/>
              </w:rPr>
              <w:t>0.0</w:t>
            </w:r>
            <w:r w:rsidRPr="00271798">
              <w:rPr>
                <w:rFonts w:eastAsia="Calibri" w:cs="Times New Roman"/>
                <w:sz w:val="20"/>
                <w:szCs w:val="20"/>
              </w:rPr>
              <w:t>971</w:t>
            </w:r>
          </w:p>
        </w:tc>
        <w:tc>
          <w:tcPr>
            <w:tcW w:w="673" w:type="pct"/>
            <w:tcBorders>
              <w:top w:val="single" w:sz="4" w:space="0" w:color="auto"/>
              <w:left w:val="single" w:sz="4" w:space="0" w:color="auto"/>
              <w:bottom w:val="single" w:sz="4" w:space="0" w:color="auto"/>
              <w:right w:val="single" w:sz="4" w:space="0" w:color="auto"/>
            </w:tcBorders>
            <w:hideMark/>
          </w:tcPr>
          <w:p w14:paraId="48CC2382" w14:textId="77777777" w:rsidR="00AB5818" w:rsidRPr="00271798" w:rsidRDefault="00AB5818" w:rsidP="002E4B8A">
            <w:pPr>
              <w:widowControl w:val="0"/>
              <w:autoSpaceDE w:val="0"/>
              <w:autoSpaceDN w:val="0"/>
              <w:adjustRightInd w:val="0"/>
              <w:spacing w:line="240" w:lineRule="auto"/>
              <w:rPr>
                <w:rFonts w:eastAsia="Calibri" w:cs="Times New Roman"/>
                <w:sz w:val="20"/>
                <w:szCs w:val="20"/>
              </w:rPr>
            </w:pPr>
            <w:r w:rsidRPr="00271798">
              <w:rPr>
                <w:rFonts w:eastAsia="Calibri" w:cs="Times New Roman"/>
                <w:sz w:val="20"/>
                <w:szCs w:val="20"/>
                <w:lang/>
              </w:rPr>
              <w:t>0.0</w:t>
            </w:r>
            <w:r w:rsidRPr="00271798">
              <w:rPr>
                <w:rFonts w:eastAsia="Calibri" w:cs="Times New Roman"/>
                <w:sz w:val="20"/>
                <w:szCs w:val="20"/>
              </w:rPr>
              <w:t>540</w:t>
            </w:r>
          </w:p>
        </w:tc>
        <w:tc>
          <w:tcPr>
            <w:tcW w:w="672" w:type="pct"/>
            <w:tcBorders>
              <w:top w:val="single" w:sz="4" w:space="0" w:color="auto"/>
              <w:left w:val="single" w:sz="4" w:space="0" w:color="auto"/>
              <w:bottom w:val="single" w:sz="4" w:space="0" w:color="auto"/>
              <w:right w:val="single" w:sz="4" w:space="0" w:color="auto"/>
            </w:tcBorders>
            <w:hideMark/>
          </w:tcPr>
          <w:p w14:paraId="5A7B1521" w14:textId="77777777" w:rsidR="00AB5818" w:rsidRPr="00271798" w:rsidRDefault="00AB5818" w:rsidP="002E4B8A">
            <w:pPr>
              <w:widowControl w:val="0"/>
              <w:autoSpaceDE w:val="0"/>
              <w:autoSpaceDN w:val="0"/>
              <w:adjustRightInd w:val="0"/>
              <w:spacing w:line="240" w:lineRule="auto"/>
              <w:rPr>
                <w:rFonts w:eastAsia="Calibri" w:cs="Times New Roman"/>
                <w:sz w:val="20"/>
                <w:szCs w:val="20"/>
              </w:rPr>
            </w:pPr>
            <w:r w:rsidRPr="00271798">
              <w:rPr>
                <w:rFonts w:eastAsia="Calibri" w:cs="Times New Roman"/>
                <w:sz w:val="20"/>
                <w:szCs w:val="20"/>
              </w:rPr>
              <w:t>0.0109</w:t>
            </w:r>
          </w:p>
        </w:tc>
        <w:tc>
          <w:tcPr>
            <w:tcW w:w="673" w:type="pct"/>
            <w:tcBorders>
              <w:top w:val="single" w:sz="4" w:space="0" w:color="auto"/>
              <w:left w:val="single" w:sz="4" w:space="0" w:color="auto"/>
              <w:bottom w:val="single" w:sz="4" w:space="0" w:color="auto"/>
              <w:right w:val="single" w:sz="4" w:space="0" w:color="auto"/>
            </w:tcBorders>
            <w:hideMark/>
          </w:tcPr>
          <w:p w14:paraId="3EE68A33" w14:textId="77777777" w:rsidR="00AB5818" w:rsidRPr="00271798" w:rsidRDefault="00AB5818" w:rsidP="002E4B8A">
            <w:pPr>
              <w:widowControl w:val="0"/>
              <w:autoSpaceDE w:val="0"/>
              <w:autoSpaceDN w:val="0"/>
              <w:adjustRightInd w:val="0"/>
              <w:spacing w:line="240" w:lineRule="auto"/>
              <w:rPr>
                <w:rFonts w:eastAsia="Calibri" w:cs="Times New Roman"/>
                <w:sz w:val="20"/>
                <w:szCs w:val="20"/>
              </w:rPr>
            </w:pPr>
            <w:r w:rsidRPr="00271798">
              <w:rPr>
                <w:rFonts w:eastAsia="Calibri" w:cs="Times New Roman"/>
                <w:sz w:val="20"/>
                <w:szCs w:val="20"/>
              </w:rPr>
              <w:t>0.2238</w:t>
            </w:r>
          </w:p>
        </w:tc>
        <w:tc>
          <w:tcPr>
            <w:tcW w:w="671" w:type="pct"/>
            <w:tcBorders>
              <w:top w:val="single" w:sz="4" w:space="0" w:color="auto"/>
              <w:left w:val="single" w:sz="4" w:space="0" w:color="auto"/>
              <w:bottom w:val="single" w:sz="4" w:space="0" w:color="auto"/>
              <w:right w:val="single" w:sz="4" w:space="0" w:color="auto"/>
            </w:tcBorders>
            <w:hideMark/>
          </w:tcPr>
          <w:p w14:paraId="2D509FFE" w14:textId="77777777" w:rsidR="00AB5818" w:rsidRPr="00271798" w:rsidRDefault="00AB5818" w:rsidP="002E4B8A">
            <w:pPr>
              <w:widowControl w:val="0"/>
              <w:autoSpaceDE w:val="0"/>
              <w:autoSpaceDN w:val="0"/>
              <w:adjustRightInd w:val="0"/>
              <w:spacing w:line="240" w:lineRule="auto"/>
              <w:rPr>
                <w:rFonts w:eastAsia="Calibri" w:cs="Times New Roman"/>
                <w:sz w:val="20"/>
                <w:szCs w:val="20"/>
                <w:lang/>
              </w:rPr>
            </w:pPr>
            <w:r w:rsidRPr="00271798">
              <w:rPr>
                <w:rFonts w:eastAsia="Calibri" w:cs="Times New Roman"/>
                <w:sz w:val="20"/>
                <w:szCs w:val="20"/>
                <w:lang/>
              </w:rPr>
              <w:t>0.0000</w:t>
            </w:r>
          </w:p>
        </w:tc>
        <w:tc>
          <w:tcPr>
            <w:tcW w:w="666" w:type="pct"/>
            <w:tcBorders>
              <w:top w:val="single" w:sz="4" w:space="0" w:color="auto"/>
              <w:left w:val="single" w:sz="4" w:space="0" w:color="auto"/>
              <w:bottom w:val="single" w:sz="4" w:space="0" w:color="auto"/>
              <w:right w:val="single" w:sz="4" w:space="0" w:color="auto"/>
            </w:tcBorders>
            <w:hideMark/>
          </w:tcPr>
          <w:p w14:paraId="0916A878" w14:textId="77777777" w:rsidR="00AB5818" w:rsidRPr="00271798" w:rsidRDefault="00AB5818" w:rsidP="002E4B8A">
            <w:pPr>
              <w:widowControl w:val="0"/>
              <w:autoSpaceDE w:val="0"/>
              <w:autoSpaceDN w:val="0"/>
              <w:adjustRightInd w:val="0"/>
              <w:spacing w:line="240" w:lineRule="auto"/>
              <w:rPr>
                <w:rFonts w:eastAsia="Calibri" w:cs="Times New Roman"/>
                <w:sz w:val="20"/>
                <w:szCs w:val="20"/>
                <w:lang/>
              </w:rPr>
            </w:pPr>
            <w:r w:rsidRPr="00271798">
              <w:rPr>
                <w:rFonts w:eastAsia="Calibri" w:cs="Times New Roman"/>
                <w:sz w:val="20"/>
                <w:szCs w:val="20"/>
              </w:rPr>
              <w:t>0.1900</w:t>
            </w:r>
          </w:p>
        </w:tc>
      </w:tr>
      <w:tr w:rsidR="00AB5818" w:rsidRPr="00AB5818" w14:paraId="18F11FD3"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3B063C6C"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State FE</w:t>
            </w:r>
          </w:p>
        </w:tc>
        <w:tc>
          <w:tcPr>
            <w:tcW w:w="809" w:type="pct"/>
            <w:tcBorders>
              <w:top w:val="single" w:sz="4" w:space="0" w:color="auto"/>
              <w:left w:val="single" w:sz="4" w:space="0" w:color="auto"/>
              <w:bottom w:val="single" w:sz="4" w:space="0" w:color="auto"/>
              <w:right w:val="single" w:sz="4" w:space="0" w:color="auto"/>
            </w:tcBorders>
            <w:hideMark/>
          </w:tcPr>
          <w:p w14:paraId="7948D898"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73" w:type="pct"/>
            <w:tcBorders>
              <w:top w:val="single" w:sz="4" w:space="0" w:color="auto"/>
              <w:left w:val="single" w:sz="4" w:space="0" w:color="auto"/>
              <w:bottom w:val="single" w:sz="4" w:space="0" w:color="auto"/>
              <w:right w:val="single" w:sz="4" w:space="0" w:color="auto"/>
            </w:tcBorders>
            <w:hideMark/>
          </w:tcPr>
          <w:p w14:paraId="7AAA257E"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c>
          <w:tcPr>
            <w:tcW w:w="672" w:type="pct"/>
            <w:tcBorders>
              <w:top w:val="single" w:sz="4" w:space="0" w:color="auto"/>
              <w:left w:val="single" w:sz="4" w:space="0" w:color="auto"/>
              <w:bottom w:val="single" w:sz="4" w:space="0" w:color="auto"/>
              <w:right w:val="single" w:sz="4" w:space="0" w:color="auto"/>
            </w:tcBorders>
            <w:hideMark/>
          </w:tcPr>
          <w:p w14:paraId="6C6D50BA"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73" w:type="pct"/>
            <w:tcBorders>
              <w:top w:val="single" w:sz="4" w:space="0" w:color="auto"/>
              <w:left w:val="single" w:sz="4" w:space="0" w:color="auto"/>
              <w:bottom w:val="single" w:sz="4" w:space="0" w:color="auto"/>
              <w:right w:val="single" w:sz="4" w:space="0" w:color="auto"/>
            </w:tcBorders>
            <w:hideMark/>
          </w:tcPr>
          <w:p w14:paraId="38BED673"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c>
          <w:tcPr>
            <w:tcW w:w="671" w:type="pct"/>
            <w:tcBorders>
              <w:top w:val="single" w:sz="4" w:space="0" w:color="auto"/>
              <w:left w:val="single" w:sz="4" w:space="0" w:color="auto"/>
              <w:bottom w:val="single" w:sz="4" w:space="0" w:color="auto"/>
              <w:right w:val="single" w:sz="4" w:space="0" w:color="auto"/>
            </w:tcBorders>
            <w:hideMark/>
          </w:tcPr>
          <w:p w14:paraId="0C35BC64"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66" w:type="pct"/>
            <w:tcBorders>
              <w:top w:val="single" w:sz="4" w:space="0" w:color="auto"/>
              <w:left w:val="single" w:sz="4" w:space="0" w:color="auto"/>
              <w:bottom w:val="single" w:sz="4" w:space="0" w:color="auto"/>
              <w:right w:val="single" w:sz="4" w:space="0" w:color="auto"/>
            </w:tcBorders>
            <w:hideMark/>
          </w:tcPr>
          <w:p w14:paraId="04890E2A"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r>
      <w:tr w:rsidR="00AB5818" w:rsidRPr="00AB5818" w14:paraId="5E9E8BA4"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755EAED3"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Year FE</w:t>
            </w:r>
          </w:p>
        </w:tc>
        <w:tc>
          <w:tcPr>
            <w:tcW w:w="809" w:type="pct"/>
            <w:tcBorders>
              <w:top w:val="single" w:sz="4" w:space="0" w:color="auto"/>
              <w:left w:val="single" w:sz="4" w:space="0" w:color="auto"/>
              <w:bottom w:val="single" w:sz="4" w:space="0" w:color="auto"/>
              <w:right w:val="single" w:sz="4" w:space="0" w:color="auto"/>
            </w:tcBorders>
            <w:hideMark/>
          </w:tcPr>
          <w:p w14:paraId="4C65D84D"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73" w:type="pct"/>
            <w:tcBorders>
              <w:top w:val="single" w:sz="4" w:space="0" w:color="auto"/>
              <w:left w:val="single" w:sz="4" w:space="0" w:color="auto"/>
              <w:bottom w:val="single" w:sz="4" w:space="0" w:color="auto"/>
              <w:right w:val="single" w:sz="4" w:space="0" w:color="auto"/>
            </w:tcBorders>
            <w:hideMark/>
          </w:tcPr>
          <w:p w14:paraId="7A27E15A"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c>
          <w:tcPr>
            <w:tcW w:w="672" w:type="pct"/>
            <w:tcBorders>
              <w:top w:val="single" w:sz="4" w:space="0" w:color="auto"/>
              <w:left w:val="single" w:sz="4" w:space="0" w:color="auto"/>
              <w:bottom w:val="single" w:sz="4" w:space="0" w:color="auto"/>
              <w:right w:val="single" w:sz="4" w:space="0" w:color="auto"/>
            </w:tcBorders>
            <w:hideMark/>
          </w:tcPr>
          <w:p w14:paraId="66FD42AA"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73" w:type="pct"/>
            <w:tcBorders>
              <w:top w:val="single" w:sz="4" w:space="0" w:color="auto"/>
              <w:left w:val="single" w:sz="4" w:space="0" w:color="auto"/>
              <w:bottom w:val="single" w:sz="4" w:space="0" w:color="auto"/>
              <w:right w:val="single" w:sz="4" w:space="0" w:color="auto"/>
            </w:tcBorders>
            <w:hideMark/>
          </w:tcPr>
          <w:p w14:paraId="1CF34F19"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c>
          <w:tcPr>
            <w:tcW w:w="671" w:type="pct"/>
            <w:tcBorders>
              <w:top w:val="single" w:sz="4" w:space="0" w:color="auto"/>
              <w:left w:val="single" w:sz="4" w:space="0" w:color="auto"/>
              <w:bottom w:val="single" w:sz="4" w:space="0" w:color="auto"/>
              <w:right w:val="single" w:sz="4" w:space="0" w:color="auto"/>
            </w:tcBorders>
            <w:hideMark/>
          </w:tcPr>
          <w:p w14:paraId="3D2E35AB"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66" w:type="pct"/>
            <w:tcBorders>
              <w:top w:val="single" w:sz="4" w:space="0" w:color="auto"/>
              <w:left w:val="single" w:sz="4" w:space="0" w:color="auto"/>
              <w:bottom w:val="single" w:sz="4" w:space="0" w:color="auto"/>
              <w:right w:val="single" w:sz="4" w:space="0" w:color="auto"/>
            </w:tcBorders>
            <w:hideMark/>
          </w:tcPr>
          <w:p w14:paraId="30CDB4D1"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r>
      <w:tr w:rsidR="00AB5818" w:rsidRPr="00AB5818" w14:paraId="228599B4"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03600AFE"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County FE</w:t>
            </w:r>
          </w:p>
        </w:tc>
        <w:tc>
          <w:tcPr>
            <w:tcW w:w="809" w:type="pct"/>
            <w:tcBorders>
              <w:top w:val="single" w:sz="4" w:space="0" w:color="auto"/>
              <w:left w:val="single" w:sz="4" w:space="0" w:color="auto"/>
              <w:bottom w:val="single" w:sz="4" w:space="0" w:color="auto"/>
              <w:right w:val="single" w:sz="4" w:space="0" w:color="auto"/>
            </w:tcBorders>
            <w:hideMark/>
          </w:tcPr>
          <w:p w14:paraId="169261C8"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73" w:type="pct"/>
            <w:tcBorders>
              <w:top w:val="single" w:sz="4" w:space="0" w:color="auto"/>
              <w:left w:val="single" w:sz="4" w:space="0" w:color="auto"/>
              <w:bottom w:val="single" w:sz="4" w:space="0" w:color="auto"/>
              <w:right w:val="single" w:sz="4" w:space="0" w:color="auto"/>
            </w:tcBorders>
            <w:hideMark/>
          </w:tcPr>
          <w:p w14:paraId="08BDEF48"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c>
          <w:tcPr>
            <w:tcW w:w="672" w:type="pct"/>
            <w:tcBorders>
              <w:top w:val="single" w:sz="4" w:space="0" w:color="auto"/>
              <w:left w:val="single" w:sz="4" w:space="0" w:color="auto"/>
              <w:bottom w:val="single" w:sz="4" w:space="0" w:color="auto"/>
              <w:right w:val="single" w:sz="4" w:space="0" w:color="auto"/>
            </w:tcBorders>
            <w:hideMark/>
          </w:tcPr>
          <w:p w14:paraId="7991446A"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73" w:type="pct"/>
            <w:tcBorders>
              <w:top w:val="single" w:sz="4" w:space="0" w:color="auto"/>
              <w:left w:val="single" w:sz="4" w:space="0" w:color="auto"/>
              <w:bottom w:val="single" w:sz="4" w:space="0" w:color="auto"/>
              <w:right w:val="single" w:sz="4" w:space="0" w:color="auto"/>
            </w:tcBorders>
            <w:hideMark/>
          </w:tcPr>
          <w:p w14:paraId="54FA9D9A"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c>
          <w:tcPr>
            <w:tcW w:w="671" w:type="pct"/>
            <w:tcBorders>
              <w:top w:val="single" w:sz="4" w:space="0" w:color="auto"/>
              <w:left w:val="single" w:sz="4" w:space="0" w:color="auto"/>
              <w:bottom w:val="single" w:sz="4" w:space="0" w:color="auto"/>
              <w:right w:val="single" w:sz="4" w:space="0" w:color="auto"/>
            </w:tcBorders>
            <w:hideMark/>
          </w:tcPr>
          <w:p w14:paraId="2D7D09F8"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66" w:type="pct"/>
            <w:tcBorders>
              <w:top w:val="single" w:sz="4" w:space="0" w:color="auto"/>
              <w:left w:val="single" w:sz="4" w:space="0" w:color="auto"/>
              <w:bottom w:val="single" w:sz="4" w:space="0" w:color="auto"/>
              <w:right w:val="single" w:sz="4" w:space="0" w:color="auto"/>
            </w:tcBorders>
            <w:hideMark/>
          </w:tcPr>
          <w:p w14:paraId="30F42D96"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r>
    </w:tbl>
    <w:p w14:paraId="7A66496E" w14:textId="4C7ACAF5" w:rsidR="00AB5818" w:rsidRPr="000E300A" w:rsidRDefault="000E300A" w:rsidP="00CE0D78">
      <w:pPr>
        <w:widowControl w:val="0"/>
        <w:autoSpaceDE w:val="0"/>
        <w:autoSpaceDN w:val="0"/>
        <w:adjustRightInd w:val="0"/>
        <w:spacing w:line="240" w:lineRule="auto"/>
        <w:rPr>
          <w:rFonts w:eastAsia="Calibri" w:cs="Times New Roman"/>
          <w:sz w:val="20"/>
          <w:szCs w:val="20"/>
        </w:rPr>
      </w:pPr>
      <w:r>
        <w:rPr>
          <w:rFonts w:eastAsia="Calibri" w:cs="Times New Roman"/>
          <w:sz w:val="20"/>
          <w:szCs w:val="20"/>
        </w:rPr>
        <w:t xml:space="preserve">Table A54: </w:t>
      </w:r>
      <w:r w:rsidR="00AB5818" w:rsidRPr="00AB5818">
        <w:rPr>
          <w:rFonts w:eastAsia="Calibri" w:cs="Times New Roman"/>
          <w:sz w:val="20"/>
          <w:szCs w:val="20"/>
          <w:lang/>
        </w:rPr>
        <w:t>Regression results for real estate and leasing, showing how spatial proximity to the range affects economic outcomes post-delisting.</w:t>
      </w:r>
      <w:r>
        <w:rPr>
          <w:rFonts w:eastAsia="Calibri" w:cs="Times New Roman"/>
          <w:sz w:val="20"/>
          <w:szCs w:val="20"/>
        </w:rPr>
        <w:t xml:space="preserve"> </w:t>
      </w:r>
      <w:r w:rsidRPr="000E300A">
        <w:rPr>
          <w:rFonts w:eastAsia="Calibri" w:cs="Times New Roman"/>
          <w:sz w:val="20"/>
          <w:szCs w:val="20"/>
        </w:rPr>
        <w:t>Statistically significant impacts are denoted by asterisks. These asterisks denote statistical significance at the following levels: ***p &lt; 0.01, **p &lt; 0.05, *p &lt; 0.1.</w:t>
      </w:r>
    </w:p>
    <w:p w14:paraId="20E2EFA8" w14:textId="6FF3D0CE" w:rsidR="005E02DB" w:rsidRDefault="005E02DB" w:rsidP="00CE0D78">
      <w:pPr>
        <w:widowControl w:val="0"/>
        <w:autoSpaceDE w:val="0"/>
        <w:autoSpaceDN w:val="0"/>
        <w:adjustRightInd w:val="0"/>
        <w:spacing w:line="240" w:lineRule="auto"/>
        <w:rPr>
          <w:rFonts w:eastAsia="Calibri" w:cs="Times New Roman"/>
          <w:b/>
          <w:bCs/>
          <w:sz w:val="20"/>
          <w:szCs w:val="20"/>
        </w:rPr>
      </w:pPr>
    </w:p>
    <w:p w14:paraId="779E54E3" w14:textId="102B7198" w:rsidR="0057442E" w:rsidRDefault="0057442E" w:rsidP="00CE0D78">
      <w:pPr>
        <w:widowControl w:val="0"/>
        <w:autoSpaceDE w:val="0"/>
        <w:autoSpaceDN w:val="0"/>
        <w:adjustRightInd w:val="0"/>
        <w:spacing w:line="240" w:lineRule="auto"/>
        <w:rPr>
          <w:rFonts w:eastAsia="Calibri" w:cs="Times New Roman"/>
          <w:b/>
          <w:bCs/>
          <w:sz w:val="20"/>
          <w:szCs w:val="20"/>
        </w:rPr>
      </w:pPr>
    </w:p>
    <w:p w14:paraId="6DB181B3" w14:textId="77777777" w:rsidR="0057442E" w:rsidRPr="00AB5818" w:rsidRDefault="0057442E" w:rsidP="00CE0D78">
      <w:pPr>
        <w:widowControl w:val="0"/>
        <w:autoSpaceDE w:val="0"/>
        <w:autoSpaceDN w:val="0"/>
        <w:adjustRightInd w:val="0"/>
        <w:spacing w:line="240" w:lineRule="auto"/>
        <w:rPr>
          <w:rFonts w:eastAsia="Calibri" w:cs="Times New Roman"/>
          <w:b/>
          <w:bCs/>
          <w:sz w:val="20"/>
          <w:szCs w:val="20"/>
        </w:rPr>
      </w:pPr>
    </w:p>
    <w:p w14:paraId="6B28F135" w14:textId="65220136" w:rsidR="00AB5818" w:rsidRPr="00AB5818" w:rsidRDefault="00AB5818" w:rsidP="00095E25">
      <w:pPr>
        <w:pStyle w:val="Title"/>
      </w:pPr>
      <w:bookmarkStart w:id="754" w:name="_Toc188056064"/>
      <w:bookmarkStart w:id="755" w:name="_Toc188057148"/>
      <w:bookmarkStart w:id="756" w:name="_Toc188359660"/>
      <w:bookmarkStart w:id="757" w:name="_Toc188359948"/>
      <w:bookmarkStart w:id="758" w:name="_Toc188361184"/>
      <w:bookmarkStart w:id="759" w:name="_Toc188367027"/>
      <w:r w:rsidRPr="00AB5818">
        <w:t>Table A</w:t>
      </w:r>
      <w:r w:rsidR="005E02DB">
        <w:t>5</w:t>
      </w:r>
      <w:r w:rsidRPr="00AB5818">
        <w:t xml:space="preserve">5: </w:t>
      </w:r>
      <w:r w:rsidR="002E1ED3">
        <w:rPr>
          <w:lang w:val="en-US"/>
        </w:rPr>
        <w:t xml:space="preserve">Summary of </w:t>
      </w:r>
      <w:r w:rsidR="002E1ED3" w:rsidRPr="00AB5818">
        <w:t xml:space="preserve">NAICS </w:t>
      </w:r>
      <w:r w:rsidR="002E1ED3">
        <w:rPr>
          <w:lang w:val="en-US"/>
        </w:rPr>
        <w:t xml:space="preserve">53 Regression Results </w:t>
      </w:r>
      <w:r w:rsidR="002E1ED3" w:rsidRPr="00AB5818">
        <w:t>–</w:t>
      </w:r>
      <w:r w:rsidR="002E1ED3">
        <w:rPr>
          <w:lang w:val="en-US"/>
        </w:rPr>
        <w:t xml:space="preserve"> </w:t>
      </w:r>
      <w:r w:rsidRPr="00AB5818">
        <w:t>Continuous Range Indicator</w:t>
      </w:r>
      <w:bookmarkEnd w:id="754"/>
      <w:bookmarkEnd w:id="755"/>
      <w:bookmarkEnd w:id="756"/>
      <w:bookmarkEnd w:id="757"/>
      <w:bookmarkEnd w:id="758"/>
      <w:bookmarkEnd w:id="759"/>
    </w:p>
    <w:tbl>
      <w:tblPr>
        <w:tblW w:w="49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0"/>
        <w:gridCol w:w="1500"/>
        <w:gridCol w:w="1248"/>
        <w:gridCol w:w="1246"/>
        <w:gridCol w:w="1248"/>
        <w:gridCol w:w="1244"/>
        <w:gridCol w:w="1235"/>
      </w:tblGrid>
      <w:tr w:rsidR="00922EC5" w:rsidRPr="00AB5818" w14:paraId="5BD5333C"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1CBA794A" w14:textId="7E665833" w:rsidR="00922EC5" w:rsidRPr="00AB5818" w:rsidRDefault="00922EC5" w:rsidP="002E4B8A">
            <w:pPr>
              <w:widowControl w:val="0"/>
              <w:autoSpaceDE w:val="0"/>
              <w:autoSpaceDN w:val="0"/>
              <w:adjustRightInd w:val="0"/>
              <w:spacing w:line="240" w:lineRule="auto"/>
              <w:rPr>
                <w:rFonts w:eastAsia="Calibri" w:cs="Times New Roman"/>
                <w:b/>
                <w:bCs/>
                <w:sz w:val="20"/>
                <w:szCs w:val="20"/>
              </w:rPr>
            </w:pPr>
            <w:r w:rsidRPr="00922EC5">
              <w:rPr>
                <w:rFonts w:eastAsia="Calibri" w:cs="Times New Roman"/>
                <w:b/>
                <w:bCs/>
                <w:sz w:val="20"/>
                <w:szCs w:val="20"/>
              </w:rPr>
              <w:t>Variable</w:t>
            </w:r>
          </w:p>
        </w:tc>
        <w:tc>
          <w:tcPr>
            <w:tcW w:w="1482" w:type="pct"/>
            <w:gridSpan w:val="2"/>
            <w:tcBorders>
              <w:top w:val="single" w:sz="4" w:space="0" w:color="auto"/>
              <w:left w:val="single" w:sz="4" w:space="0" w:color="auto"/>
              <w:bottom w:val="single" w:sz="4" w:space="0" w:color="auto"/>
              <w:right w:val="single" w:sz="4" w:space="0" w:color="auto"/>
            </w:tcBorders>
            <w:hideMark/>
          </w:tcPr>
          <w:p w14:paraId="38CBC940" w14:textId="6230B500" w:rsidR="00922EC5" w:rsidRPr="00AB5818" w:rsidRDefault="00922EC5" w:rsidP="002E4B8A">
            <w:pPr>
              <w:widowControl w:val="0"/>
              <w:autoSpaceDE w:val="0"/>
              <w:autoSpaceDN w:val="0"/>
              <w:adjustRightInd w:val="0"/>
              <w:spacing w:line="240" w:lineRule="auto"/>
              <w:rPr>
                <w:rFonts w:eastAsia="Calibri" w:cs="Times New Roman"/>
                <w:b/>
                <w:bCs/>
                <w:color w:val="FF0000"/>
                <w:sz w:val="20"/>
                <w:szCs w:val="20"/>
                <w:highlight w:val="yellow"/>
              </w:rPr>
            </w:pPr>
            <w:r w:rsidRPr="00922EC5">
              <w:rPr>
                <w:rFonts w:cs="Times New Roman"/>
                <w:b/>
                <w:bCs/>
                <w:sz w:val="20"/>
                <w:szCs w:val="20"/>
              </w:rPr>
              <w:t>Establishment Count</w:t>
            </w:r>
          </w:p>
        </w:tc>
        <w:tc>
          <w:tcPr>
            <w:tcW w:w="1345" w:type="pct"/>
            <w:gridSpan w:val="2"/>
            <w:tcBorders>
              <w:top w:val="single" w:sz="4" w:space="0" w:color="auto"/>
              <w:left w:val="single" w:sz="4" w:space="0" w:color="auto"/>
              <w:bottom w:val="single" w:sz="4" w:space="0" w:color="auto"/>
              <w:right w:val="single" w:sz="4" w:space="0" w:color="auto"/>
            </w:tcBorders>
            <w:hideMark/>
          </w:tcPr>
          <w:p w14:paraId="7CF46D05" w14:textId="74B8648D" w:rsidR="00922EC5" w:rsidRPr="00AB5818" w:rsidRDefault="00922EC5" w:rsidP="002E4B8A">
            <w:pPr>
              <w:widowControl w:val="0"/>
              <w:autoSpaceDE w:val="0"/>
              <w:autoSpaceDN w:val="0"/>
              <w:adjustRightInd w:val="0"/>
              <w:spacing w:line="240" w:lineRule="auto"/>
              <w:rPr>
                <w:rFonts w:eastAsia="Calibri" w:cs="Times New Roman"/>
                <w:b/>
                <w:bCs/>
                <w:color w:val="FF0000"/>
                <w:sz w:val="20"/>
                <w:szCs w:val="20"/>
                <w:highlight w:val="yellow"/>
              </w:rPr>
            </w:pPr>
            <w:r w:rsidRPr="00922EC5">
              <w:rPr>
                <w:rFonts w:cs="Times New Roman"/>
                <w:b/>
                <w:bCs/>
                <w:sz w:val="20"/>
                <w:szCs w:val="20"/>
              </w:rPr>
              <w:t>Job Count</w:t>
            </w:r>
          </w:p>
        </w:tc>
        <w:tc>
          <w:tcPr>
            <w:tcW w:w="1337" w:type="pct"/>
            <w:gridSpan w:val="2"/>
            <w:tcBorders>
              <w:top w:val="single" w:sz="4" w:space="0" w:color="auto"/>
              <w:left w:val="single" w:sz="4" w:space="0" w:color="auto"/>
              <w:bottom w:val="single" w:sz="4" w:space="0" w:color="auto"/>
              <w:right w:val="single" w:sz="4" w:space="0" w:color="auto"/>
            </w:tcBorders>
            <w:hideMark/>
          </w:tcPr>
          <w:p w14:paraId="480751AD" w14:textId="6AB30BEB" w:rsidR="00922EC5" w:rsidRPr="00AB5818" w:rsidRDefault="00922EC5" w:rsidP="002E4B8A">
            <w:pPr>
              <w:widowControl w:val="0"/>
              <w:autoSpaceDE w:val="0"/>
              <w:autoSpaceDN w:val="0"/>
              <w:adjustRightInd w:val="0"/>
              <w:spacing w:line="240" w:lineRule="auto"/>
              <w:rPr>
                <w:rFonts w:eastAsia="Calibri" w:cs="Times New Roman"/>
                <w:b/>
                <w:bCs/>
                <w:color w:val="FF0000"/>
                <w:sz w:val="20"/>
                <w:szCs w:val="20"/>
                <w:highlight w:val="yellow"/>
              </w:rPr>
            </w:pPr>
            <w:r w:rsidRPr="00922EC5">
              <w:rPr>
                <w:rFonts w:cs="Times New Roman"/>
                <w:b/>
                <w:bCs/>
                <w:sz w:val="20"/>
                <w:szCs w:val="20"/>
              </w:rPr>
              <w:t>Sales Volume</w:t>
            </w:r>
          </w:p>
        </w:tc>
      </w:tr>
      <w:tr w:rsidR="00AB5818" w:rsidRPr="00AB5818" w14:paraId="4C0BB387"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1D1B7963"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Range</w:t>
            </w:r>
          </w:p>
        </w:tc>
        <w:tc>
          <w:tcPr>
            <w:tcW w:w="809" w:type="pct"/>
            <w:tcBorders>
              <w:top w:val="single" w:sz="4" w:space="0" w:color="auto"/>
              <w:left w:val="single" w:sz="4" w:space="0" w:color="auto"/>
              <w:bottom w:val="single" w:sz="4" w:space="0" w:color="auto"/>
              <w:right w:val="single" w:sz="4" w:space="0" w:color="auto"/>
            </w:tcBorders>
            <w:hideMark/>
          </w:tcPr>
          <w:p w14:paraId="420C96B8" w14:textId="77777777" w:rsidR="00AB5818" w:rsidRPr="00AB5818" w:rsidRDefault="00AB5818" w:rsidP="002E4B8A">
            <w:pPr>
              <w:widowControl w:val="0"/>
              <w:autoSpaceDE w:val="0"/>
              <w:autoSpaceDN w:val="0"/>
              <w:adjustRightInd w:val="0"/>
              <w:spacing w:line="240" w:lineRule="auto"/>
              <w:rPr>
                <w:rFonts w:eastAsia="Calibri" w:cs="Times New Roman"/>
                <w:sz w:val="20"/>
                <w:szCs w:val="20"/>
                <w:highlight w:val="magenta"/>
              </w:rPr>
            </w:pPr>
            <w:r w:rsidRPr="00AB5818">
              <w:rPr>
                <w:rFonts w:eastAsia="Calibri" w:cs="Times New Roman"/>
                <w:sz w:val="20"/>
                <w:szCs w:val="20"/>
              </w:rPr>
              <w:t>.00321**</w:t>
            </w:r>
          </w:p>
        </w:tc>
        <w:tc>
          <w:tcPr>
            <w:tcW w:w="673" w:type="pct"/>
            <w:tcBorders>
              <w:top w:val="single" w:sz="4" w:space="0" w:color="auto"/>
              <w:left w:val="single" w:sz="4" w:space="0" w:color="auto"/>
              <w:bottom w:val="single" w:sz="4" w:space="0" w:color="auto"/>
              <w:right w:val="single" w:sz="4" w:space="0" w:color="auto"/>
            </w:tcBorders>
            <w:hideMark/>
          </w:tcPr>
          <w:p w14:paraId="77FEDCD1" w14:textId="77777777" w:rsidR="00AB5818" w:rsidRPr="00AB5818" w:rsidRDefault="00AB5818" w:rsidP="002E4B8A">
            <w:pPr>
              <w:widowControl w:val="0"/>
              <w:autoSpaceDE w:val="0"/>
              <w:autoSpaceDN w:val="0"/>
              <w:adjustRightInd w:val="0"/>
              <w:spacing w:line="240" w:lineRule="auto"/>
              <w:rPr>
                <w:rFonts w:eastAsia="Calibri" w:cs="Times New Roman"/>
                <w:sz w:val="20"/>
                <w:szCs w:val="20"/>
                <w:highlight w:val="magenta"/>
              </w:rPr>
            </w:pPr>
            <w:r w:rsidRPr="00AB5818">
              <w:rPr>
                <w:rFonts w:eastAsia="Calibri" w:cs="Times New Roman"/>
                <w:sz w:val="20"/>
                <w:szCs w:val="20"/>
              </w:rPr>
              <w:t>.00028**</w:t>
            </w:r>
          </w:p>
        </w:tc>
        <w:tc>
          <w:tcPr>
            <w:tcW w:w="672" w:type="pct"/>
            <w:tcBorders>
              <w:top w:val="single" w:sz="4" w:space="0" w:color="auto"/>
              <w:left w:val="single" w:sz="4" w:space="0" w:color="auto"/>
              <w:bottom w:val="single" w:sz="4" w:space="0" w:color="auto"/>
              <w:right w:val="single" w:sz="4" w:space="0" w:color="auto"/>
            </w:tcBorders>
            <w:hideMark/>
          </w:tcPr>
          <w:p w14:paraId="076A452D"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.00331**</w:t>
            </w:r>
          </w:p>
        </w:tc>
        <w:tc>
          <w:tcPr>
            <w:tcW w:w="673" w:type="pct"/>
            <w:tcBorders>
              <w:top w:val="single" w:sz="4" w:space="0" w:color="auto"/>
              <w:left w:val="single" w:sz="4" w:space="0" w:color="auto"/>
              <w:bottom w:val="single" w:sz="4" w:space="0" w:color="auto"/>
              <w:right w:val="single" w:sz="4" w:space="0" w:color="auto"/>
            </w:tcBorders>
            <w:hideMark/>
          </w:tcPr>
          <w:p w14:paraId="12EC7D95"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.00009</w:t>
            </w:r>
          </w:p>
        </w:tc>
        <w:tc>
          <w:tcPr>
            <w:tcW w:w="671" w:type="pct"/>
            <w:tcBorders>
              <w:top w:val="single" w:sz="4" w:space="0" w:color="auto"/>
              <w:left w:val="single" w:sz="4" w:space="0" w:color="auto"/>
              <w:bottom w:val="single" w:sz="4" w:space="0" w:color="auto"/>
              <w:right w:val="single" w:sz="4" w:space="0" w:color="auto"/>
            </w:tcBorders>
            <w:hideMark/>
          </w:tcPr>
          <w:p w14:paraId="159A7361"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.00337**</w:t>
            </w:r>
          </w:p>
        </w:tc>
        <w:tc>
          <w:tcPr>
            <w:tcW w:w="666" w:type="pct"/>
            <w:tcBorders>
              <w:top w:val="single" w:sz="4" w:space="0" w:color="auto"/>
              <w:left w:val="single" w:sz="4" w:space="0" w:color="auto"/>
              <w:bottom w:val="single" w:sz="4" w:space="0" w:color="auto"/>
              <w:right w:val="single" w:sz="4" w:space="0" w:color="auto"/>
            </w:tcBorders>
            <w:hideMark/>
          </w:tcPr>
          <w:p w14:paraId="61491732"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.00023</w:t>
            </w:r>
          </w:p>
        </w:tc>
      </w:tr>
      <w:tr w:rsidR="00AB5818" w:rsidRPr="00AB5818" w14:paraId="255278A4"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77F31E20" w14:textId="37529AB5" w:rsidR="00AB5818" w:rsidRPr="00AB5818" w:rsidRDefault="00AB5818" w:rsidP="002E4B8A">
            <w:pPr>
              <w:widowControl w:val="0"/>
              <w:autoSpaceDE w:val="0"/>
              <w:autoSpaceDN w:val="0"/>
              <w:adjustRightInd w:val="0"/>
              <w:spacing w:line="240" w:lineRule="auto"/>
              <w:rPr>
                <w:rFonts w:eastAsia="Calibri" w:cs="Times New Roman"/>
                <w:sz w:val="20"/>
                <w:szCs w:val="20"/>
              </w:rPr>
            </w:pPr>
          </w:p>
        </w:tc>
        <w:tc>
          <w:tcPr>
            <w:tcW w:w="809" w:type="pct"/>
            <w:tcBorders>
              <w:top w:val="single" w:sz="4" w:space="0" w:color="auto"/>
              <w:left w:val="single" w:sz="4" w:space="0" w:color="auto"/>
              <w:bottom w:val="single" w:sz="4" w:space="0" w:color="auto"/>
              <w:right w:val="single" w:sz="4" w:space="0" w:color="auto"/>
            </w:tcBorders>
            <w:hideMark/>
          </w:tcPr>
          <w:p w14:paraId="44D7BAE5"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(.00137)</w:t>
            </w:r>
          </w:p>
        </w:tc>
        <w:tc>
          <w:tcPr>
            <w:tcW w:w="673" w:type="pct"/>
            <w:tcBorders>
              <w:top w:val="single" w:sz="4" w:space="0" w:color="auto"/>
              <w:left w:val="single" w:sz="4" w:space="0" w:color="auto"/>
              <w:bottom w:val="single" w:sz="4" w:space="0" w:color="auto"/>
              <w:right w:val="single" w:sz="4" w:space="0" w:color="auto"/>
            </w:tcBorders>
            <w:hideMark/>
          </w:tcPr>
          <w:p w14:paraId="2329B40B"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(.00014)</w:t>
            </w:r>
          </w:p>
        </w:tc>
        <w:tc>
          <w:tcPr>
            <w:tcW w:w="672" w:type="pct"/>
            <w:tcBorders>
              <w:top w:val="single" w:sz="4" w:space="0" w:color="auto"/>
              <w:left w:val="single" w:sz="4" w:space="0" w:color="auto"/>
              <w:bottom w:val="single" w:sz="4" w:space="0" w:color="auto"/>
              <w:right w:val="single" w:sz="4" w:space="0" w:color="auto"/>
            </w:tcBorders>
            <w:hideMark/>
          </w:tcPr>
          <w:p w14:paraId="11ECBD1A"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(.00166)</w:t>
            </w:r>
          </w:p>
        </w:tc>
        <w:tc>
          <w:tcPr>
            <w:tcW w:w="673" w:type="pct"/>
            <w:tcBorders>
              <w:top w:val="single" w:sz="4" w:space="0" w:color="auto"/>
              <w:left w:val="single" w:sz="4" w:space="0" w:color="auto"/>
              <w:bottom w:val="single" w:sz="4" w:space="0" w:color="auto"/>
              <w:right w:val="single" w:sz="4" w:space="0" w:color="auto"/>
            </w:tcBorders>
            <w:hideMark/>
          </w:tcPr>
          <w:p w14:paraId="421F3D47"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(.00028)</w:t>
            </w:r>
          </w:p>
        </w:tc>
        <w:tc>
          <w:tcPr>
            <w:tcW w:w="671" w:type="pct"/>
            <w:tcBorders>
              <w:top w:val="single" w:sz="4" w:space="0" w:color="auto"/>
              <w:left w:val="single" w:sz="4" w:space="0" w:color="auto"/>
              <w:bottom w:val="single" w:sz="4" w:space="0" w:color="auto"/>
              <w:right w:val="single" w:sz="4" w:space="0" w:color="auto"/>
            </w:tcBorders>
            <w:hideMark/>
          </w:tcPr>
          <w:p w14:paraId="437E946D"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(.00163)</w:t>
            </w:r>
          </w:p>
        </w:tc>
        <w:tc>
          <w:tcPr>
            <w:tcW w:w="666" w:type="pct"/>
            <w:tcBorders>
              <w:top w:val="single" w:sz="4" w:space="0" w:color="auto"/>
              <w:left w:val="single" w:sz="4" w:space="0" w:color="auto"/>
              <w:bottom w:val="single" w:sz="4" w:space="0" w:color="auto"/>
              <w:right w:val="single" w:sz="4" w:space="0" w:color="auto"/>
            </w:tcBorders>
            <w:hideMark/>
          </w:tcPr>
          <w:p w14:paraId="6A10E5F3"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(.00035)</w:t>
            </w:r>
          </w:p>
        </w:tc>
      </w:tr>
      <w:tr w:rsidR="00AB5818" w:rsidRPr="00AB5818" w14:paraId="4E44D4FE"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67EAEB7D"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TSD * Range</w:t>
            </w:r>
          </w:p>
        </w:tc>
        <w:tc>
          <w:tcPr>
            <w:tcW w:w="809" w:type="pct"/>
            <w:tcBorders>
              <w:top w:val="single" w:sz="4" w:space="0" w:color="auto"/>
              <w:left w:val="single" w:sz="4" w:space="0" w:color="auto"/>
              <w:bottom w:val="single" w:sz="4" w:space="0" w:color="auto"/>
              <w:right w:val="single" w:sz="4" w:space="0" w:color="auto"/>
            </w:tcBorders>
            <w:hideMark/>
          </w:tcPr>
          <w:p w14:paraId="3A59184A"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.00109**</w:t>
            </w:r>
          </w:p>
        </w:tc>
        <w:tc>
          <w:tcPr>
            <w:tcW w:w="673" w:type="pct"/>
            <w:tcBorders>
              <w:top w:val="single" w:sz="4" w:space="0" w:color="auto"/>
              <w:left w:val="single" w:sz="4" w:space="0" w:color="auto"/>
              <w:bottom w:val="single" w:sz="4" w:space="0" w:color="auto"/>
              <w:right w:val="single" w:sz="4" w:space="0" w:color="auto"/>
            </w:tcBorders>
            <w:hideMark/>
          </w:tcPr>
          <w:p w14:paraId="0705AEB8"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-.00007</w:t>
            </w:r>
          </w:p>
        </w:tc>
        <w:tc>
          <w:tcPr>
            <w:tcW w:w="672" w:type="pct"/>
            <w:tcBorders>
              <w:top w:val="single" w:sz="4" w:space="0" w:color="auto"/>
              <w:left w:val="single" w:sz="4" w:space="0" w:color="auto"/>
              <w:bottom w:val="single" w:sz="4" w:space="0" w:color="auto"/>
              <w:right w:val="single" w:sz="4" w:space="0" w:color="auto"/>
            </w:tcBorders>
            <w:hideMark/>
          </w:tcPr>
          <w:p w14:paraId="000C8889"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.00058**</w:t>
            </w:r>
          </w:p>
        </w:tc>
        <w:tc>
          <w:tcPr>
            <w:tcW w:w="673" w:type="pct"/>
            <w:tcBorders>
              <w:top w:val="single" w:sz="4" w:space="0" w:color="auto"/>
              <w:left w:val="single" w:sz="4" w:space="0" w:color="auto"/>
              <w:bottom w:val="single" w:sz="4" w:space="0" w:color="auto"/>
              <w:right w:val="single" w:sz="4" w:space="0" w:color="auto"/>
            </w:tcBorders>
            <w:hideMark/>
          </w:tcPr>
          <w:p w14:paraId="7BDEB261"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-.00007</w:t>
            </w:r>
          </w:p>
        </w:tc>
        <w:tc>
          <w:tcPr>
            <w:tcW w:w="671" w:type="pct"/>
            <w:tcBorders>
              <w:top w:val="single" w:sz="4" w:space="0" w:color="auto"/>
              <w:left w:val="single" w:sz="4" w:space="0" w:color="auto"/>
              <w:bottom w:val="single" w:sz="4" w:space="0" w:color="auto"/>
              <w:right w:val="single" w:sz="4" w:space="0" w:color="auto"/>
            </w:tcBorders>
            <w:hideMark/>
          </w:tcPr>
          <w:p w14:paraId="296E1F70"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.00022</w:t>
            </w:r>
          </w:p>
        </w:tc>
        <w:tc>
          <w:tcPr>
            <w:tcW w:w="666" w:type="pct"/>
            <w:tcBorders>
              <w:top w:val="single" w:sz="4" w:space="0" w:color="auto"/>
              <w:left w:val="single" w:sz="4" w:space="0" w:color="auto"/>
              <w:bottom w:val="single" w:sz="4" w:space="0" w:color="auto"/>
              <w:right w:val="single" w:sz="4" w:space="0" w:color="auto"/>
            </w:tcBorders>
            <w:hideMark/>
          </w:tcPr>
          <w:p w14:paraId="00B8D80B"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-.00016</w:t>
            </w:r>
          </w:p>
        </w:tc>
      </w:tr>
      <w:tr w:rsidR="00AB5818" w:rsidRPr="00AB5818" w14:paraId="3A96A1A7"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41ABFA8D" w14:textId="7705E718" w:rsidR="00AB5818" w:rsidRPr="00AB5818" w:rsidRDefault="00AB5818" w:rsidP="002E4B8A">
            <w:pPr>
              <w:widowControl w:val="0"/>
              <w:autoSpaceDE w:val="0"/>
              <w:autoSpaceDN w:val="0"/>
              <w:adjustRightInd w:val="0"/>
              <w:spacing w:line="240" w:lineRule="auto"/>
              <w:rPr>
                <w:rFonts w:eastAsia="Calibri" w:cs="Times New Roman"/>
                <w:sz w:val="20"/>
                <w:szCs w:val="20"/>
              </w:rPr>
            </w:pPr>
          </w:p>
        </w:tc>
        <w:tc>
          <w:tcPr>
            <w:tcW w:w="809" w:type="pct"/>
            <w:tcBorders>
              <w:top w:val="single" w:sz="4" w:space="0" w:color="auto"/>
              <w:left w:val="single" w:sz="4" w:space="0" w:color="auto"/>
              <w:bottom w:val="single" w:sz="4" w:space="0" w:color="auto"/>
              <w:right w:val="single" w:sz="4" w:space="0" w:color="auto"/>
            </w:tcBorders>
            <w:hideMark/>
          </w:tcPr>
          <w:p w14:paraId="7DB7D633"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(.00055)</w:t>
            </w:r>
          </w:p>
        </w:tc>
        <w:tc>
          <w:tcPr>
            <w:tcW w:w="673" w:type="pct"/>
            <w:tcBorders>
              <w:top w:val="single" w:sz="4" w:space="0" w:color="auto"/>
              <w:left w:val="single" w:sz="4" w:space="0" w:color="auto"/>
              <w:bottom w:val="single" w:sz="4" w:space="0" w:color="auto"/>
              <w:right w:val="single" w:sz="4" w:space="0" w:color="auto"/>
            </w:tcBorders>
            <w:hideMark/>
          </w:tcPr>
          <w:p w14:paraId="10A160B6"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(.00016)</w:t>
            </w:r>
          </w:p>
        </w:tc>
        <w:tc>
          <w:tcPr>
            <w:tcW w:w="672" w:type="pct"/>
            <w:tcBorders>
              <w:top w:val="single" w:sz="4" w:space="0" w:color="auto"/>
              <w:left w:val="single" w:sz="4" w:space="0" w:color="auto"/>
              <w:bottom w:val="single" w:sz="4" w:space="0" w:color="auto"/>
              <w:right w:val="single" w:sz="4" w:space="0" w:color="auto"/>
            </w:tcBorders>
            <w:hideMark/>
          </w:tcPr>
          <w:p w14:paraId="1A07D51A"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(.00029)</w:t>
            </w:r>
          </w:p>
        </w:tc>
        <w:tc>
          <w:tcPr>
            <w:tcW w:w="673" w:type="pct"/>
            <w:tcBorders>
              <w:top w:val="single" w:sz="4" w:space="0" w:color="auto"/>
              <w:left w:val="single" w:sz="4" w:space="0" w:color="auto"/>
              <w:bottom w:val="single" w:sz="4" w:space="0" w:color="auto"/>
              <w:right w:val="single" w:sz="4" w:space="0" w:color="auto"/>
            </w:tcBorders>
            <w:hideMark/>
          </w:tcPr>
          <w:p w14:paraId="3986F5A7"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(.00014)</w:t>
            </w:r>
          </w:p>
        </w:tc>
        <w:tc>
          <w:tcPr>
            <w:tcW w:w="671" w:type="pct"/>
            <w:tcBorders>
              <w:top w:val="single" w:sz="4" w:space="0" w:color="auto"/>
              <w:left w:val="single" w:sz="4" w:space="0" w:color="auto"/>
              <w:bottom w:val="single" w:sz="4" w:space="0" w:color="auto"/>
              <w:right w:val="single" w:sz="4" w:space="0" w:color="auto"/>
            </w:tcBorders>
            <w:hideMark/>
          </w:tcPr>
          <w:p w14:paraId="098ACBC8"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(.00039)</w:t>
            </w:r>
          </w:p>
        </w:tc>
        <w:tc>
          <w:tcPr>
            <w:tcW w:w="666" w:type="pct"/>
            <w:tcBorders>
              <w:top w:val="single" w:sz="4" w:space="0" w:color="auto"/>
              <w:left w:val="single" w:sz="4" w:space="0" w:color="auto"/>
              <w:bottom w:val="single" w:sz="4" w:space="0" w:color="auto"/>
              <w:right w:val="single" w:sz="4" w:space="0" w:color="auto"/>
            </w:tcBorders>
            <w:hideMark/>
          </w:tcPr>
          <w:p w14:paraId="2CB86F68"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(.0002)</w:t>
            </w:r>
          </w:p>
        </w:tc>
      </w:tr>
      <w:tr w:rsidR="00AB5818" w:rsidRPr="00AB5818" w14:paraId="08F9AB95"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3FC45856"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Joint Test (p-value)</w:t>
            </w:r>
          </w:p>
        </w:tc>
        <w:tc>
          <w:tcPr>
            <w:tcW w:w="809" w:type="pct"/>
            <w:tcBorders>
              <w:top w:val="single" w:sz="4" w:space="0" w:color="auto"/>
              <w:left w:val="single" w:sz="4" w:space="0" w:color="auto"/>
              <w:bottom w:val="single" w:sz="4" w:space="0" w:color="auto"/>
              <w:right w:val="single" w:sz="4" w:space="0" w:color="auto"/>
            </w:tcBorders>
            <w:hideMark/>
          </w:tcPr>
          <w:p w14:paraId="6A7DBED2" w14:textId="77777777" w:rsidR="00AB5818" w:rsidRPr="00271798" w:rsidRDefault="00AB5818" w:rsidP="002E4B8A">
            <w:pPr>
              <w:spacing w:line="240" w:lineRule="auto"/>
              <w:rPr>
                <w:rFonts w:eastAsia="Calibri" w:cs="Times New Roman"/>
                <w:sz w:val="20"/>
                <w:szCs w:val="20"/>
                <w:lang/>
              </w:rPr>
            </w:pPr>
            <w:r w:rsidRPr="00271798">
              <w:rPr>
                <w:rFonts w:eastAsia="Calibri" w:cs="Times New Roman"/>
                <w:sz w:val="20"/>
                <w:szCs w:val="20"/>
              </w:rPr>
              <w:t>0.0021</w:t>
            </w:r>
          </w:p>
        </w:tc>
        <w:tc>
          <w:tcPr>
            <w:tcW w:w="673" w:type="pct"/>
            <w:tcBorders>
              <w:top w:val="single" w:sz="4" w:space="0" w:color="auto"/>
              <w:left w:val="single" w:sz="4" w:space="0" w:color="auto"/>
              <w:bottom w:val="single" w:sz="4" w:space="0" w:color="auto"/>
              <w:right w:val="single" w:sz="4" w:space="0" w:color="auto"/>
            </w:tcBorders>
            <w:hideMark/>
          </w:tcPr>
          <w:p w14:paraId="750E677C" w14:textId="77777777" w:rsidR="00AB5818" w:rsidRPr="00271798" w:rsidRDefault="00AB5818" w:rsidP="002E4B8A">
            <w:pPr>
              <w:widowControl w:val="0"/>
              <w:autoSpaceDE w:val="0"/>
              <w:autoSpaceDN w:val="0"/>
              <w:adjustRightInd w:val="0"/>
              <w:spacing w:line="240" w:lineRule="auto"/>
              <w:rPr>
                <w:rFonts w:eastAsia="Calibri" w:cs="Times New Roman"/>
                <w:sz w:val="20"/>
                <w:szCs w:val="20"/>
              </w:rPr>
            </w:pPr>
            <w:r w:rsidRPr="00271798">
              <w:rPr>
                <w:rFonts w:eastAsia="Calibri" w:cs="Times New Roman"/>
                <w:sz w:val="20"/>
                <w:szCs w:val="20"/>
              </w:rPr>
              <w:t>0.1147</w:t>
            </w:r>
          </w:p>
        </w:tc>
        <w:tc>
          <w:tcPr>
            <w:tcW w:w="672" w:type="pct"/>
            <w:tcBorders>
              <w:top w:val="single" w:sz="4" w:space="0" w:color="auto"/>
              <w:left w:val="single" w:sz="4" w:space="0" w:color="auto"/>
              <w:bottom w:val="single" w:sz="4" w:space="0" w:color="auto"/>
              <w:right w:val="single" w:sz="4" w:space="0" w:color="auto"/>
            </w:tcBorders>
            <w:hideMark/>
          </w:tcPr>
          <w:p w14:paraId="44A50126" w14:textId="77777777" w:rsidR="00AB5818" w:rsidRPr="00271798" w:rsidRDefault="00AB5818" w:rsidP="002E4B8A">
            <w:pPr>
              <w:widowControl w:val="0"/>
              <w:autoSpaceDE w:val="0"/>
              <w:autoSpaceDN w:val="0"/>
              <w:adjustRightInd w:val="0"/>
              <w:spacing w:line="240" w:lineRule="auto"/>
              <w:rPr>
                <w:rFonts w:eastAsia="Calibri" w:cs="Times New Roman"/>
                <w:sz w:val="20"/>
                <w:szCs w:val="20"/>
              </w:rPr>
            </w:pPr>
            <w:r w:rsidRPr="00271798">
              <w:rPr>
                <w:rFonts w:eastAsia="Calibri" w:cs="Times New Roman"/>
                <w:sz w:val="20"/>
                <w:szCs w:val="20"/>
              </w:rPr>
              <w:t>0.0183</w:t>
            </w:r>
          </w:p>
        </w:tc>
        <w:tc>
          <w:tcPr>
            <w:tcW w:w="673" w:type="pct"/>
            <w:tcBorders>
              <w:top w:val="single" w:sz="4" w:space="0" w:color="auto"/>
              <w:left w:val="single" w:sz="4" w:space="0" w:color="auto"/>
              <w:bottom w:val="single" w:sz="4" w:space="0" w:color="auto"/>
              <w:right w:val="single" w:sz="4" w:space="0" w:color="auto"/>
            </w:tcBorders>
            <w:hideMark/>
          </w:tcPr>
          <w:p w14:paraId="0929E773" w14:textId="77777777" w:rsidR="00AB5818" w:rsidRPr="00271798" w:rsidRDefault="00AB5818" w:rsidP="002E4B8A">
            <w:pPr>
              <w:widowControl w:val="0"/>
              <w:autoSpaceDE w:val="0"/>
              <w:autoSpaceDN w:val="0"/>
              <w:adjustRightInd w:val="0"/>
              <w:spacing w:line="240" w:lineRule="auto"/>
              <w:rPr>
                <w:rFonts w:eastAsia="Calibri" w:cs="Times New Roman"/>
                <w:sz w:val="20"/>
                <w:szCs w:val="20"/>
              </w:rPr>
            </w:pPr>
            <w:r w:rsidRPr="00271798">
              <w:rPr>
                <w:rFonts w:eastAsia="Calibri" w:cs="Times New Roman"/>
                <w:sz w:val="20"/>
                <w:szCs w:val="20"/>
              </w:rPr>
              <w:t>0.7188</w:t>
            </w:r>
          </w:p>
        </w:tc>
        <w:tc>
          <w:tcPr>
            <w:tcW w:w="671" w:type="pct"/>
            <w:tcBorders>
              <w:top w:val="single" w:sz="4" w:space="0" w:color="auto"/>
              <w:left w:val="single" w:sz="4" w:space="0" w:color="auto"/>
              <w:bottom w:val="single" w:sz="4" w:space="0" w:color="auto"/>
              <w:right w:val="single" w:sz="4" w:space="0" w:color="auto"/>
            </w:tcBorders>
            <w:hideMark/>
          </w:tcPr>
          <w:p w14:paraId="27A0D5AF" w14:textId="77777777" w:rsidR="00AB5818" w:rsidRPr="00271798" w:rsidRDefault="00AB5818" w:rsidP="002E4B8A">
            <w:pPr>
              <w:widowControl w:val="0"/>
              <w:autoSpaceDE w:val="0"/>
              <w:autoSpaceDN w:val="0"/>
              <w:adjustRightInd w:val="0"/>
              <w:spacing w:line="240" w:lineRule="auto"/>
              <w:rPr>
                <w:rFonts w:eastAsia="Calibri" w:cs="Times New Roman"/>
                <w:sz w:val="20"/>
                <w:szCs w:val="20"/>
                <w:lang/>
              </w:rPr>
            </w:pPr>
            <w:r w:rsidRPr="00271798">
              <w:rPr>
                <w:rFonts w:eastAsia="Calibri" w:cs="Times New Roman"/>
                <w:sz w:val="20"/>
                <w:szCs w:val="20"/>
              </w:rPr>
              <w:t>0.1020</w:t>
            </w:r>
          </w:p>
        </w:tc>
        <w:tc>
          <w:tcPr>
            <w:tcW w:w="666" w:type="pct"/>
            <w:tcBorders>
              <w:top w:val="single" w:sz="4" w:space="0" w:color="auto"/>
              <w:left w:val="single" w:sz="4" w:space="0" w:color="auto"/>
              <w:bottom w:val="single" w:sz="4" w:space="0" w:color="auto"/>
              <w:right w:val="single" w:sz="4" w:space="0" w:color="auto"/>
            </w:tcBorders>
            <w:hideMark/>
          </w:tcPr>
          <w:p w14:paraId="6032692C" w14:textId="77777777" w:rsidR="00AB5818" w:rsidRPr="00271798" w:rsidRDefault="00AB5818" w:rsidP="002E4B8A">
            <w:pPr>
              <w:widowControl w:val="0"/>
              <w:autoSpaceDE w:val="0"/>
              <w:autoSpaceDN w:val="0"/>
              <w:adjustRightInd w:val="0"/>
              <w:spacing w:line="240" w:lineRule="auto"/>
              <w:rPr>
                <w:rFonts w:eastAsia="Calibri" w:cs="Times New Roman"/>
                <w:sz w:val="20"/>
                <w:szCs w:val="20"/>
                <w:lang/>
              </w:rPr>
            </w:pPr>
            <w:r w:rsidRPr="00271798">
              <w:rPr>
                <w:rFonts w:eastAsia="Calibri" w:cs="Times New Roman"/>
                <w:sz w:val="20"/>
                <w:szCs w:val="20"/>
              </w:rPr>
              <w:t>0.5826</w:t>
            </w:r>
          </w:p>
        </w:tc>
      </w:tr>
      <w:tr w:rsidR="00AB5818" w:rsidRPr="00AB5818" w14:paraId="13F0D2F0"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6D382A80"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State FE</w:t>
            </w:r>
          </w:p>
        </w:tc>
        <w:tc>
          <w:tcPr>
            <w:tcW w:w="809" w:type="pct"/>
            <w:tcBorders>
              <w:top w:val="single" w:sz="4" w:space="0" w:color="auto"/>
              <w:left w:val="single" w:sz="4" w:space="0" w:color="auto"/>
              <w:bottom w:val="single" w:sz="4" w:space="0" w:color="auto"/>
              <w:right w:val="single" w:sz="4" w:space="0" w:color="auto"/>
            </w:tcBorders>
            <w:hideMark/>
          </w:tcPr>
          <w:p w14:paraId="1EC35342"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73" w:type="pct"/>
            <w:tcBorders>
              <w:top w:val="single" w:sz="4" w:space="0" w:color="auto"/>
              <w:left w:val="single" w:sz="4" w:space="0" w:color="auto"/>
              <w:bottom w:val="single" w:sz="4" w:space="0" w:color="auto"/>
              <w:right w:val="single" w:sz="4" w:space="0" w:color="auto"/>
            </w:tcBorders>
            <w:hideMark/>
          </w:tcPr>
          <w:p w14:paraId="465DCE0A"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c>
          <w:tcPr>
            <w:tcW w:w="672" w:type="pct"/>
            <w:tcBorders>
              <w:top w:val="single" w:sz="4" w:space="0" w:color="auto"/>
              <w:left w:val="single" w:sz="4" w:space="0" w:color="auto"/>
              <w:bottom w:val="single" w:sz="4" w:space="0" w:color="auto"/>
              <w:right w:val="single" w:sz="4" w:space="0" w:color="auto"/>
            </w:tcBorders>
            <w:hideMark/>
          </w:tcPr>
          <w:p w14:paraId="17B61EEA"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73" w:type="pct"/>
            <w:tcBorders>
              <w:top w:val="single" w:sz="4" w:space="0" w:color="auto"/>
              <w:left w:val="single" w:sz="4" w:space="0" w:color="auto"/>
              <w:bottom w:val="single" w:sz="4" w:space="0" w:color="auto"/>
              <w:right w:val="single" w:sz="4" w:space="0" w:color="auto"/>
            </w:tcBorders>
            <w:hideMark/>
          </w:tcPr>
          <w:p w14:paraId="40CCC336"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c>
          <w:tcPr>
            <w:tcW w:w="671" w:type="pct"/>
            <w:tcBorders>
              <w:top w:val="single" w:sz="4" w:space="0" w:color="auto"/>
              <w:left w:val="single" w:sz="4" w:space="0" w:color="auto"/>
              <w:bottom w:val="single" w:sz="4" w:space="0" w:color="auto"/>
              <w:right w:val="single" w:sz="4" w:space="0" w:color="auto"/>
            </w:tcBorders>
            <w:hideMark/>
          </w:tcPr>
          <w:p w14:paraId="0A69BE0B"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66" w:type="pct"/>
            <w:tcBorders>
              <w:top w:val="single" w:sz="4" w:space="0" w:color="auto"/>
              <w:left w:val="single" w:sz="4" w:space="0" w:color="auto"/>
              <w:bottom w:val="single" w:sz="4" w:space="0" w:color="auto"/>
              <w:right w:val="single" w:sz="4" w:space="0" w:color="auto"/>
            </w:tcBorders>
            <w:hideMark/>
          </w:tcPr>
          <w:p w14:paraId="15AC7428"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r>
      <w:tr w:rsidR="00AB5818" w:rsidRPr="00AB5818" w14:paraId="6AE43DF8"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18D901B4"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Year FE</w:t>
            </w:r>
          </w:p>
        </w:tc>
        <w:tc>
          <w:tcPr>
            <w:tcW w:w="809" w:type="pct"/>
            <w:tcBorders>
              <w:top w:val="single" w:sz="4" w:space="0" w:color="auto"/>
              <w:left w:val="single" w:sz="4" w:space="0" w:color="auto"/>
              <w:bottom w:val="single" w:sz="4" w:space="0" w:color="auto"/>
              <w:right w:val="single" w:sz="4" w:space="0" w:color="auto"/>
            </w:tcBorders>
            <w:hideMark/>
          </w:tcPr>
          <w:p w14:paraId="582318ED"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73" w:type="pct"/>
            <w:tcBorders>
              <w:top w:val="single" w:sz="4" w:space="0" w:color="auto"/>
              <w:left w:val="single" w:sz="4" w:space="0" w:color="auto"/>
              <w:bottom w:val="single" w:sz="4" w:space="0" w:color="auto"/>
              <w:right w:val="single" w:sz="4" w:space="0" w:color="auto"/>
            </w:tcBorders>
            <w:hideMark/>
          </w:tcPr>
          <w:p w14:paraId="55802153"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c>
          <w:tcPr>
            <w:tcW w:w="672" w:type="pct"/>
            <w:tcBorders>
              <w:top w:val="single" w:sz="4" w:space="0" w:color="auto"/>
              <w:left w:val="single" w:sz="4" w:space="0" w:color="auto"/>
              <w:bottom w:val="single" w:sz="4" w:space="0" w:color="auto"/>
              <w:right w:val="single" w:sz="4" w:space="0" w:color="auto"/>
            </w:tcBorders>
            <w:hideMark/>
          </w:tcPr>
          <w:p w14:paraId="2F8B5634"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73" w:type="pct"/>
            <w:tcBorders>
              <w:top w:val="single" w:sz="4" w:space="0" w:color="auto"/>
              <w:left w:val="single" w:sz="4" w:space="0" w:color="auto"/>
              <w:bottom w:val="single" w:sz="4" w:space="0" w:color="auto"/>
              <w:right w:val="single" w:sz="4" w:space="0" w:color="auto"/>
            </w:tcBorders>
            <w:hideMark/>
          </w:tcPr>
          <w:p w14:paraId="0F76D5B2"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c>
          <w:tcPr>
            <w:tcW w:w="671" w:type="pct"/>
            <w:tcBorders>
              <w:top w:val="single" w:sz="4" w:space="0" w:color="auto"/>
              <w:left w:val="single" w:sz="4" w:space="0" w:color="auto"/>
              <w:bottom w:val="single" w:sz="4" w:space="0" w:color="auto"/>
              <w:right w:val="single" w:sz="4" w:space="0" w:color="auto"/>
            </w:tcBorders>
            <w:hideMark/>
          </w:tcPr>
          <w:p w14:paraId="5CF0C81B"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66" w:type="pct"/>
            <w:tcBorders>
              <w:top w:val="single" w:sz="4" w:space="0" w:color="auto"/>
              <w:left w:val="single" w:sz="4" w:space="0" w:color="auto"/>
              <w:bottom w:val="single" w:sz="4" w:space="0" w:color="auto"/>
              <w:right w:val="single" w:sz="4" w:space="0" w:color="auto"/>
            </w:tcBorders>
            <w:hideMark/>
          </w:tcPr>
          <w:p w14:paraId="1C39A7BA"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r>
      <w:tr w:rsidR="00AB5818" w:rsidRPr="00AB5818" w14:paraId="28201488"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512A4429"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County FE</w:t>
            </w:r>
          </w:p>
        </w:tc>
        <w:tc>
          <w:tcPr>
            <w:tcW w:w="809" w:type="pct"/>
            <w:tcBorders>
              <w:top w:val="single" w:sz="4" w:space="0" w:color="auto"/>
              <w:left w:val="single" w:sz="4" w:space="0" w:color="auto"/>
              <w:bottom w:val="single" w:sz="4" w:space="0" w:color="auto"/>
              <w:right w:val="single" w:sz="4" w:space="0" w:color="auto"/>
            </w:tcBorders>
            <w:hideMark/>
          </w:tcPr>
          <w:p w14:paraId="5D85B67A"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73" w:type="pct"/>
            <w:tcBorders>
              <w:top w:val="single" w:sz="4" w:space="0" w:color="auto"/>
              <w:left w:val="single" w:sz="4" w:space="0" w:color="auto"/>
              <w:bottom w:val="single" w:sz="4" w:space="0" w:color="auto"/>
              <w:right w:val="single" w:sz="4" w:space="0" w:color="auto"/>
            </w:tcBorders>
            <w:hideMark/>
          </w:tcPr>
          <w:p w14:paraId="6DB66180"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c>
          <w:tcPr>
            <w:tcW w:w="672" w:type="pct"/>
            <w:tcBorders>
              <w:top w:val="single" w:sz="4" w:space="0" w:color="auto"/>
              <w:left w:val="single" w:sz="4" w:space="0" w:color="auto"/>
              <w:bottom w:val="single" w:sz="4" w:space="0" w:color="auto"/>
              <w:right w:val="single" w:sz="4" w:space="0" w:color="auto"/>
            </w:tcBorders>
            <w:hideMark/>
          </w:tcPr>
          <w:p w14:paraId="08C75D05"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73" w:type="pct"/>
            <w:tcBorders>
              <w:top w:val="single" w:sz="4" w:space="0" w:color="auto"/>
              <w:left w:val="single" w:sz="4" w:space="0" w:color="auto"/>
              <w:bottom w:val="single" w:sz="4" w:space="0" w:color="auto"/>
              <w:right w:val="single" w:sz="4" w:space="0" w:color="auto"/>
            </w:tcBorders>
            <w:hideMark/>
          </w:tcPr>
          <w:p w14:paraId="6348437C"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c>
          <w:tcPr>
            <w:tcW w:w="671" w:type="pct"/>
            <w:tcBorders>
              <w:top w:val="single" w:sz="4" w:space="0" w:color="auto"/>
              <w:left w:val="single" w:sz="4" w:space="0" w:color="auto"/>
              <w:bottom w:val="single" w:sz="4" w:space="0" w:color="auto"/>
              <w:right w:val="single" w:sz="4" w:space="0" w:color="auto"/>
            </w:tcBorders>
            <w:hideMark/>
          </w:tcPr>
          <w:p w14:paraId="6651CE80"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66" w:type="pct"/>
            <w:tcBorders>
              <w:top w:val="single" w:sz="4" w:space="0" w:color="auto"/>
              <w:left w:val="single" w:sz="4" w:space="0" w:color="auto"/>
              <w:bottom w:val="single" w:sz="4" w:space="0" w:color="auto"/>
              <w:right w:val="single" w:sz="4" w:space="0" w:color="auto"/>
            </w:tcBorders>
            <w:hideMark/>
          </w:tcPr>
          <w:p w14:paraId="6B6BF843"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r>
    </w:tbl>
    <w:p w14:paraId="71C07859" w14:textId="5D1EA5A4" w:rsidR="00AB5818" w:rsidRPr="000E300A" w:rsidRDefault="000E300A" w:rsidP="00CE0D78">
      <w:pPr>
        <w:spacing w:line="240" w:lineRule="auto"/>
        <w:rPr>
          <w:rFonts w:eastAsia="Calibri" w:cs="Times New Roman"/>
          <w:sz w:val="20"/>
          <w:szCs w:val="20"/>
        </w:rPr>
      </w:pPr>
      <w:r>
        <w:rPr>
          <w:rFonts w:eastAsia="Calibri" w:cs="Times New Roman"/>
          <w:sz w:val="20"/>
          <w:szCs w:val="20"/>
        </w:rPr>
        <w:t xml:space="preserve">Table A55: </w:t>
      </w:r>
      <w:r w:rsidR="00AB5818" w:rsidRPr="00AB5818">
        <w:rPr>
          <w:rFonts w:eastAsia="Calibri" w:cs="Times New Roman"/>
          <w:sz w:val="20"/>
          <w:szCs w:val="20"/>
          <w:lang/>
        </w:rPr>
        <w:t>Continuous range results for real estate and leasing, demonstrating the proportional influence of habitat overlap on sectoral outcomes.</w:t>
      </w:r>
      <w:r>
        <w:rPr>
          <w:rFonts w:eastAsia="Calibri" w:cs="Times New Roman"/>
          <w:sz w:val="20"/>
          <w:szCs w:val="20"/>
        </w:rPr>
        <w:t xml:space="preserve"> </w:t>
      </w:r>
      <w:r w:rsidRPr="000E300A">
        <w:rPr>
          <w:rFonts w:eastAsia="Calibri" w:cs="Times New Roman"/>
          <w:sz w:val="20"/>
          <w:szCs w:val="20"/>
        </w:rPr>
        <w:t>Statistically significant impacts are denoted by asterisks. These asterisks denote statistical significance at the following levels: ***p &lt; 0.01, **p &lt; 0.05, *p &lt; 0.1.</w:t>
      </w:r>
    </w:p>
    <w:p w14:paraId="5BD0D7D6" w14:textId="77777777" w:rsidR="00AB5818" w:rsidRPr="00AB5818" w:rsidRDefault="00AB5818" w:rsidP="00CE0D78">
      <w:pPr>
        <w:widowControl w:val="0"/>
        <w:autoSpaceDE w:val="0"/>
        <w:autoSpaceDN w:val="0"/>
        <w:adjustRightInd w:val="0"/>
        <w:spacing w:line="240" w:lineRule="auto"/>
        <w:rPr>
          <w:rFonts w:eastAsia="Calibri" w:cs="Times New Roman"/>
          <w:b/>
          <w:bCs/>
          <w:sz w:val="20"/>
          <w:szCs w:val="20"/>
        </w:rPr>
      </w:pPr>
    </w:p>
    <w:p w14:paraId="67D54AA2" w14:textId="23F480D3" w:rsidR="00922EC5" w:rsidRDefault="00922EC5" w:rsidP="00CE0D78">
      <w:pPr>
        <w:spacing w:line="240" w:lineRule="auto"/>
        <w:rPr>
          <w:b/>
          <w:bCs/>
          <w:kern w:val="2"/>
          <w:szCs w:val="20"/>
        </w:rPr>
      </w:pPr>
      <w:bookmarkStart w:id="760" w:name="_Toc188056065"/>
      <w:bookmarkStart w:id="761" w:name="_Toc188057149"/>
    </w:p>
    <w:p w14:paraId="75FED652" w14:textId="77777777" w:rsidR="00624082" w:rsidRDefault="00624082" w:rsidP="00CE0D78">
      <w:pPr>
        <w:spacing w:line="240" w:lineRule="auto"/>
        <w:rPr>
          <w:b/>
          <w:bCs/>
          <w:kern w:val="2"/>
          <w:szCs w:val="20"/>
        </w:rPr>
      </w:pPr>
    </w:p>
    <w:p w14:paraId="75F5053B" w14:textId="44CCB580" w:rsidR="00AB5818" w:rsidRPr="00AB5818" w:rsidRDefault="00AB5818" w:rsidP="00095E25">
      <w:pPr>
        <w:pStyle w:val="Title"/>
      </w:pPr>
      <w:bookmarkStart w:id="762" w:name="_Toc188359661"/>
      <w:bookmarkStart w:id="763" w:name="_Toc188359949"/>
      <w:bookmarkStart w:id="764" w:name="_Toc188361185"/>
      <w:bookmarkStart w:id="765" w:name="_Toc188367028"/>
      <w:r w:rsidRPr="00AB5818">
        <w:t>Table A</w:t>
      </w:r>
      <w:r w:rsidR="005E02DB">
        <w:t>5</w:t>
      </w:r>
      <w:r w:rsidRPr="00AB5818">
        <w:t xml:space="preserve">6: </w:t>
      </w:r>
      <w:r w:rsidR="002E1ED3">
        <w:rPr>
          <w:lang w:val="en-US"/>
        </w:rPr>
        <w:t xml:space="preserve">Summary of </w:t>
      </w:r>
      <w:r w:rsidR="002E1ED3" w:rsidRPr="00AB5818">
        <w:t xml:space="preserve">NAICS </w:t>
      </w:r>
      <w:r w:rsidR="002E1ED3">
        <w:rPr>
          <w:lang w:val="en-US"/>
        </w:rPr>
        <w:t xml:space="preserve">71 Regression Results </w:t>
      </w:r>
      <w:r w:rsidR="002E1ED3" w:rsidRPr="00AB5818">
        <w:t>–</w:t>
      </w:r>
      <w:r w:rsidR="002E1ED3">
        <w:rPr>
          <w:lang w:val="en-US"/>
        </w:rPr>
        <w:t xml:space="preserve"> </w:t>
      </w:r>
      <w:r w:rsidRPr="00AB5818">
        <w:t>Binary Range Indicator</w:t>
      </w:r>
      <w:bookmarkEnd w:id="760"/>
      <w:bookmarkEnd w:id="761"/>
      <w:bookmarkEnd w:id="762"/>
      <w:bookmarkEnd w:id="763"/>
      <w:bookmarkEnd w:id="764"/>
      <w:bookmarkEnd w:id="765"/>
    </w:p>
    <w:tbl>
      <w:tblPr>
        <w:tblW w:w="49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0"/>
        <w:gridCol w:w="1500"/>
        <w:gridCol w:w="1248"/>
        <w:gridCol w:w="1246"/>
        <w:gridCol w:w="1248"/>
        <w:gridCol w:w="1244"/>
        <w:gridCol w:w="1235"/>
      </w:tblGrid>
      <w:tr w:rsidR="00922EC5" w:rsidRPr="00AB5818" w14:paraId="391DC4A1"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53D69621" w14:textId="387F7FA7" w:rsidR="00922EC5" w:rsidRPr="00AB5818" w:rsidRDefault="00922EC5" w:rsidP="002E4B8A">
            <w:pPr>
              <w:widowControl w:val="0"/>
              <w:autoSpaceDE w:val="0"/>
              <w:autoSpaceDN w:val="0"/>
              <w:adjustRightInd w:val="0"/>
              <w:spacing w:line="240" w:lineRule="auto"/>
              <w:rPr>
                <w:rFonts w:eastAsia="Calibri" w:cs="Times New Roman"/>
                <w:b/>
                <w:bCs/>
                <w:sz w:val="20"/>
                <w:szCs w:val="20"/>
              </w:rPr>
            </w:pPr>
            <w:r w:rsidRPr="00922EC5">
              <w:rPr>
                <w:rFonts w:eastAsia="Calibri" w:cs="Times New Roman"/>
                <w:b/>
                <w:bCs/>
                <w:sz w:val="20"/>
                <w:szCs w:val="20"/>
              </w:rPr>
              <w:t>Variable</w:t>
            </w:r>
          </w:p>
        </w:tc>
        <w:tc>
          <w:tcPr>
            <w:tcW w:w="1482" w:type="pct"/>
            <w:gridSpan w:val="2"/>
            <w:tcBorders>
              <w:top w:val="single" w:sz="4" w:space="0" w:color="auto"/>
              <w:left w:val="single" w:sz="4" w:space="0" w:color="auto"/>
              <w:bottom w:val="single" w:sz="4" w:space="0" w:color="auto"/>
              <w:right w:val="single" w:sz="4" w:space="0" w:color="auto"/>
            </w:tcBorders>
            <w:hideMark/>
          </w:tcPr>
          <w:p w14:paraId="6A4A46D4" w14:textId="3A459BBF" w:rsidR="00922EC5" w:rsidRPr="00AB5818" w:rsidRDefault="00922EC5" w:rsidP="002E4B8A">
            <w:pPr>
              <w:widowControl w:val="0"/>
              <w:autoSpaceDE w:val="0"/>
              <w:autoSpaceDN w:val="0"/>
              <w:adjustRightInd w:val="0"/>
              <w:spacing w:line="240" w:lineRule="auto"/>
              <w:rPr>
                <w:rFonts w:eastAsia="Calibri" w:cs="Times New Roman"/>
                <w:b/>
                <w:bCs/>
                <w:color w:val="FF0000"/>
                <w:sz w:val="20"/>
                <w:szCs w:val="20"/>
                <w:highlight w:val="yellow"/>
              </w:rPr>
            </w:pPr>
            <w:r w:rsidRPr="00922EC5">
              <w:rPr>
                <w:rFonts w:cs="Times New Roman"/>
                <w:b/>
                <w:bCs/>
                <w:sz w:val="20"/>
                <w:szCs w:val="20"/>
              </w:rPr>
              <w:t>Establishment Count</w:t>
            </w:r>
          </w:p>
        </w:tc>
        <w:tc>
          <w:tcPr>
            <w:tcW w:w="1345" w:type="pct"/>
            <w:gridSpan w:val="2"/>
            <w:tcBorders>
              <w:top w:val="single" w:sz="4" w:space="0" w:color="auto"/>
              <w:left w:val="single" w:sz="4" w:space="0" w:color="auto"/>
              <w:bottom w:val="single" w:sz="4" w:space="0" w:color="auto"/>
              <w:right w:val="single" w:sz="4" w:space="0" w:color="auto"/>
            </w:tcBorders>
            <w:hideMark/>
          </w:tcPr>
          <w:p w14:paraId="3E8C20DC" w14:textId="69495537" w:rsidR="00922EC5" w:rsidRPr="00AB5818" w:rsidRDefault="00922EC5" w:rsidP="002E4B8A">
            <w:pPr>
              <w:widowControl w:val="0"/>
              <w:autoSpaceDE w:val="0"/>
              <w:autoSpaceDN w:val="0"/>
              <w:adjustRightInd w:val="0"/>
              <w:spacing w:line="240" w:lineRule="auto"/>
              <w:rPr>
                <w:rFonts w:eastAsia="Calibri" w:cs="Times New Roman"/>
                <w:b/>
                <w:bCs/>
                <w:color w:val="FF0000"/>
                <w:sz w:val="20"/>
                <w:szCs w:val="20"/>
                <w:highlight w:val="yellow"/>
              </w:rPr>
            </w:pPr>
            <w:r w:rsidRPr="00922EC5">
              <w:rPr>
                <w:rFonts w:cs="Times New Roman"/>
                <w:b/>
                <w:bCs/>
                <w:sz w:val="20"/>
                <w:szCs w:val="20"/>
              </w:rPr>
              <w:t>Job Count</w:t>
            </w:r>
          </w:p>
        </w:tc>
        <w:tc>
          <w:tcPr>
            <w:tcW w:w="1337" w:type="pct"/>
            <w:gridSpan w:val="2"/>
            <w:tcBorders>
              <w:top w:val="single" w:sz="4" w:space="0" w:color="auto"/>
              <w:left w:val="single" w:sz="4" w:space="0" w:color="auto"/>
              <w:bottom w:val="single" w:sz="4" w:space="0" w:color="auto"/>
              <w:right w:val="single" w:sz="4" w:space="0" w:color="auto"/>
            </w:tcBorders>
            <w:hideMark/>
          </w:tcPr>
          <w:p w14:paraId="20D57CB4" w14:textId="508B144F" w:rsidR="00922EC5" w:rsidRPr="00AB5818" w:rsidRDefault="00922EC5" w:rsidP="002E4B8A">
            <w:pPr>
              <w:widowControl w:val="0"/>
              <w:autoSpaceDE w:val="0"/>
              <w:autoSpaceDN w:val="0"/>
              <w:adjustRightInd w:val="0"/>
              <w:spacing w:line="240" w:lineRule="auto"/>
              <w:rPr>
                <w:rFonts w:eastAsia="Calibri" w:cs="Times New Roman"/>
                <w:b/>
                <w:bCs/>
                <w:color w:val="FF0000"/>
                <w:sz w:val="20"/>
                <w:szCs w:val="20"/>
                <w:highlight w:val="yellow"/>
              </w:rPr>
            </w:pPr>
            <w:r w:rsidRPr="00922EC5">
              <w:rPr>
                <w:rFonts w:cs="Times New Roman"/>
                <w:b/>
                <w:bCs/>
                <w:sz w:val="20"/>
                <w:szCs w:val="20"/>
              </w:rPr>
              <w:t>Sales Volume</w:t>
            </w:r>
          </w:p>
        </w:tc>
      </w:tr>
      <w:tr w:rsidR="00AB5818" w:rsidRPr="00AB5818" w14:paraId="05E4060C"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460D3A04"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Range</w:t>
            </w:r>
          </w:p>
        </w:tc>
        <w:tc>
          <w:tcPr>
            <w:tcW w:w="809" w:type="pct"/>
            <w:tcBorders>
              <w:top w:val="single" w:sz="4" w:space="0" w:color="auto"/>
              <w:left w:val="single" w:sz="4" w:space="0" w:color="auto"/>
              <w:bottom w:val="single" w:sz="4" w:space="0" w:color="auto"/>
              <w:right w:val="single" w:sz="4" w:space="0" w:color="auto"/>
            </w:tcBorders>
            <w:hideMark/>
          </w:tcPr>
          <w:p w14:paraId="04778A04" w14:textId="77777777" w:rsidR="00AB5818" w:rsidRPr="00AB5818" w:rsidRDefault="00AB5818" w:rsidP="002E4B8A">
            <w:pPr>
              <w:widowControl w:val="0"/>
              <w:autoSpaceDE w:val="0"/>
              <w:autoSpaceDN w:val="0"/>
              <w:adjustRightInd w:val="0"/>
              <w:spacing w:line="240" w:lineRule="auto"/>
              <w:rPr>
                <w:rFonts w:eastAsia="Calibri" w:cs="Times New Roman"/>
                <w:sz w:val="20"/>
                <w:szCs w:val="20"/>
                <w:highlight w:val="magenta"/>
              </w:rPr>
            </w:pPr>
            <w:r w:rsidRPr="00AB5818">
              <w:rPr>
                <w:rFonts w:eastAsia="Calibri" w:cs="Times New Roman"/>
                <w:sz w:val="20"/>
                <w:szCs w:val="20"/>
              </w:rPr>
              <w:t>.19922</w:t>
            </w:r>
          </w:p>
        </w:tc>
        <w:tc>
          <w:tcPr>
            <w:tcW w:w="673" w:type="pct"/>
            <w:tcBorders>
              <w:top w:val="single" w:sz="4" w:space="0" w:color="auto"/>
              <w:left w:val="single" w:sz="4" w:space="0" w:color="auto"/>
              <w:bottom w:val="single" w:sz="4" w:space="0" w:color="auto"/>
              <w:right w:val="single" w:sz="4" w:space="0" w:color="auto"/>
            </w:tcBorders>
            <w:hideMark/>
          </w:tcPr>
          <w:p w14:paraId="78F677C4" w14:textId="77777777" w:rsidR="00AB5818" w:rsidRPr="00AB5818" w:rsidRDefault="00AB5818" w:rsidP="002E4B8A">
            <w:pPr>
              <w:widowControl w:val="0"/>
              <w:autoSpaceDE w:val="0"/>
              <w:autoSpaceDN w:val="0"/>
              <w:adjustRightInd w:val="0"/>
              <w:spacing w:line="240" w:lineRule="auto"/>
              <w:rPr>
                <w:rFonts w:eastAsia="Calibri" w:cs="Times New Roman"/>
                <w:sz w:val="20"/>
                <w:szCs w:val="20"/>
                <w:highlight w:val="magenta"/>
              </w:rPr>
            </w:pPr>
            <w:r w:rsidRPr="00AB5818">
              <w:rPr>
                <w:rFonts w:eastAsia="Calibri" w:cs="Times New Roman"/>
                <w:sz w:val="20"/>
                <w:szCs w:val="20"/>
              </w:rPr>
              <w:t>.03915**</w:t>
            </w:r>
          </w:p>
        </w:tc>
        <w:tc>
          <w:tcPr>
            <w:tcW w:w="672" w:type="pct"/>
            <w:tcBorders>
              <w:top w:val="single" w:sz="4" w:space="0" w:color="auto"/>
              <w:left w:val="single" w:sz="4" w:space="0" w:color="auto"/>
              <w:bottom w:val="single" w:sz="4" w:space="0" w:color="auto"/>
              <w:right w:val="single" w:sz="4" w:space="0" w:color="auto"/>
            </w:tcBorders>
            <w:hideMark/>
          </w:tcPr>
          <w:p w14:paraId="225DA2E0"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.25905</w:t>
            </w:r>
          </w:p>
        </w:tc>
        <w:tc>
          <w:tcPr>
            <w:tcW w:w="673" w:type="pct"/>
            <w:tcBorders>
              <w:top w:val="single" w:sz="4" w:space="0" w:color="auto"/>
              <w:left w:val="single" w:sz="4" w:space="0" w:color="auto"/>
              <w:bottom w:val="single" w:sz="4" w:space="0" w:color="auto"/>
              <w:right w:val="single" w:sz="4" w:space="0" w:color="auto"/>
            </w:tcBorders>
            <w:hideMark/>
          </w:tcPr>
          <w:p w14:paraId="7D3E2AD6"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.59429**</w:t>
            </w:r>
          </w:p>
        </w:tc>
        <w:tc>
          <w:tcPr>
            <w:tcW w:w="671" w:type="pct"/>
            <w:tcBorders>
              <w:top w:val="single" w:sz="4" w:space="0" w:color="auto"/>
              <w:left w:val="single" w:sz="4" w:space="0" w:color="auto"/>
              <w:bottom w:val="single" w:sz="4" w:space="0" w:color="auto"/>
              <w:right w:val="single" w:sz="4" w:space="0" w:color="auto"/>
            </w:tcBorders>
            <w:hideMark/>
          </w:tcPr>
          <w:p w14:paraId="54FE4E2D"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.38819**</w:t>
            </w:r>
          </w:p>
        </w:tc>
        <w:tc>
          <w:tcPr>
            <w:tcW w:w="666" w:type="pct"/>
            <w:tcBorders>
              <w:top w:val="single" w:sz="4" w:space="0" w:color="auto"/>
              <w:left w:val="single" w:sz="4" w:space="0" w:color="auto"/>
              <w:bottom w:val="single" w:sz="4" w:space="0" w:color="auto"/>
              <w:right w:val="single" w:sz="4" w:space="0" w:color="auto"/>
            </w:tcBorders>
            <w:hideMark/>
          </w:tcPr>
          <w:p w14:paraId="3B09E6B2"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.31859**</w:t>
            </w:r>
          </w:p>
        </w:tc>
      </w:tr>
      <w:tr w:rsidR="00AB5818" w:rsidRPr="00AB5818" w14:paraId="75984292"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17C8A37F" w14:textId="0E50EDEE" w:rsidR="00AB5818" w:rsidRPr="00AB5818" w:rsidRDefault="00AB5818" w:rsidP="002E4B8A">
            <w:pPr>
              <w:widowControl w:val="0"/>
              <w:autoSpaceDE w:val="0"/>
              <w:autoSpaceDN w:val="0"/>
              <w:adjustRightInd w:val="0"/>
              <w:spacing w:line="240" w:lineRule="auto"/>
              <w:rPr>
                <w:rFonts w:eastAsia="Calibri" w:cs="Times New Roman"/>
                <w:sz w:val="20"/>
                <w:szCs w:val="20"/>
              </w:rPr>
            </w:pPr>
          </w:p>
        </w:tc>
        <w:tc>
          <w:tcPr>
            <w:tcW w:w="809" w:type="pct"/>
            <w:tcBorders>
              <w:top w:val="single" w:sz="4" w:space="0" w:color="auto"/>
              <w:left w:val="single" w:sz="4" w:space="0" w:color="auto"/>
              <w:bottom w:val="single" w:sz="4" w:space="0" w:color="auto"/>
              <w:right w:val="single" w:sz="4" w:space="0" w:color="auto"/>
            </w:tcBorders>
            <w:hideMark/>
          </w:tcPr>
          <w:p w14:paraId="07350E44"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(.15091)</w:t>
            </w:r>
          </w:p>
        </w:tc>
        <w:tc>
          <w:tcPr>
            <w:tcW w:w="673" w:type="pct"/>
            <w:tcBorders>
              <w:top w:val="single" w:sz="4" w:space="0" w:color="auto"/>
              <w:left w:val="single" w:sz="4" w:space="0" w:color="auto"/>
              <w:bottom w:val="single" w:sz="4" w:space="0" w:color="auto"/>
              <w:right w:val="single" w:sz="4" w:space="0" w:color="auto"/>
            </w:tcBorders>
            <w:hideMark/>
          </w:tcPr>
          <w:p w14:paraId="1970F2FD"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(.0179)</w:t>
            </w:r>
          </w:p>
        </w:tc>
        <w:tc>
          <w:tcPr>
            <w:tcW w:w="672" w:type="pct"/>
            <w:tcBorders>
              <w:top w:val="single" w:sz="4" w:space="0" w:color="auto"/>
              <w:left w:val="single" w:sz="4" w:space="0" w:color="auto"/>
              <w:bottom w:val="single" w:sz="4" w:space="0" w:color="auto"/>
              <w:right w:val="single" w:sz="4" w:space="0" w:color="auto"/>
            </w:tcBorders>
            <w:hideMark/>
          </w:tcPr>
          <w:p w14:paraId="1D2694CD"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(.18332)</w:t>
            </w:r>
          </w:p>
        </w:tc>
        <w:tc>
          <w:tcPr>
            <w:tcW w:w="673" w:type="pct"/>
            <w:tcBorders>
              <w:top w:val="single" w:sz="4" w:space="0" w:color="auto"/>
              <w:left w:val="single" w:sz="4" w:space="0" w:color="auto"/>
              <w:bottom w:val="single" w:sz="4" w:space="0" w:color="auto"/>
              <w:right w:val="single" w:sz="4" w:space="0" w:color="auto"/>
            </w:tcBorders>
            <w:hideMark/>
          </w:tcPr>
          <w:p w14:paraId="6C273B7C"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(.26945)</w:t>
            </w:r>
          </w:p>
        </w:tc>
        <w:tc>
          <w:tcPr>
            <w:tcW w:w="671" w:type="pct"/>
            <w:tcBorders>
              <w:top w:val="single" w:sz="4" w:space="0" w:color="auto"/>
              <w:left w:val="single" w:sz="4" w:space="0" w:color="auto"/>
              <w:bottom w:val="single" w:sz="4" w:space="0" w:color="auto"/>
              <w:right w:val="single" w:sz="4" w:space="0" w:color="auto"/>
            </w:tcBorders>
            <w:hideMark/>
          </w:tcPr>
          <w:p w14:paraId="3821FB09"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(.18785)</w:t>
            </w:r>
          </w:p>
        </w:tc>
        <w:tc>
          <w:tcPr>
            <w:tcW w:w="666" w:type="pct"/>
            <w:tcBorders>
              <w:top w:val="single" w:sz="4" w:space="0" w:color="auto"/>
              <w:left w:val="single" w:sz="4" w:space="0" w:color="auto"/>
              <w:bottom w:val="single" w:sz="4" w:space="0" w:color="auto"/>
              <w:right w:val="single" w:sz="4" w:space="0" w:color="auto"/>
            </w:tcBorders>
            <w:hideMark/>
          </w:tcPr>
          <w:p w14:paraId="0AA84CD5"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(.15913)</w:t>
            </w:r>
          </w:p>
        </w:tc>
      </w:tr>
      <w:tr w:rsidR="00AB5818" w:rsidRPr="00AB5818" w14:paraId="606F0877"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6D3EC7E8"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TSD * Range</w:t>
            </w:r>
          </w:p>
        </w:tc>
        <w:tc>
          <w:tcPr>
            <w:tcW w:w="809" w:type="pct"/>
            <w:tcBorders>
              <w:top w:val="single" w:sz="4" w:space="0" w:color="auto"/>
              <w:left w:val="single" w:sz="4" w:space="0" w:color="auto"/>
              <w:bottom w:val="single" w:sz="4" w:space="0" w:color="auto"/>
              <w:right w:val="single" w:sz="4" w:space="0" w:color="auto"/>
            </w:tcBorders>
            <w:hideMark/>
          </w:tcPr>
          <w:p w14:paraId="1C880CA4"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-.05783</w:t>
            </w:r>
          </w:p>
        </w:tc>
        <w:tc>
          <w:tcPr>
            <w:tcW w:w="673" w:type="pct"/>
            <w:tcBorders>
              <w:top w:val="single" w:sz="4" w:space="0" w:color="auto"/>
              <w:left w:val="single" w:sz="4" w:space="0" w:color="auto"/>
              <w:bottom w:val="single" w:sz="4" w:space="0" w:color="auto"/>
              <w:right w:val="single" w:sz="4" w:space="0" w:color="auto"/>
            </w:tcBorders>
            <w:hideMark/>
          </w:tcPr>
          <w:p w14:paraId="2A599EB6"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.02357</w:t>
            </w:r>
          </w:p>
        </w:tc>
        <w:tc>
          <w:tcPr>
            <w:tcW w:w="672" w:type="pct"/>
            <w:tcBorders>
              <w:top w:val="single" w:sz="4" w:space="0" w:color="auto"/>
              <w:left w:val="single" w:sz="4" w:space="0" w:color="auto"/>
              <w:bottom w:val="single" w:sz="4" w:space="0" w:color="auto"/>
              <w:right w:val="single" w:sz="4" w:space="0" w:color="auto"/>
            </w:tcBorders>
            <w:hideMark/>
          </w:tcPr>
          <w:p w14:paraId="4B2A6942"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.04284</w:t>
            </w:r>
          </w:p>
        </w:tc>
        <w:tc>
          <w:tcPr>
            <w:tcW w:w="673" w:type="pct"/>
            <w:tcBorders>
              <w:top w:val="single" w:sz="4" w:space="0" w:color="auto"/>
              <w:left w:val="single" w:sz="4" w:space="0" w:color="auto"/>
              <w:bottom w:val="single" w:sz="4" w:space="0" w:color="auto"/>
              <w:right w:val="single" w:sz="4" w:space="0" w:color="auto"/>
            </w:tcBorders>
            <w:hideMark/>
          </w:tcPr>
          <w:p w14:paraId="3514EB35"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-.04691</w:t>
            </w:r>
          </w:p>
        </w:tc>
        <w:tc>
          <w:tcPr>
            <w:tcW w:w="671" w:type="pct"/>
            <w:tcBorders>
              <w:top w:val="single" w:sz="4" w:space="0" w:color="auto"/>
              <w:left w:val="single" w:sz="4" w:space="0" w:color="auto"/>
              <w:bottom w:val="single" w:sz="4" w:space="0" w:color="auto"/>
              <w:right w:val="single" w:sz="4" w:space="0" w:color="auto"/>
            </w:tcBorders>
            <w:hideMark/>
          </w:tcPr>
          <w:p w14:paraId="7E902F1C"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.12682</w:t>
            </w:r>
          </w:p>
        </w:tc>
        <w:tc>
          <w:tcPr>
            <w:tcW w:w="666" w:type="pct"/>
            <w:tcBorders>
              <w:top w:val="single" w:sz="4" w:space="0" w:color="auto"/>
              <w:left w:val="single" w:sz="4" w:space="0" w:color="auto"/>
              <w:bottom w:val="single" w:sz="4" w:space="0" w:color="auto"/>
              <w:right w:val="single" w:sz="4" w:space="0" w:color="auto"/>
            </w:tcBorders>
            <w:hideMark/>
          </w:tcPr>
          <w:p w14:paraId="7C6C43B9"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.03687</w:t>
            </w:r>
          </w:p>
        </w:tc>
      </w:tr>
      <w:tr w:rsidR="00AB5818" w:rsidRPr="00AB5818" w14:paraId="1EA59FD3"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1EA4AB9A" w14:textId="51C48925" w:rsidR="00AB5818" w:rsidRPr="00AB5818" w:rsidRDefault="00AB5818" w:rsidP="002E4B8A">
            <w:pPr>
              <w:widowControl w:val="0"/>
              <w:autoSpaceDE w:val="0"/>
              <w:autoSpaceDN w:val="0"/>
              <w:adjustRightInd w:val="0"/>
              <w:spacing w:line="240" w:lineRule="auto"/>
              <w:rPr>
                <w:rFonts w:eastAsia="Calibri" w:cs="Times New Roman"/>
                <w:sz w:val="20"/>
                <w:szCs w:val="20"/>
              </w:rPr>
            </w:pPr>
          </w:p>
        </w:tc>
        <w:tc>
          <w:tcPr>
            <w:tcW w:w="809" w:type="pct"/>
            <w:tcBorders>
              <w:top w:val="single" w:sz="4" w:space="0" w:color="auto"/>
              <w:left w:val="single" w:sz="4" w:space="0" w:color="auto"/>
              <w:bottom w:val="single" w:sz="4" w:space="0" w:color="auto"/>
              <w:right w:val="single" w:sz="4" w:space="0" w:color="auto"/>
            </w:tcBorders>
            <w:hideMark/>
          </w:tcPr>
          <w:p w14:paraId="2E57FBC7"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(.04578)</w:t>
            </w:r>
          </w:p>
        </w:tc>
        <w:tc>
          <w:tcPr>
            <w:tcW w:w="673" w:type="pct"/>
            <w:tcBorders>
              <w:top w:val="single" w:sz="4" w:space="0" w:color="auto"/>
              <w:left w:val="single" w:sz="4" w:space="0" w:color="auto"/>
              <w:bottom w:val="single" w:sz="4" w:space="0" w:color="auto"/>
              <w:right w:val="single" w:sz="4" w:space="0" w:color="auto"/>
            </w:tcBorders>
            <w:hideMark/>
          </w:tcPr>
          <w:p w14:paraId="0062CA0D"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(.02603)</w:t>
            </w:r>
          </w:p>
        </w:tc>
        <w:tc>
          <w:tcPr>
            <w:tcW w:w="672" w:type="pct"/>
            <w:tcBorders>
              <w:top w:val="single" w:sz="4" w:space="0" w:color="auto"/>
              <w:left w:val="single" w:sz="4" w:space="0" w:color="auto"/>
              <w:bottom w:val="single" w:sz="4" w:space="0" w:color="auto"/>
              <w:right w:val="single" w:sz="4" w:space="0" w:color="auto"/>
            </w:tcBorders>
            <w:hideMark/>
          </w:tcPr>
          <w:p w14:paraId="68EE1682"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(.04496)</w:t>
            </w:r>
          </w:p>
        </w:tc>
        <w:tc>
          <w:tcPr>
            <w:tcW w:w="673" w:type="pct"/>
            <w:tcBorders>
              <w:top w:val="single" w:sz="4" w:space="0" w:color="auto"/>
              <w:left w:val="single" w:sz="4" w:space="0" w:color="auto"/>
              <w:bottom w:val="single" w:sz="4" w:space="0" w:color="auto"/>
              <w:right w:val="single" w:sz="4" w:space="0" w:color="auto"/>
            </w:tcBorders>
            <w:hideMark/>
          </w:tcPr>
          <w:p w14:paraId="10E26581"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(.0346)</w:t>
            </w:r>
          </w:p>
        </w:tc>
        <w:tc>
          <w:tcPr>
            <w:tcW w:w="671" w:type="pct"/>
            <w:tcBorders>
              <w:top w:val="single" w:sz="4" w:space="0" w:color="auto"/>
              <w:left w:val="single" w:sz="4" w:space="0" w:color="auto"/>
              <w:bottom w:val="single" w:sz="4" w:space="0" w:color="auto"/>
              <w:right w:val="single" w:sz="4" w:space="0" w:color="auto"/>
            </w:tcBorders>
            <w:hideMark/>
          </w:tcPr>
          <w:p w14:paraId="585CB36B"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(.1028)</w:t>
            </w:r>
          </w:p>
        </w:tc>
        <w:tc>
          <w:tcPr>
            <w:tcW w:w="666" w:type="pct"/>
            <w:tcBorders>
              <w:top w:val="single" w:sz="4" w:space="0" w:color="auto"/>
              <w:left w:val="single" w:sz="4" w:space="0" w:color="auto"/>
              <w:bottom w:val="single" w:sz="4" w:space="0" w:color="auto"/>
              <w:right w:val="single" w:sz="4" w:space="0" w:color="auto"/>
            </w:tcBorders>
            <w:hideMark/>
          </w:tcPr>
          <w:p w14:paraId="775BFA7E"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(.09621)</w:t>
            </w:r>
          </w:p>
        </w:tc>
      </w:tr>
      <w:tr w:rsidR="00AB5818" w:rsidRPr="00AB5818" w14:paraId="5887C6E1"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52F1126E"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Joint Test (p-value)</w:t>
            </w:r>
          </w:p>
        </w:tc>
        <w:tc>
          <w:tcPr>
            <w:tcW w:w="809" w:type="pct"/>
            <w:tcBorders>
              <w:top w:val="single" w:sz="4" w:space="0" w:color="auto"/>
              <w:left w:val="single" w:sz="4" w:space="0" w:color="auto"/>
              <w:bottom w:val="single" w:sz="4" w:space="0" w:color="auto"/>
              <w:right w:val="single" w:sz="4" w:space="0" w:color="auto"/>
            </w:tcBorders>
            <w:hideMark/>
          </w:tcPr>
          <w:p w14:paraId="055CE952" w14:textId="77777777" w:rsidR="00AB5818" w:rsidRPr="00271798" w:rsidRDefault="00AB5818" w:rsidP="002E4B8A">
            <w:pPr>
              <w:spacing w:line="240" w:lineRule="auto"/>
              <w:rPr>
                <w:rFonts w:eastAsia="Calibri" w:cs="Times New Roman"/>
                <w:sz w:val="20"/>
                <w:szCs w:val="20"/>
                <w:lang/>
              </w:rPr>
            </w:pPr>
            <w:r w:rsidRPr="00271798">
              <w:rPr>
                <w:rFonts w:eastAsia="Calibri" w:cs="Times New Roman"/>
                <w:sz w:val="20"/>
                <w:szCs w:val="20"/>
                <w:lang/>
              </w:rPr>
              <w:t>0.</w:t>
            </w:r>
            <w:r w:rsidRPr="00271798">
              <w:rPr>
                <w:rFonts w:eastAsia="Calibri" w:cs="Times New Roman"/>
                <w:sz w:val="20"/>
                <w:szCs w:val="20"/>
              </w:rPr>
              <w:t>3006</w:t>
            </w:r>
          </w:p>
        </w:tc>
        <w:tc>
          <w:tcPr>
            <w:tcW w:w="673" w:type="pct"/>
            <w:tcBorders>
              <w:top w:val="single" w:sz="4" w:space="0" w:color="auto"/>
              <w:left w:val="single" w:sz="4" w:space="0" w:color="auto"/>
              <w:bottom w:val="single" w:sz="4" w:space="0" w:color="auto"/>
              <w:right w:val="single" w:sz="4" w:space="0" w:color="auto"/>
            </w:tcBorders>
            <w:hideMark/>
          </w:tcPr>
          <w:p w14:paraId="586F9CB8" w14:textId="77777777" w:rsidR="00AB5818" w:rsidRPr="00271798" w:rsidRDefault="00AB5818" w:rsidP="002E4B8A">
            <w:pPr>
              <w:widowControl w:val="0"/>
              <w:autoSpaceDE w:val="0"/>
              <w:autoSpaceDN w:val="0"/>
              <w:adjustRightInd w:val="0"/>
              <w:spacing w:line="240" w:lineRule="auto"/>
              <w:rPr>
                <w:rFonts w:eastAsia="Calibri" w:cs="Times New Roman"/>
                <w:sz w:val="20"/>
                <w:szCs w:val="20"/>
              </w:rPr>
            </w:pPr>
            <w:r w:rsidRPr="00271798">
              <w:rPr>
                <w:rFonts w:eastAsia="Calibri" w:cs="Times New Roman"/>
                <w:sz w:val="20"/>
                <w:szCs w:val="20"/>
                <w:lang/>
              </w:rPr>
              <w:t>0.0</w:t>
            </w:r>
            <w:r w:rsidRPr="00271798">
              <w:rPr>
                <w:rFonts w:eastAsia="Calibri" w:cs="Times New Roman"/>
                <w:sz w:val="20"/>
                <w:szCs w:val="20"/>
              </w:rPr>
              <w:t>659</w:t>
            </w:r>
          </w:p>
        </w:tc>
        <w:tc>
          <w:tcPr>
            <w:tcW w:w="672" w:type="pct"/>
            <w:tcBorders>
              <w:top w:val="single" w:sz="4" w:space="0" w:color="auto"/>
              <w:left w:val="single" w:sz="4" w:space="0" w:color="auto"/>
              <w:bottom w:val="single" w:sz="4" w:space="0" w:color="auto"/>
              <w:right w:val="single" w:sz="4" w:space="0" w:color="auto"/>
            </w:tcBorders>
            <w:hideMark/>
          </w:tcPr>
          <w:p w14:paraId="4CDC25F2" w14:textId="77777777" w:rsidR="00AB5818" w:rsidRPr="00271798" w:rsidRDefault="00AB5818" w:rsidP="002E4B8A">
            <w:pPr>
              <w:widowControl w:val="0"/>
              <w:autoSpaceDE w:val="0"/>
              <w:autoSpaceDN w:val="0"/>
              <w:adjustRightInd w:val="0"/>
              <w:spacing w:line="240" w:lineRule="auto"/>
              <w:rPr>
                <w:rFonts w:eastAsia="Calibri" w:cs="Times New Roman"/>
                <w:sz w:val="20"/>
                <w:szCs w:val="20"/>
              </w:rPr>
            </w:pPr>
            <w:r w:rsidRPr="00271798">
              <w:rPr>
                <w:rFonts w:eastAsia="Calibri" w:cs="Times New Roman"/>
                <w:sz w:val="20"/>
                <w:szCs w:val="20"/>
              </w:rPr>
              <w:t>0.2498</w:t>
            </w:r>
          </w:p>
        </w:tc>
        <w:tc>
          <w:tcPr>
            <w:tcW w:w="673" w:type="pct"/>
            <w:tcBorders>
              <w:top w:val="single" w:sz="4" w:space="0" w:color="auto"/>
              <w:left w:val="single" w:sz="4" w:space="0" w:color="auto"/>
              <w:bottom w:val="single" w:sz="4" w:space="0" w:color="auto"/>
              <w:right w:val="single" w:sz="4" w:space="0" w:color="auto"/>
            </w:tcBorders>
            <w:hideMark/>
          </w:tcPr>
          <w:p w14:paraId="34A88C5B" w14:textId="77777777" w:rsidR="00AB5818" w:rsidRPr="00271798" w:rsidRDefault="00AB5818" w:rsidP="002E4B8A">
            <w:pPr>
              <w:widowControl w:val="0"/>
              <w:autoSpaceDE w:val="0"/>
              <w:autoSpaceDN w:val="0"/>
              <w:adjustRightInd w:val="0"/>
              <w:spacing w:line="240" w:lineRule="auto"/>
              <w:rPr>
                <w:rFonts w:eastAsia="Calibri" w:cs="Times New Roman"/>
                <w:sz w:val="20"/>
                <w:szCs w:val="20"/>
              </w:rPr>
            </w:pPr>
            <w:r w:rsidRPr="00271798">
              <w:rPr>
                <w:rFonts w:eastAsia="Calibri" w:cs="Times New Roman"/>
                <w:sz w:val="20"/>
                <w:szCs w:val="20"/>
              </w:rPr>
              <w:t>0.0046</w:t>
            </w:r>
          </w:p>
        </w:tc>
        <w:tc>
          <w:tcPr>
            <w:tcW w:w="671" w:type="pct"/>
            <w:tcBorders>
              <w:top w:val="single" w:sz="4" w:space="0" w:color="auto"/>
              <w:left w:val="single" w:sz="4" w:space="0" w:color="auto"/>
              <w:bottom w:val="single" w:sz="4" w:space="0" w:color="auto"/>
              <w:right w:val="single" w:sz="4" w:space="0" w:color="auto"/>
            </w:tcBorders>
            <w:hideMark/>
          </w:tcPr>
          <w:p w14:paraId="411D57EC" w14:textId="77777777" w:rsidR="00AB5818" w:rsidRPr="00271798" w:rsidRDefault="00AB5818" w:rsidP="002E4B8A">
            <w:pPr>
              <w:widowControl w:val="0"/>
              <w:autoSpaceDE w:val="0"/>
              <w:autoSpaceDN w:val="0"/>
              <w:adjustRightInd w:val="0"/>
              <w:spacing w:line="240" w:lineRule="auto"/>
              <w:rPr>
                <w:rFonts w:eastAsia="Calibri" w:cs="Times New Roman"/>
                <w:sz w:val="20"/>
                <w:szCs w:val="20"/>
                <w:lang/>
              </w:rPr>
            </w:pPr>
            <w:r w:rsidRPr="00271798">
              <w:rPr>
                <w:rFonts w:eastAsia="Calibri" w:cs="Times New Roman"/>
                <w:sz w:val="20"/>
                <w:szCs w:val="20"/>
                <w:lang/>
              </w:rPr>
              <w:t>0.0</w:t>
            </w:r>
            <w:r w:rsidRPr="00271798">
              <w:rPr>
                <w:rFonts w:eastAsia="Calibri" w:cs="Times New Roman"/>
                <w:sz w:val="20"/>
                <w:szCs w:val="20"/>
              </w:rPr>
              <w:t>753</w:t>
            </w:r>
          </w:p>
        </w:tc>
        <w:tc>
          <w:tcPr>
            <w:tcW w:w="666" w:type="pct"/>
            <w:tcBorders>
              <w:top w:val="single" w:sz="4" w:space="0" w:color="auto"/>
              <w:left w:val="single" w:sz="4" w:space="0" w:color="auto"/>
              <w:bottom w:val="single" w:sz="4" w:space="0" w:color="auto"/>
              <w:right w:val="single" w:sz="4" w:space="0" w:color="auto"/>
            </w:tcBorders>
            <w:hideMark/>
          </w:tcPr>
          <w:p w14:paraId="1DC2E2E9" w14:textId="77777777" w:rsidR="00AB5818" w:rsidRPr="00271798" w:rsidRDefault="00AB5818" w:rsidP="002E4B8A">
            <w:pPr>
              <w:widowControl w:val="0"/>
              <w:autoSpaceDE w:val="0"/>
              <w:autoSpaceDN w:val="0"/>
              <w:adjustRightInd w:val="0"/>
              <w:spacing w:line="240" w:lineRule="auto"/>
              <w:rPr>
                <w:rFonts w:eastAsia="Calibri" w:cs="Times New Roman"/>
                <w:sz w:val="20"/>
                <w:szCs w:val="20"/>
                <w:lang/>
              </w:rPr>
            </w:pPr>
            <w:r w:rsidRPr="00271798">
              <w:rPr>
                <w:rFonts w:eastAsia="Calibri" w:cs="Times New Roman"/>
                <w:sz w:val="20"/>
                <w:szCs w:val="20"/>
              </w:rPr>
              <w:t>0.0441</w:t>
            </w:r>
          </w:p>
        </w:tc>
      </w:tr>
      <w:tr w:rsidR="00AB5818" w:rsidRPr="00AB5818" w14:paraId="32D013E8"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6BE59574"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State FE</w:t>
            </w:r>
          </w:p>
        </w:tc>
        <w:tc>
          <w:tcPr>
            <w:tcW w:w="809" w:type="pct"/>
            <w:tcBorders>
              <w:top w:val="single" w:sz="4" w:space="0" w:color="auto"/>
              <w:left w:val="single" w:sz="4" w:space="0" w:color="auto"/>
              <w:bottom w:val="single" w:sz="4" w:space="0" w:color="auto"/>
              <w:right w:val="single" w:sz="4" w:space="0" w:color="auto"/>
            </w:tcBorders>
            <w:hideMark/>
          </w:tcPr>
          <w:p w14:paraId="61A37CAC"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73" w:type="pct"/>
            <w:tcBorders>
              <w:top w:val="single" w:sz="4" w:space="0" w:color="auto"/>
              <w:left w:val="single" w:sz="4" w:space="0" w:color="auto"/>
              <w:bottom w:val="single" w:sz="4" w:space="0" w:color="auto"/>
              <w:right w:val="single" w:sz="4" w:space="0" w:color="auto"/>
            </w:tcBorders>
            <w:hideMark/>
          </w:tcPr>
          <w:p w14:paraId="57F2C44D"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c>
          <w:tcPr>
            <w:tcW w:w="672" w:type="pct"/>
            <w:tcBorders>
              <w:top w:val="single" w:sz="4" w:space="0" w:color="auto"/>
              <w:left w:val="single" w:sz="4" w:space="0" w:color="auto"/>
              <w:bottom w:val="single" w:sz="4" w:space="0" w:color="auto"/>
              <w:right w:val="single" w:sz="4" w:space="0" w:color="auto"/>
            </w:tcBorders>
            <w:hideMark/>
          </w:tcPr>
          <w:p w14:paraId="17619471"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73" w:type="pct"/>
            <w:tcBorders>
              <w:top w:val="single" w:sz="4" w:space="0" w:color="auto"/>
              <w:left w:val="single" w:sz="4" w:space="0" w:color="auto"/>
              <w:bottom w:val="single" w:sz="4" w:space="0" w:color="auto"/>
              <w:right w:val="single" w:sz="4" w:space="0" w:color="auto"/>
            </w:tcBorders>
            <w:hideMark/>
          </w:tcPr>
          <w:p w14:paraId="15887E0F"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c>
          <w:tcPr>
            <w:tcW w:w="671" w:type="pct"/>
            <w:tcBorders>
              <w:top w:val="single" w:sz="4" w:space="0" w:color="auto"/>
              <w:left w:val="single" w:sz="4" w:space="0" w:color="auto"/>
              <w:bottom w:val="single" w:sz="4" w:space="0" w:color="auto"/>
              <w:right w:val="single" w:sz="4" w:space="0" w:color="auto"/>
            </w:tcBorders>
            <w:hideMark/>
          </w:tcPr>
          <w:p w14:paraId="3058B21C"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66" w:type="pct"/>
            <w:tcBorders>
              <w:top w:val="single" w:sz="4" w:space="0" w:color="auto"/>
              <w:left w:val="single" w:sz="4" w:space="0" w:color="auto"/>
              <w:bottom w:val="single" w:sz="4" w:space="0" w:color="auto"/>
              <w:right w:val="single" w:sz="4" w:space="0" w:color="auto"/>
            </w:tcBorders>
            <w:hideMark/>
          </w:tcPr>
          <w:p w14:paraId="55B5998A"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r>
      <w:tr w:rsidR="00AB5818" w:rsidRPr="00AB5818" w14:paraId="3107777C"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73987DC6"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Year FE</w:t>
            </w:r>
          </w:p>
        </w:tc>
        <w:tc>
          <w:tcPr>
            <w:tcW w:w="809" w:type="pct"/>
            <w:tcBorders>
              <w:top w:val="single" w:sz="4" w:space="0" w:color="auto"/>
              <w:left w:val="single" w:sz="4" w:space="0" w:color="auto"/>
              <w:bottom w:val="single" w:sz="4" w:space="0" w:color="auto"/>
              <w:right w:val="single" w:sz="4" w:space="0" w:color="auto"/>
            </w:tcBorders>
            <w:hideMark/>
          </w:tcPr>
          <w:p w14:paraId="3C1E149C"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73" w:type="pct"/>
            <w:tcBorders>
              <w:top w:val="single" w:sz="4" w:space="0" w:color="auto"/>
              <w:left w:val="single" w:sz="4" w:space="0" w:color="auto"/>
              <w:bottom w:val="single" w:sz="4" w:space="0" w:color="auto"/>
              <w:right w:val="single" w:sz="4" w:space="0" w:color="auto"/>
            </w:tcBorders>
            <w:hideMark/>
          </w:tcPr>
          <w:p w14:paraId="69096BED"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c>
          <w:tcPr>
            <w:tcW w:w="672" w:type="pct"/>
            <w:tcBorders>
              <w:top w:val="single" w:sz="4" w:space="0" w:color="auto"/>
              <w:left w:val="single" w:sz="4" w:space="0" w:color="auto"/>
              <w:bottom w:val="single" w:sz="4" w:space="0" w:color="auto"/>
              <w:right w:val="single" w:sz="4" w:space="0" w:color="auto"/>
            </w:tcBorders>
            <w:hideMark/>
          </w:tcPr>
          <w:p w14:paraId="297E5956"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73" w:type="pct"/>
            <w:tcBorders>
              <w:top w:val="single" w:sz="4" w:space="0" w:color="auto"/>
              <w:left w:val="single" w:sz="4" w:space="0" w:color="auto"/>
              <w:bottom w:val="single" w:sz="4" w:space="0" w:color="auto"/>
              <w:right w:val="single" w:sz="4" w:space="0" w:color="auto"/>
            </w:tcBorders>
            <w:hideMark/>
          </w:tcPr>
          <w:p w14:paraId="6F3603D8"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c>
          <w:tcPr>
            <w:tcW w:w="671" w:type="pct"/>
            <w:tcBorders>
              <w:top w:val="single" w:sz="4" w:space="0" w:color="auto"/>
              <w:left w:val="single" w:sz="4" w:space="0" w:color="auto"/>
              <w:bottom w:val="single" w:sz="4" w:space="0" w:color="auto"/>
              <w:right w:val="single" w:sz="4" w:space="0" w:color="auto"/>
            </w:tcBorders>
            <w:hideMark/>
          </w:tcPr>
          <w:p w14:paraId="063E59E0"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66" w:type="pct"/>
            <w:tcBorders>
              <w:top w:val="single" w:sz="4" w:space="0" w:color="auto"/>
              <w:left w:val="single" w:sz="4" w:space="0" w:color="auto"/>
              <w:bottom w:val="single" w:sz="4" w:space="0" w:color="auto"/>
              <w:right w:val="single" w:sz="4" w:space="0" w:color="auto"/>
            </w:tcBorders>
            <w:hideMark/>
          </w:tcPr>
          <w:p w14:paraId="210AA923"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r>
      <w:tr w:rsidR="00AB5818" w:rsidRPr="00AB5818" w14:paraId="3F4AAC79"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067FACBD"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County FE</w:t>
            </w:r>
          </w:p>
        </w:tc>
        <w:tc>
          <w:tcPr>
            <w:tcW w:w="809" w:type="pct"/>
            <w:tcBorders>
              <w:top w:val="single" w:sz="4" w:space="0" w:color="auto"/>
              <w:left w:val="single" w:sz="4" w:space="0" w:color="auto"/>
              <w:bottom w:val="single" w:sz="4" w:space="0" w:color="auto"/>
              <w:right w:val="single" w:sz="4" w:space="0" w:color="auto"/>
            </w:tcBorders>
            <w:hideMark/>
          </w:tcPr>
          <w:p w14:paraId="6B127638"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73" w:type="pct"/>
            <w:tcBorders>
              <w:top w:val="single" w:sz="4" w:space="0" w:color="auto"/>
              <w:left w:val="single" w:sz="4" w:space="0" w:color="auto"/>
              <w:bottom w:val="single" w:sz="4" w:space="0" w:color="auto"/>
              <w:right w:val="single" w:sz="4" w:space="0" w:color="auto"/>
            </w:tcBorders>
            <w:hideMark/>
          </w:tcPr>
          <w:p w14:paraId="3E4E3EF3"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c>
          <w:tcPr>
            <w:tcW w:w="672" w:type="pct"/>
            <w:tcBorders>
              <w:top w:val="single" w:sz="4" w:space="0" w:color="auto"/>
              <w:left w:val="single" w:sz="4" w:space="0" w:color="auto"/>
              <w:bottom w:val="single" w:sz="4" w:space="0" w:color="auto"/>
              <w:right w:val="single" w:sz="4" w:space="0" w:color="auto"/>
            </w:tcBorders>
            <w:hideMark/>
          </w:tcPr>
          <w:p w14:paraId="5AD1CCD0"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73" w:type="pct"/>
            <w:tcBorders>
              <w:top w:val="single" w:sz="4" w:space="0" w:color="auto"/>
              <w:left w:val="single" w:sz="4" w:space="0" w:color="auto"/>
              <w:bottom w:val="single" w:sz="4" w:space="0" w:color="auto"/>
              <w:right w:val="single" w:sz="4" w:space="0" w:color="auto"/>
            </w:tcBorders>
            <w:hideMark/>
          </w:tcPr>
          <w:p w14:paraId="3DAB2DEA"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c>
          <w:tcPr>
            <w:tcW w:w="671" w:type="pct"/>
            <w:tcBorders>
              <w:top w:val="single" w:sz="4" w:space="0" w:color="auto"/>
              <w:left w:val="single" w:sz="4" w:space="0" w:color="auto"/>
              <w:bottom w:val="single" w:sz="4" w:space="0" w:color="auto"/>
              <w:right w:val="single" w:sz="4" w:space="0" w:color="auto"/>
            </w:tcBorders>
            <w:hideMark/>
          </w:tcPr>
          <w:p w14:paraId="6B0D487D"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66" w:type="pct"/>
            <w:tcBorders>
              <w:top w:val="single" w:sz="4" w:space="0" w:color="auto"/>
              <w:left w:val="single" w:sz="4" w:space="0" w:color="auto"/>
              <w:bottom w:val="single" w:sz="4" w:space="0" w:color="auto"/>
              <w:right w:val="single" w:sz="4" w:space="0" w:color="auto"/>
            </w:tcBorders>
            <w:hideMark/>
          </w:tcPr>
          <w:p w14:paraId="77A2E57C"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r>
    </w:tbl>
    <w:p w14:paraId="2EC7837C" w14:textId="7D067494" w:rsidR="00AB5818" w:rsidRPr="000E300A" w:rsidRDefault="000E300A" w:rsidP="00CE0D78">
      <w:pPr>
        <w:widowControl w:val="0"/>
        <w:autoSpaceDE w:val="0"/>
        <w:autoSpaceDN w:val="0"/>
        <w:adjustRightInd w:val="0"/>
        <w:spacing w:line="240" w:lineRule="auto"/>
        <w:jc w:val="both"/>
        <w:rPr>
          <w:rFonts w:eastAsia="Calibri" w:cs="Times New Roman"/>
          <w:sz w:val="20"/>
          <w:szCs w:val="20"/>
        </w:rPr>
      </w:pPr>
      <w:r>
        <w:rPr>
          <w:rFonts w:eastAsia="Calibri" w:cs="Times New Roman"/>
          <w:sz w:val="20"/>
          <w:szCs w:val="20"/>
        </w:rPr>
        <w:t xml:space="preserve">Table A56: </w:t>
      </w:r>
      <w:r w:rsidR="00AB5818" w:rsidRPr="00AB5818">
        <w:rPr>
          <w:rFonts w:eastAsia="Calibri" w:cs="Times New Roman"/>
          <w:sz w:val="20"/>
          <w:szCs w:val="20"/>
          <w:lang/>
        </w:rPr>
        <w:t>Regression outputs for arts and entertainment using binary range measures, capturing sectoral economic adjustments post-delisting.</w:t>
      </w:r>
      <w:r>
        <w:rPr>
          <w:rFonts w:eastAsia="Calibri" w:cs="Times New Roman"/>
          <w:sz w:val="20"/>
          <w:szCs w:val="20"/>
        </w:rPr>
        <w:t xml:space="preserve"> </w:t>
      </w:r>
      <w:r w:rsidRPr="000E300A">
        <w:rPr>
          <w:rFonts w:eastAsia="Calibri" w:cs="Times New Roman"/>
          <w:sz w:val="20"/>
          <w:szCs w:val="20"/>
        </w:rPr>
        <w:t>Statistically significant impacts are denoted by asterisks. These asterisks denote statistical significance at the following levels: ***p &lt; 0.01, **p &lt; 0.05, *p &lt; 0.1.</w:t>
      </w:r>
    </w:p>
    <w:p w14:paraId="63FFBEFD" w14:textId="548AA199" w:rsidR="00AB5818" w:rsidRDefault="00AB5818" w:rsidP="00CE0D78">
      <w:pPr>
        <w:widowControl w:val="0"/>
        <w:autoSpaceDE w:val="0"/>
        <w:autoSpaceDN w:val="0"/>
        <w:adjustRightInd w:val="0"/>
        <w:spacing w:line="240" w:lineRule="auto"/>
        <w:rPr>
          <w:rFonts w:eastAsia="Calibri" w:cs="Times New Roman"/>
          <w:b/>
          <w:bCs/>
          <w:sz w:val="20"/>
          <w:szCs w:val="20"/>
        </w:rPr>
      </w:pPr>
    </w:p>
    <w:p w14:paraId="654ED237" w14:textId="533867F0" w:rsidR="00AB5818" w:rsidRPr="00AB5818" w:rsidRDefault="00AB5818" w:rsidP="00095E25">
      <w:pPr>
        <w:pStyle w:val="Title"/>
      </w:pPr>
      <w:bookmarkStart w:id="766" w:name="_Toc188056066"/>
      <w:bookmarkStart w:id="767" w:name="_Toc188057150"/>
      <w:bookmarkStart w:id="768" w:name="_Toc188359662"/>
      <w:bookmarkStart w:id="769" w:name="_Toc188359950"/>
      <w:bookmarkStart w:id="770" w:name="_Toc188361186"/>
      <w:bookmarkStart w:id="771" w:name="_Toc188367029"/>
      <w:r w:rsidRPr="00AB5818">
        <w:lastRenderedPageBreak/>
        <w:t>Table A</w:t>
      </w:r>
      <w:r w:rsidR="005E02DB">
        <w:t>5</w:t>
      </w:r>
      <w:r w:rsidRPr="00AB5818">
        <w:t xml:space="preserve">7: </w:t>
      </w:r>
      <w:r w:rsidR="002E1ED3">
        <w:rPr>
          <w:lang w:val="en-US"/>
        </w:rPr>
        <w:t xml:space="preserve">Summary of </w:t>
      </w:r>
      <w:r w:rsidR="002E1ED3" w:rsidRPr="00AB5818">
        <w:t xml:space="preserve">NAICS </w:t>
      </w:r>
      <w:r w:rsidR="002E1ED3">
        <w:rPr>
          <w:lang w:val="en-US"/>
        </w:rPr>
        <w:t>7</w:t>
      </w:r>
      <w:r w:rsidR="002E1ED3" w:rsidRPr="00AB5818">
        <w:t>1</w:t>
      </w:r>
      <w:r w:rsidR="002E1ED3">
        <w:rPr>
          <w:lang w:val="en-US"/>
        </w:rPr>
        <w:t xml:space="preserve"> Regression Results </w:t>
      </w:r>
      <w:r w:rsidR="002E1ED3" w:rsidRPr="00AB5818">
        <w:t>–</w:t>
      </w:r>
      <w:r w:rsidR="002E1ED3">
        <w:rPr>
          <w:lang w:val="en-US"/>
        </w:rPr>
        <w:t xml:space="preserve"> </w:t>
      </w:r>
      <w:r w:rsidRPr="00AB5818">
        <w:t>Continuous Range Indicator</w:t>
      </w:r>
      <w:bookmarkEnd w:id="766"/>
      <w:bookmarkEnd w:id="767"/>
      <w:bookmarkEnd w:id="768"/>
      <w:bookmarkEnd w:id="769"/>
      <w:bookmarkEnd w:id="770"/>
      <w:bookmarkEnd w:id="771"/>
    </w:p>
    <w:tbl>
      <w:tblPr>
        <w:tblW w:w="49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0"/>
        <w:gridCol w:w="1500"/>
        <w:gridCol w:w="1248"/>
        <w:gridCol w:w="1246"/>
        <w:gridCol w:w="1248"/>
        <w:gridCol w:w="1244"/>
        <w:gridCol w:w="1235"/>
      </w:tblGrid>
      <w:tr w:rsidR="00922EC5" w:rsidRPr="00AB5818" w14:paraId="591C240D"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1BE36DCF" w14:textId="7BCE276E" w:rsidR="00922EC5" w:rsidRPr="00AB5818" w:rsidRDefault="00922EC5" w:rsidP="002E4B8A">
            <w:pPr>
              <w:widowControl w:val="0"/>
              <w:autoSpaceDE w:val="0"/>
              <w:autoSpaceDN w:val="0"/>
              <w:adjustRightInd w:val="0"/>
              <w:spacing w:line="240" w:lineRule="auto"/>
              <w:rPr>
                <w:rFonts w:eastAsia="Calibri" w:cs="Times New Roman"/>
                <w:b/>
                <w:bCs/>
                <w:sz w:val="20"/>
                <w:szCs w:val="20"/>
              </w:rPr>
            </w:pPr>
            <w:r w:rsidRPr="00922EC5">
              <w:rPr>
                <w:rFonts w:eastAsia="Calibri" w:cs="Times New Roman"/>
                <w:b/>
                <w:bCs/>
                <w:sz w:val="20"/>
                <w:szCs w:val="20"/>
              </w:rPr>
              <w:t>Variable</w:t>
            </w:r>
          </w:p>
        </w:tc>
        <w:tc>
          <w:tcPr>
            <w:tcW w:w="1482" w:type="pct"/>
            <w:gridSpan w:val="2"/>
            <w:tcBorders>
              <w:top w:val="single" w:sz="4" w:space="0" w:color="auto"/>
              <w:left w:val="single" w:sz="4" w:space="0" w:color="auto"/>
              <w:bottom w:val="single" w:sz="4" w:space="0" w:color="auto"/>
              <w:right w:val="single" w:sz="4" w:space="0" w:color="auto"/>
            </w:tcBorders>
            <w:hideMark/>
          </w:tcPr>
          <w:p w14:paraId="7EF87244" w14:textId="417094B0" w:rsidR="00922EC5" w:rsidRPr="00AB5818" w:rsidRDefault="00922EC5" w:rsidP="002E4B8A">
            <w:pPr>
              <w:widowControl w:val="0"/>
              <w:autoSpaceDE w:val="0"/>
              <w:autoSpaceDN w:val="0"/>
              <w:adjustRightInd w:val="0"/>
              <w:spacing w:line="240" w:lineRule="auto"/>
              <w:rPr>
                <w:rFonts w:eastAsia="Calibri" w:cs="Times New Roman"/>
                <w:b/>
                <w:bCs/>
                <w:color w:val="FF0000"/>
                <w:sz w:val="20"/>
                <w:szCs w:val="20"/>
                <w:highlight w:val="yellow"/>
              </w:rPr>
            </w:pPr>
            <w:r w:rsidRPr="00922EC5">
              <w:rPr>
                <w:rFonts w:cs="Times New Roman"/>
                <w:b/>
                <w:bCs/>
                <w:sz w:val="20"/>
                <w:szCs w:val="20"/>
              </w:rPr>
              <w:t>Establishment Count</w:t>
            </w:r>
          </w:p>
        </w:tc>
        <w:tc>
          <w:tcPr>
            <w:tcW w:w="1345" w:type="pct"/>
            <w:gridSpan w:val="2"/>
            <w:tcBorders>
              <w:top w:val="single" w:sz="4" w:space="0" w:color="auto"/>
              <w:left w:val="single" w:sz="4" w:space="0" w:color="auto"/>
              <w:bottom w:val="single" w:sz="4" w:space="0" w:color="auto"/>
              <w:right w:val="single" w:sz="4" w:space="0" w:color="auto"/>
            </w:tcBorders>
            <w:hideMark/>
          </w:tcPr>
          <w:p w14:paraId="1C449344" w14:textId="3277D046" w:rsidR="00922EC5" w:rsidRPr="00AB5818" w:rsidRDefault="00922EC5" w:rsidP="002E4B8A">
            <w:pPr>
              <w:widowControl w:val="0"/>
              <w:autoSpaceDE w:val="0"/>
              <w:autoSpaceDN w:val="0"/>
              <w:adjustRightInd w:val="0"/>
              <w:spacing w:line="240" w:lineRule="auto"/>
              <w:rPr>
                <w:rFonts w:eastAsia="Calibri" w:cs="Times New Roman"/>
                <w:b/>
                <w:bCs/>
                <w:color w:val="FF0000"/>
                <w:sz w:val="20"/>
                <w:szCs w:val="20"/>
                <w:highlight w:val="yellow"/>
              </w:rPr>
            </w:pPr>
            <w:r w:rsidRPr="00922EC5">
              <w:rPr>
                <w:rFonts w:cs="Times New Roman"/>
                <w:b/>
                <w:bCs/>
                <w:sz w:val="20"/>
                <w:szCs w:val="20"/>
              </w:rPr>
              <w:t>Job Count</w:t>
            </w:r>
          </w:p>
        </w:tc>
        <w:tc>
          <w:tcPr>
            <w:tcW w:w="1337" w:type="pct"/>
            <w:gridSpan w:val="2"/>
            <w:tcBorders>
              <w:top w:val="single" w:sz="4" w:space="0" w:color="auto"/>
              <w:left w:val="single" w:sz="4" w:space="0" w:color="auto"/>
              <w:bottom w:val="single" w:sz="4" w:space="0" w:color="auto"/>
              <w:right w:val="single" w:sz="4" w:space="0" w:color="auto"/>
            </w:tcBorders>
            <w:hideMark/>
          </w:tcPr>
          <w:p w14:paraId="0DD25539" w14:textId="2A2D2122" w:rsidR="00922EC5" w:rsidRPr="00AB5818" w:rsidRDefault="00922EC5" w:rsidP="002E4B8A">
            <w:pPr>
              <w:widowControl w:val="0"/>
              <w:autoSpaceDE w:val="0"/>
              <w:autoSpaceDN w:val="0"/>
              <w:adjustRightInd w:val="0"/>
              <w:spacing w:line="240" w:lineRule="auto"/>
              <w:rPr>
                <w:rFonts w:eastAsia="Calibri" w:cs="Times New Roman"/>
                <w:b/>
                <w:bCs/>
                <w:color w:val="FF0000"/>
                <w:sz w:val="20"/>
                <w:szCs w:val="20"/>
                <w:highlight w:val="yellow"/>
              </w:rPr>
            </w:pPr>
            <w:r w:rsidRPr="00922EC5">
              <w:rPr>
                <w:rFonts w:cs="Times New Roman"/>
                <w:b/>
                <w:bCs/>
                <w:sz w:val="20"/>
                <w:szCs w:val="20"/>
              </w:rPr>
              <w:t>Sales Volume</w:t>
            </w:r>
          </w:p>
        </w:tc>
      </w:tr>
      <w:tr w:rsidR="00AB5818" w:rsidRPr="00AB5818" w14:paraId="6AF761D7"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279FF757"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Range</w:t>
            </w:r>
          </w:p>
        </w:tc>
        <w:tc>
          <w:tcPr>
            <w:tcW w:w="809" w:type="pct"/>
            <w:tcBorders>
              <w:top w:val="single" w:sz="4" w:space="0" w:color="auto"/>
              <w:left w:val="single" w:sz="4" w:space="0" w:color="auto"/>
              <w:bottom w:val="single" w:sz="4" w:space="0" w:color="auto"/>
              <w:right w:val="single" w:sz="4" w:space="0" w:color="auto"/>
            </w:tcBorders>
            <w:hideMark/>
          </w:tcPr>
          <w:p w14:paraId="3EE09EAB" w14:textId="77777777" w:rsidR="00AB5818" w:rsidRPr="00AB5818" w:rsidRDefault="00AB5818" w:rsidP="002E4B8A">
            <w:pPr>
              <w:widowControl w:val="0"/>
              <w:autoSpaceDE w:val="0"/>
              <w:autoSpaceDN w:val="0"/>
              <w:adjustRightInd w:val="0"/>
              <w:spacing w:line="240" w:lineRule="auto"/>
              <w:rPr>
                <w:rFonts w:eastAsia="Calibri" w:cs="Times New Roman"/>
                <w:sz w:val="20"/>
                <w:szCs w:val="20"/>
                <w:highlight w:val="magenta"/>
              </w:rPr>
            </w:pPr>
            <w:r w:rsidRPr="00AB5818">
              <w:rPr>
                <w:rFonts w:eastAsia="Calibri" w:cs="Times New Roman"/>
                <w:sz w:val="20"/>
                <w:szCs w:val="20"/>
              </w:rPr>
              <w:t>.00279**</w:t>
            </w:r>
          </w:p>
        </w:tc>
        <w:tc>
          <w:tcPr>
            <w:tcW w:w="673" w:type="pct"/>
            <w:tcBorders>
              <w:top w:val="single" w:sz="4" w:space="0" w:color="auto"/>
              <w:left w:val="single" w:sz="4" w:space="0" w:color="auto"/>
              <w:bottom w:val="single" w:sz="4" w:space="0" w:color="auto"/>
              <w:right w:val="single" w:sz="4" w:space="0" w:color="auto"/>
            </w:tcBorders>
            <w:hideMark/>
          </w:tcPr>
          <w:p w14:paraId="4A33ECB3" w14:textId="77777777" w:rsidR="00AB5818" w:rsidRPr="00AB5818" w:rsidRDefault="00AB5818" w:rsidP="002E4B8A">
            <w:pPr>
              <w:widowControl w:val="0"/>
              <w:autoSpaceDE w:val="0"/>
              <w:autoSpaceDN w:val="0"/>
              <w:adjustRightInd w:val="0"/>
              <w:spacing w:line="240" w:lineRule="auto"/>
              <w:rPr>
                <w:rFonts w:eastAsia="Calibri" w:cs="Times New Roman"/>
                <w:sz w:val="20"/>
                <w:szCs w:val="20"/>
                <w:highlight w:val="magenta"/>
              </w:rPr>
            </w:pPr>
            <w:r w:rsidRPr="00AB5818">
              <w:rPr>
                <w:rFonts w:eastAsia="Calibri" w:cs="Times New Roman"/>
                <w:sz w:val="20"/>
                <w:szCs w:val="20"/>
              </w:rPr>
              <w:t>.00023**</w:t>
            </w:r>
          </w:p>
        </w:tc>
        <w:tc>
          <w:tcPr>
            <w:tcW w:w="672" w:type="pct"/>
            <w:tcBorders>
              <w:top w:val="single" w:sz="4" w:space="0" w:color="auto"/>
              <w:left w:val="single" w:sz="4" w:space="0" w:color="auto"/>
              <w:bottom w:val="single" w:sz="4" w:space="0" w:color="auto"/>
              <w:right w:val="single" w:sz="4" w:space="0" w:color="auto"/>
            </w:tcBorders>
            <w:hideMark/>
          </w:tcPr>
          <w:p w14:paraId="450C5C0E"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.0045***</w:t>
            </w:r>
          </w:p>
        </w:tc>
        <w:tc>
          <w:tcPr>
            <w:tcW w:w="673" w:type="pct"/>
            <w:tcBorders>
              <w:top w:val="single" w:sz="4" w:space="0" w:color="auto"/>
              <w:left w:val="single" w:sz="4" w:space="0" w:color="auto"/>
              <w:bottom w:val="single" w:sz="4" w:space="0" w:color="auto"/>
              <w:right w:val="single" w:sz="4" w:space="0" w:color="auto"/>
            </w:tcBorders>
            <w:hideMark/>
          </w:tcPr>
          <w:p w14:paraId="06345470"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.00369*</w:t>
            </w:r>
          </w:p>
        </w:tc>
        <w:tc>
          <w:tcPr>
            <w:tcW w:w="671" w:type="pct"/>
            <w:tcBorders>
              <w:top w:val="single" w:sz="4" w:space="0" w:color="auto"/>
              <w:left w:val="single" w:sz="4" w:space="0" w:color="auto"/>
              <w:bottom w:val="single" w:sz="4" w:space="0" w:color="auto"/>
              <w:right w:val="single" w:sz="4" w:space="0" w:color="auto"/>
            </w:tcBorders>
            <w:hideMark/>
          </w:tcPr>
          <w:p w14:paraId="20980DE1"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.00557***</w:t>
            </w:r>
          </w:p>
        </w:tc>
        <w:tc>
          <w:tcPr>
            <w:tcW w:w="666" w:type="pct"/>
            <w:tcBorders>
              <w:top w:val="single" w:sz="4" w:space="0" w:color="auto"/>
              <w:left w:val="single" w:sz="4" w:space="0" w:color="auto"/>
              <w:bottom w:val="single" w:sz="4" w:space="0" w:color="auto"/>
              <w:right w:val="single" w:sz="4" w:space="0" w:color="auto"/>
            </w:tcBorders>
            <w:hideMark/>
          </w:tcPr>
          <w:p w14:paraId="04592544"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.00234**</w:t>
            </w:r>
          </w:p>
        </w:tc>
      </w:tr>
      <w:tr w:rsidR="00AB5818" w:rsidRPr="00AB5818" w14:paraId="22DC9A58"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2F716187" w14:textId="2ECBA2BE" w:rsidR="00AB5818" w:rsidRPr="00AB5818" w:rsidRDefault="00AB5818" w:rsidP="002E4B8A">
            <w:pPr>
              <w:widowControl w:val="0"/>
              <w:autoSpaceDE w:val="0"/>
              <w:autoSpaceDN w:val="0"/>
              <w:adjustRightInd w:val="0"/>
              <w:spacing w:line="240" w:lineRule="auto"/>
              <w:rPr>
                <w:rFonts w:eastAsia="Calibri" w:cs="Times New Roman"/>
                <w:sz w:val="20"/>
                <w:szCs w:val="20"/>
              </w:rPr>
            </w:pPr>
          </w:p>
        </w:tc>
        <w:tc>
          <w:tcPr>
            <w:tcW w:w="809" w:type="pct"/>
            <w:tcBorders>
              <w:top w:val="single" w:sz="4" w:space="0" w:color="auto"/>
              <w:left w:val="single" w:sz="4" w:space="0" w:color="auto"/>
              <w:bottom w:val="single" w:sz="4" w:space="0" w:color="auto"/>
              <w:right w:val="single" w:sz="4" w:space="0" w:color="auto"/>
            </w:tcBorders>
            <w:hideMark/>
          </w:tcPr>
          <w:p w14:paraId="2BB74B97"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(.00128)</w:t>
            </w:r>
          </w:p>
        </w:tc>
        <w:tc>
          <w:tcPr>
            <w:tcW w:w="673" w:type="pct"/>
            <w:tcBorders>
              <w:top w:val="single" w:sz="4" w:space="0" w:color="auto"/>
              <w:left w:val="single" w:sz="4" w:space="0" w:color="auto"/>
              <w:bottom w:val="single" w:sz="4" w:space="0" w:color="auto"/>
              <w:right w:val="single" w:sz="4" w:space="0" w:color="auto"/>
            </w:tcBorders>
            <w:hideMark/>
          </w:tcPr>
          <w:p w14:paraId="31DBA7A3"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(.0001)</w:t>
            </w:r>
          </w:p>
        </w:tc>
        <w:tc>
          <w:tcPr>
            <w:tcW w:w="672" w:type="pct"/>
            <w:tcBorders>
              <w:top w:val="single" w:sz="4" w:space="0" w:color="auto"/>
              <w:left w:val="single" w:sz="4" w:space="0" w:color="auto"/>
              <w:bottom w:val="single" w:sz="4" w:space="0" w:color="auto"/>
              <w:right w:val="single" w:sz="4" w:space="0" w:color="auto"/>
            </w:tcBorders>
            <w:hideMark/>
          </w:tcPr>
          <w:p w14:paraId="52BAF281"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(.0016)</w:t>
            </w:r>
          </w:p>
        </w:tc>
        <w:tc>
          <w:tcPr>
            <w:tcW w:w="673" w:type="pct"/>
            <w:tcBorders>
              <w:top w:val="single" w:sz="4" w:space="0" w:color="auto"/>
              <w:left w:val="single" w:sz="4" w:space="0" w:color="auto"/>
              <w:bottom w:val="single" w:sz="4" w:space="0" w:color="auto"/>
              <w:right w:val="single" w:sz="4" w:space="0" w:color="auto"/>
            </w:tcBorders>
            <w:hideMark/>
          </w:tcPr>
          <w:p w14:paraId="68F613FB"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(.00201)</w:t>
            </w:r>
          </w:p>
        </w:tc>
        <w:tc>
          <w:tcPr>
            <w:tcW w:w="671" w:type="pct"/>
            <w:tcBorders>
              <w:top w:val="single" w:sz="4" w:space="0" w:color="auto"/>
              <w:left w:val="single" w:sz="4" w:space="0" w:color="auto"/>
              <w:bottom w:val="single" w:sz="4" w:space="0" w:color="auto"/>
              <w:right w:val="single" w:sz="4" w:space="0" w:color="auto"/>
            </w:tcBorders>
            <w:hideMark/>
          </w:tcPr>
          <w:p w14:paraId="43696B36"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(.00155)</w:t>
            </w:r>
          </w:p>
        </w:tc>
        <w:tc>
          <w:tcPr>
            <w:tcW w:w="666" w:type="pct"/>
            <w:tcBorders>
              <w:top w:val="single" w:sz="4" w:space="0" w:color="auto"/>
              <w:left w:val="single" w:sz="4" w:space="0" w:color="auto"/>
              <w:bottom w:val="single" w:sz="4" w:space="0" w:color="auto"/>
              <w:right w:val="single" w:sz="4" w:space="0" w:color="auto"/>
            </w:tcBorders>
            <w:hideMark/>
          </w:tcPr>
          <w:p w14:paraId="3E42C717"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(.00107)</w:t>
            </w:r>
          </w:p>
        </w:tc>
      </w:tr>
      <w:tr w:rsidR="00AB5818" w:rsidRPr="00AB5818" w14:paraId="253C4CFD"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0419E568"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TSD * Range</w:t>
            </w:r>
          </w:p>
        </w:tc>
        <w:tc>
          <w:tcPr>
            <w:tcW w:w="809" w:type="pct"/>
            <w:tcBorders>
              <w:top w:val="single" w:sz="4" w:space="0" w:color="auto"/>
              <w:left w:val="single" w:sz="4" w:space="0" w:color="auto"/>
              <w:bottom w:val="single" w:sz="4" w:space="0" w:color="auto"/>
              <w:right w:val="single" w:sz="4" w:space="0" w:color="auto"/>
            </w:tcBorders>
            <w:hideMark/>
          </w:tcPr>
          <w:p w14:paraId="70828C89"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.00067*</w:t>
            </w:r>
          </w:p>
        </w:tc>
        <w:tc>
          <w:tcPr>
            <w:tcW w:w="673" w:type="pct"/>
            <w:tcBorders>
              <w:top w:val="single" w:sz="4" w:space="0" w:color="auto"/>
              <w:left w:val="single" w:sz="4" w:space="0" w:color="auto"/>
              <w:bottom w:val="single" w:sz="4" w:space="0" w:color="auto"/>
              <w:right w:val="single" w:sz="4" w:space="0" w:color="auto"/>
            </w:tcBorders>
            <w:hideMark/>
          </w:tcPr>
          <w:p w14:paraId="5B566817"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.00012</w:t>
            </w:r>
          </w:p>
        </w:tc>
        <w:tc>
          <w:tcPr>
            <w:tcW w:w="672" w:type="pct"/>
            <w:tcBorders>
              <w:top w:val="single" w:sz="4" w:space="0" w:color="auto"/>
              <w:left w:val="single" w:sz="4" w:space="0" w:color="auto"/>
              <w:bottom w:val="single" w:sz="4" w:space="0" w:color="auto"/>
              <w:right w:val="single" w:sz="4" w:space="0" w:color="auto"/>
            </w:tcBorders>
            <w:hideMark/>
          </w:tcPr>
          <w:p w14:paraId="1CE4322B"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.0002</w:t>
            </w:r>
          </w:p>
        </w:tc>
        <w:tc>
          <w:tcPr>
            <w:tcW w:w="673" w:type="pct"/>
            <w:tcBorders>
              <w:top w:val="single" w:sz="4" w:space="0" w:color="auto"/>
              <w:left w:val="single" w:sz="4" w:space="0" w:color="auto"/>
              <w:bottom w:val="single" w:sz="4" w:space="0" w:color="auto"/>
              <w:right w:val="single" w:sz="4" w:space="0" w:color="auto"/>
            </w:tcBorders>
            <w:hideMark/>
          </w:tcPr>
          <w:p w14:paraId="7965601A"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-.0003</w:t>
            </w:r>
          </w:p>
        </w:tc>
        <w:tc>
          <w:tcPr>
            <w:tcW w:w="671" w:type="pct"/>
            <w:tcBorders>
              <w:top w:val="single" w:sz="4" w:space="0" w:color="auto"/>
              <w:left w:val="single" w:sz="4" w:space="0" w:color="auto"/>
              <w:bottom w:val="single" w:sz="4" w:space="0" w:color="auto"/>
              <w:right w:val="single" w:sz="4" w:space="0" w:color="auto"/>
            </w:tcBorders>
            <w:hideMark/>
          </w:tcPr>
          <w:p w14:paraId="4124C666"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.00091</w:t>
            </w:r>
          </w:p>
        </w:tc>
        <w:tc>
          <w:tcPr>
            <w:tcW w:w="666" w:type="pct"/>
            <w:tcBorders>
              <w:top w:val="single" w:sz="4" w:space="0" w:color="auto"/>
              <w:left w:val="single" w:sz="4" w:space="0" w:color="auto"/>
              <w:bottom w:val="single" w:sz="4" w:space="0" w:color="auto"/>
              <w:right w:val="single" w:sz="4" w:space="0" w:color="auto"/>
            </w:tcBorders>
            <w:hideMark/>
          </w:tcPr>
          <w:p w14:paraId="3ADC01C2"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.00059</w:t>
            </w:r>
          </w:p>
        </w:tc>
      </w:tr>
      <w:tr w:rsidR="00AB5818" w:rsidRPr="00AB5818" w14:paraId="33630BD4"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156253C3" w14:textId="552F2F8F" w:rsidR="00AB5818" w:rsidRPr="00AB5818" w:rsidRDefault="00AB5818" w:rsidP="002E4B8A">
            <w:pPr>
              <w:widowControl w:val="0"/>
              <w:autoSpaceDE w:val="0"/>
              <w:autoSpaceDN w:val="0"/>
              <w:adjustRightInd w:val="0"/>
              <w:spacing w:line="240" w:lineRule="auto"/>
              <w:rPr>
                <w:rFonts w:eastAsia="Calibri" w:cs="Times New Roman"/>
                <w:sz w:val="20"/>
                <w:szCs w:val="20"/>
              </w:rPr>
            </w:pPr>
          </w:p>
        </w:tc>
        <w:tc>
          <w:tcPr>
            <w:tcW w:w="809" w:type="pct"/>
            <w:tcBorders>
              <w:top w:val="single" w:sz="4" w:space="0" w:color="auto"/>
              <w:left w:val="single" w:sz="4" w:space="0" w:color="auto"/>
              <w:bottom w:val="single" w:sz="4" w:space="0" w:color="auto"/>
              <w:right w:val="single" w:sz="4" w:space="0" w:color="auto"/>
            </w:tcBorders>
            <w:hideMark/>
          </w:tcPr>
          <w:p w14:paraId="78342F1C"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(.00036)</w:t>
            </w:r>
          </w:p>
        </w:tc>
        <w:tc>
          <w:tcPr>
            <w:tcW w:w="673" w:type="pct"/>
            <w:tcBorders>
              <w:top w:val="single" w:sz="4" w:space="0" w:color="auto"/>
              <w:left w:val="single" w:sz="4" w:space="0" w:color="auto"/>
              <w:bottom w:val="single" w:sz="4" w:space="0" w:color="auto"/>
              <w:right w:val="single" w:sz="4" w:space="0" w:color="auto"/>
            </w:tcBorders>
            <w:hideMark/>
          </w:tcPr>
          <w:p w14:paraId="05004C1F"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(.00019)</w:t>
            </w:r>
          </w:p>
        </w:tc>
        <w:tc>
          <w:tcPr>
            <w:tcW w:w="672" w:type="pct"/>
            <w:tcBorders>
              <w:top w:val="single" w:sz="4" w:space="0" w:color="auto"/>
              <w:left w:val="single" w:sz="4" w:space="0" w:color="auto"/>
              <w:bottom w:val="single" w:sz="4" w:space="0" w:color="auto"/>
              <w:right w:val="single" w:sz="4" w:space="0" w:color="auto"/>
            </w:tcBorders>
            <w:hideMark/>
          </w:tcPr>
          <w:p w14:paraId="7774F9FB"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(.00042)</w:t>
            </w:r>
          </w:p>
        </w:tc>
        <w:tc>
          <w:tcPr>
            <w:tcW w:w="673" w:type="pct"/>
            <w:tcBorders>
              <w:top w:val="single" w:sz="4" w:space="0" w:color="auto"/>
              <w:left w:val="single" w:sz="4" w:space="0" w:color="auto"/>
              <w:bottom w:val="single" w:sz="4" w:space="0" w:color="auto"/>
              <w:right w:val="single" w:sz="4" w:space="0" w:color="auto"/>
            </w:tcBorders>
            <w:hideMark/>
          </w:tcPr>
          <w:p w14:paraId="5DA6FF47"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(.00033)</w:t>
            </w:r>
          </w:p>
        </w:tc>
        <w:tc>
          <w:tcPr>
            <w:tcW w:w="671" w:type="pct"/>
            <w:tcBorders>
              <w:top w:val="single" w:sz="4" w:space="0" w:color="auto"/>
              <w:left w:val="single" w:sz="4" w:space="0" w:color="auto"/>
              <w:bottom w:val="single" w:sz="4" w:space="0" w:color="auto"/>
              <w:right w:val="single" w:sz="4" w:space="0" w:color="auto"/>
            </w:tcBorders>
            <w:hideMark/>
          </w:tcPr>
          <w:p w14:paraId="6A9C329D"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(.00091)</w:t>
            </w:r>
          </w:p>
        </w:tc>
        <w:tc>
          <w:tcPr>
            <w:tcW w:w="666" w:type="pct"/>
            <w:tcBorders>
              <w:top w:val="single" w:sz="4" w:space="0" w:color="auto"/>
              <w:left w:val="single" w:sz="4" w:space="0" w:color="auto"/>
              <w:bottom w:val="single" w:sz="4" w:space="0" w:color="auto"/>
              <w:right w:val="single" w:sz="4" w:space="0" w:color="auto"/>
            </w:tcBorders>
            <w:hideMark/>
          </w:tcPr>
          <w:p w14:paraId="054E997D"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(.00077)</w:t>
            </w:r>
          </w:p>
        </w:tc>
      </w:tr>
      <w:tr w:rsidR="00AB5818" w:rsidRPr="00AB5818" w14:paraId="006027AB"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79C99F6D"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Joint Test (p-value)</w:t>
            </w:r>
          </w:p>
        </w:tc>
        <w:tc>
          <w:tcPr>
            <w:tcW w:w="809" w:type="pct"/>
            <w:tcBorders>
              <w:top w:val="single" w:sz="4" w:space="0" w:color="auto"/>
              <w:left w:val="single" w:sz="4" w:space="0" w:color="auto"/>
              <w:bottom w:val="single" w:sz="4" w:space="0" w:color="auto"/>
              <w:right w:val="single" w:sz="4" w:space="0" w:color="auto"/>
            </w:tcBorders>
            <w:hideMark/>
          </w:tcPr>
          <w:p w14:paraId="46F60984" w14:textId="77777777" w:rsidR="00AB5818" w:rsidRPr="00271798" w:rsidRDefault="00AB5818" w:rsidP="002E4B8A">
            <w:pPr>
              <w:spacing w:line="240" w:lineRule="auto"/>
              <w:rPr>
                <w:rFonts w:eastAsia="Calibri" w:cs="Times New Roman"/>
                <w:sz w:val="20"/>
                <w:szCs w:val="20"/>
                <w:lang/>
              </w:rPr>
            </w:pPr>
            <w:r w:rsidRPr="00271798">
              <w:rPr>
                <w:rFonts w:eastAsia="Calibri" w:cs="Times New Roman"/>
                <w:sz w:val="20"/>
                <w:szCs w:val="20"/>
              </w:rPr>
              <w:t>0.0016</w:t>
            </w:r>
          </w:p>
        </w:tc>
        <w:tc>
          <w:tcPr>
            <w:tcW w:w="673" w:type="pct"/>
            <w:tcBorders>
              <w:top w:val="single" w:sz="4" w:space="0" w:color="auto"/>
              <w:left w:val="single" w:sz="4" w:space="0" w:color="auto"/>
              <w:bottom w:val="single" w:sz="4" w:space="0" w:color="auto"/>
              <w:right w:val="single" w:sz="4" w:space="0" w:color="auto"/>
            </w:tcBorders>
            <w:hideMark/>
          </w:tcPr>
          <w:p w14:paraId="67D7DC9A" w14:textId="77777777" w:rsidR="00AB5818" w:rsidRPr="00271798" w:rsidRDefault="00AB5818" w:rsidP="002E4B8A">
            <w:pPr>
              <w:widowControl w:val="0"/>
              <w:autoSpaceDE w:val="0"/>
              <w:autoSpaceDN w:val="0"/>
              <w:adjustRightInd w:val="0"/>
              <w:spacing w:line="240" w:lineRule="auto"/>
              <w:rPr>
                <w:rFonts w:eastAsia="Calibri" w:cs="Times New Roman"/>
                <w:sz w:val="20"/>
                <w:szCs w:val="20"/>
              </w:rPr>
            </w:pPr>
            <w:r w:rsidRPr="00271798">
              <w:rPr>
                <w:rFonts w:eastAsia="Calibri" w:cs="Times New Roman"/>
                <w:sz w:val="20"/>
                <w:szCs w:val="20"/>
              </w:rPr>
              <w:t>0.0906</w:t>
            </w:r>
          </w:p>
        </w:tc>
        <w:tc>
          <w:tcPr>
            <w:tcW w:w="672" w:type="pct"/>
            <w:tcBorders>
              <w:top w:val="single" w:sz="4" w:space="0" w:color="auto"/>
              <w:left w:val="single" w:sz="4" w:space="0" w:color="auto"/>
              <w:bottom w:val="single" w:sz="4" w:space="0" w:color="auto"/>
              <w:right w:val="single" w:sz="4" w:space="0" w:color="auto"/>
            </w:tcBorders>
            <w:hideMark/>
          </w:tcPr>
          <w:p w14:paraId="5F36DD01" w14:textId="77777777" w:rsidR="00AB5818" w:rsidRPr="00271798" w:rsidRDefault="00AB5818" w:rsidP="002E4B8A">
            <w:pPr>
              <w:widowControl w:val="0"/>
              <w:autoSpaceDE w:val="0"/>
              <w:autoSpaceDN w:val="0"/>
              <w:adjustRightInd w:val="0"/>
              <w:spacing w:line="240" w:lineRule="auto"/>
              <w:rPr>
                <w:rFonts w:eastAsia="Calibri" w:cs="Times New Roman"/>
                <w:sz w:val="20"/>
                <w:szCs w:val="20"/>
              </w:rPr>
            </w:pPr>
            <w:r w:rsidRPr="00271798">
              <w:rPr>
                <w:rFonts w:eastAsia="Calibri" w:cs="Times New Roman"/>
                <w:sz w:val="20"/>
                <w:szCs w:val="20"/>
              </w:rPr>
              <w:t>0.0179</w:t>
            </w:r>
          </w:p>
        </w:tc>
        <w:tc>
          <w:tcPr>
            <w:tcW w:w="673" w:type="pct"/>
            <w:tcBorders>
              <w:top w:val="single" w:sz="4" w:space="0" w:color="auto"/>
              <w:left w:val="single" w:sz="4" w:space="0" w:color="auto"/>
              <w:bottom w:val="single" w:sz="4" w:space="0" w:color="auto"/>
              <w:right w:val="single" w:sz="4" w:space="0" w:color="auto"/>
            </w:tcBorders>
            <w:hideMark/>
          </w:tcPr>
          <w:p w14:paraId="56C96021" w14:textId="77777777" w:rsidR="00AB5818" w:rsidRPr="00271798" w:rsidRDefault="00AB5818" w:rsidP="002E4B8A">
            <w:pPr>
              <w:widowControl w:val="0"/>
              <w:autoSpaceDE w:val="0"/>
              <w:autoSpaceDN w:val="0"/>
              <w:adjustRightInd w:val="0"/>
              <w:spacing w:line="240" w:lineRule="auto"/>
              <w:rPr>
                <w:rFonts w:eastAsia="Calibri" w:cs="Times New Roman"/>
                <w:sz w:val="20"/>
                <w:szCs w:val="20"/>
              </w:rPr>
            </w:pPr>
            <w:r w:rsidRPr="00271798">
              <w:rPr>
                <w:rFonts w:eastAsia="Calibri" w:cs="Times New Roman"/>
                <w:sz w:val="20"/>
                <w:szCs w:val="20"/>
              </w:rPr>
              <w:t>0.0468</w:t>
            </w:r>
          </w:p>
        </w:tc>
        <w:tc>
          <w:tcPr>
            <w:tcW w:w="671" w:type="pct"/>
            <w:tcBorders>
              <w:top w:val="single" w:sz="4" w:space="0" w:color="auto"/>
              <w:left w:val="single" w:sz="4" w:space="0" w:color="auto"/>
              <w:bottom w:val="single" w:sz="4" w:space="0" w:color="auto"/>
              <w:right w:val="single" w:sz="4" w:space="0" w:color="auto"/>
            </w:tcBorders>
            <w:hideMark/>
          </w:tcPr>
          <w:p w14:paraId="0679B9FE" w14:textId="77777777" w:rsidR="00AB5818" w:rsidRPr="00271798" w:rsidRDefault="00AB5818" w:rsidP="002E4B8A">
            <w:pPr>
              <w:widowControl w:val="0"/>
              <w:autoSpaceDE w:val="0"/>
              <w:autoSpaceDN w:val="0"/>
              <w:adjustRightInd w:val="0"/>
              <w:spacing w:line="240" w:lineRule="auto"/>
              <w:rPr>
                <w:rFonts w:eastAsia="Calibri" w:cs="Times New Roman"/>
                <w:sz w:val="20"/>
                <w:szCs w:val="20"/>
                <w:lang/>
              </w:rPr>
            </w:pPr>
            <w:r w:rsidRPr="00271798">
              <w:rPr>
                <w:rFonts w:eastAsia="Calibri" w:cs="Times New Roman"/>
                <w:sz w:val="20"/>
                <w:szCs w:val="20"/>
              </w:rPr>
              <w:t>0.0015</w:t>
            </w:r>
          </w:p>
        </w:tc>
        <w:tc>
          <w:tcPr>
            <w:tcW w:w="666" w:type="pct"/>
            <w:tcBorders>
              <w:top w:val="single" w:sz="4" w:space="0" w:color="auto"/>
              <w:left w:val="single" w:sz="4" w:space="0" w:color="auto"/>
              <w:bottom w:val="single" w:sz="4" w:space="0" w:color="auto"/>
              <w:right w:val="single" w:sz="4" w:space="0" w:color="auto"/>
            </w:tcBorders>
            <w:hideMark/>
          </w:tcPr>
          <w:p w14:paraId="06E0FD40" w14:textId="77777777" w:rsidR="00AB5818" w:rsidRPr="00271798" w:rsidRDefault="00AB5818" w:rsidP="002E4B8A">
            <w:pPr>
              <w:widowControl w:val="0"/>
              <w:autoSpaceDE w:val="0"/>
              <w:autoSpaceDN w:val="0"/>
              <w:adjustRightInd w:val="0"/>
              <w:spacing w:line="240" w:lineRule="auto"/>
              <w:rPr>
                <w:rFonts w:eastAsia="Calibri" w:cs="Times New Roman"/>
                <w:sz w:val="20"/>
                <w:szCs w:val="20"/>
                <w:lang/>
              </w:rPr>
            </w:pPr>
            <w:r w:rsidRPr="00271798">
              <w:rPr>
                <w:rFonts w:eastAsia="Calibri" w:cs="Times New Roman"/>
                <w:sz w:val="20"/>
                <w:szCs w:val="20"/>
              </w:rPr>
              <w:t>0.0465</w:t>
            </w:r>
          </w:p>
        </w:tc>
      </w:tr>
      <w:tr w:rsidR="00AB5818" w:rsidRPr="00AB5818" w14:paraId="65C8D315"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03DE6D11"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State FE</w:t>
            </w:r>
          </w:p>
        </w:tc>
        <w:tc>
          <w:tcPr>
            <w:tcW w:w="809" w:type="pct"/>
            <w:tcBorders>
              <w:top w:val="single" w:sz="4" w:space="0" w:color="auto"/>
              <w:left w:val="single" w:sz="4" w:space="0" w:color="auto"/>
              <w:bottom w:val="single" w:sz="4" w:space="0" w:color="auto"/>
              <w:right w:val="single" w:sz="4" w:space="0" w:color="auto"/>
            </w:tcBorders>
            <w:hideMark/>
          </w:tcPr>
          <w:p w14:paraId="070AE385"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73" w:type="pct"/>
            <w:tcBorders>
              <w:top w:val="single" w:sz="4" w:space="0" w:color="auto"/>
              <w:left w:val="single" w:sz="4" w:space="0" w:color="auto"/>
              <w:bottom w:val="single" w:sz="4" w:space="0" w:color="auto"/>
              <w:right w:val="single" w:sz="4" w:space="0" w:color="auto"/>
            </w:tcBorders>
            <w:hideMark/>
          </w:tcPr>
          <w:p w14:paraId="47C72BF6"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c>
          <w:tcPr>
            <w:tcW w:w="672" w:type="pct"/>
            <w:tcBorders>
              <w:top w:val="single" w:sz="4" w:space="0" w:color="auto"/>
              <w:left w:val="single" w:sz="4" w:space="0" w:color="auto"/>
              <w:bottom w:val="single" w:sz="4" w:space="0" w:color="auto"/>
              <w:right w:val="single" w:sz="4" w:space="0" w:color="auto"/>
            </w:tcBorders>
            <w:hideMark/>
          </w:tcPr>
          <w:p w14:paraId="3EEE4A55"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73" w:type="pct"/>
            <w:tcBorders>
              <w:top w:val="single" w:sz="4" w:space="0" w:color="auto"/>
              <w:left w:val="single" w:sz="4" w:space="0" w:color="auto"/>
              <w:bottom w:val="single" w:sz="4" w:space="0" w:color="auto"/>
              <w:right w:val="single" w:sz="4" w:space="0" w:color="auto"/>
            </w:tcBorders>
            <w:hideMark/>
          </w:tcPr>
          <w:p w14:paraId="56A66576"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c>
          <w:tcPr>
            <w:tcW w:w="671" w:type="pct"/>
            <w:tcBorders>
              <w:top w:val="single" w:sz="4" w:space="0" w:color="auto"/>
              <w:left w:val="single" w:sz="4" w:space="0" w:color="auto"/>
              <w:bottom w:val="single" w:sz="4" w:space="0" w:color="auto"/>
              <w:right w:val="single" w:sz="4" w:space="0" w:color="auto"/>
            </w:tcBorders>
            <w:hideMark/>
          </w:tcPr>
          <w:p w14:paraId="488F3DC1"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66" w:type="pct"/>
            <w:tcBorders>
              <w:top w:val="single" w:sz="4" w:space="0" w:color="auto"/>
              <w:left w:val="single" w:sz="4" w:space="0" w:color="auto"/>
              <w:bottom w:val="single" w:sz="4" w:space="0" w:color="auto"/>
              <w:right w:val="single" w:sz="4" w:space="0" w:color="auto"/>
            </w:tcBorders>
            <w:hideMark/>
          </w:tcPr>
          <w:p w14:paraId="3A40DF71"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r>
      <w:tr w:rsidR="00AB5818" w:rsidRPr="00AB5818" w14:paraId="7E758B67"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6456AF15"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Year FE</w:t>
            </w:r>
          </w:p>
        </w:tc>
        <w:tc>
          <w:tcPr>
            <w:tcW w:w="809" w:type="pct"/>
            <w:tcBorders>
              <w:top w:val="single" w:sz="4" w:space="0" w:color="auto"/>
              <w:left w:val="single" w:sz="4" w:space="0" w:color="auto"/>
              <w:bottom w:val="single" w:sz="4" w:space="0" w:color="auto"/>
              <w:right w:val="single" w:sz="4" w:space="0" w:color="auto"/>
            </w:tcBorders>
            <w:hideMark/>
          </w:tcPr>
          <w:p w14:paraId="6C87AC64"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73" w:type="pct"/>
            <w:tcBorders>
              <w:top w:val="single" w:sz="4" w:space="0" w:color="auto"/>
              <w:left w:val="single" w:sz="4" w:space="0" w:color="auto"/>
              <w:bottom w:val="single" w:sz="4" w:space="0" w:color="auto"/>
              <w:right w:val="single" w:sz="4" w:space="0" w:color="auto"/>
            </w:tcBorders>
            <w:hideMark/>
          </w:tcPr>
          <w:p w14:paraId="2BED6A85"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c>
          <w:tcPr>
            <w:tcW w:w="672" w:type="pct"/>
            <w:tcBorders>
              <w:top w:val="single" w:sz="4" w:space="0" w:color="auto"/>
              <w:left w:val="single" w:sz="4" w:space="0" w:color="auto"/>
              <w:bottom w:val="single" w:sz="4" w:space="0" w:color="auto"/>
              <w:right w:val="single" w:sz="4" w:space="0" w:color="auto"/>
            </w:tcBorders>
            <w:hideMark/>
          </w:tcPr>
          <w:p w14:paraId="4E1C4343"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73" w:type="pct"/>
            <w:tcBorders>
              <w:top w:val="single" w:sz="4" w:space="0" w:color="auto"/>
              <w:left w:val="single" w:sz="4" w:space="0" w:color="auto"/>
              <w:bottom w:val="single" w:sz="4" w:space="0" w:color="auto"/>
              <w:right w:val="single" w:sz="4" w:space="0" w:color="auto"/>
            </w:tcBorders>
            <w:hideMark/>
          </w:tcPr>
          <w:p w14:paraId="2D4D3E1A"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c>
          <w:tcPr>
            <w:tcW w:w="671" w:type="pct"/>
            <w:tcBorders>
              <w:top w:val="single" w:sz="4" w:space="0" w:color="auto"/>
              <w:left w:val="single" w:sz="4" w:space="0" w:color="auto"/>
              <w:bottom w:val="single" w:sz="4" w:space="0" w:color="auto"/>
              <w:right w:val="single" w:sz="4" w:space="0" w:color="auto"/>
            </w:tcBorders>
            <w:hideMark/>
          </w:tcPr>
          <w:p w14:paraId="07544058"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66" w:type="pct"/>
            <w:tcBorders>
              <w:top w:val="single" w:sz="4" w:space="0" w:color="auto"/>
              <w:left w:val="single" w:sz="4" w:space="0" w:color="auto"/>
              <w:bottom w:val="single" w:sz="4" w:space="0" w:color="auto"/>
              <w:right w:val="single" w:sz="4" w:space="0" w:color="auto"/>
            </w:tcBorders>
            <w:hideMark/>
          </w:tcPr>
          <w:p w14:paraId="46351BBA"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r>
      <w:tr w:rsidR="00AB5818" w:rsidRPr="00AB5818" w14:paraId="5B8FF929" w14:textId="77777777" w:rsidTr="00AB5818">
        <w:tc>
          <w:tcPr>
            <w:tcW w:w="836" w:type="pct"/>
            <w:tcBorders>
              <w:top w:val="single" w:sz="4" w:space="0" w:color="auto"/>
              <w:left w:val="single" w:sz="4" w:space="0" w:color="auto"/>
              <w:bottom w:val="single" w:sz="4" w:space="0" w:color="auto"/>
              <w:right w:val="single" w:sz="4" w:space="0" w:color="auto"/>
            </w:tcBorders>
            <w:hideMark/>
          </w:tcPr>
          <w:p w14:paraId="7E71F0A4"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County FE</w:t>
            </w:r>
          </w:p>
        </w:tc>
        <w:tc>
          <w:tcPr>
            <w:tcW w:w="809" w:type="pct"/>
            <w:tcBorders>
              <w:top w:val="single" w:sz="4" w:space="0" w:color="auto"/>
              <w:left w:val="single" w:sz="4" w:space="0" w:color="auto"/>
              <w:bottom w:val="single" w:sz="4" w:space="0" w:color="auto"/>
              <w:right w:val="single" w:sz="4" w:space="0" w:color="auto"/>
            </w:tcBorders>
            <w:hideMark/>
          </w:tcPr>
          <w:p w14:paraId="7429B817"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73" w:type="pct"/>
            <w:tcBorders>
              <w:top w:val="single" w:sz="4" w:space="0" w:color="auto"/>
              <w:left w:val="single" w:sz="4" w:space="0" w:color="auto"/>
              <w:bottom w:val="single" w:sz="4" w:space="0" w:color="auto"/>
              <w:right w:val="single" w:sz="4" w:space="0" w:color="auto"/>
            </w:tcBorders>
            <w:hideMark/>
          </w:tcPr>
          <w:p w14:paraId="7F883593"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c>
          <w:tcPr>
            <w:tcW w:w="672" w:type="pct"/>
            <w:tcBorders>
              <w:top w:val="single" w:sz="4" w:space="0" w:color="auto"/>
              <w:left w:val="single" w:sz="4" w:space="0" w:color="auto"/>
              <w:bottom w:val="single" w:sz="4" w:space="0" w:color="auto"/>
              <w:right w:val="single" w:sz="4" w:space="0" w:color="auto"/>
            </w:tcBorders>
            <w:hideMark/>
          </w:tcPr>
          <w:p w14:paraId="277C45E9"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73" w:type="pct"/>
            <w:tcBorders>
              <w:top w:val="single" w:sz="4" w:space="0" w:color="auto"/>
              <w:left w:val="single" w:sz="4" w:space="0" w:color="auto"/>
              <w:bottom w:val="single" w:sz="4" w:space="0" w:color="auto"/>
              <w:right w:val="single" w:sz="4" w:space="0" w:color="auto"/>
            </w:tcBorders>
            <w:hideMark/>
          </w:tcPr>
          <w:p w14:paraId="6592B8B6"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c>
          <w:tcPr>
            <w:tcW w:w="671" w:type="pct"/>
            <w:tcBorders>
              <w:top w:val="single" w:sz="4" w:space="0" w:color="auto"/>
              <w:left w:val="single" w:sz="4" w:space="0" w:color="auto"/>
              <w:bottom w:val="single" w:sz="4" w:space="0" w:color="auto"/>
              <w:right w:val="single" w:sz="4" w:space="0" w:color="auto"/>
            </w:tcBorders>
            <w:hideMark/>
          </w:tcPr>
          <w:p w14:paraId="48C4F961"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w:t>
            </w:r>
          </w:p>
        </w:tc>
        <w:tc>
          <w:tcPr>
            <w:tcW w:w="666" w:type="pct"/>
            <w:tcBorders>
              <w:top w:val="single" w:sz="4" w:space="0" w:color="auto"/>
              <w:left w:val="single" w:sz="4" w:space="0" w:color="auto"/>
              <w:bottom w:val="single" w:sz="4" w:space="0" w:color="auto"/>
              <w:right w:val="single" w:sz="4" w:space="0" w:color="auto"/>
            </w:tcBorders>
            <w:hideMark/>
          </w:tcPr>
          <w:p w14:paraId="479FE138" w14:textId="77777777" w:rsidR="00AB5818" w:rsidRPr="00AB5818" w:rsidRDefault="00AB5818" w:rsidP="002E4B8A">
            <w:pPr>
              <w:widowControl w:val="0"/>
              <w:autoSpaceDE w:val="0"/>
              <w:autoSpaceDN w:val="0"/>
              <w:adjustRightInd w:val="0"/>
              <w:spacing w:line="240" w:lineRule="auto"/>
              <w:rPr>
                <w:rFonts w:eastAsia="Calibri" w:cs="Times New Roman"/>
                <w:sz w:val="20"/>
                <w:szCs w:val="20"/>
              </w:rPr>
            </w:pPr>
            <w:r w:rsidRPr="00AB5818">
              <w:rPr>
                <w:rFonts w:eastAsia="Calibri" w:cs="Times New Roman"/>
                <w:sz w:val="20"/>
                <w:szCs w:val="20"/>
              </w:rPr>
              <w:t>Yes</w:t>
            </w:r>
          </w:p>
        </w:tc>
      </w:tr>
    </w:tbl>
    <w:p w14:paraId="0C245AD5" w14:textId="0FB2AA6D" w:rsidR="00271798" w:rsidRDefault="000E300A" w:rsidP="00CE0D78">
      <w:pPr>
        <w:spacing w:line="240" w:lineRule="auto"/>
        <w:jc w:val="both"/>
        <w:rPr>
          <w:rFonts w:eastAsia="Calibri" w:cs="Times New Roman"/>
          <w:sz w:val="20"/>
          <w:szCs w:val="20"/>
        </w:rPr>
      </w:pPr>
      <w:r>
        <w:rPr>
          <w:rFonts w:eastAsia="Calibri" w:cs="Times New Roman"/>
          <w:sz w:val="20"/>
          <w:szCs w:val="20"/>
        </w:rPr>
        <w:t xml:space="preserve">Table A57: </w:t>
      </w:r>
      <w:r w:rsidR="00AB5818" w:rsidRPr="00AB5818">
        <w:rPr>
          <w:rFonts w:eastAsia="Calibri" w:cs="Times New Roman"/>
          <w:sz w:val="20"/>
          <w:szCs w:val="20"/>
          <w:lang/>
        </w:rPr>
        <w:t>Continuous range analysis for arts and entertainment, illustrating spatial heterogeneity and temporal dynamics in economic outcomes post-delisting</w:t>
      </w:r>
      <w:r w:rsidR="009D3026">
        <w:rPr>
          <w:rFonts w:eastAsia="Calibri" w:cs="Times New Roman"/>
          <w:sz w:val="20"/>
          <w:szCs w:val="20"/>
        </w:rPr>
        <w:t>.</w:t>
      </w:r>
      <w:r>
        <w:rPr>
          <w:rFonts w:eastAsia="Calibri" w:cs="Times New Roman"/>
          <w:sz w:val="20"/>
          <w:szCs w:val="20"/>
        </w:rPr>
        <w:t xml:space="preserve"> </w:t>
      </w:r>
      <w:r w:rsidRPr="000E300A">
        <w:rPr>
          <w:rFonts w:eastAsia="Calibri" w:cs="Times New Roman"/>
          <w:sz w:val="20"/>
          <w:szCs w:val="20"/>
        </w:rPr>
        <w:t>Statistically significant impacts are denoted by asterisks. These asterisks denote statistical significance at the following levels: ***p &lt; 0.01, **p &lt; 0.05, *p &lt; 0.1.</w:t>
      </w:r>
    </w:p>
    <w:p w14:paraId="07941479" w14:textId="77777777" w:rsidR="009D3026" w:rsidRDefault="009D3026" w:rsidP="00CE0D78">
      <w:pPr>
        <w:spacing w:line="240" w:lineRule="auto"/>
        <w:jc w:val="both"/>
        <w:rPr>
          <w:rFonts w:eastAsia="Calibri" w:cs="Times New Roman"/>
          <w:sz w:val="20"/>
          <w:szCs w:val="20"/>
        </w:rPr>
      </w:pPr>
    </w:p>
    <w:p w14:paraId="611A1423" w14:textId="77777777" w:rsidR="009D3026" w:rsidRDefault="009D3026">
      <w:pPr>
        <w:spacing w:line="240" w:lineRule="auto"/>
        <w:rPr>
          <w:rFonts w:cs="Times New Roman"/>
          <w:b/>
          <w:bCs/>
          <w:lang/>
        </w:rPr>
      </w:pPr>
      <w:bookmarkStart w:id="772" w:name="_Toc188056073"/>
      <w:bookmarkStart w:id="773" w:name="_Toc188057157"/>
      <w:bookmarkStart w:id="774" w:name="_Hlk184562188"/>
      <w:r>
        <w:rPr>
          <w:rFonts w:cs="Times New Roman"/>
        </w:rPr>
        <w:br w:type="page"/>
      </w:r>
    </w:p>
    <w:p w14:paraId="2FE5609F" w14:textId="37DA765B" w:rsidR="005E02DB" w:rsidRPr="00F758EA" w:rsidRDefault="005E02DB" w:rsidP="00095E25">
      <w:pPr>
        <w:pStyle w:val="Title"/>
      </w:pPr>
      <w:bookmarkStart w:id="775" w:name="_Toc188359663"/>
      <w:bookmarkStart w:id="776" w:name="_Toc188359951"/>
      <w:bookmarkStart w:id="777" w:name="_Toc188361187"/>
      <w:bookmarkStart w:id="778" w:name="_Toc188367030"/>
      <w:r w:rsidRPr="00F758EA">
        <w:lastRenderedPageBreak/>
        <w:t>Table A</w:t>
      </w:r>
      <w:r w:rsidR="002050B6">
        <w:rPr>
          <w:lang w:val="en-US"/>
        </w:rPr>
        <w:t>58</w:t>
      </w:r>
      <w:r w:rsidRPr="00F758EA">
        <w:t xml:space="preserve">: </w:t>
      </w:r>
      <w:r w:rsidR="002E1ED3" w:rsidRPr="00F758EA">
        <w:t xml:space="preserve">Regression </w:t>
      </w:r>
      <w:r w:rsidRPr="00F758EA">
        <w:t>Results on Establishment Count – Binary Range Indicator</w:t>
      </w:r>
      <w:bookmarkEnd w:id="772"/>
      <w:bookmarkEnd w:id="773"/>
      <w:bookmarkEnd w:id="775"/>
      <w:bookmarkEnd w:id="776"/>
      <w:bookmarkEnd w:id="777"/>
      <w:bookmarkEnd w:id="778"/>
    </w:p>
    <w:tbl>
      <w:tblPr>
        <w:tblW w:w="5000" w:type="pct"/>
        <w:jc w:val="center"/>
        <w:tblLook w:val="04A0" w:firstRow="1" w:lastRow="0" w:firstColumn="1" w:lastColumn="0" w:noHBand="0" w:noVBand="1"/>
      </w:tblPr>
      <w:tblGrid>
        <w:gridCol w:w="2122"/>
        <w:gridCol w:w="1066"/>
        <w:gridCol w:w="966"/>
        <w:gridCol w:w="1015"/>
        <w:gridCol w:w="1016"/>
        <w:gridCol w:w="1196"/>
        <w:gridCol w:w="966"/>
        <w:gridCol w:w="1013"/>
      </w:tblGrid>
      <w:tr w:rsidR="00D04AFB" w:rsidRPr="00F758EA" w14:paraId="7BEA0D91" w14:textId="77777777" w:rsidTr="00D04AFB">
        <w:trPr>
          <w:jc w:val="center"/>
        </w:trPr>
        <w:tc>
          <w:tcPr>
            <w:tcW w:w="1139" w:type="pct"/>
            <w:tcBorders>
              <w:top w:val="single" w:sz="4" w:space="0" w:color="auto"/>
              <w:left w:val="nil"/>
              <w:bottom w:val="single" w:sz="12" w:space="0" w:color="auto"/>
              <w:right w:val="nil"/>
            </w:tcBorders>
            <w:hideMark/>
          </w:tcPr>
          <w:p w14:paraId="1BDE96E9" w14:textId="1B9A588E" w:rsidR="005E02DB" w:rsidRPr="00F758EA" w:rsidRDefault="00E75CAE" w:rsidP="00CE0D78">
            <w:pPr>
              <w:widowControl w:val="0"/>
              <w:autoSpaceDE w:val="0"/>
              <w:autoSpaceDN w:val="0"/>
              <w:adjustRightInd w:val="0"/>
              <w:spacing w:line="240" w:lineRule="auto"/>
              <w:rPr>
                <w:rFonts w:eastAsia="DengXian" w:cs="Times New Roman"/>
                <w:b/>
                <w:bCs/>
                <w:sz w:val="20"/>
                <w:szCs w:val="20"/>
              </w:rPr>
            </w:pPr>
            <w:r w:rsidRPr="00F758EA">
              <w:rPr>
                <w:rFonts w:eastAsia="DengXian" w:cs="Times New Roman"/>
                <w:b/>
                <w:bCs/>
                <w:sz w:val="20"/>
                <w:szCs w:val="20"/>
              </w:rPr>
              <w:t>Variable</w:t>
            </w:r>
          </w:p>
        </w:tc>
        <w:tc>
          <w:tcPr>
            <w:tcW w:w="532" w:type="pct"/>
            <w:tcBorders>
              <w:top w:val="single" w:sz="4" w:space="0" w:color="auto"/>
              <w:left w:val="nil"/>
              <w:bottom w:val="single" w:sz="12" w:space="0" w:color="auto"/>
              <w:right w:val="nil"/>
            </w:tcBorders>
            <w:hideMark/>
          </w:tcPr>
          <w:p w14:paraId="45502FFA" w14:textId="0B440A98" w:rsidR="005E02DB" w:rsidRPr="00F758EA" w:rsidRDefault="00E75CAE" w:rsidP="00CE0D78">
            <w:pPr>
              <w:widowControl w:val="0"/>
              <w:autoSpaceDE w:val="0"/>
              <w:autoSpaceDN w:val="0"/>
              <w:adjustRightInd w:val="0"/>
              <w:spacing w:line="240" w:lineRule="auto"/>
              <w:rPr>
                <w:rFonts w:eastAsia="DengXian" w:cs="Times New Roman"/>
                <w:b/>
                <w:bCs/>
                <w:sz w:val="20"/>
                <w:szCs w:val="20"/>
              </w:rPr>
            </w:pPr>
            <w:r w:rsidRPr="00F758EA">
              <w:rPr>
                <w:rFonts w:eastAsia="DengXian" w:cs="Times New Roman"/>
                <w:b/>
                <w:bCs/>
                <w:sz w:val="20"/>
                <w:szCs w:val="20"/>
              </w:rPr>
              <w:t>NAICS</w:t>
            </w:r>
            <w:r w:rsidR="005E02DB" w:rsidRPr="00F758EA">
              <w:rPr>
                <w:rFonts w:eastAsia="DengXian" w:cs="Times New Roman"/>
                <w:b/>
                <w:bCs/>
                <w:sz w:val="20"/>
                <w:szCs w:val="20"/>
              </w:rPr>
              <w:t xml:space="preserve"> 11</w:t>
            </w:r>
          </w:p>
        </w:tc>
        <w:tc>
          <w:tcPr>
            <w:tcW w:w="521" w:type="pct"/>
            <w:tcBorders>
              <w:top w:val="single" w:sz="4" w:space="0" w:color="auto"/>
              <w:left w:val="nil"/>
              <w:bottom w:val="single" w:sz="12" w:space="0" w:color="auto"/>
              <w:right w:val="nil"/>
            </w:tcBorders>
            <w:hideMark/>
          </w:tcPr>
          <w:p w14:paraId="304D60AA" w14:textId="4C5715E0" w:rsidR="005E02DB" w:rsidRPr="00F758EA" w:rsidRDefault="00E75CAE" w:rsidP="00CE0D78">
            <w:pPr>
              <w:widowControl w:val="0"/>
              <w:autoSpaceDE w:val="0"/>
              <w:autoSpaceDN w:val="0"/>
              <w:adjustRightInd w:val="0"/>
              <w:spacing w:line="240" w:lineRule="auto"/>
              <w:rPr>
                <w:rFonts w:eastAsia="DengXian" w:cs="Times New Roman"/>
                <w:b/>
                <w:bCs/>
                <w:sz w:val="20"/>
                <w:szCs w:val="20"/>
              </w:rPr>
            </w:pPr>
            <w:r w:rsidRPr="00F758EA">
              <w:rPr>
                <w:rFonts w:eastAsia="DengXian" w:cs="Times New Roman"/>
                <w:b/>
                <w:bCs/>
                <w:sz w:val="20"/>
                <w:szCs w:val="20"/>
              </w:rPr>
              <w:t>NAICS</w:t>
            </w:r>
            <w:r w:rsidR="005E02DB" w:rsidRPr="00F758EA">
              <w:rPr>
                <w:rFonts w:eastAsia="DengXian" w:cs="Times New Roman"/>
                <w:b/>
                <w:bCs/>
                <w:sz w:val="20"/>
                <w:szCs w:val="20"/>
              </w:rPr>
              <w:t xml:space="preserve"> 21</w:t>
            </w:r>
          </w:p>
        </w:tc>
        <w:tc>
          <w:tcPr>
            <w:tcW w:w="548" w:type="pct"/>
            <w:tcBorders>
              <w:top w:val="single" w:sz="4" w:space="0" w:color="auto"/>
              <w:left w:val="nil"/>
              <w:bottom w:val="single" w:sz="12" w:space="0" w:color="auto"/>
              <w:right w:val="nil"/>
            </w:tcBorders>
            <w:hideMark/>
          </w:tcPr>
          <w:p w14:paraId="2382213E" w14:textId="43EF161B" w:rsidR="005E02DB" w:rsidRPr="00F758EA" w:rsidRDefault="00E75CAE" w:rsidP="00CE0D78">
            <w:pPr>
              <w:widowControl w:val="0"/>
              <w:autoSpaceDE w:val="0"/>
              <w:autoSpaceDN w:val="0"/>
              <w:adjustRightInd w:val="0"/>
              <w:spacing w:line="240" w:lineRule="auto"/>
              <w:rPr>
                <w:rFonts w:eastAsia="DengXian" w:cs="Times New Roman"/>
                <w:b/>
                <w:bCs/>
                <w:sz w:val="20"/>
                <w:szCs w:val="20"/>
              </w:rPr>
            </w:pPr>
            <w:r w:rsidRPr="00F758EA">
              <w:rPr>
                <w:rFonts w:eastAsia="DengXian" w:cs="Times New Roman"/>
                <w:b/>
                <w:bCs/>
                <w:sz w:val="20"/>
                <w:szCs w:val="20"/>
              </w:rPr>
              <w:t>NAICS</w:t>
            </w:r>
            <w:r w:rsidR="005E02DB" w:rsidRPr="00F758EA">
              <w:rPr>
                <w:rFonts w:eastAsia="DengXian" w:cs="Times New Roman"/>
                <w:b/>
                <w:bCs/>
                <w:sz w:val="20"/>
                <w:szCs w:val="20"/>
              </w:rPr>
              <w:t xml:space="preserve"> 22</w:t>
            </w:r>
          </w:p>
        </w:tc>
        <w:tc>
          <w:tcPr>
            <w:tcW w:w="548" w:type="pct"/>
            <w:tcBorders>
              <w:top w:val="single" w:sz="4" w:space="0" w:color="auto"/>
              <w:left w:val="nil"/>
              <w:bottom w:val="single" w:sz="12" w:space="0" w:color="auto"/>
              <w:right w:val="nil"/>
            </w:tcBorders>
            <w:hideMark/>
          </w:tcPr>
          <w:p w14:paraId="524205F0" w14:textId="462FDA95" w:rsidR="005E02DB" w:rsidRPr="00F758EA" w:rsidRDefault="00E75CAE" w:rsidP="00CE0D78">
            <w:pPr>
              <w:widowControl w:val="0"/>
              <w:autoSpaceDE w:val="0"/>
              <w:autoSpaceDN w:val="0"/>
              <w:adjustRightInd w:val="0"/>
              <w:spacing w:line="240" w:lineRule="auto"/>
              <w:rPr>
                <w:rFonts w:eastAsia="DengXian" w:cs="Times New Roman"/>
                <w:b/>
                <w:bCs/>
                <w:sz w:val="20"/>
                <w:szCs w:val="20"/>
              </w:rPr>
            </w:pPr>
            <w:r w:rsidRPr="00F758EA">
              <w:rPr>
                <w:rFonts w:eastAsia="DengXian" w:cs="Times New Roman"/>
                <w:b/>
                <w:bCs/>
                <w:sz w:val="20"/>
                <w:szCs w:val="20"/>
              </w:rPr>
              <w:t>NAICS</w:t>
            </w:r>
            <w:r w:rsidR="005E02DB" w:rsidRPr="00F758EA">
              <w:rPr>
                <w:rFonts w:eastAsia="DengXian" w:cs="Times New Roman"/>
                <w:b/>
                <w:bCs/>
                <w:sz w:val="20"/>
                <w:szCs w:val="20"/>
              </w:rPr>
              <w:t xml:space="preserve"> 23</w:t>
            </w:r>
          </w:p>
        </w:tc>
        <w:tc>
          <w:tcPr>
            <w:tcW w:w="644" w:type="pct"/>
            <w:tcBorders>
              <w:top w:val="single" w:sz="4" w:space="0" w:color="auto"/>
              <w:left w:val="nil"/>
              <w:bottom w:val="single" w:sz="12" w:space="0" w:color="auto"/>
              <w:right w:val="nil"/>
            </w:tcBorders>
            <w:hideMark/>
          </w:tcPr>
          <w:p w14:paraId="49EAADCA" w14:textId="34E158A0" w:rsidR="005E02DB" w:rsidRPr="00F758EA" w:rsidRDefault="00E75CAE" w:rsidP="00CE0D78">
            <w:pPr>
              <w:widowControl w:val="0"/>
              <w:autoSpaceDE w:val="0"/>
              <w:autoSpaceDN w:val="0"/>
              <w:adjustRightInd w:val="0"/>
              <w:spacing w:line="240" w:lineRule="auto"/>
              <w:rPr>
                <w:rFonts w:eastAsia="DengXian" w:cs="Times New Roman"/>
                <w:b/>
                <w:bCs/>
                <w:sz w:val="20"/>
                <w:szCs w:val="20"/>
              </w:rPr>
            </w:pPr>
            <w:r w:rsidRPr="00F758EA">
              <w:rPr>
                <w:rFonts w:eastAsia="DengXian" w:cs="Times New Roman"/>
                <w:b/>
                <w:bCs/>
                <w:sz w:val="20"/>
                <w:szCs w:val="20"/>
              </w:rPr>
              <w:t>NAICS</w:t>
            </w:r>
            <w:r w:rsidR="005E02DB" w:rsidRPr="00F758EA">
              <w:rPr>
                <w:rFonts w:eastAsia="DengXian" w:cs="Times New Roman"/>
                <w:b/>
                <w:bCs/>
                <w:sz w:val="20"/>
                <w:szCs w:val="20"/>
              </w:rPr>
              <w:t xml:space="preserve"> 31-33</w:t>
            </w:r>
          </w:p>
        </w:tc>
        <w:tc>
          <w:tcPr>
            <w:tcW w:w="521" w:type="pct"/>
            <w:tcBorders>
              <w:top w:val="single" w:sz="4" w:space="0" w:color="auto"/>
              <w:left w:val="nil"/>
              <w:bottom w:val="single" w:sz="12" w:space="0" w:color="auto"/>
              <w:right w:val="nil"/>
            </w:tcBorders>
            <w:hideMark/>
          </w:tcPr>
          <w:p w14:paraId="4B1A03E9" w14:textId="4411CB71" w:rsidR="005E02DB" w:rsidRPr="00F758EA" w:rsidRDefault="00E75CAE" w:rsidP="00CE0D78">
            <w:pPr>
              <w:widowControl w:val="0"/>
              <w:autoSpaceDE w:val="0"/>
              <w:autoSpaceDN w:val="0"/>
              <w:adjustRightInd w:val="0"/>
              <w:spacing w:line="240" w:lineRule="auto"/>
              <w:rPr>
                <w:rFonts w:eastAsia="DengXian" w:cs="Times New Roman"/>
                <w:b/>
                <w:bCs/>
                <w:sz w:val="20"/>
                <w:szCs w:val="20"/>
              </w:rPr>
            </w:pPr>
            <w:r w:rsidRPr="00F758EA">
              <w:rPr>
                <w:rFonts w:eastAsia="DengXian" w:cs="Times New Roman"/>
                <w:b/>
                <w:bCs/>
                <w:sz w:val="20"/>
                <w:szCs w:val="20"/>
              </w:rPr>
              <w:t>NAICS</w:t>
            </w:r>
            <w:r w:rsidR="005E02DB" w:rsidRPr="00F758EA">
              <w:rPr>
                <w:rFonts w:eastAsia="DengXian" w:cs="Times New Roman"/>
                <w:b/>
                <w:bCs/>
                <w:sz w:val="20"/>
                <w:szCs w:val="20"/>
              </w:rPr>
              <w:t xml:space="preserve"> 53</w:t>
            </w:r>
          </w:p>
        </w:tc>
        <w:tc>
          <w:tcPr>
            <w:tcW w:w="547" w:type="pct"/>
            <w:tcBorders>
              <w:top w:val="single" w:sz="4" w:space="0" w:color="auto"/>
              <w:left w:val="nil"/>
              <w:bottom w:val="single" w:sz="12" w:space="0" w:color="auto"/>
              <w:right w:val="nil"/>
            </w:tcBorders>
            <w:hideMark/>
          </w:tcPr>
          <w:p w14:paraId="4014E034" w14:textId="79B6754E" w:rsidR="005E02DB" w:rsidRPr="00F758EA" w:rsidRDefault="00E75CAE" w:rsidP="00CE0D78">
            <w:pPr>
              <w:widowControl w:val="0"/>
              <w:autoSpaceDE w:val="0"/>
              <w:autoSpaceDN w:val="0"/>
              <w:adjustRightInd w:val="0"/>
              <w:spacing w:line="240" w:lineRule="auto"/>
              <w:rPr>
                <w:rFonts w:eastAsia="DengXian" w:cs="Times New Roman"/>
                <w:b/>
                <w:bCs/>
                <w:sz w:val="20"/>
                <w:szCs w:val="20"/>
              </w:rPr>
            </w:pPr>
            <w:r w:rsidRPr="00F758EA">
              <w:rPr>
                <w:rFonts w:eastAsia="DengXian" w:cs="Times New Roman"/>
                <w:b/>
                <w:bCs/>
                <w:sz w:val="20"/>
                <w:szCs w:val="20"/>
              </w:rPr>
              <w:t>NAICS</w:t>
            </w:r>
            <w:r w:rsidR="005E02DB" w:rsidRPr="00F758EA">
              <w:rPr>
                <w:rFonts w:eastAsia="DengXian" w:cs="Times New Roman"/>
                <w:b/>
                <w:bCs/>
                <w:sz w:val="20"/>
                <w:szCs w:val="20"/>
              </w:rPr>
              <w:t xml:space="preserve"> 71</w:t>
            </w:r>
          </w:p>
        </w:tc>
      </w:tr>
      <w:tr w:rsidR="00D04AFB" w:rsidRPr="00F758EA" w14:paraId="103D6462" w14:textId="77777777" w:rsidTr="00D04AFB">
        <w:trPr>
          <w:jc w:val="center"/>
        </w:trPr>
        <w:tc>
          <w:tcPr>
            <w:tcW w:w="1139" w:type="pct"/>
            <w:hideMark/>
          </w:tcPr>
          <w:p w14:paraId="5D177C58" w14:textId="77777777" w:rsidR="005E02DB" w:rsidRPr="00F758EA" w:rsidRDefault="005E02DB"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Range Ind.</w:t>
            </w:r>
          </w:p>
        </w:tc>
        <w:tc>
          <w:tcPr>
            <w:tcW w:w="532" w:type="pct"/>
            <w:hideMark/>
          </w:tcPr>
          <w:p w14:paraId="690A21CB" w14:textId="6F1218A6"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-.12</w:t>
            </w:r>
            <w:r w:rsidR="00AD3557" w:rsidRPr="00F758EA">
              <w:rPr>
                <w:rFonts w:eastAsia="DengXian" w:cs="Times New Roman"/>
                <w:sz w:val="20"/>
                <w:szCs w:val="20"/>
              </w:rPr>
              <w:t>6</w:t>
            </w:r>
            <w:r w:rsidRPr="00F758EA">
              <w:rPr>
                <w:rFonts w:eastAsia="DengXian" w:cs="Times New Roman"/>
                <w:sz w:val="20"/>
                <w:szCs w:val="20"/>
              </w:rPr>
              <w:t>***</w:t>
            </w:r>
          </w:p>
        </w:tc>
        <w:tc>
          <w:tcPr>
            <w:tcW w:w="521" w:type="pct"/>
            <w:hideMark/>
          </w:tcPr>
          <w:p w14:paraId="44BF632E" w14:textId="7B92CEB7"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-.01</w:t>
            </w:r>
            <w:r w:rsidR="00AD3557" w:rsidRPr="00F758EA">
              <w:rPr>
                <w:rFonts w:eastAsia="DengXian" w:cs="Times New Roman"/>
                <w:sz w:val="20"/>
                <w:szCs w:val="20"/>
              </w:rPr>
              <w:t>2</w:t>
            </w:r>
          </w:p>
        </w:tc>
        <w:tc>
          <w:tcPr>
            <w:tcW w:w="548" w:type="pct"/>
            <w:hideMark/>
          </w:tcPr>
          <w:p w14:paraId="7D4CADE7" w14:textId="46A9B166"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-.03</w:t>
            </w:r>
            <w:r w:rsidR="00AD3557" w:rsidRPr="00F758EA">
              <w:rPr>
                <w:rFonts w:eastAsia="DengXian" w:cs="Times New Roman"/>
                <w:sz w:val="20"/>
                <w:szCs w:val="20"/>
              </w:rPr>
              <w:t>9</w:t>
            </w:r>
          </w:p>
        </w:tc>
        <w:tc>
          <w:tcPr>
            <w:tcW w:w="548" w:type="pct"/>
            <w:hideMark/>
          </w:tcPr>
          <w:p w14:paraId="01B88117" w14:textId="71AA6964"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.087***</w:t>
            </w:r>
          </w:p>
        </w:tc>
        <w:tc>
          <w:tcPr>
            <w:tcW w:w="644" w:type="pct"/>
            <w:hideMark/>
          </w:tcPr>
          <w:p w14:paraId="1E3D00BC" w14:textId="7C7BE466"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.002</w:t>
            </w:r>
          </w:p>
        </w:tc>
        <w:tc>
          <w:tcPr>
            <w:tcW w:w="521" w:type="pct"/>
            <w:hideMark/>
          </w:tcPr>
          <w:p w14:paraId="2551FAAD" w14:textId="7551FB60"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.046**</w:t>
            </w:r>
          </w:p>
        </w:tc>
        <w:tc>
          <w:tcPr>
            <w:tcW w:w="547" w:type="pct"/>
            <w:hideMark/>
          </w:tcPr>
          <w:p w14:paraId="550A892D" w14:textId="6DE8F502"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.039**</w:t>
            </w:r>
          </w:p>
        </w:tc>
      </w:tr>
      <w:tr w:rsidR="00D04AFB" w:rsidRPr="00F758EA" w14:paraId="12E602C1" w14:textId="77777777" w:rsidTr="00D04AFB">
        <w:trPr>
          <w:jc w:val="center"/>
        </w:trPr>
        <w:tc>
          <w:tcPr>
            <w:tcW w:w="1139" w:type="pct"/>
            <w:hideMark/>
          </w:tcPr>
          <w:p w14:paraId="1E40BFB2" w14:textId="5956B05A" w:rsidR="005E02DB" w:rsidRPr="00F758EA" w:rsidRDefault="005E02DB" w:rsidP="00D326A2">
            <w:pPr>
              <w:widowControl w:val="0"/>
              <w:autoSpaceDE w:val="0"/>
              <w:autoSpaceDN w:val="0"/>
              <w:adjustRightInd w:val="0"/>
              <w:spacing w:line="240" w:lineRule="auto"/>
              <w:rPr>
                <w:rFonts w:eastAsia="DengXian" w:cs="Times New Roman"/>
                <w:sz w:val="20"/>
                <w:szCs w:val="20"/>
              </w:rPr>
            </w:pPr>
          </w:p>
        </w:tc>
        <w:tc>
          <w:tcPr>
            <w:tcW w:w="532" w:type="pct"/>
            <w:hideMark/>
          </w:tcPr>
          <w:p w14:paraId="3506DD11" w14:textId="58CE437C"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(.03</w:t>
            </w:r>
            <w:r w:rsidR="00AD3557" w:rsidRPr="00F758EA">
              <w:rPr>
                <w:rFonts w:eastAsia="DengXian" w:cs="Times New Roman"/>
                <w:sz w:val="20"/>
                <w:szCs w:val="20"/>
              </w:rPr>
              <w:t>6</w:t>
            </w:r>
            <w:r w:rsidRPr="00F758EA">
              <w:rPr>
                <w:rFonts w:eastAsia="DengXian" w:cs="Times New Roman"/>
                <w:sz w:val="20"/>
                <w:szCs w:val="20"/>
              </w:rPr>
              <w:t>)</w:t>
            </w:r>
          </w:p>
        </w:tc>
        <w:tc>
          <w:tcPr>
            <w:tcW w:w="521" w:type="pct"/>
            <w:hideMark/>
          </w:tcPr>
          <w:p w14:paraId="635BA100" w14:textId="6B7CEC2A"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(.052)</w:t>
            </w:r>
          </w:p>
        </w:tc>
        <w:tc>
          <w:tcPr>
            <w:tcW w:w="548" w:type="pct"/>
            <w:hideMark/>
          </w:tcPr>
          <w:p w14:paraId="4D3C764F" w14:textId="3F6F4E6B"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(.027)</w:t>
            </w:r>
          </w:p>
        </w:tc>
        <w:tc>
          <w:tcPr>
            <w:tcW w:w="548" w:type="pct"/>
            <w:hideMark/>
          </w:tcPr>
          <w:p w14:paraId="23939176" w14:textId="207630C2"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(.016</w:t>
            </w:r>
            <w:r w:rsidR="00AD3557" w:rsidRPr="00F758EA">
              <w:rPr>
                <w:rFonts w:eastAsia="DengXian" w:cs="Times New Roman"/>
                <w:sz w:val="20"/>
                <w:szCs w:val="20"/>
              </w:rPr>
              <w:t>1</w:t>
            </w:r>
            <w:r w:rsidRPr="00F758EA">
              <w:rPr>
                <w:rFonts w:eastAsia="DengXian" w:cs="Times New Roman"/>
                <w:sz w:val="20"/>
                <w:szCs w:val="20"/>
              </w:rPr>
              <w:t>)</w:t>
            </w:r>
          </w:p>
        </w:tc>
        <w:tc>
          <w:tcPr>
            <w:tcW w:w="644" w:type="pct"/>
            <w:hideMark/>
          </w:tcPr>
          <w:p w14:paraId="6F4030C2" w14:textId="4757DC34"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(.02</w:t>
            </w:r>
            <w:r w:rsidR="00AD3557" w:rsidRPr="00F758EA">
              <w:rPr>
                <w:rFonts w:eastAsia="DengXian" w:cs="Times New Roman"/>
                <w:sz w:val="20"/>
                <w:szCs w:val="20"/>
              </w:rPr>
              <w:t>1</w:t>
            </w:r>
            <w:r w:rsidRPr="00F758EA">
              <w:rPr>
                <w:rFonts w:eastAsia="DengXian" w:cs="Times New Roman"/>
                <w:sz w:val="20"/>
                <w:szCs w:val="20"/>
              </w:rPr>
              <w:t>)</w:t>
            </w:r>
          </w:p>
        </w:tc>
        <w:tc>
          <w:tcPr>
            <w:tcW w:w="521" w:type="pct"/>
            <w:hideMark/>
          </w:tcPr>
          <w:p w14:paraId="0C9B7AF7" w14:textId="2BA600F1"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w:t>
            </w:r>
            <w:r w:rsidR="00AD3557" w:rsidRPr="00F758EA">
              <w:rPr>
                <w:rFonts w:eastAsia="DengXian" w:cs="Times New Roman"/>
                <w:sz w:val="20"/>
                <w:szCs w:val="20"/>
              </w:rPr>
              <w:t>20</w:t>
            </w:r>
            <w:r w:rsidRPr="00F758EA">
              <w:rPr>
                <w:rFonts w:eastAsia="DengXian" w:cs="Times New Roman"/>
                <w:sz w:val="20"/>
                <w:szCs w:val="20"/>
              </w:rPr>
              <w:t>)</w:t>
            </w:r>
          </w:p>
        </w:tc>
        <w:tc>
          <w:tcPr>
            <w:tcW w:w="547" w:type="pct"/>
            <w:hideMark/>
          </w:tcPr>
          <w:p w14:paraId="43C90C34" w14:textId="3C6C8784"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(.01</w:t>
            </w:r>
            <w:r w:rsidR="00AD3557" w:rsidRPr="00F758EA">
              <w:rPr>
                <w:rFonts w:eastAsia="DengXian" w:cs="Times New Roman"/>
                <w:sz w:val="20"/>
                <w:szCs w:val="20"/>
              </w:rPr>
              <w:t>8</w:t>
            </w:r>
            <w:r w:rsidRPr="00F758EA">
              <w:rPr>
                <w:rFonts w:eastAsia="DengXian" w:cs="Times New Roman"/>
                <w:sz w:val="20"/>
                <w:szCs w:val="20"/>
              </w:rPr>
              <w:t>)</w:t>
            </w:r>
          </w:p>
        </w:tc>
      </w:tr>
      <w:tr w:rsidR="00D04AFB" w:rsidRPr="00F758EA" w14:paraId="785348D1" w14:textId="77777777" w:rsidTr="00D04AFB">
        <w:trPr>
          <w:jc w:val="center"/>
        </w:trPr>
        <w:tc>
          <w:tcPr>
            <w:tcW w:w="1139" w:type="pct"/>
            <w:hideMark/>
          </w:tcPr>
          <w:p w14:paraId="1D04741E" w14:textId="77777777" w:rsidR="005E02DB" w:rsidRPr="00F758EA" w:rsidRDefault="005E02DB"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TSD * Range</w:t>
            </w:r>
          </w:p>
        </w:tc>
        <w:tc>
          <w:tcPr>
            <w:tcW w:w="532" w:type="pct"/>
            <w:hideMark/>
          </w:tcPr>
          <w:p w14:paraId="4EE759BF" w14:textId="77777777"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-.205***</w:t>
            </w:r>
          </w:p>
        </w:tc>
        <w:tc>
          <w:tcPr>
            <w:tcW w:w="521" w:type="pct"/>
            <w:hideMark/>
          </w:tcPr>
          <w:p w14:paraId="1C6ACCBB" w14:textId="7A158D45"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-.10</w:t>
            </w:r>
            <w:r w:rsidR="00AD3557" w:rsidRPr="00F758EA">
              <w:rPr>
                <w:rFonts w:eastAsia="DengXian" w:cs="Times New Roman"/>
                <w:sz w:val="20"/>
                <w:szCs w:val="20"/>
              </w:rPr>
              <w:t>4</w:t>
            </w:r>
            <w:r w:rsidRPr="00F758EA">
              <w:rPr>
                <w:rFonts w:eastAsia="DengXian" w:cs="Times New Roman"/>
                <w:sz w:val="20"/>
                <w:szCs w:val="20"/>
              </w:rPr>
              <w:t>***</w:t>
            </w:r>
          </w:p>
        </w:tc>
        <w:tc>
          <w:tcPr>
            <w:tcW w:w="548" w:type="pct"/>
            <w:hideMark/>
          </w:tcPr>
          <w:p w14:paraId="483CDB54" w14:textId="5FD9C050"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-.061***</w:t>
            </w:r>
          </w:p>
        </w:tc>
        <w:tc>
          <w:tcPr>
            <w:tcW w:w="548" w:type="pct"/>
            <w:hideMark/>
          </w:tcPr>
          <w:p w14:paraId="61B70499" w14:textId="69FE3313"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.028**</w:t>
            </w:r>
          </w:p>
        </w:tc>
        <w:tc>
          <w:tcPr>
            <w:tcW w:w="644" w:type="pct"/>
            <w:hideMark/>
          </w:tcPr>
          <w:p w14:paraId="45384EAD" w14:textId="3B14DFAE"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.014</w:t>
            </w:r>
          </w:p>
        </w:tc>
        <w:tc>
          <w:tcPr>
            <w:tcW w:w="521" w:type="pct"/>
            <w:hideMark/>
          </w:tcPr>
          <w:p w14:paraId="1C2F2EAC" w14:textId="0D4A50BF"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-.00</w:t>
            </w:r>
            <w:r w:rsidR="00AD3557" w:rsidRPr="00F758EA">
              <w:rPr>
                <w:rFonts w:eastAsia="DengXian" w:cs="Times New Roman"/>
                <w:sz w:val="20"/>
                <w:szCs w:val="20"/>
              </w:rPr>
              <w:t>2</w:t>
            </w:r>
          </w:p>
        </w:tc>
        <w:tc>
          <w:tcPr>
            <w:tcW w:w="547" w:type="pct"/>
            <w:hideMark/>
          </w:tcPr>
          <w:p w14:paraId="591E3E92" w14:textId="30844463"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.02</w:t>
            </w:r>
            <w:r w:rsidR="00AD3557" w:rsidRPr="00F758EA">
              <w:rPr>
                <w:rFonts w:eastAsia="DengXian" w:cs="Times New Roman"/>
                <w:sz w:val="20"/>
                <w:szCs w:val="20"/>
              </w:rPr>
              <w:t>4</w:t>
            </w:r>
          </w:p>
        </w:tc>
      </w:tr>
      <w:tr w:rsidR="00D04AFB" w:rsidRPr="00F758EA" w14:paraId="41B84502" w14:textId="77777777" w:rsidTr="00D04AFB">
        <w:trPr>
          <w:jc w:val="center"/>
        </w:trPr>
        <w:tc>
          <w:tcPr>
            <w:tcW w:w="1139" w:type="pct"/>
            <w:hideMark/>
          </w:tcPr>
          <w:p w14:paraId="2E1D7BB4" w14:textId="6DB84D93" w:rsidR="005E02DB" w:rsidRPr="00F758EA" w:rsidRDefault="005E02DB" w:rsidP="00D326A2">
            <w:pPr>
              <w:widowControl w:val="0"/>
              <w:autoSpaceDE w:val="0"/>
              <w:autoSpaceDN w:val="0"/>
              <w:adjustRightInd w:val="0"/>
              <w:spacing w:line="240" w:lineRule="auto"/>
              <w:rPr>
                <w:rFonts w:eastAsia="DengXian" w:cs="Times New Roman"/>
                <w:sz w:val="20"/>
                <w:szCs w:val="20"/>
              </w:rPr>
            </w:pPr>
          </w:p>
        </w:tc>
        <w:tc>
          <w:tcPr>
            <w:tcW w:w="532" w:type="pct"/>
            <w:hideMark/>
          </w:tcPr>
          <w:p w14:paraId="3C1F72F2" w14:textId="716F09EA"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(.02</w:t>
            </w:r>
            <w:r w:rsidR="00AD3557" w:rsidRPr="00F758EA">
              <w:rPr>
                <w:rFonts w:eastAsia="DengXian" w:cs="Times New Roman"/>
                <w:sz w:val="20"/>
                <w:szCs w:val="20"/>
              </w:rPr>
              <w:t>1</w:t>
            </w:r>
            <w:r w:rsidRPr="00F758EA">
              <w:rPr>
                <w:rFonts w:eastAsia="DengXian" w:cs="Times New Roman"/>
                <w:sz w:val="20"/>
                <w:szCs w:val="20"/>
              </w:rPr>
              <w:t>)</w:t>
            </w:r>
          </w:p>
        </w:tc>
        <w:tc>
          <w:tcPr>
            <w:tcW w:w="521" w:type="pct"/>
            <w:hideMark/>
          </w:tcPr>
          <w:p w14:paraId="1D897D7E" w14:textId="3B7CFB79"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(.024)</w:t>
            </w:r>
          </w:p>
        </w:tc>
        <w:tc>
          <w:tcPr>
            <w:tcW w:w="548" w:type="pct"/>
            <w:hideMark/>
          </w:tcPr>
          <w:p w14:paraId="3E9FFA81" w14:textId="300C4854"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(.018)</w:t>
            </w:r>
          </w:p>
        </w:tc>
        <w:tc>
          <w:tcPr>
            <w:tcW w:w="548" w:type="pct"/>
            <w:hideMark/>
          </w:tcPr>
          <w:p w14:paraId="1A59F564" w14:textId="22E031C4"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(.014)</w:t>
            </w:r>
          </w:p>
        </w:tc>
        <w:tc>
          <w:tcPr>
            <w:tcW w:w="644" w:type="pct"/>
            <w:hideMark/>
          </w:tcPr>
          <w:p w14:paraId="0827BE98" w14:textId="5DB9AE93"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(.015)</w:t>
            </w:r>
          </w:p>
        </w:tc>
        <w:tc>
          <w:tcPr>
            <w:tcW w:w="521" w:type="pct"/>
            <w:hideMark/>
          </w:tcPr>
          <w:p w14:paraId="77C788B5" w14:textId="4C27CD97"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(.022)</w:t>
            </w:r>
          </w:p>
        </w:tc>
        <w:tc>
          <w:tcPr>
            <w:tcW w:w="547" w:type="pct"/>
            <w:hideMark/>
          </w:tcPr>
          <w:p w14:paraId="3CD49080" w14:textId="09503260"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(.026)</w:t>
            </w:r>
          </w:p>
        </w:tc>
      </w:tr>
      <w:tr w:rsidR="00D04AFB" w:rsidRPr="00F758EA" w14:paraId="74F052C7" w14:textId="77777777" w:rsidTr="00D04AFB">
        <w:trPr>
          <w:jc w:val="center"/>
        </w:trPr>
        <w:tc>
          <w:tcPr>
            <w:tcW w:w="1139" w:type="pct"/>
            <w:hideMark/>
          </w:tcPr>
          <w:p w14:paraId="553C34A4" w14:textId="5284FB49" w:rsidR="005E02DB" w:rsidRPr="00F758EA" w:rsidRDefault="005E02DB"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Poverty rate (100s)</w:t>
            </w:r>
          </w:p>
        </w:tc>
        <w:tc>
          <w:tcPr>
            <w:tcW w:w="532" w:type="pct"/>
            <w:hideMark/>
          </w:tcPr>
          <w:p w14:paraId="01BC6C65" w14:textId="5CB0C0B6"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-.313</w:t>
            </w:r>
          </w:p>
        </w:tc>
        <w:tc>
          <w:tcPr>
            <w:tcW w:w="521" w:type="pct"/>
            <w:hideMark/>
          </w:tcPr>
          <w:p w14:paraId="349718FD" w14:textId="55B24510"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.437</w:t>
            </w:r>
          </w:p>
        </w:tc>
        <w:tc>
          <w:tcPr>
            <w:tcW w:w="548" w:type="pct"/>
            <w:hideMark/>
          </w:tcPr>
          <w:p w14:paraId="23A66187" w14:textId="7E7A5AE4"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.8</w:t>
            </w:r>
            <w:r w:rsidR="00CD4EB0" w:rsidRPr="00F758EA">
              <w:rPr>
                <w:rFonts w:eastAsia="DengXian" w:cs="Times New Roman"/>
                <w:sz w:val="20"/>
                <w:szCs w:val="20"/>
              </w:rPr>
              <w:t>50</w:t>
            </w:r>
            <w:r w:rsidRPr="00F758EA">
              <w:rPr>
                <w:rFonts w:eastAsia="DengXian" w:cs="Times New Roman"/>
                <w:sz w:val="20"/>
                <w:szCs w:val="20"/>
              </w:rPr>
              <w:t>***</w:t>
            </w:r>
          </w:p>
        </w:tc>
        <w:tc>
          <w:tcPr>
            <w:tcW w:w="548" w:type="pct"/>
            <w:hideMark/>
          </w:tcPr>
          <w:p w14:paraId="40F84AB0" w14:textId="44040E6E"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-.696***</w:t>
            </w:r>
          </w:p>
        </w:tc>
        <w:tc>
          <w:tcPr>
            <w:tcW w:w="644" w:type="pct"/>
            <w:hideMark/>
          </w:tcPr>
          <w:p w14:paraId="10562931" w14:textId="25E5556F"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-.865***</w:t>
            </w:r>
          </w:p>
        </w:tc>
        <w:tc>
          <w:tcPr>
            <w:tcW w:w="521" w:type="pct"/>
            <w:hideMark/>
          </w:tcPr>
          <w:p w14:paraId="5476FBD1" w14:textId="4C5EBB57"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-.367</w:t>
            </w:r>
          </w:p>
        </w:tc>
        <w:tc>
          <w:tcPr>
            <w:tcW w:w="547" w:type="pct"/>
            <w:hideMark/>
          </w:tcPr>
          <w:p w14:paraId="73A7518C" w14:textId="38AF79AE"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.079</w:t>
            </w:r>
          </w:p>
        </w:tc>
      </w:tr>
      <w:tr w:rsidR="00D04AFB" w:rsidRPr="00F758EA" w14:paraId="35906E94" w14:textId="77777777" w:rsidTr="00D04AFB">
        <w:trPr>
          <w:jc w:val="center"/>
        </w:trPr>
        <w:tc>
          <w:tcPr>
            <w:tcW w:w="1139" w:type="pct"/>
            <w:hideMark/>
          </w:tcPr>
          <w:p w14:paraId="42A4A44A" w14:textId="52A8F529" w:rsidR="005E02DB" w:rsidRPr="00F758EA" w:rsidRDefault="005E02DB" w:rsidP="00D326A2">
            <w:pPr>
              <w:widowControl w:val="0"/>
              <w:autoSpaceDE w:val="0"/>
              <w:autoSpaceDN w:val="0"/>
              <w:adjustRightInd w:val="0"/>
              <w:spacing w:line="240" w:lineRule="auto"/>
              <w:rPr>
                <w:rFonts w:eastAsia="DengXian" w:cs="Times New Roman"/>
                <w:sz w:val="20"/>
                <w:szCs w:val="20"/>
              </w:rPr>
            </w:pPr>
          </w:p>
        </w:tc>
        <w:tc>
          <w:tcPr>
            <w:tcW w:w="532" w:type="pct"/>
            <w:hideMark/>
          </w:tcPr>
          <w:p w14:paraId="413F786F" w14:textId="6BF5449B"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(.216)</w:t>
            </w:r>
          </w:p>
        </w:tc>
        <w:tc>
          <w:tcPr>
            <w:tcW w:w="521" w:type="pct"/>
            <w:hideMark/>
          </w:tcPr>
          <w:p w14:paraId="3AFC1417" w14:textId="1A62CCFF"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(.291)</w:t>
            </w:r>
          </w:p>
        </w:tc>
        <w:tc>
          <w:tcPr>
            <w:tcW w:w="548" w:type="pct"/>
            <w:hideMark/>
          </w:tcPr>
          <w:p w14:paraId="739B810E" w14:textId="26D4180D"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(.21</w:t>
            </w:r>
            <w:r w:rsidR="00CD4EB0" w:rsidRPr="00F758EA">
              <w:rPr>
                <w:rFonts w:eastAsia="DengXian" w:cs="Times New Roman"/>
                <w:sz w:val="20"/>
                <w:szCs w:val="20"/>
              </w:rPr>
              <w:t>5</w:t>
            </w:r>
            <w:r w:rsidRPr="00F758EA">
              <w:rPr>
                <w:rFonts w:eastAsia="DengXian" w:cs="Times New Roman"/>
                <w:sz w:val="20"/>
                <w:szCs w:val="20"/>
              </w:rPr>
              <w:t>)</w:t>
            </w:r>
          </w:p>
        </w:tc>
        <w:tc>
          <w:tcPr>
            <w:tcW w:w="548" w:type="pct"/>
            <w:hideMark/>
          </w:tcPr>
          <w:p w14:paraId="2FB2F9F6" w14:textId="7E4C4340"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(.250)</w:t>
            </w:r>
          </w:p>
        </w:tc>
        <w:tc>
          <w:tcPr>
            <w:tcW w:w="644" w:type="pct"/>
            <w:hideMark/>
          </w:tcPr>
          <w:p w14:paraId="002C2039" w14:textId="6FF55240"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(.17</w:t>
            </w:r>
            <w:r w:rsidR="00CD4EB0" w:rsidRPr="00F758EA">
              <w:rPr>
                <w:rFonts w:eastAsia="DengXian" w:cs="Times New Roman"/>
                <w:sz w:val="20"/>
                <w:szCs w:val="20"/>
              </w:rPr>
              <w:t>7</w:t>
            </w:r>
            <w:r w:rsidRPr="00F758EA">
              <w:rPr>
                <w:rFonts w:eastAsia="DengXian" w:cs="Times New Roman"/>
                <w:sz w:val="20"/>
                <w:szCs w:val="20"/>
              </w:rPr>
              <w:t>)</w:t>
            </w:r>
          </w:p>
        </w:tc>
        <w:tc>
          <w:tcPr>
            <w:tcW w:w="521" w:type="pct"/>
            <w:hideMark/>
          </w:tcPr>
          <w:p w14:paraId="37DCD39E" w14:textId="15B0E1D8"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(.27</w:t>
            </w:r>
            <w:r w:rsidR="00CD4EB0" w:rsidRPr="00F758EA">
              <w:rPr>
                <w:rFonts w:eastAsia="DengXian" w:cs="Times New Roman"/>
                <w:sz w:val="20"/>
                <w:szCs w:val="20"/>
              </w:rPr>
              <w:t>4</w:t>
            </w:r>
            <w:r w:rsidRPr="00F758EA">
              <w:rPr>
                <w:rFonts w:eastAsia="DengXian" w:cs="Times New Roman"/>
                <w:sz w:val="20"/>
                <w:szCs w:val="20"/>
              </w:rPr>
              <w:t>)</w:t>
            </w:r>
          </w:p>
        </w:tc>
        <w:tc>
          <w:tcPr>
            <w:tcW w:w="547" w:type="pct"/>
            <w:hideMark/>
          </w:tcPr>
          <w:p w14:paraId="2DAF34FC" w14:textId="11DE1C88"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(.177)</w:t>
            </w:r>
          </w:p>
        </w:tc>
      </w:tr>
      <w:tr w:rsidR="00D04AFB" w:rsidRPr="00F758EA" w14:paraId="746A512F" w14:textId="77777777" w:rsidTr="00D04AFB">
        <w:trPr>
          <w:jc w:val="center"/>
        </w:trPr>
        <w:tc>
          <w:tcPr>
            <w:tcW w:w="1139" w:type="pct"/>
            <w:hideMark/>
          </w:tcPr>
          <w:p w14:paraId="00EF051A" w14:textId="6D03F374" w:rsidR="005E02DB" w:rsidRPr="00F758EA" w:rsidRDefault="005E02DB" w:rsidP="00D326A2">
            <w:pPr>
              <w:widowControl w:val="0"/>
              <w:autoSpaceDE w:val="0"/>
              <w:autoSpaceDN w:val="0"/>
              <w:adjustRightInd w:val="0"/>
              <w:spacing w:line="240" w:lineRule="auto"/>
              <w:rPr>
                <w:rFonts w:eastAsia="DengXian" w:cs="Times New Roman"/>
                <w:sz w:val="20"/>
                <w:szCs w:val="20"/>
              </w:rPr>
            </w:pPr>
            <w:proofErr w:type="spellStart"/>
            <w:r w:rsidRPr="00F758EA">
              <w:rPr>
                <w:rFonts w:eastAsia="DengXian" w:cs="Times New Roman"/>
                <w:sz w:val="20"/>
                <w:szCs w:val="20"/>
              </w:rPr>
              <w:t>Unemp</w:t>
            </w:r>
            <w:proofErr w:type="spellEnd"/>
            <w:r w:rsidR="00D326A2">
              <w:rPr>
                <w:rFonts w:eastAsia="DengXian" w:cs="Times New Roman"/>
                <w:sz w:val="20"/>
                <w:szCs w:val="20"/>
              </w:rPr>
              <w:t>.</w:t>
            </w:r>
            <w:r w:rsidRPr="00F758EA">
              <w:rPr>
                <w:rFonts w:eastAsia="DengXian" w:cs="Times New Roman"/>
                <w:sz w:val="20"/>
                <w:szCs w:val="20"/>
              </w:rPr>
              <w:t xml:space="preserve"> rate (100s)</w:t>
            </w:r>
          </w:p>
        </w:tc>
        <w:tc>
          <w:tcPr>
            <w:tcW w:w="532" w:type="pct"/>
            <w:hideMark/>
          </w:tcPr>
          <w:p w14:paraId="6CA3680C" w14:textId="3B55CD05"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-1.242***</w:t>
            </w:r>
          </w:p>
        </w:tc>
        <w:tc>
          <w:tcPr>
            <w:tcW w:w="521" w:type="pct"/>
            <w:hideMark/>
          </w:tcPr>
          <w:p w14:paraId="53DB77A4" w14:textId="532DA39A"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2.017***</w:t>
            </w:r>
          </w:p>
        </w:tc>
        <w:tc>
          <w:tcPr>
            <w:tcW w:w="548" w:type="pct"/>
            <w:hideMark/>
          </w:tcPr>
          <w:p w14:paraId="2589A785" w14:textId="2DD53E13"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.32</w:t>
            </w:r>
            <w:r w:rsidR="00CD4EB0" w:rsidRPr="00F758EA">
              <w:rPr>
                <w:rFonts w:eastAsia="DengXian" w:cs="Times New Roman"/>
                <w:sz w:val="20"/>
                <w:szCs w:val="20"/>
              </w:rPr>
              <w:t>2</w:t>
            </w:r>
          </w:p>
        </w:tc>
        <w:tc>
          <w:tcPr>
            <w:tcW w:w="548" w:type="pct"/>
            <w:hideMark/>
          </w:tcPr>
          <w:p w14:paraId="2CEC6419" w14:textId="6CF07712"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.659***</w:t>
            </w:r>
          </w:p>
        </w:tc>
        <w:tc>
          <w:tcPr>
            <w:tcW w:w="644" w:type="pct"/>
            <w:hideMark/>
          </w:tcPr>
          <w:p w14:paraId="03C8D134" w14:textId="1B08E531"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.384**</w:t>
            </w:r>
          </w:p>
        </w:tc>
        <w:tc>
          <w:tcPr>
            <w:tcW w:w="521" w:type="pct"/>
            <w:hideMark/>
          </w:tcPr>
          <w:p w14:paraId="4A0E5B42" w14:textId="0D295CE9"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.84</w:t>
            </w:r>
            <w:r w:rsidR="00CD4EB0" w:rsidRPr="00F758EA">
              <w:rPr>
                <w:rFonts w:eastAsia="DengXian" w:cs="Times New Roman"/>
                <w:sz w:val="20"/>
                <w:szCs w:val="20"/>
              </w:rPr>
              <w:t>7</w:t>
            </w:r>
            <w:r w:rsidRPr="00F758EA">
              <w:rPr>
                <w:rFonts w:eastAsia="DengXian" w:cs="Times New Roman"/>
                <w:sz w:val="20"/>
                <w:szCs w:val="20"/>
              </w:rPr>
              <w:t>***</w:t>
            </w:r>
          </w:p>
        </w:tc>
        <w:tc>
          <w:tcPr>
            <w:tcW w:w="547" w:type="pct"/>
            <w:hideMark/>
          </w:tcPr>
          <w:p w14:paraId="23CFC2A1" w14:textId="11CC3B31"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.680***</w:t>
            </w:r>
          </w:p>
        </w:tc>
      </w:tr>
      <w:tr w:rsidR="00D04AFB" w:rsidRPr="00F758EA" w14:paraId="472913A6" w14:textId="77777777" w:rsidTr="00D04AFB">
        <w:trPr>
          <w:jc w:val="center"/>
        </w:trPr>
        <w:tc>
          <w:tcPr>
            <w:tcW w:w="1139" w:type="pct"/>
            <w:hideMark/>
          </w:tcPr>
          <w:p w14:paraId="2DB968D8" w14:textId="34D6183B" w:rsidR="005E02DB" w:rsidRPr="00F758EA" w:rsidRDefault="005E02DB" w:rsidP="00D326A2">
            <w:pPr>
              <w:widowControl w:val="0"/>
              <w:autoSpaceDE w:val="0"/>
              <w:autoSpaceDN w:val="0"/>
              <w:adjustRightInd w:val="0"/>
              <w:spacing w:line="240" w:lineRule="auto"/>
              <w:rPr>
                <w:rFonts w:eastAsia="DengXian" w:cs="Times New Roman"/>
                <w:sz w:val="20"/>
                <w:szCs w:val="20"/>
              </w:rPr>
            </w:pPr>
          </w:p>
        </w:tc>
        <w:tc>
          <w:tcPr>
            <w:tcW w:w="532" w:type="pct"/>
            <w:hideMark/>
          </w:tcPr>
          <w:p w14:paraId="3CF7E82E" w14:textId="3288B4D8"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(.254)</w:t>
            </w:r>
          </w:p>
        </w:tc>
        <w:tc>
          <w:tcPr>
            <w:tcW w:w="521" w:type="pct"/>
            <w:hideMark/>
          </w:tcPr>
          <w:p w14:paraId="0D931204" w14:textId="144C3430"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(.346)</w:t>
            </w:r>
          </w:p>
        </w:tc>
        <w:tc>
          <w:tcPr>
            <w:tcW w:w="548" w:type="pct"/>
            <w:hideMark/>
          </w:tcPr>
          <w:p w14:paraId="5E26ED1B" w14:textId="039A6329"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(.27</w:t>
            </w:r>
            <w:r w:rsidR="00CD4EB0" w:rsidRPr="00F758EA">
              <w:rPr>
                <w:rFonts w:eastAsia="DengXian" w:cs="Times New Roman"/>
                <w:sz w:val="20"/>
                <w:szCs w:val="20"/>
              </w:rPr>
              <w:t>4</w:t>
            </w:r>
            <w:r w:rsidRPr="00F758EA">
              <w:rPr>
                <w:rFonts w:eastAsia="DengXian" w:cs="Times New Roman"/>
                <w:sz w:val="20"/>
                <w:szCs w:val="20"/>
              </w:rPr>
              <w:t>)</w:t>
            </w:r>
          </w:p>
        </w:tc>
        <w:tc>
          <w:tcPr>
            <w:tcW w:w="548" w:type="pct"/>
            <w:hideMark/>
          </w:tcPr>
          <w:p w14:paraId="166313DB" w14:textId="6A4F35CD"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(.237)</w:t>
            </w:r>
          </w:p>
        </w:tc>
        <w:tc>
          <w:tcPr>
            <w:tcW w:w="644" w:type="pct"/>
            <w:hideMark/>
          </w:tcPr>
          <w:p w14:paraId="71FD7360" w14:textId="7BCFE7D7"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(.184)</w:t>
            </w:r>
          </w:p>
        </w:tc>
        <w:tc>
          <w:tcPr>
            <w:tcW w:w="521" w:type="pct"/>
            <w:hideMark/>
          </w:tcPr>
          <w:p w14:paraId="23401A45" w14:textId="7D2E65FB"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(.28</w:t>
            </w:r>
            <w:r w:rsidR="00CD4EB0" w:rsidRPr="00F758EA">
              <w:rPr>
                <w:rFonts w:eastAsia="DengXian" w:cs="Times New Roman"/>
                <w:sz w:val="20"/>
                <w:szCs w:val="20"/>
              </w:rPr>
              <w:t>6</w:t>
            </w:r>
            <w:r w:rsidRPr="00F758EA">
              <w:rPr>
                <w:rFonts w:eastAsia="DengXian" w:cs="Times New Roman"/>
                <w:sz w:val="20"/>
                <w:szCs w:val="20"/>
              </w:rPr>
              <w:t>)</w:t>
            </w:r>
          </w:p>
        </w:tc>
        <w:tc>
          <w:tcPr>
            <w:tcW w:w="547" w:type="pct"/>
            <w:hideMark/>
          </w:tcPr>
          <w:p w14:paraId="6D3C8E39" w14:textId="5BE7FED3"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(.1</w:t>
            </w:r>
            <w:r w:rsidR="00CD4EB0" w:rsidRPr="00F758EA">
              <w:rPr>
                <w:rFonts w:eastAsia="DengXian" w:cs="Times New Roman"/>
                <w:sz w:val="20"/>
                <w:szCs w:val="20"/>
              </w:rPr>
              <w:t>80</w:t>
            </w:r>
            <w:r w:rsidRPr="00F758EA">
              <w:rPr>
                <w:rFonts w:eastAsia="DengXian" w:cs="Times New Roman"/>
                <w:sz w:val="20"/>
                <w:szCs w:val="20"/>
              </w:rPr>
              <w:t>)</w:t>
            </w:r>
          </w:p>
        </w:tc>
      </w:tr>
      <w:tr w:rsidR="00D04AFB" w:rsidRPr="00F758EA" w14:paraId="0749442C" w14:textId="77777777" w:rsidTr="00D04AFB">
        <w:trPr>
          <w:jc w:val="center"/>
        </w:trPr>
        <w:tc>
          <w:tcPr>
            <w:tcW w:w="1139" w:type="pct"/>
            <w:hideMark/>
          </w:tcPr>
          <w:p w14:paraId="0DE3935C" w14:textId="56F50282" w:rsidR="005E02DB" w:rsidRPr="00F758EA" w:rsidRDefault="005E02DB"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Pop</w:t>
            </w:r>
            <w:r w:rsidR="00D326A2">
              <w:rPr>
                <w:rFonts w:eastAsia="DengXian" w:cs="Times New Roman"/>
                <w:sz w:val="20"/>
                <w:szCs w:val="20"/>
              </w:rPr>
              <w:t xml:space="preserve">. </w:t>
            </w:r>
            <w:r w:rsidRPr="00F758EA">
              <w:rPr>
                <w:rFonts w:eastAsia="DengXian" w:cs="Times New Roman"/>
                <w:sz w:val="20"/>
                <w:szCs w:val="20"/>
              </w:rPr>
              <w:t>Density (100s)</w:t>
            </w:r>
          </w:p>
        </w:tc>
        <w:tc>
          <w:tcPr>
            <w:tcW w:w="532" w:type="pct"/>
            <w:hideMark/>
          </w:tcPr>
          <w:p w14:paraId="6E98F1E8" w14:textId="067DF324"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-5.840</w:t>
            </w:r>
          </w:p>
        </w:tc>
        <w:tc>
          <w:tcPr>
            <w:tcW w:w="521" w:type="pct"/>
            <w:hideMark/>
          </w:tcPr>
          <w:p w14:paraId="7C85480A" w14:textId="18327B60"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-.498</w:t>
            </w:r>
          </w:p>
        </w:tc>
        <w:tc>
          <w:tcPr>
            <w:tcW w:w="548" w:type="pct"/>
            <w:hideMark/>
          </w:tcPr>
          <w:p w14:paraId="2029A417" w14:textId="416E7092"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-4.322**</w:t>
            </w:r>
          </w:p>
        </w:tc>
        <w:tc>
          <w:tcPr>
            <w:tcW w:w="548" w:type="pct"/>
            <w:hideMark/>
          </w:tcPr>
          <w:p w14:paraId="7888D4F4" w14:textId="4C37E2FE"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.504</w:t>
            </w:r>
          </w:p>
        </w:tc>
        <w:tc>
          <w:tcPr>
            <w:tcW w:w="644" w:type="pct"/>
            <w:hideMark/>
          </w:tcPr>
          <w:p w14:paraId="345E833C" w14:textId="56718B2F"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-4.27</w:t>
            </w:r>
            <w:r w:rsidR="00CD4EB0" w:rsidRPr="00F758EA">
              <w:rPr>
                <w:rFonts w:eastAsia="DengXian" w:cs="Times New Roman"/>
                <w:sz w:val="20"/>
                <w:szCs w:val="20"/>
              </w:rPr>
              <w:t>7</w:t>
            </w:r>
            <w:r w:rsidRPr="00F758EA">
              <w:rPr>
                <w:rFonts w:eastAsia="DengXian" w:cs="Times New Roman"/>
                <w:sz w:val="20"/>
                <w:szCs w:val="20"/>
              </w:rPr>
              <w:t>***</w:t>
            </w:r>
          </w:p>
        </w:tc>
        <w:tc>
          <w:tcPr>
            <w:tcW w:w="521" w:type="pct"/>
            <w:hideMark/>
          </w:tcPr>
          <w:p w14:paraId="28DD7289" w14:textId="31E90B27"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1.655**</w:t>
            </w:r>
          </w:p>
        </w:tc>
        <w:tc>
          <w:tcPr>
            <w:tcW w:w="547" w:type="pct"/>
            <w:hideMark/>
          </w:tcPr>
          <w:p w14:paraId="527FAE29" w14:textId="26CE862A"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.39</w:t>
            </w:r>
            <w:r w:rsidR="00CD4EB0" w:rsidRPr="00F758EA">
              <w:rPr>
                <w:rFonts w:eastAsia="DengXian" w:cs="Times New Roman"/>
                <w:sz w:val="20"/>
                <w:szCs w:val="20"/>
              </w:rPr>
              <w:t>8</w:t>
            </w:r>
          </w:p>
        </w:tc>
      </w:tr>
      <w:tr w:rsidR="00D04AFB" w:rsidRPr="00F758EA" w14:paraId="3C1F3E7C" w14:textId="77777777" w:rsidTr="00D04AFB">
        <w:trPr>
          <w:jc w:val="center"/>
        </w:trPr>
        <w:tc>
          <w:tcPr>
            <w:tcW w:w="1139" w:type="pct"/>
            <w:hideMark/>
          </w:tcPr>
          <w:p w14:paraId="20C90754" w14:textId="1EECCA25" w:rsidR="005E02DB" w:rsidRPr="00F758EA" w:rsidRDefault="005E02DB" w:rsidP="00D326A2">
            <w:pPr>
              <w:widowControl w:val="0"/>
              <w:autoSpaceDE w:val="0"/>
              <w:autoSpaceDN w:val="0"/>
              <w:adjustRightInd w:val="0"/>
              <w:spacing w:line="240" w:lineRule="auto"/>
              <w:rPr>
                <w:rFonts w:eastAsia="DengXian" w:cs="Times New Roman"/>
                <w:sz w:val="20"/>
                <w:szCs w:val="20"/>
              </w:rPr>
            </w:pPr>
          </w:p>
        </w:tc>
        <w:tc>
          <w:tcPr>
            <w:tcW w:w="532" w:type="pct"/>
            <w:hideMark/>
          </w:tcPr>
          <w:p w14:paraId="5B2AF5F5" w14:textId="0A144C37"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(3.78</w:t>
            </w:r>
            <w:r w:rsidR="00CD4EB0" w:rsidRPr="00F758EA">
              <w:rPr>
                <w:rFonts w:eastAsia="DengXian" w:cs="Times New Roman"/>
                <w:sz w:val="20"/>
                <w:szCs w:val="20"/>
              </w:rPr>
              <w:t>8</w:t>
            </w:r>
            <w:r w:rsidRPr="00F758EA">
              <w:rPr>
                <w:rFonts w:eastAsia="DengXian" w:cs="Times New Roman"/>
                <w:sz w:val="20"/>
                <w:szCs w:val="20"/>
              </w:rPr>
              <w:t>)</w:t>
            </w:r>
          </w:p>
        </w:tc>
        <w:tc>
          <w:tcPr>
            <w:tcW w:w="521" w:type="pct"/>
            <w:hideMark/>
          </w:tcPr>
          <w:p w14:paraId="1A2AAD0B" w14:textId="285A89DE"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(2.190)</w:t>
            </w:r>
          </w:p>
        </w:tc>
        <w:tc>
          <w:tcPr>
            <w:tcW w:w="548" w:type="pct"/>
            <w:hideMark/>
          </w:tcPr>
          <w:p w14:paraId="723D4E31" w14:textId="3467C6DE"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(2.202)</w:t>
            </w:r>
          </w:p>
        </w:tc>
        <w:tc>
          <w:tcPr>
            <w:tcW w:w="548" w:type="pct"/>
            <w:hideMark/>
          </w:tcPr>
          <w:p w14:paraId="34EDADC8" w14:textId="37CAF3CB"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(1.49</w:t>
            </w:r>
            <w:r w:rsidR="00CD4EB0" w:rsidRPr="00F758EA">
              <w:rPr>
                <w:rFonts w:eastAsia="DengXian" w:cs="Times New Roman"/>
                <w:sz w:val="20"/>
                <w:szCs w:val="20"/>
              </w:rPr>
              <w:t>6</w:t>
            </w:r>
            <w:r w:rsidRPr="00F758EA">
              <w:rPr>
                <w:rFonts w:eastAsia="DengXian" w:cs="Times New Roman"/>
                <w:sz w:val="20"/>
                <w:szCs w:val="20"/>
              </w:rPr>
              <w:t>)</w:t>
            </w:r>
          </w:p>
        </w:tc>
        <w:tc>
          <w:tcPr>
            <w:tcW w:w="644" w:type="pct"/>
            <w:hideMark/>
          </w:tcPr>
          <w:p w14:paraId="1D308E6D" w14:textId="55CAF452"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(.992)</w:t>
            </w:r>
          </w:p>
        </w:tc>
        <w:tc>
          <w:tcPr>
            <w:tcW w:w="521" w:type="pct"/>
            <w:hideMark/>
          </w:tcPr>
          <w:p w14:paraId="6AD4AAFC" w14:textId="6D74B778"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(.709)</w:t>
            </w:r>
          </w:p>
        </w:tc>
        <w:tc>
          <w:tcPr>
            <w:tcW w:w="547" w:type="pct"/>
            <w:hideMark/>
          </w:tcPr>
          <w:p w14:paraId="7BB07902" w14:textId="6D25EAD4"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(1.61</w:t>
            </w:r>
            <w:r w:rsidR="00CD4EB0" w:rsidRPr="00F758EA">
              <w:rPr>
                <w:rFonts w:eastAsia="DengXian" w:cs="Times New Roman"/>
                <w:sz w:val="20"/>
                <w:szCs w:val="20"/>
              </w:rPr>
              <w:t>4</w:t>
            </w:r>
            <w:r w:rsidRPr="00F758EA">
              <w:rPr>
                <w:rFonts w:eastAsia="DengXian" w:cs="Times New Roman"/>
                <w:sz w:val="20"/>
                <w:szCs w:val="20"/>
              </w:rPr>
              <w:t>)</w:t>
            </w:r>
          </w:p>
        </w:tc>
      </w:tr>
      <w:tr w:rsidR="00D04AFB" w:rsidRPr="00F758EA" w14:paraId="051EFDD2" w14:textId="77777777" w:rsidTr="00D04AFB">
        <w:trPr>
          <w:jc w:val="center"/>
        </w:trPr>
        <w:tc>
          <w:tcPr>
            <w:tcW w:w="1139" w:type="pct"/>
            <w:hideMark/>
          </w:tcPr>
          <w:p w14:paraId="15ACDF29" w14:textId="7D13BC6A" w:rsidR="005E02DB" w:rsidRPr="00F758EA" w:rsidRDefault="005E02DB"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Med</w:t>
            </w:r>
            <w:r w:rsidR="00D04AFB">
              <w:rPr>
                <w:rFonts w:eastAsia="DengXian" w:cs="Times New Roman"/>
                <w:sz w:val="20"/>
                <w:szCs w:val="20"/>
              </w:rPr>
              <w:t>.</w:t>
            </w:r>
            <w:r w:rsidRPr="00F758EA">
              <w:rPr>
                <w:rFonts w:eastAsia="DengXian" w:cs="Times New Roman"/>
                <w:sz w:val="20"/>
                <w:szCs w:val="20"/>
              </w:rPr>
              <w:t xml:space="preserve"> HH Inc</w:t>
            </w:r>
            <w:r w:rsidR="00D04AFB">
              <w:rPr>
                <w:rFonts w:eastAsia="DengXian" w:cs="Times New Roman"/>
                <w:sz w:val="20"/>
                <w:szCs w:val="20"/>
              </w:rPr>
              <w:t>.</w:t>
            </w:r>
            <w:r w:rsidRPr="00F758EA">
              <w:rPr>
                <w:rFonts w:eastAsia="DengXian" w:cs="Times New Roman"/>
                <w:sz w:val="20"/>
                <w:szCs w:val="20"/>
              </w:rPr>
              <w:t xml:space="preserve"> (100ks)</w:t>
            </w:r>
          </w:p>
        </w:tc>
        <w:tc>
          <w:tcPr>
            <w:tcW w:w="532" w:type="pct"/>
            <w:hideMark/>
          </w:tcPr>
          <w:p w14:paraId="23F9DFA5" w14:textId="59D21401"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1.179***</w:t>
            </w:r>
          </w:p>
        </w:tc>
        <w:tc>
          <w:tcPr>
            <w:tcW w:w="521" w:type="pct"/>
            <w:hideMark/>
          </w:tcPr>
          <w:p w14:paraId="440575D0" w14:textId="23403207"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.834***</w:t>
            </w:r>
          </w:p>
        </w:tc>
        <w:tc>
          <w:tcPr>
            <w:tcW w:w="548" w:type="pct"/>
            <w:hideMark/>
          </w:tcPr>
          <w:p w14:paraId="2085813C" w14:textId="06B487B4"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.8</w:t>
            </w:r>
            <w:r w:rsidR="00CD4EB0" w:rsidRPr="00F758EA">
              <w:rPr>
                <w:rFonts w:eastAsia="DengXian" w:cs="Times New Roman"/>
                <w:sz w:val="20"/>
                <w:szCs w:val="20"/>
              </w:rPr>
              <w:t>10</w:t>
            </w:r>
            <w:r w:rsidRPr="00F758EA">
              <w:rPr>
                <w:rFonts w:eastAsia="DengXian" w:cs="Times New Roman"/>
                <w:sz w:val="20"/>
                <w:szCs w:val="20"/>
              </w:rPr>
              <w:t>***</w:t>
            </w:r>
          </w:p>
        </w:tc>
        <w:tc>
          <w:tcPr>
            <w:tcW w:w="548" w:type="pct"/>
            <w:hideMark/>
          </w:tcPr>
          <w:p w14:paraId="3CBB9804" w14:textId="6E182E0D"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.328**</w:t>
            </w:r>
          </w:p>
        </w:tc>
        <w:tc>
          <w:tcPr>
            <w:tcW w:w="644" w:type="pct"/>
            <w:hideMark/>
          </w:tcPr>
          <w:p w14:paraId="03C3944B" w14:textId="1C47AA60"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.216</w:t>
            </w:r>
          </w:p>
        </w:tc>
        <w:tc>
          <w:tcPr>
            <w:tcW w:w="521" w:type="pct"/>
            <w:hideMark/>
          </w:tcPr>
          <w:p w14:paraId="011CB5A0" w14:textId="722B1F1D"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.23</w:t>
            </w:r>
            <w:r w:rsidR="00CD4EB0" w:rsidRPr="00F758EA">
              <w:rPr>
                <w:rFonts w:eastAsia="DengXian" w:cs="Times New Roman"/>
                <w:sz w:val="20"/>
                <w:szCs w:val="20"/>
              </w:rPr>
              <w:t>2</w:t>
            </w:r>
          </w:p>
        </w:tc>
        <w:tc>
          <w:tcPr>
            <w:tcW w:w="547" w:type="pct"/>
            <w:hideMark/>
          </w:tcPr>
          <w:p w14:paraId="45706D54" w14:textId="6254CCBF"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.464***</w:t>
            </w:r>
          </w:p>
        </w:tc>
      </w:tr>
      <w:tr w:rsidR="00D04AFB" w:rsidRPr="00F758EA" w14:paraId="474C23D6" w14:textId="77777777" w:rsidTr="00D04AFB">
        <w:trPr>
          <w:jc w:val="center"/>
        </w:trPr>
        <w:tc>
          <w:tcPr>
            <w:tcW w:w="1139" w:type="pct"/>
            <w:hideMark/>
          </w:tcPr>
          <w:p w14:paraId="10FC191D" w14:textId="79301994" w:rsidR="005E02DB" w:rsidRPr="00F758EA" w:rsidRDefault="005E02DB" w:rsidP="00D326A2">
            <w:pPr>
              <w:widowControl w:val="0"/>
              <w:autoSpaceDE w:val="0"/>
              <w:autoSpaceDN w:val="0"/>
              <w:adjustRightInd w:val="0"/>
              <w:spacing w:line="240" w:lineRule="auto"/>
              <w:rPr>
                <w:rFonts w:eastAsia="DengXian" w:cs="Times New Roman"/>
                <w:sz w:val="20"/>
                <w:szCs w:val="20"/>
              </w:rPr>
            </w:pPr>
          </w:p>
        </w:tc>
        <w:tc>
          <w:tcPr>
            <w:tcW w:w="532" w:type="pct"/>
            <w:hideMark/>
          </w:tcPr>
          <w:p w14:paraId="325C2D60" w14:textId="436A9C28"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(.14</w:t>
            </w:r>
            <w:r w:rsidR="00CD4EB0" w:rsidRPr="00F758EA">
              <w:rPr>
                <w:rFonts w:eastAsia="DengXian" w:cs="Times New Roman"/>
                <w:sz w:val="20"/>
                <w:szCs w:val="20"/>
              </w:rPr>
              <w:t>1</w:t>
            </w:r>
            <w:r w:rsidRPr="00F758EA">
              <w:rPr>
                <w:rFonts w:eastAsia="DengXian" w:cs="Times New Roman"/>
                <w:sz w:val="20"/>
                <w:szCs w:val="20"/>
              </w:rPr>
              <w:t>)</w:t>
            </w:r>
          </w:p>
        </w:tc>
        <w:tc>
          <w:tcPr>
            <w:tcW w:w="521" w:type="pct"/>
            <w:hideMark/>
          </w:tcPr>
          <w:p w14:paraId="15458C6D" w14:textId="42885D58"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(.255)</w:t>
            </w:r>
          </w:p>
        </w:tc>
        <w:tc>
          <w:tcPr>
            <w:tcW w:w="548" w:type="pct"/>
            <w:hideMark/>
          </w:tcPr>
          <w:p w14:paraId="2828EF31" w14:textId="508C629A"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(.17</w:t>
            </w:r>
            <w:r w:rsidR="00CD4EB0" w:rsidRPr="00F758EA">
              <w:rPr>
                <w:rFonts w:eastAsia="DengXian" w:cs="Times New Roman"/>
                <w:sz w:val="20"/>
                <w:szCs w:val="20"/>
              </w:rPr>
              <w:t>9</w:t>
            </w:r>
            <w:r w:rsidRPr="00F758EA">
              <w:rPr>
                <w:rFonts w:eastAsia="DengXian" w:cs="Times New Roman"/>
                <w:sz w:val="20"/>
                <w:szCs w:val="20"/>
              </w:rPr>
              <w:t>)</w:t>
            </w:r>
          </w:p>
        </w:tc>
        <w:tc>
          <w:tcPr>
            <w:tcW w:w="548" w:type="pct"/>
            <w:hideMark/>
          </w:tcPr>
          <w:p w14:paraId="456CEA1D" w14:textId="4C918059"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(.158)</w:t>
            </w:r>
          </w:p>
        </w:tc>
        <w:tc>
          <w:tcPr>
            <w:tcW w:w="644" w:type="pct"/>
            <w:hideMark/>
          </w:tcPr>
          <w:p w14:paraId="7E5E4707" w14:textId="3366A073"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(.14</w:t>
            </w:r>
            <w:r w:rsidR="004530D0" w:rsidRPr="00F758EA">
              <w:rPr>
                <w:rFonts w:eastAsia="DengXian" w:cs="Times New Roman"/>
                <w:sz w:val="20"/>
                <w:szCs w:val="20"/>
              </w:rPr>
              <w:t>1</w:t>
            </w:r>
            <w:r w:rsidRPr="00F758EA">
              <w:rPr>
                <w:rFonts w:eastAsia="DengXian" w:cs="Times New Roman"/>
                <w:sz w:val="20"/>
                <w:szCs w:val="20"/>
              </w:rPr>
              <w:t>)</w:t>
            </w:r>
          </w:p>
        </w:tc>
        <w:tc>
          <w:tcPr>
            <w:tcW w:w="521" w:type="pct"/>
            <w:hideMark/>
          </w:tcPr>
          <w:p w14:paraId="01D7D859" w14:textId="0326335F"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(.196)</w:t>
            </w:r>
          </w:p>
        </w:tc>
        <w:tc>
          <w:tcPr>
            <w:tcW w:w="547" w:type="pct"/>
            <w:hideMark/>
          </w:tcPr>
          <w:p w14:paraId="50938B19" w14:textId="2F0BE336"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(.102)</w:t>
            </w:r>
          </w:p>
        </w:tc>
      </w:tr>
      <w:tr w:rsidR="00D04AFB" w:rsidRPr="00F758EA" w14:paraId="3E563C3F" w14:textId="77777777" w:rsidTr="00D04AFB">
        <w:trPr>
          <w:jc w:val="center"/>
        </w:trPr>
        <w:tc>
          <w:tcPr>
            <w:tcW w:w="1139" w:type="pct"/>
            <w:hideMark/>
          </w:tcPr>
          <w:p w14:paraId="4F07ACD9" w14:textId="45523255" w:rsidR="005E02DB" w:rsidRPr="00F758EA" w:rsidRDefault="005E02DB"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HPI</w:t>
            </w:r>
            <w:r w:rsidR="00D04AFB">
              <w:rPr>
                <w:rFonts w:eastAsia="DengXian" w:cs="Times New Roman"/>
                <w:sz w:val="20"/>
                <w:szCs w:val="20"/>
              </w:rPr>
              <w:t xml:space="preserve"> </w:t>
            </w:r>
            <w:r w:rsidRPr="00F758EA">
              <w:rPr>
                <w:rFonts w:eastAsia="DengXian" w:cs="Times New Roman"/>
                <w:sz w:val="20"/>
                <w:szCs w:val="20"/>
              </w:rPr>
              <w:t>(100</w:t>
            </w:r>
            <w:r w:rsidR="00D04AFB">
              <w:rPr>
                <w:rFonts w:eastAsia="DengXian" w:cs="Times New Roman"/>
                <w:sz w:val="20"/>
                <w:szCs w:val="20"/>
              </w:rPr>
              <w:t>s</w:t>
            </w:r>
            <w:r w:rsidRPr="00F758EA">
              <w:rPr>
                <w:rFonts w:eastAsia="DengXian" w:cs="Times New Roman"/>
                <w:sz w:val="20"/>
                <w:szCs w:val="20"/>
              </w:rPr>
              <w:t>)</w:t>
            </w:r>
          </w:p>
        </w:tc>
        <w:tc>
          <w:tcPr>
            <w:tcW w:w="532" w:type="pct"/>
            <w:hideMark/>
          </w:tcPr>
          <w:p w14:paraId="747ECE15" w14:textId="16249CFC"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w:t>
            </w:r>
            <w:r w:rsidR="004530D0" w:rsidRPr="00F758EA">
              <w:rPr>
                <w:rFonts w:eastAsia="DengXian" w:cs="Times New Roman"/>
                <w:sz w:val="20"/>
                <w:szCs w:val="20"/>
              </w:rPr>
              <w:t>50</w:t>
            </w:r>
            <w:r w:rsidRPr="00F758EA">
              <w:rPr>
                <w:rFonts w:eastAsia="DengXian" w:cs="Times New Roman"/>
                <w:sz w:val="20"/>
                <w:szCs w:val="20"/>
              </w:rPr>
              <w:t>***</w:t>
            </w:r>
          </w:p>
        </w:tc>
        <w:tc>
          <w:tcPr>
            <w:tcW w:w="521" w:type="pct"/>
            <w:hideMark/>
          </w:tcPr>
          <w:p w14:paraId="3FB4DFE2" w14:textId="60D4D537"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.006</w:t>
            </w:r>
          </w:p>
        </w:tc>
        <w:tc>
          <w:tcPr>
            <w:tcW w:w="548" w:type="pct"/>
            <w:hideMark/>
          </w:tcPr>
          <w:p w14:paraId="18FDBC71" w14:textId="48176C3B"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-.01</w:t>
            </w:r>
            <w:r w:rsidR="002356EF" w:rsidRPr="00F758EA">
              <w:rPr>
                <w:rFonts w:eastAsia="DengXian" w:cs="Times New Roman"/>
                <w:sz w:val="20"/>
                <w:szCs w:val="20"/>
              </w:rPr>
              <w:t>7</w:t>
            </w:r>
            <w:r w:rsidRPr="00F758EA">
              <w:rPr>
                <w:rFonts w:eastAsia="DengXian" w:cs="Times New Roman"/>
                <w:sz w:val="20"/>
                <w:szCs w:val="20"/>
              </w:rPr>
              <w:t>**</w:t>
            </w:r>
          </w:p>
        </w:tc>
        <w:tc>
          <w:tcPr>
            <w:tcW w:w="548" w:type="pct"/>
            <w:hideMark/>
          </w:tcPr>
          <w:p w14:paraId="5932FEA3" w14:textId="4B4DD5F4"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.015**</w:t>
            </w:r>
          </w:p>
        </w:tc>
        <w:tc>
          <w:tcPr>
            <w:tcW w:w="644" w:type="pct"/>
            <w:hideMark/>
          </w:tcPr>
          <w:p w14:paraId="145F86EA" w14:textId="5BAB1986"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-.004</w:t>
            </w:r>
          </w:p>
        </w:tc>
        <w:tc>
          <w:tcPr>
            <w:tcW w:w="521" w:type="pct"/>
            <w:hideMark/>
          </w:tcPr>
          <w:p w14:paraId="2FC76E5D" w14:textId="665094BE"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-.0112*</w:t>
            </w:r>
          </w:p>
        </w:tc>
        <w:tc>
          <w:tcPr>
            <w:tcW w:w="547" w:type="pct"/>
            <w:hideMark/>
          </w:tcPr>
          <w:p w14:paraId="10E1B7D6" w14:textId="514A4E4A"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.00</w:t>
            </w:r>
            <w:r w:rsidR="004530D0" w:rsidRPr="00F758EA">
              <w:rPr>
                <w:rFonts w:eastAsia="DengXian" w:cs="Times New Roman"/>
                <w:sz w:val="20"/>
                <w:szCs w:val="20"/>
              </w:rPr>
              <w:t>1</w:t>
            </w:r>
          </w:p>
        </w:tc>
      </w:tr>
      <w:tr w:rsidR="00D04AFB" w:rsidRPr="00F758EA" w14:paraId="4C439AD3" w14:textId="77777777" w:rsidTr="00D04AFB">
        <w:trPr>
          <w:jc w:val="center"/>
        </w:trPr>
        <w:tc>
          <w:tcPr>
            <w:tcW w:w="1139" w:type="pct"/>
            <w:hideMark/>
          </w:tcPr>
          <w:p w14:paraId="0D521CE0" w14:textId="7D61D28C" w:rsidR="005E02DB" w:rsidRPr="00F758EA" w:rsidRDefault="005E02DB" w:rsidP="00D326A2">
            <w:pPr>
              <w:widowControl w:val="0"/>
              <w:autoSpaceDE w:val="0"/>
              <w:autoSpaceDN w:val="0"/>
              <w:adjustRightInd w:val="0"/>
              <w:spacing w:line="240" w:lineRule="auto"/>
              <w:rPr>
                <w:rFonts w:eastAsia="DengXian" w:cs="Times New Roman"/>
                <w:sz w:val="20"/>
                <w:szCs w:val="20"/>
              </w:rPr>
            </w:pPr>
          </w:p>
        </w:tc>
        <w:tc>
          <w:tcPr>
            <w:tcW w:w="532" w:type="pct"/>
            <w:hideMark/>
          </w:tcPr>
          <w:p w14:paraId="222A64A4" w14:textId="67003BF5"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(.007)</w:t>
            </w:r>
          </w:p>
        </w:tc>
        <w:tc>
          <w:tcPr>
            <w:tcW w:w="521" w:type="pct"/>
            <w:hideMark/>
          </w:tcPr>
          <w:p w14:paraId="4F63A1F2" w14:textId="26D83F3F"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(.009)</w:t>
            </w:r>
          </w:p>
        </w:tc>
        <w:tc>
          <w:tcPr>
            <w:tcW w:w="548" w:type="pct"/>
            <w:hideMark/>
          </w:tcPr>
          <w:p w14:paraId="3C48ADDC" w14:textId="16180F8F"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(.008)</w:t>
            </w:r>
          </w:p>
        </w:tc>
        <w:tc>
          <w:tcPr>
            <w:tcW w:w="548" w:type="pct"/>
            <w:hideMark/>
          </w:tcPr>
          <w:p w14:paraId="4B42AECF" w14:textId="45A871AD"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(.006)</w:t>
            </w:r>
          </w:p>
        </w:tc>
        <w:tc>
          <w:tcPr>
            <w:tcW w:w="644" w:type="pct"/>
            <w:hideMark/>
          </w:tcPr>
          <w:p w14:paraId="58390587" w14:textId="396575D0"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(.006)</w:t>
            </w:r>
          </w:p>
        </w:tc>
        <w:tc>
          <w:tcPr>
            <w:tcW w:w="521" w:type="pct"/>
            <w:hideMark/>
          </w:tcPr>
          <w:p w14:paraId="1E95ED14" w14:textId="7F8D7464"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(.00</w:t>
            </w:r>
            <w:r w:rsidR="004530D0" w:rsidRPr="00F758EA">
              <w:rPr>
                <w:rFonts w:eastAsia="DengXian" w:cs="Times New Roman"/>
                <w:sz w:val="20"/>
                <w:szCs w:val="20"/>
              </w:rPr>
              <w:t>7</w:t>
            </w:r>
            <w:r w:rsidRPr="00F758EA">
              <w:rPr>
                <w:rFonts w:eastAsia="DengXian" w:cs="Times New Roman"/>
                <w:sz w:val="20"/>
                <w:szCs w:val="20"/>
              </w:rPr>
              <w:t>)</w:t>
            </w:r>
          </w:p>
        </w:tc>
        <w:tc>
          <w:tcPr>
            <w:tcW w:w="547" w:type="pct"/>
            <w:hideMark/>
          </w:tcPr>
          <w:p w14:paraId="78B4D45B" w14:textId="63FD1B22"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(.004)</w:t>
            </w:r>
          </w:p>
        </w:tc>
      </w:tr>
      <w:tr w:rsidR="00D04AFB" w:rsidRPr="00F758EA" w14:paraId="653C99CA" w14:textId="77777777" w:rsidTr="00D04AFB">
        <w:trPr>
          <w:jc w:val="center"/>
        </w:trPr>
        <w:tc>
          <w:tcPr>
            <w:tcW w:w="1139" w:type="pct"/>
            <w:hideMark/>
          </w:tcPr>
          <w:p w14:paraId="58975C8E" w14:textId="2CD745BD" w:rsidR="005E02DB" w:rsidRPr="00F758EA" w:rsidRDefault="00D04AFB" w:rsidP="00D326A2">
            <w:pPr>
              <w:widowControl w:val="0"/>
              <w:autoSpaceDE w:val="0"/>
              <w:autoSpaceDN w:val="0"/>
              <w:adjustRightInd w:val="0"/>
              <w:spacing w:line="240" w:lineRule="auto"/>
              <w:rPr>
                <w:rFonts w:eastAsia="DengXian" w:cs="Times New Roman"/>
                <w:sz w:val="20"/>
                <w:szCs w:val="20"/>
              </w:rPr>
            </w:pPr>
            <w:r>
              <w:rPr>
                <w:rFonts w:eastAsia="DengXian" w:cs="Times New Roman"/>
                <w:sz w:val="20"/>
                <w:szCs w:val="20"/>
              </w:rPr>
              <w:t xml:space="preserve">EPA - </w:t>
            </w:r>
            <w:r w:rsidR="005E02DB" w:rsidRPr="00F758EA">
              <w:rPr>
                <w:rFonts w:eastAsia="DengXian" w:cs="Times New Roman"/>
                <w:sz w:val="20"/>
                <w:szCs w:val="20"/>
              </w:rPr>
              <w:t xml:space="preserve">SO2 </w:t>
            </w:r>
            <w:r>
              <w:rPr>
                <w:rFonts w:eastAsia="DengXian" w:cs="Times New Roman"/>
                <w:sz w:val="20"/>
                <w:szCs w:val="20"/>
              </w:rPr>
              <w:t>(t-1)</w:t>
            </w:r>
          </w:p>
        </w:tc>
        <w:tc>
          <w:tcPr>
            <w:tcW w:w="532" w:type="pct"/>
            <w:hideMark/>
          </w:tcPr>
          <w:p w14:paraId="41C68D80" w14:textId="46FD5A1A"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-.097</w:t>
            </w:r>
          </w:p>
        </w:tc>
        <w:tc>
          <w:tcPr>
            <w:tcW w:w="521" w:type="pct"/>
            <w:hideMark/>
          </w:tcPr>
          <w:p w14:paraId="792F4023" w14:textId="3FF61F7F"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.012</w:t>
            </w:r>
            <w:r w:rsidR="004530D0" w:rsidRPr="00F758EA">
              <w:rPr>
                <w:rFonts w:eastAsia="DengXian" w:cs="Times New Roman"/>
                <w:sz w:val="20"/>
                <w:szCs w:val="20"/>
              </w:rPr>
              <w:t>6</w:t>
            </w:r>
          </w:p>
        </w:tc>
        <w:tc>
          <w:tcPr>
            <w:tcW w:w="548" w:type="pct"/>
            <w:hideMark/>
          </w:tcPr>
          <w:p w14:paraId="24BC7A59" w14:textId="29D4B1D0"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.02</w:t>
            </w:r>
            <w:r w:rsidR="004530D0" w:rsidRPr="00F758EA">
              <w:rPr>
                <w:rFonts w:eastAsia="DengXian" w:cs="Times New Roman"/>
                <w:sz w:val="20"/>
                <w:szCs w:val="20"/>
              </w:rPr>
              <w:t>2</w:t>
            </w:r>
          </w:p>
        </w:tc>
        <w:tc>
          <w:tcPr>
            <w:tcW w:w="548" w:type="pct"/>
            <w:hideMark/>
          </w:tcPr>
          <w:p w14:paraId="6DAE7714" w14:textId="78C2DA36"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-.00</w:t>
            </w:r>
            <w:r w:rsidR="004530D0" w:rsidRPr="00F758EA">
              <w:rPr>
                <w:rFonts w:eastAsia="DengXian" w:cs="Times New Roman"/>
                <w:sz w:val="20"/>
                <w:szCs w:val="20"/>
              </w:rPr>
              <w:t>2</w:t>
            </w:r>
          </w:p>
        </w:tc>
        <w:tc>
          <w:tcPr>
            <w:tcW w:w="644" w:type="pct"/>
            <w:hideMark/>
          </w:tcPr>
          <w:p w14:paraId="591B36CC" w14:textId="62351161"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-.017</w:t>
            </w:r>
          </w:p>
        </w:tc>
        <w:tc>
          <w:tcPr>
            <w:tcW w:w="521" w:type="pct"/>
            <w:hideMark/>
          </w:tcPr>
          <w:p w14:paraId="041205C2" w14:textId="69AAF0F3"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-.06</w:t>
            </w:r>
            <w:r w:rsidR="004530D0" w:rsidRPr="00F758EA">
              <w:rPr>
                <w:rFonts w:eastAsia="DengXian" w:cs="Times New Roman"/>
                <w:sz w:val="20"/>
                <w:szCs w:val="20"/>
              </w:rPr>
              <w:t>1</w:t>
            </w:r>
          </w:p>
        </w:tc>
        <w:tc>
          <w:tcPr>
            <w:tcW w:w="547" w:type="pct"/>
            <w:hideMark/>
          </w:tcPr>
          <w:p w14:paraId="42738831" w14:textId="15411402"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.03</w:t>
            </w:r>
            <w:r w:rsidR="004530D0" w:rsidRPr="00F758EA">
              <w:rPr>
                <w:rFonts w:eastAsia="DengXian" w:cs="Times New Roman"/>
                <w:sz w:val="20"/>
                <w:szCs w:val="20"/>
              </w:rPr>
              <w:t>9</w:t>
            </w:r>
          </w:p>
        </w:tc>
      </w:tr>
      <w:tr w:rsidR="00D04AFB" w:rsidRPr="00F758EA" w14:paraId="2A179EC7" w14:textId="77777777" w:rsidTr="00D04AFB">
        <w:trPr>
          <w:jc w:val="center"/>
        </w:trPr>
        <w:tc>
          <w:tcPr>
            <w:tcW w:w="1139" w:type="pct"/>
            <w:hideMark/>
          </w:tcPr>
          <w:p w14:paraId="60E4B9FD" w14:textId="599B2752" w:rsidR="005E02DB" w:rsidRPr="00F758EA" w:rsidRDefault="005E02DB" w:rsidP="00D326A2">
            <w:pPr>
              <w:widowControl w:val="0"/>
              <w:autoSpaceDE w:val="0"/>
              <w:autoSpaceDN w:val="0"/>
              <w:adjustRightInd w:val="0"/>
              <w:spacing w:line="240" w:lineRule="auto"/>
              <w:rPr>
                <w:rFonts w:eastAsia="DengXian" w:cs="Times New Roman"/>
                <w:sz w:val="20"/>
                <w:szCs w:val="20"/>
              </w:rPr>
            </w:pPr>
          </w:p>
        </w:tc>
        <w:tc>
          <w:tcPr>
            <w:tcW w:w="532" w:type="pct"/>
            <w:hideMark/>
          </w:tcPr>
          <w:p w14:paraId="41C0166C" w14:textId="414004CD"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(.07</w:t>
            </w:r>
            <w:r w:rsidR="004530D0" w:rsidRPr="00F758EA">
              <w:rPr>
                <w:rFonts w:eastAsia="DengXian" w:cs="Times New Roman"/>
                <w:sz w:val="20"/>
                <w:szCs w:val="20"/>
              </w:rPr>
              <w:t>8</w:t>
            </w:r>
            <w:r w:rsidRPr="00F758EA">
              <w:rPr>
                <w:rFonts w:eastAsia="DengXian" w:cs="Times New Roman"/>
                <w:sz w:val="20"/>
                <w:szCs w:val="20"/>
              </w:rPr>
              <w:t>)</w:t>
            </w:r>
          </w:p>
        </w:tc>
        <w:tc>
          <w:tcPr>
            <w:tcW w:w="521" w:type="pct"/>
            <w:hideMark/>
          </w:tcPr>
          <w:p w14:paraId="0128FC37" w14:textId="320B3BEA"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(.080)</w:t>
            </w:r>
          </w:p>
        </w:tc>
        <w:tc>
          <w:tcPr>
            <w:tcW w:w="548" w:type="pct"/>
            <w:hideMark/>
          </w:tcPr>
          <w:p w14:paraId="1C606854" w14:textId="430F4B57"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(.05</w:t>
            </w:r>
            <w:r w:rsidR="004530D0" w:rsidRPr="00F758EA">
              <w:rPr>
                <w:rFonts w:eastAsia="DengXian" w:cs="Times New Roman"/>
                <w:sz w:val="20"/>
                <w:szCs w:val="20"/>
              </w:rPr>
              <w:t>7</w:t>
            </w:r>
            <w:r w:rsidRPr="00F758EA">
              <w:rPr>
                <w:rFonts w:eastAsia="DengXian" w:cs="Times New Roman"/>
                <w:sz w:val="20"/>
                <w:szCs w:val="20"/>
              </w:rPr>
              <w:t>)</w:t>
            </w:r>
          </w:p>
        </w:tc>
        <w:tc>
          <w:tcPr>
            <w:tcW w:w="548" w:type="pct"/>
            <w:hideMark/>
          </w:tcPr>
          <w:p w14:paraId="398F27A6" w14:textId="2B62771B"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(.049)</w:t>
            </w:r>
          </w:p>
        </w:tc>
        <w:tc>
          <w:tcPr>
            <w:tcW w:w="644" w:type="pct"/>
            <w:hideMark/>
          </w:tcPr>
          <w:p w14:paraId="43F0D512" w14:textId="0E2B4B24"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(.059)</w:t>
            </w:r>
          </w:p>
        </w:tc>
        <w:tc>
          <w:tcPr>
            <w:tcW w:w="521" w:type="pct"/>
            <w:hideMark/>
          </w:tcPr>
          <w:p w14:paraId="092AF9E5" w14:textId="1388A2A3"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w:t>
            </w:r>
            <w:r w:rsidR="004530D0" w:rsidRPr="00F758EA">
              <w:rPr>
                <w:rFonts w:eastAsia="DengXian" w:cs="Times New Roman"/>
                <w:sz w:val="20"/>
                <w:szCs w:val="20"/>
              </w:rPr>
              <w:t>60</w:t>
            </w:r>
            <w:r w:rsidRPr="00F758EA">
              <w:rPr>
                <w:rFonts w:eastAsia="DengXian" w:cs="Times New Roman"/>
                <w:sz w:val="20"/>
                <w:szCs w:val="20"/>
              </w:rPr>
              <w:t>)</w:t>
            </w:r>
          </w:p>
        </w:tc>
        <w:tc>
          <w:tcPr>
            <w:tcW w:w="547" w:type="pct"/>
            <w:hideMark/>
          </w:tcPr>
          <w:p w14:paraId="50C17E50" w14:textId="524EE9F1"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(.04</w:t>
            </w:r>
            <w:r w:rsidR="004530D0" w:rsidRPr="00F758EA">
              <w:rPr>
                <w:rFonts w:eastAsia="DengXian" w:cs="Times New Roman"/>
                <w:sz w:val="20"/>
                <w:szCs w:val="20"/>
              </w:rPr>
              <w:t>2</w:t>
            </w:r>
            <w:r w:rsidRPr="00F758EA">
              <w:rPr>
                <w:rFonts w:eastAsia="DengXian" w:cs="Times New Roman"/>
                <w:sz w:val="20"/>
                <w:szCs w:val="20"/>
              </w:rPr>
              <w:t>)</w:t>
            </w:r>
          </w:p>
        </w:tc>
      </w:tr>
      <w:tr w:rsidR="00D04AFB" w:rsidRPr="00F758EA" w14:paraId="1B73115B" w14:textId="77777777" w:rsidTr="00D04AFB">
        <w:trPr>
          <w:jc w:val="center"/>
        </w:trPr>
        <w:tc>
          <w:tcPr>
            <w:tcW w:w="1139" w:type="pct"/>
            <w:hideMark/>
          </w:tcPr>
          <w:p w14:paraId="6732F85B" w14:textId="30404F74" w:rsidR="005E02DB" w:rsidRPr="00F758EA" w:rsidRDefault="00D04AFB" w:rsidP="00D326A2">
            <w:pPr>
              <w:widowControl w:val="0"/>
              <w:autoSpaceDE w:val="0"/>
              <w:autoSpaceDN w:val="0"/>
              <w:adjustRightInd w:val="0"/>
              <w:spacing w:line="240" w:lineRule="auto"/>
              <w:rPr>
                <w:rFonts w:eastAsia="DengXian" w:cs="Times New Roman"/>
                <w:sz w:val="20"/>
                <w:szCs w:val="20"/>
              </w:rPr>
            </w:pPr>
            <w:r>
              <w:rPr>
                <w:rFonts w:eastAsia="DengXian" w:cs="Times New Roman"/>
                <w:sz w:val="20"/>
                <w:szCs w:val="20"/>
              </w:rPr>
              <w:t xml:space="preserve">EPA - </w:t>
            </w:r>
            <w:r w:rsidR="005E02DB" w:rsidRPr="00F758EA">
              <w:rPr>
                <w:rFonts w:eastAsia="DengXian" w:cs="Times New Roman"/>
                <w:sz w:val="20"/>
                <w:szCs w:val="20"/>
              </w:rPr>
              <w:t>PSM (t-1)</w:t>
            </w:r>
          </w:p>
        </w:tc>
        <w:tc>
          <w:tcPr>
            <w:tcW w:w="532" w:type="pct"/>
            <w:hideMark/>
          </w:tcPr>
          <w:p w14:paraId="296EA083" w14:textId="6C9933AE"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-.055***</w:t>
            </w:r>
          </w:p>
        </w:tc>
        <w:tc>
          <w:tcPr>
            <w:tcW w:w="521" w:type="pct"/>
            <w:hideMark/>
          </w:tcPr>
          <w:p w14:paraId="1410992F" w14:textId="2E02C96F"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.062***</w:t>
            </w:r>
          </w:p>
        </w:tc>
        <w:tc>
          <w:tcPr>
            <w:tcW w:w="548" w:type="pct"/>
            <w:hideMark/>
          </w:tcPr>
          <w:p w14:paraId="5BD16083" w14:textId="77424268"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.080***</w:t>
            </w:r>
          </w:p>
        </w:tc>
        <w:tc>
          <w:tcPr>
            <w:tcW w:w="548" w:type="pct"/>
            <w:hideMark/>
          </w:tcPr>
          <w:p w14:paraId="0A706386" w14:textId="3D886174"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.01</w:t>
            </w:r>
            <w:r w:rsidR="002356EF" w:rsidRPr="00F758EA">
              <w:rPr>
                <w:rFonts w:eastAsia="DengXian" w:cs="Times New Roman"/>
                <w:sz w:val="20"/>
                <w:szCs w:val="20"/>
              </w:rPr>
              <w:t>9</w:t>
            </w:r>
            <w:r w:rsidRPr="00F758EA">
              <w:rPr>
                <w:rFonts w:eastAsia="DengXian" w:cs="Times New Roman"/>
                <w:sz w:val="20"/>
                <w:szCs w:val="20"/>
              </w:rPr>
              <w:t>**</w:t>
            </w:r>
          </w:p>
        </w:tc>
        <w:tc>
          <w:tcPr>
            <w:tcW w:w="644" w:type="pct"/>
            <w:hideMark/>
          </w:tcPr>
          <w:p w14:paraId="14A6CEAB" w14:textId="19C76F1D"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-.01</w:t>
            </w:r>
            <w:r w:rsidR="002356EF" w:rsidRPr="00F758EA">
              <w:rPr>
                <w:rFonts w:eastAsia="DengXian" w:cs="Times New Roman"/>
                <w:sz w:val="20"/>
                <w:szCs w:val="20"/>
              </w:rPr>
              <w:t>1</w:t>
            </w:r>
            <w:r w:rsidRPr="00F758EA">
              <w:rPr>
                <w:rFonts w:eastAsia="DengXian" w:cs="Times New Roman"/>
                <w:sz w:val="20"/>
                <w:szCs w:val="20"/>
              </w:rPr>
              <w:t>*</w:t>
            </w:r>
          </w:p>
        </w:tc>
        <w:tc>
          <w:tcPr>
            <w:tcW w:w="521" w:type="pct"/>
            <w:hideMark/>
          </w:tcPr>
          <w:p w14:paraId="5E53386E" w14:textId="711EE69F"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.03</w:t>
            </w:r>
            <w:r w:rsidR="002356EF" w:rsidRPr="00F758EA">
              <w:rPr>
                <w:rFonts w:eastAsia="DengXian" w:cs="Times New Roman"/>
                <w:sz w:val="20"/>
                <w:szCs w:val="20"/>
              </w:rPr>
              <w:t>3</w:t>
            </w:r>
            <w:r w:rsidRPr="00F758EA">
              <w:rPr>
                <w:rFonts w:eastAsia="DengXian" w:cs="Times New Roman"/>
                <w:sz w:val="20"/>
                <w:szCs w:val="20"/>
              </w:rPr>
              <w:t>***</w:t>
            </w:r>
          </w:p>
        </w:tc>
        <w:tc>
          <w:tcPr>
            <w:tcW w:w="547" w:type="pct"/>
            <w:hideMark/>
          </w:tcPr>
          <w:p w14:paraId="39A8CAA6" w14:textId="4F5354C9"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-.011**</w:t>
            </w:r>
          </w:p>
        </w:tc>
      </w:tr>
      <w:tr w:rsidR="00D04AFB" w:rsidRPr="00F758EA" w14:paraId="50BD0648" w14:textId="77777777" w:rsidTr="00D04AFB">
        <w:trPr>
          <w:jc w:val="center"/>
        </w:trPr>
        <w:tc>
          <w:tcPr>
            <w:tcW w:w="1139" w:type="pct"/>
            <w:hideMark/>
          </w:tcPr>
          <w:p w14:paraId="286D9BBD" w14:textId="2E34E6BD" w:rsidR="005E02DB" w:rsidRPr="00F758EA" w:rsidRDefault="005E02DB" w:rsidP="00D326A2">
            <w:pPr>
              <w:widowControl w:val="0"/>
              <w:autoSpaceDE w:val="0"/>
              <w:autoSpaceDN w:val="0"/>
              <w:adjustRightInd w:val="0"/>
              <w:spacing w:line="240" w:lineRule="auto"/>
              <w:rPr>
                <w:rFonts w:eastAsia="DengXian" w:cs="Times New Roman"/>
                <w:sz w:val="20"/>
                <w:szCs w:val="20"/>
              </w:rPr>
            </w:pPr>
          </w:p>
        </w:tc>
        <w:tc>
          <w:tcPr>
            <w:tcW w:w="532" w:type="pct"/>
            <w:hideMark/>
          </w:tcPr>
          <w:p w14:paraId="0FFC66AC" w14:textId="75F71EEB"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(.01</w:t>
            </w:r>
            <w:r w:rsidR="002356EF" w:rsidRPr="00F758EA">
              <w:rPr>
                <w:rFonts w:eastAsia="DengXian" w:cs="Times New Roman"/>
                <w:sz w:val="20"/>
                <w:szCs w:val="20"/>
              </w:rPr>
              <w:t>1</w:t>
            </w:r>
            <w:r w:rsidRPr="00F758EA">
              <w:rPr>
                <w:rFonts w:eastAsia="DengXian" w:cs="Times New Roman"/>
                <w:sz w:val="20"/>
                <w:szCs w:val="20"/>
              </w:rPr>
              <w:t>)</w:t>
            </w:r>
          </w:p>
        </w:tc>
        <w:tc>
          <w:tcPr>
            <w:tcW w:w="521" w:type="pct"/>
            <w:hideMark/>
          </w:tcPr>
          <w:p w14:paraId="60FB931F" w14:textId="4DD340CA"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(.02</w:t>
            </w:r>
            <w:r w:rsidR="002356EF" w:rsidRPr="00F758EA">
              <w:rPr>
                <w:rFonts w:eastAsia="DengXian" w:cs="Times New Roman"/>
                <w:sz w:val="20"/>
                <w:szCs w:val="20"/>
              </w:rPr>
              <w:t>4</w:t>
            </w:r>
            <w:r w:rsidRPr="00F758EA">
              <w:rPr>
                <w:rFonts w:eastAsia="DengXian" w:cs="Times New Roman"/>
                <w:sz w:val="20"/>
                <w:szCs w:val="20"/>
              </w:rPr>
              <w:t>)</w:t>
            </w:r>
          </w:p>
        </w:tc>
        <w:tc>
          <w:tcPr>
            <w:tcW w:w="548" w:type="pct"/>
            <w:hideMark/>
          </w:tcPr>
          <w:p w14:paraId="2E4806C5" w14:textId="7E0740B2"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(.017)</w:t>
            </w:r>
          </w:p>
        </w:tc>
        <w:tc>
          <w:tcPr>
            <w:tcW w:w="548" w:type="pct"/>
            <w:hideMark/>
          </w:tcPr>
          <w:p w14:paraId="1C388CBC" w14:textId="50F910D3"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(.009)</w:t>
            </w:r>
          </w:p>
        </w:tc>
        <w:tc>
          <w:tcPr>
            <w:tcW w:w="644" w:type="pct"/>
            <w:hideMark/>
          </w:tcPr>
          <w:p w14:paraId="407BC19E" w14:textId="0569906A"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(.006)</w:t>
            </w:r>
          </w:p>
        </w:tc>
        <w:tc>
          <w:tcPr>
            <w:tcW w:w="521" w:type="pct"/>
            <w:hideMark/>
          </w:tcPr>
          <w:p w14:paraId="66BFA283" w14:textId="2BFE4E78"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w:t>
            </w:r>
            <w:r w:rsidR="002356EF" w:rsidRPr="00F758EA">
              <w:rPr>
                <w:rFonts w:eastAsia="DengXian" w:cs="Times New Roman"/>
                <w:sz w:val="20"/>
                <w:szCs w:val="20"/>
              </w:rPr>
              <w:t>10</w:t>
            </w:r>
            <w:r w:rsidRPr="00F758EA">
              <w:rPr>
                <w:rFonts w:eastAsia="DengXian" w:cs="Times New Roman"/>
                <w:sz w:val="20"/>
                <w:szCs w:val="20"/>
              </w:rPr>
              <w:t>)</w:t>
            </w:r>
          </w:p>
        </w:tc>
        <w:tc>
          <w:tcPr>
            <w:tcW w:w="547" w:type="pct"/>
            <w:hideMark/>
          </w:tcPr>
          <w:p w14:paraId="60CA6CCE" w14:textId="26CDCA0B"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(.006)</w:t>
            </w:r>
          </w:p>
        </w:tc>
      </w:tr>
      <w:tr w:rsidR="00D04AFB" w:rsidRPr="00F758EA" w14:paraId="409C38DF" w14:textId="77777777" w:rsidTr="00D04AFB">
        <w:trPr>
          <w:jc w:val="center"/>
        </w:trPr>
        <w:tc>
          <w:tcPr>
            <w:tcW w:w="1139" w:type="pct"/>
            <w:hideMark/>
          </w:tcPr>
          <w:p w14:paraId="7EA6E420" w14:textId="7C83F818" w:rsidR="005E02DB" w:rsidRPr="00F758EA" w:rsidRDefault="00D04AFB" w:rsidP="00D326A2">
            <w:pPr>
              <w:widowControl w:val="0"/>
              <w:autoSpaceDE w:val="0"/>
              <w:autoSpaceDN w:val="0"/>
              <w:adjustRightInd w:val="0"/>
              <w:spacing w:line="240" w:lineRule="auto"/>
              <w:rPr>
                <w:rFonts w:eastAsia="DengXian" w:cs="Times New Roman"/>
                <w:sz w:val="20"/>
                <w:szCs w:val="20"/>
              </w:rPr>
            </w:pPr>
            <w:r>
              <w:rPr>
                <w:rFonts w:eastAsia="DengXian" w:cs="Times New Roman"/>
                <w:sz w:val="20"/>
                <w:szCs w:val="20"/>
              </w:rPr>
              <w:t xml:space="preserve">EPA - </w:t>
            </w:r>
            <w:r w:rsidR="005E02DB" w:rsidRPr="00F758EA">
              <w:rPr>
                <w:rFonts w:eastAsia="DengXian" w:cs="Times New Roman"/>
                <w:sz w:val="20"/>
                <w:szCs w:val="20"/>
              </w:rPr>
              <w:t>O3 (t-1)</w:t>
            </w:r>
          </w:p>
        </w:tc>
        <w:tc>
          <w:tcPr>
            <w:tcW w:w="532" w:type="pct"/>
            <w:hideMark/>
          </w:tcPr>
          <w:p w14:paraId="638A9603" w14:textId="7EEE0D7D"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w:t>
            </w:r>
            <w:r w:rsidR="002356EF" w:rsidRPr="00F758EA">
              <w:rPr>
                <w:rFonts w:eastAsia="DengXian" w:cs="Times New Roman"/>
                <w:sz w:val="20"/>
                <w:szCs w:val="20"/>
              </w:rPr>
              <w:t>100</w:t>
            </w:r>
            <w:r w:rsidRPr="00F758EA">
              <w:rPr>
                <w:rFonts w:eastAsia="DengXian" w:cs="Times New Roman"/>
                <w:sz w:val="20"/>
                <w:szCs w:val="20"/>
              </w:rPr>
              <w:t>***</w:t>
            </w:r>
          </w:p>
        </w:tc>
        <w:tc>
          <w:tcPr>
            <w:tcW w:w="521" w:type="pct"/>
            <w:hideMark/>
          </w:tcPr>
          <w:p w14:paraId="56A9CAA1" w14:textId="444DDB0B"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-.029*</w:t>
            </w:r>
          </w:p>
        </w:tc>
        <w:tc>
          <w:tcPr>
            <w:tcW w:w="548" w:type="pct"/>
            <w:hideMark/>
          </w:tcPr>
          <w:p w14:paraId="4ACF5EA6" w14:textId="1333C57D"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.00</w:t>
            </w:r>
            <w:r w:rsidR="002356EF" w:rsidRPr="00F758EA">
              <w:rPr>
                <w:rFonts w:eastAsia="DengXian" w:cs="Times New Roman"/>
                <w:sz w:val="20"/>
                <w:szCs w:val="20"/>
              </w:rPr>
              <w:t>7</w:t>
            </w:r>
          </w:p>
        </w:tc>
        <w:tc>
          <w:tcPr>
            <w:tcW w:w="548" w:type="pct"/>
            <w:hideMark/>
          </w:tcPr>
          <w:p w14:paraId="106EF02E" w14:textId="67AB31A2"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-.005</w:t>
            </w:r>
          </w:p>
        </w:tc>
        <w:tc>
          <w:tcPr>
            <w:tcW w:w="644" w:type="pct"/>
            <w:hideMark/>
          </w:tcPr>
          <w:p w14:paraId="0B00E171" w14:textId="5655BECB"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.006</w:t>
            </w:r>
          </w:p>
        </w:tc>
        <w:tc>
          <w:tcPr>
            <w:tcW w:w="521" w:type="pct"/>
            <w:hideMark/>
          </w:tcPr>
          <w:p w14:paraId="3BD55F87" w14:textId="53906591"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-.03</w:t>
            </w:r>
            <w:r w:rsidR="002356EF" w:rsidRPr="00F758EA">
              <w:rPr>
                <w:rFonts w:eastAsia="DengXian" w:cs="Times New Roman"/>
                <w:sz w:val="20"/>
                <w:szCs w:val="20"/>
              </w:rPr>
              <w:t>1</w:t>
            </w:r>
            <w:r w:rsidRPr="00F758EA">
              <w:rPr>
                <w:rFonts w:eastAsia="DengXian" w:cs="Times New Roman"/>
                <w:sz w:val="20"/>
                <w:szCs w:val="20"/>
              </w:rPr>
              <w:t>*</w:t>
            </w:r>
          </w:p>
        </w:tc>
        <w:tc>
          <w:tcPr>
            <w:tcW w:w="547" w:type="pct"/>
            <w:hideMark/>
          </w:tcPr>
          <w:p w14:paraId="03BE8FB8" w14:textId="2B566217"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.029***</w:t>
            </w:r>
          </w:p>
        </w:tc>
      </w:tr>
      <w:tr w:rsidR="00D04AFB" w:rsidRPr="00F758EA" w14:paraId="4994A0C1" w14:textId="77777777" w:rsidTr="00D04AFB">
        <w:trPr>
          <w:jc w:val="center"/>
        </w:trPr>
        <w:tc>
          <w:tcPr>
            <w:tcW w:w="1139" w:type="pct"/>
            <w:hideMark/>
          </w:tcPr>
          <w:p w14:paraId="443E913D" w14:textId="3E84B315" w:rsidR="005E02DB" w:rsidRPr="00F758EA" w:rsidRDefault="005E02DB" w:rsidP="00D326A2">
            <w:pPr>
              <w:widowControl w:val="0"/>
              <w:autoSpaceDE w:val="0"/>
              <w:autoSpaceDN w:val="0"/>
              <w:adjustRightInd w:val="0"/>
              <w:spacing w:line="240" w:lineRule="auto"/>
              <w:rPr>
                <w:rFonts w:eastAsia="DengXian" w:cs="Times New Roman"/>
                <w:sz w:val="20"/>
                <w:szCs w:val="20"/>
              </w:rPr>
            </w:pPr>
          </w:p>
        </w:tc>
        <w:tc>
          <w:tcPr>
            <w:tcW w:w="532" w:type="pct"/>
            <w:hideMark/>
          </w:tcPr>
          <w:p w14:paraId="2F569CEA" w14:textId="59337DC2"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(.01</w:t>
            </w:r>
            <w:r w:rsidR="002356EF" w:rsidRPr="00F758EA">
              <w:rPr>
                <w:rFonts w:eastAsia="DengXian" w:cs="Times New Roman"/>
                <w:sz w:val="20"/>
                <w:szCs w:val="20"/>
              </w:rPr>
              <w:t>4</w:t>
            </w:r>
            <w:r w:rsidRPr="00F758EA">
              <w:rPr>
                <w:rFonts w:eastAsia="DengXian" w:cs="Times New Roman"/>
                <w:sz w:val="20"/>
                <w:szCs w:val="20"/>
              </w:rPr>
              <w:t>)</w:t>
            </w:r>
          </w:p>
        </w:tc>
        <w:tc>
          <w:tcPr>
            <w:tcW w:w="521" w:type="pct"/>
            <w:hideMark/>
          </w:tcPr>
          <w:p w14:paraId="28CE88FD" w14:textId="6DE54F34"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(.01</w:t>
            </w:r>
            <w:r w:rsidR="002356EF" w:rsidRPr="00F758EA">
              <w:rPr>
                <w:rFonts w:eastAsia="DengXian" w:cs="Times New Roman"/>
                <w:sz w:val="20"/>
                <w:szCs w:val="20"/>
              </w:rPr>
              <w:t>6</w:t>
            </w:r>
            <w:r w:rsidRPr="00F758EA">
              <w:rPr>
                <w:rFonts w:eastAsia="DengXian" w:cs="Times New Roman"/>
                <w:sz w:val="20"/>
                <w:szCs w:val="20"/>
              </w:rPr>
              <w:t>)</w:t>
            </w:r>
          </w:p>
        </w:tc>
        <w:tc>
          <w:tcPr>
            <w:tcW w:w="548" w:type="pct"/>
            <w:hideMark/>
          </w:tcPr>
          <w:p w14:paraId="166A0C6F" w14:textId="2FF38D85"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(.014)</w:t>
            </w:r>
          </w:p>
        </w:tc>
        <w:tc>
          <w:tcPr>
            <w:tcW w:w="548" w:type="pct"/>
            <w:hideMark/>
          </w:tcPr>
          <w:p w14:paraId="7D6BAC7A" w14:textId="19E4C78D"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(.010)</w:t>
            </w:r>
          </w:p>
        </w:tc>
        <w:tc>
          <w:tcPr>
            <w:tcW w:w="644" w:type="pct"/>
            <w:hideMark/>
          </w:tcPr>
          <w:p w14:paraId="26C4C054" w14:textId="7FAD323B"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(.006)</w:t>
            </w:r>
          </w:p>
        </w:tc>
        <w:tc>
          <w:tcPr>
            <w:tcW w:w="521" w:type="pct"/>
            <w:hideMark/>
          </w:tcPr>
          <w:p w14:paraId="651321AB" w14:textId="75AF8008"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(.016)</w:t>
            </w:r>
          </w:p>
        </w:tc>
        <w:tc>
          <w:tcPr>
            <w:tcW w:w="547" w:type="pct"/>
            <w:hideMark/>
          </w:tcPr>
          <w:p w14:paraId="29FF7E14" w14:textId="45DF6490"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(.007)</w:t>
            </w:r>
          </w:p>
        </w:tc>
      </w:tr>
      <w:tr w:rsidR="00D04AFB" w:rsidRPr="00F758EA" w14:paraId="1C749F52" w14:textId="77777777" w:rsidTr="00D04AFB">
        <w:trPr>
          <w:jc w:val="center"/>
        </w:trPr>
        <w:tc>
          <w:tcPr>
            <w:tcW w:w="1139" w:type="pct"/>
            <w:hideMark/>
          </w:tcPr>
          <w:p w14:paraId="65E7DDA2" w14:textId="03D6FEFB" w:rsidR="005E02DB" w:rsidRPr="00F758EA" w:rsidRDefault="00D04AFB" w:rsidP="00D326A2">
            <w:pPr>
              <w:widowControl w:val="0"/>
              <w:autoSpaceDE w:val="0"/>
              <w:autoSpaceDN w:val="0"/>
              <w:adjustRightInd w:val="0"/>
              <w:spacing w:line="240" w:lineRule="auto"/>
              <w:rPr>
                <w:rFonts w:eastAsia="DengXian" w:cs="Times New Roman"/>
                <w:sz w:val="20"/>
                <w:szCs w:val="20"/>
              </w:rPr>
            </w:pPr>
            <w:r>
              <w:rPr>
                <w:rFonts w:eastAsia="DengXian" w:cs="Times New Roman"/>
                <w:sz w:val="20"/>
                <w:szCs w:val="20"/>
              </w:rPr>
              <w:t xml:space="preserve">EPA - </w:t>
            </w:r>
            <w:r w:rsidR="005E02DB" w:rsidRPr="00F758EA">
              <w:rPr>
                <w:rFonts w:eastAsia="DengXian" w:cs="Times New Roman"/>
                <w:sz w:val="20"/>
                <w:szCs w:val="20"/>
              </w:rPr>
              <w:t>NO2 (t-1)</w:t>
            </w:r>
          </w:p>
        </w:tc>
        <w:tc>
          <w:tcPr>
            <w:tcW w:w="532" w:type="pct"/>
            <w:hideMark/>
          </w:tcPr>
          <w:p w14:paraId="0B2E81AC" w14:textId="55BCC5B0"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.04</w:t>
            </w:r>
            <w:r w:rsidR="002356EF" w:rsidRPr="00F758EA">
              <w:rPr>
                <w:rFonts w:eastAsia="DengXian" w:cs="Times New Roman"/>
                <w:sz w:val="20"/>
                <w:szCs w:val="20"/>
              </w:rPr>
              <w:t>3</w:t>
            </w:r>
          </w:p>
        </w:tc>
        <w:tc>
          <w:tcPr>
            <w:tcW w:w="521" w:type="pct"/>
            <w:hideMark/>
          </w:tcPr>
          <w:p w14:paraId="12315397" w14:textId="739690D3"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-.156</w:t>
            </w:r>
          </w:p>
        </w:tc>
        <w:tc>
          <w:tcPr>
            <w:tcW w:w="548" w:type="pct"/>
            <w:hideMark/>
          </w:tcPr>
          <w:p w14:paraId="096092DD" w14:textId="736F5887"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.330*</w:t>
            </w:r>
          </w:p>
        </w:tc>
        <w:tc>
          <w:tcPr>
            <w:tcW w:w="548" w:type="pct"/>
            <w:hideMark/>
          </w:tcPr>
          <w:p w14:paraId="58EED4F1" w14:textId="777B0CA6"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-.00</w:t>
            </w:r>
            <w:r w:rsidR="002356EF" w:rsidRPr="00F758EA">
              <w:rPr>
                <w:rFonts w:eastAsia="DengXian" w:cs="Times New Roman"/>
                <w:sz w:val="20"/>
                <w:szCs w:val="20"/>
              </w:rPr>
              <w:t>4</w:t>
            </w:r>
          </w:p>
        </w:tc>
        <w:tc>
          <w:tcPr>
            <w:tcW w:w="644" w:type="pct"/>
            <w:hideMark/>
          </w:tcPr>
          <w:p w14:paraId="5D6C0547" w14:textId="1188EF1F"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-.09</w:t>
            </w:r>
            <w:r w:rsidR="002356EF" w:rsidRPr="00F758EA">
              <w:rPr>
                <w:rFonts w:eastAsia="DengXian" w:cs="Times New Roman"/>
                <w:sz w:val="20"/>
                <w:szCs w:val="20"/>
              </w:rPr>
              <w:t>3</w:t>
            </w:r>
            <w:r w:rsidRPr="00F758EA">
              <w:rPr>
                <w:rFonts w:eastAsia="DengXian" w:cs="Times New Roman"/>
                <w:sz w:val="20"/>
                <w:szCs w:val="20"/>
              </w:rPr>
              <w:t>**</w:t>
            </w:r>
          </w:p>
        </w:tc>
        <w:tc>
          <w:tcPr>
            <w:tcW w:w="521" w:type="pct"/>
            <w:hideMark/>
          </w:tcPr>
          <w:p w14:paraId="14136BEF" w14:textId="33850BED"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.070*</w:t>
            </w:r>
          </w:p>
        </w:tc>
        <w:tc>
          <w:tcPr>
            <w:tcW w:w="547" w:type="pct"/>
            <w:hideMark/>
          </w:tcPr>
          <w:p w14:paraId="48205BF5" w14:textId="088772FF"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.026</w:t>
            </w:r>
          </w:p>
        </w:tc>
      </w:tr>
      <w:tr w:rsidR="00D04AFB" w:rsidRPr="00F758EA" w14:paraId="2F3E20D2" w14:textId="77777777" w:rsidTr="00D04AFB">
        <w:trPr>
          <w:jc w:val="center"/>
        </w:trPr>
        <w:tc>
          <w:tcPr>
            <w:tcW w:w="1139" w:type="pct"/>
            <w:hideMark/>
          </w:tcPr>
          <w:p w14:paraId="4110D40C" w14:textId="6A008832" w:rsidR="005E02DB" w:rsidRPr="00F758EA" w:rsidRDefault="005E02DB" w:rsidP="00D326A2">
            <w:pPr>
              <w:widowControl w:val="0"/>
              <w:autoSpaceDE w:val="0"/>
              <w:autoSpaceDN w:val="0"/>
              <w:adjustRightInd w:val="0"/>
              <w:spacing w:line="240" w:lineRule="auto"/>
              <w:rPr>
                <w:rFonts w:eastAsia="DengXian" w:cs="Times New Roman"/>
                <w:sz w:val="20"/>
                <w:szCs w:val="20"/>
              </w:rPr>
            </w:pPr>
          </w:p>
        </w:tc>
        <w:tc>
          <w:tcPr>
            <w:tcW w:w="532" w:type="pct"/>
            <w:hideMark/>
          </w:tcPr>
          <w:p w14:paraId="3DA3A03C" w14:textId="7FDC0EB6"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(.07</w:t>
            </w:r>
            <w:r w:rsidR="002356EF" w:rsidRPr="00F758EA">
              <w:rPr>
                <w:rFonts w:eastAsia="DengXian" w:cs="Times New Roman"/>
                <w:sz w:val="20"/>
                <w:szCs w:val="20"/>
              </w:rPr>
              <w:t>5</w:t>
            </w:r>
            <w:r w:rsidRPr="00F758EA">
              <w:rPr>
                <w:rFonts w:eastAsia="DengXian" w:cs="Times New Roman"/>
                <w:sz w:val="20"/>
                <w:szCs w:val="20"/>
              </w:rPr>
              <w:t>)</w:t>
            </w:r>
          </w:p>
        </w:tc>
        <w:tc>
          <w:tcPr>
            <w:tcW w:w="521" w:type="pct"/>
            <w:hideMark/>
          </w:tcPr>
          <w:p w14:paraId="4946E966" w14:textId="6B688950"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(.10</w:t>
            </w:r>
            <w:r w:rsidR="002356EF" w:rsidRPr="00F758EA">
              <w:rPr>
                <w:rFonts w:eastAsia="DengXian" w:cs="Times New Roman"/>
                <w:sz w:val="20"/>
                <w:szCs w:val="20"/>
              </w:rPr>
              <w:t>2</w:t>
            </w:r>
            <w:r w:rsidRPr="00F758EA">
              <w:rPr>
                <w:rFonts w:eastAsia="DengXian" w:cs="Times New Roman"/>
                <w:sz w:val="20"/>
                <w:szCs w:val="20"/>
              </w:rPr>
              <w:t>)</w:t>
            </w:r>
          </w:p>
        </w:tc>
        <w:tc>
          <w:tcPr>
            <w:tcW w:w="548" w:type="pct"/>
            <w:hideMark/>
          </w:tcPr>
          <w:p w14:paraId="4074D275" w14:textId="455F08E6"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(.19</w:t>
            </w:r>
            <w:r w:rsidR="002356EF" w:rsidRPr="00F758EA">
              <w:rPr>
                <w:rFonts w:eastAsia="DengXian" w:cs="Times New Roman"/>
                <w:sz w:val="20"/>
                <w:szCs w:val="20"/>
              </w:rPr>
              <w:t>5</w:t>
            </w:r>
            <w:r w:rsidRPr="00F758EA">
              <w:rPr>
                <w:rFonts w:eastAsia="DengXian" w:cs="Times New Roman"/>
                <w:sz w:val="20"/>
                <w:szCs w:val="20"/>
              </w:rPr>
              <w:t>)</w:t>
            </w:r>
          </w:p>
        </w:tc>
        <w:tc>
          <w:tcPr>
            <w:tcW w:w="548" w:type="pct"/>
            <w:hideMark/>
          </w:tcPr>
          <w:p w14:paraId="5CBABBA0" w14:textId="0CA33FF7"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w:t>
            </w:r>
            <w:r w:rsidR="002356EF" w:rsidRPr="00F758EA">
              <w:rPr>
                <w:rFonts w:eastAsia="DengXian" w:cs="Times New Roman"/>
                <w:sz w:val="20"/>
                <w:szCs w:val="20"/>
              </w:rPr>
              <w:t>30</w:t>
            </w:r>
            <w:r w:rsidRPr="00F758EA">
              <w:rPr>
                <w:rFonts w:eastAsia="DengXian" w:cs="Times New Roman"/>
                <w:sz w:val="20"/>
                <w:szCs w:val="20"/>
              </w:rPr>
              <w:t>)</w:t>
            </w:r>
          </w:p>
        </w:tc>
        <w:tc>
          <w:tcPr>
            <w:tcW w:w="644" w:type="pct"/>
            <w:hideMark/>
          </w:tcPr>
          <w:p w14:paraId="02BCE343" w14:textId="3F24B170"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(.03</w:t>
            </w:r>
            <w:r w:rsidR="002356EF" w:rsidRPr="00F758EA">
              <w:rPr>
                <w:rFonts w:eastAsia="DengXian" w:cs="Times New Roman"/>
                <w:sz w:val="20"/>
                <w:szCs w:val="20"/>
              </w:rPr>
              <w:t>7</w:t>
            </w:r>
            <w:r w:rsidRPr="00F758EA">
              <w:rPr>
                <w:rFonts w:eastAsia="DengXian" w:cs="Times New Roman"/>
                <w:sz w:val="20"/>
                <w:szCs w:val="20"/>
              </w:rPr>
              <w:t>)</w:t>
            </w:r>
          </w:p>
        </w:tc>
        <w:tc>
          <w:tcPr>
            <w:tcW w:w="521" w:type="pct"/>
            <w:hideMark/>
          </w:tcPr>
          <w:p w14:paraId="236737AA" w14:textId="13646B9E"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(.041)</w:t>
            </w:r>
          </w:p>
        </w:tc>
        <w:tc>
          <w:tcPr>
            <w:tcW w:w="547" w:type="pct"/>
            <w:hideMark/>
          </w:tcPr>
          <w:p w14:paraId="49CF42AF" w14:textId="3C56BCF5"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w:t>
            </w:r>
            <w:r w:rsidR="002356EF" w:rsidRPr="00F758EA">
              <w:rPr>
                <w:rFonts w:eastAsia="DengXian" w:cs="Times New Roman"/>
                <w:sz w:val="20"/>
                <w:szCs w:val="20"/>
              </w:rPr>
              <w:t>70</w:t>
            </w:r>
            <w:r w:rsidRPr="00F758EA">
              <w:rPr>
                <w:rFonts w:eastAsia="DengXian" w:cs="Times New Roman"/>
                <w:sz w:val="20"/>
                <w:szCs w:val="20"/>
              </w:rPr>
              <w:t>)</w:t>
            </w:r>
          </w:p>
        </w:tc>
      </w:tr>
      <w:tr w:rsidR="00D04AFB" w:rsidRPr="00F758EA" w14:paraId="1BCFB092" w14:textId="77777777" w:rsidTr="00D04AFB">
        <w:trPr>
          <w:jc w:val="center"/>
        </w:trPr>
        <w:tc>
          <w:tcPr>
            <w:tcW w:w="1139" w:type="pct"/>
            <w:hideMark/>
          </w:tcPr>
          <w:p w14:paraId="7D7DEBAE" w14:textId="3175DC07" w:rsidR="005E02DB" w:rsidRPr="00F758EA" w:rsidRDefault="00D04AFB" w:rsidP="00D326A2">
            <w:pPr>
              <w:widowControl w:val="0"/>
              <w:autoSpaceDE w:val="0"/>
              <w:autoSpaceDN w:val="0"/>
              <w:adjustRightInd w:val="0"/>
              <w:spacing w:line="240" w:lineRule="auto"/>
              <w:rPr>
                <w:rFonts w:eastAsia="DengXian" w:cs="Times New Roman"/>
                <w:sz w:val="20"/>
                <w:szCs w:val="20"/>
              </w:rPr>
            </w:pPr>
            <w:r>
              <w:rPr>
                <w:rFonts w:eastAsia="DengXian" w:cs="Times New Roman"/>
                <w:sz w:val="20"/>
                <w:szCs w:val="20"/>
              </w:rPr>
              <w:t xml:space="preserve">EPA - </w:t>
            </w:r>
            <w:r w:rsidR="005E02DB" w:rsidRPr="00F758EA">
              <w:rPr>
                <w:rFonts w:eastAsia="DengXian" w:cs="Times New Roman"/>
                <w:sz w:val="20"/>
                <w:szCs w:val="20"/>
              </w:rPr>
              <w:t>Pb (t-1)</w:t>
            </w:r>
          </w:p>
        </w:tc>
        <w:tc>
          <w:tcPr>
            <w:tcW w:w="532" w:type="pct"/>
            <w:hideMark/>
          </w:tcPr>
          <w:p w14:paraId="62C778C8" w14:textId="4CF596B8"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-.027</w:t>
            </w:r>
          </w:p>
        </w:tc>
        <w:tc>
          <w:tcPr>
            <w:tcW w:w="521" w:type="pct"/>
            <w:hideMark/>
          </w:tcPr>
          <w:p w14:paraId="19717331" w14:textId="21838E1A"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-.058</w:t>
            </w:r>
          </w:p>
        </w:tc>
        <w:tc>
          <w:tcPr>
            <w:tcW w:w="548" w:type="pct"/>
            <w:hideMark/>
          </w:tcPr>
          <w:p w14:paraId="305CCCCF" w14:textId="324B4243"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-.282</w:t>
            </w:r>
          </w:p>
        </w:tc>
        <w:tc>
          <w:tcPr>
            <w:tcW w:w="548" w:type="pct"/>
            <w:hideMark/>
          </w:tcPr>
          <w:p w14:paraId="7329E8E7" w14:textId="3B60F21B"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-.01</w:t>
            </w:r>
            <w:r w:rsidR="002356EF" w:rsidRPr="00F758EA">
              <w:rPr>
                <w:rFonts w:eastAsia="DengXian" w:cs="Times New Roman"/>
                <w:sz w:val="20"/>
                <w:szCs w:val="20"/>
              </w:rPr>
              <w:t>8</w:t>
            </w:r>
          </w:p>
        </w:tc>
        <w:tc>
          <w:tcPr>
            <w:tcW w:w="644" w:type="pct"/>
            <w:hideMark/>
          </w:tcPr>
          <w:p w14:paraId="29D8DF9A" w14:textId="4EBF8492"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-.076</w:t>
            </w:r>
          </w:p>
        </w:tc>
        <w:tc>
          <w:tcPr>
            <w:tcW w:w="521" w:type="pct"/>
            <w:hideMark/>
          </w:tcPr>
          <w:p w14:paraId="0006F030" w14:textId="09B2D56C"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-.145</w:t>
            </w:r>
            <w:r w:rsidR="002356EF" w:rsidRPr="00F758EA">
              <w:rPr>
                <w:rFonts w:eastAsia="DengXian" w:cs="Times New Roman"/>
                <w:sz w:val="20"/>
                <w:szCs w:val="20"/>
              </w:rPr>
              <w:t>4</w:t>
            </w:r>
          </w:p>
        </w:tc>
        <w:tc>
          <w:tcPr>
            <w:tcW w:w="547" w:type="pct"/>
            <w:hideMark/>
          </w:tcPr>
          <w:p w14:paraId="253921BA" w14:textId="0D2D7C7F"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-.10</w:t>
            </w:r>
            <w:r w:rsidR="002356EF" w:rsidRPr="00F758EA">
              <w:rPr>
                <w:rFonts w:eastAsia="DengXian" w:cs="Times New Roman"/>
                <w:sz w:val="20"/>
                <w:szCs w:val="20"/>
              </w:rPr>
              <w:t>3</w:t>
            </w:r>
            <w:r w:rsidRPr="00F758EA">
              <w:rPr>
                <w:rFonts w:eastAsia="DengXian" w:cs="Times New Roman"/>
                <w:sz w:val="20"/>
                <w:szCs w:val="20"/>
              </w:rPr>
              <w:t>*</w:t>
            </w:r>
          </w:p>
        </w:tc>
      </w:tr>
      <w:tr w:rsidR="00D04AFB" w:rsidRPr="00F758EA" w14:paraId="707539F5" w14:textId="77777777" w:rsidTr="00D04AFB">
        <w:trPr>
          <w:jc w:val="center"/>
        </w:trPr>
        <w:tc>
          <w:tcPr>
            <w:tcW w:w="1139" w:type="pct"/>
            <w:hideMark/>
          </w:tcPr>
          <w:p w14:paraId="09B5838B" w14:textId="1186C7AC" w:rsidR="005E02DB" w:rsidRPr="00F758EA" w:rsidRDefault="005E02DB" w:rsidP="00D326A2">
            <w:pPr>
              <w:widowControl w:val="0"/>
              <w:autoSpaceDE w:val="0"/>
              <w:autoSpaceDN w:val="0"/>
              <w:adjustRightInd w:val="0"/>
              <w:spacing w:line="240" w:lineRule="auto"/>
              <w:rPr>
                <w:rFonts w:eastAsia="DengXian" w:cs="Times New Roman"/>
                <w:sz w:val="20"/>
                <w:szCs w:val="20"/>
              </w:rPr>
            </w:pPr>
          </w:p>
        </w:tc>
        <w:tc>
          <w:tcPr>
            <w:tcW w:w="532" w:type="pct"/>
            <w:hideMark/>
          </w:tcPr>
          <w:p w14:paraId="13842F4F" w14:textId="2A37FA7A"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(.095)</w:t>
            </w:r>
          </w:p>
        </w:tc>
        <w:tc>
          <w:tcPr>
            <w:tcW w:w="521" w:type="pct"/>
            <w:hideMark/>
          </w:tcPr>
          <w:p w14:paraId="5117ABEF" w14:textId="116A6183"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(.08</w:t>
            </w:r>
            <w:r w:rsidR="002356EF" w:rsidRPr="00F758EA">
              <w:rPr>
                <w:rFonts w:eastAsia="DengXian" w:cs="Times New Roman"/>
                <w:sz w:val="20"/>
                <w:szCs w:val="20"/>
              </w:rPr>
              <w:t>6</w:t>
            </w:r>
            <w:r w:rsidRPr="00F758EA">
              <w:rPr>
                <w:rFonts w:eastAsia="DengXian" w:cs="Times New Roman"/>
                <w:sz w:val="20"/>
                <w:szCs w:val="20"/>
              </w:rPr>
              <w:t>)</w:t>
            </w:r>
          </w:p>
        </w:tc>
        <w:tc>
          <w:tcPr>
            <w:tcW w:w="548" w:type="pct"/>
            <w:hideMark/>
          </w:tcPr>
          <w:p w14:paraId="142BDF8C" w14:textId="392B88A0"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(.176)</w:t>
            </w:r>
          </w:p>
        </w:tc>
        <w:tc>
          <w:tcPr>
            <w:tcW w:w="548" w:type="pct"/>
            <w:hideMark/>
          </w:tcPr>
          <w:p w14:paraId="722BAAAA" w14:textId="6CE7AAFF"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(.045)</w:t>
            </w:r>
          </w:p>
        </w:tc>
        <w:tc>
          <w:tcPr>
            <w:tcW w:w="644" w:type="pct"/>
            <w:hideMark/>
          </w:tcPr>
          <w:p w14:paraId="103F2D6D" w14:textId="7421653B"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(.076)</w:t>
            </w:r>
          </w:p>
        </w:tc>
        <w:tc>
          <w:tcPr>
            <w:tcW w:w="521" w:type="pct"/>
            <w:hideMark/>
          </w:tcPr>
          <w:p w14:paraId="62BE7734" w14:textId="5EED5C60"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(.093)</w:t>
            </w:r>
          </w:p>
        </w:tc>
        <w:tc>
          <w:tcPr>
            <w:tcW w:w="547" w:type="pct"/>
            <w:hideMark/>
          </w:tcPr>
          <w:p w14:paraId="3FEFE01B" w14:textId="52FDABA3"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(.058)</w:t>
            </w:r>
          </w:p>
        </w:tc>
      </w:tr>
      <w:tr w:rsidR="00D04AFB" w:rsidRPr="00F758EA" w14:paraId="13D5F02E" w14:textId="77777777" w:rsidTr="00D04AFB">
        <w:trPr>
          <w:jc w:val="center"/>
        </w:trPr>
        <w:tc>
          <w:tcPr>
            <w:tcW w:w="1139" w:type="pct"/>
            <w:hideMark/>
          </w:tcPr>
          <w:p w14:paraId="5C3D5726" w14:textId="7AA6BDC4" w:rsidR="005E02DB" w:rsidRPr="00F758EA" w:rsidRDefault="00D04AFB" w:rsidP="00D326A2">
            <w:pPr>
              <w:widowControl w:val="0"/>
              <w:autoSpaceDE w:val="0"/>
              <w:autoSpaceDN w:val="0"/>
              <w:adjustRightInd w:val="0"/>
              <w:spacing w:line="240" w:lineRule="auto"/>
              <w:rPr>
                <w:rFonts w:eastAsia="DengXian" w:cs="Times New Roman"/>
                <w:sz w:val="20"/>
                <w:szCs w:val="20"/>
              </w:rPr>
            </w:pPr>
            <w:r>
              <w:rPr>
                <w:rFonts w:eastAsia="DengXian" w:cs="Times New Roman"/>
                <w:sz w:val="20"/>
                <w:szCs w:val="20"/>
              </w:rPr>
              <w:t xml:space="preserve">EPA - </w:t>
            </w:r>
            <w:r w:rsidR="005E02DB" w:rsidRPr="00F758EA">
              <w:rPr>
                <w:rFonts w:eastAsia="DengXian" w:cs="Times New Roman"/>
                <w:sz w:val="20"/>
                <w:szCs w:val="20"/>
              </w:rPr>
              <w:t>CO (t-1)</w:t>
            </w:r>
          </w:p>
        </w:tc>
        <w:tc>
          <w:tcPr>
            <w:tcW w:w="532" w:type="pct"/>
            <w:hideMark/>
          </w:tcPr>
          <w:p w14:paraId="3845436B" w14:textId="6ABAA2AC"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.075</w:t>
            </w:r>
          </w:p>
        </w:tc>
        <w:tc>
          <w:tcPr>
            <w:tcW w:w="521" w:type="pct"/>
            <w:hideMark/>
          </w:tcPr>
          <w:p w14:paraId="543827F4" w14:textId="0748379D"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.009</w:t>
            </w:r>
          </w:p>
        </w:tc>
        <w:tc>
          <w:tcPr>
            <w:tcW w:w="548" w:type="pct"/>
            <w:hideMark/>
          </w:tcPr>
          <w:p w14:paraId="09618B71" w14:textId="450C633F"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w:t>
            </w:r>
            <w:r w:rsidR="002356EF" w:rsidRPr="00F758EA">
              <w:rPr>
                <w:rFonts w:eastAsia="DengXian" w:cs="Times New Roman"/>
                <w:sz w:val="20"/>
                <w:szCs w:val="20"/>
              </w:rPr>
              <w:t>70</w:t>
            </w:r>
          </w:p>
        </w:tc>
        <w:tc>
          <w:tcPr>
            <w:tcW w:w="548" w:type="pct"/>
            <w:hideMark/>
          </w:tcPr>
          <w:p w14:paraId="7E2F32AE" w14:textId="77777777"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.0429*</w:t>
            </w:r>
          </w:p>
        </w:tc>
        <w:tc>
          <w:tcPr>
            <w:tcW w:w="644" w:type="pct"/>
            <w:hideMark/>
          </w:tcPr>
          <w:p w14:paraId="73B84C19" w14:textId="0FFE2676"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.0394*</w:t>
            </w:r>
          </w:p>
        </w:tc>
        <w:tc>
          <w:tcPr>
            <w:tcW w:w="521" w:type="pct"/>
            <w:hideMark/>
          </w:tcPr>
          <w:p w14:paraId="004C43E9" w14:textId="3189D6B2"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.0469*</w:t>
            </w:r>
          </w:p>
        </w:tc>
        <w:tc>
          <w:tcPr>
            <w:tcW w:w="547" w:type="pct"/>
            <w:hideMark/>
          </w:tcPr>
          <w:p w14:paraId="08D5F99F" w14:textId="77777777"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-.0109</w:t>
            </w:r>
          </w:p>
        </w:tc>
      </w:tr>
      <w:tr w:rsidR="00D04AFB" w:rsidRPr="00F758EA" w14:paraId="37B7F173" w14:textId="77777777" w:rsidTr="00D04AFB">
        <w:trPr>
          <w:jc w:val="center"/>
        </w:trPr>
        <w:tc>
          <w:tcPr>
            <w:tcW w:w="1139" w:type="pct"/>
            <w:hideMark/>
          </w:tcPr>
          <w:p w14:paraId="116BC509" w14:textId="69CAEF74" w:rsidR="005E02DB" w:rsidRPr="00F758EA" w:rsidRDefault="005E02DB" w:rsidP="00D326A2">
            <w:pPr>
              <w:widowControl w:val="0"/>
              <w:autoSpaceDE w:val="0"/>
              <w:autoSpaceDN w:val="0"/>
              <w:adjustRightInd w:val="0"/>
              <w:spacing w:line="240" w:lineRule="auto"/>
              <w:rPr>
                <w:rFonts w:eastAsia="DengXian" w:cs="Times New Roman"/>
                <w:sz w:val="20"/>
                <w:szCs w:val="20"/>
              </w:rPr>
            </w:pPr>
          </w:p>
        </w:tc>
        <w:tc>
          <w:tcPr>
            <w:tcW w:w="532" w:type="pct"/>
            <w:hideMark/>
          </w:tcPr>
          <w:p w14:paraId="6E729490" w14:textId="012C134C"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(.049)</w:t>
            </w:r>
          </w:p>
        </w:tc>
        <w:tc>
          <w:tcPr>
            <w:tcW w:w="521" w:type="pct"/>
            <w:hideMark/>
          </w:tcPr>
          <w:p w14:paraId="3CBA59E7" w14:textId="19D76964"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(.07</w:t>
            </w:r>
            <w:r w:rsidR="002356EF" w:rsidRPr="00F758EA">
              <w:rPr>
                <w:rFonts w:eastAsia="DengXian" w:cs="Times New Roman"/>
                <w:sz w:val="20"/>
                <w:szCs w:val="20"/>
              </w:rPr>
              <w:t>2</w:t>
            </w:r>
            <w:r w:rsidRPr="00F758EA">
              <w:rPr>
                <w:rFonts w:eastAsia="DengXian" w:cs="Times New Roman"/>
                <w:sz w:val="20"/>
                <w:szCs w:val="20"/>
              </w:rPr>
              <w:t>4)</w:t>
            </w:r>
          </w:p>
        </w:tc>
        <w:tc>
          <w:tcPr>
            <w:tcW w:w="548" w:type="pct"/>
            <w:hideMark/>
          </w:tcPr>
          <w:p w14:paraId="5417BF45" w14:textId="7E7C5F4D"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w:t>
            </w:r>
            <w:r w:rsidR="002356EF" w:rsidRPr="00F758EA">
              <w:rPr>
                <w:rFonts w:eastAsia="DengXian" w:cs="Times New Roman"/>
                <w:sz w:val="20"/>
                <w:szCs w:val="20"/>
              </w:rPr>
              <w:t>100</w:t>
            </w:r>
            <w:r w:rsidRPr="00F758EA">
              <w:rPr>
                <w:rFonts w:eastAsia="DengXian" w:cs="Times New Roman"/>
                <w:sz w:val="20"/>
                <w:szCs w:val="20"/>
              </w:rPr>
              <w:t>)</w:t>
            </w:r>
          </w:p>
        </w:tc>
        <w:tc>
          <w:tcPr>
            <w:tcW w:w="548" w:type="pct"/>
            <w:hideMark/>
          </w:tcPr>
          <w:p w14:paraId="2E11976E" w14:textId="1B853A9D"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(.025)</w:t>
            </w:r>
          </w:p>
        </w:tc>
        <w:tc>
          <w:tcPr>
            <w:tcW w:w="644" w:type="pct"/>
            <w:hideMark/>
          </w:tcPr>
          <w:p w14:paraId="73EB16DF" w14:textId="1DA7B4F8"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(.021</w:t>
            </w:r>
            <w:r w:rsidR="002356EF" w:rsidRPr="00F758EA">
              <w:rPr>
                <w:rFonts w:eastAsia="DengXian" w:cs="Times New Roman"/>
                <w:sz w:val="20"/>
                <w:szCs w:val="20"/>
              </w:rPr>
              <w:t>1</w:t>
            </w:r>
            <w:r w:rsidRPr="00F758EA">
              <w:rPr>
                <w:rFonts w:eastAsia="DengXian" w:cs="Times New Roman"/>
                <w:sz w:val="20"/>
                <w:szCs w:val="20"/>
              </w:rPr>
              <w:t>)</w:t>
            </w:r>
          </w:p>
        </w:tc>
        <w:tc>
          <w:tcPr>
            <w:tcW w:w="521" w:type="pct"/>
            <w:hideMark/>
          </w:tcPr>
          <w:p w14:paraId="1CD966E5" w14:textId="49DD35D8"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(.028)</w:t>
            </w:r>
          </w:p>
        </w:tc>
        <w:tc>
          <w:tcPr>
            <w:tcW w:w="547" w:type="pct"/>
            <w:hideMark/>
          </w:tcPr>
          <w:p w14:paraId="5B4D18A9" w14:textId="0D8B3C02"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(.020)</w:t>
            </w:r>
          </w:p>
        </w:tc>
      </w:tr>
      <w:tr w:rsidR="00D04AFB" w:rsidRPr="00F758EA" w14:paraId="17CDC335" w14:textId="77777777" w:rsidTr="00D04AFB">
        <w:trPr>
          <w:jc w:val="center"/>
        </w:trPr>
        <w:tc>
          <w:tcPr>
            <w:tcW w:w="1139" w:type="pct"/>
            <w:hideMark/>
          </w:tcPr>
          <w:p w14:paraId="26B68B64" w14:textId="29511AAC" w:rsidR="005E02DB" w:rsidRPr="00F758EA" w:rsidRDefault="005E02DB"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PAD - All GAPs (t-1)</w:t>
            </w:r>
          </w:p>
        </w:tc>
        <w:tc>
          <w:tcPr>
            <w:tcW w:w="532" w:type="pct"/>
            <w:hideMark/>
          </w:tcPr>
          <w:p w14:paraId="440E4129" w14:textId="2D5F1B4B"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-1.832***</w:t>
            </w:r>
          </w:p>
        </w:tc>
        <w:tc>
          <w:tcPr>
            <w:tcW w:w="521" w:type="pct"/>
            <w:hideMark/>
          </w:tcPr>
          <w:p w14:paraId="71E6A6D2" w14:textId="64FB00E9"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-.324</w:t>
            </w:r>
          </w:p>
        </w:tc>
        <w:tc>
          <w:tcPr>
            <w:tcW w:w="548" w:type="pct"/>
            <w:hideMark/>
          </w:tcPr>
          <w:p w14:paraId="389AB9D4" w14:textId="4ED51213"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2.56</w:t>
            </w:r>
            <w:r w:rsidR="002356EF" w:rsidRPr="00F758EA">
              <w:rPr>
                <w:rFonts w:eastAsia="DengXian" w:cs="Times New Roman"/>
                <w:sz w:val="20"/>
                <w:szCs w:val="20"/>
              </w:rPr>
              <w:t>1</w:t>
            </w:r>
            <w:r w:rsidRPr="00F758EA">
              <w:rPr>
                <w:rFonts w:eastAsia="DengXian" w:cs="Times New Roman"/>
                <w:sz w:val="20"/>
                <w:szCs w:val="20"/>
              </w:rPr>
              <w:t>***</w:t>
            </w:r>
          </w:p>
        </w:tc>
        <w:tc>
          <w:tcPr>
            <w:tcW w:w="548" w:type="pct"/>
            <w:hideMark/>
          </w:tcPr>
          <w:p w14:paraId="22D7D774" w14:textId="75789350"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-1.361***</w:t>
            </w:r>
          </w:p>
        </w:tc>
        <w:tc>
          <w:tcPr>
            <w:tcW w:w="644" w:type="pct"/>
            <w:hideMark/>
          </w:tcPr>
          <w:p w14:paraId="4D714406" w14:textId="3029AEFF"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-.75</w:t>
            </w:r>
            <w:r w:rsidR="002356EF" w:rsidRPr="00F758EA">
              <w:rPr>
                <w:rFonts w:eastAsia="DengXian" w:cs="Times New Roman"/>
                <w:sz w:val="20"/>
                <w:szCs w:val="20"/>
              </w:rPr>
              <w:t>2</w:t>
            </w:r>
            <w:r w:rsidRPr="00F758EA">
              <w:rPr>
                <w:rFonts w:eastAsia="DengXian" w:cs="Times New Roman"/>
                <w:sz w:val="20"/>
                <w:szCs w:val="20"/>
              </w:rPr>
              <w:t>***</w:t>
            </w:r>
          </w:p>
        </w:tc>
        <w:tc>
          <w:tcPr>
            <w:tcW w:w="521" w:type="pct"/>
            <w:hideMark/>
          </w:tcPr>
          <w:p w14:paraId="0D4B6D94" w14:textId="66F960E0"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-1.088</w:t>
            </w:r>
          </w:p>
        </w:tc>
        <w:tc>
          <w:tcPr>
            <w:tcW w:w="547" w:type="pct"/>
            <w:hideMark/>
          </w:tcPr>
          <w:p w14:paraId="21B7809D" w14:textId="6057B1FA"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-1.029***</w:t>
            </w:r>
          </w:p>
        </w:tc>
      </w:tr>
      <w:tr w:rsidR="00D04AFB" w:rsidRPr="00F758EA" w14:paraId="44C9D5CA" w14:textId="77777777" w:rsidTr="00D04AFB">
        <w:trPr>
          <w:jc w:val="center"/>
        </w:trPr>
        <w:tc>
          <w:tcPr>
            <w:tcW w:w="1139" w:type="pct"/>
            <w:hideMark/>
          </w:tcPr>
          <w:p w14:paraId="4BC67642" w14:textId="2778F0AF" w:rsidR="005E02DB" w:rsidRPr="00F758EA" w:rsidRDefault="005E02DB" w:rsidP="00D326A2">
            <w:pPr>
              <w:widowControl w:val="0"/>
              <w:autoSpaceDE w:val="0"/>
              <w:autoSpaceDN w:val="0"/>
              <w:adjustRightInd w:val="0"/>
              <w:spacing w:line="240" w:lineRule="auto"/>
              <w:rPr>
                <w:rFonts w:eastAsia="DengXian" w:cs="Times New Roman"/>
                <w:sz w:val="20"/>
                <w:szCs w:val="20"/>
              </w:rPr>
            </w:pPr>
          </w:p>
        </w:tc>
        <w:tc>
          <w:tcPr>
            <w:tcW w:w="532" w:type="pct"/>
            <w:hideMark/>
          </w:tcPr>
          <w:p w14:paraId="17B3B00D" w14:textId="732096A8"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(.48</w:t>
            </w:r>
            <w:r w:rsidR="002356EF" w:rsidRPr="00F758EA">
              <w:rPr>
                <w:rFonts w:eastAsia="DengXian" w:cs="Times New Roman"/>
                <w:sz w:val="20"/>
                <w:szCs w:val="20"/>
              </w:rPr>
              <w:t>6</w:t>
            </w:r>
            <w:r w:rsidRPr="00F758EA">
              <w:rPr>
                <w:rFonts w:eastAsia="DengXian" w:cs="Times New Roman"/>
                <w:sz w:val="20"/>
                <w:szCs w:val="20"/>
              </w:rPr>
              <w:t>)</w:t>
            </w:r>
          </w:p>
        </w:tc>
        <w:tc>
          <w:tcPr>
            <w:tcW w:w="521" w:type="pct"/>
            <w:hideMark/>
          </w:tcPr>
          <w:p w14:paraId="63758FAE" w14:textId="7F15B8A1"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(.717)</w:t>
            </w:r>
          </w:p>
        </w:tc>
        <w:tc>
          <w:tcPr>
            <w:tcW w:w="548" w:type="pct"/>
            <w:hideMark/>
          </w:tcPr>
          <w:p w14:paraId="3015DF74" w14:textId="10B16DDA"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(.505)</w:t>
            </w:r>
          </w:p>
        </w:tc>
        <w:tc>
          <w:tcPr>
            <w:tcW w:w="548" w:type="pct"/>
            <w:hideMark/>
          </w:tcPr>
          <w:p w14:paraId="522A256E" w14:textId="41B034B0"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(.47</w:t>
            </w:r>
            <w:r w:rsidR="002356EF" w:rsidRPr="00F758EA">
              <w:rPr>
                <w:rFonts w:eastAsia="DengXian" w:cs="Times New Roman"/>
                <w:sz w:val="20"/>
                <w:szCs w:val="20"/>
              </w:rPr>
              <w:t>5</w:t>
            </w:r>
            <w:r w:rsidRPr="00F758EA">
              <w:rPr>
                <w:rFonts w:eastAsia="DengXian" w:cs="Times New Roman"/>
                <w:sz w:val="20"/>
                <w:szCs w:val="20"/>
              </w:rPr>
              <w:t>)</w:t>
            </w:r>
          </w:p>
        </w:tc>
        <w:tc>
          <w:tcPr>
            <w:tcW w:w="644" w:type="pct"/>
            <w:hideMark/>
          </w:tcPr>
          <w:p w14:paraId="35EAC0F5" w14:textId="30304C7D"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(.29</w:t>
            </w:r>
            <w:r w:rsidR="002356EF" w:rsidRPr="00F758EA">
              <w:rPr>
                <w:rFonts w:eastAsia="DengXian" w:cs="Times New Roman"/>
                <w:sz w:val="20"/>
                <w:szCs w:val="20"/>
              </w:rPr>
              <w:t>2</w:t>
            </w:r>
            <w:r w:rsidRPr="00F758EA">
              <w:rPr>
                <w:rFonts w:eastAsia="DengXian" w:cs="Times New Roman"/>
                <w:sz w:val="20"/>
                <w:szCs w:val="20"/>
              </w:rPr>
              <w:t>)</w:t>
            </w:r>
          </w:p>
        </w:tc>
        <w:tc>
          <w:tcPr>
            <w:tcW w:w="521" w:type="pct"/>
            <w:hideMark/>
          </w:tcPr>
          <w:p w14:paraId="09F9423C" w14:textId="5525D368"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(.858)</w:t>
            </w:r>
          </w:p>
        </w:tc>
        <w:tc>
          <w:tcPr>
            <w:tcW w:w="547" w:type="pct"/>
            <w:hideMark/>
          </w:tcPr>
          <w:p w14:paraId="3A6EB95C" w14:textId="531FF530"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(.3</w:t>
            </w:r>
            <w:r w:rsidR="002356EF" w:rsidRPr="00F758EA">
              <w:rPr>
                <w:rFonts w:eastAsia="DengXian" w:cs="Times New Roman"/>
                <w:sz w:val="20"/>
                <w:szCs w:val="20"/>
              </w:rPr>
              <w:t>40</w:t>
            </w:r>
            <w:r w:rsidRPr="00F758EA">
              <w:rPr>
                <w:rFonts w:eastAsia="DengXian" w:cs="Times New Roman"/>
                <w:sz w:val="20"/>
                <w:szCs w:val="20"/>
              </w:rPr>
              <w:t>)</w:t>
            </w:r>
          </w:p>
        </w:tc>
      </w:tr>
      <w:tr w:rsidR="00D04AFB" w:rsidRPr="00F758EA" w14:paraId="65E059DA" w14:textId="77777777" w:rsidTr="00D04AFB">
        <w:trPr>
          <w:jc w:val="center"/>
        </w:trPr>
        <w:tc>
          <w:tcPr>
            <w:tcW w:w="1139" w:type="pct"/>
            <w:hideMark/>
          </w:tcPr>
          <w:p w14:paraId="0E1B7848" w14:textId="77777777" w:rsidR="005E02DB" w:rsidRPr="00F758EA" w:rsidRDefault="005E02DB"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PAD Squared</w:t>
            </w:r>
          </w:p>
        </w:tc>
        <w:tc>
          <w:tcPr>
            <w:tcW w:w="532" w:type="pct"/>
            <w:hideMark/>
          </w:tcPr>
          <w:p w14:paraId="4EE22A16" w14:textId="0B134018"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.168</w:t>
            </w:r>
          </w:p>
        </w:tc>
        <w:tc>
          <w:tcPr>
            <w:tcW w:w="521" w:type="pct"/>
            <w:hideMark/>
          </w:tcPr>
          <w:p w14:paraId="55757637" w14:textId="62A76566"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.96</w:t>
            </w:r>
            <w:r w:rsidR="002356EF" w:rsidRPr="00F758EA">
              <w:rPr>
                <w:rFonts w:eastAsia="DengXian" w:cs="Times New Roman"/>
                <w:sz w:val="20"/>
                <w:szCs w:val="20"/>
              </w:rPr>
              <w:t>8</w:t>
            </w:r>
          </w:p>
        </w:tc>
        <w:tc>
          <w:tcPr>
            <w:tcW w:w="548" w:type="pct"/>
            <w:hideMark/>
          </w:tcPr>
          <w:p w14:paraId="16450F39" w14:textId="25A75DB0"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-2.590***</w:t>
            </w:r>
          </w:p>
        </w:tc>
        <w:tc>
          <w:tcPr>
            <w:tcW w:w="548" w:type="pct"/>
            <w:hideMark/>
          </w:tcPr>
          <w:p w14:paraId="7265BF1E" w14:textId="610B1FBE"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1.741***</w:t>
            </w:r>
          </w:p>
        </w:tc>
        <w:tc>
          <w:tcPr>
            <w:tcW w:w="644" w:type="pct"/>
            <w:hideMark/>
          </w:tcPr>
          <w:p w14:paraId="4461D1B1" w14:textId="6BCA1E66"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.95</w:t>
            </w:r>
            <w:r w:rsidR="002356EF" w:rsidRPr="00F758EA">
              <w:rPr>
                <w:rFonts w:eastAsia="DengXian" w:cs="Times New Roman"/>
                <w:sz w:val="20"/>
                <w:szCs w:val="20"/>
              </w:rPr>
              <w:t>5</w:t>
            </w:r>
            <w:r w:rsidRPr="00F758EA">
              <w:rPr>
                <w:rFonts w:eastAsia="DengXian" w:cs="Times New Roman"/>
                <w:sz w:val="20"/>
                <w:szCs w:val="20"/>
              </w:rPr>
              <w:t>***</w:t>
            </w:r>
          </w:p>
        </w:tc>
        <w:tc>
          <w:tcPr>
            <w:tcW w:w="521" w:type="pct"/>
            <w:hideMark/>
          </w:tcPr>
          <w:p w14:paraId="77B64D70" w14:textId="19A0DB01"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1.37</w:t>
            </w:r>
            <w:r w:rsidR="002356EF" w:rsidRPr="00F758EA">
              <w:rPr>
                <w:rFonts w:eastAsia="DengXian" w:cs="Times New Roman"/>
                <w:sz w:val="20"/>
                <w:szCs w:val="20"/>
              </w:rPr>
              <w:t>1</w:t>
            </w:r>
          </w:p>
        </w:tc>
        <w:tc>
          <w:tcPr>
            <w:tcW w:w="547" w:type="pct"/>
            <w:hideMark/>
          </w:tcPr>
          <w:p w14:paraId="27C5AF3C" w14:textId="73402FD9"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1.156***</w:t>
            </w:r>
          </w:p>
        </w:tc>
      </w:tr>
      <w:tr w:rsidR="00D04AFB" w:rsidRPr="00F758EA" w14:paraId="7D92D7B5" w14:textId="77777777" w:rsidTr="00D04AFB">
        <w:trPr>
          <w:jc w:val="center"/>
        </w:trPr>
        <w:tc>
          <w:tcPr>
            <w:tcW w:w="1139" w:type="pct"/>
            <w:hideMark/>
          </w:tcPr>
          <w:p w14:paraId="6AE3DDDA" w14:textId="65B625E4" w:rsidR="005E02DB" w:rsidRPr="00F758EA" w:rsidRDefault="005E02DB" w:rsidP="00D326A2">
            <w:pPr>
              <w:widowControl w:val="0"/>
              <w:autoSpaceDE w:val="0"/>
              <w:autoSpaceDN w:val="0"/>
              <w:adjustRightInd w:val="0"/>
              <w:spacing w:line="240" w:lineRule="auto"/>
              <w:rPr>
                <w:rFonts w:eastAsia="DengXian" w:cs="Times New Roman"/>
                <w:sz w:val="20"/>
                <w:szCs w:val="20"/>
              </w:rPr>
            </w:pPr>
          </w:p>
        </w:tc>
        <w:tc>
          <w:tcPr>
            <w:tcW w:w="532" w:type="pct"/>
            <w:hideMark/>
          </w:tcPr>
          <w:p w14:paraId="42C2F659" w14:textId="1A647E98"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(.546)</w:t>
            </w:r>
          </w:p>
        </w:tc>
        <w:tc>
          <w:tcPr>
            <w:tcW w:w="521" w:type="pct"/>
            <w:hideMark/>
          </w:tcPr>
          <w:p w14:paraId="4C717B70" w14:textId="278B08F8"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(.844)</w:t>
            </w:r>
          </w:p>
        </w:tc>
        <w:tc>
          <w:tcPr>
            <w:tcW w:w="548" w:type="pct"/>
            <w:hideMark/>
          </w:tcPr>
          <w:p w14:paraId="38995FFD" w14:textId="120B8F7F"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(.659)</w:t>
            </w:r>
          </w:p>
        </w:tc>
        <w:tc>
          <w:tcPr>
            <w:tcW w:w="548" w:type="pct"/>
            <w:hideMark/>
          </w:tcPr>
          <w:p w14:paraId="6F0440C1" w14:textId="0F0F6A6A"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(.430)</w:t>
            </w:r>
          </w:p>
        </w:tc>
        <w:tc>
          <w:tcPr>
            <w:tcW w:w="644" w:type="pct"/>
            <w:hideMark/>
          </w:tcPr>
          <w:p w14:paraId="11350FC5" w14:textId="5890B008"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(.30</w:t>
            </w:r>
            <w:r w:rsidR="002356EF" w:rsidRPr="00F758EA">
              <w:rPr>
                <w:rFonts w:eastAsia="DengXian" w:cs="Times New Roman"/>
                <w:sz w:val="20"/>
                <w:szCs w:val="20"/>
              </w:rPr>
              <w:t>2</w:t>
            </w:r>
            <w:r w:rsidRPr="00F758EA">
              <w:rPr>
                <w:rFonts w:eastAsia="DengXian" w:cs="Times New Roman"/>
                <w:sz w:val="20"/>
                <w:szCs w:val="20"/>
              </w:rPr>
              <w:t>)</w:t>
            </w:r>
          </w:p>
        </w:tc>
        <w:tc>
          <w:tcPr>
            <w:tcW w:w="521" w:type="pct"/>
            <w:hideMark/>
          </w:tcPr>
          <w:p w14:paraId="3BAAC285" w14:textId="34DA4BEA"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(1.179)</w:t>
            </w:r>
          </w:p>
        </w:tc>
        <w:tc>
          <w:tcPr>
            <w:tcW w:w="547" w:type="pct"/>
            <w:hideMark/>
          </w:tcPr>
          <w:p w14:paraId="20F54CDF" w14:textId="370C7062"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(.384)</w:t>
            </w:r>
          </w:p>
        </w:tc>
      </w:tr>
      <w:tr w:rsidR="00D04AFB" w:rsidRPr="00F758EA" w14:paraId="26598E95" w14:textId="77777777" w:rsidTr="00D04AFB">
        <w:trPr>
          <w:jc w:val="center"/>
        </w:trPr>
        <w:tc>
          <w:tcPr>
            <w:tcW w:w="1139" w:type="pct"/>
            <w:hideMark/>
          </w:tcPr>
          <w:p w14:paraId="056A2CA6" w14:textId="17D87E23" w:rsidR="005E02DB" w:rsidRPr="00F758EA" w:rsidRDefault="005E02DB"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 xml:space="preserve">Prior </w:t>
            </w:r>
            <w:proofErr w:type="spellStart"/>
            <w:r w:rsidRPr="00F758EA">
              <w:rPr>
                <w:rFonts w:eastAsia="DengXian" w:cs="Times New Roman"/>
                <w:sz w:val="20"/>
                <w:szCs w:val="20"/>
              </w:rPr>
              <w:t>Estab</w:t>
            </w:r>
            <w:proofErr w:type="spellEnd"/>
            <w:r w:rsidRPr="00F758EA">
              <w:rPr>
                <w:rFonts w:eastAsia="DengXian" w:cs="Times New Roman"/>
                <w:sz w:val="20"/>
                <w:szCs w:val="20"/>
              </w:rPr>
              <w:t>. Stock (10ks)</w:t>
            </w:r>
          </w:p>
        </w:tc>
        <w:tc>
          <w:tcPr>
            <w:tcW w:w="532" w:type="pct"/>
            <w:hideMark/>
          </w:tcPr>
          <w:p w14:paraId="553F9360" w14:textId="012CB65C"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29.2</w:t>
            </w:r>
            <w:r w:rsidR="002356EF" w:rsidRPr="00F758EA">
              <w:rPr>
                <w:rFonts w:eastAsia="DengXian" w:cs="Times New Roman"/>
                <w:sz w:val="20"/>
                <w:szCs w:val="20"/>
              </w:rPr>
              <w:t>10</w:t>
            </w:r>
            <w:r w:rsidRPr="00F758EA">
              <w:rPr>
                <w:rFonts w:eastAsia="DengXian" w:cs="Times New Roman"/>
                <w:sz w:val="20"/>
                <w:szCs w:val="20"/>
              </w:rPr>
              <w:t>***</w:t>
            </w:r>
          </w:p>
        </w:tc>
        <w:tc>
          <w:tcPr>
            <w:tcW w:w="521" w:type="pct"/>
            <w:hideMark/>
          </w:tcPr>
          <w:p w14:paraId="0305B720" w14:textId="12D807BA"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10.070**</w:t>
            </w:r>
          </w:p>
        </w:tc>
        <w:tc>
          <w:tcPr>
            <w:tcW w:w="548" w:type="pct"/>
            <w:hideMark/>
          </w:tcPr>
          <w:p w14:paraId="0D4EF3A9" w14:textId="3C7CC98C"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52.739**</w:t>
            </w:r>
          </w:p>
        </w:tc>
        <w:tc>
          <w:tcPr>
            <w:tcW w:w="548" w:type="pct"/>
            <w:hideMark/>
          </w:tcPr>
          <w:p w14:paraId="28E6543E" w14:textId="7D3FB314"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.130**</w:t>
            </w:r>
          </w:p>
        </w:tc>
        <w:tc>
          <w:tcPr>
            <w:tcW w:w="644" w:type="pct"/>
            <w:hideMark/>
          </w:tcPr>
          <w:p w14:paraId="273AA1B0" w14:textId="77777777"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.408**</w:t>
            </w:r>
          </w:p>
        </w:tc>
        <w:tc>
          <w:tcPr>
            <w:tcW w:w="521" w:type="pct"/>
            <w:hideMark/>
          </w:tcPr>
          <w:p w14:paraId="0F5998FF" w14:textId="4EFBFC04"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.362***</w:t>
            </w:r>
          </w:p>
        </w:tc>
        <w:tc>
          <w:tcPr>
            <w:tcW w:w="547" w:type="pct"/>
            <w:hideMark/>
          </w:tcPr>
          <w:p w14:paraId="7B4F255E" w14:textId="454EEDDD"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.883*</w:t>
            </w:r>
          </w:p>
        </w:tc>
      </w:tr>
      <w:tr w:rsidR="00D04AFB" w:rsidRPr="00F758EA" w14:paraId="3F19E266" w14:textId="77777777" w:rsidTr="00D04AFB">
        <w:trPr>
          <w:jc w:val="center"/>
        </w:trPr>
        <w:tc>
          <w:tcPr>
            <w:tcW w:w="1139" w:type="pct"/>
            <w:hideMark/>
          </w:tcPr>
          <w:p w14:paraId="54BFBCEC" w14:textId="676BC42D" w:rsidR="005E02DB" w:rsidRPr="00F758EA" w:rsidRDefault="005E02DB" w:rsidP="00D326A2">
            <w:pPr>
              <w:widowControl w:val="0"/>
              <w:autoSpaceDE w:val="0"/>
              <w:autoSpaceDN w:val="0"/>
              <w:adjustRightInd w:val="0"/>
              <w:spacing w:line="240" w:lineRule="auto"/>
              <w:rPr>
                <w:rFonts w:eastAsia="DengXian" w:cs="Times New Roman"/>
                <w:sz w:val="20"/>
                <w:szCs w:val="20"/>
              </w:rPr>
            </w:pPr>
          </w:p>
        </w:tc>
        <w:tc>
          <w:tcPr>
            <w:tcW w:w="532" w:type="pct"/>
            <w:hideMark/>
          </w:tcPr>
          <w:p w14:paraId="5ABF9EEC" w14:textId="2F7C7ECD"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(6.614)</w:t>
            </w:r>
          </w:p>
        </w:tc>
        <w:tc>
          <w:tcPr>
            <w:tcW w:w="521" w:type="pct"/>
            <w:hideMark/>
          </w:tcPr>
          <w:p w14:paraId="0440A0E0" w14:textId="56195A55"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(4.188)</w:t>
            </w:r>
          </w:p>
        </w:tc>
        <w:tc>
          <w:tcPr>
            <w:tcW w:w="548" w:type="pct"/>
            <w:hideMark/>
          </w:tcPr>
          <w:p w14:paraId="3E685C62" w14:textId="02844EFA"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(26.00</w:t>
            </w:r>
            <w:r w:rsidR="002356EF" w:rsidRPr="00F758EA">
              <w:rPr>
                <w:rFonts w:eastAsia="DengXian" w:cs="Times New Roman"/>
                <w:sz w:val="20"/>
                <w:szCs w:val="20"/>
              </w:rPr>
              <w:t>4</w:t>
            </w:r>
            <w:r w:rsidRPr="00F758EA">
              <w:rPr>
                <w:rFonts w:eastAsia="DengXian" w:cs="Times New Roman"/>
                <w:sz w:val="20"/>
                <w:szCs w:val="20"/>
              </w:rPr>
              <w:t>)</w:t>
            </w:r>
          </w:p>
        </w:tc>
        <w:tc>
          <w:tcPr>
            <w:tcW w:w="548" w:type="pct"/>
            <w:hideMark/>
          </w:tcPr>
          <w:p w14:paraId="44ACFF7B" w14:textId="6F8D8393"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(.05</w:t>
            </w:r>
            <w:r w:rsidR="002356EF" w:rsidRPr="00F758EA">
              <w:rPr>
                <w:rFonts w:eastAsia="DengXian" w:cs="Times New Roman"/>
                <w:sz w:val="20"/>
                <w:szCs w:val="20"/>
              </w:rPr>
              <w:t>6</w:t>
            </w:r>
            <w:r w:rsidRPr="00F758EA">
              <w:rPr>
                <w:rFonts w:eastAsia="DengXian" w:cs="Times New Roman"/>
                <w:sz w:val="20"/>
                <w:szCs w:val="20"/>
              </w:rPr>
              <w:t>)</w:t>
            </w:r>
          </w:p>
        </w:tc>
        <w:tc>
          <w:tcPr>
            <w:tcW w:w="644" w:type="pct"/>
            <w:hideMark/>
          </w:tcPr>
          <w:p w14:paraId="3BD1F065" w14:textId="51BF363D"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(.19</w:t>
            </w:r>
            <w:r w:rsidR="002356EF" w:rsidRPr="00F758EA">
              <w:rPr>
                <w:rFonts w:eastAsia="DengXian" w:cs="Times New Roman"/>
                <w:sz w:val="20"/>
                <w:szCs w:val="20"/>
              </w:rPr>
              <w:t>7</w:t>
            </w:r>
            <w:r w:rsidRPr="00F758EA">
              <w:rPr>
                <w:rFonts w:eastAsia="DengXian" w:cs="Times New Roman"/>
                <w:sz w:val="20"/>
                <w:szCs w:val="20"/>
              </w:rPr>
              <w:t>)</w:t>
            </w:r>
          </w:p>
        </w:tc>
        <w:tc>
          <w:tcPr>
            <w:tcW w:w="521" w:type="pct"/>
            <w:hideMark/>
          </w:tcPr>
          <w:p w14:paraId="00001CF3" w14:textId="440ECEE2"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(.01</w:t>
            </w:r>
            <w:r w:rsidR="002356EF" w:rsidRPr="00F758EA">
              <w:rPr>
                <w:rFonts w:eastAsia="DengXian" w:cs="Times New Roman"/>
                <w:sz w:val="20"/>
                <w:szCs w:val="20"/>
              </w:rPr>
              <w:t>8</w:t>
            </w:r>
            <w:r w:rsidRPr="00F758EA">
              <w:rPr>
                <w:rFonts w:eastAsia="DengXian" w:cs="Times New Roman"/>
                <w:sz w:val="20"/>
                <w:szCs w:val="20"/>
              </w:rPr>
              <w:t>)</w:t>
            </w:r>
          </w:p>
        </w:tc>
        <w:tc>
          <w:tcPr>
            <w:tcW w:w="547" w:type="pct"/>
            <w:hideMark/>
          </w:tcPr>
          <w:p w14:paraId="1F6349FB" w14:textId="779F2406"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(.495)</w:t>
            </w:r>
          </w:p>
        </w:tc>
      </w:tr>
      <w:tr w:rsidR="00D04AFB" w:rsidRPr="00F758EA" w14:paraId="3555F3D1" w14:textId="77777777" w:rsidTr="00D04AFB">
        <w:trPr>
          <w:jc w:val="center"/>
        </w:trPr>
        <w:tc>
          <w:tcPr>
            <w:tcW w:w="1139" w:type="pct"/>
            <w:hideMark/>
          </w:tcPr>
          <w:p w14:paraId="5F0F3DDE" w14:textId="2C51ECC8" w:rsidR="005E02DB" w:rsidRPr="00F758EA" w:rsidRDefault="005E02DB"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_cons</w:t>
            </w:r>
          </w:p>
        </w:tc>
        <w:tc>
          <w:tcPr>
            <w:tcW w:w="532" w:type="pct"/>
            <w:hideMark/>
          </w:tcPr>
          <w:p w14:paraId="66C54D2E" w14:textId="57406714"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3.702***</w:t>
            </w:r>
          </w:p>
        </w:tc>
        <w:tc>
          <w:tcPr>
            <w:tcW w:w="521" w:type="pct"/>
            <w:hideMark/>
          </w:tcPr>
          <w:p w14:paraId="3A2ECE41" w14:textId="7F78DDA8"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2.822***</w:t>
            </w:r>
          </w:p>
        </w:tc>
        <w:tc>
          <w:tcPr>
            <w:tcW w:w="548" w:type="pct"/>
            <w:hideMark/>
          </w:tcPr>
          <w:p w14:paraId="30AB66B6" w14:textId="2445C2B0"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1.80</w:t>
            </w:r>
            <w:r w:rsidR="002356EF" w:rsidRPr="00F758EA">
              <w:rPr>
                <w:rFonts w:eastAsia="DengXian" w:cs="Times New Roman"/>
                <w:sz w:val="20"/>
                <w:szCs w:val="20"/>
              </w:rPr>
              <w:t>5</w:t>
            </w:r>
            <w:r w:rsidRPr="00F758EA">
              <w:rPr>
                <w:rFonts w:eastAsia="DengXian" w:cs="Times New Roman"/>
                <w:sz w:val="20"/>
                <w:szCs w:val="20"/>
              </w:rPr>
              <w:t>***</w:t>
            </w:r>
          </w:p>
        </w:tc>
        <w:tc>
          <w:tcPr>
            <w:tcW w:w="548" w:type="pct"/>
            <w:hideMark/>
          </w:tcPr>
          <w:p w14:paraId="3A901874" w14:textId="2BE4D035"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6.85***</w:t>
            </w:r>
          </w:p>
        </w:tc>
        <w:tc>
          <w:tcPr>
            <w:tcW w:w="644" w:type="pct"/>
            <w:hideMark/>
          </w:tcPr>
          <w:p w14:paraId="4506E6CB" w14:textId="4DEB1E39"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6.648***</w:t>
            </w:r>
          </w:p>
        </w:tc>
        <w:tc>
          <w:tcPr>
            <w:tcW w:w="521" w:type="pct"/>
            <w:hideMark/>
          </w:tcPr>
          <w:p w14:paraId="34D0CC9E" w14:textId="474E9B0D"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6.64</w:t>
            </w:r>
            <w:r w:rsidR="002356EF" w:rsidRPr="00F758EA">
              <w:rPr>
                <w:rFonts w:eastAsia="DengXian" w:cs="Times New Roman"/>
                <w:sz w:val="20"/>
                <w:szCs w:val="20"/>
              </w:rPr>
              <w:t>8</w:t>
            </w:r>
            <w:r w:rsidRPr="00F758EA">
              <w:rPr>
                <w:rFonts w:eastAsia="DengXian" w:cs="Times New Roman"/>
                <w:sz w:val="20"/>
                <w:szCs w:val="20"/>
              </w:rPr>
              <w:t>***</w:t>
            </w:r>
          </w:p>
        </w:tc>
        <w:tc>
          <w:tcPr>
            <w:tcW w:w="547" w:type="pct"/>
            <w:hideMark/>
          </w:tcPr>
          <w:p w14:paraId="49469F31" w14:textId="6855EDF8"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5.228***</w:t>
            </w:r>
          </w:p>
        </w:tc>
      </w:tr>
      <w:tr w:rsidR="00D04AFB" w:rsidRPr="00F758EA" w14:paraId="39F25F86" w14:textId="77777777" w:rsidTr="00D04AFB">
        <w:trPr>
          <w:jc w:val="center"/>
        </w:trPr>
        <w:tc>
          <w:tcPr>
            <w:tcW w:w="1139" w:type="pct"/>
            <w:hideMark/>
          </w:tcPr>
          <w:p w14:paraId="3D776AAC" w14:textId="5DF586DA" w:rsidR="005E02DB" w:rsidRPr="00F758EA" w:rsidRDefault="005E02DB" w:rsidP="00D326A2">
            <w:pPr>
              <w:widowControl w:val="0"/>
              <w:autoSpaceDE w:val="0"/>
              <w:autoSpaceDN w:val="0"/>
              <w:adjustRightInd w:val="0"/>
              <w:spacing w:line="240" w:lineRule="auto"/>
              <w:rPr>
                <w:rFonts w:eastAsia="DengXian" w:cs="Times New Roman"/>
                <w:sz w:val="20"/>
                <w:szCs w:val="20"/>
              </w:rPr>
            </w:pPr>
          </w:p>
        </w:tc>
        <w:tc>
          <w:tcPr>
            <w:tcW w:w="532" w:type="pct"/>
            <w:hideMark/>
          </w:tcPr>
          <w:p w14:paraId="294428D8" w14:textId="77777777"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(.09412)</w:t>
            </w:r>
          </w:p>
        </w:tc>
        <w:tc>
          <w:tcPr>
            <w:tcW w:w="521" w:type="pct"/>
            <w:hideMark/>
          </w:tcPr>
          <w:p w14:paraId="36DFB093" w14:textId="77777777"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(.1599)</w:t>
            </w:r>
          </w:p>
        </w:tc>
        <w:tc>
          <w:tcPr>
            <w:tcW w:w="548" w:type="pct"/>
            <w:hideMark/>
          </w:tcPr>
          <w:p w14:paraId="3E85C388" w14:textId="77777777"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(.09075)</w:t>
            </w:r>
          </w:p>
        </w:tc>
        <w:tc>
          <w:tcPr>
            <w:tcW w:w="548" w:type="pct"/>
            <w:hideMark/>
          </w:tcPr>
          <w:p w14:paraId="2CAB00DD" w14:textId="77777777"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(.10038)</w:t>
            </w:r>
          </w:p>
        </w:tc>
        <w:tc>
          <w:tcPr>
            <w:tcW w:w="644" w:type="pct"/>
            <w:hideMark/>
          </w:tcPr>
          <w:p w14:paraId="374CEA90" w14:textId="77777777"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(.0974)</w:t>
            </w:r>
          </w:p>
        </w:tc>
        <w:tc>
          <w:tcPr>
            <w:tcW w:w="521" w:type="pct"/>
            <w:hideMark/>
          </w:tcPr>
          <w:p w14:paraId="1CCF6CB5" w14:textId="77777777"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(.12439)</w:t>
            </w:r>
          </w:p>
        </w:tc>
        <w:tc>
          <w:tcPr>
            <w:tcW w:w="547" w:type="pct"/>
            <w:hideMark/>
          </w:tcPr>
          <w:p w14:paraId="5C8A1FCA" w14:textId="77777777"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(.07777)</w:t>
            </w:r>
          </w:p>
        </w:tc>
      </w:tr>
      <w:tr w:rsidR="00D04AFB" w:rsidRPr="00F758EA" w14:paraId="73B538C2" w14:textId="77777777" w:rsidTr="00D04AFB">
        <w:trPr>
          <w:jc w:val="center"/>
        </w:trPr>
        <w:tc>
          <w:tcPr>
            <w:tcW w:w="1139" w:type="pct"/>
            <w:hideMark/>
          </w:tcPr>
          <w:p w14:paraId="22477B09" w14:textId="2F433D00" w:rsidR="005E02DB" w:rsidRPr="00F758EA" w:rsidRDefault="005E02DB"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Observations</w:t>
            </w:r>
          </w:p>
        </w:tc>
        <w:tc>
          <w:tcPr>
            <w:tcW w:w="532" w:type="pct"/>
            <w:hideMark/>
          </w:tcPr>
          <w:p w14:paraId="2B47DC91" w14:textId="77777777"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44957</w:t>
            </w:r>
          </w:p>
        </w:tc>
        <w:tc>
          <w:tcPr>
            <w:tcW w:w="521" w:type="pct"/>
            <w:hideMark/>
          </w:tcPr>
          <w:p w14:paraId="7EE56769" w14:textId="77777777"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42534</w:t>
            </w:r>
          </w:p>
        </w:tc>
        <w:tc>
          <w:tcPr>
            <w:tcW w:w="548" w:type="pct"/>
            <w:hideMark/>
          </w:tcPr>
          <w:p w14:paraId="41BD24F3" w14:textId="77777777"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41210</w:t>
            </w:r>
          </w:p>
        </w:tc>
        <w:tc>
          <w:tcPr>
            <w:tcW w:w="548" w:type="pct"/>
            <w:hideMark/>
          </w:tcPr>
          <w:p w14:paraId="103F5738" w14:textId="77777777"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44957</w:t>
            </w:r>
          </w:p>
        </w:tc>
        <w:tc>
          <w:tcPr>
            <w:tcW w:w="644" w:type="pct"/>
            <w:hideMark/>
          </w:tcPr>
          <w:p w14:paraId="6901CA1F" w14:textId="77777777"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43640</w:t>
            </w:r>
          </w:p>
        </w:tc>
        <w:tc>
          <w:tcPr>
            <w:tcW w:w="521" w:type="pct"/>
            <w:hideMark/>
          </w:tcPr>
          <w:p w14:paraId="04B3EBBF" w14:textId="77777777"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44957</w:t>
            </w:r>
          </w:p>
        </w:tc>
        <w:tc>
          <w:tcPr>
            <w:tcW w:w="547" w:type="pct"/>
            <w:hideMark/>
          </w:tcPr>
          <w:p w14:paraId="0567A1C2" w14:textId="77777777"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43551</w:t>
            </w:r>
          </w:p>
        </w:tc>
      </w:tr>
      <w:tr w:rsidR="00D04AFB" w:rsidRPr="00F758EA" w14:paraId="42379F02" w14:textId="77777777" w:rsidTr="00D04AFB">
        <w:trPr>
          <w:jc w:val="center"/>
        </w:trPr>
        <w:tc>
          <w:tcPr>
            <w:tcW w:w="1139" w:type="pct"/>
            <w:hideMark/>
          </w:tcPr>
          <w:p w14:paraId="0A4F6DE8" w14:textId="77777777" w:rsidR="008D5BA6" w:rsidRPr="00F758EA" w:rsidRDefault="008D5BA6"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Year FE</w:t>
            </w:r>
          </w:p>
        </w:tc>
        <w:tc>
          <w:tcPr>
            <w:tcW w:w="532" w:type="pct"/>
            <w:hideMark/>
          </w:tcPr>
          <w:p w14:paraId="24380179" w14:textId="50F67A34" w:rsidR="008D5BA6" w:rsidRPr="00F758EA" w:rsidRDefault="008D5BA6" w:rsidP="00CE0D78">
            <w:pPr>
              <w:widowControl w:val="0"/>
              <w:autoSpaceDE w:val="0"/>
              <w:autoSpaceDN w:val="0"/>
              <w:adjustRightInd w:val="0"/>
              <w:spacing w:line="240" w:lineRule="auto"/>
              <w:rPr>
                <w:rFonts w:eastAsia="DengXian" w:cs="Times New Roman"/>
                <w:sz w:val="20"/>
                <w:szCs w:val="20"/>
              </w:rPr>
            </w:pPr>
            <w:r w:rsidRPr="00300C38">
              <w:rPr>
                <w:rFonts w:eastAsia="Calibri" w:cs="Times New Roman"/>
                <w:sz w:val="20"/>
                <w:szCs w:val="20"/>
              </w:rPr>
              <w:t>Yes</w:t>
            </w:r>
          </w:p>
        </w:tc>
        <w:tc>
          <w:tcPr>
            <w:tcW w:w="521" w:type="pct"/>
            <w:hideMark/>
          </w:tcPr>
          <w:p w14:paraId="139D4E89" w14:textId="37FA5EF7" w:rsidR="008D5BA6" w:rsidRPr="00F758EA" w:rsidRDefault="008D5BA6" w:rsidP="00CE0D78">
            <w:pPr>
              <w:widowControl w:val="0"/>
              <w:autoSpaceDE w:val="0"/>
              <w:autoSpaceDN w:val="0"/>
              <w:adjustRightInd w:val="0"/>
              <w:spacing w:line="240" w:lineRule="auto"/>
              <w:rPr>
                <w:rFonts w:eastAsia="DengXian" w:cs="Times New Roman"/>
                <w:sz w:val="20"/>
                <w:szCs w:val="20"/>
              </w:rPr>
            </w:pPr>
            <w:r w:rsidRPr="00300C38">
              <w:rPr>
                <w:rFonts w:eastAsia="Calibri" w:cs="Times New Roman"/>
                <w:sz w:val="20"/>
                <w:szCs w:val="20"/>
              </w:rPr>
              <w:t>Yes</w:t>
            </w:r>
          </w:p>
        </w:tc>
        <w:tc>
          <w:tcPr>
            <w:tcW w:w="548" w:type="pct"/>
            <w:hideMark/>
          </w:tcPr>
          <w:p w14:paraId="14DA8D80" w14:textId="4DEE89E0" w:rsidR="008D5BA6" w:rsidRPr="00F758EA" w:rsidRDefault="008D5BA6" w:rsidP="00CE0D78">
            <w:pPr>
              <w:widowControl w:val="0"/>
              <w:autoSpaceDE w:val="0"/>
              <w:autoSpaceDN w:val="0"/>
              <w:adjustRightInd w:val="0"/>
              <w:spacing w:line="240" w:lineRule="auto"/>
              <w:rPr>
                <w:rFonts w:eastAsia="DengXian" w:cs="Times New Roman"/>
                <w:sz w:val="20"/>
                <w:szCs w:val="20"/>
              </w:rPr>
            </w:pPr>
            <w:r w:rsidRPr="00300C38">
              <w:rPr>
                <w:rFonts w:eastAsia="Calibri" w:cs="Times New Roman"/>
                <w:sz w:val="20"/>
                <w:szCs w:val="20"/>
              </w:rPr>
              <w:t>Yes</w:t>
            </w:r>
          </w:p>
        </w:tc>
        <w:tc>
          <w:tcPr>
            <w:tcW w:w="548" w:type="pct"/>
            <w:hideMark/>
          </w:tcPr>
          <w:p w14:paraId="1F733607" w14:textId="3F006D19" w:rsidR="008D5BA6" w:rsidRPr="00F758EA" w:rsidRDefault="008D5BA6" w:rsidP="00CE0D78">
            <w:pPr>
              <w:widowControl w:val="0"/>
              <w:autoSpaceDE w:val="0"/>
              <w:autoSpaceDN w:val="0"/>
              <w:adjustRightInd w:val="0"/>
              <w:spacing w:line="240" w:lineRule="auto"/>
              <w:rPr>
                <w:rFonts w:eastAsia="DengXian" w:cs="Times New Roman"/>
                <w:sz w:val="20"/>
                <w:szCs w:val="20"/>
              </w:rPr>
            </w:pPr>
            <w:r w:rsidRPr="00300C38">
              <w:rPr>
                <w:rFonts w:eastAsia="Calibri" w:cs="Times New Roman"/>
                <w:sz w:val="20"/>
                <w:szCs w:val="20"/>
              </w:rPr>
              <w:t>Yes</w:t>
            </w:r>
          </w:p>
        </w:tc>
        <w:tc>
          <w:tcPr>
            <w:tcW w:w="644" w:type="pct"/>
            <w:hideMark/>
          </w:tcPr>
          <w:p w14:paraId="21EC6BCF" w14:textId="108FEA7D" w:rsidR="008D5BA6" w:rsidRPr="00F758EA" w:rsidRDefault="008D5BA6" w:rsidP="00CE0D78">
            <w:pPr>
              <w:widowControl w:val="0"/>
              <w:autoSpaceDE w:val="0"/>
              <w:autoSpaceDN w:val="0"/>
              <w:adjustRightInd w:val="0"/>
              <w:spacing w:line="240" w:lineRule="auto"/>
              <w:rPr>
                <w:rFonts w:eastAsia="DengXian" w:cs="Times New Roman"/>
                <w:sz w:val="20"/>
                <w:szCs w:val="20"/>
              </w:rPr>
            </w:pPr>
            <w:r w:rsidRPr="00300C38">
              <w:rPr>
                <w:rFonts w:eastAsia="Calibri" w:cs="Times New Roman"/>
                <w:sz w:val="20"/>
                <w:szCs w:val="20"/>
              </w:rPr>
              <w:t>Yes</w:t>
            </w:r>
          </w:p>
        </w:tc>
        <w:tc>
          <w:tcPr>
            <w:tcW w:w="521" w:type="pct"/>
            <w:hideMark/>
          </w:tcPr>
          <w:p w14:paraId="05F09FB2" w14:textId="03464CF1" w:rsidR="008D5BA6" w:rsidRPr="00F758EA" w:rsidRDefault="008D5BA6" w:rsidP="00CE0D78">
            <w:pPr>
              <w:widowControl w:val="0"/>
              <w:autoSpaceDE w:val="0"/>
              <w:autoSpaceDN w:val="0"/>
              <w:adjustRightInd w:val="0"/>
              <w:spacing w:line="240" w:lineRule="auto"/>
              <w:rPr>
                <w:rFonts w:eastAsia="DengXian" w:cs="Times New Roman"/>
                <w:sz w:val="20"/>
                <w:szCs w:val="20"/>
              </w:rPr>
            </w:pPr>
            <w:r w:rsidRPr="00300C38">
              <w:rPr>
                <w:rFonts w:eastAsia="Calibri" w:cs="Times New Roman"/>
                <w:sz w:val="20"/>
                <w:szCs w:val="20"/>
              </w:rPr>
              <w:t>Yes</w:t>
            </w:r>
          </w:p>
        </w:tc>
        <w:tc>
          <w:tcPr>
            <w:tcW w:w="547" w:type="pct"/>
            <w:hideMark/>
          </w:tcPr>
          <w:p w14:paraId="7B2B2BAE" w14:textId="1A1E10C7" w:rsidR="008D5BA6" w:rsidRPr="00F758EA" w:rsidRDefault="008D5BA6" w:rsidP="00CE0D78">
            <w:pPr>
              <w:widowControl w:val="0"/>
              <w:autoSpaceDE w:val="0"/>
              <w:autoSpaceDN w:val="0"/>
              <w:adjustRightInd w:val="0"/>
              <w:spacing w:line="240" w:lineRule="auto"/>
              <w:rPr>
                <w:rFonts w:eastAsia="DengXian" w:cs="Times New Roman"/>
                <w:sz w:val="20"/>
                <w:szCs w:val="20"/>
              </w:rPr>
            </w:pPr>
            <w:r w:rsidRPr="00300C38">
              <w:rPr>
                <w:rFonts w:eastAsia="Calibri" w:cs="Times New Roman"/>
                <w:sz w:val="20"/>
                <w:szCs w:val="20"/>
              </w:rPr>
              <w:t>Yes</w:t>
            </w:r>
          </w:p>
        </w:tc>
      </w:tr>
      <w:tr w:rsidR="00D04AFB" w:rsidRPr="00F758EA" w14:paraId="5817039C" w14:textId="77777777" w:rsidTr="00D04AFB">
        <w:trPr>
          <w:jc w:val="center"/>
        </w:trPr>
        <w:tc>
          <w:tcPr>
            <w:tcW w:w="1139" w:type="pct"/>
            <w:hideMark/>
          </w:tcPr>
          <w:p w14:paraId="6ADBDFAC" w14:textId="77777777" w:rsidR="008D5BA6" w:rsidRPr="00F758EA" w:rsidRDefault="008D5BA6"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State FE</w:t>
            </w:r>
          </w:p>
        </w:tc>
        <w:tc>
          <w:tcPr>
            <w:tcW w:w="532" w:type="pct"/>
            <w:hideMark/>
          </w:tcPr>
          <w:p w14:paraId="1020C26C" w14:textId="14F96EAE" w:rsidR="008D5BA6" w:rsidRPr="00F758EA" w:rsidRDefault="008D5BA6" w:rsidP="00CE0D78">
            <w:pPr>
              <w:widowControl w:val="0"/>
              <w:autoSpaceDE w:val="0"/>
              <w:autoSpaceDN w:val="0"/>
              <w:adjustRightInd w:val="0"/>
              <w:spacing w:line="240" w:lineRule="auto"/>
              <w:rPr>
                <w:rFonts w:eastAsia="DengXian" w:cs="Times New Roman"/>
                <w:sz w:val="20"/>
                <w:szCs w:val="20"/>
              </w:rPr>
            </w:pPr>
            <w:r w:rsidRPr="00300C38">
              <w:rPr>
                <w:rFonts w:eastAsia="Calibri" w:cs="Times New Roman"/>
                <w:sz w:val="20"/>
                <w:szCs w:val="20"/>
              </w:rPr>
              <w:t>Yes</w:t>
            </w:r>
          </w:p>
        </w:tc>
        <w:tc>
          <w:tcPr>
            <w:tcW w:w="521" w:type="pct"/>
            <w:hideMark/>
          </w:tcPr>
          <w:p w14:paraId="53CF634E" w14:textId="4F587199" w:rsidR="008D5BA6" w:rsidRPr="00F758EA" w:rsidRDefault="008D5BA6" w:rsidP="00CE0D78">
            <w:pPr>
              <w:widowControl w:val="0"/>
              <w:autoSpaceDE w:val="0"/>
              <w:autoSpaceDN w:val="0"/>
              <w:adjustRightInd w:val="0"/>
              <w:spacing w:line="240" w:lineRule="auto"/>
              <w:rPr>
                <w:rFonts w:eastAsia="DengXian" w:cs="Times New Roman"/>
                <w:sz w:val="20"/>
                <w:szCs w:val="20"/>
              </w:rPr>
            </w:pPr>
            <w:r w:rsidRPr="00300C38">
              <w:rPr>
                <w:rFonts w:eastAsia="Calibri" w:cs="Times New Roman"/>
                <w:sz w:val="20"/>
                <w:szCs w:val="20"/>
              </w:rPr>
              <w:t>Yes</w:t>
            </w:r>
          </w:p>
        </w:tc>
        <w:tc>
          <w:tcPr>
            <w:tcW w:w="548" w:type="pct"/>
            <w:hideMark/>
          </w:tcPr>
          <w:p w14:paraId="56217868" w14:textId="62705212" w:rsidR="008D5BA6" w:rsidRPr="00F758EA" w:rsidRDefault="008D5BA6" w:rsidP="00CE0D78">
            <w:pPr>
              <w:widowControl w:val="0"/>
              <w:autoSpaceDE w:val="0"/>
              <w:autoSpaceDN w:val="0"/>
              <w:adjustRightInd w:val="0"/>
              <w:spacing w:line="240" w:lineRule="auto"/>
              <w:rPr>
                <w:rFonts w:eastAsia="DengXian" w:cs="Times New Roman"/>
                <w:sz w:val="20"/>
                <w:szCs w:val="20"/>
              </w:rPr>
            </w:pPr>
            <w:r w:rsidRPr="00300C38">
              <w:rPr>
                <w:rFonts w:eastAsia="Calibri" w:cs="Times New Roman"/>
                <w:sz w:val="20"/>
                <w:szCs w:val="20"/>
              </w:rPr>
              <w:t>Yes</w:t>
            </w:r>
          </w:p>
        </w:tc>
        <w:tc>
          <w:tcPr>
            <w:tcW w:w="548" w:type="pct"/>
            <w:hideMark/>
          </w:tcPr>
          <w:p w14:paraId="5D151C26" w14:textId="035F07D9" w:rsidR="008D5BA6" w:rsidRPr="00F758EA" w:rsidRDefault="008D5BA6" w:rsidP="00CE0D78">
            <w:pPr>
              <w:widowControl w:val="0"/>
              <w:autoSpaceDE w:val="0"/>
              <w:autoSpaceDN w:val="0"/>
              <w:adjustRightInd w:val="0"/>
              <w:spacing w:line="240" w:lineRule="auto"/>
              <w:rPr>
                <w:rFonts w:eastAsia="DengXian" w:cs="Times New Roman"/>
                <w:sz w:val="20"/>
                <w:szCs w:val="20"/>
              </w:rPr>
            </w:pPr>
            <w:r w:rsidRPr="00300C38">
              <w:rPr>
                <w:rFonts w:eastAsia="Calibri" w:cs="Times New Roman"/>
                <w:sz w:val="20"/>
                <w:szCs w:val="20"/>
              </w:rPr>
              <w:t>Yes</w:t>
            </w:r>
          </w:p>
        </w:tc>
        <w:tc>
          <w:tcPr>
            <w:tcW w:w="644" w:type="pct"/>
            <w:hideMark/>
          </w:tcPr>
          <w:p w14:paraId="0DE5CD00" w14:textId="75C8907B" w:rsidR="008D5BA6" w:rsidRPr="00F758EA" w:rsidRDefault="008D5BA6" w:rsidP="00CE0D78">
            <w:pPr>
              <w:widowControl w:val="0"/>
              <w:autoSpaceDE w:val="0"/>
              <w:autoSpaceDN w:val="0"/>
              <w:adjustRightInd w:val="0"/>
              <w:spacing w:line="240" w:lineRule="auto"/>
              <w:rPr>
                <w:rFonts w:eastAsia="DengXian" w:cs="Times New Roman"/>
                <w:sz w:val="20"/>
                <w:szCs w:val="20"/>
              </w:rPr>
            </w:pPr>
            <w:r w:rsidRPr="00300C38">
              <w:rPr>
                <w:rFonts w:eastAsia="Calibri" w:cs="Times New Roman"/>
                <w:sz w:val="20"/>
                <w:szCs w:val="20"/>
              </w:rPr>
              <w:t>Yes</w:t>
            </w:r>
          </w:p>
        </w:tc>
        <w:tc>
          <w:tcPr>
            <w:tcW w:w="521" w:type="pct"/>
            <w:hideMark/>
          </w:tcPr>
          <w:p w14:paraId="43F641C1" w14:textId="67B5D05C" w:rsidR="008D5BA6" w:rsidRPr="00F758EA" w:rsidRDefault="008D5BA6" w:rsidP="00CE0D78">
            <w:pPr>
              <w:widowControl w:val="0"/>
              <w:autoSpaceDE w:val="0"/>
              <w:autoSpaceDN w:val="0"/>
              <w:adjustRightInd w:val="0"/>
              <w:spacing w:line="240" w:lineRule="auto"/>
              <w:rPr>
                <w:rFonts w:eastAsia="DengXian" w:cs="Times New Roman"/>
                <w:sz w:val="20"/>
                <w:szCs w:val="20"/>
              </w:rPr>
            </w:pPr>
            <w:r w:rsidRPr="00300C38">
              <w:rPr>
                <w:rFonts w:eastAsia="Calibri" w:cs="Times New Roman"/>
                <w:sz w:val="20"/>
                <w:szCs w:val="20"/>
              </w:rPr>
              <w:t>Yes</w:t>
            </w:r>
          </w:p>
        </w:tc>
        <w:tc>
          <w:tcPr>
            <w:tcW w:w="547" w:type="pct"/>
            <w:hideMark/>
          </w:tcPr>
          <w:p w14:paraId="59457143" w14:textId="7029512E" w:rsidR="008D5BA6" w:rsidRPr="00F758EA" w:rsidRDefault="008D5BA6" w:rsidP="00CE0D78">
            <w:pPr>
              <w:widowControl w:val="0"/>
              <w:autoSpaceDE w:val="0"/>
              <w:autoSpaceDN w:val="0"/>
              <w:adjustRightInd w:val="0"/>
              <w:spacing w:line="240" w:lineRule="auto"/>
              <w:rPr>
                <w:rFonts w:eastAsia="DengXian" w:cs="Times New Roman"/>
                <w:sz w:val="20"/>
                <w:szCs w:val="20"/>
              </w:rPr>
            </w:pPr>
            <w:r w:rsidRPr="00300C38">
              <w:rPr>
                <w:rFonts w:eastAsia="Calibri" w:cs="Times New Roman"/>
                <w:sz w:val="20"/>
                <w:szCs w:val="20"/>
              </w:rPr>
              <w:t>Yes</w:t>
            </w:r>
          </w:p>
        </w:tc>
      </w:tr>
      <w:tr w:rsidR="00D04AFB" w:rsidRPr="00F758EA" w14:paraId="317C4EFB" w14:textId="77777777" w:rsidTr="00273B5A">
        <w:trPr>
          <w:jc w:val="center"/>
        </w:trPr>
        <w:tc>
          <w:tcPr>
            <w:tcW w:w="1139" w:type="pct"/>
            <w:hideMark/>
          </w:tcPr>
          <w:p w14:paraId="05F26393" w14:textId="77777777" w:rsidR="008D5BA6" w:rsidRPr="00F758EA" w:rsidRDefault="008D5BA6"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County FE</w:t>
            </w:r>
          </w:p>
        </w:tc>
        <w:tc>
          <w:tcPr>
            <w:tcW w:w="532" w:type="pct"/>
            <w:hideMark/>
          </w:tcPr>
          <w:p w14:paraId="3EE2A118" w14:textId="6D717248" w:rsidR="008D5BA6" w:rsidRPr="00F758EA" w:rsidRDefault="008D5BA6" w:rsidP="00CE0D78">
            <w:pPr>
              <w:widowControl w:val="0"/>
              <w:autoSpaceDE w:val="0"/>
              <w:autoSpaceDN w:val="0"/>
              <w:adjustRightInd w:val="0"/>
              <w:spacing w:line="240" w:lineRule="auto"/>
              <w:rPr>
                <w:rFonts w:eastAsia="DengXian" w:cs="Times New Roman"/>
                <w:sz w:val="20"/>
                <w:szCs w:val="20"/>
              </w:rPr>
            </w:pPr>
            <w:r w:rsidRPr="00300C38">
              <w:rPr>
                <w:rFonts w:eastAsia="Calibri" w:cs="Times New Roman"/>
                <w:sz w:val="20"/>
                <w:szCs w:val="20"/>
              </w:rPr>
              <w:t>Yes</w:t>
            </w:r>
          </w:p>
        </w:tc>
        <w:tc>
          <w:tcPr>
            <w:tcW w:w="521" w:type="pct"/>
            <w:hideMark/>
          </w:tcPr>
          <w:p w14:paraId="174AF362" w14:textId="30A04116" w:rsidR="008D5BA6" w:rsidRPr="00F758EA" w:rsidRDefault="008D5BA6" w:rsidP="00CE0D78">
            <w:pPr>
              <w:widowControl w:val="0"/>
              <w:autoSpaceDE w:val="0"/>
              <w:autoSpaceDN w:val="0"/>
              <w:adjustRightInd w:val="0"/>
              <w:spacing w:line="240" w:lineRule="auto"/>
              <w:rPr>
                <w:rFonts w:eastAsia="DengXian" w:cs="Times New Roman"/>
                <w:sz w:val="20"/>
                <w:szCs w:val="20"/>
              </w:rPr>
            </w:pPr>
            <w:r w:rsidRPr="00300C38">
              <w:rPr>
                <w:rFonts w:eastAsia="Calibri" w:cs="Times New Roman"/>
                <w:sz w:val="20"/>
                <w:szCs w:val="20"/>
              </w:rPr>
              <w:t>Yes</w:t>
            </w:r>
          </w:p>
        </w:tc>
        <w:tc>
          <w:tcPr>
            <w:tcW w:w="548" w:type="pct"/>
            <w:hideMark/>
          </w:tcPr>
          <w:p w14:paraId="3167AC07" w14:textId="275709F7" w:rsidR="008D5BA6" w:rsidRPr="00F758EA" w:rsidRDefault="008D5BA6" w:rsidP="00CE0D78">
            <w:pPr>
              <w:widowControl w:val="0"/>
              <w:autoSpaceDE w:val="0"/>
              <w:autoSpaceDN w:val="0"/>
              <w:adjustRightInd w:val="0"/>
              <w:spacing w:line="240" w:lineRule="auto"/>
              <w:rPr>
                <w:rFonts w:eastAsia="DengXian" w:cs="Times New Roman"/>
                <w:sz w:val="20"/>
                <w:szCs w:val="20"/>
              </w:rPr>
            </w:pPr>
            <w:r w:rsidRPr="00300C38">
              <w:rPr>
                <w:rFonts w:eastAsia="Calibri" w:cs="Times New Roman"/>
                <w:sz w:val="20"/>
                <w:szCs w:val="20"/>
              </w:rPr>
              <w:t>Yes</w:t>
            </w:r>
          </w:p>
        </w:tc>
        <w:tc>
          <w:tcPr>
            <w:tcW w:w="548" w:type="pct"/>
            <w:hideMark/>
          </w:tcPr>
          <w:p w14:paraId="713F4F93" w14:textId="37166573" w:rsidR="008D5BA6" w:rsidRPr="00F758EA" w:rsidRDefault="008D5BA6" w:rsidP="00CE0D78">
            <w:pPr>
              <w:widowControl w:val="0"/>
              <w:autoSpaceDE w:val="0"/>
              <w:autoSpaceDN w:val="0"/>
              <w:adjustRightInd w:val="0"/>
              <w:spacing w:line="240" w:lineRule="auto"/>
              <w:rPr>
                <w:rFonts w:eastAsia="DengXian" w:cs="Times New Roman"/>
                <w:sz w:val="20"/>
                <w:szCs w:val="20"/>
              </w:rPr>
            </w:pPr>
            <w:r w:rsidRPr="00300C38">
              <w:rPr>
                <w:rFonts w:eastAsia="Calibri" w:cs="Times New Roman"/>
                <w:sz w:val="20"/>
                <w:szCs w:val="20"/>
              </w:rPr>
              <w:t>Yes</w:t>
            </w:r>
          </w:p>
        </w:tc>
        <w:tc>
          <w:tcPr>
            <w:tcW w:w="644" w:type="pct"/>
            <w:hideMark/>
          </w:tcPr>
          <w:p w14:paraId="24DC9BBC" w14:textId="1A5577A2" w:rsidR="008D5BA6" w:rsidRPr="00F758EA" w:rsidRDefault="008D5BA6" w:rsidP="00CE0D78">
            <w:pPr>
              <w:widowControl w:val="0"/>
              <w:autoSpaceDE w:val="0"/>
              <w:autoSpaceDN w:val="0"/>
              <w:adjustRightInd w:val="0"/>
              <w:spacing w:line="240" w:lineRule="auto"/>
              <w:rPr>
                <w:rFonts w:eastAsia="DengXian" w:cs="Times New Roman"/>
                <w:sz w:val="20"/>
                <w:szCs w:val="20"/>
              </w:rPr>
            </w:pPr>
            <w:r w:rsidRPr="00300C38">
              <w:rPr>
                <w:rFonts w:eastAsia="Calibri" w:cs="Times New Roman"/>
                <w:sz w:val="20"/>
                <w:szCs w:val="20"/>
              </w:rPr>
              <w:t>Yes</w:t>
            </w:r>
          </w:p>
        </w:tc>
        <w:tc>
          <w:tcPr>
            <w:tcW w:w="521" w:type="pct"/>
            <w:hideMark/>
          </w:tcPr>
          <w:p w14:paraId="3E4F5357" w14:textId="456AE7C8" w:rsidR="008D5BA6" w:rsidRPr="00F758EA" w:rsidRDefault="008D5BA6" w:rsidP="00CE0D78">
            <w:pPr>
              <w:widowControl w:val="0"/>
              <w:autoSpaceDE w:val="0"/>
              <w:autoSpaceDN w:val="0"/>
              <w:adjustRightInd w:val="0"/>
              <w:spacing w:line="240" w:lineRule="auto"/>
              <w:rPr>
                <w:rFonts w:eastAsia="DengXian" w:cs="Times New Roman"/>
                <w:sz w:val="20"/>
                <w:szCs w:val="20"/>
              </w:rPr>
            </w:pPr>
            <w:r w:rsidRPr="00300C38">
              <w:rPr>
                <w:rFonts w:eastAsia="Calibri" w:cs="Times New Roman"/>
                <w:sz w:val="20"/>
                <w:szCs w:val="20"/>
              </w:rPr>
              <w:t>Yes</w:t>
            </w:r>
          </w:p>
        </w:tc>
        <w:tc>
          <w:tcPr>
            <w:tcW w:w="547" w:type="pct"/>
            <w:hideMark/>
          </w:tcPr>
          <w:p w14:paraId="043CF47F" w14:textId="62E46DC2" w:rsidR="008D5BA6" w:rsidRPr="00F758EA" w:rsidRDefault="008D5BA6" w:rsidP="00CE0D78">
            <w:pPr>
              <w:widowControl w:val="0"/>
              <w:autoSpaceDE w:val="0"/>
              <w:autoSpaceDN w:val="0"/>
              <w:adjustRightInd w:val="0"/>
              <w:spacing w:line="240" w:lineRule="auto"/>
              <w:rPr>
                <w:rFonts w:eastAsia="DengXian" w:cs="Times New Roman"/>
                <w:sz w:val="20"/>
                <w:szCs w:val="20"/>
              </w:rPr>
            </w:pPr>
            <w:r w:rsidRPr="00300C38">
              <w:rPr>
                <w:rFonts w:eastAsia="Calibri" w:cs="Times New Roman"/>
                <w:sz w:val="20"/>
                <w:szCs w:val="20"/>
              </w:rPr>
              <w:t>Yes</w:t>
            </w:r>
          </w:p>
        </w:tc>
      </w:tr>
      <w:tr w:rsidR="00D04AFB" w:rsidRPr="00F758EA" w14:paraId="5E81EACB" w14:textId="77777777" w:rsidTr="00273B5A">
        <w:trPr>
          <w:jc w:val="center"/>
        </w:trPr>
        <w:tc>
          <w:tcPr>
            <w:tcW w:w="1139" w:type="pct"/>
            <w:tcBorders>
              <w:bottom w:val="single" w:sz="4" w:space="0" w:color="auto"/>
            </w:tcBorders>
            <w:hideMark/>
          </w:tcPr>
          <w:p w14:paraId="08EEB86C" w14:textId="418800BE" w:rsidR="005E02DB" w:rsidRPr="00F758EA" w:rsidRDefault="005E02DB"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Pseudo R</w:t>
            </w:r>
            <w:r w:rsidRPr="00F758EA">
              <w:rPr>
                <w:rFonts w:eastAsia="DengXian" w:cs="Times New Roman"/>
                <w:sz w:val="20"/>
                <w:szCs w:val="20"/>
                <w:vertAlign w:val="superscript"/>
              </w:rPr>
              <w:t>2</w:t>
            </w:r>
          </w:p>
        </w:tc>
        <w:tc>
          <w:tcPr>
            <w:tcW w:w="532" w:type="pct"/>
            <w:tcBorders>
              <w:bottom w:val="single" w:sz="4" w:space="0" w:color="auto"/>
            </w:tcBorders>
            <w:hideMark/>
          </w:tcPr>
          <w:p w14:paraId="4925B46A" w14:textId="5677B9A9"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.761</w:t>
            </w:r>
          </w:p>
        </w:tc>
        <w:tc>
          <w:tcPr>
            <w:tcW w:w="521" w:type="pct"/>
            <w:tcBorders>
              <w:bottom w:val="single" w:sz="4" w:space="0" w:color="auto"/>
            </w:tcBorders>
            <w:hideMark/>
          </w:tcPr>
          <w:p w14:paraId="468734A7" w14:textId="6FFB37B1"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.868</w:t>
            </w:r>
          </w:p>
        </w:tc>
        <w:tc>
          <w:tcPr>
            <w:tcW w:w="548" w:type="pct"/>
            <w:tcBorders>
              <w:bottom w:val="single" w:sz="4" w:space="0" w:color="auto"/>
            </w:tcBorders>
            <w:hideMark/>
          </w:tcPr>
          <w:p w14:paraId="4BFBC4F5" w14:textId="2B0AA0BC"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.66</w:t>
            </w:r>
            <w:r w:rsidR="002356EF" w:rsidRPr="00F758EA">
              <w:rPr>
                <w:rFonts w:eastAsia="DengXian" w:cs="Times New Roman"/>
                <w:sz w:val="20"/>
                <w:szCs w:val="20"/>
              </w:rPr>
              <w:t>9</w:t>
            </w:r>
          </w:p>
        </w:tc>
        <w:tc>
          <w:tcPr>
            <w:tcW w:w="548" w:type="pct"/>
            <w:tcBorders>
              <w:bottom w:val="single" w:sz="4" w:space="0" w:color="auto"/>
            </w:tcBorders>
            <w:hideMark/>
          </w:tcPr>
          <w:p w14:paraId="14BFC020" w14:textId="5B8ACFD5"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.96</w:t>
            </w:r>
            <w:r w:rsidR="002356EF" w:rsidRPr="00F758EA">
              <w:rPr>
                <w:rFonts w:eastAsia="DengXian" w:cs="Times New Roman"/>
                <w:sz w:val="20"/>
                <w:szCs w:val="20"/>
              </w:rPr>
              <w:t>6</w:t>
            </w:r>
          </w:p>
        </w:tc>
        <w:tc>
          <w:tcPr>
            <w:tcW w:w="644" w:type="pct"/>
            <w:tcBorders>
              <w:bottom w:val="single" w:sz="4" w:space="0" w:color="auto"/>
            </w:tcBorders>
            <w:hideMark/>
          </w:tcPr>
          <w:p w14:paraId="1B3A4C4A" w14:textId="6B522EEB"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.982</w:t>
            </w:r>
          </w:p>
        </w:tc>
        <w:tc>
          <w:tcPr>
            <w:tcW w:w="521" w:type="pct"/>
            <w:tcBorders>
              <w:bottom w:val="single" w:sz="4" w:space="0" w:color="auto"/>
            </w:tcBorders>
            <w:hideMark/>
          </w:tcPr>
          <w:p w14:paraId="268D835C" w14:textId="63D18338"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.971</w:t>
            </w:r>
          </w:p>
        </w:tc>
        <w:tc>
          <w:tcPr>
            <w:tcW w:w="547" w:type="pct"/>
            <w:tcBorders>
              <w:bottom w:val="single" w:sz="4" w:space="0" w:color="auto"/>
            </w:tcBorders>
            <w:hideMark/>
          </w:tcPr>
          <w:p w14:paraId="1DF5170C" w14:textId="630911AF"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.96</w:t>
            </w:r>
            <w:r w:rsidR="002356EF" w:rsidRPr="00F758EA">
              <w:rPr>
                <w:rFonts w:eastAsia="DengXian" w:cs="Times New Roman"/>
                <w:sz w:val="20"/>
                <w:szCs w:val="20"/>
              </w:rPr>
              <w:t>5</w:t>
            </w:r>
          </w:p>
        </w:tc>
      </w:tr>
      <w:tr w:rsidR="005E02DB" w:rsidRPr="00F758EA" w14:paraId="09C1280C" w14:textId="77777777" w:rsidTr="00273B5A">
        <w:trPr>
          <w:trHeight w:val="404"/>
          <w:jc w:val="center"/>
        </w:trPr>
        <w:tc>
          <w:tcPr>
            <w:tcW w:w="5000" w:type="pct"/>
            <w:gridSpan w:val="8"/>
            <w:tcBorders>
              <w:top w:val="single" w:sz="4" w:space="0" w:color="auto"/>
            </w:tcBorders>
            <w:hideMark/>
          </w:tcPr>
          <w:p w14:paraId="08D26033" w14:textId="18BEA452" w:rsidR="005E02DB" w:rsidRPr="00BA64C1" w:rsidRDefault="00273B5A" w:rsidP="00CE0D78">
            <w:pPr>
              <w:widowControl w:val="0"/>
              <w:autoSpaceDE w:val="0"/>
              <w:autoSpaceDN w:val="0"/>
              <w:adjustRightInd w:val="0"/>
              <w:spacing w:line="240" w:lineRule="auto"/>
              <w:rPr>
                <w:rFonts w:eastAsia="DengXian" w:cs="Times New Roman"/>
                <w:sz w:val="20"/>
                <w:szCs w:val="20"/>
              </w:rPr>
            </w:pPr>
            <w:r>
              <w:rPr>
                <w:rFonts w:eastAsia="DengXian" w:cs="Times New Roman"/>
                <w:sz w:val="20"/>
                <w:szCs w:val="20"/>
                <w:lang w:eastAsia="zh-CN"/>
              </w:rPr>
              <w:t xml:space="preserve">Table A58: </w:t>
            </w:r>
            <w:r w:rsidR="005E02DB" w:rsidRPr="00F758EA">
              <w:rPr>
                <w:rFonts w:eastAsia="DengXian" w:cs="Times New Roman"/>
                <w:sz w:val="20"/>
                <w:szCs w:val="20"/>
                <w:lang w:val="zh-CN" w:eastAsia="zh-CN"/>
              </w:rPr>
              <w:t>Results of PPMLHDFE regressions on Establishment Count using the Binary Range Indicator for NAICS sectors (11–71), with State, County, and Year Fixed Effects. The table evaluates the spatial and temporal impacts of the Louisiana Black Bear's delisting, alongside controls for socioeconomic and environmental factors.</w:t>
            </w:r>
            <w:r w:rsidR="00BA64C1">
              <w:rPr>
                <w:rFonts w:eastAsia="DengXian" w:cs="Times New Roman"/>
                <w:sz w:val="20"/>
                <w:szCs w:val="20"/>
                <w:lang w:eastAsia="zh-CN"/>
              </w:rPr>
              <w:t xml:space="preserve"> </w:t>
            </w:r>
            <w:r w:rsidR="00BA64C1" w:rsidRPr="00C624DB">
              <w:rPr>
                <w:sz w:val="20"/>
                <w:szCs w:val="20"/>
                <w:lang/>
              </w:rPr>
              <w:t xml:space="preserve">Standard errors are </w:t>
            </w:r>
            <w:r w:rsidR="00BA64C1">
              <w:rPr>
                <w:sz w:val="20"/>
                <w:szCs w:val="20"/>
                <w:lang/>
              </w:rPr>
              <w:t xml:space="preserve">in parentheses and are </w:t>
            </w:r>
            <w:r w:rsidR="00BA64C1" w:rsidRPr="00C624DB">
              <w:rPr>
                <w:sz w:val="20"/>
                <w:szCs w:val="20"/>
                <w:lang/>
              </w:rPr>
              <w:t xml:space="preserve">clustered at the county level. </w:t>
            </w:r>
            <w:r w:rsidR="00BA64C1" w:rsidRPr="002C0F11">
              <w:rPr>
                <w:sz w:val="20"/>
                <w:szCs w:val="20"/>
                <w:lang/>
              </w:rPr>
              <w:t>Statistically significant impacts are denoted by asterisks. These asterisks denote statistical significance at the following levels: ***p &lt; 0.01, **p &lt; 0.05, *p &lt; 0.1.</w:t>
            </w:r>
          </w:p>
        </w:tc>
      </w:tr>
    </w:tbl>
    <w:p w14:paraId="591407A6" w14:textId="55B05055" w:rsidR="005E02DB" w:rsidRPr="003B5A8E" w:rsidRDefault="005E02DB" w:rsidP="003B5A8E">
      <w:pPr>
        <w:widowControl w:val="0"/>
        <w:autoSpaceDE w:val="0"/>
        <w:autoSpaceDN w:val="0"/>
        <w:adjustRightInd w:val="0"/>
        <w:spacing w:line="240" w:lineRule="auto"/>
        <w:rPr>
          <w:rFonts w:ascii="Garamond" w:eastAsia="DengXian" w:hAnsi="Garamond" w:cs="Times New Roman"/>
          <w:b/>
          <w:bCs/>
          <w:sz w:val="20"/>
          <w:szCs w:val="20"/>
        </w:rPr>
      </w:pPr>
      <w:bookmarkStart w:id="779" w:name="_Toc188056074"/>
      <w:bookmarkStart w:id="780" w:name="_Toc188057158"/>
      <w:bookmarkStart w:id="781" w:name="_Toc188359664"/>
      <w:bookmarkStart w:id="782" w:name="_Toc188359952"/>
      <w:bookmarkStart w:id="783" w:name="_Toc188361188"/>
      <w:bookmarkStart w:id="784" w:name="_Toc188367031"/>
      <w:r w:rsidRPr="003B5A8E">
        <w:rPr>
          <w:b/>
          <w:bCs/>
        </w:rPr>
        <w:lastRenderedPageBreak/>
        <w:t>Table A</w:t>
      </w:r>
      <w:r w:rsidR="002050B6" w:rsidRPr="003B5A8E">
        <w:rPr>
          <w:b/>
          <w:bCs/>
        </w:rPr>
        <w:t>59</w:t>
      </w:r>
      <w:r w:rsidRPr="003B5A8E">
        <w:rPr>
          <w:b/>
          <w:bCs/>
        </w:rPr>
        <w:t xml:space="preserve">: </w:t>
      </w:r>
      <w:r w:rsidR="002E1ED3" w:rsidRPr="003B5A8E">
        <w:rPr>
          <w:b/>
          <w:bCs/>
        </w:rPr>
        <w:t xml:space="preserve">Regression Results </w:t>
      </w:r>
      <w:r w:rsidRPr="003B5A8E">
        <w:rPr>
          <w:b/>
          <w:bCs/>
        </w:rPr>
        <w:t>on Jobs Count – Binary Range Indicator</w:t>
      </w:r>
      <w:bookmarkEnd w:id="779"/>
      <w:bookmarkEnd w:id="780"/>
      <w:bookmarkEnd w:id="781"/>
      <w:bookmarkEnd w:id="782"/>
      <w:bookmarkEnd w:id="783"/>
      <w:bookmarkEnd w:id="784"/>
    </w:p>
    <w:tbl>
      <w:tblPr>
        <w:tblW w:w="5000" w:type="pct"/>
        <w:jc w:val="center"/>
        <w:tblLook w:val="04A0" w:firstRow="1" w:lastRow="0" w:firstColumn="1" w:lastColumn="0" w:noHBand="0" w:noVBand="1"/>
      </w:tblPr>
      <w:tblGrid>
        <w:gridCol w:w="1994"/>
        <w:gridCol w:w="1009"/>
        <w:gridCol w:w="1088"/>
        <w:gridCol w:w="1009"/>
        <w:gridCol w:w="1009"/>
        <w:gridCol w:w="1239"/>
        <w:gridCol w:w="1009"/>
        <w:gridCol w:w="1003"/>
      </w:tblGrid>
      <w:tr w:rsidR="00D04AFB" w:rsidRPr="005E02DB" w14:paraId="66AD2F11" w14:textId="77777777" w:rsidTr="00D04AFB">
        <w:trPr>
          <w:jc w:val="center"/>
        </w:trPr>
        <w:tc>
          <w:tcPr>
            <w:tcW w:w="1065" w:type="pct"/>
            <w:tcBorders>
              <w:top w:val="single" w:sz="4" w:space="0" w:color="auto"/>
              <w:left w:val="nil"/>
              <w:bottom w:val="single" w:sz="12" w:space="0" w:color="auto"/>
              <w:right w:val="nil"/>
            </w:tcBorders>
            <w:hideMark/>
          </w:tcPr>
          <w:p w14:paraId="34946619" w14:textId="4E68C3C0" w:rsidR="00E75CAE" w:rsidRPr="00F758EA" w:rsidRDefault="00E75CAE"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b/>
                <w:bCs/>
                <w:sz w:val="20"/>
                <w:szCs w:val="20"/>
              </w:rPr>
              <w:t>Variable</w:t>
            </w:r>
          </w:p>
        </w:tc>
        <w:tc>
          <w:tcPr>
            <w:tcW w:w="539" w:type="pct"/>
            <w:tcBorders>
              <w:top w:val="single" w:sz="4" w:space="0" w:color="auto"/>
              <w:left w:val="nil"/>
              <w:bottom w:val="single" w:sz="12" w:space="0" w:color="auto"/>
              <w:right w:val="nil"/>
            </w:tcBorders>
            <w:hideMark/>
          </w:tcPr>
          <w:p w14:paraId="3C1D9CE2" w14:textId="242A723F" w:rsidR="00E75CAE" w:rsidRPr="00F758EA" w:rsidRDefault="00E75CAE"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b/>
                <w:bCs/>
                <w:sz w:val="20"/>
                <w:szCs w:val="20"/>
              </w:rPr>
              <w:t>NAICS 11</w:t>
            </w:r>
          </w:p>
        </w:tc>
        <w:tc>
          <w:tcPr>
            <w:tcW w:w="581" w:type="pct"/>
            <w:tcBorders>
              <w:top w:val="single" w:sz="4" w:space="0" w:color="auto"/>
              <w:left w:val="nil"/>
              <w:bottom w:val="single" w:sz="12" w:space="0" w:color="auto"/>
              <w:right w:val="nil"/>
            </w:tcBorders>
            <w:hideMark/>
          </w:tcPr>
          <w:p w14:paraId="57184EBC" w14:textId="0B6D9808" w:rsidR="00E75CAE" w:rsidRPr="00F758EA" w:rsidRDefault="00E75CAE"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b/>
                <w:bCs/>
                <w:sz w:val="20"/>
                <w:szCs w:val="20"/>
              </w:rPr>
              <w:t>NAICS 21</w:t>
            </w:r>
          </w:p>
        </w:tc>
        <w:tc>
          <w:tcPr>
            <w:tcW w:w="539" w:type="pct"/>
            <w:tcBorders>
              <w:top w:val="single" w:sz="4" w:space="0" w:color="auto"/>
              <w:left w:val="nil"/>
              <w:bottom w:val="single" w:sz="12" w:space="0" w:color="auto"/>
              <w:right w:val="nil"/>
            </w:tcBorders>
            <w:hideMark/>
          </w:tcPr>
          <w:p w14:paraId="5A916AD2" w14:textId="066E26C7" w:rsidR="00E75CAE" w:rsidRPr="00F758EA" w:rsidRDefault="00E75CAE"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b/>
                <w:bCs/>
                <w:sz w:val="20"/>
                <w:szCs w:val="20"/>
              </w:rPr>
              <w:t>NAICS 22</w:t>
            </w:r>
          </w:p>
        </w:tc>
        <w:tc>
          <w:tcPr>
            <w:tcW w:w="539" w:type="pct"/>
            <w:tcBorders>
              <w:top w:val="single" w:sz="4" w:space="0" w:color="auto"/>
              <w:left w:val="nil"/>
              <w:bottom w:val="single" w:sz="12" w:space="0" w:color="auto"/>
              <w:right w:val="nil"/>
            </w:tcBorders>
            <w:hideMark/>
          </w:tcPr>
          <w:p w14:paraId="17BBE30B" w14:textId="4AD258CA" w:rsidR="00E75CAE" w:rsidRPr="00F758EA" w:rsidRDefault="00E75CAE"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b/>
                <w:bCs/>
                <w:sz w:val="20"/>
                <w:szCs w:val="20"/>
              </w:rPr>
              <w:t>NAICS 23</w:t>
            </w:r>
          </w:p>
        </w:tc>
        <w:tc>
          <w:tcPr>
            <w:tcW w:w="662" w:type="pct"/>
            <w:tcBorders>
              <w:top w:val="single" w:sz="4" w:space="0" w:color="auto"/>
              <w:left w:val="nil"/>
              <w:bottom w:val="single" w:sz="12" w:space="0" w:color="auto"/>
              <w:right w:val="nil"/>
            </w:tcBorders>
            <w:hideMark/>
          </w:tcPr>
          <w:p w14:paraId="1E01CDED" w14:textId="02A51594" w:rsidR="00E75CAE" w:rsidRPr="00F758EA" w:rsidRDefault="00E75CAE"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b/>
                <w:bCs/>
                <w:sz w:val="20"/>
                <w:szCs w:val="20"/>
              </w:rPr>
              <w:t>NAICS 31-33</w:t>
            </w:r>
          </w:p>
        </w:tc>
        <w:tc>
          <w:tcPr>
            <w:tcW w:w="539" w:type="pct"/>
            <w:tcBorders>
              <w:top w:val="single" w:sz="4" w:space="0" w:color="auto"/>
              <w:left w:val="nil"/>
              <w:bottom w:val="single" w:sz="12" w:space="0" w:color="auto"/>
              <w:right w:val="nil"/>
            </w:tcBorders>
            <w:hideMark/>
          </w:tcPr>
          <w:p w14:paraId="4645C807" w14:textId="12397A3A" w:rsidR="00E75CAE" w:rsidRPr="00F758EA" w:rsidRDefault="00E75CAE"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b/>
                <w:bCs/>
                <w:sz w:val="20"/>
                <w:szCs w:val="20"/>
              </w:rPr>
              <w:t>NAICS 53</w:t>
            </w:r>
          </w:p>
        </w:tc>
        <w:tc>
          <w:tcPr>
            <w:tcW w:w="536" w:type="pct"/>
            <w:tcBorders>
              <w:top w:val="single" w:sz="4" w:space="0" w:color="auto"/>
              <w:left w:val="nil"/>
              <w:bottom w:val="single" w:sz="12" w:space="0" w:color="auto"/>
              <w:right w:val="nil"/>
            </w:tcBorders>
            <w:hideMark/>
          </w:tcPr>
          <w:p w14:paraId="7E178097" w14:textId="4212C409" w:rsidR="00E75CAE" w:rsidRPr="00F758EA" w:rsidRDefault="00E75CAE"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b/>
                <w:bCs/>
                <w:sz w:val="20"/>
                <w:szCs w:val="20"/>
              </w:rPr>
              <w:t>NAICS 71</w:t>
            </w:r>
          </w:p>
        </w:tc>
      </w:tr>
      <w:tr w:rsidR="00D04AFB" w:rsidRPr="005E02DB" w14:paraId="0C786972" w14:textId="77777777" w:rsidTr="00D04AFB">
        <w:trPr>
          <w:jc w:val="center"/>
        </w:trPr>
        <w:tc>
          <w:tcPr>
            <w:tcW w:w="1065" w:type="pct"/>
            <w:hideMark/>
          </w:tcPr>
          <w:p w14:paraId="1CF39617" w14:textId="77777777" w:rsidR="005E02DB" w:rsidRPr="00F758EA" w:rsidRDefault="005E02DB"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Range Ind</w:t>
            </w:r>
          </w:p>
        </w:tc>
        <w:tc>
          <w:tcPr>
            <w:tcW w:w="539" w:type="pct"/>
            <w:hideMark/>
          </w:tcPr>
          <w:p w14:paraId="47D1ADF2" w14:textId="3A5D5A83"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-.10</w:t>
            </w:r>
            <w:r w:rsidR="002356EF" w:rsidRPr="00F758EA">
              <w:rPr>
                <w:rFonts w:eastAsia="DengXian" w:cs="Times New Roman"/>
                <w:sz w:val="20"/>
                <w:szCs w:val="20"/>
              </w:rPr>
              <w:t>7</w:t>
            </w:r>
          </w:p>
        </w:tc>
        <w:tc>
          <w:tcPr>
            <w:tcW w:w="581" w:type="pct"/>
            <w:hideMark/>
          </w:tcPr>
          <w:p w14:paraId="520B0297" w14:textId="297FCDF3"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-.178</w:t>
            </w:r>
          </w:p>
        </w:tc>
        <w:tc>
          <w:tcPr>
            <w:tcW w:w="539" w:type="pct"/>
            <w:hideMark/>
          </w:tcPr>
          <w:p w14:paraId="0B6F475B" w14:textId="2CB4D11C"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-.163*</w:t>
            </w:r>
          </w:p>
        </w:tc>
        <w:tc>
          <w:tcPr>
            <w:tcW w:w="539" w:type="pct"/>
            <w:hideMark/>
          </w:tcPr>
          <w:p w14:paraId="47112222" w14:textId="0EB980E2"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-.01</w:t>
            </w:r>
            <w:r w:rsidR="002356EF" w:rsidRPr="00F758EA">
              <w:rPr>
                <w:rFonts w:eastAsia="DengXian" w:cs="Times New Roman"/>
                <w:sz w:val="20"/>
                <w:szCs w:val="20"/>
              </w:rPr>
              <w:t>1</w:t>
            </w:r>
          </w:p>
        </w:tc>
        <w:tc>
          <w:tcPr>
            <w:tcW w:w="662" w:type="pct"/>
            <w:hideMark/>
          </w:tcPr>
          <w:p w14:paraId="77575567" w14:textId="00144560"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.01</w:t>
            </w:r>
            <w:r w:rsidR="002356EF" w:rsidRPr="00F758EA">
              <w:rPr>
                <w:rFonts w:eastAsia="DengXian" w:cs="Times New Roman"/>
                <w:sz w:val="20"/>
                <w:szCs w:val="20"/>
              </w:rPr>
              <w:t>2</w:t>
            </w:r>
          </w:p>
        </w:tc>
        <w:tc>
          <w:tcPr>
            <w:tcW w:w="539" w:type="pct"/>
            <w:hideMark/>
          </w:tcPr>
          <w:p w14:paraId="6C745590" w14:textId="7B5B3601"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.057</w:t>
            </w:r>
          </w:p>
        </w:tc>
        <w:tc>
          <w:tcPr>
            <w:tcW w:w="536" w:type="pct"/>
            <w:hideMark/>
          </w:tcPr>
          <w:p w14:paraId="46036CF9" w14:textId="5B739E2B"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.594**</w:t>
            </w:r>
          </w:p>
        </w:tc>
      </w:tr>
      <w:tr w:rsidR="00D04AFB" w:rsidRPr="005E02DB" w14:paraId="009B3009" w14:textId="77777777" w:rsidTr="00D04AFB">
        <w:trPr>
          <w:jc w:val="center"/>
        </w:trPr>
        <w:tc>
          <w:tcPr>
            <w:tcW w:w="1065" w:type="pct"/>
            <w:hideMark/>
          </w:tcPr>
          <w:p w14:paraId="0271FDDB" w14:textId="10E95863" w:rsidR="005E02DB" w:rsidRPr="00F758EA" w:rsidRDefault="005E02DB" w:rsidP="00D326A2">
            <w:pPr>
              <w:widowControl w:val="0"/>
              <w:autoSpaceDE w:val="0"/>
              <w:autoSpaceDN w:val="0"/>
              <w:adjustRightInd w:val="0"/>
              <w:spacing w:line="240" w:lineRule="auto"/>
              <w:rPr>
                <w:rFonts w:eastAsia="DengXian" w:cs="Times New Roman"/>
                <w:sz w:val="20"/>
                <w:szCs w:val="20"/>
              </w:rPr>
            </w:pPr>
          </w:p>
        </w:tc>
        <w:tc>
          <w:tcPr>
            <w:tcW w:w="539" w:type="pct"/>
            <w:hideMark/>
          </w:tcPr>
          <w:p w14:paraId="6A2459F4" w14:textId="681959A8"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(.07</w:t>
            </w:r>
            <w:r w:rsidR="002356EF" w:rsidRPr="00F758EA">
              <w:rPr>
                <w:rFonts w:eastAsia="DengXian" w:cs="Times New Roman"/>
                <w:sz w:val="20"/>
                <w:szCs w:val="20"/>
              </w:rPr>
              <w:t>0</w:t>
            </w:r>
            <w:r w:rsidRPr="00F758EA">
              <w:rPr>
                <w:rFonts w:eastAsia="DengXian" w:cs="Times New Roman"/>
                <w:sz w:val="20"/>
                <w:szCs w:val="20"/>
              </w:rPr>
              <w:t>)</w:t>
            </w:r>
          </w:p>
        </w:tc>
        <w:tc>
          <w:tcPr>
            <w:tcW w:w="581" w:type="pct"/>
            <w:hideMark/>
          </w:tcPr>
          <w:p w14:paraId="0F9BC39B" w14:textId="4A6406CA"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(.15</w:t>
            </w:r>
            <w:r w:rsidR="002356EF" w:rsidRPr="00F758EA">
              <w:rPr>
                <w:rFonts w:eastAsia="DengXian" w:cs="Times New Roman"/>
                <w:sz w:val="20"/>
                <w:szCs w:val="20"/>
              </w:rPr>
              <w:t>3</w:t>
            </w:r>
            <w:r w:rsidRPr="00F758EA">
              <w:rPr>
                <w:rFonts w:eastAsia="DengXian" w:cs="Times New Roman"/>
                <w:sz w:val="20"/>
                <w:szCs w:val="20"/>
              </w:rPr>
              <w:t>)</w:t>
            </w:r>
          </w:p>
        </w:tc>
        <w:tc>
          <w:tcPr>
            <w:tcW w:w="539" w:type="pct"/>
            <w:hideMark/>
          </w:tcPr>
          <w:p w14:paraId="65ABD33E" w14:textId="5EA528AD"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(.09</w:t>
            </w:r>
            <w:r w:rsidR="002356EF" w:rsidRPr="00F758EA">
              <w:rPr>
                <w:rFonts w:eastAsia="DengXian" w:cs="Times New Roman"/>
                <w:sz w:val="20"/>
                <w:szCs w:val="20"/>
              </w:rPr>
              <w:t>2</w:t>
            </w:r>
            <w:r w:rsidRPr="00F758EA">
              <w:rPr>
                <w:rFonts w:eastAsia="DengXian" w:cs="Times New Roman"/>
                <w:sz w:val="20"/>
                <w:szCs w:val="20"/>
              </w:rPr>
              <w:t>)</w:t>
            </w:r>
          </w:p>
        </w:tc>
        <w:tc>
          <w:tcPr>
            <w:tcW w:w="539" w:type="pct"/>
            <w:hideMark/>
          </w:tcPr>
          <w:p w14:paraId="0BD3EBBC" w14:textId="5A1485E4"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(.03</w:t>
            </w:r>
            <w:r w:rsidR="002356EF" w:rsidRPr="00F758EA">
              <w:rPr>
                <w:rFonts w:eastAsia="DengXian" w:cs="Times New Roman"/>
                <w:sz w:val="20"/>
                <w:szCs w:val="20"/>
              </w:rPr>
              <w:t>4</w:t>
            </w:r>
            <w:r w:rsidRPr="00F758EA">
              <w:rPr>
                <w:rFonts w:eastAsia="DengXian" w:cs="Times New Roman"/>
                <w:sz w:val="20"/>
                <w:szCs w:val="20"/>
              </w:rPr>
              <w:t>)</w:t>
            </w:r>
          </w:p>
        </w:tc>
        <w:tc>
          <w:tcPr>
            <w:tcW w:w="662" w:type="pct"/>
            <w:hideMark/>
          </w:tcPr>
          <w:p w14:paraId="5C074896" w14:textId="45BDB30C"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(.046)</w:t>
            </w:r>
          </w:p>
        </w:tc>
        <w:tc>
          <w:tcPr>
            <w:tcW w:w="539" w:type="pct"/>
            <w:hideMark/>
          </w:tcPr>
          <w:p w14:paraId="1E7892AA" w14:textId="4C3E7655"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(.037)</w:t>
            </w:r>
          </w:p>
        </w:tc>
        <w:tc>
          <w:tcPr>
            <w:tcW w:w="536" w:type="pct"/>
            <w:hideMark/>
          </w:tcPr>
          <w:p w14:paraId="129F3404" w14:textId="58FD958E"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(.269)</w:t>
            </w:r>
          </w:p>
        </w:tc>
      </w:tr>
      <w:tr w:rsidR="00D04AFB" w:rsidRPr="005E02DB" w14:paraId="4AC5CAD0" w14:textId="77777777" w:rsidTr="00D04AFB">
        <w:trPr>
          <w:jc w:val="center"/>
        </w:trPr>
        <w:tc>
          <w:tcPr>
            <w:tcW w:w="1065" w:type="pct"/>
            <w:hideMark/>
          </w:tcPr>
          <w:p w14:paraId="5C8E6DAF" w14:textId="77777777" w:rsidR="005E02DB" w:rsidRPr="00F758EA" w:rsidRDefault="005E02DB"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TSD * Range</w:t>
            </w:r>
          </w:p>
        </w:tc>
        <w:tc>
          <w:tcPr>
            <w:tcW w:w="539" w:type="pct"/>
            <w:hideMark/>
          </w:tcPr>
          <w:p w14:paraId="5F12B70D" w14:textId="77E87B63"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-.121***</w:t>
            </w:r>
          </w:p>
        </w:tc>
        <w:tc>
          <w:tcPr>
            <w:tcW w:w="581" w:type="pct"/>
            <w:hideMark/>
          </w:tcPr>
          <w:p w14:paraId="6C056947" w14:textId="47931E8E"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-.17</w:t>
            </w:r>
            <w:r w:rsidR="002356EF" w:rsidRPr="00F758EA">
              <w:rPr>
                <w:rFonts w:eastAsia="DengXian" w:cs="Times New Roman"/>
                <w:sz w:val="20"/>
                <w:szCs w:val="20"/>
              </w:rPr>
              <w:t>2</w:t>
            </w:r>
            <w:r w:rsidRPr="00F758EA">
              <w:rPr>
                <w:rFonts w:eastAsia="DengXian" w:cs="Times New Roman"/>
                <w:sz w:val="20"/>
                <w:szCs w:val="20"/>
              </w:rPr>
              <w:t>**</w:t>
            </w:r>
          </w:p>
        </w:tc>
        <w:tc>
          <w:tcPr>
            <w:tcW w:w="539" w:type="pct"/>
            <w:hideMark/>
          </w:tcPr>
          <w:p w14:paraId="26A4B6CA" w14:textId="58BFDC7D"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-.05</w:t>
            </w:r>
            <w:r w:rsidR="002356EF" w:rsidRPr="00F758EA">
              <w:rPr>
                <w:rFonts w:eastAsia="DengXian" w:cs="Times New Roman"/>
                <w:sz w:val="20"/>
                <w:szCs w:val="20"/>
              </w:rPr>
              <w:t>3</w:t>
            </w:r>
          </w:p>
        </w:tc>
        <w:tc>
          <w:tcPr>
            <w:tcW w:w="539" w:type="pct"/>
            <w:hideMark/>
          </w:tcPr>
          <w:p w14:paraId="18052FBD" w14:textId="1F55738F"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.027**</w:t>
            </w:r>
          </w:p>
        </w:tc>
        <w:tc>
          <w:tcPr>
            <w:tcW w:w="662" w:type="pct"/>
            <w:hideMark/>
          </w:tcPr>
          <w:p w14:paraId="1A051CA9" w14:textId="08A03EA6"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-.020</w:t>
            </w:r>
          </w:p>
        </w:tc>
        <w:tc>
          <w:tcPr>
            <w:tcW w:w="539" w:type="pct"/>
            <w:hideMark/>
          </w:tcPr>
          <w:p w14:paraId="51293F4F" w14:textId="7DEB84F6"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.00</w:t>
            </w:r>
            <w:r w:rsidR="002356EF" w:rsidRPr="00F758EA">
              <w:rPr>
                <w:rFonts w:eastAsia="DengXian" w:cs="Times New Roman"/>
                <w:sz w:val="20"/>
                <w:szCs w:val="20"/>
              </w:rPr>
              <w:t>7</w:t>
            </w:r>
          </w:p>
        </w:tc>
        <w:tc>
          <w:tcPr>
            <w:tcW w:w="536" w:type="pct"/>
            <w:hideMark/>
          </w:tcPr>
          <w:p w14:paraId="366E9137" w14:textId="3832D0DB"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-.04</w:t>
            </w:r>
            <w:r w:rsidR="002356EF" w:rsidRPr="00F758EA">
              <w:rPr>
                <w:rFonts w:eastAsia="DengXian" w:cs="Times New Roman"/>
                <w:sz w:val="20"/>
                <w:szCs w:val="20"/>
              </w:rPr>
              <w:t>7</w:t>
            </w:r>
          </w:p>
        </w:tc>
      </w:tr>
      <w:tr w:rsidR="00D04AFB" w:rsidRPr="005E02DB" w14:paraId="26C20540" w14:textId="77777777" w:rsidTr="00D04AFB">
        <w:trPr>
          <w:jc w:val="center"/>
        </w:trPr>
        <w:tc>
          <w:tcPr>
            <w:tcW w:w="1065" w:type="pct"/>
            <w:hideMark/>
          </w:tcPr>
          <w:p w14:paraId="2102739E" w14:textId="62F078D2" w:rsidR="005E02DB" w:rsidRPr="00F758EA" w:rsidRDefault="005E02DB" w:rsidP="00D326A2">
            <w:pPr>
              <w:widowControl w:val="0"/>
              <w:autoSpaceDE w:val="0"/>
              <w:autoSpaceDN w:val="0"/>
              <w:adjustRightInd w:val="0"/>
              <w:spacing w:line="240" w:lineRule="auto"/>
              <w:rPr>
                <w:rFonts w:eastAsia="DengXian" w:cs="Times New Roman"/>
                <w:sz w:val="20"/>
                <w:szCs w:val="20"/>
              </w:rPr>
            </w:pPr>
          </w:p>
        </w:tc>
        <w:tc>
          <w:tcPr>
            <w:tcW w:w="539" w:type="pct"/>
            <w:hideMark/>
          </w:tcPr>
          <w:p w14:paraId="761A3702" w14:textId="7419EC57"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(.038)</w:t>
            </w:r>
          </w:p>
        </w:tc>
        <w:tc>
          <w:tcPr>
            <w:tcW w:w="581" w:type="pct"/>
            <w:hideMark/>
          </w:tcPr>
          <w:p w14:paraId="66BD33EC" w14:textId="0452C26B"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(.07</w:t>
            </w:r>
            <w:r w:rsidR="00693FCE" w:rsidRPr="00F758EA">
              <w:rPr>
                <w:rFonts w:eastAsia="DengXian" w:cs="Times New Roman"/>
                <w:sz w:val="20"/>
                <w:szCs w:val="20"/>
              </w:rPr>
              <w:t>1</w:t>
            </w:r>
            <w:r w:rsidRPr="00F758EA">
              <w:rPr>
                <w:rFonts w:eastAsia="DengXian" w:cs="Times New Roman"/>
                <w:sz w:val="20"/>
                <w:szCs w:val="20"/>
              </w:rPr>
              <w:t>)</w:t>
            </w:r>
          </w:p>
        </w:tc>
        <w:tc>
          <w:tcPr>
            <w:tcW w:w="539" w:type="pct"/>
            <w:hideMark/>
          </w:tcPr>
          <w:p w14:paraId="037DC9AB" w14:textId="5CBAEE97"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(.051)</w:t>
            </w:r>
          </w:p>
        </w:tc>
        <w:tc>
          <w:tcPr>
            <w:tcW w:w="539" w:type="pct"/>
            <w:hideMark/>
          </w:tcPr>
          <w:p w14:paraId="0BAE4BF0" w14:textId="3EA9A6E9"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(.01</w:t>
            </w:r>
            <w:r w:rsidR="00693FCE" w:rsidRPr="00F758EA">
              <w:rPr>
                <w:rFonts w:eastAsia="DengXian" w:cs="Times New Roman"/>
                <w:sz w:val="20"/>
                <w:szCs w:val="20"/>
              </w:rPr>
              <w:t>4</w:t>
            </w:r>
            <w:r w:rsidRPr="00F758EA">
              <w:rPr>
                <w:rFonts w:eastAsia="DengXian" w:cs="Times New Roman"/>
                <w:sz w:val="20"/>
                <w:szCs w:val="20"/>
              </w:rPr>
              <w:t>)</w:t>
            </w:r>
          </w:p>
        </w:tc>
        <w:tc>
          <w:tcPr>
            <w:tcW w:w="662" w:type="pct"/>
            <w:hideMark/>
          </w:tcPr>
          <w:p w14:paraId="38A3ED1C" w14:textId="6B9FBB1B"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(.021)</w:t>
            </w:r>
          </w:p>
        </w:tc>
        <w:tc>
          <w:tcPr>
            <w:tcW w:w="539" w:type="pct"/>
            <w:hideMark/>
          </w:tcPr>
          <w:p w14:paraId="03CC2A7C" w14:textId="37C43F9C"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(.01</w:t>
            </w:r>
            <w:r w:rsidR="002356EF" w:rsidRPr="00F758EA">
              <w:rPr>
                <w:rFonts w:eastAsia="DengXian" w:cs="Times New Roman"/>
                <w:sz w:val="20"/>
                <w:szCs w:val="20"/>
              </w:rPr>
              <w:t>8</w:t>
            </w:r>
            <w:r w:rsidRPr="00F758EA">
              <w:rPr>
                <w:rFonts w:eastAsia="DengXian" w:cs="Times New Roman"/>
                <w:sz w:val="20"/>
                <w:szCs w:val="20"/>
              </w:rPr>
              <w:t>)</w:t>
            </w:r>
          </w:p>
        </w:tc>
        <w:tc>
          <w:tcPr>
            <w:tcW w:w="536" w:type="pct"/>
            <w:hideMark/>
          </w:tcPr>
          <w:p w14:paraId="4A868C52" w14:textId="0560F5E7"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(.03</w:t>
            </w:r>
            <w:r w:rsidR="002356EF" w:rsidRPr="00F758EA">
              <w:rPr>
                <w:rFonts w:eastAsia="DengXian" w:cs="Times New Roman"/>
                <w:sz w:val="20"/>
                <w:szCs w:val="20"/>
              </w:rPr>
              <w:t>5</w:t>
            </w:r>
            <w:r w:rsidRPr="00F758EA">
              <w:rPr>
                <w:rFonts w:eastAsia="DengXian" w:cs="Times New Roman"/>
                <w:sz w:val="20"/>
                <w:szCs w:val="20"/>
              </w:rPr>
              <w:t>)</w:t>
            </w:r>
          </w:p>
        </w:tc>
      </w:tr>
      <w:tr w:rsidR="00D04AFB" w:rsidRPr="005E02DB" w14:paraId="59AFA618" w14:textId="77777777" w:rsidTr="00D04AFB">
        <w:trPr>
          <w:jc w:val="center"/>
        </w:trPr>
        <w:tc>
          <w:tcPr>
            <w:tcW w:w="1065" w:type="pct"/>
            <w:hideMark/>
          </w:tcPr>
          <w:p w14:paraId="7C502B75" w14:textId="3E580C98" w:rsidR="005E02DB" w:rsidRPr="00F758EA" w:rsidRDefault="005E02DB"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Poverty rate (100s)</w:t>
            </w:r>
          </w:p>
        </w:tc>
        <w:tc>
          <w:tcPr>
            <w:tcW w:w="539" w:type="pct"/>
            <w:hideMark/>
          </w:tcPr>
          <w:p w14:paraId="2AA02516" w14:textId="4DAE1AC0"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.5</w:t>
            </w:r>
            <w:r w:rsidR="00693FCE" w:rsidRPr="00F758EA">
              <w:rPr>
                <w:rFonts w:eastAsia="DengXian" w:cs="Times New Roman"/>
                <w:sz w:val="20"/>
                <w:szCs w:val="20"/>
              </w:rPr>
              <w:t>30</w:t>
            </w:r>
          </w:p>
        </w:tc>
        <w:tc>
          <w:tcPr>
            <w:tcW w:w="581" w:type="pct"/>
            <w:hideMark/>
          </w:tcPr>
          <w:p w14:paraId="5CBB80F3" w14:textId="2B45115E"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-.928</w:t>
            </w:r>
          </w:p>
        </w:tc>
        <w:tc>
          <w:tcPr>
            <w:tcW w:w="539" w:type="pct"/>
            <w:hideMark/>
          </w:tcPr>
          <w:p w14:paraId="204EE0D1" w14:textId="17A75915"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.92</w:t>
            </w:r>
            <w:r w:rsidR="00693FCE" w:rsidRPr="00F758EA">
              <w:rPr>
                <w:rFonts w:eastAsia="DengXian" w:cs="Times New Roman"/>
                <w:sz w:val="20"/>
                <w:szCs w:val="20"/>
              </w:rPr>
              <w:t>3</w:t>
            </w:r>
          </w:p>
        </w:tc>
        <w:tc>
          <w:tcPr>
            <w:tcW w:w="539" w:type="pct"/>
            <w:hideMark/>
          </w:tcPr>
          <w:p w14:paraId="0D13730B" w14:textId="18B7CBC1"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-1.6</w:t>
            </w:r>
            <w:r w:rsidR="00693FCE" w:rsidRPr="00F758EA">
              <w:rPr>
                <w:rFonts w:eastAsia="DengXian" w:cs="Times New Roman"/>
                <w:sz w:val="20"/>
                <w:szCs w:val="20"/>
              </w:rPr>
              <w:t>60</w:t>
            </w:r>
            <w:r w:rsidRPr="00F758EA">
              <w:rPr>
                <w:rFonts w:eastAsia="DengXian" w:cs="Times New Roman"/>
                <w:sz w:val="20"/>
                <w:szCs w:val="20"/>
              </w:rPr>
              <w:t>***</w:t>
            </w:r>
          </w:p>
        </w:tc>
        <w:tc>
          <w:tcPr>
            <w:tcW w:w="662" w:type="pct"/>
            <w:hideMark/>
          </w:tcPr>
          <w:p w14:paraId="3E311A8E" w14:textId="378D7B8F"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-.996***</w:t>
            </w:r>
          </w:p>
        </w:tc>
        <w:tc>
          <w:tcPr>
            <w:tcW w:w="539" w:type="pct"/>
            <w:hideMark/>
          </w:tcPr>
          <w:p w14:paraId="7CD47DD8" w14:textId="7316F5D6"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-.99</w:t>
            </w:r>
            <w:r w:rsidR="00693FCE" w:rsidRPr="00F758EA">
              <w:rPr>
                <w:rFonts w:eastAsia="DengXian" w:cs="Times New Roman"/>
                <w:sz w:val="20"/>
                <w:szCs w:val="20"/>
              </w:rPr>
              <w:t>5</w:t>
            </w:r>
            <w:r w:rsidRPr="00F758EA">
              <w:rPr>
                <w:rFonts w:eastAsia="DengXian" w:cs="Times New Roman"/>
                <w:sz w:val="20"/>
                <w:szCs w:val="20"/>
              </w:rPr>
              <w:t>***</w:t>
            </w:r>
          </w:p>
        </w:tc>
        <w:tc>
          <w:tcPr>
            <w:tcW w:w="536" w:type="pct"/>
            <w:hideMark/>
          </w:tcPr>
          <w:p w14:paraId="7EECB383" w14:textId="46AFD7A4"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.244</w:t>
            </w:r>
          </w:p>
        </w:tc>
      </w:tr>
      <w:tr w:rsidR="00D04AFB" w:rsidRPr="005E02DB" w14:paraId="61FBE4C6" w14:textId="77777777" w:rsidTr="00D04AFB">
        <w:trPr>
          <w:jc w:val="center"/>
        </w:trPr>
        <w:tc>
          <w:tcPr>
            <w:tcW w:w="1065" w:type="pct"/>
            <w:hideMark/>
          </w:tcPr>
          <w:p w14:paraId="4283CA26" w14:textId="52E80A2B" w:rsidR="005E02DB" w:rsidRPr="00F758EA" w:rsidRDefault="005E02DB" w:rsidP="00D326A2">
            <w:pPr>
              <w:widowControl w:val="0"/>
              <w:autoSpaceDE w:val="0"/>
              <w:autoSpaceDN w:val="0"/>
              <w:adjustRightInd w:val="0"/>
              <w:spacing w:line="240" w:lineRule="auto"/>
              <w:rPr>
                <w:rFonts w:eastAsia="DengXian" w:cs="Times New Roman"/>
                <w:sz w:val="20"/>
                <w:szCs w:val="20"/>
              </w:rPr>
            </w:pPr>
          </w:p>
        </w:tc>
        <w:tc>
          <w:tcPr>
            <w:tcW w:w="539" w:type="pct"/>
            <w:hideMark/>
          </w:tcPr>
          <w:p w14:paraId="54EEEF11" w14:textId="72FDC344"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(.839)</w:t>
            </w:r>
          </w:p>
        </w:tc>
        <w:tc>
          <w:tcPr>
            <w:tcW w:w="581" w:type="pct"/>
            <w:hideMark/>
          </w:tcPr>
          <w:p w14:paraId="6D564227" w14:textId="5BA915B8"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(1.09</w:t>
            </w:r>
            <w:r w:rsidR="00693FCE" w:rsidRPr="00F758EA">
              <w:rPr>
                <w:rFonts w:eastAsia="DengXian" w:cs="Times New Roman"/>
                <w:sz w:val="20"/>
                <w:szCs w:val="20"/>
              </w:rPr>
              <w:t>3</w:t>
            </w:r>
            <w:r w:rsidRPr="00F758EA">
              <w:rPr>
                <w:rFonts w:eastAsia="DengXian" w:cs="Times New Roman"/>
                <w:sz w:val="20"/>
                <w:szCs w:val="20"/>
              </w:rPr>
              <w:t>)</w:t>
            </w:r>
          </w:p>
        </w:tc>
        <w:tc>
          <w:tcPr>
            <w:tcW w:w="539" w:type="pct"/>
            <w:hideMark/>
          </w:tcPr>
          <w:p w14:paraId="2134D059" w14:textId="73D377C0"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(.87</w:t>
            </w:r>
            <w:r w:rsidR="00693FCE" w:rsidRPr="00F758EA">
              <w:rPr>
                <w:rFonts w:eastAsia="DengXian" w:cs="Times New Roman"/>
                <w:sz w:val="20"/>
                <w:szCs w:val="20"/>
              </w:rPr>
              <w:t>6</w:t>
            </w:r>
            <w:r w:rsidRPr="00F758EA">
              <w:rPr>
                <w:rFonts w:eastAsia="DengXian" w:cs="Times New Roman"/>
                <w:sz w:val="20"/>
                <w:szCs w:val="20"/>
              </w:rPr>
              <w:t>)</w:t>
            </w:r>
          </w:p>
        </w:tc>
        <w:tc>
          <w:tcPr>
            <w:tcW w:w="539" w:type="pct"/>
            <w:hideMark/>
          </w:tcPr>
          <w:p w14:paraId="0229BBAE" w14:textId="0D40F050"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(.27</w:t>
            </w:r>
            <w:r w:rsidR="00693FCE" w:rsidRPr="00F758EA">
              <w:rPr>
                <w:rFonts w:eastAsia="DengXian" w:cs="Times New Roman"/>
                <w:sz w:val="20"/>
                <w:szCs w:val="20"/>
              </w:rPr>
              <w:t>7</w:t>
            </w:r>
            <w:r w:rsidRPr="00F758EA">
              <w:rPr>
                <w:rFonts w:eastAsia="DengXian" w:cs="Times New Roman"/>
                <w:sz w:val="20"/>
                <w:szCs w:val="20"/>
              </w:rPr>
              <w:t>)</w:t>
            </w:r>
          </w:p>
        </w:tc>
        <w:tc>
          <w:tcPr>
            <w:tcW w:w="662" w:type="pct"/>
            <w:hideMark/>
          </w:tcPr>
          <w:p w14:paraId="1611B16B" w14:textId="4E350AA5"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(.250)</w:t>
            </w:r>
          </w:p>
        </w:tc>
        <w:tc>
          <w:tcPr>
            <w:tcW w:w="539" w:type="pct"/>
            <w:hideMark/>
          </w:tcPr>
          <w:p w14:paraId="3FD019FC" w14:textId="0072429E"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(.288)</w:t>
            </w:r>
          </w:p>
        </w:tc>
        <w:tc>
          <w:tcPr>
            <w:tcW w:w="536" w:type="pct"/>
            <w:hideMark/>
          </w:tcPr>
          <w:p w14:paraId="2D81A74C" w14:textId="439C80CA"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(.640)</w:t>
            </w:r>
          </w:p>
        </w:tc>
      </w:tr>
      <w:tr w:rsidR="00D326A2" w:rsidRPr="005E02DB" w14:paraId="2941F989" w14:textId="77777777" w:rsidTr="00D04AFB">
        <w:trPr>
          <w:jc w:val="center"/>
        </w:trPr>
        <w:tc>
          <w:tcPr>
            <w:tcW w:w="1065" w:type="pct"/>
            <w:hideMark/>
          </w:tcPr>
          <w:p w14:paraId="17847BCA" w14:textId="1EB5FA9A" w:rsidR="00D326A2" w:rsidRPr="00F758EA" w:rsidRDefault="00D326A2" w:rsidP="00D326A2">
            <w:pPr>
              <w:widowControl w:val="0"/>
              <w:autoSpaceDE w:val="0"/>
              <w:autoSpaceDN w:val="0"/>
              <w:adjustRightInd w:val="0"/>
              <w:spacing w:line="240" w:lineRule="auto"/>
              <w:rPr>
                <w:rFonts w:eastAsia="DengXian" w:cs="Times New Roman"/>
                <w:sz w:val="20"/>
                <w:szCs w:val="20"/>
              </w:rPr>
            </w:pPr>
            <w:proofErr w:type="spellStart"/>
            <w:r w:rsidRPr="00F758EA">
              <w:rPr>
                <w:rFonts w:eastAsia="DengXian" w:cs="Times New Roman"/>
                <w:sz w:val="20"/>
                <w:szCs w:val="20"/>
              </w:rPr>
              <w:t>Unemp</w:t>
            </w:r>
            <w:proofErr w:type="spellEnd"/>
            <w:r>
              <w:rPr>
                <w:rFonts w:eastAsia="DengXian" w:cs="Times New Roman"/>
                <w:sz w:val="20"/>
                <w:szCs w:val="20"/>
              </w:rPr>
              <w:t>.</w:t>
            </w:r>
            <w:r w:rsidRPr="00F758EA">
              <w:rPr>
                <w:rFonts w:eastAsia="DengXian" w:cs="Times New Roman"/>
                <w:sz w:val="20"/>
                <w:szCs w:val="20"/>
              </w:rPr>
              <w:t xml:space="preserve"> rate (100s)</w:t>
            </w:r>
          </w:p>
        </w:tc>
        <w:tc>
          <w:tcPr>
            <w:tcW w:w="539" w:type="pct"/>
            <w:hideMark/>
          </w:tcPr>
          <w:p w14:paraId="508DB186" w14:textId="009E2744"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-.876</w:t>
            </w:r>
          </w:p>
        </w:tc>
        <w:tc>
          <w:tcPr>
            <w:tcW w:w="581" w:type="pct"/>
            <w:hideMark/>
          </w:tcPr>
          <w:p w14:paraId="66E043E9" w14:textId="31567C53"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.510</w:t>
            </w:r>
          </w:p>
        </w:tc>
        <w:tc>
          <w:tcPr>
            <w:tcW w:w="539" w:type="pct"/>
            <w:hideMark/>
          </w:tcPr>
          <w:p w14:paraId="449A2081" w14:textId="1F2B76CB"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1.669*</w:t>
            </w:r>
          </w:p>
        </w:tc>
        <w:tc>
          <w:tcPr>
            <w:tcW w:w="539" w:type="pct"/>
            <w:hideMark/>
          </w:tcPr>
          <w:p w14:paraId="67DDCD0D" w14:textId="7EAD6ACA"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.750***</w:t>
            </w:r>
          </w:p>
        </w:tc>
        <w:tc>
          <w:tcPr>
            <w:tcW w:w="662" w:type="pct"/>
            <w:hideMark/>
          </w:tcPr>
          <w:p w14:paraId="431063E8" w14:textId="7B63A1B7"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.126</w:t>
            </w:r>
          </w:p>
        </w:tc>
        <w:tc>
          <w:tcPr>
            <w:tcW w:w="539" w:type="pct"/>
            <w:hideMark/>
          </w:tcPr>
          <w:p w14:paraId="66D5A29B" w14:textId="03937754"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1.018***</w:t>
            </w:r>
          </w:p>
        </w:tc>
        <w:tc>
          <w:tcPr>
            <w:tcW w:w="536" w:type="pct"/>
            <w:hideMark/>
          </w:tcPr>
          <w:p w14:paraId="2CCC00A8" w14:textId="290D0AC5"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.931</w:t>
            </w:r>
          </w:p>
        </w:tc>
      </w:tr>
      <w:tr w:rsidR="00D326A2" w:rsidRPr="005E02DB" w14:paraId="20B754D5" w14:textId="77777777" w:rsidTr="00D04AFB">
        <w:trPr>
          <w:jc w:val="center"/>
        </w:trPr>
        <w:tc>
          <w:tcPr>
            <w:tcW w:w="1065" w:type="pct"/>
            <w:hideMark/>
          </w:tcPr>
          <w:p w14:paraId="630EC1B4" w14:textId="2F21B385" w:rsidR="00D326A2" w:rsidRPr="00F758EA" w:rsidRDefault="00D326A2" w:rsidP="00D326A2">
            <w:pPr>
              <w:widowControl w:val="0"/>
              <w:autoSpaceDE w:val="0"/>
              <w:autoSpaceDN w:val="0"/>
              <w:adjustRightInd w:val="0"/>
              <w:spacing w:line="240" w:lineRule="auto"/>
              <w:rPr>
                <w:rFonts w:eastAsia="DengXian" w:cs="Times New Roman"/>
                <w:sz w:val="20"/>
                <w:szCs w:val="20"/>
              </w:rPr>
            </w:pPr>
          </w:p>
        </w:tc>
        <w:tc>
          <w:tcPr>
            <w:tcW w:w="539" w:type="pct"/>
            <w:hideMark/>
          </w:tcPr>
          <w:p w14:paraId="4829F46D" w14:textId="37E798FB"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(.624)</w:t>
            </w:r>
          </w:p>
        </w:tc>
        <w:tc>
          <w:tcPr>
            <w:tcW w:w="581" w:type="pct"/>
            <w:hideMark/>
          </w:tcPr>
          <w:p w14:paraId="0C92D1DE" w14:textId="532E87C8"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(1.166)</w:t>
            </w:r>
          </w:p>
        </w:tc>
        <w:tc>
          <w:tcPr>
            <w:tcW w:w="539" w:type="pct"/>
            <w:hideMark/>
          </w:tcPr>
          <w:p w14:paraId="7789E412" w14:textId="083A1D59"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(.972)</w:t>
            </w:r>
          </w:p>
        </w:tc>
        <w:tc>
          <w:tcPr>
            <w:tcW w:w="539" w:type="pct"/>
            <w:hideMark/>
          </w:tcPr>
          <w:p w14:paraId="7FFF901B" w14:textId="4C8DB72E"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(.274)</w:t>
            </w:r>
          </w:p>
        </w:tc>
        <w:tc>
          <w:tcPr>
            <w:tcW w:w="662" w:type="pct"/>
            <w:hideMark/>
          </w:tcPr>
          <w:p w14:paraId="0A484888" w14:textId="676F07D3"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(.270)</w:t>
            </w:r>
          </w:p>
        </w:tc>
        <w:tc>
          <w:tcPr>
            <w:tcW w:w="539" w:type="pct"/>
            <w:hideMark/>
          </w:tcPr>
          <w:p w14:paraId="12135277" w14:textId="43896816"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(.363)</w:t>
            </w:r>
          </w:p>
        </w:tc>
        <w:tc>
          <w:tcPr>
            <w:tcW w:w="536" w:type="pct"/>
            <w:hideMark/>
          </w:tcPr>
          <w:p w14:paraId="0A4F5688" w14:textId="111AD3EB"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(.650)</w:t>
            </w:r>
          </w:p>
        </w:tc>
      </w:tr>
      <w:tr w:rsidR="00D326A2" w:rsidRPr="005E02DB" w14:paraId="370478A1" w14:textId="77777777" w:rsidTr="00D04AFB">
        <w:trPr>
          <w:jc w:val="center"/>
        </w:trPr>
        <w:tc>
          <w:tcPr>
            <w:tcW w:w="1065" w:type="pct"/>
            <w:hideMark/>
          </w:tcPr>
          <w:p w14:paraId="343E3669" w14:textId="47526548"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Pop</w:t>
            </w:r>
            <w:r>
              <w:rPr>
                <w:rFonts w:eastAsia="DengXian" w:cs="Times New Roman"/>
                <w:sz w:val="20"/>
                <w:szCs w:val="20"/>
              </w:rPr>
              <w:t xml:space="preserve">. </w:t>
            </w:r>
            <w:r w:rsidRPr="00F758EA">
              <w:rPr>
                <w:rFonts w:eastAsia="DengXian" w:cs="Times New Roman"/>
                <w:sz w:val="20"/>
                <w:szCs w:val="20"/>
              </w:rPr>
              <w:t>Density (100s)</w:t>
            </w:r>
          </w:p>
        </w:tc>
        <w:tc>
          <w:tcPr>
            <w:tcW w:w="539" w:type="pct"/>
            <w:hideMark/>
          </w:tcPr>
          <w:p w14:paraId="51BA3B7A" w14:textId="4118967E"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-.944</w:t>
            </w:r>
          </w:p>
        </w:tc>
        <w:tc>
          <w:tcPr>
            <w:tcW w:w="581" w:type="pct"/>
            <w:hideMark/>
          </w:tcPr>
          <w:p w14:paraId="70888F49" w14:textId="567F2478"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21.652</w:t>
            </w:r>
          </w:p>
        </w:tc>
        <w:tc>
          <w:tcPr>
            <w:tcW w:w="539" w:type="pct"/>
            <w:hideMark/>
          </w:tcPr>
          <w:p w14:paraId="41EDC6CD" w14:textId="2BBADFFB"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1.484</w:t>
            </w:r>
          </w:p>
        </w:tc>
        <w:tc>
          <w:tcPr>
            <w:tcW w:w="539" w:type="pct"/>
            <w:hideMark/>
          </w:tcPr>
          <w:p w14:paraId="59F073DF" w14:textId="263297D2"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.500</w:t>
            </w:r>
          </w:p>
        </w:tc>
        <w:tc>
          <w:tcPr>
            <w:tcW w:w="662" w:type="pct"/>
            <w:hideMark/>
          </w:tcPr>
          <w:p w14:paraId="789A2433" w14:textId="70DC1AA9"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-3.444***</w:t>
            </w:r>
          </w:p>
        </w:tc>
        <w:tc>
          <w:tcPr>
            <w:tcW w:w="539" w:type="pct"/>
            <w:hideMark/>
          </w:tcPr>
          <w:p w14:paraId="4C6BB1D6" w14:textId="77777777"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2.787***</w:t>
            </w:r>
          </w:p>
        </w:tc>
        <w:tc>
          <w:tcPr>
            <w:tcW w:w="536" w:type="pct"/>
            <w:hideMark/>
          </w:tcPr>
          <w:p w14:paraId="5A923B94" w14:textId="2B0EA027"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-1.429</w:t>
            </w:r>
          </w:p>
        </w:tc>
      </w:tr>
      <w:tr w:rsidR="00D326A2" w:rsidRPr="005E02DB" w14:paraId="52361A1A" w14:textId="77777777" w:rsidTr="00D04AFB">
        <w:trPr>
          <w:jc w:val="center"/>
        </w:trPr>
        <w:tc>
          <w:tcPr>
            <w:tcW w:w="1065" w:type="pct"/>
            <w:hideMark/>
          </w:tcPr>
          <w:p w14:paraId="4194867D" w14:textId="3FDE2A85" w:rsidR="00D326A2" w:rsidRPr="00F758EA" w:rsidRDefault="00D326A2" w:rsidP="00D326A2">
            <w:pPr>
              <w:widowControl w:val="0"/>
              <w:autoSpaceDE w:val="0"/>
              <w:autoSpaceDN w:val="0"/>
              <w:adjustRightInd w:val="0"/>
              <w:spacing w:line="240" w:lineRule="auto"/>
              <w:rPr>
                <w:rFonts w:eastAsia="DengXian" w:cs="Times New Roman"/>
                <w:sz w:val="20"/>
                <w:szCs w:val="20"/>
              </w:rPr>
            </w:pPr>
          </w:p>
        </w:tc>
        <w:tc>
          <w:tcPr>
            <w:tcW w:w="539" w:type="pct"/>
            <w:hideMark/>
          </w:tcPr>
          <w:p w14:paraId="79F8469E" w14:textId="130BF2A2"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(8.485)</w:t>
            </w:r>
          </w:p>
        </w:tc>
        <w:tc>
          <w:tcPr>
            <w:tcW w:w="581" w:type="pct"/>
            <w:hideMark/>
          </w:tcPr>
          <w:p w14:paraId="44BA1A1A" w14:textId="6EDD7997"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(15.023)</w:t>
            </w:r>
          </w:p>
        </w:tc>
        <w:tc>
          <w:tcPr>
            <w:tcW w:w="539" w:type="pct"/>
            <w:hideMark/>
          </w:tcPr>
          <w:p w14:paraId="32883748" w14:textId="1BD59738"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(3.064)</w:t>
            </w:r>
          </w:p>
        </w:tc>
        <w:tc>
          <w:tcPr>
            <w:tcW w:w="539" w:type="pct"/>
            <w:hideMark/>
          </w:tcPr>
          <w:p w14:paraId="2EBD84D9" w14:textId="4FE1E595"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(1.439)</w:t>
            </w:r>
          </w:p>
        </w:tc>
        <w:tc>
          <w:tcPr>
            <w:tcW w:w="662" w:type="pct"/>
            <w:hideMark/>
          </w:tcPr>
          <w:p w14:paraId="379E3B72" w14:textId="310D16AD"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(1.266)</w:t>
            </w:r>
          </w:p>
        </w:tc>
        <w:tc>
          <w:tcPr>
            <w:tcW w:w="539" w:type="pct"/>
            <w:hideMark/>
          </w:tcPr>
          <w:p w14:paraId="4C5B4A3F" w14:textId="5DEA2097"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(.787)</w:t>
            </w:r>
          </w:p>
        </w:tc>
        <w:tc>
          <w:tcPr>
            <w:tcW w:w="536" w:type="pct"/>
            <w:hideMark/>
          </w:tcPr>
          <w:p w14:paraId="653C37D0" w14:textId="31191153"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(1.229)</w:t>
            </w:r>
          </w:p>
        </w:tc>
      </w:tr>
      <w:tr w:rsidR="00D326A2" w:rsidRPr="005E02DB" w14:paraId="7403A2CB" w14:textId="77777777" w:rsidTr="00D04AFB">
        <w:trPr>
          <w:jc w:val="center"/>
        </w:trPr>
        <w:tc>
          <w:tcPr>
            <w:tcW w:w="1065" w:type="pct"/>
            <w:hideMark/>
          </w:tcPr>
          <w:p w14:paraId="009434BC" w14:textId="21ED66F4"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Med</w:t>
            </w:r>
            <w:r>
              <w:rPr>
                <w:rFonts w:eastAsia="DengXian" w:cs="Times New Roman"/>
                <w:sz w:val="20"/>
                <w:szCs w:val="20"/>
              </w:rPr>
              <w:t>.</w:t>
            </w:r>
            <w:r w:rsidRPr="00F758EA">
              <w:rPr>
                <w:rFonts w:eastAsia="DengXian" w:cs="Times New Roman"/>
                <w:sz w:val="20"/>
                <w:szCs w:val="20"/>
              </w:rPr>
              <w:t xml:space="preserve"> HH Inc</w:t>
            </w:r>
            <w:r>
              <w:rPr>
                <w:rFonts w:eastAsia="DengXian" w:cs="Times New Roman"/>
                <w:sz w:val="20"/>
                <w:szCs w:val="20"/>
              </w:rPr>
              <w:t>.</w:t>
            </w:r>
            <w:r w:rsidRPr="00F758EA">
              <w:rPr>
                <w:rFonts w:eastAsia="DengXian" w:cs="Times New Roman"/>
                <w:sz w:val="20"/>
                <w:szCs w:val="20"/>
              </w:rPr>
              <w:t xml:space="preserve"> (100ks)</w:t>
            </w:r>
          </w:p>
        </w:tc>
        <w:tc>
          <w:tcPr>
            <w:tcW w:w="539" w:type="pct"/>
            <w:hideMark/>
          </w:tcPr>
          <w:p w14:paraId="50B7C93E" w14:textId="20A2A70B"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1.431***</w:t>
            </w:r>
          </w:p>
        </w:tc>
        <w:tc>
          <w:tcPr>
            <w:tcW w:w="581" w:type="pct"/>
            <w:hideMark/>
          </w:tcPr>
          <w:p w14:paraId="35B02B2A" w14:textId="62A7784B"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-.112</w:t>
            </w:r>
          </w:p>
        </w:tc>
        <w:tc>
          <w:tcPr>
            <w:tcW w:w="539" w:type="pct"/>
            <w:hideMark/>
          </w:tcPr>
          <w:p w14:paraId="4274AED1" w14:textId="4DBEC8DC"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.620</w:t>
            </w:r>
          </w:p>
        </w:tc>
        <w:tc>
          <w:tcPr>
            <w:tcW w:w="539" w:type="pct"/>
            <w:hideMark/>
          </w:tcPr>
          <w:p w14:paraId="1163697C" w14:textId="65D78D89"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.664***</w:t>
            </w:r>
          </w:p>
        </w:tc>
        <w:tc>
          <w:tcPr>
            <w:tcW w:w="662" w:type="pct"/>
            <w:hideMark/>
          </w:tcPr>
          <w:p w14:paraId="2DD2808E" w14:textId="37548098"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.551***</w:t>
            </w:r>
          </w:p>
        </w:tc>
        <w:tc>
          <w:tcPr>
            <w:tcW w:w="539" w:type="pct"/>
            <w:hideMark/>
          </w:tcPr>
          <w:p w14:paraId="7F9A9E80" w14:textId="7C2C3BB6"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.421**</w:t>
            </w:r>
          </w:p>
        </w:tc>
        <w:tc>
          <w:tcPr>
            <w:tcW w:w="536" w:type="pct"/>
            <w:hideMark/>
          </w:tcPr>
          <w:p w14:paraId="69BF8950" w14:textId="1C1AA284"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.351**</w:t>
            </w:r>
          </w:p>
        </w:tc>
      </w:tr>
      <w:tr w:rsidR="00D326A2" w:rsidRPr="005E02DB" w14:paraId="075D496D" w14:textId="77777777" w:rsidTr="00D04AFB">
        <w:trPr>
          <w:jc w:val="center"/>
        </w:trPr>
        <w:tc>
          <w:tcPr>
            <w:tcW w:w="1065" w:type="pct"/>
            <w:hideMark/>
          </w:tcPr>
          <w:p w14:paraId="4A8932B1" w14:textId="78119A27" w:rsidR="00D326A2" w:rsidRPr="00F758EA" w:rsidRDefault="00D326A2" w:rsidP="00D326A2">
            <w:pPr>
              <w:widowControl w:val="0"/>
              <w:autoSpaceDE w:val="0"/>
              <w:autoSpaceDN w:val="0"/>
              <w:adjustRightInd w:val="0"/>
              <w:spacing w:line="240" w:lineRule="auto"/>
              <w:rPr>
                <w:rFonts w:eastAsia="DengXian" w:cs="Times New Roman"/>
                <w:sz w:val="20"/>
                <w:szCs w:val="20"/>
              </w:rPr>
            </w:pPr>
          </w:p>
        </w:tc>
        <w:tc>
          <w:tcPr>
            <w:tcW w:w="539" w:type="pct"/>
            <w:hideMark/>
          </w:tcPr>
          <w:p w14:paraId="0C6A8E57" w14:textId="30E6BE57"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(.318)</w:t>
            </w:r>
          </w:p>
        </w:tc>
        <w:tc>
          <w:tcPr>
            <w:tcW w:w="581" w:type="pct"/>
            <w:hideMark/>
          </w:tcPr>
          <w:p w14:paraId="6EE35181" w14:textId="45E0E9DA"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(.810)</w:t>
            </w:r>
          </w:p>
        </w:tc>
        <w:tc>
          <w:tcPr>
            <w:tcW w:w="539" w:type="pct"/>
            <w:hideMark/>
          </w:tcPr>
          <w:p w14:paraId="21BAC105" w14:textId="14BC39D4"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(.410)</w:t>
            </w:r>
          </w:p>
        </w:tc>
        <w:tc>
          <w:tcPr>
            <w:tcW w:w="539" w:type="pct"/>
            <w:hideMark/>
          </w:tcPr>
          <w:p w14:paraId="148B99BC" w14:textId="63395FF3"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(.166)</w:t>
            </w:r>
          </w:p>
        </w:tc>
        <w:tc>
          <w:tcPr>
            <w:tcW w:w="662" w:type="pct"/>
            <w:hideMark/>
          </w:tcPr>
          <w:p w14:paraId="4A958E9F" w14:textId="3F0395D3"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(.172)</w:t>
            </w:r>
          </w:p>
        </w:tc>
        <w:tc>
          <w:tcPr>
            <w:tcW w:w="539" w:type="pct"/>
            <w:hideMark/>
          </w:tcPr>
          <w:p w14:paraId="668D54FB" w14:textId="2AF30122"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(.183)</w:t>
            </w:r>
          </w:p>
        </w:tc>
        <w:tc>
          <w:tcPr>
            <w:tcW w:w="536" w:type="pct"/>
            <w:hideMark/>
          </w:tcPr>
          <w:p w14:paraId="57021E9D" w14:textId="60954FCC"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(.175)</w:t>
            </w:r>
          </w:p>
        </w:tc>
      </w:tr>
      <w:tr w:rsidR="00D326A2" w:rsidRPr="005E02DB" w14:paraId="7F901836" w14:textId="77777777" w:rsidTr="00D04AFB">
        <w:trPr>
          <w:jc w:val="center"/>
        </w:trPr>
        <w:tc>
          <w:tcPr>
            <w:tcW w:w="1065" w:type="pct"/>
            <w:hideMark/>
          </w:tcPr>
          <w:p w14:paraId="20D68CA7" w14:textId="4E6E92CF"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HPI</w:t>
            </w:r>
            <w:r>
              <w:rPr>
                <w:rFonts w:eastAsia="DengXian" w:cs="Times New Roman"/>
                <w:sz w:val="20"/>
                <w:szCs w:val="20"/>
              </w:rPr>
              <w:t xml:space="preserve"> </w:t>
            </w:r>
            <w:r w:rsidRPr="00F758EA">
              <w:rPr>
                <w:rFonts w:eastAsia="DengXian" w:cs="Times New Roman"/>
                <w:sz w:val="20"/>
                <w:szCs w:val="20"/>
              </w:rPr>
              <w:t>(100</w:t>
            </w:r>
            <w:r>
              <w:rPr>
                <w:rFonts w:eastAsia="DengXian" w:cs="Times New Roman"/>
                <w:sz w:val="20"/>
                <w:szCs w:val="20"/>
              </w:rPr>
              <w:t>s</w:t>
            </w:r>
            <w:r w:rsidRPr="00F758EA">
              <w:rPr>
                <w:rFonts w:eastAsia="DengXian" w:cs="Times New Roman"/>
                <w:sz w:val="20"/>
                <w:szCs w:val="20"/>
              </w:rPr>
              <w:t>)</w:t>
            </w:r>
          </w:p>
        </w:tc>
        <w:tc>
          <w:tcPr>
            <w:tcW w:w="539" w:type="pct"/>
            <w:hideMark/>
          </w:tcPr>
          <w:p w14:paraId="61DEA308" w14:textId="1F20E0E8"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-.0395***</w:t>
            </w:r>
          </w:p>
        </w:tc>
        <w:tc>
          <w:tcPr>
            <w:tcW w:w="581" w:type="pct"/>
            <w:hideMark/>
          </w:tcPr>
          <w:p w14:paraId="352144DF" w14:textId="3D467462"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.045</w:t>
            </w:r>
          </w:p>
        </w:tc>
        <w:tc>
          <w:tcPr>
            <w:tcW w:w="539" w:type="pct"/>
            <w:hideMark/>
          </w:tcPr>
          <w:p w14:paraId="585BE61E" w14:textId="5A090007"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.028</w:t>
            </w:r>
          </w:p>
        </w:tc>
        <w:tc>
          <w:tcPr>
            <w:tcW w:w="539" w:type="pct"/>
            <w:hideMark/>
          </w:tcPr>
          <w:p w14:paraId="5897F533" w14:textId="635ADDE0"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.007</w:t>
            </w:r>
          </w:p>
        </w:tc>
        <w:tc>
          <w:tcPr>
            <w:tcW w:w="662" w:type="pct"/>
            <w:hideMark/>
          </w:tcPr>
          <w:p w14:paraId="58A6795F" w14:textId="5CDA149A"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-.012*</w:t>
            </w:r>
          </w:p>
        </w:tc>
        <w:tc>
          <w:tcPr>
            <w:tcW w:w="539" w:type="pct"/>
            <w:hideMark/>
          </w:tcPr>
          <w:p w14:paraId="058B152C" w14:textId="403ABD2F"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.003</w:t>
            </w:r>
          </w:p>
        </w:tc>
        <w:tc>
          <w:tcPr>
            <w:tcW w:w="536" w:type="pct"/>
            <w:hideMark/>
          </w:tcPr>
          <w:p w14:paraId="43B7DC6D" w14:textId="5B231D39"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.0131</w:t>
            </w:r>
          </w:p>
        </w:tc>
      </w:tr>
      <w:tr w:rsidR="00D326A2" w:rsidRPr="005E02DB" w14:paraId="7EBA8ED7" w14:textId="77777777" w:rsidTr="00D04AFB">
        <w:trPr>
          <w:jc w:val="center"/>
        </w:trPr>
        <w:tc>
          <w:tcPr>
            <w:tcW w:w="1065" w:type="pct"/>
            <w:hideMark/>
          </w:tcPr>
          <w:p w14:paraId="55FDCEEB" w14:textId="77A4BBCE" w:rsidR="00D326A2" w:rsidRPr="00F758EA" w:rsidRDefault="00D326A2" w:rsidP="00D326A2">
            <w:pPr>
              <w:widowControl w:val="0"/>
              <w:autoSpaceDE w:val="0"/>
              <w:autoSpaceDN w:val="0"/>
              <w:adjustRightInd w:val="0"/>
              <w:spacing w:line="240" w:lineRule="auto"/>
              <w:rPr>
                <w:rFonts w:eastAsia="DengXian" w:cs="Times New Roman"/>
                <w:sz w:val="20"/>
                <w:szCs w:val="20"/>
              </w:rPr>
            </w:pPr>
          </w:p>
        </w:tc>
        <w:tc>
          <w:tcPr>
            <w:tcW w:w="539" w:type="pct"/>
            <w:hideMark/>
          </w:tcPr>
          <w:p w14:paraId="04F7FE97" w14:textId="6BBFDAB3"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(.012)</w:t>
            </w:r>
          </w:p>
        </w:tc>
        <w:tc>
          <w:tcPr>
            <w:tcW w:w="581" w:type="pct"/>
            <w:hideMark/>
          </w:tcPr>
          <w:p w14:paraId="38EEABF1" w14:textId="3801C75C"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(.042)</w:t>
            </w:r>
          </w:p>
        </w:tc>
        <w:tc>
          <w:tcPr>
            <w:tcW w:w="539" w:type="pct"/>
            <w:hideMark/>
          </w:tcPr>
          <w:p w14:paraId="37470229" w14:textId="593FA287"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(.022)</w:t>
            </w:r>
          </w:p>
        </w:tc>
        <w:tc>
          <w:tcPr>
            <w:tcW w:w="539" w:type="pct"/>
            <w:hideMark/>
          </w:tcPr>
          <w:p w14:paraId="3A2AAEEB" w14:textId="69D537F4"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(.007)</w:t>
            </w:r>
          </w:p>
        </w:tc>
        <w:tc>
          <w:tcPr>
            <w:tcW w:w="662" w:type="pct"/>
            <w:hideMark/>
          </w:tcPr>
          <w:p w14:paraId="128546EA" w14:textId="20E23801"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(.007)</w:t>
            </w:r>
          </w:p>
        </w:tc>
        <w:tc>
          <w:tcPr>
            <w:tcW w:w="539" w:type="pct"/>
            <w:hideMark/>
          </w:tcPr>
          <w:p w14:paraId="1DFE34CF" w14:textId="40BC9DF0"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(.005)</w:t>
            </w:r>
          </w:p>
        </w:tc>
        <w:tc>
          <w:tcPr>
            <w:tcW w:w="536" w:type="pct"/>
            <w:hideMark/>
          </w:tcPr>
          <w:p w14:paraId="3C3CACB6" w14:textId="566B2A31"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(.015)</w:t>
            </w:r>
          </w:p>
        </w:tc>
      </w:tr>
      <w:tr w:rsidR="00D326A2" w:rsidRPr="005E02DB" w14:paraId="1A5CD578" w14:textId="77777777" w:rsidTr="00D04AFB">
        <w:trPr>
          <w:jc w:val="center"/>
        </w:trPr>
        <w:tc>
          <w:tcPr>
            <w:tcW w:w="1065" w:type="pct"/>
            <w:hideMark/>
          </w:tcPr>
          <w:p w14:paraId="5606CE4F" w14:textId="24D2125B" w:rsidR="00D326A2" w:rsidRPr="00F758EA" w:rsidRDefault="00D326A2" w:rsidP="00D326A2">
            <w:pPr>
              <w:widowControl w:val="0"/>
              <w:autoSpaceDE w:val="0"/>
              <w:autoSpaceDN w:val="0"/>
              <w:adjustRightInd w:val="0"/>
              <w:spacing w:line="240" w:lineRule="auto"/>
              <w:rPr>
                <w:rFonts w:eastAsia="DengXian" w:cs="Times New Roman"/>
                <w:sz w:val="20"/>
                <w:szCs w:val="20"/>
              </w:rPr>
            </w:pPr>
            <w:r>
              <w:rPr>
                <w:rFonts w:eastAsia="DengXian" w:cs="Times New Roman"/>
                <w:sz w:val="20"/>
                <w:szCs w:val="20"/>
              </w:rPr>
              <w:t xml:space="preserve">EPA - </w:t>
            </w:r>
            <w:r w:rsidRPr="00F758EA">
              <w:rPr>
                <w:rFonts w:eastAsia="DengXian" w:cs="Times New Roman"/>
                <w:sz w:val="20"/>
                <w:szCs w:val="20"/>
              </w:rPr>
              <w:t xml:space="preserve">SO2 </w:t>
            </w:r>
            <w:r>
              <w:rPr>
                <w:rFonts w:eastAsia="DengXian" w:cs="Times New Roman"/>
                <w:sz w:val="20"/>
                <w:szCs w:val="20"/>
              </w:rPr>
              <w:t>(t-1)</w:t>
            </w:r>
          </w:p>
        </w:tc>
        <w:tc>
          <w:tcPr>
            <w:tcW w:w="539" w:type="pct"/>
            <w:hideMark/>
          </w:tcPr>
          <w:p w14:paraId="5E257E72" w14:textId="44B5C2B7"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.101</w:t>
            </w:r>
          </w:p>
        </w:tc>
        <w:tc>
          <w:tcPr>
            <w:tcW w:w="581" w:type="pct"/>
            <w:hideMark/>
          </w:tcPr>
          <w:p w14:paraId="5F70BBC5" w14:textId="71719F54"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.245</w:t>
            </w:r>
          </w:p>
        </w:tc>
        <w:tc>
          <w:tcPr>
            <w:tcW w:w="539" w:type="pct"/>
            <w:hideMark/>
          </w:tcPr>
          <w:p w14:paraId="02E0650A" w14:textId="0C23631B"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.058</w:t>
            </w:r>
          </w:p>
        </w:tc>
        <w:tc>
          <w:tcPr>
            <w:tcW w:w="539" w:type="pct"/>
            <w:hideMark/>
          </w:tcPr>
          <w:p w14:paraId="7590D665" w14:textId="61136057"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.059</w:t>
            </w:r>
          </w:p>
        </w:tc>
        <w:tc>
          <w:tcPr>
            <w:tcW w:w="662" w:type="pct"/>
            <w:hideMark/>
          </w:tcPr>
          <w:p w14:paraId="507DCF83" w14:textId="75850572"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.029</w:t>
            </w:r>
          </w:p>
        </w:tc>
        <w:tc>
          <w:tcPr>
            <w:tcW w:w="539" w:type="pct"/>
            <w:hideMark/>
          </w:tcPr>
          <w:p w14:paraId="058EB7E0" w14:textId="2FA71A0B"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.048</w:t>
            </w:r>
          </w:p>
        </w:tc>
        <w:tc>
          <w:tcPr>
            <w:tcW w:w="536" w:type="pct"/>
            <w:hideMark/>
          </w:tcPr>
          <w:p w14:paraId="4F30B356" w14:textId="018A6ACE"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-.017</w:t>
            </w:r>
          </w:p>
        </w:tc>
      </w:tr>
      <w:tr w:rsidR="00D326A2" w:rsidRPr="005E02DB" w14:paraId="490FE995" w14:textId="77777777" w:rsidTr="00D04AFB">
        <w:trPr>
          <w:jc w:val="center"/>
        </w:trPr>
        <w:tc>
          <w:tcPr>
            <w:tcW w:w="1065" w:type="pct"/>
            <w:hideMark/>
          </w:tcPr>
          <w:p w14:paraId="76760D4B" w14:textId="02128DA1" w:rsidR="00D326A2" w:rsidRPr="00F758EA" w:rsidRDefault="00D326A2" w:rsidP="00D326A2">
            <w:pPr>
              <w:widowControl w:val="0"/>
              <w:autoSpaceDE w:val="0"/>
              <w:autoSpaceDN w:val="0"/>
              <w:adjustRightInd w:val="0"/>
              <w:spacing w:line="240" w:lineRule="auto"/>
              <w:rPr>
                <w:rFonts w:eastAsia="DengXian" w:cs="Times New Roman"/>
                <w:sz w:val="20"/>
                <w:szCs w:val="20"/>
              </w:rPr>
            </w:pPr>
          </w:p>
        </w:tc>
        <w:tc>
          <w:tcPr>
            <w:tcW w:w="539" w:type="pct"/>
            <w:hideMark/>
          </w:tcPr>
          <w:p w14:paraId="29E8F8FF" w14:textId="5293B82B"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(.148)</w:t>
            </w:r>
          </w:p>
        </w:tc>
        <w:tc>
          <w:tcPr>
            <w:tcW w:w="581" w:type="pct"/>
            <w:hideMark/>
          </w:tcPr>
          <w:p w14:paraId="69A52720" w14:textId="55FD31D4"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(.247)</w:t>
            </w:r>
          </w:p>
        </w:tc>
        <w:tc>
          <w:tcPr>
            <w:tcW w:w="539" w:type="pct"/>
            <w:hideMark/>
          </w:tcPr>
          <w:p w14:paraId="7FDAE451" w14:textId="709DA93E"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(.330)</w:t>
            </w:r>
          </w:p>
        </w:tc>
        <w:tc>
          <w:tcPr>
            <w:tcW w:w="539" w:type="pct"/>
            <w:hideMark/>
          </w:tcPr>
          <w:p w14:paraId="0B75F4A2" w14:textId="72E30BD9"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(.056)</w:t>
            </w:r>
          </w:p>
        </w:tc>
        <w:tc>
          <w:tcPr>
            <w:tcW w:w="662" w:type="pct"/>
            <w:hideMark/>
          </w:tcPr>
          <w:p w14:paraId="4736B268" w14:textId="6EC26C66"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(.045)</w:t>
            </w:r>
          </w:p>
        </w:tc>
        <w:tc>
          <w:tcPr>
            <w:tcW w:w="539" w:type="pct"/>
            <w:hideMark/>
          </w:tcPr>
          <w:p w14:paraId="18672B88" w14:textId="0D6A8157"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(.051)</w:t>
            </w:r>
          </w:p>
        </w:tc>
        <w:tc>
          <w:tcPr>
            <w:tcW w:w="536" w:type="pct"/>
            <w:hideMark/>
          </w:tcPr>
          <w:p w14:paraId="48FDBB86" w14:textId="60B552C2"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(.060)</w:t>
            </w:r>
          </w:p>
        </w:tc>
      </w:tr>
      <w:tr w:rsidR="00D326A2" w:rsidRPr="005E02DB" w14:paraId="6BB94B82" w14:textId="77777777" w:rsidTr="00D04AFB">
        <w:trPr>
          <w:jc w:val="center"/>
        </w:trPr>
        <w:tc>
          <w:tcPr>
            <w:tcW w:w="1065" w:type="pct"/>
            <w:hideMark/>
          </w:tcPr>
          <w:p w14:paraId="0280D42C" w14:textId="4B68C82B" w:rsidR="00D326A2" w:rsidRPr="00F758EA" w:rsidRDefault="00D326A2" w:rsidP="00D326A2">
            <w:pPr>
              <w:widowControl w:val="0"/>
              <w:autoSpaceDE w:val="0"/>
              <w:autoSpaceDN w:val="0"/>
              <w:adjustRightInd w:val="0"/>
              <w:spacing w:line="240" w:lineRule="auto"/>
              <w:rPr>
                <w:rFonts w:eastAsia="DengXian" w:cs="Times New Roman"/>
                <w:sz w:val="20"/>
                <w:szCs w:val="20"/>
              </w:rPr>
            </w:pPr>
            <w:r>
              <w:rPr>
                <w:rFonts w:eastAsia="DengXian" w:cs="Times New Roman"/>
                <w:sz w:val="20"/>
                <w:szCs w:val="20"/>
              </w:rPr>
              <w:t xml:space="preserve">EPA - </w:t>
            </w:r>
            <w:r w:rsidRPr="00F758EA">
              <w:rPr>
                <w:rFonts w:eastAsia="DengXian" w:cs="Times New Roman"/>
                <w:sz w:val="20"/>
                <w:szCs w:val="20"/>
              </w:rPr>
              <w:t>PSM (t-1)</w:t>
            </w:r>
          </w:p>
        </w:tc>
        <w:tc>
          <w:tcPr>
            <w:tcW w:w="539" w:type="pct"/>
            <w:hideMark/>
          </w:tcPr>
          <w:p w14:paraId="235843B3" w14:textId="7D88DB58"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-.049*</w:t>
            </w:r>
          </w:p>
        </w:tc>
        <w:tc>
          <w:tcPr>
            <w:tcW w:w="581" w:type="pct"/>
            <w:hideMark/>
          </w:tcPr>
          <w:p w14:paraId="0C29E7D9" w14:textId="66AF89F9"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-.001</w:t>
            </w:r>
          </w:p>
        </w:tc>
        <w:tc>
          <w:tcPr>
            <w:tcW w:w="539" w:type="pct"/>
            <w:hideMark/>
          </w:tcPr>
          <w:p w14:paraId="3EB034B1" w14:textId="6B729CD7"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.068*</w:t>
            </w:r>
          </w:p>
        </w:tc>
        <w:tc>
          <w:tcPr>
            <w:tcW w:w="539" w:type="pct"/>
            <w:hideMark/>
          </w:tcPr>
          <w:p w14:paraId="08E2415F" w14:textId="43CF4991"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.008</w:t>
            </w:r>
          </w:p>
        </w:tc>
        <w:tc>
          <w:tcPr>
            <w:tcW w:w="662" w:type="pct"/>
            <w:hideMark/>
          </w:tcPr>
          <w:p w14:paraId="6AF28F88" w14:textId="3A11F81C"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.021**</w:t>
            </w:r>
          </w:p>
        </w:tc>
        <w:tc>
          <w:tcPr>
            <w:tcW w:w="539" w:type="pct"/>
            <w:hideMark/>
          </w:tcPr>
          <w:p w14:paraId="7679532F" w14:textId="70D4162A"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.036**</w:t>
            </w:r>
          </w:p>
        </w:tc>
        <w:tc>
          <w:tcPr>
            <w:tcW w:w="536" w:type="pct"/>
            <w:hideMark/>
          </w:tcPr>
          <w:p w14:paraId="277918CE" w14:textId="073D04B3"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-.006</w:t>
            </w:r>
          </w:p>
        </w:tc>
      </w:tr>
      <w:tr w:rsidR="00D326A2" w:rsidRPr="005E02DB" w14:paraId="5D033F31" w14:textId="77777777" w:rsidTr="00D04AFB">
        <w:trPr>
          <w:jc w:val="center"/>
        </w:trPr>
        <w:tc>
          <w:tcPr>
            <w:tcW w:w="1065" w:type="pct"/>
            <w:hideMark/>
          </w:tcPr>
          <w:p w14:paraId="3E92AEAA" w14:textId="11D7F4F1" w:rsidR="00D326A2" w:rsidRPr="00F758EA" w:rsidRDefault="00D326A2" w:rsidP="00D326A2">
            <w:pPr>
              <w:widowControl w:val="0"/>
              <w:autoSpaceDE w:val="0"/>
              <w:autoSpaceDN w:val="0"/>
              <w:adjustRightInd w:val="0"/>
              <w:spacing w:line="240" w:lineRule="auto"/>
              <w:rPr>
                <w:rFonts w:eastAsia="DengXian" w:cs="Times New Roman"/>
                <w:sz w:val="20"/>
                <w:szCs w:val="20"/>
              </w:rPr>
            </w:pPr>
          </w:p>
        </w:tc>
        <w:tc>
          <w:tcPr>
            <w:tcW w:w="539" w:type="pct"/>
            <w:hideMark/>
          </w:tcPr>
          <w:p w14:paraId="1C439417" w14:textId="1D1FD4BE"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(.027)</w:t>
            </w:r>
          </w:p>
        </w:tc>
        <w:tc>
          <w:tcPr>
            <w:tcW w:w="581" w:type="pct"/>
            <w:hideMark/>
          </w:tcPr>
          <w:p w14:paraId="6794F225" w14:textId="6036E93E"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(.044)</w:t>
            </w:r>
          </w:p>
        </w:tc>
        <w:tc>
          <w:tcPr>
            <w:tcW w:w="539" w:type="pct"/>
            <w:hideMark/>
          </w:tcPr>
          <w:p w14:paraId="581A73B2" w14:textId="0F157B6A"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(.040)</w:t>
            </w:r>
          </w:p>
        </w:tc>
        <w:tc>
          <w:tcPr>
            <w:tcW w:w="539" w:type="pct"/>
            <w:hideMark/>
          </w:tcPr>
          <w:p w14:paraId="09D54FFB" w14:textId="569B4B22"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(.009)</w:t>
            </w:r>
          </w:p>
        </w:tc>
        <w:tc>
          <w:tcPr>
            <w:tcW w:w="662" w:type="pct"/>
            <w:hideMark/>
          </w:tcPr>
          <w:p w14:paraId="5769FB44" w14:textId="2B54B922"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(.010)</w:t>
            </w:r>
          </w:p>
        </w:tc>
        <w:tc>
          <w:tcPr>
            <w:tcW w:w="539" w:type="pct"/>
            <w:hideMark/>
          </w:tcPr>
          <w:p w14:paraId="17D94A8E" w14:textId="747A1B13"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(.018)</w:t>
            </w:r>
          </w:p>
        </w:tc>
        <w:tc>
          <w:tcPr>
            <w:tcW w:w="536" w:type="pct"/>
            <w:hideMark/>
          </w:tcPr>
          <w:p w14:paraId="060DDDD1" w14:textId="0BAF4A63"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(.017)</w:t>
            </w:r>
          </w:p>
        </w:tc>
      </w:tr>
      <w:tr w:rsidR="00D326A2" w:rsidRPr="005E02DB" w14:paraId="1737743F" w14:textId="77777777" w:rsidTr="00D04AFB">
        <w:trPr>
          <w:jc w:val="center"/>
        </w:trPr>
        <w:tc>
          <w:tcPr>
            <w:tcW w:w="1065" w:type="pct"/>
            <w:hideMark/>
          </w:tcPr>
          <w:p w14:paraId="609C1157" w14:textId="167AAFB0" w:rsidR="00D326A2" w:rsidRPr="00F758EA" w:rsidRDefault="00D326A2" w:rsidP="00D326A2">
            <w:pPr>
              <w:widowControl w:val="0"/>
              <w:autoSpaceDE w:val="0"/>
              <w:autoSpaceDN w:val="0"/>
              <w:adjustRightInd w:val="0"/>
              <w:spacing w:line="240" w:lineRule="auto"/>
              <w:rPr>
                <w:rFonts w:eastAsia="DengXian" w:cs="Times New Roman"/>
                <w:sz w:val="20"/>
                <w:szCs w:val="20"/>
              </w:rPr>
            </w:pPr>
            <w:r>
              <w:rPr>
                <w:rFonts w:eastAsia="DengXian" w:cs="Times New Roman"/>
                <w:sz w:val="20"/>
                <w:szCs w:val="20"/>
              </w:rPr>
              <w:t xml:space="preserve">EPA - </w:t>
            </w:r>
            <w:r w:rsidRPr="00F758EA">
              <w:rPr>
                <w:rFonts w:eastAsia="DengXian" w:cs="Times New Roman"/>
                <w:sz w:val="20"/>
                <w:szCs w:val="20"/>
              </w:rPr>
              <w:t>O3 (t-1)</w:t>
            </w:r>
          </w:p>
        </w:tc>
        <w:tc>
          <w:tcPr>
            <w:tcW w:w="539" w:type="pct"/>
            <w:hideMark/>
          </w:tcPr>
          <w:p w14:paraId="5E522EF0" w14:textId="23EF98B1"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-.071***</w:t>
            </w:r>
          </w:p>
        </w:tc>
        <w:tc>
          <w:tcPr>
            <w:tcW w:w="581" w:type="pct"/>
            <w:hideMark/>
          </w:tcPr>
          <w:p w14:paraId="11DFA274" w14:textId="359ED175"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.121</w:t>
            </w:r>
          </w:p>
        </w:tc>
        <w:tc>
          <w:tcPr>
            <w:tcW w:w="539" w:type="pct"/>
            <w:hideMark/>
          </w:tcPr>
          <w:p w14:paraId="4B67F9E2" w14:textId="2D2854A8"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.125**</w:t>
            </w:r>
          </w:p>
        </w:tc>
        <w:tc>
          <w:tcPr>
            <w:tcW w:w="539" w:type="pct"/>
            <w:hideMark/>
          </w:tcPr>
          <w:p w14:paraId="6EEA205A" w14:textId="365367A8"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-.012</w:t>
            </w:r>
          </w:p>
        </w:tc>
        <w:tc>
          <w:tcPr>
            <w:tcW w:w="662" w:type="pct"/>
            <w:hideMark/>
          </w:tcPr>
          <w:p w14:paraId="26E800F4" w14:textId="7F878C66"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.024**</w:t>
            </w:r>
          </w:p>
        </w:tc>
        <w:tc>
          <w:tcPr>
            <w:tcW w:w="539" w:type="pct"/>
            <w:hideMark/>
          </w:tcPr>
          <w:p w14:paraId="2D79459E" w14:textId="12AF91D4"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-.037*</w:t>
            </w:r>
          </w:p>
        </w:tc>
        <w:tc>
          <w:tcPr>
            <w:tcW w:w="536" w:type="pct"/>
            <w:hideMark/>
          </w:tcPr>
          <w:p w14:paraId="207081FC" w14:textId="55A3AC23"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.040**</w:t>
            </w:r>
          </w:p>
        </w:tc>
      </w:tr>
      <w:tr w:rsidR="00D326A2" w:rsidRPr="005E02DB" w14:paraId="20C5E5D9" w14:textId="77777777" w:rsidTr="00D04AFB">
        <w:trPr>
          <w:jc w:val="center"/>
        </w:trPr>
        <w:tc>
          <w:tcPr>
            <w:tcW w:w="1065" w:type="pct"/>
            <w:hideMark/>
          </w:tcPr>
          <w:p w14:paraId="4573443E" w14:textId="2BA65930" w:rsidR="00D326A2" w:rsidRPr="00F758EA" w:rsidRDefault="00D326A2" w:rsidP="00D326A2">
            <w:pPr>
              <w:widowControl w:val="0"/>
              <w:autoSpaceDE w:val="0"/>
              <w:autoSpaceDN w:val="0"/>
              <w:adjustRightInd w:val="0"/>
              <w:spacing w:line="240" w:lineRule="auto"/>
              <w:rPr>
                <w:rFonts w:eastAsia="DengXian" w:cs="Times New Roman"/>
                <w:sz w:val="20"/>
                <w:szCs w:val="20"/>
              </w:rPr>
            </w:pPr>
          </w:p>
        </w:tc>
        <w:tc>
          <w:tcPr>
            <w:tcW w:w="539" w:type="pct"/>
            <w:hideMark/>
          </w:tcPr>
          <w:p w14:paraId="720DD091" w14:textId="52699516"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(.026)</w:t>
            </w:r>
          </w:p>
        </w:tc>
        <w:tc>
          <w:tcPr>
            <w:tcW w:w="581" w:type="pct"/>
            <w:hideMark/>
          </w:tcPr>
          <w:p w14:paraId="170746E9" w14:textId="3D41FC16"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(.080)</w:t>
            </w:r>
          </w:p>
        </w:tc>
        <w:tc>
          <w:tcPr>
            <w:tcW w:w="539" w:type="pct"/>
            <w:hideMark/>
          </w:tcPr>
          <w:p w14:paraId="0D38126B" w14:textId="030944C4"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(.050)</w:t>
            </w:r>
          </w:p>
        </w:tc>
        <w:tc>
          <w:tcPr>
            <w:tcW w:w="539" w:type="pct"/>
            <w:hideMark/>
          </w:tcPr>
          <w:p w14:paraId="3B274812" w14:textId="6B3C2A75"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(.010)</w:t>
            </w:r>
          </w:p>
        </w:tc>
        <w:tc>
          <w:tcPr>
            <w:tcW w:w="662" w:type="pct"/>
            <w:hideMark/>
          </w:tcPr>
          <w:p w14:paraId="6D04B307" w14:textId="69B58E60"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(.010)</w:t>
            </w:r>
          </w:p>
        </w:tc>
        <w:tc>
          <w:tcPr>
            <w:tcW w:w="539" w:type="pct"/>
            <w:hideMark/>
          </w:tcPr>
          <w:p w14:paraId="6855013C" w14:textId="2E3E2489"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(.022)</w:t>
            </w:r>
          </w:p>
        </w:tc>
        <w:tc>
          <w:tcPr>
            <w:tcW w:w="536" w:type="pct"/>
            <w:hideMark/>
          </w:tcPr>
          <w:p w14:paraId="201D5801" w14:textId="097D8958"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(.016)</w:t>
            </w:r>
          </w:p>
        </w:tc>
      </w:tr>
      <w:tr w:rsidR="00D326A2" w:rsidRPr="005E02DB" w14:paraId="5B4A6454" w14:textId="77777777" w:rsidTr="00D04AFB">
        <w:trPr>
          <w:jc w:val="center"/>
        </w:trPr>
        <w:tc>
          <w:tcPr>
            <w:tcW w:w="1065" w:type="pct"/>
            <w:hideMark/>
          </w:tcPr>
          <w:p w14:paraId="630F743F" w14:textId="13FF7022" w:rsidR="00D326A2" w:rsidRPr="00F758EA" w:rsidRDefault="00D326A2" w:rsidP="00D326A2">
            <w:pPr>
              <w:widowControl w:val="0"/>
              <w:autoSpaceDE w:val="0"/>
              <w:autoSpaceDN w:val="0"/>
              <w:adjustRightInd w:val="0"/>
              <w:spacing w:line="240" w:lineRule="auto"/>
              <w:rPr>
                <w:rFonts w:eastAsia="DengXian" w:cs="Times New Roman"/>
                <w:sz w:val="20"/>
                <w:szCs w:val="20"/>
              </w:rPr>
            </w:pPr>
            <w:r>
              <w:rPr>
                <w:rFonts w:eastAsia="DengXian" w:cs="Times New Roman"/>
                <w:sz w:val="20"/>
                <w:szCs w:val="20"/>
              </w:rPr>
              <w:t xml:space="preserve">EPA - </w:t>
            </w:r>
            <w:r w:rsidRPr="00F758EA">
              <w:rPr>
                <w:rFonts w:eastAsia="DengXian" w:cs="Times New Roman"/>
                <w:sz w:val="20"/>
                <w:szCs w:val="20"/>
              </w:rPr>
              <w:t>NO2 (t-1)</w:t>
            </w:r>
          </w:p>
        </w:tc>
        <w:tc>
          <w:tcPr>
            <w:tcW w:w="539" w:type="pct"/>
            <w:hideMark/>
          </w:tcPr>
          <w:p w14:paraId="62EB7A7D" w14:textId="29E1FA5F"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-.477***</w:t>
            </w:r>
          </w:p>
        </w:tc>
        <w:tc>
          <w:tcPr>
            <w:tcW w:w="581" w:type="pct"/>
            <w:hideMark/>
          </w:tcPr>
          <w:p w14:paraId="7EC6F2EF" w14:textId="27F5FA7A"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.052</w:t>
            </w:r>
          </w:p>
        </w:tc>
        <w:tc>
          <w:tcPr>
            <w:tcW w:w="539" w:type="pct"/>
            <w:hideMark/>
          </w:tcPr>
          <w:p w14:paraId="3162BFC0" w14:textId="05485E50"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-.076</w:t>
            </w:r>
          </w:p>
        </w:tc>
        <w:tc>
          <w:tcPr>
            <w:tcW w:w="539" w:type="pct"/>
            <w:hideMark/>
          </w:tcPr>
          <w:p w14:paraId="3462E538" w14:textId="5D2781E9"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-.013</w:t>
            </w:r>
          </w:p>
        </w:tc>
        <w:tc>
          <w:tcPr>
            <w:tcW w:w="662" w:type="pct"/>
            <w:hideMark/>
          </w:tcPr>
          <w:p w14:paraId="51005F39" w14:textId="7DCD0748"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-.101***</w:t>
            </w:r>
          </w:p>
        </w:tc>
        <w:tc>
          <w:tcPr>
            <w:tcW w:w="539" w:type="pct"/>
            <w:hideMark/>
          </w:tcPr>
          <w:p w14:paraId="1651EB4C" w14:textId="2093A3AC"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-.134***</w:t>
            </w:r>
          </w:p>
        </w:tc>
        <w:tc>
          <w:tcPr>
            <w:tcW w:w="536" w:type="pct"/>
          </w:tcPr>
          <w:p w14:paraId="5FBC7110" w14:textId="77777777" w:rsidR="00D326A2" w:rsidRPr="00F758EA" w:rsidRDefault="00D326A2" w:rsidP="00D326A2">
            <w:pPr>
              <w:widowControl w:val="0"/>
              <w:autoSpaceDE w:val="0"/>
              <w:autoSpaceDN w:val="0"/>
              <w:adjustRightInd w:val="0"/>
              <w:spacing w:line="240" w:lineRule="auto"/>
              <w:rPr>
                <w:rFonts w:eastAsia="DengXian" w:cs="Times New Roman"/>
                <w:sz w:val="20"/>
                <w:szCs w:val="20"/>
              </w:rPr>
            </w:pPr>
          </w:p>
        </w:tc>
      </w:tr>
      <w:tr w:rsidR="00D326A2" w:rsidRPr="005E02DB" w14:paraId="19A65087" w14:textId="77777777" w:rsidTr="00D04AFB">
        <w:trPr>
          <w:jc w:val="center"/>
        </w:trPr>
        <w:tc>
          <w:tcPr>
            <w:tcW w:w="1065" w:type="pct"/>
            <w:hideMark/>
          </w:tcPr>
          <w:p w14:paraId="4FF7CB79" w14:textId="76B564A0" w:rsidR="00D326A2" w:rsidRPr="00F758EA" w:rsidRDefault="00D326A2" w:rsidP="00D326A2">
            <w:pPr>
              <w:widowControl w:val="0"/>
              <w:autoSpaceDE w:val="0"/>
              <w:autoSpaceDN w:val="0"/>
              <w:adjustRightInd w:val="0"/>
              <w:spacing w:line="240" w:lineRule="auto"/>
              <w:rPr>
                <w:rFonts w:eastAsia="DengXian" w:cs="Times New Roman"/>
                <w:sz w:val="20"/>
                <w:szCs w:val="20"/>
              </w:rPr>
            </w:pPr>
          </w:p>
        </w:tc>
        <w:tc>
          <w:tcPr>
            <w:tcW w:w="539" w:type="pct"/>
            <w:hideMark/>
          </w:tcPr>
          <w:p w14:paraId="7045BC71" w14:textId="32356FEB"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(.127)</w:t>
            </w:r>
          </w:p>
        </w:tc>
        <w:tc>
          <w:tcPr>
            <w:tcW w:w="581" w:type="pct"/>
            <w:hideMark/>
          </w:tcPr>
          <w:p w14:paraId="3E5B32F0" w14:textId="12025303"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(.669)</w:t>
            </w:r>
          </w:p>
        </w:tc>
        <w:tc>
          <w:tcPr>
            <w:tcW w:w="539" w:type="pct"/>
            <w:hideMark/>
          </w:tcPr>
          <w:p w14:paraId="4BBDECA4" w14:textId="50775491"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(.303)</w:t>
            </w:r>
          </w:p>
        </w:tc>
        <w:tc>
          <w:tcPr>
            <w:tcW w:w="539" w:type="pct"/>
            <w:hideMark/>
          </w:tcPr>
          <w:p w14:paraId="502C260B" w14:textId="1F688882"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(.038)</w:t>
            </w:r>
          </w:p>
        </w:tc>
        <w:tc>
          <w:tcPr>
            <w:tcW w:w="662" w:type="pct"/>
            <w:hideMark/>
          </w:tcPr>
          <w:p w14:paraId="48BC655D" w14:textId="7A83FA42"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(.030)</w:t>
            </w:r>
          </w:p>
        </w:tc>
        <w:tc>
          <w:tcPr>
            <w:tcW w:w="539" w:type="pct"/>
            <w:hideMark/>
          </w:tcPr>
          <w:p w14:paraId="7E8973CD" w14:textId="61E33BB8"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(.035)</w:t>
            </w:r>
          </w:p>
        </w:tc>
        <w:tc>
          <w:tcPr>
            <w:tcW w:w="536" w:type="pct"/>
          </w:tcPr>
          <w:p w14:paraId="7A2C8990" w14:textId="77777777" w:rsidR="00D326A2" w:rsidRPr="00F758EA" w:rsidRDefault="00D326A2" w:rsidP="00D326A2">
            <w:pPr>
              <w:widowControl w:val="0"/>
              <w:autoSpaceDE w:val="0"/>
              <w:autoSpaceDN w:val="0"/>
              <w:adjustRightInd w:val="0"/>
              <w:spacing w:line="240" w:lineRule="auto"/>
              <w:rPr>
                <w:rFonts w:eastAsia="DengXian" w:cs="Times New Roman"/>
                <w:sz w:val="20"/>
                <w:szCs w:val="20"/>
              </w:rPr>
            </w:pPr>
          </w:p>
        </w:tc>
      </w:tr>
      <w:tr w:rsidR="00D326A2" w:rsidRPr="005E02DB" w14:paraId="6AE5B9DB" w14:textId="77777777" w:rsidTr="00D04AFB">
        <w:trPr>
          <w:jc w:val="center"/>
        </w:trPr>
        <w:tc>
          <w:tcPr>
            <w:tcW w:w="1065" w:type="pct"/>
            <w:hideMark/>
          </w:tcPr>
          <w:p w14:paraId="1C6BFE39" w14:textId="706B6A02" w:rsidR="00D326A2" w:rsidRPr="00F758EA" w:rsidRDefault="00D326A2" w:rsidP="00D326A2">
            <w:pPr>
              <w:widowControl w:val="0"/>
              <w:autoSpaceDE w:val="0"/>
              <w:autoSpaceDN w:val="0"/>
              <w:adjustRightInd w:val="0"/>
              <w:spacing w:line="240" w:lineRule="auto"/>
              <w:rPr>
                <w:rFonts w:eastAsia="DengXian" w:cs="Times New Roman"/>
                <w:sz w:val="20"/>
                <w:szCs w:val="20"/>
              </w:rPr>
            </w:pPr>
            <w:r>
              <w:rPr>
                <w:rFonts w:eastAsia="DengXian" w:cs="Times New Roman"/>
                <w:sz w:val="20"/>
                <w:szCs w:val="20"/>
              </w:rPr>
              <w:t xml:space="preserve">EPA - </w:t>
            </w:r>
            <w:r w:rsidRPr="00F758EA">
              <w:rPr>
                <w:rFonts w:eastAsia="DengXian" w:cs="Times New Roman"/>
                <w:sz w:val="20"/>
                <w:szCs w:val="20"/>
              </w:rPr>
              <w:t>Pb (t-1)</w:t>
            </w:r>
          </w:p>
        </w:tc>
        <w:tc>
          <w:tcPr>
            <w:tcW w:w="539" w:type="pct"/>
            <w:hideMark/>
          </w:tcPr>
          <w:p w14:paraId="76048681" w14:textId="4CC4AB20"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-.342</w:t>
            </w:r>
          </w:p>
        </w:tc>
        <w:tc>
          <w:tcPr>
            <w:tcW w:w="581" w:type="pct"/>
            <w:hideMark/>
          </w:tcPr>
          <w:p w14:paraId="26A8ECBD" w14:textId="4833BCF3"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.2478</w:t>
            </w:r>
          </w:p>
        </w:tc>
        <w:tc>
          <w:tcPr>
            <w:tcW w:w="539" w:type="pct"/>
            <w:hideMark/>
          </w:tcPr>
          <w:p w14:paraId="398EDB76" w14:textId="0AC2189D"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.496*</w:t>
            </w:r>
          </w:p>
        </w:tc>
        <w:tc>
          <w:tcPr>
            <w:tcW w:w="539" w:type="pct"/>
            <w:hideMark/>
          </w:tcPr>
          <w:p w14:paraId="38861EAD" w14:textId="650BD943"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.084</w:t>
            </w:r>
          </w:p>
        </w:tc>
        <w:tc>
          <w:tcPr>
            <w:tcW w:w="662" w:type="pct"/>
            <w:hideMark/>
          </w:tcPr>
          <w:p w14:paraId="0C53A067" w14:textId="1C6D3FE2"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-.075</w:t>
            </w:r>
          </w:p>
        </w:tc>
        <w:tc>
          <w:tcPr>
            <w:tcW w:w="539" w:type="pct"/>
            <w:hideMark/>
          </w:tcPr>
          <w:p w14:paraId="7F3D42D1" w14:textId="5E719B96"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-.057</w:t>
            </w:r>
          </w:p>
        </w:tc>
        <w:tc>
          <w:tcPr>
            <w:tcW w:w="536" w:type="pct"/>
            <w:hideMark/>
          </w:tcPr>
          <w:p w14:paraId="6C393CFD" w14:textId="267C6898"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-.311***</w:t>
            </w:r>
          </w:p>
        </w:tc>
      </w:tr>
      <w:tr w:rsidR="00D326A2" w:rsidRPr="005E02DB" w14:paraId="0D63D2B3" w14:textId="77777777" w:rsidTr="00D04AFB">
        <w:trPr>
          <w:jc w:val="center"/>
        </w:trPr>
        <w:tc>
          <w:tcPr>
            <w:tcW w:w="1065" w:type="pct"/>
            <w:hideMark/>
          </w:tcPr>
          <w:p w14:paraId="0A1801D2" w14:textId="265B8CB8" w:rsidR="00D326A2" w:rsidRPr="00F758EA" w:rsidRDefault="00D326A2" w:rsidP="00D326A2">
            <w:pPr>
              <w:widowControl w:val="0"/>
              <w:autoSpaceDE w:val="0"/>
              <w:autoSpaceDN w:val="0"/>
              <w:adjustRightInd w:val="0"/>
              <w:spacing w:line="240" w:lineRule="auto"/>
              <w:rPr>
                <w:rFonts w:eastAsia="DengXian" w:cs="Times New Roman"/>
                <w:sz w:val="20"/>
                <w:szCs w:val="20"/>
              </w:rPr>
            </w:pPr>
          </w:p>
        </w:tc>
        <w:tc>
          <w:tcPr>
            <w:tcW w:w="539" w:type="pct"/>
            <w:hideMark/>
          </w:tcPr>
          <w:p w14:paraId="560A811F" w14:textId="1F74DAF6"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(.265)</w:t>
            </w:r>
          </w:p>
        </w:tc>
        <w:tc>
          <w:tcPr>
            <w:tcW w:w="581" w:type="pct"/>
            <w:hideMark/>
          </w:tcPr>
          <w:p w14:paraId="6C086610" w14:textId="704919C9"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(.235)</w:t>
            </w:r>
          </w:p>
        </w:tc>
        <w:tc>
          <w:tcPr>
            <w:tcW w:w="539" w:type="pct"/>
            <w:hideMark/>
          </w:tcPr>
          <w:p w14:paraId="194071EB" w14:textId="057D7A57"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(.256)</w:t>
            </w:r>
          </w:p>
        </w:tc>
        <w:tc>
          <w:tcPr>
            <w:tcW w:w="539" w:type="pct"/>
            <w:hideMark/>
          </w:tcPr>
          <w:p w14:paraId="585F12D2" w14:textId="129AC7B8"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(.055)</w:t>
            </w:r>
          </w:p>
        </w:tc>
        <w:tc>
          <w:tcPr>
            <w:tcW w:w="662" w:type="pct"/>
            <w:hideMark/>
          </w:tcPr>
          <w:p w14:paraId="5261E2F2" w14:textId="0DB9653B"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(.058)</w:t>
            </w:r>
          </w:p>
        </w:tc>
        <w:tc>
          <w:tcPr>
            <w:tcW w:w="539" w:type="pct"/>
            <w:hideMark/>
          </w:tcPr>
          <w:p w14:paraId="104C43E5" w14:textId="561C61B6"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(.060)</w:t>
            </w:r>
          </w:p>
        </w:tc>
        <w:tc>
          <w:tcPr>
            <w:tcW w:w="536" w:type="pct"/>
            <w:hideMark/>
          </w:tcPr>
          <w:p w14:paraId="58D563D5" w14:textId="68918F3D"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(.118)</w:t>
            </w:r>
          </w:p>
        </w:tc>
      </w:tr>
      <w:tr w:rsidR="00D326A2" w:rsidRPr="005E02DB" w14:paraId="1BD48489" w14:textId="77777777" w:rsidTr="00D04AFB">
        <w:trPr>
          <w:jc w:val="center"/>
        </w:trPr>
        <w:tc>
          <w:tcPr>
            <w:tcW w:w="1065" w:type="pct"/>
            <w:hideMark/>
          </w:tcPr>
          <w:p w14:paraId="4996DB38" w14:textId="0FE55236" w:rsidR="00D326A2" w:rsidRPr="00F758EA" w:rsidRDefault="00D326A2" w:rsidP="00D326A2">
            <w:pPr>
              <w:widowControl w:val="0"/>
              <w:autoSpaceDE w:val="0"/>
              <w:autoSpaceDN w:val="0"/>
              <w:adjustRightInd w:val="0"/>
              <w:spacing w:line="240" w:lineRule="auto"/>
              <w:rPr>
                <w:rFonts w:eastAsia="DengXian" w:cs="Times New Roman"/>
                <w:sz w:val="20"/>
                <w:szCs w:val="20"/>
              </w:rPr>
            </w:pPr>
            <w:r>
              <w:rPr>
                <w:rFonts w:eastAsia="DengXian" w:cs="Times New Roman"/>
                <w:sz w:val="20"/>
                <w:szCs w:val="20"/>
              </w:rPr>
              <w:t xml:space="preserve">EPA - </w:t>
            </w:r>
            <w:r w:rsidRPr="00F758EA">
              <w:rPr>
                <w:rFonts w:eastAsia="DengXian" w:cs="Times New Roman"/>
                <w:sz w:val="20"/>
                <w:szCs w:val="20"/>
              </w:rPr>
              <w:t>CO (t-1)</w:t>
            </w:r>
          </w:p>
        </w:tc>
        <w:tc>
          <w:tcPr>
            <w:tcW w:w="539" w:type="pct"/>
            <w:hideMark/>
          </w:tcPr>
          <w:p w14:paraId="3B64C40B" w14:textId="77DD6C01"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.225***</w:t>
            </w:r>
          </w:p>
        </w:tc>
        <w:tc>
          <w:tcPr>
            <w:tcW w:w="581" w:type="pct"/>
            <w:hideMark/>
          </w:tcPr>
          <w:p w14:paraId="23C1A587" w14:textId="1AD745CE"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.325*</w:t>
            </w:r>
          </w:p>
        </w:tc>
        <w:tc>
          <w:tcPr>
            <w:tcW w:w="539" w:type="pct"/>
            <w:hideMark/>
          </w:tcPr>
          <w:p w14:paraId="56F7E31D" w14:textId="3ACC62D4"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.247*</w:t>
            </w:r>
          </w:p>
        </w:tc>
        <w:tc>
          <w:tcPr>
            <w:tcW w:w="539" w:type="pct"/>
            <w:hideMark/>
          </w:tcPr>
          <w:p w14:paraId="7ED0BCC7" w14:textId="4CB526C7"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.032</w:t>
            </w:r>
          </w:p>
        </w:tc>
        <w:tc>
          <w:tcPr>
            <w:tcW w:w="662" w:type="pct"/>
            <w:hideMark/>
          </w:tcPr>
          <w:p w14:paraId="28E7180E" w14:textId="735DA0A5"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.067**</w:t>
            </w:r>
          </w:p>
        </w:tc>
        <w:tc>
          <w:tcPr>
            <w:tcW w:w="539" w:type="pct"/>
            <w:hideMark/>
          </w:tcPr>
          <w:p w14:paraId="44928B01" w14:textId="119CBB57"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.055*</w:t>
            </w:r>
          </w:p>
        </w:tc>
        <w:tc>
          <w:tcPr>
            <w:tcW w:w="536" w:type="pct"/>
            <w:hideMark/>
          </w:tcPr>
          <w:p w14:paraId="44EB8EDD" w14:textId="70F7A7C4" w:rsidR="00D326A2" w:rsidRPr="00F758EA" w:rsidRDefault="00D326A2"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-.216**</w:t>
            </w:r>
          </w:p>
        </w:tc>
      </w:tr>
      <w:tr w:rsidR="00D04AFB" w:rsidRPr="005E02DB" w14:paraId="656554D1" w14:textId="77777777" w:rsidTr="00D04AFB">
        <w:trPr>
          <w:jc w:val="center"/>
        </w:trPr>
        <w:tc>
          <w:tcPr>
            <w:tcW w:w="1065" w:type="pct"/>
            <w:hideMark/>
          </w:tcPr>
          <w:p w14:paraId="42ED43DA" w14:textId="4911FC85" w:rsidR="005E02DB" w:rsidRPr="00F758EA" w:rsidRDefault="005E02DB" w:rsidP="00D326A2">
            <w:pPr>
              <w:widowControl w:val="0"/>
              <w:autoSpaceDE w:val="0"/>
              <w:autoSpaceDN w:val="0"/>
              <w:adjustRightInd w:val="0"/>
              <w:spacing w:line="240" w:lineRule="auto"/>
              <w:rPr>
                <w:rFonts w:eastAsia="DengXian" w:cs="Times New Roman"/>
                <w:sz w:val="20"/>
                <w:szCs w:val="20"/>
              </w:rPr>
            </w:pPr>
          </w:p>
        </w:tc>
        <w:tc>
          <w:tcPr>
            <w:tcW w:w="539" w:type="pct"/>
            <w:hideMark/>
          </w:tcPr>
          <w:p w14:paraId="2350D1FF" w14:textId="0BE6C938"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(.084)</w:t>
            </w:r>
          </w:p>
        </w:tc>
        <w:tc>
          <w:tcPr>
            <w:tcW w:w="581" w:type="pct"/>
            <w:hideMark/>
          </w:tcPr>
          <w:p w14:paraId="6E94E845" w14:textId="4F9DBD76"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(.187)</w:t>
            </w:r>
          </w:p>
        </w:tc>
        <w:tc>
          <w:tcPr>
            <w:tcW w:w="539" w:type="pct"/>
            <w:hideMark/>
          </w:tcPr>
          <w:p w14:paraId="619F8797" w14:textId="432C0373"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(.137)</w:t>
            </w:r>
          </w:p>
        </w:tc>
        <w:tc>
          <w:tcPr>
            <w:tcW w:w="539" w:type="pct"/>
            <w:hideMark/>
          </w:tcPr>
          <w:p w14:paraId="402194AE" w14:textId="23CA34D7"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(.025)</w:t>
            </w:r>
          </w:p>
        </w:tc>
        <w:tc>
          <w:tcPr>
            <w:tcW w:w="662" w:type="pct"/>
            <w:hideMark/>
          </w:tcPr>
          <w:p w14:paraId="6351B578" w14:textId="51F66142"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(.034)</w:t>
            </w:r>
          </w:p>
        </w:tc>
        <w:tc>
          <w:tcPr>
            <w:tcW w:w="539" w:type="pct"/>
            <w:hideMark/>
          </w:tcPr>
          <w:p w14:paraId="50ABA9C3" w14:textId="3646EF49"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(.029)</w:t>
            </w:r>
          </w:p>
        </w:tc>
        <w:tc>
          <w:tcPr>
            <w:tcW w:w="536" w:type="pct"/>
            <w:hideMark/>
          </w:tcPr>
          <w:p w14:paraId="649C90A1" w14:textId="468E9495"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(.10</w:t>
            </w:r>
            <w:r w:rsidR="00791795" w:rsidRPr="00F758EA">
              <w:rPr>
                <w:rFonts w:eastAsia="DengXian" w:cs="Times New Roman"/>
                <w:sz w:val="20"/>
                <w:szCs w:val="20"/>
              </w:rPr>
              <w:t>2</w:t>
            </w:r>
            <w:r w:rsidRPr="00F758EA">
              <w:rPr>
                <w:rFonts w:eastAsia="DengXian" w:cs="Times New Roman"/>
                <w:sz w:val="20"/>
                <w:szCs w:val="20"/>
              </w:rPr>
              <w:t>)</w:t>
            </w:r>
          </w:p>
        </w:tc>
      </w:tr>
      <w:tr w:rsidR="00D04AFB" w:rsidRPr="005E02DB" w14:paraId="6D26E62F" w14:textId="77777777" w:rsidTr="00D04AFB">
        <w:trPr>
          <w:jc w:val="center"/>
        </w:trPr>
        <w:tc>
          <w:tcPr>
            <w:tcW w:w="1065" w:type="pct"/>
            <w:hideMark/>
          </w:tcPr>
          <w:p w14:paraId="7B73B814" w14:textId="521149BD" w:rsidR="005E02DB" w:rsidRPr="00F758EA" w:rsidRDefault="005E02DB"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PAD - All GAPs (t-1)</w:t>
            </w:r>
          </w:p>
        </w:tc>
        <w:tc>
          <w:tcPr>
            <w:tcW w:w="539" w:type="pct"/>
            <w:hideMark/>
          </w:tcPr>
          <w:p w14:paraId="2169D586" w14:textId="4296AFF5"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.680</w:t>
            </w:r>
          </w:p>
        </w:tc>
        <w:tc>
          <w:tcPr>
            <w:tcW w:w="581" w:type="pct"/>
            <w:hideMark/>
          </w:tcPr>
          <w:p w14:paraId="74312BB3" w14:textId="78DA3286"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-2.449</w:t>
            </w:r>
          </w:p>
        </w:tc>
        <w:tc>
          <w:tcPr>
            <w:tcW w:w="539" w:type="pct"/>
            <w:hideMark/>
          </w:tcPr>
          <w:p w14:paraId="1D6670CF" w14:textId="0A8D3BD5"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3.400*</w:t>
            </w:r>
          </w:p>
        </w:tc>
        <w:tc>
          <w:tcPr>
            <w:tcW w:w="539" w:type="pct"/>
            <w:hideMark/>
          </w:tcPr>
          <w:p w14:paraId="7E02758F" w14:textId="56041BB4"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-.568</w:t>
            </w:r>
          </w:p>
        </w:tc>
        <w:tc>
          <w:tcPr>
            <w:tcW w:w="662" w:type="pct"/>
            <w:hideMark/>
          </w:tcPr>
          <w:p w14:paraId="3F64F047" w14:textId="369E5845"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-1.35</w:t>
            </w:r>
            <w:r w:rsidR="00791795" w:rsidRPr="00F758EA">
              <w:rPr>
                <w:rFonts w:eastAsia="DengXian" w:cs="Times New Roman"/>
                <w:sz w:val="20"/>
                <w:szCs w:val="20"/>
              </w:rPr>
              <w:t>0</w:t>
            </w:r>
            <w:r w:rsidRPr="00F758EA">
              <w:rPr>
                <w:rFonts w:eastAsia="DengXian" w:cs="Times New Roman"/>
                <w:sz w:val="20"/>
                <w:szCs w:val="20"/>
              </w:rPr>
              <w:t>**</w:t>
            </w:r>
          </w:p>
        </w:tc>
        <w:tc>
          <w:tcPr>
            <w:tcW w:w="539" w:type="pct"/>
            <w:hideMark/>
          </w:tcPr>
          <w:p w14:paraId="1E629B0D" w14:textId="5DC87757"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-.41</w:t>
            </w:r>
            <w:r w:rsidR="00791795" w:rsidRPr="00F758EA">
              <w:rPr>
                <w:rFonts w:eastAsia="DengXian" w:cs="Times New Roman"/>
                <w:sz w:val="20"/>
                <w:szCs w:val="20"/>
              </w:rPr>
              <w:t>2</w:t>
            </w:r>
          </w:p>
        </w:tc>
        <w:tc>
          <w:tcPr>
            <w:tcW w:w="536" w:type="pct"/>
            <w:hideMark/>
          </w:tcPr>
          <w:p w14:paraId="47E31199" w14:textId="4405F277"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1.269</w:t>
            </w:r>
          </w:p>
        </w:tc>
      </w:tr>
      <w:tr w:rsidR="00D04AFB" w:rsidRPr="005E02DB" w14:paraId="73336843" w14:textId="77777777" w:rsidTr="00D04AFB">
        <w:trPr>
          <w:jc w:val="center"/>
        </w:trPr>
        <w:tc>
          <w:tcPr>
            <w:tcW w:w="1065" w:type="pct"/>
            <w:hideMark/>
          </w:tcPr>
          <w:p w14:paraId="08597D7B" w14:textId="7C46C62D" w:rsidR="005E02DB" w:rsidRPr="00F758EA" w:rsidRDefault="005E02DB" w:rsidP="00D326A2">
            <w:pPr>
              <w:widowControl w:val="0"/>
              <w:autoSpaceDE w:val="0"/>
              <w:autoSpaceDN w:val="0"/>
              <w:adjustRightInd w:val="0"/>
              <w:spacing w:line="240" w:lineRule="auto"/>
              <w:rPr>
                <w:rFonts w:eastAsia="DengXian" w:cs="Times New Roman"/>
                <w:sz w:val="20"/>
                <w:szCs w:val="20"/>
              </w:rPr>
            </w:pPr>
          </w:p>
        </w:tc>
        <w:tc>
          <w:tcPr>
            <w:tcW w:w="539" w:type="pct"/>
            <w:hideMark/>
          </w:tcPr>
          <w:p w14:paraId="6C2F9A71" w14:textId="6DA6E2F1"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(1.207)</w:t>
            </w:r>
          </w:p>
        </w:tc>
        <w:tc>
          <w:tcPr>
            <w:tcW w:w="581" w:type="pct"/>
            <w:hideMark/>
          </w:tcPr>
          <w:p w14:paraId="7944DB2E" w14:textId="28072E9C"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(1.937)</w:t>
            </w:r>
          </w:p>
        </w:tc>
        <w:tc>
          <w:tcPr>
            <w:tcW w:w="539" w:type="pct"/>
            <w:hideMark/>
          </w:tcPr>
          <w:p w14:paraId="619976E9" w14:textId="7ED41598"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(2.02</w:t>
            </w:r>
            <w:r w:rsidR="00B45504" w:rsidRPr="00F758EA">
              <w:rPr>
                <w:rFonts w:eastAsia="DengXian" w:cs="Times New Roman"/>
                <w:sz w:val="20"/>
                <w:szCs w:val="20"/>
              </w:rPr>
              <w:t>7</w:t>
            </w:r>
            <w:r w:rsidRPr="00F758EA">
              <w:rPr>
                <w:rFonts w:eastAsia="DengXian" w:cs="Times New Roman"/>
                <w:sz w:val="20"/>
                <w:szCs w:val="20"/>
              </w:rPr>
              <w:t>)</w:t>
            </w:r>
          </w:p>
        </w:tc>
        <w:tc>
          <w:tcPr>
            <w:tcW w:w="539" w:type="pct"/>
            <w:hideMark/>
          </w:tcPr>
          <w:p w14:paraId="5773A495" w14:textId="16FC2F23"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(.497)</w:t>
            </w:r>
          </w:p>
        </w:tc>
        <w:tc>
          <w:tcPr>
            <w:tcW w:w="662" w:type="pct"/>
            <w:hideMark/>
          </w:tcPr>
          <w:p w14:paraId="0A7DBD1A" w14:textId="7092840E"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(.655)</w:t>
            </w:r>
          </w:p>
        </w:tc>
        <w:tc>
          <w:tcPr>
            <w:tcW w:w="539" w:type="pct"/>
            <w:hideMark/>
          </w:tcPr>
          <w:p w14:paraId="14CC412D" w14:textId="5658C208"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(.62</w:t>
            </w:r>
            <w:r w:rsidR="00791795" w:rsidRPr="00F758EA">
              <w:rPr>
                <w:rFonts w:eastAsia="DengXian" w:cs="Times New Roman"/>
                <w:sz w:val="20"/>
                <w:szCs w:val="20"/>
              </w:rPr>
              <w:t>4</w:t>
            </w:r>
            <w:r w:rsidRPr="00F758EA">
              <w:rPr>
                <w:rFonts w:eastAsia="DengXian" w:cs="Times New Roman"/>
                <w:sz w:val="20"/>
                <w:szCs w:val="20"/>
              </w:rPr>
              <w:t>)</w:t>
            </w:r>
          </w:p>
        </w:tc>
        <w:tc>
          <w:tcPr>
            <w:tcW w:w="536" w:type="pct"/>
            <w:hideMark/>
          </w:tcPr>
          <w:p w14:paraId="7AED0DB2" w14:textId="5DC6363C"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(1.505)</w:t>
            </w:r>
          </w:p>
        </w:tc>
      </w:tr>
      <w:tr w:rsidR="00D04AFB" w:rsidRPr="005E02DB" w14:paraId="0D43DB61" w14:textId="77777777" w:rsidTr="00D04AFB">
        <w:trPr>
          <w:jc w:val="center"/>
        </w:trPr>
        <w:tc>
          <w:tcPr>
            <w:tcW w:w="1065" w:type="pct"/>
            <w:hideMark/>
          </w:tcPr>
          <w:p w14:paraId="1633C342" w14:textId="77777777" w:rsidR="005E02DB" w:rsidRPr="00F758EA" w:rsidRDefault="005E02DB"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PAD Squared</w:t>
            </w:r>
          </w:p>
        </w:tc>
        <w:tc>
          <w:tcPr>
            <w:tcW w:w="539" w:type="pct"/>
            <w:hideMark/>
          </w:tcPr>
          <w:p w14:paraId="5AD68AA0" w14:textId="31AC5360"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-1.727</w:t>
            </w:r>
          </w:p>
        </w:tc>
        <w:tc>
          <w:tcPr>
            <w:tcW w:w="581" w:type="pct"/>
            <w:hideMark/>
          </w:tcPr>
          <w:p w14:paraId="7390F92F" w14:textId="3693D011"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1.161</w:t>
            </w:r>
          </w:p>
        </w:tc>
        <w:tc>
          <w:tcPr>
            <w:tcW w:w="539" w:type="pct"/>
            <w:hideMark/>
          </w:tcPr>
          <w:p w14:paraId="1BB470D8" w14:textId="1357C6A5"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-4.03</w:t>
            </w:r>
            <w:r w:rsidR="00B45504" w:rsidRPr="00F758EA">
              <w:rPr>
                <w:rFonts w:eastAsia="DengXian" w:cs="Times New Roman"/>
                <w:sz w:val="20"/>
                <w:szCs w:val="20"/>
              </w:rPr>
              <w:t>7</w:t>
            </w:r>
            <w:r w:rsidRPr="00F758EA">
              <w:rPr>
                <w:rFonts w:eastAsia="DengXian" w:cs="Times New Roman"/>
                <w:sz w:val="20"/>
                <w:szCs w:val="20"/>
              </w:rPr>
              <w:t>**</w:t>
            </w:r>
          </w:p>
        </w:tc>
        <w:tc>
          <w:tcPr>
            <w:tcW w:w="539" w:type="pct"/>
            <w:hideMark/>
          </w:tcPr>
          <w:p w14:paraId="7459D02E" w14:textId="661C3BC4"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.146</w:t>
            </w:r>
          </w:p>
        </w:tc>
        <w:tc>
          <w:tcPr>
            <w:tcW w:w="662" w:type="pct"/>
            <w:hideMark/>
          </w:tcPr>
          <w:p w14:paraId="34945A04" w14:textId="419A4CC7"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1.22</w:t>
            </w:r>
            <w:r w:rsidR="00791795" w:rsidRPr="00F758EA">
              <w:rPr>
                <w:rFonts w:eastAsia="DengXian" w:cs="Times New Roman"/>
                <w:sz w:val="20"/>
                <w:szCs w:val="20"/>
              </w:rPr>
              <w:t>7</w:t>
            </w:r>
          </w:p>
        </w:tc>
        <w:tc>
          <w:tcPr>
            <w:tcW w:w="539" w:type="pct"/>
            <w:hideMark/>
          </w:tcPr>
          <w:p w14:paraId="3A4E151C" w14:textId="7567C7BA"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.32</w:t>
            </w:r>
            <w:r w:rsidR="00791795" w:rsidRPr="00F758EA">
              <w:rPr>
                <w:rFonts w:eastAsia="DengXian" w:cs="Times New Roman"/>
                <w:sz w:val="20"/>
                <w:szCs w:val="20"/>
              </w:rPr>
              <w:t>2</w:t>
            </w:r>
          </w:p>
        </w:tc>
        <w:tc>
          <w:tcPr>
            <w:tcW w:w="536" w:type="pct"/>
            <w:hideMark/>
          </w:tcPr>
          <w:p w14:paraId="608C9BDA" w14:textId="73767D9D"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-1.881</w:t>
            </w:r>
          </w:p>
        </w:tc>
      </w:tr>
      <w:tr w:rsidR="00D04AFB" w:rsidRPr="005E02DB" w14:paraId="493777F7" w14:textId="77777777" w:rsidTr="00D04AFB">
        <w:trPr>
          <w:jc w:val="center"/>
        </w:trPr>
        <w:tc>
          <w:tcPr>
            <w:tcW w:w="1065" w:type="pct"/>
            <w:hideMark/>
          </w:tcPr>
          <w:p w14:paraId="7F43E244" w14:textId="422DA97A" w:rsidR="005E02DB" w:rsidRPr="00F758EA" w:rsidRDefault="005E02DB" w:rsidP="00D326A2">
            <w:pPr>
              <w:widowControl w:val="0"/>
              <w:autoSpaceDE w:val="0"/>
              <w:autoSpaceDN w:val="0"/>
              <w:adjustRightInd w:val="0"/>
              <w:spacing w:line="240" w:lineRule="auto"/>
              <w:rPr>
                <w:rFonts w:eastAsia="DengXian" w:cs="Times New Roman"/>
                <w:sz w:val="20"/>
                <w:szCs w:val="20"/>
              </w:rPr>
            </w:pPr>
          </w:p>
        </w:tc>
        <w:tc>
          <w:tcPr>
            <w:tcW w:w="539" w:type="pct"/>
            <w:hideMark/>
          </w:tcPr>
          <w:p w14:paraId="6A4C3639" w14:textId="23FF66DF"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(1.296)</w:t>
            </w:r>
          </w:p>
        </w:tc>
        <w:tc>
          <w:tcPr>
            <w:tcW w:w="581" w:type="pct"/>
            <w:hideMark/>
          </w:tcPr>
          <w:p w14:paraId="08C91BBA" w14:textId="64310012"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(1.944)</w:t>
            </w:r>
          </w:p>
        </w:tc>
        <w:tc>
          <w:tcPr>
            <w:tcW w:w="539" w:type="pct"/>
            <w:hideMark/>
          </w:tcPr>
          <w:p w14:paraId="26395B14" w14:textId="368E639D"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(1.983)</w:t>
            </w:r>
          </w:p>
        </w:tc>
        <w:tc>
          <w:tcPr>
            <w:tcW w:w="539" w:type="pct"/>
            <w:hideMark/>
          </w:tcPr>
          <w:p w14:paraId="0167E410" w14:textId="64F5224D"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(.40</w:t>
            </w:r>
            <w:r w:rsidR="00B45504" w:rsidRPr="00F758EA">
              <w:rPr>
                <w:rFonts w:eastAsia="DengXian" w:cs="Times New Roman"/>
                <w:sz w:val="20"/>
                <w:szCs w:val="20"/>
              </w:rPr>
              <w:t>6</w:t>
            </w:r>
            <w:r w:rsidRPr="00F758EA">
              <w:rPr>
                <w:rFonts w:eastAsia="DengXian" w:cs="Times New Roman"/>
                <w:sz w:val="20"/>
                <w:szCs w:val="20"/>
              </w:rPr>
              <w:t>)</w:t>
            </w:r>
          </w:p>
        </w:tc>
        <w:tc>
          <w:tcPr>
            <w:tcW w:w="662" w:type="pct"/>
            <w:hideMark/>
          </w:tcPr>
          <w:p w14:paraId="09A4EC78" w14:textId="01B7B701"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(.75</w:t>
            </w:r>
            <w:r w:rsidR="00791795" w:rsidRPr="00F758EA">
              <w:rPr>
                <w:rFonts w:eastAsia="DengXian" w:cs="Times New Roman"/>
                <w:sz w:val="20"/>
                <w:szCs w:val="20"/>
              </w:rPr>
              <w:t>4</w:t>
            </w:r>
            <w:r w:rsidRPr="00F758EA">
              <w:rPr>
                <w:rFonts w:eastAsia="DengXian" w:cs="Times New Roman"/>
                <w:sz w:val="20"/>
                <w:szCs w:val="20"/>
              </w:rPr>
              <w:t>)</w:t>
            </w:r>
          </w:p>
        </w:tc>
        <w:tc>
          <w:tcPr>
            <w:tcW w:w="539" w:type="pct"/>
            <w:hideMark/>
          </w:tcPr>
          <w:p w14:paraId="171062FB" w14:textId="7C78C712"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(.61</w:t>
            </w:r>
            <w:r w:rsidR="00791795" w:rsidRPr="00F758EA">
              <w:rPr>
                <w:rFonts w:eastAsia="DengXian" w:cs="Times New Roman"/>
                <w:sz w:val="20"/>
                <w:szCs w:val="20"/>
              </w:rPr>
              <w:t>7</w:t>
            </w:r>
            <w:r w:rsidRPr="00F758EA">
              <w:rPr>
                <w:rFonts w:eastAsia="DengXian" w:cs="Times New Roman"/>
                <w:sz w:val="20"/>
                <w:szCs w:val="20"/>
              </w:rPr>
              <w:t>)</w:t>
            </w:r>
          </w:p>
        </w:tc>
        <w:tc>
          <w:tcPr>
            <w:tcW w:w="536" w:type="pct"/>
            <w:hideMark/>
          </w:tcPr>
          <w:p w14:paraId="6AB1FCAD" w14:textId="7F5DA6E4"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(1.55</w:t>
            </w:r>
            <w:r w:rsidR="00791795" w:rsidRPr="00F758EA">
              <w:rPr>
                <w:rFonts w:eastAsia="DengXian" w:cs="Times New Roman"/>
                <w:sz w:val="20"/>
                <w:szCs w:val="20"/>
              </w:rPr>
              <w:t>7</w:t>
            </w:r>
            <w:r w:rsidRPr="00F758EA">
              <w:rPr>
                <w:rFonts w:eastAsia="DengXian" w:cs="Times New Roman"/>
                <w:sz w:val="20"/>
                <w:szCs w:val="20"/>
              </w:rPr>
              <w:t>)</w:t>
            </w:r>
          </w:p>
        </w:tc>
      </w:tr>
      <w:tr w:rsidR="00D04AFB" w:rsidRPr="005E02DB" w14:paraId="02FF9664" w14:textId="77777777" w:rsidTr="00D04AFB">
        <w:trPr>
          <w:jc w:val="center"/>
        </w:trPr>
        <w:tc>
          <w:tcPr>
            <w:tcW w:w="1065" w:type="pct"/>
            <w:hideMark/>
          </w:tcPr>
          <w:p w14:paraId="70020B4E" w14:textId="6CCB9458" w:rsidR="005E02DB" w:rsidRPr="00F758EA" w:rsidRDefault="005E02DB"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 xml:space="preserve">Prior </w:t>
            </w:r>
            <w:proofErr w:type="spellStart"/>
            <w:r w:rsidRPr="00F758EA">
              <w:rPr>
                <w:rFonts w:eastAsia="DengXian" w:cs="Times New Roman"/>
                <w:sz w:val="20"/>
                <w:szCs w:val="20"/>
              </w:rPr>
              <w:t>Estab</w:t>
            </w:r>
            <w:proofErr w:type="spellEnd"/>
            <w:r w:rsidRPr="00F758EA">
              <w:rPr>
                <w:rFonts w:eastAsia="DengXian" w:cs="Times New Roman"/>
                <w:sz w:val="20"/>
                <w:szCs w:val="20"/>
              </w:rPr>
              <w:t>. Stock (10ks)</w:t>
            </w:r>
          </w:p>
        </w:tc>
        <w:tc>
          <w:tcPr>
            <w:tcW w:w="539" w:type="pct"/>
            <w:hideMark/>
          </w:tcPr>
          <w:p w14:paraId="1978A19B" w14:textId="43373A65"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13.160**</w:t>
            </w:r>
          </w:p>
        </w:tc>
        <w:tc>
          <w:tcPr>
            <w:tcW w:w="581" w:type="pct"/>
            <w:hideMark/>
          </w:tcPr>
          <w:p w14:paraId="43DC6AEF" w14:textId="18B417E0"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27.356***</w:t>
            </w:r>
          </w:p>
        </w:tc>
        <w:tc>
          <w:tcPr>
            <w:tcW w:w="539" w:type="pct"/>
            <w:hideMark/>
          </w:tcPr>
          <w:p w14:paraId="79FF326E" w14:textId="19F047E6"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-20.507</w:t>
            </w:r>
          </w:p>
        </w:tc>
        <w:tc>
          <w:tcPr>
            <w:tcW w:w="539" w:type="pct"/>
            <w:hideMark/>
          </w:tcPr>
          <w:p w14:paraId="4E3E9D79" w14:textId="324AF832"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.077</w:t>
            </w:r>
          </w:p>
        </w:tc>
        <w:tc>
          <w:tcPr>
            <w:tcW w:w="662" w:type="pct"/>
            <w:hideMark/>
          </w:tcPr>
          <w:p w14:paraId="532BFA01" w14:textId="4911C7D6"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.280*</w:t>
            </w:r>
          </w:p>
        </w:tc>
        <w:tc>
          <w:tcPr>
            <w:tcW w:w="539" w:type="pct"/>
            <w:hideMark/>
          </w:tcPr>
          <w:p w14:paraId="5922EA67" w14:textId="67230778"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.16</w:t>
            </w:r>
            <w:r w:rsidR="00791795" w:rsidRPr="00F758EA">
              <w:rPr>
                <w:rFonts w:eastAsia="DengXian" w:cs="Times New Roman"/>
                <w:sz w:val="20"/>
                <w:szCs w:val="20"/>
              </w:rPr>
              <w:t>5</w:t>
            </w:r>
            <w:r w:rsidRPr="00F758EA">
              <w:rPr>
                <w:rFonts w:eastAsia="DengXian" w:cs="Times New Roman"/>
                <w:sz w:val="20"/>
                <w:szCs w:val="20"/>
              </w:rPr>
              <w:t>***</w:t>
            </w:r>
          </w:p>
        </w:tc>
        <w:tc>
          <w:tcPr>
            <w:tcW w:w="536" w:type="pct"/>
            <w:hideMark/>
          </w:tcPr>
          <w:p w14:paraId="2B875CCB" w14:textId="7A79D022"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1.526*</w:t>
            </w:r>
          </w:p>
        </w:tc>
      </w:tr>
      <w:tr w:rsidR="00D04AFB" w:rsidRPr="005E02DB" w14:paraId="6F9299C2" w14:textId="77777777" w:rsidTr="00D04AFB">
        <w:trPr>
          <w:jc w:val="center"/>
        </w:trPr>
        <w:tc>
          <w:tcPr>
            <w:tcW w:w="1065" w:type="pct"/>
            <w:hideMark/>
          </w:tcPr>
          <w:p w14:paraId="2239281D" w14:textId="5906EACE" w:rsidR="005E02DB" w:rsidRPr="00F758EA" w:rsidRDefault="005E02DB" w:rsidP="00D326A2">
            <w:pPr>
              <w:widowControl w:val="0"/>
              <w:autoSpaceDE w:val="0"/>
              <w:autoSpaceDN w:val="0"/>
              <w:adjustRightInd w:val="0"/>
              <w:spacing w:line="240" w:lineRule="auto"/>
              <w:rPr>
                <w:rFonts w:eastAsia="DengXian" w:cs="Times New Roman"/>
                <w:sz w:val="20"/>
                <w:szCs w:val="20"/>
              </w:rPr>
            </w:pPr>
          </w:p>
        </w:tc>
        <w:tc>
          <w:tcPr>
            <w:tcW w:w="539" w:type="pct"/>
            <w:hideMark/>
          </w:tcPr>
          <w:p w14:paraId="05C49358" w14:textId="6F15DB3D"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(5.529)</w:t>
            </w:r>
          </w:p>
        </w:tc>
        <w:tc>
          <w:tcPr>
            <w:tcW w:w="581" w:type="pct"/>
            <w:hideMark/>
          </w:tcPr>
          <w:p w14:paraId="615540ED" w14:textId="5DA5F228"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(4.905)</w:t>
            </w:r>
          </w:p>
        </w:tc>
        <w:tc>
          <w:tcPr>
            <w:tcW w:w="539" w:type="pct"/>
            <w:hideMark/>
          </w:tcPr>
          <w:p w14:paraId="1EA8B983" w14:textId="24303C42"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(26.66</w:t>
            </w:r>
            <w:r w:rsidR="00693FCE" w:rsidRPr="00F758EA">
              <w:rPr>
                <w:rFonts w:eastAsia="DengXian" w:cs="Times New Roman"/>
                <w:sz w:val="20"/>
                <w:szCs w:val="20"/>
              </w:rPr>
              <w:t>4</w:t>
            </w:r>
            <w:r w:rsidRPr="00F758EA">
              <w:rPr>
                <w:rFonts w:eastAsia="DengXian" w:cs="Times New Roman"/>
                <w:sz w:val="20"/>
                <w:szCs w:val="20"/>
              </w:rPr>
              <w:t>)</w:t>
            </w:r>
          </w:p>
        </w:tc>
        <w:tc>
          <w:tcPr>
            <w:tcW w:w="539" w:type="pct"/>
            <w:hideMark/>
          </w:tcPr>
          <w:p w14:paraId="49E1A244" w14:textId="40FA74E0"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(.05</w:t>
            </w:r>
            <w:r w:rsidR="00B45504" w:rsidRPr="00F758EA">
              <w:rPr>
                <w:rFonts w:eastAsia="DengXian" w:cs="Times New Roman"/>
                <w:sz w:val="20"/>
                <w:szCs w:val="20"/>
              </w:rPr>
              <w:t>2</w:t>
            </w:r>
            <w:r w:rsidRPr="00F758EA">
              <w:rPr>
                <w:rFonts w:eastAsia="DengXian" w:cs="Times New Roman"/>
                <w:sz w:val="20"/>
                <w:szCs w:val="20"/>
              </w:rPr>
              <w:t>)</w:t>
            </w:r>
          </w:p>
        </w:tc>
        <w:tc>
          <w:tcPr>
            <w:tcW w:w="662" w:type="pct"/>
            <w:hideMark/>
          </w:tcPr>
          <w:p w14:paraId="701AF613" w14:textId="1E62E4DE"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(.16</w:t>
            </w:r>
            <w:r w:rsidR="00791795" w:rsidRPr="00F758EA">
              <w:rPr>
                <w:rFonts w:eastAsia="DengXian" w:cs="Times New Roman"/>
                <w:sz w:val="20"/>
                <w:szCs w:val="20"/>
              </w:rPr>
              <w:t>3</w:t>
            </w:r>
            <w:r w:rsidRPr="00F758EA">
              <w:rPr>
                <w:rFonts w:eastAsia="DengXian" w:cs="Times New Roman"/>
                <w:sz w:val="20"/>
                <w:szCs w:val="20"/>
              </w:rPr>
              <w:t>)</w:t>
            </w:r>
          </w:p>
        </w:tc>
        <w:tc>
          <w:tcPr>
            <w:tcW w:w="539" w:type="pct"/>
            <w:hideMark/>
          </w:tcPr>
          <w:p w14:paraId="555F1BE8" w14:textId="2AFF4934"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(.016)</w:t>
            </w:r>
          </w:p>
        </w:tc>
        <w:tc>
          <w:tcPr>
            <w:tcW w:w="536" w:type="pct"/>
            <w:hideMark/>
          </w:tcPr>
          <w:p w14:paraId="3CBE676D" w14:textId="3ED3426A"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(.89</w:t>
            </w:r>
            <w:r w:rsidR="00791795" w:rsidRPr="00F758EA">
              <w:rPr>
                <w:rFonts w:eastAsia="DengXian" w:cs="Times New Roman"/>
                <w:sz w:val="20"/>
                <w:szCs w:val="20"/>
              </w:rPr>
              <w:t>9</w:t>
            </w:r>
            <w:r w:rsidRPr="00F758EA">
              <w:rPr>
                <w:rFonts w:eastAsia="DengXian" w:cs="Times New Roman"/>
                <w:sz w:val="20"/>
                <w:szCs w:val="20"/>
              </w:rPr>
              <w:t>)</w:t>
            </w:r>
          </w:p>
        </w:tc>
      </w:tr>
      <w:tr w:rsidR="00D04AFB" w:rsidRPr="005E02DB" w14:paraId="2D78E1A8" w14:textId="77777777" w:rsidTr="00D04AFB">
        <w:trPr>
          <w:jc w:val="center"/>
        </w:trPr>
        <w:tc>
          <w:tcPr>
            <w:tcW w:w="1065" w:type="pct"/>
            <w:hideMark/>
          </w:tcPr>
          <w:p w14:paraId="6621AD85" w14:textId="796ABDF8" w:rsidR="005E02DB" w:rsidRPr="00F758EA" w:rsidRDefault="005E02DB"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_cons</w:t>
            </w:r>
          </w:p>
        </w:tc>
        <w:tc>
          <w:tcPr>
            <w:tcW w:w="539" w:type="pct"/>
            <w:hideMark/>
          </w:tcPr>
          <w:p w14:paraId="350AC5DF" w14:textId="06EF711F"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5.6</w:t>
            </w:r>
            <w:r w:rsidR="00693FCE" w:rsidRPr="00F758EA">
              <w:rPr>
                <w:rFonts w:eastAsia="DengXian" w:cs="Times New Roman"/>
                <w:sz w:val="20"/>
                <w:szCs w:val="20"/>
              </w:rPr>
              <w:t>60</w:t>
            </w:r>
            <w:r w:rsidRPr="00F758EA">
              <w:rPr>
                <w:rFonts w:eastAsia="DengXian" w:cs="Times New Roman"/>
                <w:sz w:val="20"/>
                <w:szCs w:val="20"/>
              </w:rPr>
              <w:t>***</w:t>
            </w:r>
          </w:p>
        </w:tc>
        <w:tc>
          <w:tcPr>
            <w:tcW w:w="581" w:type="pct"/>
            <w:hideMark/>
          </w:tcPr>
          <w:p w14:paraId="7955CDD5" w14:textId="596DE05A"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6.338***</w:t>
            </w:r>
          </w:p>
        </w:tc>
        <w:tc>
          <w:tcPr>
            <w:tcW w:w="539" w:type="pct"/>
            <w:hideMark/>
          </w:tcPr>
          <w:p w14:paraId="6BC64BB4" w14:textId="518BBDE8"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5.575***</w:t>
            </w:r>
          </w:p>
        </w:tc>
        <w:tc>
          <w:tcPr>
            <w:tcW w:w="539" w:type="pct"/>
            <w:hideMark/>
          </w:tcPr>
          <w:p w14:paraId="315324D0" w14:textId="50E71010"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8.99</w:t>
            </w:r>
            <w:r w:rsidR="00791795" w:rsidRPr="00F758EA">
              <w:rPr>
                <w:rFonts w:eastAsia="DengXian" w:cs="Times New Roman"/>
                <w:sz w:val="20"/>
                <w:szCs w:val="20"/>
              </w:rPr>
              <w:t>6</w:t>
            </w:r>
            <w:r w:rsidRPr="00F758EA">
              <w:rPr>
                <w:rFonts w:eastAsia="DengXian" w:cs="Times New Roman"/>
                <w:sz w:val="20"/>
                <w:szCs w:val="20"/>
              </w:rPr>
              <w:t>***</w:t>
            </w:r>
          </w:p>
        </w:tc>
        <w:tc>
          <w:tcPr>
            <w:tcW w:w="662" w:type="pct"/>
            <w:hideMark/>
          </w:tcPr>
          <w:p w14:paraId="5DB8131B" w14:textId="293F3962"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9.8</w:t>
            </w:r>
            <w:r w:rsidR="00791795" w:rsidRPr="00F758EA">
              <w:rPr>
                <w:rFonts w:eastAsia="DengXian" w:cs="Times New Roman"/>
                <w:sz w:val="20"/>
                <w:szCs w:val="20"/>
              </w:rPr>
              <w:t>80</w:t>
            </w:r>
            <w:r w:rsidRPr="00F758EA">
              <w:rPr>
                <w:rFonts w:eastAsia="DengXian" w:cs="Times New Roman"/>
                <w:sz w:val="20"/>
                <w:szCs w:val="20"/>
              </w:rPr>
              <w:t>***</w:t>
            </w:r>
          </w:p>
        </w:tc>
        <w:tc>
          <w:tcPr>
            <w:tcW w:w="539" w:type="pct"/>
            <w:hideMark/>
          </w:tcPr>
          <w:p w14:paraId="79C1E0F3" w14:textId="000382BE"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8.614***</w:t>
            </w:r>
          </w:p>
        </w:tc>
        <w:tc>
          <w:tcPr>
            <w:tcW w:w="536" w:type="pct"/>
            <w:hideMark/>
          </w:tcPr>
          <w:p w14:paraId="1DDFCAEE" w14:textId="37C59130"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7.9</w:t>
            </w:r>
            <w:r w:rsidR="00791795" w:rsidRPr="00F758EA">
              <w:rPr>
                <w:rFonts w:eastAsia="DengXian" w:cs="Times New Roman"/>
                <w:sz w:val="20"/>
                <w:szCs w:val="20"/>
              </w:rPr>
              <w:t>10</w:t>
            </w:r>
            <w:r w:rsidRPr="00F758EA">
              <w:rPr>
                <w:rFonts w:eastAsia="DengXian" w:cs="Times New Roman"/>
                <w:sz w:val="20"/>
                <w:szCs w:val="20"/>
              </w:rPr>
              <w:t>***</w:t>
            </w:r>
          </w:p>
        </w:tc>
      </w:tr>
      <w:tr w:rsidR="00D04AFB" w:rsidRPr="005E02DB" w14:paraId="571D2104" w14:textId="77777777" w:rsidTr="00D04AFB">
        <w:trPr>
          <w:jc w:val="center"/>
        </w:trPr>
        <w:tc>
          <w:tcPr>
            <w:tcW w:w="1065" w:type="pct"/>
            <w:hideMark/>
          </w:tcPr>
          <w:p w14:paraId="1175B1AA" w14:textId="0F06CAD5" w:rsidR="005E02DB" w:rsidRPr="00F758EA" w:rsidRDefault="005E02DB" w:rsidP="00D326A2">
            <w:pPr>
              <w:widowControl w:val="0"/>
              <w:autoSpaceDE w:val="0"/>
              <w:autoSpaceDN w:val="0"/>
              <w:adjustRightInd w:val="0"/>
              <w:spacing w:line="240" w:lineRule="auto"/>
              <w:rPr>
                <w:rFonts w:eastAsia="DengXian" w:cs="Times New Roman"/>
                <w:sz w:val="20"/>
                <w:szCs w:val="20"/>
              </w:rPr>
            </w:pPr>
          </w:p>
        </w:tc>
        <w:tc>
          <w:tcPr>
            <w:tcW w:w="539" w:type="pct"/>
            <w:hideMark/>
          </w:tcPr>
          <w:p w14:paraId="6B2D931C" w14:textId="125A703D"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(.3</w:t>
            </w:r>
            <w:r w:rsidR="00693FCE" w:rsidRPr="00F758EA">
              <w:rPr>
                <w:rFonts w:eastAsia="DengXian" w:cs="Times New Roman"/>
                <w:sz w:val="20"/>
                <w:szCs w:val="20"/>
              </w:rPr>
              <w:t>10</w:t>
            </w:r>
            <w:r w:rsidRPr="00F758EA">
              <w:rPr>
                <w:rFonts w:eastAsia="DengXian" w:cs="Times New Roman"/>
                <w:sz w:val="20"/>
                <w:szCs w:val="20"/>
              </w:rPr>
              <w:t>8)</w:t>
            </w:r>
          </w:p>
        </w:tc>
        <w:tc>
          <w:tcPr>
            <w:tcW w:w="581" w:type="pct"/>
            <w:hideMark/>
          </w:tcPr>
          <w:p w14:paraId="4E717688" w14:textId="51A32C6B"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(.424)</w:t>
            </w:r>
          </w:p>
        </w:tc>
        <w:tc>
          <w:tcPr>
            <w:tcW w:w="539" w:type="pct"/>
            <w:hideMark/>
          </w:tcPr>
          <w:p w14:paraId="71DD25D5" w14:textId="3E0CFD42"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(.316)</w:t>
            </w:r>
          </w:p>
        </w:tc>
        <w:tc>
          <w:tcPr>
            <w:tcW w:w="539" w:type="pct"/>
            <w:hideMark/>
          </w:tcPr>
          <w:p w14:paraId="4C0141D5" w14:textId="41C64E80"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(.125)</w:t>
            </w:r>
          </w:p>
        </w:tc>
        <w:tc>
          <w:tcPr>
            <w:tcW w:w="662" w:type="pct"/>
            <w:hideMark/>
          </w:tcPr>
          <w:p w14:paraId="6747601E" w14:textId="7566DF13"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(.109)</w:t>
            </w:r>
          </w:p>
        </w:tc>
        <w:tc>
          <w:tcPr>
            <w:tcW w:w="539" w:type="pct"/>
            <w:hideMark/>
          </w:tcPr>
          <w:p w14:paraId="383F53A3" w14:textId="594C1A84"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(.129)</w:t>
            </w:r>
          </w:p>
        </w:tc>
        <w:tc>
          <w:tcPr>
            <w:tcW w:w="536" w:type="pct"/>
            <w:hideMark/>
          </w:tcPr>
          <w:p w14:paraId="70786DE7" w14:textId="49A7A543"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(.315)</w:t>
            </w:r>
          </w:p>
        </w:tc>
      </w:tr>
      <w:tr w:rsidR="00D04AFB" w:rsidRPr="005E02DB" w14:paraId="297020FE" w14:textId="77777777" w:rsidTr="00D04AFB">
        <w:trPr>
          <w:jc w:val="center"/>
        </w:trPr>
        <w:tc>
          <w:tcPr>
            <w:tcW w:w="1065" w:type="pct"/>
            <w:hideMark/>
          </w:tcPr>
          <w:p w14:paraId="13887816" w14:textId="12A00B0C" w:rsidR="005E02DB" w:rsidRPr="00F758EA" w:rsidRDefault="005E02DB"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Observations</w:t>
            </w:r>
          </w:p>
        </w:tc>
        <w:tc>
          <w:tcPr>
            <w:tcW w:w="539" w:type="pct"/>
            <w:hideMark/>
          </w:tcPr>
          <w:p w14:paraId="7573B177" w14:textId="77777777"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47546</w:t>
            </w:r>
          </w:p>
        </w:tc>
        <w:tc>
          <w:tcPr>
            <w:tcW w:w="581" w:type="pct"/>
            <w:hideMark/>
          </w:tcPr>
          <w:p w14:paraId="726C1B63" w14:textId="77777777"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45079</w:t>
            </w:r>
          </w:p>
        </w:tc>
        <w:tc>
          <w:tcPr>
            <w:tcW w:w="539" w:type="pct"/>
            <w:hideMark/>
          </w:tcPr>
          <w:p w14:paraId="38639A3A" w14:textId="77777777"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43698</w:t>
            </w:r>
          </w:p>
        </w:tc>
        <w:tc>
          <w:tcPr>
            <w:tcW w:w="539" w:type="pct"/>
            <w:hideMark/>
          </w:tcPr>
          <w:p w14:paraId="6020873F" w14:textId="77777777"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47546</w:t>
            </w:r>
          </w:p>
        </w:tc>
        <w:tc>
          <w:tcPr>
            <w:tcW w:w="662" w:type="pct"/>
            <w:hideMark/>
          </w:tcPr>
          <w:p w14:paraId="5AF17678" w14:textId="77777777"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46223</w:t>
            </w:r>
          </w:p>
        </w:tc>
        <w:tc>
          <w:tcPr>
            <w:tcW w:w="539" w:type="pct"/>
            <w:hideMark/>
          </w:tcPr>
          <w:p w14:paraId="7C5AB9B9" w14:textId="77777777"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47546</w:t>
            </w:r>
          </w:p>
        </w:tc>
        <w:tc>
          <w:tcPr>
            <w:tcW w:w="536" w:type="pct"/>
            <w:hideMark/>
          </w:tcPr>
          <w:p w14:paraId="3F93F022" w14:textId="77777777"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39433</w:t>
            </w:r>
          </w:p>
        </w:tc>
      </w:tr>
      <w:tr w:rsidR="00D04AFB" w:rsidRPr="005E02DB" w14:paraId="464A56FF" w14:textId="77777777" w:rsidTr="00D04AFB">
        <w:trPr>
          <w:jc w:val="center"/>
        </w:trPr>
        <w:tc>
          <w:tcPr>
            <w:tcW w:w="1065" w:type="pct"/>
            <w:hideMark/>
          </w:tcPr>
          <w:p w14:paraId="4DAE858B" w14:textId="77777777" w:rsidR="008D5BA6" w:rsidRPr="00F758EA" w:rsidRDefault="008D5BA6"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Year FE</w:t>
            </w:r>
          </w:p>
        </w:tc>
        <w:tc>
          <w:tcPr>
            <w:tcW w:w="539" w:type="pct"/>
            <w:hideMark/>
          </w:tcPr>
          <w:p w14:paraId="3B45F419" w14:textId="467375E4" w:rsidR="008D5BA6" w:rsidRPr="00F758EA" w:rsidRDefault="008D5BA6" w:rsidP="00CE0D78">
            <w:pPr>
              <w:widowControl w:val="0"/>
              <w:autoSpaceDE w:val="0"/>
              <w:autoSpaceDN w:val="0"/>
              <w:adjustRightInd w:val="0"/>
              <w:spacing w:line="240" w:lineRule="auto"/>
              <w:rPr>
                <w:rFonts w:eastAsia="DengXian" w:cs="Times New Roman"/>
                <w:sz w:val="20"/>
                <w:szCs w:val="20"/>
              </w:rPr>
            </w:pPr>
            <w:r w:rsidRPr="0077140D">
              <w:rPr>
                <w:rFonts w:eastAsia="Calibri" w:cs="Times New Roman"/>
                <w:sz w:val="20"/>
                <w:szCs w:val="20"/>
              </w:rPr>
              <w:t>Yes</w:t>
            </w:r>
          </w:p>
        </w:tc>
        <w:tc>
          <w:tcPr>
            <w:tcW w:w="581" w:type="pct"/>
            <w:hideMark/>
          </w:tcPr>
          <w:p w14:paraId="05B22B51" w14:textId="63FBA016" w:rsidR="008D5BA6" w:rsidRPr="00F758EA" w:rsidRDefault="008D5BA6" w:rsidP="00CE0D78">
            <w:pPr>
              <w:widowControl w:val="0"/>
              <w:autoSpaceDE w:val="0"/>
              <w:autoSpaceDN w:val="0"/>
              <w:adjustRightInd w:val="0"/>
              <w:spacing w:line="240" w:lineRule="auto"/>
              <w:rPr>
                <w:rFonts w:eastAsia="DengXian" w:cs="Times New Roman"/>
                <w:sz w:val="20"/>
                <w:szCs w:val="20"/>
              </w:rPr>
            </w:pPr>
            <w:r w:rsidRPr="0077140D">
              <w:rPr>
                <w:rFonts w:eastAsia="Calibri" w:cs="Times New Roman"/>
                <w:sz w:val="20"/>
                <w:szCs w:val="20"/>
              </w:rPr>
              <w:t>Yes</w:t>
            </w:r>
          </w:p>
        </w:tc>
        <w:tc>
          <w:tcPr>
            <w:tcW w:w="539" w:type="pct"/>
            <w:hideMark/>
          </w:tcPr>
          <w:p w14:paraId="1F3479CD" w14:textId="2382880C" w:rsidR="008D5BA6" w:rsidRPr="00F758EA" w:rsidRDefault="008D5BA6" w:rsidP="00CE0D78">
            <w:pPr>
              <w:widowControl w:val="0"/>
              <w:autoSpaceDE w:val="0"/>
              <w:autoSpaceDN w:val="0"/>
              <w:adjustRightInd w:val="0"/>
              <w:spacing w:line="240" w:lineRule="auto"/>
              <w:rPr>
                <w:rFonts w:eastAsia="DengXian" w:cs="Times New Roman"/>
                <w:sz w:val="20"/>
                <w:szCs w:val="20"/>
              </w:rPr>
            </w:pPr>
            <w:r w:rsidRPr="0077140D">
              <w:rPr>
                <w:rFonts w:eastAsia="Calibri" w:cs="Times New Roman"/>
                <w:sz w:val="20"/>
                <w:szCs w:val="20"/>
              </w:rPr>
              <w:t>Yes</w:t>
            </w:r>
          </w:p>
        </w:tc>
        <w:tc>
          <w:tcPr>
            <w:tcW w:w="539" w:type="pct"/>
            <w:hideMark/>
          </w:tcPr>
          <w:p w14:paraId="3B3169DE" w14:textId="7730602E" w:rsidR="008D5BA6" w:rsidRPr="00F758EA" w:rsidRDefault="008D5BA6" w:rsidP="00CE0D78">
            <w:pPr>
              <w:widowControl w:val="0"/>
              <w:autoSpaceDE w:val="0"/>
              <w:autoSpaceDN w:val="0"/>
              <w:adjustRightInd w:val="0"/>
              <w:spacing w:line="240" w:lineRule="auto"/>
              <w:rPr>
                <w:rFonts w:eastAsia="DengXian" w:cs="Times New Roman"/>
                <w:sz w:val="20"/>
                <w:szCs w:val="20"/>
              </w:rPr>
            </w:pPr>
            <w:r w:rsidRPr="0077140D">
              <w:rPr>
                <w:rFonts w:eastAsia="Calibri" w:cs="Times New Roman"/>
                <w:sz w:val="20"/>
                <w:szCs w:val="20"/>
              </w:rPr>
              <w:t>Yes</w:t>
            </w:r>
          </w:p>
        </w:tc>
        <w:tc>
          <w:tcPr>
            <w:tcW w:w="662" w:type="pct"/>
            <w:hideMark/>
          </w:tcPr>
          <w:p w14:paraId="71B72C8F" w14:textId="3DEFD9FD" w:rsidR="008D5BA6" w:rsidRPr="00F758EA" w:rsidRDefault="008D5BA6" w:rsidP="00CE0D78">
            <w:pPr>
              <w:widowControl w:val="0"/>
              <w:autoSpaceDE w:val="0"/>
              <w:autoSpaceDN w:val="0"/>
              <w:adjustRightInd w:val="0"/>
              <w:spacing w:line="240" w:lineRule="auto"/>
              <w:rPr>
                <w:rFonts w:eastAsia="DengXian" w:cs="Times New Roman"/>
                <w:sz w:val="20"/>
                <w:szCs w:val="20"/>
              </w:rPr>
            </w:pPr>
            <w:r w:rsidRPr="0077140D">
              <w:rPr>
                <w:rFonts w:eastAsia="Calibri" w:cs="Times New Roman"/>
                <w:sz w:val="20"/>
                <w:szCs w:val="20"/>
              </w:rPr>
              <w:t>Yes</w:t>
            </w:r>
          </w:p>
        </w:tc>
        <w:tc>
          <w:tcPr>
            <w:tcW w:w="539" w:type="pct"/>
            <w:hideMark/>
          </w:tcPr>
          <w:p w14:paraId="1B354BA9" w14:textId="58F4E1B8" w:rsidR="008D5BA6" w:rsidRPr="00F758EA" w:rsidRDefault="008D5BA6" w:rsidP="00CE0D78">
            <w:pPr>
              <w:widowControl w:val="0"/>
              <w:autoSpaceDE w:val="0"/>
              <w:autoSpaceDN w:val="0"/>
              <w:adjustRightInd w:val="0"/>
              <w:spacing w:line="240" w:lineRule="auto"/>
              <w:rPr>
                <w:rFonts w:eastAsia="DengXian" w:cs="Times New Roman"/>
                <w:sz w:val="20"/>
                <w:szCs w:val="20"/>
              </w:rPr>
            </w:pPr>
            <w:r w:rsidRPr="0077140D">
              <w:rPr>
                <w:rFonts w:eastAsia="Calibri" w:cs="Times New Roman"/>
                <w:sz w:val="20"/>
                <w:szCs w:val="20"/>
              </w:rPr>
              <w:t>Yes</w:t>
            </w:r>
          </w:p>
        </w:tc>
        <w:tc>
          <w:tcPr>
            <w:tcW w:w="536" w:type="pct"/>
            <w:hideMark/>
          </w:tcPr>
          <w:p w14:paraId="66A44079" w14:textId="502D0F38" w:rsidR="008D5BA6" w:rsidRPr="00F758EA" w:rsidRDefault="008D5BA6" w:rsidP="00CE0D78">
            <w:pPr>
              <w:widowControl w:val="0"/>
              <w:autoSpaceDE w:val="0"/>
              <w:autoSpaceDN w:val="0"/>
              <w:adjustRightInd w:val="0"/>
              <w:spacing w:line="240" w:lineRule="auto"/>
              <w:rPr>
                <w:rFonts w:eastAsia="DengXian" w:cs="Times New Roman"/>
                <w:sz w:val="20"/>
                <w:szCs w:val="20"/>
              </w:rPr>
            </w:pPr>
            <w:r w:rsidRPr="0077140D">
              <w:rPr>
                <w:rFonts w:eastAsia="Calibri" w:cs="Times New Roman"/>
                <w:sz w:val="20"/>
                <w:szCs w:val="20"/>
              </w:rPr>
              <w:t>Yes</w:t>
            </w:r>
          </w:p>
        </w:tc>
      </w:tr>
      <w:tr w:rsidR="00D04AFB" w:rsidRPr="005E02DB" w14:paraId="434DA35C" w14:textId="77777777" w:rsidTr="00D04AFB">
        <w:trPr>
          <w:jc w:val="center"/>
        </w:trPr>
        <w:tc>
          <w:tcPr>
            <w:tcW w:w="1065" w:type="pct"/>
            <w:hideMark/>
          </w:tcPr>
          <w:p w14:paraId="2CF843D6" w14:textId="77777777" w:rsidR="008D5BA6" w:rsidRPr="00F758EA" w:rsidRDefault="008D5BA6"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State FE</w:t>
            </w:r>
          </w:p>
        </w:tc>
        <w:tc>
          <w:tcPr>
            <w:tcW w:w="539" w:type="pct"/>
            <w:hideMark/>
          </w:tcPr>
          <w:p w14:paraId="4B4F425B" w14:textId="4CB89B5D" w:rsidR="008D5BA6" w:rsidRPr="00F758EA" w:rsidRDefault="008D5BA6" w:rsidP="00CE0D78">
            <w:pPr>
              <w:widowControl w:val="0"/>
              <w:autoSpaceDE w:val="0"/>
              <w:autoSpaceDN w:val="0"/>
              <w:adjustRightInd w:val="0"/>
              <w:spacing w:line="240" w:lineRule="auto"/>
              <w:rPr>
                <w:rFonts w:eastAsia="DengXian" w:cs="Times New Roman"/>
                <w:sz w:val="20"/>
                <w:szCs w:val="20"/>
              </w:rPr>
            </w:pPr>
            <w:r w:rsidRPr="0077140D">
              <w:rPr>
                <w:rFonts w:eastAsia="Calibri" w:cs="Times New Roman"/>
                <w:sz w:val="20"/>
                <w:szCs w:val="20"/>
              </w:rPr>
              <w:t>Yes</w:t>
            </w:r>
          </w:p>
        </w:tc>
        <w:tc>
          <w:tcPr>
            <w:tcW w:w="581" w:type="pct"/>
            <w:hideMark/>
          </w:tcPr>
          <w:p w14:paraId="3AB18030" w14:textId="006E920C" w:rsidR="008D5BA6" w:rsidRPr="00F758EA" w:rsidRDefault="008D5BA6" w:rsidP="00CE0D78">
            <w:pPr>
              <w:widowControl w:val="0"/>
              <w:autoSpaceDE w:val="0"/>
              <w:autoSpaceDN w:val="0"/>
              <w:adjustRightInd w:val="0"/>
              <w:spacing w:line="240" w:lineRule="auto"/>
              <w:rPr>
                <w:rFonts w:eastAsia="DengXian" w:cs="Times New Roman"/>
                <w:sz w:val="20"/>
                <w:szCs w:val="20"/>
              </w:rPr>
            </w:pPr>
            <w:r w:rsidRPr="0077140D">
              <w:rPr>
                <w:rFonts w:eastAsia="Calibri" w:cs="Times New Roman"/>
                <w:sz w:val="20"/>
                <w:szCs w:val="20"/>
              </w:rPr>
              <w:t>Yes</w:t>
            </w:r>
          </w:p>
        </w:tc>
        <w:tc>
          <w:tcPr>
            <w:tcW w:w="539" w:type="pct"/>
            <w:hideMark/>
          </w:tcPr>
          <w:p w14:paraId="468F9731" w14:textId="51C7A507" w:rsidR="008D5BA6" w:rsidRPr="00F758EA" w:rsidRDefault="008D5BA6" w:rsidP="00CE0D78">
            <w:pPr>
              <w:widowControl w:val="0"/>
              <w:autoSpaceDE w:val="0"/>
              <w:autoSpaceDN w:val="0"/>
              <w:adjustRightInd w:val="0"/>
              <w:spacing w:line="240" w:lineRule="auto"/>
              <w:rPr>
                <w:rFonts w:eastAsia="DengXian" w:cs="Times New Roman"/>
                <w:sz w:val="20"/>
                <w:szCs w:val="20"/>
              </w:rPr>
            </w:pPr>
            <w:r w:rsidRPr="0077140D">
              <w:rPr>
                <w:rFonts w:eastAsia="Calibri" w:cs="Times New Roman"/>
                <w:sz w:val="20"/>
                <w:szCs w:val="20"/>
              </w:rPr>
              <w:t>Yes</w:t>
            </w:r>
          </w:p>
        </w:tc>
        <w:tc>
          <w:tcPr>
            <w:tcW w:w="539" w:type="pct"/>
            <w:hideMark/>
          </w:tcPr>
          <w:p w14:paraId="0DA7FFE8" w14:textId="5009232B" w:rsidR="008D5BA6" w:rsidRPr="00F758EA" w:rsidRDefault="008D5BA6" w:rsidP="00CE0D78">
            <w:pPr>
              <w:widowControl w:val="0"/>
              <w:autoSpaceDE w:val="0"/>
              <w:autoSpaceDN w:val="0"/>
              <w:adjustRightInd w:val="0"/>
              <w:spacing w:line="240" w:lineRule="auto"/>
              <w:rPr>
                <w:rFonts w:eastAsia="DengXian" w:cs="Times New Roman"/>
                <w:sz w:val="20"/>
                <w:szCs w:val="20"/>
              </w:rPr>
            </w:pPr>
            <w:r w:rsidRPr="0077140D">
              <w:rPr>
                <w:rFonts w:eastAsia="Calibri" w:cs="Times New Roman"/>
                <w:sz w:val="20"/>
                <w:szCs w:val="20"/>
              </w:rPr>
              <w:t>Yes</w:t>
            </w:r>
          </w:p>
        </w:tc>
        <w:tc>
          <w:tcPr>
            <w:tcW w:w="662" w:type="pct"/>
            <w:hideMark/>
          </w:tcPr>
          <w:p w14:paraId="0111173D" w14:textId="20D67224" w:rsidR="008D5BA6" w:rsidRPr="00F758EA" w:rsidRDefault="008D5BA6" w:rsidP="00CE0D78">
            <w:pPr>
              <w:widowControl w:val="0"/>
              <w:autoSpaceDE w:val="0"/>
              <w:autoSpaceDN w:val="0"/>
              <w:adjustRightInd w:val="0"/>
              <w:spacing w:line="240" w:lineRule="auto"/>
              <w:rPr>
                <w:rFonts w:eastAsia="DengXian" w:cs="Times New Roman"/>
                <w:sz w:val="20"/>
                <w:szCs w:val="20"/>
              </w:rPr>
            </w:pPr>
            <w:r w:rsidRPr="0077140D">
              <w:rPr>
                <w:rFonts w:eastAsia="Calibri" w:cs="Times New Roman"/>
                <w:sz w:val="20"/>
                <w:szCs w:val="20"/>
              </w:rPr>
              <w:t>Yes</w:t>
            </w:r>
          </w:p>
        </w:tc>
        <w:tc>
          <w:tcPr>
            <w:tcW w:w="539" w:type="pct"/>
            <w:hideMark/>
          </w:tcPr>
          <w:p w14:paraId="07B53C3B" w14:textId="7B28C5C4" w:rsidR="008D5BA6" w:rsidRPr="00F758EA" w:rsidRDefault="008D5BA6" w:rsidP="00CE0D78">
            <w:pPr>
              <w:widowControl w:val="0"/>
              <w:autoSpaceDE w:val="0"/>
              <w:autoSpaceDN w:val="0"/>
              <w:adjustRightInd w:val="0"/>
              <w:spacing w:line="240" w:lineRule="auto"/>
              <w:rPr>
                <w:rFonts w:eastAsia="DengXian" w:cs="Times New Roman"/>
                <w:sz w:val="20"/>
                <w:szCs w:val="20"/>
              </w:rPr>
            </w:pPr>
            <w:r w:rsidRPr="0077140D">
              <w:rPr>
                <w:rFonts w:eastAsia="Calibri" w:cs="Times New Roman"/>
                <w:sz w:val="20"/>
                <w:szCs w:val="20"/>
              </w:rPr>
              <w:t>Yes</w:t>
            </w:r>
          </w:p>
        </w:tc>
        <w:tc>
          <w:tcPr>
            <w:tcW w:w="536" w:type="pct"/>
            <w:hideMark/>
          </w:tcPr>
          <w:p w14:paraId="4ED45855" w14:textId="025BFF46" w:rsidR="008D5BA6" w:rsidRPr="00F758EA" w:rsidRDefault="008D5BA6" w:rsidP="00CE0D78">
            <w:pPr>
              <w:widowControl w:val="0"/>
              <w:autoSpaceDE w:val="0"/>
              <w:autoSpaceDN w:val="0"/>
              <w:adjustRightInd w:val="0"/>
              <w:spacing w:line="240" w:lineRule="auto"/>
              <w:rPr>
                <w:rFonts w:eastAsia="DengXian" w:cs="Times New Roman"/>
                <w:sz w:val="20"/>
                <w:szCs w:val="20"/>
              </w:rPr>
            </w:pPr>
            <w:r w:rsidRPr="0077140D">
              <w:rPr>
                <w:rFonts w:eastAsia="Calibri" w:cs="Times New Roman"/>
                <w:sz w:val="20"/>
                <w:szCs w:val="20"/>
              </w:rPr>
              <w:t>Yes</w:t>
            </w:r>
          </w:p>
        </w:tc>
      </w:tr>
      <w:tr w:rsidR="00D04AFB" w:rsidRPr="005E02DB" w14:paraId="1EDB4465" w14:textId="77777777" w:rsidTr="00273B5A">
        <w:trPr>
          <w:jc w:val="center"/>
        </w:trPr>
        <w:tc>
          <w:tcPr>
            <w:tcW w:w="1065" w:type="pct"/>
            <w:hideMark/>
          </w:tcPr>
          <w:p w14:paraId="1480E6ED" w14:textId="77777777" w:rsidR="008D5BA6" w:rsidRPr="00F758EA" w:rsidRDefault="008D5BA6"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County FE</w:t>
            </w:r>
          </w:p>
        </w:tc>
        <w:tc>
          <w:tcPr>
            <w:tcW w:w="539" w:type="pct"/>
            <w:hideMark/>
          </w:tcPr>
          <w:p w14:paraId="3027D828" w14:textId="1C60E96B" w:rsidR="008D5BA6" w:rsidRPr="00F758EA" w:rsidRDefault="008D5BA6" w:rsidP="00CE0D78">
            <w:pPr>
              <w:widowControl w:val="0"/>
              <w:autoSpaceDE w:val="0"/>
              <w:autoSpaceDN w:val="0"/>
              <w:adjustRightInd w:val="0"/>
              <w:spacing w:line="240" w:lineRule="auto"/>
              <w:rPr>
                <w:rFonts w:eastAsia="DengXian" w:cs="Times New Roman"/>
                <w:sz w:val="20"/>
                <w:szCs w:val="20"/>
              </w:rPr>
            </w:pPr>
            <w:r w:rsidRPr="0077140D">
              <w:rPr>
                <w:rFonts w:eastAsia="Calibri" w:cs="Times New Roman"/>
                <w:sz w:val="20"/>
                <w:szCs w:val="20"/>
              </w:rPr>
              <w:t>Yes</w:t>
            </w:r>
          </w:p>
        </w:tc>
        <w:tc>
          <w:tcPr>
            <w:tcW w:w="581" w:type="pct"/>
            <w:hideMark/>
          </w:tcPr>
          <w:p w14:paraId="039C4A01" w14:textId="7DBA5ED7" w:rsidR="008D5BA6" w:rsidRPr="00F758EA" w:rsidRDefault="008D5BA6" w:rsidP="00CE0D78">
            <w:pPr>
              <w:widowControl w:val="0"/>
              <w:autoSpaceDE w:val="0"/>
              <w:autoSpaceDN w:val="0"/>
              <w:adjustRightInd w:val="0"/>
              <w:spacing w:line="240" w:lineRule="auto"/>
              <w:rPr>
                <w:rFonts w:eastAsia="DengXian" w:cs="Times New Roman"/>
                <w:sz w:val="20"/>
                <w:szCs w:val="20"/>
              </w:rPr>
            </w:pPr>
            <w:r w:rsidRPr="0077140D">
              <w:rPr>
                <w:rFonts w:eastAsia="Calibri" w:cs="Times New Roman"/>
                <w:sz w:val="20"/>
                <w:szCs w:val="20"/>
              </w:rPr>
              <w:t>Yes</w:t>
            </w:r>
          </w:p>
        </w:tc>
        <w:tc>
          <w:tcPr>
            <w:tcW w:w="539" w:type="pct"/>
            <w:hideMark/>
          </w:tcPr>
          <w:p w14:paraId="1DCFC92E" w14:textId="386433AA" w:rsidR="008D5BA6" w:rsidRPr="00F758EA" w:rsidRDefault="008D5BA6" w:rsidP="00CE0D78">
            <w:pPr>
              <w:widowControl w:val="0"/>
              <w:autoSpaceDE w:val="0"/>
              <w:autoSpaceDN w:val="0"/>
              <w:adjustRightInd w:val="0"/>
              <w:spacing w:line="240" w:lineRule="auto"/>
              <w:rPr>
                <w:rFonts w:eastAsia="DengXian" w:cs="Times New Roman"/>
                <w:sz w:val="20"/>
                <w:szCs w:val="20"/>
              </w:rPr>
            </w:pPr>
            <w:r w:rsidRPr="0077140D">
              <w:rPr>
                <w:rFonts w:eastAsia="Calibri" w:cs="Times New Roman"/>
                <w:sz w:val="20"/>
                <w:szCs w:val="20"/>
              </w:rPr>
              <w:t>Yes</w:t>
            </w:r>
          </w:p>
        </w:tc>
        <w:tc>
          <w:tcPr>
            <w:tcW w:w="539" w:type="pct"/>
            <w:hideMark/>
          </w:tcPr>
          <w:p w14:paraId="4765A1C2" w14:textId="040C3A99" w:rsidR="008D5BA6" w:rsidRPr="00F758EA" w:rsidRDefault="008D5BA6" w:rsidP="00CE0D78">
            <w:pPr>
              <w:widowControl w:val="0"/>
              <w:autoSpaceDE w:val="0"/>
              <w:autoSpaceDN w:val="0"/>
              <w:adjustRightInd w:val="0"/>
              <w:spacing w:line="240" w:lineRule="auto"/>
              <w:rPr>
                <w:rFonts w:eastAsia="DengXian" w:cs="Times New Roman"/>
                <w:sz w:val="20"/>
                <w:szCs w:val="20"/>
              </w:rPr>
            </w:pPr>
            <w:r w:rsidRPr="0077140D">
              <w:rPr>
                <w:rFonts w:eastAsia="Calibri" w:cs="Times New Roman"/>
                <w:sz w:val="20"/>
                <w:szCs w:val="20"/>
              </w:rPr>
              <w:t>Yes</w:t>
            </w:r>
          </w:p>
        </w:tc>
        <w:tc>
          <w:tcPr>
            <w:tcW w:w="662" w:type="pct"/>
            <w:hideMark/>
          </w:tcPr>
          <w:p w14:paraId="20FB6439" w14:textId="4A35A317" w:rsidR="008D5BA6" w:rsidRPr="00F758EA" w:rsidRDefault="008D5BA6" w:rsidP="00CE0D78">
            <w:pPr>
              <w:widowControl w:val="0"/>
              <w:autoSpaceDE w:val="0"/>
              <w:autoSpaceDN w:val="0"/>
              <w:adjustRightInd w:val="0"/>
              <w:spacing w:line="240" w:lineRule="auto"/>
              <w:rPr>
                <w:rFonts w:eastAsia="DengXian" w:cs="Times New Roman"/>
                <w:sz w:val="20"/>
                <w:szCs w:val="20"/>
              </w:rPr>
            </w:pPr>
            <w:r w:rsidRPr="0077140D">
              <w:rPr>
                <w:rFonts w:eastAsia="Calibri" w:cs="Times New Roman"/>
                <w:sz w:val="20"/>
                <w:szCs w:val="20"/>
              </w:rPr>
              <w:t>Yes</w:t>
            </w:r>
          </w:p>
        </w:tc>
        <w:tc>
          <w:tcPr>
            <w:tcW w:w="539" w:type="pct"/>
            <w:hideMark/>
          </w:tcPr>
          <w:p w14:paraId="6740A2E4" w14:textId="0CB52498" w:rsidR="008D5BA6" w:rsidRPr="00F758EA" w:rsidRDefault="008D5BA6" w:rsidP="00CE0D78">
            <w:pPr>
              <w:widowControl w:val="0"/>
              <w:autoSpaceDE w:val="0"/>
              <w:autoSpaceDN w:val="0"/>
              <w:adjustRightInd w:val="0"/>
              <w:spacing w:line="240" w:lineRule="auto"/>
              <w:rPr>
                <w:rFonts w:eastAsia="DengXian" w:cs="Times New Roman"/>
                <w:sz w:val="20"/>
                <w:szCs w:val="20"/>
              </w:rPr>
            </w:pPr>
            <w:r w:rsidRPr="0077140D">
              <w:rPr>
                <w:rFonts w:eastAsia="Calibri" w:cs="Times New Roman"/>
                <w:sz w:val="20"/>
                <w:szCs w:val="20"/>
              </w:rPr>
              <w:t>Yes</w:t>
            </w:r>
          </w:p>
        </w:tc>
        <w:tc>
          <w:tcPr>
            <w:tcW w:w="536" w:type="pct"/>
            <w:hideMark/>
          </w:tcPr>
          <w:p w14:paraId="35B5E9E8" w14:textId="6BE3A9D0" w:rsidR="008D5BA6" w:rsidRPr="00F758EA" w:rsidRDefault="008D5BA6" w:rsidP="00CE0D78">
            <w:pPr>
              <w:widowControl w:val="0"/>
              <w:autoSpaceDE w:val="0"/>
              <w:autoSpaceDN w:val="0"/>
              <w:adjustRightInd w:val="0"/>
              <w:spacing w:line="240" w:lineRule="auto"/>
              <w:rPr>
                <w:rFonts w:eastAsia="DengXian" w:cs="Times New Roman"/>
                <w:sz w:val="20"/>
                <w:szCs w:val="20"/>
              </w:rPr>
            </w:pPr>
            <w:r w:rsidRPr="0077140D">
              <w:rPr>
                <w:rFonts w:eastAsia="Calibri" w:cs="Times New Roman"/>
                <w:sz w:val="20"/>
                <w:szCs w:val="20"/>
              </w:rPr>
              <w:t>Yes</w:t>
            </w:r>
          </w:p>
        </w:tc>
      </w:tr>
      <w:tr w:rsidR="00D04AFB" w:rsidRPr="005E02DB" w14:paraId="399C59CD" w14:textId="77777777" w:rsidTr="00273B5A">
        <w:trPr>
          <w:jc w:val="center"/>
        </w:trPr>
        <w:tc>
          <w:tcPr>
            <w:tcW w:w="1065" w:type="pct"/>
            <w:tcBorders>
              <w:bottom w:val="single" w:sz="4" w:space="0" w:color="auto"/>
            </w:tcBorders>
            <w:hideMark/>
          </w:tcPr>
          <w:p w14:paraId="5CDBABBC" w14:textId="20D491A5" w:rsidR="005E02DB" w:rsidRPr="00F758EA" w:rsidRDefault="005E02DB" w:rsidP="00D326A2">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Pseudo R</w:t>
            </w:r>
            <w:r w:rsidRPr="00F758EA">
              <w:rPr>
                <w:rFonts w:eastAsia="DengXian" w:cs="Times New Roman"/>
                <w:sz w:val="20"/>
                <w:szCs w:val="20"/>
                <w:vertAlign w:val="superscript"/>
              </w:rPr>
              <w:t>2</w:t>
            </w:r>
          </w:p>
        </w:tc>
        <w:tc>
          <w:tcPr>
            <w:tcW w:w="539" w:type="pct"/>
            <w:tcBorders>
              <w:bottom w:val="single" w:sz="4" w:space="0" w:color="auto"/>
            </w:tcBorders>
            <w:hideMark/>
          </w:tcPr>
          <w:p w14:paraId="72582B5A" w14:textId="24FE2C3B"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.87</w:t>
            </w:r>
            <w:r w:rsidR="00791795" w:rsidRPr="00F758EA">
              <w:rPr>
                <w:rFonts w:eastAsia="DengXian" w:cs="Times New Roman"/>
                <w:sz w:val="20"/>
                <w:szCs w:val="20"/>
              </w:rPr>
              <w:t>6</w:t>
            </w:r>
          </w:p>
        </w:tc>
        <w:tc>
          <w:tcPr>
            <w:tcW w:w="581" w:type="pct"/>
            <w:tcBorders>
              <w:bottom w:val="single" w:sz="4" w:space="0" w:color="auto"/>
            </w:tcBorders>
            <w:hideMark/>
          </w:tcPr>
          <w:p w14:paraId="3B8416A7" w14:textId="3B93E07E"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.93</w:t>
            </w:r>
            <w:r w:rsidR="00791795" w:rsidRPr="00F758EA">
              <w:rPr>
                <w:rFonts w:eastAsia="DengXian" w:cs="Times New Roman"/>
                <w:sz w:val="20"/>
                <w:szCs w:val="20"/>
              </w:rPr>
              <w:t>1</w:t>
            </w:r>
          </w:p>
        </w:tc>
        <w:tc>
          <w:tcPr>
            <w:tcW w:w="539" w:type="pct"/>
            <w:tcBorders>
              <w:bottom w:val="single" w:sz="4" w:space="0" w:color="auto"/>
            </w:tcBorders>
            <w:hideMark/>
          </w:tcPr>
          <w:p w14:paraId="5565E15A" w14:textId="772B9898"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.88</w:t>
            </w:r>
            <w:r w:rsidR="00791795" w:rsidRPr="00F758EA">
              <w:rPr>
                <w:rFonts w:eastAsia="DengXian" w:cs="Times New Roman"/>
                <w:sz w:val="20"/>
                <w:szCs w:val="20"/>
              </w:rPr>
              <w:t>5</w:t>
            </w:r>
          </w:p>
        </w:tc>
        <w:tc>
          <w:tcPr>
            <w:tcW w:w="539" w:type="pct"/>
            <w:tcBorders>
              <w:bottom w:val="single" w:sz="4" w:space="0" w:color="auto"/>
            </w:tcBorders>
            <w:hideMark/>
          </w:tcPr>
          <w:p w14:paraId="40832DFC" w14:textId="6EAE48D7"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.973</w:t>
            </w:r>
          </w:p>
        </w:tc>
        <w:tc>
          <w:tcPr>
            <w:tcW w:w="662" w:type="pct"/>
            <w:tcBorders>
              <w:bottom w:val="single" w:sz="4" w:space="0" w:color="auto"/>
            </w:tcBorders>
            <w:hideMark/>
          </w:tcPr>
          <w:p w14:paraId="0387F2CB" w14:textId="76F4D523"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.980</w:t>
            </w:r>
          </w:p>
        </w:tc>
        <w:tc>
          <w:tcPr>
            <w:tcW w:w="539" w:type="pct"/>
            <w:tcBorders>
              <w:bottom w:val="single" w:sz="4" w:space="0" w:color="auto"/>
            </w:tcBorders>
            <w:hideMark/>
          </w:tcPr>
          <w:p w14:paraId="117A0BD9" w14:textId="632C9976"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.97</w:t>
            </w:r>
            <w:r w:rsidR="00791795" w:rsidRPr="00F758EA">
              <w:rPr>
                <w:rFonts w:eastAsia="DengXian" w:cs="Times New Roman"/>
                <w:sz w:val="20"/>
                <w:szCs w:val="20"/>
              </w:rPr>
              <w:t>9</w:t>
            </w:r>
          </w:p>
        </w:tc>
        <w:tc>
          <w:tcPr>
            <w:tcW w:w="536" w:type="pct"/>
            <w:tcBorders>
              <w:bottom w:val="single" w:sz="4" w:space="0" w:color="auto"/>
            </w:tcBorders>
            <w:hideMark/>
          </w:tcPr>
          <w:p w14:paraId="12253CDB" w14:textId="71C6FF23" w:rsidR="005E02DB" w:rsidRPr="00F758EA" w:rsidRDefault="005E02DB" w:rsidP="00CE0D78">
            <w:pPr>
              <w:widowControl w:val="0"/>
              <w:autoSpaceDE w:val="0"/>
              <w:autoSpaceDN w:val="0"/>
              <w:adjustRightInd w:val="0"/>
              <w:spacing w:line="240" w:lineRule="auto"/>
              <w:rPr>
                <w:rFonts w:eastAsia="DengXian" w:cs="Times New Roman"/>
                <w:sz w:val="20"/>
                <w:szCs w:val="20"/>
              </w:rPr>
            </w:pPr>
            <w:r w:rsidRPr="00F758EA">
              <w:rPr>
                <w:rFonts w:eastAsia="DengXian" w:cs="Times New Roman"/>
                <w:sz w:val="20"/>
                <w:szCs w:val="20"/>
              </w:rPr>
              <w:t>.972</w:t>
            </w:r>
          </w:p>
        </w:tc>
      </w:tr>
      <w:tr w:rsidR="005E02DB" w:rsidRPr="005E02DB" w14:paraId="57898C7E" w14:textId="77777777" w:rsidTr="00273B5A">
        <w:trPr>
          <w:trHeight w:val="200"/>
          <w:jc w:val="center"/>
        </w:trPr>
        <w:tc>
          <w:tcPr>
            <w:tcW w:w="5000" w:type="pct"/>
            <w:gridSpan w:val="8"/>
            <w:tcBorders>
              <w:top w:val="single" w:sz="4" w:space="0" w:color="auto"/>
            </w:tcBorders>
            <w:hideMark/>
          </w:tcPr>
          <w:p w14:paraId="72704164" w14:textId="5E233AF5" w:rsidR="005E02DB" w:rsidRPr="00273B5A" w:rsidRDefault="00273B5A" w:rsidP="00CE0D78">
            <w:pPr>
              <w:widowControl w:val="0"/>
              <w:autoSpaceDE w:val="0"/>
              <w:autoSpaceDN w:val="0"/>
              <w:adjustRightInd w:val="0"/>
              <w:spacing w:line="240" w:lineRule="auto"/>
              <w:rPr>
                <w:rFonts w:eastAsia="DengXian" w:cs="Times New Roman"/>
                <w:sz w:val="20"/>
                <w:szCs w:val="20"/>
              </w:rPr>
            </w:pPr>
            <w:r>
              <w:rPr>
                <w:rFonts w:eastAsia="DengXian" w:cs="Times New Roman"/>
                <w:sz w:val="20"/>
                <w:szCs w:val="20"/>
                <w:lang w:eastAsia="zh-CN"/>
              </w:rPr>
              <w:t xml:space="preserve">Table A59: </w:t>
            </w:r>
            <w:r w:rsidR="005E02DB" w:rsidRPr="00F758EA">
              <w:rPr>
                <w:rFonts w:eastAsia="DengXian" w:cs="Times New Roman"/>
                <w:sz w:val="20"/>
                <w:szCs w:val="20"/>
                <w:lang w:val="zh-CN" w:eastAsia="zh-CN"/>
              </w:rPr>
              <w:t>Results of PPMLHDFE regressions on Job Count using the Binary Range Indicator for NAICS sectors (11–71), with State, County, and Year Fixed Effects. Interaction terms with Time Since Delisting (TSD) highlight the temporal dynamics of delisting effects.</w:t>
            </w:r>
            <w:r>
              <w:rPr>
                <w:rFonts w:eastAsia="DengXian" w:cs="Times New Roman"/>
                <w:sz w:val="20"/>
                <w:szCs w:val="20"/>
                <w:lang w:eastAsia="zh-CN"/>
              </w:rPr>
              <w:t xml:space="preserve"> </w:t>
            </w:r>
            <w:r w:rsidRPr="00C624DB">
              <w:rPr>
                <w:sz w:val="20"/>
                <w:szCs w:val="20"/>
                <w:lang/>
              </w:rPr>
              <w:t xml:space="preserve">Standard errors are </w:t>
            </w:r>
            <w:r>
              <w:rPr>
                <w:sz w:val="20"/>
                <w:szCs w:val="20"/>
                <w:lang/>
              </w:rPr>
              <w:t xml:space="preserve">in parentheses and are </w:t>
            </w:r>
            <w:r w:rsidRPr="00C624DB">
              <w:rPr>
                <w:sz w:val="20"/>
                <w:szCs w:val="20"/>
                <w:lang/>
              </w:rPr>
              <w:t xml:space="preserve">clustered at the county level. </w:t>
            </w:r>
            <w:r w:rsidRPr="002C0F11">
              <w:rPr>
                <w:sz w:val="20"/>
                <w:szCs w:val="20"/>
                <w:lang/>
              </w:rPr>
              <w:t>Statistically significant impacts are denoted by asterisks. These asterisks denote statistical significance at the following levels: ***p &lt; 0.01, **p &lt; 0.05, *p &lt; 0.1.</w:t>
            </w:r>
          </w:p>
        </w:tc>
      </w:tr>
    </w:tbl>
    <w:p w14:paraId="67D6678C" w14:textId="65E58818" w:rsidR="005E02DB" w:rsidRPr="005E02DB" w:rsidRDefault="005E02DB" w:rsidP="003B5A8E">
      <w:pPr>
        <w:widowControl w:val="0"/>
        <w:autoSpaceDE w:val="0"/>
        <w:autoSpaceDN w:val="0"/>
        <w:adjustRightInd w:val="0"/>
        <w:spacing w:line="240" w:lineRule="auto"/>
        <w:rPr>
          <w:rFonts w:ascii="Garamond" w:eastAsia="DengXian" w:hAnsi="Garamond" w:cs="Times New Roman"/>
          <w:b/>
          <w:bCs/>
          <w:sz w:val="20"/>
          <w:szCs w:val="20"/>
        </w:rPr>
      </w:pPr>
    </w:p>
    <w:p w14:paraId="280E5590" w14:textId="24E5DE4D" w:rsidR="005E02DB" w:rsidRPr="005E02DB" w:rsidRDefault="005E02DB" w:rsidP="00095E25">
      <w:pPr>
        <w:pStyle w:val="Title"/>
      </w:pPr>
      <w:bookmarkStart w:id="785" w:name="_Toc188056075"/>
      <w:bookmarkStart w:id="786" w:name="_Toc188057159"/>
      <w:bookmarkStart w:id="787" w:name="_Toc188359665"/>
      <w:bookmarkStart w:id="788" w:name="_Toc188359953"/>
      <w:bookmarkStart w:id="789" w:name="_Toc188361189"/>
      <w:bookmarkStart w:id="790" w:name="_Toc188367032"/>
      <w:r w:rsidRPr="005E02DB">
        <w:lastRenderedPageBreak/>
        <w:t>Table A</w:t>
      </w:r>
      <w:r>
        <w:t>6</w:t>
      </w:r>
      <w:r w:rsidR="002050B6">
        <w:rPr>
          <w:lang w:val="en-US"/>
        </w:rPr>
        <w:t>0</w:t>
      </w:r>
      <w:r w:rsidRPr="005E02DB">
        <w:t xml:space="preserve">: </w:t>
      </w:r>
      <w:r w:rsidR="002E1ED3" w:rsidRPr="00F758EA">
        <w:t xml:space="preserve">Regression Results </w:t>
      </w:r>
      <w:r w:rsidRPr="005E02DB">
        <w:t>on Sales Volume – Binary Range Indicator</w:t>
      </w:r>
      <w:bookmarkEnd w:id="785"/>
      <w:bookmarkEnd w:id="786"/>
      <w:bookmarkEnd w:id="787"/>
      <w:bookmarkEnd w:id="788"/>
      <w:bookmarkEnd w:id="789"/>
      <w:bookmarkEnd w:id="790"/>
    </w:p>
    <w:tbl>
      <w:tblPr>
        <w:tblW w:w="5000" w:type="pct"/>
        <w:jc w:val="center"/>
        <w:tblLook w:val="04A0" w:firstRow="1" w:lastRow="0" w:firstColumn="1" w:lastColumn="0" w:noHBand="0" w:noVBand="1"/>
      </w:tblPr>
      <w:tblGrid>
        <w:gridCol w:w="1800"/>
        <w:gridCol w:w="1066"/>
        <w:gridCol w:w="1066"/>
        <w:gridCol w:w="1066"/>
        <w:gridCol w:w="1066"/>
        <w:gridCol w:w="1164"/>
        <w:gridCol w:w="1066"/>
        <w:gridCol w:w="1066"/>
      </w:tblGrid>
      <w:tr w:rsidR="00E75CAE" w:rsidRPr="005E02DB" w14:paraId="35D89B99" w14:textId="77777777" w:rsidTr="00273B5A">
        <w:trPr>
          <w:jc w:val="center"/>
        </w:trPr>
        <w:tc>
          <w:tcPr>
            <w:tcW w:w="988" w:type="pct"/>
            <w:tcBorders>
              <w:top w:val="single" w:sz="4" w:space="0" w:color="auto"/>
              <w:left w:val="nil"/>
              <w:bottom w:val="single" w:sz="12" w:space="0" w:color="auto"/>
              <w:right w:val="nil"/>
            </w:tcBorders>
            <w:hideMark/>
          </w:tcPr>
          <w:p w14:paraId="5F46F728" w14:textId="551960AA" w:rsidR="00E75CAE" w:rsidRPr="002E4B8A" w:rsidRDefault="00E75CAE"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b/>
                <w:bCs/>
                <w:sz w:val="20"/>
                <w:szCs w:val="20"/>
              </w:rPr>
              <w:t>Variable</w:t>
            </w:r>
          </w:p>
        </w:tc>
        <w:tc>
          <w:tcPr>
            <w:tcW w:w="566" w:type="pct"/>
            <w:tcBorders>
              <w:top w:val="single" w:sz="4" w:space="0" w:color="auto"/>
              <w:left w:val="nil"/>
              <w:bottom w:val="single" w:sz="12" w:space="0" w:color="auto"/>
              <w:right w:val="nil"/>
            </w:tcBorders>
            <w:hideMark/>
          </w:tcPr>
          <w:p w14:paraId="4084B487" w14:textId="499E3818" w:rsidR="00E75CAE" w:rsidRPr="002E4B8A" w:rsidRDefault="00E75CAE"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b/>
                <w:bCs/>
                <w:sz w:val="20"/>
                <w:szCs w:val="20"/>
              </w:rPr>
              <w:t>NAICS 11</w:t>
            </w:r>
          </w:p>
        </w:tc>
        <w:tc>
          <w:tcPr>
            <w:tcW w:w="521" w:type="pct"/>
            <w:tcBorders>
              <w:top w:val="single" w:sz="4" w:space="0" w:color="auto"/>
              <w:left w:val="nil"/>
              <w:bottom w:val="single" w:sz="12" w:space="0" w:color="auto"/>
              <w:right w:val="nil"/>
            </w:tcBorders>
            <w:hideMark/>
          </w:tcPr>
          <w:p w14:paraId="3E0E6BEB" w14:textId="55DABE7E" w:rsidR="00E75CAE" w:rsidRPr="002E4B8A" w:rsidRDefault="00E75CAE"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b/>
                <w:bCs/>
                <w:sz w:val="20"/>
                <w:szCs w:val="20"/>
              </w:rPr>
              <w:t>NAICS 21</w:t>
            </w:r>
          </w:p>
        </w:tc>
        <w:tc>
          <w:tcPr>
            <w:tcW w:w="568" w:type="pct"/>
            <w:tcBorders>
              <w:top w:val="single" w:sz="4" w:space="0" w:color="auto"/>
              <w:left w:val="nil"/>
              <w:bottom w:val="single" w:sz="12" w:space="0" w:color="auto"/>
              <w:right w:val="nil"/>
            </w:tcBorders>
            <w:hideMark/>
          </w:tcPr>
          <w:p w14:paraId="4A4EFE25" w14:textId="43CAD671" w:rsidR="00E75CAE" w:rsidRPr="002E4B8A" w:rsidRDefault="00E75CAE"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b/>
                <w:bCs/>
                <w:sz w:val="20"/>
                <w:szCs w:val="20"/>
              </w:rPr>
              <w:t>NAICS 22</w:t>
            </w:r>
          </w:p>
        </w:tc>
        <w:tc>
          <w:tcPr>
            <w:tcW w:w="568" w:type="pct"/>
            <w:tcBorders>
              <w:top w:val="single" w:sz="4" w:space="0" w:color="auto"/>
              <w:left w:val="nil"/>
              <w:bottom w:val="single" w:sz="12" w:space="0" w:color="auto"/>
              <w:right w:val="nil"/>
            </w:tcBorders>
            <w:hideMark/>
          </w:tcPr>
          <w:p w14:paraId="5378C13C" w14:textId="579191C1" w:rsidR="00E75CAE" w:rsidRPr="002E4B8A" w:rsidRDefault="00E75CAE"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b/>
                <w:bCs/>
                <w:sz w:val="20"/>
                <w:szCs w:val="20"/>
              </w:rPr>
              <w:t>NAICS 23</w:t>
            </w:r>
          </w:p>
        </w:tc>
        <w:tc>
          <w:tcPr>
            <w:tcW w:w="648" w:type="pct"/>
            <w:tcBorders>
              <w:top w:val="single" w:sz="4" w:space="0" w:color="auto"/>
              <w:left w:val="nil"/>
              <w:bottom w:val="single" w:sz="12" w:space="0" w:color="auto"/>
              <w:right w:val="nil"/>
            </w:tcBorders>
            <w:hideMark/>
          </w:tcPr>
          <w:p w14:paraId="5A99F4EF" w14:textId="069177C0" w:rsidR="00E75CAE" w:rsidRPr="002E4B8A" w:rsidRDefault="00E75CAE"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b/>
                <w:bCs/>
                <w:sz w:val="20"/>
                <w:szCs w:val="20"/>
              </w:rPr>
              <w:t>NAICS 31-33</w:t>
            </w:r>
          </w:p>
        </w:tc>
        <w:tc>
          <w:tcPr>
            <w:tcW w:w="568" w:type="pct"/>
            <w:tcBorders>
              <w:top w:val="single" w:sz="4" w:space="0" w:color="auto"/>
              <w:left w:val="nil"/>
              <w:bottom w:val="single" w:sz="12" w:space="0" w:color="auto"/>
              <w:right w:val="nil"/>
            </w:tcBorders>
            <w:hideMark/>
          </w:tcPr>
          <w:p w14:paraId="5F56625E" w14:textId="15ABC40A" w:rsidR="00E75CAE" w:rsidRPr="002E4B8A" w:rsidRDefault="00E75CAE"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b/>
                <w:bCs/>
                <w:sz w:val="20"/>
                <w:szCs w:val="20"/>
              </w:rPr>
              <w:t>NAICS 53</w:t>
            </w:r>
          </w:p>
        </w:tc>
        <w:tc>
          <w:tcPr>
            <w:tcW w:w="572" w:type="pct"/>
            <w:tcBorders>
              <w:top w:val="single" w:sz="4" w:space="0" w:color="auto"/>
              <w:left w:val="nil"/>
              <w:bottom w:val="single" w:sz="12" w:space="0" w:color="auto"/>
              <w:right w:val="nil"/>
            </w:tcBorders>
            <w:hideMark/>
          </w:tcPr>
          <w:p w14:paraId="10089F6C" w14:textId="798C6B74" w:rsidR="00E75CAE" w:rsidRPr="002E4B8A" w:rsidRDefault="00E75CAE"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b/>
                <w:bCs/>
                <w:sz w:val="20"/>
                <w:szCs w:val="20"/>
              </w:rPr>
              <w:t>NAICS 71</w:t>
            </w:r>
          </w:p>
        </w:tc>
      </w:tr>
      <w:tr w:rsidR="005E02DB" w:rsidRPr="005E02DB" w14:paraId="7C414E24" w14:textId="77777777" w:rsidTr="00273B5A">
        <w:trPr>
          <w:jc w:val="center"/>
        </w:trPr>
        <w:tc>
          <w:tcPr>
            <w:tcW w:w="988" w:type="pct"/>
            <w:hideMark/>
          </w:tcPr>
          <w:p w14:paraId="51D5FA3F" w14:textId="7777777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Range Ind</w:t>
            </w:r>
          </w:p>
        </w:tc>
        <w:tc>
          <w:tcPr>
            <w:tcW w:w="566" w:type="pct"/>
            <w:hideMark/>
          </w:tcPr>
          <w:p w14:paraId="18EE2F89" w14:textId="6822EDAD"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-.21</w:t>
            </w:r>
            <w:r w:rsidR="0016356D" w:rsidRPr="002E4B8A">
              <w:rPr>
                <w:rFonts w:eastAsia="DengXian" w:cs="Times New Roman"/>
                <w:sz w:val="20"/>
                <w:szCs w:val="20"/>
              </w:rPr>
              <w:t>1</w:t>
            </w:r>
            <w:r w:rsidRPr="002E4B8A">
              <w:rPr>
                <w:rFonts w:eastAsia="DengXian" w:cs="Times New Roman"/>
                <w:sz w:val="20"/>
                <w:szCs w:val="20"/>
              </w:rPr>
              <w:t>*</w:t>
            </w:r>
          </w:p>
        </w:tc>
        <w:tc>
          <w:tcPr>
            <w:tcW w:w="521" w:type="pct"/>
            <w:hideMark/>
          </w:tcPr>
          <w:p w14:paraId="04A25CC9" w14:textId="552D33C9"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-.093</w:t>
            </w:r>
            <w:r w:rsidR="0016356D" w:rsidRPr="002E4B8A">
              <w:rPr>
                <w:rFonts w:eastAsia="DengXian" w:cs="Times New Roman"/>
                <w:sz w:val="20"/>
                <w:szCs w:val="20"/>
              </w:rPr>
              <w:t>5</w:t>
            </w:r>
          </w:p>
        </w:tc>
        <w:tc>
          <w:tcPr>
            <w:tcW w:w="568" w:type="pct"/>
            <w:hideMark/>
          </w:tcPr>
          <w:p w14:paraId="63CE3F78" w14:textId="6BDCBCF2"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-.339*</w:t>
            </w:r>
          </w:p>
        </w:tc>
        <w:tc>
          <w:tcPr>
            <w:tcW w:w="568" w:type="pct"/>
            <w:hideMark/>
          </w:tcPr>
          <w:p w14:paraId="7A65BE20" w14:textId="3E06D305"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.0302</w:t>
            </w:r>
          </w:p>
        </w:tc>
        <w:tc>
          <w:tcPr>
            <w:tcW w:w="648" w:type="pct"/>
            <w:hideMark/>
          </w:tcPr>
          <w:p w14:paraId="2C3BC22B" w14:textId="467D6305"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.77</w:t>
            </w:r>
            <w:r w:rsidR="00750EAC" w:rsidRPr="002E4B8A">
              <w:rPr>
                <w:rFonts w:eastAsia="DengXian" w:cs="Times New Roman"/>
                <w:sz w:val="20"/>
                <w:szCs w:val="20"/>
              </w:rPr>
              <w:t>4</w:t>
            </w:r>
            <w:r w:rsidRPr="002E4B8A">
              <w:rPr>
                <w:rFonts w:eastAsia="DengXian" w:cs="Times New Roman"/>
                <w:sz w:val="20"/>
                <w:szCs w:val="20"/>
              </w:rPr>
              <w:t>**</w:t>
            </w:r>
          </w:p>
        </w:tc>
        <w:tc>
          <w:tcPr>
            <w:tcW w:w="568" w:type="pct"/>
            <w:hideMark/>
          </w:tcPr>
          <w:p w14:paraId="0B94BEDF" w14:textId="7BAD8083"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.05</w:t>
            </w:r>
            <w:r w:rsidR="00750EAC" w:rsidRPr="002E4B8A">
              <w:rPr>
                <w:rFonts w:eastAsia="DengXian" w:cs="Times New Roman"/>
                <w:sz w:val="20"/>
                <w:szCs w:val="20"/>
              </w:rPr>
              <w:t>8</w:t>
            </w:r>
          </w:p>
        </w:tc>
        <w:tc>
          <w:tcPr>
            <w:tcW w:w="572" w:type="pct"/>
            <w:hideMark/>
          </w:tcPr>
          <w:p w14:paraId="646B1CEB" w14:textId="1CE4181F"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.319**</w:t>
            </w:r>
          </w:p>
        </w:tc>
      </w:tr>
      <w:tr w:rsidR="005E02DB" w:rsidRPr="005E02DB" w14:paraId="3AD545BC" w14:textId="77777777" w:rsidTr="00273B5A">
        <w:trPr>
          <w:jc w:val="center"/>
        </w:trPr>
        <w:tc>
          <w:tcPr>
            <w:tcW w:w="988" w:type="pct"/>
            <w:hideMark/>
          </w:tcPr>
          <w:p w14:paraId="705FB50F" w14:textId="2828EB91" w:rsidR="005E02DB" w:rsidRPr="002E4B8A" w:rsidRDefault="005E02DB" w:rsidP="002E4B8A">
            <w:pPr>
              <w:widowControl w:val="0"/>
              <w:autoSpaceDE w:val="0"/>
              <w:autoSpaceDN w:val="0"/>
              <w:adjustRightInd w:val="0"/>
              <w:spacing w:line="240" w:lineRule="auto"/>
              <w:rPr>
                <w:rFonts w:eastAsia="DengXian" w:cs="Times New Roman"/>
                <w:sz w:val="20"/>
                <w:szCs w:val="20"/>
              </w:rPr>
            </w:pPr>
          </w:p>
        </w:tc>
        <w:tc>
          <w:tcPr>
            <w:tcW w:w="566" w:type="pct"/>
            <w:hideMark/>
          </w:tcPr>
          <w:p w14:paraId="22B1F590" w14:textId="1D788166"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(.120)</w:t>
            </w:r>
          </w:p>
        </w:tc>
        <w:tc>
          <w:tcPr>
            <w:tcW w:w="521" w:type="pct"/>
            <w:hideMark/>
          </w:tcPr>
          <w:p w14:paraId="20266B8F" w14:textId="29EB67FF"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(.171)</w:t>
            </w:r>
          </w:p>
        </w:tc>
        <w:tc>
          <w:tcPr>
            <w:tcW w:w="568" w:type="pct"/>
            <w:hideMark/>
          </w:tcPr>
          <w:p w14:paraId="7CF9030B" w14:textId="01F6336A"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(.20</w:t>
            </w:r>
            <w:r w:rsidR="0016356D" w:rsidRPr="002E4B8A">
              <w:rPr>
                <w:rFonts w:eastAsia="DengXian" w:cs="Times New Roman"/>
                <w:sz w:val="20"/>
                <w:szCs w:val="20"/>
              </w:rPr>
              <w:t>2</w:t>
            </w:r>
            <w:r w:rsidRPr="002E4B8A">
              <w:rPr>
                <w:rFonts w:eastAsia="DengXian" w:cs="Times New Roman"/>
                <w:sz w:val="20"/>
                <w:szCs w:val="20"/>
              </w:rPr>
              <w:t>)</w:t>
            </w:r>
          </w:p>
        </w:tc>
        <w:tc>
          <w:tcPr>
            <w:tcW w:w="568" w:type="pct"/>
            <w:hideMark/>
          </w:tcPr>
          <w:p w14:paraId="77F6C2BD" w14:textId="000D1FBE"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(.04</w:t>
            </w:r>
            <w:r w:rsidR="0016356D" w:rsidRPr="002E4B8A">
              <w:rPr>
                <w:rFonts w:eastAsia="DengXian" w:cs="Times New Roman"/>
                <w:sz w:val="20"/>
                <w:szCs w:val="20"/>
              </w:rPr>
              <w:t>7</w:t>
            </w:r>
            <w:r w:rsidRPr="002E4B8A">
              <w:rPr>
                <w:rFonts w:eastAsia="DengXian" w:cs="Times New Roman"/>
                <w:sz w:val="20"/>
                <w:szCs w:val="20"/>
              </w:rPr>
              <w:t>)</w:t>
            </w:r>
          </w:p>
        </w:tc>
        <w:tc>
          <w:tcPr>
            <w:tcW w:w="648" w:type="pct"/>
            <w:hideMark/>
          </w:tcPr>
          <w:p w14:paraId="5099D5B4" w14:textId="5CCF1E4A"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(.36</w:t>
            </w:r>
            <w:r w:rsidR="00750EAC" w:rsidRPr="002E4B8A">
              <w:rPr>
                <w:rFonts w:eastAsia="DengXian" w:cs="Times New Roman"/>
                <w:sz w:val="20"/>
                <w:szCs w:val="20"/>
              </w:rPr>
              <w:t>3</w:t>
            </w:r>
            <w:r w:rsidRPr="002E4B8A">
              <w:rPr>
                <w:rFonts w:eastAsia="DengXian" w:cs="Times New Roman"/>
                <w:sz w:val="20"/>
                <w:szCs w:val="20"/>
              </w:rPr>
              <w:t>)</w:t>
            </w:r>
          </w:p>
        </w:tc>
        <w:tc>
          <w:tcPr>
            <w:tcW w:w="568" w:type="pct"/>
            <w:hideMark/>
          </w:tcPr>
          <w:p w14:paraId="38A83CC6" w14:textId="0137D3FA"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(.042)</w:t>
            </w:r>
          </w:p>
        </w:tc>
        <w:tc>
          <w:tcPr>
            <w:tcW w:w="572" w:type="pct"/>
            <w:hideMark/>
          </w:tcPr>
          <w:p w14:paraId="29303E5D" w14:textId="02321EDE"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(.159)</w:t>
            </w:r>
          </w:p>
        </w:tc>
      </w:tr>
      <w:tr w:rsidR="005E02DB" w:rsidRPr="005E02DB" w14:paraId="5617C70C" w14:textId="77777777" w:rsidTr="00273B5A">
        <w:trPr>
          <w:jc w:val="center"/>
        </w:trPr>
        <w:tc>
          <w:tcPr>
            <w:tcW w:w="988" w:type="pct"/>
            <w:hideMark/>
          </w:tcPr>
          <w:p w14:paraId="22E10FDF" w14:textId="7777777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TSD * Range</w:t>
            </w:r>
          </w:p>
        </w:tc>
        <w:tc>
          <w:tcPr>
            <w:tcW w:w="566" w:type="pct"/>
            <w:hideMark/>
          </w:tcPr>
          <w:p w14:paraId="2F2A97EF" w14:textId="60F3C9F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-.19</w:t>
            </w:r>
            <w:r w:rsidR="0016356D" w:rsidRPr="002E4B8A">
              <w:rPr>
                <w:rFonts w:eastAsia="DengXian" w:cs="Times New Roman"/>
                <w:sz w:val="20"/>
                <w:szCs w:val="20"/>
              </w:rPr>
              <w:t>5</w:t>
            </w:r>
            <w:r w:rsidRPr="002E4B8A">
              <w:rPr>
                <w:rFonts w:eastAsia="DengXian" w:cs="Times New Roman"/>
                <w:sz w:val="20"/>
                <w:szCs w:val="20"/>
              </w:rPr>
              <w:t>***</w:t>
            </w:r>
          </w:p>
        </w:tc>
        <w:tc>
          <w:tcPr>
            <w:tcW w:w="521" w:type="pct"/>
            <w:hideMark/>
          </w:tcPr>
          <w:p w14:paraId="10136EF7" w14:textId="2753DA33"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-.11</w:t>
            </w:r>
            <w:r w:rsidR="0016356D" w:rsidRPr="002E4B8A">
              <w:rPr>
                <w:rFonts w:eastAsia="DengXian" w:cs="Times New Roman"/>
                <w:sz w:val="20"/>
                <w:szCs w:val="20"/>
              </w:rPr>
              <w:t>8</w:t>
            </w:r>
          </w:p>
        </w:tc>
        <w:tc>
          <w:tcPr>
            <w:tcW w:w="568" w:type="pct"/>
            <w:hideMark/>
          </w:tcPr>
          <w:p w14:paraId="5494A39D" w14:textId="601F1254"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-.03</w:t>
            </w:r>
            <w:r w:rsidR="0016356D" w:rsidRPr="002E4B8A">
              <w:rPr>
                <w:rFonts w:eastAsia="DengXian" w:cs="Times New Roman"/>
                <w:sz w:val="20"/>
                <w:szCs w:val="20"/>
              </w:rPr>
              <w:t>1</w:t>
            </w:r>
          </w:p>
        </w:tc>
        <w:tc>
          <w:tcPr>
            <w:tcW w:w="568" w:type="pct"/>
            <w:hideMark/>
          </w:tcPr>
          <w:p w14:paraId="6555AC7A" w14:textId="6EFBA81F"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-.002</w:t>
            </w:r>
          </w:p>
        </w:tc>
        <w:tc>
          <w:tcPr>
            <w:tcW w:w="648" w:type="pct"/>
            <w:hideMark/>
          </w:tcPr>
          <w:p w14:paraId="22C6BA7C" w14:textId="2E051D6D"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.040</w:t>
            </w:r>
          </w:p>
        </w:tc>
        <w:tc>
          <w:tcPr>
            <w:tcW w:w="568" w:type="pct"/>
            <w:hideMark/>
          </w:tcPr>
          <w:p w14:paraId="3CECEBAF" w14:textId="7BA7211D"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-.021</w:t>
            </w:r>
          </w:p>
        </w:tc>
        <w:tc>
          <w:tcPr>
            <w:tcW w:w="572" w:type="pct"/>
            <w:hideMark/>
          </w:tcPr>
          <w:p w14:paraId="681A5ABC" w14:textId="69FA38F3"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.037</w:t>
            </w:r>
          </w:p>
        </w:tc>
      </w:tr>
      <w:tr w:rsidR="005E02DB" w:rsidRPr="005E02DB" w14:paraId="7EF14892" w14:textId="77777777" w:rsidTr="00273B5A">
        <w:trPr>
          <w:jc w:val="center"/>
        </w:trPr>
        <w:tc>
          <w:tcPr>
            <w:tcW w:w="988" w:type="pct"/>
            <w:hideMark/>
          </w:tcPr>
          <w:p w14:paraId="693BEEA6" w14:textId="44E1CFC6" w:rsidR="005E02DB" w:rsidRPr="002E4B8A" w:rsidRDefault="005E02DB" w:rsidP="002E4B8A">
            <w:pPr>
              <w:widowControl w:val="0"/>
              <w:autoSpaceDE w:val="0"/>
              <w:autoSpaceDN w:val="0"/>
              <w:adjustRightInd w:val="0"/>
              <w:spacing w:line="240" w:lineRule="auto"/>
              <w:rPr>
                <w:rFonts w:eastAsia="DengXian" w:cs="Times New Roman"/>
                <w:sz w:val="20"/>
                <w:szCs w:val="20"/>
              </w:rPr>
            </w:pPr>
          </w:p>
        </w:tc>
        <w:tc>
          <w:tcPr>
            <w:tcW w:w="566" w:type="pct"/>
            <w:hideMark/>
          </w:tcPr>
          <w:p w14:paraId="3B3F4799" w14:textId="4ACD8186"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(.06</w:t>
            </w:r>
            <w:r w:rsidR="0016356D" w:rsidRPr="002E4B8A">
              <w:rPr>
                <w:rFonts w:eastAsia="DengXian" w:cs="Times New Roman"/>
                <w:sz w:val="20"/>
                <w:szCs w:val="20"/>
              </w:rPr>
              <w:t>7</w:t>
            </w:r>
            <w:r w:rsidRPr="002E4B8A">
              <w:rPr>
                <w:rFonts w:eastAsia="DengXian" w:cs="Times New Roman"/>
                <w:sz w:val="20"/>
                <w:szCs w:val="20"/>
              </w:rPr>
              <w:t>)</w:t>
            </w:r>
          </w:p>
        </w:tc>
        <w:tc>
          <w:tcPr>
            <w:tcW w:w="521" w:type="pct"/>
            <w:hideMark/>
          </w:tcPr>
          <w:p w14:paraId="05AA84A3" w14:textId="0B3E6DCB"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(.11</w:t>
            </w:r>
            <w:r w:rsidR="0016356D" w:rsidRPr="002E4B8A">
              <w:rPr>
                <w:rFonts w:eastAsia="DengXian" w:cs="Times New Roman"/>
                <w:sz w:val="20"/>
                <w:szCs w:val="20"/>
              </w:rPr>
              <w:t>1</w:t>
            </w:r>
            <w:r w:rsidRPr="002E4B8A">
              <w:rPr>
                <w:rFonts w:eastAsia="DengXian" w:cs="Times New Roman"/>
                <w:sz w:val="20"/>
                <w:szCs w:val="20"/>
              </w:rPr>
              <w:t>)</w:t>
            </w:r>
          </w:p>
        </w:tc>
        <w:tc>
          <w:tcPr>
            <w:tcW w:w="568" w:type="pct"/>
            <w:hideMark/>
          </w:tcPr>
          <w:p w14:paraId="79AF22B3" w14:textId="10F2035F"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(.057)</w:t>
            </w:r>
          </w:p>
        </w:tc>
        <w:tc>
          <w:tcPr>
            <w:tcW w:w="568" w:type="pct"/>
            <w:hideMark/>
          </w:tcPr>
          <w:p w14:paraId="4ED323CA" w14:textId="2CF929ED"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(.02</w:t>
            </w:r>
            <w:r w:rsidR="0016356D" w:rsidRPr="002E4B8A">
              <w:rPr>
                <w:rFonts w:eastAsia="DengXian" w:cs="Times New Roman"/>
                <w:sz w:val="20"/>
                <w:szCs w:val="20"/>
              </w:rPr>
              <w:t>3</w:t>
            </w:r>
            <w:r w:rsidRPr="002E4B8A">
              <w:rPr>
                <w:rFonts w:eastAsia="DengXian" w:cs="Times New Roman"/>
                <w:sz w:val="20"/>
                <w:szCs w:val="20"/>
              </w:rPr>
              <w:t>)</w:t>
            </w:r>
          </w:p>
        </w:tc>
        <w:tc>
          <w:tcPr>
            <w:tcW w:w="648" w:type="pct"/>
            <w:hideMark/>
          </w:tcPr>
          <w:p w14:paraId="1510D27A" w14:textId="1546B465"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(.073)</w:t>
            </w:r>
          </w:p>
        </w:tc>
        <w:tc>
          <w:tcPr>
            <w:tcW w:w="568" w:type="pct"/>
            <w:hideMark/>
          </w:tcPr>
          <w:p w14:paraId="416760D8" w14:textId="1D0D7A8C"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(.021)</w:t>
            </w:r>
          </w:p>
        </w:tc>
        <w:tc>
          <w:tcPr>
            <w:tcW w:w="572" w:type="pct"/>
            <w:hideMark/>
          </w:tcPr>
          <w:p w14:paraId="35FB2618" w14:textId="0A941ABF"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(.096)</w:t>
            </w:r>
          </w:p>
        </w:tc>
      </w:tr>
      <w:tr w:rsidR="005E02DB" w:rsidRPr="005E02DB" w14:paraId="3892E64B" w14:textId="77777777" w:rsidTr="00273B5A">
        <w:trPr>
          <w:jc w:val="center"/>
        </w:trPr>
        <w:tc>
          <w:tcPr>
            <w:tcW w:w="988" w:type="pct"/>
            <w:hideMark/>
          </w:tcPr>
          <w:p w14:paraId="097A11C9" w14:textId="7777777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Poverty rate (100s)</w:t>
            </w:r>
          </w:p>
        </w:tc>
        <w:tc>
          <w:tcPr>
            <w:tcW w:w="566" w:type="pct"/>
            <w:hideMark/>
          </w:tcPr>
          <w:p w14:paraId="2B091287" w14:textId="48EEC29A"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2.646***</w:t>
            </w:r>
          </w:p>
        </w:tc>
        <w:tc>
          <w:tcPr>
            <w:tcW w:w="521" w:type="pct"/>
            <w:hideMark/>
          </w:tcPr>
          <w:p w14:paraId="16189BF6" w14:textId="409DE2A6"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-1.40</w:t>
            </w:r>
            <w:r w:rsidR="0016356D" w:rsidRPr="002E4B8A">
              <w:rPr>
                <w:rFonts w:eastAsia="DengXian" w:cs="Times New Roman"/>
                <w:sz w:val="20"/>
                <w:szCs w:val="20"/>
              </w:rPr>
              <w:t>3</w:t>
            </w:r>
          </w:p>
        </w:tc>
        <w:tc>
          <w:tcPr>
            <w:tcW w:w="568" w:type="pct"/>
            <w:hideMark/>
          </w:tcPr>
          <w:p w14:paraId="4923FAD1" w14:textId="7777777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1.401</w:t>
            </w:r>
          </w:p>
        </w:tc>
        <w:tc>
          <w:tcPr>
            <w:tcW w:w="568" w:type="pct"/>
            <w:hideMark/>
          </w:tcPr>
          <w:p w14:paraId="045A0496" w14:textId="00EFFFF6"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-.496</w:t>
            </w:r>
          </w:p>
        </w:tc>
        <w:tc>
          <w:tcPr>
            <w:tcW w:w="648" w:type="pct"/>
            <w:hideMark/>
          </w:tcPr>
          <w:p w14:paraId="0C6EAE1C" w14:textId="493BB6B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-1.042</w:t>
            </w:r>
          </w:p>
        </w:tc>
        <w:tc>
          <w:tcPr>
            <w:tcW w:w="568" w:type="pct"/>
            <w:hideMark/>
          </w:tcPr>
          <w:p w14:paraId="0D1A23D1" w14:textId="3FA84B3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.945**</w:t>
            </w:r>
          </w:p>
        </w:tc>
        <w:tc>
          <w:tcPr>
            <w:tcW w:w="572" w:type="pct"/>
            <w:hideMark/>
          </w:tcPr>
          <w:p w14:paraId="3EDCD2E1" w14:textId="25145FEE"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2.85</w:t>
            </w:r>
            <w:r w:rsidR="00D1289F" w:rsidRPr="002E4B8A">
              <w:rPr>
                <w:rFonts w:eastAsia="DengXian" w:cs="Times New Roman"/>
                <w:sz w:val="20"/>
                <w:szCs w:val="20"/>
              </w:rPr>
              <w:t>4</w:t>
            </w:r>
            <w:r w:rsidRPr="002E4B8A">
              <w:rPr>
                <w:rFonts w:eastAsia="DengXian" w:cs="Times New Roman"/>
                <w:sz w:val="20"/>
                <w:szCs w:val="20"/>
              </w:rPr>
              <w:t>**</w:t>
            </w:r>
          </w:p>
        </w:tc>
      </w:tr>
      <w:tr w:rsidR="005E02DB" w:rsidRPr="005E02DB" w14:paraId="695DBE33" w14:textId="77777777" w:rsidTr="00273B5A">
        <w:trPr>
          <w:jc w:val="center"/>
        </w:trPr>
        <w:tc>
          <w:tcPr>
            <w:tcW w:w="988" w:type="pct"/>
            <w:hideMark/>
          </w:tcPr>
          <w:p w14:paraId="76999BF1" w14:textId="25ECBE51" w:rsidR="005E02DB" w:rsidRPr="002E4B8A" w:rsidRDefault="005E02DB" w:rsidP="002E4B8A">
            <w:pPr>
              <w:widowControl w:val="0"/>
              <w:autoSpaceDE w:val="0"/>
              <w:autoSpaceDN w:val="0"/>
              <w:adjustRightInd w:val="0"/>
              <w:spacing w:line="240" w:lineRule="auto"/>
              <w:rPr>
                <w:rFonts w:eastAsia="DengXian" w:cs="Times New Roman"/>
                <w:sz w:val="20"/>
                <w:szCs w:val="20"/>
              </w:rPr>
            </w:pPr>
          </w:p>
        </w:tc>
        <w:tc>
          <w:tcPr>
            <w:tcW w:w="566" w:type="pct"/>
            <w:hideMark/>
          </w:tcPr>
          <w:p w14:paraId="7E005E70" w14:textId="43FCD512"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(.71</w:t>
            </w:r>
            <w:r w:rsidR="0016356D" w:rsidRPr="002E4B8A">
              <w:rPr>
                <w:rFonts w:eastAsia="DengXian" w:cs="Times New Roman"/>
                <w:sz w:val="20"/>
                <w:szCs w:val="20"/>
              </w:rPr>
              <w:t>6</w:t>
            </w:r>
            <w:r w:rsidRPr="002E4B8A">
              <w:rPr>
                <w:rFonts w:eastAsia="DengXian" w:cs="Times New Roman"/>
                <w:sz w:val="20"/>
                <w:szCs w:val="20"/>
              </w:rPr>
              <w:t>)</w:t>
            </w:r>
          </w:p>
        </w:tc>
        <w:tc>
          <w:tcPr>
            <w:tcW w:w="521" w:type="pct"/>
            <w:hideMark/>
          </w:tcPr>
          <w:p w14:paraId="6F33F27C" w14:textId="2E3D0AD5"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(1.14</w:t>
            </w:r>
            <w:r w:rsidR="0016356D" w:rsidRPr="002E4B8A">
              <w:rPr>
                <w:rFonts w:eastAsia="DengXian" w:cs="Times New Roman"/>
                <w:sz w:val="20"/>
                <w:szCs w:val="20"/>
              </w:rPr>
              <w:t>3</w:t>
            </w:r>
            <w:r w:rsidRPr="002E4B8A">
              <w:rPr>
                <w:rFonts w:eastAsia="DengXian" w:cs="Times New Roman"/>
                <w:sz w:val="20"/>
                <w:szCs w:val="20"/>
              </w:rPr>
              <w:t>)</w:t>
            </w:r>
          </w:p>
        </w:tc>
        <w:tc>
          <w:tcPr>
            <w:tcW w:w="568" w:type="pct"/>
            <w:hideMark/>
          </w:tcPr>
          <w:p w14:paraId="36EA6C5E" w14:textId="2BD05CA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(.911)</w:t>
            </w:r>
          </w:p>
        </w:tc>
        <w:tc>
          <w:tcPr>
            <w:tcW w:w="568" w:type="pct"/>
            <w:hideMark/>
          </w:tcPr>
          <w:p w14:paraId="5A4C2C96" w14:textId="5D08EB98"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(.32</w:t>
            </w:r>
            <w:r w:rsidR="0016356D" w:rsidRPr="002E4B8A">
              <w:rPr>
                <w:rFonts w:eastAsia="DengXian" w:cs="Times New Roman"/>
                <w:sz w:val="20"/>
                <w:szCs w:val="20"/>
              </w:rPr>
              <w:t>7</w:t>
            </w:r>
            <w:r w:rsidRPr="002E4B8A">
              <w:rPr>
                <w:rFonts w:eastAsia="DengXian" w:cs="Times New Roman"/>
                <w:sz w:val="20"/>
                <w:szCs w:val="20"/>
              </w:rPr>
              <w:t>)</w:t>
            </w:r>
          </w:p>
        </w:tc>
        <w:tc>
          <w:tcPr>
            <w:tcW w:w="648" w:type="pct"/>
            <w:hideMark/>
          </w:tcPr>
          <w:p w14:paraId="3757598C" w14:textId="516582D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(.64</w:t>
            </w:r>
            <w:r w:rsidR="00750EAC" w:rsidRPr="002E4B8A">
              <w:rPr>
                <w:rFonts w:eastAsia="DengXian" w:cs="Times New Roman"/>
                <w:sz w:val="20"/>
                <w:szCs w:val="20"/>
              </w:rPr>
              <w:t>5</w:t>
            </w:r>
            <w:r w:rsidRPr="002E4B8A">
              <w:rPr>
                <w:rFonts w:eastAsia="DengXian" w:cs="Times New Roman"/>
                <w:sz w:val="20"/>
                <w:szCs w:val="20"/>
              </w:rPr>
              <w:t>)</w:t>
            </w:r>
          </w:p>
        </w:tc>
        <w:tc>
          <w:tcPr>
            <w:tcW w:w="568" w:type="pct"/>
            <w:hideMark/>
          </w:tcPr>
          <w:p w14:paraId="2D132EA5" w14:textId="425CEC7D"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(.462)</w:t>
            </w:r>
          </w:p>
        </w:tc>
        <w:tc>
          <w:tcPr>
            <w:tcW w:w="572" w:type="pct"/>
            <w:hideMark/>
          </w:tcPr>
          <w:p w14:paraId="53F1412A" w14:textId="369D303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(1.151)</w:t>
            </w:r>
          </w:p>
        </w:tc>
      </w:tr>
      <w:tr w:rsidR="00D326A2" w:rsidRPr="005E02DB" w14:paraId="7E526A28" w14:textId="77777777" w:rsidTr="00273B5A">
        <w:trPr>
          <w:jc w:val="center"/>
        </w:trPr>
        <w:tc>
          <w:tcPr>
            <w:tcW w:w="988" w:type="pct"/>
            <w:hideMark/>
          </w:tcPr>
          <w:p w14:paraId="4C56917A" w14:textId="5D6CF30C" w:rsidR="00D326A2" w:rsidRPr="002E4B8A" w:rsidRDefault="00D326A2" w:rsidP="002E4B8A">
            <w:pPr>
              <w:widowControl w:val="0"/>
              <w:autoSpaceDE w:val="0"/>
              <w:autoSpaceDN w:val="0"/>
              <w:adjustRightInd w:val="0"/>
              <w:spacing w:line="240" w:lineRule="auto"/>
              <w:rPr>
                <w:rFonts w:eastAsia="DengXian" w:cs="Times New Roman"/>
                <w:sz w:val="20"/>
                <w:szCs w:val="20"/>
              </w:rPr>
            </w:pPr>
            <w:proofErr w:type="spellStart"/>
            <w:r w:rsidRPr="002E4B8A">
              <w:rPr>
                <w:rFonts w:eastAsia="DengXian" w:cs="Times New Roman"/>
                <w:sz w:val="20"/>
                <w:szCs w:val="20"/>
              </w:rPr>
              <w:t>Unemp</w:t>
            </w:r>
            <w:proofErr w:type="spellEnd"/>
            <w:r w:rsidRPr="002E4B8A">
              <w:rPr>
                <w:rFonts w:eastAsia="DengXian" w:cs="Times New Roman"/>
                <w:sz w:val="20"/>
                <w:szCs w:val="20"/>
              </w:rPr>
              <w:t>. rate (100s)</w:t>
            </w:r>
          </w:p>
        </w:tc>
        <w:tc>
          <w:tcPr>
            <w:tcW w:w="566" w:type="pct"/>
            <w:hideMark/>
          </w:tcPr>
          <w:p w14:paraId="3017E531" w14:textId="318B8878"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-3.612***</w:t>
            </w:r>
          </w:p>
        </w:tc>
        <w:tc>
          <w:tcPr>
            <w:tcW w:w="521" w:type="pct"/>
            <w:hideMark/>
          </w:tcPr>
          <w:p w14:paraId="1FC0438C" w14:textId="723F1406"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3.949**</w:t>
            </w:r>
          </w:p>
        </w:tc>
        <w:tc>
          <w:tcPr>
            <w:tcW w:w="568" w:type="pct"/>
            <w:hideMark/>
          </w:tcPr>
          <w:p w14:paraId="2DEC14EC" w14:textId="71515AD1"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1.130</w:t>
            </w:r>
          </w:p>
        </w:tc>
        <w:tc>
          <w:tcPr>
            <w:tcW w:w="568" w:type="pct"/>
            <w:hideMark/>
          </w:tcPr>
          <w:p w14:paraId="54EB6B03" w14:textId="38111977"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-.442</w:t>
            </w:r>
          </w:p>
        </w:tc>
        <w:tc>
          <w:tcPr>
            <w:tcW w:w="648" w:type="pct"/>
            <w:hideMark/>
          </w:tcPr>
          <w:p w14:paraId="667544A7" w14:textId="067AC9C8"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3.374***</w:t>
            </w:r>
          </w:p>
        </w:tc>
        <w:tc>
          <w:tcPr>
            <w:tcW w:w="568" w:type="pct"/>
            <w:hideMark/>
          </w:tcPr>
          <w:p w14:paraId="3BD7B075" w14:textId="75817EC5"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.293</w:t>
            </w:r>
          </w:p>
        </w:tc>
        <w:tc>
          <w:tcPr>
            <w:tcW w:w="572" w:type="pct"/>
            <w:hideMark/>
          </w:tcPr>
          <w:p w14:paraId="5C9940A9" w14:textId="50BE5919"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-.743</w:t>
            </w:r>
          </w:p>
        </w:tc>
      </w:tr>
      <w:tr w:rsidR="00D326A2" w:rsidRPr="005E02DB" w14:paraId="54A93867" w14:textId="77777777" w:rsidTr="00273B5A">
        <w:trPr>
          <w:jc w:val="center"/>
        </w:trPr>
        <w:tc>
          <w:tcPr>
            <w:tcW w:w="988" w:type="pct"/>
            <w:hideMark/>
          </w:tcPr>
          <w:p w14:paraId="3ABF8DC6" w14:textId="37B4F67E" w:rsidR="00D326A2" w:rsidRPr="002E4B8A" w:rsidRDefault="00D326A2" w:rsidP="002E4B8A">
            <w:pPr>
              <w:widowControl w:val="0"/>
              <w:autoSpaceDE w:val="0"/>
              <w:autoSpaceDN w:val="0"/>
              <w:adjustRightInd w:val="0"/>
              <w:spacing w:line="240" w:lineRule="auto"/>
              <w:rPr>
                <w:rFonts w:eastAsia="DengXian" w:cs="Times New Roman"/>
                <w:sz w:val="20"/>
                <w:szCs w:val="20"/>
              </w:rPr>
            </w:pPr>
          </w:p>
        </w:tc>
        <w:tc>
          <w:tcPr>
            <w:tcW w:w="566" w:type="pct"/>
            <w:hideMark/>
          </w:tcPr>
          <w:p w14:paraId="61AEA78A" w14:textId="67D9A00B"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(1.211)</w:t>
            </w:r>
          </w:p>
        </w:tc>
        <w:tc>
          <w:tcPr>
            <w:tcW w:w="521" w:type="pct"/>
            <w:hideMark/>
          </w:tcPr>
          <w:p w14:paraId="045E4555" w14:textId="2F54D1D6"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(1.967)</w:t>
            </w:r>
          </w:p>
        </w:tc>
        <w:tc>
          <w:tcPr>
            <w:tcW w:w="568" w:type="pct"/>
            <w:hideMark/>
          </w:tcPr>
          <w:p w14:paraId="2F968C72" w14:textId="0CD6C95D"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(.995)</w:t>
            </w:r>
          </w:p>
        </w:tc>
        <w:tc>
          <w:tcPr>
            <w:tcW w:w="568" w:type="pct"/>
            <w:hideMark/>
          </w:tcPr>
          <w:p w14:paraId="3D96BE97" w14:textId="31B51683"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(.676)</w:t>
            </w:r>
          </w:p>
        </w:tc>
        <w:tc>
          <w:tcPr>
            <w:tcW w:w="648" w:type="pct"/>
            <w:hideMark/>
          </w:tcPr>
          <w:p w14:paraId="5B1A8424" w14:textId="56817E13"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(1.159)</w:t>
            </w:r>
          </w:p>
        </w:tc>
        <w:tc>
          <w:tcPr>
            <w:tcW w:w="568" w:type="pct"/>
            <w:hideMark/>
          </w:tcPr>
          <w:p w14:paraId="234C3864" w14:textId="24B6DCCD"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(.949)</w:t>
            </w:r>
          </w:p>
        </w:tc>
        <w:tc>
          <w:tcPr>
            <w:tcW w:w="572" w:type="pct"/>
            <w:hideMark/>
          </w:tcPr>
          <w:p w14:paraId="3E1C099A" w14:textId="5FAE8D69"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(.949)</w:t>
            </w:r>
          </w:p>
        </w:tc>
      </w:tr>
      <w:tr w:rsidR="00D326A2" w:rsidRPr="005E02DB" w14:paraId="0FED0F38" w14:textId="77777777" w:rsidTr="00273B5A">
        <w:trPr>
          <w:jc w:val="center"/>
        </w:trPr>
        <w:tc>
          <w:tcPr>
            <w:tcW w:w="988" w:type="pct"/>
            <w:hideMark/>
          </w:tcPr>
          <w:p w14:paraId="7AE5B0FD" w14:textId="0829BB5D"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Pop. Density (100s)</w:t>
            </w:r>
          </w:p>
        </w:tc>
        <w:tc>
          <w:tcPr>
            <w:tcW w:w="566" w:type="pct"/>
            <w:hideMark/>
          </w:tcPr>
          <w:p w14:paraId="58C3D77D" w14:textId="16F68520"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-8.336</w:t>
            </w:r>
          </w:p>
        </w:tc>
        <w:tc>
          <w:tcPr>
            <w:tcW w:w="521" w:type="pct"/>
            <w:hideMark/>
          </w:tcPr>
          <w:p w14:paraId="6C2EC0BB" w14:textId="409F0BC8"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39.369</w:t>
            </w:r>
          </w:p>
        </w:tc>
        <w:tc>
          <w:tcPr>
            <w:tcW w:w="568" w:type="pct"/>
            <w:hideMark/>
          </w:tcPr>
          <w:p w14:paraId="58A4BC78" w14:textId="2F7450CD"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6.162*</w:t>
            </w:r>
          </w:p>
        </w:tc>
        <w:tc>
          <w:tcPr>
            <w:tcW w:w="568" w:type="pct"/>
            <w:hideMark/>
          </w:tcPr>
          <w:p w14:paraId="42DF2F38" w14:textId="6B13DD12"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4.457*</w:t>
            </w:r>
          </w:p>
        </w:tc>
        <w:tc>
          <w:tcPr>
            <w:tcW w:w="648" w:type="pct"/>
            <w:hideMark/>
          </w:tcPr>
          <w:p w14:paraId="07235934" w14:textId="4DF7ABCE"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-8.089**</w:t>
            </w:r>
          </w:p>
        </w:tc>
        <w:tc>
          <w:tcPr>
            <w:tcW w:w="568" w:type="pct"/>
            <w:hideMark/>
          </w:tcPr>
          <w:p w14:paraId="7221DBE8" w14:textId="65506601"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8.913***</w:t>
            </w:r>
          </w:p>
        </w:tc>
        <w:tc>
          <w:tcPr>
            <w:tcW w:w="572" w:type="pct"/>
            <w:hideMark/>
          </w:tcPr>
          <w:p w14:paraId="17FE4014" w14:textId="676A8217"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-1.916</w:t>
            </w:r>
          </w:p>
        </w:tc>
      </w:tr>
      <w:tr w:rsidR="00D326A2" w:rsidRPr="005E02DB" w14:paraId="29DF302F" w14:textId="77777777" w:rsidTr="00273B5A">
        <w:trPr>
          <w:jc w:val="center"/>
        </w:trPr>
        <w:tc>
          <w:tcPr>
            <w:tcW w:w="988" w:type="pct"/>
            <w:hideMark/>
          </w:tcPr>
          <w:p w14:paraId="146D838E" w14:textId="44058EBD" w:rsidR="00D326A2" w:rsidRPr="002E4B8A" w:rsidRDefault="00D326A2" w:rsidP="002E4B8A">
            <w:pPr>
              <w:widowControl w:val="0"/>
              <w:autoSpaceDE w:val="0"/>
              <w:autoSpaceDN w:val="0"/>
              <w:adjustRightInd w:val="0"/>
              <w:spacing w:line="240" w:lineRule="auto"/>
              <w:rPr>
                <w:rFonts w:eastAsia="DengXian" w:cs="Times New Roman"/>
                <w:sz w:val="20"/>
                <w:szCs w:val="20"/>
              </w:rPr>
            </w:pPr>
          </w:p>
        </w:tc>
        <w:tc>
          <w:tcPr>
            <w:tcW w:w="566" w:type="pct"/>
            <w:hideMark/>
          </w:tcPr>
          <w:p w14:paraId="485C9881" w14:textId="3F90C70A"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(12.324)</w:t>
            </w:r>
          </w:p>
        </w:tc>
        <w:tc>
          <w:tcPr>
            <w:tcW w:w="521" w:type="pct"/>
            <w:hideMark/>
          </w:tcPr>
          <w:p w14:paraId="2353765D" w14:textId="3257411F"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(39.028)</w:t>
            </w:r>
          </w:p>
        </w:tc>
        <w:tc>
          <w:tcPr>
            <w:tcW w:w="568" w:type="pct"/>
            <w:hideMark/>
          </w:tcPr>
          <w:p w14:paraId="53F09E08" w14:textId="3F723179"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(3.504)</w:t>
            </w:r>
          </w:p>
        </w:tc>
        <w:tc>
          <w:tcPr>
            <w:tcW w:w="568" w:type="pct"/>
            <w:hideMark/>
          </w:tcPr>
          <w:p w14:paraId="50EB875A" w14:textId="3B9644B0"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(2.379)</w:t>
            </w:r>
          </w:p>
        </w:tc>
        <w:tc>
          <w:tcPr>
            <w:tcW w:w="648" w:type="pct"/>
            <w:hideMark/>
          </w:tcPr>
          <w:p w14:paraId="76B4577E" w14:textId="5B058757"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(3.683)</w:t>
            </w:r>
          </w:p>
        </w:tc>
        <w:tc>
          <w:tcPr>
            <w:tcW w:w="568" w:type="pct"/>
            <w:hideMark/>
          </w:tcPr>
          <w:p w14:paraId="7F8D67C4" w14:textId="637FD5E8"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(1.437)</w:t>
            </w:r>
          </w:p>
        </w:tc>
        <w:tc>
          <w:tcPr>
            <w:tcW w:w="572" w:type="pct"/>
            <w:hideMark/>
          </w:tcPr>
          <w:p w14:paraId="6ED2D917" w14:textId="3CE8804B"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(2.076)</w:t>
            </w:r>
          </w:p>
        </w:tc>
      </w:tr>
      <w:tr w:rsidR="00D326A2" w:rsidRPr="005E02DB" w14:paraId="22AB5F6E" w14:textId="77777777" w:rsidTr="00273B5A">
        <w:trPr>
          <w:jc w:val="center"/>
        </w:trPr>
        <w:tc>
          <w:tcPr>
            <w:tcW w:w="988" w:type="pct"/>
            <w:hideMark/>
          </w:tcPr>
          <w:p w14:paraId="7248330B" w14:textId="0B3F699F"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Med. HH Inc. (100ks)</w:t>
            </w:r>
          </w:p>
        </w:tc>
        <w:tc>
          <w:tcPr>
            <w:tcW w:w="566" w:type="pct"/>
            <w:hideMark/>
          </w:tcPr>
          <w:p w14:paraId="56DB2122" w14:textId="388CB6ED"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1.352***</w:t>
            </w:r>
          </w:p>
        </w:tc>
        <w:tc>
          <w:tcPr>
            <w:tcW w:w="521" w:type="pct"/>
            <w:hideMark/>
          </w:tcPr>
          <w:p w14:paraId="2F93042C" w14:textId="75865400"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-.793</w:t>
            </w:r>
          </w:p>
        </w:tc>
        <w:tc>
          <w:tcPr>
            <w:tcW w:w="568" w:type="pct"/>
            <w:hideMark/>
          </w:tcPr>
          <w:p w14:paraId="3613D843" w14:textId="640CA589"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.164</w:t>
            </w:r>
          </w:p>
        </w:tc>
        <w:tc>
          <w:tcPr>
            <w:tcW w:w="568" w:type="pct"/>
            <w:hideMark/>
          </w:tcPr>
          <w:p w14:paraId="325C58BC" w14:textId="39F78ABD"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.812***</w:t>
            </w:r>
          </w:p>
        </w:tc>
        <w:tc>
          <w:tcPr>
            <w:tcW w:w="648" w:type="pct"/>
            <w:hideMark/>
          </w:tcPr>
          <w:p w14:paraId="1BC4E856" w14:textId="4594898A"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-.322</w:t>
            </w:r>
          </w:p>
        </w:tc>
        <w:tc>
          <w:tcPr>
            <w:tcW w:w="568" w:type="pct"/>
            <w:hideMark/>
          </w:tcPr>
          <w:p w14:paraId="6C11DC05" w14:textId="24F5DE45"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.827***</w:t>
            </w:r>
          </w:p>
        </w:tc>
        <w:tc>
          <w:tcPr>
            <w:tcW w:w="572" w:type="pct"/>
            <w:hideMark/>
          </w:tcPr>
          <w:p w14:paraId="04328F2D" w14:textId="7C6719C5"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-.084</w:t>
            </w:r>
          </w:p>
        </w:tc>
      </w:tr>
      <w:tr w:rsidR="00D326A2" w:rsidRPr="005E02DB" w14:paraId="3ECC2CD8" w14:textId="77777777" w:rsidTr="00273B5A">
        <w:trPr>
          <w:jc w:val="center"/>
        </w:trPr>
        <w:tc>
          <w:tcPr>
            <w:tcW w:w="988" w:type="pct"/>
            <w:hideMark/>
          </w:tcPr>
          <w:p w14:paraId="2378CDA3" w14:textId="1AC3B562" w:rsidR="00D326A2" w:rsidRPr="002E4B8A" w:rsidRDefault="00D326A2" w:rsidP="002E4B8A">
            <w:pPr>
              <w:widowControl w:val="0"/>
              <w:autoSpaceDE w:val="0"/>
              <w:autoSpaceDN w:val="0"/>
              <w:adjustRightInd w:val="0"/>
              <w:spacing w:line="240" w:lineRule="auto"/>
              <w:rPr>
                <w:rFonts w:eastAsia="DengXian" w:cs="Times New Roman"/>
                <w:sz w:val="20"/>
                <w:szCs w:val="20"/>
              </w:rPr>
            </w:pPr>
          </w:p>
        </w:tc>
        <w:tc>
          <w:tcPr>
            <w:tcW w:w="566" w:type="pct"/>
            <w:hideMark/>
          </w:tcPr>
          <w:p w14:paraId="6C75B569" w14:textId="389823D5"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(.498)</w:t>
            </w:r>
          </w:p>
        </w:tc>
        <w:tc>
          <w:tcPr>
            <w:tcW w:w="521" w:type="pct"/>
            <w:hideMark/>
          </w:tcPr>
          <w:p w14:paraId="7ABD7D1E" w14:textId="5F2EB07B"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(1.262)</w:t>
            </w:r>
          </w:p>
        </w:tc>
        <w:tc>
          <w:tcPr>
            <w:tcW w:w="568" w:type="pct"/>
            <w:hideMark/>
          </w:tcPr>
          <w:p w14:paraId="5275F164" w14:textId="65E47BFB"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(.467)</w:t>
            </w:r>
          </w:p>
        </w:tc>
        <w:tc>
          <w:tcPr>
            <w:tcW w:w="568" w:type="pct"/>
            <w:hideMark/>
          </w:tcPr>
          <w:p w14:paraId="11BA6F29" w14:textId="4C427F8E"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(.188)</w:t>
            </w:r>
          </w:p>
        </w:tc>
        <w:tc>
          <w:tcPr>
            <w:tcW w:w="648" w:type="pct"/>
            <w:hideMark/>
          </w:tcPr>
          <w:p w14:paraId="3847259A" w14:textId="4564D80B"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(.464)</w:t>
            </w:r>
          </w:p>
        </w:tc>
        <w:tc>
          <w:tcPr>
            <w:tcW w:w="568" w:type="pct"/>
            <w:hideMark/>
          </w:tcPr>
          <w:p w14:paraId="1C7A5725" w14:textId="794BBF08"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(.288)</w:t>
            </w:r>
          </w:p>
        </w:tc>
        <w:tc>
          <w:tcPr>
            <w:tcW w:w="572" w:type="pct"/>
            <w:hideMark/>
          </w:tcPr>
          <w:p w14:paraId="1C6DE3E3" w14:textId="37D12B33"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(.316)</w:t>
            </w:r>
          </w:p>
        </w:tc>
      </w:tr>
      <w:tr w:rsidR="00D326A2" w:rsidRPr="005E02DB" w14:paraId="09C0FB0B" w14:textId="77777777" w:rsidTr="00273B5A">
        <w:trPr>
          <w:jc w:val="center"/>
        </w:trPr>
        <w:tc>
          <w:tcPr>
            <w:tcW w:w="988" w:type="pct"/>
            <w:hideMark/>
          </w:tcPr>
          <w:p w14:paraId="39E128D8" w14:textId="0FB1486F"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HPI (100s)</w:t>
            </w:r>
          </w:p>
        </w:tc>
        <w:tc>
          <w:tcPr>
            <w:tcW w:w="566" w:type="pct"/>
            <w:hideMark/>
          </w:tcPr>
          <w:p w14:paraId="0DE8C029" w14:textId="170C1614"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-.057**</w:t>
            </w:r>
          </w:p>
        </w:tc>
        <w:tc>
          <w:tcPr>
            <w:tcW w:w="521" w:type="pct"/>
            <w:hideMark/>
          </w:tcPr>
          <w:p w14:paraId="3520A8A1" w14:textId="03060090"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.122*</w:t>
            </w:r>
          </w:p>
        </w:tc>
        <w:tc>
          <w:tcPr>
            <w:tcW w:w="568" w:type="pct"/>
            <w:hideMark/>
          </w:tcPr>
          <w:p w14:paraId="40F20A1F" w14:textId="2122B79A"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.043*</w:t>
            </w:r>
          </w:p>
        </w:tc>
        <w:tc>
          <w:tcPr>
            <w:tcW w:w="568" w:type="pct"/>
            <w:hideMark/>
          </w:tcPr>
          <w:p w14:paraId="207B14BD" w14:textId="42788337"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.027***</w:t>
            </w:r>
          </w:p>
        </w:tc>
        <w:tc>
          <w:tcPr>
            <w:tcW w:w="648" w:type="pct"/>
            <w:hideMark/>
          </w:tcPr>
          <w:p w14:paraId="2CD76975" w14:textId="2B10BF86"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.076***</w:t>
            </w:r>
          </w:p>
        </w:tc>
        <w:tc>
          <w:tcPr>
            <w:tcW w:w="568" w:type="pct"/>
            <w:hideMark/>
          </w:tcPr>
          <w:p w14:paraId="5EF57C54" w14:textId="4318F7D1"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.040***</w:t>
            </w:r>
          </w:p>
        </w:tc>
        <w:tc>
          <w:tcPr>
            <w:tcW w:w="572" w:type="pct"/>
            <w:hideMark/>
          </w:tcPr>
          <w:p w14:paraId="0AAF7FA8" w14:textId="04392724"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.061**</w:t>
            </w:r>
          </w:p>
        </w:tc>
      </w:tr>
      <w:tr w:rsidR="00D326A2" w:rsidRPr="005E02DB" w14:paraId="39E93C57" w14:textId="77777777" w:rsidTr="00273B5A">
        <w:trPr>
          <w:jc w:val="center"/>
        </w:trPr>
        <w:tc>
          <w:tcPr>
            <w:tcW w:w="988" w:type="pct"/>
            <w:hideMark/>
          </w:tcPr>
          <w:p w14:paraId="4B6B9283" w14:textId="1F347988" w:rsidR="00D326A2" w:rsidRPr="002E4B8A" w:rsidRDefault="00D326A2" w:rsidP="002E4B8A">
            <w:pPr>
              <w:widowControl w:val="0"/>
              <w:autoSpaceDE w:val="0"/>
              <w:autoSpaceDN w:val="0"/>
              <w:adjustRightInd w:val="0"/>
              <w:spacing w:line="240" w:lineRule="auto"/>
              <w:rPr>
                <w:rFonts w:eastAsia="DengXian" w:cs="Times New Roman"/>
                <w:sz w:val="20"/>
                <w:szCs w:val="20"/>
              </w:rPr>
            </w:pPr>
          </w:p>
        </w:tc>
        <w:tc>
          <w:tcPr>
            <w:tcW w:w="566" w:type="pct"/>
            <w:hideMark/>
          </w:tcPr>
          <w:p w14:paraId="78E08A4C" w14:textId="418A4D52"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(.024)</w:t>
            </w:r>
          </w:p>
        </w:tc>
        <w:tc>
          <w:tcPr>
            <w:tcW w:w="521" w:type="pct"/>
            <w:hideMark/>
          </w:tcPr>
          <w:p w14:paraId="5926763A" w14:textId="4C402857"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(.063)</w:t>
            </w:r>
          </w:p>
        </w:tc>
        <w:tc>
          <w:tcPr>
            <w:tcW w:w="568" w:type="pct"/>
            <w:hideMark/>
          </w:tcPr>
          <w:p w14:paraId="33926936" w14:textId="75C3923D"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(.024)</w:t>
            </w:r>
          </w:p>
        </w:tc>
        <w:tc>
          <w:tcPr>
            <w:tcW w:w="568" w:type="pct"/>
            <w:hideMark/>
          </w:tcPr>
          <w:p w14:paraId="12DB03CD" w14:textId="0091F698"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(.009)</w:t>
            </w:r>
          </w:p>
        </w:tc>
        <w:tc>
          <w:tcPr>
            <w:tcW w:w="648" w:type="pct"/>
            <w:hideMark/>
          </w:tcPr>
          <w:p w14:paraId="772D9860" w14:textId="04A30EE0"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(.016)</w:t>
            </w:r>
          </w:p>
        </w:tc>
        <w:tc>
          <w:tcPr>
            <w:tcW w:w="568" w:type="pct"/>
            <w:hideMark/>
          </w:tcPr>
          <w:p w14:paraId="2B3B90F7" w14:textId="6C4AF8DE"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(.011)</w:t>
            </w:r>
          </w:p>
        </w:tc>
        <w:tc>
          <w:tcPr>
            <w:tcW w:w="572" w:type="pct"/>
            <w:hideMark/>
          </w:tcPr>
          <w:p w14:paraId="27351166" w14:textId="4E058D5E"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(.024)</w:t>
            </w:r>
          </w:p>
        </w:tc>
      </w:tr>
      <w:tr w:rsidR="00D326A2" w:rsidRPr="005E02DB" w14:paraId="43CE403E" w14:textId="77777777" w:rsidTr="00273B5A">
        <w:trPr>
          <w:jc w:val="center"/>
        </w:trPr>
        <w:tc>
          <w:tcPr>
            <w:tcW w:w="988" w:type="pct"/>
            <w:hideMark/>
          </w:tcPr>
          <w:p w14:paraId="43BC979E" w14:textId="66311810"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EPA - SO2 (t-1)</w:t>
            </w:r>
          </w:p>
        </w:tc>
        <w:tc>
          <w:tcPr>
            <w:tcW w:w="566" w:type="pct"/>
            <w:hideMark/>
          </w:tcPr>
          <w:p w14:paraId="35116336" w14:textId="03229F36"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.454**</w:t>
            </w:r>
          </w:p>
        </w:tc>
        <w:tc>
          <w:tcPr>
            <w:tcW w:w="521" w:type="pct"/>
            <w:hideMark/>
          </w:tcPr>
          <w:p w14:paraId="7717EE26" w14:textId="5458812C"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.069</w:t>
            </w:r>
          </w:p>
        </w:tc>
        <w:tc>
          <w:tcPr>
            <w:tcW w:w="568" w:type="pct"/>
            <w:hideMark/>
          </w:tcPr>
          <w:p w14:paraId="6C181858" w14:textId="32312598"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-.243</w:t>
            </w:r>
          </w:p>
        </w:tc>
        <w:tc>
          <w:tcPr>
            <w:tcW w:w="568" w:type="pct"/>
            <w:hideMark/>
          </w:tcPr>
          <w:p w14:paraId="736AE193" w14:textId="77317AEF"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.144*</w:t>
            </w:r>
          </w:p>
        </w:tc>
        <w:tc>
          <w:tcPr>
            <w:tcW w:w="648" w:type="pct"/>
            <w:hideMark/>
          </w:tcPr>
          <w:p w14:paraId="665CBD1C" w14:textId="7F985F62"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.383*</w:t>
            </w:r>
          </w:p>
        </w:tc>
        <w:tc>
          <w:tcPr>
            <w:tcW w:w="568" w:type="pct"/>
            <w:hideMark/>
          </w:tcPr>
          <w:p w14:paraId="0ECFCCFE" w14:textId="49720043"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.218*</w:t>
            </w:r>
          </w:p>
        </w:tc>
        <w:tc>
          <w:tcPr>
            <w:tcW w:w="572" w:type="pct"/>
            <w:hideMark/>
          </w:tcPr>
          <w:p w14:paraId="54F7DC60" w14:textId="2E7C1797"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.1209</w:t>
            </w:r>
          </w:p>
        </w:tc>
      </w:tr>
      <w:tr w:rsidR="00D326A2" w:rsidRPr="005E02DB" w14:paraId="34BD9B04" w14:textId="77777777" w:rsidTr="00273B5A">
        <w:trPr>
          <w:jc w:val="center"/>
        </w:trPr>
        <w:tc>
          <w:tcPr>
            <w:tcW w:w="988" w:type="pct"/>
            <w:hideMark/>
          </w:tcPr>
          <w:p w14:paraId="5A835D8B" w14:textId="0474FD0D" w:rsidR="00D326A2" w:rsidRPr="002E4B8A" w:rsidRDefault="00D326A2" w:rsidP="002E4B8A">
            <w:pPr>
              <w:widowControl w:val="0"/>
              <w:autoSpaceDE w:val="0"/>
              <w:autoSpaceDN w:val="0"/>
              <w:adjustRightInd w:val="0"/>
              <w:spacing w:line="240" w:lineRule="auto"/>
              <w:rPr>
                <w:rFonts w:eastAsia="DengXian" w:cs="Times New Roman"/>
                <w:sz w:val="20"/>
                <w:szCs w:val="20"/>
              </w:rPr>
            </w:pPr>
          </w:p>
        </w:tc>
        <w:tc>
          <w:tcPr>
            <w:tcW w:w="566" w:type="pct"/>
            <w:hideMark/>
          </w:tcPr>
          <w:p w14:paraId="7CA88139" w14:textId="2BF09BD0"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(.228)</w:t>
            </w:r>
          </w:p>
        </w:tc>
        <w:tc>
          <w:tcPr>
            <w:tcW w:w="521" w:type="pct"/>
            <w:hideMark/>
          </w:tcPr>
          <w:p w14:paraId="67725ED7" w14:textId="266607AD"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(.327)</w:t>
            </w:r>
          </w:p>
        </w:tc>
        <w:tc>
          <w:tcPr>
            <w:tcW w:w="568" w:type="pct"/>
            <w:hideMark/>
          </w:tcPr>
          <w:p w14:paraId="29AD571E" w14:textId="0AC55288"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(.209)</w:t>
            </w:r>
          </w:p>
        </w:tc>
        <w:tc>
          <w:tcPr>
            <w:tcW w:w="568" w:type="pct"/>
            <w:hideMark/>
          </w:tcPr>
          <w:p w14:paraId="79F3DAC8" w14:textId="5BF469B9"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(.080)</w:t>
            </w:r>
          </w:p>
        </w:tc>
        <w:tc>
          <w:tcPr>
            <w:tcW w:w="648" w:type="pct"/>
            <w:hideMark/>
          </w:tcPr>
          <w:p w14:paraId="1B1D3666" w14:textId="7E93C5C2"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(.198)</w:t>
            </w:r>
          </w:p>
        </w:tc>
        <w:tc>
          <w:tcPr>
            <w:tcW w:w="568" w:type="pct"/>
            <w:hideMark/>
          </w:tcPr>
          <w:p w14:paraId="4ABCB7C1" w14:textId="2EE0B1D0"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(.122)</w:t>
            </w:r>
          </w:p>
        </w:tc>
        <w:tc>
          <w:tcPr>
            <w:tcW w:w="572" w:type="pct"/>
            <w:hideMark/>
          </w:tcPr>
          <w:p w14:paraId="44E232A4" w14:textId="7FA14A11"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(.145)</w:t>
            </w:r>
          </w:p>
        </w:tc>
      </w:tr>
      <w:tr w:rsidR="00D326A2" w:rsidRPr="005E02DB" w14:paraId="2548FA1D" w14:textId="77777777" w:rsidTr="00273B5A">
        <w:trPr>
          <w:jc w:val="center"/>
        </w:trPr>
        <w:tc>
          <w:tcPr>
            <w:tcW w:w="988" w:type="pct"/>
            <w:hideMark/>
          </w:tcPr>
          <w:p w14:paraId="68F0AF55" w14:textId="3CE81220"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EPA - PSM (t-1)</w:t>
            </w:r>
          </w:p>
        </w:tc>
        <w:tc>
          <w:tcPr>
            <w:tcW w:w="566" w:type="pct"/>
            <w:hideMark/>
          </w:tcPr>
          <w:p w14:paraId="748349A2" w14:textId="48963BE6"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-.024</w:t>
            </w:r>
          </w:p>
        </w:tc>
        <w:tc>
          <w:tcPr>
            <w:tcW w:w="521" w:type="pct"/>
            <w:hideMark/>
          </w:tcPr>
          <w:p w14:paraId="6BACD26C" w14:textId="6932DDC6"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.087</w:t>
            </w:r>
          </w:p>
        </w:tc>
        <w:tc>
          <w:tcPr>
            <w:tcW w:w="568" w:type="pct"/>
            <w:hideMark/>
          </w:tcPr>
          <w:p w14:paraId="60115BC3" w14:textId="321D9932"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.088**</w:t>
            </w:r>
          </w:p>
        </w:tc>
        <w:tc>
          <w:tcPr>
            <w:tcW w:w="568" w:type="pct"/>
            <w:hideMark/>
          </w:tcPr>
          <w:p w14:paraId="14FA42A6" w14:textId="4D4912C9"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-.028*</w:t>
            </w:r>
          </w:p>
        </w:tc>
        <w:tc>
          <w:tcPr>
            <w:tcW w:w="648" w:type="pct"/>
            <w:hideMark/>
          </w:tcPr>
          <w:p w14:paraId="5FDBA8FA" w14:textId="0616B24B"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-.0405**</w:t>
            </w:r>
          </w:p>
        </w:tc>
        <w:tc>
          <w:tcPr>
            <w:tcW w:w="568" w:type="pct"/>
            <w:hideMark/>
          </w:tcPr>
          <w:p w14:paraId="08EE7463" w14:textId="40832706"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.035</w:t>
            </w:r>
          </w:p>
        </w:tc>
        <w:tc>
          <w:tcPr>
            <w:tcW w:w="572" w:type="pct"/>
            <w:hideMark/>
          </w:tcPr>
          <w:p w14:paraId="3EF3AD37" w14:textId="07554122"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.039</w:t>
            </w:r>
          </w:p>
        </w:tc>
      </w:tr>
      <w:tr w:rsidR="00D326A2" w:rsidRPr="005E02DB" w14:paraId="20573A1B" w14:textId="77777777" w:rsidTr="00273B5A">
        <w:trPr>
          <w:jc w:val="center"/>
        </w:trPr>
        <w:tc>
          <w:tcPr>
            <w:tcW w:w="988" w:type="pct"/>
            <w:hideMark/>
          </w:tcPr>
          <w:p w14:paraId="7BAFE9EC" w14:textId="2E0C1876" w:rsidR="00D326A2" w:rsidRPr="002E4B8A" w:rsidRDefault="00D326A2" w:rsidP="002E4B8A">
            <w:pPr>
              <w:widowControl w:val="0"/>
              <w:autoSpaceDE w:val="0"/>
              <w:autoSpaceDN w:val="0"/>
              <w:adjustRightInd w:val="0"/>
              <w:spacing w:line="240" w:lineRule="auto"/>
              <w:rPr>
                <w:rFonts w:eastAsia="DengXian" w:cs="Times New Roman"/>
                <w:sz w:val="20"/>
                <w:szCs w:val="20"/>
              </w:rPr>
            </w:pPr>
          </w:p>
        </w:tc>
        <w:tc>
          <w:tcPr>
            <w:tcW w:w="566" w:type="pct"/>
            <w:hideMark/>
          </w:tcPr>
          <w:p w14:paraId="26ADF633" w14:textId="4684CF61"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(.045)</w:t>
            </w:r>
          </w:p>
        </w:tc>
        <w:tc>
          <w:tcPr>
            <w:tcW w:w="521" w:type="pct"/>
            <w:hideMark/>
          </w:tcPr>
          <w:p w14:paraId="7ACAD8EB" w14:textId="577DD32B"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(.067)</w:t>
            </w:r>
          </w:p>
        </w:tc>
        <w:tc>
          <w:tcPr>
            <w:tcW w:w="568" w:type="pct"/>
            <w:hideMark/>
          </w:tcPr>
          <w:p w14:paraId="52F099C5" w14:textId="7DE97BF3"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(.040)</w:t>
            </w:r>
          </w:p>
        </w:tc>
        <w:tc>
          <w:tcPr>
            <w:tcW w:w="568" w:type="pct"/>
            <w:hideMark/>
          </w:tcPr>
          <w:p w14:paraId="7347F1B5" w14:textId="0D82218D"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(.015)</w:t>
            </w:r>
          </w:p>
        </w:tc>
        <w:tc>
          <w:tcPr>
            <w:tcW w:w="648" w:type="pct"/>
            <w:hideMark/>
          </w:tcPr>
          <w:p w14:paraId="2A10901C" w14:textId="58ECEEE9"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(.020)</w:t>
            </w:r>
          </w:p>
        </w:tc>
        <w:tc>
          <w:tcPr>
            <w:tcW w:w="568" w:type="pct"/>
            <w:hideMark/>
          </w:tcPr>
          <w:p w14:paraId="5875569D" w14:textId="0E70638F"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(.047)</w:t>
            </w:r>
          </w:p>
        </w:tc>
        <w:tc>
          <w:tcPr>
            <w:tcW w:w="572" w:type="pct"/>
            <w:hideMark/>
          </w:tcPr>
          <w:p w14:paraId="2888BA13" w14:textId="4514714F"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(.041)</w:t>
            </w:r>
          </w:p>
        </w:tc>
      </w:tr>
      <w:tr w:rsidR="00D326A2" w:rsidRPr="005E02DB" w14:paraId="4716CFC1" w14:textId="77777777" w:rsidTr="00273B5A">
        <w:trPr>
          <w:jc w:val="center"/>
        </w:trPr>
        <w:tc>
          <w:tcPr>
            <w:tcW w:w="988" w:type="pct"/>
            <w:hideMark/>
          </w:tcPr>
          <w:p w14:paraId="4D5CD10F" w14:textId="7AC8AFDF"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EPA - O3 (t-1)</w:t>
            </w:r>
          </w:p>
        </w:tc>
        <w:tc>
          <w:tcPr>
            <w:tcW w:w="566" w:type="pct"/>
            <w:hideMark/>
          </w:tcPr>
          <w:p w14:paraId="7CCD0F93" w14:textId="00E925D4"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-.131**</w:t>
            </w:r>
          </w:p>
        </w:tc>
        <w:tc>
          <w:tcPr>
            <w:tcW w:w="521" w:type="pct"/>
            <w:hideMark/>
          </w:tcPr>
          <w:p w14:paraId="61DB8684" w14:textId="562CD87D"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.407***</w:t>
            </w:r>
          </w:p>
        </w:tc>
        <w:tc>
          <w:tcPr>
            <w:tcW w:w="568" w:type="pct"/>
            <w:hideMark/>
          </w:tcPr>
          <w:p w14:paraId="3DC46991" w14:textId="0DE92E99"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.094</w:t>
            </w:r>
          </w:p>
        </w:tc>
        <w:tc>
          <w:tcPr>
            <w:tcW w:w="568" w:type="pct"/>
            <w:hideMark/>
          </w:tcPr>
          <w:p w14:paraId="3312C3EE" w14:textId="2E0475E3"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-.029</w:t>
            </w:r>
          </w:p>
        </w:tc>
        <w:tc>
          <w:tcPr>
            <w:tcW w:w="648" w:type="pct"/>
            <w:hideMark/>
          </w:tcPr>
          <w:p w14:paraId="71F35CA5" w14:textId="41EFEA96"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-.0585</w:t>
            </w:r>
          </w:p>
        </w:tc>
        <w:tc>
          <w:tcPr>
            <w:tcW w:w="568" w:type="pct"/>
            <w:hideMark/>
          </w:tcPr>
          <w:p w14:paraId="20362852" w14:textId="706253B5"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-.085*</w:t>
            </w:r>
          </w:p>
        </w:tc>
        <w:tc>
          <w:tcPr>
            <w:tcW w:w="572" w:type="pct"/>
            <w:hideMark/>
          </w:tcPr>
          <w:p w14:paraId="58B5875D" w14:textId="43598A49"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.001</w:t>
            </w:r>
          </w:p>
        </w:tc>
      </w:tr>
      <w:tr w:rsidR="00D326A2" w:rsidRPr="005E02DB" w14:paraId="1FD5EAA4" w14:textId="77777777" w:rsidTr="00273B5A">
        <w:trPr>
          <w:jc w:val="center"/>
        </w:trPr>
        <w:tc>
          <w:tcPr>
            <w:tcW w:w="988" w:type="pct"/>
            <w:hideMark/>
          </w:tcPr>
          <w:p w14:paraId="512CF834" w14:textId="000FF2AE" w:rsidR="00D326A2" w:rsidRPr="002E4B8A" w:rsidRDefault="00D326A2" w:rsidP="002E4B8A">
            <w:pPr>
              <w:widowControl w:val="0"/>
              <w:autoSpaceDE w:val="0"/>
              <w:autoSpaceDN w:val="0"/>
              <w:adjustRightInd w:val="0"/>
              <w:spacing w:line="240" w:lineRule="auto"/>
              <w:rPr>
                <w:rFonts w:eastAsia="DengXian" w:cs="Times New Roman"/>
                <w:sz w:val="20"/>
                <w:szCs w:val="20"/>
              </w:rPr>
            </w:pPr>
          </w:p>
        </w:tc>
        <w:tc>
          <w:tcPr>
            <w:tcW w:w="566" w:type="pct"/>
            <w:hideMark/>
          </w:tcPr>
          <w:p w14:paraId="453ABB9B" w14:textId="07175135"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(.065)</w:t>
            </w:r>
          </w:p>
        </w:tc>
        <w:tc>
          <w:tcPr>
            <w:tcW w:w="521" w:type="pct"/>
            <w:hideMark/>
          </w:tcPr>
          <w:p w14:paraId="793C058B" w14:textId="14BF6661"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(.149)</w:t>
            </w:r>
          </w:p>
        </w:tc>
        <w:tc>
          <w:tcPr>
            <w:tcW w:w="568" w:type="pct"/>
            <w:hideMark/>
          </w:tcPr>
          <w:p w14:paraId="0EAD9657" w14:textId="3740F3A1"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(.065)</w:t>
            </w:r>
          </w:p>
        </w:tc>
        <w:tc>
          <w:tcPr>
            <w:tcW w:w="568" w:type="pct"/>
            <w:hideMark/>
          </w:tcPr>
          <w:p w14:paraId="346D505D" w14:textId="5CFF010B"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(.026)</w:t>
            </w:r>
          </w:p>
        </w:tc>
        <w:tc>
          <w:tcPr>
            <w:tcW w:w="648" w:type="pct"/>
            <w:hideMark/>
          </w:tcPr>
          <w:p w14:paraId="60B0C192" w14:textId="227C1CF1"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(.045)</w:t>
            </w:r>
          </w:p>
        </w:tc>
        <w:tc>
          <w:tcPr>
            <w:tcW w:w="568" w:type="pct"/>
            <w:hideMark/>
          </w:tcPr>
          <w:p w14:paraId="77FEEA4F" w14:textId="2F37D269"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(.050)</w:t>
            </w:r>
          </w:p>
        </w:tc>
        <w:tc>
          <w:tcPr>
            <w:tcW w:w="572" w:type="pct"/>
            <w:hideMark/>
          </w:tcPr>
          <w:p w14:paraId="096FC49A" w14:textId="55F31D72"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(.035)</w:t>
            </w:r>
          </w:p>
        </w:tc>
      </w:tr>
      <w:tr w:rsidR="00D326A2" w:rsidRPr="005E02DB" w14:paraId="4C480E13" w14:textId="77777777" w:rsidTr="00273B5A">
        <w:trPr>
          <w:jc w:val="center"/>
        </w:trPr>
        <w:tc>
          <w:tcPr>
            <w:tcW w:w="988" w:type="pct"/>
            <w:hideMark/>
          </w:tcPr>
          <w:p w14:paraId="6C974CDF" w14:textId="18C1EDC5"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EPA - NO2 (t-1)</w:t>
            </w:r>
          </w:p>
        </w:tc>
        <w:tc>
          <w:tcPr>
            <w:tcW w:w="566" w:type="pct"/>
            <w:hideMark/>
          </w:tcPr>
          <w:p w14:paraId="036D092B" w14:textId="601D6093"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-.773</w:t>
            </w:r>
          </w:p>
        </w:tc>
        <w:tc>
          <w:tcPr>
            <w:tcW w:w="521" w:type="pct"/>
            <w:hideMark/>
          </w:tcPr>
          <w:p w14:paraId="0905575E" w14:textId="0DC74ED7"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.748</w:t>
            </w:r>
          </w:p>
        </w:tc>
        <w:tc>
          <w:tcPr>
            <w:tcW w:w="568" w:type="pct"/>
            <w:hideMark/>
          </w:tcPr>
          <w:p w14:paraId="2CF57316" w14:textId="1391CD27"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.115</w:t>
            </w:r>
          </w:p>
        </w:tc>
        <w:tc>
          <w:tcPr>
            <w:tcW w:w="568" w:type="pct"/>
            <w:hideMark/>
          </w:tcPr>
          <w:p w14:paraId="5F4CE6D6" w14:textId="3DD7EC45"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.205***</w:t>
            </w:r>
          </w:p>
        </w:tc>
        <w:tc>
          <w:tcPr>
            <w:tcW w:w="648" w:type="pct"/>
          </w:tcPr>
          <w:p w14:paraId="24408366" w14:textId="77777777" w:rsidR="00D326A2" w:rsidRPr="002E4B8A" w:rsidRDefault="00D326A2" w:rsidP="002E4B8A">
            <w:pPr>
              <w:widowControl w:val="0"/>
              <w:autoSpaceDE w:val="0"/>
              <w:autoSpaceDN w:val="0"/>
              <w:adjustRightInd w:val="0"/>
              <w:spacing w:line="240" w:lineRule="auto"/>
              <w:rPr>
                <w:rFonts w:eastAsia="DengXian" w:cs="Times New Roman"/>
                <w:sz w:val="20"/>
                <w:szCs w:val="20"/>
              </w:rPr>
            </w:pPr>
          </w:p>
        </w:tc>
        <w:tc>
          <w:tcPr>
            <w:tcW w:w="568" w:type="pct"/>
            <w:hideMark/>
          </w:tcPr>
          <w:p w14:paraId="59FDA9DC" w14:textId="265D5D14"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.115</w:t>
            </w:r>
          </w:p>
        </w:tc>
        <w:tc>
          <w:tcPr>
            <w:tcW w:w="572" w:type="pct"/>
            <w:hideMark/>
          </w:tcPr>
          <w:p w14:paraId="736A3389" w14:textId="6ABD73C1"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-.119</w:t>
            </w:r>
          </w:p>
        </w:tc>
      </w:tr>
      <w:tr w:rsidR="00D326A2" w:rsidRPr="005E02DB" w14:paraId="319C7285" w14:textId="77777777" w:rsidTr="00273B5A">
        <w:trPr>
          <w:jc w:val="center"/>
        </w:trPr>
        <w:tc>
          <w:tcPr>
            <w:tcW w:w="988" w:type="pct"/>
            <w:hideMark/>
          </w:tcPr>
          <w:p w14:paraId="0350B9C2" w14:textId="62CB6320" w:rsidR="00D326A2" w:rsidRPr="002E4B8A" w:rsidRDefault="00D326A2" w:rsidP="002E4B8A">
            <w:pPr>
              <w:widowControl w:val="0"/>
              <w:autoSpaceDE w:val="0"/>
              <w:autoSpaceDN w:val="0"/>
              <w:adjustRightInd w:val="0"/>
              <w:spacing w:line="240" w:lineRule="auto"/>
              <w:rPr>
                <w:rFonts w:eastAsia="DengXian" w:cs="Times New Roman"/>
                <w:sz w:val="20"/>
                <w:szCs w:val="20"/>
              </w:rPr>
            </w:pPr>
          </w:p>
        </w:tc>
        <w:tc>
          <w:tcPr>
            <w:tcW w:w="566" w:type="pct"/>
            <w:hideMark/>
          </w:tcPr>
          <w:p w14:paraId="4AF30C8F" w14:textId="6D7F5D84"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(.689)</w:t>
            </w:r>
          </w:p>
        </w:tc>
        <w:tc>
          <w:tcPr>
            <w:tcW w:w="521" w:type="pct"/>
            <w:hideMark/>
          </w:tcPr>
          <w:p w14:paraId="6935B5EC" w14:textId="4C21118B"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(.480)</w:t>
            </w:r>
          </w:p>
        </w:tc>
        <w:tc>
          <w:tcPr>
            <w:tcW w:w="568" w:type="pct"/>
            <w:hideMark/>
          </w:tcPr>
          <w:p w14:paraId="4C9105C3" w14:textId="27625396"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(.511)</w:t>
            </w:r>
          </w:p>
        </w:tc>
        <w:tc>
          <w:tcPr>
            <w:tcW w:w="568" w:type="pct"/>
            <w:hideMark/>
          </w:tcPr>
          <w:p w14:paraId="7296DA4F" w14:textId="70AE245F"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(.036)</w:t>
            </w:r>
          </w:p>
        </w:tc>
        <w:tc>
          <w:tcPr>
            <w:tcW w:w="648" w:type="pct"/>
          </w:tcPr>
          <w:p w14:paraId="20420C0D" w14:textId="77777777" w:rsidR="00D326A2" w:rsidRPr="002E4B8A" w:rsidRDefault="00D326A2" w:rsidP="002E4B8A">
            <w:pPr>
              <w:widowControl w:val="0"/>
              <w:autoSpaceDE w:val="0"/>
              <w:autoSpaceDN w:val="0"/>
              <w:adjustRightInd w:val="0"/>
              <w:spacing w:line="240" w:lineRule="auto"/>
              <w:rPr>
                <w:rFonts w:eastAsia="DengXian" w:cs="Times New Roman"/>
                <w:sz w:val="20"/>
                <w:szCs w:val="20"/>
              </w:rPr>
            </w:pPr>
          </w:p>
        </w:tc>
        <w:tc>
          <w:tcPr>
            <w:tcW w:w="568" w:type="pct"/>
            <w:hideMark/>
          </w:tcPr>
          <w:p w14:paraId="20D5123C" w14:textId="37B831BC"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(.077)</w:t>
            </w:r>
          </w:p>
        </w:tc>
        <w:tc>
          <w:tcPr>
            <w:tcW w:w="572" w:type="pct"/>
            <w:hideMark/>
          </w:tcPr>
          <w:p w14:paraId="29295486" w14:textId="33533421"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(.165)</w:t>
            </w:r>
          </w:p>
        </w:tc>
      </w:tr>
      <w:tr w:rsidR="00D326A2" w:rsidRPr="005E02DB" w14:paraId="37F8379E" w14:textId="77777777" w:rsidTr="00273B5A">
        <w:trPr>
          <w:jc w:val="center"/>
        </w:trPr>
        <w:tc>
          <w:tcPr>
            <w:tcW w:w="988" w:type="pct"/>
            <w:hideMark/>
          </w:tcPr>
          <w:p w14:paraId="59E229FD" w14:textId="26F56595"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EPA - Pb (t-1)</w:t>
            </w:r>
          </w:p>
        </w:tc>
        <w:tc>
          <w:tcPr>
            <w:tcW w:w="566" w:type="pct"/>
            <w:hideMark/>
          </w:tcPr>
          <w:p w14:paraId="5471A84C" w14:textId="37547D47"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-.926***</w:t>
            </w:r>
          </w:p>
        </w:tc>
        <w:tc>
          <w:tcPr>
            <w:tcW w:w="521" w:type="pct"/>
            <w:hideMark/>
          </w:tcPr>
          <w:p w14:paraId="27526033" w14:textId="07864C9E"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-.273</w:t>
            </w:r>
          </w:p>
        </w:tc>
        <w:tc>
          <w:tcPr>
            <w:tcW w:w="568" w:type="pct"/>
            <w:hideMark/>
          </w:tcPr>
          <w:p w14:paraId="1E415048" w14:textId="092DD310"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.034</w:t>
            </w:r>
          </w:p>
        </w:tc>
        <w:tc>
          <w:tcPr>
            <w:tcW w:w="568" w:type="pct"/>
            <w:hideMark/>
          </w:tcPr>
          <w:p w14:paraId="4AB1A622" w14:textId="63B6458C"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-.308</w:t>
            </w:r>
          </w:p>
        </w:tc>
        <w:tc>
          <w:tcPr>
            <w:tcW w:w="648" w:type="pct"/>
            <w:hideMark/>
          </w:tcPr>
          <w:p w14:paraId="1C3F473D" w14:textId="1A68231E"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-.583**</w:t>
            </w:r>
          </w:p>
        </w:tc>
        <w:tc>
          <w:tcPr>
            <w:tcW w:w="568" w:type="pct"/>
            <w:hideMark/>
          </w:tcPr>
          <w:p w14:paraId="429C9D51" w14:textId="597AE4F7"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-.238</w:t>
            </w:r>
          </w:p>
        </w:tc>
        <w:tc>
          <w:tcPr>
            <w:tcW w:w="572" w:type="pct"/>
            <w:hideMark/>
          </w:tcPr>
          <w:p w14:paraId="0D4C0212" w14:textId="1C35AD2A"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-.660*</w:t>
            </w:r>
          </w:p>
        </w:tc>
      </w:tr>
      <w:tr w:rsidR="00D326A2" w:rsidRPr="005E02DB" w14:paraId="3BE90761" w14:textId="77777777" w:rsidTr="00273B5A">
        <w:trPr>
          <w:jc w:val="center"/>
        </w:trPr>
        <w:tc>
          <w:tcPr>
            <w:tcW w:w="988" w:type="pct"/>
            <w:hideMark/>
          </w:tcPr>
          <w:p w14:paraId="487A8263" w14:textId="2F46DC0C" w:rsidR="00D326A2" w:rsidRPr="002E4B8A" w:rsidRDefault="00D326A2" w:rsidP="002E4B8A">
            <w:pPr>
              <w:widowControl w:val="0"/>
              <w:autoSpaceDE w:val="0"/>
              <w:autoSpaceDN w:val="0"/>
              <w:adjustRightInd w:val="0"/>
              <w:spacing w:line="240" w:lineRule="auto"/>
              <w:rPr>
                <w:rFonts w:eastAsia="DengXian" w:cs="Times New Roman"/>
                <w:sz w:val="20"/>
                <w:szCs w:val="20"/>
              </w:rPr>
            </w:pPr>
          </w:p>
        </w:tc>
        <w:tc>
          <w:tcPr>
            <w:tcW w:w="566" w:type="pct"/>
            <w:hideMark/>
          </w:tcPr>
          <w:p w14:paraId="1EE8EF93" w14:textId="45838E68"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(.234)</w:t>
            </w:r>
          </w:p>
        </w:tc>
        <w:tc>
          <w:tcPr>
            <w:tcW w:w="521" w:type="pct"/>
            <w:hideMark/>
          </w:tcPr>
          <w:p w14:paraId="693BAB8C" w14:textId="1DFF8866"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(.548)</w:t>
            </w:r>
          </w:p>
        </w:tc>
        <w:tc>
          <w:tcPr>
            <w:tcW w:w="568" w:type="pct"/>
            <w:hideMark/>
          </w:tcPr>
          <w:p w14:paraId="31310F33" w14:textId="720E9AB1"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(.448)</w:t>
            </w:r>
          </w:p>
        </w:tc>
        <w:tc>
          <w:tcPr>
            <w:tcW w:w="568" w:type="pct"/>
            <w:hideMark/>
          </w:tcPr>
          <w:p w14:paraId="4220DC3D" w14:textId="56242597"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(.260)</w:t>
            </w:r>
          </w:p>
        </w:tc>
        <w:tc>
          <w:tcPr>
            <w:tcW w:w="648" w:type="pct"/>
            <w:hideMark/>
          </w:tcPr>
          <w:p w14:paraId="01ADD94B" w14:textId="723C6CB1"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(.287)</w:t>
            </w:r>
          </w:p>
        </w:tc>
        <w:tc>
          <w:tcPr>
            <w:tcW w:w="568" w:type="pct"/>
            <w:hideMark/>
          </w:tcPr>
          <w:p w14:paraId="0575D084" w14:textId="7C68CDFD"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(.297)</w:t>
            </w:r>
          </w:p>
        </w:tc>
        <w:tc>
          <w:tcPr>
            <w:tcW w:w="572" w:type="pct"/>
            <w:hideMark/>
          </w:tcPr>
          <w:p w14:paraId="13CD0943" w14:textId="0E44CF11"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(.356)</w:t>
            </w:r>
          </w:p>
        </w:tc>
      </w:tr>
      <w:tr w:rsidR="00D326A2" w:rsidRPr="005E02DB" w14:paraId="650022A2" w14:textId="77777777" w:rsidTr="00273B5A">
        <w:trPr>
          <w:jc w:val="center"/>
        </w:trPr>
        <w:tc>
          <w:tcPr>
            <w:tcW w:w="988" w:type="pct"/>
            <w:hideMark/>
          </w:tcPr>
          <w:p w14:paraId="75CCD9BB" w14:textId="2D6493DC"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EPA - CO (t-1)</w:t>
            </w:r>
          </w:p>
        </w:tc>
        <w:tc>
          <w:tcPr>
            <w:tcW w:w="566" w:type="pct"/>
            <w:hideMark/>
          </w:tcPr>
          <w:p w14:paraId="4EC9DA03" w14:textId="2330E565"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.0494</w:t>
            </w:r>
          </w:p>
        </w:tc>
        <w:tc>
          <w:tcPr>
            <w:tcW w:w="521" w:type="pct"/>
            <w:hideMark/>
          </w:tcPr>
          <w:p w14:paraId="30BD8154" w14:textId="550056B7"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.737**</w:t>
            </w:r>
          </w:p>
        </w:tc>
        <w:tc>
          <w:tcPr>
            <w:tcW w:w="568" w:type="pct"/>
            <w:hideMark/>
          </w:tcPr>
          <w:p w14:paraId="71173DFE" w14:textId="00B31A8F"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.233</w:t>
            </w:r>
          </w:p>
        </w:tc>
        <w:tc>
          <w:tcPr>
            <w:tcW w:w="568" w:type="pct"/>
            <w:hideMark/>
          </w:tcPr>
          <w:p w14:paraId="23B2283F" w14:textId="3B0148EB"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.074</w:t>
            </w:r>
          </w:p>
        </w:tc>
        <w:tc>
          <w:tcPr>
            <w:tcW w:w="648" w:type="pct"/>
            <w:hideMark/>
          </w:tcPr>
          <w:p w14:paraId="04BEACD1" w14:textId="25E3EFA9"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.146</w:t>
            </w:r>
          </w:p>
        </w:tc>
        <w:tc>
          <w:tcPr>
            <w:tcW w:w="568" w:type="pct"/>
            <w:hideMark/>
          </w:tcPr>
          <w:p w14:paraId="21F87CAF" w14:textId="0D7DAF62"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.078</w:t>
            </w:r>
          </w:p>
        </w:tc>
        <w:tc>
          <w:tcPr>
            <w:tcW w:w="572" w:type="pct"/>
            <w:hideMark/>
          </w:tcPr>
          <w:p w14:paraId="54D4063D" w14:textId="2852DAC5"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-.128</w:t>
            </w:r>
          </w:p>
        </w:tc>
      </w:tr>
      <w:tr w:rsidR="005E02DB" w:rsidRPr="005E02DB" w14:paraId="7B03D91E" w14:textId="77777777" w:rsidTr="00273B5A">
        <w:trPr>
          <w:jc w:val="center"/>
        </w:trPr>
        <w:tc>
          <w:tcPr>
            <w:tcW w:w="988" w:type="pct"/>
            <w:hideMark/>
          </w:tcPr>
          <w:p w14:paraId="513D7DD6" w14:textId="064DE5AC" w:rsidR="005E02DB" w:rsidRPr="002E4B8A" w:rsidRDefault="005E02DB" w:rsidP="002E4B8A">
            <w:pPr>
              <w:widowControl w:val="0"/>
              <w:autoSpaceDE w:val="0"/>
              <w:autoSpaceDN w:val="0"/>
              <w:adjustRightInd w:val="0"/>
              <w:spacing w:line="240" w:lineRule="auto"/>
              <w:rPr>
                <w:rFonts w:eastAsia="DengXian" w:cs="Times New Roman"/>
                <w:sz w:val="20"/>
                <w:szCs w:val="20"/>
              </w:rPr>
            </w:pPr>
          </w:p>
        </w:tc>
        <w:tc>
          <w:tcPr>
            <w:tcW w:w="566" w:type="pct"/>
            <w:hideMark/>
          </w:tcPr>
          <w:p w14:paraId="3F11648B" w14:textId="30CF701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(.199)</w:t>
            </w:r>
          </w:p>
        </w:tc>
        <w:tc>
          <w:tcPr>
            <w:tcW w:w="521" w:type="pct"/>
            <w:hideMark/>
          </w:tcPr>
          <w:p w14:paraId="194AEE42" w14:textId="1D66A6DB"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(.371)</w:t>
            </w:r>
          </w:p>
        </w:tc>
        <w:tc>
          <w:tcPr>
            <w:tcW w:w="568" w:type="pct"/>
            <w:hideMark/>
          </w:tcPr>
          <w:p w14:paraId="6AA31192" w14:textId="15789FA2"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(.2</w:t>
            </w:r>
            <w:r w:rsidR="0016356D" w:rsidRPr="002E4B8A">
              <w:rPr>
                <w:rFonts w:eastAsia="DengXian" w:cs="Times New Roman"/>
                <w:sz w:val="20"/>
                <w:szCs w:val="20"/>
              </w:rPr>
              <w:t>20</w:t>
            </w:r>
            <w:r w:rsidRPr="002E4B8A">
              <w:rPr>
                <w:rFonts w:eastAsia="DengXian" w:cs="Times New Roman"/>
                <w:sz w:val="20"/>
                <w:szCs w:val="20"/>
              </w:rPr>
              <w:t>)</w:t>
            </w:r>
          </w:p>
        </w:tc>
        <w:tc>
          <w:tcPr>
            <w:tcW w:w="568" w:type="pct"/>
            <w:hideMark/>
          </w:tcPr>
          <w:p w14:paraId="0CE605B4" w14:textId="0584E5EF"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(.07</w:t>
            </w:r>
            <w:r w:rsidR="00750EAC" w:rsidRPr="002E4B8A">
              <w:rPr>
                <w:rFonts w:eastAsia="DengXian" w:cs="Times New Roman"/>
                <w:sz w:val="20"/>
                <w:szCs w:val="20"/>
              </w:rPr>
              <w:t>6</w:t>
            </w:r>
            <w:r w:rsidRPr="002E4B8A">
              <w:rPr>
                <w:rFonts w:eastAsia="DengXian" w:cs="Times New Roman"/>
                <w:sz w:val="20"/>
                <w:szCs w:val="20"/>
              </w:rPr>
              <w:t>)</w:t>
            </w:r>
          </w:p>
        </w:tc>
        <w:tc>
          <w:tcPr>
            <w:tcW w:w="648" w:type="pct"/>
            <w:hideMark/>
          </w:tcPr>
          <w:p w14:paraId="6F7580F0" w14:textId="242C454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(.12</w:t>
            </w:r>
            <w:r w:rsidR="00750EAC" w:rsidRPr="002E4B8A">
              <w:rPr>
                <w:rFonts w:eastAsia="DengXian" w:cs="Times New Roman"/>
                <w:sz w:val="20"/>
                <w:szCs w:val="20"/>
              </w:rPr>
              <w:t>3</w:t>
            </w:r>
            <w:r w:rsidRPr="002E4B8A">
              <w:rPr>
                <w:rFonts w:eastAsia="DengXian" w:cs="Times New Roman"/>
                <w:sz w:val="20"/>
                <w:szCs w:val="20"/>
              </w:rPr>
              <w:t>)</w:t>
            </w:r>
          </w:p>
        </w:tc>
        <w:tc>
          <w:tcPr>
            <w:tcW w:w="568" w:type="pct"/>
            <w:hideMark/>
          </w:tcPr>
          <w:p w14:paraId="09E05A06" w14:textId="7A003321"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(.074)</w:t>
            </w:r>
          </w:p>
        </w:tc>
        <w:tc>
          <w:tcPr>
            <w:tcW w:w="572" w:type="pct"/>
            <w:hideMark/>
          </w:tcPr>
          <w:p w14:paraId="7EEA3BC4" w14:textId="2875C51A"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(.16</w:t>
            </w:r>
            <w:r w:rsidR="00D1289F" w:rsidRPr="002E4B8A">
              <w:rPr>
                <w:rFonts w:eastAsia="DengXian" w:cs="Times New Roman"/>
                <w:sz w:val="20"/>
                <w:szCs w:val="20"/>
              </w:rPr>
              <w:t>8</w:t>
            </w:r>
            <w:r w:rsidRPr="002E4B8A">
              <w:rPr>
                <w:rFonts w:eastAsia="DengXian" w:cs="Times New Roman"/>
                <w:sz w:val="20"/>
                <w:szCs w:val="20"/>
              </w:rPr>
              <w:t>)</w:t>
            </w:r>
          </w:p>
        </w:tc>
      </w:tr>
      <w:tr w:rsidR="005E02DB" w:rsidRPr="005E02DB" w14:paraId="0E5FF8F8" w14:textId="77777777" w:rsidTr="00273B5A">
        <w:trPr>
          <w:jc w:val="center"/>
        </w:trPr>
        <w:tc>
          <w:tcPr>
            <w:tcW w:w="988" w:type="pct"/>
            <w:hideMark/>
          </w:tcPr>
          <w:p w14:paraId="5DAD4B1C" w14:textId="7777777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PAD - All GAPs (t-1)</w:t>
            </w:r>
          </w:p>
        </w:tc>
        <w:tc>
          <w:tcPr>
            <w:tcW w:w="566" w:type="pct"/>
            <w:hideMark/>
          </w:tcPr>
          <w:p w14:paraId="5C274AB6" w14:textId="0E9CE1D1"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1.10</w:t>
            </w:r>
            <w:r w:rsidR="0016356D" w:rsidRPr="002E4B8A">
              <w:rPr>
                <w:rFonts w:eastAsia="DengXian" w:cs="Times New Roman"/>
                <w:sz w:val="20"/>
                <w:szCs w:val="20"/>
              </w:rPr>
              <w:t>3</w:t>
            </w:r>
          </w:p>
        </w:tc>
        <w:tc>
          <w:tcPr>
            <w:tcW w:w="521" w:type="pct"/>
            <w:hideMark/>
          </w:tcPr>
          <w:p w14:paraId="6A6A0447" w14:textId="75F740DE"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-7.691***</w:t>
            </w:r>
          </w:p>
        </w:tc>
        <w:tc>
          <w:tcPr>
            <w:tcW w:w="568" w:type="pct"/>
            <w:hideMark/>
          </w:tcPr>
          <w:p w14:paraId="003301AC" w14:textId="05D7D10A"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7.923***</w:t>
            </w:r>
          </w:p>
        </w:tc>
        <w:tc>
          <w:tcPr>
            <w:tcW w:w="568" w:type="pct"/>
            <w:hideMark/>
          </w:tcPr>
          <w:p w14:paraId="3FD3C9D9" w14:textId="754BEC9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-1.71</w:t>
            </w:r>
            <w:r w:rsidR="00750EAC" w:rsidRPr="002E4B8A">
              <w:rPr>
                <w:rFonts w:eastAsia="DengXian" w:cs="Times New Roman"/>
                <w:sz w:val="20"/>
                <w:szCs w:val="20"/>
              </w:rPr>
              <w:t>2</w:t>
            </w:r>
            <w:r w:rsidRPr="002E4B8A">
              <w:rPr>
                <w:rFonts w:eastAsia="DengXian" w:cs="Times New Roman"/>
                <w:sz w:val="20"/>
                <w:szCs w:val="20"/>
              </w:rPr>
              <w:t>*</w:t>
            </w:r>
          </w:p>
        </w:tc>
        <w:tc>
          <w:tcPr>
            <w:tcW w:w="648" w:type="pct"/>
            <w:hideMark/>
          </w:tcPr>
          <w:p w14:paraId="3AF363AC" w14:textId="75CE8CBE"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-2.821*</w:t>
            </w:r>
          </w:p>
        </w:tc>
        <w:tc>
          <w:tcPr>
            <w:tcW w:w="568" w:type="pct"/>
            <w:hideMark/>
          </w:tcPr>
          <w:p w14:paraId="26439D8B" w14:textId="16B6059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.676</w:t>
            </w:r>
          </w:p>
        </w:tc>
        <w:tc>
          <w:tcPr>
            <w:tcW w:w="572" w:type="pct"/>
            <w:hideMark/>
          </w:tcPr>
          <w:p w14:paraId="0AFFB218" w14:textId="29508B83"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1.54</w:t>
            </w:r>
            <w:r w:rsidR="00D1289F" w:rsidRPr="002E4B8A">
              <w:rPr>
                <w:rFonts w:eastAsia="DengXian" w:cs="Times New Roman"/>
                <w:sz w:val="20"/>
                <w:szCs w:val="20"/>
              </w:rPr>
              <w:t>5</w:t>
            </w:r>
          </w:p>
        </w:tc>
      </w:tr>
      <w:tr w:rsidR="005E02DB" w:rsidRPr="005E02DB" w14:paraId="3ADE18E2" w14:textId="77777777" w:rsidTr="00273B5A">
        <w:trPr>
          <w:jc w:val="center"/>
        </w:trPr>
        <w:tc>
          <w:tcPr>
            <w:tcW w:w="988" w:type="pct"/>
            <w:hideMark/>
          </w:tcPr>
          <w:p w14:paraId="12DF090E" w14:textId="7570AC75" w:rsidR="005E02DB" w:rsidRPr="002E4B8A" w:rsidRDefault="005E02DB" w:rsidP="002E4B8A">
            <w:pPr>
              <w:widowControl w:val="0"/>
              <w:autoSpaceDE w:val="0"/>
              <w:autoSpaceDN w:val="0"/>
              <w:adjustRightInd w:val="0"/>
              <w:spacing w:line="240" w:lineRule="auto"/>
              <w:rPr>
                <w:rFonts w:eastAsia="DengXian" w:cs="Times New Roman"/>
                <w:sz w:val="20"/>
                <w:szCs w:val="20"/>
              </w:rPr>
            </w:pPr>
          </w:p>
        </w:tc>
        <w:tc>
          <w:tcPr>
            <w:tcW w:w="566" w:type="pct"/>
            <w:hideMark/>
          </w:tcPr>
          <w:p w14:paraId="116B1217" w14:textId="5EBC1FCB"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(1.5</w:t>
            </w:r>
            <w:r w:rsidR="0016356D" w:rsidRPr="002E4B8A">
              <w:rPr>
                <w:rFonts w:eastAsia="DengXian" w:cs="Times New Roman"/>
                <w:sz w:val="20"/>
                <w:szCs w:val="20"/>
              </w:rPr>
              <w:t>70</w:t>
            </w:r>
            <w:r w:rsidRPr="002E4B8A">
              <w:rPr>
                <w:rFonts w:eastAsia="DengXian" w:cs="Times New Roman"/>
                <w:sz w:val="20"/>
                <w:szCs w:val="20"/>
              </w:rPr>
              <w:t>)</w:t>
            </w:r>
          </w:p>
        </w:tc>
        <w:tc>
          <w:tcPr>
            <w:tcW w:w="521" w:type="pct"/>
            <w:hideMark/>
          </w:tcPr>
          <w:p w14:paraId="53A1B214" w14:textId="7786249F"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(2.40</w:t>
            </w:r>
            <w:r w:rsidR="0016356D" w:rsidRPr="002E4B8A">
              <w:rPr>
                <w:rFonts w:eastAsia="DengXian" w:cs="Times New Roman"/>
                <w:sz w:val="20"/>
                <w:szCs w:val="20"/>
              </w:rPr>
              <w:t>3</w:t>
            </w:r>
            <w:r w:rsidRPr="002E4B8A">
              <w:rPr>
                <w:rFonts w:eastAsia="DengXian" w:cs="Times New Roman"/>
                <w:sz w:val="20"/>
                <w:szCs w:val="20"/>
              </w:rPr>
              <w:t>)</w:t>
            </w:r>
          </w:p>
        </w:tc>
        <w:tc>
          <w:tcPr>
            <w:tcW w:w="568" w:type="pct"/>
            <w:hideMark/>
          </w:tcPr>
          <w:p w14:paraId="7D398C2B" w14:textId="5A8B2C70"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(2.008)</w:t>
            </w:r>
          </w:p>
        </w:tc>
        <w:tc>
          <w:tcPr>
            <w:tcW w:w="568" w:type="pct"/>
            <w:hideMark/>
          </w:tcPr>
          <w:p w14:paraId="23C344D6" w14:textId="7B010E39"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(.896)</w:t>
            </w:r>
          </w:p>
        </w:tc>
        <w:tc>
          <w:tcPr>
            <w:tcW w:w="648" w:type="pct"/>
            <w:hideMark/>
          </w:tcPr>
          <w:p w14:paraId="153478EC" w14:textId="57A526CE"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(1.489)</w:t>
            </w:r>
          </w:p>
        </w:tc>
        <w:tc>
          <w:tcPr>
            <w:tcW w:w="568" w:type="pct"/>
            <w:hideMark/>
          </w:tcPr>
          <w:p w14:paraId="190FAB89" w14:textId="266C864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(.858)</w:t>
            </w:r>
          </w:p>
        </w:tc>
        <w:tc>
          <w:tcPr>
            <w:tcW w:w="572" w:type="pct"/>
            <w:hideMark/>
          </w:tcPr>
          <w:p w14:paraId="09346A49" w14:textId="639244EF"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(1.693)</w:t>
            </w:r>
          </w:p>
        </w:tc>
      </w:tr>
      <w:tr w:rsidR="005E02DB" w:rsidRPr="005E02DB" w14:paraId="0F6CB37A" w14:textId="77777777" w:rsidTr="00273B5A">
        <w:trPr>
          <w:jc w:val="center"/>
        </w:trPr>
        <w:tc>
          <w:tcPr>
            <w:tcW w:w="988" w:type="pct"/>
            <w:hideMark/>
          </w:tcPr>
          <w:p w14:paraId="756D6FF0" w14:textId="7777777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PAD Squared</w:t>
            </w:r>
          </w:p>
        </w:tc>
        <w:tc>
          <w:tcPr>
            <w:tcW w:w="566" w:type="pct"/>
            <w:hideMark/>
          </w:tcPr>
          <w:p w14:paraId="026C423A" w14:textId="3956010A"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-3.53</w:t>
            </w:r>
            <w:r w:rsidR="0016356D" w:rsidRPr="002E4B8A">
              <w:rPr>
                <w:rFonts w:eastAsia="DengXian" w:cs="Times New Roman"/>
                <w:sz w:val="20"/>
                <w:szCs w:val="20"/>
              </w:rPr>
              <w:t>4</w:t>
            </w:r>
            <w:r w:rsidRPr="002E4B8A">
              <w:rPr>
                <w:rFonts w:eastAsia="DengXian" w:cs="Times New Roman"/>
                <w:sz w:val="20"/>
                <w:szCs w:val="20"/>
              </w:rPr>
              <w:t>*</w:t>
            </w:r>
          </w:p>
        </w:tc>
        <w:tc>
          <w:tcPr>
            <w:tcW w:w="521" w:type="pct"/>
            <w:hideMark/>
          </w:tcPr>
          <w:p w14:paraId="0E355E40" w14:textId="29AE58CB"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7.835***</w:t>
            </w:r>
          </w:p>
        </w:tc>
        <w:tc>
          <w:tcPr>
            <w:tcW w:w="568" w:type="pct"/>
            <w:hideMark/>
          </w:tcPr>
          <w:p w14:paraId="306D730D" w14:textId="46A8F350"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-7.130***</w:t>
            </w:r>
          </w:p>
        </w:tc>
        <w:tc>
          <w:tcPr>
            <w:tcW w:w="568" w:type="pct"/>
            <w:hideMark/>
          </w:tcPr>
          <w:p w14:paraId="71E3943C" w14:textId="6E953FD3"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1.359</w:t>
            </w:r>
          </w:p>
        </w:tc>
        <w:tc>
          <w:tcPr>
            <w:tcW w:w="648" w:type="pct"/>
            <w:hideMark/>
          </w:tcPr>
          <w:p w14:paraId="42BAABD2" w14:textId="4972927D"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1.04</w:t>
            </w:r>
          </w:p>
        </w:tc>
        <w:tc>
          <w:tcPr>
            <w:tcW w:w="568" w:type="pct"/>
            <w:hideMark/>
          </w:tcPr>
          <w:p w14:paraId="0E5E7208" w14:textId="30EC13B8"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.340</w:t>
            </w:r>
          </w:p>
        </w:tc>
        <w:tc>
          <w:tcPr>
            <w:tcW w:w="572" w:type="pct"/>
            <w:hideMark/>
          </w:tcPr>
          <w:p w14:paraId="58494F1B" w14:textId="4046BD8C"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-1.28</w:t>
            </w:r>
            <w:r w:rsidR="00D1289F" w:rsidRPr="002E4B8A">
              <w:rPr>
                <w:rFonts w:eastAsia="DengXian" w:cs="Times New Roman"/>
                <w:sz w:val="20"/>
                <w:szCs w:val="20"/>
              </w:rPr>
              <w:t>1</w:t>
            </w:r>
          </w:p>
        </w:tc>
      </w:tr>
      <w:tr w:rsidR="005E02DB" w:rsidRPr="005E02DB" w14:paraId="6895E5BD" w14:textId="77777777" w:rsidTr="00273B5A">
        <w:trPr>
          <w:jc w:val="center"/>
        </w:trPr>
        <w:tc>
          <w:tcPr>
            <w:tcW w:w="988" w:type="pct"/>
            <w:hideMark/>
          </w:tcPr>
          <w:p w14:paraId="582DFBAD" w14:textId="7E94EE73" w:rsidR="005E02DB" w:rsidRPr="002E4B8A" w:rsidRDefault="005E02DB" w:rsidP="002E4B8A">
            <w:pPr>
              <w:widowControl w:val="0"/>
              <w:autoSpaceDE w:val="0"/>
              <w:autoSpaceDN w:val="0"/>
              <w:adjustRightInd w:val="0"/>
              <w:spacing w:line="240" w:lineRule="auto"/>
              <w:rPr>
                <w:rFonts w:eastAsia="DengXian" w:cs="Times New Roman"/>
                <w:sz w:val="20"/>
                <w:szCs w:val="20"/>
              </w:rPr>
            </w:pPr>
          </w:p>
        </w:tc>
        <w:tc>
          <w:tcPr>
            <w:tcW w:w="566" w:type="pct"/>
            <w:hideMark/>
          </w:tcPr>
          <w:p w14:paraId="771D0A10" w14:textId="2E32DF3F"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(1.88</w:t>
            </w:r>
            <w:r w:rsidR="0016356D" w:rsidRPr="002E4B8A">
              <w:rPr>
                <w:rFonts w:eastAsia="DengXian" w:cs="Times New Roman"/>
                <w:sz w:val="20"/>
                <w:szCs w:val="20"/>
              </w:rPr>
              <w:t>3</w:t>
            </w:r>
            <w:r w:rsidRPr="002E4B8A">
              <w:rPr>
                <w:rFonts w:eastAsia="DengXian" w:cs="Times New Roman"/>
                <w:sz w:val="20"/>
                <w:szCs w:val="20"/>
              </w:rPr>
              <w:t>)</w:t>
            </w:r>
          </w:p>
        </w:tc>
        <w:tc>
          <w:tcPr>
            <w:tcW w:w="521" w:type="pct"/>
            <w:hideMark/>
          </w:tcPr>
          <w:p w14:paraId="30180F6F" w14:textId="7B511F10"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(2.509)</w:t>
            </w:r>
          </w:p>
        </w:tc>
        <w:tc>
          <w:tcPr>
            <w:tcW w:w="568" w:type="pct"/>
            <w:hideMark/>
          </w:tcPr>
          <w:p w14:paraId="2614E679" w14:textId="022552E1"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(2.024)</w:t>
            </w:r>
          </w:p>
        </w:tc>
        <w:tc>
          <w:tcPr>
            <w:tcW w:w="568" w:type="pct"/>
            <w:hideMark/>
          </w:tcPr>
          <w:p w14:paraId="0ADA7EEF" w14:textId="74EBDDAD"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(.87</w:t>
            </w:r>
            <w:r w:rsidR="00750EAC" w:rsidRPr="002E4B8A">
              <w:rPr>
                <w:rFonts w:eastAsia="DengXian" w:cs="Times New Roman"/>
                <w:sz w:val="20"/>
                <w:szCs w:val="20"/>
              </w:rPr>
              <w:t>5</w:t>
            </w:r>
            <w:r w:rsidRPr="002E4B8A">
              <w:rPr>
                <w:rFonts w:eastAsia="DengXian" w:cs="Times New Roman"/>
                <w:sz w:val="20"/>
                <w:szCs w:val="20"/>
              </w:rPr>
              <w:t>)</w:t>
            </w:r>
          </w:p>
        </w:tc>
        <w:tc>
          <w:tcPr>
            <w:tcW w:w="648" w:type="pct"/>
            <w:hideMark/>
          </w:tcPr>
          <w:p w14:paraId="7B445B88" w14:textId="318663DB"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(1.81</w:t>
            </w:r>
            <w:r w:rsidR="00750EAC" w:rsidRPr="002E4B8A">
              <w:rPr>
                <w:rFonts w:eastAsia="DengXian" w:cs="Times New Roman"/>
                <w:sz w:val="20"/>
                <w:szCs w:val="20"/>
              </w:rPr>
              <w:t>9</w:t>
            </w:r>
            <w:r w:rsidRPr="002E4B8A">
              <w:rPr>
                <w:rFonts w:eastAsia="DengXian" w:cs="Times New Roman"/>
                <w:sz w:val="20"/>
                <w:szCs w:val="20"/>
              </w:rPr>
              <w:t>)</w:t>
            </w:r>
          </w:p>
        </w:tc>
        <w:tc>
          <w:tcPr>
            <w:tcW w:w="568" w:type="pct"/>
            <w:hideMark/>
          </w:tcPr>
          <w:p w14:paraId="08785FE7" w14:textId="55D6598F"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(1.055)</w:t>
            </w:r>
          </w:p>
        </w:tc>
        <w:tc>
          <w:tcPr>
            <w:tcW w:w="572" w:type="pct"/>
            <w:hideMark/>
          </w:tcPr>
          <w:p w14:paraId="0D03DF30" w14:textId="0CAA6FCE"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(1.91</w:t>
            </w:r>
            <w:r w:rsidR="00D1289F" w:rsidRPr="002E4B8A">
              <w:rPr>
                <w:rFonts w:eastAsia="DengXian" w:cs="Times New Roman"/>
                <w:sz w:val="20"/>
                <w:szCs w:val="20"/>
              </w:rPr>
              <w:t>7</w:t>
            </w:r>
            <w:r w:rsidRPr="002E4B8A">
              <w:rPr>
                <w:rFonts w:eastAsia="DengXian" w:cs="Times New Roman"/>
                <w:sz w:val="20"/>
                <w:szCs w:val="20"/>
              </w:rPr>
              <w:t>)</w:t>
            </w:r>
          </w:p>
        </w:tc>
      </w:tr>
      <w:tr w:rsidR="005E02DB" w:rsidRPr="005E02DB" w14:paraId="34F7A85A" w14:textId="77777777" w:rsidTr="00273B5A">
        <w:trPr>
          <w:jc w:val="center"/>
        </w:trPr>
        <w:tc>
          <w:tcPr>
            <w:tcW w:w="988" w:type="pct"/>
            <w:hideMark/>
          </w:tcPr>
          <w:p w14:paraId="599B716E" w14:textId="1696FD3B"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 xml:space="preserve">Prior </w:t>
            </w:r>
            <w:proofErr w:type="spellStart"/>
            <w:r w:rsidRPr="002E4B8A">
              <w:rPr>
                <w:rFonts w:eastAsia="DengXian" w:cs="Times New Roman"/>
                <w:sz w:val="20"/>
                <w:szCs w:val="20"/>
              </w:rPr>
              <w:t>Estab</w:t>
            </w:r>
            <w:proofErr w:type="spellEnd"/>
            <w:r w:rsidRPr="002E4B8A">
              <w:rPr>
                <w:rFonts w:eastAsia="DengXian" w:cs="Times New Roman"/>
                <w:sz w:val="20"/>
                <w:szCs w:val="20"/>
              </w:rPr>
              <w:t xml:space="preserve"> Stock (10ks)</w:t>
            </w:r>
          </w:p>
        </w:tc>
        <w:tc>
          <w:tcPr>
            <w:tcW w:w="566" w:type="pct"/>
            <w:hideMark/>
          </w:tcPr>
          <w:p w14:paraId="3B5B66C6" w14:textId="5A429C24"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9.83</w:t>
            </w:r>
            <w:r w:rsidR="0016356D" w:rsidRPr="002E4B8A">
              <w:rPr>
                <w:rFonts w:eastAsia="DengXian" w:cs="Times New Roman"/>
                <w:sz w:val="20"/>
                <w:szCs w:val="20"/>
              </w:rPr>
              <w:t>1</w:t>
            </w:r>
          </w:p>
        </w:tc>
        <w:tc>
          <w:tcPr>
            <w:tcW w:w="521" w:type="pct"/>
            <w:hideMark/>
          </w:tcPr>
          <w:p w14:paraId="3C827D4A" w14:textId="460B3A2D"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34.728***</w:t>
            </w:r>
          </w:p>
        </w:tc>
        <w:tc>
          <w:tcPr>
            <w:tcW w:w="568" w:type="pct"/>
            <w:hideMark/>
          </w:tcPr>
          <w:p w14:paraId="750D6508" w14:textId="0FFD09E3"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2.01</w:t>
            </w:r>
            <w:r w:rsidR="0016356D" w:rsidRPr="002E4B8A">
              <w:rPr>
                <w:rFonts w:eastAsia="DengXian" w:cs="Times New Roman"/>
                <w:sz w:val="20"/>
                <w:szCs w:val="20"/>
              </w:rPr>
              <w:t>4</w:t>
            </w:r>
          </w:p>
        </w:tc>
        <w:tc>
          <w:tcPr>
            <w:tcW w:w="568" w:type="pct"/>
            <w:hideMark/>
          </w:tcPr>
          <w:p w14:paraId="1DE9EC5A" w14:textId="449689BC"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.22</w:t>
            </w:r>
            <w:r w:rsidR="0016356D" w:rsidRPr="002E4B8A">
              <w:rPr>
                <w:rFonts w:eastAsia="DengXian" w:cs="Times New Roman"/>
                <w:sz w:val="20"/>
                <w:szCs w:val="20"/>
              </w:rPr>
              <w:t>2</w:t>
            </w:r>
            <w:r w:rsidRPr="002E4B8A">
              <w:rPr>
                <w:rFonts w:eastAsia="DengXian" w:cs="Times New Roman"/>
                <w:sz w:val="20"/>
                <w:szCs w:val="20"/>
              </w:rPr>
              <w:t>**</w:t>
            </w:r>
          </w:p>
        </w:tc>
        <w:tc>
          <w:tcPr>
            <w:tcW w:w="648" w:type="pct"/>
            <w:hideMark/>
          </w:tcPr>
          <w:p w14:paraId="321D09B2" w14:textId="0AA6E892"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.46</w:t>
            </w:r>
            <w:r w:rsidR="0016356D" w:rsidRPr="002E4B8A">
              <w:rPr>
                <w:rFonts w:eastAsia="DengXian" w:cs="Times New Roman"/>
                <w:sz w:val="20"/>
                <w:szCs w:val="20"/>
              </w:rPr>
              <w:t>7</w:t>
            </w:r>
            <w:r w:rsidRPr="002E4B8A">
              <w:rPr>
                <w:rFonts w:eastAsia="DengXian" w:cs="Times New Roman"/>
                <w:sz w:val="20"/>
                <w:szCs w:val="20"/>
              </w:rPr>
              <w:t>***</w:t>
            </w:r>
          </w:p>
        </w:tc>
        <w:tc>
          <w:tcPr>
            <w:tcW w:w="568" w:type="pct"/>
            <w:hideMark/>
          </w:tcPr>
          <w:p w14:paraId="1F09B2B4" w14:textId="40A55AF5"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.08</w:t>
            </w:r>
            <w:r w:rsidR="0016356D" w:rsidRPr="002E4B8A">
              <w:rPr>
                <w:rFonts w:eastAsia="DengXian" w:cs="Times New Roman"/>
                <w:sz w:val="20"/>
                <w:szCs w:val="20"/>
              </w:rPr>
              <w:t>3</w:t>
            </w:r>
            <w:r w:rsidRPr="002E4B8A">
              <w:rPr>
                <w:rFonts w:eastAsia="DengXian" w:cs="Times New Roman"/>
                <w:sz w:val="20"/>
                <w:szCs w:val="20"/>
              </w:rPr>
              <w:t>**</w:t>
            </w:r>
          </w:p>
        </w:tc>
        <w:tc>
          <w:tcPr>
            <w:tcW w:w="572" w:type="pct"/>
            <w:hideMark/>
          </w:tcPr>
          <w:p w14:paraId="52197057" w14:textId="21B4DD7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2.03</w:t>
            </w:r>
            <w:r w:rsidR="0016356D" w:rsidRPr="002E4B8A">
              <w:rPr>
                <w:rFonts w:eastAsia="DengXian" w:cs="Times New Roman"/>
                <w:sz w:val="20"/>
                <w:szCs w:val="20"/>
              </w:rPr>
              <w:t>9</w:t>
            </w:r>
            <w:r w:rsidRPr="002E4B8A">
              <w:rPr>
                <w:rFonts w:eastAsia="DengXian" w:cs="Times New Roman"/>
                <w:sz w:val="20"/>
                <w:szCs w:val="20"/>
              </w:rPr>
              <w:t>***</w:t>
            </w:r>
          </w:p>
        </w:tc>
      </w:tr>
      <w:tr w:rsidR="005E02DB" w:rsidRPr="005E02DB" w14:paraId="6C7EDBFA" w14:textId="77777777" w:rsidTr="00273B5A">
        <w:trPr>
          <w:jc w:val="center"/>
        </w:trPr>
        <w:tc>
          <w:tcPr>
            <w:tcW w:w="988" w:type="pct"/>
            <w:hideMark/>
          </w:tcPr>
          <w:p w14:paraId="1C024A02" w14:textId="328CABFD" w:rsidR="005E02DB" w:rsidRPr="002E4B8A" w:rsidRDefault="005E02DB" w:rsidP="002E4B8A">
            <w:pPr>
              <w:widowControl w:val="0"/>
              <w:autoSpaceDE w:val="0"/>
              <w:autoSpaceDN w:val="0"/>
              <w:adjustRightInd w:val="0"/>
              <w:spacing w:line="240" w:lineRule="auto"/>
              <w:rPr>
                <w:rFonts w:eastAsia="DengXian" w:cs="Times New Roman"/>
                <w:sz w:val="20"/>
                <w:szCs w:val="20"/>
              </w:rPr>
            </w:pPr>
          </w:p>
        </w:tc>
        <w:tc>
          <w:tcPr>
            <w:tcW w:w="566" w:type="pct"/>
            <w:hideMark/>
          </w:tcPr>
          <w:p w14:paraId="1EDDE2E1" w14:textId="160FA473"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(7.507)</w:t>
            </w:r>
          </w:p>
        </w:tc>
        <w:tc>
          <w:tcPr>
            <w:tcW w:w="521" w:type="pct"/>
            <w:hideMark/>
          </w:tcPr>
          <w:p w14:paraId="41559566" w14:textId="45A0E939"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(10.15</w:t>
            </w:r>
            <w:r w:rsidR="0016356D" w:rsidRPr="002E4B8A">
              <w:rPr>
                <w:rFonts w:eastAsia="DengXian" w:cs="Times New Roman"/>
                <w:sz w:val="20"/>
                <w:szCs w:val="20"/>
              </w:rPr>
              <w:t>9</w:t>
            </w:r>
            <w:r w:rsidRPr="002E4B8A">
              <w:rPr>
                <w:rFonts w:eastAsia="DengXian" w:cs="Times New Roman"/>
                <w:sz w:val="20"/>
                <w:szCs w:val="20"/>
              </w:rPr>
              <w:t>)</w:t>
            </w:r>
          </w:p>
        </w:tc>
        <w:tc>
          <w:tcPr>
            <w:tcW w:w="568" w:type="pct"/>
            <w:hideMark/>
          </w:tcPr>
          <w:p w14:paraId="0B5144B9" w14:textId="1AB789D9"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(40.183)</w:t>
            </w:r>
          </w:p>
        </w:tc>
        <w:tc>
          <w:tcPr>
            <w:tcW w:w="568" w:type="pct"/>
            <w:hideMark/>
          </w:tcPr>
          <w:p w14:paraId="47C61871" w14:textId="56547594"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(.106)</w:t>
            </w:r>
          </w:p>
        </w:tc>
        <w:tc>
          <w:tcPr>
            <w:tcW w:w="648" w:type="pct"/>
            <w:hideMark/>
          </w:tcPr>
          <w:p w14:paraId="15A4797A" w14:textId="17FA2F96"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(.146)</w:t>
            </w:r>
          </w:p>
        </w:tc>
        <w:tc>
          <w:tcPr>
            <w:tcW w:w="568" w:type="pct"/>
            <w:hideMark/>
          </w:tcPr>
          <w:p w14:paraId="61D4E94D" w14:textId="040F08FA"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(.04</w:t>
            </w:r>
            <w:r w:rsidR="0016356D" w:rsidRPr="002E4B8A">
              <w:rPr>
                <w:rFonts w:eastAsia="DengXian" w:cs="Times New Roman"/>
                <w:sz w:val="20"/>
                <w:szCs w:val="20"/>
              </w:rPr>
              <w:t>2</w:t>
            </w:r>
            <w:r w:rsidRPr="002E4B8A">
              <w:rPr>
                <w:rFonts w:eastAsia="DengXian" w:cs="Times New Roman"/>
                <w:sz w:val="20"/>
                <w:szCs w:val="20"/>
              </w:rPr>
              <w:t>)</w:t>
            </w:r>
          </w:p>
        </w:tc>
        <w:tc>
          <w:tcPr>
            <w:tcW w:w="572" w:type="pct"/>
            <w:hideMark/>
          </w:tcPr>
          <w:p w14:paraId="400720B7" w14:textId="151AB544"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(.68</w:t>
            </w:r>
            <w:r w:rsidR="0016356D" w:rsidRPr="002E4B8A">
              <w:rPr>
                <w:rFonts w:eastAsia="DengXian" w:cs="Times New Roman"/>
                <w:sz w:val="20"/>
                <w:szCs w:val="20"/>
              </w:rPr>
              <w:t>6)</w:t>
            </w:r>
          </w:p>
        </w:tc>
      </w:tr>
      <w:tr w:rsidR="005E02DB" w:rsidRPr="005E02DB" w14:paraId="1800187B" w14:textId="77777777" w:rsidTr="00273B5A">
        <w:trPr>
          <w:jc w:val="center"/>
        </w:trPr>
        <w:tc>
          <w:tcPr>
            <w:tcW w:w="988" w:type="pct"/>
            <w:hideMark/>
          </w:tcPr>
          <w:p w14:paraId="59C9FB4E" w14:textId="59AEC646"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_cons</w:t>
            </w:r>
          </w:p>
        </w:tc>
        <w:tc>
          <w:tcPr>
            <w:tcW w:w="566" w:type="pct"/>
            <w:hideMark/>
          </w:tcPr>
          <w:p w14:paraId="34BAD859" w14:textId="29D238AA"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11.09</w:t>
            </w:r>
            <w:r w:rsidR="0016356D" w:rsidRPr="002E4B8A">
              <w:rPr>
                <w:rFonts w:eastAsia="DengXian" w:cs="Times New Roman"/>
                <w:sz w:val="20"/>
                <w:szCs w:val="20"/>
              </w:rPr>
              <w:t>3</w:t>
            </w:r>
            <w:r w:rsidRPr="002E4B8A">
              <w:rPr>
                <w:rFonts w:eastAsia="DengXian" w:cs="Times New Roman"/>
                <w:sz w:val="20"/>
                <w:szCs w:val="20"/>
              </w:rPr>
              <w:t>***</w:t>
            </w:r>
          </w:p>
        </w:tc>
        <w:tc>
          <w:tcPr>
            <w:tcW w:w="521" w:type="pct"/>
            <w:hideMark/>
          </w:tcPr>
          <w:p w14:paraId="7F0A8F37" w14:textId="3F519C30"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12.10</w:t>
            </w:r>
            <w:r w:rsidR="0016356D" w:rsidRPr="002E4B8A">
              <w:rPr>
                <w:rFonts w:eastAsia="DengXian" w:cs="Times New Roman"/>
                <w:sz w:val="20"/>
                <w:szCs w:val="20"/>
              </w:rPr>
              <w:t>8</w:t>
            </w:r>
            <w:r w:rsidRPr="002E4B8A">
              <w:rPr>
                <w:rFonts w:eastAsia="DengXian" w:cs="Times New Roman"/>
                <w:sz w:val="20"/>
                <w:szCs w:val="20"/>
              </w:rPr>
              <w:t>***</w:t>
            </w:r>
          </w:p>
        </w:tc>
        <w:tc>
          <w:tcPr>
            <w:tcW w:w="568" w:type="pct"/>
            <w:hideMark/>
          </w:tcPr>
          <w:p w14:paraId="53253CB9" w14:textId="6C20FCC8"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11.098***</w:t>
            </w:r>
          </w:p>
        </w:tc>
        <w:tc>
          <w:tcPr>
            <w:tcW w:w="568" w:type="pct"/>
            <w:hideMark/>
          </w:tcPr>
          <w:p w14:paraId="569755E7" w14:textId="36C25D5F"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14.157***</w:t>
            </w:r>
          </w:p>
        </w:tc>
        <w:tc>
          <w:tcPr>
            <w:tcW w:w="648" w:type="pct"/>
            <w:hideMark/>
          </w:tcPr>
          <w:p w14:paraId="06C770D0" w14:textId="09E68D4C"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15.751***</w:t>
            </w:r>
          </w:p>
        </w:tc>
        <w:tc>
          <w:tcPr>
            <w:tcW w:w="568" w:type="pct"/>
            <w:hideMark/>
          </w:tcPr>
          <w:p w14:paraId="2C3F92A3" w14:textId="767B9EF5"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12.682***</w:t>
            </w:r>
          </w:p>
        </w:tc>
        <w:tc>
          <w:tcPr>
            <w:tcW w:w="572" w:type="pct"/>
            <w:hideMark/>
          </w:tcPr>
          <w:p w14:paraId="1DE93E19" w14:textId="3442F45E"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12.02</w:t>
            </w:r>
            <w:r w:rsidR="0016356D" w:rsidRPr="002E4B8A">
              <w:rPr>
                <w:rFonts w:eastAsia="DengXian" w:cs="Times New Roman"/>
                <w:sz w:val="20"/>
                <w:szCs w:val="20"/>
              </w:rPr>
              <w:t>5</w:t>
            </w:r>
            <w:r w:rsidRPr="002E4B8A">
              <w:rPr>
                <w:rFonts w:eastAsia="DengXian" w:cs="Times New Roman"/>
                <w:sz w:val="20"/>
                <w:szCs w:val="20"/>
              </w:rPr>
              <w:t>***</w:t>
            </w:r>
          </w:p>
        </w:tc>
      </w:tr>
      <w:tr w:rsidR="005E02DB" w:rsidRPr="005E02DB" w14:paraId="7DD6DD05" w14:textId="77777777" w:rsidTr="00273B5A">
        <w:trPr>
          <w:jc w:val="center"/>
        </w:trPr>
        <w:tc>
          <w:tcPr>
            <w:tcW w:w="988" w:type="pct"/>
            <w:hideMark/>
          </w:tcPr>
          <w:p w14:paraId="56B7E087" w14:textId="20F96291" w:rsidR="005E02DB" w:rsidRPr="002E4B8A" w:rsidRDefault="005E02DB" w:rsidP="002E4B8A">
            <w:pPr>
              <w:widowControl w:val="0"/>
              <w:autoSpaceDE w:val="0"/>
              <w:autoSpaceDN w:val="0"/>
              <w:adjustRightInd w:val="0"/>
              <w:spacing w:line="240" w:lineRule="auto"/>
              <w:rPr>
                <w:rFonts w:eastAsia="DengXian" w:cs="Times New Roman"/>
                <w:sz w:val="20"/>
                <w:szCs w:val="20"/>
              </w:rPr>
            </w:pPr>
          </w:p>
        </w:tc>
        <w:tc>
          <w:tcPr>
            <w:tcW w:w="566" w:type="pct"/>
            <w:hideMark/>
          </w:tcPr>
          <w:p w14:paraId="672D7D92" w14:textId="3F3F3D88"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(.37</w:t>
            </w:r>
            <w:r w:rsidR="0016356D" w:rsidRPr="002E4B8A">
              <w:rPr>
                <w:rFonts w:eastAsia="DengXian" w:cs="Times New Roman"/>
                <w:sz w:val="20"/>
                <w:szCs w:val="20"/>
              </w:rPr>
              <w:t>3</w:t>
            </w:r>
            <w:r w:rsidRPr="002E4B8A">
              <w:rPr>
                <w:rFonts w:eastAsia="DengXian" w:cs="Times New Roman"/>
                <w:sz w:val="20"/>
                <w:szCs w:val="20"/>
              </w:rPr>
              <w:t>)</w:t>
            </w:r>
          </w:p>
        </w:tc>
        <w:tc>
          <w:tcPr>
            <w:tcW w:w="521" w:type="pct"/>
            <w:hideMark/>
          </w:tcPr>
          <w:p w14:paraId="573744C5" w14:textId="26FBF07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(.76</w:t>
            </w:r>
            <w:r w:rsidR="0016356D" w:rsidRPr="002E4B8A">
              <w:rPr>
                <w:rFonts w:eastAsia="DengXian" w:cs="Times New Roman"/>
                <w:sz w:val="20"/>
                <w:szCs w:val="20"/>
              </w:rPr>
              <w:t>4</w:t>
            </w:r>
            <w:r w:rsidRPr="002E4B8A">
              <w:rPr>
                <w:rFonts w:eastAsia="DengXian" w:cs="Times New Roman"/>
                <w:sz w:val="20"/>
                <w:szCs w:val="20"/>
              </w:rPr>
              <w:t>)</w:t>
            </w:r>
          </w:p>
        </w:tc>
        <w:tc>
          <w:tcPr>
            <w:tcW w:w="568" w:type="pct"/>
            <w:hideMark/>
          </w:tcPr>
          <w:p w14:paraId="7E5627A2" w14:textId="03C41DF1"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(.34</w:t>
            </w:r>
            <w:r w:rsidR="0016356D" w:rsidRPr="002E4B8A">
              <w:rPr>
                <w:rFonts w:eastAsia="DengXian" w:cs="Times New Roman"/>
                <w:sz w:val="20"/>
                <w:szCs w:val="20"/>
              </w:rPr>
              <w:t>1</w:t>
            </w:r>
            <w:r w:rsidRPr="002E4B8A">
              <w:rPr>
                <w:rFonts w:eastAsia="DengXian" w:cs="Times New Roman"/>
                <w:sz w:val="20"/>
                <w:szCs w:val="20"/>
              </w:rPr>
              <w:t>)</w:t>
            </w:r>
          </w:p>
        </w:tc>
        <w:tc>
          <w:tcPr>
            <w:tcW w:w="568" w:type="pct"/>
            <w:hideMark/>
          </w:tcPr>
          <w:p w14:paraId="4A3B6B89" w14:textId="458B7EA4"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(.16</w:t>
            </w:r>
            <w:r w:rsidR="0016356D" w:rsidRPr="002E4B8A">
              <w:rPr>
                <w:rFonts w:eastAsia="DengXian" w:cs="Times New Roman"/>
                <w:sz w:val="20"/>
                <w:szCs w:val="20"/>
              </w:rPr>
              <w:t>1</w:t>
            </w:r>
            <w:r w:rsidRPr="002E4B8A">
              <w:rPr>
                <w:rFonts w:eastAsia="DengXian" w:cs="Times New Roman"/>
                <w:sz w:val="20"/>
                <w:szCs w:val="20"/>
              </w:rPr>
              <w:t>)</w:t>
            </w:r>
          </w:p>
        </w:tc>
        <w:tc>
          <w:tcPr>
            <w:tcW w:w="648" w:type="pct"/>
            <w:hideMark/>
          </w:tcPr>
          <w:p w14:paraId="64994002" w14:textId="73E864DF"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(.29</w:t>
            </w:r>
            <w:r w:rsidR="0016356D" w:rsidRPr="002E4B8A">
              <w:rPr>
                <w:rFonts w:eastAsia="DengXian" w:cs="Times New Roman"/>
                <w:sz w:val="20"/>
                <w:szCs w:val="20"/>
              </w:rPr>
              <w:t>1</w:t>
            </w:r>
            <w:r w:rsidRPr="002E4B8A">
              <w:rPr>
                <w:rFonts w:eastAsia="DengXian" w:cs="Times New Roman"/>
                <w:sz w:val="20"/>
                <w:szCs w:val="20"/>
              </w:rPr>
              <w:t>)</w:t>
            </w:r>
          </w:p>
        </w:tc>
        <w:tc>
          <w:tcPr>
            <w:tcW w:w="568" w:type="pct"/>
            <w:hideMark/>
          </w:tcPr>
          <w:p w14:paraId="66397360" w14:textId="17FC5185"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(.16</w:t>
            </w:r>
            <w:r w:rsidR="0016356D" w:rsidRPr="002E4B8A">
              <w:rPr>
                <w:rFonts w:eastAsia="DengXian" w:cs="Times New Roman"/>
                <w:sz w:val="20"/>
                <w:szCs w:val="20"/>
              </w:rPr>
              <w:t>2</w:t>
            </w:r>
            <w:r w:rsidRPr="002E4B8A">
              <w:rPr>
                <w:rFonts w:eastAsia="DengXian" w:cs="Times New Roman"/>
                <w:sz w:val="20"/>
                <w:szCs w:val="20"/>
              </w:rPr>
              <w:t>)</w:t>
            </w:r>
          </w:p>
        </w:tc>
        <w:tc>
          <w:tcPr>
            <w:tcW w:w="572" w:type="pct"/>
            <w:hideMark/>
          </w:tcPr>
          <w:p w14:paraId="450C243C" w14:textId="5D04AEB0"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(.392)</w:t>
            </w:r>
          </w:p>
        </w:tc>
      </w:tr>
      <w:tr w:rsidR="005E02DB" w:rsidRPr="005E02DB" w14:paraId="5BDC177B" w14:textId="77777777" w:rsidTr="00273B5A">
        <w:trPr>
          <w:jc w:val="center"/>
        </w:trPr>
        <w:tc>
          <w:tcPr>
            <w:tcW w:w="988" w:type="pct"/>
            <w:hideMark/>
          </w:tcPr>
          <w:p w14:paraId="36EA171B" w14:textId="1A47272D"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Observations</w:t>
            </w:r>
          </w:p>
        </w:tc>
        <w:tc>
          <w:tcPr>
            <w:tcW w:w="566" w:type="pct"/>
            <w:hideMark/>
          </w:tcPr>
          <w:p w14:paraId="4D853E40" w14:textId="7777777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47546</w:t>
            </w:r>
          </w:p>
        </w:tc>
        <w:tc>
          <w:tcPr>
            <w:tcW w:w="521" w:type="pct"/>
            <w:hideMark/>
          </w:tcPr>
          <w:p w14:paraId="0BB1F61E" w14:textId="7777777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45034</w:t>
            </w:r>
          </w:p>
        </w:tc>
        <w:tc>
          <w:tcPr>
            <w:tcW w:w="568" w:type="pct"/>
            <w:hideMark/>
          </w:tcPr>
          <w:p w14:paraId="453BA0B5" w14:textId="7777777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43701</w:t>
            </w:r>
          </w:p>
        </w:tc>
        <w:tc>
          <w:tcPr>
            <w:tcW w:w="568" w:type="pct"/>
            <w:hideMark/>
          </w:tcPr>
          <w:p w14:paraId="1B91285B" w14:textId="7777777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47546</w:t>
            </w:r>
          </w:p>
        </w:tc>
        <w:tc>
          <w:tcPr>
            <w:tcW w:w="648" w:type="pct"/>
            <w:hideMark/>
          </w:tcPr>
          <w:p w14:paraId="2AC5F46A" w14:textId="7777777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39494</w:t>
            </w:r>
          </w:p>
        </w:tc>
        <w:tc>
          <w:tcPr>
            <w:tcW w:w="568" w:type="pct"/>
            <w:hideMark/>
          </w:tcPr>
          <w:p w14:paraId="073E59AF" w14:textId="7777777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47532</w:t>
            </w:r>
          </w:p>
        </w:tc>
        <w:tc>
          <w:tcPr>
            <w:tcW w:w="572" w:type="pct"/>
            <w:hideMark/>
          </w:tcPr>
          <w:p w14:paraId="7E033383" w14:textId="7777777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46132</w:t>
            </w:r>
          </w:p>
        </w:tc>
      </w:tr>
      <w:tr w:rsidR="008D5BA6" w:rsidRPr="005E02DB" w14:paraId="717D25D9" w14:textId="77777777" w:rsidTr="00273B5A">
        <w:trPr>
          <w:jc w:val="center"/>
        </w:trPr>
        <w:tc>
          <w:tcPr>
            <w:tcW w:w="988" w:type="pct"/>
            <w:hideMark/>
          </w:tcPr>
          <w:p w14:paraId="257DC34B" w14:textId="77777777" w:rsidR="008D5BA6" w:rsidRPr="002E4B8A" w:rsidRDefault="008D5BA6"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Year FE</w:t>
            </w:r>
          </w:p>
        </w:tc>
        <w:tc>
          <w:tcPr>
            <w:tcW w:w="566" w:type="pct"/>
            <w:hideMark/>
          </w:tcPr>
          <w:p w14:paraId="64B9E684" w14:textId="62D772D3" w:rsidR="008D5BA6" w:rsidRPr="002E4B8A" w:rsidRDefault="008D5BA6" w:rsidP="002E4B8A">
            <w:pPr>
              <w:widowControl w:val="0"/>
              <w:autoSpaceDE w:val="0"/>
              <w:autoSpaceDN w:val="0"/>
              <w:adjustRightInd w:val="0"/>
              <w:spacing w:line="240" w:lineRule="auto"/>
              <w:rPr>
                <w:rFonts w:eastAsia="DengXian" w:cs="Times New Roman"/>
                <w:sz w:val="20"/>
                <w:szCs w:val="20"/>
              </w:rPr>
            </w:pPr>
            <w:r w:rsidRPr="002E4B8A">
              <w:rPr>
                <w:rFonts w:eastAsia="Calibri" w:cs="Times New Roman"/>
                <w:sz w:val="20"/>
                <w:szCs w:val="20"/>
              </w:rPr>
              <w:t>Yes</w:t>
            </w:r>
          </w:p>
        </w:tc>
        <w:tc>
          <w:tcPr>
            <w:tcW w:w="521" w:type="pct"/>
            <w:hideMark/>
          </w:tcPr>
          <w:p w14:paraId="4ACD40BA" w14:textId="1D5F38B8" w:rsidR="008D5BA6" w:rsidRPr="002E4B8A" w:rsidRDefault="008D5BA6" w:rsidP="002E4B8A">
            <w:pPr>
              <w:widowControl w:val="0"/>
              <w:autoSpaceDE w:val="0"/>
              <w:autoSpaceDN w:val="0"/>
              <w:adjustRightInd w:val="0"/>
              <w:spacing w:line="240" w:lineRule="auto"/>
              <w:rPr>
                <w:rFonts w:eastAsia="DengXian" w:cs="Times New Roman"/>
                <w:sz w:val="20"/>
                <w:szCs w:val="20"/>
              </w:rPr>
            </w:pPr>
            <w:r w:rsidRPr="002E4B8A">
              <w:rPr>
                <w:rFonts w:eastAsia="Calibri" w:cs="Times New Roman"/>
                <w:sz w:val="20"/>
                <w:szCs w:val="20"/>
              </w:rPr>
              <w:t>Yes</w:t>
            </w:r>
          </w:p>
        </w:tc>
        <w:tc>
          <w:tcPr>
            <w:tcW w:w="568" w:type="pct"/>
            <w:hideMark/>
          </w:tcPr>
          <w:p w14:paraId="3F38F331" w14:textId="3C5338A4" w:rsidR="008D5BA6" w:rsidRPr="002E4B8A" w:rsidRDefault="008D5BA6" w:rsidP="002E4B8A">
            <w:pPr>
              <w:widowControl w:val="0"/>
              <w:autoSpaceDE w:val="0"/>
              <w:autoSpaceDN w:val="0"/>
              <w:adjustRightInd w:val="0"/>
              <w:spacing w:line="240" w:lineRule="auto"/>
              <w:rPr>
                <w:rFonts w:eastAsia="DengXian" w:cs="Times New Roman"/>
                <w:sz w:val="20"/>
                <w:szCs w:val="20"/>
              </w:rPr>
            </w:pPr>
            <w:r w:rsidRPr="002E4B8A">
              <w:rPr>
                <w:rFonts w:eastAsia="Calibri" w:cs="Times New Roman"/>
                <w:sz w:val="20"/>
                <w:szCs w:val="20"/>
              </w:rPr>
              <w:t>Yes</w:t>
            </w:r>
          </w:p>
        </w:tc>
        <w:tc>
          <w:tcPr>
            <w:tcW w:w="568" w:type="pct"/>
            <w:hideMark/>
          </w:tcPr>
          <w:p w14:paraId="06D66D8E" w14:textId="3D34707B" w:rsidR="008D5BA6" w:rsidRPr="002E4B8A" w:rsidRDefault="008D5BA6" w:rsidP="002E4B8A">
            <w:pPr>
              <w:widowControl w:val="0"/>
              <w:autoSpaceDE w:val="0"/>
              <w:autoSpaceDN w:val="0"/>
              <w:adjustRightInd w:val="0"/>
              <w:spacing w:line="240" w:lineRule="auto"/>
              <w:rPr>
                <w:rFonts w:eastAsia="DengXian" w:cs="Times New Roman"/>
                <w:sz w:val="20"/>
                <w:szCs w:val="20"/>
              </w:rPr>
            </w:pPr>
            <w:r w:rsidRPr="002E4B8A">
              <w:rPr>
                <w:rFonts w:eastAsia="Calibri" w:cs="Times New Roman"/>
                <w:sz w:val="20"/>
                <w:szCs w:val="20"/>
              </w:rPr>
              <w:t>Yes</w:t>
            </w:r>
          </w:p>
        </w:tc>
        <w:tc>
          <w:tcPr>
            <w:tcW w:w="648" w:type="pct"/>
            <w:hideMark/>
          </w:tcPr>
          <w:p w14:paraId="6B359063" w14:textId="49E144F0" w:rsidR="008D5BA6" w:rsidRPr="002E4B8A" w:rsidRDefault="008D5BA6" w:rsidP="002E4B8A">
            <w:pPr>
              <w:widowControl w:val="0"/>
              <w:autoSpaceDE w:val="0"/>
              <w:autoSpaceDN w:val="0"/>
              <w:adjustRightInd w:val="0"/>
              <w:spacing w:line="240" w:lineRule="auto"/>
              <w:rPr>
                <w:rFonts w:eastAsia="DengXian" w:cs="Times New Roman"/>
                <w:sz w:val="20"/>
                <w:szCs w:val="20"/>
              </w:rPr>
            </w:pPr>
            <w:r w:rsidRPr="002E4B8A">
              <w:rPr>
                <w:rFonts w:eastAsia="Calibri" w:cs="Times New Roman"/>
                <w:sz w:val="20"/>
                <w:szCs w:val="20"/>
              </w:rPr>
              <w:t>Yes</w:t>
            </w:r>
          </w:p>
        </w:tc>
        <w:tc>
          <w:tcPr>
            <w:tcW w:w="568" w:type="pct"/>
            <w:hideMark/>
          </w:tcPr>
          <w:p w14:paraId="00F121D3" w14:textId="0F6E31C8" w:rsidR="008D5BA6" w:rsidRPr="002E4B8A" w:rsidRDefault="008D5BA6" w:rsidP="002E4B8A">
            <w:pPr>
              <w:widowControl w:val="0"/>
              <w:autoSpaceDE w:val="0"/>
              <w:autoSpaceDN w:val="0"/>
              <w:adjustRightInd w:val="0"/>
              <w:spacing w:line="240" w:lineRule="auto"/>
              <w:rPr>
                <w:rFonts w:eastAsia="DengXian" w:cs="Times New Roman"/>
                <w:sz w:val="20"/>
                <w:szCs w:val="20"/>
              </w:rPr>
            </w:pPr>
            <w:r w:rsidRPr="002E4B8A">
              <w:rPr>
                <w:rFonts w:eastAsia="Calibri" w:cs="Times New Roman"/>
                <w:sz w:val="20"/>
                <w:szCs w:val="20"/>
              </w:rPr>
              <w:t>Yes</w:t>
            </w:r>
          </w:p>
        </w:tc>
        <w:tc>
          <w:tcPr>
            <w:tcW w:w="572" w:type="pct"/>
            <w:hideMark/>
          </w:tcPr>
          <w:p w14:paraId="3DAB58DF" w14:textId="731CC2B7" w:rsidR="008D5BA6" w:rsidRPr="002E4B8A" w:rsidRDefault="008D5BA6" w:rsidP="002E4B8A">
            <w:pPr>
              <w:widowControl w:val="0"/>
              <w:autoSpaceDE w:val="0"/>
              <w:autoSpaceDN w:val="0"/>
              <w:adjustRightInd w:val="0"/>
              <w:spacing w:line="240" w:lineRule="auto"/>
              <w:rPr>
                <w:rFonts w:eastAsia="DengXian" w:cs="Times New Roman"/>
                <w:sz w:val="20"/>
                <w:szCs w:val="20"/>
              </w:rPr>
            </w:pPr>
            <w:r w:rsidRPr="002E4B8A">
              <w:rPr>
                <w:rFonts w:eastAsia="Calibri" w:cs="Times New Roman"/>
                <w:sz w:val="20"/>
                <w:szCs w:val="20"/>
              </w:rPr>
              <w:t>Yes</w:t>
            </w:r>
          </w:p>
        </w:tc>
      </w:tr>
      <w:tr w:rsidR="008D5BA6" w:rsidRPr="005E02DB" w14:paraId="4E33B33E" w14:textId="77777777" w:rsidTr="00273B5A">
        <w:trPr>
          <w:jc w:val="center"/>
        </w:trPr>
        <w:tc>
          <w:tcPr>
            <w:tcW w:w="988" w:type="pct"/>
            <w:hideMark/>
          </w:tcPr>
          <w:p w14:paraId="6921DC08" w14:textId="77777777" w:rsidR="008D5BA6" w:rsidRPr="002E4B8A" w:rsidRDefault="008D5BA6"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State FE</w:t>
            </w:r>
          </w:p>
        </w:tc>
        <w:tc>
          <w:tcPr>
            <w:tcW w:w="566" w:type="pct"/>
            <w:hideMark/>
          </w:tcPr>
          <w:p w14:paraId="530315D1" w14:textId="4D63E232" w:rsidR="008D5BA6" w:rsidRPr="002E4B8A" w:rsidRDefault="008D5BA6" w:rsidP="002E4B8A">
            <w:pPr>
              <w:widowControl w:val="0"/>
              <w:autoSpaceDE w:val="0"/>
              <w:autoSpaceDN w:val="0"/>
              <w:adjustRightInd w:val="0"/>
              <w:spacing w:line="240" w:lineRule="auto"/>
              <w:rPr>
                <w:rFonts w:eastAsia="DengXian" w:cs="Times New Roman"/>
                <w:sz w:val="20"/>
                <w:szCs w:val="20"/>
              </w:rPr>
            </w:pPr>
            <w:r w:rsidRPr="002E4B8A">
              <w:rPr>
                <w:rFonts w:eastAsia="Calibri" w:cs="Times New Roman"/>
                <w:sz w:val="20"/>
                <w:szCs w:val="20"/>
              </w:rPr>
              <w:t>Yes</w:t>
            </w:r>
          </w:p>
        </w:tc>
        <w:tc>
          <w:tcPr>
            <w:tcW w:w="521" w:type="pct"/>
            <w:hideMark/>
          </w:tcPr>
          <w:p w14:paraId="3868D6E2" w14:textId="192DAAF6" w:rsidR="008D5BA6" w:rsidRPr="002E4B8A" w:rsidRDefault="008D5BA6" w:rsidP="002E4B8A">
            <w:pPr>
              <w:widowControl w:val="0"/>
              <w:autoSpaceDE w:val="0"/>
              <w:autoSpaceDN w:val="0"/>
              <w:adjustRightInd w:val="0"/>
              <w:spacing w:line="240" w:lineRule="auto"/>
              <w:rPr>
                <w:rFonts w:eastAsia="DengXian" w:cs="Times New Roman"/>
                <w:sz w:val="20"/>
                <w:szCs w:val="20"/>
              </w:rPr>
            </w:pPr>
            <w:r w:rsidRPr="002E4B8A">
              <w:rPr>
                <w:rFonts w:eastAsia="Calibri" w:cs="Times New Roman"/>
                <w:sz w:val="20"/>
                <w:szCs w:val="20"/>
              </w:rPr>
              <w:t>Yes</w:t>
            </w:r>
          </w:p>
        </w:tc>
        <w:tc>
          <w:tcPr>
            <w:tcW w:w="568" w:type="pct"/>
            <w:hideMark/>
          </w:tcPr>
          <w:p w14:paraId="29085B6B" w14:textId="19BB00C1" w:rsidR="008D5BA6" w:rsidRPr="002E4B8A" w:rsidRDefault="008D5BA6" w:rsidP="002E4B8A">
            <w:pPr>
              <w:widowControl w:val="0"/>
              <w:autoSpaceDE w:val="0"/>
              <w:autoSpaceDN w:val="0"/>
              <w:adjustRightInd w:val="0"/>
              <w:spacing w:line="240" w:lineRule="auto"/>
              <w:rPr>
                <w:rFonts w:eastAsia="DengXian" w:cs="Times New Roman"/>
                <w:sz w:val="20"/>
                <w:szCs w:val="20"/>
              </w:rPr>
            </w:pPr>
            <w:r w:rsidRPr="002E4B8A">
              <w:rPr>
                <w:rFonts w:eastAsia="Calibri" w:cs="Times New Roman"/>
                <w:sz w:val="20"/>
                <w:szCs w:val="20"/>
              </w:rPr>
              <w:t>Yes</w:t>
            </w:r>
          </w:p>
        </w:tc>
        <w:tc>
          <w:tcPr>
            <w:tcW w:w="568" w:type="pct"/>
            <w:hideMark/>
          </w:tcPr>
          <w:p w14:paraId="40A7DE01" w14:textId="711806AF" w:rsidR="008D5BA6" w:rsidRPr="002E4B8A" w:rsidRDefault="008D5BA6" w:rsidP="002E4B8A">
            <w:pPr>
              <w:widowControl w:val="0"/>
              <w:autoSpaceDE w:val="0"/>
              <w:autoSpaceDN w:val="0"/>
              <w:adjustRightInd w:val="0"/>
              <w:spacing w:line="240" w:lineRule="auto"/>
              <w:rPr>
                <w:rFonts w:eastAsia="DengXian" w:cs="Times New Roman"/>
                <w:sz w:val="20"/>
                <w:szCs w:val="20"/>
              </w:rPr>
            </w:pPr>
            <w:r w:rsidRPr="002E4B8A">
              <w:rPr>
                <w:rFonts w:eastAsia="Calibri" w:cs="Times New Roman"/>
                <w:sz w:val="20"/>
                <w:szCs w:val="20"/>
              </w:rPr>
              <w:t>Yes</w:t>
            </w:r>
          </w:p>
        </w:tc>
        <w:tc>
          <w:tcPr>
            <w:tcW w:w="648" w:type="pct"/>
            <w:hideMark/>
          </w:tcPr>
          <w:p w14:paraId="02FCA6CE" w14:textId="48918753" w:rsidR="008D5BA6" w:rsidRPr="002E4B8A" w:rsidRDefault="008D5BA6" w:rsidP="002E4B8A">
            <w:pPr>
              <w:widowControl w:val="0"/>
              <w:autoSpaceDE w:val="0"/>
              <w:autoSpaceDN w:val="0"/>
              <w:adjustRightInd w:val="0"/>
              <w:spacing w:line="240" w:lineRule="auto"/>
              <w:rPr>
                <w:rFonts w:eastAsia="DengXian" w:cs="Times New Roman"/>
                <w:sz w:val="20"/>
                <w:szCs w:val="20"/>
              </w:rPr>
            </w:pPr>
            <w:r w:rsidRPr="002E4B8A">
              <w:rPr>
                <w:rFonts w:eastAsia="Calibri" w:cs="Times New Roman"/>
                <w:sz w:val="20"/>
                <w:szCs w:val="20"/>
              </w:rPr>
              <w:t>Yes</w:t>
            </w:r>
          </w:p>
        </w:tc>
        <w:tc>
          <w:tcPr>
            <w:tcW w:w="568" w:type="pct"/>
            <w:hideMark/>
          </w:tcPr>
          <w:p w14:paraId="3197E987" w14:textId="56BA744A" w:rsidR="008D5BA6" w:rsidRPr="002E4B8A" w:rsidRDefault="008D5BA6" w:rsidP="002E4B8A">
            <w:pPr>
              <w:widowControl w:val="0"/>
              <w:autoSpaceDE w:val="0"/>
              <w:autoSpaceDN w:val="0"/>
              <w:adjustRightInd w:val="0"/>
              <w:spacing w:line="240" w:lineRule="auto"/>
              <w:rPr>
                <w:rFonts w:eastAsia="DengXian" w:cs="Times New Roman"/>
                <w:sz w:val="20"/>
                <w:szCs w:val="20"/>
              </w:rPr>
            </w:pPr>
            <w:r w:rsidRPr="002E4B8A">
              <w:rPr>
                <w:rFonts w:eastAsia="Calibri" w:cs="Times New Roman"/>
                <w:sz w:val="20"/>
                <w:szCs w:val="20"/>
              </w:rPr>
              <w:t>Yes</w:t>
            </w:r>
          </w:p>
        </w:tc>
        <w:tc>
          <w:tcPr>
            <w:tcW w:w="572" w:type="pct"/>
            <w:hideMark/>
          </w:tcPr>
          <w:p w14:paraId="2BE6BED5" w14:textId="4F48ABD0" w:rsidR="008D5BA6" w:rsidRPr="002E4B8A" w:rsidRDefault="008D5BA6" w:rsidP="002E4B8A">
            <w:pPr>
              <w:widowControl w:val="0"/>
              <w:autoSpaceDE w:val="0"/>
              <w:autoSpaceDN w:val="0"/>
              <w:adjustRightInd w:val="0"/>
              <w:spacing w:line="240" w:lineRule="auto"/>
              <w:rPr>
                <w:rFonts w:eastAsia="DengXian" w:cs="Times New Roman"/>
                <w:sz w:val="20"/>
                <w:szCs w:val="20"/>
              </w:rPr>
            </w:pPr>
            <w:r w:rsidRPr="002E4B8A">
              <w:rPr>
                <w:rFonts w:eastAsia="Calibri" w:cs="Times New Roman"/>
                <w:sz w:val="20"/>
                <w:szCs w:val="20"/>
              </w:rPr>
              <w:t>Yes</w:t>
            </w:r>
          </w:p>
        </w:tc>
      </w:tr>
      <w:tr w:rsidR="008D5BA6" w:rsidRPr="005E02DB" w14:paraId="68BA36E3" w14:textId="77777777" w:rsidTr="00273B5A">
        <w:trPr>
          <w:jc w:val="center"/>
        </w:trPr>
        <w:tc>
          <w:tcPr>
            <w:tcW w:w="988" w:type="pct"/>
            <w:hideMark/>
          </w:tcPr>
          <w:p w14:paraId="30701E67" w14:textId="77777777" w:rsidR="008D5BA6" w:rsidRPr="002E4B8A" w:rsidRDefault="008D5BA6"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County FE</w:t>
            </w:r>
          </w:p>
        </w:tc>
        <w:tc>
          <w:tcPr>
            <w:tcW w:w="566" w:type="pct"/>
            <w:hideMark/>
          </w:tcPr>
          <w:p w14:paraId="584B16D4" w14:textId="13BC3993" w:rsidR="008D5BA6" w:rsidRPr="002E4B8A" w:rsidRDefault="008D5BA6" w:rsidP="002E4B8A">
            <w:pPr>
              <w:widowControl w:val="0"/>
              <w:autoSpaceDE w:val="0"/>
              <w:autoSpaceDN w:val="0"/>
              <w:adjustRightInd w:val="0"/>
              <w:spacing w:line="240" w:lineRule="auto"/>
              <w:rPr>
                <w:rFonts w:eastAsia="DengXian" w:cs="Times New Roman"/>
                <w:sz w:val="20"/>
                <w:szCs w:val="20"/>
              </w:rPr>
            </w:pPr>
            <w:r w:rsidRPr="002E4B8A">
              <w:rPr>
                <w:rFonts w:eastAsia="Calibri" w:cs="Times New Roman"/>
                <w:sz w:val="20"/>
                <w:szCs w:val="20"/>
              </w:rPr>
              <w:t>Yes</w:t>
            </w:r>
          </w:p>
        </w:tc>
        <w:tc>
          <w:tcPr>
            <w:tcW w:w="521" w:type="pct"/>
            <w:hideMark/>
          </w:tcPr>
          <w:p w14:paraId="53B7B2CF" w14:textId="2A9FE67C" w:rsidR="008D5BA6" w:rsidRPr="002E4B8A" w:rsidRDefault="008D5BA6" w:rsidP="002E4B8A">
            <w:pPr>
              <w:widowControl w:val="0"/>
              <w:autoSpaceDE w:val="0"/>
              <w:autoSpaceDN w:val="0"/>
              <w:adjustRightInd w:val="0"/>
              <w:spacing w:line="240" w:lineRule="auto"/>
              <w:rPr>
                <w:rFonts w:eastAsia="DengXian" w:cs="Times New Roman"/>
                <w:sz w:val="20"/>
                <w:szCs w:val="20"/>
              </w:rPr>
            </w:pPr>
            <w:r w:rsidRPr="002E4B8A">
              <w:rPr>
                <w:rFonts w:eastAsia="Calibri" w:cs="Times New Roman"/>
                <w:sz w:val="20"/>
                <w:szCs w:val="20"/>
              </w:rPr>
              <w:t>Yes</w:t>
            </w:r>
          </w:p>
        </w:tc>
        <w:tc>
          <w:tcPr>
            <w:tcW w:w="568" w:type="pct"/>
            <w:hideMark/>
          </w:tcPr>
          <w:p w14:paraId="49538956" w14:textId="6D2A4D6F" w:rsidR="008D5BA6" w:rsidRPr="002E4B8A" w:rsidRDefault="008D5BA6" w:rsidP="002E4B8A">
            <w:pPr>
              <w:widowControl w:val="0"/>
              <w:autoSpaceDE w:val="0"/>
              <w:autoSpaceDN w:val="0"/>
              <w:adjustRightInd w:val="0"/>
              <w:spacing w:line="240" w:lineRule="auto"/>
              <w:rPr>
                <w:rFonts w:eastAsia="DengXian" w:cs="Times New Roman"/>
                <w:sz w:val="20"/>
                <w:szCs w:val="20"/>
              </w:rPr>
            </w:pPr>
            <w:r w:rsidRPr="002E4B8A">
              <w:rPr>
                <w:rFonts w:eastAsia="Calibri" w:cs="Times New Roman"/>
                <w:sz w:val="20"/>
                <w:szCs w:val="20"/>
              </w:rPr>
              <w:t>Yes</w:t>
            </w:r>
          </w:p>
        </w:tc>
        <w:tc>
          <w:tcPr>
            <w:tcW w:w="568" w:type="pct"/>
            <w:hideMark/>
          </w:tcPr>
          <w:p w14:paraId="24C895CA" w14:textId="49511B53" w:rsidR="008D5BA6" w:rsidRPr="002E4B8A" w:rsidRDefault="008D5BA6" w:rsidP="002E4B8A">
            <w:pPr>
              <w:widowControl w:val="0"/>
              <w:autoSpaceDE w:val="0"/>
              <w:autoSpaceDN w:val="0"/>
              <w:adjustRightInd w:val="0"/>
              <w:spacing w:line="240" w:lineRule="auto"/>
              <w:rPr>
                <w:rFonts w:eastAsia="DengXian" w:cs="Times New Roman"/>
                <w:sz w:val="20"/>
                <w:szCs w:val="20"/>
              </w:rPr>
            </w:pPr>
            <w:r w:rsidRPr="002E4B8A">
              <w:rPr>
                <w:rFonts w:eastAsia="Calibri" w:cs="Times New Roman"/>
                <w:sz w:val="20"/>
                <w:szCs w:val="20"/>
              </w:rPr>
              <w:t>Yes</w:t>
            </w:r>
          </w:p>
        </w:tc>
        <w:tc>
          <w:tcPr>
            <w:tcW w:w="648" w:type="pct"/>
            <w:hideMark/>
          </w:tcPr>
          <w:p w14:paraId="3E272F4A" w14:textId="5AA7691B" w:rsidR="008D5BA6" w:rsidRPr="002E4B8A" w:rsidRDefault="008D5BA6" w:rsidP="002E4B8A">
            <w:pPr>
              <w:widowControl w:val="0"/>
              <w:autoSpaceDE w:val="0"/>
              <w:autoSpaceDN w:val="0"/>
              <w:adjustRightInd w:val="0"/>
              <w:spacing w:line="240" w:lineRule="auto"/>
              <w:rPr>
                <w:rFonts w:eastAsia="DengXian" w:cs="Times New Roman"/>
                <w:sz w:val="20"/>
                <w:szCs w:val="20"/>
              </w:rPr>
            </w:pPr>
            <w:r w:rsidRPr="002E4B8A">
              <w:rPr>
                <w:rFonts w:eastAsia="Calibri" w:cs="Times New Roman"/>
                <w:sz w:val="20"/>
                <w:szCs w:val="20"/>
              </w:rPr>
              <w:t>Yes</w:t>
            </w:r>
          </w:p>
        </w:tc>
        <w:tc>
          <w:tcPr>
            <w:tcW w:w="568" w:type="pct"/>
            <w:hideMark/>
          </w:tcPr>
          <w:p w14:paraId="004DF99C" w14:textId="4CEE2A18" w:rsidR="008D5BA6" w:rsidRPr="002E4B8A" w:rsidRDefault="008D5BA6" w:rsidP="002E4B8A">
            <w:pPr>
              <w:widowControl w:val="0"/>
              <w:autoSpaceDE w:val="0"/>
              <w:autoSpaceDN w:val="0"/>
              <w:adjustRightInd w:val="0"/>
              <w:spacing w:line="240" w:lineRule="auto"/>
              <w:rPr>
                <w:rFonts w:eastAsia="DengXian" w:cs="Times New Roman"/>
                <w:sz w:val="20"/>
                <w:szCs w:val="20"/>
              </w:rPr>
            </w:pPr>
            <w:r w:rsidRPr="002E4B8A">
              <w:rPr>
                <w:rFonts w:eastAsia="Calibri" w:cs="Times New Roman"/>
                <w:sz w:val="20"/>
                <w:szCs w:val="20"/>
              </w:rPr>
              <w:t>Yes</w:t>
            </w:r>
          </w:p>
        </w:tc>
        <w:tc>
          <w:tcPr>
            <w:tcW w:w="572" w:type="pct"/>
            <w:hideMark/>
          </w:tcPr>
          <w:p w14:paraId="4A6D9356" w14:textId="7E16F5BC" w:rsidR="008D5BA6" w:rsidRPr="002E4B8A" w:rsidRDefault="008D5BA6" w:rsidP="002E4B8A">
            <w:pPr>
              <w:widowControl w:val="0"/>
              <w:autoSpaceDE w:val="0"/>
              <w:autoSpaceDN w:val="0"/>
              <w:adjustRightInd w:val="0"/>
              <w:spacing w:line="240" w:lineRule="auto"/>
              <w:rPr>
                <w:rFonts w:eastAsia="DengXian" w:cs="Times New Roman"/>
                <w:sz w:val="20"/>
                <w:szCs w:val="20"/>
              </w:rPr>
            </w:pPr>
            <w:r w:rsidRPr="002E4B8A">
              <w:rPr>
                <w:rFonts w:eastAsia="Calibri" w:cs="Times New Roman"/>
                <w:sz w:val="20"/>
                <w:szCs w:val="20"/>
              </w:rPr>
              <w:t>Yes</w:t>
            </w:r>
          </w:p>
        </w:tc>
      </w:tr>
      <w:tr w:rsidR="005E02DB" w:rsidRPr="005E02DB" w14:paraId="1BBB5627" w14:textId="77777777" w:rsidTr="00273B5A">
        <w:trPr>
          <w:jc w:val="center"/>
        </w:trPr>
        <w:tc>
          <w:tcPr>
            <w:tcW w:w="988" w:type="pct"/>
            <w:tcBorders>
              <w:bottom w:val="single" w:sz="4" w:space="0" w:color="auto"/>
            </w:tcBorders>
            <w:hideMark/>
          </w:tcPr>
          <w:p w14:paraId="4AD8993A" w14:textId="36B69C4D"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Pseudo R</w:t>
            </w:r>
            <w:r w:rsidRPr="002E4B8A">
              <w:rPr>
                <w:rFonts w:eastAsia="DengXian" w:cs="Times New Roman"/>
                <w:sz w:val="20"/>
                <w:szCs w:val="20"/>
                <w:vertAlign w:val="superscript"/>
              </w:rPr>
              <w:t>2</w:t>
            </w:r>
          </w:p>
        </w:tc>
        <w:tc>
          <w:tcPr>
            <w:tcW w:w="566" w:type="pct"/>
            <w:tcBorders>
              <w:bottom w:val="single" w:sz="4" w:space="0" w:color="auto"/>
            </w:tcBorders>
            <w:hideMark/>
          </w:tcPr>
          <w:p w14:paraId="727B1C16" w14:textId="1A9DD24A"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.790</w:t>
            </w:r>
          </w:p>
        </w:tc>
        <w:tc>
          <w:tcPr>
            <w:tcW w:w="521" w:type="pct"/>
            <w:tcBorders>
              <w:bottom w:val="single" w:sz="4" w:space="0" w:color="auto"/>
            </w:tcBorders>
            <w:hideMark/>
          </w:tcPr>
          <w:p w14:paraId="77F165E9" w14:textId="1438D7E0"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.915</w:t>
            </w:r>
          </w:p>
        </w:tc>
        <w:tc>
          <w:tcPr>
            <w:tcW w:w="568" w:type="pct"/>
            <w:tcBorders>
              <w:bottom w:val="single" w:sz="4" w:space="0" w:color="auto"/>
            </w:tcBorders>
            <w:hideMark/>
          </w:tcPr>
          <w:p w14:paraId="02DF8778" w14:textId="6B6241AD"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.819</w:t>
            </w:r>
          </w:p>
        </w:tc>
        <w:tc>
          <w:tcPr>
            <w:tcW w:w="568" w:type="pct"/>
            <w:tcBorders>
              <w:bottom w:val="single" w:sz="4" w:space="0" w:color="auto"/>
            </w:tcBorders>
            <w:hideMark/>
          </w:tcPr>
          <w:p w14:paraId="545CC8C1" w14:textId="314DED86"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.941</w:t>
            </w:r>
          </w:p>
        </w:tc>
        <w:tc>
          <w:tcPr>
            <w:tcW w:w="648" w:type="pct"/>
            <w:tcBorders>
              <w:bottom w:val="single" w:sz="4" w:space="0" w:color="auto"/>
            </w:tcBorders>
            <w:hideMark/>
          </w:tcPr>
          <w:p w14:paraId="068E7CDF" w14:textId="1C9A264E"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.906</w:t>
            </w:r>
          </w:p>
        </w:tc>
        <w:tc>
          <w:tcPr>
            <w:tcW w:w="568" w:type="pct"/>
            <w:tcBorders>
              <w:bottom w:val="single" w:sz="4" w:space="0" w:color="auto"/>
            </w:tcBorders>
            <w:hideMark/>
          </w:tcPr>
          <w:p w14:paraId="23591895" w14:textId="45EE5B2C"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.951</w:t>
            </w:r>
          </w:p>
        </w:tc>
        <w:tc>
          <w:tcPr>
            <w:tcW w:w="572" w:type="pct"/>
            <w:tcBorders>
              <w:bottom w:val="single" w:sz="4" w:space="0" w:color="auto"/>
            </w:tcBorders>
            <w:hideMark/>
          </w:tcPr>
          <w:p w14:paraId="2C10CDFE" w14:textId="04BB1114"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.93</w:t>
            </w:r>
            <w:r w:rsidR="00D1289F" w:rsidRPr="002E4B8A">
              <w:rPr>
                <w:rFonts w:eastAsia="DengXian" w:cs="Times New Roman"/>
                <w:sz w:val="20"/>
                <w:szCs w:val="20"/>
              </w:rPr>
              <w:t>3</w:t>
            </w:r>
          </w:p>
        </w:tc>
      </w:tr>
      <w:tr w:rsidR="005E02DB" w:rsidRPr="002E4B8A" w14:paraId="7CF8D53E" w14:textId="77777777" w:rsidTr="00273B5A">
        <w:trPr>
          <w:jc w:val="center"/>
        </w:trPr>
        <w:tc>
          <w:tcPr>
            <w:tcW w:w="5000" w:type="pct"/>
            <w:gridSpan w:val="8"/>
            <w:tcBorders>
              <w:top w:val="single" w:sz="4" w:space="0" w:color="auto"/>
            </w:tcBorders>
            <w:hideMark/>
          </w:tcPr>
          <w:p w14:paraId="743DABE8" w14:textId="24C38604" w:rsidR="005E02DB" w:rsidRPr="00273B5A" w:rsidRDefault="00273B5A" w:rsidP="002E4B8A">
            <w:pPr>
              <w:widowControl w:val="0"/>
              <w:autoSpaceDE w:val="0"/>
              <w:autoSpaceDN w:val="0"/>
              <w:adjustRightInd w:val="0"/>
              <w:spacing w:line="240" w:lineRule="auto"/>
              <w:rPr>
                <w:rFonts w:eastAsia="DengXian" w:cs="Times New Roman"/>
                <w:sz w:val="20"/>
                <w:szCs w:val="20"/>
              </w:rPr>
            </w:pPr>
            <w:r>
              <w:rPr>
                <w:rFonts w:eastAsia="DengXian" w:cs="Times New Roman"/>
                <w:sz w:val="20"/>
                <w:szCs w:val="20"/>
                <w:lang w:eastAsia="zh-CN"/>
              </w:rPr>
              <w:t xml:space="preserve">Table A60: </w:t>
            </w:r>
            <w:r w:rsidR="005E02DB" w:rsidRPr="002E4B8A">
              <w:rPr>
                <w:rFonts w:eastAsia="DengXian" w:cs="Times New Roman"/>
                <w:sz w:val="20"/>
                <w:szCs w:val="20"/>
                <w:lang w:val="zh-CN" w:eastAsia="zh-CN"/>
              </w:rPr>
              <w:t>Results of PPMLHDFE regressions on Sales Volume using the Binary Range Indicator for NAICS sectors (11–71), with State, County, and Year Fixed Effects. Controls for air quality attainment, PAD designations, and economic conditions are included.</w:t>
            </w:r>
            <w:r>
              <w:rPr>
                <w:rFonts w:eastAsia="DengXian" w:cs="Times New Roman"/>
                <w:sz w:val="20"/>
                <w:szCs w:val="20"/>
                <w:lang w:eastAsia="zh-CN"/>
              </w:rPr>
              <w:t xml:space="preserve"> </w:t>
            </w:r>
            <w:r w:rsidRPr="00C624DB">
              <w:rPr>
                <w:sz w:val="20"/>
                <w:szCs w:val="20"/>
                <w:lang/>
              </w:rPr>
              <w:t xml:space="preserve">Standard errors are </w:t>
            </w:r>
            <w:r>
              <w:rPr>
                <w:sz w:val="20"/>
                <w:szCs w:val="20"/>
                <w:lang/>
              </w:rPr>
              <w:t xml:space="preserve">in parentheses and are </w:t>
            </w:r>
            <w:r w:rsidRPr="00C624DB">
              <w:rPr>
                <w:sz w:val="20"/>
                <w:szCs w:val="20"/>
                <w:lang/>
              </w:rPr>
              <w:t xml:space="preserve">clustered at the county level. </w:t>
            </w:r>
            <w:r w:rsidRPr="002C0F11">
              <w:rPr>
                <w:sz w:val="20"/>
                <w:szCs w:val="20"/>
                <w:lang/>
              </w:rPr>
              <w:t>Statistically significant impacts are denoted by asterisks. These asterisks denote statistical significance at the following levels: ***p &lt; 0.01, **p &lt; 0.05, *p &lt; 0.1.</w:t>
            </w:r>
          </w:p>
        </w:tc>
      </w:tr>
    </w:tbl>
    <w:p w14:paraId="2D6B9F09" w14:textId="5F85F478" w:rsidR="005E02DB" w:rsidRPr="005E02DB" w:rsidRDefault="005E02DB" w:rsidP="00095E25">
      <w:pPr>
        <w:pStyle w:val="Title"/>
      </w:pPr>
      <w:bookmarkStart w:id="791" w:name="_Hlk184561950"/>
      <w:bookmarkStart w:id="792" w:name="_Toc188056076"/>
      <w:bookmarkStart w:id="793" w:name="_Toc188057160"/>
      <w:bookmarkStart w:id="794" w:name="_Toc188359666"/>
      <w:bookmarkStart w:id="795" w:name="_Toc188359954"/>
      <w:bookmarkStart w:id="796" w:name="_Toc188361190"/>
      <w:bookmarkStart w:id="797" w:name="_Toc188367033"/>
      <w:bookmarkEnd w:id="774"/>
      <w:r w:rsidRPr="005E02DB">
        <w:lastRenderedPageBreak/>
        <w:t>Table A</w:t>
      </w:r>
      <w:r>
        <w:t>6</w:t>
      </w:r>
      <w:r w:rsidR="002050B6">
        <w:t>1</w:t>
      </w:r>
      <w:r w:rsidRPr="005E02DB">
        <w:t xml:space="preserve">: </w:t>
      </w:r>
      <w:r w:rsidR="002E1ED3" w:rsidRPr="00F758EA">
        <w:t xml:space="preserve">Regression Results </w:t>
      </w:r>
      <w:r w:rsidRPr="005E02DB">
        <w:t>on Establishment Count – Continuous Range Indicator</w:t>
      </w:r>
      <w:bookmarkEnd w:id="792"/>
      <w:bookmarkEnd w:id="793"/>
      <w:bookmarkEnd w:id="794"/>
      <w:bookmarkEnd w:id="795"/>
      <w:bookmarkEnd w:id="796"/>
      <w:bookmarkEnd w:id="797"/>
    </w:p>
    <w:tbl>
      <w:tblPr>
        <w:tblW w:w="5000" w:type="pct"/>
        <w:jc w:val="center"/>
        <w:tblLook w:val="04A0" w:firstRow="1" w:lastRow="0" w:firstColumn="1" w:lastColumn="0" w:noHBand="0" w:noVBand="1"/>
      </w:tblPr>
      <w:tblGrid>
        <w:gridCol w:w="2113"/>
        <w:gridCol w:w="1066"/>
        <w:gridCol w:w="966"/>
        <w:gridCol w:w="998"/>
        <w:gridCol w:w="1066"/>
        <w:gridCol w:w="1188"/>
        <w:gridCol w:w="966"/>
        <w:gridCol w:w="997"/>
      </w:tblGrid>
      <w:tr w:rsidR="00E75CAE" w:rsidRPr="005E02DB" w14:paraId="59EA04C2" w14:textId="77777777" w:rsidTr="00D326A2">
        <w:trPr>
          <w:jc w:val="center"/>
        </w:trPr>
        <w:tc>
          <w:tcPr>
            <w:tcW w:w="1139" w:type="pct"/>
            <w:tcBorders>
              <w:top w:val="single" w:sz="4" w:space="0" w:color="auto"/>
              <w:left w:val="nil"/>
              <w:bottom w:val="single" w:sz="12" w:space="0" w:color="auto"/>
              <w:right w:val="nil"/>
            </w:tcBorders>
            <w:hideMark/>
          </w:tcPr>
          <w:p w14:paraId="1DE24E1F" w14:textId="4856FCB2" w:rsidR="00E75CAE" w:rsidRPr="002E4B8A" w:rsidRDefault="00E75CAE"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b/>
                <w:bCs/>
                <w:sz w:val="20"/>
                <w:szCs w:val="20"/>
              </w:rPr>
              <w:t>Variable</w:t>
            </w:r>
          </w:p>
        </w:tc>
        <w:tc>
          <w:tcPr>
            <w:tcW w:w="532" w:type="pct"/>
            <w:tcBorders>
              <w:top w:val="single" w:sz="4" w:space="0" w:color="auto"/>
              <w:left w:val="nil"/>
              <w:bottom w:val="single" w:sz="12" w:space="0" w:color="auto"/>
              <w:right w:val="nil"/>
            </w:tcBorders>
            <w:hideMark/>
          </w:tcPr>
          <w:p w14:paraId="0DDBBBA1" w14:textId="4C29113B" w:rsidR="00E75CAE" w:rsidRPr="002E4B8A" w:rsidRDefault="00E75CAE"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b/>
                <w:bCs/>
                <w:sz w:val="20"/>
                <w:szCs w:val="20"/>
              </w:rPr>
              <w:t>NAICS 11</w:t>
            </w:r>
          </w:p>
        </w:tc>
        <w:tc>
          <w:tcPr>
            <w:tcW w:w="521" w:type="pct"/>
            <w:tcBorders>
              <w:top w:val="single" w:sz="4" w:space="0" w:color="auto"/>
              <w:left w:val="nil"/>
              <w:bottom w:val="single" w:sz="12" w:space="0" w:color="auto"/>
              <w:right w:val="nil"/>
            </w:tcBorders>
            <w:hideMark/>
          </w:tcPr>
          <w:p w14:paraId="41B9C417" w14:textId="5E86D2BB" w:rsidR="00E75CAE" w:rsidRPr="002E4B8A" w:rsidRDefault="00E75CAE"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b/>
                <w:bCs/>
                <w:sz w:val="20"/>
                <w:szCs w:val="20"/>
              </w:rPr>
              <w:t>NAICS 21</w:t>
            </w:r>
          </w:p>
        </w:tc>
        <w:tc>
          <w:tcPr>
            <w:tcW w:w="548" w:type="pct"/>
            <w:tcBorders>
              <w:top w:val="single" w:sz="4" w:space="0" w:color="auto"/>
              <w:left w:val="nil"/>
              <w:bottom w:val="single" w:sz="12" w:space="0" w:color="auto"/>
              <w:right w:val="nil"/>
            </w:tcBorders>
            <w:hideMark/>
          </w:tcPr>
          <w:p w14:paraId="0EA46D77" w14:textId="754F4904" w:rsidR="00E75CAE" w:rsidRPr="002E4B8A" w:rsidRDefault="00E75CAE"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b/>
                <w:bCs/>
                <w:sz w:val="20"/>
                <w:szCs w:val="20"/>
              </w:rPr>
              <w:t>NAICS 22</w:t>
            </w:r>
          </w:p>
        </w:tc>
        <w:tc>
          <w:tcPr>
            <w:tcW w:w="548" w:type="pct"/>
            <w:tcBorders>
              <w:top w:val="single" w:sz="4" w:space="0" w:color="auto"/>
              <w:left w:val="nil"/>
              <w:bottom w:val="single" w:sz="12" w:space="0" w:color="auto"/>
              <w:right w:val="nil"/>
            </w:tcBorders>
            <w:hideMark/>
          </w:tcPr>
          <w:p w14:paraId="5508302B" w14:textId="7DB10CAB" w:rsidR="00E75CAE" w:rsidRPr="002E4B8A" w:rsidRDefault="00E75CAE"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b/>
                <w:bCs/>
                <w:sz w:val="20"/>
                <w:szCs w:val="20"/>
              </w:rPr>
              <w:t>NAICS 23</w:t>
            </w:r>
          </w:p>
        </w:tc>
        <w:tc>
          <w:tcPr>
            <w:tcW w:w="644" w:type="pct"/>
            <w:tcBorders>
              <w:top w:val="single" w:sz="4" w:space="0" w:color="auto"/>
              <w:left w:val="nil"/>
              <w:bottom w:val="single" w:sz="12" w:space="0" w:color="auto"/>
              <w:right w:val="nil"/>
            </w:tcBorders>
            <w:hideMark/>
          </w:tcPr>
          <w:p w14:paraId="362CB577" w14:textId="0C4003D2" w:rsidR="00E75CAE" w:rsidRPr="002E4B8A" w:rsidRDefault="00E75CAE"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b/>
                <w:bCs/>
                <w:sz w:val="20"/>
                <w:szCs w:val="20"/>
              </w:rPr>
              <w:t>NAICS 31-33</w:t>
            </w:r>
          </w:p>
        </w:tc>
        <w:tc>
          <w:tcPr>
            <w:tcW w:w="521" w:type="pct"/>
            <w:tcBorders>
              <w:top w:val="single" w:sz="4" w:space="0" w:color="auto"/>
              <w:left w:val="nil"/>
              <w:bottom w:val="single" w:sz="12" w:space="0" w:color="auto"/>
              <w:right w:val="nil"/>
            </w:tcBorders>
            <w:hideMark/>
          </w:tcPr>
          <w:p w14:paraId="6C3A79E2" w14:textId="0EDF40F8" w:rsidR="00E75CAE" w:rsidRPr="002E4B8A" w:rsidRDefault="00E75CAE"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b/>
                <w:bCs/>
                <w:sz w:val="20"/>
                <w:szCs w:val="20"/>
              </w:rPr>
              <w:t>NAICS 53</w:t>
            </w:r>
          </w:p>
        </w:tc>
        <w:tc>
          <w:tcPr>
            <w:tcW w:w="547" w:type="pct"/>
            <w:tcBorders>
              <w:top w:val="single" w:sz="4" w:space="0" w:color="auto"/>
              <w:left w:val="nil"/>
              <w:bottom w:val="single" w:sz="12" w:space="0" w:color="auto"/>
              <w:right w:val="nil"/>
            </w:tcBorders>
            <w:hideMark/>
          </w:tcPr>
          <w:p w14:paraId="1A62C346" w14:textId="25CC2DFB" w:rsidR="00E75CAE" w:rsidRPr="002E4B8A" w:rsidRDefault="00E75CAE"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b/>
                <w:bCs/>
                <w:sz w:val="20"/>
                <w:szCs w:val="20"/>
              </w:rPr>
              <w:t>NAICS 71</w:t>
            </w:r>
          </w:p>
        </w:tc>
      </w:tr>
      <w:tr w:rsidR="00271798" w:rsidRPr="005E02DB" w14:paraId="1C178825" w14:textId="77777777" w:rsidTr="00D326A2">
        <w:trPr>
          <w:jc w:val="center"/>
        </w:trPr>
        <w:tc>
          <w:tcPr>
            <w:tcW w:w="1139" w:type="pct"/>
            <w:hideMark/>
          </w:tcPr>
          <w:p w14:paraId="01C56664" w14:textId="77777777" w:rsidR="00271798" w:rsidRPr="002E4B8A" w:rsidRDefault="00271798"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 Range</w:t>
            </w:r>
          </w:p>
        </w:tc>
        <w:tc>
          <w:tcPr>
            <w:tcW w:w="532" w:type="pct"/>
            <w:hideMark/>
          </w:tcPr>
          <w:p w14:paraId="0CF5AAA0" w14:textId="23286DCE" w:rsidR="00271798" w:rsidRPr="002E4B8A" w:rsidRDefault="00271798" w:rsidP="002E4B8A">
            <w:pPr>
              <w:widowControl w:val="0"/>
              <w:autoSpaceDE w:val="0"/>
              <w:autoSpaceDN w:val="0"/>
              <w:adjustRightInd w:val="0"/>
              <w:spacing w:line="240" w:lineRule="auto"/>
              <w:rPr>
                <w:rFonts w:eastAsia="DengXian" w:cs="Times New Roman"/>
                <w:sz w:val="20"/>
                <w:szCs w:val="20"/>
              </w:rPr>
            </w:pPr>
            <w:r w:rsidRPr="002E4B8A">
              <w:rPr>
                <w:rFonts w:cs="Times New Roman"/>
                <w:sz w:val="20"/>
                <w:szCs w:val="20"/>
              </w:rPr>
              <w:t>-.00104***</w:t>
            </w:r>
          </w:p>
        </w:tc>
        <w:tc>
          <w:tcPr>
            <w:tcW w:w="521" w:type="pct"/>
            <w:hideMark/>
          </w:tcPr>
          <w:p w14:paraId="479F7A9E" w14:textId="3D1950D3" w:rsidR="00271798" w:rsidRPr="002E4B8A" w:rsidRDefault="00271798" w:rsidP="002E4B8A">
            <w:pPr>
              <w:widowControl w:val="0"/>
              <w:autoSpaceDE w:val="0"/>
              <w:autoSpaceDN w:val="0"/>
              <w:adjustRightInd w:val="0"/>
              <w:spacing w:line="240" w:lineRule="auto"/>
              <w:rPr>
                <w:rFonts w:eastAsia="DengXian" w:cs="Times New Roman"/>
                <w:sz w:val="20"/>
                <w:szCs w:val="20"/>
              </w:rPr>
            </w:pPr>
            <w:r w:rsidRPr="002E4B8A">
              <w:rPr>
                <w:rFonts w:cs="Times New Roman"/>
                <w:sz w:val="20"/>
                <w:szCs w:val="20"/>
              </w:rPr>
              <w:t>-.00029</w:t>
            </w:r>
          </w:p>
        </w:tc>
        <w:tc>
          <w:tcPr>
            <w:tcW w:w="548" w:type="pct"/>
            <w:hideMark/>
          </w:tcPr>
          <w:p w14:paraId="4C2FDC99" w14:textId="698923AA" w:rsidR="00271798" w:rsidRPr="002E4B8A" w:rsidRDefault="00271798" w:rsidP="002E4B8A">
            <w:pPr>
              <w:widowControl w:val="0"/>
              <w:autoSpaceDE w:val="0"/>
              <w:autoSpaceDN w:val="0"/>
              <w:adjustRightInd w:val="0"/>
              <w:spacing w:line="240" w:lineRule="auto"/>
              <w:rPr>
                <w:rFonts w:eastAsia="DengXian" w:cs="Times New Roman"/>
                <w:sz w:val="20"/>
                <w:szCs w:val="20"/>
              </w:rPr>
            </w:pPr>
            <w:r w:rsidRPr="002E4B8A">
              <w:rPr>
                <w:rFonts w:cs="Times New Roman"/>
                <w:sz w:val="20"/>
                <w:szCs w:val="20"/>
              </w:rPr>
              <w:t>-.00039</w:t>
            </w:r>
          </w:p>
        </w:tc>
        <w:tc>
          <w:tcPr>
            <w:tcW w:w="548" w:type="pct"/>
            <w:hideMark/>
          </w:tcPr>
          <w:p w14:paraId="632EC900" w14:textId="632CE700" w:rsidR="00271798" w:rsidRPr="002E4B8A" w:rsidRDefault="00271798" w:rsidP="002E4B8A">
            <w:pPr>
              <w:widowControl w:val="0"/>
              <w:autoSpaceDE w:val="0"/>
              <w:autoSpaceDN w:val="0"/>
              <w:adjustRightInd w:val="0"/>
              <w:spacing w:line="240" w:lineRule="auto"/>
              <w:rPr>
                <w:rFonts w:eastAsia="DengXian" w:cs="Times New Roman"/>
                <w:sz w:val="20"/>
                <w:szCs w:val="20"/>
              </w:rPr>
            </w:pPr>
            <w:r w:rsidRPr="002E4B8A">
              <w:rPr>
                <w:rFonts w:cs="Times New Roman"/>
                <w:sz w:val="20"/>
                <w:szCs w:val="20"/>
              </w:rPr>
              <w:t>.00078***</w:t>
            </w:r>
          </w:p>
        </w:tc>
        <w:tc>
          <w:tcPr>
            <w:tcW w:w="644" w:type="pct"/>
            <w:hideMark/>
          </w:tcPr>
          <w:p w14:paraId="14E1E2AA" w14:textId="35E591C0" w:rsidR="00271798" w:rsidRPr="002E4B8A" w:rsidRDefault="00271798" w:rsidP="002E4B8A">
            <w:pPr>
              <w:widowControl w:val="0"/>
              <w:autoSpaceDE w:val="0"/>
              <w:autoSpaceDN w:val="0"/>
              <w:adjustRightInd w:val="0"/>
              <w:spacing w:line="240" w:lineRule="auto"/>
              <w:rPr>
                <w:rFonts w:eastAsia="DengXian" w:cs="Times New Roman"/>
                <w:sz w:val="20"/>
                <w:szCs w:val="20"/>
              </w:rPr>
            </w:pPr>
            <w:r w:rsidRPr="002E4B8A">
              <w:rPr>
                <w:rFonts w:cs="Times New Roman"/>
                <w:sz w:val="20"/>
                <w:szCs w:val="20"/>
              </w:rPr>
              <w:t>-.00011</w:t>
            </w:r>
          </w:p>
        </w:tc>
        <w:tc>
          <w:tcPr>
            <w:tcW w:w="521" w:type="pct"/>
            <w:hideMark/>
          </w:tcPr>
          <w:p w14:paraId="38C1492F" w14:textId="23252EA9" w:rsidR="00271798" w:rsidRPr="002E4B8A" w:rsidRDefault="00271798" w:rsidP="002E4B8A">
            <w:pPr>
              <w:widowControl w:val="0"/>
              <w:autoSpaceDE w:val="0"/>
              <w:autoSpaceDN w:val="0"/>
              <w:adjustRightInd w:val="0"/>
              <w:spacing w:line="240" w:lineRule="auto"/>
              <w:rPr>
                <w:rFonts w:eastAsia="DengXian" w:cs="Times New Roman"/>
                <w:sz w:val="20"/>
                <w:szCs w:val="20"/>
              </w:rPr>
            </w:pPr>
            <w:r w:rsidRPr="002E4B8A">
              <w:rPr>
                <w:rFonts w:cs="Times New Roman"/>
                <w:sz w:val="20"/>
                <w:szCs w:val="20"/>
              </w:rPr>
              <w:t>.00028**</w:t>
            </w:r>
          </w:p>
        </w:tc>
        <w:tc>
          <w:tcPr>
            <w:tcW w:w="547" w:type="pct"/>
            <w:hideMark/>
          </w:tcPr>
          <w:p w14:paraId="6A21571B" w14:textId="7A966258" w:rsidR="00271798" w:rsidRPr="002E4B8A" w:rsidRDefault="00271798" w:rsidP="002E4B8A">
            <w:pPr>
              <w:widowControl w:val="0"/>
              <w:autoSpaceDE w:val="0"/>
              <w:autoSpaceDN w:val="0"/>
              <w:adjustRightInd w:val="0"/>
              <w:spacing w:line="240" w:lineRule="auto"/>
              <w:rPr>
                <w:rFonts w:eastAsia="DengXian" w:cs="Times New Roman"/>
                <w:sz w:val="20"/>
                <w:szCs w:val="20"/>
              </w:rPr>
            </w:pPr>
            <w:r w:rsidRPr="002E4B8A">
              <w:rPr>
                <w:rFonts w:cs="Times New Roman"/>
                <w:sz w:val="20"/>
                <w:szCs w:val="20"/>
              </w:rPr>
              <w:t>.00023**</w:t>
            </w:r>
          </w:p>
        </w:tc>
      </w:tr>
      <w:tr w:rsidR="00271798" w:rsidRPr="005E02DB" w14:paraId="57A07C71" w14:textId="77777777" w:rsidTr="00D326A2">
        <w:trPr>
          <w:jc w:val="center"/>
        </w:trPr>
        <w:tc>
          <w:tcPr>
            <w:tcW w:w="1139" w:type="pct"/>
            <w:hideMark/>
          </w:tcPr>
          <w:p w14:paraId="4DCEA50B" w14:textId="669B9F8D" w:rsidR="00271798" w:rsidRPr="002E4B8A" w:rsidRDefault="00271798" w:rsidP="002E4B8A">
            <w:pPr>
              <w:widowControl w:val="0"/>
              <w:autoSpaceDE w:val="0"/>
              <w:autoSpaceDN w:val="0"/>
              <w:adjustRightInd w:val="0"/>
              <w:spacing w:line="240" w:lineRule="auto"/>
              <w:rPr>
                <w:rFonts w:eastAsia="DengXian" w:cs="Times New Roman"/>
                <w:sz w:val="20"/>
                <w:szCs w:val="20"/>
              </w:rPr>
            </w:pPr>
          </w:p>
        </w:tc>
        <w:tc>
          <w:tcPr>
            <w:tcW w:w="532" w:type="pct"/>
            <w:hideMark/>
          </w:tcPr>
          <w:p w14:paraId="0B9E7A48" w14:textId="398E7E0B" w:rsidR="00271798" w:rsidRPr="002E4B8A" w:rsidRDefault="00271798" w:rsidP="002E4B8A">
            <w:pPr>
              <w:widowControl w:val="0"/>
              <w:autoSpaceDE w:val="0"/>
              <w:autoSpaceDN w:val="0"/>
              <w:adjustRightInd w:val="0"/>
              <w:spacing w:line="240" w:lineRule="auto"/>
              <w:rPr>
                <w:rFonts w:eastAsia="DengXian" w:cs="Times New Roman"/>
                <w:sz w:val="20"/>
                <w:szCs w:val="20"/>
              </w:rPr>
            </w:pPr>
            <w:r w:rsidRPr="002E4B8A">
              <w:rPr>
                <w:rFonts w:cs="Times New Roman"/>
                <w:sz w:val="20"/>
                <w:szCs w:val="20"/>
              </w:rPr>
              <w:t>(.00035)</w:t>
            </w:r>
          </w:p>
        </w:tc>
        <w:tc>
          <w:tcPr>
            <w:tcW w:w="521" w:type="pct"/>
            <w:hideMark/>
          </w:tcPr>
          <w:p w14:paraId="59C5C31E" w14:textId="79521585" w:rsidR="00271798" w:rsidRPr="002E4B8A" w:rsidRDefault="00271798" w:rsidP="002E4B8A">
            <w:pPr>
              <w:widowControl w:val="0"/>
              <w:autoSpaceDE w:val="0"/>
              <w:autoSpaceDN w:val="0"/>
              <w:adjustRightInd w:val="0"/>
              <w:spacing w:line="240" w:lineRule="auto"/>
              <w:rPr>
                <w:rFonts w:eastAsia="DengXian" w:cs="Times New Roman"/>
                <w:sz w:val="20"/>
                <w:szCs w:val="20"/>
              </w:rPr>
            </w:pPr>
            <w:r w:rsidRPr="002E4B8A">
              <w:rPr>
                <w:rFonts w:cs="Times New Roman"/>
                <w:sz w:val="20"/>
                <w:szCs w:val="20"/>
              </w:rPr>
              <w:t>(.00046)</w:t>
            </w:r>
          </w:p>
        </w:tc>
        <w:tc>
          <w:tcPr>
            <w:tcW w:w="548" w:type="pct"/>
            <w:hideMark/>
          </w:tcPr>
          <w:p w14:paraId="12DB4120" w14:textId="5C6D94F2" w:rsidR="00271798" w:rsidRPr="002E4B8A" w:rsidRDefault="00271798" w:rsidP="002E4B8A">
            <w:pPr>
              <w:widowControl w:val="0"/>
              <w:autoSpaceDE w:val="0"/>
              <w:autoSpaceDN w:val="0"/>
              <w:adjustRightInd w:val="0"/>
              <w:spacing w:line="240" w:lineRule="auto"/>
              <w:rPr>
                <w:rFonts w:eastAsia="DengXian" w:cs="Times New Roman"/>
                <w:sz w:val="20"/>
                <w:szCs w:val="20"/>
              </w:rPr>
            </w:pPr>
            <w:r w:rsidRPr="002E4B8A">
              <w:rPr>
                <w:rFonts w:cs="Times New Roman"/>
                <w:sz w:val="20"/>
                <w:szCs w:val="20"/>
              </w:rPr>
              <w:t>(.00025)</w:t>
            </w:r>
          </w:p>
        </w:tc>
        <w:tc>
          <w:tcPr>
            <w:tcW w:w="548" w:type="pct"/>
            <w:hideMark/>
          </w:tcPr>
          <w:p w14:paraId="005E1955" w14:textId="2C6B45F7" w:rsidR="00271798" w:rsidRPr="002E4B8A" w:rsidRDefault="00271798" w:rsidP="002E4B8A">
            <w:pPr>
              <w:widowControl w:val="0"/>
              <w:autoSpaceDE w:val="0"/>
              <w:autoSpaceDN w:val="0"/>
              <w:adjustRightInd w:val="0"/>
              <w:spacing w:line="240" w:lineRule="auto"/>
              <w:rPr>
                <w:rFonts w:eastAsia="DengXian" w:cs="Times New Roman"/>
                <w:sz w:val="20"/>
                <w:szCs w:val="20"/>
              </w:rPr>
            </w:pPr>
            <w:r w:rsidRPr="002E4B8A">
              <w:rPr>
                <w:rFonts w:cs="Times New Roman"/>
                <w:sz w:val="20"/>
                <w:szCs w:val="20"/>
              </w:rPr>
              <w:t>(.00009)</w:t>
            </w:r>
          </w:p>
        </w:tc>
        <w:tc>
          <w:tcPr>
            <w:tcW w:w="644" w:type="pct"/>
            <w:hideMark/>
          </w:tcPr>
          <w:p w14:paraId="34FE87E7" w14:textId="6E77BCE2" w:rsidR="00271798" w:rsidRPr="002E4B8A" w:rsidRDefault="00271798" w:rsidP="002E4B8A">
            <w:pPr>
              <w:widowControl w:val="0"/>
              <w:autoSpaceDE w:val="0"/>
              <w:autoSpaceDN w:val="0"/>
              <w:adjustRightInd w:val="0"/>
              <w:spacing w:line="240" w:lineRule="auto"/>
              <w:rPr>
                <w:rFonts w:eastAsia="DengXian" w:cs="Times New Roman"/>
                <w:sz w:val="20"/>
                <w:szCs w:val="20"/>
              </w:rPr>
            </w:pPr>
            <w:r w:rsidRPr="002E4B8A">
              <w:rPr>
                <w:rFonts w:cs="Times New Roman"/>
                <w:sz w:val="20"/>
                <w:szCs w:val="20"/>
              </w:rPr>
              <w:t>(.00021)</w:t>
            </w:r>
          </w:p>
        </w:tc>
        <w:tc>
          <w:tcPr>
            <w:tcW w:w="521" w:type="pct"/>
            <w:hideMark/>
          </w:tcPr>
          <w:p w14:paraId="23B08156" w14:textId="546C14E5" w:rsidR="00271798" w:rsidRPr="002E4B8A" w:rsidRDefault="00271798" w:rsidP="002E4B8A">
            <w:pPr>
              <w:widowControl w:val="0"/>
              <w:autoSpaceDE w:val="0"/>
              <w:autoSpaceDN w:val="0"/>
              <w:adjustRightInd w:val="0"/>
              <w:spacing w:line="240" w:lineRule="auto"/>
              <w:rPr>
                <w:rFonts w:eastAsia="DengXian" w:cs="Times New Roman"/>
                <w:sz w:val="20"/>
                <w:szCs w:val="20"/>
              </w:rPr>
            </w:pPr>
            <w:r w:rsidRPr="002E4B8A">
              <w:rPr>
                <w:rFonts w:cs="Times New Roman"/>
                <w:sz w:val="20"/>
                <w:szCs w:val="20"/>
              </w:rPr>
              <w:t>(.00014)</w:t>
            </w:r>
          </w:p>
        </w:tc>
        <w:tc>
          <w:tcPr>
            <w:tcW w:w="547" w:type="pct"/>
            <w:hideMark/>
          </w:tcPr>
          <w:p w14:paraId="455E8EFE" w14:textId="7BF8C5A7" w:rsidR="00271798" w:rsidRPr="002E4B8A" w:rsidRDefault="00271798" w:rsidP="002E4B8A">
            <w:pPr>
              <w:widowControl w:val="0"/>
              <w:autoSpaceDE w:val="0"/>
              <w:autoSpaceDN w:val="0"/>
              <w:adjustRightInd w:val="0"/>
              <w:spacing w:line="240" w:lineRule="auto"/>
              <w:rPr>
                <w:rFonts w:eastAsia="DengXian" w:cs="Times New Roman"/>
                <w:sz w:val="20"/>
                <w:szCs w:val="20"/>
              </w:rPr>
            </w:pPr>
            <w:r w:rsidRPr="002E4B8A">
              <w:rPr>
                <w:rFonts w:cs="Times New Roman"/>
                <w:sz w:val="20"/>
                <w:szCs w:val="20"/>
              </w:rPr>
              <w:t>(.0001)</w:t>
            </w:r>
          </w:p>
        </w:tc>
      </w:tr>
      <w:tr w:rsidR="00271798" w:rsidRPr="005E02DB" w14:paraId="727AF78A" w14:textId="77777777" w:rsidTr="00D326A2">
        <w:trPr>
          <w:jc w:val="center"/>
        </w:trPr>
        <w:tc>
          <w:tcPr>
            <w:tcW w:w="1139" w:type="pct"/>
            <w:hideMark/>
          </w:tcPr>
          <w:p w14:paraId="42D2D08B" w14:textId="77777777" w:rsidR="00271798" w:rsidRPr="002E4B8A" w:rsidRDefault="00271798"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TSD * Range</w:t>
            </w:r>
          </w:p>
        </w:tc>
        <w:tc>
          <w:tcPr>
            <w:tcW w:w="532" w:type="pct"/>
            <w:hideMark/>
          </w:tcPr>
          <w:p w14:paraId="2C974801" w14:textId="199A4142" w:rsidR="00271798" w:rsidRPr="002E4B8A" w:rsidRDefault="00271798" w:rsidP="002E4B8A">
            <w:pPr>
              <w:widowControl w:val="0"/>
              <w:autoSpaceDE w:val="0"/>
              <w:autoSpaceDN w:val="0"/>
              <w:adjustRightInd w:val="0"/>
              <w:spacing w:line="240" w:lineRule="auto"/>
              <w:rPr>
                <w:rFonts w:eastAsia="DengXian" w:cs="Times New Roman"/>
                <w:sz w:val="20"/>
                <w:szCs w:val="20"/>
              </w:rPr>
            </w:pPr>
            <w:r w:rsidRPr="002E4B8A">
              <w:rPr>
                <w:rFonts w:cs="Times New Roman"/>
                <w:sz w:val="20"/>
                <w:szCs w:val="20"/>
              </w:rPr>
              <w:t>-.00171***</w:t>
            </w:r>
          </w:p>
        </w:tc>
        <w:tc>
          <w:tcPr>
            <w:tcW w:w="521" w:type="pct"/>
            <w:hideMark/>
          </w:tcPr>
          <w:p w14:paraId="42B20A3B" w14:textId="397D904F" w:rsidR="00271798" w:rsidRPr="002E4B8A" w:rsidRDefault="00271798" w:rsidP="002E4B8A">
            <w:pPr>
              <w:widowControl w:val="0"/>
              <w:autoSpaceDE w:val="0"/>
              <w:autoSpaceDN w:val="0"/>
              <w:adjustRightInd w:val="0"/>
              <w:spacing w:line="240" w:lineRule="auto"/>
              <w:rPr>
                <w:rFonts w:eastAsia="DengXian" w:cs="Times New Roman"/>
                <w:sz w:val="20"/>
                <w:szCs w:val="20"/>
              </w:rPr>
            </w:pPr>
            <w:r w:rsidRPr="002E4B8A">
              <w:rPr>
                <w:rFonts w:cs="Times New Roman"/>
                <w:sz w:val="20"/>
                <w:szCs w:val="20"/>
              </w:rPr>
              <w:t>-.00099**</w:t>
            </w:r>
          </w:p>
        </w:tc>
        <w:tc>
          <w:tcPr>
            <w:tcW w:w="548" w:type="pct"/>
            <w:hideMark/>
          </w:tcPr>
          <w:p w14:paraId="433F584B" w14:textId="07ABA38C" w:rsidR="00271798" w:rsidRPr="002E4B8A" w:rsidRDefault="00271798" w:rsidP="002E4B8A">
            <w:pPr>
              <w:widowControl w:val="0"/>
              <w:autoSpaceDE w:val="0"/>
              <w:autoSpaceDN w:val="0"/>
              <w:adjustRightInd w:val="0"/>
              <w:spacing w:line="240" w:lineRule="auto"/>
              <w:rPr>
                <w:rFonts w:eastAsia="DengXian" w:cs="Times New Roman"/>
                <w:sz w:val="20"/>
                <w:szCs w:val="20"/>
              </w:rPr>
            </w:pPr>
            <w:r w:rsidRPr="002E4B8A">
              <w:rPr>
                <w:rFonts w:cs="Times New Roman"/>
                <w:sz w:val="20"/>
                <w:szCs w:val="20"/>
              </w:rPr>
              <w:t>-.00045**</w:t>
            </w:r>
          </w:p>
        </w:tc>
        <w:tc>
          <w:tcPr>
            <w:tcW w:w="548" w:type="pct"/>
            <w:hideMark/>
          </w:tcPr>
          <w:p w14:paraId="702B0D6F" w14:textId="5115BC79" w:rsidR="00271798" w:rsidRPr="002E4B8A" w:rsidRDefault="00271798" w:rsidP="002E4B8A">
            <w:pPr>
              <w:widowControl w:val="0"/>
              <w:autoSpaceDE w:val="0"/>
              <w:autoSpaceDN w:val="0"/>
              <w:adjustRightInd w:val="0"/>
              <w:spacing w:line="240" w:lineRule="auto"/>
              <w:rPr>
                <w:rFonts w:eastAsia="DengXian" w:cs="Times New Roman"/>
                <w:sz w:val="20"/>
                <w:szCs w:val="20"/>
              </w:rPr>
            </w:pPr>
            <w:r w:rsidRPr="002E4B8A">
              <w:rPr>
                <w:rFonts w:cs="Times New Roman"/>
                <w:sz w:val="20"/>
                <w:szCs w:val="20"/>
              </w:rPr>
              <w:t>.00027**</w:t>
            </w:r>
          </w:p>
        </w:tc>
        <w:tc>
          <w:tcPr>
            <w:tcW w:w="644" w:type="pct"/>
            <w:hideMark/>
          </w:tcPr>
          <w:p w14:paraId="3EAF5382" w14:textId="0962C516" w:rsidR="00271798" w:rsidRPr="002E4B8A" w:rsidRDefault="00271798" w:rsidP="002E4B8A">
            <w:pPr>
              <w:widowControl w:val="0"/>
              <w:autoSpaceDE w:val="0"/>
              <w:autoSpaceDN w:val="0"/>
              <w:adjustRightInd w:val="0"/>
              <w:spacing w:line="240" w:lineRule="auto"/>
              <w:rPr>
                <w:rFonts w:eastAsia="DengXian" w:cs="Times New Roman"/>
                <w:sz w:val="20"/>
                <w:szCs w:val="20"/>
              </w:rPr>
            </w:pPr>
            <w:r w:rsidRPr="002E4B8A">
              <w:rPr>
                <w:rFonts w:cs="Times New Roman"/>
                <w:sz w:val="20"/>
                <w:szCs w:val="20"/>
              </w:rPr>
              <w:t>.00012</w:t>
            </w:r>
          </w:p>
        </w:tc>
        <w:tc>
          <w:tcPr>
            <w:tcW w:w="521" w:type="pct"/>
            <w:hideMark/>
          </w:tcPr>
          <w:p w14:paraId="6723898D" w14:textId="146181CC" w:rsidR="00271798" w:rsidRPr="002E4B8A" w:rsidRDefault="00271798" w:rsidP="002E4B8A">
            <w:pPr>
              <w:widowControl w:val="0"/>
              <w:autoSpaceDE w:val="0"/>
              <w:autoSpaceDN w:val="0"/>
              <w:adjustRightInd w:val="0"/>
              <w:spacing w:line="240" w:lineRule="auto"/>
              <w:rPr>
                <w:rFonts w:eastAsia="DengXian" w:cs="Times New Roman"/>
                <w:sz w:val="20"/>
                <w:szCs w:val="20"/>
              </w:rPr>
            </w:pPr>
            <w:r w:rsidRPr="002E4B8A">
              <w:rPr>
                <w:rFonts w:cs="Times New Roman"/>
                <w:sz w:val="20"/>
                <w:szCs w:val="20"/>
              </w:rPr>
              <w:t>-.00007</w:t>
            </w:r>
          </w:p>
        </w:tc>
        <w:tc>
          <w:tcPr>
            <w:tcW w:w="547" w:type="pct"/>
            <w:hideMark/>
          </w:tcPr>
          <w:p w14:paraId="5960D291" w14:textId="2071D6D9" w:rsidR="00271798" w:rsidRPr="002E4B8A" w:rsidRDefault="00271798" w:rsidP="002E4B8A">
            <w:pPr>
              <w:widowControl w:val="0"/>
              <w:autoSpaceDE w:val="0"/>
              <w:autoSpaceDN w:val="0"/>
              <w:adjustRightInd w:val="0"/>
              <w:spacing w:line="240" w:lineRule="auto"/>
              <w:rPr>
                <w:rFonts w:eastAsia="DengXian" w:cs="Times New Roman"/>
                <w:sz w:val="20"/>
                <w:szCs w:val="20"/>
              </w:rPr>
            </w:pPr>
            <w:r w:rsidRPr="002E4B8A">
              <w:rPr>
                <w:rFonts w:cs="Times New Roman"/>
                <w:sz w:val="20"/>
                <w:szCs w:val="20"/>
              </w:rPr>
              <w:t>.00012</w:t>
            </w:r>
          </w:p>
        </w:tc>
      </w:tr>
      <w:tr w:rsidR="00271798" w:rsidRPr="005E02DB" w14:paraId="300290CF" w14:textId="77777777" w:rsidTr="00D326A2">
        <w:trPr>
          <w:jc w:val="center"/>
        </w:trPr>
        <w:tc>
          <w:tcPr>
            <w:tcW w:w="1139" w:type="pct"/>
            <w:hideMark/>
          </w:tcPr>
          <w:p w14:paraId="7277546D" w14:textId="7B44D224" w:rsidR="00271798" w:rsidRPr="002E4B8A" w:rsidRDefault="00271798" w:rsidP="002E4B8A">
            <w:pPr>
              <w:widowControl w:val="0"/>
              <w:autoSpaceDE w:val="0"/>
              <w:autoSpaceDN w:val="0"/>
              <w:adjustRightInd w:val="0"/>
              <w:spacing w:line="240" w:lineRule="auto"/>
              <w:rPr>
                <w:rFonts w:eastAsia="DengXian" w:cs="Times New Roman"/>
                <w:sz w:val="20"/>
                <w:szCs w:val="20"/>
              </w:rPr>
            </w:pPr>
          </w:p>
        </w:tc>
        <w:tc>
          <w:tcPr>
            <w:tcW w:w="532" w:type="pct"/>
            <w:hideMark/>
          </w:tcPr>
          <w:p w14:paraId="66EEDDFE" w14:textId="64148E3E" w:rsidR="00271798" w:rsidRPr="002E4B8A" w:rsidRDefault="00271798" w:rsidP="002E4B8A">
            <w:pPr>
              <w:widowControl w:val="0"/>
              <w:autoSpaceDE w:val="0"/>
              <w:autoSpaceDN w:val="0"/>
              <w:adjustRightInd w:val="0"/>
              <w:spacing w:line="240" w:lineRule="auto"/>
              <w:rPr>
                <w:rFonts w:eastAsia="DengXian" w:cs="Times New Roman"/>
                <w:sz w:val="20"/>
                <w:szCs w:val="20"/>
              </w:rPr>
            </w:pPr>
            <w:r w:rsidRPr="002E4B8A">
              <w:rPr>
                <w:rFonts w:cs="Times New Roman"/>
                <w:sz w:val="20"/>
                <w:szCs w:val="20"/>
              </w:rPr>
              <w:t>(.00021)</w:t>
            </w:r>
          </w:p>
        </w:tc>
        <w:tc>
          <w:tcPr>
            <w:tcW w:w="521" w:type="pct"/>
            <w:hideMark/>
          </w:tcPr>
          <w:p w14:paraId="74C757F9" w14:textId="7093BB24" w:rsidR="00271798" w:rsidRPr="002E4B8A" w:rsidRDefault="00271798" w:rsidP="002E4B8A">
            <w:pPr>
              <w:widowControl w:val="0"/>
              <w:autoSpaceDE w:val="0"/>
              <w:autoSpaceDN w:val="0"/>
              <w:adjustRightInd w:val="0"/>
              <w:spacing w:line="240" w:lineRule="auto"/>
              <w:rPr>
                <w:rFonts w:eastAsia="DengXian" w:cs="Times New Roman"/>
                <w:sz w:val="20"/>
                <w:szCs w:val="20"/>
              </w:rPr>
            </w:pPr>
            <w:r w:rsidRPr="002E4B8A">
              <w:rPr>
                <w:rFonts w:cs="Times New Roman"/>
                <w:sz w:val="20"/>
                <w:szCs w:val="20"/>
              </w:rPr>
              <w:t>(.00021)</w:t>
            </w:r>
          </w:p>
        </w:tc>
        <w:tc>
          <w:tcPr>
            <w:tcW w:w="548" w:type="pct"/>
            <w:hideMark/>
          </w:tcPr>
          <w:p w14:paraId="1E86F195" w14:textId="24A06D9D" w:rsidR="00271798" w:rsidRPr="002E4B8A" w:rsidRDefault="00271798" w:rsidP="002E4B8A">
            <w:pPr>
              <w:widowControl w:val="0"/>
              <w:autoSpaceDE w:val="0"/>
              <w:autoSpaceDN w:val="0"/>
              <w:adjustRightInd w:val="0"/>
              <w:spacing w:line="240" w:lineRule="auto"/>
              <w:rPr>
                <w:rFonts w:eastAsia="DengXian" w:cs="Times New Roman"/>
                <w:sz w:val="20"/>
                <w:szCs w:val="20"/>
              </w:rPr>
            </w:pPr>
            <w:r w:rsidRPr="002E4B8A">
              <w:rPr>
                <w:rFonts w:cs="Times New Roman"/>
                <w:sz w:val="20"/>
                <w:szCs w:val="20"/>
              </w:rPr>
              <w:t>(.00018)</w:t>
            </w:r>
          </w:p>
        </w:tc>
        <w:tc>
          <w:tcPr>
            <w:tcW w:w="548" w:type="pct"/>
            <w:hideMark/>
          </w:tcPr>
          <w:p w14:paraId="39EE9A00" w14:textId="608A3546" w:rsidR="00271798" w:rsidRPr="002E4B8A" w:rsidRDefault="00271798" w:rsidP="002E4B8A">
            <w:pPr>
              <w:widowControl w:val="0"/>
              <w:autoSpaceDE w:val="0"/>
              <w:autoSpaceDN w:val="0"/>
              <w:adjustRightInd w:val="0"/>
              <w:spacing w:line="240" w:lineRule="auto"/>
              <w:rPr>
                <w:rFonts w:eastAsia="DengXian" w:cs="Times New Roman"/>
                <w:sz w:val="20"/>
                <w:szCs w:val="20"/>
              </w:rPr>
            </w:pPr>
            <w:r w:rsidRPr="002E4B8A">
              <w:rPr>
                <w:rFonts w:cs="Times New Roman"/>
                <w:sz w:val="20"/>
                <w:szCs w:val="20"/>
              </w:rPr>
              <w:t>(.00012)</w:t>
            </w:r>
          </w:p>
        </w:tc>
        <w:tc>
          <w:tcPr>
            <w:tcW w:w="644" w:type="pct"/>
            <w:hideMark/>
          </w:tcPr>
          <w:p w14:paraId="1196C6AC" w14:textId="4BA74F26" w:rsidR="00271798" w:rsidRPr="002E4B8A" w:rsidRDefault="00271798" w:rsidP="002E4B8A">
            <w:pPr>
              <w:widowControl w:val="0"/>
              <w:autoSpaceDE w:val="0"/>
              <w:autoSpaceDN w:val="0"/>
              <w:adjustRightInd w:val="0"/>
              <w:spacing w:line="240" w:lineRule="auto"/>
              <w:rPr>
                <w:rFonts w:eastAsia="DengXian" w:cs="Times New Roman"/>
                <w:sz w:val="20"/>
                <w:szCs w:val="20"/>
              </w:rPr>
            </w:pPr>
            <w:r w:rsidRPr="002E4B8A">
              <w:rPr>
                <w:rFonts w:cs="Times New Roman"/>
                <w:sz w:val="20"/>
                <w:szCs w:val="20"/>
              </w:rPr>
              <w:t>(.00011)</w:t>
            </w:r>
          </w:p>
        </w:tc>
        <w:tc>
          <w:tcPr>
            <w:tcW w:w="521" w:type="pct"/>
            <w:hideMark/>
          </w:tcPr>
          <w:p w14:paraId="605071B3" w14:textId="1061B887" w:rsidR="00271798" w:rsidRPr="002E4B8A" w:rsidRDefault="00271798" w:rsidP="002E4B8A">
            <w:pPr>
              <w:widowControl w:val="0"/>
              <w:autoSpaceDE w:val="0"/>
              <w:autoSpaceDN w:val="0"/>
              <w:adjustRightInd w:val="0"/>
              <w:spacing w:line="240" w:lineRule="auto"/>
              <w:rPr>
                <w:rFonts w:eastAsia="DengXian" w:cs="Times New Roman"/>
                <w:sz w:val="20"/>
                <w:szCs w:val="20"/>
              </w:rPr>
            </w:pPr>
            <w:r w:rsidRPr="002E4B8A">
              <w:rPr>
                <w:rFonts w:cs="Times New Roman"/>
                <w:sz w:val="20"/>
                <w:szCs w:val="20"/>
              </w:rPr>
              <w:t>(.00016)</w:t>
            </w:r>
          </w:p>
        </w:tc>
        <w:tc>
          <w:tcPr>
            <w:tcW w:w="547" w:type="pct"/>
            <w:hideMark/>
          </w:tcPr>
          <w:p w14:paraId="0926C93B" w14:textId="23D72429" w:rsidR="00271798" w:rsidRPr="002E4B8A" w:rsidRDefault="00271798" w:rsidP="002E4B8A">
            <w:pPr>
              <w:widowControl w:val="0"/>
              <w:autoSpaceDE w:val="0"/>
              <w:autoSpaceDN w:val="0"/>
              <w:adjustRightInd w:val="0"/>
              <w:spacing w:line="240" w:lineRule="auto"/>
              <w:rPr>
                <w:rFonts w:eastAsia="DengXian" w:cs="Times New Roman"/>
                <w:sz w:val="20"/>
                <w:szCs w:val="20"/>
              </w:rPr>
            </w:pPr>
            <w:r w:rsidRPr="002E4B8A">
              <w:rPr>
                <w:rFonts w:cs="Times New Roman"/>
                <w:sz w:val="20"/>
                <w:szCs w:val="20"/>
              </w:rPr>
              <w:t>(.00019)</w:t>
            </w:r>
          </w:p>
        </w:tc>
      </w:tr>
      <w:tr w:rsidR="005E02DB" w:rsidRPr="005E02DB" w14:paraId="380C1F0D" w14:textId="77777777" w:rsidTr="00D326A2">
        <w:trPr>
          <w:jc w:val="center"/>
        </w:trPr>
        <w:tc>
          <w:tcPr>
            <w:tcW w:w="1139" w:type="pct"/>
            <w:hideMark/>
          </w:tcPr>
          <w:p w14:paraId="6D7A2DC3" w14:textId="1A3E9AD4"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Poverty rate (100s)</w:t>
            </w:r>
          </w:p>
        </w:tc>
        <w:tc>
          <w:tcPr>
            <w:tcW w:w="532" w:type="pct"/>
            <w:hideMark/>
          </w:tcPr>
          <w:p w14:paraId="033A8682" w14:textId="77653498"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-.30</w:t>
            </w:r>
            <w:r w:rsidR="00BD6A6E" w:rsidRPr="002E4B8A">
              <w:rPr>
                <w:rFonts w:eastAsia="DengXian" w:cs="Times New Roman"/>
                <w:sz w:val="20"/>
                <w:szCs w:val="20"/>
              </w:rPr>
              <w:t>4</w:t>
            </w:r>
          </w:p>
        </w:tc>
        <w:tc>
          <w:tcPr>
            <w:tcW w:w="521" w:type="pct"/>
            <w:hideMark/>
          </w:tcPr>
          <w:p w14:paraId="7746D5A8" w14:textId="1F0E4EDB"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.441</w:t>
            </w:r>
          </w:p>
        </w:tc>
        <w:tc>
          <w:tcPr>
            <w:tcW w:w="548" w:type="pct"/>
            <w:hideMark/>
          </w:tcPr>
          <w:p w14:paraId="737F8338" w14:textId="5AF27414"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.85</w:t>
            </w:r>
            <w:r w:rsidR="00C15B68" w:rsidRPr="002E4B8A">
              <w:rPr>
                <w:rFonts w:eastAsia="DengXian" w:cs="Times New Roman"/>
                <w:sz w:val="20"/>
                <w:szCs w:val="20"/>
              </w:rPr>
              <w:t>7</w:t>
            </w:r>
            <w:r w:rsidRPr="002E4B8A">
              <w:rPr>
                <w:rFonts w:eastAsia="DengXian" w:cs="Times New Roman"/>
                <w:sz w:val="20"/>
                <w:szCs w:val="20"/>
              </w:rPr>
              <w:t>***</w:t>
            </w:r>
          </w:p>
        </w:tc>
        <w:tc>
          <w:tcPr>
            <w:tcW w:w="548" w:type="pct"/>
            <w:hideMark/>
          </w:tcPr>
          <w:p w14:paraId="7DD9EF8E" w14:textId="1456D7CB"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-.699***</w:t>
            </w:r>
          </w:p>
        </w:tc>
        <w:tc>
          <w:tcPr>
            <w:tcW w:w="644" w:type="pct"/>
            <w:hideMark/>
          </w:tcPr>
          <w:p w14:paraId="2CC8104D" w14:textId="3CFAE37A"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-.866***</w:t>
            </w:r>
          </w:p>
        </w:tc>
        <w:tc>
          <w:tcPr>
            <w:tcW w:w="521" w:type="pct"/>
            <w:hideMark/>
          </w:tcPr>
          <w:p w14:paraId="12261B3D" w14:textId="474D5D0F"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-.369</w:t>
            </w:r>
          </w:p>
        </w:tc>
        <w:tc>
          <w:tcPr>
            <w:tcW w:w="547" w:type="pct"/>
            <w:hideMark/>
          </w:tcPr>
          <w:p w14:paraId="5AEFAEA7" w14:textId="74A5AD2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.076</w:t>
            </w:r>
          </w:p>
        </w:tc>
      </w:tr>
      <w:tr w:rsidR="005E02DB" w:rsidRPr="005E02DB" w14:paraId="0646B7ED" w14:textId="77777777" w:rsidTr="00D326A2">
        <w:trPr>
          <w:jc w:val="center"/>
        </w:trPr>
        <w:tc>
          <w:tcPr>
            <w:tcW w:w="1139" w:type="pct"/>
            <w:hideMark/>
          </w:tcPr>
          <w:p w14:paraId="440FFC28" w14:textId="6EC67248" w:rsidR="005E02DB" w:rsidRPr="002E4B8A" w:rsidRDefault="005E02DB" w:rsidP="002E4B8A">
            <w:pPr>
              <w:widowControl w:val="0"/>
              <w:autoSpaceDE w:val="0"/>
              <w:autoSpaceDN w:val="0"/>
              <w:adjustRightInd w:val="0"/>
              <w:spacing w:line="240" w:lineRule="auto"/>
              <w:rPr>
                <w:rFonts w:eastAsia="DengXian" w:cs="Times New Roman"/>
                <w:sz w:val="20"/>
                <w:szCs w:val="20"/>
              </w:rPr>
            </w:pPr>
          </w:p>
        </w:tc>
        <w:tc>
          <w:tcPr>
            <w:tcW w:w="532" w:type="pct"/>
            <w:hideMark/>
          </w:tcPr>
          <w:p w14:paraId="34495A7B" w14:textId="53C13C7D"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(.21</w:t>
            </w:r>
            <w:r w:rsidR="00BD6A6E" w:rsidRPr="002E4B8A">
              <w:rPr>
                <w:rFonts w:eastAsia="DengXian" w:cs="Times New Roman"/>
                <w:sz w:val="20"/>
                <w:szCs w:val="20"/>
              </w:rPr>
              <w:t>7</w:t>
            </w:r>
            <w:r w:rsidRPr="002E4B8A">
              <w:rPr>
                <w:rFonts w:eastAsia="DengXian" w:cs="Times New Roman"/>
                <w:sz w:val="20"/>
                <w:szCs w:val="20"/>
              </w:rPr>
              <w:t>)</w:t>
            </w:r>
          </w:p>
        </w:tc>
        <w:tc>
          <w:tcPr>
            <w:tcW w:w="521" w:type="pct"/>
            <w:hideMark/>
          </w:tcPr>
          <w:p w14:paraId="7D20F340" w14:textId="428D1F6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(.29</w:t>
            </w:r>
            <w:r w:rsidR="00BD6A6E" w:rsidRPr="002E4B8A">
              <w:rPr>
                <w:rFonts w:eastAsia="DengXian" w:cs="Times New Roman"/>
                <w:sz w:val="20"/>
                <w:szCs w:val="20"/>
              </w:rPr>
              <w:t>1</w:t>
            </w:r>
            <w:r w:rsidRPr="002E4B8A">
              <w:rPr>
                <w:rFonts w:eastAsia="DengXian" w:cs="Times New Roman"/>
                <w:sz w:val="20"/>
                <w:szCs w:val="20"/>
              </w:rPr>
              <w:t>)</w:t>
            </w:r>
          </w:p>
        </w:tc>
        <w:tc>
          <w:tcPr>
            <w:tcW w:w="548" w:type="pct"/>
            <w:hideMark/>
          </w:tcPr>
          <w:p w14:paraId="7420E4E5" w14:textId="30E8E803"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(.21</w:t>
            </w:r>
            <w:r w:rsidR="00C15B68" w:rsidRPr="002E4B8A">
              <w:rPr>
                <w:rFonts w:eastAsia="DengXian" w:cs="Times New Roman"/>
                <w:sz w:val="20"/>
                <w:szCs w:val="20"/>
              </w:rPr>
              <w:t>5</w:t>
            </w:r>
            <w:r w:rsidRPr="002E4B8A">
              <w:rPr>
                <w:rFonts w:eastAsia="DengXian" w:cs="Times New Roman"/>
                <w:sz w:val="20"/>
                <w:szCs w:val="20"/>
              </w:rPr>
              <w:t>)</w:t>
            </w:r>
          </w:p>
        </w:tc>
        <w:tc>
          <w:tcPr>
            <w:tcW w:w="548" w:type="pct"/>
            <w:hideMark/>
          </w:tcPr>
          <w:p w14:paraId="2CFA0EC4" w14:textId="62BDE881"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(.2</w:t>
            </w:r>
            <w:r w:rsidR="00C15B68" w:rsidRPr="002E4B8A">
              <w:rPr>
                <w:rFonts w:eastAsia="DengXian" w:cs="Times New Roman"/>
                <w:sz w:val="20"/>
                <w:szCs w:val="20"/>
              </w:rPr>
              <w:t>50</w:t>
            </w:r>
            <w:r w:rsidRPr="002E4B8A">
              <w:rPr>
                <w:rFonts w:eastAsia="DengXian" w:cs="Times New Roman"/>
                <w:sz w:val="20"/>
                <w:szCs w:val="20"/>
              </w:rPr>
              <w:t>)</w:t>
            </w:r>
          </w:p>
        </w:tc>
        <w:tc>
          <w:tcPr>
            <w:tcW w:w="644" w:type="pct"/>
            <w:hideMark/>
          </w:tcPr>
          <w:p w14:paraId="10154C7F" w14:textId="0E0CB408"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(.176)</w:t>
            </w:r>
          </w:p>
        </w:tc>
        <w:tc>
          <w:tcPr>
            <w:tcW w:w="521" w:type="pct"/>
            <w:hideMark/>
          </w:tcPr>
          <w:p w14:paraId="1C246F11" w14:textId="7CA0EE4B"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(.273)</w:t>
            </w:r>
          </w:p>
        </w:tc>
        <w:tc>
          <w:tcPr>
            <w:tcW w:w="547" w:type="pct"/>
            <w:hideMark/>
          </w:tcPr>
          <w:p w14:paraId="3CC5AB3B" w14:textId="40A81B9C"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(.17</w:t>
            </w:r>
            <w:r w:rsidR="00C15B68" w:rsidRPr="002E4B8A">
              <w:rPr>
                <w:rFonts w:eastAsia="DengXian" w:cs="Times New Roman"/>
                <w:sz w:val="20"/>
                <w:szCs w:val="20"/>
              </w:rPr>
              <w:t>8</w:t>
            </w:r>
            <w:r w:rsidRPr="002E4B8A">
              <w:rPr>
                <w:rFonts w:eastAsia="DengXian" w:cs="Times New Roman"/>
                <w:sz w:val="20"/>
                <w:szCs w:val="20"/>
              </w:rPr>
              <w:t>)</w:t>
            </w:r>
          </w:p>
        </w:tc>
      </w:tr>
      <w:tr w:rsidR="00D326A2" w:rsidRPr="005E02DB" w14:paraId="01D3005A" w14:textId="77777777" w:rsidTr="00D326A2">
        <w:trPr>
          <w:jc w:val="center"/>
        </w:trPr>
        <w:tc>
          <w:tcPr>
            <w:tcW w:w="1139" w:type="pct"/>
            <w:hideMark/>
          </w:tcPr>
          <w:p w14:paraId="620AA921" w14:textId="4BCF3C47" w:rsidR="00D326A2" w:rsidRPr="002E4B8A" w:rsidRDefault="00D326A2" w:rsidP="002E4B8A">
            <w:pPr>
              <w:widowControl w:val="0"/>
              <w:autoSpaceDE w:val="0"/>
              <w:autoSpaceDN w:val="0"/>
              <w:adjustRightInd w:val="0"/>
              <w:spacing w:line="240" w:lineRule="auto"/>
              <w:rPr>
                <w:rFonts w:eastAsia="DengXian" w:cs="Times New Roman"/>
                <w:sz w:val="20"/>
                <w:szCs w:val="20"/>
              </w:rPr>
            </w:pPr>
            <w:proofErr w:type="spellStart"/>
            <w:r w:rsidRPr="002E4B8A">
              <w:rPr>
                <w:rFonts w:eastAsia="DengXian" w:cs="Times New Roman"/>
                <w:sz w:val="20"/>
                <w:szCs w:val="20"/>
              </w:rPr>
              <w:t>Unemp</w:t>
            </w:r>
            <w:proofErr w:type="spellEnd"/>
            <w:r w:rsidRPr="002E4B8A">
              <w:rPr>
                <w:rFonts w:eastAsia="DengXian" w:cs="Times New Roman"/>
                <w:sz w:val="20"/>
                <w:szCs w:val="20"/>
              </w:rPr>
              <w:t>. rate (100s)</w:t>
            </w:r>
          </w:p>
        </w:tc>
        <w:tc>
          <w:tcPr>
            <w:tcW w:w="532" w:type="pct"/>
            <w:hideMark/>
          </w:tcPr>
          <w:p w14:paraId="4E07535E" w14:textId="582CE957"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-1.245***</w:t>
            </w:r>
          </w:p>
        </w:tc>
        <w:tc>
          <w:tcPr>
            <w:tcW w:w="521" w:type="pct"/>
            <w:hideMark/>
          </w:tcPr>
          <w:p w14:paraId="0A162B12" w14:textId="376822B8"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2.014***</w:t>
            </w:r>
          </w:p>
        </w:tc>
        <w:tc>
          <w:tcPr>
            <w:tcW w:w="548" w:type="pct"/>
            <w:hideMark/>
          </w:tcPr>
          <w:p w14:paraId="0F7F16ED" w14:textId="092BEDE0"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.315</w:t>
            </w:r>
          </w:p>
        </w:tc>
        <w:tc>
          <w:tcPr>
            <w:tcW w:w="548" w:type="pct"/>
            <w:hideMark/>
          </w:tcPr>
          <w:p w14:paraId="199F3D38" w14:textId="79AD1C3E"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.663***</w:t>
            </w:r>
          </w:p>
        </w:tc>
        <w:tc>
          <w:tcPr>
            <w:tcW w:w="644" w:type="pct"/>
            <w:hideMark/>
          </w:tcPr>
          <w:p w14:paraId="0CFC4CE3" w14:textId="2BC66CEF"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.382**</w:t>
            </w:r>
          </w:p>
        </w:tc>
        <w:tc>
          <w:tcPr>
            <w:tcW w:w="521" w:type="pct"/>
            <w:hideMark/>
          </w:tcPr>
          <w:p w14:paraId="461E5524" w14:textId="13FDCA28"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.846***</w:t>
            </w:r>
          </w:p>
        </w:tc>
        <w:tc>
          <w:tcPr>
            <w:tcW w:w="547" w:type="pct"/>
            <w:hideMark/>
          </w:tcPr>
          <w:p w14:paraId="14B51428" w14:textId="5BE8E2BC"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.681***</w:t>
            </w:r>
          </w:p>
        </w:tc>
      </w:tr>
      <w:tr w:rsidR="00D326A2" w:rsidRPr="005E02DB" w14:paraId="24B60055" w14:textId="77777777" w:rsidTr="00D326A2">
        <w:trPr>
          <w:jc w:val="center"/>
        </w:trPr>
        <w:tc>
          <w:tcPr>
            <w:tcW w:w="1139" w:type="pct"/>
            <w:hideMark/>
          </w:tcPr>
          <w:p w14:paraId="16C12A8E" w14:textId="68484D3A" w:rsidR="00D326A2" w:rsidRPr="002E4B8A" w:rsidRDefault="00D326A2" w:rsidP="002E4B8A">
            <w:pPr>
              <w:widowControl w:val="0"/>
              <w:autoSpaceDE w:val="0"/>
              <w:autoSpaceDN w:val="0"/>
              <w:adjustRightInd w:val="0"/>
              <w:spacing w:line="240" w:lineRule="auto"/>
              <w:rPr>
                <w:rFonts w:eastAsia="DengXian" w:cs="Times New Roman"/>
                <w:sz w:val="20"/>
                <w:szCs w:val="20"/>
              </w:rPr>
            </w:pPr>
          </w:p>
        </w:tc>
        <w:tc>
          <w:tcPr>
            <w:tcW w:w="532" w:type="pct"/>
            <w:hideMark/>
          </w:tcPr>
          <w:p w14:paraId="0B8A435D" w14:textId="06EC5EAA"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(.254)</w:t>
            </w:r>
          </w:p>
        </w:tc>
        <w:tc>
          <w:tcPr>
            <w:tcW w:w="521" w:type="pct"/>
            <w:hideMark/>
          </w:tcPr>
          <w:p w14:paraId="5246ECA0" w14:textId="39B22E20"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(.346)</w:t>
            </w:r>
          </w:p>
        </w:tc>
        <w:tc>
          <w:tcPr>
            <w:tcW w:w="548" w:type="pct"/>
            <w:hideMark/>
          </w:tcPr>
          <w:p w14:paraId="05F0858E" w14:textId="21485F33"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(.274)</w:t>
            </w:r>
          </w:p>
        </w:tc>
        <w:tc>
          <w:tcPr>
            <w:tcW w:w="548" w:type="pct"/>
            <w:hideMark/>
          </w:tcPr>
          <w:p w14:paraId="77403A60" w14:textId="4FA3EB40"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(.237)</w:t>
            </w:r>
          </w:p>
        </w:tc>
        <w:tc>
          <w:tcPr>
            <w:tcW w:w="644" w:type="pct"/>
            <w:hideMark/>
          </w:tcPr>
          <w:p w14:paraId="760C7201" w14:textId="25FE54C7"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(.183)</w:t>
            </w:r>
          </w:p>
        </w:tc>
        <w:tc>
          <w:tcPr>
            <w:tcW w:w="521" w:type="pct"/>
            <w:hideMark/>
          </w:tcPr>
          <w:p w14:paraId="567E7763" w14:textId="1FEA1FBC"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(.286)</w:t>
            </w:r>
          </w:p>
        </w:tc>
        <w:tc>
          <w:tcPr>
            <w:tcW w:w="547" w:type="pct"/>
            <w:hideMark/>
          </w:tcPr>
          <w:p w14:paraId="4CB707E0" w14:textId="2202AB62"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(.180)</w:t>
            </w:r>
          </w:p>
        </w:tc>
      </w:tr>
      <w:tr w:rsidR="00D326A2" w:rsidRPr="005E02DB" w14:paraId="3641F7EB" w14:textId="77777777" w:rsidTr="00D326A2">
        <w:trPr>
          <w:jc w:val="center"/>
        </w:trPr>
        <w:tc>
          <w:tcPr>
            <w:tcW w:w="1139" w:type="pct"/>
            <w:hideMark/>
          </w:tcPr>
          <w:p w14:paraId="75377C31" w14:textId="5C04D1D2"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Pop. Density (100s)</w:t>
            </w:r>
          </w:p>
        </w:tc>
        <w:tc>
          <w:tcPr>
            <w:tcW w:w="532" w:type="pct"/>
            <w:hideMark/>
          </w:tcPr>
          <w:p w14:paraId="6CA4504B" w14:textId="379ABF94"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-5.887</w:t>
            </w:r>
          </w:p>
        </w:tc>
        <w:tc>
          <w:tcPr>
            <w:tcW w:w="521" w:type="pct"/>
            <w:hideMark/>
          </w:tcPr>
          <w:p w14:paraId="76A94E0B" w14:textId="00B0E2F9"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-.538</w:t>
            </w:r>
          </w:p>
        </w:tc>
        <w:tc>
          <w:tcPr>
            <w:tcW w:w="548" w:type="pct"/>
            <w:hideMark/>
          </w:tcPr>
          <w:p w14:paraId="5824057D" w14:textId="40690521"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-4.329**</w:t>
            </w:r>
          </w:p>
        </w:tc>
        <w:tc>
          <w:tcPr>
            <w:tcW w:w="548" w:type="pct"/>
            <w:hideMark/>
          </w:tcPr>
          <w:p w14:paraId="78F3723C" w14:textId="4042D9BE"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.521</w:t>
            </w:r>
          </w:p>
        </w:tc>
        <w:tc>
          <w:tcPr>
            <w:tcW w:w="644" w:type="pct"/>
            <w:hideMark/>
          </w:tcPr>
          <w:p w14:paraId="2E72623B" w14:textId="3F65616D"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-4.279***</w:t>
            </w:r>
          </w:p>
        </w:tc>
        <w:tc>
          <w:tcPr>
            <w:tcW w:w="521" w:type="pct"/>
            <w:hideMark/>
          </w:tcPr>
          <w:p w14:paraId="752F43C7" w14:textId="32975C66"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1.656**</w:t>
            </w:r>
          </w:p>
        </w:tc>
        <w:tc>
          <w:tcPr>
            <w:tcW w:w="547" w:type="pct"/>
            <w:hideMark/>
          </w:tcPr>
          <w:p w14:paraId="31481B09" w14:textId="48760F22"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.400</w:t>
            </w:r>
          </w:p>
        </w:tc>
      </w:tr>
      <w:tr w:rsidR="00D326A2" w:rsidRPr="005E02DB" w14:paraId="39095BB1" w14:textId="77777777" w:rsidTr="00D326A2">
        <w:trPr>
          <w:jc w:val="center"/>
        </w:trPr>
        <w:tc>
          <w:tcPr>
            <w:tcW w:w="1139" w:type="pct"/>
            <w:hideMark/>
          </w:tcPr>
          <w:p w14:paraId="1BD0CF6F" w14:textId="3FF2457F" w:rsidR="00D326A2" w:rsidRPr="002E4B8A" w:rsidRDefault="00D326A2" w:rsidP="002E4B8A">
            <w:pPr>
              <w:widowControl w:val="0"/>
              <w:autoSpaceDE w:val="0"/>
              <w:autoSpaceDN w:val="0"/>
              <w:adjustRightInd w:val="0"/>
              <w:spacing w:line="240" w:lineRule="auto"/>
              <w:rPr>
                <w:rFonts w:eastAsia="DengXian" w:cs="Times New Roman"/>
                <w:sz w:val="20"/>
                <w:szCs w:val="20"/>
              </w:rPr>
            </w:pPr>
          </w:p>
        </w:tc>
        <w:tc>
          <w:tcPr>
            <w:tcW w:w="532" w:type="pct"/>
            <w:hideMark/>
          </w:tcPr>
          <w:p w14:paraId="34B29FBB" w14:textId="12452FAA"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(3.804)</w:t>
            </w:r>
          </w:p>
        </w:tc>
        <w:tc>
          <w:tcPr>
            <w:tcW w:w="521" w:type="pct"/>
            <w:hideMark/>
          </w:tcPr>
          <w:p w14:paraId="43A68A92" w14:textId="2ABC9227"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(2.181)</w:t>
            </w:r>
          </w:p>
        </w:tc>
        <w:tc>
          <w:tcPr>
            <w:tcW w:w="548" w:type="pct"/>
            <w:hideMark/>
          </w:tcPr>
          <w:p w14:paraId="671EE15F" w14:textId="54DF8E8F"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(2.203)</w:t>
            </w:r>
          </w:p>
        </w:tc>
        <w:tc>
          <w:tcPr>
            <w:tcW w:w="548" w:type="pct"/>
            <w:hideMark/>
          </w:tcPr>
          <w:p w14:paraId="26B8EDA7" w14:textId="33D65335"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(1.499)</w:t>
            </w:r>
          </w:p>
        </w:tc>
        <w:tc>
          <w:tcPr>
            <w:tcW w:w="644" w:type="pct"/>
            <w:hideMark/>
          </w:tcPr>
          <w:p w14:paraId="1F81E7FA" w14:textId="46836665"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(.992)</w:t>
            </w:r>
          </w:p>
        </w:tc>
        <w:tc>
          <w:tcPr>
            <w:tcW w:w="521" w:type="pct"/>
            <w:hideMark/>
          </w:tcPr>
          <w:p w14:paraId="55AD2029" w14:textId="79010D3C"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(.709)</w:t>
            </w:r>
          </w:p>
        </w:tc>
        <w:tc>
          <w:tcPr>
            <w:tcW w:w="547" w:type="pct"/>
            <w:hideMark/>
          </w:tcPr>
          <w:p w14:paraId="6DB7A387" w14:textId="58ABC196"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(1.616)</w:t>
            </w:r>
          </w:p>
        </w:tc>
      </w:tr>
      <w:tr w:rsidR="00D326A2" w:rsidRPr="005E02DB" w14:paraId="49CFE5EF" w14:textId="77777777" w:rsidTr="00D326A2">
        <w:trPr>
          <w:jc w:val="center"/>
        </w:trPr>
        <w:tc>
          <w:tcPr>
            <w:tcW w:w="1139" w:type="pct"/>
            <w:hideMark/>
          </w:tcPr>
          <w:p w14:paraId="370F73A3" w14:textId="3FA3A37E"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Med. HH Inc. (100ks)</w:t>
            </w:r>
          </w:p>
        </w:tc>
        <w:tc>
          <w:tcPr>
            <w:tcW w:w="532" w:type="pct"/>
            <w:hideMark/>
          </w:tcPr>
          <w:p w14:paraId="66D401FD" w14:textId="73D52BB8"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1.186***</w:t>
            </w:r>
          </w:p>
        </w:tc>
        <w:tc>
          <w:tcPr>
            <w:tcW w:w="521" w:type="pct"/>
            <w:hideMark/>
          </w:tcPr>
          <w:p w14:paraId="6E5D3594" w14:textId="66B42D28"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.828***</w:t>
            </w:r>
          </w:p>
        </w:tc>
        <w:tc>
          <w:tcPr>
            <w:tcW w:w="548" w:type="pct"/>
            <w:hideMark/>
          </w:tcPr>
          <w:p w14:paraId="08DD5379" w14:textId="3A958ECC"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.812***</w:t>
            </w:r>
          </w:p>
        </w:tc>
        <w:tc>
          <w:tcPr>
            <w:tcW w:w="548" w:type="pct"/>
            <w:hideMark/>
          </w:tcPr>
          <w:p w14:paraId="2DD8013B" w14:textId="740938B9"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.329**</w:t>
            </w:r>
          </w:p>
        </w:tc>
        <w:tc>
          <w:tcPr>
            <w:tcW w:w="644" w:type="pct"/>
            <w:hideMark/>
          </w:tcPr>
          <w:p w14:paraId="52B3F7B8" w14:textId="7785304A"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.216</w:t>
            </w:r>
          </w:p>
        </w:tc>
        <w:tc>
          <w:tcPr>
            <w:tcW w:w="521" w:type="pct"/>
            <w:hideMark/>
          </w:tcPr>
          <w:p w14:paraId="5D332C07" w14:textId="587A3C33"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.231</w:t>
            </w:r>
          </w:p>
        </w:tc>
        <w:tc>
          <w:tcPr>
            <w:tcW w:w="547" w:type="pct"/>
            <w:hideMark/>
          </w:tcPr>
          <w:p w14:paraId="0F2CEEC0" w14:textId="20292247"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.463***</w:t>
            </w:r>
          </w:p>
        </w:tc>
      </w:tr>
      <w:tr w:rsidR="00D326A2" w:rsidRPr="005E02DB" w14:paraId="0E091655" w14:textId="77777777" w:rsidTr="00D326A2">
        <w:trPr>
          <w:jc w:val="center"/>
        </w:trPr>
        <w:tc>
          <w:tcPr>
            <w:tcW w:w="1139" w:type="pct"/>
            <w:hideMark/>
          </w:tcPr>
          <w:p w14:paraId="47B4E5C7" w14:textId="03C3E07C" w:rsidR="00D326A2" w:rsidRPr="002E4B8A" w:rsidRDefault="00D326A2" w:rsidP="002E4B8A">
            <w:pPr>
              <w:widowControl w:val="0"/>
              <w:autoSpaceDE w:val="0"/>
              <w:autoSpaceDN w:val="0"/>
              <w:adjustRightInd w:val="0"/>
              <w:spacing w:line="240" w:lineRule="auto"/>
              <w:rPr>
                <w:rFonts w:eastAsia="DengXian" w:cs="Times New Roman"/>
                <w:sz w:val="20"/>
                <w:szCs w:val="20"/>
              </w:rPr>
            </w:pPr>
          </w:p>
        </w:tc>
        <w:tc>
          <w:tcPr>
            <w:tcW w:w="532" w:type="pct"/>
            <w:hideMark/>
          </w:tcPr>
          <w:p w14:paraId="01DFE8FA" w14:textId="2C26FAA8"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(.141)</w:t>
            </w:r>
          </w:p>
        </w:tc>
        <w:tc>
          <w:tcPr>
            <w:tcW w:w="521" w:type="pct"/>
            <w:hideMark/>
          </w:tcPr>
          <w:p w14:paraId="05F95E98" w14:textId="1B241B1A"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(.256)</w:t>
            </w:r>
          </w:p>
        </w:tc>
        <w:tc>
          <w:tcPr>
            <w:tcW w:w="548" w:type="pct"/>
            <w:hideMark/>
          </w:tcPr>
          <w:p w14:paraId="4AAEA14C" w14:textId="491C145E"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(.179)</w:t>
            </w:r>
          </w:p>
        </w:tc>
        <w:tc>
          <w:tcPr>
            <w:tcW w:w="548" w:type="pct"/>
            <w:hideMark/>
          </w:tcPr>
          <w:p w14:paraId="286EB44C" w14:textId="43407D5D"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(.158)</w:t>
            </w:r>
          </w:p>
        </w:tc>
        <w:tc>
          <w:tcPr>
            <w:tcW w:w="644" w:type="pct"/>
            <w:hideMark/>
          </w:tcPr>
          <w:p w14:paraId="3A078E0B" w14:textId="30D0264F"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(.141)</w:t>
            </w:r>
          </w:p>
        </w:tc>
        <w:tc>
          <w:tcPr>
            <w:tcW w:w="521" w:type="pct"/>
            <w:hideMark/>
          </w:tcPr>
          <w:p w14:paraId="4EE10BF2" w14:textId="239627E4"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(.196)</w:t>
            </w:r>
          </w:p>
        </w:tc>
        <w:tc>
          <w:tcPr>
            <w:tcW w:w="547" w:type="pct"/>
            <w:hideMark/>
          </w:tcPr>
          <w:p w14:paraId="2A94157D" w14:textId="692E8FB7"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(.102)</w:t>
            </w:r>
          </w:p>
        </w:tc>
      </w:tr>
      <w:tr w:rsidR="00D326A2" w:rsidRPr="005E02DB" w14:paraId="19D18F67" w14:textId="77777777" w:rsidTr="00D326A2">
        <w:trPr>
          <w:jc w:val="center"/>
        </w:trPr>
        <w:tc>
          <w:tcPr>
            <w:tcW w:w="1139" w:type="pct"/>
            <w:hideMark/>
          </w:tcPr>
          <w:p w14:paraId="0DAA7E05" w14:textId="4A5ED99A"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HPI (100s)</w:t>
            </w:r>
          </w:p>
        </w:tc>
        <w:tc>
          <w:tcPr>
            <w:tcW w:w="532" w:type="pct"/>
            <w:hideMark/>
          </w:tcPr>
          <w:p w14:paraId="60B12FB3" w14:textId="56BF120F"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-.050***</w:t>
            </w:r>
          </w:p>
        </w:tc>
        <w:tc>
          <w:tcPr>
            <w:tcW w:w="521" w:type="pct"/>
            <w:hideMark/>
          </w:tcPr>
          <w:p w14:paraId="087FD47A" w14:textId="043D6CD5"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.006</w:t>
            </w:r>
          </w:p>
        </w:tc>
        <w:tc>
          <w:tcPr>
            <w:tcW w:w="548" w:type="pct"/>
            <w:hideMark/>
          </w:tcPr>
          <w:p w14:paraId="2B06F5C2" w14:textId="6445D426"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-.017**</w:t>
            </w:r>
          </w:p>
        </w:tc>
        <w:tc>
          <w:tcPr>
            <w:tcW w:w="548" w:type="pct"/>
            <w:hideMark/>
          </w:tcPr>
          <w:p w14:paraId="450ED81C" w14:textId="08D46B61"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.016**</w:t>
            </w:r>
          </w:p>
        </w:tc>
        <w:tc>
          <w:tcPr>
            <w:tcW w:w="644" w:type="pct"/>
            <w:hideMark/>
          </w:tcPr>
          <w:p w14:paraId="658592B2" w14:textId="7203BBDC"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-.004</w:t>
            </w:r>
          </w:p>
        </w:tc>
        <w:tc>
          <w:tcPr>
            <w:tcW w:w="521" w:type="pct"/>
            <w:hideMark/>
          </w:tcPr>
          <w:p w14:paraId="50599F6A" w14:textId="788BA5F2"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-.011*</w:t>
            </w:r>
          </w:p>
        </w:tc>
        <w:tc>
          <w:tcPr>
            <w:tcW w:w="547" w:type="pct"/>
            <w:hideMark/>
          </w:tcPr>
          <w:p w14:paraId="19457CCD" w14:textId="4B099460"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.001</w:t>
            </w:r>
          </w:p>
        </w:tc>
      </w:tr>
      <w:tr w:rsidR="00D326A2" w:rsidRPr="005E02DB" w14:paraId="390C2F22" w14:textId="77777777" w:rsidTr="00D326A2">
        <w:trPr>
          <w:jc w:val="center"/>
        </w:trPr>
        <w:tc>
          <w:tcPr>
            <w:tcW w:w="1139" w:type="pct"/>
            <w:hideMark/>
          </w:tcPr>
          <w:p w14:paraId="17772E79" w14:textId="33CECF99" w:rsidR="00D326A2" w:rsidRPr="002E4B8A" w:rsidRDefault="00D326A2" w:rsidP="002E4B8A">
            <w:pPr>
              <w:widowControl w:val="0"/>
              <w:autoSpaceDE w:val="0"/>
              <w:autoSpaceDN w:val="0"/>
              <w:adjustRightInd w:val="0"/>
              <w:spacing w:line="240" w:lineRule="auto"/>
              <w:rPr>
                <w:rFonts w:eastAsia="DengXian" w:cs="Times New Roman"/>
                <w:sz w:val="20"/>
                <w:szCs w:val="20"/>
              </w:rPr>
            </w:pPr>
          </w:p>
        </w:tc>
        <w:tc>
          <w:tcPr>
            <w:tcW w:w="532" w:type="pct"/>
            <w:hideMark/>
          </w:tcPr>
          <w:p w14:paraId="523E9972" w14:textId="478DA012"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(.007)</w:t>
            </w:r>
          </w:p>
        </w:tc>
        <w:tc>
          <w:tcPr>
            <w:tcW w:w="521" w:type="pct"/>
            <w:hideMark/>
          </w:tcPr>
          <w:p w14:paraId="46917AD0" w14:textId="59208880"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(.009)</w:t>
            </w:r>
          </w:p>
        </w:tc>
        <w:tc>
          <w:tcPr>
            <w:tcW w:w="548" w:type="pct"/>
            <w:hideMark/>
          </w:tcPr>
          <w:p w14:paraId="56215394" w14:textId="285F61A5"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(.008)</w:t>
            </w:r>
          </w:p>
        </w:tc>
        <w:tc>
          <w:tcPr>
            <w:tcW w:w="548" w:type="pct"/>
            <w:hideMark/>
          </w:tcPr>
          <w:p w14:paraId="579042AF" w14:textId="56FA64A8"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(.006)</w:t>
            </w:r>
          </w:p>
        </w:tc>
        <w:tc>
          <w:tcPr>
            <w:tcW w:w="644" w:type="pct"/>
            <w:hideMark/>
          </w:tcPr>
          <w:p w14:paraId="545B1F52" w14:textId="02C25AFF"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(.006)</w:t>
            </w:r>
          </w:p>
        </w:tc>
        <w:tc>
          <w:tcPr>
            <w:tcW w:w="521" w:type="pct"/>
            <w:hideMark/>
          </w:tcPr>
          <w:p w14:paraId="46CD6E45" w14:textId="65F9F920"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(.007)</w:t>
            </w:r>
          </w:p>
        </w:tc>
        <w:tc>
          <w:tcPr>
            <w:tcW w:w="547" w:type="pct"/>
            <w:hideMark/>
          </w:tcPr>
          <w:p w14:paraId="520C32F8" w14:textId="6AD79A75"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(.004)</w:t>
            </w:r>
          </w:p>
        </w:tc>
      </w:tr>
      <w:tr w:rsidR="00D326A2" w:rsidRPr="005E02DB" w14:paraId="259871FC" w14:textId="77777777" w:rsidTr="00D326A2">
        <w:trPr>
          <w:jc w:val="center"/>
        </w:trPr>
        <w:tc>
          <w:tcPr>
            <w:tcW w:w="1139" w:type="pct"/>
            <w:hideMark/>
          </w:tcPr>
          <w:p w14:paraId="2378F96E" w14:textId="12F99CFF"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EPA - SO2 (t-1)</w:t>
            </w:r>
          </w:p>
        </w:tc>
        <w:tc>
          <w:tcPr>
            <w:tcW w:w="532" w:type="pct"/>
            <w:hideMark/>
          </w:tcPr>
          <w:p w14:paraId="7305AEC6" w14:textId="5E48BAF9"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-.096</w:t>
            </w:r>
          </w:p>
        </w:tc>
        <w:tc>
          <w:tcPr>
            <w:tcW w:w="521" w:type="pct"/>
            <w:hideMark/>
          </w:tcPr>
          <w:p w14:paraId="3C0EDC83" w14:textId="2DD6EBAB"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.013</w:t>
            </w:r>
          </w:p>
        </w:tc>
        <w:tc>
          <w:tcPr>
            <w:tcW w:w="548" w:type="pct"/>
            <w:hideMark/>
          </w:tcPr>
          <w:p w14:paraId="212E6DBA" w14:textId="07B61F3F"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.022</w:t>
            </w:r>
          </w:p>
        </w:tc>
        <w:tc>
          <w:tcPr>
            <w:tcW w:w="548" w:type="pct"/>
            <w:hideMark/>
          </w:tcPr>
          <w:p w14:paraId="0D342DC6" w14:textId="78CB007B"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-.002</w:t>
            </w:r>
          </w:p>
        </w:tc>
        <w:tc>
          <w:tcPr>
            <w:tcW w:w="644" w:type="pct"/>
            <w:hideMark/>
          </w:tcPr>
          <w:p w14:paraId="25CCB70F" w14:textId="5896135D"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-.017</w:t>
            </w:r>
          </w:p>
        </w:tc>
        <w:tc>
          <w:tcPr>
            <w:tcW w:w="521" w:type="pct"/>
            <w:hideMark/>
          </w:tcPr>
          <w:p w14:paraId="399781C8" w14:textId="67426D97"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-.061</w:t>
            </w:r>
          </w:p>
        </w:tc>
        <w:tc>
          <w:tcPr>
            <w:tcW w:w="547" w:type="pct"/>
            <w:hideMark/>
          </w:tcPr>
          <w:p w14:paraId="045AAC81" w14:textId="6F9DAF36"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.038</w:t>
            </w:r>
          </w:p>
        </w:tc>
      </w:tr>
      <w:tr w:rsidR="00D326A2" w:rsidRPr="005E02DB" w14:paraId="16CCEAAF" w14:textId="77777777" w:rsidTr="00D326A2">
        <w:trPr>
          <w:jc w:val="center"/>
        </w:trPr>
        <w:tc>
          <w:tcPr>
            <w:tcW w:w="1139" w:type="pct"/>
            <w:hideMark/>
          </w:tcPr>
          <w:p w14:paraId="64598EF6" w14:textId="0D08A434" w:rsidR="00D326A2" w:rsidRPr="002E4B8A" w:rsidRDefault="00D326A2" w:rsidP="002E4B8A">
            <w:pPr>
              <w:widowControl w:val="0"/>
              <w:autoSpaceDE w:val="0"/>
              <w:autoSpaceDN w:val="0"/>
              <w:adjustRightInd w:val="0"/>
              <w:spacing w:line="240" w:lineRule="auto"/>
              <w:rPr>
                <w:rFonts w:eastAsia="DengXian" w:cs="Times New Roman"/>
                <w:sz w:val="20"/>
                <w:szCs w:val="20"/>
              </w:rPr>
            </w:pPr>
          </w:p>
        </w:tc>
        <w:tc>
          <w:tcPr>
            <w:tcW w:w="532" w:type="pct"/>
            <w:hideMark/>
          </w:tcPr>
          <w:p w14:paraId="5ACE58F8" w14:textId="25E33AAC"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(.078)</w:t>
            </w:r>
          </w:p>
        </w:tc>
        <w:tc>
          <w:tcPr>
            <w:tcW w:w="521" w:type="pct"/>
            <w:hideMark/>
          </w:tcPr>
          <w:p w14:paraId="3938079F" w14:textId="286874B1"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(.080)</w:t>
            </w:r>
          </w:p>
        </w:tc>
        <w:tc>
          <w:tcPr>
            <w:tcW w:w="548" w:type="pct"/>
            <w:hideMark/>
          </w:tcPr>
          <w:p w14:paraId="35893D52" w14:textId="6794EF75"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(.057)</w:t>
            </w:r>
          </w:p>
        </w:tc>
        <w:tc>
          <w:tcPr>
            <w:tcW w:w="548" w:type="pct"/>
            <w:hideMark/>
          </w:tcPr>
          <w:p w14:paraId="6D025578" w14:textId="47E11448"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(.049)</w:t>
            </w:r>
          </w:p>
        </w:tc>
        <w:tc>
          <w:tcPr>
            <w:tcW w:w="644" w:type="pct"/>
            <w:hideMark/>
          </w:tcPr>
          <w:p w14:paraId="0D95BEE7" w14:textId="1071B952"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(.059)</w:t>
            </w:r>
          </w:p>
        </w:tc>
        <w:tc>
          <w:tcPr>
            <w:tcW w:w="521" w:type="pct"/>
            <w:hideMark/>
          </w:tcPr>
          <w:p w14:paraId="44C96362" w14:textId="18D3F928"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(.060)</w:t>
            </w:r>
          </w:p>
        </w:tc>
        <w:tc>
          <w:tcPr>
            <w:tcW w:w="547" w:type="pct"/>
            <w:hideMark/>
          </w:tcPr>
          <w:p w14:paraId="7CF67AAB" w14:textId="4468B5A8"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(.042)</w:t>
            </w:r>
          </w:p>
        </w:tc>
      </w:tr>
      <w:tr w:rsidR="00D326A2" w:rsidRPr="005E02DB" w14:paraId="71AC5CA8" w14:textId="77777777" w:rsidTr="00D326A2">
        <w:trPr>
          <w:jc w:val="center"/>
        </w:trPr>
        <w:tc>
          <w:tcPr>
            <w:tcW w:w="1139" w:type="pct"/>
            <w:hideMark/>
          </w:tcPr>
          <w:p w14:paraId="4E53F917" w14:textId="74BE9616"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EPA - PSM (t-1)</w:t>
            </w:r>
          </w:p>
        </w:tc>
        <w:tc>
          <w:tcPr>
            <w:tcW w:w="532" w:type="pct"/>
            <w:hideMark/>
          </w:tcPr>
          <w:p w14:paraId="0687C612" w14:textId="7A9A91A4"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-.055***</w:t>
            </w:r>
          </w:p>
        </w:tc>
        <w:tc>
          <w:tcPr>
            <w:tcW w:w="521" w:type="pct"/>
            <w:hideMark/>
          </w:tcPr>
          <w:p w14:paraId="21C6446F" w14:textId="318F71BB"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.062***</w:t>
            </w:r>
          </w:p>
        </w:tc>
        <w:tc>
          <w:tcPr>
            <w:tcW w:w="548" w:type="pct"/>
            <w:hideMark/>
          </w:tcPr>
          <w:p w14:paraId="4E3C0A06" w14:textId="11B8FB25"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.080***</w:t>
            </w:r>
          </w:p>
        </w:tc>
        <w:tc>
          <w:tcPr>
            <w:tcW w:w="548" w:type="pct"/>
            <w:hideMark/>
          </w:tcPr>
          <w:p w14:paraId="70596EC1" w14:textId="0D7A7ADC"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.019**</w:t>
            </w:r>
          </w:p>
        </w:tc>
        <w:tc>
          <w:tcPr>
            <w:tcW w:w="644" w:type="pct"/>
            <w:hideMark/>
          </w:tcPr>
          <w:p w14:paraId="31FAD581" w14:textId="301A5800"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-.011*</w:t>
            </w:r>
          </w:p>
        </w:tc>
        <w:tc>
          <w:tcPr>
            <w:tcW w:w="521" w:type="pct"/>
            <w:hideMark/>
          </w:tcPr>
          <w:p w14:paraId="7EDD8535" w14:textId="3E48BDC0"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.033***</w:t>
            </w:r>
          </w:p>
        </w:tc>
        <w:tc>
          <w:tcPr>
            <w:tcW w:w="547" w:type="pct"/>
            <w:hideMark/>
          </w:tcPr>
          <w:p w14:paraId="134C502C" w14:textId="2C12A3AD"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-.011**</w:t>
            </w:r>
          </w:p>
        </w:tc>
      </w:tr>
      <w:tr w:rsidR="00D326A2" w:rsidRPr="005E02DB" w14:paraId="2117EEE7" w14:textId="77777777" w:rsidTr="00D326A2">
        <w:trPr>
          <w:jc w:val="center"/>
        </w:trPr>
        <w:tc>
          <w:tcPr>
            <w:tcW w:w="1139" w:type="pct"/>
            <w:hideMark/>
          </w:tcPr>
          <w:p w14:paraId="7C6B8D77" w14:textId="4E90B849" w:rsidR="00D326A2" w:rsidRPr="002E4B8A" w:rsidRDefault="00D326A2" w:rsidP="002E4B8A">
            <w:pPr>
              <w:widowControl w:val="0"/>
              <w:autoSpaceDE w:val="0"/>
              <w:autoSpaceDN w:val="0"/>
              <w:adjustRightInd w:val="0"/>
              <w:spacing w:line="240" w:lineRule="auto"/>
              <w:rPr>
                <w:rFonts w:eastAsia="DengXian" w:cs="Times New Roman"/>
                <w:sz w:val="20"/>
                <w:szCs w:val="20"/>
              </w:rPr>
            </w:pPr>
          </w:p>
        </w:tc>
        <w:tc>
          <w:tcPr>
            <w:tcW w:w="532" w:type="pct"/>
            <w:hideMark/>
          </w:tcPr>
          <w:p w14:paraId="451F18EC" w14:textId="239C3D0F"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(.011)</w:t>
            </w:r>
          </w:p>
        </w:tc>
        <w:tc>
          <w:tcPr>
            <w:tcW w:w="521" w:type="pct"/>
            <w:hideMark/>
          </w:tcPr>
          <w:p w14:paraId="550BF7F7" w14:textId="46430E91"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(.024)</w:t>
            </w:r>
          </w:p>
        </w:tc>
        <w:tc>
          <w:tcPr>
            <w:tcW w:w="548" w:type="pct"/>
            <w:hideMark/>
          </w:tcPr>
          <w:p w14:paraId="47349D97" w14:textId="652C3214"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(.017)</w:t>
            </w:r>
          </w:p>
        </w:tc>
        <w:tc>
          <w:tcPr>
            <w:tcW w:w="548" w:type="pct"/>
            <w:hideMark/>
          </w:tcPr>
          <w:p w14:paraId="488E820C" w14:textId="4D5BFA32"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(.009)</w:t>
            </w:r>
          </w:p>
        </w:tc>
        <w:tc>
          <w:tcPr>
            <w:tcW w:w="644" w:type="pct"/>
            <w:hideMark/>
          </w:tcPr>
          <w:p w14:paraId="1E1FD82F" w14:textId="3242A9FE"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(.006)</w:t>
            </w:r>
          </w:p>
        </w:tc>
        <w:tc>
          <w:tcPr>
            <w:tcW w:w="521" w:type="pct"/>
            <w:hideMark/>
          </w:tcPr>
          <w:p w14:paraId="46B54409" w14:textId="07C3A75F"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(.010)</w:t>
            </w:r>
          </w:p>
        </w:tc>
        <w:tc>
          <w:tcPr>
            <w:tcW w:w="547" w:type="pct"/>
            <w:hideMark/>
          </w:tcPr>
          <w:p w14:paraId="32FFF99E" w14:textId="2BE924A8"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(.006)</w:t>
            </w:r>
          </w:p>
        </w:tc>
      </w:tr>
      <w:tr w:rsidR="00D326A2" w:rsidRPr="005E02DB" w14:paraId="3F294994" w14:textId="77777777" w:rsidTr="00D326A2">
        <w:trPr>
          <w:jc w:val="center"/>
        </w:trPr>
        <w:tc>
          <w:tcPr>
            <w:tcW w:w="1139" w:type="pct"/>
            <w:hideMark/>
          </w:tcPr>
          <w:p w14:paraId="2E34D8DA" w14:textId="4C5B5C43"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EPA - O3 (t-1)</w:t>
            </w:r>
          </w:p>
        </w:tc>
        <w:tc>
          <w:tcPr>
            <w:tcW w:w="532" w:type="pct"/>
            <w:hideMark/>
          </w:tcPr>
          <w:p w14:paraId="3C70013B" w14:textId="792B05AC"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-.100***</w:t>
            </w:r>
          </w:p>
        </w:tc>
        <w:tc>
          <w:tcPr>
            <w:tcW w:w="521" w:type="pct"/>
            <w:hideMark/>
          </w:tcPr>
          <w:p w14:paraId="2FEC0CB3" w14:textId="7F843EC6"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-.029*</w:t>
            </w:r>
          </w:p>
        </w:tc>
        <w:tc>
          <w:tcPr>
            <w:tcW w:w="548" w:type="pct"/>
            <w:hideMark/>
          </w:tcPr>
          <w:p w14:paraId="0DB007D2" w14:textId="2A6C2B83"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.006</w:t>
            </w:r>
          </w:p>
        </w:tc>
        <w:tc>
          <w:tcPr>
            <w:tcW w:w="548" w:type="pct"/>
            <w:hideMark/>
          </w:tcPr>
          <w:p w14:paraId="3528C022" w14:textId="610FF961"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-.005</w:t>
            </w:r>
          </w:p>
        </w:tc>
        <w:tc>
          <w:tcPr>
            <w:tcW w:w="644" w:type="pct"/>
            <w:hideMark/>
          </w:tcPr>
          <w:p w14:paraId="775F9EB5" w14:textId="4CB5FC3F"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.006</w:t>
            </w:r>
          </w:p>
        </w:tc>
        <w:tc>
          <w:tcPr>
            <w:tcW w:w="521" w:type="pct"/>
            <w:hideMark/>
          </w:tcPr>
          <w:p w14:paraId="2A587519" w14:textId="717A3D48"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-.031*</w:t>
            </w:r>
          </w:p>
        </w:tc>
        <w:tc>
          <w:tcPr>
            <w:tcW w:w="547" w:type="pct"/>
            <w:hideMark/>
          </w:tcPr>
          <w:p w14:paraId="1E9116ED" w14:textId="0F7E717A"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.029***</w:t>
            </w:r>
          </w:p>
        </w:tc>
      </w:tr>
      <w:tr w:rsidR="00D326A2" w:rsidRPr="005E02DB" w14:paraId="1D285898" w14:textId="77777777" w:rsidTr="00D326A2">
        <w:trPr>
          <w:jc w:val="center"/>
        </w:trPr>
        <w:tc>
          <w:tcPr>
            <w:tcW w:w="1139" w:type="pct"/>
            <w:hideMark/>
          </w:tcPr>
          <w:p w14:paraId="2DF8978C" w14:textId="67EF5E1D" w:rsidR="00D326A2" w:rsidRPr="002E4B8A" w:rsidRDefault="00D326A2" w:rsidP="002E4B8A">
            <w:pPr>
              <w:widowControl w:val="0"/>
              <w:autoSpaceDE w:val="0"/>
              <w:autoSpaceDN w:val="0"/>
              <w:adjustRightInd w:val="0"/>
              <w:spacing w:line="240" w:lineRule="auto"/>
              <w:rPr>
                <w:rFonts w:eastAsia="DengXian" w:cs="Times New Roman"/>
                <w:sz w:val="20"/>
                <w:szCs w:val="20"/>
              </w:rPr>
            </w:pPr>
          </w:p>
        </w:tc>
        <w:tc>
          <w:tcPr>
            <w:tcW w:w="532" w:type="pct"/>
            <w:hideMark/>
          </w:tcPr>
          <w:p w14:paraId="34DA951A" w14:textId="77777777"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(.014)</w:t>
            </w:r>
          </w:p>
        </w:tc>
        <w:tc>
          <w:tcPr>
            <w:tcW w:w="521" w:type="pct"/>
            <w:hideMark/>
          </w:tcPr>
          <w:p w14:paraId="4096C59C" w14:textId="5245F296"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(.016)</w:t>
            </w:r>
          </w:p>
        </w:tc>
        <w:tc>
          <w:tcPr>
            <w:tcW w:w="548" w:type="pct"/>
            <w:hideMark/>
          </w:tcPr>
          <w:p w14:paraId="7327D03B" w14:textId="06BF0C4F"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(.014)</w:t>
            </w:r>
          </w:p>
        </w:tc>
        <w:tc>
          <w:tcPr>
            <w:tcW w:w="548" w:type="pct"/>
            <w:hideMark/>
          </w:tcPr>
          <w:p w14:paraId="596C4A1D" w14:textId="03D2DA37"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(.010)</w:t>
            </w:r>
          </w:p>
        </w:tc>
        <w:tc>
          <w:tcPr>
            <w:tcW w:w="644" w:type="pct"/>
            <w:hideMark/>
          </w:tcPr>
          <w:p w14:paraId="2A641CEB" w14:textId="59D93E80"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(.006)</w:t>
            </w:r>
          </w:p>
        </w:tc>
        <w:tc>
          <w:tcPr>
            <w:tcW w:w="521" w:type="pct"/>
            <w:hideMark/>
          </w:tcPr>
          <w:p w14:paraId="5DB629CD" w14:textId="08D12374"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(.016)</w:t>
            </w:r>
          </w:p>
        </w:tc>
        <w:tc>
          <w:tcPr>
            <w:tcW w:w="547" w:type="pct"/>
            <w:hideMark/>
          </w:tcPr>
          <w:p w14:paraId="306E93C9" w14:textId="60B8B369"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(.007)</w:t>
            </w:r>
          </w:p>
        </w:tc>
      </w:tr>
      <w:tr w:rsidR="00D326A2" w:rsidRPr="005E02DB" w14:paraId="4CEB4922" w14:textId="77777777" w:rsidTr="00D326A2">
        <w:trPr>
          <w:jc w:val="center"/>
        </w:trPr>
        <w:tc>
          <w:tcPr>
            <w:tcW w:w="1139" w:type="pct"/>
            <w:hideMark/>
          </w:tcPr>
          <w:p w14:paraId="2FDB7924" w14:textId="766766A7"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EPA - NO2 (t-1)</w:t>
            </w:r>
          </w:p>
        </w:tc>
        <w:tc>
          <w:tcPr>
            <w:tcW w:w="532" w:type="pct"/>
            <w:hideMark/>
          </w:tcPr>
          <w:p w14:paraId="11C31D38" w14:textId="2D41F1DB"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.042</w:t>
            </w:r>
          </w:p>
        </w:tc>
        <w:tc>
          <w:tcPr>
            <w:tcW w:w="521" w:type="pct"/>
            <w:hideMark/>
          </w:tcPr>
          <w:p w14:paraId="0544973C" w14:textId="77777777"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-.155</w:t>
            </w:r>
          </w:p>
        </w:tc>
        <w:tc>
          <w:tcPr>
            <w:tcW w:w="548" w:type="pct"/>
            <w:hideMark/>
          </w:tcPr>
          <w:p w14:paraId="336A7A84" w14:textId="664CFBE0"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.330*</w:t>
            </w:r>
          </w:p>
        </w:tc>
        <w:tc>
          <w:tcPr>
            <w:tcW w:w="548" w:type="pct"/>
            <w:hideMark/>
          </w:tcPr>
          <w:p w14:paraId="16EAE9C1" w14:textId="2D0E2938"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-.003</w:t>
            </w:r>
          </w:p>
        </w:tc>
        <w:tc>
          <w:tcPr>
            <w:tcW w:w="644" w:type="pct"/>
            <w:hideMark/>
          </w:tcPr>
          <w:p w14:paraId="4D1655BF" w14:textId="6B15C54E"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-.092**</w:t>
            </w:r>
          </w:p>
        </w:tc>
        <w:tc>
          <w:tcPr>
            <w:tcW w:w="521" w:type="pct"/>
            <w:hideMark/>
          </w:tcPr>
          <w:p w14:paraId="6CE468E9" w14:textId="78043618"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.071*</w:t>
            </w:r>
          </w:p>
        </w:tc>
        <w:tc>
          <w:tcPr>
            <w:tcW w:w="547" w:type="pct"/>
            <w:hideMark/>
          </w:tcPr>
          <w:p w14:paraId="11999B66" w14:textId="5749C7A8"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.027</w:t>
            </w:r>
          </w:p>
        </w:tc>
      </w:tr>
      <w:tr w:rsidR="00D326A2" w:rsidRPr="005E02DB" w14:paraId="1E4E2707" w14:textId="77777777" w:rsidTr="00D326A2">
        <w:trPr>
          <w:jc w:val="center"/>
        </w:trPr>
        <w:tc>
          <w:tcPr>
            <w:tcW w:w="1139" w:type="pct"/>
            <w:hideMark/>
          </w:tcPr>
          <w:p w14:paraId="79617637" w14:textId="77DA0236" w:rsidR="00D326A2" w:rsidRPr="002E4B8A" w:rsidRDefault="00D326A2" w:rsidP="002E4B8A">
            <w:pPr>
              <w:widowControl w:val="0"/>
              <w:autoSpaceDE w:val="0"/>
              <w:autoSpaceDN w:val="0"/>
              <w:adjustRightInd w:val="0"/>
              <w:spacing w:line="240" w:lineRule="auto"/>
              <w:rPr>
                <w:rFonts w:eastAsia="DengXian" w:cs="Times New Roman"/>
                <w:sz w:val="20"/>
                <w:szCs w:val="20"/>
              </w:rPr>
            </w:pPr>
          </w:p>
        </w:tc>
        <w:tc>
          <w:tcPr>
            <w:tcW w:w="532" w:type="pct"/>
            <w:hideMark/>
          </w:tcPr>
          <w:p w14:paraId="2B010628" w14:textId="46A08B8F"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(.074)</w:t>
            </w:r>
          </w:p>
        </w:tc>
        <w:tc>
          <w:tcPr>
            <w:tcW w:w="521" w:type="pct"/>
            <w:hideMark/>
          </w:tcPr>
          <w:p w14:paraId="6155EED7" w14:textId="16DAA36F"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(.102)</w:t>
            </w:r>
          </w:p>
        </w:tc>
        <w:tc>
          <w:tcPr>
            <w:tcW w:w="548" w:type="pct"/>
            <w:hideMark/>
          </w:tcPr>
          <w:p w14:paraId="38B8A4CB" w14:textId="180017F8"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(.195)</w:t>
            </w:r>
          </w:p>
        </w:tc>
        <w:tc>
          <w:tcPr>
            <w:tcW w:w="548" w:type="pct"/>
            <w:hideMark/>
          </w:tcPr>
          <w:p w14:paraId="1E96CECC" w14:textId="20210B17"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(.030)</w:t>
            </w:r>
          </w:p>
        </w:tc>
        <w:tc>
          <w:tcPr>
            <w:tcW w:w="644" w:type="pct"/>
            <w:hideMark/>
          </w:tcPr>
          <w:p w14:paraId="1A8833CA" w14:textId="5D8C8608"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(.037)</w:t>
            </w:r>
          </w:p>
        </w:tc>
        <w:tc>
          <w:tcPr>
            <w:tcW w:w="521" w:type="pct"/>
            <w:hideMark/>
          </w:tcPr>
          <w:p w14:paraId="76379164" w14:textId="756F5222"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(.041)</w:t>
            </w:r>
          </w:p>
        </w:tc>
        <w:tc>
          <w:tcPr>
            <w:tcW w:w="547" w:type="pct"/>
            <w:hideMark/>
          </w:tcPr>
          <w:p w14:paraId="4CD18E55" w14:textId="158FB723"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(.069)</w:t>
            </w:r>
          </w:p>
        </w:tc>
      </w:tr>
      <w:tr w:rsidR="00D326A2" w:rsidRPr="005E02DB" w14:paraId="0D2D4C3A" w14:textId="77777777" w:rsidTr="00D326A2">
        <w:trPr>
          <w:jc w:val="center"/>
        </w:trPr>
        <w:tc>
          <w:tcPr>
            <w:tcW w:w="1139" w:type="pct"/>
            <w:hideMark/>
          </w:tcPr>
          <w:p w14:paraId="373BEA58" w14:textId="1C615402"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EPA - Pb (t-1)</w:t>
            </w:r>
          </w:p>
        </w:tc>
        <w:tc>
          <w:tcPr>
            <w:tcW w:w="532" w:type="pct"/>
            <w:hideMark/>
          </w:tcPr>
          <w:p w14:paraId="109A11A8" w14:textId="5D64E565"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-.028</w:t>
            </w:r>
          </w:p>
        </w:tc>
        <w:tc>
          <w:tcPr>
            <w:tcW w:w="521" w:type="pct"/>
            <w:hideMark/>
          </w:tcPr>
          <w:p w14:paraId="01A40BCA" w14:textId="4752F314"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-.062</w:t>
            </w:r>
          </w:p>
        </w:tc>
        <w:tc>
          <w:tcPr>
            <w:tcW w:w="548" w:type="pct"/>
            <w:hideMark/>
          </w:tcPr>
          <w:p w14:paraId="0D64E8E0" w14:textId="493E4E3B"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-.283</w:t>
            </w:r>
          </w:p>
        </w:tc>
        <w:tc>
          <w:tcPr>
            <w:tcW w:w="548" w:type="pct"/>
            <w:hideMark/>
          </w:tcPr>
          <w:p w14:paraId="73469E75" w14:textId="77777777"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-.0183</w:t>
            </w:r>
          </w:p>
        </w:tc>
        <w:tc>
          <w:tcPr>
            <w:tcW w:w="644" w:type="pct"/>
            <w:hideMark/>
          </w:tcPr>
          <w:p w14:paraId="7739E5F9" w14:textId="34D2BA95"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-.076</w:t>
            </w:r>
          </w:p>
        </w:tc>
        <w:tc>
          <w:tcPr>
            <w:tcW w:w="521" w:type="pct"/>
            <w:hideMark/>
          </w:tcPr>
          <w:p w14:paraId="0338869C" w14:textId="305CF215"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-.146</w:t>
            </w:r>
          </w:p>
        </w:tc>
        <w:tc>
          <w:tcPr>
            <w:tcW w:w="547" w:type="pct"/>
            <w:hideMark/>
          </w:tcPr>
          <w:p w14:paraId="2A90B99C" w14:textId="28875630"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-.103*</w:t>
            </w:r>
          </w:p>
        </w:tc>
      </w:tr>
      <w:tr w:rsidR="00D326A2" w:rsidRPr="005E02DB" w14:paraId="6D66EFA7" w14:textId="77777777" w:rsidTr="00D326A2">
        <w:trPr>
          <w:jc w:val="center"/>
        </w:trPr>
        <w:tc>
          <w:tcPr>
            <w:tcW w:w="1139" w:type="pct"/>
            <w:hideMark/>
          </w:tcPr>
          <w:p w14:paraId="1DD1FA2E" w14:textId="5CE08D1E" w:rsidR="00D326A2" w:rsidRPr="002E4B8A" w:rsidRDefault="00D326A2" w:rsidP="002E4B8A">
            <w:pPr>
              <w:widowControl w:val="0"/>
              <w:autoSpaceDE w:val="0"/>
              <w:autoSpaceDN w:val="0"/>
              <w:adjustRightInd w:val="0"/>
              <w:spacing w:line="240" w:lineRule="auto"/>
              <w:rPr>
                <w:rFonts w:eastAsia="DengXian" w:cs="Times New Roman"/>
                <w:sz w:val="20"/>
                <w:szCs w:val="20"/>
              </w:rPr>
            </w:pPr>
          </w:p>
        </w:tc>
        <w:tc>
          <w:tcPr>
            <w:tcW w:w="532" w:type="pct"/>
            <w:hideMark/>
          </w:tcPr>
          <w:p w14:paraId="1B777787" w14:textId="0C072A35"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(.095)</w:t>
            </w:r>
          </w:p>
        </w:tc>
        <w:tc>
          <w:tcPr>
            <w:tcW w:w="521" w:type="pct"/>
            <w:hideMark/>
          </w:tcPr>
          <w:p w14:paraId="51312E17" w14:textId="27B4B826"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(.084)</w:t>
            </w:r>
          </w:p>
        </w:tc>
        <w:tc>
          <w:tcPr>
            <w:tcW w:w="548" w:type="pct"/>
            <w:hideMark/>
          </w:tcPr>
          <w:p w14:paraId="66C1FD19" w14:textId="78D541B2"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(.176)</w:t>
            </w:r>
          </w:p>
        </w:tc>
        <w:tc>
          <w:tcPr>
            <w:tcW w:w="548" w:type="pct"/>
            <w:hideMark/>
          </w:tcPr>
          <w:p w14:paraId="3B1792A1" w14:textId="50647486"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(.045)</w:t>
            </w:r>
          </w:p>
        </w:tc>
        <w:tc>
          <w:tcPr>
            <w:tcW w:w="644" w:type="pct"/>
            <w:hideMark/>
          </w:tcPr>
          <w:p w14:paraId="12610F92" w14:textId="134CA7B2"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(.076)</w:t>
            </w:r>
          </w:p>
        </w:tc>
        <w:tc>
          <w:tcPr>
            <w:tcW w:w="521" w:type="pct"/>
            <w:hideMark/>
          </w:tcPr>
          <w:p w14:paraId="309F08CA" w14:textId="3384F784"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(.093)</w:t>
            </w:r>
          </w:p>
        </w:tc>
        <w:tc>
          <w:tcPr>
            <w:tcW w:w="547" w:type="pct"/>
            <w:hideMark/>
          </w:tcPr>
          <w:p w14:paraId="6021026D" w14:textId="4C9D75B2"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(.058)</w:t>
            </w:r>
          </w:p>
        </w:tc>
      </w:tr>
      <w:tr w:rsidR="00D326A2" w:rsidRPr="005E02DB" w14:paraId="2B1BC8BF" w14:textId="77777777" w:rsidTr="00D326A2">
        <w:trPr>
          <w:jc w:val="center"/>
        </w:trPr>
        <w:tc>
          <w:tcPr>
            <w:tcW w:w="1139" w:type="pct"/>
            <w:hideMark/>
          </w:tcPr>
          <w:p w14:paraId="2104D4A1" w14:textId="6EF732E0"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EPA - CO (t-1)</w:t>
            </w:r>
          </w:p>
        </w:tc>
        <w:tc>
          <w:tcPr>
            <w:tcW w:w="532" w:type="pct"/>
            <w:hideMark/>
          </w:tcPr>
          <w:p w14:paraId="515DDAD0" w14:textId="15E42B9D"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.074</w:t>
            </w:r>
          </w:p>
        </w:tc>
        <w:tc>
          <w:tcPr>
            <w:tcW w:w="521" w:type="pct"/>
            <w:hideMark/>
          </w:tcPr>
          <w:p w14:paraId="18A02B7E" w14:textId="0E3B70EA"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.009</w:t>
            </w:r>
          </w:p>
        </w:tc>
        <w:tc>
          <w:tcPr>
            <w:tcW w:w="548" w:type="pct"/>
            <w:hideMark/>
          </w:tcPr>
          <w:p w14:paraId="53B130A7" w14:textId="2624598B"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-.070</w:t>
            </w:r>
          </w:p>
        </w:tc>
        <w:tc>
          <w:tcPr>
            <w:tcW w:w="548" w:type="pct"/>
            <w:hideMark/>
          </w:tcPr>
          <w:p w14:paraId="4FA45321" w14:textId="77777777"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.043*</w:t>
            </w:r>
          </w:p>
        </w:tc>
        <w:tc>
          <w:tcPr>
            <w:tcW w:w="644" w:type="pct"/>
            <w:hideMark/>
          </w:tcPr>
          <w:p w14:paraId="6E15F85F" w14:textId="032C65A1"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.040*</w:t>
            </w:r>
          </w:p>
        </w:tc>
        <w:tc>
          <w:tcPr>
            <w:tcW w:w="521" w:type="pct"/>
            <w:hideMark/>
          </w:tcPr>
          <w:p w14:paraId="5BE6371E" w14:textId="6A4C0CBF"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.047*</w:t>
            </w:r>
          </w:p>
        </w:tc>
        <w:tc>
          <w:tcPr>
            <w:tcW w:w="547" w:type="pct"/>
            <w:hideMark/>
          </w:tcPr>
          <w:p w14:paraId="29DD553D" w14:textId="4FB90EB2"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-.0107</w:t>
            </w:r>
          </w:p>
        </w:tc>
      </w:tr>
      <w:tr w:rsidR="005E02DB" w:rsidRPr="005E02DB" w14:paraId="0F63AD38" w14:textId="77777777" w:rsidTr="00D326A2">
        <w:trPr>
          <w:jc w:val="center"/>
        </w:trPr>
        <w:tc>
          <w:tcPr>
            <w:tcW w:w="1139" w:type="pct"/>
            <w:hideMark/>
          </w:tcPr>
          <w:p w14:paraId="63F11B14" w14:textId="4E1B27FF" w:rsidR="005E02DB" w:rsidRPr="002E4B8A" w:rsidRDefault="005E02DB" w:rsidP="002E4B8A">
            <w:pPr>
              <w:widowControl w:val="0"/>
              <w:autoSpaceDE w:val="0"/>
              <w:autoSpaceDN w:val="0"/>
              <w:adjustRightInd w:val="0"/>
              <w:spacing w:line="240" w:lineRule="auto"/>
              <w:rPr>
                <w:rFonts w:eastAsia="DengXian" w:cs="Times New Roman"/>
                <w:sz w:val="20"/>
                <w:szCs w:val="20"/>
              </w:rPr>
            </w:pPr>
          </w:p>
        </w:tc>
        <w:tc>
          <w:tcPr>
            <w:tcW w:w="532" w:type="pct"/>
            <w:hideMark/>
          </w:tcPr>
          <w:p w14:paraId="33A8CA59" w14:textId="1311CE03"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(.049)</w:t>
            </w:r>
          </w:p>
        </w:tc>
        <w:tc>
          <w:tcPr>
            <w:tcW w:w="521" w:type="pct"/>
            <w:hideMark/>
          </w:tcPr>
          <w:p w14:paraId="6D678A60" w14:textId="6A5ED040"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(.07</w:t>
            </w:r>
            <w:r w:rsidR="00BD6A6E" w:rsidRPr="002E4B8A">
              <w:rPr>
                <w:rFonts w:eastAsia="DengXian" w:cs="Times New Roman"/>
                <w:sz w:val="20"/>
                <w:szCs w:val="20"/>
              </w:rPr>
              <w:t>2</w:t>
            </w:r>
            <w:r w:rsidRPr="002E4B8A">
              <w:rPr>
                <w:rFonts w:eastAsia="DengXian" w:cs="Times New Roman"/>
                <w:sz w:val="20"/>
                <w:szCs w:val="20"/>
              </w:rPr>
              <w:t>)</w:t>
            </w:r>
          </w:p>
        </w:tc>
        <w:tc>
          <w:tcPr>
            <w:tcW w:w="548" w:type="pct"/>
            <w:hideMark/>
          </w:tcPr>
          <w:p w14:paraId="3834811B" w14:textId="5BFE8332"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w:t>
            </w:r>
            <w:r w:rsidR="00C15B68" w:rsidRPr="002E4B8A">
              <w:rPr>
                <w:rFonts w:eastAsia="DengXian" w:cs="Times New Roman"/>
                <w:sz w:val="20"/>
                <w:szCs w:val="20"/>
              </w:rPr>
              <w:t>100</w:t>
            </w:r>
            <w:r w:rsidRPr="002E4B8A">
              <w:rPr>
                <w:rFonts w:eastAsia="DengXian" w:cs="Times New Roman"/>
                <w:sz w:val="20"/>
                <w:szCs w:val="20"/>
              </w:rPr>
              <w:t>)</w:t>
            </w:r>
          </w:p>
        </w:tc>
        <w:tc>
          <w:tcPr>
            <w:tcW w:w="548" w:type="pct"/>
            <w:hideMark/>
          </w:tcPr>
          <w:p w14:paraId="5149C8F1" w14:textId="506C3CFC"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(.025)</w:t>
            </w:r>
          </w:p>
        </w:tc>
        <w:tc>
          <w:tcPr>
            <w:tcW w:w="644" w:type="pct"/>
            <w:hideMark/>
          </w:tcPr>
          <w:p w14:paraId="16AEA11E" w14:textId="0B542BCF"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(.021)</w:t>
            </w:r>
          </w:p>
        </w:tc>
        <w:tc>
          <w:tcPr>
            <w:tcW w:w="521" w:type="pct"/>
            <w:hideMark/>
          </w:tcPr>
          <w:p w14:paraId="4467AE07" w14:textId="0548A6F3"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(.028)</w:t>
            </w:r>
          </w:p>
        </w:tc>
        <w:tc>
          <w:tcPr>
            <w:tcW w:w="547" w:type="pct"/>
            <w:hideMark/>
          </w:tcPr>
          <w:p w14:paraId="588C09E0" w14:textId="6A983C95"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(.02</w:t>
            </w:r>
            <w:r w:rsidR="00C15B68" w:rsidRPr="002E4B8A">
              <w:rPr>
                <w:rFonts w:eastAsia="DengXian" w:cs="Times New Roman"/>
                <w:sz w:val="20"/>
                <w:szCs w:val="20"/>
              </w:rPr>
              <w:t>1</w:t>
            </w:r>
            <w:r w:rsidRPr="002E4B8A">
              <w:rPr>
                <w:rFonts w:eastAsia="DengXian" w:cs="Times New Roman"/>
                <w:sz w:val="20"/>
                <w:szCs w:val="20"/>
              </w:rPr>
              <w:t>)</w:t>
            </w:r>
          </w:p>
        </w:tc>
      </w:tr>
      <w:tr w:rsidR="005E02DB" w:rsidRPr="005E02DB" w14:paraId="3DC5D4AB" w14:textId="77777777" w:rsidTr="00D326A2">
        <w:trPr>
          <w:jc w:val="center"/>
        </w:trPr>
        <w:tc>
          <w:tcPr>
            <w:tcW w:w="1139" w:type="pct"/>
            <w:hideMark/>
          </w:tcPr>
          <w:p w14:paraId="7DF904D2" w14:textId="02DA3496"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PAD - All GAPs (t-1)</w:t>
            </w:r>
          </w:p>
        </w:tc>
        <w:tc>
          <w:tcPr>
            <w:tcW w:w="532" w:type="pct"/>
            <w:hideMark/>
          </w:tcPr>
          <w:p w14:paraId="553AF76E" w14:textId="33AC4C31"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-1.835***</w:t>
            </w:r>
          </w:p>
        </w:tc>
        <w:tc>
          <w:tcPr>
            <w:tcW w:w="521" w:type="pct"/>
            <w:hideMark/>
          </w:tcPr>
          <w:p w14:paraId="52331CA3" w14:textId="5055021F"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-.31</w:t>
            </w:r>
            <w:r w:rsidR="00BD6A6E" w:rsidRPr="002E4B8A">
              <w:rPr>
                <w:rFonts w:eastAsia="DengXian" w:cs="Times New Roman"/>
                <w:sz w:val="20"/>
                <w:szCs w:val="20"/>
              </w:rPr>
              <w:t>3</w:t>
            </w:r>
          </w:p>
        </w:tc>
        <w:tc>
          <w:tcPr>
            <w:tcW w:w="548" w:type="pct"/>
            <w:hideMark/>
          </w:tcPr>
          <w:p w14:paraId="0DDE85B7" w14:textId="5523CA00"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2.566***</w:t>
            </w:r>
          </w:p>
        </w:tc>
        <w:tc>
          <w:tcPr>
            <w:tcW w:w="548" w:type="pct"/>
            <w:hideMark/>
          </w:tcPr>
          <w:p w14:paraId="2CBC718F" w14:textId="6371FEA6"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-1.361***</w:t>
            </w:r>
          </w:p>
        </w:tc>
        <w:tc>
          <w:tcPr>
            <w:tcW w:w="644" w:type="pct"/>
            <w:hideMark/>
          </w:tcPr>
          <w:p w14:paraId="545D37A4" w14:textId="67A81ACE"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-.75</w:t>
            </w:r>
            <w:r w:rsidR="00C15B68" w:rsidRPr="002E4B8A">
              <w:rPr>
                <w:rFonts w:eastAsia="DengXian" w:cs="Times New Roman"/>
                <w:sz w:val="20"/>
                <w:szCs w:val="20"/>
              </w:rPr>
              <w:t>3</w:t>
            </w:r>
            <w:r w:rsidRPr="002E4B8A">
              <w:rPr>
                <w:rFonts w:eastAsia="DengXian" w:cs="Times New Roman"/>
                <w:sz w:val="20"/>
                <w:szCs w:val="20"/>
              </w:rPr>
              <w:t>***</w:t>
            </w:r>
          </w:p>
        </w:tc>
        <w:tc>
          <w:tcPr>
            <w:tcW w:w="521" w:type="pct"/>
            <w:hideMark/>
          </w:tcPr>
          <w:p w14:paraId="172C6D5D" w14:textId="2E3C165E"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-1.089</w:t>
            </w:r>
          </w:p>
        </w:tc>
        <w:tc>
          <w:tcPr>
            <w:tcW w:w="547" w:type="pct"/>
            <w:hideMark/>
          </w:tcPr>
          <w:p w14:paraId="1E6C5A03" w14:textId="74E79BBF"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-1.03</w:t>
            </w:r>
            <w:r w:rsidR="00C15B68" w:rsidRPr="002E4B8A">
              <w:rPr>
                <w:rFonts w:eastAsia="DengXian" w:cs="Times New Roman"/>
                <w:sz w:val="20"/>
                <w:szCs w:val="20"/>
              </w:rPr>
              <w:t>1</w:t>
            </w:r>
            <w:r w:rsidRPr="002E4B8A">
              <w:rPr>
                <w:rFonts w:eastAsia="DengXian" w:cs="Times New Roman"/>
                <w:sz w:val="20"/>
                <w:szCs w:val="20"/>
              </w:rPr>
              <w:t>***</w:t>
            </w:r>
          </w:p>
        </w:tc>
      </w:tr>
      <w:tr w:rsidR="005E02DB" w:rsidRPr="005E02DB" w14:paraId="0BA4B9C3" w14:textId="77777777" w:rsidTr="00D326A2">
        <w:trPr>
          <w:jc w:val="center"/>
        </w:trPr>
        <w:tc>
          <w:tcPr>
            <w:tcW w:w="1139" w:type="pct"/>
            <w:hideMark/>
          </w:tcPr>
          <w:p w14:paraId="697C8B12" w14:textId="082014E5" w:rsidR="005E02DB" w:rsidRPr="002E4B8A" w:rsidRDefault="005E02DB" w:rsidP="002E4B8A">
            <w:pPr>
              <w:widowControl w:val="0"/>
              <w:autoSpaceDE w:val="0"/>
              <w:autoSpaceDN w:val="0"/>
              <w:adjustRightInd w:val="0"/>
              <w:spacing w:line="240" w:lineRule="auto"/>
              <w:rPr>
                <w:rFonts w:eastAsia="DengXian" w:cs="Times New Roman"/>
                <w:sz w:val="20"/>
                <w:szCs w:val="20"/>
              </w:rPr>
            </w:pPr>
          </w:p>
        </w:tc>
        <w:tc>
          <w:tcPr>
            <w:tcW w:w="532" w:type="pct"/>
            <w:hideMark/>
          </w:tcPr>
          <w:p w14:paraId="69F02168" w14:textId="08189432"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(.48</w:t>
            </w:r>
            <w:r w:rsidR="00BD6A6E" w:rsidRPr="002E4B8A">
              <w:rPr>
                <w:rFonts w:eastAsia="DengXian" w:cs="Times New Roman"/>
                <w:sz w:val="20"/>
                <w:szCs w:val="20"/>
              </w:rPr>
              <w:t>6</w:t>
            </w:r>
            <w:r w:rsidRPr="002E4B8A">
              <w:rPr>
                <w:rFonts w:eastAsia="DengXian" w:cs="Times New Roman"/>
                <w:sz w:val="20"/>
                <w:szCs w:val="20"/>
              </w:rPr>
              <w:t>)</w:t>
            </w:r>
          </w:p>
        </w:tc>
        <w:tc>
          <w:tcPr>
            <w:tcW w:w="521" w:type="pct"/>
            <w:hideMark/>
          </w:tcPr>
          <w:p w14:paraId="3C3E73E4" w14:textId="5B285B81"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(.717)</w:t>
            </w:r>
          </w:p>
        </w:tc>
        <w:tc>
          <w:tcPr>
            <w:tcW w:w="548" w:type="pct"/>
            <w:hideMark/>
          </w:tcPr>
          <w:p w14:paraId="42F0B4E4" w14:textId="5307303E"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(.505)</w:t>
            </w:r>
          </w:p>
        </w:tc>
        <w:tc>
          <w:tcPr>
            <w:tcW w:w="548" w:type="pct"/>
            <w:hideMark/>
          </w:tcPr>
          <w:p w14:paraId="2758581C" w14:textId="691382A2"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(.47</w:t>
            </w:r>
            <w:r w:rsidR="00C15B68" w:rsidRPr="002E4B8A">
              <w:rPr>
                <w:rFonts w:eastAsia="DengXian" w:cs="Times New Roman"/>
                <w:sz w:val="20"/>
                <w:szCs w:val="20"/>
              </w:rPr>
              <w:t>5</w:t>
            </w:r>
            <w:r w:rsidRPr="002E4B8A">
              <w:rPr>
                <w:rFonts w:eastAsia="DengXian" w:cs="Times New Roman"/>
                <w:sz w:val="20"/>
                <w:szCs w:val="20"/>
              </w:rPr>
              <w:t>)</w:t>
            </w:r>
          </w:p>
        </w:tc>
        <w:tc>
          <w:tcPr>
            <w:tcW w:w="644" w:type="pct"/>
            <w:hideMark/>
          </w:tcPr>
          <w:p w14:paraId="0338F661" w14:textId="0B4FD238"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(.29</w:t>
            </w:r>
            <w:r w:rsidR="00C15B68" w:rsidRPr="002E4B8A">
              <w:rPr>
                <w:rFonts w:eastAsia="DengXian" w:cs="Times New Roman"/>
                <w:sz w:val="20"/>
                <w:szCs w:val="20"/>
              </w:rPr>
              <w:t>2</w:t>
            </w:r>
            <w:r w:rsidRPr="002E4B8A">
              <w:rPr>
                <w:rFonts w:eastAsia="DengXian" w:cs="Times New Roman"/>
                <w:sz w:val="20"/>
                <w:szCs w:val="20"/>
              </w:rPr>
              <w:t>)</w:t>
            </w:r>
          </w:p>
        </w:tc>
        <w:tc>
          <w:tcPr>
            <w:tcW w:w="521" w:type="pct"/>
            <w:hideMark/>
          </w:tcPr>
          <w:p w14:paraId="3B50904D" w14:textId="618A538E"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(.85</w:t>
            </w:r>
            <w:r w:rsidR="00C15B68" w:rsidRPr="002E4B8A">
              <w:rPr>
                <w:rFonts w:eastAsia="DengXian" w:cs="Times New Roman"/>
                <w:sz w:val="20"/>
                <w:szCs w:val="20"/>
              </w:rPr>
              <w:t>9</w:t>
            </w:r>
            <w:r w:rsidRPr="002E4B8A">
              <w:rPr>
                <w:rFonts w:eastAsia="DengXian" w:cs="Times New Roman"/>
                <w:sz w:val="20"/>
                <w:szCs w:val="20"/>
              </w:rPr>
              <w:t>)</w:t>
            </w:r>
          </w:p>
        </w:tc>
        <w:tc>
          <w:tcPr>
            <w:tcW w:w="547" w:type="pct"/>
            <w:hideMark/>
          </w:tcPr>
          <w:p w14:paraId="1CBCA222" w14:textId="10104C0A"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(.340)</w:t>
            </w:r>
          </w:p>
        </w:tc>
      </w:tr>
      <w:tr w:rsidR="005E02DB" w:rsidRPr="005E02DB" w14:paraId="26442977" w14:textId="77777777" w:rsidTr="00D326A2">
        <w:trPr>
          <w:jc w:val="center"/>
        </w:trPr>
        <w:tc>
          <w:tcPr>
            <w:tcW w:w="1139" w:type="pct"/>
            <w:hideMark/>
          </w:tcPr>
          <w:p w14:paraId="49772549" w14:textId="7777777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PAD Squared</w:t>
            </w:r>
          </w:p>
        </w:tc>
        <w:tc>
          <w:tcPr>
            <w:tcW w:w="532" w:type="pct"/>
            <w:hideMark/>
          </w:tcPr>
          <w:p w14:paraId="7ADE4B3D" w14:textId="5AC7C37A"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.172</w:t>
            </w:r>
          </w:p>
        </w:tc>
        <w:tc>
          <w:tcPr>
            <w:tcW w:w="521" w:type="pct"/>
            <w:hideMark/>
          </w:tcPr>
          <w:p w14:paraId="3CF96EAD" w14:textId="03FA60FC"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.959</w:t>
            </w:r>
          </w:p>
        </w:tc>
        <w:tc>
          <w:tcPr>
            <w:tcW w:w="548" w:type="pct"/>
            <w:hideMark/>
          </w:tcPr>
          <w:p w14:paraId="4817C514" w14:textId="00597EE0"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-2.59</w:t>
            </w:r>
            <w:r w:rsidR="00C15B68" w:rsidRPr="002E4B8A">
              <w:rPr>
                <w:rFonts w:eastAsia="DengXian" w:cs="Times New Roman"/>
                <w:sz w:val="20"/>
                <w:szCs w:val="20"/>
              </w:rPr>
              <w:t>3</w:t>
            </w:r>
            <w:r w:rsidRPr="002E4B8A">
              <w:rPr>
                <w:rFonts w:eastAsia="DengXian" w:cs="Times New Roman"/>
                <w:sz w:val="20"/>
                <w:szCs w:val="20"/>
              </w:rPr>
              <w:t>***</w:t>
            </w:r>
          </w:p>
        </w:tc>
        <w:tc>
          <w:tcPr>
            <w:tcW w:w="548" w:type="pct"/>
            <w:hideMark/>
          </w:tcPr>
          <w:p w14:paraId="52F06F20" w14:textId="5BDBEE34"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1.743***</w:t>
            </w:r>
          </w:p>
        </w:tc>
        <w:tc>
          <w:tcPr>
            <w:tcW w:w="644" w:type="pct"/>
            <w:hideMark/>
          </w:tcPr>
          <w:p w14:paraId="6CE3F6D0" w14:textId="10406186"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.955***</w:t>
            </w:r>
          </w:p>
        </w:tc>
        <w:tc>
          <w:tcPr>
            <w:tcW w:w="521" w:type="pct"/>
            <w:hideMark/>
          </w:tcPr>
          <w:p w14:paraId="008081C0" w14:textId="622DC58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1.371</w:t>
            </w:r>
          </w:p>
        </w:tc>
        <w:tc>
          <w:tcPr>
            <w:tcW w:w="547" w:type="pct"/>
            <w:hideMark/>
          </w:tcPr>
          <w:p w14:paraId="5CFE63B6" w14:textId="672E4EC0"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1.156***</w:t>
            </w:r>
          </w:p>
        </w:tc>
      </w:tr>
      <w:tr w:rsidR="005E02DB" w:rsidRPr="005E02DB" w14:paraId="29BCAD19" w14:textId="77777777" w:rsidTr="00D326A2">
        <w:trPr>
          <w:jc w:val="center"/>
        </w:trPr>
        <w:tc>
          <w:tcPr>
            <w:tcW w:w="1139" w:type="pct"/>
            <w:hideMark/>
          </w:tcPr>
          <w:p w14:paraId="1FF79233" w14:textId="51CE43B9" w:rsidR="005E02DB" w:rsidRPr="002E4B8A" w:rsidRDefault="005E02DB" w:rsidP="002E4B8A">
            <w:pPr>
              <w:widowControl w:val="0"/>
              <w:autoSpaceDE w:val="0"/>
              <w:autoSpaceDN w:val="0"/>
              <w:adjustRightInd w:val="0"/>
              <w:spacing w:line="240" w:lineRule="auto"/>
              <w:rPr>
                <w:rFonts w:eastAsia="DengXian" w:cs="Times New Roman"/>
                <w:sz w:val="20"/>
                <w:szCs w:val="20"/>
              </w:rPr>
            </w:pPr>
          </w:p>
        </w:tc>
        <w:tc>
          <w:tcPr>
            <w:tcW w:w="532" w:type="pct"/>
            <w:hideMark/>
          </w:tcPr>
          <w:p w14:paraId="77B06B71" w14:textId="54C459FA"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(.547)</w:t>
            </w:r>
          </w:p>
        </w:tc>
        <w:tc>
          <w:tcPr>
            <w:tcW w:w="521" w:type="pct"/>
            <w:hideMark/>
          </w:tcPr>
          <w:p w14:paraId="4616C1BD" w14:textId="0FF5D036"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(.844)</w:t>
            </w:r>
          </w:p>
        </w:tc>
        <w:tc>
          <w:tcPr>
            <w:tcW w:w="548" w:type="pct"/>
            <w:hideMark/>
          </w:tcPr>
          <w:p w14:paraId="72135AE1" w14:textId="35B403F8"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(.659)</w:t>
            </w:r>
          </w:p>
        </w:tc>
        <w:tc>
          <w:tcPr>
            <w:tcW w:w="548" w:type="pct"/>
            <w:hideMark/>
          </w:tcPr>
          <w:p w14:paraId="6B92672A" w14:textId="6CE88810"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(.430)</w:t>
            </w:r>
          </w:p>
        </w:tc>
        <w:tc>
          <w:tcPr>
            <w:tcW w:w="644" w:type="pct"/>
            <w:hideMark/>
          </w:tcPr>
          <w:p w14:paraId="6A8CB928" w14:textId="04FC4BAC"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(.30</w:t>
            </w:r>
            <w:r w:rsidR="00C15B68" w:rsidRPr="002E4B8A">
              <w:rPr>
                <w:rFonts w:eastAsia="DengXian" w:cs="Times New Roman"/>
                <w:sz w:val="20"/>
                <w:szCs w:val="20"/>
              </w:rPr>
              <w:t>2</w:t>
            </w:r>
            <w:r w:rsidRPr="002E4B8A">
              <w:rPr>
                <w:rFonts w:eastAsia="DengXian" w:cs="Times New Roman"/>
                <w:sz w:val="20"/>
                <w:szCs w:val="20"/>
              </w:rPr>
              <w:t>)</w:t>
            </w:r>
          </w:p>
        </w:tc>
        <w:tc>
          <w:tcPr>
            <w:tcW w:w="521" w:type="pct"/>
            <w:hideMark/>
          </w:tcPr>
          <w:p w14:paraId="33A819F6" w14:textId="60DB1D89"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(1.179)</w:t>
            </w:r>
          </w:p>
        </w:tc>
        <w:tc>
          <w:tcPr>
            <w:tcW w:w="547" w:type="pct"/>
            <w:hideMark/>
          </w:tcPr>
          <w:p w14:paraId="52F8B175" w14:textId="0FC14602"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(.384)</w:t>
            </w:r>
          </w:p>
        </w:tc>
      </w:tr>
      <w:tr w:rsidR="005E02DB" w:rsidRPr="005E02DB" w14:paraId="06623C76" w14:textId="77777777" w:rsidTr="00D326A2">
        <w:trPr>
          <w:jc w:val="center"/>
        </w:trPr>
        <w:tc>
          <w:tcPr>
            <w:tcW w:w="1139" w:type="pct"/>
            <w:hideMark/>
          </w:tcPr>
          <w:p w14:paraId="46495885" w14:textId="7108F952"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 xml:space="preserve">Prior </w:t>
            </w:r>
            <w:proofErr w:type="spellStart"/>
            <w:r w:rsidRPr="002E4B8A">
              <w:rPr>
                <w:rFonts w:eastAsia="DengXian" w:cs="Times New Roman"/>
                <w:sz w:val="20"/>
                <w:szCs w:val="20"/>
              </w:rPr>
              <w:t>Estab</w:t>
            </w:r>
            <w:proofErr w:type="spellEnd"/>
            <w:r w:rsidRPr="002E4B8A">
              <w:rPr>
                <w:rFonts w:eastAsia="DengXian" w:cs="Times New Roman"/>
                <w:sz w:val="20"/>
                <w:szCs w:val="20"/>
              </w:rPr>
              <w:t>. Stock (10ks)</w:t>
            </w:r>
          </w:p>
        </w:tc>
        <w:tc>
          <w:tcPr>
            <w:tcW w:w="532" w:type="pct"/>
            <w:hideMark/>
          </w:tcPr>
          <w:p w14:paraId="06D5C840" w14:textId="6159BCFA"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29.227***</w:t>
            </w:r>
          </w:p>
        </w:tc>
        <w:tc>
          <w:tcPr>
            <w:tcW w:w="521" w:type="pct"/>
            <w:hideMark/>
          </w:tcPr>
          <w:p w14:paraId="5270023C" w14:textId="3C7580B1"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10.086**</w:t>
            </w:r>
          </w:p>
        </w:tc>
        <w:tc>
          <w:tcPr>
            <w:tcW w:w="548" w:type="pct"/>
            <w:hideMark/>
          </w:tcPr>
          <w:p w14:paraId="2E12A079" w14:textId="20FE1B96"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52.78</w:t>
            </w:r>
            <w:r w:rsidR="00C15B68" w:rsidRPr="002E4B8A">
              <w:rPr>
                <w:rFonts w:eastAsia="DengXian" w:cs="Times New Roman"/>
                <w:sz w:val="20"/>
                <w:szCs w:val="20"/>
              </w:rPr>
              <w:t>6</w:t>
            </w:r>
            <w:r w:rsidRPr="002E4B8A">
              <w:rPr>
                <w:rFonts w:eastAsia="DengXian" w:cs="Times New Roman"/>
                <w:sz w:val="20"/>
                <w:szCs w:val="20"/>
              </w:rPr>
              <w:t>**</w:t>
            </w:r>
          </w:p>
        </w:tc>
        <w:tc>
          <w:tcPr>
            <w:tcW w:w="548" w:type="pct"/>
            <w:hideMark/>
          </w:tcPr>
          <w:p w14:paraId="1BA31248" w14:textId="0AEF4006"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.13</w:t>
            </w:r>
            <w:r w:rsidR="00C15B68" w:rsidRPr="002E4B8A">
              <w:rPr>
                <w:rFonts w:eastAsia="DengXian" w:cs="Times New Roman"/>
                <w:sz w:val="20"/>
                <w:szCs w:val="20"/>
              </w:rPr>
              <w:t>1</w:t>
            </w:r>
            <w:r w:rsidRPr="002E4B8A">
              <w:rPr>
                <w:rFonts w:eastAsia="DengXian" w:cs="Times New Roman"/>
                <w:sz w:val="20"/>
                <w:szCs w:val="20"/>
              </w:rPr>
              <w:t>**</w:t>
            </w:r>
          </w:p>
        </w:tc>
        <w:tc>
          <w:tcPr>
            <w:tcW w:w="644" w:type="pct"/>
            <w:hideMark/>
          </w:tcPr>
          <w:p w14:paraId="5A012334" w14:textId="4F5E3523"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.408**</w:t>
            </w:r>
          </w:p>
        </w:tc>
        <w:tc>
          <w:tcPr>
            <w:tcW w:w="521" w:type="pct"/>
            <w:hideMark/>
          </w:tcPr>
          <w:p w14:paraId="78B073EE" w14:textId="012D5000"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.362***</w:t>
            </w:r>
          </w:p>
        </w:tc>
        <w:tc>
          <w:tcPr>
            <w:tcW w:w="547" w:type="pct"/>
            <w:hideMark/>
          </w:tcPr>
          <w:p w14:paraId="245C5CD6" w14:textId="4163368A"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.883*</w:t>
            </w:r>
          </w:p>
        </w:tc>
      </w:tr>
      <w:tr w:rsidR="005E02DB" w:rsidRPr="005E02DB" w14:paraId="4AAA7C64" w14:textId="77777777" w:rsidTr="00D326A2">
        <w:trPr>
          <w:jc w:val="center"/>
        </w:trPr>
        <w:tc>
          <w:tcPr>
            <w:tcW w:w="1139" w:type="pct"/>
            <w:hideMark/>
          </w:tcPr>
          <w:p w14:paraId="01B62F9F" w14:textId="0051A9A4" w:rsidR="005E02DB" w:rsidRPr="002E4B8A" w:rsidRDefault="005E02DB" w:rsidP="002E4B8A">
            <w:pPr>
              <w:widowControl w:val="0"/>
              <w:autoSpaceDE w:val="0"/>
              <w:autoSpaceDN w:val="0"/>
              <w:adjustRightInd w:val="0"/>
              <w:spacing w:line="240" w:lineRule="auto"/>
              <w:rPr>
                <w:rFonts w:eastAsia="DengXian" w:cs="Times New Roman"/>
                <w:sz w:val="20"/>
                <w:szCs w:val="20"/>
              </w:rPr>
            </w:pPr>
          </w:p>
        </w:tc>
        <w:tc>
          <w:tcPr>
            <w:tcW w:w="532" w:type="pct"/>
            <w:hideMark/>
          </w:tcPr>
          <w:p w14:paraId="454D9571" w14:textId="24062250"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(6.61</w:t>
            </w:r>
            <w:r w:rsidR="00BD6A6E" w:rsidRPr="002E4B8A">
              <w:rPr>
                <w:rFonts w:eastAsia="DengXian" w:cs="Times New Roman"/>
                <w:sz w:val="20"/>
                <w:szCs w:val="20"/>
              </w:rPr>
              <w:t>9</w:t>
            </w:r>
            <w:r w:rsidRPr="002E4B8A">
              <w:rPr>
                <w:rFonts w:eastAsia="DengXian" w:cs="Times New Roman"/>
                <w:sz w:val="20"/>
                <w:szCs w:val="20"/>
              </w:rPr>
              <w:t>)</w:t>
            </w:r>
          </w:p>
        </w:tc>
        <w:tc>
          <w:tcPr>
            <w:tcW w:w="521" w:type="pct"/>
            <w:hideMark/>
          </w:tcPr>
          <w:p w14:paraId="4C6AF01C" w14:textId="665704C5"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(4.17</w:t>
            </w:r>
            <w:r w:rsidR="00BD6A6E" w:rsidRPr="002E4B8A">
              <w:rPr>
                <w:rFonts w:eastAsia="DengXian" w:cs="Times New Roman"/>
                <w:sz w:val="20"/>
                <w:szCs w:val="20"/>
              </w:rPr>
              <w:t>5</w:t>
            </w:r>
            <w:r w:rsidRPr="002E4B8A">
              <w:rPr>
                <w:rFonts w:eastAsia="DengXian" w:cs="Times New Roman"/>
                <w:sz w:val="20"/>
                <w:szCs w:val="20"/>
              </w:rPr>
              <w:t>)</w:t>
            </w:r>
          </w:p>
        </w:tc>
        <w:tc>
          <w:tcPr>
            <w:tcW w:w="548" w:type="pct"/>
            <w:hideMark/>
          </w:tcPr>
          <w:p w14:paraId="3D8A4DC5" w14:textId="4F75193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(26.001)</w:t>
            </w:r>
          </w:p>
        </w:tc>
        <w:tc>
          <w:tcPr>
            <w:tcW w:w="548" w:type="pct"/>
            <w:hideMark/>
          </w:tcPr>
          <w:p w14:paraId="7DD6521C" w14:textId="6F300746"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(.05</w:t>
            </w:r>
            <w:r w:rsidR="00C15B68" w:rsidRPr="002E4B8A">
              <w:rPr>
                <w:rFonts w:eastAsia="DengXian" w:cs="Times New Roman"/>
                <w:sz w:val="20"/>
                <w:szCs w:val="20"/>
              </w:rPr>
              <w:t>6</w:t>
            </w:r>
            <w:r w:rsidRPr="002E4B8A">
              <w:rPr>
                <w:rFonts w:eastAsia="DengXian" w:cs="Times New Roman"/>
                <w:sz w:val="20"/>
                <w:szCs w:val="20"/>
              </w:rPr>
              <w:t>)</w:t>
            </w:r>
          </w:p>
        </w:tc>
        <w:tc>
          <w:tcPr>
            <w:tcW w:w="644" w:type="pct"/>
            <w:hideMark/>
          </w:tcPr>
          <w:p w14:paraId="2218EA52" w14:textId="6C294DF0"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(.197)</w:t>
            </w:r>
          </w:p>
        </w:tc>
        <w:tc>
          <w:tcPr>
            <w:tcW w:w="521" w:type="pct"/>
            <w:hideMark/>
          </w:tcPr>
          <w:p w14:paraId="30E1FFDE" w14:textId="4188DA71"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(.01</w:t>
            </w:r>
            <w:r w:rsidR="00C15B68" w:rsidRPr="002E4B8A">
              <w:rPr>
                <w:rFonts w:eastAsia="DengXian" w:cs="Times New Roman"/>
                <w:sz w:val="20"/>
                <w:szCs w:val="20"/>
              </w:rPr>
              <w:t>8</w:t>
            </w:r>
            <w:r w:rsidRPr="002E4B8A">
              <w:rPr>
                <w:rFonts w:eastAsia="DengXian" w:cs="Times New Roman"/>
                <w:sz w:val="20"/>
                <w:szCs w:val="20"/>
              </w:rPr>
              <w:t>)</w:t>
            </w:r>
          </w:p>
        </w:tc>
        <w:tc>
          <w:tcPr>
            <w:tcW w:w="547" w:type="pct"/>
            <w:hideMark/>
          </w:tcPr>
          <w:p w14:paraId="6921A457" w14:textId="4E562856"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(.495)</w:t>
            </w:r>
          </w:p>
        </w:tc>
      </w:tr>
      <w:tr w:rsidR="005E02DB" w:rsidRPr="005E02DB" w14:paraId="209D789C" w14:textId="77777777" w:rsidTr="00D326A2">
        <w:trPr>
          <w:jc w:val="center"/>
        </w:trPr>
        <w:tc>
          <w:tcPr>
            <w:tcW w:w="1139" w:type="pct"/>
            <w:hideMark/>
          </w:tcPr>
          <w:p w14:paraId="0972D98E" w14:textId="57E5ACF4"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_cons</w:t>
            </w:r>
          </w:p>
        </w:tc>
        <w:tc>
          <w:tcPr>
            <w:tcW w:w="532" w:type="pct"/>
            <w:hideMark/>
          </w:tcPr>
          <w:p w14:paraId="1610CC2B" w14:textId="4EE9F65A"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3.695***</w:t>
            </w:r>
          </w:p>
        </w:tc>
        <w:tc>
          <w:tcPr>
            <w:tcW w:w="521" w:type="pct"/>
            <w:hideMark/>
          </w:tcPr>
          <w:p w14:paraId="1D754E36" w14:textId="534CE1A0"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2.82</w:t>
            </w:r>
            <w:r w:rsidR="00BD6A6E" w:rsidRPr="002E4B8A">
              <w:rPr>
                <w:rFonts w:eastAsia="DengXian" w:cs="Times New Roman"/>
                <w:sz w:val="20"/>
                <w:szCs w:val="20"/>
              </w:rPr>
              <w:t>5</w:t>
            </w:r>
            <w:r w:rsidRPr="002E4B8A">
              <w:rPr>
                <w:rFonts w:eastAsia="DengXian" w:cs="Times New Roman"/>
                <w:sz w:val="20"/>
                <w:szCs w:val="20"/>
              </w:rPr>
              <w:t>***</w:t>
            </w:r>
          </w:p>
        </w:tc>
        <w:tc>
          <w:tcPr>
            <w:tcW w:w="548" w:type="pct"/>
            <w:hideMark/>
          </w:tcPr>
          <w:p w14:paraId="3846371F" w14:textId="122C3460"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1.801***</w:t>
            </w:r>
          </w:p>
        </w:tc>
        <w:tc>
          <w:tcPr>
            <w:tcW w:w="548" w:type="pct"/>
            <w:hideMark/>
          </w:tcPr>
          <w:p w14:paraId="78BD815E" w14:textId="359C87F2"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6.852***</w:t>
            </w:r>
          </w:p>
        </w:tc>
        <w:tc>
          <w:tcPr>
            <w:tcW w:w="644" w:type="pct"/>
            <w:hideMark/>
          </w:tcPr>
          <w:p w14:paraId="1918DC93" w14:textId="1BB99664"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6.648***</w:t>
            </w:r>
          </w:p>
        </w:tc>
        <w:tc>
          <w:tcPr>
            <w:tcW w:w="521" w:type="pct"/>
            <w:hideMark/>
          </w:tcPr>
          <w:p w14:paraId="69D2BCC1" w14:textId="7F5A62A1"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6.6</w:t>
            </w:r>
            <w:r w:rsidR="00C15B68" w:rsidRPr="002E4B8A">
              <w:rPr>
                <w:rFonts w:eastAsia="DengXian" w:cs="Times New Roman"/>
                <w:sz w:val="20"/>
                <w:szCs w:val="20"/>
              </w:rPr>
              <w:t>50</w:t>
            </w:r>
            <w:r w:rsidRPr="002E4B8A">
              <w:rPr>
                <w:rFonts w:eastAsia="DengXian" w:cs="Times New Roman"/>
                <w:sz w:val="20"/>
                <w:szCs w:val="20"/>
              </w:rPr>
              <w:t>***</w:t>
            </w:r>
          </w:p>
        </w:tc>
        <w:tc>
          <w:tcPr>
            <w:tcW w:w="547" w:type="pct"/>
            <w:hideMark/>
          </w:tcPr>
          <w:p w14:paraId="54A031A5" w14:textId="4272F462"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5.2</w:t>
            </w:r>
            <w:r w:rsidR="00BF2FD3" w:rsidRPr="002E4B8A">
              <w:rPr>
                <w:rFonts w:eastAsia="DengXian" w:cs="Times New Roman"/>
                <w:sz w:val="20"/>
                <w:szCs w:val="20"/>
              </w:rPr>
              <w:t>30</w:t>
            </w:r>
            <w:r w:rsidRPr="002E4B8A">
              <w:rPr>
                <w:rFonts w:eastAsia="DengXian" w:cs="Times New Roman"/>
                <w:sz w:val="20"/>
                <w:szCs w:val="20"/>
              </w:rPr>
              <w:t>***</w:t>
            </w:r>
          </w:p>
        </w:tc>
      </w:tr>
      <w:tr w:rsidR="005E02DB" w:rsidRPr="005E02DB" w14:paraId="5E0D5583" w14:textId="77777777" w:rsidTr="00D326A2">
        <w:trPr>
          <w:jc w:val="center"/>
        </w:trPr>
        <w:tc>
          <w:tcPr>
            <w:tcW w:w="1139" w:type="pct"/>
            <w:hideMark/>
          </w:tcPr>
          <w:p w14:paraId="5428C134" w14:textId="2128E536" w:rsidR="005E02DB" w:rsidRPr="002E4B8A" w:rsidRDefault="005E02DB" w:rsidP="002E4B8A">
            <w:pPr>
              <w:widowControl w:val="0"/>
              <w:autoSpaceDE w:val="0"/>
              <w:autoSpaceDN w:val="0"/>
              <w:adjustRightInd w:val="0"/>
              <w:spacing w:line="240" w:lineRule="auto"/>
              <w:rPr>
                <w:rFonts w:eastAsia="DengXian" w:cs="Times New Roman"/>
                <w:sz w:val="20"/>
                <w:szCs w:val="20"/>
              </w:rPr>
            </w:pPr>
          </w:p>
        </w:tc>
        <w:tc>
          <w:tcPr>
            <w:tcW w:w="532" w:type="pct"/>
            <w:hideMark/>
          </w:tcPr>
          <w:p w14:paraId="3A88BB23" w14:textId="162B846E"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(.094)</w:t>
            </w:r>
          </w:p>
        </w:tc>
        <w:tc>
          <w:tcPr>
            <w:tcW w:w="521" w:type="pct"/>
            <w:hideMark/>
          </w:tcPr>
          <w:p w14:paraId="2A7FFFFD" w14:textId="4D19EAD4"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(.160)</w:t>
            </w:r>
          </w:p>
        </w:tc>
        <w:tc>
          <w:tcPr>
            <w:tcW w:w="548" w:type="pct"/>
            <w:hideMark/>
          </w:tcPr>
          <w:p w14:paraId="0B8C5153" w14:textId="4A3036B2"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(.09</w:t>
            </w:r>
            <w:r w:rsidR="00C15B68" w:rsidRPr="002E4B8A">
              <w:rPr>
                <w:rFonts w:eastAsia="DengXian" w:cs="Times New Roman"/>
                <w:sz w:val="20"/>
                <w:szCs w:val="20"/>
              </w:rPr>
              <w:t>1</w:t>
            </w:r>
            <w:r w:rsidRPr="002E4B8A">
              <w:rPr>
                <w:rFonts w:eastAsia="DengXian" w:cs="Times New Roman"/>
                <w:sz w:val="20"/>
                <w:szCs w:val="20"/>
              </w:rPr>
              <w:t>)</w:t>
            </w:r>
          </w:p>
        </w:tc>
        <w:tc>
          <w:tcPr>
            <w:tcW w:w="548" w:type="pct"/>
            <w:hideMark/>
          </w:tcPr>
          <w:p w14:paraId="21188A69" w14:textId="7715862C"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(.100)</w:t>
            </w:r>
          </w:p>
        </w:tc>
        <w:tc>
          <w:tcPr>
            <w:tcW w:w="644" w:type="pct"/>
            <w:hideMark/>
          </w:tcPr>
          <w:p w14:paraId="4582ACE5" w14:textId="44C29153"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(.097)</w:t>
            </w:r>
          </w:p>
        </w:tc>
        <w:tc>
          <w:tcPr>
            <w:tcW w:w="521" w:type="pct"/>
            <w:hideMark/>
          </w:tcPr>
          <w:p w14:paraId="412FA35C" w14:textId="56DFE7F4"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(.12</w:t>
            </w:r>
            <w:r w:rsidR="00C15B68" w:rsidRPr="002E4B8A">
              <w:rPr>
                <w:rFonts w:eastAsia="DengXian" w:cs="Times New Roman"/>
                <w:sz w:val="20"/>
                <w:szCs w:val="20"/>
              </w:rPr>
              <w:t>5</w:t>
            </w:r>
            <w:r w:rsidRPr="002E4B8A">
              <w:rPr>
                <w:rFonts w:eastAsia="DengXian" w:cs="Times New Roman"/>
                <w:sz w:val="20"/>
                <w:szCs w:val="20"/>
              </w:rPr>
              <w:t>)</w:t>
            </w:r>
          </w:p>
        </w:tc>
        <w:tc>
          <w:tcPr>
            <w:tcW w:w="547" w:type="pct"/>
            <w:hideMark/>
          </w:tcPr>
          <w:p w14:paraId="5B9AD5EA" w14:textId="1DF75AF6"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(.078)</w:t>
            </w:r>
          </w:p>
        </w:tc>
      </w:tr>
      <w:tr w:rsidR="005E02DB" w:rsidRPr="005E02DB" w14:paraId="077A55F8" w14:textId="77777777" w:rsidTr="00D326A2">
        <w:trPr>
          <w:jc w:val="center"/>
        </w:trPr>
        <w:tc>
          <w:tcPr>
            <w:tcW w:w="1139" w:type="pct"/>
            <w:hideMark/>
          </w:tcPr>
          <w:p w14:paraId="409664D2" w14:textId="38EDFEF1"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Observations</w:t>
            </w:r>
          </w:p>
        </w:tc>
        <w:tc>
          <w:tcPr>
            <w:tcW w:w="532" w:type="pct"/>
            <w:hideMark/>
          </w:tcPr>
          <w:p w14:paraId="64A6AB25" w14:textId="7777777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44957</w:t>
            </w:r>
          </w:p>
        </w:tc>
        <w:tc>
          <w:tcPr>
            <w:tcW w:w="521" w:type="pct"/>
            <w:hideMark/>
          </w:tcPr>
          <w:p w14:paraId="6900A8FE" w14:textId="7777777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42534</w:t>
            </w:r>
          </w:p>
        </w:tc>
        <w:tc>
          <w:tcPr>
            <w:tcW w:w="548" w:type="pct"/>
            <w:hideMark/>
          </w:tcPr>
          <w:p w14:paraId="59601075" w14:textId="7777777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41210</w:t>
            </w:r>
          </w:p>
        </w:tc>
        <w:tc>
          <w:tcPr>
            <w:tcW w:w="548" w:type="pct"/>
            <w:hideMark/>
          </w:tcPr>
          <w:p w14:paraId="55643FD4" w14:textId="7777777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44957</w:t>
            </w:r>
          </w:p>
        </w:tc>
        <w:tc>
          <w:tcPr>
            <w:tcW w:w="644" w:type="pct"/>
            <w:hideMark/>
          </w:tcPr>
          <w:p w14:paraId="01F1945E" w14:textId="7777777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43640</w:t>
            </w:r>
          </w:p>
        </w:tc>
        <w:tc>
          <w:tcPr>
            <w:tcW w:w="521" w:type="pct"/>
            <w:hideMark/>
          </w:tcPr>
          <w:p w14:paraId="2BD5804A" w14:textId="7777777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44957</w:t>
            </w:r>
          </w:p>
        </w:tc>
        <w:tc>
          <w:tcPr>
            <w:tcW w:w="547" w:type="pct"/>
            <w:hideMark/>
          </w:tcPr>
          <w:p w14:paraId="38A75BD2" w14:textId="7777777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43551</w:t>
            </w:r>
          </w:p>
        </w:tc>
      </w:tr>
      <w:tr w:rsidR="008D5BA6" w:rsidRPr="005E02DB" w14:paraId="347503C0" w14:textId="77777777" w:rsidTr="00D326A2">
        <w:trPr>
          <w:jc w:val="center"/>
        </w:trPr>
        <w:tc>
          <w:tcPr>
            <w:tcW w:w="1139" w:type="pct"/>
            <w:hideMark/>
          </w:tcPr>
          <w:p w14:paraId="7B40B3ED" w14:textId="77777777" w:rsidR="008D5BA6" w:rsidRPr="002E4B8A" w:rsidRDefault="008D5BA6"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Year FE</w:t>
            </w:r>
          </w:p>
        </w:tc>
        <w:tc>
          <w:tcPr>
            <w:tcW w:w="532" w:type="pct"/>
            <w:hideMark/>
          </w:tcPr>
          <w:p w14:paraId="7C438B12" w14:textId="261CD253" w:rsidR="008D5BA6" w:rsidRPr="002E4B8A" w:rsidRDefault="008D5BA6" w:rsidP="002E4B8A">
            <w:pPr>
              <w:widowControl w:val="0"/>
              <w:autoSpaceDE w:val="0"/>
              <w:autoSpaceDN w:val="0"/>
              <w:adjustRightInd w:val="0"/>
              <w:spacing w:line="240" w:lineRule="auto"/>
              <w:rPr>
                <w:rFonts w:eastAsia="DengXian" w:cs="Times New Roman"/>
                <w:sz w:val="20"/>
                <w:szCs w:val="20"/>
              </w:rPr>
            </w:pPr>
            <w:r w:rsidRPr="002E4B8A">
              <w:rPr>
                <w:rFonts w:eastAsia="Calibri" w:cs="Times New Roman"/>
                <w:sz w:val="20"/>
                <w:szCs w:val="20"/>
              </w:rPr>
              <w:t>Yes</w:t>
            </w:r>
          </w:p>
        </w:tc>
        <w:tc>
          <w:tcPr>
            <w:tcW w:w="521" w:type="pct"/>
            <w:hideMark/>
          </w:tcPr>
          <w:p w14:paraId="463B3B08" w14:textId="752C28C6" w:rsidR="008D5BA6" w:rsidRPr="002E4B8A" w:rsidRDefault="008D5BA6" w:rsidP="002E4B8A">
            <w:pPr>
              <w:widowControl w:val="0"/>
              <w:autoSpaceDE w:val="0"/>
              <w:autoSpaceDN w:val="0"/>
              <w:adjustRightInd w:val="0"/>
              <w:spacing w:line="240" w:lineRule="auto"/>
              <w:rPr>
                <w:rFonts w:eastAsia="DengXian" w:cs="Times New Roman"/>
                <w:sz w:val="20"/>
                <w:szCs w:val="20"/>
              </w:rPr>
            </w:pPr>
            <w:r w:rsidRPr="002E4B8A">
              <w:rPr>
                <w:rFonts w:eastAsia="Calibri" w:cs="Times New Roman"/>
                <w:sz w:val="20"/>
                <w:szCs w:val="20"/>
              </w:rPr>
              <w:t>Yes</w:t>
            </w:r>
          </w:p>
        </w:tc>
        <w:tc>
          <w:tcPr>
            <w:tcW w:w="548" w:type="pct"/>
            <w:hideMark/>
          </w:tcPr>
          <w:p w14:paraId="695487BB" w14:textId="3A502B32" w:rsidR="008D5BA6" w:rsidRPr="002E4B8A" w:rsidRDefault="008D5BA6" w:rsidP="002E4B8A">
            <w:pPr>
              <w:widowControl w:val="0"/>
              <w:autoSpaceDE w:val="0"/>
              <w:autoSpaceDN w:val="0"/>
              <w:adjustRightInd w:val="0"/>
              <w:spacing w:line="240" w:lineRule="auto"/>
              <w:rPr>
                <w:rFonts w:eastAsia="DengXian" w:cs="Times New Roman"/>
                <w:sz w:val="20"/>
                <w:szCs w:val="20"/>
              </w:rPr>
            </w:pPr>
            <w:r w:rsidRPr="002E4B8A">
              <w:rPr>
                <w:rFonts w:eastAsia="Calibri" w:cs="Times New Roman"/>
                <w:sz w:val="20"/>
                <w:szCs w:val="20"/>
              </w:rPr>
              <w:t>Yes</w:t>
            </w:r>
          </w:p>
        </w:tc>
        <w:tc>
          <w:tcPr>
            <w:tcW w:w="548" w:type="pct"/>
            <w:hideMark/>
          </w:tcPr>
          <w:p w14:paraId="6AE80B5D" w14:textId="4ED07B89" w:rsidR="008D5BA6" w:rsidRPr="002E4B8A" w:rsidRDefault="008D5BA6" w:rsidP="002E4B8A">
            <w:pPr>
              <w:widowControl w:val="0"/>
              <w:autoSpaceDE w:val="0"/>
              <w:autoSpaceDN w:val="0"/>
              <w:adjustRightInd w:val="0"/>
              <w:spacing w:line="240" w:lineRule="auto"/>
              <w:rPr>
                <w:rFonts w:eastAsia="DengXian" w:cs="Times New Roman"/>
                <w:sz w:val="20"/>
                <w:szCs w:val="20"/>
              </w:rPr>
            </w:pPr>
            <w:r w:rsidRPr="002E4B8A">
              <w:rPr>
                <w:rFonts w:eastAsia="Calibri" w:cs="Times New Roman"/>
                <w:sz w:val="20"/>
                <w:szCs w:val="20"/>
              </w:rPr>
              <w:t>Yes</w:t>
            </w:r>
          </w:p>
        </w:tc>
        <w:tc>
          <w:tcPr>
            <w:tcW w:w="644" w:type="pct"/>
            <w:hideMark/>
          </w:tcPr>
          <w:p w14:paraId="6308E758" w14:textId="41B34F16" w:rsidR="008D5BA6" w:rsidRPr="002E4B8A" w:rsidRDefault="008D5BA6" w:rsidP="002E4B8A">
            <w:pPr>
              <w:widowControl w:val="0"/>
              <w:autoSpaceDE w:val="0"/>
              <w:autoSpaceDN w:val="0"/>
              <w:adjustRightInd w:val="0"/>
              <w:spacing w:line="240" w:lineRule="auto"/>
              <w:rPr>
                <w:rFonts w:eastAsia="DengXian" w:cs="Times New Roman"/>
                <w:sz w:val="20"/>
                <w:szCs w:val="20"/>
              </w:rPr>
            </w:pPr>
            <w:r w:rsidRPr="002E4B8A">
              <w:rPr>
                <w:rFonts w:eastAsia="Calibri" w:cs="Times New Roman"/>
                <w:sz w:val="20"/>
                <w:szCs w:val="20"/>
              </w:rPr>
              <w:t>Yes</w:t>
            </w:r>
          </w:p>
        </w:tc>
        <w:tc>
          <w:tcPr>
            <w:tcW w:w="521" w:type="pct"/>
            <w:hideMark/>
          </w:tcPr>
          <w:p w14:paraId="679FFED9" w14:textId="6850C78F" w:rsidR="008D5BA6" w:rsidRPr="002E4B8A" w:rsidRDefault="008D5BA6" w:rsidP="002E4B8A">
            <w:pPr>
              <w:widowControl w:val="0"/>
              <w:autoSpaceDE w:val="0"/>
              <w:autoSpaceDN w:val="0"/>
              <w:adjustRightInd w:val="0"/>
              <w:spacing w:line="240" w:lineRule="auto"/>
              <w:rPr>
                <w:rFonts w:eastAsia="DengXian" w:cs="Times New Roman"/>
                <w:sz w:val="20"/>
                <w:szCs w:val="20"/>
              </w:rPr>
            </w:pPr>
            <w:r w:rsidRPr="002E4B8A">
              <w:rPr>
                <w:rFonts w:eastAsia="Calibri" w:cs="Times New Roman"/>
                <w:sz w:val="20"/>
                <w:szCs w:val="20"/>
              </w:rPr>
              <w:t>Yes</w:t>
            </w:r>
          </w:p>
        </w:tc>
        <w:tc>
          <w:tcPr>
            <w:tcW w:w="547" w:type="pct"/>
            <w:hideMark/>
          </w:tcPr>
          <w:p w14:paraId="0000A98C" w14:textId="570B3E9C" w:rsidR="008D5BA6" w:rsidRPr="002E4B8A" w:rsidRDefault="008D5BA6" w:rsidP="002E4B8A">
            <w:pPr>
              <w:widowControl w:val="0"/>
              <w:autoSpaceDE w:val="0"/>
              <w:autoSpaceDN w:val="0"/>
              <w:adjustRightInd w:val="0"/>
              <w:spacing w:line="240" w:lineRule="auto"/>
              <w:rPr>
                <w:rFonts w:eastAsia="DengXian" w:cs="Times New Roman"/>
                <w:sz w:val="20"/>
                <w:szCs w:val="20"/>
              </w:rPr>
            </w:pPr>
            <w:r w:rsidRPr="002E4B8A">
              <w:rPr>
                <w:rFonts w:eastAsia="Calibri" w:cs="Times New Roman"/>
                <w:sz w:val="20"/>
                <w:szCs w:val="20"/>
              </w:rPr>
              <w:t>Yes</w:t>
            </w:r>
          </w:p>
        </w:tc>
      </w:tr>
      <w:tr w:rsidR="008D5BA6" w:rsidRPr="005E02DB" w14:paraId="08EA6687" w14:textId="77777777" w:rsidTr="00D326A2">
        <w:trPr>
          <w:jc w:val="center"/>
        </w:trPr>
        <w:tc>
          <w:tcPr>
            <w:tcW w:w="1139" w:type="pct"/>
            <w:hideMark/>
          </w:tcPr>
          <w:p w14:paraId="081DB6D2" w14:textId="77777777" w:rsidR="008D5BA6" w:rsidRPr="002E4B8A" w:rsidRDefault="008D5BA6"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State FE</w:t>
            </w:r>
          </w:p>
        </w:tc>
        <w:tc>
          <w:tcPr>
            <w:tcW w:w="532" w:type="pct"/>
            <w:hideMark/>
          </w:tcPr>
          <w:p w14:paraId="76FB3DEC" w14:textId="1217B4A9" w:rsidR="008D5BA6" w:rsidRPr="002E4B8A" w:rsidRDefault="008D5BA6" w:rsidP="002E4B8A">
            <w:pPr>
              <w:widowControl w:val="0"/>
              <w:autoSpaceDE w:val="0"/>
              <w:autoSpaceDN w:val="0"/>
              <w:adjustRightInd w:val="0"/>
              <w:spacing w:line="240" w:lineRule="auto"/>
              <w:rPr>
                <w:rFonts w:eastAsia="DengXian" w:cs="Times New Roman"/>
                <w:sz w:val="20"/>
                <w:szCs w:val="20"/>
              </w:rPr>
            </w:pPr>
            <w:r w:rsidRPr="002E4B8A">
              <w:rPr>
                <w:rFonts w:eastAsia="Calibri" w:cs="Times New Roman"/>
                <w:sz w:val="20"/>
                <w:szCs w:val="20"/>
              </w:rPr>
              <w:t>Yes</w:t>
            </w:r>
          </w:p>
        </w:tc>
        <w:tc>
          <w:tcPr>
            <w:tcW w:w="521" w:type="pct"/>
            <w:hideMark/>
          </w:tcPr>
          <w:p w14:paraId="1F838A50" w14:textId="3E76634F" w:rsidR="008D5BA6" w:rsidRPr="002E4B8A" w:rsidRDefault="008D5BA6" w:rsidP="002E4B8A">
            <w:pPr>
              <w:widowControl w:val="0"/>
              <w:autoSpaceDE w:val="0"/>
              <w:autoSpaceDN w:val="0"/>
              <w:adjustRightInd w:val="0"/>
              <w:spacing w:line="240" w:lineRule="auto"/>
              <w:rPr>
                <w:rFonts w:eastAsia="DengXian" w:cs="Times New Roman"/>
                <w:sz w:val="20"/>
                <w:szCs w:val="20"/>
              </w:rPr>
            </w:pPr>
            <w:r w:rsidRPr="002E4B8A">
              <w:rPr>
                <w:rFonts w:eastAsia="Calibri" w:cs="Times New Roman"/>
                <w:sz w:val="20"/>
                <w:szCs w:val="20"/>
              </w:rPr>
              <w:t>Yes</w:t>
            </w:r>
          </w:p>
        </w:tc>
        <w:tc>
          <w:tcPr>
            <w:tcW w:w="548" w:type="pct"/>
            <w:hideMark/>
          </w:tcPr>
          <w:p w14:paraId="145DD10B" w14:textId="021DEAF7" w:rsidR="008D5BA6" w:rsidRPr="002E4B8A" w:rsidRDefault="008D5BA6" w:rsidP="002E4B8A">
            <w:pPr>
              <w:widowControl w:val="0"/>
              <w:autoSpaceDE w:val="0"/>
              <w:autoSpaceDN w:val="0"/>
              <w:adjustRightInd w:val="0"/>
              <w:spacing w:line="240" w:lineRule="auto"/>
              <w:rPr>
                <w:rFonts w:eastAsia="DengXian" w:cs="Times New Roman"/>
                <w:sz w:val="20"/>
                <w:szCs w:val="20"/>
              </w:rPr>
            </w:pPr>
            <w:r w:rsidRPr="002E4B8A">
              <w:rPr>
                <w:rFonts w:eastAsia="Calibri" w:cs="Times New Roman"/>
                <w:sz w:val="20"/>
                <w:szCs w:val="20"/>
              </w:rPr>
              <w:t>Yes</w:t>
            </w:r>
          </w:p>
        </w:tc>
        <w:tc>
          <w:tcPr>
            <w:tcW w:w="548" w:type="pct"/>
            <w:hideMark/>
          </w:tcPr>
          <w:p w14:paraId="6E294C64" w14:textId="7D26F6F6" w:rsidR="008D5BA6" w:rsidRPr="002E4B8A" w:rsidRDefault="008D5BA6" w:rsidP="002E4B8A">
            <w:pPr>
              <w:widowControl w:val="0"/>
              <w:autoSpaceDE w:val="0"/>
              <w:autoSpaceDN w:val="0"/>
              <w:adjustRightInd w:val="0"/>
              <w:spacing w:line="240" w:lineRule="auto"/>
              <w:rPr>
                <w:rFonts w:eastAsia="DengXian" w:cs="Times New Roman"/>
                <w:sz w:val="20"/>
                <w:szCs w:val="20"/>
              </w:rPr>
            </w:pPr>
            <w:r w:rsidRPr="002E4B8A">
              <w:rPr>
                <w:rFonts w:eastAsia="Calibri" w:cs="Times New Roman"/>
                <w:sz w:val="20"/>
                <w:szCs w:val="20"/>
              </w:rPr>
              <w:t>Yes</w:t>
            </w:r>
          </w:p>
        </w:tc>
        <w:tc>
          <w:tcPr>
            <w:tcW w:w="644" w:type="pct"/>
            <w:hideMark/>
          </w:tcPr>
          <w:p w14:paraId="4164776A" w14:textId="3AB5F6CE" w:rsidR="008D5BA6" w:rsidRPr="002E4B8A" w:rsidRDefault="008D5BA6" w:rsidP="002E4B8A">
            <w:pPr>
              <w:widowControl w:val="0"/>
              <w:autoSpaceDE w:val="0"/>
              <w:autoSpaceDN w:val="0"/>
              <w:adjustRightInd w:val="0"/>
              <w:spacing w:line="240" w:lineRule="auto"/>
              <w:rPr>
                <w:rFonts w:eastAsia="DengXian" w:cs="Times New Roman"/>
                <w:sz w:val="20"/>
                <w:szCs w:val="20"/>
              </w:rPr>
            </w:pPr>
            <w:r w:rsidRPr="002E4B8A">
              <w:rPr>
                <w:rFonts w:eastAsia="Calibri" w:cs="Times New Roman"/>
                <w:sz w:val="20"/>
                <w:szCs w:val="20"/>
              </w:rPr>
              <w:t>Yes</w:t>
            </w:r>
          </w:p>
        </w:tc>
        <w:tc>
          <w:tcPr>
            <w:tcW w:w="521" w:type="pct"/>
            <w:hideMark/>
          </w:tcPr>
          <w:p w14:paraId="4645E451" w14:textId="13741F0C" w:rsidR="008D5BA6" w:rsidRPr="002E4B8A" w:rsidRDefault="008D5BA6" w:rsidP="002E4B8A">
            <w:pPr>
              <w:widowControl w:val="0"/>
              <w:autoSpaceDE w:val="0"/>
              <w:autoSpaceDN w:val="0"/>
              <w:adjustRightInd w:val="0"/>
              <w:spacing w:line="240" w:lineRule="auto"/>
              <w:rPr>
                <w:rFonts w:eastAsia="DengXian" w:cs="Times New Roman"/>
                <w:sz w:val="20"/>
                <w:szCs w:val="20"/>
              </w:rPr>
            </w:pPr>
            <w:r w:rsidRPr="002E4B8A">
              <w:rPr>
                <w:rFonts w:eastAsia="Calibri" w:cs="Times New Roman"/>
                <w:sz w:val="20"/>
                <w:szCs w:val="20"/>
              </w:rPr>
              <w:t>Yes</w:t>
            </w:r>
          </w:p>
        </w:tc>
        <w:tc>
          <w:tcPr>
            <w:tcW w:w="547" w:type="pct"/>
            <w:hideMark/>
          </w:tcPr>
          <w:p w14:paraId="0254C3DB" w14:textId="3E1D77A9" w:rsidR="008D5BA6" w:rsidRPr="002E4B8A" w:rsidRDefault="008D5BA6" w:rsidP="002E4B8A">
            <w:pPr>
              <w:widowControl w:val="0"/>
              <w:autoSpaceDE w:val="0"/>
              <w:autoSpaceDN w:val="0"/>
              <w:adjustRightInd w:val="0"/>
              <w:spacing w:line="240" w:lineRule="auto"/>
              <w:rPr>
                <w:rFonts w:eastAsia="DengXian" w:cs="Times New Roman"/>
                <w:sz w:val="20"/>
                <w:szCs w:val="20"/>
              </w:rPr>
            </w:pPr>
            <w:r w:rsidRPr="002E4B8A">
              <w:rPr>
                <w:rFonts w:eastAsia="Calibri" w:cs="Times New Roman"/>
                <w:sz w:val="20"/>
                <w:szCs w:val="20"/>
              </w:rPr>
              <w:t>Yes</w:t>
            </w:r>
          </w:p>
        </w:tc>
      </w:tr>
      <w:tr w:rsidR="008D5BA6" w:rsidRPr="005E02DB" w14:paraId="55DEDFCE" w14:textId="77777777" w:rsidTr="00273B5A">
        <w:trPr>
          <w:jc w:val="center"/>
        </w:trPr>
        <w:tc>
          <w:tcPr>
            <w:tcW w:w="1139" w:type="pct"/>
            <w:hideMark/>
          </w:tcPr>
          <w:p w14:paraId="236C04D7" w14:textId="77777777" w:rsidR="008D5BA6" w:rsidRPr="002E4B8A" w:rsidRDefault="008D5BA6"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County FE</w:t>
            </w:r>
          </w:p>
        </w:tc>
        <w:tc>
          <w:tcPr>
            <w:tcW w:w="532" w:type="pct"/>
            <w:hideMark/>
          </w:tcPr>
          <w:p w14:paraId="020274A1" w14:textId="1F17AB07" w:rsidR="008D5BA6" w:rsidRPr="002E4B8A" w:rsidRDefault="008D5BA6" w:rsidP="002E4B8A">
            <w:pPr>
              <w:widowControl w:val="0"/>
              <w:autoSpaceDE w:val="0"/>
              <w:autoSpaceDN w:val="0"/>
              <w:adjustRightInd w:val="0"/>
              <w:spacing w:line="240" w:lineRule="auto"/>
              <w:rPr>
                <w:rFonts w:eastAsia="DengXian" w:cs="Times New Roman"/>
                <w:sz w:val="20"/>
                <w:szCs w:val="20"/>
              </w:rPr>
            </w:pPr>
            <w:r w:rsidRPr="002E4B8A">
              <w:rPr>
                <w:rFonts w:eastAsia="Calibri" w:cs="Times New Roman"/>
                <w:sz w:val="20"/>
                <w:szCs w:val="20"/>
              </w:rPr>
              <w:t>Yes</w:t>
            </w:r>
          </w:p>
        </w:tc>
        <w:tc>
          <w:tcPr>
            <w:tcW w:w="521" w:type="pct"/>
            <w:hideMark/>
          </w:tcPr>
          <w:p w14:paraId="3341087D" w14:textId="6B0AD8E6" w:rsidR="008D5BA6" w:rsidRPr="002E4B8A" w:rsidRDefault="008D5BA6" w:rsidP="002E4B8A">
            <w:pPr>
              <w:widowControl w:val="0"/>
              <w:autoSpaceDE w:val="0"/>
              <w:autoSpaceDN w:val="0"/>
              <w:adjustRightInd w:val="0"/>
              <w:spacing w:line="240" w:lineRule="auto"/>
              <w:rPr>
                <w:rFonts w:eastAsia="DengXian" w:cs="Times New Roman"/>
                <w:sz w:val="20"/>
                <w:szCs w:val="20"/>
              </w:rPr>
            </w:pPr>
            <w:r w:rsidRPr="002E4B8A">
              <w:rPr>
                <w:rFonts w:eastAsia="Calibri" w:cs="Times New Roman"/>
                <w:sz w:val="20"/>
                <w:szCs w:val="20"/>
              </w:rPr>
              <w:t>Yes</w:t>
            </w:r>
          </w:p>
        </w:tc>
        <w:tc>
          <w:tcPr>
            <w:tcW w:w="548" w:type="pct"/>
            <w:hideMark/>
          </w:tcPr>
          <w:p w14:paraId="60EF63E3" w14:textId="31C0E11D" w:rsidR="008D5BA6" w:rsidRPr="002E4B8A" w:rsidRDefault="008D5BA6" w:rsidP="002E4B8A">
            <w:pPr>
              <w:widowControl w:val="0"/>
              <w:autoSpaceDE w:val="0"/>
              <w:autoSpaceDN w:val="0"/>
              <w:adjustRightInd w:val="0"/>
              <w:spacing w:line="240" w:lineRule="auto"/>
              <w:rPr>
                <w:rFonts w:eastAsia="DengXian" w:cs="Times New Roman"/>
                <w:sz w:val="20"/>
                <w:szCs w:val="20"/>
              </w:rPr>
            </w:pPr>
            <w:r w:rsidRPr="002E4B8A">
              <w:rPr>
                <w:rFonts w:eastAsia="Calibri" w:cs="Times New Roman"/>
                <w:sz w:val="20"/>
                <w:szCs w:val="20"/>
              </w:rPr>
              <w:t>Yes</w:t>
            </w:r>
          </w:p>
        </w:tc>
        <w:tc>
          <w:tcPr>
            <w:tcW w:w="548" w:type="pct"/>
            <w:hideMark/>
          </w:tcPr>
          <w:p w14:paraId="5AD7E4B3" w14:textId="71970090" w:rsidR="008D5BA6" w:rsidRPr="002E4B8A" w:rsidRDefault="008D5BA6" w:rsidP="002E4B8A">
            <w:pPr>
              <w:widowControl w:val="0"/>
              <w:autoSpaceDE w:val="0"/>
              <w:autoSpaceDN w:val="0"/>
              <w:adjustRightInd w:val="0"/>
              <w:spacing w:line="240" w:lineRule="auto"/>
              <w:rPr>
                <w:rFonts w:eastAsia="DengXian" w:cs="Times New Roman"/>
                <w:sz w:val="20"/>
                <w:szCs w:val="20"/>
              </w:rPr>
            </w:pPr>
            <w:r w:rsidRPr="002E4B8A">
              <w:rPr>
                <w:rFonts w:eastAsia="Calibri" w:cs="Times New Roman"/>
                <w:sz w:val="20"/>
                <w:szCs w:val="20"/>
              </w:rPr>
              <w:t>Yes</w:t>
            </w:r>
          </w:p>
        </w:tc>
        <w:tc>
          <w:tcPr>
            <w:tcW w:w="644" w:type="pct"/>
            <w:hideMark/>
          </w:tcPr>
          <w:p w14:paraId="276D9878" w14:textId="70FA1AD6" w:rsidR="008D5BA6" w:rsidRPr="002E4B8A" w:rsidRDefault="008D5BA6" w:rsidP="002E4B8A">
            <w:pPr>
              <w:widowControl w:val="0"/>
              <w:autoSpaceDE w:val="0"/>
              <w:autoSpaceDN w:val="0"/>
              <w:adjustRightInd w:val="0"/>
              <w:spacing w:line="240" w:lineRule="auto"/>
              <w:rPr>
                <w:rFonts w:eastAsia="DengXian" w:cs="Times New Roman"/>
                <w:sz w:val="20"/>
                <w:szCs w:val="20"/>
              </w:rPr>
            </w:pPr>
            <w:r w:rsidRPr="002E4B8A">
              <w:rPr>
                <w:rFonts w:eastAsia="Calibri" w:cs="Times New Roman"/>
                <w:sz w:val="20"/>
                <w:szCs w:val="20"/>
              </w:rPr>
              <w:t>Yes</w:t>
            </w:r>
          </w:p>
        </w:tc>
        <w:tc>
          <w:tcPr>
            <w:tcW w:w="521" w:type="pct"/>
            <w:hideMark/>
          </w:tcPr>
          <w:p w14:paraId="327F0D95" w14:textId="36D92EBF" w:rsidR="008D5BA6" w:rsidRPr="002E4B8A" w:rsidRDefault="008D5BA6" w:rsidP="002E4B8A">
            <w:pPr>
              <w:widowControl w:val="0"/>
              <w:autoSpaceDE w:val="0"/>
              <w:autoSpaceDN w:val="0"/>
              <w:adjustRightInd w:val="0"/>
              <w:spacing w:line="240" w:lineRule="auto"/>
              <w:rPr>
                <w:rFonts w:eastAsia="DengXian" w:cs="Times New Roman"/>
                <w:sz w:val="20"/>
                <w:szCs w:val="20"/>
              </w:rPr>
            </w:pPr>
            <w:r w:rsidRPr="002E4B8A">
              <w:rPr>
                <w:rFonts w:eastAsia="Calibri" w:cs="Times New Roman"/>
                <w:sz w:val="20"/>
                <w:szCs w:val="20"/>
              </w:rPr>
              <w:t>Yes</w:t>
            </w:r>
          </w:p>
        </w:tc>
        <w:tc>
          <w:tcPr>
            <w:tcW w:w="547" w:type="pct"/>
            <w:hideMark/>
          </w:tcPr>
          <w:p w14:paraId="4F38ECBD" w14:textId="6F8EAF43" w:rsidR="008D5BA6" w:rsidRPr="002E4B8A" w:rsidRDefault="008D5BA6" w:rsidP="002E4B8A">
            <w:pPr>
              <w:widowControl w:val="0"/>
              <w:autoSpaceDE w:val="0"/>
              <w:autoSpaceDN w:val="0"/>
              <w:adjustRightInd w:val="0"/>
              <w:spacing w:line="240" w:lineRule="auto"/>
              <w:rPr>
                <w:rFonts w:eastAsia="DengXian" w:cs="Times New Roman"/>
                <w:sz w:val="20"/>
                <w:szCs w:val="20"/>
              </w:rPr>
            </w:pPr>
            <w:r w:rsidRPr="002E4B8A">
              <w:rPr>
                <w:rFonts w:eastAsia="Calibri" w:cs="Times New Roman"/>
                <w:sz w:val="20"/>
                <w:szCs w:val="20"/>
              </w:rPr>
              <w:t>Yes</w:t>
            </w:r>
          </w:p>
        </w:tc>
      </w:tr>
      <w:tr w:rsidR="005E02DB" w:rsidRPr="005E02DB" w14:paraId="13E9341B" w14:textId="77777777" w:rsidTr="00273B5A">
        <w:trPr>
          <w:jc w:val="center"/>
        </w:trPr>
        <w:tc>
          <w:tcPr>
            <w:tcW w:w="1139" w:type="pct"/>
            <w:tcBorders>
              <w:bottom w:val="single" w:sz="4" w:space="0" w:color="auto"/>
            </w:tcBorders>
            <w:hideMark/>
          </w:tcPr>
          <w:p w14:paraId="623CD72C" w14:textId="1D5A317B"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Pseudo R</w:t>
            </w:r>
            <w:r w:rsidRPr="002E4B8A">
              <w:rPr>
                <w:rFonts w:eastAsia="DengXian" w:cs="Times New Roman"/>
                <w:sz w:val="20"/>
                <w:szCs w:val="20"/>
                <w:vertAlign w:val="superscript"/>
              </w:rPr>
              <w:t>2</w:t>
            </w:r>
          </w:p>
        </w:tc>
        <w:tc>
          <w:tcPr>
            <w:tcW w:w="532" w:type="pct"/>
            <w:tcBorders>
              <w:bottom w:val="single" w:sz="4" w:space="0" w:color="auto"/>
            </w:tcBorders>
            <w:hideMark/>
          </w:tcPr>
          <w:p w14:paraId="53179E0E" w14:textId="244BFFE2"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.761</w:t>
            </w:r>
          </w:p>
        </w:tc>
        <w:tc>
          <w:tcPr>
            <w:tcW w:w="521" w:type="pct"/>
            <w:tcBorders>
              <w:bottom w:val="single" w:sz="4" w:space="0" w:color="auto"/>
            </w:tcBorders>
            <w:hideMark/>
          </w:tcPr>
          <w:p w14:paraId="4C176E94" w14:textId="461F22C6"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.868</w:t>
            </w:r>
          </w:p>
        </w:tc>
        <w:tc>
          <w:tcPr>
            <w:tcW w:w="548" w:type="pct"/>
            <w:tcBorders>
              <w:bottom w:val="single" w:sz="4" w:space="0" w:color="auto"/>
            </w:tcBorders>
            <w:hideMark/>
          </w:tcPr>
          <w:p w14:paraId="39FA0865" w14:textId="6E4FFF3D"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.66</w:t>
            </w:r>
            <w:r w:rsidR="008D5BA6" w:rsidRPr="002E4B8A">
              <w:rPr>
                <w:rFonts w:eastAsia="DengXian" w:cs="Times New Roman"/>
                <w:sz w:val="20"/>
                <w:szCs w:val="20"/>
              </w:rPr>
              <w:t>9</w:t>
            </w:r>
          </w:p>
        </w:tc>
        <w:tc>
          <w:tcPr>
            <w:tcW w:w="548" w:type="pct"/>
            <w:tcBorders>
              <w:bottom w:val="single" w:sz="4" w:space="0" w:color="auto"/>
            </w:tcBorders>
            <w:hideMark/>
          </w:tcPr>
          <w:p w14:paraId="4820E25B" w14:textId="263FE72D"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.965</w:t>
            </w:r>
          </w:p>
        </w:tc>
        <w:tc>
          <w:tcPr>
            <w:tcW w:w="644" w:type="pct"/>
            <w:tcBorders>
              <w:bottom w:val="single" w:sz="4" w:space="0" w:color="auto"/>
            </w:tcBorders>
            <w:hideMark/>
          </w:tcPr>
          <w:p w14:paraId="3098AAD4" w14:textId="0C1FB29E"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.98</w:t>
            </w:r>
            <w:r w:rsidR="008D5BA6" w:rsidRPr="002E4B8A">
              <w:rPr>
                <w:rFonts w:eastAsia="DengXian" w:cs="Times New Roman"/>
                <w:sz w:val="20"/>
                <w:szCs w:val="20"/>
              </w:rPr>
              <w:t>3</w:t>
            </w:r>
          </w:p>
        </w:tc>
        <w:tc>
          <w:tcPr>
            <w:tcW w:w="521" w:type="pct"/>
            <w:tcBorders>
              <w:bottom w:val="single" w:sz="4" w:space="0" w:color="auto"/>
            </w:tcBorders>
            <w:hideMark/>
          </w:tcPr>
          <w:p w14:paraId="6BDE64D3" w14:textId="19BAE4FA"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.971</w:t>
            </w:r>
          </w:p>
        </w:tc>
        <w:tc>
          <w:tcPr>
            <w:tcW w:w="547" w:type="pct"/>
            <w:tcBorders>
              <w:bottom w:val="single" w:sz="4" w:space="0" w:color="auto"/>
            </w:tcBorders>
            <w:hideMark/>
          </w:tcPr>
          <w:p w14:paraId="4DCEDC60" w14:textId="7A37572C"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.96</w:t>
            </w:r>
            <w:r w:rsidR="008D5BA6" w:rsidRPr="002E4B8A">
              <w:rPr>
                <w:rFonts w:eastAsia="DengXian" w:cs="Times New Roman"/>
                <w:sz w:val="20"/>
                <w:szCs w:val="20"/>
              </w:rPr>
              <w:t>5</w:t>
            </w:r>
          </w:p>
        </w:tc>
      </w:tr>
      <w:tr w:rsidR="005E02DB" w:rsidRPr="005E02DB" w14:paraId="215E19CD" w14:textId="77777777" w:rsidTr="00273B5A">
        <w:trPr>
          <w:jc w:val="center"/>
        </w:trPr>
        <w:tc>
          <w:tcPr>
            <w:tcW w:w="5000" w:type="pct"/>
            <w:gridSpan w:val="8"/>
            <w:tcBorders>
              <w:top w:val="single" w:sz="4" w:space="0" w:color="auto"/>
            </w:tcBorders>
            <w:hideMark/>
          </w:tcPr>
          <w:p w14:paraId="147D2E18" w14:textId="7860A4AC" w:rsidR="005E02DB" w:rsidRPr="00273B5A" w:rsidRDefault="007B2509" w:rsidP="002E4B8A">
            <w:pPr>
              <w:widowControl w:val="0"/>
              <w:autoSpaceDE w:val="0"/>
              <w:autoSpaceDN w:val="0"/>
              <w:adjustRightInd w:val="0"/>
              <w:spacing w:line="240" w:lineRule="auto"/>
              <w:rPr>
                <w:rFonts w:eastAsia="DengXian" w:cs="Times New Roman"/>
                <w:sz w:val="20"/>
                <w:szCs w:val="20"/>
              </w:rPr>
            </w:pPr>
            <w:r>
              <w:rPr>
                <w:rFonts w:eastAsia="DengXian" w:cs="Times New Roman"/>
                <w:sz w:val="20"/>
                <w:szCs w:val="20"/>
                <w:lang w:eastAsia="zh-CN"/>
              </w:rPr>
              <w:t xml:space="preserve">Table A61: </w:t>
            </w:r>
            <w:r w:rsidR="005E02DB" w:rsidRPr="002E4B8A">
              <w:rPr>
                <w:rFonts w:eastAsia="DengXian" w:cs="Times New Roman"/>
                <w:sz w:val="20"/>
                <w:szCs w:val="20"/>
                <w:lang w:val="zh-CN" w:eastAsia="zh-CN"/>
              </w:rPr>
              <w:t>Results of PPMLHDFE regressions on Establishment Count using the Continuous Range Indicator for NAICS sectors (11–71), with State, County, and Year Fixed Effects. The percentage of county land within the range allows for a nuanced spatial analysis of delisting impacts.</w:t>
            </w:r>
            <w:r w:rsidR="00273B5A">
              <w:rPr>
                <w:rFonts w:eastAsia="DengXian" w:cs="Times New Roman"/>
                <w:sz w:val="20"/>
                <w:szCs w:val="20"/>
                <w:lang w:eastAsia="zh-CN"/>
              </w:rPr>
              <w:t xml:space="preserve"> </w:t>
            </w:r>
            <w:r w:rsidR="00273B5A" w:rsidRPr="00C624DB">
              <w:rPr>
                <w:sz w:val="20"/>
                <w:szCs w:val="20"/>
                <w:lang/>
              </w:rPr>
              <w:t xml:space="preserve">Standard errors are </w:t>
            </w:r>
            <w:r w:rsidR="00273B5A">
              <w:rPr>
                <w:sz w:val="20"/>
                <w:szCs w:val="20"/>
                <w:lang/>
              </w:rPr>
              <w:t xml:space="preserve">in parentheses and are </w:t>
            </w:r>
            <w:r w:rsidR="00273B5A" w:rsidRPr="00C624DB">
              <w:rPr>
                <w:sz w:val="20"/>
                <w:szCs w:val="20"/>
                <w:lang/>
              </w:rPr>
              <w:t xml:space="preserve">clustered at the county level. </w:t>
            </w:r>
            <w:r w:rsidR="00273B5A" w:rsidRPr="002C0F11">
              <w:rPr>
                <w:sz w:val="20"/>
                <w:szCs w:val="20"/>
                <w:lang/>
              </w:rPr>
              <w:t xml:space="preserve">Statistically significant impacts are denoted by asterisks. These asterisks denote </w:t>
            </w:r>
            <w:r w:rsidR="00273B5A" w:rsidRPr="002C0F11">
              <w:rPr>
                <w:sz w:val="20"/>
                <w:szCs w:val="20"/>
                <w:lang/>
              </w:rPr>
              <w:lastRenderedPageBreak/>
              <w:t>statistical significance at the following levels: ***p &lt; 0.01, **p &lt; 0.05, *p &lt; 0.1.</w:t>
            </w:r>
          </w:p>
        </w:tc>
      </w:tr>
    </w:tbl>
    <w:p w14:paraId="32108119" w14:textId="77777777" w:rsidR="005E02DB" w:rsidRPr="005E02DB" w:rsidRDefault="005E02DB" w:rsidP="00CE0D78">
      <w:pPr>
        <w:widowControl w:val="0"/>
        <w:autoSpaceDE w:val="0"/>
        <w:autoSpaceDN w:val="0"/>
        <w:adjustRightInd w:val="0"/>
        <w:spacing w:line="240" w:lineRule="auto"/>
        <w:rPr>
          <w:rFonts w:ascii="Garamond" w:eastAsia="DengXian" w:hAnsi="Garamond" w:cs="Times New Roman"/>
          <w:b/>
          <w:bCs/>
          <w:sz w:val="20"/>
          <w:szCs w:val="20"/>
        </w:rPr>
      </w:pPr>
      <w:r w:rsidRPr="005E02DB">
        <w:rPr>
          <w:rFonts w:ascii="Garamond" w:eastAsia="DengXian" w:hAnsi="Garamond" w:cs="Times New Roman"/>
          <w:b/>
          <w:bCs/>
          <w:sz w:val="20"/>
          <w:szCs w:val="20"/>
        </w:rPr>
        <w:lastRenderedPageBreak/>
        <w:br/>
      </w:r>
    </w:p>
    <w:p w14:paraId="3E357BB1" w14:textId="77777777" w:rsidR="005E02DB" w:rsidRPr="005E02DB" w:rsidRDefault="005E02DB" w:rsidP="00CE0D78">
      <w:pPr>
        <w:widowControl w:val="0"/>
        <w:autoSpaceDE w:val="0"/>
        <w:autoSpaceDN w:val="0"/>
        <w:adjustRightInd w:val="0"/>
        <w:spacing w:line="240" w:lineRule="auto"/>
        <w:jc w:val="center"/>
        <w:rPr>
          <w:rFonts w:ascii="Garamond" w:eastAsia="DengXian" w:hAnsi="Garamond" w:cs="Times New Roman"/>
          <w:b/>
          <w:bCs/>
          <w:sz w:val="20"/>
          <w:szCs w:val="20"/>
        </w:rPr>
      </w:pPr>
      <w:r w:rsidRPr="005E02DB">
        <w:rPr>
          <w:rFonts w:ascii="Garamond" w:eastAsia="DengXian" w:hAnsi="Garamond" w:cs="Times New Roman"/>
          <w:b/>
          <w:bCs/>
          <w:sz w:val="20"/>
          <w:szCs w:val="20"/>
        </w:rPr>
        <w:br w:type="page"/>
      </w:r>
    </w:p>
    <w:p w14:paraId="10D108D3" w14:textId="7B05C012" w:rsidR="005E02DB" w:rsidRPr="005E02DB" w:rsidRDefault="005E02DB" w:rsidP="00095E25">
      <w:pPr>
        <w:pStyle w:val="Title"/>
      </w:pPr>
      <w:bookmarkStart w:id="798" w:name="_Toc188056077"/>
      <w:bookmarkStart w:id="799" w:name="_Toc188057161"/>
      <w:bookmarkStart w:id="800" w:name="_Toc188359667"/>
      <w:bookmarkStart w:id="801" w:name="_Toc188359955"/>
      <w:bookmarkStart w:id="802" w:name="_Toc188361191"/>
      <w:bookmarkStart w:id="803" w:name="_Toc188367034"/>
      <w:r w:rsidRPr="005E02DB">
        <w:lastRenderedPageBreak/>
        <w:t>Table A</w:t>
      </w:r>
      <w:r>
        <w:t>6</w:t>
      </w:r>
      <w:r w:rsidR="002050B6">
        <w:t>2</w:t>
      </w:r>
      <w:r w:rsidRPr="005E02DB">
        <w:t xml:space="preserve">: </w:t>
      </w:r>
      <w:r w:rsidR="002E1ED3" w:rsidRPr="00F758EA">
        <w:t xml:space="preserve">Regression Results </w:t>
      </w:r>
      <w:r w:rsidRPr="005E02DB">
        <w:t>on Jobs Count – Continuous Range Indicator</w:t>
      </w:r>
      <w:bookmarkEnd w:id="798"/>
      <w:bookmarkEnd w:id="799"/>
      <w:bookmarkEnd w:id="800"/>
      <w:bookmarkEnd w:id="801"/>
      <w:bookmarkEnd w:id="802"/>
      <w:bookmarkEnd w:id="803"/>
    </w:p>
    <w:tbl>
      <w:tblPr>
        <w:tblW w:w="5000" w:type="pct"/>
        <w:jc w:val="center"/>
        <w:tblLook w:val="04A0" w:firstRow="1" w:lastRow="0" w:firstColumn="1" w:lastColumn="0" w:noHBand="0" w:noVBand="1"/>
      </w:tblPr>
      <w:tblGrid>
        <w:gridCol w:w="1732"/>
        <w:gridCol w:w="1065"/>
        <w:gridCol w:w="1129"/>
        <w:gridCol w:w="1065"/>
        <w:gridCol w:w="1065"/>
        <w:gridCol w:w="1176"/>
        <w:gridCol w:w="1065"/>
        <w:gridCol w:w="1063"/>
      </w:tblGrid>
      <w:tr w:rsidR="002E4B8A" w:rsidRPr="005E02DB" w14:paraId="4C40A9CF" w14:textId="77777777" w:rsidTr="00273B5A">
        <w:trPr>
          <w:jc w:val="center"/>
        </w:trPr>
        <w:tc>
          <w:tcPr>
            <w:tcW w:w="925" w:type="pct"/>
            <w:tcBorders>
              <w:top w:val="single" w:sz="4" w:space="0" w:color="auto"/>
              <w:left w:val="nil"/>
              <w:bottom w:val="single" w:sz="12" w:space="0" w:color="auto"/>
              <w:right w:val="nil"/>
            </w:tcBorders>
            <w:hideMark/>
          </w:tcPr>
          <w:p w14:paraId="496DB0D8" w14:textId="28574034" w:rsidR="00F758EA" w:rsidRPr="002E4B8A" w:rsidRDefault="00F758EA"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b/>
                <w:bCs/>
                <w:sz w:val="20"/>
                <w:szCs w:val="20"/>
              </w:rPr>
              <w:t>Variable</w:t>
            </w:r>
          </w:p>
        </w:tc>
        <w:tc>
          <w:tcPr>
            <w:tcW w:w="569" w:type="pct"/>
            <w:tcBorders>
              <w:top w:val="single" w:sz="4" w:space="0" w:color="auto"/>
              <w:left w:val="nil"/>
              <w:bottom w:val="single" w:sz="12" w:space="0" w:color="auto"/>
              <w:right w:val="nil"/>
            </w:tcBorders>
            <w:hideMark/>
          </w:tcPr>
          <w:p w14:paraId="10262C48" w14:textId="3646DCB7" w:rsidR="00F758EA" w:rsidRPr="002E4B8A" w:rsidRDefault="00F758EA"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b/>
                <w:bCs/>
                <w:sz w:val="20"/>
                <w:szCs w:val="20"/>
              </w:rPr>
              <w:t>NAICS 11</w:t>
            </w:r>
          </w:p>
        </w:tc>
        <w:tc>
          <w:tcPr>
            <w:tcW w:w="603" w:type="pct"/>
            <w:tcBorders>
              <w:top w:val="single" w:sz="4" w:space="0" w:color="auto"/>
              <w:left w:val="nil"/>
              <w:bottom w:val="single" w:sz="12" w:space="0" w:color="auto"/>
              <w:right w:val="nil"/>
            </w:tcBorders>
            <w:hideMark/>
          </w:tcPr>
          <w:p w14:paraId="237D8985" w14:textId="578E1971" w:rsidR="00F758EA" w:rsidRPr="002E4B8A" w:rsidRDefault="00F758EA"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b/>
                <w:bCs/>
                <w:sz w:val="20"/>
                <w:szCs w:val="20"/>
              </w:rPr>
              <w:t>NAICS 21</w:t>
            </w:r>
          </w:p>
        </w:tc>
        <w:tc>
          <w:tcPr>
            <w:tcW w:w="569" w:type="pct"/>
            <w:tcBorders>
              <w:top w:val="single" w:sz="4" w:space="0" w:color="auto"/>
              <w:left w:val="nil"/>
              <w:bottom w:val="single" w:sz="12" w:space="0" w:color="auto"/>
              <w:right w:val="nil"/>
            </w:tcBorders>
            <w:hideMark/>
          </w:tcPr>
          <w:p w14:paraId="2211721C" w14:textId="0172F067" w:rsidR="00F758EA" w:rsidRPr="002E4B8A" w:rsidRDefault="00F758EA"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b/>
                <w:bCs/>
                <w:sz w:val="20"/>
                <w:szCs w:val="20"/>
              </w:rPr>
              <w:t>NAICS 22</w:t>
            </w:r>
          </w:p>
        </w:tc>
        <w:tc>
          <w:tcPr>
            <w:tcW w:w="569" w:type="pct"/>
            <w:tcBorders>
              <w:top w:val="single" w:sz="4" w:space="0" w:color="auto"/>
              <w:left w:val="nil"/>
              <w:bottom w:val="single" w:sz="12" w:space="0" w:color="auto"/>
              <w:right w:val="nil"/>
            </w:tcBorders>
            <w:hideMark/>
          </w:tcPr>
          <w:p w14:paraId="125357E5" w14:textId="317D458F" w:rsidR="00F758EA" w:rsidRPr="002E4B8A" w:rsidRDefault="00F758EA"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b/>
                <w:bCs/>
                <w:sz w:val="20"/>
                <w:szCs w:val="20"/>
              </w:rPr>
              <w:t>NAICS 23</w:t>
            </w:r>
          </w:p>
        </w:tc>
        <w:tc>
          <w:tcPr>
            <w:tcW w:w="628" w:type="pct"/>
            <w:tcBorders>
              <w:top w:val="single" w:sz="4" w:space="0" w:color="auto"/>
              <w:left w:val="nil"/>
              <w:bottom w:val="single" w:sz="12" w:space="0" w:color="auto"/>
              <w:right w:val="nil"/>
            </w:tcBorders>
            <w:hideMark/>
          </w:tcPr>
          <w:p w14:paraId="225F96C1" w14:textId="2DE243E3" w:rsidR="00F758EA" w:rsidRPr="002E4B8A" w:rsidRDefault="00F758EA"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b/>
                <w:bCs/>
                <w:sz w:val="20"/>
                <w:szCs w:val="20"/>
              </w:rPr>
              <w:t>NAICS 31-33</w:t>
            </w:r>
          </w:p>
        </w:tc>
        <w:tc>
          <w:tcPr>
            <w:tcW w:w="569" w:type="pct"/>
            <w:tcBorders>
              <w:top w:val="single" w:sz="4" w:space="0" w:color="auto"/>
              <w:left w:val="nil"/>
              <w:bottom w:val="single" w:sz="12" w:space="0" w:color="auto"/>
              <w:right w:val="nil"/>
            </w:tcBorders>
            <w:hideMark/>
          </w:tcPr>
          <w:p w14:paraId="4827242F" w14:textId="5C531EA3" w:rsidR="00F758EA" w:rsidRPr="002E4B8A" w:rsidRDefault="00F758EA"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b/>
                <w:bCs/>
                <w:sz w:val="20"/>
                <w:szCs w:val="20"/>
              </w:rPr>
              <w:t>NAICS 53</w:t>
            </w:r>
          </w:p>
        </w:tc>
        <w:tc>
          <w:tcPr>
            <w:tcW w:w="569" w:type="pct"/>
            <w:tcBorders>
              <w:top w:val="single" w:sz="4" w:space="0" w:color="auto"/>
              <w:left w:val="nil"/>
              <w:bottom w:val="single" w:sz="12" w:space="0" w:color="auto"/>
              <w:right w:val="nil"/>
            </w:tcBorders>
            <w:hideMark/>
          </w:tcPr>
          <w:p w14:paraId="20A3F026" w14:textId="7BCB3A20" w:rsidR="00F758EA" w:rsidRPr="002E4B8A" w:rsidRDefault="00F758EA"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b/>
                <w:bCs/>
                <w:sz w:val="20"/>
                <w:szCs w:val="20"/>
              </w:rPr>
              <w:t>NAICS 71</w:t>
            </w:r>
          </w:p>
        </w:tc>
      </w:tr>
      <w:tr w:rsidR="002E4B8A" w:rsidRPr="005E02DB" w14:paraId="4A13CF87" w14:textId="77777777" w:rsidTr="00273B5A">
        <w:trPr>
          <w:jc w:val="center"/>
        </w:trPr>
        <w:tc>
          <w:tcPr>
            <w:tcW w:w="925" w:type="pct"/>
            <w:hideMark/>
          </w:tcPr>
          <w:p w14:paraId="67BF5964" w14:textId="7777777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 Range</w:t>
            </w:r>
          </w:p>
        </w:tc>
        <w:tc>
          <w:tcPr>
            <w:tcW w:w="569" w:type="pct"/>
            <w:hideMark/>
          </w:tcPr>
          <w:p w14:paraId="32D54073" w14:textId="5AC10293"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-.000</w:t>
            </w:r>
            <w:r w:rsidR="00BF2FD3" w:rsidRPr="002E4B8A">
              <w:rPr>
                <w:rFonts w:eastAsia="DengXian" w:cs="Times New Roman"/>
                <w:sz w:val="20"/>
                <w:szCs w:val="20"/>
              </w:rPr>
              <w:t>7</w:t>
            </w:r>
          </w:p>
        </w:tc>
        <w:tc>
          <w:tcPr>
            <w:tcW w:w="603" w:type="pct"/>
            <w:hideMark/>
          </w:tcPr>
          <w:p w14:paraId="3A163D91" w14:textId="398CA13D"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-.0022*</w:t>
            </w:r>
          </w:p>
        </w:tc>
        <w:tc>
          <w:tcPr>
            <w:tcW w:w="569" w:type="pct"/>
            <w:hideMark/>
          </w:tcPr>
          <w:p w14:paraId="0244A997" w14:textId="78471556"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-.001</w:t>
            </w:r>
            <w:r w:rsidR="00271798" w:rsidRPr="002E4B8A">
              <w:rPr>
                <w:rFonts w:eastAsia="DengXian" w:cs="Times New Roman"/>
                <w:sz w:val="20"/>
                <w:szCs w:val="20"/>
              </w:rPr>
              <w:t>6</w:t>
            </w:r>
            <w:r w:rsidRPr="002E4B8A">
              <w:rPr>
                <w:rFonts w:eastAsia="DengXian" w:cs="Times New Roman"/>
                <w:sz w:val="20"/>
                <w:szCs w:val="20"/>
              </w:rPr>
              <w:t>**</w:t>
            </w:r>
          </w:p>
        </w:tc>
        <w:tc>
          <w:tcPr>
            <w:tcW w:w="569" w:type="pct"/>
            <w:hideMark/>
          </w:tcPr>
          <w:p w14:paraId="1F2AA507" w14:textId="5A0A863E"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-.0000</w:t>
            </w:r>
          </w:p>
        </w:tc>
        <w:tc>
          <w:tcPr>
            <w:tcW w:w="628" w:type="pct"/>
            <w:hideMark/>
          </w:tcPr>
          <w:p w14:paraId="4209C69A" w14:textId="60CCD80E"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-.0001</w:t>
            </w:r>
          </w:p>
        </w:tc>
        <w:tc>
          <w:tcPr>
            <w:tcW w:w="569" w:type="pct"/>
            <w:hideMark/>
          </w:tcPr>
          <w:p w14:paraId="0C14D040" w14:textId="77D4CED3"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.000</w:t>
            </w:r>
            <w:r w:rsidR="00271798" w:rsidRPr="002E4B8A">
              <w:rPr>
                <w:rFonts w:eastAsia="DengXian" w:cs="Times New Roman"/>
                <w:sz w:val="20"/>
                <w:szCs w:val="20"/>
              </w:rPr>
              <w:t>1</w:t>
            </w:r>
          </w:p>
        </w:tc>
        <w:tc>
          <w:tcPr>
            <w:tcW w:w="569" w:type="pct"/>
            <w:hideMark/>
          </w:tcPr>
          <w:p w14:paraId="1585D39C" w14:textId="7B3C0EEF"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.003</w:t>
            </w:r>
            <w:r w:rsidR="00271798" w:rsidRPr="002E4B8A">
              <w:rPr>
                <w:rFonts w:eastAsia="DengXian" w:cs="Times New Roman"/>
                <w:sz w:val="20"/>
                <w:szCs w:val="20"/>
              </w:rPr>
              <w:t>7</w:t>
            </w:r>
            <w:r w:rsidRPr="002E4B8A">
              <w:rPr>
                <w:rFonts w:eastAsia="DengXian" w:cs="Times New Roman"/>
                <w:sz w:val="20"/>
                <w:szCs w:val="20"/>
              </w:rPr>
              <w:t>*</w:t>
            </w:r>
          </w:p>
        </w:tc>
      </w:tr>
      <w:tr w:rsidR="002E4B8A" w:rsidRPr="005E02DB" w14:paraId="029F47B3" w14:textId="77777777" w:rsidTr="00273B5A">
        <w:trPr>
          <w:jc w:val="center"/>
        </w:trPr>
        <w:tc>
          <w:tcPr>
            <w:tcW w:w="925" w:type="pct"/>
            <w:hideMark/>
          </w:tcPr>
          <w:p w14:paraId="750D4F4C" w14:textId="603CABBD" w:rsidR="005E02DB" w:rsidRPr="002E4B8A" w:rsidRDefault="005E02DB" w:rsidP="002E4B8A">
            <w:pPr>
              <w:widowControl w:val="0"/>
              <w:autoSpaceDE w:val="0"/>
              <w:autoSpaceDN w:val="0"/>
              <w:adjustRightInd w:val="0"/>
              <w:spacing w:line="240" w:lineRule="auto"/>
              <w:rPr>
                <w:rFonts w:eastAsia="DengXian" w:cs="Times New Roman"/>
                <w:sz w:val="20"/>
                <w:szCs w:val="20"/>
              </w:rPr>
            </w:pPr>
          </w:p>
        </w:tc>
        <w:tc>
          <w:tcPr>
            <w:tcW w:w="569" w:type="pct"/>
            <w:hideMark/>
          </w:tcPr>
          <w:p w14:paraId="1AA80DF9" w14:textId="441E17D8"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(.000</w:t>
            </w:r>
            <w:r w:rsidR="00271798" w:rsidRPr="002E4B8A">
              <w:rPr>
                <w:rFonts w:eastAsia="DengXian" w:cs="Times New Roman"/>
                <w:sz w:val="20"/>
                <w:szCs w:val="20"/>
              </w:rPr>
              <w:t>7</w:t>
            </w:r>
            <w:r w:rsidRPr="002E4B8A">
              <w:rPr>
                <w:rFonts w:eastAsia="DengXian" w:cs="Times New Roman"/>
                <w:sz w:val="20"/>
                <w:szCs w:val="20"/>
              </w:rPr>
              <w:t>)</w:t>
            </w:r>
          </w:p>
        </w:tc>
        <w:tc>
          <w:tcPr>
            <w:tcW w:w="603" w:type="pct"/>
            <w:hideMark/>
          </w:tcPr>
          <w:p w14:paraId="3C2CCA92" w14:textId="7777777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(.00115)</w:t>
            </w:r>
          </w:p>
        </w:tc>
        <w:tc>
          <w:tcPr>
            <w:tcW w:w="569" w:type="pct"/>
            <w:hideMark/>
          </w:tcPr>
          <w:p w14:paraId="1D6416F6" w14:textId="7777777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(.00071)</w:t>
            </w:r>
          </w:p>
        </w:tc>
        <w:tc>
          <w:tcPr>
            <w:tcW w:w="569" w:type="pct"/>
            <w:hideMark/>
          </w:tcPr>
          <w:p w14:paraId="23D19FA1" w14:textId="7777777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(.00027)</w:t>
            </w:r>
          </w:p>
        </w:tc>
        <w:tc>
          <w:tcPr>
            <w:tcW w:w="628" w:type="pct"/>
            <w:hideMark/>
          </w:tcPr>
          <w:p w14:paraId="3BE5A92C" w14:textId="7777777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(.00048)</w:t>
            </w:r>
          </w:p>
        </w:tc>
        <w:tc>
          <w:tcPr>
            <w:tcW w:w="569" w:type="pct"/>
            <w:hideMark/>
          </w:tcPr>
          <w:p w14:paraId="7497D3F9" w14:textId="7777777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(.00028)</w:t>
            </w:r>
          </w:p>
        </w:tc>
        <w:tc>
          <w:tcPr>
            <w:tcW w:w="569" w:type="pct"/>
            <w:hideMark/>
          </w:tcPr>
          <w:p w14:paraId="7FABF33C" w14:textId="4A15E23B"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(.0020)</w:t>
            </w:r>
          </w:p>
        </w:tc>
      </w:tr>
      <w:tr w:rsidR="002E4B8A" w:rsidRPr="005E02DB" w14:paraId="019BBC6B" w14:textId="77777777" w:rsidTr="00273B5A">
        <w:trPr>
          <w:jc w:val="center"/>
        </w:trPr>
        <w:tc>
          <w:tcPr>
            <w:tcW w:w="925" w:type="pct"/>
            <w:hideMark/>
          </w:tcPr>
          <w:p w14:paraId="338E5E18" w14:textId="7777777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TSD * Range</w:t>
            </w:r>
          </w:p>
        </w:tc>
        <w:tc>
          <w:tcPr>
            <w:tcW w:w="569" w:type="pct"/>
            <w:hideMark/>
          </w:tcPr>
          <w:p w14:paraId="77BC7DCF" w14:textId="0E183DCB"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-.00</w:t>
            </w:r>
            <w:r w:rsidR="00271798" w:rsidRPr="002E4B8A">
              <w:rPr>
                <w:rFonts w:eastAsia="DengXian" w:cs="Times New Roman"/>
                <w:sz w:val="20"/>
                <w:szCs w:val="20"/>
              </w:rPr>
              <w:t>10</w:t>
            </w:r>
            <w:r w:rsidRPr="002E4B8A">
              <w:rPr>
                <w:rFonts w:eastAsia="DengXian" w:cs="Times New Roman"/>
                <w:sz w:val="20"/>
                <w:szCs w:val="20"/>
              </w:rPr>
              <w:t>**</w:t>
            </w:r>
          </w:p>
        </w:tc>
        <w:tc>
          <w:tcPr>
            <w:tcW w:w="603" w:type="pct"/>
            <w:hideMark/>
          </w:tcPr>
          <w:p w14:paraId="15335CCC" w14:textId="7777777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-.00135**</w:t>
            </w:r>
          </w:p>
        </w:tc>
        <w:tc>
          <w:tcPr>
            <w:tcW w:w="569" w:type="pct"/>
            <w:hideMark/>
          </w:tcPr>
          <w:p w14:paraId="6E7BB57B" w14:textId="7777777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-.0008**</w:t>
            </w:r>
          </w:p>
        </w:tc>
        <w:tc>
          <w:tcPr>
            <w:tcW w:w="569" w:type="pct"/>
            <w:hideMark/>
          </w:tcPr>
          <w:p w14:paraId="1AEE1271" w14:textId="7777777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.00013</w:t>
            </w:r>
          </w:p>
        </w:tc>
        <w:tc>
          <w:tcPr>
            <w:tcW w:w="628" w:type="pct"/>
            <w:hideMark/>
          </w:tcPr>
          <w:p w14:paraId="3A463C1D" w14:textId="7777777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-.00014</w:t>
            </w:r>
          </w:p>
        </w:tc>
        <w:tc>
          <w:tcPr>
            <w:tcW w:w="569" w:type="pct"/>
            <w:hideMark/>
          </w:tcPr>
          <w:p w14:paraId="337CEDD1" w14:textId="7777777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-.00007</w:t>
            </w:r>
          </w:p>
        </w:tc>
        <w:tc>
          <w:tcPr>
            <w:tcW w:w="569" w:type="pct"/>
            <w:hideMark/>
          </w:tcPr>
          <w:p w14:paraId="5ABC3720" w14:textId="7777777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-.0003</w:t>
            </w:r>
          </w:p>
        </w:tc>
      </w:tr>
      <w:tr w:rsidR="002E4B8A" w:rsidRPr="005E02DB" w14:paraId="6A671BBD" w14:textId="77777777" w:rsidTr="00273B5A">
        <w:trPr>
          <w:jc w:val="center"/>
        </w:trPr>
        <w:tc>
          <w:tcPr>
            <w:tcW w:w="925" w:type="pct"/>
            <w:hideMark/>
          </w:tcPr>
          <w:p w14:paraId="4E97F6AA" w14:textId="129551F2" w:rsidR="005E02DB" w:rsidRPr="002E4B8A" w:rsidRDefault="005E02DB" w:rsidP="002E4B8A">
            <w:pPr>
              <w:widowControl w:val="0"/>
              <w:autoSpaceDE w:val="0"/>
              <w:autoSpaceDN w:val="0"/>
              <w:adjustRightInd w:val="0"/>
              <w:spacing w:line="240" w:lineRule="auto"/>
              <w:rPr>
                <w:rFonts w:eastAsia="DengXian" w:cs="Times New Roman"/>
                <w:sz w:val="20"/>
                <w:szCs w:val="20"/>
              </w:rPr>
            </w:pPr>
          </w:p>
        </w:tc>
        <w:tc>
          <w:tcPr>
            <w:tcW w:w="569" w:type="pct"/>
            <w:hideMark/>
          </w:tcPr>
          <w:p w14:paraId="36DEAE87" w14:textId="7777777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(.00045)</w:t>
            </w:r>
          </w:p>
        </w:tc>
        <w:tc>
          <w:tcPr>
            <w:tcW w:w="603" w:type="pct"/>
            <w:hideMark/>
          </w:tcPr>
          <w:p w14:paraId="17DA3D06" w14:textId="7777777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(.00063)</w:t>
            </w:r>
          </w:p>
        </w:tc>
        <w:tc>
          <w:tcPr>
            <w:tcW w:w="569" w:type="pct"/>
            <w:hideMark/>
          </w:tcPr>
          <w:p w14:paraId="2A63C9B3" w14:textId="7777777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(.0004)</w:t>
            </w:r>
          </w:p>
        </w:tc>
        <w:tc>
          <w:tcPr>
            <w:tcW w:w="569" w:type="pct"/>
            <w:hideMark/>
          </w:tcPr>
          <w:p w14:paraId="513DAC8C" w14:textId="7777777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(.00015)</w:t>
            </w:r>
          </w:p>
        </w:tc>
        <w:tc>
          <w:tcPr>
            <w:tcW w:w="628" w:type="pct"/>
            <w:hideMark/>
          </w:tcPr>
          <w:p w14:paraId="46114C81" w14:textId="7777777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(.00022)</w:t>
            </w:r>
          </w:p>
        </w:tc>
        <w:tc>
          <w:tcPr>
            <w:tcW w:w="569" w:type="pct"/>
            <w:hideMark/>
          </w:tcPr>
          <w:p w14:paraId="20B0BBF2" w14:textId="7777777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(.00014)</w:t>
            </w:r>
          </w:p>
        </w:tc>
        <w:tc>
          <w:tcPr>
            <w:tcW w:w="569" w:type="pct"/>
            <w:hideMark/>
          </w:tcPr>
          <w:p w14:paraId="3726E68A" w14:textId="7777777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(.00033)</w:t>
            </w:r>
          </w:p>
        </w:tc>
      </w:tr>
      <w:tr w:rsidR="002E4B8A" w:rsidRPr="005E02DB" w14:paraId="0181E02A" w14:textId="77777777" w:rsidTr="00273B5A">
        <w:trPr>
          <w:jc w:val="center"/>
        </w:trPr>
        <w:tc>
          <w:tcPr>
            <w:tcW w:w="925" w:type="pct"/>
            <w:hideMark/>
          </w:tcPr>
          <w:p w14:paraId="10A0192D" w14:textId="0575740E"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Poverty rate (100s)</w:t>
            </w:r>
          </w:p>
        </w:tc>
        <w:tc>
          <w:tcPr>
            <w:tcW w:w="569" w:type="pct"/>
            <w:hideMark/>
          </w:tcPr>
          <w:p w14:paraId="68F27BF5" w14:textId="18042C71"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.545</w:t>
            </w:r>
          </w:p>
        </w:tc>
        <w:tc>
          <w:tcPr>
            <w:tcW w:w="603" w:type="pct"/>
            <w:hideMark/>
          </w:tcPr>
          <w:p w14:paraId="398A5114" w14:textId="7777777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-.917</w:t>
            </w:r>
          </w:p>
        </w:tc>
        <w:tc>
          <w:tcPr>
            <w:tcW w:w="569" w:type="pct"/>
            <w:hideMark/>
          </w:tcPr>
          <w:p w14:paraId="0A553566" w14:textId="6DDE722C"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.90</w:t>
            </w:r>
            <w:r w:rsidR="00773709" w:rsidRPr="002E4B8A">
              <w:rPr>
                <w:rFonts w:eastAsia="DengXian" w:cs="Times New Roman"/>
                <w:sz w:val="20"/>
                <w:szCs w:val="20"/>
              </w:rPr>
              <w:t>4</w:t>
            </w:r>
          </w:p>
        </w:tc>
        <w:tc>
          <w:tcPr>
            <w:tcW w:w="569" w:type="pct"/>
            <w:hideMark/>
          </w:tcPr>
          <w:p w14:paraId="01EE4853" w14:textId="73D87F01"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-1.666***</w:t>
            </w:r>
          </w:p>
        </w:tc>
        <w:tc>
          <w:tcPr>
            <w:tcW w:w="628" w:type="pct"/>
            <w:hideMark/>
          </w:tcPr>
          <w:p w14:paraId="2D594975" w14:textId="69894108"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-.994**</w:t>
            </w:r>
          </w:p>
        </w:tc>
        <w:tc>
          <w:tcPr>
            <w:tcW w:w="569" w:type="pct"/>
            <w:hideMark/>
          </w:tcPr>
          <w:p w14:paraId="5563D4E9" w14:textId="7DE766C3"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-1.006***</w:t>
            </w:r>
          </w:p>
        </w:tc>
        <w:tc>
          <w:tcPr>
            <w:tcW w:w="569" w:type="pct"/>
            <w:hideMark/>
          </w:tcPr>
          <w:p w14:paraId="71EBE374" w14:textId="3E49E89D"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.24</w:t>
            </w:r>
            <w:r w:rsidR="00D9137A" w:rsidRPr="002E4B8A">
              <w:rPr>
                <w:rFonts w:eastAsia="DengXian" w:cs="Times New Roman"/>
                <w:sz w:val="20"/>
                <w:szCs w:val="20"/>
              </w:rPr>
              <w:t>6</w:t>
            </w:r>
          </w:p>
        </w:tc>
      </w:tr>
      <w:tr w:rsidR="002E4B8A" w:rsidRPr="005E02DB" w14:paraId="37170A45" w14:textId="77777777" w:rsidTr="00273B5A">
        <w:trPr>
          <w:jc w:val="center"/>
        </w:trPr>
        <w:tc>
          <w:tcPr>
            <w:tcW w:w="925" w:type="pct"/>
            <w:hideMark/>
          </w:tcPr>
          <w:p w14:paraId="6E816B05" w14:textId="05F1E6FA" w:rsidR="005E02DB" w:rsidRPr="002E4B8A" w:rsidRDefault="005E02DB" w:rsidP="002E4B8A">
            <w:pPr>
              <w:widowControl w:val="0"/>
              <w:autoSpaceDE w:val="0"/>
              <w:autoSpaceDN w:val="0"/>
              <w:adjustRightInd w:val="0"/>
              <w:spacing w:line="240" w:lineRule="auto"/>
              <w:rPr>
                <w:rFonts w:eastAsia="DengXian" w:cs="Times New Roman"/>
                <w:sz w:val="20"/>
                <w:szCs w:val="20"/>
              </w:rPr>
            </w:pPr>
          </w:p>
        </w:tc>
        <w:tc>
          <w:tcPr>
            <w:tcW w:w="569" w:type="pct"/>
            <w:hideMark/>
          </w:tcPr>
          <w:p w14:paraId="75F38EC2" w14:textId="7583522B"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(.83</w:t>
            </w:r>
            <w:r w:rsidR="00E75CAE" w:rsidRPr="002E4B8A">
              <w:rPr>
                <w:rFonts w:eastAsia="DengXian" w:cs="Times New Roman"/>
                <w:sz w:val="20"/>
                <w:szCs w:val="20"/>
              </w:rPr>
              <w:t>8</w:t>
            </w:r>
            <w:r w:rsidRPr="002E4B8A">
              <w:rPr>
                <w:rFonts w:eastAsia="DengXian" w:cs="Times New Roman"/>
                <w:sz w:val="20"/>
                <w:szCs w:val="20"/>
              </w:rPr>
              <w:t>)</w:t>
            </w:r>
          </w:p>
        </w:tc>
        <w:tc>
          <w:tcPr>
            <w:tcW w:w="603" w:type="pct"/>
            <w:hideMark/>
          </w:tcPr>
          <w:p w14:paraId="1BB89C18" w14:textId="7F07C658"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(1.09</w:t>
            </w:r>
            <w:r w:rsidR="00773709" w:rsidRPr="002E4B8A">
              <w:rPr>
                <w:rFonts w:eastAsia="DengXian" w:cs="Times New Roman"/>
                <w:sz w:val="20"/>
                <w:szCs w:val="20"/>
              </w:rPr>
              <w:t>4</w:t>
            </w:r>
            <w:r w:rsidRPr="002E4B8A">
              <w:rPr>
                <w:rFonts w:eastAsia="DengXian" w:cs="Times New Roman"/>
                <w:sz w:val="20"/>
                <w:szCs w:val="20"/>
              </w:rPr>
              <w:t>)</w:t>
            </w:r>
          </w:p>
        </w:tc>
        <w:tc>
          <w:tcPr>
            <w:tcW w:w="569" w:type="pct"/>
            <w:hideMark/>
          </w:tcPr>
          <w:p w14:paraId="144902B0" w14:textId="764EF312"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(.874)</w:t>
            </w:r>
          </w:p>
        </w:tc>
        <w:tc>
          <w:tcPr>
            <w:tcW w:w="569" w:type="pct"/>
            <w:hideMark/>
          </w:tcPr>
          <w:p w14:paraId="4FF8D5BB" w14:textId="4B67E705"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(.27</w:t>
            </w:r>
            <w:r w:rsidR="00A8113F" w:rsidRPr="002E4B8A">
              <w:rPr>
                <w:rFonts w:eastAsia="DengXian" w:cs="Times New Roman"/>
                <w:sz w:val="20"/>
                <w:szCs w:val="20"/>
              </w:rPr>
              <w:t>7</w:t>
            </w:r>
            <w:r w:rsidRPr="002E4B8A">
              <w:rPr>
                <w:rFonts w:eastAsia="DengXian" w:cs="Times New Roman"/>
                <w:sz w:val="20"/>
                <w:szCs w:val="20"/>
              </w:rPr>
              <w:t>)</w:t>
            </w:r>
          </w:p>
        </w:tc>
        <w:tc>
          <w:tcPr>
            <w:tcW w:w="628" w:type="pct"/>
            <w:hideMark/>
          </w:tcPr>
          <w:p w14:paraId="182C3ED4" w14:textId="3ACEDC61"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(.250)</w:t>
            </w:r>
          </w:p>
        </w:tc>
        <w:tc>
          <w:tcPr>
            <w:tcW w:w="569" w:type="pct"/>
            <w:hideMark/>
          </w:tcPr>
          <w:p w14:paraId="747300F6" w14:textId="271C599A"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(.28</w:t>
            </w:r>
            <w:r w:rsidR="00D9137A" w:rsidRPr="002E4B8A">
              <w:rPr>
                <w:rFonts w:eastAsia="DengXian" w:cs="Times New Roman"/>
                <w:sz w:val="20"/>
                <w:szCs w:val="20"/>
              </w:rPr>
              <w:t>9</w:t>
            </w:r>
            <w:r w:rsidRPr="002E4B8A">
              <w:rPr>
                <w:rFonts w:eastAsia="DengXian" w:cs="Times New Roman"/>
                <w:sz w:val="20"/>
                <w:szCs w:val="20"/>
              </w:rPr>
              <w:t>)</w:t>
            </w:r>
          </w:p>
        </w:tc>
        <w:tc>
          <w:tcPr>
            <w:tcW w:w="569" w:type="pct"/>
            <w:hideMark/>
          </w:tcPr>
          <w:p w14:paraId="7AF8D52D" w14:textId="6B59890C"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(.641)</w:t>
            </w:r>
          </w:p>
        </w:tc>
      </w:tr>
      <w:tr w:rsidR="002E4B8A" w:rsidRPr="005E02DB" w14:paraId="718ECC93" w14:textId="77777777" w:rsidTr="00273B5A">
        <w:trPr>
          <w:jc w:val="center"/>
        </w:trPr>
        <w:tc>
          <w:tcPr>
            <w:tcW w:w="925" w:type="pct"/>
            <w:hideMark/>
          </w:tcPr>
          <w:p w14:paraId="09F1DAB4" w14:textId="621E0236" w:rsidR="00D326A2" w:rsidRPr="002E4B8A" w:rsidRDefault="00D326A2" w:rsidP="002E4B8A">
            <w:pPr>
              <w:widowControl w:val="0"/>
              <w:autoSpaceDE w:val="0"/>
              <w:autoSpaceDN w:val="0"/>
              <w:adjustRightInd w:val="0"/>
              <w:spacing w:line="240" w:lineRule="auto"/>
              <w:rPr>
                <w:rFonts w:eastAsia="DengXian" w:cs="Times New Roman"/>
                <w:sz w:val="20"/>
                <w:szCs w:val="20"/>
              </w:rPr>
            </w:pPr>
            <w:proofErr w:type="spellStart"/>
            <w:r w:rsidRPr="002E4B8A">
              <w:rPr>
                <w:rFonts w:eastAsia="DengXian" w:cs="Times New Roman"/>
                <w:sz w:val="20"/>
                <w:szCs w:val="20"/>
              </w:rPr>
              <w:t>Unemp</w:t>
            </w:r>
            <w:proofErr w:type="spellEnd"/>
            <w:r w:rsidRPr="002E4B8A">
              <w:rPr>
                <w:rFonts w:eastAsia="DengXian" w:cs="Times New Roman"/>
                <w:sz w:val="20"/>
                <w:szCs w:val="20"/>
              </w:rPr>
              <w:t>. rate (100s)</w:t>
            </w:r>
          </w:p>
        </w:tc>
        <w:tc>
          <w:tcPr>
            <w:tcW w:w="569" w:type="pct"/>
            <w:hideMark/>
          </w:tcPr>
          <w:p w14:paraId="1E5FD281" w14:textId="583C4597"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-.880</w:t>
            </w:r>
          </w:p>
        </w:tc>
        <w:tc>
          <w:tcPr>
            <w:tcW w:w="603" w:type="pct"/>
            <w:hideMark/>
          </w:tcPr>
          <w:p w14:paraId="5D1B71A8" w14:textId="453735D9"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.515</w:t>
            </w:r>
          </w:p>
        </w:tc>
        <w:tc>
          <w:tcPr>
            <w:tcW w:w="569" w:type="pct"/>
            <w:hideMark/>
          </w:tcPr>
          <w:p w14:paraId="00E42F39" w14:textId="3C53FAE0"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1.683*</w:t>
            </w:r>
          </w:p>
        </w:tc>
        <w:tc>
          <w:tcPr>
            <w:tcW w:w="569" w:type="pct"/>
            <w:hideMark/>
          </w:tcPr>
          <w:p w14:paraId="4CF4547B" w14:textId="356DA3E8"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.759***</w:t>
            </w:r>
          </w:p>
        </w:tc>
        <w:tc>
          <w:tcPr>
            <w:tcW w:w="628" w:type="pct"/>
            <w:hideMark/>
          </w:tcPr>
          <w:p w14:paraId="5459C40E" w14:textId="1DEBEF1B"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.121</w:t>
            </w:r>
          </w:p>
        </w:tc>
        <w:tc>
          <w:tcPr>
            <w:tcW w:w="569" w:type="pct"/>
            <w:hideMark/>
          </w:tcPr>
          <w:p w14:paraId="12C33C6F" w14:textId="5135860D"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1.021***</w:t>
            </w:r>
          </w:p>
        </w:tc>
        <w:tc>
          <w:tcPr>
            <w:tcW w:w="569" w:type="pct"/>
            <w:hideMark/>
          </w:tcPr>
          <w:p w14:paraId="66F21EA7" w14:textId="3BB7D902"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.919</w:t>
            </w:r>
          </w:p>
        </w:tc>
      </w:tr>
      <w:tr w:rsidR="002E4B8A" w:rsidRPr="005E02DB" w14:paraId="76305765" w14:textId="77777777" w:rsidTr="00273B5A">
        <w:trPr>
          <w:jc w:val="center"/>
        </w:trPr>
        <w:tc>
          <w:tcPr>
            <w:tcW w:w="925" w:type="pct"/>
            <w:hideMark/>
          </w:tcPr>
          <w:p w14:paraId="0E4B106D" w14:textId="3447B1FA" w:rsidR="00D326A2" w:rsidRPr="002E4B8A" w:rsidRDefault="00D326A2" w:rsidP="002E4B8A">
            <w:pPr>
              <w:widowControl w:val="0"/>
              <w:autoSpaceDE w:val="0"/>
              <w:autoSpaceDN w:val="0"/>
              <w:adjustRightInd w:val="0"/>
              <w:spacing w:line="240" w:lineRule="auto"/>
              <w:rPr>
                <w:rFonts w:eastAsia="DengXian" w:cs="Times New Roman"/>
                <w:sz w:val="20"/>
                <w:szCs w:val="20"/>
              </w:rPr>
            </w:pPr>
          </w:p>
        </w:tc>
        <w:tc>
          <w:tcPr>
            <w:tcW w:w="569" w:type="pct"/>
            <w:hideMark/>
          </w:tcPr>
          <w:p w14:paraId="70C1E429" w14:textId="7FE04E34"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(.625)</w:t>
            </w:r>
          </w:p>
        </w:tc>
        <w:tc>
          <w:tcPr>
            <w:tcW w:w="603" w:type="pct"/>
            <w:hideMark/>
          </w:tcPr>
          <w:p w14:paraId="595AEC6F" w14:textId="730854DB"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(1.170)</w:t>
            </w:r>
          </w:p>
        </w:tc>
        <w:tc>
          <w:tcPr>
            <w:tcW w:w="569" w:type="pct"/>
            <w:hideMark/>
          </w:tcPr>
          <w:p w14:paraId="102D3BC3" w14:textId="68BAEF93"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(.970)</w:t>
            </w:r>
          </w:p>
        </w:tc>
        <w:tc>
          <w:tcPr>
            <w:tcW w:w="569" w:type="pct"/>
            <w:hideMark/>
          </w:tcPr>
          <w:p w14:paraId="325A6EB9" w14:textId="0A1647CA"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(.273)</w:t>
            </w:r>
          </w:p>
        </w:tc>
        <w:tc>
          <w:tcPr>
            <w:tcW w:w="628" w:type="pct"/>
            <w:hideMark/>
          </w:tcPr>
          <w:p w14:paraId="5256829A" w14:textId="5B10CEC1"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(.270)</w:t>
            </w:r>
          </w:p>
        </w:tc>
        <w:tc>
          <w:tcPr>
            <w:tcW w:w="569" w:type="pct"/>
            <w:hideMark/>
          </w:tcPr>
          <w:p w14:paraId="5BDD2E27" w14:textId="4F976F08"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(.363)</w:t>
            </w:r>
          </w:p>
        </w:tc>
        <w:tc>
          <w:tcPr>
            <w:tcW w:w="569" w:type="pct"/>
            <w:hideMark/>
          </w:tcPr>
          <w:p w14:paraId="4F4070B3" w14:textId="68BF93F9"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(.649)</w:t>
            </w:r>
          </w:p>
        </w:tc>
      </w:tr>
      <w:tr w:rsidR="002E4B8A" w:rsidRPr="005E02DB" w14:paraId="483902DD" w14:textId="77777777" w:rsidTr="00273B5A">
        <w:trPr>
          <w:jc w:val="center"/>
        </w:trPr>
        <w:tc>
          <w:tcPr>
            <w:tcW w:w="925" w:type="pct"/>
            <w:hideMark/>
          </w:tcPr>
          <w:p w14:paraId="3795ABC3" w14:textId="7AE88939"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Pop. Density (100s)</w:t>
            </w:r>
          </w:p>
        </w:tc>
        <w:tc>
          <w:tcPr>
            <w:tcW w:w="569" w:type="pct"/>
            <w:hideMark/>
          </w:tcPr>
          <w:p w14:paraId="03EB2B3D" w14:textId="38C71AD0"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-.987</w:t>
            </w:r>
          </w:p>
        </w:tc>
        <w:tc>
          <w:tcPr>
            <w:tcW w:w="603" w:type="pct"/>
            <w:hideMark/>
          </w:tcPr>
          <w:p w14:paraId="6FE67D01" w14:textId="3DB291D3"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21.005</w:t>
            </w:r>
          </w:p>
        </w:tc>
        <w:tc>
          <w:tcPr>
            <w:tcW w:w="569" w:type="pct"/>
            <w:hideMark/>
          </w:tcPr>
          <w:p w14:paraId="785671E4" w14:textId="3351F555"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1.423</w:t>
            </w:r>
          </w:p>
        </w:tc>
        <w:tc>
          <w:tcPr>
            <w:tcW w:w="569" w:type="pct"/>
            <w:hideMark/>
          </w:tcPr>
          <w:p w14:paraId="275C32A3" w14:textId="2FFBB22F"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.498</w:t>
            </w:r>
          </w:p>
        </w:tc>
        <w:tc>
          <w:tcPr>
            <w:tcW w:w="628" w:type="pct"/>
            <w:hideMark/>
          </w:tcPr>
          <w:p w14:paraId="170F65F8" w14:textId="2F8B1CFE"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-3.449***</w:t>
            </w:r>
          </w:p>
        </w:tc>
        <w:tc>
          <w:tcPr>
            <w:tcW w:w="569" w:type="pct"/>
            <w:hideMark/>
          </w:tcPr>
          <w:p w14:paraId="44C78AE6" w14:textId="1F94A331"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2.783***</w:t>
            </w:r>
          </w:p>
        </w:tc>
        <w:tc>
          <w:tcPr>
            <w:tcW w:w="569" w:type="pct"/>
            <w:hideMark/>
          </w:tcPr>
          <w:p w14:paraId="36286F0C" w14:textId="77A2EFC9"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-1.430</w:t>
            </w:r>
          </w:p>
        </w:tc>
      </w:tr>
      <w:tr w:rsidR="002E4B8A" w:rsidRPr="005E02DB" w14:paraId="4E1953E8" w14:textId="77777777" w:rsidTr="00273B5A">
        <w:trPr>
          <w:jc w:val="center"/>
        </w:trPr>
        <w:tc>
          <w:tcPr>
            <w:tcW w:w="925" w:type="pct"/>
            <w:hideMark/>
          </w:tcPr>
          <w:p w14:paraId="4E2FBA84" w14:textId="45E53E87" w:rsidR="00D326A2" w:rsidRPr="002E4B8A" w:rsidRDefault="00D326A2" w:rsidP="002E4B8A">
            <w:pPr>
              <w:widowControl w:val="0"/>
              <w:autoSpaceDE w:val="0"/>
              <w:autoSpaceDN w:val="0"/>
              <w:adjustRightInd w:val="0"/>
              <w:spacing w:line="240" w:lineRule="auto"/>
              <w:rPr>
                <w:rFonts w:eastAsia="DengXian" w:cs="Times New Roman"/>
                <w:sz w:val="20"/>
                <w:szCs w:val="20"/>
              </w:rPr>
            </w:pPr>
          </w:p>
        </w:tc>
        <w:tc>
          <w:tcPr>
            <w:tcW w:w="569" w:type="pct"/>
            <w:hideMark/>
          </w:tcPr>
          <w:p w14:paraId="181338D1" w14:textId="13F041B8"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(8.486)</w:t>
            </w:r>
          </w:p>
        </w:tc>
        <w:tc>
          <w:tcPr>
            <w:tcW w:w="603" w:type="pct"/>
            <w:hideMark/>
          </w:tcPr>
          <w:p w14:paraId="34775BC1" w14:textId="0503E938"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(14.801)</w:t>
            </w:r>
          </w:p>
        </w:tc>
        <w:tc>
          <w:tcPr>
            <w:tcW w:w="569" w:type="pct"/>
            <w:hideMark/>
          </w:tcPr>
          <w:p w14:paraId="6207CCEF" w14:textId="57BE81D8"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(3.026)</w:t>
            </w:r>
          </w:p>
        </w:tc>
        <w:tc>
          <w:tcPr>
            <w:tcW w:w="569" w:type="pct"/>
            <w:hideMark/>
          </w:tcPr>
          <w:p w14:paraId="604DD426" w14:textId="2FFA5352"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(1.440)</w:t>
            </w:r>
          </w:p>
        </w:tc>
        <w:tc>
          <w:tcPr>
            <w:tcW w:w="628" w:type="pct"/>
            <w:hideMark/>
          </w:tcPr>
          <w:p w14:paraId="24D0A227" w14:textId="770EA9C2"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(1.264)</w:t>
            </w:r>
          </w:p>
        </w:tc>
        <w:tc>
          <w:tcPr>
            <w:tcW w:w="569" w:type="pct"/>
            <w:hideMark/>
          </w:tcPr>
          <w:p w14:paraId="72E97EAB" w14:textId="13428A7B"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(.788)</w:t>
            </w:r>
          </w:p>
        </w:tc>
        <w:tc>
          <w:tcPr>
            <w:tcW w:w="569" w:type="pct"/>
            <w:hideMark/>
          </w:tcPr>
          <w:p w14:paraId="02AD516C" w14:textId="690B19DA"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(1.230)</w:t>
            </w:r>
          </w:p>
        </w:tc>
      </w:tr>
      <w:tr w:rsidR="002E4B8A" w:rsidRPr="005E02DB" w14:paraId="25AE175C" w14:textId="77777777" w:rsidTr="00273B5A">
        <w:trPr>
          <w:jc w:val="center"/>
        </w:trPr>
        <w:tc>
          <w:tcPr>
            <w:tcW w:w="925" w:type="pct"/>
            <w:hideMark/>
          </w:tcPr>
          <w:p w14:paraId="3CB4C38D" w14:textId="3EE9390D"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Med. HH Inc. (100ks)</w:t>
            </w:r>
          </w:p>
        </w:tc>
        <w:tc>
          <w:tcPr>
            <w:tcW w:w="569" w:type="pct"/>
            <w:hideMark/>
          </w:tcPr>
          <w:p w14:paraId="7DBEC1A6" w14:textId="65B6857D"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1.445***</w:t>
            </w:r>
          </w:p>
        </w:tc>
        <w:tc>
          <w:tcPr>
            <w:tcW w:w="603" w:type="pct"/>
            <w:hideMark/>
          </w:tcPr>
          <w:p w14:paraId="1A17FDCF" w14:textId="0996B1B8"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-.146</w:t>
            </w:r>
          </w:p>
        </w:tc>
        <w:tc>
          <w:tcPr>
            <w:tcW w:w="569" w:type="pct"/>
            <w:hideMark/>
          </w:tcPr>
          <w:p w14:paraId="2570B575" w14:textId="79334E8A"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.603</w:t>
            </w:r>
          </w:p>
        </w:tc>
        <w:tc>
          <w:tcPr>
            <w:tcW w:w="569" w:type="pct"/>
            <w:hideMark/>
          </w:tcPr>
          <w:p w14:paraId="6FEE1960" w14:textId="315B4F20"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.660***</w:t>
            </w:r>
          </w:p>
        </w:tc>
        <w:tc>
          <w:tcPr>
            <w:tcW w:w="628" w:type="pct"/>
            <w:hideMark/>
          </w:tcPr>
          <w:p w14:paraId="1C5069D8" w14:textId="183B8FD0"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.552***</w:t>
            </w:r>
          </w:p>
        </w:tc>
        <w:tc>
          <w:tcPr>
            <w:tcW w:w="569" w:type="pct"/>
            <w:hideMark/>
          </w:tcPr>
          <w:p w14:paraId="53F94195" w14:textId="4B1598FA"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.417**</w:t>
            </w:r>
          </w:p>
        </w:tc>
        <w:tc>
          <w:tcPr>
            <w:tcW w:w="569" w:type="pct"/>
            <w:hideMark/>
          </w:tcPr>
          <w:p w14:paraId="1C55E139" w14:textId="1021EA31"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.356**</w:t>
            </w:r>
          </w:p>
        </w:tc>
      </w:tr>
      <w:tr w:rsidR="002E4B8A" w:rsidRPr="005E02DB" w14:paraId="34C48D9F" w14:textId="77777777" w:rsidTr="00273B5A">
        <w:trPr>
          <w:jc w:val="center"/>
        </w:trPr>
        <w:tc>
          <w:tcPr>
            <w:tcW w:w="925" w:type="pct"/>
            <w:hideMark/>
          </w:tcPr>
          <w:p w14:paraId="22C2DB1F" w14:textId="143E8E01" w:rsidR="00D326A2" w:rsidRPr="002E4B8A" w:rsidRDefault="00D326A2" w:rsidP="002E4B8A">
            <w:pPr>
              <w:widowControl w:val="0"/>
              <w:autoSpaceDE w:val="0"/>
              <w:autoSpaceDN w:val="0"/>
              <w:adjustRightInd w:val="0"/>
              <w:spacing w:line="240" w:lineRule="auto"/>
              <w:rPr>
                <w:rFonts w:eastAsia="DengXian" w:cs="Times New Roman"/>
                <w:sz w:val="20"/>
                <w:szCs w:val="20"/>
              </w:rPr>
            </w:pPr>
          </w:p>
        </w:tc>
        <w:tc>
          <w:tcPr>
            <w:tcW w:w="569" w:type="pct"/>
            <w:hideMark/>
          </w:tcPr>
          <w:p w14:paraId="285CFEAB" w14:textId="00D04D06"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(.317)</w:t>
            </w:r>
          </w:p>
        </w:tc>
        <w:tc>
          <w:tcPr>
            <w:tcW w:w="603" w:type="pct"/>
            <w:hideMark/>
          </w:tcPr>
          <w:p w14:paraId="12A2A7C3" w14:textId="5243D05A"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(.802)</w:t>
            </w:r>
          </w:p>
        </w:tc>
        <w:tc>
          <w:tcPr>
            <w:tcW w:w="569" w:type="pct"/>
            <w:hideMark/>
          </w:tcPr>
          <w:p w14:paraId="050A9BD1" w14:textId="685B2054"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(.410)</w:t>
            </w:r>
          </w:p>
        </w:tc>
        <w:tc>
          <w:tcPr>
            <w:tcW w:w="569" w:type="pct"/>
            <w:hideMark/>
          </w:tcPr>
          <w:p w14:paraId="03084858" w14:textId="71357D47"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(.166)</w:t>
            </w:r>
          </w:p>
        </w:tc>
        <w:tc>
          <w:tcPr>
            <w:tcW w:w="628" w:type="pct"/>
            <w:hideMark/>
          </w:tcPr>
          <w:p w14:paraId="6FCBF9E9" w14:textId="02DDAD15"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(.172)</w:t>
            </w:r>
          </w:p>
        </w:tc>
        <w:tc>
          <w:tcPr>
            <w:tcW w:w="569" w:type="pct"/>
            <w:hideMark/>
          </w:tcPr>
          <w:p w14:paraId="7F3F4459" w14:textId="43ACF3B8"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(.183)</w:t>
            </w:r>
          </w:p>
        </w:tc>
        <w:tc>
          <w:tcPr>
            <w:tcW w:w="569" w:type="pct"/>
            <w:hideMark/>
          </w:tcPr>
          <w:p w14:paraId="392E000C" w14:textId="6EA21F27"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(.175)</w:t>
            </w:r>
          </w:p>
        </w:tc>
      </w:tr>
      <w:tr w:rsidR="002E4B8A" w:rsidRPr="005E02DB" w14:paraId="6705D813" w14:textId="77777777" w:rsidTr="00273B5A">
        <w:trPr>
          <w:jc w:val="center"/>
        </w:trPr>
        <w:tc>
          <w:tcPr>
            <w:tcW w:w="925" w:type="pct"/>
            <w:hideMark/>
          </w:tcPr>
          <w:p w14:paraId="7379EE9E" w14:textId="5CA840C9"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HPI (100s)</w:t>
            </w:r>
          </w:p>
        </w:tc>
        <w:tc>
          <w:tcPr>
            <w:tcW w:w="569" w:type="pct"/>
            <w:hideMark/>
          </w:tcPr>
          <w:p w14:paraId="27C405C8" w14:textId="54403C8C"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-.039***</w:t>
            </w:r>
          </w:p>
        </w:tc>
        <w:tc>
          <w:tcPr>
            <w:tcW w:w="603" w:type="pct"/>
            <w:hideMark/>
          </w:tcPr>
          <w:p w14:paraId="261E902A" w14:textId="5BED8F94"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.047</w:t>
            </w:r>
          </w:p>
        </w:tc>
        <w:tc>
          <w:tcPr>
            <w:tcW w:w="569" w:type="pct"/>
            <w:hideMark/>
          </w:tcPr>
          <w:p w14:paraId="7D8D722C" w14:textId="54997163"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.029</w:t>
            </w:r>
          </w:p>
        </w:tc>
        <w:tc>
          <w:tcPr>
            <w:tcW w:w="569" w:type="pct"/>
            <w:hideMark/>
          </w:tcPr>
          <w:p w14:paraId="3661F6CC" w14:textId="14E50B2F"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.007</w:t>
            </w:r>
          </w:p>
        </w:tc>
        <w:tc>
          <w:tcPr>
            <w:tcW w:w="628" w:type="pct"/>
            <w:hideMark/>
          </w:tcPr>
          <w:p w14:paraId="6745D0D7" w14:textId="43648EC9"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-.012*</w:t>
            </w:r>
          </w:p>
        </w:tc>
        <w:tc>
          <w:tcPr>
            <w:tcW w:w="569" w:type="pct"/>
            <w:hideMark/>
          </w:tcPr>
          <w:p w14:paraId="7C69B50C" w14:textId="17AE56A5"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.003</w:t>
            </w:r>
          </w:p>
        </w:tc>
        <w:tc>
          <w:tcPr>
            <w:tcW w:w="569" w:type="pct"/>
            <w:hideMark/>
          </w:tcPr>
          <w:p w14:paraId="7E53919B" w14:textId="6CFCF426"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.013</w:t>
            </w:r>
          </w:p>
        </w:tc>
      </w:tr>
      <w:tr w:rsidR="002E4B8A" w:rsidRPr="005E02DB" w14:paraId="7AD86372" w14:textId="77777777" w:rsidTr="00273B5A">
        <w:trPr>
          <w:jc w:val="center"/>
        </w:trPr>
        <w:tc>
          <w:tcPr>
            <w:tcW w:w="925" w:type="pct"/>
            <w:hideMark/>
          </w:tcPr>
          <w:p w14:paraId="663F38FA" w14:textId="3DCA4513" w:rsidR="00D326A2" w:rsidRPr="002E4B8A" w:rsidRDefault="00D326A2" w:rsidP="002E4B8A">
            <w:pPr>
              <w:widowControl w:val="0"/>
              <w:autoSpaceDE w:val="0"/>
              <w:autoSpaceDN w:val="0"/>
              <w:adjustRightInd w:val="0"/>
              <w:spacing w:line="240" w:lineRule="auto"/>
              <w:rPr>
                <w:rFonts w:eastAsia="DengXian" w:cs="Times New Roman"/>
                <w:sz w:val="20"/>
                <w:szCs w:val="20"/>
              </w:rPr>
            </w:pPr>
          </w:p>
        </w:tc>
        <w:tc>
          <w:tcPr>
            <w:tcW w:w="569" w:type="pct"/>
            <w:hideMark/>
          </w:tcPr>
          <w:p w14:paraId="2279B420" w14:textId="600A9AC3"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(.012)</w:t>
            </w:r>
          </w:p>
        </w:tc>
        <w:tc>
          <w:tcPr>
            <w:tcW w:w="603" w:type="pct"/>
            <w:hideMark/>
          </w:tcPr>
          <w:p w14:paraId="31FFF948" w14:textId="0824EDB5"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(.042)</w:t>
            </w:r>
          </w:p>
        </w:tc>
        <w:tc>
          <w:tcPr>
            <w:tcW w:w="569" w:type="pct"/>
            <w:hideMark/>
          </w:tcPr>
          <w:p w14:paraId="440B07D6" w14:textId="161205E1"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(.022)</w:t>
            </w:r>
          </w:p>
        </w:tc>
        <w:tc>
          <w:tcPr>
            <w:tcW w:w="569" w:type="pct"/>
            <w:hideMark/>
          </w:tcPr>
          <w:p w14:paraId="76387DEC" w14:textId="2893B084"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(.007)</w:t>
            </w:r>
          </w:p>
        </w:tc>
        <w:tc>
          <w:tcPr>
            <w:tcW w:w="628" w:type="pct"/>
            <w:hideMark/>
          </w:tcPr>
          <w:p w14:paraId="7043B720" w14:textId="729ED46D"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(.007)</w:t>
            </w:r>
          </w:p>
        </w:tc>
        <w:tc>
          <w:tcPr>
            <w:tcW w:w="569" w:type="pct"/>
            <w:hideMark/>
          </w:tcPr>
          <w:p w14:paraId="70D53225" w14:textId="00F1CF21"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(.005)</w:t>
            </w:r>
          </w:p>
        </w:tc>
        <w:tc>
          <w:tcPr>
            <w:tcW w:w="569" w:type="pct"/>
            <w:hideMark/>
          </w:tcPr>
          <w:p w14:paraId="3DF1A875" w14:textId="147620D5"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(.015)</w:t>
            </w:r>
          </w:p>
        </w:tc>
      </w:tr>
      <w:tr w:rsidR="002E4B8A" w:rsidRPr="005E02DB" w14:paraId="58A4E591" w14:textId="77777777" w:rsidTr="00273B5A">
        <w:trPr>
          <w:jc w:val="center"/>
        </w:trPr>
        <w:tc>
          <w:tcPr>
            <w:tcW w:w="925" w:type="pct"/>
            <w:hideMark/>
          </w:tcPr>
          <w:p w14:paraId="5A6C0F8A" w14:textId="148F09CA"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EPA - SO2 (t-1)</w:t>
            </w:r>
          </w:p>
        </w:tc>
        <w:tc>
          <w:tcPr>
            <w:tcW w:w="569" w:type="pct"/>
            <w:hideMark/>
          </w:tcPr>
          <w:p w14:paraId="7E9CF62C" w14:textId="04D01EA2"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.102</w:t>
            </w:r>
          </w:p>
        </w:tc>
        <w:tc>
          <w:tcPr>
            <w:tcW w:w="603" w:type="pct"/>
            <w:hideMark/>
          </w:tcPr>
          <w:p w14:paraId="669CFC67" w14:textId="0F901862"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.248</w:t>
            </w:r>
          </w:p>
        </w:tc>
        <w:tc>
          <w:tcPr>
            <w:tcW w:w="569" w:type="pct"/>
            <w:hideMark/>
          </w:tcPr>
          <w:p w14:paraId="2F8BF687" w14:textId="38D0C458"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.057</w:t>
            </w:r>
          </w:p>
        </w:tc>
        <w:tc>
          <w:tcPr>
            <w:tcW w:w="569" w:type="pct"/>
            <w:hideMark/>
          </w:tcPr>
          <w:p w14:paraId="277D5D3B" w14:textId="44E791CB"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.0585</w:t>
            </w:r>
          </w:p>
        </w:tc>
        <w:tc>
          <w:tcPr>
            <w:tcW w:w="628" w:type="pct"/>
            <w:hideMark/>
          </w:tcPr>
          <w:p w14:paraId="0F6E5F27" w14:textId="38B32CF2"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.029</w:t>
            </w:r>
          </w:p>
        </w:tc>
        <w:tc>
          <w:tcPr>
            <w:tcW w:w="569" w:type="pct"/>
            <w:hideMark/>
          </w:tcPr>
          <w:p w14:paraId="18450FEC" w14:textId="6DBAC096"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.048</w:t>
            </w:r>
          </w:p>
        </w:tc>
        <w:tc>
          <w:tcPr>
            <w:tcW w:w="569" w:type="pct"/>
            <w:hideMark/>
          </w:tcPr>
          <w:p w14:paraId="2C807F6B" w14:textId="43A2E1C9"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-.016</w:t>
            </w:r>
          </w:p>
        </w:tc>
      </w:tr>
      <w:tr w:rsidR="002E4B8A" w:rsidRPr="005E02DB" w14:paraId="68128697" w14:textId="77777777" w:rsidTr="00273B5A">
        <w:trPr>
          <w:jc w:val="center"/>
        </w:trPr>
        <w:tc>
          <w:tcPr>
            <w:tcW w:w="925" w:type="pct"/>
            <w:hideMark/>
          </w:tcPr>
          <w:p w14:paraId="4907C045" w14:textId="4E7748F3" w:rsidR="00D326A2" w:rsidRPr="002E4B8A" w:rsidRDefault="00D326A2" w:rsidP="002E4B8A">
            <w:pPr>
              <w:widowControl w:val="0"/>
              <w:autoSpaceDE w:val="0"/>
              <w:autoSpaceDN w:val="0"/>
              <w:adjustRightInd w:val="0"/>
              <w:spacing w:line="240" w:lineRule="auto"/>
              <w:rPr>
                <w:rFonts w:eastAsia="DengXian" w:cs="Times New Roman"/>
                <w:sz w:val="20"/>
                <w:szCs w:val="20"/>
              </w:rPr>
            </w:pPr>
          </w:p>
        </w:tc>
        <w:tc>
          <w:tcPr>
            <w:tcW w:w="569" w:type="pct"/>
            <w:hideMark/>
          </w:tcPr>
          <w:p w14:paraId="4967F3AD" w14:textId="05993600"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(.148)</w:t>
            </w:r>
          </w:p>
        </w:tc>
        <w:tc>
          <w:tcPr>
            <w:tcW w:w="603" w:type="pct"/>
            <w:hideMark/>
          </w:tcPr>
          <w:p w14:paraId="33FC212B" w14:textId="53756CAF"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(.247)</w:t>
            </w:r>
          </w:p>
        </w:tc>
        <w:tc>
          <w:tcPr>
            <w:tcW w:w="569" w:type="pct"/>
            <w:hideMark/>
          </w:tcPr>
          <w:p w14:paraId="6A9148FB" w14:textId="480851B8"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(.330)</w:t>
            </w:r>
          </w:p>
        </w:tc>
        <w:tc>
          <w:tcPr>
            <w:tcW w:w="569" w:type="pct"/>
            <w:hideMark/>
          </w:tcPr>
          <w:p w14:paraId="62A9C7A2" w14:textId="23BDE443"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(.056)</w:t>
            </w:r>
          </w:p>
        </w:tc>
        <w:tc>
          <w:tcPr>
            <w:tcW w:w="628" w:type="pct"/>
            <w:hideMark/>
          </w:tcPr>
          <w:p w14:paraId="265C74C2" w14:textId="680860CF"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(.045)</w:t>
            </w:r>
          </w:p>
        </w:tc>
        <w:tc>
          <w:tcPr>
            <w:tcW w:w="569" w:type="pct"/>
            <w:hideMark/>
          </w:tcPr>
          <w:p w14:paraId="43F80753" w14:textId="14A15C54"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(.051)</w:t>
            </w:r>
          </w:p>
        </w:tc>
        <w:tc>
          <w:tcPr>
            <w:tcW w:w="569" w:type="pct"/>
            <w:hideMark/>
          </w:tcPr>
          <w:p w14:paraId="1D3DD49F" w14:textId="65510AD1"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(.060)</w:t>
            </w:r>
          </w:p>
        </w:tc>
      </w:tr>
      <w:tr w:rsidR="002E4B8A" w:rsidRPr="005E02DB" w14:paraId="3F426DE0" w14:textId="77777777" w:rsidTr="00273B5A">
        <w:trPr>
          <w:jc w:val="center"/>
        </w:trPr>
        <w:tc>
          <w:tcPr>
            <w:tcW w:w="925" w:type="pct"/>
            <w:hideMark/>
          </w:tcPr>
          <w:p w14:paraId="29C23CDA" w14:textId="2DF8C26E"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EPA - PSM (t-1)</w:t>
            </w:r>
          </w:p>
        </w:tc>
        <w:tc>
          <w:tcPr>
            <w:tcW w:w="569" w:type="pct"/>
            <w:hideMark/>
          </w:tcPr>
          <w:p w14:paraId="1BA5438D" w14:textId="1E82DAF8"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-.049*</w:t>
            </w:r>
          </w:p>
        </w:tc>
        <w:tc>
          <w:tcPr>
            <w:tcW w:w="603" w:type="pct"/>
            <w:hideMark/>
          </w:tcPr>
          <w:p w14:paraId="2E1D2F39" w14:textId="28E17275"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-.002</w:t>
            </w:r>
          </w:p>
        </w:tc>
        <w:tc>
          <w:tcPr>
            <w:tcW w:w="569" w:type="pct"/>
            <w:hideMark/>
          </w:tcPr>
          <w:p w14:paraId="30A95D9F" w14:textId="191EECAA"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.068*</w:t>
            </w:r>
          </w:p>
        </w:tc>
        <w:tc>
          <w:tcPr>
            <w:tcW w:w="569" w:type="pct"/>
            <w:hideMark/>
          </w:tcPr>
          <w:p w14:paraId="6C797447" w14:textId="33EB196F"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.008</w:t>
            </w:r>
          </w:p>
        </w:tc>
        <w:tc>
          <w:tcPr>
            <w:tcW w:w="628" w:type="pct"/>
            <w:hideMark/>
          </w:tcPr>
          <w:p w14:paraId="0A6EA7A1" w14:textId="7ADF108D"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.021**</w:t>
            </w:r>
          </w:p>
        </w:tc>
        <w:tc>
          <w:tcPr>
            <w:tcW w:w="569" w:type="pct"/>
            <w:hideMark/>
          </w:tcPr>
          <w:p w14:paraId="52218B40" w14:textId="0ADB6960"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.036**</w:t>
            </w:r>
          </w:p>
        </w:tc>
        <w:tc>
          <w:tcPr>
            <w:tcW w:w="569" w:type="pct"/>
            <w:hideMark/>
          </w:tcPr>
          <w:p w14:paraId="6BE80631" w14:textId="0E05B5C7"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-.006</w:t>
            </w:r>
          </w:p>
        </w:tc>
      </w:tr>
      <w:tr w:rsidR="002E4B8A" w:rsidRPr="005E02DB" w14:paraId="0ADB0FE2" w14:textId="77777777" w:rsidTr="00273B5A">
        <w:trPr>
          <w:jc w:val="center"/>
        </w:trPr>
        <w:tc>
          <w:tcPr>
            <w:tcW w:w="925" w:type="pct"/>
            <w:hideMark/>
          </w:tcPr>
          <w:p w14:paraId="727E0FC0" w14:textId="3B47AEE8" w:rsidR="00D326A2" w:rsidRPr="002E4B8A" w:rsidRDefault="00D326A2" w:rsidP="002E4B8A">
            <w:pPr>
              <w:widowControl w:val="0"/>
              <w:autoSpaceDE w:val="0"/>
              <w:autoSpaceDN w:val="0"/>
              <w:adjustRightInd w:val="0"/>
              <w:spacing w:line="240" w:lineRule="auto"/>
              <w:rPr>
                <w:rFonts w:eastAsia="DengXian" w:cs="Times New Roman"/>
                <w:sz w:val="20"/>
                <w:szCs w:val="20"/>
              </w:rPr>
            </w:pPr>
          </w:p>
        </w:tc>
        <w:tc>
          <w:tcPr>
            <w:tcW w:w="569" w:type="pct"/>
            <w:hideMark/>
          </w:tcPr>
          <w:p w14:paraId="692F2FBC" w14:textId="3D16269E"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(.027)</w:t>
            </w:r>
          </w:p>
        </w:tc>
        <w:tc>
          <w:tcPr>
            <w:tcW w:w="603" w:type="pct"/>
            <w:hideMark/>
          </w:tcPr>
          <w:p w14:paraId="52472A38" w14:textId="1FB43B9A"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(.044)</w:t>
            </w:r>
          </w:p>
        </w:tc>
        <w:tc>
          <w:tcPr>
            <w:tcW w:w="569" w:type="pct"/>
            <w:hideMark/>
          </w:tcPr>
          <w:p w14:paraId="0F2B87E7" w14:textId="5269F4C6"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(.040)</w:t>
            </w:r>
          </w:p>
        </w:tc>
        <w:tc>
          <w:tcPr>
            <w:tcW w:w="569" w:type="pct"/>
            <w:hideMark/>
          </w:tcPr>
          <w:p w14:paraId="14096F6E" w14:textId="4DCD3181"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(.009)</w:t>
            </w:r>
          </w:p>
        </w:tc>
        <w:tc>
          <w:tcPr>
            <w:tcW w:w="628" w:type="pct"/>
            <w:hideMark/>
          </w:tcPr>
          <w:p w14:paraId="49047F84" w14:textId="46849155"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(.010)</w:t>
            </w:r>
          </w:p>
        </w:tc>
        <w:tc>
          <w:tcPr>
            <w:tcW w:w="569" w:type="pct"/>
            <w:hideMark/>
          </w:tcPr>
          <w:p w14:paraId="4C9CB967" w14:textId="1E662D57"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(.018)</w:t>
            </w:r>
          </w:p>
        </w:tc>
        <w:tc>
          <w:tcPr>
            <w:tcW w:w="569" w:type="pct"/>
            <w:hideMark/>
          </w:tcPr>
          <w:p w14:paraId="33818514" w14:textId="0DBBC223"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(.017)</w:t>
            </w:r>
          </w:p>
        </w:tc>
      </w:tr>
      <w:tr w:rsidR="002E4B8A" w:rsidRPr="005E02DB" w14:paraId="7C0F1D34" w14:textId="77777777" w:rsidTr="00273B5A">
        <w:trPr>
          <w:jc w:val="center"/>
        </w:trPr>
        <w:tc>
          <w:tcPr>
            <w:tcW w:w="925" w:type="pct"/>
            <w:hideMark/>
          </w:tcPr>
          <w:p w14:paraId="10FD0CBF" w14:textId="55D477D4"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EPA - O3 (t-1)</w:t>
            </w:r>
          </w:p>
        </w:tc>
        <w:tc>
          <w:tcPr>
            <w:tcW w:w="569" w:type="pct"/>
            <w:hideMark/>
          </w:tcPr>
          <w:p w14:paraId="56DEC557" w14:textId="337F6D5A"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-.072***</w:t>
            </w:r>
          </w:p>
        </w:tc>
        <w:tc>
          <w:tcPr>
            <w:tcW w:w="603" w:type="pct"/>
            <w:hideMark/>
          </w:tcPr>
          <w:p w14:paraId="3B457F29" w14:textId="5FB211F5"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.121</w:t>
            </w:r>
          </w:p>
        </w:tc>
        <w:tc>
          <w:tcPr>
            <w:tcW w:w="569" w:type="pct"/>
            <w:hideMark/>
          </w:tcPr>
          <w:p w14:paraId="742C1897" w14:textId="45C02471"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.125**</w:t>
            </w:r>
          </w:p>
        </w:tc>
        <w:tc>
          <w:tcPr>
            <w:tcW w:w="569" w:type="pct"/>
            <w:hideMark/>
          </w:tcPr>
          <w:p w14:paraId="5AB84ABF" w14:textId="735C4912"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-.0122</w:t>
            </w:r>
          </w:p>
        </w:tc>
        <w:tc>
          <w:tcPr>
            <w:tcW w:w="628" w:type="pct"/>
            <w:hideMark/>
          </w:tcPr>
          <w:p w14:paraId="6B185ED2" w14:textId="2FA8E699"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.024**</w:t>
            </w:r>
          </w:p>
        </w:tc>
        <w:tc>
          <w:tcPr>
            <w:tcW w:w="569" w:type="pct"/>
            <w:hideMark/>
          </w:tcPr>
          <w:p w14:paraId="20FA8B89" w14:textId="446EA72C"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-.037*</w:t>
            </w:r>
          </w:p>
        </w:tc>
        <w:tc>
          <w:tcPr>
            <w:tcW w:w="569" w:type="pct"/>
            <w:hideMark/>
          </w:tcPr>
          <w:p w14:paraId="46C7DA51" w14:textId="41860A50"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.040**</w:t>
            </w:r>
          </w:p>
        </w:tc>
      </w:tr>
      <w:tr w:rsidR="002E4B8A" w:rsidRPr="005E02DB" w14:paraId="68BDB761" w14:textId="77777777" w:rsidTr="00273B5A">
        <w:trPr>
          <w:jc w:val="center"/>
        </w:trPr>
        <w:tc>
          <w:tcPr>
            <w:tcW w:w="925" w:type="pct"/>
            <w:hideMark/>
          </w:tcPr>
          <w:p w14:paraId="6AE0548A" w14:textId="5305E997" w:rsidR="00D326A2" w:rsidRPr="002E4B8A" w:rsidRDefault="00D326A2" w:rsidP="002E4B8A">
            <w:pPr>
              <w:widowControl w:val="0"/>
              <w:autoSpaceDE w:val="0"/>
              <w:autoSpaceDN w:val="0"/>
              <w:adjustRightInd w:val="0"/>
              <w:spacing w:line="240" w:lineRule="auto"/>
              <w:rPr>
                <w:rFonts w:eastAsia="DengXian" w:cs="Times New Roman"/>
                <w:sz w:val="20"/>
                <w:szCs w:val="20"/>
              </w:rPr>
            </w:pPr>
          </w:p>
        </w:tc>
        <w:tc>
          <w:tcPr>
            <w:tcW w:w="569" w:type="pct"/>
            <w:hideMark/>
          </w:tcPr>
          <w:p w14:paraId="3B182DB1" w14:textId="2E13D973"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(.026)</w:t>
            </w:r>
          </w:p>
        </w:tc>
        <w:tc>
          <w:tcPr>
            <w:tcW w:w="603" w:type="pct"/>
            <w:hideMark/>
          </w:tcPr>
          <w:p w14:paraId="299DA702" w14:textId="3CAD4EBA"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(.079)</w:t>
            </w:r>
          </w:p>
        </w:tc>
        <w:tc>
          <w:tcPr>
            <w:tcW w:w="569" w:type="pct"/>
            <w:hideMark/>
          </w:tcPr>
          <w:p w14:paraId="201CCB0D" w14:textId="7742E56E"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(.050)</w:t>
            </w:r>
          </w:p>
        </w:tc>
        <w:tc>
          <w:tcPr>
            <w:tcW w:w="569" w:type="pct"/>
            <w:hideMark/>
          </w:tcPr>
          <w:p w14:paraId="0BA6649A" w14:textId="5CFC02D6"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(.010)</w:t>
            </w:r>
          </w:p>
        </w:tc>
        <w:tc>
          <w:tcPr>
            <w:tcW w:w="628" w:type="pct"/>
            <w:hideMark/>
          </w:tcPr>
          <w:p w14:paraId="096E283D" w14:textId="16E316CC"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(.010)</w:t>
            </w:r>
          </w:p>
        </w:tc>
        <w:tc>
          <w:tcPr>
            <w:tcW w:w="569" w:type="pct"/>
            <w:hideMark/>
          </w:tcPr>
          <w:p w14:paraId="620A59CA" w14:textId="0AD82BD6"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(.022)</w:t>
            </w:r>
          </w:p>
        </w:tc>
        <w:tc>
          <w:tcPr>
            <w:tcW w:w="569" w:type="pct"/>
            <w:hideMark/>
          </w:tcPr>
          <w:p w14:paraId="42238BF9" w14:textId="03116B24"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(.016)</w:t>
            </w:r>
          </w:p>
        </w:tc>
      </w:tr>
      <w:tr w:rsidR="002E4B8A" w:rsidRPr="005E02DB" w14:paraId="6FED4829" w14:textId="77777777" w:rsidTr="00273B5A">
        <w:trPr>
          <w:jc w:val="center"/>
        </w:trPr>
        <w:tc>
          <w:tcPr>
            <w:tcW w:w="925" w:type="pct"/>
            <w:hideMark/>
          </w:tcPr>
          <w:p w14:paraId="513101F8" w14:textId="1E6B25DD"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EPA - NO2 (t-1)</w:t>
            </w:r>
          </w:p>
        </w:tc>
        <w:tc>
          <w:tcPr>
            <w:tcW w:w="569" w:type="pct"/>
            <w:hideMark/>
          </w:tcPr>
          <w:p w14:paraId="602558FD" w14:textId="245CEAB7"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-.477***</w:t>
            </w:r>
          </w:p>
        </w:tc>
        <w:tc>
          <w:tcPr>
            <w:tcW w:w="603" w:type="pct"/>
            <w:hideMark/>
          </w:tcPr>
          <w:p w14:paraId="13D3D035" w14:textId="16CC0855"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.066</w:t>
            </w:r>
          </w:p>
        </w:tc>
        <w:tc>
          <w:tcPr>
            <w:tcW w:w="569" w:type="pct"/>
            <w:hideMark/>
          </w:tcPr>
          <w:p w14:paraId="3FE7431E" w14:textId="46EA48E7"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-.075</w:t>
            </w:r>
          </w:p>
        </w:tc>
        <w:tc>
          <w:tcPr>
            <w:tcW w:w="569" w:type="pct"/>
            <w:hideMark/>
          </w:tcPr>
          <w:p w14:paraId="2606A2C7" w14:textId="32635A2A"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-.013</w:t>
            </w:r>
          </w:p>
        </w:tc>
        <w:tc>
          <w:tcPr>
            <w:tcW w:w="628" w:type="pct"/>
            <w:hideMark/>
          </w:tcPr>
          <w:p w14:paraId="679F6DB4" w14:textId="7116727A"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-.100***</w:t>
            </w:r>
          </w:p>
        </w:tc>
        <w:tc>
          <w:tcPr>
            <w:tcW w:w="569" w:type="pct"/>
            <w:hideMark/>
          </w:tcPr>
          <w:p w14:paraId="6A40822E" w14:textId="4FD60C9A"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-.132***</w:t>
            </w:r>
          </w:p>
        </w:tc>
        <w:tc>
          <w:tcPr>
            <w:tcW w:w="569" w:type="pct"/>
          </w:tcPr>
          <w:p w14:paraId="47CF1F36" w14:textId="77777777" w:rsidR="00D326A2" w:rsidRPr="002E4B8A" w:rsidRDefault="00D326A2" w:rsidP="002E4B8A">
            <w:pPr>
              <w:widowControl w:val="0"/>
              <w:autoSpaceDE w:val="0"/>
              <w:autoSpaceDN w:val="0"/>
              <w:adjustRightInd w:val="0"/>
              <w:spacing w:line="240" w:lineRule="auto"/>
              <w:rPr>
                <w:rFonts w:eastAsia="DengXian" w:cs="Times New Roman"/>
                <w:sz w:val="20"/>
                <w:szCs w:val="20"/>
              </w:rPr>
            </w:pPr>
          </w:p>
        </w:tc>
      </w:tr>
      <w:tr w:rsidR="002E4B8A" w:rsidRPr="005E02DB" w14:paraId="721D381E" w14:textId="77777777" w:rsidTr="00273B5A">
        <w:trPr>
          <w:jc w:val="center"/>
        </w:trPr>
        <w:tc>
          <w:tcPr>
            <w:tcW w:w="925" w:type="pct"/>
            <w:hideMark/>
          </w:tcPr>
          <w:p w14:paraId="7CF63C29" w14:textId="0F985F76" w:rsidR="00D326A2" w:rsidRPr="002E4B8A" w:rsidRDefault="00D326A2" w:rsidP="002E4B8A">
            <w:pPr>
              <w:widowControl w:val="0"/>
              <w:autoSpaceDE w:val="0"/>
              <w:autoSpaceDN w:val="0"/>
              <w:adjustRightInd w:val="0"/>
              <w:spacing w:line="240" w:lineRule="auto"/>
              <w:rPr>
                <w:rFonts w:eastAsia="DengXian" w:cs="Times New Roman"/>
                <w:sz w:val="20"/>
                <w:szCs w:val="20"/>
              </w:rPr>
            </w:pPr>
          </w:p>
        </w:tc>
        <w:tc>
          <w:tcPr>
            <w:tcW w:w="569" w:type="pct"/>
            <w:hideMark/>
          </w:tcPr>
          <w:p w14:paraId="0D6EE70F" w14:textId="2C675F66"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(.127)</w:t>
            </w:r>
          </w:p>
        </w:tc>
        <w:tc>
          <w:tcPr>
            <w:tcW w:w="603" w:type="pct"/>
            <w:hideMark/>
          </w:tcPr>
          <w:p w14:paraId="72A2EF28" w14:textId="3E4808A5"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(.665)</w:t>
            </w:r>
          </w:p>
        </w:tc>
        <w:tc>
          <w:tcPr>
            <w:tcW w:w="569" w:type="pct"/>
            <w:hideMark/>
          </w:tcPr>
          <w:p w14:paraId="6FBDC106" w14:textId="1A1A64C5"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(.303)</w:t>
            </w:r>
          </w:p>
        </w:tc>
        <w:tc>
          <w:tcPr>
            <w:tcW w:w="569" w:type="pct"/>
            <w:hideMark/>
          </w:tcPr>
          <w:p w14:paraId="5DA2E7CF" w14:textId="2886CEB5"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(.038)</w:t>
            </w:r>
          </w:p>
        </w:tc>
        <w:tc>
          <w:tcPr>
            <w:tcW w:w="628" w:type="pct"/>
            <w:hideMark/>
          </w:tcPr>
          <w:p w14:paraId="4DA3C7F1" w14:textId="77777777"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(.03)</w:t>
            </w:r>
          </w:p>
        </w:tc>
        <w:tc>
          <w:tcPr>
            <w:tcW w:w="569" w:type="pct"/>
            <w:hideMark/>
          </w:tcPr>
          <w:p w14:paraId="1F3A36EE" w14:textId="0BC2A2CC"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(.035)</w:t>
            </w:r>
          </w:p>
        </w:tc>
        <w:tc>
          <w:tcPr>
            <w:tcW w:w="569" w:type="pct"/>
          </w:tcPr>
          <w:p w14:paraId="1759FBCA" w14:textId="77777777" w:rsidR="00D326A2" w:rsidRPr="002E4B8A" w:rsidRDefault="00D326A2" w:rsidP="002E4B8A">
            <w:pPr>
              <w:widowControl w:val="0"/>
              <w:autoSpaceDE w:val="0"/>
              <w:autoSpaceDN w:val="0"/>
              <w:adjustRightInd w:val="0"/>
              <w:spacing w:line="240" w:lineRule="auto"/>
              <w:rPr>
                <w:rFonts w:eastAsia="DengXian" w:cs="Times New Roman"/>
                <w:sz w:val="20"/>
                <w:szCs w:val="20"/>
              </w:rPr>
            </w:pPr>
          </w:p>
        </w:tc>
      </w:tr>
      <w:tr w:rsidR="002E4B8A" w:rsidRPr="005E02DB" w14:paraId="0EA5F100" w14:textId="77777777" w:rsidTr="00273B5A">
        <w:trPr>
          <w:jc w:val="center"/>
        </w:trPr>
        <w:tc>
          <w:tcPr>
            <w:tcW w:w="925" w:type="pct"/>
            <w:hideMark/>
          </w:tcPr>
          <w:p w14:paraId="65FEB887" w14:textId="17805B1B"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EPA - Pb (t-1)</w:t>
            </w:r>
          </w:p>
        </w:tc>
        <w:tc>
          <w:tcPr>
            <w:tcW w:w="569" w:type="pct"/>
            <w:hideMark/>
          </w:tcPr>
          <w:p w14:paraId="77FA06F4" w14:textId="3AD1970B"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-.340</w:t>
            </w:r>
          </w:p>
        </w:tc>
        <w:tc>
          <w:tcPr>
            <w:tcW w:w="603" w:type="pct"/>
            <w:hideMark/>
          </w:tcPr>
          <w:p w14:paraId="4DE9BEC4" w14:textId="10148E34"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.255</w:t>
            </w:r>
          </w:p>
        </w:tc>
        <w:tc>
          <w:tcPr>
            <w:tcW w:w="569" w:type="pct"/>
            <w:hideMark/>
          </w:tcPr>
          <w:p w14:paraId="1B48566C" w14:textId="43AD5EB6"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.497*</w:t>
            </w:r>
          </w:p>
        </w:tc>
        <w:tc>
          <w:tcPr>
            <w:tcW w:w="569" w:type="pct"/>
            <w:hideMark/>
          </w:tcPr>
          <w:p w14:paraId="41283252" w14:textId="6E5990BF"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.083</w:t>
            </w:r>
          </w:p>
        </w:tc>
        <w:tc>
          <w:tcPr>
            <w:tcW w:w="628" w:type="pct"/>
            <w:hideMark/>
          </w:tcPr>
          <w:p w14:paraId="3E1F3966" w14:textId="0532B78C"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-.074</w:t>
            </w:r>
          </w:p>
        </w:tc>
        <w:tc>
          <w:tcPr>
            <w:tcW w:w="569" w:type="pct"/>
            <w:hideMark/>
          </w:tcPr>
          <w:p w14:paraId="4EE9CE14" w14:textId="33C0956E"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-.058</w:t>
            </w:r>
          </w:p>
        </w:tc>
        <w:tc>
          <w:tcPr>
            <w:tcW w:w="569" w:type="pct"/>
            <w:hideMark/>
          </w:tcPr>
          <w:p w14:paraId="7A93AECD" w14:textId="3BFBFCB9"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-.310***</w:t>
            </w:r>
          </w:p>
        </w:tc>
      </w:tr>
      <w:tr w:rsidR="002E4B8A" w:rsidRPr="005E02DB" w14:paraId="2B61257C" w14:textId="77777777" w:rsidTr="00273B5A">
        <w:trPr>
          <w:jc w:val="center"/>
        </w:trPr>
        <w:tc>
          <w:tcPr>
            <w:tcW w:w="925" w:type="pct"/>
            <w:hideMark/>
          </w:tcPr>
          <w:p w14:paraId="0F1B50AA" w14:textId="3233DF12" w:rsidR="00D326A2" w:rsidRPr="002E4B8A" w:rsidRDefault="00D326A2" w:rsidP="002E4B8A">
            <w:pPr>
              <w:widowControl w:val="0"/>
              <w:autoSpaceDE w:val="0"/>
              <w:autoSpaceDN w:val="0"/>
              <w:adjustRightInd w:val="0"/>
              <w:spacing w:line="240" w:lineRule="auto"/>
              <w:rPr>
                <w:rFonts w:eastAsia="DengXian" w:cs="Times New Roman"/>
                <w:sz w:val="20"/>
                <w:szCs w:val="20"/>
              </w:rPr>
            </w:pPr>
          </w:p>
        </w:tc>
        <w:tc>
          <w:tcPr>
            <w:tcW w:w="569" w:type="pct"/>
            <w:hideMark/>
          </w:tcPr>
          <w:p w14:paraId="25F23E0F" w14:textId="26AF5F72"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(.265)</w:t>
            </w:r>
          </w:p>
        </w:tc>
        <w:tc>
          <w:tcPr>
            <w:tcW w:w="603" w:type="pct"/>
            <w:hideMark/>
          </w:tcPr>
          <w:p w14:paraId="5943970B" w14:textId="5EF41871"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(.236)</w:t>
            </w:r>
          </w:p>
        </w:tc>
        <w:tc>
          <w:tcPr>
            <w:tcW w:w="569" w:type="pct"/>
            <w:hideMark/>
          </w:tcPr>
          <w:p w14:paraId="110679C9" w14:textId="3333BF09"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(.256)</w:t>
            </w:r>
          </w:p>
        </w:tc>
        <w:tc>
          <w:tcPr>
            <w:tcW w:w="569" w:type="pct"/>
            <w:hideMark/>
          </w:tcPr>
          <w:p w14:paraId="407AC001" w14:textId="5836BFC8"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(.055)</w:t>
            </w:r>
          </w:p>
        </w:tc>
        <w:tc>
          <w:tcPr>
            <w:tcW w:w="628" w:type="pct"/>
            <w:hideMark/>
          </w:tcPr>
          <w:p w14:paraId="4024B1BE" w14:textId="04DD1C81"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(.058)</w:t>
            </w:r>
          </w:p>
        </w:tc>
        <w:tc>
          <w:tcPr>
            <w:tcW w:w="569" w:type="pct"/>
            <w:hideMark/>
          </w:tcPr>
          <w:p w14:paraId="5AC39585" w14:textId="0C89CA9D"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(.060)</w:t>
            </w:r>
          </w:p>
        </w:tc>
        <w:tc>
          <w:tcPr>
            <w:tcW w:w="569" w:type="pct"/>
            <w:hideMark/>
          </w:tcPr>
          <w:p w14:paraId="1C4C04CE" w14:textId="24B97E93"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(.118)</w:t>
            </w:r>
          </w:p>
        </w:tc>
      </w:tr>
      <w:tr w:rsidR="002E4B8A" w:rsidRPr="005E02DB" w14:paraId="0EDA2F83" w14:textId="77777777" w:rsidTr="00273B5A">
        <w:trPr>
          <w:jc w:val="center"/>
        </w:trPr>
        <w:tc>
          <w:tcPr>
            <w:tcW w:w="925" w:type="pct"/>
            <w:hideMark/>
          </w:tcPr>
          <w:p w14:paraId="48E7C6EF" w14:textId="52E110B3"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EPA - CO (t-1)</w:t>
            </w:r>
          </w:p>
        </w:tc>
        <w:tc>
          <w:tcPr>
            <w:tcW w:w="569" w:type="pct"/>
            <w:hideMark/>
          </w:tcPr>
          <w:p w14:paraId="7EC7A433" w14:textId="1FB25FE2"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.225***</w:t>
            </w:r>
          </w:p>
        </w:tc>
        <w:tc>
          <w:tcPr>
            <w:tcW w:w="603" w:type="pct"/>
            <w:hideMark/>
          </w:tcPr>
          <w:p w14:paraId="4BF32F83" w14:textId="1A70A50D"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.327*</w:t>
            </w:r>
          </w:p>
        </w:tc>
        <w:tc>
          <w:tcPr>
            <w:tcW w:w="569" w:type="pct"/>
            <w:hideMark/>
          </w:tcPr>
          <w:p w14:paraId="4B729F83" w14:textId="72A08B27"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.247*</w:t>
            </w:r>
          </w:p>
        </w:tc>
        <w:tc>
          <w:tcPr>
            <w:tcW w:w="569" w:type="pct"/>
            <w:hideMark/>
          </w:tcPr>
          <w:p w14:paraId="075E4626" w14:textId="02AE2843"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.032</w:t>
            </w:r>
          </w:p>
        </w:tc>
        <w:tc>
          <w:tcPr>
            <w:tcW w:w="628" w:type="pct"/>
            <w:hideMark/>
          </w:tcPr>
          <w:p w14:paraId="46B5E650" w14:textId="2AFCF63A"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.067**</w:t>
            </w:r>
          </w:p>
        </w:tc>
        <w:tc>
          <w:tcPr>
            <w:tcW w:w="569" w:type="pct"/>
            <w:hideMark/>
          </w:tcPr>
          <w:p w14:paraId="4B5161FB" w14:textId="225F066F"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.055*</w:t>
            </w:r>
          </w:p>
        </w:tc>
        <w:tc>
          <w:tcPr>
            <w:tcW w:w="569" w:type="pct"/>
            <w:hideMark/>
          </w:tcPr>
          <w:p w14:paraId="0C28A8A3" w14:textId="30065A49"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-.216**</w:t>
            </w:r>
          </w:p>
        </w:tc>
      </w:tr>
      <w:tr w:rsidR="002E4B8A" w:rsidRPr="005E02DB" w14:paraId="6349FA5D" w14:textId="77777777" w:rsidTr="00273B5A">
        <w:trPr>
          <w:jc w:val="center"/>
        </w:trPr>
        <w:tc>
          <w:tcPr>
            <w:tcW w:w="925" w:type="pct"/>
            <w:hideMark/>
          </w:tcPr>
          <w:p w14:paraId="635D7434" w14:textId="2C36A68A" w:rsidR="005E02DB" w:rsidRPr="002E4B8A" w:rsidRDefault="005E02DB" w:rsidP="002E4B8A">
            <w:pPr>
              <w:widowControl w:val="0"/>
              <w:autoSpaceDE w:val="0"/>
              <w:autoSpaceDN w:val="0"/>
              <w:adjustRightInd w:val="0"/>
              <w:spacing w:line="240" w:lineRule="auto"/>
              <w:rPr>
                <w:rFonts w:eastAsia="DengXian" w:cs="Times New Roman"/>
                <w:sz w:val="20"/>
                <w:szCs w:val="20"/>
              </w:rPr>
            </w:pPr>
          </w:p>
        </w:tc>
        <w:tc>
          <w:tcPr>
            <w:tcW w:w="569" w:type="pct"/>
            <w:hideMark/>
          </w:tcPr>
          <w:p w14:paraId="133FD0E6" w14:textId="5B72448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(.084)</w:t>
            </w:r>
          </w:p>
        </w:tc>
        <w:tc>
          <w:tcPr>
            <w:tcW w:w="603" w:type="pct"/>
            <w:hideMark/>
          </w:tcPr>
          <w:p w14:paraId="123DD183" w14:textId="7D936402"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(.187)</w:t>
            </w:r>
          </w:p>
        </w:tc>
        <w:tc>
          <w:tcPr>
            <w:tcW w:w="569" w:type="pct"/>
            <w:hideMark/>
          </w:tcPr>
          <w:p w14:paraId="689B4CC7" w14:textId="07D3158F"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(.13</w:t>
            </w:r>
            <w:r w:rsidR="00A8113F" w:rsidRPr="002E4B8A">
              <w:rPr>
                <w:rFonts w:eastAsia="DengXian" w:cs="Times New Roman"/>
                <w:sz w:val="20"/>
                <w:szCs w:val="20"/>
              </w:rPr>
              <w:t>7</w:t>
            </w:r>
            <w:r w:rsidRPr="002E4B8A">
              <w:rPr>
                <w:rFonts w:eastAsia="DengXian" w:cs="Times New Roman"/>
                <w:sz w:val="20"/>
                <w:szCs w:val="20"/>
              </w:rPr>
              <w:t>)</w:t>
            </w:r>
          </w:p>
        </w:tc>
        <w:tc>
          <w:tcPr>
            <w:tcW w:w="569" w:type="pct"/>
            <w:hideMark/>
          </w:tcPr>
          <w:p w14:paraId="28DD655B" w14:textId="59ADE9FE"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(.025)</w:t>
            </w:r>
          </w:p>
        </w:tc>
        <w:tc>
          <w:tcPr>
            <w:tcW w:w="628" w:type="pct"/>
            <w:hideMark/>
          </w:tcPr>
          <w:p w14:paraId="50861F96" w14:textId="2DAC277F"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(.034)</w:t>
            </w:r>
          </w:p>
        </w:tc>
        <w:tc>
          <w:tcPr>
            <w:tcW w:w="569" w:type="pct"/>
            <w:hideMark/>
          </w:tcPr>
          <w:p w14:paraId="44769AEE" w14:textId="6F91C916"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(.029)</w:t>
            </w:r>
          </w:p>
        </w:tc>
        <w:tc>
          <w:tcPr>
            <w:tcW w:w="569" w:type="pct"/>
            <w:hideMark/>
          </w:tcPr>
          <w:p w14:paraId="15226359" w14:textId="7017E14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(.10</w:t>
            </w:r>
            <w:r w:rsidR="00D9137A" w:rsidRPr="002E4B8A">
              <w:rPr>
                <w:rFonts w:eastAsia="DengXian" w:cs="Times New Roman"/>
                <w:sz w:val="20"/>
                <w:szCs w:val="20"/>
              </w:rPr>
              <w:t>2</w:t>
            </w:r>
            <w:r w:rsidRPr="002E4B8A">
              <w:rPr>
                <w:rFonts w:eastAsia="DengXian" w:cs="Times New Roman"/>
                <w:sz w:val="20"/>
                <w:szCs w:val="20"/>
              </w:rPr>
              <w:t>)</w:t>
            </w:r>
          </w:p>
        </w:tc>
      </w:tr>
      <w:tr w:rsidR="002E4B8A" w:rsidRPr="005E02DB" w14:paraId="37505AC2" w14:textId="77777777" w:rsidTr="00273B5A">
        <w:trPr>
          <w:jc w:val="center"/>
        </w:trPr>
        <w:tc>
          <w:tcPr>
            <w:tcW w:w="925" w:type="pct"/>
            <w:hideMark/>
          </w:tcPr>
          <w:p w14:paraId="2816A1FF" w14:textId="479FCBEE"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PAD - All GAPs (t-1)</w:t>
            </w:r>
          </w:p>
        </w:tc>
        <w:tc>
          <w:tcPr>
            <w:tcW w:w="569" w:type="pct"/>
            <w:hideMark/>
          </w:tcPr>
          <w:p w14:paraId="07516FCF" w14:textId="027AB8B8"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.67</w:t>
            </w:r>
            <w:r w:rsidR="00E75CAE" w:rsidRPr="002E4B8A">
              <w:rPr>
                <w:rFonts w:eastAsia="DengXian" w:cs="Times New Roman"/>
                <w:sz w:val="20"/>
                <w:szCs w:val="20"/>
              </w:rPr>
              <w:t>8</w:t>
            </w:r>
          </w:p>
        </w:tc>
        <w:tc>
          <w:tcPr>
            <w:tcW w:w="603" w:type="pct"/>
            <w:hideMark/>
          </w:tcPr>
          <w:p w14:paraId="5A3B0634" w14:textId="47BFFE88"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-2.407</w:t>
            </w:r>
          </w:p>
        </w:tc>
        <w:tc>
          <w:tcPr>
            <w:tcW w:w="569" w:type="pct"/>
            <w:hideMark/>
          </w:tcPr>
          <w:p w14:paraId="2569E6F6" w14:textId="2BCB569C"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3.395*</w:t>
            </w:r>
          </w:p>
        </w:tc>
        <w:tc>
          <w:tcPr>
            <w:tcW w:w="569" w:type="pct"/>
            <w:hideMark/>
          </w:tcPr>
          <w:p w14:paraId="6ACE3EAF" w14:textId="355AE97A"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-.570</w:t>
            </w:r>
          </w:p>
        </w:tc>
        <w:tc>
          <w:tcPr>
            <w:tcW w:w="628" w:type="pct"/>
            <w:hideMark/>
          </w:tcPr>
          <w:p w14:paraId="0547BF2E" w14:textId="3C117483"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-1.3</w:t>
            </w:r>
            <w:r w:rsidR="00D9137A" w:rsidRPr="002E4B8A">
              <w:rPr>
                <w:rFonts w:eastAsia="DengXian" w:cs="Times New Roman"/>
                <w:sz w:val="20"/>
                <w:szCs w:val="20"/>
              </w:rPr>
              <w:t>50</w:t>
            </w:r>
            <w:r w:rsidRPr="002E4B8A">
              <w:rPr>
                <w:rFonts w:eastAsia="DengXian" w:cs="Times New Roman"/>
                <w:sz w:val="20"/>
                <w:szCs w:val="20"/>
              </w:rPr>
              <w:t>**</w:t>
            </w:r>
          </w:p>
        </w:tc>
        <w:tc>
          <w:tcPr>
            <w:tcW w:w="569" w:type="pct"/>
            <w:hideMark/>
          </w:tcPr>
          <w:p w14:paraId="2C7E0813" w14:textId="0D2F3C66"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-.417</w:t>
            </w:r>
          </w:p>
        </w:tc>
        <w:tc>
          <w:tcPr>
            <w:tcW w:w="569" w:type="pct"/>
            <w:hideMark/>
          </w:tcPr>
          <w:p w14:paraId="7A089BDD" w14:textId="734BBCD5"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1.276</w:t>
            </w:r>
          </w:p>
        </w:tc>
      </w:tr>
      <w:tr w:rsidR="002E4B8A" w:rsidRPr="005E02DB" w14:paraId="2C3F1987" w14:textId="77777777" w:rsidTr="00273B5A">
        <w:trPr>
          <w:jc w:val="center"/>
        </w:trPr>
        <w:tc>
          <w:tcPr>
            <w:tcW w:w="925" w:type="pct"/>
            <w:hideMark/>
          </w:tcPr>
          <w:p w14:paraId="20B6867E" w14:textId="585F5475" w:rsidR="005E02DB" w:rsidRPr="002E4B8A" w:rsidRDefault="005E02DB" w:rsidP="002E4B8A">
            <w:pPr>
              <w:widowControl w:val="0"/>
              <w:autoSpaceDE w:val="0"/>
              <w:autoSpaceDN w:val="0"/>
              <w:adjustRightInd w:val="0"/>
              <w:spacing w:line="240" w:lineRule="auto"/>
              <w:rPr>
                <w:rFonts w:eastAsia="DengXian" w:cs="Times New Roman"/>
                <w:sz w:val="20"/>
                <w:szCs w:val="20"/>
              </w:rPr>
            </w:pPr>
          </w:p>
        </w:tc>
        <w:tc>
          <w:tcPr>
            <w:tcW w:w="569" w:type="pct"/>
            <w:hideMark/>
          </w:tcPr>
          <w:p w14:paraId="1552443A" w14:textId="534A977B"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(1.20</w:t>
            </w:r>
            <w:r w:rsidR="00E75CAE" w:rsidRPr="002E4B8A">
              <w:rPr>
                <w:rFonts w:eastAsia="DengXian" w:cs="Times New Roman"/>
                <w:sz w:val="20"/>
                <w:szCs w:val="20"/>
              </w:rPr>
              <w:t>7</w:t>
            </w:r>
            <w:r w:rsidRPr="002E4B8A">
              <w:rPr>
                <w:rFonts w:eastAsia="DengXian" w:cs="Times New Roman"/>
                <w:sz w:val="20"/>
                <w:szCs w:val="20"/>
              </w:rPr>
              <w:t>)</w:t>
            </w:r>
          </w:p>
        </w:tc>
        <w:tc>
          <w:tcPr>
            <w:tcW w:w="603" w:type="pct"/>
            <w:hideMark/>
          </w:tcPr>
          <w:p w14:paraId="10101E3E" w14:textId="173AF25F"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(1.93</w:t>
            </w:r>
            <w:r w:rsidR="00E75CAE" w:rsidRPr="002E4B8A">
              <w:rPr>
                <w:rFonts w:eastAsia="DengXian" w:cs="Times New Roman"/>
                <w:sz w:val="20"/>
                <w:szCs w:val="20"/>
              </w:rPr>
              <w:t>2</w:t>
            </w:r>
            <w:r w:rsidRPr="002E4B8A">
              <w:rPr>
                <w:rFonts w:eastAsia="DengXian" w:cs="Times New Roman"/>
                <w:sz w:val="20"/>
                <w:szCs w:val="20"/>
              </w:rPr>
              <w:t>)</w:t>
            </w:r>
          </w:p>
        </w:tc>
        <w:tc>
          <w:tcPr>
            <w:tcW w:w="569" w:type="pct"/>
            <w:hideMark/>
          </w:tcPr>
          <w:p w14:paraId="5564FAB4" w14:textId="01637E4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(2.027)</w:t>
            </w:r>
          </w:p>
        </w:tc>
        <w:tc>
          <w:tcPr>
            <w:tcW w:w="569" w:type="pct"/>
            <w:hideMark/>
          </w:tcPr>
          <w:p w14:paraId="1DF29E7D" w14:textId="2ED4A9A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(.49</w:t>
            </w:r>
            <w:r w:rsidR="00A8113F" w:rsidRPr="002E4B8A">
              <w:rPr>
                <w:rFonts w:eastAsia="DengXian" w:cs="Times New Roman"/>
                <w:sz w:val="20"/>
                <w:szCs w:val="20"/>
              </w:rPr>
              <w:t>7</w:t>
            </w:r>
            <w:r w:rsidRPr="002E4B8A">
              <w:rPr>
                <w:rFonts w:eastAsia="DengXian" w:cs="Times New Roman"/>
                <w:sz w:val="20"/>
                <w:szCs w:val="20"/>
              </w:rPr>
              <w:t>)</w:t>
            </w:r>
          </w:p>
        </w:tc>
        <w:tc>
          <w:tcPr>
            <w:tcW w:w="628" w:type="pct"/>
            <w:hideMark/>
          </w:tcPr>
          <w:p w14:paraId="7FB6E5BE" w14:textId="2E11F94D"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(.65</w:t>
            </w:r>
            <w:r w:rsidR="00D9137A" w:rsidRPr="002E4B8A">
              <w:rPr>
                <w:rFonts w:eastAsia="DengXian" w:cs="Times New Roman"/>
                <w:sz w:val="20"/>
                <w:szCs w:val="20"/>
              </w:rPr>
              <w:t>6</w:t>
            </w:r>
            <w:r w:rsidRPr="002E4B8A">
              <w:rPr>
                <w:rFonts w:eastAsia="DengXian" w:cs="Times New Roman"/>
                <w:sz w:val="20"/>
                <w:szCs w:val="20"/>
              </w:rPr>
              <w:t>)</w:t>
            </w:r>
          </w:p>
        </w:tc>
        <w:tc>
          <w:tcPr>
            <w:tcW w:w="569" w:type="pct"/>
            <w:hideMark/>
          </w:tcPr>
          <w:p w14:paraId="26989D0A" w14:textId="17978C48"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(.624)</w:t>
            </w:r>
          </w:p>
        </w:tc>
        <w:tc>
          <w:tcPr>
            <w:tcW w:w="569" w:type="pct"/>
            <w:hideMark/>
          </w:tcPr>
          <w:p w14:paraId="47CD5B94" w14:textId="3B98321D"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(1.506)</w:t>
            </w:r>
          </w:p>
        </w:tc>
      </w:tr>
      <w:tr w:rsidR="002E4B8A" w:rsidRPr="005E02DB" w14:paraId="24BD8CE8" w14:textId="77777777" w:rsidTr="00273B5A">
        <w:trPr>
          <w:jc w:val="center"/>
        </w:trPr>
        <w:tc>
          <w:tcPr>
            <w:tcW w:w="925" w:type="pct"/>
            <w:hideMark/>
          </w:tcPr>
          <w:p w14:paraId="0BC324F1" w14:textId="7777777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PAD Squared</w:t>
            </w:r>
          </w:p>
        </w:tc>
        <w:tc>
          <w:tcPr>
            <w:tcW w:w="569" w:type="pct"/>
            <w:hideMark/>
          </w:tcPr>
          <w:p w14:paraId="586CDD4F" w14:textId="413BAE9F"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-1.7</w:t>
            </w:r>
            <w:r w:rsidR="00E75CAE" w:rsidRPr="002E4B8A">
              <w:rPr>
                <w:rFonts w:eastAsia="DengXian" w:cs="Times New Roman"/>
                <w:sz w:val="20"/>
                <w:szCs w:val="20"/>
              </w:rPr>
              <w:t>20</w:t>
            </w:r>
          </w:p>
        </w:tc>
        <w:tc>
          <w:tcPr>
            <w:tcW w:w="603" w:type="pct"/>
            <w:hideMark/>
          </w:tcPr>
          <w:p w14:paraId="6372FC89" w14:textId="18C22C8C"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1.090</w:t>
            </w:r>
          </w:p>
        </w:tc>
        <w:tc>
          <w:tcPr>
            <w:tcW w:w="569" w:type="pct"/>
            <w:hideMark/>
          </w:tcPr>
          <w:p w14:paraId="4D4EEFA2" w14:textId="755AE05A"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-4.043**</w:t>
            </w:r>
          </w:p>
        </w:tc>
        <w:tc>
          <w:tcPr>
            <w:tcW w:w="569" w:type="pct"/>
            <w:hideMark/>
          </w:tcPr>
          <w:p w14:paraId="684BE7DA" w14:textId="4CCECC0B"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.14</w:t>
            </w:r>
            <w:r w:rsidR="00A8113F" w:rsidRPr="002E4B8A">
              <w:rPr>
                <w:rFonts w:eastAsia="DengXian" w:cs="Times New Roman"/>
                <w:sz w:val="20"/>
                <w:szCs w:val="20"/>
              </w:rPr>
              <w:t>5</w:t>
            </w:r>
          </w:p>
        </w:tc>
        <w:tc>
          <w:tcPr>
            <w:tcW w:w="628" w:type="pct"/>
            <w:hideMark/>
          </w:tcPr>
          <w:p w14:paraId="430A7368" w14:textId="4A57ED79"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1.227</w:t>
            </w:r>
          </w:p>
        </w:tc>
        <w:tc>
          <w:tcPr>
            <w:tcW w:w="569" w:type="pct"/>
            <w:hideMark/>
          </w:tcPr>
          <w:p w14:paraId="02FA3520" w14:textId="6964B85A"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.32</w:t>
            </w:r>
            <w:r w:rsidR="00D9137A" w:rsidRPr="002E4B8A">
              <w:rPr>
                <w:rFonts w:eastAsia="DengXian" w:cs="Times New Roman"/>
                <w:sz w:val="20"/>
                <w:szCs w:val="20"/>
              </w:rPr>
              <w:t>3</w:t>
            </w:r>
          </w:p>
        </w:tc>
        <w:tc>
          <w:tcPr>
            <w:tcW w:w="569" w:type="pct"/>
            <w:hideMark/>
          </w:tcPr>
          <w:p w14:paraId="53D4C605" w14:textId="5DD1D8E2"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-1.88</w:t>
            </w:r>
            <w:r w:rsidR="00D9137A" w:rsidRPr="002E4B8A">
              <w:rPr>
                <w:rFonts w:eastAsia="DengXian" w:cs="Times New Roman"/>
                <w:sz w:val="20"/>
                <w:szCs w:val="20"/>
              </w:rPr>
              <w:t>3</w:t>
            </w:r>
          </w:p>
        </w:tc>
      </w:tr>
      <w:tr w:rsidR="002E4B8A" w:rsidRPr="005E02DB" w14:paraId="26EECEEC" w14:textId="77777777" w:rsidTr="00273B5A">
        <w:trPr>
          <w:jc w:val="center"/>
        </w:trPr>
        <w:tc>
          <w:tcPr>
            <w:tcW w:w="925" w:type="pct"/>
            <w:hideMark/>
          </w:tcPr>
          <w:p w14:paraId="16D357A8" w14:textId="5C37F507" w:rsidR="005E02DB" w:rsidRPr="002E4B8A" w:rsidRDefault="005E02DB" w:rsidP="002E4B8A">
            <w:pPr>
              <w:widowControl w:val="0"/>
              <w:autoSpaceDE w:val="0"/>
              <w:autoSpaceDN w:val="0"/>
              <w:adjustRightInd w:val="0"/>
              <w:spacing w:line="240" w:lineRule="auto"/>
              <w:rPr>
                <w:rFonts w:eastAsia="DengXian" w:cs="Times New Roman"/>
                <w:sz w:val="20"/>
                <w:szCs w:val="20"/>
              </w:rPr>
            </w:pPr>
          </w:p>
        </w:tc>
        <w:tc>
          <w:tcPr>
            <w:tcW w:w="569" w:type="pct"/>
            <w:hideMark/>
          </w:tcPr>
          <w:p w14:paraId="44D6846C" w14:textId="01D563DD"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(1.296)</w:t>
            </w:r>
          </w:p>
        </w:tc>
        <w:tc>
          <w:tcPr>
            <w:tcW w:w="603" w:type="pct"/>
            <w:hideMark/>
          </w:tcPr>
          <w:p w14:paraId="74A30C81" w14:textId="34B42AF6"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(1.94</w:t>
            </w:r>
            <w:r w:rsidR="00E75CAE" w:rsidRPr="002E4B8A">
              <w:rPr>
                <w:rFonts w:eastAsia="DengXian" w:cs="Times New Roman"/>
                <w:sz w:val="20"/>
                <w:szCs w:val="20"/>
              </w:rPr>
              <w:t>7</w:t>
            </w:r>
            <w:r w:rsidRPr="002E4B8A">
              <w:rPr>
                <w:rFonts w:eastAsia="DengXian" w:cs="Times New Roman"/>
                <w:sz w:val="20"/>
                <w:szCs w:val="20"/>
              </w:rPr>
              <w:t>)</w:t>
            </w:r>
          </w:p>
        </w:tc>
        <w:tc>
          <w:tcPr>
            <w:tcW w:w="569" w:type="pct"/>
            <w:hideMark/>
          </w:tcPr>
          <w:p w14:paraId="2E23B8EF" w14:textId="3AA31B53"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(1.984)</w:t>
            </w:r>
          </w:p>
        </w:tc>
        <w:tc>
          <w:tcPr>
            <w:tcW w:w="569" w:type="pct"/>
            <w:hideMark/>
          </w:tcPr>
          <w:p w14:paraId="2B7A7D45" w14:textId="3C3D8A3F"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(.40</w:t>
            </w:r>
            <w:r w:rsidR="00A8113F" w:rsidRPr="002E4B8A">
              <w:rPr>
                <w:rFonts w:eastAsia="DengXian" w:cs="Times New Roman"/>
                <w:sz w:val="20"/>
                <w:szCs w:val="20"/>
              </w:rPr>
              <w:t>6</w:t>
            </w:r>
            <w:r w:rsidRPr="002E4B8A">
              <w:rPr>
                <w:rFonts w:eastAsia="DengXian" w:cs="Times New Roman"/>
                <w:sz w:val="20"/>
                <w:szCs w:val="20"/>
              </w:rPr>
              <w:t>)</w:t>
            </w:r>
          </w:p>
        </w:tc>
        <w:tc>
          <w:tcPr>
            <w:tcW w:w="628" w:type="pct"/>
            <w:hideMark/>
          </w:tcPr>
          <w:p w14:paraId="15248EBE" w14:textId="2DCFDAD5"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(.754)</w:t>
            </w:r>
          </w:p>
        </w:tc>
        <w:tc>
          <w:tcPr>
            <w:tcW w:w="569" w:type="pct"/>
            <w:hideMark/>
          </w:tcPr>
          <w:p w14:paraId="3684DE39" w14:textId="4DB3C3DA"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(.61</w:t>
            </w:r>
            <w:r w:rsidR="00D9137A" w:rsidRPr="002E4B8A">
              <w:rPr>
                <w:rFonts w:eastAsia="DengXian" w:cs="Times New Roman"/>
                <w:sz w:val="20"/>
                <w:szCs w:val="20"/>
              </w:rPr>
              <w:t>7</w:t>
            </w:r>
            <w:r w:rsidRPr="002E4B8A">
              <w:rPr>
                <w:rFonts w:eastAsia="DengXian" w:cs="Times New Roman"/>
                <w:sz w:val="20"/>
                <w:szCs w:val="20"/>
              </w:rPr>
              <w:t>)</w:t>
            </w:r>
          </w:p>
        </w:tc>
        <w:tc>
          <w:tcPr>
            <w:tcW w:w="569" w:type="pct"/>
            <w:hideMark/>
          </w:tcPr>
          <w:p w14:paraId="224E0A53" w14:textId="5FBB1B1A"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(1.55</w:t>
            </w:r>
            <w:r w:rsidR="00D9137A" w:rsidRPr="002E4B8A">
              <w:rPr>
                <w:rFonts w:eastAsia="DengXian" w:cs="Times New Roman"/>
                <w:sz w:val="20"/>
                <w:szCs w:val="20"/>
              </w:rPr>
              <w:t>7</w:t>
            </w:r>
            <w:r w:rsidRPr="002E4B8A">
              <w:rPr>
                <w:rFonts w:eastAsia="DengXian" w:cs="Times New Roman"/>
                <w:sz w:val="20"/>
                <w:szCs w:val="20"/>
              </w:rPr>
              <w:t>)</w:t>
            </w:r>
          </w:p>
        </w:tc>
      </w:tr>
      <w:tr w:rsidR="002E4B8A" w:rsidRPr="005E02DB" w14:paraId="642E773D" w14:textId="77777777" w:rsidTr="00273B5A">
        <w:trPr>
          <w:jc w:val="center"/>
        </w:trPr>
        <w:tc>
          <w:tcPr>
            <w:tcW w:w="925" w:type="pct"/>
            <w:hideMark/>
          </w:tcPr>
          <w:p w14:paraId="3284F320" w14:textId="2817E02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Prior Est Stock (10ks)</w:t>
            </w:r>
          </w:p>
        </w:tc>
        <w:tc>
          <w:tcPr>
            <w:tcW w:w="569" w:type="pct"/>
            <w:hideMark/>
          </w:tcPr>
          <w:p w14:paraId="316FDFBA" w14:textId="1F7C7242"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13.183**</w:t>
            </w:r>
          </w:p>
        </w:tc>
        <w:tc>
          <w:tcPr>
            <w:tcW w:w="603" w:type="pct"/>
            <w:hideMark/>
          </w:tcPr>
          <w:p w14:paraId="2BE6B8E4" w14:textId="47DDA09D"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27.41</w:t>
            </w:r>
            <w:r w:rsidR="00E75CAE" w:rsidRPr="002E4B8A">
              <w:rPr>
                <w:rFonts w:eastAsia="DengXian" w:cs="Times New Roman"/>
                <w:sz w:val="20"/>
                <w:szCs w:val="20"/>
              </w:rPr>
              <w:t>9</w:t>
            </w:r>
            <w:r w:rsidRPr="002E4B8A">
              <w:rPr>
                <w:rFonts w:eastAsia="DengXian" w:cs="Times New Roman"/>
                <w:sz w:val="20"/>
                <w:szCs w:val="20"/>
              </w:rPr>
              <w:t>***</w:t>
            </w:r>
          </w:p>
        </w:tc>
        <w:tc>
          <w:tcPr>
            <w:tcW w:w="569" w:type="pct"/>
            <w:hideMark/>
          </w:tcPr>
          <w:p w14:paraId="4D4FBFE5" w14:textId="3FFE5ECF"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-20.65</w:t>
            </w:r>
            <w:r w:rsidR="00A8113F" w:rsidRPr="002E4B8A">
              <w:rPr>
                <w:rFonts w:eastAsia="DengXian" w:cs="Times New Roman"/>
                <w:sz w:val="20"/>
                <w:szCs w:val="20"/>
              </w:rPr>
              <w:t>5</w:t>
            </w:r>
          </w:p>
        </w:tc>
        <w:tc>
          <w:tcPr>
            <w:tcW w:w="569" w:type="pct"/>
            <w:hideMark/>
          </w:tcPr>
          <w:p w14:paraId="07818F75" w14:textId="71687923"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.077</w:t>
            </w:r>
          </w:p>
        </w:tc>
        <w:tc>
          <w:tcPr>
            <w:tcW w:w="628" w:type="pct"/>
            <w:hideMark/>
          </w:tcPr>
          <w:p w14:paraId="10693820" w14:textId="285B0E2F"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.2</w:t>
            </w:r>
            <w:r w:rsidR="00D9137A" w:rsidRPr="002E4B8A">
              <w:rPr>
                <w:rFonts w:eastAsia="DengXian" w:cs="Times New Roman"/>
                <w:sz w:val="20"/>
                <w:szCs w:val="20"/>
              </w:rPr>
              <w:t>80</w:t>
            </w:r>
            <w:r w:rsidRPr="002E4B8A">
              <w:rPr>
                <w:rFonts w:eastAsia="DengXian" w:cs="Times New Roman"/>
                <w:sz w:val="20"/>
                <w:szCs w:val="20"/>
              </w:rPr>
              <w:t>*</w:t>
            </w:r>
          </w:p>
        </w:tc>
        <w:tc>
          <w:tcPr>
            <w:tcW w:w="569" w:type="pct"/>
            <w:hideMark/>
          </w:tcPr>
          <w:p w14:paraId="2F9AD514" w14:textId="046D64CE"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.1646***</w:t>
            </w:r>
          </w:p>
        </w:tc>
        <w:tc>
          <w:tcPr>
            <w:tcW w:w="569" w:type="pct"/>
            <w:hideMark/>
          </w:tcPr>
          <w:p w14:paraId="61ED359B" w14:textId="1CC85DB5"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1.52</w:t>
            </w:r>
            <w:r w:rsidR="00D9137A" w:rsidRPr="002E4B8A">
              <w:rPr>
                <w:rFonts w:eastAsia="DengXian" w:cs="Times New Roman"/>
                <w:sz w:val="20"/>
                <w:szCs w:val="20"/>
              </w:rPr>
              <w:t>5</w:t>
            </w:r>
            <w:r w:rsidRPr="002E4B8A">
              <w:rPr>
                <w:rFonts w:eastAsia="DengXian" w:cs="Times New Roman"/>
                <w:sz w:val="20"/>
                <w:szCs w:val="20"/>
              </w:rPr>
              <w:t>*</w:t>
            </w:r>
          </w:p>
        </w:tc>
      </w:tr>
      <w:tr w:rsidR="002E4B8A" w:rsidRPr="005E02DB" w14:paraId="1A7D2787" w14:textId="77777777" w:rsidTr="00273B5A">
        <w:trPr>
          <w:jc w:val="center"/>
        </w:trPr>
        <w:tc>
          <w:tcPr>
            <w:tcW w:w="925" w:type="pct"/>
            <w:hideMark/>
          </w:tcPr>
          <w:p w14:paraId="65A149A2" w14:textId="0458728B" w:rsidR="005E02DB" w:rsidRPr="002E4B8A" w:rsidRDefault="005E02DB" w:rsidP="002E4B8A">
            <w:pPr>
              <w:widowControl w:val="0"/>
              <w:autoSpaceDE w:val="0"/>
              <w:autoSpaceDN w:val="0"/>
              <w:adjustRightInd w:val="0"/>
              <w:spacing w:line="240" w:lineRule="auto"/>
              <w:rPr>
                <w:rFonts w:eastAsia="DengXian" w:cs="Times New Roman"/>
                <w:sz w:val="20"/>
                <w:szCs w:val="20"/>
              </w:rPr>
            </w:pPr>
          </w:p>
        </w:tc>
        <w:tc>
          <w:tcPr>
            <w:tcW w:w="569" w:type="pct"/>
            <w:hideMark/>
          </w:tcPr>
          <w:p w14:paraId="7792A9F5" w14:textId="75C477FB"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(5.533)</w:t>
            </w:r>
          </w:p>
        </w:tc>
        <w:tc>
          <w:tcPr>
            <w:tcW w:w="603" w:type="pct"/>
            <w:hideMark/>
          </w:tcPr>
          <w:p w14:paraId="508F219A" w14:textId="3CCC27B3"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(4.908)</w:t>
            </w:r>
          </w:p>
        </w:tc>
        <w:tc>
          <w:tcPr>
            <w:tcW w:w="569" w:type="pct"/>
            <w:hideMark/>
          </w:tcPr>
          <w:p w14:paraId="1E08E5B1" w14:textId="336DD302"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(26.63</w:t>
            </w:r>
            <w:r w:rsidR="00A8113F" w:rsidRPr="002E4B8A">
              <w:rPr>
                <w:rFonts w:eastAsia="DengXian" w:cs="Times New Roman"/>
                <w:sz w:val="20"/>
                <w:szCs w:val="20"/>
              </w:rPr>
              <w:t>2</w:t>
            </w:r>
            <w:r w:rsidRPr="002E4B8A">
              <w:rPr>
                <w:rFonts w:eastAsia="DengXian" w:cs="Times New Roman"/>
                <w:sz w:val="20"/>
                <w:szCs w:val="20"/>
              </w:rPr>
              <w:t>)</w:t>
            </w:r>
          </w:p>
        </w:tc>
        <w:tc>
          <w:tcPr>
            <w:tcW w:w="569" w:type="pct"/>
            <w:hideMark/>
          </w:tcPr>
          <w:p w14:paraId="56607B7C" w14:textId="51F493B3"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(.05</w:t>
            </w:r>
            <w:r w:rsidR="00A8113F" w:rsidRPr="002E4B8A">
              <w:rPr>
                <w:rFonts w:eastAsia="DengXian" w:cs="Times New Roman"/>
                <w:sz w:val="20"/>
                <w:szCs w:val="20"/>
              </w:rPr>
              <w:t>2</w:t>
            </w:r>
            <w:r w:rsidRPr="002E4B8A">
              <w:rPr>
                <w:rFonts w:eastAsia="DengXian" w:cs="Times New Roman"/>
                <w:sz w:val="20"/>
                <w:szCs w:val="20"/>
              </w:rPr>
              <w:t>)</w:t>
            </w:r>
          </w:p>
        </w:tc>
        <w:tc>
          <w:tcPr>
            <w:tcW w:w="628" w:type="pct"/>
            <w:hideMark/>
          </w:tcPr>
          <w:p w14:paraId="4E6E2920" w14:textId="3CA33C62"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(.163)</w:t>
            </w:r>
          </w:p>
        </w:tc>
        <w:tc>
          <w:tcPr>
            <w:tcW w:w="569" w:type="pct"/>
            <w:hideMark/>
          </w:tcPr>
          <w:p w14:paraId="732C8BBC" w14:textId="22CC3EF6"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(.01</w:t>
            </w:r>
            <w:r w:rsidR="00D9137A" w:rsidRPr="002E4B8A">
              <w:rPr>
                <w:rFonts w:eastAsia="DengXian" w:cs="Times New Roman"/>
                <w:sz w:val="20"/>
                <w:szCs w:val="20"/>
              </w:rPr>
              <w:t>6</w:t>
            </w:r>
            <w:r w:rsidRPr="002E4B8A">
              <w:rPr>
                <w:rFonts w:eastAsia="DengXian" w:cs="Times New Roman"/>
                <w:sz w:val="20"/>
                <w:szCs w:val="20"/>
              </w:rPr>
              <w:t>)</w:t>
            </w:r>
          </w:p>
        </w:tc>
        <w:tc>
          <w:tcPr>
            <w:tcW w:w="569" w:type="pct"/>
            <w:hideMark/>
          </w:tcPr>
          <w:p w14:paraId="0EF9A6B5" w14:textId="4E37AE4F"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(.898)</w:t>
            </w:r>
          </w:p>
        </w:tc>
      </w:tr>
      <w:tr w:rsidR="002E4B8A" w:rsidRPr="005E02DB" w14:paraId="29DAAE6C" w14:textId="77777777" w:rsidTr="00273B5A">
        <w:trPr>
          <w:jc w:val="center"/>
        </w:trPr>
        <w:tc>
          <w:tcPr>
            <w:tcW w:w="925" w:type="pct"/>
            <w:hideMark/>
          </w:tcPr>
          <w:p w14:paraId="4E621B3E" w14:textId="502EE30F"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_cons</w:t>
            </w:r>
          </w:p>
        </w:tc>
        <w:tc>
          <w:tcPr>
            <w:tcW w:w="569" w:type="pct"/>
            <w:hideMark/>
          </w:tcPr>
          <w:p w14:paraId="24BBF204" w14:textId="484009DF"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5.648***</w:t>
            </w:r>
          </w:p>
        </w:tc>
        <w:tc>
          <w:tcPr>
            <w:tcW w:w="603" w:type="pct"/>
            <w:hideMark/>
          </w:tcPr>
          <w:p w14:paraId="59404AC9" w14:textId="593E05C0"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6.350***</w:t>
            </w:r>
          </w:p>
        </w:tc>
        <w:tc>
          <w:tcPr>
            <w:tcW w:w="569" w:type="pct"/>
            <w:hideMark/>
          </w:tcPr>
          <w:p w14:paraId="1281D7DD" w14:textId="32797D3D"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5.58</w:t>
            </w:r>
            <w:r w:rsidR="00A8113F" w:rsidRPr="002E4B8A">
              <w:rPr>
                <w:rFonts w:eastAsia="DengXian" w:cs="Times New Roman"/>
                <w:sz w:val="20"/>
                <w:szCs w:val="20"/>
              </w:rPr>
              <w:t>5</w:t>
            </w:r>
            <w:r w:rsidRPr="002E4B8A">
              <w:rPr>
                <w:rFonts w:eastAsia="DengXian" w:cs="Times New Roman"/>
                <w:sz w:val="20"/>
                <w:szCs w:val="20"/>
              </w:rPr>
              <w:t>***</w:t>
            </w:r>
          </w:p>
        </w:tc>
        <w:tc>
          <w:tcPr>
            <w:tcW w:w="569" w:type="pct"/>
            <w:hideMark/>
          </w:tcPr>
          <w:p w14:paraId="1A4300C5" w14:textId="70F6311B"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8.998***</w:t>
            </w:r>
          </w:p>
        </w:tc>
        <w:tc>
          <w:tcPr>
            <w:tcW w:w="628" w:type="pct"/>
            <w:hideMark/>
          </w:tcPr>
          <w:p w14:paraId="178143FC" w14:textId="6B90DB5C"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9.88</w:t>
            </w:r>
            <w:r w:rsidR="00D9137A" w:rsidRPr="002E4B8A">
              <w:rPr>
                <w:rFonts w:eastAsia="DengXian" w:cs="Times New Roman"/>
                <w:sz w:val="20"/>
                <w:szCs w:val="20"/>
              </w:rPr>
              <w:t>1</w:t>
            </w:r>
            <w:r w:rsidRPr="002E4B8A">
              <w:rPr>
                <w:rFonts w:eastAsia="DengXian" w:cs="Times New Roman"/>
                <w:sz w:val="20"/>
                <w:szCs w:val="20"/>
              </w:rPr>
              <w:t>***</w:t>
            </w:r>
          </w:p>
        </w:tc>
        <w:tc>
          <w:tcPr>
            <w:tcW w:w="569" w:type="pct"/>
            <w:hideMark/>
          </w:tcPr>
          <w:p w14:paraId="5519D9C9" w14:textId="39D5D11E"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8.62</w:t>
            </w:r>
            <w:r w:rsidR="00D9137A" w:rsidRPr="002E4B8A">
              <w:rPr>
                <w:rFonts w:eastAsia="DengXian" w:cs="Times New Roman"/>
                <w:sz w:val="20"/>
                <w:szCs w:val="20"/>
              </w:rPr>
              <w:t>2</w:t>
            </w:r>
            <w:r w:rsidRPr="002E4B8A">
              <w:rPr>
                <w:rFonts w:eastAsia="DengXian" w:cs="Times New Roman"/>
                <w:sz w:val="20"/>
                <w:szCs w:val="20"/>
              </w:rPr>
              <w:t>***</w:t>
            </w:r>
          </w:p>
        </w:tc>
        <w:tc>
          <w:tcPr>
            <w:tcW w:w="569" w:type="pct"/>
            <w:hideMark/>
          </w:tcPr>
          <w:p w14:paraId="5BC4D98C" w14:textId="73085D94"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7.916***</w:t>
            </w:r>
          </w:p>
        </w:tc>
      </w:tr>
      <w:tr w:rsidR="002E4B8A" w:rsidRPr="005E02DB" w14:paraId="31ADCB08" w14:textId="77777777" w:rsidTr="00273B5A">
        <w:trPr>
          <w:jc w:val="center"/>
        </w:trPr>
        <w:tc>
          <w:tcPr>
            <w:tcW w:w="925" w:type="pct"/>
            <w:hideMark/>
          </w:tcPr>
          <w:p w14:paraId="4562218D" w14:textId="31C9A8DE" w:rsidR="005E02DB" w:rsidRPr="002E4B8A" w:rsidRDefault="005E02DB" w:rsidP="002E4B8A">
            <w:pPr>
              <w:widowControl w:val="0"/>
              <w:autoSpaceDE w:val="0"/>
              <w:autoSpaceDN w:val="0"/>
              <w:adjustRightInd w:val="0"/>
              <w:spacing w:line="240" w:lineRule="auto"/>
              <w:rPr>
                <w:rFonts w:eastAsia="DengXian" w:cs="Times New Roman"/>
                <w:sz w:val="20"/>
                <w:szCs w:val="20"/>
              </w:rPr>
            </w:pPr>
          </w:p>
        </w:tc>
        <w:tc>
          <w:tcPr>
            <w:tcW w:w="569" w:type="pct"/>
            <w:hideMark/>
          </w:tcPr>
          <w:p w14:paraId="60AE0087" w14:textId="12171553"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(.309)</w:t>
            </w:r>
          </w:p>
        </w:tc>
        <w:tc>
          <w:tcPr>
            <w:tcW w:w="603" w:type="pct"/>
            <w:hideMark/>
          </w:tcPr>
          <w:p w14:paraId="0E5720E0" w14:textId="1B5DA08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(.419)</w:t>
            </w:r>
          </w:p>
        </w:tc>
        <w:tc>
          <w:tcPr>
            <w:tcW w:w="569" w:type="pct"/>
            <w:hideMark/>
          </w:tcPr>
          <w:p w14:paraId="3F94DF15" w14:textId="2208A7DB"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(.31</w:t>
            </w:r>
            <w:r w:rsidR="00A8113F" w:rsidRPr="002E4B8A">
              <w:rPr>
                <w:rFonts w:eastAsia="DengXian" w:cs="Times New Roman"/>
                <w:sz w:val="20"/>
                <w:szCs w:val="20"/>
              </w:rPr>
              <w:t>6</w:t>
            </w:r>
            <w:r w:rsidRPr="002E4B8A">
              <w:rPr>
                <w:rFonts w:eastAsia="DengXian" w:cs="Times New Roman"/>
                <w:sz w:val="20"/>
                <w:szCs w:val="20"/>
              </w:rPr>
              <w:t>)</w:t>
            </w:r>
          </w:p>
        </w:tc>
        <w:tc>
          <w:tcPr>
            <w:tcW w:w="569" w:type="pct"/>
            <w:hideMark/>
          </w:tcPr>
          <w:p w14:paraId="4D3EFAD3" w14:textId="77301FE9"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(.125)</w:t>
            </w:r>
          </w:p>
        </w:tc>
        <w:tc>
          <w:tcPr>
            <w:tcW w:w="628" w:type="pct"/>
            <w:hideMark/>
          </w:tcPr>
          <w:p w14:paraId="04295476" w14:textId="347D995C"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(.109)</w:t>
            </w:r>
          </w:p>
        </w:tc>
        <w:tc>
          <w:tcPr>
            <w:tcW w:w="569" w:type="pct"/>
            <w:hideMark/>
          </w:tcPr>
          <w:p w14:paraId="4099E43F" w14:textId="34139398"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(.129)</w:t>
            </w:r>
          </w:p>
        </w:tc>
        <w:tc>
          <w:tcPr>
            <w:tcW w:w="569" w:type="pct"/>
            <w:hideMark/>
          </w:tcPr>
          <w:p w14:paraId="6AD61342" w14:textId="51034211"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(.31</w:t>
            </w:r>
            <w:r w:rsidR="00D9137A" w:rsidRPr="002E4B8A">
              <w:rPr>
                <w:rFonts w:eastAsia="DengXian" w:cs="Times New Roman"/>
                <w:sz w:val="20"/>
                <w:szCs w:val="20"/>
              </w:rPr>
              <w:t>6</w:t>
            </w:r>
            <w:r w:rsidRPr="002E4B8A">
              <w:rPr>
                <w:rFonts w:eastAsia="DengXian" w:cs="Times New Roman"/>
                <w:sz w:val="20"/>
                <w:szCs w:val="20"/>
              </w:rPr>
              <w:t>)</w:t>
            </w:r>
          </w:p>
        </w:tc>
      </w:tr>
      <w:tr w:rsidR="002E4B8A" w:rsidRPr="005E02DB" w14:paraId="4CBD26FC" w14:textId="77777777" w:rsidTr="00273B5A">
        <w:trPr>
          <w:jc w:val="center"/>
        </w:trPr>
        <w:tc>
          <w:tcPr>
            <w:tcW w:w="925" w:type="pct"/>
            <w:hideMark/>
          </w:tcPr>
          <w:p w14:paraId="7352B5B7" w14:textId="20600E23"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Observations</w:t>
            </w:r>
          </w:p>
        </w:tc>
        <w:tc>
          <w:tcPr>
            <w:tcW w:w="569" w:type="pct"/>
            <w:hideMark/>
          </w:tcPr>
          <w:p w14:paraId="47121615" w14:textId="7777777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47546</w:t>
            </w:r>
          </w:p>
        </w:tc>
        <w:tc>
          <w:tcPr>
            <w:tcW w:w="603" w:type="pct"/>
            <w:hideMark/>
          </w:tcPr>
          <w:p w14:paraId="1BE5ECFC" w14:textId="7777777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45079</w:t>
            </w:r>
          </w:p>
        </w:tc>
        <w:tc>
          <w:tcPr>
            <w:tcW w:w="569" w:type="pct"/>
            <w:hideMark/>
          </w:tcPr>
          <w:p w14:paraId="5EC152B7" w14:textId="7777777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43698</w:t>
            </w:r>
          </w:p>
        </w:tc>
        <w:tc>
          <w:tcPr>
            <w:tcW w:w="569" w:type="pct"/>
            <w:hideMark/>
          </w:tcPr>
          <w:p w14:paraId="398F2826" w14:textId="7777777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47546</w:t>
            </w:r>
          </w:p>
        </w:tc>
        <w:tc>
          <w:tcPr>
            <w:tcW w:w="628" w:type="pct"/>
            <w:hideMark/>
          </w:tcPr>
          <w:p w14:paraId="44040256" w14:textId="7777777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46223</w:t>
            </w:r>
          </w:p>
        </w:tc>
        <w:tc>
          <w:tcPr>
            <w:tcW w:w="569" w:type="pct"/>
            <w:hideMark/>
          </w:tcPr>
          <w:p w14:paraId="68DA707C" w14:textId="7777777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47546</w:t>
            </w:r>
          </w:p>
        </w:tc>
        <w:tc>
          <w:tcPr>
            <w:tcW w:w="569" w:type="pct"/>
            <w:hideMark/>
          </w:tcPr>
          <w:p w14:paraId="1F1A3DAF" w14:textId="7777777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39433</w:t>
            </w:r>
          </w:p>
        </w:tc>
      </w:tr>
      <w:tr w:rsidR="002E4B8A" w:rsidRPr="005E02DB" w14:paraId="6329BE5B" w14:textId="77777777" w:rsidTr="00273B5A">
        <w:trPr>
          <w:jc w:val="center"/>
        </w:trPr>
        <w:tc>
          <w:tcPr>
            <w:tcW w:w="925" w:type="pct"/>
            <w:hideMark/>
          </w:tcPr>
          <w:p w14:paraId="0F8D652C" w14:textId="77777777" w:rsidR="008D5BA6" w:rsidRPr="002E4B8A" w:rsidRDefault="008D5BA6"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Year FE</w:t>
            </w:r>
          </w:p>
        </w:tc>
        <w:tc>
          <w:tcPr>
            <w:tcW w:w="569" w:type="pct"/>
            <w:hideMark/>
          </w:tcPr>
          <w:p w14:paraId="3E6EF15F" w14:textId="18508E4E" w:rsidR="008D5BA6" w:rsidRPr="002E4B8A" w:rsidRDefault="008D5BA6" w:rsidP="002E4B8A">
            <w:pPr>
              <w:widowControl w:val="0"/>
              <w:autoSpaceDE w:val="0"/>
              <w:autoSpaceDN w:val="0"/>
              <w:adjustRightInd w:val="0"/>
              <w:spacing w:line="240" w:lineRule="auto"/>
              <w:rPr>
                <w:rFonts w:eastAsia="DengXian" w:cs="Times New Roman"/>
                <w:sz w:val="20"/>
                <w:szCs w:val="20"/>
              </w:rPr>
            </w:pPr>
            <w:r w:rsidRPr="002E4B8A">
              <w:rPr>
                <w:rFonts w:eastAsia="Calibri" w:cs="Times New Roman"/>
                <w:sz w:val="20"/>
                <w:szCs w:val="20"/>
              </w:rPr>
              <w:t>Yes</w:t>
            </w:r>
          </w:p>
        </w:tc>
        <w:tc>
          <w:tcPr>
            <w:tcW w:w="603" w:type="pct"/>
            <w:hideMark/>
          </w:tcPr>
          <w:p w14:paraId="412E9FAE" w14:textId="1CAE9CA1" w:rsidR="008D5BA6" w:rsidRPr="002E4B8A" w:rsidRDefault="008D5BA6" w:rsidP="002E4B8A">
            <w:pPr>
              <w:widowControl w:val="0"/>
              <w:autoSpaceDE w:val="0"/>
              <w:autoSpaceDN w:val="0"/>
              <w:adjustRightInd w:val="0"/>
              <w:spacing w:line="240" w:lineRule="auto"/>
              <w:rPr>
                <w:rFonts w:eastAsia="DengXian" w:cs="Times New Roman"/>
                <w:sz w:val="20"/>
                <w:szCs w:val="20"/>
              </w:rPr>
            </w:pPr>
            <w:r w:rsidRPr="002E4B8A">
              <w:rPr>
                <w:rFonts w:eastAsia="Calibri" w:cs="Times New Roman"/>
                <w:sz w:val="20"/>
                <w:szCs w:val="20"/>
              </w:rPr>
              <w:t>Yes</w:t>
            </w:r>
          </w:p>
        </w:tc>
        <w:tc>
          <w:tcPr>
            <w:tcW w:w="569" w:type="pct"/>
            <w:hideMark/>
          </w:tcPr>
          <w:p w14:paraId="34B0ABB5" w14:textId="202D0404" w:rsidR="008D5BA6" w:rsidRPr="002E4B8A" w:rsidRDefault="008D5BA6" w:rsidP="002E4B8A">
            <w:pPr>
              <w:widowControl w:val="0"/>
              <w:autoSpaceDE w:val="0"/>
              <w:autoSpaceDN w:val="0"/>
              <w:adjustRightInd w:val="0"/>
              <w:spacing w:line="240" w:lineRule="auto"/>
              <w:rPr>
                <w:rFonts w:eastAsia="DengXian" w:cs="Times New Roman"/>
                <w:sz w:val="20"/>
                <w:szCs w:val="20"/>
              </w:rPr>
            </w:pPr>
            <w:r w:rsidRPr="002E4B8A">
              <w:rPr>
                <w:rFonts w:eastAsia="Calibri" w:cs="Times New Roman"/>
                <w:sz w:val="20"/>
                <w:szCs w:val="20"/>
              </w:rPr>
              <w:t>Yes</w:t>
            </w:r>
          </w:p>
        </w:tc>
        <w:tc>
          <w:tcPr>
            <w:tcW w:w="569" w:type="pct"/>
            <w:hideMark/>
          </w:tcPr>
          <w:p w14:paraId="78B7FBE4" w14:textId="328A0880" w:rsidR="008D5BA6" w:rsidRPr="002E4B8A" w:rsidRDefault="008D5BA6" w:rsidP="002E4B8A">
            <w:pPr>
              <w:widowControl w:val="0"/>
              <w:autoSpaceDE w:val="0"/>
              <w:autoSpaceDN w:val="0"/>
              <w:adjustRightInd w:val="0"/>
              <w:spacing w:line="240" w:lineRule="auto"/>
              <w:rPr>
                <w:rFonts w:eastAsia="DengXian" w:cs="Times New Roman"/>
                <w:sz w:val="20"/>
                <w:szCs w:val="20"/>
              </w:rPr>
            </w:pPr>
            <w:r w:rsidRPr="002E4B8A">
              <w:rPr>
                <w:rFonts w:eastAsia="Calibri" w:cs="Times New Roman"/>
                <w:sz w:val="20"/>
                <w:szCs w:val="20"/>
              </w:rPr>
              <w:t>Yes</w:t>
            </w:r>
          </w:p>
        </w:tc>
        <w:tc>
          <w:tcPr>
            <w:tcW w:w="628" w:type="pct"/>
            <w:hideMark/>
          </w:tcPr>
          <w:p w14:paraId="4547626C" w14:textId="11393D4D" w:rsidR="008D5BA6" w:rsidRPr="002E4B8A" w:rsidRDefault="008D5BA6" w:rsidP="002E4B8A">
            <w:pPr>
              <w:widowControl w:val="0"/>
              <w:autoSpaceDE w:val="0"/>
              <w:autoSpaceDN w:val="0"/>
              <w:adjustRightInd w:val="0"/>
              <w:spacing w:line="240" w:lineRule="auto"/>
              <w:rPr>
                <w:rFonts w:eastAsia="DengXian" w:cs="Times New Roman"/>
                <w:sz w:val="20"/>
                <w:szCs w:val="20"/>
              </w:rPr>
            </w:pPr>
            <w:r w:rsidRPr="002E4B8A">
              <w:rPr>
                <w:rFonts w:eastAsia="Calibri" w:cs="Times New Roman"/>
                <w:sz w:val="20"/>
                <w:szCs w:val="20"/>
              </w:rPr>
              <w:t>Yes</w:t>
            </w:r>
          </w:p>
        </w:tc>
        <w:tc>
          <w:tcPr>
            <w:tcW w:w="569" w:type="pct"/>
            <w:hideMark/>
          </w:tcPr>
          <w:p w14:paraId="5E97A82B" w14:textId="1E761209" w:rsidR="008D5BA6" w:rsidRPr="002E4B8A" w:rsidRDefault="008D5BA6" w:rsidP="002E4B8A">
            <w:pPr>
              <w:widowControl w:val="0"/>
              <w:autoSpaceDE w:val="0"/>
              <w:autoSpaceDN w:val="0"/>
              <w:adjustRightInd w:val="0"/>
              <w:spacing w:line="240" w:lineRule="auto"/>
              <w:rPr>
                <w:rFonts w:eastAsia="DengXian" w:cs="Times New Roman"/>
                <w:sz w:val="20"/>
                <w:szCs w:val="20"/>
              </w:rPr>
            </w:pPr>
            <w:r w:rsidRPr="002E4B8A">
              <w:rPr>
                <w:rFonts w:eastAsia="Calibri" w:cs="Times New Roman"/>
                <w:sz w:val="20"/>
                <w:szCs w:val="20"/>
              </w:rPr>
              <w:t>Yes</w:t>
            </w:r>
          </w:p>
        </w:tc>
        <w:tc>
          <w:tcPr>
            <w:tcW w:w="569" w:type="pct"/>
            <w:hideMark/>
          </w:tcPr>
          <w:p w14:paraId="7B1B58C7" w14:textId="0E5C7552" w:rsidR="008D5BA6" w:rsidRPr="002E4B8A" w:rsidRDefault="008D5BA6" w:rsidP="002E4B8A">
            <w:pPr>
              <w:widowControl w:val="0"/>
              <w:autoSpaceDE w:val="0"/>
              <w:autoSpaceDN w:val="0"/>
              <w:adjustRightInd w:val="0"/>
              <w:spacing w:line="240" w:lineRule="auto"/>
              <w:rPr>
                <w:rFonts w:eastAsia="DengXian" w:cs="Times New Roman"/>
                <w:sz w:val="20"/>
                <w:szCs w:val="20"/>
              </w:rPr>
            </w:pPr>
            <w:r w:rsidRPr="002E4B8A">
              <w:rPr>
                <w:rFonts w:eastAsia="Calibri" w:cs="Times New Roman"/>
                <w:sz w:val="20"/>
                <w:szCs w:val="20"/>
              </w:rPr>
              <w:t>Yes</w:t>
            </w:r>
          </w:p>
        </w:tc>
      </w:tr>
      <w:tr w:rsidR="002E4B8A" w:rsidRPr="005E02DB" w14:paraId="2ABC1D9F" w14:textId="77777777" w:rsidTr="00273B5A">
        <w:trPr>
          <w:jc w:val="center"/>
        </w:trPr>
        <w:tc>
          <w:tcPr>
            <w:tcW w:w="925" w:type="pct"/>
            <w:hideMark/>
          </w:tcPr>
          <w:p w14:paraId="537890D5" w14:textId="77777777" w:rsidR="008D5BA6" w:rsidRPr="002E4B8A" w:rsidRDefault="008D5BA6"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State FE</w:t>
            </w:r>
          </w:p>
        </w:tc>
        <w:tc>
          <w:tcPr>
            <w:tcW w:w="569" w:type="pct"/>
            <w:hideMark/>
          </w:tcPr>
          <w:p w14:paraId="53592B2C" w14:textId="176748DA" w:rsidR="008D5BA6" w:rsidRPr="002E4B8A" w:rsidRDefault="008D5BA6" w:rsidP="002E4B8A">
            <w:pPr>
              <w:widowControl w:val="0"/>
              <w:autoSpaceDE w:val="0"/>
              <w:autoSpaceDN w:val="0"/>
              <w:adjustRightInd w:val="0"/>
              <w:spacing w:line="240" w:lineRule="auto"/>
              <w:rPr>
                <w:rFonts w:eastAsia="DengXian" w:cs="Times New Roman"/>
                <w:sz w:val="20"/>
                <w:szCs w:val="20"/>
              </w:rPr>
            </w:pPr>
            <w:r w:rsidRPr="002E4B8A">
              <w:rPr>
                <w:rFonts w:eastAsia="Calibri" w:cs="Times New Roman"/>
                <w:sz w:val="20"/>
                <w:szCs w:val="20"/>
              </w:rPr>
              <w:t>Yes</w:t>
            </w:r>
          </w:p>
        </w:tc>
        <w:tc>
          <w:tcPr>
            <w:tcW w:w="603" w:type="pct"/>
            <w:hideMark/>
          </w:tcPr>
          <w:p w14:paraId="1EDA1120" w14:textId="45CF02DD" w:rsidR="008D5BA6" w:rsidRPr="002E4B8A" w:rsidRDefault="008D5BA6" w:rsidP="002E4B8A">
            <w:pPr>
              <w:widowControl w:val="0"/>
              <w:autoSpaceDE w:val="0"/>
              <w:autoSpaceDN w:val="0"/>
              <w:adjustRightInd w:val="0"/>
              <w:spacing w:line="240" w:lineRule="auto"/>
              <w:rPr>
                <w:rFonts w:eastAsia="DengXian" w:cs="Times New Roman"/>
                <w:sz w:val="20"/>
                <w:szCs w:val="20"/>
              </w:rPr>
            </w:pPr>
            <w:r w:rsidRPr="002E4B8A">
              <w:rPr>
                <w:rFonts w:eastAsia="Calibri" w:cs="Times New Roman"/>
                <w:sz w:val="20"/>
                <w:szCs w:val="20"/>
              </w:rPr>
              <w:t>Yes</w:t>
            </w:r>
          </w:p>
        </w:tc>
        <w:tc>
          <w:tcPr>
            <w:tcW w:w="569" w:type="pct"/>
            <w:hideMark/>
          </w:tcPr>
          <w:p w14:paraId="2ECFBFCF" w14:textId="66EEF5B9" w:rsidR="008D5BA6" w:rsidRPr="002E4B8A" w:rsidRDefault="008D5BA6" w:rsidP="002E4B8A">
            <w:pPr>
              <w:widowControl w:val="0"/>
              <w:autoSpaceDE w:val="0"/>
              <w:autoSpaceDN w:val="0"/>
              <w:adjustRightInd w:val="0"/>
              <w:spacing w:line="240" w:lineRule="auto"/>
              <w:rPr>
                <w:rFonts w:eastAsia="DengXian" w:cs="Times New Roman"/>
                <w:sz w:val="20"/>
                <w:szCs w:val="20"/>
              </w:rPr>
            </w:pPr>
            <w:r w:rsidRPr="002E4B8A">
              <w:rPr>
                <w:rFonts w:eastAsia="Calibri" w:cs="Times New Roman"/>
                <w:sz w:val="20"/>
                <w:szCs w:val="20"/>
              </w:rPr>
              <w:t>Yes</w:t>
            </w:r>
          </w:p>
        </w:tc>
        <w:tc>
          <w:tcPr>
            <w:tcW w:w="569" w:type="pct"/>
            <w:hideMark/>
          </w:tcPr>
          <w:p w14:paraId="72FE311A" w14:textId="41A2F467" w:rsidR="008D5BA6" w:rsidRPr="002E4B8A" w:rsidRDefault="008D5BA6" w:rsidP="002E4B8A">
            <w:pPr>
              <w:widowControl w:val="0"/>
              <w:autoSpaceDE w:val="0"/>
              <w:autoSpaceDN w:val="0"/>
              <w:adjustRightInd w:val="0"/>
              <w:spacing w:line="240" w:lineRule="auto"/>
              <w:rPr>
                <w:rFonts w:eastAsia="DengXian" w:cs="Times New Roman"/>
                <w:sz w:val="20"/>
                <w:szCs w:val="20"/>
              </w:rPr>
            </w:pPr>
            <w:r w:rsidRPr="002E4B8A">
              <w:rPr>
                <w:rFonts w:eastAsia="Calibri" w:cs="Times New Roman"/>
                <w:sz w:val="20"/>
                <w:szCs w:val="20"/>
              </w:rPr>
              <w:t>Yes</w:t>
            </w:r>
          </w:p>
        </w:tc>
        <w:tc>
          <w:tcPr>
            <w:tcW w:w="628" w:type="pct"/>
            <w:hideMark/>
          </w:tcPr>
          <w:p w14:paraId="1CAEA889" w14:textId="5AB9EFFF" w:rsidR="008D5BA6" w:rsidRPr="002E4B8A" w:rsidRDefault="008D5BA6" w:rsidP="002E4B8A">
            <w:pPr>
              <w:widowControl w:val="0"/>
              <w:autoSpaceDE w:val="0"/>
              <w:autoSpaceDN w:val="0"/>
              <w:adjustRightInd w:val="0"/>
              <w:spacing w:line="240" w:lineRule="auto"/>
              <w:rPr>
                <w:rFonts w:eastAsia="DengXian" w:cs="Times New Roman"/>
                <w:sz w:val="20"/>
                <w:szCs w:val="20"/>
              </w:rPr>
            </w:pPr>
            <w:r w:rsidRPr="002E4B8A">
              <w:rPr>
                <w:rFonts w:eastAsia="Calibri" w:cs="Times New Roman"/>
                <w:sz w:val="20"/>
                <w:szCs w:val="20"/>
              </w:rPr>
              <w:t>Yes</w:t>
            </w:r>
          </w:p>
        </w:tc>
        <w:tc>
          <w:tcPr>
            <w:tcW w:w="569" w:type="pct"/>
            <w:hideMark/>
          </w:tcPr>
          <w:p w14:paraId="73844D6F" w14:textId="0C6E0801" w:rsidR="008D5BA6" w:rsidRPr="002E4B8A" w:rsidRDefault="008D5BA6" w:rsidP="002E4B8A">
            <w:pPr>
              <w:widowControl w:val="0"/>
              <w:autoSpaceDE w:val="0"/>
              <w:autoSpaceDN w:val="0"/>
              <w:adjustRightInd w:val="0"/>
              <w:spacing w:line="240" w:lineRule="auto"/>
              <w:rPr>
                <w:rFonts w:eastAsia="DengXian" w:cs="Times New Roman"/>
                <w:sz w:val="20"/>
                <w:szCs w:val="20"/>
              </w:rPr>
            </w:pPr>
            <w:r w:rsidRPr="002E4B8A">
              <w:rPr>
                <w:rFonts w:eastAsia="Calibri" w:cs="Times New Roman"/>
                <w:sz w:val="20"/>
                <w:szCs w:val="20"/>
              </w:rPr>
              <w:t>Yes</w:t>
            </w:r>
          </w:p>
        </w:tc>
        <w:tc>
          <w:tcPr>
            <w:tcW w:w="569" w:type="pct"/>
            <w:hideMark/>
          </w:tcPr>
          <w:p w14:paraId="359B87F9" w14:textId="7B0E1B41" w:rsidR="008D5BA6" w:rsidRPr="002E4B8A" w:rsidRDefault="008D5BA6" w:rsidP="002E4B8A">
            <w:pPr>
              <w:widowControl w:val="0"/>
              <w:autoSpaceDE w:val="0"/>
              <w:autoSpaceDN w:val="0"/>
              <w:adjustRightInd w:val="0"/>
              <w:spacing w:line="240" w:lineRule="auto"/>
              <w:rPr>
                <w:rFonts w:eastAsia="DengXian" w:cs="Times New Roman"/>
                <w:sz w:val="20"/>
                <w:szCs w:val="20"/>
              </w:rPr>
            </w:pPr>
            <w:r w:rsidRPr="002E4B8A">
              <w:rPr>
                <w:rFonts w:eastAsia="Calibri" w:cs="Times New Roman"/>
                <w:sz w:val="20"/>
                <w:szCs w:val="20"/>
              </w:rPr>
              <w:t>Yes</w:t>
            </w:r>
          </w:p>
        </w:tc>
      </w:tr>
      <w:tr w:rsidR="002E4B8A" w:rsidRPr="005E02DB" w14:paraId="3E35B4F6" w14:textId="77777777" w:rsidTr="00273B5A">
        <w:trPr>
          <w:jc w:val="center"/>
        </w:trPr>
        <w:tc>
          <w:tcPr>
            <w:tcW w:w="925" w:type="pct"/>
            <w:hideMark/>
          </w:tcPr>
          <w:p w14:paraId="0DC91F27" w14:textId="77777777" w:rsidR="008D5BA6" w:rsidRPr="002E4B8A" w:rsidRDefault="008D5BA6"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County FE</w:t>
            </w:r>
          </w:p>
        </w:tc>
        <w:tc>
          <w:tcPr>
            <w:tcW w:w="569" w:type="pct"/>
            <w:hideMark/>
          </w:tcPr>
          <w:p w14:paraId="77BCCC18" w14:textId="125BDD8D" w:rsidR="008D5BA6" w:rsidRPr="002E4B8A" w:rsidRDefault="008D5BA6" w:rsidP="002E4B8A">
            <w:pPr>
              <w:widowControl w:val="0"/>
              <w:autoSpaceDE w:val="0"/>
              <w:autoSpaceDN w:val="0"/>
              <w:adjustRightInd w:val="0"/>
              <w:spacing w:line="240" w:lineRule="auto"/>
              <w:rPr>
                <w:rFonts w:eastAsia="DengXian" w:cs="Times New Roman"/>
                <w:sz w:val="20"/>
                <w:szCs w:val="20"/>
              </w:rPr>
            </w:pPr>
            <w:r w:rsidRPr="002E4B8A">
              <w:rPr>
                <w:rFonts w:eastAsia="Calibri" w:cs="Times New Roman"/>
                <w:sz w:val="20"/>
                <w:szCs w:val="20"/>
              </w:rPr>
              <w:t>Yes</w:t>
            </w:r>
          </w:p>
        </w:tc>
        <w:tc>
          <w:tcPr>
            <w:tcW w:w="603" w:type="pct"/>
            <w:hideMark/>
          </w:tcPr>
          <w:p w14:paraId="20EEA603" w14:textId="6CCE675E" w:rsidR="008D5BA6" w:rsidRPr="002E4B8A" w:rsidRDefault="008D5BA6" w:rsidP="002E4B8A">
            <w:pPr>
              <w:widowControl w:val="0"/>
              <w:autoSpaceDE w:val="0"/>
              <w:autoSpaceDN w:val="0"/>
              <w:adjustRightInd w:val="0"/>
              <w:spacing w:line="240" w:lineRule="auto"/>
              <w:rPr>
                <w:rFonts w:eastAsia="DengXian" w:cs="Times New Roman"/>
                <w:sz w:val="20"/>
                <w:szCs w:val="20"/>
              </w:rPr>
            </w:pPr>
            <w:r w:rsidRPr="002E4B8A">
              <w:rPr>
                <w:rFonts w:eastAsia="Calibri" w:cs="Times New Roman"/>
                <w:sz w:val="20"/>
                <w:szCs w:val="20"/>
              </w:rPr>
              <w:t>Yes</w:t>
            </w:r>
          </w:p>
        </w:tc>
        <w:tc>
          <w:tcPr>
            <w:tcW w:w="569" w:type="pct"/>
            <w:hideMark/>
          </w:tcPr>
          <w:p w14:paraId="7E638D23" w14:textId="069BDC58" w:rsidR="008D5BA6" w:rsidRPr="002E4B8A" w:rsidRDefault="008D5BA6" w:rsidP="002E4B8A">
            <w:pPr>
              <w:widowControl w:val="0"/>
              <w:autoSpaceDE w:val="0"/>
              <w:autoSpaceDN w:val="0"/>
              <w:adjustRightInd w:val="0"/>
              <w:spacing w:line="240" w:lineRule="auto"/>
              <w:rPr>
                <w:rFonts w:eastAsia="DengXian" w:cs="Times New Roman"/>
                <w:sz w:val="20"/>
                <w:szCs w:val="20"/>
              </w:rPr>
            </w:pPr>
            <w:r w:rsidRPr="002E4B8A">
              <w:rPr>
                <w:rFonts w:eastAsia="Calibri" w:cs="Times New Roman"/>
                <w:sz w:val="20"/>
                <w:szCs w:val="20"/>
              </w:rPr>
              <w:t>Yes</w:t>
            </w:r>
          </w:p>
        </w:tc>
        <w:tc>
          <w:tcPr>
            <w:tcW w:w="569" w:type="pct"/>
            <w:hideMark/>
          </w:tcPr>
          <w:p w14:paraId="4C2A85EE" w14:textId="0B2344D3" w:rsidR="008D5BA6" w:rsidRPr="002E4B8A" w:rsidRDefault="008D5BA6" w:rsidP="002E4B8A">
            <w:pPr>
              <w:widowControl w:val="0"/>
              <w:autoSpaceDE w:val="0"/>
              <w:autoSpaceDN w:val="0"/>
              <w:adjustRightInd w:val="0"/>
              <w:spacing w:line="240" w:lineRule="auto"/>
              <w:rPr>
                <w:rFonts w:eastAsia="DengXian" w:cs="Times New Roman"/>
                <w:sz w:val="20"/>
                <w:szCs w:val="20"/>
              </w:rPr>
            </w:pPr>
            <w:r w:rsidRPr="002E4B8A">
              <w:rPr>
                <w:rFonts w:eastAsia="Calibri" w:cs="Times New Roman"/>
                <w:sz w:val="20"/>
                <w:szCs w:val="20"/>
              </w:rPr>
              <w:t>Yes</w:t>
            </w:r>
          </w:p>
        </w:tc>
        <w:tc>
          <w:tcPr>
            <w:tcW w:w="628" w:type="pct"/>
            <w:hideMark/>
          </w:tcPr>
          <w:p w14:paraId="1660CC03" w14:textId="62E057F9" w:rsidR="008D5BA6" w:rsidRPr="002E4B8A" w:rsidRDefault="008D5BA6" w:rsidP="002E4B8A">
            <w:pPr>
              <w:widowControl w:val="0"/>
              <w:autoSpaceDE w:val="0"/>
              <w:autoSpaceDN w:val="0"/>
              <w:adjustRightInd w:val="0"/>
              <w:spacing w:line="240" w:lineRule="auto"/>
              <w:rPr>
                <w:rFonts w:eastAsia="DengXian" w:cs="Times New Roman"/>
                <w:sz w:val="20"/>
                <w:szCs w:val="20"/>
              </w:rPr>
            </w:pPr>
            <w:r w:rsidRPr="002E4B8A">
              <w:rPr>
                <w:rFonts w:eastAsia="Calibri" w:cs="Times New Roman"/>
                <w:sz w:val="20"/>
                <w:szCs w:val="20"/>
              </w:rPr>
              <w:t>Yes</w:t>
            </w:r>
          </w:p>
        </w:tc>
        <w:tc>
          <w:tcPr>
            <w:tcW w:w="569" w:type="pct"/>
            <w:hideMark/>
          </w:tcPr>
          <w:p w14:paraId="1A7F4CAF" w14:textId="507F0291" w:rsidR="008D5BA6" w:rsidRPr="002E4B8A" w:rsidRDefault="008D5BA6" w:rsidP="002E4B8A">
            <w:pPr>
              <w:widowControl w:val="0"/>
              <w:autoSpaceDE w:val="0"/>
              <w:autoSpaceDN w:val="0"/>
              <w:adjustRightInd w:val="0"/>
              <w:spacing w:line="240" w:lineRule="auto"/>
              <w:rPr>
                <w:rFonts w:eastAsia="DengXian" w:cs="Times New Roman"/>
                <w:sz w:val="20"/>
                <w:szCs w:val="20"/>
              </w:rPr>
            </w:pPr>
            <w:r w:rsidRPr="002E4B8A">
              <w:rPr>
                <w:rFonts w:eastAsia="Calibri" w:cs="Times New Roman"/>
                <w:sz w:val="20"/>
                <w:szCs w:val="20"/>
              </w:rPr>
              <w:t>Yes</w:t>
            </w:r>
          </w:p>
        </w:tc>
        <w:tc>
          <w:tcPr>
            <w:tcW w:w="569" w:type="pct"/>
            <w:hideMark/>
          </w:tcPr>
          <w:p w14:paraId="20AD94E4" w14:textId="7D9C1565" w:rsidR="008D5BA6" w:rsidRPr="002E4B8A" w:rsidRDefault="008D5BA6" w:rsidP="002E4B8A">
            <w:pPr>
              <w:widowControl w:val="0"/>
              <w:autoSpaceDE w:val="0"/>
              <w:autoSpaceDN w:val="0"/>
              <w:adjustRightInd w:val="0"/>
              <w:spacing w:line="240" w:lineRule="auto"/>
              <w:rPr>
                <w:rFonts w:eastAsia="DengXian" w:cs="Times New Roman"/>
                <w:sz w:val="20"/>
                <w:szCs w:val="20"/>
              </w:rPr>
            </w:pPr>
            <w:r w:rsidRPr="002E4B8A">
              <w:rPr>
                <w:rFonts w:eastAsia="Calibri" w:cs="Times New Roman"/>
                <w:sz w:val="20"/>
                <w:szCs w:val="20"/>
              </w:rPr>
              <w:t>Yes</w:t>
            </w:r>
          </w:p>
        </w:tc>
      </w:tr>
      <w:tr w:rsidR="002E4B8A" w:rsidRPr="005E02DB" w14:paraId="5950C723" w14:textId="77777777" w:rsidTr="00273B5A">
        <w:trPr>
          <w:jc w:val="center"/>
        </w:trPr>
        <w:tc>
          <w:tcPr>
            <w:tcW w:w="925" w:type="pct"/>
            <w:tcBorders>
              <w:bottom w:val="single" w:sz="4" w:space="0" w:color="auto"/>
            </w:tcBorders>
            <w:hideMark/>
          </w:tcPr>
          <w:p w14:paraId="2D6C1BCF" w14:textId="200B251D"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Pseudo R</w:t>
            </w:r>
            <w:r w:rsidRPr="002E4B8A">
              <w:rPr>
                <w:rFonts w:eastAsia="DengXian" w:cs="Times New Roman"/>
                <w:sz w:val="20"/>
                <w:szCs w:val="20"/>
                <w:vertAlign w:val="superscript"/>
              </w:rPr>
              <w:t>2</w:t>
            </w:r>
          </w:p>
        </w:tc>
        <w:tc>
          <w:tcPr>
            <w:tcW w:w="569" w:type="pct"/>
            <w:tcBorders>
              <w:bottom w:val="single" w:sz="4" w:space="0" w:color="auto"/>
            </w:tcBorders>
            <w:hideMark/>
          </w:tcPr>
          <w:p w14:paraId="277390E5" w14:textId="3E02813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.87</w:t>
            </w:r>
            <w:r w:rsidR="00D9137A" w:rsidRPr="002E4B8A">
              <w:rPr>
                <w:rFonts w:eastAsia="DengXian" w:cs="Times New Roman"/>
                <w:sz w:val="20"/>
                <w:szCs w:val="20"/>
              </w:rPr>
              <w:t>6</w:t>
            </w:r>
          </w:p>
        </w:tc>
        <w:tc>
          <w:tcPr>
            <w:tcW w:w="603" w:type="pct"/>
            <w:tcBorders>
              <w:bottom w:val="single" w:sz="4" w:space="0" w:color="auto"/>
            </w:tcBorders>
            <w:hideMark/>
          </w:tcPr>
          <w:p w14:paraId="178A599D" w14:textId="059D5EE3"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.93</w:t>
            </w:r>
            <w:r w:rsidR="00D9137A" w:rsidRPr="002E4B8A">
              <w:rPr>
                <w:rFonts w:eastAsia="DengXian" w:cs="Times New Roman"/>
                <w:sz w:val="20"/>
                <w:szCs w:val="20"/>
              </w:rPr>
              <w:t>1</w:t>
            </w:r>
          </w:p>
        </w:tc>
        <w:tc>
          <w:tcPr>
            <w:tcW w:w="569" w:type="pct"/>
            <w:tcBorders>
              <w:bottom w:val="single" w:sz="4" w:space="0" w:color="auto"/>
            </w:tcBorders>
            <w:hideMark/>
          </w:tcPr>
          <w:p w14:paraId="319CAD42" w14:textId="784AA520"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.88</w:t>
            </w:r>
            <w:r w:rsidR="00D9137A" w:rsidRPr="002E4B8A">
              <w:rPr>
                <w:rFonts w:eastAsia="DengXian" w:cs="Times New Roman"/>
                <w:sz w:val="20"/>
                <w:szCs w:val="20"/>
              </w:rPr>
              <w:t>5</w:t>
            </w:r>
          </w:p>
        </w:tc>
        <w:tc>
          <w:tcPr>
            <w:tcW w:w="569" w:type="pct"/>
            <w:tcBorders>
              <w:bottom w:val="single" w:sz="4" w:space="0" w:color="auto"/>
            </w:tcBorders>
            <w:hideMark/>
          </w:tcPr>
          <w:p w14:paraId="62AF92EB" w14:textId="516B33B3"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.973</w:t>
            </w:r>
          </w:p>
        </w:tc>
        <w:tc>
          <w:tcPr>
            <w:tcW w:w="628" w:type="pct"/>
            <w:tcBorders>
              <w:bottom w:val="single" w:sz="4" w:space="0" w:color="auto"/>
            </w:tcBorders>
            <w:hideMark/>
          </w:tcPr>
          <w:p w14:paraId="04A42854" w14:textId="01A567D3"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.980</w:t>
            </w:r>
          </w:p>
        </w:tc>
        <w:tc>
          <w:tcPr>
            <w:tcW w:w="569" w:type="pct"/>
            <w:tcBorders>
              <w:bottom w:val="single" w:sz="4" w:space="0" w:color="auto"/>
            </w:tcBorders>
            <w:hideMark/>
          </w:tcPr>
          <w:p w14:paraId="28ABC1A9" w14:textId="02143C53"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.97</w:t>
            </w:r>
            <w:r w:rsidR="00D9137A" w:rsidRPr="002E4B8A">
              <w:rPr>
                <w:rFonts w:eastAsia="DengXian" w:cs="Times New Roman"/>
                <w:sz w:val="20"/>
                <w:szCs w:val="20"/>
              </w:rPr>
              <w:t>9</w:t>
            </w:r>
          </w:p>
        </w:tc>
        <w:tc>
          <w:tcPr>
            <w:tcW w:w="569" w:type="pct"/>
            <w:tcBorders>
              <w:bottom w:val="single" w:sz="4" w:space="0" w:color="auto"/>
            </w:tcBorders>
            <w:hideMark/>
          </w:tcPr>
          <w:p w14:paraId="60312B23" w14:textId="7B6E1B79"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.972</w:t>
            </w:r>
          </w:p>
        </w:tc>
      </w:tr>
      <w:tr w:rsidR="005E02DB" w:rsidRPr="005E02DB" w14:paraId="7F7A7563" w14:textId="77777777" w:rsidTr="00273B5A">
        <w:trPr>
          <w:jc w:val="center"/>
        </w:trPr>
        <w:tc>
          <w:tcPr>
            <w:tcW w:w="5000" w:type="pct"/>
            <w:gridSpan w:val="8"/>
            <w:tcBorders>
              <w:top w:val="single" w:sz="4" w:space="0" w:color="auto"/>
            </w:tcBorders>
            <w:hideMark/>
          </w:tcPr>
          <w:p w14:paraId="777C8801" w14:textId="1B0A4F36" w:rsidR="005E02DB" w:rsidRPr="00273B5A" w:rsidRDefault="007B2509" w:rsidP="00381679">
            <w:pPr>
              <w:widowControl w:val="0"/>
              <w:autoSpaceDE w:val="0"/>
              <w:autoSpaceDN w:val="0"/>
              <w:adjustRightInd w:val="0"/>
              <w:spacing w:line="240" w:lineRule="auto"/>
              <w:rPr>
                <w:rFonts w:eastAsia="DengXian" w:cs="Times New Roman"/>
                <w:sz w:val="20"/>
                <w:szCs w:val="20"/>
              </w:rPr>
            </w:pPr>
            <w:r>
              <w:rPr>
                <w:rFonts w:eastAsia="DengXian" w:cs="Times New Roman"/>
                <w:sz w:val="20"/>
                <w:szCs w:val="20"/>
                <w:lang w:eastAsia="zh-CN"/>
              </w:rPr>
              <w:t xml:space="preserve">Table A62: </w:t>
            </w:r>
            <w:r w:rsidR="005E02DB" w:rsidRPr="002E4B8A">
              <w:rPr>
                <w:rFonts w:eastAsia="DengXian" w:cs="Times New Roman"/>
                <w:sz w:val="20"/>
                <w:szCs w:val="20"/>
                <w:lang w:val="zh-CN" w:eastAsia="zh-CN"/>
              </w:rPr>
              <w:t>Results of PPMLHDFE regressions on Job Count using the Continuous Range Indicator for NAICS sectors (11–71), with State, County, and Year Fixed Effects. This table explores how the extent of habitat overlap influences temporal and sectoral outcomes.</w:t>
            </w:r>
            <w:r w:rsidR="00273B5A">
              <w:rPr>
                <w:rFonts w:eastAsia="DengXian" w:cs="Times New Roman"/>
                <w:sz w:val="20"/>
                <w:szCs w:val="20"/>
                <w:lang w:eastAsia="zh-CN"/>
              </w:rPr>
              <w:t xml:space="preserve"> </w:t>
            </w:r>
            <w:r w:rsidR="00273B5A" w:rsidRPr="00C624DB">
              <w:rPr>
                <w:sz w:val="20"/>
                <w:szCs w:val="20"/>
                <w:lang/>
              </w:rPr>
              <w:t xml:space="preserve">Standard errors are </w:t>
            </w:r>
            <w:r w:rsidR="00273B5A">
              <w:rPr>
                <w:sz w:val="20"/>
                <w:szCs w:val="20"/>
                <w:lang/>
              </w:rPr>
              <w:t xml:space="preserve">in parentheses and are </w:t>
            </w:r>
            <w:r w:rsidR="00273B5A" w:rsidRPr="00C624DB">
              <w:rPr>
                <w:sz w:val="20"/>
                <w:szCs w:val="20"/>
                <w:lang/>
              </w:rPr>
              <w:t xml:space="preserve">clustered at the county </w:t>
            </w:r>
            <w:r w:rsidR="00273B5A" w:rsidRPr="00C624DB">
              <w:rPr>
                <w:sz w:val="20"/>
                <w:szCs w:val="20"/>
                <w:lang/>
              </w:rPr>
              <w:lastRenderedPageBreak/>
              <w:t xml:space="preserve">level. </w:t>
            </w:r>
            <w:r w:rsidR="00273B5A" w:rsidRPr="002C0F11">
              <w:rPr>
                <w:sz w:val="20"/>
                <w:szCs w:val="20"/>
                <w:lang/>
              </w:rPr>
              <w:t>Statistically significant impacts are denoted by asterisks. These asterisks denote statistical significance at the following levels: ***p &lt; 0.01, **p &lt; 0.05, *p &lt; 0.1.</w:t>
            </w:r>
          </w:p>
        </w:tc>
      </w:tr>
    </w:tbl>
    <w:p w14:paraId="17F64DE1" w14:textId="77777777" w:rsidR="005E02DB" w:rsidRPr="005E02DB" w:rsidRDefault="005E02DB" w:rsidP="00CE0D78">
      <w:pPr>
        <w:widowControl w:val="0"/>
        <w:autoSpaceDE w:val="0"/>
        <w:autoSpaceDN w:val="0"/>
        <w:adjustRightInd w:val="0"/>
        <w:spacing w:line="240" w:lineRule="auto"/>
        <w:rPr>
          <w:rFonts w:ascii="Garamond" w:eastAsia="DengXian" w:hAnsi="Garamond" w:cs="Times New Roman"/>
          <w:b/>
          <w:bCs/>
          <w:sz w:val="20"/>
          <w:szCs w:val="20"/>
        </w:rPr>
      </w:pPr>
      <w:r w:rsidRPr="005E02DB">
        <w:rPr>
          <w:rFonts w:ascii="Garamond" w:eastAsia="DengXian" w:hAnsi="Garamond" w:cs="Times New Roman"/>
          <w:b/>
          <w:bCs/>
          <w:sz w:val="20"/>
          <w:szCs w:val="20"/>
        </w:rPr>
        <w:lastRenderedPageBreak/>
        <w:br/>
      </w:r>
    </w:p>
    <w:p w14:paraId="5F166E67" w14:textId="77777777" w:rsidR="005E02DB" w:rsidRPr="005E02DB" w:rsidRDefault="005E02DB" w:rsidP="00CE0D78">
      <w:pPr>
        <w:widowControl w:val="0"/>
        <w:autoSpaceDE w:val="0"/>
        <w:autoSpaceDN w:val="0"/>
        <w:adjustRightInd w:val="0"/>
        <w:spacing w:line="240" w:lineRule="auto"/>
        <w:jc w:val="center"/>
        <w:rPr>
          <w:rFonts w:ascii="Garamond" w:eastAsia="DengXian" w:hAnsi="Garamond" w:cs="Times New Roman"/>
          <w:b/>
          <w:bCs/>
          <w:sz w:val="20"/>
          <w:szCs w:val="20"/>
        </w:rPr>
      </w:pPr>
      <w:r w:rsidRPr="005E02DB">
        <w:rPr>
          <w:rFonts w:ascii="Garamond" w:eastAsia="DengXian" w:hAnsi="Garamond" w:cs="Times New Roman"/>
          <w:b/>
          <w:bCs/>
          <w:sz w:val="20"/>
          <w:szCs w:val="20"/>
        </w:rPr>
        <w:br w:type="page"/>
      </w:r>
    </w:p>
    <w:p w14:paraId="1DC7C454" w14:textId="581CF0E8" w:rsidR="005E02DB" w:rsidRPr="005E02DB" w:rsidRDefault="005E02DB" w:rsidP="00095E25">
      <w:pPr>
        <w:pStyle w:val="Title"/>
      </w:pPr>
      <w:bookmarkStart w:id="804" w:name="_Toc188056078"/>
      <w:bookmarkStart w:id="805" w:name="_Toc188057162"/>
      <w:bookmarkStart w:id="806" w:name="_Toc188359668"/>
      <w:bookmarkStart w:id="807" w:name="_Toc188359956"/>
      <w:bookmarkStart w:id="808" w:name="_Toc188361192"/>
      <w:bookmarkStart w:id="809" w:name="_Toc188367035"/>
      <w:r w:rsidRPr="005E02DB">
        <w:lastRenderedPageBreak/>
        <w:t>Table A</w:t>
      </w:r>
      <w:r>
        <w:t>6</w:t>
      </w:r>
      <w:r w:rsidR="002050B6">
        <w:t>3</w:t>
      </w:r>
      <w:r w:rsidRPr="005E02DB">
        <w:t xml:space="preserve">: </w:t>
      </w:r>
      <w:r w:rsidR="002E1ED3" w:rsidRPr="00F758EA">
        <w:t xml:space="preserve">Regression Results </w:t>
      </w:r>
      <w:r w:rsidRPr="005E02DB">
        <w:t>on Sales Volume – Continuous Range Indicator</w:t>
      </w:r>
      <w:bookmarkEnd w:id="804"/>
      <w:bookmarkEnd w:id="805"/>
      <w:bookmarkEnd w:id="806"/>
      <w:bookmarkEnd w:id="807"/>
      <w:bookmarkEnd w:id="808"/>
      <w:bookmarkEnd w:id="809"/>
    </w:p>
    <w:tbl>
      <w:tblPr>
        <w:tblW w:w="5000" w:type="pct"/>
        <w:tblLook w:val="04A0" w:firstRow="1" w:lastRow="0" w:firstColumn="1" w:lastColumn="0" w:noHBand="0" w:noVBand="1"/>
      </w:tblPr>
      <w:tblGrid>
        <w:gridCol w:w="1498"/>
        <w:gridCol w:w="1066"/>
        <w:gridCol w:w="1066"/>
        <w:gridCol w:w="1066"/>
        <w:gridCol w:w="1066"/>
        <w:gridCol w:w="1066"/>
        <w:gridCol w:w="1266"/>
        <w:gridCol w:w="1266"/>
      </w:tblGrid>
      <w:tr w:rsidR="004C39A4" w:rsidRPr="002E4B8A" w14:paraId="25955A5E" w14:textId="77777777" w:rsidTr="00273B5A">
        <w:tc>
          <w:tcPr>
            <w:tcW w:w="874" w:type="pct"/>
            <w:tcBorders>
              <w:top w:val="single" w:sz="4" w:space="0" w:color="auto"/>
              <w:left w:val="nil"/>
              <w:bottom w:val="single" w:sz="12" w:space="0" w:color="auto"/>
              <w:right w:val="nil"/>
            </w:tcBorders>
            <w:hideMark/>
          </w:tcPr>
          <w:p w14:paraId="64746408" w14:textId="43CD2E0D" w:rsidR="00F758EA" w:rsidRPr="002E4B8A" w:rsidRDefault="00F758EA"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b/>
                <w:bCs/>
                <w:sz w:val="20"/>
                <w:szCs w:val="20"/>
              </w:rPr>
              <w:t>Variable</w:t>
            </w:r>
          </w:p>
        </w:tc>
        <w:tc>
          <w:tcPr>
            <w:tcW w:w="553" w:type="pct"/>
            <w:tcBorders>
              <w:top w:val="single" w:sz="4" w:space="0" w:color="auto"/>
              <w:left w:val="nil"/>
              <w:bottom w:val="single" w:sz="12" w:space="0" w:color="auto"/>
              <w:right w:val="nil"/>
            </w:tcBorders>
            <w:hideMark/>
          </w:tcPr>
          <w:p w14:paraId="602E61CB" w14:textId="316C711B" w:rsidR="00F758EA" w:rsidRPr="002E4B8A" w:rsidRDefault="00F758EA"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b/>
                <w:bCs/>
                <w:sz w:val="20"/>
                <w:szCs w:val="20"/>
              </w:rPr>
              <w:t>NAICS 11</w:t>
            </w:r>
          </w:p>
        </w:tc>
        <w:tc>
          <w:tcPr>
            <w:tcW w:w="553" w:type="pct"/>
            <w:tcBorders>
              <w:top w:val="single" w:sz="4" w:space="0" w:color="auto"/>
              <w:left w:val="nil"/>
              <w:bottom w:val="single" w:sz="12" w:space="0" w:color="auto"/>
              <w:right w:val="nil"/>
            </w:tcBorders>
            <w:hideMark/>
          </w:tcPr>
          <w:p w14:paraId="6E6A8F3F" w14:textId="283BDE1E" w:rsidR="00F758EA" w:rsidRPr="002E4B8A" w:rsidRDefault="00F758EA"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b/>
                <w:bCs/>
                <w:sz w:val="20"/>
                <w:szCs w:val="20"/>
              </w:rPr>
              <w:t>NAICS 21</w:t>
            </w:r>
          </w:p>
        </w:tc>
        <w:tc>
          <w:tcPr>
            <w:tcW w:w="553" w:type="pct"/>
            <w:tcBorders>
              <w:top w:val="single" w:sz="4" w:space="0" w:color="auto"/>
              <w:left w:val="nil"/>
              <w:bottom w:val="single" w:sz="12" w:space="0" w:color="auto"/>
              <w:right w:val="nil"/>
            </w:tcBorders>
            <w:hideMark/>
          </w:tcPr>
          <w:p w14:paraId="09065050" w14:textId="1BC4FF6A" w:rsidR="00F758EA" w:rsidRPr="002E4B8A" w:rsidRDefault="00F758EA"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b/>
                <w:bCs/>
                <w:sz w:val="20"/>
                <w:szCs w:val="20"/>
              </w:rPr>
              <w:t>NAICS 22</w:t>
            </w:r>
          </w:p>
        </w:tc>
        <w:tc>
          <w:tcPr>
            <w:tcW w:w="553" w:type="pct"/>
            <w:tcBorders>
              <w:top w:val="single" w:sz="4" w:space="0" w:color="auto"/>
              <w:left w:val="nil"/>
              <w:bottom w:val="single" w:sz="12" w:space="0" w:color="auto"/>
              <w:right w:val="nil"/>
            </w:tcBorders>
            <w:hideMark/>
          </w:tcPr>
          <w:p w14:paraId="5243BA3E" w14:textId="6F87492A" w:rsidR="00F758EA" w:rsidRPr="002E4B8A" w:rsidRDefault="00F758EA"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b/>
                <w:bCs/>
                <w:sz w:val="20"/>
                <w:szCs w:val="20"/>
              </w:rPr>
              <w:t>NAICS 23</w:t>
            </w:r>
          </w:p>
        </w:tc>
        <w:tc>
          <w:tcPr>
            <w:tcW w:w="628" w:type="pct"/>
            <w:tcBorders>
              <w:top w:val="single" w:sz="4" w:space="0" w:color="auto"/>
              <w:left w:val="nil"/>
              <w:bottom w:val="single" w:sz="12" w:space="0" w:color="auto"/>
              <w:right w:val="nil"/>
            </w:tcBorders>
            <w:hideMark/>
          </w:tcPr>
          <w:p w14:paraId="0B4CCAAC" w14:textId="4EB787DA" w:rsidR="00F758EA" w:rsidRPr="00346227" w:rsidRDefault="00F758EA" w:rsidP="002E4B8A">
            <w:pPr>
              <w:widowControl w:val="0"/>
              <w:autoSpaceDE w:val="0"/>
              <w:autoSpaceDN w:val="0"/>
              <w:adjustRightInd w:val="0"/>
              <w:spacing w:line="240" w:lineRule="auto"/>
              <w:rPr>
                <w:rFonts w:eastAsia="DengXian" w:cs="Times New Roman"/>
                <w:sz w:val="19"/>
                <w:szCs w:val="19"/>
              </w:rPr>
            </w:pPr>
            <w:r w:rsidRPr="00346227">
              <w:rPr>
                <w:rFonts w:eastAsia="DengXian" w:cs="Times New Roman"/>
                <w:b/>
                <w:bCs/>
                <w:sz w:val="19"/>
                <w:szCs w:val="19"/>
              </w:rPr>
              <w:t>NAICS 3133</w:t>
            </w:r>
          </w:p>
        </w:tc>
        <w:tc>
          <w:tcPr>
            <w:tcW w:w="643" w:type="pct"/>
            <w:tcBorders>
              <w:top w:val="single" w:sz="4" w:space="0" w:color="auto"/>
              <w:left w:val="nil"/>
              <w:bottom w:val="single" w:sz="12" w:space="0" w:color="auto"/>
              <w:right w:val="nil"/>
            </w:tcBorders>
            <w:hideMark/>
          </w:tcPr>
          <w:p w14:paraId="1C07DC6A" w14:textId="377FAF44" w:rsidR="00F758EA" w:rsidRPr="002E4B8A" w:rsidRDefault="00F758EA"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b/>
                <w:bCs/>
                <w:sz w:val="20"/>
                <w:szCs w:val="20"/>
              </w:rPr>
              <w:t>NAICS 53</w:t>
            </w:r>
          </w:p>
        </w:tc>
        <w:tc>
          <w:tcPr>
            <w:tcW w:w="644" w:type="pct"/>
            <w:tcBorders>
              <w:top w:val="single" w:sz="4" w:space="0" w:color="auto"/>
              <w:left w:val="nil"/>
              <w:bottom w:val="single" w:sz="12" w:space="0" w:color="auto"/>
              <w:right w:val="nil"/>
            </w:tcBorders>
            <w:hideMark/>
          </w:tcPr>
          <w:p w14:paraId="749F7D43" w14:textId="3873A410" w:rsidR="00F758EA" w:rsidRPr="002E4B8A" w:rsidRDefault="00F758EA"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b/>
                <w:bCs/>
                <w:sz w:val="20"/>
                <w:szCs w:val="20"/>
              </w:rPr>
              <w:t>NAICS 71</w:t>
            </w:r>
          </w:p>
        </w:tc>
      </w:tr>
      <w:tr w:rsidR="00D326A2" w:rsidRPr="002E4B8A" w14:paraId="58419E1E" w14:textId="77777777" w:rsidTr="00273B5A">
        <w:tc>
          <w:tcPr>
            <w:tcW w:w="874" w:type="pct"/>
            <w:hideMark/>
          </w:tcPr>
          <w:p w14:paraId="6DB898B2" w14:textId="7777777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 Range</w:t>
            </w:r>
          </w:p>
        </w:tc>
        <w:tc>
          <w:tcPr>
            <w:tcW w:w="553" w:type="pct"/>
            <w:hideMark/>
          </w:tcPr>
          <w:p w14:paraId="5DC6C89E" w14:textId="7777777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-.00166</w:t>
            </w:r>
          </w:p>
        </w:tc>
        <w:tc>
          <w:tcPr>
            <w:tcW w:w="553" w:type="pct"/>
            <w:hideMark/>
          </w:tcPr>
          <w:p w14:paraId="2E0B3B3A" w14:textId="7777777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-.0017</w:t>
            </w:r>
          </w:p>
        </w:tc>
        <w:tc>
          <w:tcPr>
            <w:tcW w:w="553" w:type="pct"/>
            <w:hideMark/>
          </w:tcPr>
          <w:p w14:paraId="7FEBF423" w14:textId="7777777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-.00394**</w:t>
            </w:r>
          </w:p>
        </w:tc>
        <w:tc>
          <w:tcPr>
            <w:tcW w:w="553" w:type="pct"/>
            <w:hideMark/>
          </w:tcPr>
          <w:p w14:paraId="1A01DB47" w14:textId="7777777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.00009</w:t>
            </w:r>
          </w:p>
        </w:tc>
        <w:tc>
          <w:tcPr>
            <w:tcW w:w="628" w:type="pct"/>
            <w:hideMark/>
          </w:tcPr>
          <w:p w14:paraId="5445F04F" w14:textId="7777777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.00571**</w:t>
            </w:r>
          </w:p>
        </w:tc>
        <w:tc>
          <w:tcPr>
            <w:tcW w:w="643" w:type="pct"/>
            <w:hideMark/>
          </w:tcPr>
          <w:p w14:paraId="1A20E569" w14:textId="7777777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.00023</w:t>
            </w:r>
          </w:p>
        </w:tc>
        <w:tc>
          <w:tcPr>
            <w:tcW w:w="644" w:type="pct"/>
            <w:hideMark/>
          </w:tcPr>
          <w:p w14:paraId="7B0DB765" w14:textId="7777777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.00234**</w:t>
            </w:r>
          </w:p>
        </w:tc>
      </w:tr>
      <w:tr w:rsidR="00D326A2" w:rsidRPr="002E4B8A" w14:paraId="09CC9685" w14:textId="77777777" w:rsidTr="00273B5A">
        <w:tc>
          <w:tcPr>
            <w:tcW w:w="874" w:type="pct"/>
            <w:hideMark/>
          </w:tcPr>
          <w:p w14:paraId="685BCB9F" w14:textId="6191F32A" w:rsidR="005E02DB" w:rsidRPr="002E4B8A" w:rsidRDefault="005E02DB" w:rsidP="002E4B8A">
            <w:pPr>
              <w:widowControl w:val="0"/>
              <w:autoSpaceDE w:val="0"/>
              <w:autoSpaceDN w:val="0"/>
              <w:adjustRightInd w:val="0"/>
              <w:spacing w:line="240" w:lineRule="auto"/>
              <w:rPr>
                <w:rFonts w:eastAsia="DengXian" w:cs="Times New Roman"/>
                <w:sz w:val="20"/>
                <w:szCs w:val="20"/>
              </w:rPr>
            </w:pPr>
          </w:p>
        </w:tc>
        <w:tc>
          <w:tcPr>
            <w:tcW w:w="553" w:type="pct"/>
            <w:hideMark/>
          </w:tcPr>
          <w:p w14:paraId="249F9417" w14:textId="7777777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(.00123)</w:t>
            </w:r>
          </w:p>
        </w:tc>
        <w:tc>
          <w:tcPr>
            <w:tcW w:w="553" w:type="pct"/>
            <w:hideMark/>
          </w:tcPr>
          <w:p w14:paraId="1900FD77" w14:textId="7777777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(.00137)</w:t>
            </w:r>
          </w:p>
        </w:tc>
        <w:tc>
          <w:tcPr>
            <w:tcW w:w="553" w:type="pct"/>
            <w:hideMark/>
          </w:tcPr>
          <w:p w14:paraId="5608802B" w14:textId="7777777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(.002)</w:t>
            </w:r>
          </w:p>
        </w:tc>
        <w:tc>
          <w:tcPr>
            <w:tcW w:w="553" w:type="pct"/>
            <w:hideMark/>
          </w:tcPr>
          <w:p w14:paraId="1F29C578" w14:textId="7777777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(.0004)</w:t>
            </w:r>
          </w:p>
        </w:tc>
        <w:tc>
          <w:tcPr>
            <w:tcW w:w="628" w:type="pct"/>
            <w:hideMark/>
          </w:tcPr>
          <w:p w14:paraId="208949E3" w14:textId="7777777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(.00261)</w:t>
            </w:r>
          </w:p>
        </w:tc>
        <w:tc>
          <w:tcPr>
            <w:tcW w:w="643" w:type="pct"/>
            <w:hideMark/>
          </w:tcPr>
          <w:p w14:paraId="4DE45345" w14:textId="7777777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(.00035)</w:t>
            </w:r>
          </w:p>
        </w:tc>
        <w:tc>
          <w:tcPr>
            <w:tcW w:w="644" w:type="pct"/>
            <w:hideMark/>
          </w:tcPr>
          <w:p w14:paraId="4B5B54AF" w14:textId="7777777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(.00107)</w:t>
            </w:r>
          </w:p>
        </w:tc>
      </w:tr>
      <w:tr w:rsidR="00D326A2" w:rsidRPr="002E4B8A" w14:paraId="744C7518" w14:textId="77777777" w:rsidTr="00273B5A">
        <w:tc>
          <w:tcPr>
            <w:tcW w:w="874" w:type="pct"/>
            <w:hideMark/>
          </w:tcPr>
          <w:p w14:paraId="08B710BC" w14:textId="7777777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TSD * Range</w:t>
            </w:r>
          </w:p>
        </w:tc>
        <w:tc>
          <w:tcPr>
            <w:tcW w:w="553" w:type="pct"/>
            <w:hideMark/>
          </w:tcPr>
          <w:p w14:paraId="7209BA69" w14:textId="7777777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-.00116</w:t>
            </w:r>
          </w:p>
        </w:tc>
        <w:tc>
          <w:tcPr>
            <w:tcW w:w="553" w:type="pct"/>
            <w:hideMark/>
          </w:tcPr>
          <w:p w14:paraId="7A413E3C" w14:textId="7777777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-.00095</w:t>
            </w:r>
          </w:p>
        </w:tc>
        <w:tc>
          <w:tcPr>
            <w:tcW w:w="553" w:type="pct"/>
            <w:hideMark/>
          </w:tcPr>
          <w:p w14:paraId="33FD79CF" w14:textId="7777777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-.00085*</w:t>
            </w:r>
          </w:p>
        </w:tc>
        <w:tc>
          <w:tcPr>
            <w:tcW w:w="553" w:type="pct"/>
            <w:hideMark/>
          </w:tcPr>
          <w:p w14:paraId="1E36D756" w14:textId="7777777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-.00009</w:t>
            </w:r>
          </w:p>
        </w:tc>
        <w:tc>
          <w:tcPr>
            <w:tcW w:w="628" w:type="pct"/>
            <w:hideMark/>
          </w:tcPr>
          <w:p w14:paraId="38EFCF9D" w14:textId="7777777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.0005</w:t>
            </w:r>
          </w:p>
        </w:tc>
        <w:tc>
          <w:tcPr>
            <w:tcW w:w="643" w:type="pct"/>
            <w:hideMark/>
          </w:tcPr>
          <w:p w14:paraId="62FC9DEA" w14:textId="7777777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-.00016</w:t>
            </w:r>
          </w:p>
        </w:tc>
        <w:tc>
          <w:tcPr>
            <w:tcW w:w="644" w:type="pct"/>
            <w:hideMark/>
          </w:tcPr>
          <w:p w14:paraId="1042F8B8" w14:textId="7777777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.00059</w:t>
            </w:r>
          </w:p>
        </w:tc>
      </w:tr>
      <w:tr w:rsidR="00D326A2" w:rsidRPr="002E4B8A" w14:paraId="185DC2FA" w14:textId="77777777" w:rsidTr="00273B5A">
        <w:tc>
          <w:tcPr>
            <w:tcW w:w="874" w:type="pct"/>
            <w:hideMark/>
          </w:tcPr>
          <w:p w14:paraId="34351A26" w14:textId="372A6BA6" w:rsidR="005E02DB" w:rsidRPr="002E4B8A" w:rsidRDefault="005E02DB" w:rsidP="002E4B8A">
            <w:pPr>
              <w:widowControl w:val="0"/>
              <w:autoSpaceDE w:val="0"/>
              <w:autoSpaceDN w:val="0"/>
              <w:adjustRightInd w:val="0"/>
              <w:spacing w:line="240" w:lineRule="auto"/>
              <w:rPr>
                <w:rFonts w:eastAsia="DengXian" w:cs="Times New Roman"/>
                <w:sz w:val="20"/>
                <w:szCs w:val="20"/>
              </w:rPr>
            </w:pPr>
          </w:p>
        </w:tc>
        <w:tc>
          <w:tcPr>
            <w:tcW w:w="553" w:type="pct"/>
            <w:hideMark/>
          </w:tcPr>
          <w:p w14:paraId="7438E42A" w14:textId="7777777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(.00075)</w:t>
            </w:r>
          </w:p>
        </w:tc>
        <w:tc>
          <w:tcPr>
            <w:tcW w:w="553" w:type="pct"/>
            <w:hideMark/>
          </w:tcPr>
          <w:p w14:paraId="45962096" w14:textId="7777777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(.00109)</w:t>
            </w:r>
          </w:p>
        </w:tc>
        <w:tc>
          <w:tcPr>
            <w:tcW w:w="553" w:type="pct"/>
            <w:hideMark/>
          </w:tcPr>
          <w:p w14:paraId="2B6CE1C0" w14:textId="7777777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(.00049)</w:t>
            </w:r>
          </w:p>
        </w:tc>
        <w:tc>
          <w:tcPr>
            <w:tcW w:w="553" w:type="pct"/>
            <w:hideMark/>
          </w:tcPr>
          <w:p w14:paraId="0B1D52A1" w14:textId="7777777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(.00023)</w:t>
            </w:r>
          </w:p>
        </w:tc>
        <w:tc>
          <w:tcPr>
            <w:tcW w:w="628" w:type="pct"/>
            <w:hideMark/>
          </w:tcPr>
          <w:p w14:paraId="7EF78FB9" w14:textId="7777777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(.00067)</w:t>
            </w:r>
          </w:p>
        </w:tc>
        <w:tc>
          <w:tcPr>
            <w:tcW w:w="643" w:type="pct"/>
            <w:hideMark/>
          </w:tcPr>
          <w:p w14:paraId="7A51B6F9" w14:textId="7777777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(.0002)</w:t>
            </w:r>
          </w:p>
        </w:tc>
        <w:tc>
          <w:tcPr>
            <w:tcW w:w="644" w:type="pct"/>
            <w:hideMark/>
          </w:tcPr>
          <w:p w14:paraId="2BE55795" w14:textId="7777777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(.00077)</w:t>
            </w:r>
          </w:p>
        </w:tc>
      </w:tr>
      <w:tr w:rsidR="00D326A2" w:rsidRPr="002E4B8A" w14:paraId="2334CFBD" w14:textId="77777777" w:rsidTr="00273B5A">
        <w:tc>
          <w:tcPr>
            <w:tcW w:w="874" w:type="pct"/>
            <w:hideMark/>
          </w:tcPr>
          <w:p w14:paraId="600DAE1C" w14:textId="45681B5B"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Pov</w:t>
            </w:r>
            <w:r w:rsidR="00346227">
              <w:rPr>
                <w:rFonts w:eastAsia="DengXian" w:cs="Times New Roman"/>
                <w:sz w:val="20"/>
                <w:szCs w:val="20"/>
              </w:rPr>
              <w:t>.</w:t>
            </w:r>
            <w:r w:rsidRPr="002E4B8A">
              <w:rPr>
                <w:rFonts w:eastAsia="DengXian" w:cs="Times New Roman"/>
                <w:sz w:val="20"/>
                <w:szCs w:val="20"/>
              </w:rPr>
              <w:t xml:space="preserve"> rate (100s)</w:t>
            </w:r>
          </w:p>
        </w:tc>
        <w:tc>
          <w:tcPr>
            <w:tcW w:w="553" w:type="pct"/>
            <w:hideMark/>
          </w:tcPr>
          <w:p w14:paraId="07DD5858" w14:textId="53E68FCA"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2.68</w:t>
            </w:r>
            <w:r w:rsidR="00AA37ED" w:rsidRPr="002E4B8A">
              <w:rPr>
                <w:rFonts w:eastAsia="DengXian" w:cs="Times New Roman"/>
                <w:sz w:val="20"/>
                <w:szCs w:val="20"/>
              </w:rPr>
              <w:t>2</w:t>
            </w:r>
            <w:r w:rsidRPr="002E4B8A">
              <w:rPr>
                <w:rFonts w:eastAsia="DengXian" w:cs="Times New Roman"/>
                <w:sz w:val="20"/>
                <w:szCs w:val="20"/>
              </w:rPr>
              <w:t>***</w:t>
            </w:r>
          </w:p>
        </w:tc>
        <w:tc>
          <w:tcPr>
            <w:tcW w:w="553" w:type="pct"/>
            <w:hideMark/>
          </w:tcPr>
          <w:p w14:paraId="5192D839" w14:textId="38BCE679"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-1.401</w:t>
            </w:r>
          </w:p>
        </w:tc>
        <w:tc>
          <w:tcPr>
            <w:tcW w:w="553" w:type="pct"/>
            <w:hideMark/>
          </w:tcPr>
          <w:p w14:paraId="097DDBA7" w14:textId="03B4B6CB"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1.383</w:t>
            </w:r>
          </w:p>
        </w:tc>
        <w:tc>
          <w:tcPr>
            <w:tcW w:w="553" w:type="pct"/>
            <w:hideMark/>
          </w:tcPr>
          <w:p w14:paraId="3C603A15" w14:textId="7D050C1A"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-.501</w:t>
            </w:r>
          </w:p>
        </w:tc>
        <w:tc>
          <w:tcPr>
            <w:tcW w:w="628" w:type="pct"/>
            <w:hideMark/>
          </w:tcPr>
          <w:p w14:paraId="52A11C1B" w14:textId="3CFE6E46"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-1.04</w:t>
            </w:r>
            <w:r w:rsidR="0058503B" w:rsidRPr="002E4B8A">
              <w:rPr>
                <w:rFonts w:eastAsia="DengXian" w:cs="Times New Roman"/>
                <w:sz w:val="20"/>
                <w:szCs w:val="20"/>
              </w:rPr>
              <w:t>4</w:t>
            </w:r>
          </w:p>
        </w:tc>
        <w:tc>
          <w:tcPr>
            <w:tcW w:w="643" w:type="pct"/>
            <w:hideMark/>
          </w:tcPr>
          <w:p w14:paraId="09C027E8" w14:textId="3681ACB0"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.944**</w:t>
            </w:r>
          </w:p>
        </w:tc>
        <w:tc>
          <w:tcPr>
            <w:tcW w:w="644" w:type="pct"/>
            <w:hideMark/>
          </w:tcPr>
          <w:p w14:paraId="2BC79891" w14:textId="336EDD82"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2.86</w:t>
            </w:r>
            <w:r w:rsidR="0058503B" w:rsidRPr="002E4B8A">
              <w:rPr>
                <w:rFonts w:eastAsia="DengXian" w:cs="Times New Roman"/>
                <w:sz w:val="20"/>
                <w:szCs w:val="20"/>
              </w:rPr>
              <w:t>7</w:t>
            </w:r>
            <w:r w:rsidRPr="002E4B8A">
              <w:rPr>
                <w:rFonts w:eastAsia="DengXian" w:cs="Times New Roman"/>
                <w:sz w:val="20"/>
                <w:szCs w:val="20"/>
              </w:rPr>
              <w:t>**</w:t>
            </w:r>
          </w:p>
        </w:tc>
      </w:tr>
      <w:tr w:rsidR="00D326A2" w:rsidRPr="002E4B8A" w14:paraId="523839C6" w14:textId="77777777" w:rsidTr="00273B5A">
        <w:tc>
          <w:tcPr>
            <w:tcW w:w="874" w:type="pct"/>
            <w:hideMark/>
          </w:tcPr>
          <w:p w14:paraId="3C125011" w14:textId="05F2662A" w:rsidR="005E02DB" w:rsidRPr="002E4B8A" w:rsidRDefault="005E02DB" w:rsidP="002E4B8A">
            <w:pPr>
              <w:widowControl w:val="0"/>
              <w:autoSpaceDE w:val="0"/>
              <w:autoSpaceDN w:val="0"/>
              <w:adjustRightInd w:val="0"/>
              <w:spacing w:line="240" w:lineRule="auto"/>
              <w:rPr>
                <w:rFonts w:eastAsia="DengXian" w:cs="Times New Roman"/>
                <w:sz w:val="20"/>
                <w:szCs w:val="20"/>
              </w:rPr>
            </w:pPr>
          </w:p>
        </w:tc>
        <w:tc>
          <w:tcPr>
            <w:tcW w:w="553" w:type="pct"/>
            <w:hideMark/>
          </w:tcPr>
          <w:p w14:paraId="25965DD1" w14:textId="2CF51836"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(.714)</w:t>
            </w:r>
          </w:p>
        </w:tc>
        <w:tc>
          <w:tcPr>
            <w:tcW w:w="553" w:type="pct"/>
            <w:hideMark/>
          </w:tcPr>
          <w:p w14:paraId="1499D2E6" w14:textId="28FB7DBC"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(1.143)</w:t>
            </w:r>
          </w:p>
        </w:tc>
        <w:tc>
          <w:tcPr>
            <w:tcW w:w="553" w:type="pct"/>
            <w:hideMark/>
          </w:tcPr>
          <w:p w14:paraId="6C3C8F54" w14:textId="4D69722C"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(.906)</w:t>
            </w:r>
          </w:p>
        </w:tc>
        <w:tc>
          <w:tcPr>
            <w:tcW w:w="553" w:type="pct"/>
            <w:hideMark/>
          </w:tcPr>
          <w:p w14:paraId="6A53782F" w14:textId="45AE3150"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(.327)</w:t>
            </w:r>
          </w:p>
        </w:tc>
        <w:tc>
          <w:tcPr>
            <w:tcW w:w="628" w:type="pct"/>
            <w:hideMark/>
          </w:tcPr>
          <w:p w14:paraId="1F3687DB" w14:textId="7841507E"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(.64</w:t>
            </w:r>
            <w:r w:rsidR="0058503B" w:rsidRPr="002E4B8A">
              <w:rPr>
                <w:rFonts w:eastAsia="DengXian" w:cs="Times New Roman"/>
                <w:sz w:val="20"/>
                <w:szCs w:val="20"/>
              </w:rPr>
              <w:t>4</w:t>
            </w:r>
            <w:r w:rsidRPr="002E4B8A">
              <w:rPr>
                <w:rFonts w:eastAsia="DengXian" w:cs="Times New Roman"/>
                <w:sz w:val="20"/>
                <w:szCs w:val="20"/>
              </w:rPr>
              <w:t>)</w:t>
            </w:r>
          </w:p>
        </w:tc>
        <w:tc>
          <w:tcPr>
            <w:tcW w:w="643" w:type="pct"/>
            <w:hideMark/>
          </w:tcPr>
          <w:p w14:paraId="0A069BCD" w14:textId="22EF3008"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(.462)</w:t>
            </w:r>
          </w:p>
        </w:tc>
        <w:tc>
          <w:tcPr>
            <w:tcW w:w="644" w:type="pct"/>
            <w:hideMark/>
          </w:tcPr>
          <w:p w14:paraId="3A93C6A3" w14:textId="7BA1F2B1"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(1.152)</w:t>
            </w:r>
          </w:p>
        </w:tc>
      </w:tr>
      <w:tr w:rsidR="00D326A2" w:rsidRPr="002E4B8A" w14:paraId="398E2EAB" w14:textId="77777777" w:rsidTr="00273B5A">
        <w:tc>
          <w:tcPr>
            <w:tcW w:w="874" w:type="pct"/>
            <w:hideMark/>
          </w:tcPr>
          <w:p w14:paraId="520D439C" w14:textId="45EE4C46" w:rsidR="00D326A2" w:rsidRPr="002E4B8A" w:rsidRDefault="00D326A2" w:rsidP="002E4B8A">
            <w:pPr>
              <w:widowControl w:val="0"/>
              <w:autoSpaceDE w:val="0"/>
              <w:autoSpaceDN w:val="0"/>
              <w:adjustRightInd w:val="0"/>
              <w:spacing w:line="240" w:lineRule="auto"/>
              <w:rPr>
                <w:rFonts w:eastAsia="DengXian" w:cs="Times New Roman"/>
                <w:sz w:val="20"/>
                <w:szCs w:val="20"/>
              </w:rPr>
            </w:pPr>
            <w:proofErr w:type="spellStart"/>
            <w:r w:rsidRPr="002E4B8A">
              <w:rPr>
                <w:rFonts w:eastAsia="DengXian" w:cs="Times New Roman"/>
                <w:sz w:val="20"/>
                <w:szCs w:val="20"/>
              </w:rPr>
              <w:t>Unemp</w:t>
            </w:r>
            <w:proofErr w:type="spellEnd"/>
            <w:r w:rsidRPr="002E4B8A">
              <w:rPr>
                <w:rFonts w:eastAsia="DengXian" w:cs="Times New Roman"/>
                <w:sz w:val="20"/>
                <w:szCs w:val="20"/>
              </w:rPr>
              <w:t xml:space="preserve"> rate (100s)</w:t>
            </w:r>
          </w:p>
        </w:tc>
        <w:tc>
          <w:tcPr>
            <w:tcW w:w="553" w:type="pct"/>
            <w:hideMark/>
          </w:tcPr>
          <w:p w14:paraId="61E799FA" w14:textId="2842FD60"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-3.626***</w:t>
            </w:r>
          </w:p>
        </w:tc>
        <w:tc>
          <w:tcPr>
            <w:tcW w:w="553" w:type="pct"/>
            <w:hideMark/>
          </w:tcPr>
          <w:p w14:paraId="0D0AF1A7" w14:textId="5D390005"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3.966**</w:t>
            </w:r>
          </w:p>
        </w:tc>
        <w:tc>
          <w:tcPr>
            <w:tcW w:w="553" w:type="pct"/>
            <w:hideMark/>
          </w:tcPr>
          <w:p w14:paraId="77E5415F" w14:textId="78DE1198"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1.147</w:t>
            </w:r>
          </w:p>
        </w:tc>
        <w:tc>
          <w:tcPr>
            <w:tcW w:w="553" w:type="pct"/>
            <w:hideMark/>
          </w:tcPr>
          <w:p w14:paraId="3109D213" w14:textId="6E996AFC"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-.440</w:t>
            </w:r>
          </w:p>
        </w:tc>
        <w:tc>
          <w:tcPr>
            <w:tcW w:w="628" w:type="pct"/>
            <w:hideMark/>
          </w:tcPr>
          <w:p w14:paraId="60CCE06B" w14:textId="4797C59D"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3.352***</w:t>
            </w:r>
          </w:p>
        </w:tc>
        <w:tc>
          <w:tcPr>
            <w:tcW w:w="643" w:type="pct"/>
            <w:hideMark/>
          </w:tcPr>
          <w:p w14:paraId="2ECA4795" w14:textId="57E6ECF7"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.287</w:t>
            </w:r>
          </w:p>
        </w:tc>
        <w:tc>
          <w:tcPr>
            <w:tcW w:w="644" w:type="pct"/>
            <w:hideMark/>
          </w:tcPr>
          <w:p w14:paraId="2128E963" w14:textId="52001F5B"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-.772</w:t>
            </w:r>
          </w:p>
        </w:tc>
      </w:tr>
      <w:tr w:rsidR="00D326A2" w:rsidRPr="002E4B8A" w14:paraId="1C4F5F27" w14:textId="77777777" w:rsidTr="00273B5A">
        <w:tc>
          <w:tcPr>
            <w:tcW w:w="874" w:type="pct"/>
            <w:hideMark/>
          </w:tcPr>
          <w:p w14:paraId="1EA11656" w14:textId="1761BAB5" w:rsidR="00D326A2" w:rsidRPr="002E4B8A" w:rsidRDefault="00D326A2" w:rsidP="002E4B8A">
            <w:pPr>
              <w:widowControl w:val="0"/>
              <w:autoSpaceDE w:val="0"/>
              <w:autoSpaceDN w:val="0"/>
              <w:adjustRightInd w:val="0"/>
              <w:spacing w:line="240" w:lineRule="auto"/>
              <w:rPr>
                <w:rFonts w:eastAsia="DengXian" w:cs="Times New Roman"/>
                <w:sz w:val="20"/>
                <w:szCs w:val="20"/>
              </w:rPr>
            </w:pPr>
          </w:p>
        </w:tc>
        <w:tc>
          <w:tcPr>
            <w:tcW w:w="553" w:type="pct"/>
            <w:hideMark/>
          </w:tcPr>
          <w:p w14:paraId="24E2AE45" w14:textId="51234880"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(1.211)</w:t>
            </w:r>
          </w:p>
        </w:tc>
        <w:tc>
          <w:tcPr>
            <w:tcW w:w="553" w:type="pct"/>
            <w:hideMark/>
          </w:tcPr>
          <w:p w14:paraId="27445C6B" w14:textId="5B3F1802"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(1.975)</w:t>
            </w:r>
          </w:p>
        </w:tc>
        <w:tc>
          <w:tcPr>
            <w:tcW w:w="553" w:type="pct"/>
            <w:hideMark/>
          </w:tcPr>
          <w:p w14:paraId="049A3610" w14:textId="2C4090EC"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(.994)</w:t>
            </w:r>
          </w:p>
        </w:tc>
        <w:tc>
          <w:tcPr>
            <w:tcW w:w="553" w:type="pct"/>
            <w:hideMark/>
          </w:tcPr>
          <w:p w14:paraId="2B18B857" w14:textId="0453C16F"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(.676)</w:t>
            </w:r>
          </w:p>
        </w:tc>
        <w:tc>
          <w:tcPr>
            <w:tcW w:w="628" w:type="pct"/>
            <w:hideMark/>
          </w:tcPr>
          <w:p w14:paraId="6E64A1BE" w14:textId="6D9BF356"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(1.156)</w:t>
            </w:r>
          </w:p>
        </w:tc>
        <w:tc>
          <w:tcPr>
            <w:tcW w:w="643" w:type="pct"/>
            <w:hideMark/>
          </w:tcPr>
          <w:p w14:paraId="259DE272" w14:textId="46EB4488"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(.950)</w:t>
            </w:r>
          </w:p>
        </w:tc>
        <w:tc>
          <w:tcPr>
            <w:tcW w:w="644" w:type="pct"/>
            <w:hideMark/>
          </w:tcPr>
          <w:p w14:paraId="350502F6" w14:textId="59F4A5A1"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(.949)</w:t>
            </w:r>
          </w:p>
        </w:tc>
      </w:tr>
      <w:tr w:rsidR="00D326A2" w:rsidRPr="002E4B8A" w14:paraId="7C3B94FA" w14:textId="77777777" w:rsidTr="00273B5A">
        <w:tc>
          <w:tcPr>
            <w:tcW w:w="874" w:type="pct"/>
            <w:hideMark/>
          </w:tcPr>
          <w:p w14:paraId="2C020F18" w14:textId="010B4F57"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Pop. Den</w:t>
            </w:r>
            <w:r w:rsidR="00346227">
              <w:rPr>
                <w:rFonts w:eastAsia="DengXian" w:cs="Times New Roman"/>
                <w:sz w:val="20"/>
                <w:szCs w:val="20"/>
              </w:rPr>
              <w:t>.</w:t>
            </w:r>
            <w:r w:rsidRPr="002E4B8A">
              <w:rPr>
                <w:rFonts w:eastAsia="DengXian" w:cs="Times New Roman"/>
                <w:sz w:val="20"/>
                <w:szCs w:val="20"/>
              </w:rPr>
              <w:t xml:space="preserve"> (100s)</w:t>
            </w:r>
          </w:p>
        </w:tc>
        <w:tc>
          <w:tcPr>
            <w:tcW w:w="553" w:type="pct"/>
            <w:hideMark/>
          </w:tcPr>
          <w:p w14:paraId="6609E0D6" w14:textId="3007886F"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-8.398</w:t>
            </w:r>
          </w:p>
        </w:tc>
        <w:tc>
          <w:tcPr>
            <w:tcW w:w="553" w:type="pct"/>
            <w:hideMark/>
          </w:tcPr>
          <w:p w14:paraId="240358C5" w14:textId="0710CCD9"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38.486</w:t>
            </w:r>
          </w:p>
        </w:tc>
        <w:tc>
          <w:tcPr>
            <w:tcW w:w="553" w:type="pct"/>
            <w:hideMark/>
          </w:tcPr>
          <w:p w14:paraId="2F714E0A" w14:textId="65651DAF"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6.008*</w:t>
            </w:r>
          </w:p>
        </w:tc>
        <w:tc>
          <w:tcPr>
            <w:tcW w:w="553" w:type="pct"/>
            <w:hideMark/>
          </w:tcPr>
          <w:p w14:paraId="28CBB29F" w14:textId="0844329F"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4.454*</w:t>
            </w:r>
          </w:p>
        </w:tc>
        <w:tc>
          <w:tcPr>
            <w:tcW w:w="628" w:type="pct"/>
            <w:hideMark/>
          </w:tcPr>
          <w:p w14:paraId="29904133" w14:textId="47843739"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-8.081**</w:t>
            </w:r>
          </w:p>
        </w:tc>
        <w:tc>
          <w:tcPr>
            <w:tcW w:w="643" w:type="pct"/>
            <w:hideMark/>
          </w:tcPr>
          <w:p w14:paraId="1E22074A" w14:textId="12F645F0"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8.913***</w:t>
            </w:r>
          </w:p>
        </w:tc>
        <w:tc>
          <w:tcPr>
            <w:tcW w:w="644" w:type="pct"/>
            <w:hideMark/>
          </w:tcPr>
          <w:p w14:paraId="1A7E597B" w14:textId="30A47811"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-1.913</w:t>
            </w:r>
          </w:p>
        </w:tc>
      </w:tr>
      <w:tr w:rsidR="00D326A2" w:rsidRPr="002E4B8A" w14:paraId="1F029664" w14:textId="77777777" w:rsidTr="00273B5A">
        <w:tc>
          <w:tcPr>
            <w:tcW w:w="874" w:type="pct"/>
            <w:hideMark/>
          </w:tcPr>
          <w:p w14:paraId="14CF3E19" w14:textId="26693FEF" w:rsidR="00D326A2" w:rsidRPr="002E4B8A" w:rsidRDefault="00D326A2" w:rsidP="002E4B8A">
            <w:pPr>
              <w:widowControl w:val="0"/>
              <w:autoSpaceDE w:val="0"/>
              <w:autoSpaceDN w:val="0"/>
              <w:adjustRightInd w:val="0"/>
              <w:spacing w:line="240" w:lineRule="auto"/>
              <w:rPr>
                <w:rFonts w:eastAsia="DengXian" w:cs="Times New Roman"/>
                <w:sz w:val="20"/>
                <w:szCs w:val="20"/>
              </w:rPr>
            </w:pPr>
          </w:p>
        </w:tc>
        <w:tc>
          <w:tcPr>
            <w:tcW w:w="553" w:type="pct"/>
            <w:hideMark/>
          </w:tcPr>
          <w:p w14:paraId="6D8E018C" w14:textId="7A01597C"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(12.336)</w:t>
            </w:r>
          </w:p>
        </w:tc>
        <w:tc>
          <w:tcPr>
            <w:tcW w:w="553" w:type="pct"/>
            <w:hideMark/>
          </w:tcPr>
          <w:p w14:paraId="7BDE4819" w14:textId="40EA481C"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(39.095)</w:t>
            </w:r>
          </w:p>
        </w:tc>
        <w:tc>
          <w:tcPr>
            <w:tcW w:w="553" w:type="pct"/>
            <w:hideMark/>
          </w:tcPr>
          <w:p w14:paraId="1980EB2F" w14:textId="410320ED"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(3.451)</w:t>
            </w:r>
          </w:p>
        </w:tc>
        <w:tc>
          <w:tcPr>
            <w:tcW w:w="553" w:type="pct"/>
            <w:hideMark/>
          </w:tcPr>
          <w:p w14:paraId="01CB268C" w14:textId="16CA1927"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(2.380)</w:t>
            </w:r>
          </w:p>
        </w:tc>
        <w:tc>
          <w:tcPr>
            <w:tcW w:w="628" w:type="pct"/>
            <w:hideMark/>
          </w:tcPr>
          <w:p w14:paraId="69926C60" w14:textId="7B0E85A8"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(3.680)</w:t>
            </w:r>
          </w:p>
        </w:tc>
        <w:tc>
          <w:tcPr>
            <w:tcW w:w="643" w:type="pct"/>
            <w:hideMark/>
          </w:tcPr>
          <w:p w14:paraId="31547C77" w14:textId="65AAAB6D"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(1.437)</w:t>
            </w:r>
          </w:p>
        </w:tc>
        <w:tc>
          <w:tcPr>
            <w:tcW w:w="644" w:type="pct"/>
            <w:hideMark/>
          </w:tcPr>
          <w:p w14:paraId="1137A6B1" w14:textId="412A17E7"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(2.072)</w:t>
            </w:r>
          </w:p>
        </w:tc>
      </w:tr>
      <w:tr w:rsidR="00D326A2" w:rsidRPr="002E4B8A" w14:paraId="1D32898D" w14:textId="77777777" w:rsidTr="00273B5A">
        <w:tc>
          <w:tcPr>
            <w:tcW w:w="874" w:type="pct"/>
            <w:hideMark/>
          </w:tcPr>
          <w:p w14:paraId="415035BF" w14:textId="33567173"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 xml:space="preserve">Med HH </w:t>
            </w:r>
            <w:proofErr w:type="spellStart"/>
            <w:r w:rsidRPr="002E4B8A">
              <w:rPr>
                <w:rFonts w:eastAsia="DengXian" w:cs="Times New Roman"/>
                <w:sz w:val="20"/>
                <w:szCs w:val="20"/>
              </w:rPr>
              <w:t>Ic</w:t>
            </w:r>
            <w:proofErr w:type="spellEnd"/>
            <w:r w:rsidRPr="002E4B8A">
              <w:rPr>
                <w:rFonts w:eastAsia="DengXian" w:cs="Times New Roman"/>
                <w:sz w:val="20"/>
                <w:szCs w:val="20"/>
              </w:rPr>
              <w:t xml:space="preserve"> (100k)</w:t>
            </w:r>
          </w:p>
        </w:tc>
        <w:tc>
          <w:tcPr>
            <w:tcW w:w="553" w:type="pct"/>
            <w:hideMark/>
          </w:tcPr>
          <w:p w14:paraId="3D2ABBCD" w14:textId="57ECD9ED"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1.378***</w:t>
            </w:r>
          </w:p>
        </w:tc>
        <w:tc>
          <w:tcPr>
            <w:tcW w:w="553" w:type="pct"/>
            <w:hideMark/>
          </w:tcPr>
          <w:p w14:paraId="2B737207" w14:textId="40177B16"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-.831</w:t>
            </w:r>
          </w:p>
        </w:tc>
        <w:tc>
          <w:tcPr>
            <w:tcW w:w="553" w:type="pct"/>
            <w:hideMark/>
          </w:tcPr>
          <w:p w14:paraId="06EA461F" w14:textId="5EC2D0C8"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.136</w:t>
            </w:r>
          </w:p>
        </w:tc>
        <w:tc>
          <w:tcPr>
            <w:tcW w:w="553" w:type="pct"/>
            <w:hideMark/>
          </w:tcPr>
          <w:p w14:paraId="6490C2FD" w14:textId="38782DC6"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.810***</w:t>
            </w:r>
          </w:p>
        </w:tc>
        <w:tc>
          <w:tcPr>
            <w:tcW w:w="628" w:type="pct"/>
            <w:hideMark/>
          </w:tcPr>
          <w:p w14:paraId="209558CD" w14:textId="49E2DC9C"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-.321</w:t>
            </w:r>
          </w:p>
        </w:tc>
        <w:tc>
          <w:tcPr>
            <w:tcW w:w="643" w:type="pct"/>
            <w:hideMark/>
          </w:tcPr>
          <w:p w14:paraId="1C7C71BD" w14:textId="34F90D71"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.827***</w:t>
            </w:r>
          </w:p>
        </w:tc>
        <w:tc>
          <w:tcPr>
            <w:tcW w:w="644" w:type="pct"/>
            <w:hideMark/>
          </w:tcPr>
          <w:p w14:paraId="6D241B27" w14:textId="6A332134"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-.057</w:t>
            </w:r>
          </w:p>
        </w:tc>
      </w:tr>
      <w:tr w:rsidR="00D326A2" w:rsidRPr="002E4B8A" w14:paraId="71E12371" w14:textId="77777777" w:rsidTr="00273B5A">
        <w:tc>
          <w:tcPr>
            <w:tcW w:w="874" w:type="pct"/>
            <w:hideMark/>
          </w:tcPr>
          <w:p w14:paraId="36D3ACBB" w14:textId="0D2277F8" w:rsidR="00D326A2" w:rsidRPr="002E4B8A" w:rsidRDefault="00D326A2" w:rsidP="002E4B8A">
            <w:pPr>
              <w:widowControl w:val="0"/>
              <w:autoSpaceDE w:val="0"/>
              <w:autoSpaceDN w:val="0"/>
              <w:adjustRightInd w:val="0"/>
              <w:spacing w:line="240" w:lineRule="auto"/>
              <w:rPr>
                <w:rFonts w:eastAsia="DengXian" w:cs="Times New Roman"/>
                <w:sz w:val="20"/>
                <w:szCs w:val="20"/>
              </w:rPr>
            </w:pPr>
          </w:p>
        </w:tc>
        <w:tc>
          <w:tcPr>
            <w:tcW w:w="553" w:type="pct"/>
            <w:hideMark/>
          </w:tcPr>
          <w:p w14:paraId="719658D9" w14:textId="75AD9381"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(.497)</w:t>
            </w:r>
          </w:p>
        </w:tc>
        <w:tc>
          <w:tcPr>
            <w:tcW w:w="553" w:type="pct"/>
            <w:hideMark/>
          </w:tcPr>
          <w:p w14:paraId="2FDB71A6" w14:textId="4447EFB9"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(1.257)</w:t>
            </w:r>
          </w:p>
        </w:tc>
        <w:tc>
          <w:tcPr>
            <w:tcW w:w="553" w:type="pct"/>
            <w:hideMark/>
          </w:tcPr>
          <w:p w14:paraId="10A3A7AD" w14:textId="16EB5FB1"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(.462)</w:t>
            </w:r>
          </w:p>
        </w:tc>
        <w:tc>
          <w:tcPr>
            <w:tcW w:w="553" w:type="pct"/>
            <w:hideMark/>
          </w:tcPr>
          <w:p w14:paraId="71645E6D" w14:textId="6A87AD67"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(.188)</w:t>
            </w:r>
          </w:p>
        </w:tc>
        <w:tc>
          <w:tcPr>
            <w:tcW w:w="628" w:type="pct"/>
            <w:hideMark/>
          </w:tcPr>
          <w:p w14:paraId="32877FD9" w14:textId="0953CF95"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(.462)</w:t>
            </w:r>
          </w:p>
        </w:tc>
        <w:tc>
          <w:tcPr>
            <w:tcW w:w="643" w:type="pct"/>
            <w:hideMark/>
          </w:tcPr>
          <w:p w14:paraId="1340723D" w14:textId="5FCC636E"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(.288)</w:t>
            </w:r>
          </w:p>
        </w:tc>
        <w:tc>
          <w:tcPr>
            <w:tcW w:w="644" w:type="pct"/>
            <w:hideMark/>
          </w:tcPr>
          <w:p w14:paraId="2A6B4FCD" w14:textId="513EDC21"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(.316)</w:t>
            </w:r>
          </w:p>
        </w:tc>
      </w:tr>
      <w:tr w:rsidR="00D326A2" w:rsidRPr="002E4B8A" w14:paraId="16BEFFB4" w14:textId="77777777" w:rsidTr="00273B5A">
        <w:tc>
          <w:tcPr>
            <w:tcW w:w="874" w:type="pct"/>
            <w:hideMark/>
          </w:tcPr>
          <w:p w14:paraId="65199A30" w14:textId="6DC1CD2A"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HPI (100s)</w:t>
            </w:r>
          </w:p>
        </w:tc>
        <w:tc>
          <w:tcPr>
            <w:tcW w:w="553" w:type="pct"/>
            <w:hideMark/>
          </w:tcPr>
          <w:p w14:paraId="223D1242" w14:textId="77812945"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-.056**</w:t>
            </w:r>
          </w:p>
        </w:tc>
        <w:tc>
          <w:tcPr>
            <w:tcW w:w="553" w:type="pct"/>
            <w:hideMark/>
          </w:tcPr>
          <w:p w14:paraId="1BF23A42" w14:textId="0535C6EF"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.125**</w:t>
            </w:r>
          </w:p>
        </w:tc>
        <w:tc>
          <w:tcPr>
            <w:tcW w:w="553" w:type="pct"/>
            <w:hideMark/>
          </w:tcPr>
          <w:p w14:paraId="36B1A602" w14:textId="1370FF4C"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.044*</w:t>
            </w:r>
          </w:p>
        </w:tc>
        <w:tc>
          <w:tcPr>
            <w:tcW w:w="553" w:type="pct"/>
            <w:hideMark/>
          </w:tcPr>
          <w:p w14:paraId="583A5EC3" w14:textId="0BDA33FA"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.027***</w:t>
            </w:r>
          </w:p>
        </w:tc>
        <w:tc>
          <w:tcPr>
            <w:tcW w:w="628" w:type="pct"/>
            <w:hideMark/>
          </w:tcPr>
          <w:p w14:paraId="525235FB" w14:textId="2A31B929"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.076***</w:t>
            </w:r>
          </w:p>
        </w:tc>
        <w:tc>
          <w:tcPr>
            <w:tcW w:w="643" w:type="pct"/>
            <w:hideMark/>
          </w:tcPr>
          <w:p w14:paraId="36EDC18A" w14:textId="665BBD33"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.040***</w:t>
            </w:r>
          </w:p>
        </w:tc>
        <w:tc>
          <w:tcPr>
            <w:tcW w:w="644" w:type="pct"/>
            <w:hideMark/>
          </w:tcPr>
          <w:p w14:paraId="5A269F6D" w14:textId="3F85B8E3"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.060**</w:t>
            </w:r>
          </w:p>
        </w:tc>
      </w:tr>
      <w:tr w:rsidR="00D326A2" w:rsidRPr="002E4B8A" w14:paraId="59C2424F" w14:textId="77777777" w:rsidTr="00273B5A">
        <w:tc>
          <w:tcPr>
            <w:tcW w:w="874" w:type="pct"/>
            <w:hideMark/>
          </w:tcPr>
          <w:p w14:paraId="38644D78" w14:textId="3EE8C5A9" w:rsidR="00D326A2" w:rsidRPr="002E4B8A" w:rsidRDefault="00D326A2" w:rsidP="002E4B8A">
            <w:pPr>
              <w:widowControl w:val="0"/>
              <w:autoSpaceDE w:val="0"/>
              <w:autoSpaceDN w:val="0"/>
              <w:adjustRightInd w:val="0"/>
              <w:spacing w:line="240" w:lineRule="auto"/>
              <w:rPr>
                <w:rFonts w:eastAsia="DengXian" w:cs="Times New Roman"/>
                <w:sz w:val="20"/>
                <w:szCs w:val="20"/>
              </w:rPr>
            </w:pPr>
          </w:p>
        </w:tc>
        <w:tc>
          <w:tcPr>
            <w:tcW w:w="553" w:type="pct"/>
            <w:hideMark/>
          </w:tcPr>
          <w:p w14:paraId="7AFCCD75" w14:textId="632FDE42"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(.024)</w:t>
            </w:r>
          </w:p>
        </w:tc>
        <w:tc>
          <w:tcPr>
            <w:tcW w:w="553" w:type="pct"/>
            <w:hideMark/>
          </w:tcPr>
          <w:p w14:paraId="4F62EBAD" w14:textId="77777777"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(.063)</w:t>
            </w:r>
          </w:p>
        </w:tc>
        <w:tc>
          <w:tcPr>
            <w:tcW w:w="553" w:type="pct"/>
            <w:hideMark/>
          </w:tcPr>
          <w:p w14:paraId="20F83486" w14:textId="62F2B0AE"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(.024)</w:t>
            </w:r>
          </w:p>
        </w:tc>
        <w:tc>
          <w:tcPr>
            <w:tcW w:w="553" w:type="pct"/>
            <w:hideMark/>
          </w:tcPr>
          <w:p w14:paraId="6D03C900" w14:textId="5E43F6C0"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(.010)</w:t>
            </w:r>
          </w:p>
        </w:tc>
        <w:tc>
          <w:tcPr>
            <w:tcW w:w="628" w:type="pct"/>
            <w:hideMark/>
          </w:tcPr>
          <w:p w14:paraId="4542FA6A" w14:textId="49F2D267"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(.016)</w:t>
            </w:r>
          </w:p>
        </w:tc>
        <w:tc>
          <w:tcPr>
            <w:tcW w:w="643" w:type="pct"/>
            <w:hideMark/>
          </w:tcPr>
          <w:p w14:paraId="358D8043" w14:textId="19E7BAC5"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(.011)</w:t>
            </w:r>
          </w:p>
        </w:tc>
        <w:tc>
          <w:tcPr>
            <w:tcW w:w="644" w:type="pct"/>
            <w:hideMark/>
          </w:tcPr>
          <w:p w14:paraId="107E5652" w14:textId="4FD94FEA"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(.024)</w:t>
            </w:r>
          </w:p>
        </w:tc>
      </w:tr>
      <w:tr w:rsidR="00D326A2" w:rsidRPr="002E4B8A" w14:paraId="22CC7950" w14:textId="77777777" w:rsidTr="00273B5A">
        <w:tc>
          <w:tcPr>
            <w:tcW w:w="874" w:type="pct"/>
            <w:hideMark/>
          </w:tcPr>
          <w:p w14:paraId="0C76A539" w14:textId="5A1569A4"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EPA - SO2 (t-1)</w:t>
            </w:r>
          </w:p>
        </w:tc>
        <w:tc>
          <w:tcPr>
            <w:tcW w:w="553" w:type="pct"/>
            <w:hideMark/>
          </w:tcPr>
          <w:p w14:paraId="3EAD2AFD" w14:textId="2DE9643A"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.453**</w:t>
            </w:r>
          </w:p>
        </w:tc>
        <w:tc>
          <w:tcPr>
            <w:tcW w:w="553" w:type="pct"/>
            <w:hideMark/>
          </w:tcPr>
          <w:p w14:paraId="1456F6FE" w14:textId="359F6FA9"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.067</w:t>
            </w:r>
          </w:p>
        </w:tc>
        <w:tc>
          <w:tcPr>
            <w:tcW w:w="553" w:type="pct"/>
            <w:hideMark/>
          </w:tcPr>
          <w:p w14:paraId="674E21E6" w14:textId="0F2B0307"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-.245</w:t>
            </w:r>
          </w:p>
        </w:tc>
        <w:tc>
          <w:tcPr>
            <w:tcW w:w="553" w:type="pct"/>
            <w:hideMark/>
          </w:tcPr>
          <w:p w14:paraId="3B77542A" w14:textId="634F6015"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.144*</w:t>
            </w:r>
          </w:p>
        </w:tc>
        <w:tc>
          <w:tcPr>
            <w:tcW w:w="628" w:type="pct"/>
            <w:hideMark/>
          </w:tcPr>
          <w:p w14:paraId="6BE4A067" w14:textId="7EB9F1EE"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.383*</w:t>
            </w:r>
          </w:p>
        </w:tc>
        <w:tc>
          <w:tcPr>
            <w:tcW w:w="643" w:type="pct"/>
            <w:hideMark/>
          </w:tcPr>
          <w:p w14:paraId="3CEA84C2" w14:textId="11D80BB4"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.218*</w:t>
            </w:r>
          </w:p>
        </w:tc>
        <w:tc>
          <w:tcPr>
            <w:tcW w:w="644" w:type="pct"/>
            <w:hideMark/>
          </w:tcPr>
          <w:p w14:paraId="0BF3CB57" w14:textId="3139EB37"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.121</w:t>
            </w:r>
          </w:p>
        </w:tc>
      </w:tr>
      <w:tr w:rsidR="00D326A2" w:rsidRPr="002E4B8A" w14:paraId="7885D556" w14:textId="77777777" w:rsidTr="00273B5A">
        <w:tc>
          <w:tcPr>
            <w:tcW w:w="874" w:type="pct"/>
            <w:hideMark/>
          </w:tcPr>
          <w:p w14:paraId="1956A817" w14:textId="0282AF0C" w:rsidR="00D326A2" w:rsidRPr="002E4B8A" w:rsidRDefault="00D326A2" w:rsidP="002E4B8A">
            <w:pPr>
              <w:widowControl w:val="0"/>
              <w:autoSpaceDE w:val="0"/>
              <w:autoSpaceDN w:val="0"/>
              <w:adjustRightInd w:val="0"/>
              <w:spacing w:line="240" w:lineRule="auto"/>
              <w:rPr>
                <w:rFonts w:eastAsia="DengXian" w:cs="Times New Roman"/>
                <w:sz w:val="20"/>
                <w:szCs w:val="20"/>
              </w:rPr>
            </w:pPr>
          </w:p>
        </w:tc>
        <w:tc>
          <w:tcPr>
            <w:tcW w:w="553" w:type="pct"/>
            <w:hideMark/>
          </w:tcPr>
          <w:p w14:paraId="2C7B2C69" w14:textId="1107F02E"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(.228)</w:t>
            </w:r>
          </w:p>
        </w:tc>
        <w:tc>
          <w:tcPr>
            <w:tcW w:w="553" w:type="pct"/>
            <w:hideMark/>
          </w:tcPr>
          <w:p w14:paraId="0C637883" w14:textId="4130E193"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(.326)</w:t>
            </w:r>
          </w:p>
        </w:tc>
        <w:tc>
          <w:tcPr>
            <w:tcW w:w="553" w:type="pct"/>
            <w:hideMark/>
          </w:tcPr>
          <w:p w14:paraId="5F12EE30" w14:textId="188754DA"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(.210)</w:t>
            </w:r>
          </w:p>
        </w:tc>
        <w:tc>
          <w:tcPr>
            <w:tcW w:w="553" w:type="pct"/>
            <w:hideMark/>
          </w:tcPr>
          <w:p w14:paraId="744894E8" w14:textId="051FD791"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(.080)</w:t>
            </w:r>
          </w:p>
        </w:tc>
        <w:tc>
          <w:tcPr>
            <w:tcW w:w="628" w:type="pct"/>
            <w:hideMark/>
          </w:tcPr>
          <w:p w14:paraId="1F857095" w14:textId="77777777"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(.198)</w:t>
            </w:r>
          </w:p>
        </w:tc>
        <w:tc>
          <w:tcPr>
            <w:tcW w:w="643" w:type="pct"/>
            <w:hideMark/>
          </w:tcPr>
          <w:p w14:paraId="5D3CD7F9" w14:textId="110CC55F"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(.122)</w:t>
            </w:r>
          </w:p>
        </w:tc>
        <w:tc>
          <w:tcPr>
            <w:tcW w:w="644" w:type="pct"/>
            <w:hideMark/>
          </w:tcPr>
          <w:p w14:paraId="02364F1E" w14:textId="52BFFB51"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(.145)</w:t>
            </w:r>
          </w:p>
        </w:tc>
      </w:tr>
      <w:tr w:rsidR="00D326A2" w:rsidRPr="002E4B8A" w14:paraId="0E38BCF8" w14:textId="77777777" w:rsidTr="00273B5A">
        <w:tc>
          <w:tcPr>
            <w:tcW w:w="874" w:type="pct"/>
            <w:hideMark/>
          </w:tcPr>
          <w:p w14:paraId="4156413A" w14:textId="19CBFC6C"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EPA - PSM (t-1)</w:t>
            </w:r>
          </w:p>
        </w:tc>
        <w:tc>
          <w:tcPr>
            <w:tcW w:w="553" w:type="pct"/>
            <w:hideMark/>
          </w:tcPr>
          <w:p w14:paraId="251117BA" w14:textId="68F95A9E"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-.024</w:t>
            </w:r>
          </w:p>
        </w:tc>
        <w:tc>
          <w:tcPr>
            <w:tcW w:w="553" w:type="pct"/>
            <w:hideMark/>
          </w:tcPr>
          <w:p w14:paraId="1BC80341" w14:textId="5D8925A6"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.086</w:t>
            </w:r>
          </w:p>
        </w:tc>
        <w:tc>
          <w:tcPr>
            <w:tcW w:w="553" w:type="pct"/>
            <w:hideMark/>
          </w:tcPr>
          <w:p w14:paraId="63318F6E" w14:textId="40F36821"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.088**</w:t>
            </w:r>
          </w:p>
        </w:tc>
        <w:tc>
          <w:tcPr>
            <w:tcW w:w="553" w:type="pct"/>
            <w:hideMark/>
          </w:tcPr>
          <w:p w14:paraId="7F585F5A" w14:textId="5EB0326E"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-.028*</w:t>
            </w:r>
          </w:p>
        </w:tc>
        <w:tc>
          <w:tcPr>
            <w:tcW w:w="628" w:type="pct"/>
            <w:hideMark/>
          </w:tcPr>
          <w:p w14:paraId="7C4EEB37" w14:textId="3A9C6830"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-.041**</w:t>
            </w:r>
          </w:p>
        </w:tc>
        <w:tc>
          <w:tcPr>
            <w:tcW w:w="643" w:type="pct"/>
            <w:hideMark/>
          </w:tcPr>
          <w:p w14:paraId="7AA28FFE" w14:textId="4270F31A"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.034</w:t>
            </w:r>
          </w:p>
        </w:tc>
        <w:tc>
          <w:tcPr>
            <w:tcW w:w="644" w:type="pct"/>
            <w:hideMark/>
          </w:tcPr>
          <w:p w14:paraId="497AFC95" w14:textId="0849108B"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.038</w:t>
            </w:r>
          </w:p>
        </w:tc>
      </w:tr>
      <w:tr w:rsidR="00D326A2" w:rsidRPr="002E4B8A" w14:paraId="183C55DD" w14:textId="77777777" w:rsidTr="00273B5A">
        <w:tc>
          <w:tcPr>
            <w:tcW w:w="874" w:type="pct"/>
            <w:hideMark/>
          </w:tcPr>
          <w:p w14:paraId="31B62B98" w14:textId="419F7095" w:rsidR="00D326A2" w:rsidRPr="002E4B8A" w:rsidRDefault="00D326A2" w:rsidP="002E4B8A">
            <w:pPr>
              <w:widowControl w:val="0"/>
              <w:autoSpaceDE w:val="0"/>
              <w:autoSpaceDN w:val="0"/>
              <w:adjustRightInd w:val="0"/>
              <w:spacing w:line="240" w:lineRule="auto"/>
              <w:rPr>
                <w:rFonts w:eastAsia="DengXian" w:cs="Times New Roman"/>
                <w:sz w:val="20"/>
                <w:szCs w:val="20"/>
              </w:rPr>
            </w:pPr>
          </w:p>
        </w:tc>
        <w:tc>
          <w:tcPr>
            <w:tcW w:w="553" w:type="pct"/>
            <w:hideMark/>
          </w:tcPr>
          <w:p w14:paraId="34B33438" w14:textId="6435F68C"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(.045)</w:t>
            </w:r>
          </w:p>
        </w:tc>
        <w:tc>
          <w:tcPr>
            <w:tcW w:w="553" w:type="pct"/>
            <w:hideMark/>
          </w:tcPr>
          <w:p w14:paraId="59E7258E" w14:textId="75BFBF6A"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(.068)</w:t>
            </w:r>
          </w:p>
        </w:tc>
        <w:tc>
          <w:tcPr>
            <w:tcW w:w="553" w:type="pct"/>
            <w:hideMark/>
          </w:tcPr>
          <w:p w14:paraId="139890EE" w14:textId="6C1671E6"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(.040)</w:t>
            </w:r>
          </w:p>
        </w:tc>
        <w:tc>
          <w:tcPr>
            <w:tcW w:w="553" w:type="pct"/>
            <w:hideMark/>
          </w:tcPr>
          <w:p w14:paraId="5EFCB3DB" w14:textId="0D1F9137"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(.015)</w:t>
            </w:r>
          </w:p>
        </w:tc>
        <w:tc>
          <w:tcPr>
            <w:tcW w:w="628" w:type="pct"/>
            <w:hideMark/>
          </w:tcPr>
          <w:p w14:paraId="1F8CB7A5" w14:textId="73508F0A"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(.020)</w:t>
            </w:r>
          </w:p>
        </w:tc>
        <w:tc>
          <w:tcPr>
            <w:tcW w:w="643" w:type="pct"/>
            <w:hideMark/>
          </w:tcPr>
          <w:p w14:paraId="746DFBAC" w14:textId="49B67802"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(.047)</w:t>
            </w:r>
          </w:p>
        </w:tc>
        <w:tc>
          <w:tcPr>
            <w:tcW w:w="644" w:type="pct"/>
            <w:hideMark/>
          </w:tcPr>
          <w:p w14:paraId="3A5CE14F" w14:textId="616F5667"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(.041)</w:t>
            </w:r>
          </w:p>
        </w:tc>
      </w:tr>
      <w:tr w:rsidR="00D326A2" w:rsidRPr="002E4B8A" w14:paraId="3E5FFB3C" w14:textId="77777777" w:rsidTr="00273B5A">
        <w:tc>
          <w:tcPr>
            <w:tcW w:w="874" w:type="pct"/>
            <w:hideMark/>
          </w:tcPr>
          <w:p w14:paraId="5DB6C1AC" w14:textId="7D692F09"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EPA - O3 (t-1)</w:t>
            </w:r>
          </w:p>
        </w:tc>
        <w:tc>
          <w:tcPr>
            <w:tcW w:w="553" w:type="pct"/>
            <w:hideMark/>
          </w:tcPr>
          <w:p w14:paraId="4730BAC7" w14:textId="7F850C43"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-.132**</w:t>
            </w:r>
          </w:p>
        </w:tc>
        <w:tc>
          <w:tcPr>
            <w:tcW w:w="553" w:type="pct"/>
            <w:hideMark/>
          </w:tcPr>
          <w:p w14:paraId="337A2F39" w14:textId="581F2A96"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.407***</w:t>
            </w:r>
          </w:p>
        </w:tc>
        <w:tc>
          <w:tcPr>
            <w:tcW w:w="553" w:type="pct"/>
            <w:hideMark/>
          </w:tcPr>
          <w:p w14:paraId="717269C2" w14:textId="01EC3CFE"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.095</w:t>
            </w:r>
          </w:p>
        </w:tc>
        <w:tc>
          <w:tcPr>
            <w:tcW w:w="553" w:type="pct"/>
            <w:hideMark/>
          </w:tcPr>
          <w:p w14:paraId="4D501F54" w14:textId="57198E67"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-.028</w:t>
            </w:r>
          </w:p>
        </w:tc>
        <w:tc>
          <w:tcPr>
            <w:tcW w:w="628" w:type="pct"/>
            <w:hideMark/>
          </w:tcPr>
          <w:p w14:paraId="15CEAA11" w14:textId="557A5F0C"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-.059</w:t>
            </w:r>
          </w:p>
        </w:tc>
        <w:tc>
          <w:tcPr>
            <w:tcW w:w="643" w:type="pct"/>
            <w:hideMark/>
          </w:tcPr>
          <w:p w14:paraId="345F0BC5" w14:textId="6795FE44"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-.085*</w:t>
            </w:r>
          </w:p>
        </w:tc>
        <w:tc>
          <w:tcPr>
            <w:tcW w:w="644" w:type="pct"/>
            <w:hideMark/>
          </w:tcPr>
          <w:p w14:paraId="3D5343E2" w14:textId="4B97EB35"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.001</w:t>
            </w:r>
          </w:p>
        </w:tc>
      </w:tr>
      <w:tr w:rsidR="00D326A2" w:rsidRPr="002E4B8A" w14:paraId="29D2E399" w14:textId="77777777" w:rsidTr="00273B5A">
        <w:tc>
          <w:tcPr>
            <w:tcW w:w="874" w:type="pct"/>
            <w:hideMark/>
          </w:tcPr>
          <w:p w14:paraId="0336073D" w14:textId="473E6A39" w:rsidR="00D326A2" w:rsidRPr="002E4B8A" w:rsidRDefault="00D326A2" w:rsidP="002E4B8A">
            <w:pPr>
              <w:widowControl w:val="0"/>
              <w:autoSpaceDE w:val="0"/>
              <w:autoSpaceDN w:val="0"/>
              <w:adjustRightInd w:val="0"/>
              <w:spacing w:line="240" w:lineRule="auto"/>
              <w:rPr>
                <w:rFonts w:eastAsia="DengXian" w:cs="Times New Roman"/>
                <w:sz w:val="20"/>
                <w:szCs w:val="20"/>
              </w:rPr>
            </w:pPr>
          </w:p>
        </w:tc>
        <w:tc>
          <w:tcPr>
            <w:tcW w:w="553" w:type="pct"/>
            <w:hideMark/>
          </w:tcPr>
          <w:p w14:paraId="4AC06BDA" w14:textId="2D375E42"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(.065)</w:t>
            </w:r>
          </w:p>
        </w:tc>
        <w:tc>
          <w:tcPr>
            <w:tcW w:w="553" w:type="pct"/>
            <w:hideMark/>
          </w:tcPr>
          <w:p w14:paraId="52F668FB" w14:textId="3E14CA39"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(.148)</w:t>
            </w:r>
          </w:p>
        </w:tc>
        <w:tc>
          <w:tcPr>
            <w:tcW w:w="553" w:type="pct"/>
            <w:hideMark/>
          </w:tcPr>
          <w:p w14:paraId="52264D68" w14:textId="6E2AFB01"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(.065)</w:t>
            </w:r>
          </w:p>
        </w:tc>
        <w:tc>
          <w:tcPr>
            <w:tcW w:w="553" w:type="pct"/>
            <w:hideMark/>
          </w:tcPr>
          <w:p w14:paraId="22748206" w14:textId="144C34A1"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(.026)</w:t>
            </w:r>
          </w:p>
        </w:tc>
        <w:tc>
          <w:tcPr>
            <w:tcW w:w="628" w:type="pct"/>
            <w:hideMark/>
          </w:tcPr>
          <w:p w14:paraId="6AACE197" w14:textId="71E3262F"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(.045)</w:t>
            </w:r>
          </w:p>
        </w:tc>
        <w:tc>
          <w:tcPr>
            <w:tcW w:w="643" w:type="pct"/>
            <w:hideMark/>
          </w:tcPr>
          <w:p w14:paraId="05574DA7" w14:textId="738E3BE9"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(.050)</w:t>
            </w:r>
          </w:p>
        </w:tc>
        <w:tc>
          <w:tcPr>
            <w:tcW w:w="644" w:type="pct"/>
            <w:hideMark/>
          </w:tcPr>
          <w:p w14:paraId="014AB373" w14:textId="1C5026D8"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(.035)</w:t>
            </w:r>
          </w:p>
        </w:tc>
      </w:tr>
      <w:tr w:rsidR="00D326A2" w:rsidRPr="002E4B8A" w14:paraId="78AE0C0C" w14:textId="77777777" w:rsidTr="00273B5A">
        <w:tc>
          <w:tcPr>
            <w:tcW w:w="874" w:type="pct"/>
            <w:hideMark/>
          </w:tcPr>
          <w:p w14:paraId="1A722D7E" w14:textId="3AF68407"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EPA - NO2 (t-1)</w:t>
            </w:r>
          </w:p>
        </w:tc>
        <w:tc>
          <w:tcPr>
            <w:tcW w:w="553" w:type="pct"/>
            <w:hideMark/>
          </w:tcPr>
          <w:p w14:paraId="2947EFA3" w14:textId="54D480AD"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-.773</w:t>
            </w:r>
          </w:p>
        </w:tc>
        <w:tc>
          <w:tcPr>
            <w:tcW w:w="553" w:type="pct"/>
            <w:hideMark/>
          </w:tcPr>
          <w:p w14:paraId="47C10C87" w14:textId="2C214217"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.766</w:t>
            </w:r>
          </w:p>
        </w:tc>
        <w:tc>
          <w:tcPr>
            <w:tcW w:w="553" w:type="pct"/>
            <w:hideMark/>
          </w:tcPr>
          <w:p w14:paraId="540A841A" w14:textId="2263C985"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.120</w:t>
            </w:r>
          </w:p>
        </w:tc>
        <w:tc>
          <w:tcPr>
            <w:tcW w:w="553" w:type="pct"/>
            <w:hideMark/>
          </w:tcPr>
          <w:p w14:paraId="327AAE91" w14:textId="714200AE"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.206***</w:t>
            </w:r>
          </w:p>
        </w:tc>
        <w:tc>
          <w:tcPr>
            <w:tcW w:w="628" w:type="pct"/>
          </w:tcPr>
          <w:p w14:paraId="2787B157" w14:textId="77777777" w:rsidR="00D326A2" w:rsidRPr="002E4B8A" w:rsidRDefault="00D326A2" w:rsidP="002E4B8A">
            <w:pPr>
              <w:widowControl w:val="0"/>
              <w:autoSpaceDE w:val="0"/>
              <w:autoSpaceDN w:val="0"/>
              <w:adjustRightInd w:val="0"/>
              <w:spacing w:line="240" w:lineRule="auto"/>
              <w:rPr>
                <w:rFonts w:eastAsia="DengXian" w:cs="Times New Roman"/>
                <w:sz w:val="20"/>
                <w:szCs w:val="20"/>
              </w:rPr>
            </w:pPr>
          </w:p>
        </w:tc>
        <w:tc>
          <w:tcPr>
            <w:tcW w:w="643" w:type="pct"/>
            <w:hideMark/>
          </w:tcPr>
          <w:p w14:paraId="1BAB2715" w14:textId="5A980DDD"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.116</w:t>
            </w:r>
          </w:p>
        </w:tc>
        <w:tc>
          <w:tcPr>
            <w:tcW w:w="644" w:type="pct"/>
            <w:hideMark/>
          </w:tcPr>
          <w:p w14:paraId="10070741" w14:textId="2A9DDEB8"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-.118</w:t>
            </w:r>
          </w:p>
        </w:tc>
      </w:tr>
      <w:tr w:rsidR="00D326A2" w:rsidRPr="002E4B8A" w14:paraId="0EEDE218" w14:textId="77777777" w:rsidTr="00273B5A">
        <w:tc>
          <w:tcPr>
            <w:tcW w:w="874" w:type="pct"/>
            <w:hideMark/>
          </w:tcPr>
          <w:p w14:paraId="4811147B" w14:textId="1E33E5C6" w:rsidR="00D326A2" w:rsidRPr="002E4B8A" w:rsidRDefault="00D326A2" w:rsidP="002E4B8A">
            <w:pPr>
              <w:widowControl w:val="0"/>
              <w:autoSpaceDE w:val="0"/>
              <w:autoSpaceDN w:val="0"/>
              <w:adjustRightInd w:val="0"/>
              <w:spacing w:line="240" w:lineRule="auto"/>
              <w:rPr>
                <w:rFonts w:eastAsia="DengXian" w:cs="Times New Roman"/>
                <w:sz w:val="20"/>
                <w:szCs w:val="20"/>
              </w:rPr>
            </w:pPr>
          </w:p>
        </w:tc>
        <w:tc>
          <w:tcPr>
            <w:tcW w:w="553" w:type="pct"/>
            <w:hideMark/>
          </w:tcPr>
          <w:p w14:paraId="524B90B8" w14:textId="37303D27"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(.690)</w:t>
            </w:r>
          </w:p>
        </w:tc>
        <w:tc>
          <w:tcPr>
            <w:tcW w:w="553" w:type="pct"/>
            <w:hideMark/>
          </w:tcPr>
          <w:p w14:paraId="37FBBB1C" w14:textId="6A936C1B"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(.479)</w:t>
            </w:r>
          </w:p>
        </w:tc>
        <w:tc>
          <w:tcPr>
            <w:tcW w:w="553" w:type="pct"/>
            <w:hideMark/>
          </w:tcPr>
          <w:p w14:paraId="4F45F9F6" w14:textId="255E859A"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(.512)</w:t>
            </w:r>
          </w:p>
        </w:tc>
        <w:tc>
          <w:tcPr>
            <w:tcW w:w="553" w:type="pct"/>
            <w:hideMark/>
          </w:tcPr>
          <w:p w14:paraId="4A933592" w14:textId="74A3ECED"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(.036)</w:t>
            </w:r>
          </w:p>
        </w:tc>
        <w:tc>
          <w:tcPr>
            <w:tcW w:w="628" w:type="pct"/>
          </w:tcPr>
          <w:p w14:paraId="0C7B0EC3" w14:textId="77777777" w:rsidR="00D326A2" w:rsidRPr="002E4B8A" w:rsidRDefault="00D326A2" w:rsidP="002E4B8A">
            <w:pPr>
              <w:widowControl w:val="0"/>
              <w:autoSpaceDE w:val="0"/>
              <w:autoSpaceDN w:val="0"/>
              <w:adjustRightInd w:val="0"/>
              <w:spacing w:line="240" w:lineRule="auto"/>
              <w:rPr>
                <w:rFonts w:eastAsia="DengXian" w:cs="Times New Roman"/>
                <w:sz w:val="20"/>
                <w:szCs w:val="20"/>
              </w:rPr>
            </w:pPr>
          </w:p>
        </w:tc>
        <w:tc>
          <w:tcPr>
            <w:tcW w:w="643" w:type="pct"/>
            <w:hideMark/>
          </w:tcPr>
          <w:p w14:paraId="67F217D1" w14:textId="62D512B4"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(.077)</w:t>
            </w:r>
          </w:p>
        </w:tc>
        <w:tc>
          <w:tcPr>
            <w:tcW w:w="644" w:type="pct"/>
            <w:hideMark/>
          </w:tcPr>
          <w:p w14:paraId="4D88A9FB" w14:textId="34297FCF"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(.165)</w:t>
            </w:r>
          </w:p>
        </w:tc>
      </w:tr>
      <w:tr w:rsidR="00D326A2" w:rsidRPr="002E4B8A" w14:paraId="5A36E5FC" w14:textId="77777777" w:rsidTr="00273B5A">
        <w:tc>
          <w:tcPr>
            <w:tcW w:w="874" w:type="pct"/>
            <w:hideMark/>
          </w:tcPr>
          <w:p w14:paraId="57077960" w14:textId="27B23D34"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EPA - Pb (t-1)</w:t>
            </w:r>
          </w:p>
        </w:tc>
        <w:tc>
          <w:tcPr>
            <w:tcW w:w="553" w:type="pct"/>
            <w:hideMark/>
          </w:tcPr>
          <w:p w14:paraId="54C83CBA" w14:textId="096EED5F"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-.923***</w:t>
            </w:r>
          </w:p>
        </w:tc>
        <w:tc>
          <w:tcPr>
            <w:tcW w:w="553" w:type="pct"/>
            <w:hideMark/>
          </w:tcPr>
          <w:p w14:paraId="20CE9825" w14:textId="34A727CB"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-.267</w:t>
            </w:r>
          </w:p>
        </w:tc>
        <w:tc>
          <w:tcPr>
            <w:tcW w:w="553" w:type="pct"/>
            <w:hideMark/>
          </w:tcPr>
          <w:p w14:paraId="30AF7E7C" w14:textId="72754F4B"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.036</w:t>
            </w:r>
          </w:p>
        </w:tc>
        <w:tc>
          <w:tcPr>
            <w:tcW w:w="553" w:type="pct"/>
            <w:hideMark/>
          </w:tcPr>
          <w:p w14:paraId="579439FB" w14:textId="0F6A0C05"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-.309</w:t>
            </w:r>
          </w:p>
        </w:tc>
        <w:tc>
          <w:tcPr>
            <w:tcW w:w="628" w:type="pct"/>
            <w:hideMark/>
          </w:tcPr>
          <w:p w14:paraId="6C813157" w14:textId="541E503D"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-.583**</w:t>
            </w:r>
          </w:p>
        </w:tc>
        <w:tc>
          <w:tcPr>
            <w:tcW w:w="643" w:type="pct"/>
            <w:hideMark/>
          </w:tcPr>
          <w:p w14:paraId="334ECAAC" w14:textId="3749540C"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-.238</w:t>
            </w:r>
          </w:p>
        </w:tc>
        <w:tc>
          <w:tcPr>
            <w:tcW w:w="644" w:type="pct"/>
            <w:hideMark/>
          </w:tcPr>
          <w:p w14:paraId="70C1E9E5" w14:textId="720CAE8B"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-.660*</w:t>
            </w:r>
          </w:p>
        </w:tc>
      </w:tr>
      <w:tr w:rsidR="00D326A2" w:rsidRPr="002E4B8A" w14:paraId="6BDC83A8" w14:textId="77777777" w:rsidTr="00273B5A">
        <w:tc>
          <w:tcPr>
            <w:tcW w:w="874" w:type="pct"/>
            <w:hideMark/>
          </w:tcPr>
          <w:p w14:paraId="0721CEB0" w14:textId="7BE2AE55" w:rsidR="00D326A2" w:rsidRPr="002E4B8A" w:rsidRDefault="00D326A2" w:rsidP="002E4B8A">
            <w:pPr>
              <w:widowControl w:val="0"/>
              <w:autoSpaceDE w:val="0"/>
              <w:autoSpaceDN w:val="0"/>
              <w:adjustRightInd w:val="0"/>
              <w:spacing w:line="240" w:lineRule="auto"/>
              <w:rPr>
                <w:rFonts w:eastAsia="DengXian" w:cs="Times New Roman"/>
                <w:sz w:val="20"/>
                <w:szCs w:val="20"/>
              </w:rPr>
            </w:pPr>
          </w:p>
        </w:tc>
        <w:tc>
          <w:tcPr>
            <w:tcW w:w="553" w:type="pct"/>
            <w:hideMark/>
          </w:tcPr>
          <w:p w14:paraId="3702FD1F" w14:textId="289E3292"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(.234)</w:t>
            </w:r>
          </w:p>
        </w:tc>
        <w:tc>
          <w:tcPr>
            <w:tcW w:w="553" w:type="pct"/>
            <w:hideMark/>
          </w:tcPr>
          <w:p w14:paraId="08B5572C" w14:textId="3C4D713F"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(.548)</w:t>
            </w:r>
          </w:p>
        </w:tc>
        <w:tc>
          <w:tcPr>
            <w:tcW w:w="553" w:type="pct"/>
            <w:hideMark/>
          </w:tcPr>
          <w:p w14:paraId="2FDDDC59" w14:textId="6C667399"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(.448)</w:t>
            </w:r>
          </w:p>
        </w:tc>
        <w:tc>
          <w:tcPr>
            <w:tcW w:w="553" w:type="pct"/>
            <w:hideMark/>
          </w:tcPr>
          <w:p w14:paraId="6D5AFFFF" w14:textId="48AA90B8"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(.260)</w:t>
            </w:r>
          </w:p>
        </w:tc>
        <w:tc>
          <w:tcPr>
            <w:tcW w:w="628" w:type="pct"/>
            <w:hideMark/>
          </w:tcPr>
          <w:p w14:paraId="571BC648" w14:textId="7F8CBF46"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(.287)</w:t>
            </w:r>
          </w:p>
        </w:tc>
        <w:tc>
          <w:tcPr>
            <w:tcW w:w="643" w:type="pct"/>
            <w:hideMark/>
          </w:tcPr>
          <w:p w14:paraId="5F92A0AE" w14:textId="2EE4AD08"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(.297)</w:t>
            </w:r>
          </w:p>
        </w:tc>
        <w:tc>
          <w:tcPr>
            <w:tcW w:w="644" w:type="pct"/>
            <w:hideMark/>
          </w:tcPr>
          <w:p w14:paraId="172B1BF7" w14:textId="2A7C9E6F"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(.355)</w:t>
            </w:r>
          </w:p>
        </w:tc>
      </w:tr>
      <w:tr w:rsidR="00D326A2" w:rsidRPr="002E4B8A" w14:paraId="3E56EC22" w14:textId="77777777" w:rsidTr="00273B5A">
        <w:tc>
          <w:tcPr>
            <w:tcW w:w="874" w:type="pct"/>
            <w:hideMark/>
          </w:tcPr>
          <w:p w14:paraId="05B3B554" w14:textId="3510D396"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EPA - CO (t-1)</w:t>
            </w:r>
          </w:p>
        </w:tc>
        <w:tc>
          <w:tcPr>
            <w:tcW w:w="553" w:type="pct"/>
            <w:hideMark/>
          </w:tcPr>
          <w:p w14:paraId="5A3FFD34" w14:textId="19E97009"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.049</w:t>
            </w:r>
          </w:p>
        </w:tc>
        <w:tc>
          <w:tcPr>
            <w:tcW w:w="553" w:type="pct"/>
            <w:hideMark/>
          </w:tcPr>
          <w:p w14:paraId="63E19BBD" w14:textId="4B5FD520"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.739**</w:t>
            </w:r>
          </w:p>
        </w:tc>
        <w:tc>
          <w:tcPr>
            <w:tcW w:w="553" w:type="pct"/>
            <w:hideMark/>
          </w:tcPr>
          <w:p w14:paraId="6120986B" w14:textId="5AF12EBF"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.234</w:t>
            </w:r>
          </w:p>
        </w:tc>
        <w:tc>
          <w:tcPr>
            <w:tcW w:w="553" w:type="pct"/>
            <w:hideMark/>
          </w:tcPr>
          <w:p w14:paraId="3A843D41" w14:textId="38FD0433"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.074</w:t>
            </w:r>
          </w:p>
        </w:tc>
        <w:tc>
          <w:tcPr>
            <w:tcW w:w="628" w:type="pct"/>
            <w:hideMark/>
          </w:tcPr>
          <w:p w14:paraId="7E2EAE2B" w14:textId="659B0A19"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.145</w:t>
            </w:r>
          </w:p>
        </w:tc>
        <w:tc>
          <w:tcPr>
            <w:tcW w:w="643" w:type="pct"/>
            <w:hideMark/>
          </w:tcPr>
          <w:p w14:paraId="5FDC935E" w14:textId="4E1BB790"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.079</w:t>
            </w:r>
          </w:p>
        </w:tc>
        <w:tc>
          <w:tcPr>
            <w:tcW w:w="644" w:type="pct"/>
            <w:hideMark/>
          </w:tcPr>
          <w:p w14:paraId="2C0E5EC8" w14:textId="7851B72B" w:rsidR="00D326A2" w:rsidRPr="002E4B8A" w:rsidRDefault="00D326A2"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-.128</w:t>
            </w:r>
          </w:p>
        </w:tc>
      </w:tr>
      <w:tr w:rsidR="00D326A2" w:rsidRPr="002E4B8A" w14:paraId="6ABE0257" w14:textId="77777777" w:rsidTr="00273B5A">
        <w:tc>
          <w:tcPr>
            <w:tcW w:w="874" w:type="pct"/>
            <w:hideMark/>
          </w:tcPr>
          <w:p w14:paraId="27ADA726" w14:textId="3F45FEF2" w:rsidR="005E02DB" w:rsidRPr="002E4B8A" w:rsidRDefault="005E02DB" w:rsidP="002E4B8A">
            <w:pPr>
              <w:widowControl w:val="0"/>
              <w:autoSpaceDE w:val="0"/>
              <w:autoSpaceDN w:val="0"/>
              <w:adjustRightInd w:val="0"/>
              <w:spacing w:line="240" w:lineRule="auto"/>
              <w:rPr>
                <w:rFonts w:eastAsia="DengXian" w:cs="Times New Roman"/>
                <w:sz w:val="20"/>
                <w:szCs w:val="20"/>
              </w:rPr>
            </w:pPr>
          </w:p>
        </w:tc>
        <w:tc>
          <w:tcPr>
            <w:tcW w:w="553" w:type="pct"/>
            <w:hideMark/>
          </w:tcPr>
          <w:p w14:paraId="4BF22BA1" w14:textId="47A55ECC"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(.199)</w:t>
            </w:r>
          </w:p>
        </w:tc>
        <w:tc>
          <w:tcPr>
            <w:tcW w:w="553" w:type="pct"/>
            <w:hideMark/>
          </w:tcPr>
          <w:p w14:paraId="24809CA0" w14:textId="687395AD"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(.372)</w:t>
            </w:r>
          </w:p>
        </w:tc>
        <w:tc>
          <w:tcPr>
            <w:tcW w:w="553" w:type="pct"/>
            <w:hideMark/>
          </w:tcPr>
          <w:p w14:paraId="7505777F" w14:textId="2652E042"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(.2</w:t>
            </w:r>
            <w:r w:rsidR="0058503B" w:rsidRPr="002E4B8A">
              <w:rPr>
                <w:rFonts w:eastAsia="DengXian" w:cs="Times New Roman"/>
                <w:sz w:val="20"/>
                <w:szCs w:val="20"/>
              </w:rPr>
              <w:t>20</w:t>
            </w:r>
            <w:r w:rsidRPr="002E4B8A">
              <w:rPr>
                <w:rFonts w:eastAsia="DengXian" w:cs="Times New Roman"/>
                <w:sz w:val="20"/>
                <w:szCs w:val="20"/>
              </w:rPr>
              <w:t>)</w:t>
            </w:r>
          </w:p>
        </w:tc>
        <w:tc>
          <w:tcPr>
            <w:tcW w:w="553" w:type="pct"/>
            <w:hideMark/>
          </w:tcPr>
          <w:p w14:paraId="6DC62703" w14:textId="07C0FC74"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(.07</w:t>
            </w:r>
            <w:r w:rsidR="0058503B" w:rsidRPr="002E4B8A">
              <w:rPr>
                <w:rFonts w:eastAsia="DengXian" w:cs="Times New Roman"/>
                <w:sz w:val="20"/>
                <w:szCs w:val="20"/>
              </w:rPr>
              <w:t>6</w:t>
            </w:r>
            <w:r w:rsidRPr="002E4B8A">
              <w:rPr>
                <w:rFonts w:eastAsia="DengXian" w:cs="Times New Roman"/>
                <w:sz w:val="20"/>
                <w:szCs w:val="20"/>
              </w:rPr>
              <w:t>)</w:t>
            </w:r>
          </w:p>
        </w:tc>
        <w:tc>
          <w:tcPr>
            <w:tcW w:w="628" w:type="pct"/>
            <w:hideMark/>
          </w:tcPr>
          <w:p w14:paraId="65D3A33C" w14:textId="5CC30D43"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(.12</w:t>
            </w:r>
            <w:r w:rsidR="0058503B" w:rsidRPr="002E4B8A">
              <w:rPr>
                <w:rFonts w:eastAsia="DengXian" w:cs="Times New Roman"/>
                <w:sz w:val="20"/>
                <w:szCs w:val="20"/>
              </w:rPr>
              <w:t>3</w:t>
            </w:r>
            <w:r w:rsidRPr="002E4B8A">
              <w:rPr>
                <w:rFonts w:eastAsia="DengXian" w:cs="Times New Roman"/>
                <w:sz w:val="20"/>
                <w:szCs w:val="20"/>
              </w:rPr>
              <w:t>)</w:t>
            </w:r>
          </w:p>
        </w:tc>
        <w:tc>
          <w:tcPr>
            <w:tcW w:w="643" w:type="pct"/>
            <w:hideMark/>
          </w:tcPr>
          <w:p w14:paraId="032A2C76" w14:textId="658151F1"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(.074)</w:t>
            </w:r>
          </w:p>
        </w:tc>
        <w:tc>
          <w:tcPr>
            <w:tcW w:w="644" w:type="pct"/>
            <w:hideMark/>
          </w:tcPr>
          <w:p w14:paraId="03F8616B" w14:textId="670EAE1F"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(.16</w:t>
            </w:r>
            <w:r w:rsidR="0058503B" w:rsidRPr="002E4B8A">
              <w:rPr>
                <w:rFonts w:eastAsia="DengXian" w:cs="Times New Roman"/>
                <w:sz w:val="20"/>
                <w:szCs w:val="20"/>
              </w:rPr>
              <w:t>8</w:t>
            </w:r>
            <w:r w:rsidRPr="002E4B8A">
              <w:rPr>
                <w:rFonts w:eastAsia="DengXian" w:cs="Times New Roman"/>
                <w:sz w:val="20"/>
                <w:szCs w:val="20"/>
              </w:rPr>
              <w:t>)</w:t>
            </w:r>
          </w:p>
        </w:tc>
      </w:tr>
      <w:tr w:rsidR="00D326A2" w:rsidRPr="002E4B8A" w14:paraId="1E0B2CC0" w14:textId="77777777" w:rsidTr="00273B5A">
        <w:tc>
          <w:tcPr>
            <w:tcW w:w="874" w:type="pct"/>
            <w:hideMark/>
          </w:tcPr>
          <w:p w14:paraId="166CA47B" w14:textId="6D815143" w:rsidR="005E02DB" w:rsidRPr="002E4B8A" w:rsidRDefault="00346227" w:rsidP="002E4B8A">
            <w:pPr>
              <w:widowControl w:val="0"/>
              <w:autoSpaceDE w:val="0"/>
              <w:autoSpaceDN w:val="0"/>
              <w:adjustRightInd w:val="0"/>
              <w:spacing w:line="240" w:lineRule="auto"/>
              <w:rPr>
                <w:rFonts w:eastAsia="DengXian" w:cs="Times New Roman"/>
                <w:sz w:val="20"/>
                <w:szCs w:val="20"/>
              </w:rPr>
            </w:pPr>
            <w:r>
              <w:rPr>
                <w:rFonts w:eastAsia="DengXian" w:cs="Times New Roman"/>
                <w:sz w:val="20"/>
                <w:szCs w:val="20"/>
              </w:rPr>
              <w:t xml:space="preserve">Broad </w:t>
            </w:r>
            <w:r w:rsidR="005E02DB" w:rsidRPr="002E4B8A">
              <w:rPr>
                <w:rFonts w:eastAsia="DengXian" w:cs="Times New Roman"/>
                <w:sz w:val="20"/>
                <w:szCs w:val="20"/>
              </w:rPr>
              <w:t>PAD</w:t>
            </w:r>
            <w:r>
              <w:rPr>
                <w:rFonts w:eastAsia="DengXian" w:cs="Times New Roman"/>
                <w:sz w:val="20"/>
                <w:szCs w:val="20"/>
              </w:rPr>
              <w:t>s</w:t>
            </w:r>
            <w:r w:rsidR="005E02DB" w:rsidRPr="002E4B8A">
              <w:rPr>
                <w:rFonts w:eastAsia="DengXian" w:cs="Times New Roman"/>
                <w:sz w:val="20"/>
                <w:szCs w:val="20"/>
              </w:rPr>
              <w:t xml:space="preserve"> (t-1)</w:t>
            </w:r>
          </w:p>
        </w:tc>
        <w:tc>
          <w:tcPr>
            <w:tcW w:w="553" w:type="pct"/>
            <w:hideMark/>
          </w:tcPr>
          <w:p w14:paraId="60EEC7EA" w14:textId="643B72C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1.103</w:t>
            </w:r>
          </w:p>
        </w:tc>
        <w:tc>
          <w:tcPr>
            <w:tcW w:w="553" w:type="pct"/>
            <w:hideMark/>
          </w:tcPr>
          <w:p w14:paraId="437855EB" w14:textId="401DC3BC"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-7.65</w:t>
            </w:r>
            <w:r w:rsidR="0058503B" w:rsidRPr="002E4B8A">
              <w:rPr>
                <w:rFonts w:eastAsia="DengXian" w:cs="Times New Roman"/>
                <w:sz w:val="20"/>
                <w:szCs w:val="20"/>
              </w:rPr>
              <w:t>3</w:t>
            </w:r>
            <w:r w:rsidRPr="002E4B8A">
              <w:rPr>
                <w:rFonts w:eastAsia="DengXian" w:cs="Times New Roman"/>
                <w:sz w:val="20"/>
                <w:szCs w:val="20"/>
              </w:rPr>
              <w:t>***</w:t>
            </w:r>
          </w:p>
        </w:tc>
        <w:tc>
          <w:tcPr>
            <w:tcW w:w="553" w:type="pct"/>
            <w:hideMark/>
          </w:tcPr>
          <w:p w14:paraId="7A84E026" w14:textId="399CBA52"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7.910***</w:t>
            </w:r>
          </w:p>
        </w:tc>
        <w:tc>
          <w:tcPr>
            <w:tcW w:w="553" w:type="pct"/>
            <w:hideMark/>
          </w:tcPr>
          <w:p w14:paraId="56981275" w14:textId="03053204"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-1.713*</w:t>
            </w:r>
          </w:p>
        </w:tc>
        <w:tc>
          <w:tcPr>
            <w:tcW w:w="628" w:type="pct"/>
            <w:hideMark/>
          </w:tcPr>
          <w:p w14:paraId="2308E7B3" w14:textId="5678DA45"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-2.83</w:t>
            </w:r>
            <w:r w:rsidR="0058503B" w:rsidRPr="002E4B8A">
              <w:rPr>
                <w:rFonts w:eastAsia="DengXian" w:cs="Times New Roman"/>
                <w:sz w:val="20"/>
                <w:szCs w:val="20"/>
              </w:rPr>
              <w:t>6</w:t>
            </w:r>
            <w:r w:rsidRPr="002E4B8A">
              <w:rPr>
                <w:rFonts w:eastAsia="DengXian" w:cs="Times New Roman"/>
                <w:sz w:val="20"/>
                <w:szCs w:val="20"/>
              </w:rPr>
              <w:t>*</w:t>
            </w:r>
          </w:p>
        </w:tc>
        <w:tc>
          <w:tcPr>
            <w:tcW w:w="643" w:type="pct"/>
            <w:hideMark/>
          </w:tcPr>
          <w:p w14:paraId="27AD85A9" w14:textId="5E26BC7E"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.676</w:t>
            </w:r>
          </w:p>
        </w:tc>
        <w:tc>
          <w:tcPr>
            <w:tcW w:w="644" w:type="pct"/>
            <w:hideMark/>
          </w:tcPr>
          <w:p w14:paraId="46ED70BF" w14:textId="2954392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1.555</w:t>
            </w:r>
          </w:p>
        </w:tc>
      </w:tr>
      <w:tr w:rsidR="00D326A2" w:rsidRPr="002E4B8A" w14:paraId="37A61F14" w14:textId="77777777" w:rsidTr="00273B5A">
        <w:tc>
          <w:tcPr>
            <w:tcW w:w="874" w:type="pct"/>
            <w:hideMark/>
          </w:tcPr>
          <w:p w14:paraId="2DC081AA" w14:textId="24E33C9A" w:rsidR="005E02DB" w:rsidRPr="002E4B8A" w:rsidRDefault="005E02DB" w:rsidP="002E4B8A">
            <w:pPr>
              <w:widowControl w:val="0"/>
              <w:autoSpaceDE w:val="0"/>
              <w:autoSpaceDN w:val="0"/>
              <w:adjustRightInd w:val="0"/>
              <w:spacing w:line="240" w:lineRule="auto"/>
              <w:rPr>
                <w:rFonts w:eastAsia="DengXian" w:cs="Times New Roman"/>
                <w:sz w:val="20"/>
                <w:szCs w:val="20"/>
              </w:rPr>
            </w:pPr>
          </w:p>
        </w:tc>
        <w:tc>
          <w:tcPr>
            <w:tcW w:w="553" w:type="pct"/>
            <w:hideMark/>
          </w:tcPr>
          <w:p w14:paraId="4D3B2E46" w14:textId="2D29AA28"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(1.56</w:t>
            </w:r>
            <w:r w:rsidR="00AA37ED" w:rsidRPr="002E4B8A">
              <w:rPr>
                <w:rFonts w:eastAsia="DengXian" w:cs="Times New Roman"/>
                <w:sz w:val="20"/>
                <w:szCs w:val="20"/>
              </w:rPr>
              <w:t>9</w:t>
            </w:r>
            <w:r w:rsidRPr="002E4B8A">
              <w:rPr>
                <w:rFonts w:eastAsia="DengXian" w:cs="Times New Roman"/>
                <w:sz w:val="20"/>
                <w:szCs w:val="20"/>
              </w:rPr>
              <w:t>)</w:t>
            </w:r>
          </w:p>
        </w:tc>
        <w:tc>
          <w:tcPr>
            <w:tcW w:w="553" w:type="pct"/>
            <w:hideMark/>
          </w:tcPr>
          <w:p w14:paraId="726B1343" w14:textId="16AE59EF"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(2.39</w:t>
            </w:r>
            <w:r w:rsidR="0058503B" w:rsidRPr="002E4B8A">
              <w:rPr>
                <w:rFonts w:eastAsia="DengXian" w:cs="Times New Roman"/>
                <w:sz w:val="20"/>
                <w:szCs w:val="20"/>
              </w:rPr>
              <w:t>8</w:t>
            </w:r>
            <w:r w:rsidRPr="002E4B8A">
              <w:rPr>
                <w:rFonts w:eastAsia="DengXian" w:cs="Times New Roman"/>
                <w:sz w:val="20"/>
                <w:szCs w:val="20"/>
              </w:rPr>
              <w:t>)</w:t>
            </w:r>
          </w:p>
        </w:tc>
        <w:tc>
          <w:tcPr>
            <w:tcW w:w="553" w:type="pct"/>
            <w:hideMark/>
          </w:tcPr>
          <w:p w14:paraId="10CED765" w14:textId="3387D42C"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(2.003)</w:t>
            </w:r>
          </w:p>
        </w:tc>
        <w:tc>
          <w:tcPr>
            <w:tcW w:w="553" w:type="pct"/>
            <w:hideMark/>
          </w:tcPr>
          <w:p w14:paraId="6A2A0073" w14:textId="6A63F48B"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(.896)</w:t>
            </w:r>
          </w:p>
        </w:tc>
        <w:tc>
          <w:tcPr>
            <w:tcW w:w="628" w:type="pct"/>
            <w:hideMark/>
          </w:tcPr>
          <w:p w14:paraId="686035E9" w14:textId="15B2553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(1.49</w:t>
            </w:r>
            <w:r w:rsidR="0058503B" w:rsidRPr="002E4B8A">
              <w:rPr>
                <w:rFonts w:eastAsia="DengXian" w:cs="Times New Roman"/>
                <w:sz w:val="20"/>
                <w:szCs w:val="20"/>
              </w:rPr>
              <w:t>1</w:t>
            </w:r>
            <w:r w:rsidRPr="002E4B8A">
              <w:rPr>
                <w:rFonts w:eastAsia="DengXian" w:cs="Times New Roman"/>
                <w:sz w:val="20"/>
                <w:szCs w:val="20"/>
              </w:rPr>
              <w:t>)</w:t>
            </w:r>
          </w:p>
        </w:tc>
        <w:tc>
          <w:tcPr>
            <w:tcW w:w="643" w:type="pct"/>
            <w:hideMark/>
          </w:tcPr>
          <w:p w14:paraId="4E010855" w14:textId="79712C5A"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(.859)</w:t>
            </w:r>
          </w:p>
        </w:tc>
        <w:tc>
          <w:tcPr>
            <w:tcW w:w="644" w:type="pct"/>
            <w:hideMark/>
          </w:tcPr>
          <w:p w14:paraId="18A972CF" w14:textId="458B804D"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(1.69</w:t>
            </w:r>
            <w:r w:rsidR="0058503B" w:rsidRPr="002E4B8A">
              <w:rPr>
                <w:rFonts w:eastAsia="DengXian" w:cs="Times New Roman"/>
                <w:sz w:val="20"/>
                <w:szCs w:val="20"/>
              </w:rPr>
              <w:t>9</w:t>
            </w:r>
            <w:r w:rsidRPr="002E4B8A">
              <w:rPr>
                <w:rFonts w:eastAsia="DengXian" w:cs="Times New Roman"/>
                <w:sz w:val="20"/>
                <w:szCs w:val="20"/>
              </w:rPr>
              <w:t>)</w:t>
            </w:r>
          </w:p>
        </w:tc>
      </w:tr>
      <w:tr w:rsidR="00D326A2" w:rsidRPr="002E4B8A" w14:paraId="44E1647C" w14:textId="77777777" w:rsidTr="00273B5A">
        <w:tc>
          <w:tcPr>
            <w:tcW w:w="874" w:type="pct"/>
            <w:hideMark/>
          </w:tcPr>
          <w:p w14:paraId="7B031EB9" w14:textId="7777777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PAD Squared</w:t>
            </w:r>
          </w:p>
        </w:tc>
        <w:tc>
          <w:tcPr>
            <w:tcW w:w="553" w:type="pct"/>
            <w:hideMark/>
          </w:tcPr>
          <w:p w14:paraId="41BEA4F4" w14:textId="7B890390"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-3.52</w:t>
            </w:r>
            <w:r w:rsidR="00AA37ED" w:rsidRPr="002E4B8A">
              <w:rPr>
                <w:rFonts w:eastAsia="DengXian" w:cs="Times New Roman"/>
                <w:sz w:val="20"/>
                <w:szCs w:val="20"/>
              </w:rPr>
              <w:t>8</w:t>
            </w:r>
            <w:r w:rsidRPr="002E4B8A">
              <w:rPr>
                <w:rFonts w:eastAsia="DengXian" w:cs="Times New Roman"/>
                <w:sz w:val="20"/>
                <w:szCs w:val="20"/>
              </w:rPr>
              <w:t>*</w:t>
            </w:r>
          </w:p>
        </w:tc>
        <w:tc>
          <w:tcPr>
            <w:tcW w:w="553" w:type="pct"/>
            <w:hideMark/>
          </w:tcPr>
          <w:p w14:paraId="49CB0752" w14:textId="1B9BBFA6"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7.766***</w:t>
            </w:r>
          </w:p>
        </w:tc>
        <w:tc>
          <w:tcPr>
            <w:tcW w:w="553" w:type="pct"/>
            <w:hideMark/>
          </w:tcPr>
          <w:p w14:paraId="0CE4B719" w14:textId="722F3E19"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-7.146***</w:t>
            </w:r>
          </w:p>
        </w:tc>
        <w:tc>
          <w:tcPr>
            <w:tcW w:w="553" w:type="pct"/>
            <w:hideMark/>
          </w:tcPr>
          <w:p w14:paraId="3D50F98C" w14:textId="5A070E0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1.359</w:t>
            </w:r>
          </w:p>
        </w:tc>
        <w:tc>
          <w:tcPr>
            <w:tcW w:w="628" w:type="pct"/>
            <w:hideMark/>
          </w:tcPr>
          <w:p w14:paraId="668243ED" w14:textId="678EB7D6"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1.05</w:t>
            </w:r>
            <w:r w:rsidR="0058503B" w:rsidRPr="002E4B8A">
              <w:rPr>
                <w:rFonts w:eastAsia="DengXian" w:cs="Times New Roman"/>
                <w:sz w:val="20"/>
                <w:szCs w:val="20"/>
              </w:rPr>
              <w:t>5</w:t>
            </w:r>
          </w:p>
        </w:tc>
        <w:tc>
          <w:tcPr>
            <w:tcW w:w="643" w:type="pct"/>
            <w:hideMark/>
          </w:tcPr>
          <w:p w14:paraId="2E74D3A9" w14:textId="1D9F208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.340</w:t>
            </w:r>
          </w:p>
        </w:tc>
        <w:tc>
          <w:tcPr>
            <w:tcW w:w="644" w:type="pct"/>
            <w:hideMark/>
          </w:tcPr>
          <w:p w14:paraId="52E8B7D6" w14:textId="12DAAC4A"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-1.281</w:t>
            </w:r>
          </w:p>
        </w:tc>
      </w:tr>
      <w:tr w:rsidR="00D326A2" w:rsidRPr="002E4B8A" w14:paraId="44D35D7D" w14:textId="77777777" w:rsidTr="00273B5A">
        <w:tc>
          <w:tcPr>
            <w:tcW w:w="874" w:type="pct"/>
            <w:hideMark/>
          </w:tcPr>
          <w:p w14:paraId="15D8B76D" w14:textId="3C98B60A" w:rsidR="005E02DB" w:rsidRPr="002E4B8A" w:rsidRDefault="005E02DB" w:rsidP="002E4B8A">
            <w:pPr>
              <w:widowControl w:val="0"/>
              <w:autoSpaceDE w:val="0"/>
              <w:autoSpaceDN w:val="0"/>
              <w:adjustRightInd w:val="0"/>
              <w:spacing w:line="240" w:lineRule="auto"/>
              <w:rPr>
                <w:rFonts w:eastAsia="DengXian" w:cs="Times New Roman"/>
                <w:sz w:val="20"/>
                <w:szCs w:val="20"/>
              </w:rPr>
            </w:pPr>
          </w:p>
        </w:tc>
        <w:tc>
          <w:tcPr>
            <w:tcW w:w="553" w:type="pct"/>
            <w:hideMark/>
          </w:tcPr>
          <w:p w14:paraId="360183ED" w14:textId="691B6CBD"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(1.88</w:t>
            </w:r>
            <w:r w:rsidR="00AA37ED" w:rsidRPr="002E4B8A">
              <w:rPr>
                <w:rFonts w:eastAsia="DengXian" w:cs="Times New Roman"/>
                <w:sz w:val="20"/>
                <w:szCs w:val="20"/>
              </w:rPr>
              <w:t>2</w:t>
            </w:r>
            <w:r w:rsidRPr="002E4B8A">
              <w:rPr>
                <w:rFonts w:eastAsia="DengXian" w:cs="Times New Roman"/>
                <w:sz w:val="20"/>
                <w:szCs w:val="20"/>
              </w:rPr>
              <w:t>)</w:t>
            </w:r>
          </w:p>
        </w:tc>
        <w:tc>
          <w:tcPr>
            <w:tcW w:w="553" w:type="pct"/>
            <w:hideMark/>
          </w:tcPr>
          <w:p w14:paraId="732EDED4" w14:textId="71C55C24"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(2.51</w:t>
            </w:r>
            <w:r w:rsidR="0058503B" w:rsidRPr="002E4B8A">
              <w:rPr>
                <w:rFonts w:eastAsia="DengXian" w:cs="Times New Roman"/>
                <w:sz w:val="20"/>
                <w:szCs w:val="20"/>
              </w:rPr>
              <w:t>4</w:t>
            </w:r>
            <w:r w:rsidRPr="002E4B8A">
              <w:rPr>
                <w:rFonts w:eastAsia="DengXian" w:cs="Times New Roman"/>
                <w:sz w:val="20"/>
                <w:szCs w:val="20"/>
              </w:rPr>
              <w:t>)</w:t>
            </w:r>
          </w:p>
        </w:tc>
        <w:tc>
          <w:tcPr>
            <w:tcW w:w="553" w:type="pct"/>
            <w:hideMark/>
          </w:tcPr>
          <w:p w14:paraId="68277302" w14:textId="113FFA3B"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(2.020)</w:t>
            </w:r>
          </w:p>
        </w:tc>
        <w:tc>
          <w:tcPr>
            <w:tcW w:w="553" w:type="pct"/>
            <w:hideMark/>
          </w:tcPr>
          <w:p w14:paraId="4C7407A4" w14:textId="51072141"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(.87</w:t>
            </w:r>
            <w:r w:rsidR="0058503B" w:rsidRPr="002E4B8A">
              <w:rPr>
                <w:rFonts w:eastAsia="DengXian" w:cs="Times New Roman"/>
                <w:sz w:val="20"/>
                <w:szCs w:val="20"/>
              </w:rPr>
              <w:t>5</w:t>
            </w:r>
            <w:r w:rsidRPr="002E4B8A">
              <w:rPr>
                <w:rFonts w:eastAsia="DengXian" w:cs="Times New Roman"/>
                <w:sz w:val="20"/>
                <w:szCs w:val="20"/>
              </w:rPr>
              <w:t>)</w:t>
            </w:r>
          </w:p>
        </w:tc>
        <w:tc>
          <w:tcPr>
            <w:tcW w:w="628" w:type="pct"/>
            <w:hideMark/>
          </w:tcPr>
          <w:p w14:paraId="1A55F858" w14:textId="148279A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(1.820)</w:t>
            </w:r>
          </w:p>
        </w:tc>
        <w:tc>
          <w:tcPr>
            <w:tcW w:w="643" w:type="pct"/>
            <w:hideMark/>
          </w:tcPr>
          <w:p w14:paraId="6F2512AB" w14:textId="17C512B1"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(1.05</w:t>
            </w:r>
            <w:r w:rsidR="0058503B" w:rsidRPr="002E4B8A">
              <w:rPr>
                <w:rFonts w:eastAsia="DengXian" w:cs="Times New Roman"/>
                <w:sz w:val="20"/>
                <w:szCs w:val="20"/>
              </w:rPr>
              <w:t>6</w:t>
            </w:r>
            <w:r w:rsidRPr="002E4B8A">
              <w:rPr>
                <w:rFonts w:eastAsia="DengXian" w:cs="Times New Roman"/>
                <w:sz w:val="20"/>
                <w:szCs w:val="20"/>
              </w:rPr>
              <w:t>)</w:t>
            </w:r>
          </w:p>
        </w:tc>
        <w:tc>
          <w:tcPr>
            <w:tcW w:w="644" w:type="pct"/>
            <w:hideMark/>
          </w:tcPr>
          <w:p w14:paraId="7C4A2DFE" w14:textId="6790DD46"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(1.923)</w:t>
            </w:r>
          </w:p>
        </w:tc>
      </w:tr>
      <w:tr w:rsidR="00D326A2" w:rsidRPr="002E4B8A" w14:paraId="42DDDF4A" w14:textId="77777777" w:rsidTr="00273B5A">
        <w:tc>
          <w:tcPr>
            <w:tcW w:w="874" w:type="pct"/>
            <w:hideMark/>
          </w:tcPr>
          <w:p w14:paraId="7BB653C2" w14:textId="18572B58"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 xml:space="preserve">Prior </w:t>
            </w:r>
            <w:proofErr w:type="spellStart"/>
            <w:r w:rsidRPr="002E4B8A">
              <w:rPr>
                <w:rFonts w:eastAsia="DengXian" w:cs="Times New Roman"/>
                <w:sz w:val="20"/>
                <w:szCs w:val="20"/>
              </w:rPr>
              <w:t>Estab</w:t>
            </w:r>
            <w:proofErr w:type="spellEnd"/>
            <w:r w:rsidRPr="002E4B8A">
              <w:rPr>
                <w:rFonts w:eastAsia="DengXian" w:cs="Times New Roman"/>
                <w:sz w:val="20"/>
                <w:szCs w:val="20"/>
              </w:rPr>
              <w:t xml:space="preserve"> (10k</w:t>
            </w:r>
            <w:r w:rsidR="00346227">
              <w:rPr>
                <w:rFonts w:eastAsia="DengXian" w:cs="Times New Roman"/>
                <w:sz w:val="20"/>
                <w:szCs w:val="20"/>
              </w:rPr>
              <w:t>s</w:t>
            </w:r>
            <w:r w:rsidRPr="002E4B8A">
              <w:rPr>
                <w:rFonts w:eastAsia="DengXian" w:cs="Times New Roman"/>
                <w:sz w:val="20"/>
                <w:szCs w:val="20"/>
              </w:rPr>
              <w:t>)</w:t>
            </w:r>
          </w:p>
        </w:tc>
        <w:tc>
          <w:tcPr>
            <w:tcW w:w="553" w:type="pct"/>
            <w:hideMark/>
          </w:tcPr>
          <w:p w14:paraId="1CB82108" w14:textId="1CFCF5F9"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9.86</w:t>
            </w:r>
            <w:r w:rsidR="00AA37ED" w:rsidRPr="002E4B8A">
              <w:rPr>
                <w:rFonts w:eastAsia="DengXian" w:cs="Times New Roman"/>
                <w:sz w:val="20"/>
                <w:szCs w:val="20"/>
              </w:rPr>
              <w:t>3</w:t>
            </w:r>
          </w:p>
        </w:tc>
        <w:tc>
          <w:tcPr>
            <w:tcW w:w="553" w:type="pct"/>
            <w:hideMark/>
          </w:tcPr>
          <w:p w14:paraId="5ED7E494" w14:textId="55E268B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34.824***</w:t>
            </w:r>
          </w:p>
        </w:tc>
        <w:tc>
          <w:tcPr>
            <w:tcW w:w="553" w:type="pct"/>
            <w:hideMark/>
          </w:tcPr>
          <w:p w14:paraId="1B68F635" w14:textId="7AB8F59C"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1.69</w:t>
            </w:r>
            <w:r w:rsidR="0058503B" w:rsidRPr="002E4B8A">
              <w:rPr>
                <w:rFonts w:eastAsia="DengXian" w:cs="Times New Roman"/>
                <w:sz w:val="20"/>
                <w:szCs w:val="20"/>
              </w:rPr>
              <w:t>5</w:t>
            </w:r>
          </w:p>
        </w:tc>
        <w:tc>
          <w:tcPr>
            <w:tcW w:w="553" w:type="pct"/>
            <w:hideMark/>
          </w:tcPr>
          <w:p w14:paraId="24BA0D12" w14:textId="276C8460"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.22</w:t>
            </w:r>
            <w:r w:rsidR="0058503B" w:rsidRPr="002E4B8A">
              <w:rPr>
                <w:rFonts w:eastAsia="DengXian" w:cs="Times New Roman"/>
                <w:sz w:val="20"/>
                <w:szCs w:val="20"/>
              </w:rPr>
              <w:t>2</w:t>
            </w:r>
            <w:r w:rsidRPr="002E4B8A">
              <w:rPr>
                <w:rFonts w:eastAsia="DengXian" w:cs="Times New Roman"/>
                <w:sz w:val="20"/>
                <w:szCs w:val="20"/>
              </w:rPr>
              <w:t>**</w:t>
            </w:r>
          </w:p>
        </w:tc>
        <w:tc>
          <w:tcPr>
            <w:tcW w:w="628" w:type="pct"/>
            <w:hideMark/>
          </w:tcPr>
          <w:p w14:paraId="10943FC3" w14:textId="75A5CF2C"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.466***</w:t>
            </w:r>
          </w:p>
        </w:tc>
        <w:tc>
          <w:tcPr>
            <w:tcW w:w="643" w:type="pct"/>
            <w:hideMark/>
          </w:tcPr>
          <w:p w14:paraId="225ED59D" w14:textId="7F5497C6"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.08</w:t>
            </w:r>
            <w:r w:rsidR="0058503B" w:rsidRPr="002E4B8A">
              <w:rPr>
                <w:rFonts w:eastAsia="DengXian" w:cs="Times New Roman"/>
                <w:sz w:val="20"/>
                <w:szCs w:val="20"/>
              </w:rPr>
              <w:t>3</w:t>
            </w:r>
            <w:r w:rsidRPr="002E4B8A">
              <w:rPr>
                <w:rFonts w:eastAsia="DengXian" w:cs="Times New Roman"/>
                <w:sz w:val="20"/>
                <w:szCs w:val="20"/>
              </w:rPr>
              <w:t>**</w:t>
            </w:r>
          </w:p>
        </w:tc>
        <w:tc>
          <w:tcPr>
            <w:tcW w:w="644" w:type="pct"/>
            <w:hideMark/>
          </w:tcPr>
          <w:p w14:paraId="2B359D3C" w14:textId="2A504069"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2.047***</w:t>
            </w:r>
          </w:p>
        </w:tc>
      </w:tr>
      <w:tr w:rsidR="00D326A2" w:rsidRPr="002E4B8A" w14:paraId="78A82B85" w14:textId="77777777" w:rsidTr="00273B5A">
        <w:tc>
          <w:tcPr>
            <w:tcW w:w="874" w:type="pct"/>
            <w:hideMark/>
          </w:tcPr>
          <w:p w14:paraId="54CBE137" w14:textId="2B1E2229" w:rsidR="005E02DB" w:rsidRPr="002E4B8A" w:rsidRDefault="005E02DB" w:rsidP="002E4B8A">
            <w:pPr>
              <w:widowControl w:val="0"/>
              <w:autoSpaceDE w:val="0"/>
              <w:autoSpaceDN w:val="0"/>
              <w:adjustRightInd w:val="0"/>
              <w:spacing w:line="240" w:lineRule="auto"/>
              <w:rPr>
                <w:rFonts w:eastAsia="DengXian" w:cs="Times New Roman"/>
                <w:sz w:val="20"/>
                <w:szCs w:val="20"/>
              </w:rPr>
            </w:pPr>
          </w:p>
        </w:tc>
        <w:tc>
          <w:tcPr>
            <w:tcW w:w="553" w:type="pct"/>
            <w:hideMark/>
          </w:tcPr>
          <w:p w14:paraId="2C8BD1D3" w14:textId="3B6CE6E8"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(7.514)</w:t>
            </w:r>
          </w:p>
        </w:tc>
        <w:tc>
          <w:tcPr>
            <w:tcW w:w="553" w:type="pct"/>
            <w:hideMark/>
          </w:tcPr>
          <w:p w14:paraId="0AFD5323" w14:textId="4617210C"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(10.14</w:t>
            </w:r>
            <w:r w:rsidR="0058503B" w:rsidRPr="002E4B8A">
              <w:rPr>
                <w:rFonts w:eastAsia="DengXian" w:cs="Times New Roman"/>
                <w:sz w:val="20"/>
                <w:szCs w:val="20"/>
              </w:rPr>
              <w:t>1</w:t>
            </w:r>
            <w:r w:rsidRPr="002E4B8A">
              <w:rPr>
                <w:rFonts w:eastAsia="DengXian" w:cs="Times New Roman"/>
                <w:sz w:val="20"/>
                <w:szCs w:val="20"/>
              </w:rPr>
              <w:t>)</w:t>
            </w:r>
          </w:p>
        </w:tc>
        <w:tc>
          <w:tcPr>
            <w:tcW w:w="553" w:type="pct"/>
            <w:hideMark/>
          </w:tcPr>
          <w:p w14:paraId="336B2422" w14:textId="69F4CBEA"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(40.10</w:t>
            </w:r>
            <w:r w:rsidR="0058503B" w:rsidRPr="002E4B8A">
              <w:rPr>
                <w:rFonts w:eastAsia="DengXian" w:cs="Times New Roman"/>
                <w:sz w:val="20"/>
                <w:szCs w:val="20"/>
              </w:rPr>
              <w:t>8</w:t>
            </w:r>
            <w:r w:rsidRPr="002E4B8A">
              <w:rPr>
                <w:rFonts w:eastAsia="DengXian" w:cs="Times New Roman"/>
                <w:sz w:val="20"/>
                <w:szCs w:val="20"/>
              </w:rPr>
              <w:t>)</w:t>
            </w:r>
          </w:p>
        </w:tc>
        <w:tc>
          <w:tcPr>
            <w:tcW w:w="553" w:type="pct"/>
            <w:hideMark/>
          </w:tcPr>
          <w:p w14:paraId="3055EB98" w14:textId="09DF4DB6"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(.106)</w:t>
            </w:r>
          </w:p>
        </w:tc>
        <w:tc>
          <w:tcPr>
            <w:tcW w:w="628" w:type="pct"/>
            <w:hideMark/>
          </w:tcPr>
          <w:p w14:paraId="6B3BE562" w14:textId="17CA7178"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(.146)</w:t>
            </w:r>
          </w:p>
        </w:tc>
        <w:tc>
          <w:tcPr>
            <w:tcW w:w="643" w:type="pct"/>
            <w:hideMark/>
          </w:tcPr>
          <w:p w14:paraId="73DBBF29" w14:textId="64537CDB"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(.041)</w:t>
            </w:r>
          </w:p>
        </w:tc>
        <w:tc>
          <w:tcPr>
            <w:tcW w:w="644" w:type="pct"/>
            <w:hideMark/>
          </w:tcPr>
          <w:p w14:paraId="50416AB9" w14:textId="31B9ECDC"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(.686)</w:t>
            </w:r>
          </w:p>
        </w:tc>
      </w:tr>
      <w:tr w:rsidR="00D326A2" w:rsidRPr="002E4B8A" w14:paraId="5CE6B401" w14:textId="77777777" w:rsidTr="00273B5A">
        <w:tc>
          <w:tcPr>
            <w:tcW w:w="874" w:type="pct"/>
            <w:hideMark/>
          </w:tcPr>
          <w:p w14:paraId="669A983B" w14:textId="3E113A63"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_cons</w:t>
            </w:r>
          </w:p>
        </w:tc>
        <w:tc>
          <w:tcPr>
            <w:tcW w:w="553" w:type="pct"/>
            <w:hideMark/>
          </w:tcPr>
          <w:p w14:paraId="53CF06A5" w14:textId="001DA975"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11.0</w:t>
            </w:r>
            <w:r w:rsidR="00AA37ED" w:rsidRPr="002E4B8A">
              <w:rPr>
                <w:rFonts w:eastAsia="DengXian" w:cs="Times New Roman"/>
                <w:sz w:val="20"/>
                <w:szCs w:val="20"/>
              </w:rPr>
              <w:t>70</w:t>
            </w:r>
            <w:r w:rsidRPr="002E4B8A">
              <w:rPr>
                <w:rFonts w:eastAsia="DengXian" w:cs="Times New Roman"/>
                <w:sz w:val="20"/>
                <w:szCs w:val="20"/>
              </w:rPr>
              <w:t>***</w:t>
            </w:r>
          </w:p>
        </w:tc>
        <w:tc>
          <w:tcPr>
            <w:tcW w:w="553" w:type="pct"/>
            <w:hideMark/>
          </w:tcPr>
          <w:p w14:paraId="483EC168" w14:textId="54772562"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12.128***</w:t>
            </w:r>
          </w:p>
        </w:tc>
        <w:tc>
          <w:tcPr>
            <w:tcW w:w="553" w:type="pct"/>
            <w:hideMark/>
          </w:tcPr>
          <w:p w14:paraId="2A8E87FA" w14:textId="24831B0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11.11</w:t>
            </w:r>
            <w:r w:rsidR="0058503B" w:rsidRPr="002E4B8A">
              <w:rPr>
                <w:rFonts w:eastAsia="DengXian" w:cs="Times New Roman"/>
                <w:sz w:val="20"/>
                <w:szCs w:val="20"/>
              </w:rPr>
              <w:t>6</w:t>
            </w:r>
            <w:r w:rsidRPr="002E4B8A">
              <w:rPr>
                <w:rFonts w:eastAsia="DengXian" w:cs="Times New Roman"/>
                <w:sz w:val="20"/>
                <w:szCs w:val="20"/>
              </w:rPr>
              <w:t>***</w:t>
            </w:r>
          </w:p>
        </w:tc>
        <w:tc>
          <w:tcPr>
            <w:tcW w:w="553" w:type="pct"/>
            <w:hideMark/>
          </w:tcPr>
          <w:p w14:paraId="39034974" w14:textId="68776F10"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14.16</w:t>
            </w:r>
            <w:r w:rsidR="0058503B" w:rsidRPr="002E4B8A">
              <w:rPr>
                <w:rFonts w:eastAsia="DengXian" w:cs="Times New Roman"/>
                <w:sz w:val="20"/>
                <w:szCs w:val="20"/>
              </w:rPr>
              <w:t>1</w:t>
            </w:r>
            <w:r w:rsidRPr="002E4B8A">
              <w:rPr>
                <w:rFonts w:eastAsia="DengXian" w:cs="Times New Roman"/>
                <w:sz w:val="20"/>
                <w:szCs w:val="20"/>
              </w:rPr>
              <w:t>***</w:t>
            </w:r>
          </w:p>
        </w:tc>
        <w:tc>
          <w:tcPr>
            <w:tcW w:w="628" w:type="pct"/>
            <w:hideMark/>
          </w:tcPr>
          <w:p w14:paraId="4E25B37E" w14:textId="4AE636BB"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15.771***</w:t>
            </w:r>
          </w:p>
        </w:tc>
        <w:tc>
          <w:tcPr>
            <w:tcW w:w="643" w:type="pct"/>
            <w:hideMark/>
          </w:tcPr>
          <w:p w14:paraId="1763C623" w14:textId="7777777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12.68395***</w:t>
            </w:r>
          </w:p>
        </w:tc>
        <w:tc>
          <w:tcPr>
            <w:tcW w:w="644" w:type="pct"/>
            <w:hideMark/>
          </w:tcPr>
          <w:p w14:paraId="69B4ECA0" w14:textId="7777777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12.01247***</w:t>
            </w:r>
          </w:p>
        </w:tc>
      </w:tr>
      <w:tr w:rsidR="00D326A2" w:rsidRPr="002E4B8A" w14:paraId="406BBBDC" w14:textId="77777777" w:rsidTr="00273B5A">
        <w:tc>
          <w:tcPr>
            <w:tcW w:w="874" w:type="pct"/>
            <w:hideMark/>
          </w:tcPr>
          <w:p w14:paraId="19946A33" w14:textId="35F9CA59" w:rsidR="005E02DB" w:rsidRPr="002E4B8A" w:rsidRDefault="005E02DB" w:rsidP="002E4B8A">
            <w:pPr>
              <w:widowControl w:val="0"/>
              <w:autoSpaceDE w:val="0"/>
              <w:autoSpaceDN w:val="0"/>
              <w:adjustRightInd w:val="0"/>
              <w:spacing w:line="240" w:lineRule="auto"/>
              <w:rPr>
                <w:rFonts w:eastAsia="DengXian" w:cs="Times New Roman"/>
                <w:sz w:val="20"/>
                <w:szCs w:val="20"/>
              </w:rPr>
            </w:pPr>
          </w:p>
        </w:tc>
        <w:tc>
          <w:tcPr>
            <w:tcW w:w="553" w:type="pct"/>
            <w:hideMark/>
          </w:tcPr>
          <w:p w14:paraId="6DBAE637" w14:textId="74164CA5"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(.37</w:t>
            </w:r>
            <w:r w:rsidR="00AA37ED" w:rsidRPr="002E4B8A">
              <w:rPr>
                <w:rFonts w:eastAsia="DengXian" w:cs="Times New Roman"/>
                <w:sz w:val="20"/>
                <w:szCs w:val="20"/>
              </w:rPr>
              <w:t>2</w:t>
            </w:r>
            <w:r w:rsidRPr="002E4B8A">
              <w:rPr>
                <w:rFonts w:eastAsia="DengXian" w:cs="Times New Roman"/>
                <w:sz w:val="20"/>
                <w:szCs w:val="20"/>
              </w:rPr>
              <w:t>)</w:t>
            </w:r>
          </w:p>
        </w:tc>
        <w:tc>
          <w:tcPr>
            <w:tcW w:w="553" w:type="pct"/>
            <w:hideMark/>
          </w:tcPr>
          <w:p w14:paraId="361EB4F5" w14:textId="6DC1BC10"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(.764)</w:t>
            </w:r>
          </w:p>
        </w:tc>
        <w:tc>
          <w:tcPr>
            <w:tcW w:w="553" w:type="pct"/>
            <w:hideMark/>
          </w:tcPr>
          <w:p w14:paraId="5310E0E9" w14:textId="03123DEA"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(.33</w:t>
            </w:r>
            <w:r w:rsidR="0058503B" w:rsidRPr="002E4B8A">
              <w:rPr>
                <w:rFonts w:eastAsia="DengXian" w:cs="Times New Roman"/>
                <w:sz w:val="20"/>
                <w:szCs w:val="20"/>
              </w:rPr>
              <w:t>6</w:t>
            </w:r>
            <w:r w:rsidRPr="002E4B8A">
              <w:rPr>
                <w:rFonts w:eastAsia="DengXian" w:cs="Times New Roman"/>
                <w:sz w:val="20"/>
                <w:szCs w:val="20"/>
              </w:rPr>
              <w:t>)</w:t>
            </w:r>
          </w:p>
        </w:tc>
        <w:tc>
          <w:tcPr>
            <w:tcW w:w="553" w:type="pct"/>
            <w:hideMark/>
          </w:tcPr>
          <w:p w14:paraId="4991368A" w14:textId="5F23190C"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(.16</w:t>
            </w:r>
            <w:r w:rsidR="0058503B" w:rsidRPr="002E4B8A">
              <w:rPr>
                <w:rFonts w:eastAsia="DengXian" w:cs="Times New Roman"/>
                <w:sz w:val="20"/>
                <w:szCs w:val="20"/>
              </w:rPr>
              <w:t>1</w:t>
            </w:r>
            <w:r w:rsidRPr="002E4B8A">
              <w:rPr>
                <w:rFonts w:eastAsia="DengXian" w:cs="Times New Roman"/>
                <w:sz w:val="20"/>
                <w:szCs w:val="20"/>
              </w:rPr>
              <w:t>)</w:t>
            </w:r>
          </w:p>
        </w:tc>
        <w:tc>
          <w:tcPr>
            <w:tcW w:w="628" w:type="pct"/>
            <w:hideMark/>
          </w:tcPr>
          <w:p w14:paraId="62E63B8D" w14:textId="5EC9684D"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(.286)</w:t>
            </w:r>
          </w:p>
        </w:tc>
        <w:tc>
          <w:tcPr>
            <w:tcW w:w="643" w:type="pct"/>
            <w:hideMark/>
          </w:tcPr>
          <w:p w14:paraId="35876DE2" w14:textId="7777777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(.16205)</w:t>
            </w:r>
          </w:p>
        </w:tc>
        <w:tc>
          <w:tcPr>
            <w:tcW w:w="644" w:type="pct"/>
            <w:hideMark/>
          </w:tcPr>
          <w:p w14:paraId="278F52E4" w14:textId="7777777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(.39275)</w:t>
            </w:r>
          </w:p>
        </w:tc>
      </w:tr>
      <w:tr w:rsidR="00D326A2" w:rsidRPr="002E4B8A" w14:paraId="3949F618" w14:textId="77777777" w:rsidTr="00273B5A">
        <w:tc>
          <w:tcPr>
            <w:tcW w:w="874" w:type="pct"/>
            <w:hideMark/>
          </w:tcPr>
          <w:p w14:paraId="0012C842" w14:textId="4AD47EC4"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Observations</w:t>
            </w:r>
          </w:p>
        </w:tc>
        <w:tc>
          <w:tcPr>
            <w:tcW w:w="553" w:type="pct"/>
            <w:hideMark/>
          </w:tcPr>
          <w:p w14:paraId="6B993D94" w14:textId="7777777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47546</w:t>
            </w:r>
          </w:p>
        </w:tc>
        <w:tc>
          <w:tcPr>
            <w:tcW w:w="553" w:type="pct"/>
            <w:hideMark/>
          </w:tcPr>
          <w:p w14:paraId="70DC3A0B" w14:textId="7777777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45034</w:t>
            </w:r>
          </w:p>
        </w:tc>
        <w:tc>
          <w:tcPr>
            <w:tcW w:w="553" w:type="pct"/>
            <w:hideMark/>
          </w:tcPr>
          <w:p w14:paraId="4BABB966" w14:textId="7777777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43701</w:t>
            </w:r>
          </w:p>
        </w:tc>
        <w:tc>
          <w:tcPr>
            <w:tcW w:w="553" w:type="pct"/>
            <w:hideMark/>
          </w:tcPr>
          <w:p w14:paraId="15F44C35" w14:textId="7777777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47546</w:t>
            </w:r>
          </w:p>
        </w:tc>
        <w:tc>
          <w:tcPr>
            <w:tcW w:w="628" w:type="pct"/>
            <w:hideMark/>
          </w:tcPr>
          <w:p w14:paraId="581C5209" w14:textId="7777777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39494</w:t>
            </w:r>
          </w:p>
        </w:tc>
        <w:tc>
          <w:tcPr>
            <w:tcW w:w="643" w:type="pct"/>
            <w:hideMark/>
          </w:tcPr>
          <w:p w14:paraId="518419BB" w14:textId="7777777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47532</w:t>
            </w:r>
          </w:p>
        </w:tc>
        <w:tc>
          <w:tcPr>
            <w:tcW w:w="644" w:type="pct"/>
            <w:hideMark/>
          </w:tcPr>
          <w:p w14:paraId="53DBFB71" w14:textId="7777777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46132</w:t>
            </w:r>
          </w:p>
        </w:tc>
      </w:tr>
      <w:tr w:rsidR="00D326A2" w:rsidRPr="002E4B8A" w14:paraId="123D6AF7" w14:textId="77777777" w:rsidTr="00273B5A">
        <w:tc>
          <w:tcPr>
            <w:tcW w:w="874" w:type="pct"/>
            <w:hideMark/>
          </w:tcPr>
          <w:p w14:paraId="6572BA9A" w14:textId="77777777" w:rsidR="008D5BA6" w:rsidRPr="002E4B8A" w:rsidRDefault="008D5BA6"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Year FE</w:t>
            </w:r>
          </w:p>
        </w:tc>
        <w:tc>
          <w:tcPr>
            <w:tcW w:w="553" w:type="pct"/>
            <w:hideMark/>
          </w:tcPr>
          <w:p w14:paraId="7D6D9583" w14:textId="5BD81457" w:rsidR="008D5BA6" w:rsidRPr="002E4B8A" w:rsidRDefault="008D5BA6" w:rsidP="002E4B8A">
            <w:pPr>
              <w:widowControl w:val="0"/>
              <w:autoSpaceDE w:val="0"/>
              <w:autoSpaceDN w:val="0"/>
              <w:adjustRightInd w:val="0"/>
              <w:spacing w:line="240" w:lineRule="auto"/>
              <w:rPr>
                <w:rFonts w:eastAsia="DengXian" w:cs="Times New Roman"/>
                <w:sz w:val="20"/>
                <w:szCs w:val="20"/>
              </w:rPr>
            </w:pPr>
            <w:r w:rsidRPr="002E4B8A">
              <w:rPr>
                <w:rFonts w:eastAsia="Calibri" w:cs="Times New Roman"/>
                <w:sz w:val="20"/>
                <w:szCs w:val="20"/>
              </w:rPr>
              <w:t>Yes</w:t>
            </w:r>
          </w:p>
        </w:tc>
        <w:tc>
          <w:tcPr>
            <w:tcW w:w="553" w:type="pct"/>
            <w:hideMark/>
          </w:tcPr>
          <w:p w14:paraId="700DAE2F" w14:textId="53A0779B" w:rsidR="008D5BA6" w:rsidRPr="002E4B8A" w:rsidRDefault="008D5BA6" w:rsidP="002E4B8A">
            <w:pPr>
              <w:widowControl w:val="0"/>
              <w:autoSpaceDE w:val="0"/>
              <w:autoSpaceDN w:val="0"/>
              <w:adjustRightInd w:val="0"/>
              <w:spacing w:line="240" w:lineRule="auto"/>
              <w:rPr>
                <w:rFonts w:eastAsia="DengXian" w:cs="Times New Roman"/>
                <w:sz w:val="20"/>
                <w:szCs w:val="20"/>
              </w:rPr>
            </w:pPr>
            <w:r w:rsidRPr="002E4B8A">
              <w:rPr>
                <w:rFonts w:eastAsia="Calibri" w:cs="Times New Roman"/>
                <w:sz w:val="20"/>
                <w:szCs w:val="20"/>
              </w:rPr>
              <w:t>Yes</w:t>
            </w:r>
          </w:p>
        </w:tc>
        <w:tc>
          <w:tcPr>
            <w:tcW w:w="553" w:type="pct"/>
            <w:hideMark/>
          </w:tcPr>
          <w:p w14:paraId="57E03AFB" w14:textId="7BE048AC" w:rsidR="008D5BA6" w:rsidRPr="002E4B8A" w:rsidRDefault="008D5BA6" w:rsidP="002E4B8A">
            <w:pPr>
              <w:widowControl w:val="0"/>
              <w:autoSpaceDE w:val="0"/>
              <w:autoSpaceDN w:val="0"/>
              <w:adjustRightInd w:val="0"/>
              <w:spacing w:line="240" w:lineRule="auto"/>
              <w:rPr>
                <w:rFonts w:eastAsia="DengXian" w:cs="Times New Roman"/>
                <w:sz w:val="20"/>
                <w:szCs w:val="20"/>
              </w:rPr>
            </w:pPr>
            <w:r w:rsidRPr="002E4B8A">
              <w:rPr>
                <w:rFonts w:eastAsia="Calibri" w:cs="Times New Roman"/>
                <w:sz w:val="20"/>
                <w:szCs w:val="20"/>
              </w:rPr>
              <w:t>Yes</w:t>
            </w:r>
          </w:p>
        </w:tc>
        <w:tc>
          <w:tcPr>
            <w:tcW w:w="553" w:type="pct"/>
            <w:hideMark/>
          </w:tcPr>
          <w:p w14:paraId="50439D67" w14:textId="5FF187DE" w:rsidR="008D5BA6" w:rsidRPr="002E4B8A" w:rsidRDefault="008D5BA6" w:rsidP="002E4B8A">
            <w:pPr>
              <w:widowControl w:val="0"/>
              <w:autoSpaceDE w:val="0"/>
              <w:autoSpaceDN w:val="0"/>
              <w:adjustRightInd w:val="0"/>
              <w:spacing w:line="240" w:lineRule="auto"/>
              <w:rPr>
                <w:rFonts w:eastAsia="DengXian" w:cs="Times New Roman"/>
                <w:sz w:val="20"/>
                <w:szCs w:val="20"/>
              </w:rPr>
            </w:pPr>
            <w:r w:rsidRPr="002E4B8A">
              <w:rPr>
                <w:rFonts w:eastAsia="Calibri" w:cs="Times New Roman"/>
                <w:sz w:val="20"/>
                <w:szCs w:val="20"/>
              </w:rPr>
              <w:t>Yes</w:t>
            </w:r>
          </w:p>
        </w:tc>
        <w:tc>
          <w:tcPr>
            <w:tcW w:w="628" w:type="pct"/>
            <w:hideMark/>
          </w:tcPr>
          <w:p w14:paraId="4CFA59AD" w14:textId="024D7291" w:rsidR="008D5BA6" w:rsidRPr="002E4B8A" w:rsidRDefault="008D5BA6" w:rsidP="002E4B8A">
            <w:pPr>
              <w:widowControl w:val="0"/>
              <w:autoSpaceDE w:val="0"/>
              <w:autoSpaceDN w:val="0"/>
              <w:adjustRightInd w:val="0"/>
              <w:spacing w:line="240" w:lineRule="auto"/>
              <w:rPr>
                <w:rFonts w:eastAsia="DengXian" w:cs="Times New Roman"/>
                <w:sz w:val="20"/>
                <w:szCs w:val="20"/>
              </w:rPr>
            </w:pPr>
            <w:r w:rsidRPr="002E4B8A">
              <w:rPr>
                <w:rFonts w:eastAsia="Calibri" w:cs="Times New Roman"/>
                <w:sz w:val="20"/>
                <w:szCs w:val="20"/>
              </w:rPr>
              <w:t>Yes</w:t>
            </w:r>
          </w:p>
        </w:tc>
        <w:tc>
          <w:tcPr>
            <w:tcW w:w="643" w:type="pct"/>
            <w:hideMark/>
          </w:tcPr>
          <w:p w14:paraId="3B4F12D9" w14:textId="2C7D31A9" w:rsidR="008D5BA6" w:rsidRPr="002E4B8A" w:rsidRDefault="008D5BA6" w:rsidP="002E4B8A">
            <w:pPr>
              <w:widowControl w:val="0"/>
              <w:autoSpaceDE w:val="0"/>
              <w:autoSpaceDN w:val="0"/>
              <w:adjustRightInd w:val="0"/>
              <w:spacing w:line="240" w:lineRule="auto"/>
              <w:rPr>
                <w:rFonts w:eastAsia="DengXian" w:cs="Times New Roman"/>
                <w:sz w:val="20"/>
                <w:szCs w:val="20"/>
              </w:rPr>
            </w:pPr>
            <w:r w:rsidRPr="002E4B8A">
              <w:rPr>
                <w:rFonts w:eastAsia="Calibri" w:cs="Times New Roman"/>
                <w:sz w:val="20"/>
                <w:szCs w:val="20"/>
              </w:rPr>
              <w:t>Yes</w:t>
            </w:r>
          </w:p>
        </w:tc>
        <w:tc>
          <w:tcPr>
            <w:tcW w:w="644" w:type="pct"/>
            <w:hideMark/>
          </w:tcPr>
          <w:p w14:paraId="6392CFDE" w14:textId="5B448671" w:rsidR="008D5BA6" w:rsidRPr="002E4B8A" w:rsidRDefault="008D5BA6" w:rsidP="002E4B8A">
            <w:pPr>
              <w:widowControl w:val="0"/>
              <w:autoSpaceDE w:val="0"/>
              <w:autoSpaceDN w:val="0"/>
              <w:adjustRightInd w:val="0"/>
              <w:spacing w:line="240" w:lineRule="auto"/>
              <w:rPr>
                <w:rFonts w:eastAsia="DengXian" w:cs="Times New Roman"/>
                <w:sz w:val="20"/>
                <w:szCs w:val="20"/>
              </w:rPr>
            </w:pPr>
            <w:r w:rsidRPr="002E4B8A">
              <w:rPr>
                <w:rFonts w:eastAsia="Calibri" w:cs="Times New Roman"/>
                <w:sz w:val="20"/>
                <w:szCs w:val="20"/>
              </w:rPr>
              <w:t>Yes</w:t>
            </w:r>
          </w:p>
        </w:tc>
      </w:tr>
      <w:tr w:rsidR="00D326A2" w:rsidRPr="002E4B8A" w14:paraId="4BBDFF83" w14:textId="77777777" w:rsidTr="00273B5A">
        <w:tc>
          <w:tcPr>
            <w:tcW w:w="874" w:type="pct"/>
            <w:hideMark/>
          </w:tcPr>
          <w:p w14:paraId="593D4E1C" w14:textId="77777777" w:rsidR="008D5BA6" w:rsidRPr="002E4B8A" w:rsidRDefault="008D5BA6"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State FE</w:t>
            </w:r>
          </w:p>
        </w:tc>
        <w:tc>
          <w:tcPr>
            <w:tcW w:w="553" w:type="pct"/>
            <w:hideMark/>
          </w:tcPr>
          <w:p w14:paraId="1FEA73D9" w14:textId="59EB1A5D" w:rsidR="008D5BA6" w:rsidRPr="002E4B8A" w:rsidRDefault="008D5BA6" w:rsidP="002E4B8A">
            <w:pPr>
              <w:widowControl w:val="0"/>
              <w:autoSpaceDE w:val="0"/>
              <w:autoSpaceDN w:val="0"/>
              <w:adjustRightInd w:val="0"/>
              <w:spacing w:line="240" w:lineRule="auto"/>
              <w:rPr>
                <w:rFonts w:eastAsia="DengXian" w:cs="Times New Roman"/>
                <w:sz w:val="20"/>
                <w:szCs w:val="20"/>
              </w:rPr>
            </w:pPr>
            <w:r w:rsidRPr="002E4B8A">
              <w:rPr>
                <w:rFonts w:eastAsia="Calibri" w:cs="Times New Roman"/>
                <w:sz w:val="20"/>
                <w:szCs w:val="20"/>
              </w:rPr>
              <w:t>Yes</w:t>
            </w:r>
          </w:p>
        </w:tc>
        <w:tc>
          <w:tcPr>
            <w:tcW w:w="553" w:type="pct"/>
            <w:hideMark/>
          </w:tcPr>
          <w:p w14:paraId="006AFFFD" w14:textId="3D5FC692" w:rsidR="008D5BA6" w:rsidRPr="002E4B8A" w:rsidRDefault="008D5BA6" w:rsidP="002E4B8A">
            <w:pPr>
              <w:widowControl w:val="0"/>
              <w:autoSpaceDE w:val="0"/>
              <w:autoSpaceDN w:val="0"/>
              <w:adjustRightInd w:val="0"/>
              <w:spacing w:line="240" w:lineRule="auto"/>
              <w:rPr>
                <w:rFonts w:eastAsia="DengXian" w:cs="Times New Roman"/>
                <w:sz w:val="20"/>
                <w:szCs w:val="20"/>
              </w:rPr>
            </w:pPr>
            <w:r w:rsidRPr="002E4B8A">
              <w:rPr>
                <w:rFonts w:eastAsia="Calibri" w:cs="Times New Roman"/>
                <w:sz w:val="20"/>
                <w:szCs w:val="20"/>
              </w:rPr>
              <w:t>Yes</w:t>
            </w:r>
          </w:p>
        </w:tc>
        <w:tc>
          <w:tcPr>
            <w:tcW w:w="553" w:type="pct"/>
            <w:hideMark/>
          </w:tcPr>
          <w:p w14:paraId="23EB2A36" w14:textId="4AF87B10" w:rsidR="008D5BA6" w:rsidRPr="002E4B8A" w:rsidRDefault="008D5BA6" w:rsidP="002E4B8A">
            <w:pPr>
              <w:widowControl w:val="0"/>
              <w:autoSpaceDE w:val="0"/>
              <w:autoSpaceDN w:val="0"/>
              <w:adjustRightInd w:val="0"/>
              <w:spacing w:line="240" w:lineRule="auto"/>
              <w:rPr>
                <w:rFonts w:eastAsia="DengXian" w:cs="Times New Roman"/>
                <w:sz w:val="20"/>
                <w:szCs w:val="20"/>
              </w:rPr>
            </w:pPr>
            <w:r w:rsidRPr="002E4B8A">
              <w:rPr>
                <w:rFonts w:eastAsia="Calibri" w:cs="Times New Roman"/>
                <w:sz w:val="20"/>
                <w:szCs w:val="20"/>
              </w:rPr>
              <w:t>Yes</w:t>
            </w:r>
          </w:p>
        </w:tc>
        <w:tc>
          <w:tcPr>
            <w:tcW w:w="553" w:type="pct"/>
            <w:hideMark/>
          </w:tcPr>
          <w:p w14:paraId="0FBF0DEC" w14:textId="312C9763" w:rsidR="008D5BA6" w:rsidRPr="002E4B8A" w:rsidRDefault="008D5BA6" w:rsidP="002E4B8A">
            <w:pPr>
              <w:widowControl w:val="0"/>
              <w:autoSpaceDE w:val="0"/>
              <w:autoSpaceDN w:val="0"/>
              <w:adjustRightInd w:val="0"/>
              <w:spacing w:line="240" w:lineRule="auto"/>
              <w:rPr>
                <w:rFonts w:eastAsia="DengXian" w:cs="Times New Roman"/>
                <w:sz w:val="20"/>
                <w:szCs w:val="20"/>
              </w:rPr>
            </w:pPr>
            <w:r w:rsidRPr="002E4B8A">
              <w:rPr>
                <w:rFonts w:eastAsia="Calibri" w:cs="Times New Roman"/>
                <w:sz w:val="20"/>
                <w:szCs w:val="20"/>
              </w:rPr>
              <w:t>Yes</w:t>
            </w:r>
          </w:p>
        </w:tc>
        <w:tc>
          <w:tcPr>
            <w:tcW w:w="628" w:type="pct"/>
            <w:hideMark/>
          </w:tcPr>
          <w:p w14:paraId="2F85CD79" w14:textId="1DEC75D1" w:rsidR="008D5BA6" w:rsidRPr="002E4B8A" w:rsidRDefault="008D5BA6" w:rsidP="002E4B8A">
            <w:pPr>
              <w:widowControl w:val="0"/>
              <w:autoSpaceDE w:val="0"/>
              <w:autoSpaceDN w:val="0"/>
              <w:adjustRightInd w:val="0"/>
              <w:spacing w:line="240" w:lineRule="auto"/>
              <w:rPr>
                <w:rFonts w:eastAsia="DengXian" w:cs="Times New Roman"/>
                <w:sz w:val="20"/>
                <w:szCs w:val="20"/>
              </w:rPr>
            </w:pPr>
            <w:r w:rsidRPr="002E4B8A">
              <w:rPr>
                <w:rFonts w:eastAsia="Calibri" w:cs="Times New Roman"/>
                <w:sz w:val="20"/>
                <w:szCs w:val="20"/>
              </w:rPr>
              <w:t>Yes</w:t>
            </w:r>
          </w:p>
        </w:tc>
        <w:tc>
          <w:tcPr>
            <w:tcW w:w="643" w:type="pct"/>
            <w:hideMark/>
          </w:tcPr>
          <w:p w14:paraId="3B2855AA" w14:textId="0A79FFBC" w:rsidR="008D5BA6" w:rsidRPr="002E4B8A" w:rsidRDefault="008D5BA6" w:rsidP="002E4B8A">
            <w:pPr>
              <w:widowControl w:val="0"/>
              <w:autoSpaceDE w:val="0"/>
              <w:autoSpaceDN w:val="0"/>
              <w:adjustRightInd w:val="0"/>
              <w:spacing w:line="240" w:lineRule="auto"/>
              <w:rPr>
                <w:rFonts w:eastAsia="DengXian" w:cs="Times New Roman"/>
                <w:sz w:val="20"/>
                <w:szCs w:val="20"/>
              </w:rPr>
            </w:pPr>
            <w:r w:rsidRPr="002E4B8A">
              <w:rPr>
                <w:rFonts w:eastAsia="Calibri" w:cs="Times New Roman"/>
                <w:sz w:val="20"/>
                <w:szCs w:val="20"/>
              </w:rPr>
              <w:t>Yes</w:t>
            </w:r>
          </w:p>
        </w:tc>
        <w:tc>
          <w:tcPr>
            <w:tcW w:w="644" w:type="pct"/>
            <w:hideMark/>
          </w:tcPr>
          <w:p w14:paraId="156B2D85" w14:textId="1EC72853" w:rsidR="008D5BA6" w:rsidRPr="002E4B8A" w:rsidRDefault="008D5BA6" w:rsidP="002E4B8A">
            <w:pPr>
              <w:widowControl w:val="0"/>
              <w:autoSpaceDE w:val="0"/>
              <w:autoSpaceDN w:val="0"/>
              <w:adjustRightInd w:val="0"/>
              <w:spacing w:line="240" w:lineRule="auto"/>
              <w:rPr>
                <w:rFonts w:eastAsia="DengXian" w:cs="Times New Roman"/>
                <w:sz w:val="20"/>
                <w:szCs w:val="20"/>
              </w:rPr>
            </w:pPr>
            <w:r w:rsidRPr="002E4B8A">
              <w:rPr>
                <w:rFonts w:eastAsia="Calibri" w:cs="Times New Roman"/>
                <w:sz w:val="20"/>
                <w:szCs w:val="20"/>
              </w:rPr>
              <w:t>Yes</w:t>
            </w:r>
          </w:p>
        </w:tc>
      </w:tr>
      <w:tr w:rsidR="00D326A2" w:rsidRPr="002E4B8A" w14:paraId="5BDAA3BF" w14:textId="77777777" w:rsidTr="00273B5A">
        <w:tc>
          <w:tcPr>
            <w:tcW w:w="874" w:type="pct"/>
            <w:hideMark/>
          </w:tcPr>
          <w:p w14:paraId="53002745" w14:textId="77777777" w:rsidR="008D5BA6" w:rsidRPr="002E4B8A" w:rsidRDefault="008D5BA6"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County FE</w:t>
            </w:r>
          </w:p>
        </w:tc>
        <w:tc>
          <w:tcPr>
            <w:tcW w:w="553" w:type="pct"/>
            <w:hideMark/>
          </w:tcPr>
          <w:p w14:paraId="47EF645F" w14:textId="7EB603D9" w:rsidR="008D5BA6" w:rsidRPr="002E4B8A" w:rsidRDefault="008D5BA6" w:rsidP="002E4B8A">
            <w:pPr>
              <w:widowControl w:val="0"/>
              <w:autoSpaceDE w:val="0"/>
              <w:autoSpaceDN w:val="0"/>
              <w:adjustRightInd w:val="0"/>
              <w:spacing w:line="240" w:lineRule="auto"/>
              <w:rPr>
                <w:rFonts w:eastAsia="DengXian" w:cs="Times New Roman"/>
                <w:sz w:val="20"/>
                <w:szCs w:val="20"/>
              </w:rPr>
            </w:pPr>
            <w:r w:rsidRPr="002E4B8A">
              <w:rPr>
                <w:rFonts w:eastAsia="Calibri" w:cs="Times New Roman"/>
                <w:sz w:val="20"/>
                <w:szCs w:val="20"/>
              </w:rPr>
              <w:t>Yes</w:t>
            </w:r>
          </w:p>
        </w:tc>
        <w:tc>
          <w:tcPr>
            <w:tcW w:w="553" w:type="pct"/>
            <w:hideMark/>
          </w:tcPr>
          <w:p w14:paraId="45EA7657" w14:textId="3C7E0048" w:rsidR="008D5BA6" w:rsidRPr="002E4B8A" w:rsidRDefault="008D5BA6" w:rsidP="002E4B8A">
            <w:pPr>
              <w:widowControl w:val="0"/>
              <w:autoSpaceDE w:val="0"/>
              <w:autoSpaceDN w:val="0"/>
              <w:adjustRightInd w:val="0"/>
              <w:spacing w:line="240" w:lineRule="auto"/>
              <w:rPr>
                <w:rFonts w:eastAsia="DengXian" w:cs="Times New Roman"/>
                <w:sz w:val="20"/>
                <w:szCs w:val="20"/>
              </w:rPr>
            </w:pPr>
            <w:r w:rsidRPr="002E4B8A">
              <w:rPr>
                <w:rFonts w:eastAsia="Calibri" w:cs="Times New Roman"/>
                <w:sz w:val="20"/>
                <w:szCs w:val="20"/>
              </w:rPr>
              <w:t>Yes</w:t>
            </w:r>
          </w:p>
        </w:tc>
        <w:tc>
          <w:tcPr>
            <w:tcW w:w="553" w:type="pct"/>
            <w:hideMark/>
          </w:tcPr>
          <w:p w14:paraId="4ECABBAD" w14:textId="4B35C8B5" w:rsidR="008D5BA6" w:rsidRPr="002E4B8A" w:rsidRDefault="008D5BA6" w:rsidP="002E4B8A">
            <w:pPr>
              <w:widowControl w:val="0"/>
              <w:autoSpaceDE w:val="0"/>
              <w:autoSpaceDN w:val="0"/>
              <w:adjustRightInd w:val="0"/>
              <w:spacing w:line="240" w:lineRule="auto"/>
              <w:rPr>
                <w:rFonts w:eastAsia="DengXian" w:cs="Times New Roman"/>
                <w:sz w:val="20"/>
                <w:szCs w:val="20"/>
              </w:rPr>
            </w:pPr>
            <w:r w:rsidRPr="002E4B8A">
              <w:rPr>
                <w:rFonts w:eastAsia="Calibri" w:cs="Times New Roman"/>
                <w:sz w:val="20"/>
                <w:szCs w:val="20"/>
              </w:rPr>
              <w:t>Yes</w:t>
            </w:r>
          </w:p>
        </w:tc>
        <w:tc>
          <w:tcPr>
            <w:tcW w:w="553" w:type="pct"/>
            <w:hideMark/>
          </w:tcPr>
          <w:p w14:paraId="528EAE0B" w14:textId="3D33DABB" w:rsidR="008D5BA6" w:rsidRPr="002E4B8A" w:rsidRDefault="008D5BA6" w:rsidP="002E4B8A">
            <w:pPr>
              <w:widowControl w:val="0"/>
              <w:autoSpaceDE w:val="0"/>
              <w:autoSpaceDN w:val="0"/>
              <w:adjustRightInd w:val="0"/>
              <w:spacing w:line="240" w:lineRule="auto"/>
              <w:rPr>
                <w:rFonts w:eastAsia="DengXian" w:cs="Times New Roman"/>
                <w:sz w:val="20"/>
                <w:szCs w:val="20"/>
              </w:rPr>
            </w:pPr>
            <w:r w:rsidRPr="002E4B8A">
              <w:rPr>
                <w:rFonts w:eastAsia="Calibri" w:cs="Times New Roman"/>
                <w:sz w:val="20"/>
                <w:szCs w:val="20"/>
              </w:rPr>
              <w:t>Yes</w:t>
            </w:r>
          </w:p>
        </w:tc>
        <w:tc>
          <w:tcPr>
            <w:tcW w:w="628" w:type="pct"/>
            <w:hideMark/>
          </w:tcPr>
          <w:p w14:paraId="46B7BFCD" w14:textId="62508784" w:rsidR="008D5BA6" w:rsidRPr="002E4B8A" w:rsidRDefault="008D5BA6" w:rsidP="002E4B8A">
            <w:pPr>
              <w:widowControl w:val="0"/>
              <w:autoSpaceDE w:val="0"/>
              <w:autoSpaceDN w:val="0"/>
              <w:adjustRightInd w:val="0"/>
              <w:spacing w:line="240" w:lineRule="auto"/>
              <w:rPr>
                <w:rFonts w:eastAsia="DengXian" w:cs="Times New Roman"/>
                <w:sz w:val="20"/>
                <w:szCs w:val="20"/>
              </w:rPr>
            </w:pPr>
            <w:r w:rsidRPr="002E4B8A">
              <w:rPr>
                <w:rFonts w:eastAsia="Calibri" w:cs="Times New Roman"/>
                <w:sz w:val="20"/>
                <w:szCs w:val="20"/>
              </w:rPr>
              <w:t>Yes</w:t>
            </w:r>
          </w:p>
        </w:tc>
        <w:tc>
          <w:tcPr>
            <w:tcW w:w="643" w:type="pct"/>
            <w:hideMark/>
          </w:tcPr>
          <w:p w14:paraId="1245F338" w14:textId="16E1AF54" w:rsidR="008D5BA6" w:rsidRPr="002E4B8A" w:rsidRDefault="008D5BA6" w:rsidP="002E4B8A">
            <w:pPr>
              <w:widowControl w:val="0"/>
              <w:autoSpaceDE w:val="0"/>
              <w:autoSpaceDN w:val="0"/>
              <w:adjustRightInd w:val="0"/>
              <w:spacing w:line="240" w:lineRule="auto"/>
              <w:rPr>
                <w:rFonts w:eastAsia="DengXian" w:cs="Times New Roman"/>
                <w:sz w:val="20"/>
                <w:szCs w:val="20"/>
              </w:rPr>
            </w:pPr>
            <w:r w:rsidRPr="002E4B8A">
              <w:rPr>
                <w:rFonts w:eastAsia="Calibri" w:cs="Times New Roman"/>
                <w:sz w:val="20"/>
                <w:szCs w:val="20"/>
              </w:rPr>
              <w:t>Yes</w:t>
            </w:r>
          </w:p>
        </w:tc>
        <w:tc>
          <w:tcPr>
            <w:tcW w:w="644" w:type="pct"/>
            <w:hideMark/>
          </w:tcPr>
          <w:p w14:paraId="2090535C" w14:textId="3B2AFC78" w:rsidR="008D5BA6" w:rsidRPr="002E4B8A" w:rsidRDefault="008D5BA6" w:rsidP="002E4B8A">
            <w:pPr>
              <w:widowControl w:val="0"/>
              <w:autoSpaceDE w:val="0"/>
              <w:autoSpaceDN w:val="0"/>
              <w:adjustRightInd w:val="0"/>
              <w:spacing w:line="240" w:lineRule="auto"/>
              <w:rPr>
                <w:rFonts w:eastAsia="DengXian" w:cs="Times New Roman"/>
                <w:sz w:val="20"/>
                <w:szCs w:val="20"/>
              </w:rPr>
            </w:pPr>
            <w:r w:rsidRPr="002E4B8A">
              <w:rPr>
                <w:rFonts w:eastAsia="Calibri" w:cs="Times New Roman"/>
                <w:sz w:val="20"/>
                <w:szCs w:val="20"/>
              </w:rPr>
              <w:t>Yes</w:t>
            </w:r>
          </w:p>
        </w:tc>
      </w:tr>
      <w:tr w:rsidR="00D326A2" w:rsidRPr="002E4B8A" w14:paraId="39F0132F" w14:textId="77777777" w:rsidTr="00273B5A">
        <w:tc>
          <w:tcPr>
            <w:tcW w:w="874" w:type="pct"/>
            <w:tcBorders>
              <w:bottom w:val="single" w:sz="4" w:space="0" w:color="auto"/>
            </w:tcBorders>
            <w:hideMark/>
          </w:tcPr>
          <w:p w14:paraId="6DC8C07C" w14:textId="550FF52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Pseudo R</w:t>
            </w:r>
            <w:r w:rsidRPr="002E4B8A">
              <w:rPr>
                <w:rFonts w:eastAsia="DengXian" w:cs="Times New Roman"/>
                <w:sz w:val="20"/>
                <w:szCs w:val="20"/>
                <w:vertAlign w:val="superscript"/>
              </w:rPr>
              <w:t>2</w:t>
            </w:r>
          </w:p>
        </w:tc>
        <w:tc>
          <w:tcPr>
            <w:tcW w:w="553" w:type="pct"/>
            <w:tcBorders>
              <w:bottom w:val="single" w:sz="4" w:space="0" w:color="auto"/>
            </w:tcBorders>
            <w:hideMark/>
          </w:tcPr>
          <w:p w14:paraId="498D36AE" w14:textId="49DF7AE4"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.7</w:t>
            </w:r>
            <w:r w:rsidR="008D5BA6" w:rsidRPr="002E4B8A">
              <w:rPr>
                <w:rFonts w:eastAsia="DengXian" w:cs="Times New Roman"/>
                <w:sz w:val="20"/>
                <w:szCs w:val="20"/>
              </w:rPr>
              <w:t>90</w:t>
            </w:r>
          </w:p>
        </w:tc>
        <w:tc>
          <w:tcPr>
            <w:tcW w:w="553" w:type="pct"/>
            <w:tcBorders>
              <w:bottom w:val="single" w:sz="4" w:space="0" w:color="auto"/>
            </w:tcBorders>
            <w:hideMark/>
          </w:tcPr>
          <w:p w14:paraId="49777EC3" w14:textId="751223CD"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.91</w:t>
            </w:r>
            <w:r w:rsidR="008D5BA6" w:rsidRPr="002E4B8A">
              <w:rPr>
                <w:rFonts w:eastAsia="DengXian" w:cs="Times New Roman"/>
                <w:sz w:val="20"/>
                <w:szCs w:val="20"/>
              </w:rPr>
              <w:t>6</w:t>
            </w:r>
          </w:p>
        </w:tc>
        <w:tc>
          <w:tcPr>
            <w:tcW w:w="553" w:type="pct"/>
            <w:tcBorders>
              <w:bottom w:val="single" w:sz="4" w:space="0" w:color="auto"/>
            </w:tcBorders>
            <w:hideMark/>
          </w:tcPr>
          <w:p w14:paraId="0846D89C" w14:textId="28D6107B"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.8</w:t>
            </w:r>
            <w:r w:rsidR="008D5BA6" w:rsidRPr="002E4B8A">
              <w:rPr>
                <w:rFonts w:eastAsia="DengXian" w:cs="Times New Roman"/>
                <w:sz w:val="20"/>
                <w:szCs w:val="20"/>
              </w:rPr>
              <w:t>20</w:t>
            </w:r>
          </w:p>
        </w:tc>
        <w:tc>
          <w:tcPr>
            <w:tcW w:w="553" w:type="pct"/>
            <w:tcBorders>
              <w:bottom w:val="single" w:sz="4" w:space="0" w:color="auto"/>
            </w:tcBorders>
            <w:hideMark/>
          </w:tcPr>
          <w:p w14:paraId="20F07D04" w14:textId="20EBC291"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.941</w:t>
            </w:r>
          </w:p>
        </w:tc>
        <w:tc>
          <w:tcPr>
            <w:tcW w:w="628" w:type="pct"/>
            <w:tcBorders>
              <w:bottom w:val="single" w:sz="4" w:space="0" w:color="auto"/>
            </w:tcBorders>
            <w:hideMark/>
          </w:tcPr>
          <w:p w14:paraId="44F8B99A" w14:textId="60CDAEC7"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.90</w:t>
            </w:r>
            <w:r w:rsidR="008D5BA6" w:rsidRPr="002E4B8A">
              <w:rPr>
                <w:rFonts w:eastAsia="DengXian" w:cs="Times New Roman"/>
                <w:sz w:val="20"/>
                <w:szCs w:val="20"/>
              </w:rPr>
              <w:t>7</w:t>
            </w:r>
          </w:p>
        </w:tc>
        <w:tc>
          <w:tcPr>
            <w:tcW w:w="643" w:type="pct"/>
            <w:tcBorders>
              <w:bottom w:val="single" w:sz="4" w:space="0" w:color="auto"/>
            </w:tcBorders>
            <w:hideMark/>
          </w:tcPr>
          <w:p w14:paraId="14F516CC" w14:textId="7C392215" w:rsidR="005E02DB"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.951</w:t>
            </w:r>
          </w:p>
        </w:tc>
        <w:tc>
          <w:tcPr>
            <w:tcW w:w="644" w:type="pct"/>
            <w:tcBorders>
              <w:bottom w:val="single" w:sz="4" w:space="0" w:color="auto"/>
            </w:tcBorders>
            <w:hideMark/>
          </w:tcPr>
          <w:p w14:paraId="19785F63" w14:textId="2375656E" w:rsidR="00273B5A" w:rsidRPr="002E4B8A" w:rsidRDefault="005E02DB" w:rsidP="002E4B8A">
            <w:pPr>
              <w:widowControl w:val="0"/>
              <w:autoSpaceDE w:val="0"/>
              <w:autoSpaceDN w:val="0"/>
              <w:adjustRightInd w:val="0"/>
              <w:spacing w:line="240" w:lineRule="auto"/>
              <w:rPr>
                <w:rFonts w:eastAsia="DengXian" w:cs="Times New Roman"/>
                <w:sz w:val="20"/>
                <w:szCs w:val="20"/>
              </w:rPr>
            </w:pPr>
            <w:r w:rsidRPr="002E4B8A">
              <w:rPr>
                <w:rFonts w:eastAsia="DengXian" w:cs="Times New Roman"/>
                <w:sz w:val="20"/>
                <w:szCs w:val="20"/>
              </w:rPr>
              <w:t>.93</w:t>
            </w:r>
            <w:r w:rsidR="008D5BA6" w:rsidRPr="002E4B8A">
              <w:rPr>
                <w:rFonts w:eastAsia="DengXian" w:cs="Times New Roman"/>
                <w:sz w:val="20"/>
                <w:szCs w:val="20"/>
              </w:rPr>
              <w:t>3</w:t>
            </w:r>
          </w:p>
        </w:tc>
      </w:tr>
    </w:tbl>
    <w:p w14:paraId="69C0E23C" w14:textId="5EEFC40C" w:rsidR="00273B5A" w:rsidRPr="00273B5A" w:rsidRDefault="007B2509" w:rsidP="00273B5A">
      <w:pPr>
        <w:widowControl w:val="0"/>
        <w:autoSpaceDE w:val="0"/>
        <w:autoSpaceDN w:val="0"/>
        <w:adjustRightInd w:val="0"/>
        <w:spacing w:line="240" w:lineRule="auto"/>
        <w:rPr>
          <w:rFonts w:eastAsia="DengXian" w:cs="Times New Roman"/>
          <w:sz w:val="20"/>
          <w:szCs w:val="20"/>
          <w:lang w:eastAsia="zh-CN"/>
        </w:rPr>
      </w:pPr>
      <w:r>
        <w:rPr>
          <w:rFonts w:eastAsia="DengXian" w:cs="Times New Roman"/>
          <w:sz w:val="20"/>
          <w:szCs w:val="20"/>
          <w:lang w:eastAsia="zh-CN"/>
        </w:rPr>
        <w:t xml:space="preserve">Table A63: </w:t>
      </w:r>
      <w:r w:rsidR="00273B5A" w:rsidRPr="002E4B8A">
        <w:rPr>
          <w:rFonts w:eastAsia="DengXian" w:cs="Times New Roman"/>
          <w:sz w:val="20"/>
          <w:szCs w:val="20"/>
          <w:lang w:val="zh-CN" w:eastAsia="zh-CN"/>
        </w:rPr>
        <w:t xml:space="preserve">Results of PPMLHDFE regressions on Job Count using the Continuous Range Indicator for NAICS </w:t>
      </w:r>
      <w:r w:rsidR="00273B5A" w:rsidRPr="002E4B8A">
        <w:rPr>
          <w:rFonts w:eastAsia="DengXian" w:cs="Times New Roman"/>
          <w:sz w:val="20"/>
          <w:szCs w:val="20"/>
          <w:lang w:val="zh-CN" w:eastAsia="zh-CN"/>
        </w:rPr>
        <w:lastRenderedPageBreak/>
        <w:t>sectors (11–71), with State, County, and Year Fixed Effects. This table explores how the extent of habitat overlap influences temporal and sectoral outcomes.</w:t>
      </w:r>
      <w:r w:rsidR="00273B5A">
        <w:rPr>
          <w:rFonts w:eastAsia="DengXian" w:cs="Times New Roman"/>
          <w:sz w:val="20"/>
          <w:szCs w:val="20"/>
          <w:lang w:eastAsia="zh-CN"/>
        </w:rPr>
        <w:t xml:space="preserve"> </w:t>
      </w:r>
      <w:r w:rsidR="00273B5A" w:rsidRPr="00C624DB">
        <w:rPr>
          <w:sz w:val="20"/>
          <w:szCs w:val="20"/>
          <w:lang/>
        </w:rPr>
        <w:t xml:space="preserve">Standard errors are </w:t>
      </w:r>
      <w:r w:rsidR="00273B5A">
        <w:rPr>
          <w:sz w:val="20"/>
          <w:szCs w:val="20"/>
          <w:lang/>
        </w:rPr>
        <w:t xml:space="preserve">in parentheses and are </w:t>
      </w:r>
      <w:r w:rsidR="00273B5A" w:rsidRPr="00C624DB">
        <w:rPr>
          <w:sz w:val="20"/>
          <w:szCs w:val="20"/>
          <w:lang/>
        </w:rPr>
        <w:t xml:space="preserve">clustered at the county level. </w:t>
      </w:r>
      <w:r w:rsidR="00273B5A" w:rsidRPr="002C0F11">
        <w:rPr>
          <w:sz w:val="20"/>
          <w:szCs w:val="20"/>
          <w:lang/>
        </w:rPr>
        <w:t>Statistically significant impacts are denoted by asterisks. These asterisks denote statistical significance at the following levels: ***p &lt; 0.01, **p &lt; 0.05, *p &lt; 0.1.</w:t>
      </w:r>
    </w:p>
    <w:p w14:paraId="23E4A162" w14:textId="77777777" w:rsidR="00B34C76" w:rsidRDefault="00B34C76" w:rsidP="002E4B8A">
      <w:pPr>
        <w:widowControl w:val="0"/>
        <w:autoSpaceDE w:val="0"/>
        <w:autoSpaceDN w:val="0"/>
        <w:adjustRightInd w:val="0"/>
        <w:spacing w:line="240" w:lineRule="auto"/>
        <w:rPr>
          <w:rFonts w:eastAsia="DengXian" w:cs="Times New Roman"/>
          <w:sz w:val="20"/>
          <w:szCs w:val="20"/>
          <w:lang w:val="zh-CN" w:eastAsia="zh-CN"/>
        </w:rPr>
        <w:sectPr w:rsidR="00B34C76" w:rsidSect="003B5A8E">
          <w:pgSz w:w="12240" w:h="15840" w:code="1"/>
          <w:pgMar w:top="1440" w:right="1440" w:bottom="1440" w:left="1440" w:header="720" w:footer="1440" w:gutter="0"/>
          <w:cols w:space="720"/>
          <w:noEndnote/>
          <w:docGrid w:linePitch="360"/>
        </w:sectPr>
      </w:pPr>
    </w:p>
    <w:p w14:paraId="0EC5627F" w14:textId="58CF51D0" w:rsidR="00236E6D" w:rsidRPr="00FA66EA" w:rsidRDefault="00526151" w:rsidP="00DB1842">
      <w:pPr>
        <w:pStyle w:val="Heading1"/>
      </w:pPr>
      <w:bookmarkStart w:id="810" w:name="_Toc188379084"/>
      <w:bookmarkEnd w:id="791"/>
      <w:r w:rsidRPr="00FA66EA">
        <w:lastRenderedPageBreak/>
        <w:t>CONCLUSION</w:t>
      </w:r>
      <w:bookmarkEnd w:id="526"/>
      <w:bookmarkEnd w:id="527"/>
      <w:bookmarkEnd w:id="810"/>
    </w:p>
    <w:p w14:paraId="58EA2871" w14:textId="77777777" w:rsidR="00FA66EA" w:rsidRPr="00FA66EA" w:rsidRDefault="00FA66EA" w:rsidP="0057442E">
      <w:bookmarkStart w:id="811" w:name="_Toc289175844"/>
      <w:bookmarkStart w:id="812" w:name="_Toc175638330"/>
      <w:r w:rsidRPr="00FA66EA">
        <w:t>This dissertation provides a comprehensive exploration of the intersections between environmental policies and economic dynamics, highlighting the nuanced ways in which conservation and economic objectives interact across sectors and geographies. Key findings from the three chapters underscore the importance of tailoring policy interventions to the specific economic and environmental contexts:</w:t>
      </w:r>
    </w:p>
    <w:p w14:paraId="6AC3ED76" w14:textId="77777777" w:rsidR="00FA66EA" w:rsidRPr="00FA66EA" w:rsidRDefault="00FA66EA" w:rsidP="0057442E">
      <w:r w:rsidRPr="00FA66EA">
        <w:t>Chapter 1 demonstrated that PADs, while effective in preserving biodiversity, have heterogeneous impacts on LIS depending on the level of conservation stringency and existing PAD coverage. Policies should account for these non-linear effects to mitigate economic disruptions while enhancing ecological benefits.</w:t>
      </w:r>
    </w:p>
    <w:p w14:paraId="4B6E20B8" w14:textId="77777777" w:rsidR="00FA66EA" w:rsidRPr="00FA66EA" w:rsidRDefault="00FA66EA" w:rsidP="0057442E">
      <w:r w:rsidRPr="00FA66EA">
        <w:t>Chapter 2 revealed that wildfires, though destructive, create opportunities for recovery-focused sectors. Sector-specific support and resilience-building measures are vital for enhancing adaptive capacities in wildfire-prone regions.</w:t>
      </w:r>
    </w:p>
    <w:p w14:paraId="5DAB01A1" w14:textId="77777777" w:rsidR="00FA66EA" w:rsidRPr="00FA66EA" w:rsidRDefault="00FA66EA" w:rsidP="0057442E">
      <w:r w:rsidRPr="00FA66EA">
        <w:t>Chapter 3 showed that delisting species like the Louisiana Black Bear post-recovery has both positive and negative economic implications. Long-term monitoring and targeted interventions are necessary to balance economic growth with sustainable conservation outcomes.</w:t>
      </w:r>
    </w:p>
    <w:p w14:paraId="2A6DCAD1" w14:textId="77777777" w:rsidR="00FA66EA" w:rsidRDefault="00FA66EA" w:rsidP="0057442E">
      <w:pPr>
        <w:rPr>
          <w:b/>
          <w:bCs/>
          <w:iCs/>
        </w:rPr>
      </w:pPr>
      <w:r w:rsidRPr="00FA66EA">
        <w:t xml:space="preserve">By employing advanced econometric models and leveraging rich datasets, this dissertation advances the understanding of conservation’s economic trade-offs and opportunities. Future research should focus on integrating climate adaptation, economic resilience, and conservation objectives to foster sustainable development. Policymakers must prioritize adaptive strategies </w:t>
      </w:r>
      <w:r w:rsidRPr="00FA66EA">
        <w:lastRenderedPageBreak/>
        <w:t>that align with regional needs, ensuring that economic growth complements environmental stewardship.</w:t>
      </w:r>
    </w:p>
    <w:bookmarkEnd w:id="811"/>
    <w:bookmarkEnd w:id="812"/>
    <w:p w14:paraId="0EC56284" w14:textId="77777777" w:rsidR="00825933" w:rsidRPr="00525895" w:rsidRDefault="00236E6D" w:rsidP="00DB1842">
      <w:pPr>
        <w:pStyle w:val="Heading1"/>
      </w:pPr>
      <w:r w:rsidRPr="00525895">
        <w:br w:type="page"/>
      </w:r>
    </w:p>
    <w:p w14:paraId="0EC56285" w14:textId="77777777" w:rsidR="00236E6D" w:rsidRPr="00525895" w:rsidRDefault="00526151" w:rsidP="00DB1842">
      <w:pPr>
        <w:pStyle w:val="Heading1"/>
      </w:pPr>
      <w:bookmarkStart w:id="813" w:name="_Toc289175845"/>
      <w:bookmarkStart w:id="814" w:name="_Toc175638331"/>
      <w:bookmarkStart w:id="815" w:name="_Toc188379085"/>
      <w:r w:rsidRPr="00525895">
        <w:lastRenderedPageBreak/>
        <w:t>VITA</w:t>
      </w:r>
      <w:bookmarkEnd w:id="813"/>
      <w:bookmarkEnd w:id="814"/>
      <w:bookmarkEnd w:id="815"/>
    </w:p>
    <w:p w14:paraId="5BD8E492" w14:textId="77777777" w:rsidR="00273B5A" w:rsidRPr="00273B5A" w:rsidRDefault="00273B5A" w:rsidP="00273B5A">
      <w:pPr>
        <w:rPr>
          <w:rFonts w:cs="Times New Roman"/>
          <w:lang/>
        </w:rPr>
      </w:pPr>
      <w:r w:rsidRPr="00273B5A">
        <w:rPr>
          <w:rFonts w:cs="Times New Roman"/>
          <w:lang/>
        </w:rPr>
        <w:t>Prubesh Lutchmunsing Balgobin was born and raised on the beautiful island of Mauritius, a multicultural nation whose rich biodiversity has profoundly shaped his worldview. Prubesh is fluent in Creole, French, and English, reflecting his global outlook and adaptability. His academic and professional journey spans multiple continents and disciplines, embodying his dedication to addressing complex global challenges.</w:t>
      </w:r>
    </w:p>
    <w:p w14:paraId="2AC5ABE0" w14:textId="77777777" w:rsidR="00273B5A" w:rsidRPr="00273B5A" w:rsidRDefault="00273B5A" w:rsidP="00273B5A">
      <w:pPr>
        <w:rPr>
          <w:rFonts w:cs="Times New Roman"/>
          <w:lang/>
        </w:rPr>
      </w:pPr>
      <w:r w:rsidRPr="00273B5A">
        <w:rPr>
          <w:rFonts w:cs="Times New Roman"/>
          <w:lang/>
        </w:rPr>
        <w:t>Prubesh began his academic journey at the University of Cape Town in South Africa, where he earned a Bachelor of Science in Mathematics. There, he developed a robust foundation in analytical and quantitative reasoning, skills that would underpin his multidisciplinary pursuits. Building on this foundation, he completed dual Master’s degrees in Professional Accounting and International Finance at Deakin University in Australia, where he gained deep expertise in financial analysis, decision-making frameworks, and the intricacies of global financial markets.</w:t>
      </w:r>
    </w:p>
    <w:p w14:paraId="7C5F8D5C" w14:textId="77777777" w:rsidR="00273B5A" w:rsidRPr="00273B5A" w:rsidRDefault="00273B5A" w:rsidP="00273B5A">
      <w:pPr>
        <w:rPr>
          <w:rFonts w:cs="Times New Roman"/>
          <w:lang/>
        </w:rPr>
      </w:pPr>
      <w:r w:rsidRPr="00273B5A">
        <w:rPr>
          <w:rFonts w:cs="Times New Roman"/>
          <w:lang/>
        </w:rPr>
        <w:t>Furthering his passion for applied economics and policy, Prubesh earned a Master of Arts in Economics from the University of Tennessee, Knoxville. During his time at UT, he specialized in empirical research and econometrics, advancing his understanding of the intersection between economics, sustainability, and public policy. His academic journey culminates in this dissertation, which explores the economic impacts of environmental policies, showcasing his ability to integrate mathematical precision, financial acumen, and economic insight to address real-world issues.</w:t>
      </w:r>
    </w:p>
    <w:p w14:paraId="78BEEC38" w14:textId="77777777" w:rsidR="00273B5A" w:rsidRPr="00273B5A" w:rsidRDefault="00273B5A" w:rsidP="00273B5A">
      <w:pPr>
        <w:rPr>
          <w:rFonts w:cs="Times New Roman"/>
          <w:lang/>
        </w:rPr>
      </w:pPr>
      <w:r w:rsidRPr="00273B5A">
        <w:rPr>
          <w:rFonts w:cs="Times New Roman"/>
          <w:lang/>
        </w:rPr>
        <w:t xml:space="preserve">Prubesh’s professional career spans nearly a decade in the Commodity and Futures Market, where he developed unparalleled expertise in global trade dynamics, risk management, and </w:t>
      </w:r>
      <w:r w:rsidRPr="00273B5A">
        <w:rPr>
          <w:rFonts w:cs="Times New Roman"/>
          <w:lang/>
        </w:rPr>
        <w:lastRenderedPageBreak/>
        <w:t>market behavior. His practical experience complements his academic achievements, enabling him to bridge theory and practice effectively. At the University of Tennessee, he served as both an Instructor and a Graduate Research Assistant, mentoring students and conducting data-driven research on pressing economic and environmental challenges.</w:t>
      </w:r>
    </w:p>
    <w:p w14:paraId="4F790C77" w14:textId="77777777" w:rsidR="00273B5A" w:rsidRPr="00273B5A" w:rsidRDefault="00273B5A" w:rsidP="00273B5A">
      <w:pPr>
        <w:rPr>
          <w:rFonts w:cs="Times New Roman"/>
          <w:lang/>
        </w:rPr>
      </w:pPr>
      <w:r w:rsidRPr="00273B5A">
        <w:rPr>
          <w:rFonts w:cs="Times New Roman"/>
          <w:lang/>
        </w:rPr>
        <w:t>Beyond his academic and professional endeavors, Prubesh is deeply committed to giving back to his community and the planet. He actively engages in charity work for stray animals, recognizing the vital role non-human species play in maintaining ecosystems. His vision extends far beyond personal success. Prubesh aspires to become a Finance Tycoon focused on sustainable development projects that enhance the welfare of families and corporations across all income brackets. He envisions fostering a circular economy while advocating for the recognition and remuneration of non-human contributors to planetary sustainability.</w:t>
      </w:r>
    </w:p>
    <w:p w14:paraId="71E00F43" w14:textId="77777777" w:rsidR="00273B5A" w:rsidRPr="00273B5A" w:rsidRDefault="00273B5A" w:rsidP="00273B5A">
      <w:pPr>
        <w:rPr>
          <w:rFonts w:cs="Times New Roman"/>
          <w:lang/>
        </w:rPr>
      </w:pPr>
      <w:r w:rsidRPr="00273B5A">
        <w:rPr>
          <w:rFonts w:cs="Times New Roman"/>
          <w:lang/>
        </w:rPr>
        <w:t>Prubesh Lutchmunsing Balgobin’s multidisciplinary expertise, global experience, and passion for sustainability uniquely position him to drive transformative change at the nexus of finance, economics, and environmental stewardship. His journey exemplifies a commitment to excellence, innovation, and creating a better future for all.</w:t>
      </w:r>
    </w:p>
    <w:p w14:paraId="0EC56287" w14:textId="592782FC" w:rsidR="003D63DF" w:rsidRPr="00525895" w:rsidRDefault="003D63DF" w:rsidP="00273B5A">
      <w:pPr>
        <w:rPr>
          <w:rFonts w:cs="Times New Roman"/>
        </w:rPr>
      </w:pPr>
    </w:p>
    <w:sectPr w:rsidR="003D63DF" w:rsidRPr="00525895" w:rsidSect="00624082">
      <w:pgSz w:w="12240" w:h="15840" w:code="1"/>
      <w:pgMar w:top="1440" w:right="1440" w:bottom="1440" w:left="1440" w:header="720" w:footer="144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447CE2" w14:textId="77777777" w:rsidR="00380CF1" w:rsidRDefault="00380CF1" w:rsidP="005E54E2">
      <w:r>
        <w:separator/>
      </w:r>
    </w:p>
    <w:p w14:paraId="7F7794A8" w14:textId="77777777" w:rsidR="00380CF1" w:rsidRDefault="00380CF1" w:rsidP="005E54E2"/>
    <w:p w14:paraId="298EF7D4" w14:textId="77777777" w:rsidR="00380CF1" w:rsidRDefault="00380CF1" w:rsidP="005E54E2"/>
    <w:p w14:paraId="6CC65129" w14:textId="77777777" w:rsidR="00380CF1" w:rsidRDefault="00380CF1" w:rsidP="005E54E2"/>
  </w:endnote>
  <w:endnote w:type="continuationSeparator" w:id="0">
    <w:p w14:paraId="0764CDA9" w14:textId="77777777" w:rsidR="00380CF1" w:rsidRDefault="00380CF1" w:rsidP="005E54E2">
      <w:r>
        <w:continuationSeparator/>
      </w:r>
    </w:p>
    <w:p w14:paraId="41327D19" w14:textId="77777777" w:rsidR="00380CF1" w:rsidRDefault="00380CF1" w:rsidP="005E54E2"/>
    <w:p w14:paraId="48F60478" w14:textId="77777777" w:rsidR="00380CF1" w:rsidRDefault="00380CF1" w:rsidP="005E54E2"/>
    <w:p w14:paraId="21164803" w14:textId="77777777" w:rsidR="00380CF1" w:rsidRDefault="00380CF1" w:rsidP="005E54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0480637"/>
      <w:docPartObj>
        <w:docPartGallery w:val="Page Numbers (Bottom of Page)"/>
        <w:docPartUnique/>
      </w:docPartObj>
    </w:sdtPr>
    <w:sdtEndPr>
      <w:rPr>
        <w:noProof/>
      </w:rPr>
    </w:sdtEndPr>
    <w:sdtContent>
      <w:p w14:paraId="77C6C65B" w14:textId="6BD3F8EB" w:rsidR="00B171B7" w:rsidRDefault="00B171B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519C0AD" w14:textId="38018ABC" w:rsidR="003074D3" w:rsidRDefault="003074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314E8F" w14:textId="77777777" w:rsidR="00380CF1" w:rsidRDefault="00380CF1" w:rsidP="005E54E2">
      <w:r>
        <w:separator/>
      </w:r>
    </w:p>
    <w:p w14:paraId="6E9FA0DC" w14:textId="77777777" w:rsidR="00380CF1" w:rsidRDefault="00380CF1" w:rsidP="005E54E2"/>
    <w:p w14:paraId="7CEAFAC0" w14:textId="77777777" w:rsidR="00380CF1" w:rsidRDefault="00380CF1" w:rsidP="005E54E2"/>
    <w:p w14:paraId="5DA28811" w14:textId="77777777" w:rsidR="00380CF1" w:rsidRDefault="00380CF1" w:rsidP="005E54E2"/>
  </w:footnote>
  <w:footnote w:type="continuationSeparator" w:id="0">
    <w:p w14:paraId="356C2E81" w14:textId="77777777" w:rsidR="00380CF1" w:rsidRDefault="00380CF1" w:rsidP="005E54E2">
      <w:r>
        <w:continuationSeparator/>
      </w:r>
    </w:p>
    <w:p w14:paraId="1240D246" w14:textId="77777777" w:rsidR="00380CF1" w:rsidRDefault="00380CF1" w:rsidP="005E54E2"/>
    <w:p w14:paraId="5BCF7EE0" w14:textId="77777777" w:rsidR="00380CF1" w:rsidRDefault="00380CF1" w:rsidP="005E54E2"/>
    <w:p w14:paraId="42434119" w14:textId="77777777" w:rsidR="00380CF1" w:rsidRDefault="00380CF1" w:rsidP="005E54E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A4CAEC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FCCDC4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E7CC5E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A0AE90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F0DD6"/>
    <w:multiLevelType w:val="hybridMultilevel"/>
    <w:tmpl w:val="BDB6A544"/>
    <w:lvl w:ilvl="0" w:tplc="20000011">
      <w:start w:val="1"/>
      <w:numFmt w:val="decimal"/>
      <w:lvlText w:val="%1)"/>
      <w:lvlJc w:val="left"/>
      <w:pPr>
        <w:ind w:left="360" w:hanging="360"/>
      </w:pPr>
      <w:rPr>
        <w:rFonts w:hint="default"/>
      </w:rPr>
    </w:lvl>
    <w:lvl w:ilvl="1" w:tplc="20000019">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1" w15:restartNumberingAfterBreak="0">
    <w:nsid w:val="07382ECE"/>
    <w:multiLevelType w:val="multilevel"/>
    <w:tmpl w:val="29683F5D"/>
    <w:lvl w:ilvl="0">
      <w:start w:val="1"/>
      <w:numFmt w:val="decimal"/>
      <w:lvlText w:val="%1."/>
      <w:lvlJc w:val="left"/>
      <w:pPr>
        <w:tabs>
          <w:tab w:val="left" w:pos="360"/>
        </w:tabs>
        <w:ind w:left="360" w:hanging="360"/>
      </w:pPr>
    </w:lvl>
    <w:lvl w:ilvl="1">
      <w:start w:val="1"/>
      <w:numFmt w:val="decimal"/>
      <w:lvlText w:val="%2."/>
      <w:lvlJc w:val="left"/>
      <w:pPr>
        <w:tabs>
          <w:tab w:val="left" w:pos="1080"/>
        </w:tabs>
        <w:ind w:left="1080" w:hanging="360"/>
      </w:pPr>
    </w:lvl>
    <w:lvl w:ilvl="2">
      <w:start w:val="1"/>
      <w:numFmt w:val="decimal"/>
      <w:lvlText w:val="%3."/>
      <w:lvlJc w:val="left"/>
      <w:pPr>
        <w:tabs>
          <w:tab w:val="left" w:pos="1800"/>
        </w:tabs>
        <w:ind w:left="1800" w:hanging="360"/>
      </w:pPr>
    </w:lvl>
    <w:lvl w:ilvl="3">
      <w:start w:val="1"/>
      <w:numFmt w:val="decimal"/>
      <w:lvlText w:val="%4."/>
      <w:lvlJc w:val="left"/>
      <w:pPr>
        <w:tabs>
          <w:tab w:val="left" w:pos="2520"/>
        </w:tabs>
        <w:ind w:left="2520" w:hanging="360"/>
      </w:pPr>
    </w:lvl>
    <w:lvl w:ilvl="4">
      <w:start w:val="1"/>
      <w:numFmt w:val="decimal"/>
      <w:lvlText w:val="%5."/>
      <w:lvlJc w:val="left"/>
      <w:pPr>
        <w:tabs>
          <w:tab w:val="left" w:pos="3240"/>
        </w:tabs>
        <w:ind w:left="3240" w:hanging="360"/>
      </w:pPr>
    </w:lvl>
    <w:lvl w:ilvl="5">
      <w:start w:val="1"/>
      <w:numFmt w:val="decimal"/>
      <w:lvlText w:val="%6."/>
      <w:lvlJc w:val="left"/>
      <w:pPr>
        <w:tabs>
          <w:tab w:val="left" w:pos="3960"/>
        </w:tabs>
        <w:ind w:left="3960" w:hanging="360"/>
      </w:pPr>
    </w:lvl>
    <w:lvl w:ilvl="6">
      <w:start w:val="1"/>
      <w:numFmt w:val="decimal"/>
      <w:lvlText w:val="%7."/>
      <w:lvlJc w:val="left"/>
      <w:pPr>
        <w:tabs>
          <w:tab w:val="left" w:pos="4680"/>
        </w:tabs>
        <w:ind w:left="4680" w:hanging="360"/>
      </w:pPr>
    </w:lvl>
    <w:lvl w:ilvl="7">
      <w:start w:val="1"/>
      <w:numFmt w:val="decimal"/>
      <w:lvlText w:val="%8."/>
      <w:lvlJc w:val="left"/>
      <w:pPr>
        <w:tabs>
          <w:tab w:val="left" w:pos="5400"/>
        </w:tabs>
        <w:ind w:left="5400" w:hanging="360"/>
      </w:pPr>
    </w:lvl>
    <w:lvl w:ilvl="8">
      <w:start w:val="1"/>
      <w:numFmt w:val="decimal"/>
      <w:lvlText w:val="%9."/>
      <w:lvlJc w:val="left"/>
      <w:pPr>
        <w:tabs>
          <w:tab w:val="left" w:pos="6120"/>
        </w:tabs>
        <w:ind w:left="6120" w:hanging="360"/>
      </w:pPr>
    </w:lvl>
  </w:abstractNum>
  <w:abstractNum w:abstractNumId="12" w15:restartNumberingAfterBreak="0">
    <w:nsid w:val="0D4679B0"/>
    <w:multiLevelType w:val="multilevel"/>
    <w:tmpl w:val="D4820B24"/>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 w15:restartNumberingAfterBreak="0">
    <w:nsid w:val="0E690689"/>
    <w:multiLevelType w:val="hybridMultilevel"/>
    <w:tmpl w:val="CCFA346C"/>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4" w15:restartNumberingAfterBreak="0">
    <w:nsid w:val="0F2E0531"/>
    <w:multiLevelType w:val="hybridMultilevel"/>
    <w:tmpl w:val="C85AB5CC"/>
    <w:lvl w:ilvl="0" w:tplc="E5E2970A">
      <w:start w:val="1"/>
      <w:numFmt w:val="lowerLetter"/>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5" w15:restartNumberingAfterBreak="0">
    <w:nsid w:val="0F9F0362"/>
    <w:multiLevelType w:val="multilevel"/>
    <w:tmpl w:val="A2FA01F6"/>
    <w:lvl w:ilvl="0">
      <w:start w:val="1"/>
      <w:numFmt w:val="decimal"/>
      <w:lvlText w:val="%1."/>
      <w:lvlJc w:val="left"/>
      <w:pPr>
        <w:ind w:left="720" w:hanging="360"/>
      </w:pPr>
      <w:rPr>
        <w:rFonts w:hint="default"/>
      </w:rPr>
    </w:lvl>
    <w:lvl w:ilvl="1">
      <w:start w:val="2"/>
      <w:numFmt w:val="decimal"/>
      <w:isLgl/>
      <w:lvlText w:val="%1.%2"/>
      <w:lvlJc w:val="left"/>
      <w:pPr>
        <w:ind w:left="975" w:hanging="61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10220C67"/>
    <w:multiLevelType w:val="multilevel"/>
    <w:tmpl w:val="10220C6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19C425D9"/>
    <w:multiLevelType w:val="hybridMultilevel"/>
    <w:tmpl w:val="5A8AB720"/>
    <w:lvl w:ilvl="0" w:tplc="20000001">
      <w:start w:val="1"/>
      <w:numFmt w:val="bullet"/>
      <w:lvlText w:val=""/>
      <w:lvlJc w:val="left"/>
      <w:pPr>
        <w:ind w:left="360" w:hanging="360"/>
      </w:pPr>
      <w:rPr>
        <w:rFonts w:ascii="Symbol" w:hAnsi="Symbol" w:hint="default"/>
      </w:rPr>
    </w:lvl>
    <w:lvl w:ilvl="1" w:tplc="20000003">
      <w:start w:val="1"/>
      <w:numFmt w:val="bullet"/>
      <w:lvlText w:val="o"/>
      <w:lvlJc w:val="left"/>
      <w:pPr>
        <w:ind w:left="1080" w:hanging="360"/>
      </w:pPr>
      <w:rPr>
        <w:rFonts w:ascii="Courier New" w:hAnsi="Courier New" w:cs="Courier New" w:hint="default"/>
      </w:rPr>
    </w:lvl>
    <w:lvl w:ilvl="2" w:tplc="20000005">
      <w:start w:val="1"/>
      <w:numFmt w:val="bullet"/>
      <w:lvlText w:val=""/>
      <w:lvlJc w:val="left"/>
      <w:pPr>
        <w:ind w:left="1800" w:hanging="360"/>
      </w:pPr>
      <w:rPr>
        <w:rFonts w:ascii="Wingdings" w:hAnsi="Wingdings" w:hint="default"/>
      </w:rPr>
    </w:lvl>
    <w:lvl w:ilvl="3" w:tplc="20000001">
      <w:start w:val="1"/>
      <w:numFmt w:val="bullet"/>
      <w:lvlText w:val=""/>
      <w:lvlJc w:val="left"/>
      <w:pPr>
        <w:ind w:left="2520" w:hanging="360"/>
      </w:pPr>
      <w:rPr>
        <w:rFonts w:ascii="Symbol" w:hAnsi="Symbol" w:hint="default"/>
      </w:rPr>
    </w:lvl>
    <w:lvl w:ilvl="4" w:tplc="20000003">
      <w:start w:val="1"/>
      <w:numFmt w:val="bullet"/>
      <w:lvlText w:val="o"/>
      <w:lvlJc w:val="left"/>
      <w:pPr>
        <w:ind w:left="3240" w:hanging="360"/>
      </w:pPr>
      <w:rPr>
        <w:rFonts w:ascii="Courier New" w:hAnsi="Courier New" w:cs="Courier New" w:hint="default"/>
      </w:rPr>
    </w:lvl>
    <w:lvl w:ilvl="5" w:tplc="20000005">
      <w:start w:val="1"/>
      <w:numFmt w:val="bullet"/>
      <w:lvlText w:val=""/>
      <w:lvlJc w:val="left"/>
      <w:pPr>
        <w:ind w:left="3960" w:hanging="360"/>
      </w:pPr>
      <w:rPr>
        <w:rFonts w:ascii="Wingdings" w:hAnsi="Wingdings" w:hint="default"/>
      </w:rPr>
    </w:lvl>
    <w:lvl w:ilvl="6" w:tplc="20000001">
      <w:start w:val="1"/>
      <w:numFmt w:val="bullet"/>
      <w:lvlText w:val=""/>
      <w:lvlJc w:val="left"/>
      <w:pPr>
        <w:ind w:left="4680" w:hanging="360"/>
      </w:pPr>
      <w:rPr>
        <w:rFonts w:ascii="Symbol" w:hAnsi="Symbol" w:hint="default"/>
      </w:rPr>
    </w:lvl>
    <w:lvl w:ilvl="7" w:tplc="20000003">
      <w:start w:val="1"/>
      <w:numFmt w:val="bullet"/>
      <w:lvlText w:val="o"/>
      <w:lvlJc w:val="left"/>
      <w:pPr>
        <w:ind w:left="5400" w:hanging="360"/>
      </w:pPr>
      <w:rPr>
        <w:rFonts w:ascii="Courier New" w:hAnsi="Courier New" w:cs="Courier New" w:hint="default"/>
      </w:rPr>
    </w:lvl>
    <w:lvl w:ilvl="8" w:tplc="20000005">
      <w:start w:val="1"/>
      <w:numFmt w:val="bullet"/>
      <w:lvlText w:val=""/>
      <w:lvlJc w:val="left"/>
      <w:pPr>
        <w:ind w:left="6120" w:hanging="360"/>
      </w:pPr>
      <w:rPr>
        <w:rFonts w:ascii="Wingdings" w:hAnsi="Wingdings" w:hint="default"/>
      </w:rPr>
    </w:lvl>
  </w:abstractNum>
  <w:abstractNum w:abstractNumId="18" w15:restartNumberingAfterBreak="0">
    <w:nsid w:val="1C4948F0"/>
    <w:multiLevelType w:val="multilevel"/>
    <w:tmpl w:val="1C4948F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1F7582E7"/>
    <w:multiLevelType w:val="singleLevel"/>
    <w:tmpl w:val="1F7582E7"/>
    <w:lvl w:ilvl="0">
      <w:start w:val="1"/>
      <w:numFmt w:val="bullet"/>
      <w:lvlText w:val=""/>
      <w:lvlJc w:val="left"/>
      <w:pPr>
        <w:tabs>
          <w:tab w:val="left" w:pos="420"/>
        </w:tabs>
        <w:ind w:left="420" w:hanging="420"/>
      </w:pPr>
      <w:rPr>
        <w:rFonts w:ascii="Wingdings" w:hAnsi="Wingdings" w:hint="default"/>
      </w:rPr>
    </w:lvl>
  </w:abstractNum>
  <w:abstractNum w:abstractNumId="20" w15:restartNumberingAfterBreak="0">
    <w:nsid w:val="1F9C6C4E"/>
    <w:multiLevelType w:val="hybridMultilevel"/>
    <w:tmpl w:val="6804D81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1" w15:restartNumberingAfterBreak="0">
    <w:nsid w:val="20021FC6"/>
    <w:multiLevelType w:val="hybridMultilevel"/>
    <w:tmpl w:val="516ABAA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2" w15:restartNumberingAfterBreak="0">
    <w:nsid w:val="22BB06D0"/>
    <w:multiLevelType w:val="hybridMultilevel"/>
    <w:tmpl w:val="379817D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3" w15:restartNumberingAfterBreak="0">
    <w:nsid w:val="25B53C41"/>
    <w:multiLevelType w:val="multilevel"/>
    <w:tmpl w:val="62026060"/>
    <w:lvl w:ilvl="0">
      <w:start w:val="1"/>
      <w:numFmt w:val="decimal"/>
      <w:lvlText w:val="%1."/>
      <w:lvlJc w:val="left"/>
      <w:pPr>
        <w:tabs>
          <w:tab w:val="left" w:pos="720"/>
        </w:tabs>
        <w:ind w:left="720" w:hanging="360"/>
      </w:pPr>
      <w:rPr>
        <w:b/>
        <w:bCs/>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4" w15:restartNumberingAfterBreak="0">
    <w:nsid w:val="25DF1EAB"/>
    <w:multiLevelType w:val="multilevel"/>
    <w:tmpl w:val="29683F5D"/>
    <w:lvl w:ilvl="0">
      <w:start w:val="1"/>
      <w:numFmt w:val="decimal"/>
      <w:lvlText w:val="%1."/>
      <w:lvlJc w:val="left"/>
      <w:pPr>
        <w:tabs>
          <w:tab w:val="left" w:pos="360"/>
        </w:tabs>
        <w:ind w:left="360" w:hanging="360"/>
      </w:pPr>
    </w:lvl>
    <w:lvl w:ilvl="1">
      <w:start w:val="1"/>
      <w:numFmt w:val="decimal"/>
      <w:lvlText w:val="%2."/>
      <w:lvlJc w:val="left"/>
      <w:pPr>
        <w:tabs>
          <w:tab w:val="left" w:pos="1080"/>
        </w:tabs>
        <w:ind w:left="1080" w:hanging="360"/>
      </w:pPr>
    </w:lvl>
    <w:lvl w:ilvl="2">
      <w:start w:val="1"/>
      <w:numFmt w:val="decimal"/>
      <w:lvlText w:val="%3."/>
      <w:lvlJc w:val="left"/>
      <w:pPr>
        <w:tabs>
          <w:tab w:val="left" w:pos="1800"/>
        </w:tabs>
        <w:ind w:left="1800" w:hanging="360"/>
      </w:pPr>
    </w:lvl>
    <w:lvl w:ilvl="3">
      <w:start w:val="1"/>
      <w:numFmt w:val="decimal"/>
      <w:lvlText w:val="%4."/>
      <w:lvlJc w:val="left"/>
      <w:pPr>
        <w:tabs>
          <w:tab w:val="left" w:pos="2520"/>
        </w:tabs>
        <w:ind w:left="2520" w:hanging="360"/>
      </w:pPr>
    </w:lvl>
    <w:lvl w:ilvl="4">
      <w:start w:val="1"/>
      <w:numFmt w:val="decimal"/>
      <w:lvlText w:val="%5."/>
      <w:lvlJc w:val="left"/>
      <w:pPr>
        <w:tabs>
          <w:tab w:val="left" w:pos="3240"/>
        </w:tabs>
        <w:ind w:left="3240" w:hanging="360"/>
      </w:pPr>
    </w:lvl>
    <w:lvl w:ilvl="5">
      <w:start w:val="1"/>
      <w:numFmt w:val="decimal"/>
      <w:lvlText w:val="%6."/>
      <w:lvlJc w:val="left"/>
      <w:pPr>
        <w:tabs>
          <w:tab w:val="left" w:pos="3960"/>
        </w:tabs>
        <w:ind w:left="3960" w:hanging="360"/>
      </w:pPr>
    </w:lvl>
    <w:lvl w:ilvl="6">
      <w:start w:val="1"/>
      <w:numFmt w:val="decimal"/>
      <w:lvlText w:val="%7."/>
      <w:lvlJc w:val="left"/>
      <w:pPr>
        <w:tabs>
          <w:tab w:val="left" w:pos="4680"/>
        </w:tabs>
        <w:ind w:left="4680" w:hanging="360"/>
      </w:pPr>
    </w:lvl>
    <w:lvl w:ilvl="7">
      <w:start w:val="1"/>
      <w:numFmt w:val="decimal"/>
      <w:lvlText w:val="%8."/>
      <w:lvlJc w:val="left"/>
      <w:pPr>
        <w:tabs>
          <w:tab w:val="left" w:pos="5400"/>
        </w:tabs>
        <w:ind w:left="5400" w:hanging="360"/>
      </w:pPr>
    </w:lvl>
    <w:lvl w:ilvl="8">
      <w:start w:val="1"/>
      <w:numFmt w:val="decimal"/>
      <w:lvlText w:val="%9."/>
      <w:lvlJc w:val="left"/>
      <w:pPr>
        <w:tabs>
          <w:tab w:val="left" w:pos="6120"/>
        </w:tabs>
        <w:ind w:left="6120" w:hanging="360"/>
      </w:pPr>
    </w:lvl>
  </w:abstractNum>
  <w:abstractNum w:abstractNumId="25" w15:restartNumberingAfterBreak="0">
    <w:nsid w:val="29683F5D"/>
    <w:multiLevelType w:val="multilevel"/>
    <w:tmpl w:val="29683F5D"/>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6" w15:restartNumberingAfterBreak="0">
    <w:nsid w:val="29B36B5C"/>
    <w:multiLevelType w:val="hybridMultilevel"/>
    <w:tmpl w:val="D6D65E5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7" w15:restartNumberingAfterBreak="0">
    <w:nsid w:val="2B7B370F"/>
    <w:multiLevelType w:val="hybridMultilevel"/>
    <w:tmpl w:val="0BF414DE"/>
    <w:lvl w:ilvl="0" w:tplc="E2764B88">
      <w:start w:val="431"/>
      <w:numFmt w:val="bullet"/>
      <w:lvlText w:val=""/>
      <w:lvlJc w:val="left"/>
      <w:pPr>
        <w:ind w:left="720" w:hanging="360"/>
      </w:pPr>
      <w:rPr>
        <w:rFonts w:ascii="Symbol" w:eastAsia="SimSun" w:hAnsi="Symbo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8" w15:restartNumberingAfterBreak="0">
    <w:nsid w:val="2E6337C4"/>
    <w:multiLevelType w:val="hybridMultilevel"/>
    <w:tmpl w:val="1898DC4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9" w15:restartNumberingAfterBreak="0">
    <w:nsid w:val="35F40094"/>
    <w:multiLevelType w:val="multilevel"/>
    <w:tmpl w:val="D4820B24"/>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0" w15:restartNumberingAfterBreak="0">
    <w:nsid w:val="376B5212"/>
    <w:multiLevelType w:val="hybridMultilevel"/>
    <w:tmpl w:val="A98283E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1" w15:restartNumberingAfterBreak="0">
    <w:nsid w:val="408447E8"/>
    <w:multiLevelType w:val="multilevel"/>
    <w:tmpl w:val="5F6C1ECC"/>
    <w:lvl w:ilvl="0">
      <w:start w:val="3"/>
      <w:numFmt w:val="decimal"/>
      <w:lvlText w:val="%1."/>
      <w:lvlJc w:val="left"/>
      <w:pPr>
        <w:ind w:left="720" w:hanging="360"/>
      </w:pPr>
      <w:rPr>
        <w:rFonts w:eastAsia="DengXian" w:hint="default"/>
        <w:b/>
      </w:rPr>
    </w:lvl>
    <w:lvl w:ilvl="1">
      <w:start w:val="3"/>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43734EE1"/>
    <w:multiLevelType w:val="hybridMultilevel"/>
    <w:tmpl w:val="C5447D3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3" w15:restartNumberingAfterBreak="0">
    <w:nsid w:val="43A022B0"/>
    <w:multiLevelType w:val="multilevel"/>
    <w:tmpl w:val="29683F5D"/>
    <w:lvl w:ilvl="0">
      <w:start w:val="1"/>
      <w:numFmt w:val="decimal"/>
      <w:lvlText w:val="%1."/>
      <w:lvlJc w:val="left"/>
      <w:pPr>
        <w:tabs>
          <w:tab w:val="left" w:pos="360"/>
        </w:tabs>
        <w:ind w:left="360" w:hanging="360"/>
      </w:pPr>
    </w:lvl>
    <w:lvl w:ilvl="1">
      <w:start w:val="1"/>
      <w:numFmt w:val="decimal"/>
      <w:lvlText w:val="%2."/>
      <w:lvlJc w:val="left"/>
      <w:pPr>
        <w:tabs>
          <w:tab w:val="left" w:pos="1080"/>
        </w:tabs>
        <w:ind w:left="1080" w:hanging="360"/>
      </w:pPr>
    </w:lvl>
    <w:lvl w:ilvl="2">
      <w:start w:val="1"/>
      <w:numFmt w:val="decimal"/>
      <w:lvlText w:val="%3."/>
      <w:lvlJc w:val="left"/>
      <w:pPr>
        <w:tabs>
          <w:tab w:val="left" w:pos="1800"/>
        </w:tabs>
        <w:ind w:left="1800" w:hanging="360"/>
      </w:pPr>
    </w:lvl>
    <w:lvl w:ilvl="3">
      <w:start w:val="1"/>
      <w:numFmt w:val="decimal"/>
      <w:lvlText w:val="%4."/>
      <w:lvlJc w:val="left"/>
      <w:pPr>
        <w:tabs>
          <w:tab w:val="left" w:pos="2520"/>
        </w:tabs>
        <w:ind w:left="2520" w:hanging="360"/>
      </w:pPr>
    </w:lvl>
    <w:lvl w:ilvl="4">
      <w:start w:val="1"/>
      <w:numFmt w:val="decimal"/>
      <w:lvlText w:val="%5."/>
      <w:lvlJc w:val="left"/>
      <w:pPr>
        <w:tabs>
          <w:tab w:val="left" w:pos="3240"/>
        </w:tabs>
        <w:ind w:left="3240" w:hanging="360"/>
      </w:pPr>
    </w:lvl>
    <w:lvl w:ilvl="5">
      <w:start w:val="1"/>
      <w:numFmt w:val="decimal"/>
      <w:lvlText w:val="%6."/>
      <w:lvlJc w:val="left"/>
      <w:pPr>
        <w:tabs>
          <w:tab w:val="left" w:pos="3960"/>
        </w:tabs>
        <w:ind w:left="3960" w:hanging="360"/>
      </w:pPr>
    </w:lvl>
    <w:lvl w:ilvl="6">
      <w:start w:val="1"/>
      <w:numFmt w:val="decimal"/>
      <w:lvlText w:val="%7."/>
      <w:lvlJc w:val="left"/>
      <w:pPr>
        <w:tabs>
          <w:tab w:val="left" w:pos="4680"/>
        </w:tabs>
        <w:ind w:left="4680" w:hanging="360"/>
      </w:pPr>
    </w:lvl>
    <w:lvl w:ilvl="7">
      <w:start w:val="1"/>
      <w:numFmt w:val="decimal"/>
      <w:lvlText w:val="%8."/>
      <w:lvlJc w:val="left"/>
      <w:pPr>
        <w:tabs>
          <w:tab w:val="left" w:pos="5400"/>
        </w:tabs>
        <w:ind w:left="5400" w:hanging="360"/>
      </w:pPr>
    </w:lvl>
    <w:lvl w:ilvl="8">
      <w:start w:val="1"/>
      <w:numFmt w:val="decimal"/>
      <w:lvlText w:val="%9."/>
      <w:lvlJc w:val="left"/>
      <w:pPr>
        <w:tabs>
          <w:tab w:val="left" w:pos="6120"/>
        </w:tabs>
        <w:ind w:left="6120" w:hanging="360"/>
      </w:pPr>
    </w:lvl>
  </w:abstractNum>
  <w:abstractNum w:abstractNumId="34" w15:restartNumberingAfterBreak="0">
    <w:nsid w:val="4F6D43F2"/>
    <w:multiLevelType w:val="hybridMultilevel"/>
    <w:tmpl w:val="D13811E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5" w15:restartNumberingAfterBreak="0">
    <w:nsid w:val="521377EA"/>
    <w:multiLevelType w:val="hybridMultilevel"/>
    <w:tmpl w:val="30E046A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6" w15:restartNumberingAfterBreak="0">
    <w:nsid w:val="582E16C6"/>
    <w:multiLevelType w:val="multilevel"/>
    <w:tmpl w:val="29683F5D"/>
    <w:lvl w:ilvl="0">
      <w:start w:val="1"/>
      <w:numFmt w:val="decimal"/>
      <w:lvlText w:val="%1."/>
      <w:lvlJc w:val="left"/>
      <w:pPr>
        <w:tabs>
          <w:tab w:val="left" w:pos="360"/>
        </w:tabs>
        <w:ind w:left="360" w:hanging="360"/>
      </w:pPr>
    </w:lvl>
    <w:lvl w:ilvl="1">
      <w:start w:val="1"/>
      <w:numFmt w:val="decimal"/>
      <w:lvlText w:val="%2."/>
      <w:lvlJc w:val="left"/>
      <w:pPr>
        <w:tabs>
          <w:tab w:val="left" w:pos="1080"/>
        </w:tabs>
        <w:ind w:left="1080" w:hanging="360"/>
      </w:pPr>
    </w:lvl>
    <w:lvl w:ilvl="2">
      <w:start w:val="1"/>
      <w:numFmt w:val="decimal"/>
      <w:lvlText w:val="%3."/>
      <w:lvlJc w:val="left"/>
      <w:pPr>
        <w:tabs>
          <w:tab w:val="left" w:pos="1800"/>
        </w:tabs>
        <w:ind w:left="1800" w:hanging="360"/>
      </w:pPr>
    </w:lvl>
    <w:lvl w:ilvl="3">
      <w:start w:val="1"/>
      <w:numFmt w:val="decimal"/>
      <w:lvlText w:val="%4."/>
      <w:lvlJc w:val="left"/>
      <w:pPr>
        <w:tabs>
          <w:tab w:val="left" w:pos="2520"/>
        </w:tabs>
        <w:ind w:left="2520" w:hanging="360"/>
      </w:pPr>
    </w:lvl>
    <w:lvl w:ilvl="4">
      <w:start w:val="1"/>
      <w:numFmt w:val="decimal"/>
      <w:lvlText w:val="%5."/>
      <w:lvlJc w:val="left"/>
      <w:pPr>
        <w:tabs>
          <w:tab w:val="left" w:pos="3240"/>
        </w:tabs>
        <w:ind w:left="3240" w:hanging="360"/>
      </w:pPr>
    </w:lvl>
    <w:lvl w:ilvl="5">
      <w:start w:val="1"/>
      <w:numFmt w:val="decimal"/>
      <w:lvlText w:val="%6."/>
      <w:lvlJc w:val="left"/>
      <w:pPr>
        <w:tabs>
          <w:tab w:val="left" w:pos="3960"/>
        </w:tabs>
        <w:ind w:left="3960" w:hanging="360"/>
      </w:pPr>
    </w:lvl>
    <w:lvl w:ilvl="6">
      <w:start w:val="1"/>
      <w:numFmt w:val="decimal"/>
      <w:lvlText w:val="%7."/>
      <w:lvlJc w:val="left"/>
      <w:pPr>
        <w:tabs>
          <w:tab w:val="left" w:pos="4680"/>
        </w:tabs>
        <w:ind w:left="4680" w:hanging="360"/>
      </w:pPr>
    </w:lvl>
    <w:lvl w:ilvl="7">
      <w:start w:val="1"/>
      <w:numFmt w:val="decimal"/>
      <w:lvlText w:val="%8."/>
      <w:lvlJc w:val="left"/>
      <w:pPr>
        <w:tabs>
          <w:tab w:val="left" w:pos="5400"/>
        </w:tabs>
        <w:ind w:left="5400" w:hanging="360"/>
      </w:pPr>
    </w:lvl>
    <w:lvl w:ilvl="8">
      <w:start w:val="1"/>
      <w:numFmt w:val="decimal"/>
      <w:lvlText w:val="%9."/>
      <w:lvlJc w:val="left"/>
      <w:pPr>
        <w:tabs>
          <w:tab w:val="left" w:pos="6120"/>
        </w:tabs>
        <w:ind w:left="6120" w:hanging="360"/>
      </w:pPr>
    </w:lvl>
  </w:abstractNum>
  <w:abstractNum w:abstractNumId="37" w15:restartNumberingAfterBreak="0">
    <w:nsid w:val="5AC0474E"/>
    <w:multiLevelType w:val="hybridMultilevel"/>
    <w:tmpl w:val="5AAE4E68"/>
    <w:lvl w:ilvl="0" w:tplc="4212054A">
      <w:start w:val="1"/>
      <w:numFmt w:val="decimal"/>
      <w:lvlText w:val="%1."/>
      <w:lvlJc w:val="left"/>
      <w:pPr>
        <w:ind w:left="72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8" w15:restartNumberingAfterBreak="0">
    <w:nsid w:val="5B26A1AE"/>
    <w:multiLevelType w:val="singleLevel"/>
    <w:tmpl w:val="5B26A1AE"/>
    <w:lvl w:ilvl="0">
      <w:start w:val="1"/>
      <w:numFmt w:val="decimal"/>
      <w:lvlText w:val="%1."/>
      <w:lvlJc w:val="left"/>
      <w:pPr>
        <w:tabs>
          <w:tab w:val="left" w:pos="425"/>
        </w:tabs>
        <w:ind w:left="425" w:hanging="425"/>
      </w:pPr>
      <w:rPr>
        <w:rFonts w:hint="default"/>
      </w:rPr>
    </w:lvl>
  </w:abstractNum>
  <w:abstractNum w:abstractNumId="39" w15:restartNumberingAfterBreak="0">
    <w:nsid w:val="5BD65D8E"/>
    <w:multiLevelType w:val="multilevel"/>
    <w:tmpl w:val="B13495E4"/>
    <w:lvl w:ilvl="0">
      <w:start w:val="1"/>
      <w:numFmt w:val="bullet"/>
      <w:lvlText w:val=""/>
      <w:lvlJc w:val="left"/>
      <w:pPr>
        <w:tabs>
          <w:tab w:val="num" w:pos="420"/>
        </w:tabs>
        <w:ind w:left="420" w:hanging="420"/>
      </w:pPr>
      <w:rPr>
        <w:rFonts w:ascii="Wingdings" w:hAnsi="Wingdings"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0" w15:restartNumberingAfterBreak="0">
    <w:nsid w:val="5F50462E"/>
    <w:multiLevelType w:val="hybridMultilevel"/>
    <w:tmpl w:val="2E446BAC"/>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41" w15:restartNumberingAfterBreak="0">
    <w:nsid w:val="681E1B82"/>
    <w:multiLevelType w:val="hybridMultilevel"/>
    <w:tmpl w:val="F106229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2" w15:restartNumberingAfterBreak="0">
    <w:nsid w:val="707465FF"/>
    <w:multiLevelType w:val="hybridMultilevel"/>
    <w:tmpl w:val="EACE7C82"/>
    <w:lvl w:ilvl="0" w:tplc="2000000F">
      <w:start w:val="1"/>
      <w:numFmt w:val="decimal"/>
      <w:lvlText w:val="%1."/>
      <w:lvlJc w:val="left"/>
      <w:pPr>
        <w:ind w:left="360" w:hanging="360"/>
      </w:pPr>
    </w:lvl>
    <w:lvl w:ilvl="1" w:tplc="20000019">
      <w:start w:val="1"/>
      <w:numFmt w:val="lowerLetter"/>
      <w:lvlText w:val="%2."/>
      <w:lvlJc w:val="left"/>
      <w:pPr>
        <w:ind w:left="1080" w:hanging="360"/>
      </w:pPr>
    </w:lvl>
    <w:lvl w:ilvl="2" w:tplc="2000001B">
      <w:start w:val="1"/>
      <w:numFmt w:val="lowerRoman"/>
      <w:lvlText w:val="%3."/>
      <w:lvlJc w:val="right"/>
      <w:pPr>
        <w:ind w:left="1800" w:hanging="180"/>
      </w:pPr>
    </w:lvl>
    <w:lvl w:ilvl="3" w:tplc="2000000F">
      <w:start w:val="1"/>
      <w:numFmt w:val="decimal"/>
      <w:lvlText w:val="%4."/>
      <w:lvlJc w:val="left"/>
      <w:pPr>
        <w:ind w:left="2520" w:hanging="360"/>
      </w:pPr>
    </w:lvl>
    <w:lvl w:ilvl="4" w:tplc="20000019">
      <w:start w:val="1"/>
      <w:numFmt w:val="lowerLetter"/>
      <w:lvlText w:val="%5."/>
      <w:lvlJc w:val="left"/>
      <w:pPr>
        <w:ind w:left="3240" w:hanging="360"/>
      </w:pPr>
    </w:lvl>
    <w:lvl w:ilvl="5" w:tplc="2000001B">
      <w:start w:val="1"/>
      <w:numFmt w:val="lowerRoman"/>
      <w:lvlText w:val="%6."/>
      <w:lvlJc w:val="right"/>
      <w:pPr>
        <w:ind w:left="3960" w:hanging="180"/>
      </w:pPr>
    </w:lvl>
    <w:lvl w:ilvl="6" w:tplc="2000000F">
      <w:start w:val="1"/>
      <w:numFmt w:val="decimal"/>
      <w:lvlText w:val="%7."/>
      <w:lvlJc w:val="left"/>
      <w:pPr>
        <w:ind w:left="4680" w:hanging="360"/>
      </w:pPr>
    </w:lvl>
    <w:lvl w:ilvl="7" w:tplc="20000019">
      <w:start w:val="1"/>
      <w:numFmt w:val="lowerLetter"/>
      <w:lvlText w:val="%8."/>
      <w:lvlJc w:val="left"/>
      <w:pPr>
        <w:ind w:left="5400" w:hanging="360"/>
      </w:pPr>
    </w:lvl>
    <w:lvl w:ilvl="8" w:tplc="2000001B">
      <w:start w:val="1"/>
      <w:numFmt w:val="lowerRoman"/>
      <w:lvlText w:val="%9."/>
      <w:lvlJc w:val="right"/>
      <w:pPr>
        <w:ind w:left="6120" w:hanging="180"/>
      </w:pPr>
    </w:lvl>
  </w:abstractNum>
  <w:abstractNum w:abstractNumId="43" w15:restartNumberingAfterBreak="0">
    <w:nsid w:val="71CFED73"/>
    <w:multiLevelType w:val="singleLevel"/>
    <w:tmpl w:val="71CFED73"/>
    <w:lvl w:ilvl="0">
      <w:start w:val="1"/>
      <w:numFmt w:val="bullet"/>
      <w:lvlText w:val=""/>
      <w:lvlJc w:val="left"/>
      <w:pPr>
        <w:tabs>
          <w:tab w:val="left" w:pos="420"/>
        </w:tabs>
        <w:ind w:left="420" w:hanging="420"/>
      </w:pPr>
      <w:rPr>
        <w:rFonts w:ascii="Wingdings" w:hAnsi="Wingdings" w:hint="default"/>
      </w:rPr>
    </w:lvl>
  </w:abstractNum>
  <w:abstractNum w:abstractNumId="44" w15:restartNumberingAfterBreak="0">
    <w:nsid w:val="7241CCA1"/>
    <w:multiLevelType w:val="singleLevel"/>
    <w:tmpl w:val="7241CCA1"/>
    <w:lvl w:ilvl="0">
      <w:start w:val="1"/>
      <w:numFmt w:val="decimal"/>
      <w:lvlText w:val="%1."/>
      <w:lvlJc w:val="left"/>
      <w:pPr>
        <w:tabs>
          <w:tab w:val="left" w:pos="425"/>
        </w:tabs>
        <w:ind w:left="425" w:hanging="425"/>
      </w:pPr>
      <w:rPr>
        <w:rFonts w:hint="default"/>
      </w:rPr>
    </w:lvl>
  </w:abstractNum>
  <w:abstractNum w:abstractNumId="45" w15:restartNumberingAfterBreak="0">
    <w:nsid w:val="72D475C7"/>
    <w:multiLevelType w:val="multilevel"/>
    <w:tmpl w:val="617C5D8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6" w15:restartNumberingAfterBreak="0">
    <w:nsid w:val="74524DFF"/>
    <w:multiLevelType w:val="hybridMultilevel"/>
    <w:tmpl w:val="45A2EDEE"/>
    <w:lvl w:ilvl="0" w:tplc="20000001">
      <w:start w:val="1"/>
      <w:numFmt w:val="bullet"/>
      <w:lvlText w:val=""/>
      <w:lvlJc w:val="left"/>
      <w:pPr>
        <w:ind w:left="720" w:hanging="360"/>
      </w:pPr>
      <w:rPr>
        <w:rFonts w:ascii="Symbol" w:hAnsi="Symbol" w:hint="default"/>
      </w:rPr>
    </w:lvl>
    <w:lvl w:ilvl="1" w:tplc="358ED314">
      <w:numFmt w:val="bullet"/>
      <w:lvlText w:val="•"/>
      <w:lvlJc w:val="left"/>
      <w:pPr>
        <w:ind w:left="1800" w:hanging="720"/>
      </w:pPr>
      <w:rPr>
        <w:rFonts w:ascii="Garamond" w:eastAsiaTheme="minorHAnsi" w:hAnsi="Garamond" w:cstheme="minorBidi"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7" w15:restartNumberingAfterBreak="0">
    <w:nsid w:val="79700C3B"/>
    <w:multiLevelType w:val="multilevel"/>
    <w:tmpl w:val="CEDA41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8" w15:restartNumberingAfterBreak="0">
    <w:nsid w:val="7A2C37AE"/>
    <w:multiLevelType w:val="hybridMultilevel"/>
    <w:tmpl w:val="A43E4DD2"/>
    <w:lvl w:ilvl="0" w:tplc="20000001">
      <w:start w:val="1"/>
      <w:numFmt w:val="bullet"/>
      <w:lvlText w:val=""/>
      <w:lvlJc w:val="left"/>
      <w:pPr>
        <w:ind w:left="360" w:hanging="360"/>
      </w:pPr>
      <w:rPr>
        <w:rFonts w:ascii="Symbol" w:hAnsi="Symbol" w:hint="default"/>
      </w:rPr>
    </w:lvl>
    <w:lvl w:ilvl="1" w:tplc="20000003">
      <w:start w:val="1"/>
      <w:numFmt w:val="bullet"/>
      <w:lvlText w:val="o"/>
      <w:lvlJc w:val="left"/>
      <w:pPr>
        <w:ind w:left="1080" w:hanging="360"/>
      </w:pPr>
      <w:rPr>
        <w:rFonts w:ascii="Courier New" w:hAnsi="Courier New" w:cs="Courier New" w:hint="default"/>
      </w:rPr>
    </w:lvl>
    <w:lvl w:ilvl="2" w:tplc="20000005">
      <w:start w:val="1"/>
      <w:numFmt w:val="bullet"/>
      <w:lvlText w:val=""/>
      <w:lvlJc w:val="left"/>
      <w:pPr>
        <w:ind w:left="1800" w:hanging="360"/>
      </w:pPr>
      <w:rPr>
        <w:rFonts w:ascii="Wingdings" w:hAnsi="Wingdings" w:hint="default"/>
      </w:rPr>
    </w:lvl>
    <w:lvl w:ilvl="3" w:tplc="20000001">
      <w:start w:val="1"/>
      <w:numFmt w:val="bullet"/>
      <w:lvlText w:val=""/>
      <w:lvlJc w:val="left"/>
      <w:pPr>
        <w:ind w:left="2520" w:hanging="360"/>
      </w:pPr>
      <w:rPr>
        <w:rFonts w:ascii="Symbol" w:hAnsi="Symbol" w:hint="default"/>
      </w:rPr>
    </w:lvl>
    <w:lvl w:ilvl="4" w:tplc="20000003">
      <w:start w:val="1"/>
      <w:numFmt w:val="bullet"/>
      <w:lvlText w:val="o"/>
      <w:lvlJc w:val="left"/>
      <w:pPr>
        <w:ind w:left="3240" w:hanging="360"/>
      </w:pPr>
      <w:rPr>
        <w:rFonts w:ascii="Courier New" w:hAnsi="Courier New" w:cs="Courier New" w:hint="default"/>
      </w:rPr>
    </w:lvl>
    <w:lvl w:ilvl="5" w:tplc="20000005">
      <w:start w:val="1"/>
      <w:numFmt w:val="bullet"/>
      <w:lvlText w:val=""/>
      <w:lvlJc w:val="left"/>
      <w:pPr>
        <w:ind w:left="3960" w:hanging="360"/>
      </w:pPr>
      <w:rPr>
        <w:rFonts w:ascii="Wingdings" w:hAnsi="Wingdings" w:hint="default"/>
      </w:rPr>
    </w:lvl>
    <w:lvl w:ilvl="6" w:tplc="20000001">
      <w:start w:val="1"/>
      <w:numFmt w:val="bullet"/>
      <w:lvlText w:val=""/>
      <w:lvlJc w:val="left"/>
      <w:pPr>
        <w:ind w:left="4680" w:hanging="360"/>
      </w:pPr>
      <w:rPr>
        <w:rFonts w:ascii="Symbol" w:hAnsi="Symbol" w:hint="default"/>
      </w:rPr>
    </w:lvl>
    <w:lvl w:ilvl="7" w:tplc="20000003">
      <w:start w:val="1"/>
      <w:numFmt w:val="bullet"/>
      <w:lvlText w:val="o"/>
      <w:lvlJc w:val="left"/>
      <w:pPr>
        <w:ind w:left="5400" w:hanging="360"/>
      </w:pPr>
      <w:rPr>
        <w:rFonts w:ascii="Courier New" w:hAnsi="Courier New" w:cs="Courier New" w:hint="default"/>
      </w:rPr>
    </w:lvl>
    <w:lvl w:ilvl="8" w:tplc="20000005">
      <w:start w:val="1"/>
      <w:numFmt w:val="bullet"/>
      <w:lvlText w:val=""/>
      <w:lvlJc w:val="left"/>
      <w:pPr>
        <w:ind w:left="6120" w:hanging="360"/>
      </w:pPr>
      <w:rPr>
        <w:rFonts w:ascii="Wingdings" w:hAnsi="Wingdings" w:hint="default"/>
      </w:rPr>
    </w:lvl>
  </w:abstractNum>
  <w:num w:numId="1" w16cid:durableId="252975291">
    <w:abstractNumId w:val="23"/>
  </w:num>
  <w:num w:numId="2" w16cid:durableId="1863586079">
    <w:abstractNumId w:val="25"/>
  </w:num>
  <w:num w:numId="3" w16cid:durableId="494028763">
    <w:abstractNumId w:val="18"/>
  </w:num>
  <w:num w:numId="4" w16cid:durableId="269826982">
    <w:abstractNumId w:val="16"/>
  </w:num>
  <w:num w:numId="5" w16cid:durableId="1295329146">
    <w:abstractNumId w:val="12"/>
  </w:num>
  <w:num w:numId="6" w16cid:durableId="240414193">
    <w:abstractNumId w:val="29"/>
  </w:num>
  <w:num w:numId="7" w16cid:durableId="1921481260">
    <w:abstractNumId w:val="11"/>
  </w:num>
  <w:num w:numId="8" w16cid:durableId="1311834359">
    <w:abstractNumId w:val="24"/>
  </w:num>
  <w:num w:numId="9" w16cid:durableId="880286020">
    <w:abstractNumId w:val="36"/>
  </w:num>
  <w:num w:numId="10" w16cid:durableId="390155612">
    <w:abstractNumId w:val="33"/>
  </w:num>
  <w:num w:numId="11" w16cid:durableId="172188918">
    <w:abstractNumId w:val="31"/>
  </w:num>
  <w:num w:numId="12" w16cid:durableId="559092640">
    <w:abstractNumId w:val="41"/>
  </w:num>
  <w:num w:numId="13" w16cid:durableId="1260913158">
    <w:abstractNumId w:val="39"/>
  </w:num>
  <w:num w:numId="14" w16cid:durableId="2086681280">
    <w:abstractNumId w:val="10"/>
  </w:num>
  <w:num w:numId="15" w16cid:durableId="1517576658">
    <w:abstractNumId w:val="30"/>
  </w:num>
  <w:num w:numId="16" w16cid:durableId="1853570276">
    <w:abstractNumId w:val="15"/>
  </w:num>
  <w:num w:numId="17" w16cid:durableId="1995134569">
    <w:abstractNumId w:val="21"/>
  </w:num>
  <w:num w:numId="18" w16cid:durableId="716972734">
    <w:abstractNumId w:val="28"/>
  </w:num>
  <w:num w:numId="19" w16cid:durableId="470370238">
    <w:abstractNumId w:val="46"/>
  </w:num>
  <w:num w:numId="20" w16cid:durableId="565335774">
    <w:abstractNumId w:val="37"/>
  </w:num>
  <w:num w:numId="21" w16cid:durableId="1621765581">
    <w:abstractNumId w:val="32"/>
  </w:num>
  <w:num w:numId="22" w16cid:durableId="1651787389">
    <w:abstractNumId w:val="35"/>
  </w:num>
  <w:num w:numId="23" w16cid:durableId="1314915149">
    <w:abstractNumId w:val="9"/>
  </w:num>
  <w:num w:numId="24" w16cid:durableId="180972084">
    <w:abstractNumId w:val="7"/>
  </w:num>
  <w:num w:numId="25" w16cid:durableId="1787580383">
    <w:abstractNumId w:val="6"/>
  </w:num>
  <w:num w:numId="26" w16cid:durableId="2058892591">
    <w:abstractNumId w:val="8"/>
  </w:num>
  <w:num w:numId="27" w16cid:durableId="1479759505">
    <w:abstractNumId w:val="3"/>
  </w:num>
  <w:num w:numId="28" w16cid:durableId="1520583268">
    <w:abstractNumId w:val="2"/>
  </w:num>
  <w:num w:numId="29" w16cid:durableId="1812088258">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19848503">
    <w:abstractNumId w:val="17"/>
  </w:num>
  <w:num w:numId="31" w16cid:durableId="136328172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891768554">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755829436">
    <w:abstractNumId w:val="48"/>
  </w:num>
  <w:num w:numId="34" w16cid:durableId="746610492">
    <w:abstractNumId w:val="5"/>
  </w:num>
  <w:num w:numId="35" w16cid:durableId="2001804988">
    <w:abstractNumId w:val="4"/>
  </w:num>
  <w:num w:numId="36" w16cid:durableId="502546876">
    <w:abstractNumId w:val="1"/>
  </w:num>
  <w:num w:numId="37" w16cid:durableId="281544945">
    <w:abstractNumId w:val="0"/>
  </w:num>
  <w:num w:numId="38" w16cid:durableId="778724674">
    <w:abstractNumId w:val="44"/>
  </w:num>
  <w:num w:numId="39" w16cid:durableId="1972978739">
    <w:abstractNumId w:val="43"/>
  </w:num>
  <w:num w:numId="40" w16cid:durableId="1698113962">
    <w:abstractNumId w:val="38"/>
  </w:num>
  <w:num w:numId="41" w16cid:durableId="2143033001">
    <w:abstractNumId w:val="19"/>
  </w:num>
  <w:num w:numId="42" w16cid:durableId="239021941">
    <w:abstractNumId w:val="27"/>
  </w:num>
  <w:num w:numId="43" w16cid:durableId="923684943">
    <w:abstractNumId w:val="14"/>
  </w:num>
  <w:num w:numId="44" w16cid:durableId="1645431666">
    <w:abstractNumId w:val="26"/>
  </w:num>
  <w:num w:numId="45" w16cid:durableId="1310209178">
    <w:abstractNumId w:val="13"/>
  </w:num>
  <w:num w:numId="46" w16cid:durableId="1202665547">
    <w:abstractNumId w:val="20"/>
  </w:num>
  <w:num w:numId="47" w16cid:durableId="2126608067">
    <w:abstractNumId w:val="22"/>
  </w:num>
  <w:num w:numId="48" w16cid:durableId="1274897165">
    <w:abstractNumId w:val="40"/>
  </w:num>
  <w:num w:numId="49" w16cid:durableId="1921788831">
    <w:abstractNumId w:val="34"/>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attachedTemplate r:id="rId1"/>
  <w:stylePaneFormatFilter w:val="3F24" w:allStyles="0" w:customStyles="0" w:latentStyles="1"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7C87"/>
    <w:rsid w:val="000033A9"/>
    <w:rsid w:val="00003F6A"/>
    <w:rsid w:val="00005F2C"/>
    <w:rsid w:val="00014A3E"/>
    <w:rsid w:val="000156E9"/>
    <w:rsid w:val="000166A9"/>
    <w:rsid w:val="00016BC5"/>
    <w:rsid w:val="000207A6"/>
    <w:rsid w:val="00030874"/>
    <w:rsid w:val="0003672C"/>
    <w:rsid w:val="0005254C"/>
    <w:rsid w:val="00056AC8"/>
    <w:rsid w:val="00057004"/>
    <w:rsid w:val="00060A6A"/>
    <w:rsid w:val="00071FB8"/>
    <w:rsid w:val="000741FF"/>
    <w:rsid w:val="00076A95"/>
    <w:rsid w:val="00086472"/>
    <w:rsid w:val="00095E25"/>
    <w:rsid w:val="000A508B"/>
    <w:rsid w:val="000B5C42"/>
    <w:rsid w:val="000D0B9C"/>
    <w:rsid w:val="000E300A"/>
    <w:rsid w:val="000E3772"/>
    <w:rsid w:val="000E6D1D"/>
    <w:rsid w:val="0010217F"/>
    <w:rsid w:val="0011288B"/>
    <w:rsid w:val="00116ED5"/>
    <w:rsid w:val="001329F7"/>
    <w:rsid w:val="00143E35"/>
    <w:rsid w:val="00160114"/>
    <w:rsid w:val="0016356D"/>
    <w:rsid w:val="0017154A"/>
    <w:rsid w:val="001742A9"/>
    <w:rsid w:val="00181B21"/>
    <w:rsid w:val="001854FB"/>
    <w:rsid w:val="00193642"/>
    <w:rsid w:val="00193EC1"/>
    <w:rsid w:val="001953BB"/>
    <w:rsid w:val="001A1AFC"/>
    <w:rsid w:val="001B1034"/>
    <w:rsid w:val="001C39F6"/>
    <w:rsid w:val="001C66FE"/>
    <w:rsid w:val="001D05EE"/>
    <w:rsid w:val="001D4908"/>
    <w:rsid w:val="001D6904"/>
    <w:rsid w:val="001F2F98"/>
    <w:rsid w:val="001F43C1"/>
    <w:rsid w:val="001F522F"/>
    <w:rsid w:val="002042A1"/>
    <w:rsid w:val="002050B6"/>
    <w:rsid w:val="00211CB5"/>
    <w:rsid w:val="00215C1D"/>
    <w:rsid w:val="0022210F"/>
    <w:rsid w:val="002356EF"/>
    <w:rsid w:val="00236E6D"/>
    <w:rsid w:val="002429E5"/>
    <w:rsid w:val="00246AF3"/>
    <w:rsid w:val="0025401B"/>
    <w:rsid w:val="00261B12"/>
    <w:rsid w:val="00263ED2"/>
    <w:rsid w:val="00271798"/>
    <w:rsid w:val="00271A19"/>
    <w:rsid w:val="00273B5A"/>
    <w:rsid w:val="00280CEF"/>
    <w:rsid w:val="002833B6"/>
    <w:rsid w:val="00283B83"/>
    <w:rsid w:val="00285685"/>
    <w:rsid w:val="0028757A"/>
    <w:rsid w:val="0029191B"/>
    <w:rsid w:val="002A12F0"/>
    <w:rsid w:val="002A16BA"/>
    <w:rsid w:val="002A3264"/>
    <w:rsid w:val="002A4DE6"/>
    <w:rsid w:val="002A6CED"/>
    <w:rsid w:val="002A78A3"/>
    <w:rsid w:val="002B0492"/>
    <w:rsid w:val="002B5B62"/>
    <w:rsid w:val="002C0F11"/>
    <w:rsid w:val="002D23F8"/>
    <w:rsid w:val="002E0C33"/>
    <w:rsid w:val="002E1ED3"/>
    <w:rsid w:val="002E2492"/>
    <w:rsid w:val="002E4B8A"/>
    <w:rsid w:val="002E5F14"/>
    <w:rsid w:val="002F6C76"/>
    <w:rsid w:val="00303B98"/>
    <w:rsid w:val="00304BD0"/>
    <w:rsid w:val="003050D2"/>
    <w:rsid w:val="003074D3"/>
    <w:rsid w:val="00307D77"/>
    <w:rsid w:val="00313E9E"/>
    <w:rsid w:val="003150D5"/>
    <w:rsid w:val="003206F1"/>
    <w:rsid w:val="00320F78"/>
    <w:rsid w:val="00334400"/>
    <w:rsid w:val="003348A6"/>
    <w:rsid w:val="00345BBA"/>
    <w:rsid w:val="00346227"/>
    <w:rsid w:val="00350B7A"/>
    <w:rsid w:val="003571DC"/>
    <w:rsid w:val="0035768F"/>
    <w:rsid w:val="00360B3C"/>
    <w:rsid w:val="0036251E"/>
    <w:rsid w:val="00373919"/>
    <w:rsid w:val="00380CF1"/>
    <w:rsid w:val="00381679"/>
    <w:rsid w:val="0038177C"/>
    <w:rsid w:val="003836EB"/>
    <w:rsid w:val="00387024"/>
    <w:rsid w:val="00387656"/>
    <w:rsid w:val="00394464"/>
    <w:rsid w:val="003959BE"/>
    <w:rsid w:val="003B5A8E"/>
    <w:rsid w:val="003C070F"/>
    <w:rsid w:val="003C1575"/>
    <w:rsid w:val="003C2934"/>
    <w:rsid w:val="003C7FC5"/>
    <w:rsid w:val="003D07F7"/>
    <w:rsid w:val="003D4D56"/>
    <w:rsid w:val="003D5275"/>
    <w:rsid w:val="003D63DF"/>
    <w:rsid w:val="003D737F"/>
    <w:rsid w:val="003D770C"/>
    <w:rsid w:val="003E13FE"/>
    <w:rsid w:val="003F7474"/>
    <w:rsid w:val="00404616"/>
    <w:rsid w:val="00406F6E"/>
    <w:rsid w:val="00407B6A"/>
    <w:rsid w:val="0041020C"/>
    <w:rsid w:val="00414400"/>
    <w:rsid w:val="00421CD4"/>
    <w:rsid w:val="00422932"/>
    <w:rsid w:val="00423EA7"/>
    <w:rsid w:val="00427833"/>
    <w:rsid w:val="004335E8"/>
    <w:rsid w:val="00435EFF"/>
    <w:rsid w:val="0044196E"/>
    <w:rsid w:val="004530D0"/>
    <w:rsid w:val="00455BDE"/>
    <w:rsid w:val="004560BD"/>
    <w:rsid w:val="00457A99"/>
    <w:rsid w:val="00465E2C"/>
    <w:rsid w:val="00471EE1"/>
    <w:rsid w:val="00474210"/>
    <w:rsid w:val="00475D06"/>
    <w:rsid w:val="00480B96"/>
    <w:rsid w:val="0048303E"/>
    <w:rsid w:val="0049004B"/>
    <w:rsid w:val="004920F6"/>
    <w:rsid w:val="00497636"/>
    <w:rsid w:val="00497CA9"/>
    <w:rsid w:val="004A67E8"/>
    <w:rsid w:val="004C2071"/>
    <w:rsid w:val="004C39A4"/>
    <w:rsid w:val="004C3D65"/>
    <w:rsid w:val="004C400D"/>
    <w:rsid w:val="004D4421"/>
    <w:rsid w:val="004D6472"/>
    <w:rsid w:val="004E4775"/>
    <w:rsid w:val="004E4C98"/>
    <w:rsid w:val="004E6B54"/>
    <w:rsid w:val="005049EE"/>
    <w:rsid w:val="00525895"/>
    <w:rsid w:val="00526151"/>
    <w:rsid w:val="00526CAD"/>
    <w:rsid w:val="0054107C"/>
    <w:rsid w:val="00554455"/>
    <w:rsid w:val="00554AB3"/>
    <w:rsid w:val="0057442E"/>
    <w:rsid w:val="00583A04"/>
    <w:rsid w:val="0058503B"/>
    <w:rsid w:val="0058540A"/>
    <w:rsid w:val="00597AD2"/>
    <w:rsid w:val="00597D3F"/>
    <w:rsid w:val="005A3CE7"/>
    <w:rsid w:val="005B3801"/>
    <w:rsid w:val="005B48E8"/>
    <w:rsid w:val="005B64E8"/>
    <w:rsid w:val="005B79E9"/>
    <w:rsid w:val="005C5F2C"/>
    <w:rsid w:val="005C6EA0"/>
    <w:rsid w:val="005E02DB"/>
    <w:rsid w:val="005E4912"/>
    <w:rsid w:val="005E54E2"/>
    <w:rsid w:val="005E6F1F"/>
    <w:rsid w:val="005F44D1"/>
    <w:rsid w:val="006015F2"/>
    <w:rsid w:val="0060470B"/>
    <w:rsid w:val="006075E1"/>
    <w:rsid w:val="00611B90"/>
    <w:rsid w:val="00614F15"/>
    <w:rsid w:val="00621129"/>
    <w:rsid w:val="00624082"/>
    <w:rsid w:val="00632178"/>
    <w:rsid w:val="00633086"/>
    <w:rsid w:val="00633916"/>
    <w:rsid w:val="00633D9B"/>
    <w:rsid w:val="00641D2B"/>
    <w:rsid w:val="00652687"/>
    <w:rsid w:val="00662D3E"/>
    <w:rsid w:val="00665C7E"/>
    <w:rsid w:val="006703E4"/>
    <w:rsid w:val="00672DDD"/>
    <w:rsid w:val="00676C91"/>
    <w:rsid w:val="006803C0"/>
    <w:rsid w:val="006876D1"/>
    <w:rsid w:val="00690B77"/>
    <w:rsid w:val="00693FCE"/>
    <w:rsid w:val="00695826"/>
    <w:rsid w:val="006A3EB6"/>
    <w:rsid w:val="006C13E7"/>
    <w:rsid w:val="006C4000"/>
    <w:rsid w:val="006C621F"/>
    <w:rsid w:val="006C651A"/>
    <w:rsid w:val="006D4431"/>
    <w:rsid w:val="006D5EE8"/>
    <w:rsid w:val="006E56E8"/>
    <w:rsid w:val="006E5B01"/>
    <w:rsid w:val="006F5AA4"/>
    <w:rsid w:val="007039A2"/>
    <w:rsid w:val="00711200"/>
    <w:rsid w:val="00715FCB"/>
    <w:rsid w:val="0072397F"/>
    <w:rsid w:val="00727250"/>
    <w:rsid w:val="00731922"/>
    <w:rsid w:val="00731ACB"/>
    <w:rsid w:val="00732BFD"/>
    <w:rsid w:val="007368AD"/>
    <w:rsid w:val="0074133D"/>
    <w:rsid w:val="0074181E"/>
    <w:rsid w:val="00745DF6"/>
    <w:rsid w:val="007507E6"/>
    <w:rsid w:val="00750EAC"/>
    <w:rsid w:val="0075196D"/>
    <w:rsid w:val="0075558C"/>
    <w:rsid w:val="00761EFA"/>
    <w:rsid w:val="00764873"/>
    <w:rsid w:val="007666F2"/>
    <w:rsid w:val="00766FCC"/>
    <w:rsid w:val="00773709"/>
    <w:rsid w:val="00773A39"/>
    <w:rsid w:val="00775652"/>
    <w:rsid w:val="007778DD"/>
    <w:rsid w:val="00781055"/>
    <w:rsid w:val="00787617"/>
    <w:rsid w:val="00791795"/>
    <w:rsid w:val="00796693"/>
    <w:rsid w:val="007A0F41"/>
    <w:rsid w:val="007B2509"/>
    <w:rsid w:val="007B3B75"/>
    <w:rsid w:val="007C3977"/>
    <w:rsid w:val="007C7591"/>
    <w:rsid w:val="007D1C7E"/>
    <w:rsid w:val="007D52FE"/>
    <w:rsid w:val="007D5CD5"/>
    <w:rsid w:val="007D64AC"/>
    <w:rsid w:val="007E0246"/>
    <w:rsid w:val="007E17EB"/>
    <w:rsid w:val="007F6AE9"/>
    <w:rsid w:val="00814092"/>
    <w:rsid w:val="0082071D"/>
    <w:rsid w:val="00825933"/>
    <w:rsid w:val="00826D54"/>
    <w:rsid w:val="00834CBF"/>
    <w:rsid w:val="0083513D"/>
    <w:rsid w:val="00836F89"/>
    <w:rsid w:val="00846459"/>
    <w:rsid w:val="0085757D"/>
    <w:rsid w:val="00863435"/>
    <w:rsid w:val="00864954"/>
    <w:rsid w:val="008718F7"/>
    <w:rsid w:val="00872827"/>
    <w:rsid w:val="0087349A"/>
    <w:rsid w:val="0087532D"/>
    <w:rsid w:val="00884CF5"/>
    <w:rsid w:val="008865B6"/>
    <w:rsid w:val="008949E3"/>
    <w:rsid w:val="00895B67"/>
    <w:rsid w:val="00895DF4"/>
    <w:rsid w:val="008A7971"/>
    <w:rsid w:val="008B0A19"/>
    <w:rsid w:val="008B1A4D"/>
    <w:rsid w:val="008B3DD3"/>
    <w:rsid w:val="008B6D46"/>
    <w:rsid w:val="008D0A54"/>
    <w:rsid w:val="008D589C"/>
    <w:rsid w:val="008D5BA6"/>
    <w:rsid w:val="008E7085"/>
    <w:rsid w:val="008F1FE0"/>
    <w:rsid w:val="008F362F"/>
    <w:rsid w:val="008F60C3"/>
    <w:rsid w:val="008F6853"/>
    <w:rsid w:val="00904969"/>
    <w:rsid w:val="00922EC5"/>
    <w:rsid w:val="009254D6"/>
    <w:rsid w:val="0092669B"/>
    <w:rsid w:val="00927893"/>
    <w:rsid w:val="00930E88"/>
    <w:rsid w:val="0093163E"/>
    <w:rsid w:val="00936436"/>
    <w:rsid w:val="009411D1"/>
    <w:rsid w:val="00961D1F"/>
    <w:rsid w:val="00963FC4"/>
    <w:rsid w:val="00966BAC"/>
    <w:rsid w:val="00967D28"/>
    <w:rsid w:val="00971AE1"/>
    <w:rsid w:val="00975E37"/>
    <w:rsid w:val="009816C2"/>
    <w:rsid w:val="009908F2"/>
    <w:rsid w:val="00991C1E"/>
    <w:rsid w:val="00992937"/>
    <w:rsid w:val="00994DCB"/>
    <w:rsid w:val="009A2ABE"/>
    <w:rsid w:val="009A6A2F"/>
    <w:rsid w:val="009B5135"/>
    <w:rsid w:val="009C0226"/>
    <w:rsid w:val="009C21FA"/>
    <w:rsid w:val="009C755C"/>
    <w:rsid w:val="009C780F"/>
    <w:rsid w:val="009D3026"/>
    <w:rsid w:val="009D379C"/>
    <w:rsid w:val="009D794C"/>
    <w:rsid w:val="009F55A7"/>
    <w:rsid w:val="00A125F3"/>
    <w:rsid w:val="00A15C16"/>
    <w:rsid w:val="00A23BD6"/>
    <w:rsid w:val="00A25353"/>
    <w:rsid w:val="00A31D06"/>
    <w:rsid w:val="00A33D1B"/>
    <w:rsid w:val="00A34F5F"/>
    <w:rsid w:val="00A46A68"/>
    <w:rsid w:val="00A50EE9"/>
    <w:rsid w:val="00A50F5A"/>
    <w:rsid w:val="00A6107E"/>
    <w:rsid w:val="00A65F52"/>
    <w:rsid w:val="00A66BB0"/>
    <w:rsid w:val="00A746DE"/>
    <w:rsid w:val="00A758B2"/>
    <w:rsid w:val="00A75B02"/>
    <w:rsid w:val="00A80463"/>
    <w:rsid w:val="00A8113F"/>
    <w:rsid w:val="00A843CB"/>
    <w:rsid w:val="00A847CB"/>
    <w:rsid w:val="00A86F48"/>
    <w:rsid w:val="00AA37ED"/>
    <w:rsid w:val="00AA3E0C"/>
    <w:rsid w:val="00AA77D7"/>
    <w:rsid w:val="00AB0CC4"/>
    <w:rsid w:val="00AB4544"/>
    <w:rsid w:val="00AB5818"/>
    <w:rsid w:val="00AB6429"/>
    <w:rsid w:val="00AD0A33"/>
    <w:rsid w:val="00AD1B4E"/>
    <w:rsid w:val="00AD31BE"/>
    <w:rsid w:val="00AD3557"/>
    <w:rsid w:val="00AD43B0"/>
    <w:rsid w:val="00AD59B8"/>
    <w:rsid w:val="00AE0982"/>
    <w:rsid w:val="00AF19D4"/>
    <w:rsid w:val="00AF79BA"/>
    <w:rsid w:val="00B07524"/>
    <w:rsid w:val="00B113E7"/>
    <w:rsid w:val="00B171B7"/>
    <w:rsid w:val="00B229A6"/>
    <w:rsid w:val="00B34C76"/>
    <w:rsid w:val="00B358C8"/>
    <w:rsid w:val="00B35B7C"/>
    <w:rsid w:val="00B36790"/>
    <w:rsid w:val="00B41B90"/>
    <w:rsid w:val="00B45504"/>
    <w:rsid w:val="00B461C7"/>
    <w:rsid w:val="00B53C15"/>
    <w:rsid w:val="00B57F27"/>
    <w:rsid w:val="00B7746D"/>
    <w:rsid w:val="00B90095"/>
    <w:rsid w:val="00B94FE7"/>
    <w:rsid w:val="00BA1319"/>
    <w:rsid w:val="00BA2684"/>
    <w:rsid w:val="00BA64C1"/>
    <w:rsid w:val="00BD2603"/>
    <w:rsid w:val="00BD3522"/>
    <w:rsid w:val="00BD43E6"/>
    <w:rsid w:val="00BD6A6E"/>
    <w:rsid w:val="00BE1A4C"/>
    <w:rsid w:val="00BF0763"/>
    <w:rsid w:val="00BF2C71"/>
    <w:rsid w:val="00BF2FD3"/>
    <w:rsid w:val="00C00EE4"/>
    <w:rsid w:val="00C0799A"/>
    <w:rsid w:val="00C10EE4"/>
    <w:rsid w:val="00C11D0D"/>
    <w:rsid w:val="00C15B68"/>
    <w:rsid w:val="00C17312"/>
    <w:rsid w:val="00C26544"/>
    <w:rsid w:val="00C30D60"/>
    <w:rsid w:val="00C3308B"/>
    <w:rsid w:val="00C441DF"/>
    <w:rsid w:val="00C509C3"/>
    <w:rsid w:val="00C50A17"/>
    <w:rsid w:val="00C624DB"/>
    <w:rsid w:val="00C70EAE"/>
    <w:rsid w:val="00C7266B"/>
    <w:rsid w:val="00C76E15"/>
    <w:rsid w:val="00C83B65"/>
    <w:rsid w:val="00C929C6"/>
    <w:rsid w:val="00C96120"/>
    <w:rsid w:val="00CA199F"/>
    <w:rsid w:val="00CA798F"/>
    <w:rsid w:val="00CB066E"/>
    <w:rsid w:val="00CC0257"/>
    <w:rsid w:val="00CD103D"/>
    <w:rsid w:val="00CD18BC"/>
    <w:rsid w:val="00CD4846"/>
    <w:rsid w:val="00CD4EB0"/>
    <w:rsid w:val="00CD50B5"/>
    <w:rsid w:val="00CD73A9"/>
    <w:rsid w:val="00CE0D78"/>
    <w:rsid w:val="00CE3A3E"/>
    <w:rsid w:val="00CE4D4B"/>
    <w:rsid w:val="00CE768B"/>
    <w:rsid w:val="00D04AFB"/>
    <w:rsid w:val="00D054A3"/>
    <w:rsid w:val="00D06F12"/>
    <w:rsid w:val="00D07496"/>
    <w:rsid w:val="00D1289F"/>
    <w:rsid w:val="00D21EF3"/>
    <w:rsid w:val="00D326A2"/>
    <w:rsid w:val="00D36345"/>
    <w:rsid w:val="00D37B02"/>
    <w:rsid w:val="00D41205"/>
    <w:rsid w:val="00D46790"/>
    <w:rsid w:val="00D468E2"/>
    <w:rsid w:val="00D61046"/>
    <w:rsid w:val="00D6504C"/>
    <w:rsid w:val="00D677AA"/>
    <w:rsid w:val="00D73F4D"/>
    <w:rsid w:val="00D765F7"/>
    <w:rsid w:val="00D76AEE"/>
    <w:rsid w:val="00D82E57"/>
    <w:rsid w:val="00D9137A"/>
    <w:rsid w:val="00D91C27"/>
    <w:rsid w:val="00D94B6C"/>
    <w:rsid w:val="00DA465B"/>
    <w:rsid w:val="00DB1842"/>
    <w:rsid w:val="00DB6D86"/>
    <w:rsid w:val="00DC50EC"/>
    <w:rsid w:val="00DC5925"/>
    <w:rsid w:val="00DC60FA"/>
    <w:rsid w:val="00DD00DE"/>
    <w:rsid w:val="00DE14DC"/>
    <w:rsid w:val="00DE23AF"/>
    <w:rsid w:val="00DF1535"/>
    <w:rsid w:val="00DF3B9A"/>
    <w:rsid w:val="00DF7C87"/>
    <w:rsid w:val="00E07CC9"/>
    <w:rsid w:val="00E17598"/>
    <w:rsid w:val="00E41BDE"/>
    <w:rsid w:val="00E459DC"/>
    <w:rsid w:val="00E4693E"/>
    <w:rsid w:val="00E579B9"/>
    <w:rsid w:val="00E633BE"/>
    <w:rsid w:val="00E7131D"/>
    <w:rsid w:val="00E75CAE"/>
    <w:rsid w:val="00E87B9C"/>
    <w:rsid w:val="00E91D7A"/>
    <w:rsid w:val="00E93461"/>
    <w:rsid w:val="00E943E1"/>
    <w:rsid w:val="00EA289C"/>
    <w:rsid w:val="00EA464C"/>
    <w:rsid w:val="00EA5199"/>
    <w:rsid w:val="00EB0EB1"/>
    <w:rsid w:val="00EB57D0"/>
    <w:rsid w:val="00EB6467"/>
    <w:rsid w:val="00EC7027"/>
    <w:rsid w:val="00ED1489"/>
    <w:rsid w:val="00ED7A05"/>
    <w:rsid w:val="00EE334C"/>
    <w:rsid w:val="00EE4448"/>
    <w:rsid w:val="00EE502F"/>
    <w:rsid w:val="00F00F47"/>
    <w:rsid w:val="00F02153"/>
    <w:rsid w:val="00F058DF"/>
    <w:rsid w:val="00F063AE"/>
    <w:rsid w:val="00F15675"/>
    <w:rsid w:val="00F21250"/>
    <w:rsid w:val="00F2398D"/>
    <w:rsid w:val="00F26C23"/>
    <w:rsid w:val="00F3443D"/>
    <w:rsid w:val="00F4424D"/>
    <w:rsid w:val="00F50AF6"/>
    <w:rsid w:val="00F634A3"/>
    <w:rsid w:val="00F660DE"/>
    <w:rsid w:val="00F70716"/>
    <w:rsid w:val="00F710F9"/>
    <w:rsid w:val="00F71ADC"/>
    <w:rsid w:val="00F758EA"/>
    <w:rsid w:val="00F7620F"/>
    <w:rsid w:val="00F83040"/>
    <w:rsid w:val="00F87F40"/>
    <w:rsid w:val="00F929D1"/>
    <w:rsid w:val="00FA0384"/>
    <w:rsid w:val="00FA0AE4"/>
    <w:rsid w:val="00FA5D34"/>
    <w:rsid w:val="00FA66EA"/>
    <w:rsid w:val="00FA75A5"/>
    <w:rsid w:val="00FB4DBA"/>
    <w:rsid w:val="00FB667E"/>
    <w:rsid w:val="00FC56A5"/>
    <w:rsid w:val="00FC5A1B"/>
    <w:rsid w:val="00FD1BBF"/>
    <w:rsid w:val="00FE0168"/>
    <w:rsid w:val="00FE552D"/>
    <w:rsid w:val="00FE7043"/>
    <w:rsid w:val="00FF10AE"/>
    <w:rsid w:val="00FF1665"/>
    <w:rsid w:val="00FF195C"/>
    <w:rsid w:val="00FF1E19"/>
    <w:rsid w:val="00FF1F0E"/>
    <w:rsid w:val="00FF6F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C56123"/>
  <w15:docId w15:val="{003E0B4C-464B-4C24-A66C-42489D1E6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qFormat="1"/>
    <w:lsdException w:name="footer" w:semiHidden="1" w:uiPriority="99" w:unhideWhenUsed="1" w:qFormat="1"/>
    <w:lsdException w:name="index heading" w:semiHidden="1" w:unhideWhenUsed="1"/>
    <w:lsdException w:name="caption" w:semiHidden="1" w:uiPriority="99"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99" w:unhideWhenUsed="1"/>
    <w:lsdException w:name="toa heading" w:semiHidden="1" w:unhideWhenUsed="1"/>
    <w:lsdException w:name="List" w:semiHidden="1" w:uiPriority="99" w:unhideWhenUsed="1"/>
    <w:lsdException w:name="List Bullet" w:semiHidden="1" w:uiPriority="99" w:unhideWhenUsed="1"/>
    <w:lsdException w:name="List Number" w:uiPriority="99"/>
    <w:lsdException w:name="List 2" w:semiHidden="1" w:uiPriority="99" w:unhideWhenUsed="1"/>
    <w:lsdException w:name="List 3" w:semiHidden="1" w:uiPriority="99"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iPriority="99" w:unhideWhenUsed="1"/>
    <w:lsdException w:name="List Number 3" w:semiHidden="1" w:uiPriority="99"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qFormat="1"/>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7266B"/>
    <w:pPr>
      <w:spacing w:line="480" w:lineRule="auto"/>
    </w:pPr>
    <w:rPr>
      <w:rFonts w:cs="Arial"/>
      <w:sz w:val="24"/>
      <w:szCs w:val="24"/>
    </w:rPr>
  </w:style>
  <w:style w:type="paragraph" w:styleId="Heading1">
    <w:name w:val="heading 1"/>
    <w:aliases w:val="Chapter Title"/>
    <w:basedOn w:val="Normal"/>
    <w:next w:val="Normal"/>
    <w:link w:val="Heading1Char"/>
    <w:autoRedefine/>
    <w:uiPriority w:val="9"/>
    <w:qFormat/>
    <w:rsid w:val="00DB1842"/>
    <w:pPr>
      <w:autoSpaceDE w:val="0"/>
      <w:autoSpaceDN w:val="0"/>
      <w:adjustRightInd w:val="0"/>
      <w:jc w:val="center"/>
      <w:outlineLvl w:val="0"/>
    </w:pPr>
    <w:rPr>
      <w:b/>
      <w:bCs/>
      <w:lang w:val="zh-CN" w:eastAsia="zh-CN"/>
    </w:rPr>
  </w:style>
  <w:style w:type="paragraph" w:styleId="Heading2">
    <w:name w:val="heading 2"/>
    <w:aliases w:val="Chapter Section"/>
    <w:basedOn w:val="Normal"/>
    <w:next w:val="Normal"/>
    <w:link w:val="Heading2Char"/>
    <w:autoRedefine/>
    <w:uiPriority w:val="9"/>
    <w:qFormat/>
    <w:rsid w:val="00E4693E"/>
    <w:pPr>
      <w:keepNext/>
      <w:jc w:val="center"/>
      <w:outlineLvl w:val="1"/>
    </w:pPr>
    <w:rPr>
      <w:b/>
      <w:bCs/>
      <w:iCs/>
      <w:szCs w:val="28"/>
      <w:lang w:eastAsia="zh-CN"/>
    </w:rPr>
  </w:style>
  <w:style w:type="paragraph" w:styleId="Heading3">
    <w:name w:val="heading 3"/>
    <w:aliases w:val="Chapter Sub-Section"/>
    <w:basedOn w:val="Normal"/>
    <w:next w:val="Normal"/>
    <w:link w:val="Heading3Char"/>
    <w:autoRedefine/>
    <w:uiPriority w:val="9"/>
    <w:qFormat/>
    <w:rsid w:val="00A66BB0"/>
    <w:pPr>
      <w:keepNext/>
      <w:outlineLvl w:val="2"/>
    </w:pPr>
    <w:rPr>
      <w:rFonts w:eastAsia="DengXian Light"/>
      <w:b/>
      <w:bCs/>
      <w:szCs w:val="26"/>
      <w:lang w:val="zh-CN" w:eastAsia="zh-CN"/>
    </w:rPr>
  </w:style>
  <w:style w:type="paragraph" w:styleId="Heading4">
    <w:name w:val="heading 4"/>
    <w:aliases w:val="Chapter Sub-Sub-Section"/>
    <w:basedOn w:val="Normal"/>
    <w:next w:val="Normal"/>
    <w:link w:val="Heading4Char"/>
    <w:autoRedefine/>
    <w:uiPriority w:val="9"/>
    <w:unhideWhenUsed/>
    <w:qFormat/>
    <w:rsid w:val="001953BB"/>
    <w:pPr>
      <w:keepNext/>
      <w:keepLines/>
      <w:contextualSpacing/>
      <w:outlineLvl w:val="3"/>
    </w:pPr>
    <w:rPr>
      <w:rFonts w:eastAsia="DengXian Light" w:cstheme="majorBidi"/>
      <w:b/>
      <w:i/>
      <w:iCs/>
      <w:lang w:eastAsia="zh-CN"/>
    </w:rPr>
  </w:style>
  <w:style w:type="paragraph" w:styleId="Heading5">
    <w:name w:val="heading 5"/>
    <w:basedOn w:val="Normal"/>
    <w:next w:val="Normal"/>
    <w:link w:val="Heading5Char"/>
    <w:uiPriority w:val="9"/>
    <w:unhideWhenUsed/>
    <w:qFormat/>
    <w:rsid w:val="0060470B"/>
    <w:pPr>
      <w:keepNext/>
      <w:keepLines/>
      <w:spacing w:before="40" w:line="259" w:lineRule="auto"/>
      <w:outlineLvl w:val="4"/>
    </w:pPr>
    <w:rPr>
      <w:rFonts w:asciiTheme="majorHAnsi" w:eastAsiaTheme="majorEastAsia" w:hAnsiTheme="majorHAnsi" w:cstheme="majorBidi"/>
      <w:color w:val="365F91" w:themeColor="accent1" w:themeShade="BF"/>
      <w:sz w:val="22"/>
      <w:szCs w:val="22"/>
      <w:lang w:val="zh-CN"/>
    </w:rPr>
  </w:style>
  <w:style w:type="paragraph" w:styleId="Heading6">
    <w:name w:val="heading 6"/>
    <w:basedOn w:val="Normal"/>
    <w:next w:val="Normal"/>
    <w:link w:val="Heading6Char"/>
    <w:uiPriority w:val="9"/>
    <w:unhideWhenUsed/>
    <w:qFormat/>
    <w:rsid w:val="00D61046"/>
    <w:pPr>
      <w:keepNext/>
      <w:keepLines/>
      <w:spacing w:before="40"/>
      <w:outlineLvl w:val="5"/>
    </w:pPr>
    <w:rPr>
      <w:rFonts w:ascii="Calibri Light" w:hAnsi="Calibri Light" w:cs="Times New Roman"/>
      <w:color w:val="1F3763"/>
      <w:sz w:val="20"/>
      <w:szCs w:val="20"/>
    </w:rPr>
  </w:style>
  <w:style w:type="paragraph" w:styleId="Heading7">
    <w:name w:val="heading 7"/>
    <w:basedOn w:val="Normal"/>
    <w:next w:val="Normal"/>
    <w:link w:val="Heading7Char"/>
    <w:uiPriority w:val="9"/>
    <w:unhideWhenUsed/>
    <w:qFormat/>
    <w:rsid w:val="00D61046"/>
    <w:pPr>
      <w:keepNext/>
      <w:keepLines/>
      <w:spacing w:before="40"/>
      <w:outlineLvl w:val="6"/>
    </w:pPr>
    <w:rPr>
      <w:rFonts w:ascii="Calibri Light" w:hAnsi="Calibri Light" w:cs="Times New Roman"/>
      <w:i/>
      <w:iCs/>
      <w:color w:val="1F3763"/>
      <w:sz w:val="20"/>
      <w:szCs w:val="20"/>
    </w:rPr>
  </w:style>
  <w:style w:type="paragraph" w:styleId="Heading8">
    <w:name w:val="heading 8"/>
    <w:basedOn w:val="Normal"/>
    <w:next w:val="Normal"/>
    <w:link w:val="Heading8Char"/>
    <w:uiPriority w:val="9"/>
    <w:unhideWhenUsed/>
    <w:qFormat/>
    <w:rsid w:val="00D61046"/>
    <w:pPr>
      <w:keepNext/>
      <w:keepLines/>
      <w:spacing w:before="40"/>
      <w:outlineLvl w:val="7"/>
    </w:pPr>
    <w:rPr>
      <w:rFonts w:ascii="Calibri Light" w:hAnsi="Calibri Light" w:cs="Times New Roman"/>
      <w:color w:val="272727"/>
      <w:sz w:val="21"/>
      <w:szCs w:val="21"/>
    </w:rPr>
  </w:style>
  <w:style w:type="paragraph" w:styleId="Heading9">
    <w:name w:val="heading 9"/>
    <w:basedOn w:val="Normal"/>
    <w:next w:val="Normal"/>
    <w:link w:val="Heading9Char"/>
    <w:uiPriority w:val="9"/>
    <w:semiHidden/>
    <w:unhideWhenUsed/>
    <w:qFormat/>
    <w:rsid w:val="00D61046"/>
    <w:pPr>
      <w:keepNext/>
      <w:keepLines/>
      <w:spacing w:before="40"/>
      <w:outlineLvl w:val="8"/>
    </w:pPr>
    <w:rPr>
      <w:rFonts w:ascii="Calibri Light" w:hAnsi="Calibri Light" w:cs="Times New Roman"/>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hapter Title Char"/>
    <w:link w:val="Heading1"/>
    <w:uiPriority w:val="9"/>
    <w:qFormat/>
    <w:rsid w:val="00DB1842"/>
    <w:rPr>
      <w:rFonts w:cs="Arial"/>
      <w:b/>
      <w:bCs/>
      <w:sz w:val="24"/>
      <w:szCs w:val="24"/>
      <w:lang w:val="zh-CN" w:eastAsia="zh-CN"/>
    </w:rPr>
  </w:style>
  <w:style w:type="character" w:customStyle="1" w:styleId="Heading2Char">
    <w:name w:val="Heading 2 Char"/>
    <w:aliases w:val="Chapter Section Char"/>
    <w:basedOn w:val="DefaultParagraphFont"/>
    <w:link w:val="Heading2"/>
    <w:uiPriority w:val="9"/>
    <w:qFormat/>
    <w:rsid w:val="00E4693E"/>
    <w:rPr>
      <w:rFonts w:cs="Arial"/>
      <w:b/>
      <w:bCs/>
      <w:iCs/>
      <w:sz w:val="24"/>
      <w:szCs w:val="28"/>
      <w:lang w:eastAsia="zh-CN"/>
    </w:rPr>
  </w:style>
  <w:style w:type="character" w:customStyle="1" w:styleId="Heading3Char">
    <w:name w:val="Heading 3 Char"/>
    <w:aliases w:val="Chapter Sub-Section Char"/>
    <w:link w:val="Heading3"/>
    <w:uiPriority w:val="9"/>
    <w:qFormat/>
    <w:rsid w:val="00A66BB0"/>
    <w:rPr>
      <w:rFonts w:eastAsia="DengXian Light" w:cs="Arial"/>
      <w:b/>
      <w:bCs/>
      <w:sz w:val="24"/>
      <w:szCs w:val="26"/>
      <w:lang w:val="zh-CN" w:eastAsia="zh-CN"/>
    </w:rPr>
  </w:style>
  <w:style w:type="character" w:customStyle="1" w:styleId="Heading4Char">
    <w:name w:val="Heading 4 Char"/>
    <w:aliases w:val="Chapter Sub-Sub-Section Char"/>
    <w:basedOn w:val="DefaultParagraphFont"/>
    <w:link w:val="Heading4"/>
    <w:uiPriority w:val="9"/>
    <w:qFormat/>
    <w:rsid w:val="001953BB"/>
    <w:rPr>
      <w:rFonts w:eastAsia="DengXian Light" w:cstheme="majorBidi"/>
      <w:b/>
      <w:i/>
      <w:iCs/>
      <w:sz w:val="24"/>
      <w:szCs w:val="24"/>
      <w:lang w:eastAsia="zh-CN"/>
    </w:rPr>
  </w:style>
  <w:style w:type="paragraph" w:styleId="Footer">
    <w:name w:val="footer"/>
    <w:basedOn w:val="Normal"/>
    <w:link w:val="FooterChar"/>
    <w:uiPriority w:val="99"/>
    <w:qFormat/>
    <w:rsid w:val="00665C7E"/>
    <w:pPr>
      <w:tabs>
        <w:tab w:val="center" w:pos="4320"/>
        <w:tab w:val="right" w:pos="8640"/>
      </w:tabs>
    </w:pPr>
  </w:style>
  <w:style w:type="character" w:customStyle="1" w:styleId="FooterChar">
    <w:name w:val="Footer Char"/>
    <w:link w:val="Footer"/>
    <w:uiPriority w:val="99"/>
    <w:qFormat/>
    <w:rsid w:val="00387656"/>
    <w:rPr>
      <w:rFonts w:ascii="Arial" w:hAnsi="Arial" w:cs="Arial"/>
      <w:sz w:val="24"/>
      <w:szCs w:val="24"/>
    </w:rPr>
  </w:style>
  <w:style w:type="paragraph" w:styleId="Header">
    <w:name w:val="header"/>
    <w:basedOn w:val="Normal"/>
    <w:link w:val="HeaderChar"/>
    <w:uiPriority w:val="99"/>
    <w:qFormat/>
    <w:rsid w:val="00665C7E"/>
    <w:pPr>
      <w:tabs>
        <w:tab w:val="center" w:pos="4320"/>
        <w:tab w:val="right" w:pos="8640"/>
      </w:tabs>
    </w:pPr>
  </w:style>
  <w:style w:type="character" w:customStyle="1" w:styleId="HeaderChar">
    <w:name w:val="Header Char"/>
    <w:basedOn w:val="DefaultParagraphFont"/>
    <w:link w:val="Header"/>
    <w:uiPriority w:val="99"/>
    <w:qFormat/>
    <w:rsid w:val="0060470B"/>
    <w:rPr>
      <w:rFonts w:ascii="Arial" w:hAnsi="Arial" w:cs="Arial"/>
      <w:sz w:val="24"/>
      <w:szCs w:val="24"/>
    </w:r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uiPriority w:val="10"/>
    <w:qFormat/>
    <w:rsid w:val="00095E25"/>
    <w:rPr>
      <w:b/>
      <w:bCs/>
      <w:sz w:val="24"/>
      <w:szCs w:val="24"/>
      <w:lang/>
    </w:rPr>
  </w:style>
  <w:style w:type="paragraph" w:styleId="Title">
    <w:name w:val="Title"/>
    <w:basedOn w:val="ETDTitle"/>
    <w:link w:val="TitleChar"/>
    <w:autoRedefine/>
    <w:uiPriority w:val="10"/>
    <w:qFormat/>
    <w:rsid w:val="00095E25"/>
    <w:pPr>
      <w:spacing w:line="240" w:lineRule="auto"/>
      <w:jc w:val="left"/>
    </w:pPr>
    <w:rPr>
      <w:rFonts w:cs="Times New Roman"/>
      <w:bCs/>
      <w:lang/>
    </w:rPr>
  </w:style>
  <w:style w:type="paragraph" w:styleId="TOCHeading">
    <w:name w:val="TOC Heading"/>
    <w:basedOn w:val="Heading1"/>
    <w:next w:val="Normal"/>
    <w:uiPriority w:val="39"/>
    <w:unhideWhenUsed/>
    <w:qFormat/>
    <w:rsid w:val="00387656"/>
    <w:pPr>
      <w:keepNext/>
      <w:keepLines/>
      <w:autoSpaceDE/>
      <w:autoSpaceDN/>
      <w:adjustRightInd/>
      <w:spacing w:before="480" w:line="276" w:lineRule="auto"/>
      <w:jc w:val="left"/>
      <w:outlineLvl w:val="9"/>
    </w:pPr>
    <w:rPr>
      <w:rFonts w:ascii="Cambria" w:eastAsia="MS Gothic" w:hAnsi="Cambria" w:cs="Times New Roman"/>
      <w:caps/>
      <w:color w:val="365F91"/>
      <w:szCs w:val="28"/>
      <w:lang w:eastAsia="ja-JP"/>
    </w:rPr>
  </w:style>
  <w:style w:type="paragraph" w:styleId="Caption">
    <w:name w:val="caption"/>
    <w:basedOn w:val="Normal"/>
    <w:next w:val="Normal"/>
    <w:link w:val="CaptionChar"/>
    <w:autoRedefine/>
    <w:uiPriority w:val="99"/>
    <w:qFormat/>
    <w:rsid w:val="00F83040"/>
    <w:pPr>
      <w:keepNext/>
      <w:spacing w:line="240" w:lineRule="auto"/>
    </w:pPr>
    <w:rPr>
      <w:b/>
      <w:bCs/>
      <w:kern w:val="2"/>
      <w:szCs w:val="20"/>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665C7E"/>
    <w:rPr>
      <w:color w:val="0000FF"/>
      <w:u w:val="single"/>
    </w:rPr>
  </w:style>
  <w:style w:type="paragraph" w:styleId="TOC1">
    <w:name w:val="toc 1"/>
    <w:basedOn w:val="Normal"/>
    <w:next w:val="Normal"/>
    <w:autoRedefine/>
    <w:uiPriority w:val="39"/>
    <w:qFormat/>
    <w:rsid w:val="001329F7"/>
    <w:pPr>
      <w:tabs>
        <w:tab w:val="right" w:leader="dot" w:pos="9350"/>
      </w:tabs>
      <w:spacing w:before="240" w:after="120"/>
    </w:pPr>
    <w:rPr>
      <w:rFonts w:cs="Times New Roman"/>
      <w:noProof/>
    </w:rPr>
  </w:style>
  <w:style w:type="paragraph" w:styleId="TOC2">
    <w:name w:val="toc 2"/>
    <w:basedOn w:val="Normal"/>
    <w:next w:val="Normal"/>
    <w:autoRedefine/>
    <w:uiPriority w:val="39"/>
    <w:qFormat/>
    <w:rsid w:val="00665C7E"/>
    <w:pPr>
      <w:spacing w:before="120"/>
      <w:ind w:left="240"/>
    </w:pPr>
    <w:rPr>
      <w:rFonts w:asciiTheme="minorHAnsi" w:hAnsiTheme="minorHAnsi" w:cstheme="minorHAnsi"/>
      <w:i/>
      <w:iCs/>
      <w:sz w:val="20"/>
      <w:szCs w:val="20"/>
    </w:rPr>
  </w:style>
  <w:style w:type="paragraph" w:styleId="TOC3">
    <w:name w:val="toc 3"/>
    <w:basedOn w:val="Normal"/>
    <w:next w:val="Normal"/>
    <w:autoRedefine/>
    <w:uiPriority w:val="39"/>
    <w:qFormat/>
    <w:rsid w:val="00211CB5"/>
    <w:pPr>
      <w:ind w:left="480"/>
    </w:pPr>
    <w:rPr>
      <w:rFonts w:asciiTheme="minorHAnsi" w:hAnsiTheme="minorHAnsi" w:cstheme="minorHAnsi"/>
      <w:sz w:val="20"/>
      <w:szCs w:val="20"/>
    </w:rPr>
  </w:style>
  <w:style w:type="paragraph" w:styleId="TOC4">
    <w:name w:val="toc 4"/>
    <w:basedOn w:val="Normal"/>
    <w:next w:val="Normal"/>
    <w:autoRedefine/>
    <w:uiPriority w:val="39"/>
    <w:qFormat/>
    <w:rsid w:val="00665C7E"/>
    <w:pPr>
      <w:ind w:left="720"/>
    </w:pPr>
    <w:rPr>
      <w:rFonts w:asciiTheme="minorHAnsi" w:hAnsiTheme="minorHAnsi" w:cstheme="minorHAnsi"/>
      <w:sz w:val="20"/>
      <w:szCs w:val="20"/>
    </w:rPr>
  </w:style>
  <w:style w:type="paragraph" w:styleId="TOC5">
    <w:name w:val="toc 5"/>
    <w:basedOn w:val="Normal"/>
    <w:next w:val="Normal"/>
    <w:autoRedefine/>
    <w:uiPriority w:val="39"/>
    <w:qFormat/>
    <w:rsid w:val="00665C7E"/>
    <w:pPr>
      <w:ind w:left="960"/>
    </w:pPr>
    <w:rPr>
      <w:rFonts w:asciiTheme="minorHAnsi" w:hAnsiTheme="minorHAnsi" w:cstheme="minorHAnsi"/>
      <w:sz w:val="20"/>
      <w:szCs w:val="20"/>
    </w:rPr>
  </w:style>
  <w:style w:type="paragraph" w:styleId="TOC6">
    <w:name w:val="toc 6"/>
    <w:basedOn w:val="Normal"/>
    <w:next w:val="Normal"/>
    <w:autoRedefine/>
    <w:uiPriority w:val="39"/>
    <w:qFormat/>
    <w:rsid w:val="00665C7E"/>
    <w:pPr>
      <w:ind w:left="1200"/>
    </w:pPr>
    <w:rPr>
      <w:rFonts w:asciiTheme="minorHAnsi" w:hAnsiTheme="minorHAnsi" w:cstheme="minorHAnsi"/>
      <w:sz w:val="20"/>
      <w:szCs w:val="20"/>
    </w:rPr>
  </w:style>
  <w:style w:type="paragraph" w:styleId="TOC7">
    <w:name w:val="toc 7"/>
    <w:basedOn w:val="Normal"/>
    <w:next w:val="Normal"/>
    <w:autoRedefine/>
    <w:uiPriority w:val="39"/>
    <w:qFormat/>
    <w:rsid w:val="00665C7E"/>
    <w:pPr>
      <w:ind w:left="1440"/>
    </w:pPr>
    <w:rPr>
      <w:rFonts w:asciiTheme="minorHAnsi" w:hAnsiTheme="minorHAnsi" w:cstheme="minorHAnsi"/>
      <w:sz w:val="20"/>
      <w:szCs w:val="20"/>
    </w:rPr>
  </w:style>
  <w:style w:type="paragraph" w:styleId="TOC8">
    <w:name w:val="toc 8"/>
    <w:basedOn w:val="Normal"/>
    <w:next w:val="Normal"/>
    <w:autoRedefine/>
    <w:uiPriority w:val="39"/>
    <w:qFormat/>
    <w:rsid w:val="00665C7E"/>
    <w:pPr>
      <w:ind w:left="1680"/>
    </w:pPr>
    <w:rPr>
      <w:rFonts w:asciiTheme="minorHAnsi" w:hAnsiTheme="minorHAnsi" w:cstheme="minorHAnsi"/>
      <w:sz w:val="20"/>
      <w:szCs w:val="20"/>
    </w:rPr>
  </w:style>
  <w:style w:type="paragraph" w:styleId="TOC9">
    <w:name w:val="toc 9"/>
    <w:basedOn w:val="Normal"/>
    <w:next w:val="Normal"/>
    <w:autoRedefine/>
    <w:uiPriority w:val="39"/>
    <w:qFormat/>
    <w:rsid w:val="00665C7E"/>
    <w:pPr>
      <w:ind w:left="1920"/>
    </w:pPr>
    <w:rPr>
      <w:rFonts w:asciiTheme="minorHAnsi" w:hAnsiTheme="minorHAnsi" w:cstheme="minorHAnsi"/>
      <w:sz w:val="20"/>
      <w:szCs w:val="20"/>
    </w:rPr>
  </w:style>
  <w:style w:type="table" w:styleId="TableGrid">
    <w:name w:val="Table Grid"/>
    <w:basedOn w:val="TableNormal"/>
    <w:uiPriority w:val="99"/>
    <w:qFormat/>
    <w:rsid w:val="00975E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A1AFC"/>
    <w:rPr>
      <w:color w:val="605E5C"/>
      <w:shd w:val="clear" w:color="auto" w:fill="E1DFDD"/>
    </w:rPr>
  </w:style>
  <w:style w:type="table" w:styleId="TableGridLight">
    <w:name w:val="Grid Table Light"/>
    <w:basedOn w:val="TableNormal"/>
    <w:uiPriority w:val="40"/>
    <w:rsid w:val="007039A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D94B6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D94B6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1">
    <w:name w:val="Table Grid1"/>
    <w:basedOn w:val="TableNormal"/>
    <w:next w:val="TableGrid"/>
    <w:rsid w:val="005B3801"/>
    <w:rPr>
      <w:rFonts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
    <w:qFormat/>
    <w:rsid w:val="0060470B"/>
    <w:rPr>
      <w:rFonts w:asciiTheme="majorHAnsi" w:eastAsiaTheme="majorEastAsia" w:hAnsiTheme="majorHAnsi" w:cstheme="majorBidi"/>
      <w:color w:val="365F91" w:themeColor="accent1" w:themeShade="BF"/>
      <w:sz w:val="22"/>
      <w:szCs w:val="22"/>
      <w:lang w:val="zh-CN"/>
    </w:rPr>
  </w:style>
  <w:style w:type="character" w:styleId="Emphasis">
    <w:name w:val="Emphasis"/>
    <w:basedOn w:val="DefaultParagraphFont"/>
    <w:uiPriority w:val="20"/>
    <w:qFormat/>
    <w:rsid w:val="0060470B"/>
    <w:rPr>
      <w:i/>
      <w:iCs/>
    </w:rPr>
  </w:style>
  <w:style w:type="paragraph" w:styleId="NormalWeb">
    <w:name w:val="Normal (Web)"/>
    <w:basedOn w:val="Normal"/>
    <w:uiPriority w:val="99"/>
    <w:unhideWhenUsed/>
    <w:qFormat/>
    <w:rsid w:val="0060470B"/>
    <w:pPr>
      <w:spacing w:before="100" w:beforeAutospacing="1" w:after="100" w:afterAutospacing="1"/>
    </w:pPr>
    <w:rPr>
      <w:rFonts w:cs="Times New Roman"/>
      <w:lang w:val="zh-CN" w:eastAsia="zh-CN"/>
    </w:rPr>
  </w:style>
  <w:style w:type="character" w:styleId="Strong">
    <w:name w:val="Strong"/>
    <w:basedOn w:val="DefaultParagraphFont"/>
    <w:uiPriority w:val="22"/>
    <w:qFormat/>
    <w:rsid w:val="0060470B"/>
    <w:rPr>
      <w:b/>
      <w:bCs/>
    </w:rPr>
  </w:style>
  <w:style w:type="paragraph" w:styleId="Subtitle">
    <w:name w:val="Subtitle"/>
    <w:basedOn w:val="Normal"/>
    <w:next w:val="Normal"/>
    <w:link w:val="SubtitleChar"/>
    <w:uiPriority w:val="11"/>
    <w:qFormat/>
    <w:rsid w:val="0060470B"/>
    <w:pPr>
      <w:spacing w:after="160" w:line="259" w:lineRule="auto"/>
    </w:pPr>
    <w:rPr>
      <w:rFonts w:asciiTheme="minorHAnsi" w:eastAsiaTheme="minorEastAsia" w:hAnsiTheme="minorHAnsi" w:cstheme="minorBidi"/>
      <w:color w:val="595959" w:themeColor="text1" w:themeTint="A6"/>
      <w:spacing w:val="15"/>
      <w:sz w:val="22"/>
      <w:szCs w:val="22"/>
      <w:lang w:val="zh-CN"/>
    </w:rPr>
  </w:style>
  <w:style w:type="character" w:customStyle="1" w:styleId="SubtitleChar">
    <w:name w:val="Subtitle Char"/>
    <w:basedOn w:val="DefaultParagraphFont"/>
    <w:link w:val="Subtitle"/>
    <w:uiPriority w:val="11"/>
    <w:qFormat/>
    <w:rsid w:val="0060470B"/>
    <w:rPr>
      <w:rFonts w:asciiTheme="minorHAnsi" w:eastAsiaTheme="minorEastAsia" w:hAnsiTheme="minorHAnsi" w:cstheme="minorBidi"/>
      <w:color w:val="595959" w:themeColor="text1" w:themeTint="A6"/>
      <w:spacing w:val="15"/>
      <w:sz w:val="22"/>
      <w:szCs w:val="22"/>
      <w:lang w:val="zh-CN"/>
    </w:rPr>
  </w:style>
  <w:style w:type="character" w:customStyle="1" w:styleId="22">
    <w:name w:val="22"/>
    <w:basedOn w:val="DefaultParagraphFont"/>
    <w:qFormat/>
    <w:rsid w:val="0060470B"/>
    <w:rPr>
      <w:rFonts w:ascii="Times New Roman" w:hAnsi="Times New Roman" w:cs="Times New Roman" w:hint="default"/>
    </w:rPr>
  </w:style>
  <w:style w:type="character" w:customStyle="1" w:styleId="18">
    <w:name w:val="18"/>
    <w:basedOn w:val="DefaultParagraphFont"/>
    <w:qFormat/>
    <w:rsid w:val="0060470B"/>
    <w:rPr>
      <w:rFonts w:ascii="DengXian Light" w:eastAsia="DengXian Light" w:hAnsi="DengXian Light" w:cs="Times New Roman" w:hint="eastAsia"/>
      <w:color w:val="2F5496"/>
      <w:kern w:val="2"/>
      <w:sz w:val="26"/>
      <w:szCs w:val="26"/>
    </w:rPr>
  </w:style>
  <w:style w:type="paragraph" w:styleId="ListParagraph">
    <w:name w:val="List Paragraph"/>
    <w:basedOn w:val="Normal"/>
    <w:uiPriority w:val="34"/>
    <w:qFormat/>
    <w:rsid w:val="0060470B"/>
    <w:pPr>
      <w:spacing w:before="100" w:beforeAutospacing="1" w:after="160" w:line="256" w:lineRule="auto"/>
      <w:ind w:left="720"/>
      <w:contextualSpacing/>
    </w:pPr>
    <w:rPr>
      <w:rFonts w:ascii="DengXian" w:hAnsi="DengXian" w:cs="Times New Roman"/>
      <w:kern w:val="2"/>
      <w:sz w:val="22"/>
      <w:szCs w:val="22"/>
      <w:lang w:val="zh-CN" w:eastAsia="zh-CN"/>
    </w:rPr>
  </w:style>
  <w:style w:type="character" w:customStyle="1" w:styleId="katex-mathml">
    <w:name w:val="katex-mathml"/>
    <w:basedOn w:val="DefaultParagraphFont"/>
    <w:qFormat/>
    <w:rsid w:val="0060470B"/>
  </w:style>
  <w:style w:type="character" w:customStyle="1" w:styleId="mord">
    <w:name w:val="mord"/>
    <w:basedOn w:val="DefaultParagraphFont"/>
    <w:qFormat/>
    <w:rsid w:val="0060470B"/>
  </w:style>
  <w:style w:type="character" w:customStyle="1" w:styleId="16">
    <w:name w:val="16"/>
    <w:basedOn w:val="DefaultParagraphFont"/>
    <w:qFormat/>
    <w:rsid w:val="0060470B"/>
    <w:rPr>
      <w:rFonts w:ascii="Times New Roman" w:hAnsi="Times New Roman" w:cs="Times New Roman" w:hint="default"/>
      <w:i/>
    </w:rPr>
  </w:style>
  <w:style w:type="character" w:customStyle="1" w:styleId="15">
    <w:name w:val="15"/>
    <w:basedOn w:val="DefaultParagraphFont"/>
    <w:qFormat/>
    <w:rsid w:val="0060470B"/>
    <w:rPr>
      <w:rFonts w:ascii="SimSun" w:eastAsia="SimSun" w:hAnsi="SimSun" w:cs="Times New Roman" w:hint="eastAsia"/>
      <w:b/>
      <w:bCs/>
      <w:sz w:val="24"/>
      <w:szCs w:val="24"/>
    </w:rPr>
  </w:style>
  <w:style w:type="character" w:customStyle="1" w:styleId="BookTitle1">
    <w:name w:val="Book Title1"/>
    <w:basedOn w:val="DefaultParagraphFont"/>
    <w:uiPriority w:val="33"/>
    <w:qFormat/>
    <w:rsid w:val="0060470B"/>
    <w:rPr>
      <w:b/>
      <w:bCs/>
      <w:i/>
      <w:iCs/>
      <w:spacing w:val="5"/>
    </w:rPr>
  </w:style>
  <w:style w:type="character" w:customStyle="1" w:styleId="vlist-s">
    <w:name w:val="vlist-s"/>
    <w:basedOn w:val="DefaultParagraphFont"/>
    <w:qFormat/>
    <w:rsid w:val="0060470B"/>
  </w:style>
  <w:style w:type="character" w:customStyle="1" w:styleId="mpunct">
    <w:name w:val="mpunct"/>
    <w:basedOn w:val="DefaultParagraphFont"/>
    <w:rsid w:val="0060470B"/>
  </w:style>
  <w:style w:type="numbering" w:customStyle="1" w:styleId="NoList1">
    <w:name w:val="No List1"/>
    <w:next w:val="NoList"/>
    <w:uiPriority w:val="99"/>
    <w:semiHidden/>
    <w:unhideWhenUsed/>
    <w:rsid w:val="00D61046"/>
  </w:style>
  <w:style w:type="character" w:customStyle="1" w:styleId="23">
    <w:name w:val="23"/>
    <w:basedOn w:val="DefaultParagraphFont"/>
    <w:rsid w:val="00D61046"/>
    <w:rPr>
      <w:rFonts w:ascii="Times New Roman" w:hAnsi="Times New Roman" w:cs="Times New Roman" w:hint="default"/>
      <w:i/>
      <w:iCs/>
      <w:color w:val="44546A"/>
      <w:sz w:val="18"/>
      <w:szCs w:val="18"/>
    </w:rPr>
  </w:style>
  <w:style w:type="character" w:customStyle="1" w:styleId="24">
    <w:name w:val="24"/>
    <w:basedOn w:val="DefaultParagraphFont"/>
    <w:rsid w:val="00D61046"/>
    <w:rPr>
      <w:rFonts w:ascii="Times New Roman" w:hAnsi="Times New Roman" w:cs="Times New Roman" w:hint="default"/>
      <w:i/>
      <w:iCs/>
      <w:color w:val="44546A"/>
      <w:kern w:val="2"/>
      <w:sz w:val="18"/>
      <w:szCs w:val="18"/>
    </w:rPr>
  </w:style>
  <w:style w:type="character" w:customStyle="1" w:styleId="25">
    <w:name w:val="25"/>
    <w:basedOn w:val="DefaultParagraphFont"/>
    <w:rsid w:val="00D61046"/>
    <w:rPr>
      <w:rFonts w:ascii="Times New Roman" w:hAnsi="Times New Roman" w:cs="Times New Roman" w:hint="default"/>
      <w:kern w:val="2"/>
    </w:rPr>
  </w:style>
  <w:style w:type="character" w:customStyle="1" w:styleId="19">
    <w:name w:val="19"/>
    <w:basedOn w:val="DefaultParagraphFont"/>
    <w:qFormat/>
    <w:rsid w:val="00D61046"/>
    <w:rPr>
      <w:rFonts w:ascii="DengXian Light" w:eastAsia="DengXian Light" w:hAnsi="DengXian Light" w:cs="Times New Roman" w:hint="eastAsia"/>
      <w:color w:val="1F3864"/>
      <w:kern w:val="2"/>
      <w:sz w:val="24"/>
      <w:szCs w:val="24"/>
    </w:rPr>
  </w:style>
  <w:style w:type="character" w:customStyle="1" w:styleId="CaptionChar">
    <w:name w:val="Caption Char"/>
    <w:link w:val="Caption"/>
    <w:uiPriority w:val="99"/>
    <w:qFormat/>
    <w:rsid w:val="00F83040"/>
    <w:rPr>
      <w:rFonts w:cs="Arial"/>
      <w:b/>
      <w:bCs/>
      <w:kern w:val="2"/>
      <w:sz w:val="24"/>
    </w:rPr>
  </w:style>
  <w:style w:type="paragraph" w:customStyle="1" w:styleId="Heading61">
    <w:name w:val="Heading 61"/>
    <w:basedOn w:val="Normal"/>
    <w:next w:val="Normal"/>
    <w:uiPriority w:val="9"/>
    <w:unhideWhenUsed/>
    <w:qFormat/>
    <w:rsid w:val="00D61046"/>
    <w:pPr>
      <w:keepNext/>
      <w:keepLines/>
      <w:spacing w:before="40" w:line="259" w:lineRule="auto"/>
      <w:outlineLvl w:val="5"/>
    </w:pPr>
    <w:rPr>
      <w:rFonts w:ascii="Calibri Light" w:eastAsia="Times New Roman" w:hAnsi="Calibri Light" w:cs="Times New Roman"/>
      <w:color w:val="1F3763"/>
      <w:sz w:val="22"/>
      <w:szCs w:val="22"/>
      <w:lang/>
    </w:rPr>
  </w:style>
  <w:style w:type="paragraph" w:customStyle="1" w:styleId="Heading71">
    <w:name w:val="Heading 71"/>
    <w:basedOn w:val="Normal"/>
    <w:next w:val="Normal"/>
    <w:uiPriority w:val="9"/>
    <w:unhideWhenUsed/>
    <w:qFormat/>
    <w:rsid w:val="00D61046"/>
    <w:pPr>
      <w:keepNext/>
      <w:keepLines/>
      <w:spacing w:before="40" w:line="259" w:lineRule="auto"/>
      <w:outlineLvl w:val="6"/>
    </w:pPr>
    <w:rPr>
      <w:rFonts w:ascii="Calibri Light" w:eastAsia="Times New Roman" w:hAnsi="Calibri Light" w:cs="Times New Roman"/>
      <w:i/>
      <w:iCs/>
      <w:color w:val="1F3763"/>
      <w:sz w:val="22"/>
      <w:szCs w:val="22"/>
      <w:lang/>
    </w:rPr>
  </w:style>
  <w:style w:type="paragraph" w:customStyle="1" w:styleId="Heading81">
    <w:name w:val="Heading 81"/>
    <w:basedOn w:val="Normal"/>
    <w:next w:val="Normal"/>
    <w:uiPriority w:val="9"/>
    <w:unhideWhenUsed/>
    <w:qFormat/>
    <w:rsid w:val="00D61046"/>
    <w:pPr>
      <w:keepNext/>
      <w:keepLines/>
      <w:spacing w:before="40" w:line="259" w:lineRule="auto"/>
      <w:outlineLvl w:val="7"/>
    </w:pPr>
    <w:rPr>
      <w:rFonts w:ascii="Calibri Light" w:eastAsia="Times New Roman" w:hAnsi="Calibri Light" w:cs="Times New Roman"/>
      <w:color w:val="272727"/>
      <w:sz w:val="21"/>
      <w:szCs w:val="21"/>
      <w:lang/>
    </w:rPr>
  </w:style>
  <w:style w:type="numbering" w:customStyle="1" w:styleId="NoList2">
    <w:name w:val="No List2"/>
    <w:next w:val="NoList"/>
    <w:uiPriority w:val="99"/>
    <w:semiHidden/>
    <w:unhideWhenUsed/>
    <w:rsid w:val="00D61046"/>
  </w:style>
  <w:style w:type="character" w:styleId="PlaceholderText">
    <w:name w:val="Placeholder Text"/>
    <w:basedOn w:val="DefaultParagraphFont"/>
    <w:uiPriority w:val="99"/>
    <w:semiHidden/>
    <w:qFormat/>
    <w:rsid w:val="00D61046"/>
    <w:rPr>
      <w:color w:val="808080"/>
    </w:rPr>
  </w:style>
  <w:style w:type="character" w:customStyle="1" w:styleId="mbin">
    <w:name w:val="mbin"/>
    <w:basedOn w:val="DefaultParagraphFont"/>
    <w:qFormat/>
    <w:rsid w:val="00D61046"/>
  </w:style>
  <w:style w:type="character" w:customStyle="1" w:styleId="Heading6Char">
    <w:name w:val="Heading 6 Char"/>
    <w:basedOn w:val="DefaultParagraphFont"/>
    <w:link w:val="Heading6"/>
    <w:uiPriority w:val="9"/>
    <w:rsid w:val="00D61046"/>
    <w:rPr>
      <w:rFonts w:ascii="Calibri Light" w:eastAsia="Times New Roman" w:hAnsi="Calibri Light" w:cs="Times New Roman"/>
      <w:color w:val="1F3763"/>
    </w:rPr>
  </w:style>
  <w:style w:type="character" w:customStyle="1" w:styleId="Heading7Char">
    <w:name w:val="Heading 7 Char"/>
    <w:basedOn w:val="DefaultParagraphFont"/>
    <w:link w:val="Heading7"/>
    <w:uiPriority w:val="9"/>
    <w:rsid w:val="00D61046"/>
    <w:rPr>
      <w:rFonts w:ascii="Calibri Light" w:eastAsia="Times New Roman" w:hAnsi="Calibri Light" w:cs="Times New Roman"/>
      <w:i/>
      <w:iCs/>
      <w:color w:val="1F3763"/>
    </w:rPr>
  </w:style>
  <w:style w:type="character" w:customStyle="1" w:styleId="Heading8Char">
    <w:name w:val="Heading 8 Char"/>
    <w:basedOn w:val="DefaultParagraphFont"/>
    <w:link w:val="Heading8"/>
    <w:uiPriority w:val="9"/>
    <w:rsid w:val="00D61046"/>
    <w:rPr>
      <w:rFonts w:ascii="Calibri Light" w:eastAsia="Times New Roman" w:hAnsi="Calibri Light" w:cs="Times New Roman"/>
      <w:color w:val="272727"/>
      <w:sz w:val="21"/>
      <w:szCs w:val="21"/>
    </w:rPr>
  </w:style>
  <w:style w:type="character" w:customStyle="1" w:styleId="IntenseReference1">
    <w:name w:val="Intense Reference1"/>
    <w:basedOn w:val="DefaultParagraphFont"/>
    <w:uiPriority w:val="32"/>
    <w:qFormat/>
    <w:rsid w:val="00D61046"/>
    <w:rPr>
      <w:b/>
      <w:bCs/>
      <w:smallCaps/>
      <w:color w:val="4472C4"/>
      <w:spacing w:val="5"/>
    </w:rPr>
  </w:style>
  <w:style w:type="paragraph" w:styleId="NoSpacing">
    <w:name w:val="No Spacing"/>
    <w:uiPriority w:val="1"/>
    <w:qFormat/>
    <w:rsid w:val="00D61046"/>
    <w:rPr>
      <w:rFonts w:ascii="Calibri" w:eastAsia="Calibri" w:hAnsi="Calibri"/>
      <w:sz w:val="22"/>
      <w:szCs w:val="22"/>
      <w:lang/>
    </w:rPr>
  </w:style>
  <w:style w:type="character" w:customStyle="1" w:styleId="SubtleReference1">
    <w:name w:val="Subtle Reference1"/>
    <w:basedOn w:val="DefaultParagraphFont"/>
    <w:uiPriority w:val="31"/>
    <w:qFormat/>
    <w:rsid w:val="00D61046"/>
    <w:rPr>
      <w:smallCaps/>
      <w:color w:val="5A5A5A"/>
    </w:rPr>
  </w:style>
  <w:style w:type="character" w:customStyle="1" w:styleId="Heading6Char1">
    <w:name w:val="Heading 6 Char1"/>
    <w:basedOn w:val="DefaultParagraphFont"/>
    <w:semiHidden/>
    <w:rsid w:val="00D61046"/>
    <w:rPr>
      <w:rFonts w:asciiTheme="majorHAnsi" w:eastAsiaTheme="majorEastAsia" w:hAnsiTheme="majorHAnsi" w:cstheme="majorBidi"/>
      <w:color w:val="243F60" w:themeColor="accent1" w:themeShade="7F"/>
      <w:sz w:val="24"/>
      <w:szCs w:val="24"/>
    </w:rPr>
  </w:style>
  <w:style w:type="character" w:customStyle="1" w:styleId="Heading7Char1">
    <w:name w:val="Heading 7 Char1"/>
    <w:basedOn w:val="DefaultParagraphFont"/>
    <w:semiHidden/>
    <w:rsid w:val="00D61046"/>
    <w:rPr>
      <w:rFonts w:asciiTheme="majorHAnsi" w:eastAsiaTheme="majorEastAsia" w:hAnsiTheme="majorHAnsi" w:cstheme="majorBidi"/>
      <w:i/>
      <w:iCs/>
      <w:color w:val="243F60" w:themeColor="accent1" w:themeShade="7F"/>
      <w:sz w:val="24"/>
      <w:szCs w:val="24"/>
    </w:rPr>
  </w:style>
  <w:style w:type="character" w:customStyle="1" w:styleId="Heading8Char1">
    <w:name w:val="Heading 8 Char1"/>
    <w:basedOn w:val="DefaultParagraphFont"/>
    <w:semiHidden/>
    <w:rsid w:val="00D61046"/>
    <w:rPr>
      <w:rFonts w:asciiTheme="majorHAnsi" w:eastAsiaTheme="majorEastAsia" w:hAnsiTheme="majorHAnsi" w:cstheme="majorBidi"/>
      <w:color w:val="272727" w:themeColor="text1" w:themeTint="D8"/>
      <w:sz w:val="21"/>
      <w:szCs w:val="21"/>
    </w:rPr>
  </w:style>
  <w:style w:type="character" w:styleId="IntenseReference">
    <w:name w:val="Intense Reference"/>
    <w:basedOn w:val="DefaultParagraphFont"/>
    <w:uiPriority w:val="32"/>
    <w:qFormat/>
    <w:rsid w:val="00D61046"/>
    <w:rPr>
      <w:b/>
      <w:bCs/>
      <w:smallCaps/>
      <w:color w:val="4F81BD" w:themeColor="accent1"/>
      <w:spacing w:val="5"/>
    </w:rPr>
  </w:style>
  <w:style w:type="character" w:styleId="SubtleReference">
    <w:name w:val="Subtle Reference"/>
    <w:basedOn w:val="DefaultParagraphFont"/>
    <w:uiPriority w:val="31"/>
    <w:qFormat/>
    <w:rsid w:val="00D61046"/>
    <w:rPr>
      <w:smallCaps/>
      <w:color w:val="5A5A5A" w:themeColor="text1" w:themeTint="A5"/>
    </w:rPr>
  </w:style>
  <w:style w:type="paragraph" w:customStyle="1" w:styleId="Heading91">
    <w:name w:val="Heading 91"/>
    <w:basedOn w:val="Normal"/>
    <w:next w:val="Normal"/>
    <w:uiPriority w:val="9"/>
    <w:semiHidden/>
    <w:unhideWhenUsed/>
    <w:qFormat/>
    <w:rsid w:val="00D61046"/>
    <w:pPr>
      <w:keepNext/>
      <w:keepLines/>
      <w:spacing w:before="200" w:line="276" w:lineRule="auto"/>
      <w:outlineLvl w:val="8"/>
    </w:pPr>
    <w:rPr>
      <w:rFonts w:ascii="Calibri Light" w:eastAsia="Times New Roman" w:hAnsi="Calibri Light" w:cs="Times New Roman"/>
      <w:i/>
      <w:iCs/>
      <w:color w:val="404040"/>
      <w:sz w:val="20"/>
      <w:szCs w:val="20"/>
    </w:rPr>
  </w:style>
  <w:style w:type="numbering" w:customStyle="1" w:styleId="NoList3">
    <w:name w:val="No List3"/>
    <w:next w:val="NoList"/>
    <w:uiPriority w:val="99"/>
    <w:semiHidden/>
    <w:unhideWhenUsed/>
    <w:rsid w:val="00D61046"/>
  </w:style>
  <w:style w:type="character" w:customStyle="1" w:styleId="Heading9Char">
    <w:name w:val="Heading 9 Char"/>
    <w:basedOn w:val="DefaultParagraphFont"/>
    <w:link w:val="Heading9"/>
    <w:uiPriority w:val="9"/>
    <w:semiHidden/>
    <w:rsid w:val="00D61046"/>
    <w:rPr>
      <w:rFonts w:ascii="Calibri Light" w:eastAsia="Times New Roman" w:hAnsi="Calibri Light" w:cs="Times New Roman"/>
      <w:i/>
      <w:iCs/>
      <w:color w:val="404040"/>
      <w:sz w:val="20"/>
      <w:szCs w:val="20"/>
      <w:lang w:val="en-US"/>
    </w:rPr>
  </w:style>
  <w:style w:type="paragraph" w:styleId="BodyText">
    <w:name w:val="Body Text"/>
    <w:basedOn w:val="Normal"/>
    <w:link w:val="BodyTextChar"/>
    <w:uiPriority w:val="99"/>
    <w:unhideWhenUsed/>
    <w:rsid w:val="00D61046"/>
    <w:pPr>
      <w:spacing w:after="120" w:line="276" w:lineRule="auto"/>
    </w:pPr>
    <w:rPr>
      <w:rFonts w:ascii="Calibri" w:eastAsia="Times New Roman" w:hAnsi="Calibri" w:cs="Times New Roman"/>
      <w:sz w:val="22"/>
      <w:szCs w:val="22"/>
    </w:rPr>
  </w:style>
  <w:style w:type="character" w:customStyle="1" w:styleId="BodyTextChar">
    <w:name w:val="Body Text Char"/>
    <w:basedOn w:val="DefaultParagraphFont"/>
    <w:link w:val="BodyText"/>
    <w:uiPriority w:val="99"/>
    <w:rsid w:val="00D61046"/>
    <w:rPr>
      <w:rFonts w:ascii="Calibri" w:hAnsi="Calibri"/>
      <w:sz w:val="22"/>
      <w:szCs w:val="22"/>
    </w:rPr>
  </w:style>
  <w:style w:type="paragraph" w:styleId="BodyText2">
    <w:name w:val="Body Text 2"/>
    <w:basedOn w:val="Normal"/>
    <w:link w:val="BodyText2Char"/>
    <w:uiPriority w:val="99"/>
    <w:unhideWhenUsed/>
    <w:rsid w:val="00D61046"/>
    <w:pPr>
      <w:spacing w:after="120"/>
    </w:pPr>
    <w:rPr>
      <w:rFonts w:ascii="Calibri" w:eastAsia="Times New Roman" w:hAnsi="Calibri" w:cs="Times New Roman"/>
      <w:sz w:val="22"/>
      <w:szCs w:val="22"/>
    </w:rPr>
  </w:style>
  <w:style w:type="character" w:customStyle="1" w:styleId="BodyText2Char">
    <w:name w:val="Body Text 2 Char"/>
    <w:basedOn w:val="DefaultParagraphFont"/>
    <w:link w:val="BodyText2"/>
    <w:uiPriority w:val="99"/>
    <w:rsid w:val="00D61046"/>
    <w:rPr>
      <w:rFonts w:ascii="Calibri" w:hAnsi="Calibri"/>
      <w:sz w:val="22"/>
      <w:szCs w:val="22"/>
    </w:rPr>
  </w:style>
  <w:style w:type="paragraph" w:styleId="BodyText3">
    <w:name w:val="Body Text 3"/>
    <w:basedOn w:val="Normal"/>
    <w:link w:val="BodyText3Char"/>
    <w:uiPriority w:val="99"/>
    <w:unhideWhenUsed/>
    <w:rsid w:val="00D61046"/>
    <w:pPr>
      <w:spacing w:after="120" w:line="276" w:lineRule="auto"/>
    </w:pPr>
    <w:rPr>
      <w:rFonts w:ascii="Calibri" w:eastAsia="Times New Roman" w:hAnsi="Calibri" w:cs="Times New Roman"/>
      <w:sz w:val="16"/>
      <w:szCs w:val="16"/>
    </w:rPr>
  </w:style>
  <w:style w:type="character" w:customStyle="1" w:styleId="BodyText3Char">
    <w:name w:val="Body Text 3 Char"/>
    <w:basedOn w:val="DefaultParagraphFont"/>
    <w:link w:val="BodyText3"/>
    <w:uiPriority w:val="99"/>
    <w:rsid w:val="00D61046"/>
    <w:rPr>
      <w:rFonts w:ascii="Calibri" w:hAnsi="Calibri"/>
      <w:sz w:val="16"/>
      <w:szCs w:val="16"/>
    </w:rPr>
  </w:style>
  <w:style w:type="paragraph" w:styleId="List">
    <w:name w:val="List"/>
    <w:basedOn w:val="Normal"/>
    <w:uiPriority w:val="99"/>
    <w:unhideWhenUsed/>
    <w:rsid w:val="00D61046"/>
    <w:pPr>
      <w:spacing w:after="200" w:line="276" w:lineRule="auto"/>
      <w:ind w:left="360" w:hanging="360"/>
      <w:contextualSpacing/>
    </w:pPr>
    <w:rPr>
      <w:rFonts w:ascii="Calibri" w:eastAsia="Times New Roman" w:hAnsi="Calibri" w:cs="Times New Roman"/>
      <w:sz w:val="22"/>
      <w:szCs w:val="22"/>
    </w:rPr>
  </w:style>
  <w:style w:type="paragraph" w:styleId="List2">
    <w:name w:val="List 2"/>
    <w:basedOn w:val="Normal"/>
    <w:uiPriority w:val="99"/>
    <w:unhideWhenUsed/>
    <w:rsid w:val="00D61046"/>
    <w:pPr>
      <w:spacing w:after="200" w:line="276" w:lineRule="auto"/>
      <w:ind w:left="720" w:hanging="360"/>
      <w:contextualSpacing/>
    </w:pPr>
    <w:rPr>
      <w:rFonts w:ascii="Calibri" w:eastAsia="Times New Roman" w:hAnsi="Calibri" w:cs="Times New Roman"/>
      <w:sz w:val="22"/>
      <w:szCs w:val="22"/>
    </w:rPr>
  </w:style>
  <w:style w:type="paragraph" w:styleId="List3">
    <w:name w:val="List 3"/>
    <w:basedOn w:val="Normal"/>
    <w:uiPriority w:val="99"/>
    <w:unhideWhenUsed/>
    <w:rsid w:val="00D61046"/>
    <w:pPr>
      <w:spacing w:after="200" w:line="276" w:lineRule="auto"/>
      <w:ind w:left="1080" w:hanging="360"/>
      <w:contextualSpacing/>
    </w:pPr>
    <w:rPr>
      <w:rFonts w:ascii="Calibri" w:eastAsia="Times New Roman" w:hAnsi="Calibri" w:cs="Times New Roman"/>
      <w:sz w:val="22"/>
      <w:szCs w:val="22"/>
    </w:rPr>
  </w:style>
  <w:style w:type="paragraph" w:styleId="ListBullet">
    <w:name w:val="List Bullet"/>
    <w:basedOn w:val="Normal"/>
    <w:uiPriority w:val="99"/>
    <w:unhideWhenUsed/>
    <w:rsid w:val="00D61046"/>
    <w:pPr>
      <w:numPr>
        <w:numId w:val="23"/>
      </w:numPr>
      <w:tabs>
        <w:tab w:val="left" w:pos="360"/>
      </w:tabs>
      <w:spacing w:after="200" w:line="276" w:lineRule="auto"/>
      <w:contextualSpacing/>
    </w:pPr>
    <w:rPr>
      <w:rFonts w:ascii="Calibri" w:eastAsia="Times New Roman" w:hAnsi="Calibri" w:cs="Times New Roman"/>
      <w:sz w:val="22"/>
      <w:szCs w:val="22"/>
    </w:rPr>
  </w:style>
  <w:style w:type="paragraph" w:styleId="ListBullet2">
    <w:name w:val="List Bullet 2"/>
    <w:basedOn w:val="Normal"/>
    <w:uiPriority w:val="99"/>
    <w:unhideWhenUsed/>
    <w:rsid w:val="00D61046"/>
    <w:pPr>
      <w:numPr>
        <w:numId w:val="24"/>
      </w:numPr>
      <w:tabs>
        <w:tab w:val="left" w:pos="720"/>
      </w:tabs>
      <w:spacing w:after="200" w:line="276" w:lineRule="auto"/>
      <w:contextualSpacing/>
    </w:pPr>
    <w:rPr>
      <w:rFonts w:ascii="Calibri" w:eastAsia="Times New Roman" w:hAnsi="Calibri" w:cs="Times New Roman"/>
      <w:sz w:val="22"/>
      <w:szCs w:val="22"/>
    </w:rPr>
  </w:style>
  <w:style w:type="paragraph" w:styleId="ListBullet3">
    <w:name w:val="List Bullet 3"/>
    <w:basedOn w:val="Normal"/>
    <w:uiPriority w:val="99"/>
    <w:unhideWhenUsed/>
    <w:rsid w:val="00D61046"/>
    <w:pPr>
      <w:numPr>
        <w:numId w:val="25"/>
      </w:numPr>
      <w:tabs>
        <w:tab w:val="clear" w:pos="1080"/>
        <w:tab w:val="left" w:pos="720"/>
      </w:tabs>
      <w:spacing w:after="200" w:line="276" w:lineRule="auto"/>
      <w:ind w:left="720"/>
      <w:contextualSpacing/>
    </w:pPr>
    <w:rPr>
      <w:rFonts w:ascii="Calibri" w:eastAsia="Times New Roman" w:hAnsi="Calibri" w:cs="Times New Roman"/>
      <w:sz w:val="22"/>
      <w:szCs w:val="22"/>
    </w:rPr>
  </w:style>
  <w:style w:type="paragraph" w:styleId="ListNumber">
    <w:name w:val="List Number"/>
    <w:basedOn w:val="Normal"/>
    <w:uiPriority w:val="99"/>
    <w:unhideWhenUsed/>
    <w:rsid w:val="00D61046"/>
    <w:pPr>
      <w:numPr>
        <w:numId w:val="26"/>
      </w:numPr>
      <w:tabs>
        <w:tab w:val="clear" w:pos="360"/>
        <w:tab w:val="left" w:pos="720"/>
      </w:tabs>
      <w:spacing w:after="200" w:line="276" w:lineRule="auto"/>
      <w:ind w:left="720"/>
      <w:contextualSpacing/>
    </w:pPr>
    <w:rPr>
      <w:rFonts w:ascii="Calibri" w:eastAsia="Times New Roman" w:hAnsi="Calibri" w:cs="Times New Roman"/>
      <w:sz w:val="22"/>
      <w:szCs w:val="22"/>
    </w:rPr>
  </w:style>
  <w:style w:type="paragraph" w:styleId="ListNumber2">
    <w:name w:val="List Number 2"/>
    <w:basedOn w:val="Normal"/>
    <w:uiPriority w:val="99"/>
    <w:unhideWhenUsed/>
    <w:rsid w:val="00D61046"/>
    <w:pPr>
      <w:numPr>
        <w:numId w:val="27"/>
      </w:numPr>
      <w:tabs>
        <w:tab w:val="left" w:pos="720"/>
      </w:tabs>
      <w:spacing w:after="200" w:line="276" w:lineRule="auto"/>
      <w:contextualSpacing/>
    </w:pPr>
    <w:rPr>
      <w:rFonts w:ascii="Calibri" w:eastAsia="Times New Roman" w:hAnsi="Calibri" w:cs="Times New Roman"/>
      <w:sz w:val="22"/>
      <w:szCs w:val="22"/>
    </w:rPr>
  </w:style>
  <w:style w:type="paragraph" w:styleId="ListNumber3">
    <w:name w:val="List Number 3"/>
    <w:basedOn w:val="Normal"/>
    <w:uiPriority w:val="99"/>
    <w:unhideWhenUsed/>
    <w:rsid w:val="00D61046"/>
    <w:pPr>
      <w:numPr>
        <w:numId w:val="28"/>
      </w:numPr>
      <w:tabs>
        <w:tab w:val="clear" w:pos="1080"/>
        <w:tab w:val="left" w:pos="720"/>
      </w:tabs>
      <w:spacing w:after="200" w:line="276" w:lineRule="auto"/>
      <w:ind w:left="720"/>
      <w:contextualSpacing/>
    </w:pPr>
    <w:rPr>
      <w:rFonts w:ascii="Calibri" w:eastAsia="Times New Roman" w:hAnsi="Calibri" w:cs="Times New Roman"/>
      <w:sz w:val="22"/>
      <w:szCs w:val="22"/>
    </w:rPr>
  </w:style>
  <w:style w:type="paragraph" w:styleId="ListContinue">
    <w:name w:val="List Continue"/>
    <w:basedOn w:val="Normal"/>
    <w:uiPriority w:val="99"/>
    <w:unhideWhenUsed/>
    <w:rsid w:val="00D61046"/>
    <w:pPr>
      <w:spacing w:after="120" w:line="276" w:lineRule="auto"/>
      <w:ind w:left="360"/>
      <w:contextualSpacing/>
    </w:pPr>
    <w:rPr>
      <w:rFonts w:ascii="Calibri" w:eastAsia="Times New Roman" w:hAnsi="Calibri" w:cs="Times New Roman"/>
      <w:sz w:val="22"/>
      <w:szCs w:val="22"/>
    </w:rPr>
  </w:style>
  <w:style w:type="paragraph" w:styleId="ListContinue2">
    <w:name w:val="List Continue 2"/>
    <w:basedOn w:val="Normal"/>
    <w:uiPriority w:val="99"/>
    <w:unhideWhenUsed/>
    <w:rsid w:val="00D61046"/>
    <w:pPr>
      <w:spacing w:after="120" w:line="276" w:lineRule="auto"/>
      <w:ind w:left="720"/>
      <w:contextualSpacing/>
    </w:pPr>
    <w:rPr>
      <w:rFonts w:ascii="Calibri" w:eastAsia="Times New Roman" w:hAnsi="Calibri" w:cs="Times New Roman"/>
      <w:sz w:val="22"/>
      <w:szCs w:val="22"/>
    </w:rPr>
  </w:style>
  <w:style w:type="paragraph" w:styleId="ListContinue3">
    <w:name w:val="List Continue 3"/>
    <w:basedOn w:val="Normal"/>
    <w:uiPriority w:val="99"/>
    <w:unhideWhenUsed/>
    <w:rsid w:val="00D61046"/>
    <w:pPr>
      <w:spacing w:after="120" w:line="276" w:lineRule="auto"/>
      <w:ind w:left="1080"/>
      <w:contextualSpacing/>
    </w:pPr>
    <w:rPr>
      <w:rFonts w:ascii="Calibri" w:eastAsia="Times New Roman" w:hAnsi="Calibri" w:cs="Times New Roman"/>
      <w:sz w:val="22"/>
      <w:szCs w:val="22"/>
    </w:rPr>
  </w:style>
  <w:style w:type="paragraph" w:customStyle="1" w:styleId="MacroText1">
    <w:name w:val="Macro Text1"/>
    <w:next w:val="MacroText"/>
    <w:link w:val="MacroTextChar"/>
    <w:uiPriority w:val="99"/>
    <w:unhideWhenUsed/>
    <w:rsid w:val="00D61046"/>
    <w:pPr>
      <w:tabs>
        <w:tab w:val="left" w:pos="576"/>
        <w:tab w:val="left" w:pos="1152"/>
        <w:tab w:val="left" w:pos="1728"/>
        <w:tab w:val="left" w:pos="2304"/>
        <w:tab w:val="left" w:pos="2880"/>
        <w:tab w:val="left" w:pos="3456"/>
        <w:tab w:val="left" w:pos="4032"/>
      </w:tabs>
      <w:spacing w:after="200" w:line="276" w:lineRule="auto"/>
    </w:pPr>
    <w:rPr>
      <w:rFonts w:ascii="Courier" w:hAnsi="Courier"/>
    </w:rPr>
  </w:style>
  <w:style w:type="character" w:customStyle="1" w:styleId="MacroTextChar">
    <w:name w:val="Macro Text Char"/>
    <w:basedOn w:val="DefaultParagraphFont"/>
    <w:link w:val="MacroText1"/>
    <w:uiPriority w:val="99"/>
    <w:rsid w:val="00D61046"/>
    <w:rPr>
      <w:rFonts w:ascii="Courier" w:eastAsia="Times New Roman" w:hAnsi="Courier"/>
      <w:sz w:val="20"/>
      <w:szCs w:val="20"/>
      <w:lang w:val="en-US"/>
    </w:rPr>
  </w:style>
  <w:style w:type="paragraph" w:customStyle="1" w:styleId="Quote1">
    <w:name w:val="Quote1"/>
    <w:basedOn w:val="Normal"/>
    <w:next w:val="Normal"/>
    <w:uiPriority w:val="29"/>
    <w:qFormat/>
    <w:rsid w:val="00D61046"/>
    <w:pPr>
      <w:spacing w:after="200" w:line="276" w:lineRule="auto"/>
    </w:pPr>
    <w:rPr>
      <w:rFonts w:ascii="Calibri" w:eastAsia="Times New Roman" w:hAnsi="Calibri" w:cs="Times New Roman"/>
      <w:i/>
      <w:iCs/>
      <w:color w:val="000000"/>
      <w:sz w:val="22"/>
      <w:szCs w:val="22"/>
    </w:rPr>
  </w:style>
  <w:style w:type="character" w:customStyle="1" w:styleId="QuoteChar">
    <w:name w:val="Quote Char"/>
    <w:basedOn w:val="DefaultParagraphFont"/>
    <w:link w:val="Quote"/>
    <w:uiPriority w:val="29"/>
    <w:rsid w:val="00D61046"/>
    <w:rPr>
      <w:rFonts w:eastAsia="Times New Roman"/>
      <w:i/>
      <w:iCs/>
      <w:color w:val="000000"/>
      <w:lang w:val="en-US"/>
    </w:rPr>
  </w:style>
  <w:style w:type="paragraph" w:customStyle="1" w:styleId="IntenseQuote1">
    <w:name w:val="Intense Quote1"/>
    <w:basedOn w:val="Normal"/>
    <w:next w:val="Normal"/>
    <w:uiPriority w:val="30"/>
    <w:qFormat/>
    <w:rsid w:val="00D61046"/>
    <w:pPr>
      <w:pBdr>
        <w:bottom w:val="single" w:sz="4" w:space="4" w:color="4472C4"/>
      </w:pBdr>
      <w:spacing w:before="200" w:after="280" w:line="276" w:lineRule="auto"/>
      <w:ind w:left="936" w:right="936"/>
    </w:pPr>
    <w:rPr>
      <w:rFonts w:ascii="Calibri" w:eastAsia="Times New Roman" w:hAnsi="Calibri" w:cs="Times New Roman"/>
      <w:b/>
      <w:bCs/>
      <w:i/>
      <w:iCs/>
      <w:color w:val="4472C4"/>
      <w:sz w:val="22"/>
      <w:szCs w:val="22"/>
    </w:rPr>
  </w:style>
  <w:style w:type="character" w:customStyle="1" w:styleId="IntenseQuoteChar">
    <w:name w:val="Intense Quote Char"/>
    <w:basedOn w:val="DefaultParagraphFont"/>
    <w:link w:val="IntenseQuote"/>
    <w:uiPriority w:val="30"/>
    <w:rsid w:val="00D61046"/>
    <w:rPr>
      <w:rFonts w:eastAsia="Times New Roman"/>
      <w:b/>
      <w:bCs/>
      <w:i/>
      <w:iCs/>
      <w:color w:val="4472C4"/>
      <w:lang w:val="en-US"/>
    </w:rPr>
  </w:style>
  <w:style w:type="character" w:customStyle="1" w:styleId="SubtleEmphasis1">
    <w:name w:val="Subtle Emphasis1"/>
    <w:basedOn w:val="DefaultParagraphFont"/>
    <w:uiPriority w:val="19"/>
    <w:qFormat/>
    <w:rsid w:val="00D61046"/>
    <w:rPr>
      <w:i/>
      <w:iCs/>
      <w:color w:val="808080"/>
    </w:rPr>
  </w:style>
  <w:style w:type="character" w:customStyle="1" w:styleId="IntenseEmphasis1">
    <w:name w:val="Intense Emphasis1"/>
    <w:basedOn w:val="DefaultParagraphFont"/>
    <w:uiPriority w:val="21"/>
    <w:qFormat/>
    <w:rsid w:val="00D61046"/>
    <w:rPr>
      <w:b/>
      <w:bCs/>
      <w:i/>
      <w:iCs/>
      <w:color w:val="4472C4"/>
    </w:rPr>
  </w:style>
  <w:style w:type="character" w:styleId="BookTitle">
    <w:name w:val="Book Title"/>
    <w:basedOn w:val="DefaultParagraphFont"/>
    <w:uiPriority w:val="33"/>
    <w:qFormat/>
    <w:rsid w:val="00D61046"/>
    <w:rPr>
      <w:b/>
      <w:bCs/>
      <w:smallCaps/>
      <w:spacing w:val="5"/>
    </w:rPr>
  </w:style>
  <w:style w:type="table" w:customStyle="1" w:styleId="TableGrid2">
    <w:name w:val="Table Grid2"/>
    <w:basedOn w:val="TableNormal"/>
    <w:next w:val="TableGrid"/>
    <w:uiPriority w:val="59"/>
    <w:rsid w:val="00D61046"/>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next w:val="LightShading"/>
    <w:uiPriority w:val="60"/>
    <w:rsid w:val="00D61046"/>
    <w:rPr>
      <w:rFonts w:ascii="Calibri" w:eastAsia="Times New Roman" w:hAnsi="Calibri"/>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
    <w:name w:val="Light Shading - Accent 11"/>
    <w:basedOn w:val="TableNormal"/>
    <w:next w:val="LightShading-Accent1"/>
    <w:uiPriority w:val="60"/>
    <w:rsid w:val="00D61046"/>
    <w:rPr>
      <w:rFonts w:ascii="Calibri" w:eastAsia="Times New Roman" w:hAnsi="Calibri"/>
      <w:color w:val="2F5496"/>
      <w:sz w:val="22"/>
      <w:szCs w:val="22"/>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LightShading-Accent21">
    <w:name w:val="Light Shading - Accent 21"/>
    <w:basedOn w:val="TableNormal"/>
    <w:next w:val="LightShading-Accent2"/>
    <w:uiPriority w:val="60"/>
    <w:rsid w:val="00D61046"/>
    <w:rPr>
      <w:rFonts w:ascii="Calibri" w:eastAsia="Times New Roman" w:hAnsi="Calibri"/>
      <w:color w:val="C45911"/>
      <w:sz w:val="22"/>
      <w:szCs w:val="22"/>
    </w:rPr>
    <w:tblPr>
      <w:tblStyleRowBandSize w:val="1"/>
      <w:tblStyleColBandSize w:val="1"/>
      <w:tblBorders>
        <w:top w:val="single" w:sz="8" w:space="0" w:color="ED7D31"/>
        <w:bottom w:val="single" w:sz="8" w:space="0" w:color="ED7D31"/>
      </w:tblBorders>
    </w:tblPr>
    <w:tblStylePr w:type="fir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la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customStyle="1" w:styleId="LightShading-Accent31">
    <w:name w:val="Light Shading - Accent 31"/>
    <w:basedOn w:val="TableNormal"/>
    <w:next w:val="LightShading-Accent3"/>
    <w:uiPriority w:val="60"/>
    <w:rsid w:val="00D61046"/>
    <w:rPr>
      <w:rFonts w:ascii="Calibri" w:eastAsia="Times New Roman" w:hAnsi="Calibri"/>
      <w:color w:val="7B7B7B"/>
      <w:sz w:val="22"/>
      <w:szCs w:val="22"/>
    </w:rPr>
    <w:tblPr>
      <w:tblStyleRowBandSize w:val="1"/>
      <w:tblStyleColBandSize w:val="1"/>
      <w:tblBorders>
        <w:top w:val="single" w:sz="8" w:space="0" w:color="A5A5A5"/>
        <w:bottom w:val="single" w:sz="8" w:space="0" w:color="A5A5A5"/>
      </w:tblBorders>
    </w:tblPr>
    <w:tblStylePr w:type="fir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la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table" w:customStyle="1" w:styleId="LightShading-Accent41">
    <w:name w:val="Light Shading - Accent 41"/>
    <w:basedOn w:val="TableNormal"/>
    <w:next w:val="LightShading-Accent4"/>
    <w:uiPriority w:val="60"/>
    <w:rsid w:val="00D61046"/>
    <w:rPr>
      <w:rFonts w:ascii="Calibri" w:eastAsia="Times New Roman" w:hAnsi="Calibri"/>
      <w:color w:val="BF8F00"/>
      <w:sz w:val="22"/>
      <w:szCs w:val="22"/>
    </w:rPr>
    <w:tblPr>
      <w:tblStyleRowBandSize w:val="1"/>
      <w:tblStyleColBandSize w:val="1"/>
      <w:tblBorders>
        <w:top w:val="single" w:sz="8" w:space="0" w:color="FFC000"/>
        <w:bottom w:val="single" w:sz="8" w:space="0" w:color="FFC000"/>
      </w:tblBorders>
    </w:tblPr>
    <w:tblStylePr w:type="fir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la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cPr>
    </w:tblStylePr>
    <w:tblStylePr w:type="band1Horz">
      <w:tblPr/>
      <w:tcPr>
        <w:tcBorders>
          <w:left w:val="nil"/>
          <w:right w:val="nil"/>
          <w:insideH w:val="nil"/>
          <w:insideV w:val="nil"/>
        </w:tcBorders>
        <w:shd w:val="clear" w:color="auto" w:fill="FFEFC0"/>
      </w:tcPr>
    </w:tblStylePr>
  </w:style>
  <w:style w:type="table" w:customStyle="1" w:styleId="LightShading-Accent51">
    <w:name w:val="Light Shading - Accent 51"/>
    <w:basedOn w:val="TableNormal"/>
    <w:next w:val="LightShading-Accent5"/>
    <w:uiPriority w:val="60"/>
    <w:rsid w:val="00D61046"/>
    <w:rPr>
      <w:rFonts w:ascii="Calibri" w:eastAsia="Times New Roman" w:hAnsi="Calibri"/>
      <w:color w:val="2E74B5"/>
      <w:sz w:val="22"/>
      <w:szCs w:val="22"/>
    </w:rPr>
    <w:tblPr>
      <w:tblStyleRowBandSize w:val="1"/>
      <w:tblStyleColBandSize w:val="1"/>
      <w:tblBorders>
        <w:top w:val="single" w:sz="8" w:space="0" w:color="5B9BD5"/>
        <w:bottom w:val="single" w:sz="8" w:space="0" w:color="5B9BD5"/>
      </w:tblBorders>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customStyle="1" w:styleId="LightShading-Accent61">
    <w:name w:val="Light Shading - Accent 61"/>
    <w:basedOn w:val="TableNormal"/>
    <w:next w:val="LightShading-Accent6"/>
    <w:uiPriority w:val="60"/>
    <w:rsid w:val="00D61046"/>
    <w:rPr>
      <w:rFonts w:ascii="Calibri" w:eastAsia="Times New Roman" w:hAnsi="Calibri"/>
      <w:color w:val="538135"/>
      <w:sz w:val="22"/>
      <w:szCs w:val="22"/>
    </w:rPr>
    <w:tblPr>
      <w:tblStyleRowBandSize w:val="1"/>
      <w:tblStyleColBandSize w:val="1"/>
      <w:tblBorders>
        <w:top w:val="single" w:sz="8" w:space="0" w:color="70AD47"/>
        <w:bottom w:val="single" w:sz="8" w:space="0" w:color="70AD47"/>
      </w:tblBorders>
    </w:tblPr>
    <w:tblStylePr w:type="fir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la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cPr>
    </w:tblStylePr>
    <w:tblStylePr w:type="band1Horz">
      <w:tblPr/>
      <w:tcPr>
        <w:tcBorders>
          <w:left w:val="nil"/>
          <w:right w:val="nil"/>
          <w:insideH w:val="nil"/>
          <w:insideV w:val="nil"/>
        </w:tcBorders>
        <w:shd w:val="clear" w:color="auto" w:fill="DBEBD0"/>
      </w:tcPr>
    </w:tblStylePr>
  </w:style>
  <w:style w:type="table" w:customStyle="1" w:styleId="LightList1">
    <w:name w:val="Light List1"/>
    <w:basedOn w:val="TableNormal"/>
    <w:next w:val="LightList"/>
    <w:uiPriority w:val="61"/>
    <w:rsid w:val="00D61046"/>
    <w:rPr>
      <w:rFonts w:ascii="Calibri" w:eastAsia="Times New Roman" w:hAnsi="Calibri"/>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1">
    <w:name w:val="Light List - Accent 11"/>
    <w:basedOn w:val="TableNormal"/>
    <w:next w:val="LightList-Accent1"/>
    <w:uiPriority w:val="61"/>
    <w:rsid w:val="00D61046"/>
    <w:rPr>
      <w:rFonts w:ascii="Calibri" w:eastAsia="Times New Roman" w:hAnsi="Calibri"/>
      <w:sz w:val="22"/>
      <w:szCs w:val="22"/>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21">
    <w:name w:val="Light List - Accent 21"/>
    <w:basedOn w:val="TableNormal"/>
    <w:next w:val="LightList-Accent2"/>
    <w:uiPriority w:val="61"/>
    <w:rsid w:val="00D61046"/>
    <w:rPr>
      <w:rFonts w:ascii="Calibri" w:eastAsia="Times New Roman" w:hAnsi="Calibri"/>
      <w:sz w:val="22"/>
      <w:szCs w:val="22"/>
    </w:rPr>
    <w:tblPr>
      <w:tblStyleRowBandSize w:val="1"/>
      <w:tblStyleColBandSize w:val="1"/>
      <w:tblBorders>
        <w:top w:val="single" w:sz="8" w:space="0" w:color="ED7D31"/>
        <w:left w:val="single" w:sz="8" w:space="0" w:color="ED7D31"/>
        <w:bottom w:val="single" w:sz="8" w:space="0" w:color="ED7D31"/>
        <w:right w:val="single" w:sz="8" w:space="0" w:color="ED7D31"/>
      </w:tblBorders>
    </w:tblPr>
    <w:tblStylePr w:type="firstRow">
      <w:pPr>
        <w:spacing w:before="0" w:after="0" w:line="240" w:lineRule="auto"/>
      </w:pPr>
      <w:rPr>
        <w:b/>
        <w:bCs/>
        <w:color w:val="FFFFFF"/>
      </w:rPr>
      <w:tblPr/>
      <w:tcPr>
        <w:shd w:val="clear" w:color="auto" w:fill="ED7D31"/>
      </w:tcPr>
    </w:tblStylePr>
    <w:tblStylePr w:type="lastRow">
      <w:pPr>
        <w:spacing w:before="0" w:after="0"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table" w:customStyle="1" w:styleId="LightList-Accent31">
    <w:name w:val="Light List - Accent 31"/>
    <w:basedOn w:val="TableNormal"/>
    <w:next w:val="LightList-Accent3"/>
    <w:uiPriority w:val="61"/>
    <w:rsid w:val="00D61046"/>
    <w:rPr>
      <w:rFonts w:ascii="Calibri" w:eastAsia="Times New Roman" w:hAnsi="Calibri"/>
      <w:sz w:val="22"/>
      <w:szCs w:val="22"/>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0" w:after="0" w:line="240" w:lineRule="auto"/>
      </w:pPr>
      <w:rPr>
        <w:b/>
        <w:bCs/>
        <w:color w:val="FFFFFF"/>
      </w:rPr>
      <w:tblPr/>
      <w:tcPr>
        <w:shd w:val="clear" w:color="auto" w:fill="A5A5A5"/>
      </w:tcPr>
    </w:tblStylePr>
    <w:tblStylePr w:type="lastRow">
      <w:pPr>
        <w:spacing w:before="0" w:after="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LightList-Accent41">
    <w:name w:val="Light List - Accent 41"/>
    <w:basedOn w:val="TableNormal"/>
    <w:next w:val="LightList-Accent4"/>
    <w:uiPriority w:val="61"/>
    <w:rsid w:val="00D61046"/>
    <w:rPr>
      <w:rFonts w:ascii="Calibri" w:eastAsia="Times New Roman" w:hAnsi="Calibri"/>
      <w:sz w:val="22"/>
      <w:szCs w:val="22"/>
    </w:rPr>
    <w:tblPr>
      <w:tblStyleRowBandSize w:val="1"/>
      <w:tblStyleColBandSize w:val="1"/>
      <w:tblBorders>
        <w:top w:val="single" w:sz="8" w:space="0" w:color="FFC000"/>
        <w:left w:val="single" w:sz="8" w:space="0" w:color="FFC000"/>
        <w:bottom w:val="single" w:sz="8" w:space="0" w:color="FFC000"/>
        <w:right w:val="single" w:sz="8" w:space="0" w:color="FFC000"/>
      </w:tblBorders>
    </w:tblPr>
    <w:tblStylePr w:type="firstRow">
      <w:pPr>
        <w:spacing w:before="0" w:after="0" w:line="240" w:lineRule="auto"/>
      </w:pPr>
      <w:rPr>
        <w:b/>
        <w:bCs/>
        <w:color w:val="FFFFFF"/>
      </w:rPr>
      <w:tblPr/>
      <w:tcPr>
        <w:shd w:val="clear" w:color="auto" w:fill="FFC000"/>
      </w:tcPr>
    </w:tblStylePr>
    <w:tblStylePr w:type="lastRow">
      <w:pPr>
        <w:spacing w:before="0" w:after="0" w:line="240" w:lineRule="auto"/>
      </w:pPr>
      <w:rPr>
        <w:b/>
        <w:bCs/>
      </w:rPr>
      <w:tblPr/>
      <w:tcPr>
        <w:tcBorders>
          <w:top w:val="double" w:sz="6" w:space="0" w:color="FFC000"/>
          <w:left w:val="single" w:sz="8" w:space="0" w:color="FFC000"/>
          <w:bottom w:val="single" w:sz="8" w:space="0" w:color="FFC000"/>
          <w:right w:val="single" w:sz="8" w:space="0" w:color="FFC000"/>
        </w:tcBorders>
      </w:tcPr>
    </w:tblStylePr>
    <w:tblStylePr w:type="firstCol">
      <w:rPr>
        <w:b/>
        <w:bCs/>
      </w:rPr>
    </w:tblStylePr>
    <w:tblStylePr w:type="lastCol">
      <w:rPr>
        <w:b/>
        <w:bCs/>
      </w:rPr>
    </w:tblStylePr>
    <w:tblStylePr w:type="band1Vert">
      <w:tblPr/>
      <w:tcPr>
        <w:tcBorders>
          <w:top w:val="single" w:sz="8" w:space="0" w:color="FFC000"/>
          <w:left w:val="single" w:sz="8" w:space="0" w:color="FFC000"/>
          <w:bottom w:val="single" w:sz="8" w:space="0" w:color="FFC000"/>
          <w:right w:val="single" w:sz="8" w:space="0" w:color="FFC000"/>
        </w:tcBorders>
      </w:tcPr>
    </w:tblStylePr>
    <w:tblStylePr w:type="band1Horz">
      <w:tblPr/>
      <w:tcPr>
        <w:tcBorders>
          <w:top w:val="single" w:sz="8" w:space="0" w:color="FFC000"/>
          <w:left w:val="single" w:sz="8" w:space="0" w:color="FFC000"/>
          <w:bottom w:val="single" w:sz="8" w:space="0" w:color="FFC000"/>
          <w:right w:val="single" w:sz="8" w:space="0" w:color="FFC000"/>
        </w:tcBorders>
      </w:tcPr>
    </w:tblStylePr>
  </w:style>
  <w:style w:type="table" w:customStyle="1" w:styleId="LightList-Accent51">
    <w:name w:val="Light List - Accent 51"/>
    <w:basedOn w:val="TableNormal"/>
    <w:next w:val="LightList-Accent5"/>
    <w:uiPriority w:val="61"/>
    <w:rsid w:val="00D61046"/>
    <w:rPr>
      <w:rFonts w:ascii="Calibri" w:eastAsia="Times New Roman" w:hAnsi="Calibri"/>
      <w:sz w:val="22"/>
      <w:szCs w:val="22"/>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List-Accent61">
    <w:name w:val="Light List - Accent 61"/>
    <w:basedOn w:val="TableNormal"/>
    <w:next w:val="LightList-Accent6"/>
    <w:uiPriority w:val="61"/>
    <w:rsid w:val="00D61046"/>
    <w:rPr>
      <w:rFonts w:ascii="Calibri" w:eastAsia="Times New Roman" w:hAnsi="Calibri"/>
      <w:sz w:val="22"/>
      <w:szCs w:val="22"/>
    </w:rPr>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pPr>
        <w:spacing w:before="0" w:after="0" w:line="240" w:lineRule="auto"/>
      </w:pPr>
      <w:rPr>
        <w:b/>
        <w:bCs/>
        <w:color w:val="FFFFFF"/>
      </w:rPr>
      <w:tblPr/>
      <w:tcPr>
        <w:shd w:val="clear" w:color="auto" w:fill="70AD47"/>
      </w:tcPr>
    </w:tblStylePr>
    <w:tblStylePr w:type="lastRow">
      <w:pPr>
        <w:spacing w:before="0" w:after="0" w:line="240" w:lineRule="auto"/>
      </w:pPr>
      <w:rPr>
        <w:b/>
        <w:bCs/>
      </w:rPr>
      <w:tblPr/>
      <w:tcPr>
        <w:tcBorders>
          <w:top w:val="double" w:sz="6" w:space="0" w:color="70AD47"/>
          <w:left w:val="single" w:sz="8" w:space="0" w:color="70AD47"/>
          <w:bottom w:val="single" w:sz="8" w:space="0" w:color="70AD47"/>
          <w:right w:val="single" w:sz="8" w:space="0" w:color="70AD47"/>
        </w:tcBorders>
      </w:tcPr>
    </w:tblStylePr>
    <w:tblStylePr w:type="firstCol">
      <w:rPr>
        <w:b/>
        <w:bCs/>
      </w:rPr>
    </w:tblStylePr>
    <w:tblStylePr w:type="lastCol">
      <w:rPr>
        <w:b/>
        <w:bCs/>
      </w:rPr>
    </w:tblStylePr>
    <w:tblStylePr w:type="band1Vert">
      <w:tblPr/>
      <w:tcPr>
        <w:tcBorders>
          <w:top w:val="single" w:sz="8" w:space="0" w:color="70AD47"/>
          <w:left w:val="single" w:sz="8" w:space="0" w:color="70AD47"/>
          <w:bottom w:val="single" w:sz="8" w:space="0" w:color="70AD47"/>
          <w:right w:val="single" w:sz="8" w:space="0" w:color="70AD47"/>
        </w:tcBorders>
      </w:tcPr>
    </w:tblStylePr>
    <w:tblStylePr w:type="band1Horz">
      <w:tblPr/>
      <w:tcPr>
        <w:tcBorders>
          <w:top w:val="single" w:sz="8" w:space="0" w:color="70AD47"/>
          <w:left w:val="single" w:sz="8" w:space="0" w:color="70AD47"/>
          <w:bottom w:val="single" w:sz="8" w:space="0" w:color="70AD47"/>
          <w:right w:val="single" w:sz="8" w:space="0" w:color="70AD47"/>
        </w:tcBorders>
      </w:tcPr>
    </w:tblStylePr>
  </w:style>
  <w:style w:type="table" w:customStyle="1" w:styleId="LightGrid1">
    <w:name w:val="Light Grid1"/>
    <w:basedOn w:val="TableNormal"/>
    <w:next w:val="LightGrid"/>
    <w:uiPriority w:val="62"/>
    <w:rsid w:val="00D61046"/>
    <w:rPr>
      <w:rFonts w:ascii="Calibri" w:eastAsia="Times New Roman" w:hAnsi="Calibri"/>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1">
    <w:name w:val="Light Grid - Accent 11"/>
    <w:basedOn w:val="TableNormal"/>
    <w:next w:val="LightGrid-Accent1"/>
    <w:uiPriority w:val="62"/>
    <w:rsid w:val="00D61046"/>
    <w:rPr>
      <w:rFonts w:ascii="Calibri" w:eastAsia="Times New Roman" w:hAnsi="Calibri"/>
      <w:sz w:val="22"/>
      <w:szCs w:val="22"/>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blStylePr w:type="firstRow">
      <w:pPr>
        <w:spacing w:before="0" w:after="0" w:line="240" w:lineRule="auto"/>
      </w:pPr>
      <w:rPr>
        <w:rFonts w:ascii="Calibri Light" w:eastAsia="Times New Roman" w:hAnsi="Calibri Light" w:cs="Times New Roman"/>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21">
    <w:name w:val="Light Grid - Accent 21"/>
    <w:basedOn w:val="TableNormal"/>
    <w:next w:val="LightGrid-Accent2"/>
    <w:uiPriority w:val="62"/>
    <w:rsid w:val="00D61046"/>
    <w:rPr>
      <w:rFonts w:ascii="Calibri" w:eastAsia="Times New Roman" w:hAnsi="Calibri"/>
      <w:sz w:val="22"/>
      <w:szCs w:val="22"/>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blStylePr w:type="firstRow">
      <w:pPr>
        <w:spacing w:before="0" w:after="0" w:line="240" w:lineRule="auto"/>
      </w:pPr>
      <w:rPr>
        <w:rFonts w:ascii="Calibri Light" w:eastAsia="Times New Roman" w:hAnsi="Calibri Light" w:cs="Times New Roman"/>
        <w:b/>
        <w:bCs/>
      </w:rPr>
      <w:tblPr/>
      <w:tcPr>
        <w:tcBorders>
          <w:top w:val="single" w:sz="8" w:space="0" w:color="ED7D31"/>
          <w:left w:val="single" w:sz="8" w:space="0" w:color="ED7D31"/>
          <w:bottom w:val="single" w:sz="18" w:space="0" w:color="ED7D31"/>
          <w:right w:val="single" w:sz="8" w:space="0" w:color="ED7D31"/>
          <w:insideH w:val="nil"/>
          <w:insideV w:val="single" w:sz="8" w:space="0" w:color="ED7D31"/>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ED7D31"/>
          <w:left w:val="single" w:sz="8" w:space="0" w:color="ED7D31"/>
          <w:bottom w:val="single" w:sz="8" w:space="0" w:color="ED7D31"/>
          <w:right w:val="single" w:sz="8" w:space="0" w:color="ED7D31"/>
          <w:insideH w:val="nil"/>
          <w:insideV w:val="single" w:sz="8" w:space="0" w:color="ED7D31"/>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ED7D31"/>
          <w:left w:val="single" w:sz="8" w:space="0" w:color="ED7D31"/>
          <w:bottom w:val="single" w:sz="8" w:space="0" w:color="ED7D31"/>
          <w:right w:val="single" w:sz="8" w:space="0" w:color="ED7D31"/>
        </w:tcBorders>
      </w:tcPr>
    </w:tblStylePr>
    <w:tblStylePr w:type="band1Vert">
      <w:tblPr/>
      <w:tcPr>
        <w:tcBorders>
          <w:top w:val="single" w:sz="8" w:space="0" w:color="ED7D31"/>
          <w:left w:val="single" w:sz="8" w:space="0" w:color="ED7D31"/>
          <w:bottom w:val="single" w:sz="8" w:space="0" w:color="ED7D31"/>
          <w:right w:val="single" w:sz="8" w:space="0" w:color="ED7D31"/>
        </w:tcBorders>
        <w:shd w:val="clear" w:color="auto" w:fill="FADECB"/>
      </w:tcPr>
    </w:tblStylePr>
    <w:tblStylePr w:type="band1Horz">
      <w:tblPr/>
      <w:tcPr>
        <w:tcBorders>
          <w:top w:val="single" w:sz="8" w:space="0" w:color="ED7D31"/>
          <w:left w:val="single" w:sz="8" w:space="0" w:color="ED7D31"/>
          <w:bottom w:val="single" w:sz="8" w:space="0" w:color="ED7D31"/>
          <w:right w:val="single" w:sz="8" w:space="0" w:color="ED7D31"/>
          <w:insideV w:val="single" w:sz="8" w:space="0" w:color="ED7D31"/>
        </w:tcBorders>
        <w:shd w:val="clear" w:color="auto" w:fill="FADECB"/>
      </w:tcPr>
    </w:tblStylePr>
    <w:tblStylePr w:type="band2Horz">
      <w:tblPr/>
      <w:tcPr>
        <w:tcBorders>
          <w:top w:val="single" w:sz="8" w:space="0" w:color="ED7D31"/>
          <w:left w:val="single" w:sz="8" w:space="0" w:color="ED7D31"/>
          <w:bottom w:val="single" w:sz="8" w:space="0" w:color="ED7D31"/>
          <w:right w:val="single" w:sz="8" w:space="0" w:color="ED7D31"/>
          <w:insideV w:val="single" w:sz="8" w:space="0" w:color="ED7D31"/>
        </w:tcBorders>
      </w:tcPr>
    </w:tblStylePr>
  </w:style>
  <w:style w:type="table" w:customStyle="1" w:styleId="LightGrid-Accent31">
    <w:name w:val="Light Grid - Accent 31"/>
    <w:basedOn w:val="TableNormal"/>
    <w:next w:val="LightGrid-Accent3"/>
    <w:uiPriority w:val="62"/>
    <w:rsid w:val="00D61046"/>
    <w:rPr>
      <w:rFonts w:ascii="Calibri" w:eastAsia="Times New Roman" w:hAnsi="Calibri"/>
      <w:sz w:val="22"/>
      <w:szCs w:val="22"/>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blStylePr w:type="firstRow">
      <w:pPr>
        <w:spacing w:before="0" w:after="0" w:line="240" w:lineRule="auto"/>
      </w:pPr>
      <w:rPr>
        <w:rFonts w:ascii="Calibri Light" w:eastAsia="Times New Roman" w:hAnsi="Calibri Light" w:cs="Times New Roman"/>
        <w:b/>
        <w:bCs/>
      </w:r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table" w:customStyle="1" w:styleId="LightGrid-Accent41">
    <w:name w:val="Light Grid - Accent 41"/>
    <w:basedOn w:val="TableNormal"/>
    <w:next w:val="LightGrid-Accent4"/>
    <w:uiPriority w:val="62"/>
    <w:rsid w:val="00D61046"/>
    <w:rPr>
      <w:rFonts w:ascii="Calibri" w:eastAsia="Times New Roman" w:hAnsi="Calibri"/>
      <w:sz w:val="22"/>
      <w:szCs w:val="22"/>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LightGrid-Accent51">
    <w:name w:val="Light Grid - Accent 51"/>
    <w:basedOn w:val="TableNormal"/>
    <w:next w:val="LightGrid-Accent5"/>
    <w:uiPriority w:val="62"/>
    <w:rsid w:val="00D61046"/>
    <w:rPr>
      <w:rFonts w:ascii="Calibri" w:eastAsia="Times New Roman" w:hAnsi="Calibri"/>
      <w:sz w:val="22"/>
      <w:szCs w:val="22"/>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Calibri Light" w:eastAsia="Times New Roman"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61">
    <w:name w:val="Light Grid - Accent 61"/>
    <w:basedOn w:val="TableNormal"/>
    <w:next w:val="LightGrid-Accent6"/>
    <w:uiPriority w:val="62"/>
    <w:rsid w:val="00D61046"/>
    <w:rPr>
      <w:rFonts w:ascii="Calibri" w:eastAsia="Times New Roman" w:hAnsi="Calibri"/>
      <w:sz w:val="22"/>
      <w:szCs w:val="22"/>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blStylePr w:type="firstRow">
      <w:pPr>
        <w:spacing w:before="0" w:after="0" w:line="240" w:lineRule="auto"/>
      </w:pPr>
      <w:rPr>
        <w:rFonts w:ascii="Calibri Light" w:eastAsia="Times New Roman" w:hAnsi="Calibri Light" w:cs="Times New Roman"/>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table" w:customStyle="1" w:styleId="MediumShading11">
    <w:name w:val="Medium Shading 11"/>
    <w:basedOn w:val="TableNormal"/>
    <w:next w:val="MediumShading1"/>
    <w:uiPriority w:val="63"/>
    <w:rsid w:val="00D61046"/>
    <w:rPr>
      <w:rFonts w:ascii="Calibri" w:eastAsia="Times New Roman" w:hAnsi="Calibri"/>
      <w:sz w:val="22"/>
      <w:szCs w:val="22"/>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11">
    <w:name w:val="Medium Shading 1 - Accent 11"/>
    <w:basedOn w:val="TableNormal"/>
    <w:next w:val="MediumShading1-Accent1"/>
    <w:uiPriority w:val="63"/>
    <w:rsid w:val="00D61046"/>
    <w:rPr>
      <w:rFonts w:ascii="Calibri" w:eastAsia="Times New Roman" w:hAnsi="Calibri"/>
      <w:sz w:val="22"/>
      <w:szCs w:val="22"/>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tblBorders>
    </w:tblPr>
    <w:tblStylePr w:type="firstRow">
      <w:pPr>
        <w:spacing w:before="0" w:after="0" w:line="240" w:lineRule="auto"/>
      </w:pPr>
      <w:rPr>
        <w:b/>
        <w:bCs/>
        <w:color w:val="FFFFFF"/>
      </w:rPr>
      <w:tbl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0" w:after="0" w:line="240" w:lineRule="auto"/>
      </w:pPr>
      <w:rPr>
        <w:b/>
        <w:bCs/>
      </w:rPr>
      <w:tblPr/>
      <w:tcPr>
        <w:tcBorders>
          <w:top w:val="double" w:sz="6" w:space="0" w:color="7295D2"/>
          <w:left w:val="single" w:sz="8" w:space="0" w:color="7295D2"/>
          <w:bottom w:val="single" w:sz="8" w:space="0" w:color="7295D2"/>
          <w:right w:val="single" w:sz="8" w:space="0" w:color="7295D2"/>
          <w:insideH w:val="nil"/>
          <w:insideV w:val="nil"/>
        </w:tcBorders>
      </w:tcPr>
    </w:tblStylePr>
    <w:tblStylePr w:type="firstCol">
      <w:rPr>
        <w:b/>
        <w:bCs/>
      </w:rPr>
    </w:tblStylePr>
    <w:tblStylePr w:type="lastCol">
      <w:rPr>
        <w:b/>
        <w:bCs/>
      </w:rPr>
    </w:tblStylePr>
    <w:tblStylePr w:type="band1Vert">
      <w:tblPr/>
      <w:tcPr>
        <w:shd w:val="clear" w:color="auto" w:fill="D0DBF0"/>
      </w:tcPr>
    </w:tblStylePr>
    <w:tblStylePr w:type="band1Horz">
      <w:tblPr/>
      <w:tcPr>
        <w:tcBorders>
          <w:insideH w:val="nil"/>
          <w:insideV w:val="nil"/>
        </w:tcBorders>
        <w:shd w:val="clear" w:color="auto" w:fill="D0DBF0"/>
      </w:tcPr>
    </w:tblStylePr>
    <w:tblStylePr w:type="band2Horz">
      <w:tblPr/>
      <w:tcPr>
        <w:tcBorders>
          <w:insideH w:val="nil"/>
          <w:insideV w:val="nil"/>
        </w:tcBorders>
      </w:tcPr>
    </w:tblStylePr>
  </w:style>
  <w:style w:type="table" w:customStyle="1" w:styleId="MediumShading1-Accent21">
    <w:name w:val="Medium Shading 1 - Accent 21"/>
    <w:basedOn w:val="TableNormal"/>
    <w:next w:val="MediumShading1-Accent2"/>
    <w:uiPriority w:val="63"/>
    <w:rsid w:val="00D61046"/>
    <w:rPr>
      <w:rFonts w:ascii="Calibri" w:eastAsia="Times New Roman" w:hAnsi="Calibri"/>
      <w:sz w:val="22"/>
      <w:szCs w:val="22"/>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tblBorders>
    </w:tblPr>
    <w:tblStylePr w:type="firstRow">
      <w:pPr>
        <w:spacing w:before="0" w:after="0" w:line="240" w:lineRule="auto"/>
      </w:pPr>
      <w:rPr>
        <w:b/>
        <w:bCs/>
        <w:color w:val="FFFFFF"/>
      </w:rPr>
      <w:tblPr/>
      <w:tcPr>
        <w:tcBorders>
          <w:top w:val="single" w:sz="8" w:space="0" w:color="F19D64"/>
          <w:left w:val="single" w:sz="8" w:space="0" w:color="F19D64"/>
          <w:bottom w:val="single" w:sz="8" w:space="0" w:color="F19D64"/>
          <w:right w:val="single" w:sz="8" w:space="0" w:color="F19D64"/>
          <w:insideH w:val="nil"/>
          <w:insideV w:val="nil"/>
        </w:tcBorders>
        <w:shd w:val="clear" w:color="auto" w:fill="ED7D31"/>
      </w:tcPr>
    </w:tblStylePr>
    <w:tblStylePr w:type="lastRow">
      <w:pPr>
        <w:spacing w:before="0" w:after="0" w:line="240" w:lineRule="auto"/>
      </w:pPr>
      <w:rPr>
        <w:b/>
        <w:bCs/>
      </w:rPr>
      <w:tblPr/>
      <w:tcPr>
        <w:tcBorders>
          <w:top w:val="double" w:sz="6" w:space="0" w:color="F19D64"/>
          <w:left w:val="single" w:sz="8" w:space="0" w:color="F19D64"/>
          <w:bottom w:val="single" w:sz="8" w:space="0" w:color="F19D64"/>
          <w:right w:val="single" w:sz="8" w:space="0" w:color="F19D64"/>
          <w:insideH w:val="nil"/>
          <w:insideV w:val="nil"/>
        </w:tcBorders>
      </w:tcPr>
    </w:tblStylePr>
    <w:tblStylePr w:type="firstCol">
      <w:rPr>
        <w:b/>
        <w:bCs/>
      </w:rPr>
    </w:tblStylePr>
    <w:tblStylePr w:type="lastCol">
      <w:rPr>
        <w:b/>
        <w:bCs/>
      </w:rPr>
    </w:tblStylePr>
    <w:tblStylePr w:type="band1Vert">
      <w:tblPr/>
      <w:tcPr>
        <w:shd w:val="clear" w:color="auto" w:fill="FADECB"/>
      </w:tcPr>
    </w:tblStylePr>
    <w:tblStylePr w:type="band1Horz">
      <w:tblPr/>
      <w:tcPr>
        <w:tcBorders>
          <w:insideH w:val="nil"/>
          <w:insideV w:val="nil"/>
        </w:tcBorders>
        <w:shd w:val="clear" w:color="auto" w:fill="FADECB"/>
      </w:tcPr>
    </w:tblStylePr>
    <w:tblStylePr w:type="band2Horz">
      <w:tblPr/>
      <w:tcPr>
        <w:tcBorders>
          <w:insideH w:val="nil"/>
          <w:insideV w:val="nil"/>
        </w:tcBorders>
      </w:tcPr>
    </w:tblStylePr>
  </w:style>
  <w:style w:type="table" w:customStyle="1" w:styleId="MediumShading1-Accent31">
    <w:name w:val="Medium Shading 1 - Accent 31"/>
    <w:basedOn w:val="TableNormal"/>
    <w:next w:val="MediumShading1-Accent3"/>
    <w:uiPriority w:val="63"/>
    <w:rsid w:val="00D61046"/>
    <w:rPr>
      <w:rFonts w:ascii="Calibri" w:eastAsia="Times New Roman" w:hAnsi="Calibri"/>
      <w:sz w:val="22"/>
      <w:szCs w:val="22"/>
    </w:rPr>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tblBorders>
    </w:tblPr>
    <w:tblStylePr w:type="firstRow">
      <w:pPr>
        <w:spacing w:before="0" w:after="0" w:line="240" w:lineRule="auto"/>
      </w:pPr>
      <w:rPr>
        <w:b/>
        <w:bCs/>
        <w:color w:val="FFFFFF"/>
      </w:rPr>
      <w:tblPr/>
      <w:tcPr>
        <w:tcBorders>
          <w:top w:val="single" w:sz="8" w:space="0" w:color="BBBBBB"/>
          <w:left w:val="single" w:sz="8" w:space="0" w:color="BBBBBB"/>
          <w:bottom w:val="single" w:sz="8" w:space="0" w:color="BBBBBB"/>
          <w:right w:val="single" w:sz="8" w:space="0" w:color="BBBBBB"/>
          <w:insideH w:val="nil"/>
          <w:insideV w:val="nil"/>
        </w:tcBorders>
        <w:shd w:val="clear" w:color="auto" w:fill="A5A5A5"/>
      </w:tcPr>
    </w:tblStylePr>
    <w:tblStylePr w:type="lastRow">
      <w:pPr>
        <w:spacing w:before="0" w:after="0" w:line="240" w:lineRule="auto"/>
      </w:pPr>
      <w:rPr>
        <w:b/>
        <w:bCs/>
      </w:rPr>
      <w:tblPr/>
      <w:tcPr>
        <w:tcBorders>
          <w:top w:val="double" w:sz="6" w:space="0" w:color="BBBBBB"/>
          <w:left w:val="single" w:sz="8" w:space="0" w:color="BBBBBB"/>
          <w:bottom w:val="single" w:sz="8" w:space="0" w:color="BBBBBB"/>
          <w:right w:val="single" w:sz="8" w:space="0" w:color="BBBBBB"/>
          <w:insideH w:val="nil"/>
          <w:insideV w:val="nil"/>
        </w:tcBorders>
      </w:tcPr>
    </w:tblStylePr>
    <w:tblStylePr w:type="firstCol">
      <w:rPr>
        <w:b/>
        <w:bCs/>
      </w:rPr>
    </w:tblStylePr>
    <w:tblStylePr w:type="lastCol">
      <w:rPr>
        <w:b/>
        <w:bCs/>
      </w:rPr>
    </w:tblStylePr>
    <w:tblStylePr w:type="band1Vert">
      <w:tblPr/>
      <w:tcPr>
        <w:shd w:val="clear" w:color="auto" w:fill="E8E8E8"/>
      </w:tcPr>
    </w:tblStylePr>
    <w:tblStylePr w:type="band1Horz">
      <w:tblPr/>
      <w:tcPr>
        <w:tcBorders>
          <w:insideH w:val="nil"/>
          <w:insideV w:val="nil"/>
        </w:tcBorders>
        <w:shd w:val="clear" w:color="auto" w:fill="E8E8E8"/>
      </w:tcPr>
    </w:tblStylePr>
    <w:tblStylePr w:type="band2Horz">
      <w:tblPr/>
      <w:tcPr>
        <w:tcBorders>
          <w:insideH w:val="nil"/>
          <w:insideV w:val="nil"/>
        </w:tcBorders>
      </w:tcPr>
    </w:tblStylePr>
  </w:style>
  <w:style w:type="table" w:customStyle="1" w:styleId="MediumShading1-Accent41">
    <w:name w:val="Medium Shading 1 - Accent 41"/>
    <w:basedOn w:val="TableNormal"/>
    <w:next w:val="MediumShading1-Accent4"/>
    <w:uiPriority w:val="63"/>
    <w:rsid w:val="00D61046"/>
    <w:rPr>
      <w:rFonts w:ascii="Calibri" w:eastAsia="Times New Roman" w:hAnsi="Calibri"/>
      <w:sz w:val="22"/>
      <w:szCs w:val="22"/>
    </w:rPr>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tblBorders>
    </w:tblPr>
    <w:tblStylePr w:type="firstRow">
      <w:pPr>
        <w:spacing w:before="0" w:after="0" w:line="240" w:lineRule="auto"/>
      </w:pPr>
      <w:rPr>
        <w:b/>
        <w:bCs/>
        <w:color w:val="FFFFFF"/>
      </w:rPr>
      <w:tblPr/>
      <w:tcPr>
        <w:tcBorders>
          <w:top w:val="single" w:sz="8" w:space="0" w:color="FFCF40"/>
          <w:left w:val="single" w:sz="8" w:space="0" w:color="FFCF40"/>
          <w:bottom w:val="single" w:sz="8" w:space="0" w:color="FFCF40"/>
          <w:right w:val="single" w:sz="8" w:space="0" w:color="FFCF40"/>
          <w:insideH w:val="nil"/>
          <w:insideV w:val="nil"/>
        </w:tcBorders>
        <w:shd w:val="clear" w:color="auto" w:fill="FFC000"/>
      </w:tcPr>
    </w:tblStylePr>
    <w:tblStylePr w:type="lastRow">
      <w:pPr>
        <w:spacing w:before="0" w:after="0" w:line="240" w:lineRule="auto"/>
      </w:pPr>
      <w:rPr>
        <w:b/>
        <w:bCs/>
      </w:rPr>
      <w:tblPr/>
      <w:tcPr>
        <w:tcBorders>
          <w:top w:val="double" w:sz="6" w:space="0" w:color="FFCF40"/>
          <w:left w:val="single" w:sz="8" w:space="0" w:color="FFCF40"/>
          <w:bottom w:val="single" w:sz="8" w:space="0" w:color="FFCF40"/>
          <w:right w:val="single" w:sz="8" w:space="0" w:color="FFCF40"/>
          <w:insideH w:val="nil"/>
          <w:insideV w:val="nil"/>
        </w:tcBorders>
      </w:tcPr>
    </w:tblStylePr>
    <w:tblStylePr w:type="firstCol">
      <w:rPr>
        <w:b/>
        <w:bCs/>
      </w:rPr>
    </w:tblStylePr>
    <w:tblStylePr w:type="lastCol">
      <w:rPr>
        <w:b/>
        <w:bCs/>
      </w:rPr>
    </w:tblStylePr>
    <w:tblStylePr w:type="band1Vert">
      <w:tblPr/>
      <w:tcPr>
        <w:shd w:val="clear" w:color="auto" w:fill="FFEFC0"/>
      </w:tcPr>
    </w:tblStylePr>
    <w:tblStylePr w:type="band1Horz">
      <w:tblPr/>
      <w:tcPr>
        <w:tcBorders>
          <w:insideH w:val="nil"/>
          <w:insideV w:val="nil"/>
        </w:tcBorders>
        <w:shd w:val="clear" w:color="auto" w:fill="FFEFC0"/>
      </w:tcPr>
    </w:tblStylePr>
    <w:tblStylePr w:type="band2Horz">
      <w:tblPr/>
      <w:tcPr>
        <w:tcBorders>
          <w:insideH w:val="nil"/>
          <w:insideV w:val="nil"/>
        </w:tcBorders>
      </w:tcPr>
    </w:tblStylePr>
  </w:style>
  <w:style w:type="table" w:customStyle="1" w:styleId="MediumShading1-Accent51">
    <w:name w:val="Medium Shading 1 - Accent 51"/>
    <w:basedOn w:val="TableNormal"/>
    <w:next w:val="MediumShading1-Accent5"/>
    <w:uiPriority w:val="63"/>
    <w:rsid w:val="00D61046"/>
    <w:rPr>
      <w:rFonts w:ascii="Calibri" w:eastAsia="Times New Roman" w:hAnsi="Calibri"/>
      <w:sz w:val="22"/>
      <w:szCs w:val="22"/>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table" w:customStyle="1" w:styleId="MediumShading1-Accent61">
    <w:name w:val="Medium Shading 1 - Accent 61"/>
    <w:basedOn w:val="TableNormal"/>
    <w:next w:val="MediumShading1-Accent6"/>
    <w:uiPriority w:val="63"/>
    <w:rsid w:val="00D61046"/>
    <w:rPr>
      <w:rFonts w:ascii="Calibri" w:eastAsia="Times New Roman" w:hAnsi="Calibri"/>
      <w:sz w:val="22"/>
      <w:szCs w:val="22"/>
    </w:rPr>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tblBorders>
    </w:tblPr>
    <w:tblStylePr w:type="firstRow">
      <w:pPr>
        <w:spacing w:before="0" w:after="0" w:line="240" w:lineRule="auto"/>
      </w:pPr>
      <w:rPr>
        <w:b/>
        <w:bCs/>
        <w:color w:val="FFFFFF"/>
      </w:rPr>
      <w:tblPr/>
      <w:tcPr>
        <w:tcBorders>
          <w:top w:val="single" w:sz="8" w:space="0" w:color="93C571"/>
          <w:left w:val="single" w:sz="8" w:space="0" w:color="93C571"/>
          <w:bottom w:val="single" w:sz="8" w:space="0" w:color="93C571"/>
          <w:right w:val="single" w:sz="8" w:space="0" w:color="93C571"/>
          <w:insideH w:val="nil"/>
          <w:insideV w:val="nil"/>
        </w:tcBorders>
        <w:shd w:val="clear" w:color="auto" w:fill="70AD47"/>
      </w:tcPr>
    </w:tblStylePr>
    <w:tblStylePr w:type="lastRow">
      <w:pPr>
        <w:spacing w:before="0" w:after="0" w:line="240" w:lineRule="auto"/>
      </w:pPr>
      <w:rPr>
        <w:b/>
        <w:bCs/>
      </w:rPr>
      <w:tblPr/>
      <w:tcPr>
        <w:tcBorders>
          <w:top w:val="double" w:sz="6" w:space="0" w:color="93C571"/>
          <w:left w:val="single" w:sz="8" w:space="0" w:color="93C571"/>
          <w:bottom w:val="single" w:sz="8" w:space="0" w:color="93C571"/>
          <w:right w:val="single" w:sz="8" w:space="0" w:color="93C571"/>
          <w:insideH w:val="nil"/>
          <w:insideV w:val="nil"/>
        </w:tcBorders>
      </w:tcPr>
    </w:tblStylePr>
    <w:tblStylePr w:type="firstCol">
      <w:rPr>
        <w:b/>
        <w:bCs/>
      </w:rPr>
    </w:tblStylePr>
    <w:tblStylePr w:type="lastCol">
      <w:rPr>
        <w:b/>
        <w:bCs/>
      </w:rPr>
    </w:tblStylePr>
    <w:tblStylePr w:type="band1Vert">
      <w:tblPr/>
      <w:tcPr>
        <w:shd w:val="clear" w:color="auto" w:fill="DBEBD0"/>
      </w:tcPr>
    </w:tblStylePr>
    <w:tblStylePr w:type="band1Horz">
      <w:tblPr/>
      <w:tcPr>
        <w:tcBorders>
          <w:insideH w:val="nil"/>
          <w:insideV w:val="nil"/>
        </w:tcBorders>
        <w:shd w:val="clear" w:color="auto" w:fill="DBEBD0"/>
      </w:tcPr>
    </w:tblStylePr>
    <w:tblStylePr w:type="band2Horz">
      <w:tblPr/>
      <w:tcPr>
        <w:tcBorders>
          <w:insideH w:val="nil"/>
          <w:insideV w:val="nil"/>
        </w:tcBorders>
      </w:tcPr>
    </w:tblStylePr>
  </w:style>
  <w:style w:type="table" w:customStyle="1" w:styleId="MediumShading21">
    <w:name w:val="Medium Shading 21"/>
    <w:basedOn w:val="TableNormal"/>
    <w:next w:val="MediumShading2"/>
    <w:uiPriority w:val="64"/>
    <w:rsid w:val="00D61046"/>
    <w:rPr>
      <w:rFonts w:ascii="Calibri" w:eastAsia="Times New Roman" w:hAnsi="Calibr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next w:val="MediumShading2-Accent1"/>
    <w:uiPriority w:val="64"/>
    <w:rsid w:val="00D61046"/>
    <w:rPr>
      <w:rFonts w:ascii="Calibri" w:eastAsia="Times New Roman" w:hAnsi="Calibr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472C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472C4"/>
      </w:tcPr>
    </w:tblStylePr>
    <w:tblStylePr w:type="lastCol">
      <w:rPr>
        <w:b/>
        <w:bCs/>
        <w:color w:val="FFFFFF"/>
      </w:rPr>
      <w:tblPr/>
      <w:tcPr>
        <w:tcBorders>
          <w:left w:val="nil"/>
          <w:right w:val="nil"/>
          <w:insideH w:val="nil"/>
          <w:insideV w:val="nil"/>
        </w:tcBorders>
        <w:shd w:val="clear" w:color="auto" w:fill="4472C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21">
    <w:name w:val="Medium Shading 2 - Accent 21"/>
    <w:basedOn w:val="TableNormal"/>
    <w:next w:val="MediumShading2-Accent2"/>
    <w:uiPriority w:val="64"/>
    <w:rsid w:val="00D61046"/>
    <w:rPr>
      <w:rFonts w:ascii="Calibri" w:eastAsia="Times New Roman" w:hAnsi="Calibr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ED7D3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ED7D31"/>
      </w:tcPr>
    </w:tblStylePr>
    <w:tblStylePr w:type="lastCol">
      <w:rPr>
        <w:b/>
        <w:bCs/>
        <w:color w:val="FFFFFF"/>
      </w:rPr>
      <w:tblPr/>
      <w:tcPr>
        <w:tcBorders>
          <w:left w:val="nil"/>
          <w:right w:val="nil"/>
          <w:insideH w:val="nil"/>
          <w:insideV w:val="nil"/>
        </w:tcBorders>
        <w:shd w:val="clear" w:color="auto" w:fill="ED7D31"/>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1">
    <w:name w:val="Medium Shading 2 - Accent 31"/>
    <w:basedOn w:val="TableNormal"/>
    <w:next w:val="MediumShading2-Accent3"/>
    <w:uiPriority w:val="64"/>
    <w:rsid w:val="00D61046"/>
    <w:rPr>
      <w:rFonts w:ascii="Calibri" w:eastAsia="Times New Roman" w:hAnsi="Calibr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1">
    <w:name w:val="Medium Shading 2 - Accent 41"/>
    <w:basedOn w:val="TableNormal"/>
    <w:next w:val="MediumShading2-Accent4"/>
    <w:uiPriority w:val="64"/>
    <w:rsid w:val="00D61046"/>
    <w:rPr>
      <w:rFonts w:ascii="Calibri" w:eastAsia="Times New Roman" w:hAnsi="Calibr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FC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FC000"/>
      </w:tcPr>
    </w:tblStylePr>
    <w:tblStylePr w:type="lastCol">
      <w:rPr>
        <w:b/>
        <w:bCs/>
        <w:color w:val="FFFFFF"/>
      </w:rPr>
      <w:tblPr/>
      <w:tcPr>
        <w:tcBorders>
          <w:left w:val="nil"/>
          <w:right w:val="nil"/>
          <w:insideH w:val="nil"/>
          <w:insideV w:val="nil"/>
        </w:tcBorders>
        <w:shd w:val="clear" w:color="auto" w:fill="FFC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51">
    <w:name w:val="Medium Shading 2 - Accent 51"/>
    <w:basedOn w:val="TableNormal"/>
    <w:next w:val="MediumShading2-Accent5"/>
    <w:uiPriority w:val="64"/>
    <w:rsid w:val="00D61046"/>
    <w:rPr>
      <w:rFonts w:ascii="Calibri" w:eastAsia="Times New Roman" w:hAnsi="Calibr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61">
    <w:name w:val="Medium Shading 2 - Accent 61"/>
    <w:basedOn w:val="TableNormal"/>
    <w:next w:val="MediumShading2-Accent6"/>
    <w:uiPriority w:val="64"/>
    <w:rsid w:val="00D61046"/>
    <w:rPr>
      <w:rFonts w:ascii="Calibri" w:eastAsia="Times New Roman" w:hAnsi="Calibr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70AD47"/>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70AD47"/>
      </w:tcPr>
    </w:tblStylePr>
    <w:tblStylePr w:type="lastCol">
      <w:rPr>
        <w:b/>
        <w:bCs/>
        <w:color w:val="FFFFFF"/>
      </w:rPr>
      <w:tblPr/>
      <w:tcPr>
        <w:tcBorders>
          <w:left w:val="nil"/>
          <w:right w:val="nil"/>
          <w:insideH w:val="nil"/>
          <w:insideV w:val="nil"/>
        </w:tcBorders>
        <w:shd w:val="clear" w:color="auto" w:fill="70AD4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List11">
    <w:name w:val="Medium List 11"/>
    <w:basedOn w:val="TableNormal"/>
    <w:next w:val="MediumList1"/>
    <w:uiPriority w:val="65"/>
    <w:rsid w:val="00D61046"/>
    <w:rPr>
      <w:rFonts w:ascii="Calibri" w:eastAsia="Times New Roman" w:hAnsi="Calibri"/>
      <w:color w:val="000000"/>
      <w:sz w:val="22"/>
      <w:szCs w:val="22"/>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44546A"/>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1">
    <w:name w:val="Medium List 1 - Accent 11"/>
    <w:basedOn w:val="TableNormal"/>
    <w:next w:val="MediumList1-Accent1"/>
    <w:uiPriority w:val="65"/>
    <w:rsid w:val="00D61046"/>
    <w:rPr>
      <w:rFonts w:ascii="Calibri" w:eastAsia="Times New Roman" w:hAnsi="Calibri"/>
      <w:color w:val="000000"/>
      <w:sz w:val="22"/>
      <w:szCs w:val="22"/>
    </w:rPr>
    <w:tblPr>
      <w:tblStyleRowBandSize w:val="1"/>
      <w:tblStyleColBandSize w:val="1"/>
      <w:tblBorders>
        <w:top w:val="single" w:sz="8" w:space="0" w:color="4472C4"/>
        <w:bottom w:val="single" w:sz="8" w:space="0" w:color="4472C4"/>
      </w:tblBorders>
    </w:tblPr>
    <w:tblStylePr w:type="firstRow">
      <w:rPr>
        <w:rFonts w:ascii="Calibri Light" w:eastAsia="Times New Roman" w:hAnsi="Calibri Light" w:cs="Times New Roman"/>
      </w:rPr>
      <w:tblPr/>
      <w:tcPr>
        <w:tcBorders>
          <w:top w:val="nil"/>
          <w:bottom w:val="single" w:sz="8" w:space="0" w:color="4472C4"/>
        </w:tcBorders>
      </w:tcPr>
    </w:tblStylePr>
    <w:tblStylePr w:type="lastRow">
      <w:rPr>
        <w:b/>
        <w:bCs/>
        <w:color w:val="44546A"/>
      </w:rPr>
      <w:tblPr/>
      <w:tcPr>
        <w:tcBorders>
          <w:top w:val="single" w:sz="8" w:space="0" w:color="4472C4"/>
          <w:bottom w:val="single" w:sz="8" w:space="0" w:color="4472C4"/>
        </w:tcBorders>
      </w:tcPr>
    </w:tblStylePr>
    <w:tblStylePr w:type="firstCol">
      <w:rPr>
        <w:b/>
        <w:bCs/>
      </w:rPr>
    </w:tblStylePr>
    <w:tblStylePr w:type="lastCol">
      <w:rPr>
        <w:b/>
        <w:bCs/>
      </w:rPr>
      <w:tblPr/>
      <w:tcPr>
        <w:tcBorders>
          <w:top w:val="single" w:sz="8" w:space="0" w:color="4472C4"/>
          <w:bottom w:val="single" w:sz="8" w:space="0" w:color="4472C4"/>
        </w:tcBorders>
      </w:tcPr>
    </w:tblStylePr>
    <w:tblStylePr w:type="band1Vert">
      <w:tblPr/>
      <w:tcPr>
        <w:shd w:val="clear" w:color="auto" w:fill="D0DBF0"/>
      </w:tcPr>
    </w:tblStylePr>
    <w:tblStylePr w:type="band1Horz">
      <w:tblPr/>
      <w:tcPr>
        <w:shd w:val="clear" w:color="auto" w:fill="D0DBF0"/>
      </w:tcPr>
    </w:tblStylePr>
  </w:style>
  <w:style w:type="table" w:customStyle="1" w:styleId="MediumList1-Accent21">
    <w:name w:val="Medium List 1 - Accent 21"/>
    <w:basedOn w:val="TableNormal"/>
    <w:next w:val="MediumList1-Accent2"/>
    <w:uiPriority w:val="65"/>
    <w:rsid w:val="00D61046"/>
    <w:rPr>
      <w:rFonts w:ascii="Calibri" w:eastAsia="Times New Roman" w:hAnsi="Calibri"/>
      <w:color w:val="000000"/>
      <w:sz w:val="22"/>
      <w:szCs w:val="22"/>
    </w:rPr>
    <w:tblPr>
      <w:tblStyleRowBandSize w:val="1"/>
      <w:tblStyleColBandSize w:val="1"/>
      <w:tblBorders>
        <w:top w:val="single" w:sz="8" w:space="0" w:color="ED7D31"/>
        <w:bottom w:val="single" w:sz="8" w:space="0" w:color="ED7D31"/>
      </w:tblBorders>
    </w:tblPr>
    <w:tblStylePr w:type="firstRow">
      <w:rPr>
        <w:rFonts w:ascii="Calibri Light" w:eastAsia="Times New Roman" w:hAnsi="Calibri Light" w:cs="Times New Roman"/>
      </w:rPr>
      <w:tblPr/>
      <w:tcPr>
        <w:tcBorders>
          <w:top w:val="nil"/>
          <w:bottom w:val="single" w:sz="8" w:space="0" w:color="ED7D31"/>
        </w:tcBorders>
      </w:tcPr>
    </w:tblStylePr>
    <w:tblStylePr w:type="lastRow">
      <w:rPr>
        <w:b/>
        <w:bCs/>
        <w:color w:val="44546A"/>
      </w:rPr>
      <w:tblPr/>
      <w:tcPr>
        <w:tcBorders>
          <w:top w:val="single" w:sz="8" w:space="0" w:color="ED7D31"/>
          <w:bottom w:val="single" w:sz="8" w:space="0" w:color="ED7D31"/>
        </w:tcBorders>
      </w:tcPr>
    </w:tblStylePr>
    <w:tblStylePr w:type="firstCol">
      <w:rPr>
        <w:b/>
        <w:bCs/>
      </w:rPr>
    </w:tblStylePr>
    <w:tblStylePr w:type="lastCol">
      <w:rPr>
        <w:b/>
        <w:bCs/>
      </w:rPr>
      <w:tblPr/>
      <w:tcPr>
        <w:tcBorders>
          <w:top w:val="single" w:sz="8" w:space="0" w:color="ED7D31"/>
          <w:bottom w:val="single" w:sz="8" w:space="0" w:color="ED7D31"/>
        </w:tcBorders>
      </w:tcPr>
    </w:tblStylePr>
    <w:tblStylePr w:type="band1Vert">
      <w:tblPr/>
      <w:tcPr>
        <w:shd w:val="clear" w:color="auto" w:fill="FADECB"/>
      </w:tcPr>
    </w:tblStylePr>
    <w:tblStylePr w:type="band1Horz">
      <w:tblPr/>
      <w:tcPr>
        <w:shd w:val="clear" w:color="auto" w:fill="FADECB"/>
      </w:tcPr>
    </w:tblStylePr>
  </w:style>
  <w:style w:type="table" w:customStyle="1" w:styleId="MediumList1-Accent31">
    <w:name w:val="Medium List 1 - Accent 31"/>
    <w:basedOn w:val="TableNormal"/>
    <w:next w:val="MediumList1-Accent3"/>
    <w:uiPriority w:val="65"/>
    <w:rsid w:val="00D61046"/>
    <w:rPr>
      <w:rFonts w:ascii="Calibri" w:eastAsia="Times New Roman" w:hAnsi="Calibri"/>
      <w:color w:val="000000"/>
      <w:sz w:val="22"/>
      <w:szCs w:val="22"/>
    </w:rPr>
    <w:tblPr>
      <w:tblStyleRowBandSize w:val="1"/>
      <w:tblStyleColBandSize w:val="1"/>
      <w:tblBorders>
        <w:top w:val="single" w:sz="8" w:space="0" w:color="A5A5A5"/>
        <w:bottom w:val="single" w:sz="8" w:space="0" w:color="A5A5A5"/>
      </w:tblBorders>
    </w:tblPr>
    <w:tblStylePr w:type="firstRow">
      <w:rPr>
        <w:rFonts w:ascii="Calibri Light" w:eastAsia="Times New Roman" w:hAnsi="Calibri Light" w:cs="Times New Roman"/>
      </w:rPr>
      <w:tblPr/>
      <w:tcPr>
        <w:tcBorders>
          <w:top w:val="nil"/>
          <w:bottom w:val="single" w:sz="8" w:space="0" w:color="A5A5A5"/>
        </w:tcBorders>
      </w:tcPr>
    </w:tblStylePr>
    <w:tblStylePr w:type="lastRow">
      <w:rPr>
        <w:b/>
        <w:bCs/>
        <w:color w:val="44546A"/>
      </w:rPr>
      <w:tblPr/>
      <w:tcPr>
        <w:tcBorders>
          <w:top w:val="single" w:sz="8" w:space="0" w:color="A5A5A5"/>
          <w:bottom w:val="single" w:sz="8" w:space="0" w:color="A5A5A5"/>
        </w:tcBorders>
      </w:tcPr>
    </w:tblStylePr>
    <w:tblStylePr w:type="firstCol">
      <w:rPr>
        <w:b/>
        <w:bCs/>
      </w:rPr>
    </w:tblStylePr>
    <w:tblStylePr w:type="lastCol">
      <w:rPr>
        <w:b/>
        <w:bCs/>
      </w:rPr>
      <w:tblPr/>
      <w:tcPr>
        <w:tcBorders>
          <w:top w:val="single" w:sz="8" w:space="0" w:color="A5A5A5"/>
          <w:bottom w:val="single" w:sz="8" w:space="0" w:color="A5A5A5"/>
        </w:tcBorders>
      </w:tcPr>
    </w:tblStylePr>
    <w:tblStylePr w:type="band1Vert">
      <w:tblPr/>
      <w:tcPr>
        <w:shd w:val="clear" w:color="auto" w:fill="E8E8E8"/>
      </w:tcPr>
    </w:tblStylePr>
    <w:tblStylePr w:type="band1Horz">
      <w:tblPr/>
      <w:tcPr>
        <w:shd w:val="clear" w:color="auto" w:fill="E8E8E8"/>
      </w:tcPr>
    </w:tblStylePr>
  </w:style>
  <w:style w:type="table" w:customStyle="1" w:styleId="MediumList1-Accent41">
    <w:name w:val="Medium List 1 - Accent 41"/>
    <w:basedOn w:val="TableNormal"/>
    <w:next w:val="MediumList1-Accent4"/>
    <w:uiPriority w:val="65"/>
    <w:rsid w:val="00D61046"/>
    <w:rPr>
      <w:rFonts w:ascii="Calibri" w:eastAsia="Times New Roman" w:hAnsi="Calibri"/>
      <w:color w:val="000000"/>
      <w:sz w:val="22"/>
      <w:szCs w:val="22"/>
    </w:rPr>
    <w:tblPr>
      <w:tblStyleRowBandSize w:val="1"/>
      <w:tblStyleColBandSize w:val="1"/>
      <w:tblBorders>
        <w:top w:val="single" w:sz="8" w:space="0" w:color="FFC000"/>
        <w:bottom w:val="single" w:sz="8" w:space="0" w:color="FFC000"/>
      </w:tblBorders>
    </w:tblPr>
    <w:tblStylePr w:type="firstRow">
      <w:rPr>
        <w:rFonts w:ascii="Calibri Light" w:eastAsia="Times New Roman" w:hAnsi="Calibri Light" w:cs="Times New Roman"/>
      </w:rPr>
      <w:tblPr/>
      <w:tcPr>
        <w:tcBorders>
          <w:top w:val="nil"/>
          <w:bottom w:val="single" w:sz="8" w:space="0" w:color="FFC000"/>
        </w:tcBorders>
      </w:tcPr>
    </w:tblStylePr>
    <w:tblStylePr w:type="lastRow">
      <w:rPr>
        <w:b/>
        <w:bCs/>
        <w:color w:val="44546A"/>
      </w:rPr>
      <w:tblPr/>
      <w:tcPr>
        <w:tcBorders>
          <w:top w:val="single" w:sz="8" w:space="0" w:color="FFC000"/>
          <w:bottom w:val="single" w:sz="8" w:space="0" w:color="FFC000"/>
        </w:tcBorders>
      </w:tcPr>
    </w:tblStylePr>
    <w:tblStylePr w:type="firstCol">
      <w:rPr>
        <w:b/>
        <w:bCs/>
      </w:rPr>
    </w:tblStylePr>
    <w:tblStylePr w:type="lastCol">
      <w:rPr>
        <w:b/>
        <w:bCs/>
      </w:rPr>
      <w:tblPr/>
      <w:tcPr>
        <w:tcBorders>
          <w:top w:val="single" w:sz="8" w:space="0" w:color="FFC000"/>
          <w:bottom w:val="single" w:sz="8" w:space="0" w:color="FFC000"/>
        </w:tcBorders>
      </w:tcPr>
    </w:tblStylePr>
    <w:tblStylePr w:type="band1Vert">
      <w:tblPr/>
      <w:tcPr>
        <w:shd w:val="clear" w:color="auto" w:fill="FFEFC0"/>
      </w:tcPr>
    </w:tblStylePr>
    <w:tblStylePr w:type="band1Horz">
      <w:tblPr/>
      <w:tcPr>
        <w:shd w:val="clear" w:color="auto" w:fill="FFEFC0"/>
      </w:tcPr>
    </w:tblStylePr>
  </w:style>
  <w:style w:type="table" w:customStyle="1" w:styleId="MediumList1-Accent51">
    <w:name w:val="Medium List 1 - Accent 51"/>
    <w:basedOn w:val="TableNormal"/>
    <w:next w:val="MediumList1-Accent5"/>
    <w:uiPriority w:val="65"/>
    <w:rsid w:val="00D61046"/>
    <w:rPr>
      <w:rFonts w:ascii="Calibri" w:eastAsia="Times New Roman" w:hAnsi="Calibri"/>
      <w:color w:val="000000"/>
      <w:sz w:val="22"/>
      <w:szCs w:val="22"/>
    </w:rPr>
    <w:tblPr>
      <w:tblStyleRowBandSize w:val="1"/>
      <w:tblStyleColBandSize w:val="1"/>
      <w:tblBorders>
        <w:top w:val="single" w:sz="8" w:space="0" w:color="5B9BD5"/>
        <w:bottom w:val="single" w:sz="8" w:space="0" w:color="5B9BD5"/>
      </w:tblBorders>
    </w:tblPr>
    <w:tblStylePr w:type="firstRow">
      <w:rPr>
        <w:rFonts w:ascii="Calibri Light" w:eastAsia="Times New Roman" w:hAnsi="Calibri Light" w:cs="Times New Roman"/>
      </w:rPr>
      <w:tblPr/>
      <w:tcPr>
        <w:tcBorders>
          <w:top w:val="nil"/>
          <w:bottom w:val="single" w:sz="8" w:space="0" w:color="5B9BD5"/>
        </w:tcBorders>
      </w:tcPr>
    </w:tblStylePr>
    <w:tblStylePr w:type="lastRow">
      <w:rPr>
        <w:b/>
        <w:bCs/>
        <w:color w:val="44546A"/>
      </w:rPr>
      <w:tblPr/>
      <w:tcPr>
        <w:tcBorders>
          <w:top w:val="single" w:sz="8" w:space="0" w:color="5B9BD5"/>
          <w:bottom w:val="single" w:sz="8" w:space="0" w:color="5B9BD5"/>
        </w:tcBorders>
      </w:tcPr>
    </w:tblStylePr>
    <w:tblStylePr w:type="firstCol">
      <w:rPr>
        <w:b/>
        <w:bCs/>
      </w:rPr>
    </w:tblStylePr>
    <w:tblStylePr w:type="lastCol">
      <w:rPr>
        <w:b/>
        <w:bCs/>
      </w:rPr>
      <w:tblPr/>
      <w:tcPr>
        <w:tcBorders>
          <w:top w:val="single" w:sz="8" w:space="0" w:color="5B9BD5"/>
          <w:bottom w:val="single" w:sz="8" w:space="0" w:color="5B9BD5"/>
        </w:tcBorders>
      </w:tcPr>
    </w:tblStylePr>
    <w:tblStylePr w:type="band1Vert">
      <w:tblPr/>
      <w:tcPr>
        <w:shd w:val="clear" w:color="auto" w:fill="D6E6F4"/>
      </w:tcPr>
    </w:tblStylePr>
    <w:tblStylePr w:type="band1Horz">
      <w:tblPr/>
      <w:tcPr>
        <w:shd w:val="clear" w:color="auto" w:fill="D6E6F4"/>
      </w:tcPr>
    </w:tblStylePr>
  </w:style>
  <w:style w:type="table" w:customStyle="1" w:styleId="MediumList1-Accent61">
    <w:name w:val="Medium List 1 - Accent 61"/>
    <w:basedOn w:val="TableNormal"/>
    <w:next w:val="MediumList1-Accent6"/>
    <w:uiPriority w:val="65"/>
    <w:rsid w:val="00D61046"/>
    <w:rPr>
      <w:rFonts w:ascii="Calibri" w:eastAsia="Times New Roman" w:hAnsi="Calibri"/>
      <w:color w:val="000000"/>
      <w:sz w:val="22"/>
      <w:szCs w:val="22"/>
    </w:rPr>
    <w:tblPr>
      <w:tblStyleRowBandSize w:val="1"/>
      <w:tblStyleColBandSize w:val="1"/>
      <w:tblBorders>
        <w:top w:val="single" w:sz="8" w:space="0" w:color="70AD47"/>
        <w:bottom w:val="single" w:sz="8" w:space="0" w:color="70AD47"/>
      </w:tblBorders>
    </w:tblPr>
    <w:tblStylePr w:type="firstRow">
      <w:rPr>
        <w:rFonts w:ascii="Calibri Light" w:eastAsia="Times New Roman" w:hAnsi="Calibri Light" w:cs="Times New Roman"/>
      </w:rPr>
      <w:tblPr/>
      <w:tcPr>
        <w:tcBorders>
          <w:top w:val="nil"/>
          <w:bottom w:val="single" w:sz="8" w:space="0" w:color="70AD47"/>
        </w:tcBorders>
      </w:tcPr>
    </w:tblStylePr>
    <w:tblStylePr w:type="lastRow">
      <w:rPr>
        <w:b/>
        <w:bCs/>
        <w:color w:val="44546A"/>
      </w:rPr>
      <w:tblPr/>
      <w:tcPr>
        <w:tcBorders>
          <w:top w:val="single" w:sz="8" w:space="0" w:color="70AD47"/>
          <w:bottom w:val="single" w:sz="8" w:space="0" w:color="70AD47"/>
        </w:tcBorders>
      </w:tcPr>
    </w:tblStylePr>
    <w:tblStylePr w:type="firstCol">
      <w:rPr>
        <w:b/>
        <w:bCs/>
      </w:rPr>
    </w:tblStylePr>
    <w:tblStylePr w:type="lastCol">
      <w:rPr>
        <w:b/>
        <w:bCs/>
      </w:rPr>
      <w:tblPr/>
      <w:tcPr>
        <w:tcBorders>
          <w:top w:val="single" w:sz="8" w:space="0" w:color="70AD47"/>
          <w:bottom w:val="single" w:sz="8" w:space="0" w:color="70AD47"/>
        </w:tcBorders>
      </w:tcPr>
    </w:tblStylePr>
    <w:tblStylePr w:type="band1Vert">
      <w:tblPr/>
      <w:tcPr>
        <w:shd w:val="clear" w:color="auto" w:fill="DBEBD0"/>
      </w:tcPr>
    </w:tblStylePr>
    <w:tblStylePr w:type="band1Horz">
      <w:tblPr/>
      <w:tcPr>
        <w:shd w:val="clear" w:color="auto" w:fill="DBEBD0"/>
      </w:tcPr>
    </w:tblStylePr>
  </w:style>
  <w:style w:type="table" w:customStyle="1" w:styleId="MediumList21">
    <w:name w:val="Medium List 21"/>
    <w:basedOn w:val="TableNormal"/>
    <w:next w:val="MediumList2"/>
    <w:uiPriority w:val="66"/>
    <w:rsid w:val="00D61046"/>
    <w:rPr>
      <w:rFonts w:ascii="Calibri Light" w:eastAsia="Times New Roman" w:hAnsi="Calibri Light"/>
      <w:color w:val="000000"/>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MediumList2-Accent11">
    <w:name w:val="Medium List 2 - Accent 11"/>
    <w:basedOn w:val="TableNormal"/>
    <w:next w:val="MediumList2-Accent1"/>
    <w:uiPriority w:val="66"/>
    <w:rsid w:val="00D61046"/>
    <w:rPr>
      <w:rFonts w:ascii="Calibri Light" w:eastAsia="Times New Roman" w:hAnsi="Calibri Light"/>
      <w:color w:val="000000"/>
      <w:sz w:val="22"/>
      <w:szCs w:val="22"/>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rPr>
        <w:sz w:val="24"/>
        <w:szCs w:val="24"/>
      </w:rPr>
      <w:tblPr/>
      <w:tcPr>
        <w:tcBorders>
          <w:top w:val="nil"/>
          <w:left w:val="nil"/>
          <w:bottom w:val="single" w:sz="24" w:space="0" w:color="4472C4"/>
          <w:right w:val="nil"/>
          <w:insideH w:val="nil"/>
          <w:insideV w:val="nil"/>
        </w:tcBorders>
        <w:shd w:val="clear" w:color="auto" w:fill="FFFFFF"/>
      </w:tcPr>
    </w:tblStylePr>
    <w:tblStylePr w:type="lastRow">
      <w:tblPr/>
      <w:tcPr>
        <w:tcBorders>
          <w:top w:val="single" w:sz="8" w:space="0" w:color="4472C4"/>
          <w:left w:val="nil"/>
          <w:bottom w:val="nil"/>
          <w:right w:val="nil"/>
          <w:insideH w:val="nil"/>
          <w:insideV w:val="nil"/>
        </w:tcBorders>
        <w:shd w:val="clear" w:color="auto" w:fill="FFFFFF"/>
      </w:tcPr>
    </w:tblStylePr>
    <w:tblStylePr w:type="firstCol">
      <w:tblPr/>
      <w:tcPr>
        <w:tcBorders>
          <w:top w:val="nil"/>
          <w:left w:val="nil"/>
          <w:bottom w:val="nil"/>
          <w:right w:val="single" w:sz="8" w:space="0" w:color="4472C4"/>
          <w:insideH w:val="nil"/>
          <w:insideV w:val="nil"/>
        </w:tcBorders>
        <w:shd w:val="clear" w:color="auto" w:fill="FFFFFF"/>
      </w:tcPr>
    </w:tblStylePr>
    <w:tblStylePr w:type="lastCol">
      <w:tblPr/>
      <w:tcPr>
        <w:tcBorders>
          <w:top w:val="nil"/>
          <w:left w:val="single" w:sz="8" w:space="0" w:color="4472C4"/>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0DBF0"/>
      </w:tcPr>
    </w:tblStylePr>
    <w:tblStylePr w:type="band1Horz">
      <w:tblPr/>
      <w:tcPr>
        <w:tcBorders>
          <w:top w:val="nil"/>
          <w:bottom w:val="nil"/>
          <w:insideH w:val="nil"/>
          <w:insideV w:val="nil"/>
        </w:tcBorders>
        <w:shd w:val="clear" w:color="auto" w:fill="D0DBF0"/>
      </w:tcPr>
    </w:tblStylePr>
    <w:tblStylePr w:type="nwCell">
      <w:tblPr/>
      <w:tcPr>
        <w:shd w:val="clear" w:color="auto" w:fill="FFFFFF"/>
      </w:tcPr>
    </w:tblStylePr>
    <w:tblStylePr w:type="swCell">
      <w:tblPr/>
      <w:tcPr>
        <w:tcBorders>
          <w:top w:val="nil"/>
        </w:tcBorders>
      </w:tcPr>
    </w:tblStylePr>
  </w:style>
  <w:style w:type="table" w:customStyle="1" w:styleId="MediumList2-Accent21">
    <w:name w:val="Medium List 2 - Accent 21"/>
    <w:basedOn w:val="TableNormal"/>
    <w:next w:val="MediumList2-Accent2"/>
    <w:uiPriority w:val="66"/>
    <w:rsid w:val="00D61046"/>
    <w:rPr>
      <w:rFonts w:ascii="Calibri Light" w:eastAsia="Times New Roman" w:hAnsi="Calibri Light"/>
      <w:color w:val="000000"/>
      <w:sz w:val="22"/>
      <w:szCs w:val="22"/>
    </w:rPr>
    <w:tblPr>
      <w:tblStyleRowBandSize w:val="1"/>
      <w:tblStyleColBandSize w:val="1"/>
      <w:tblBorders>
        <w:top w:val="single" w:sz="8" w:space="0" w:color="ED7D31"/>
        <w:left w:val="single" w:sz="8" w:space="0" w:color="ED7D31"/>
        <w:bottom w:val="single" w:sz="8" w:space="0" w:color="ED7D31"/>
        <w:right w:val="single" w:sz="8" w:space="0" w:color="ED7D31"/>
      </w:tblBorders>
    </w:tblPr>
    <w:tblStylePr w:type="firstRow">
      <w:rPr>
        <w:sz w:val="24"/>
        <w:szCs w:val="24"/>
      </w:rPr>
      <w:tblPr/>
      <w:tcPr>
        <w:tcBorders>
          <w:top w:val="nil"/>
          <w:left w:val="nil"/>
          <w:bottom w:val="single" w:sz="24" w:space="0" w:color="ED7D31"/>
          <w:right w:val="nil"/>
          <w:insideH w:val="nil"/>
          <w:insideV w:val="nil"/>
        </w:tcBorders>
        <w:shd w:val="clear" w:color="auto" w:fill="FFFFFF"/>
      </w:tcPr>
    </w:tblStylePr>
    <w:tblStylePr w:type="lastRow">
      <w:tblPr/>
      <w:tcPr>
        <w:tcBorders>
          <w:top w:val="single" w:sz="8" w:space="0" w:color="ED7D31"/>
          <w:left w:val="nil"/>
          <w:bottom w:val="nil"/>
          <w:right w:val="nil"/>
          <w:insideH w:val="nil"/>
          <w:insideV w:val="nil"/>
        </w:tcBorders>
        <w:shd w:val="clear" w:color="auto" w:fill="FFFFFF"/>
      </w:tcPr>
    </w:tblStylePr>
    <w:tblStylePr w:type="firstCol">
      <w:tblPr/>
      <w:tcPr>
        <w:tcBorders>
          <w:top w:val="nil"/>
          <w:left w:val="nil"/>
          <w:bottom w:val="nil"/>
          <w:right w:val="single" w:sz="8" w:space="0" w:color="ED7D31"/>
          <w:insideH w:val="nil"/>
          <w:insideV w:val="nil"/>
        </w:tcBorders>
        <w:shd w:val="clear" w:color="auto" w:fill="FFFFFF"/>
      </w:tcPr>
    </w:tblStylePr>
    <w:tblStylePr w:type="lastCol">
      <w:tblPr/>
      <w:tcPr>
        <w:tcBorders>
          <w:top w:val="nil"/>
          <w:left w:val="single" w:sz="8" w:space="0" w:color="ED7D31"/>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ADECB"/>
      </w:tcPr>
    </w:tblStylePr>
    <w:tblStylePr w:type="band1Horz">
      <w:tblPr/>
      <w:tcPr>
        <w:tcBorders>
          <w:top w:val="nil"/>
          <w:bottom w:val="nil"/>
          <w:insideH w:val="nil"/>
          <w:insideV w:val="nil"/>
        </w:tcBorders>
        <w:shd w:val="clear" w:color="auto" w:fill="FADECB"/>
      </w:tcPr>
    </w:tblStylePr>
    <w:tblStylePr w:type="nwCell">
      <w:tblPr/>
      <w:tcPr>
        <w:shd w:val="clear" w:color="auto" w:fill="FFFFFF"/>
      </w:tcPr>
    </w:tblStylePr>
    <w:tblStylePr w:type="swCell">
      <w:tblPr/>
      <w:tcPr>
        <w:tcBorders>
          <w:top w:val="nil"/>
        </w:tcBorders>
      </w:tcPr>
    </w:tblStylePr>
  </w:style>
  <w:style w:type="table" w:customStyle="1" w:styleId="MediumList2-Accent31">
    <w:name w:val="Medium List 2 - Accent 31"/>
    <w:basedOn w:val="TableNormal"/>
    <w:next w:val="MediumList2-Accent3"/>
    <w:uiPriority w:val="66"/>
    <w:rsid w:val="00D61046"/>
    <w:rPr>
      <w:rFonts w:ascii="Calibri Light" w:eastAsia="Times New Roman" w:hAnsi="Calibri Light"/>
      <w:color w:val="000000"/>
      <w:sz w:val="22"/>
      <w:szCs w:val="22"/>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rPr>
        <w:sz w:val="24"/>
        <w:szCs w:val="24"/>
      </w:rPr>
      <w:tblPr/>
      <w:tcPr>
        <w:tcBorders>
          <w:top w:val="nil"/>
          <w:left w:val="nil"/>
          <w:bottom w:val="single" w:sz="24" w:space="0" w:color="A5A5A5"/>
          <w:right w:val="nil"/>
          <w:insideH w:val="nil"/>
          <w:insideV w:val="nil"/>
        </w:tcBorders>
        <w:shd w:val="clear" w:color="auto" w:fill="FFFFFF"/>
      </w:tcPr>
    </w:tblStylePr>
    <w:tblStylePr w:type="lastRow">
      <w:tblPr/>
      <w:tcPr>
        <w:tcBorders>
          <w:top w:val="single" w:sz="8" w:space="0" w:color="A5A5A5"/>
          <w:left w:val="nil"/>
          <w:bottom w:val="nil"/>
          <w:right w:val="nil"/>
          <w:insideH w:val="nil"/>
          <w:insideV w:val="nil"/>
        </w:tcBorders>
        <w:shd w:val="clear" w:color="auto" w:fill="FFFFFF"/>
      </w:tcPr>
    </w:tblStylePr>
    <w:tblStylePr w:type="firstCol">
      <w:tblPr/>
      <w:tcPr>
        <w:tcBorders>
          <w:top w:val="nil"/>
          <w:left w:val="nil"/>
          <w:bottom w:val="nil"/>
          <w:right w:val="single" w:sz="8" w:space="0" w:color="A5A5A5"/>
          <w:insideH w:val="nil"/>
          <w:insideV w:val="nil"/>
        </w:tcBorders>
        <w:shd w:val="clear" w:color="auto" w:fill="FFFFFF"/>
      </w:tcPr>
    </w:tblStylePr>
    <w:tblStylePr w:type="lastCol">
      <w:tblPr/>
      <w:tcPr>
        <w:tcBorders>
          <w:top w:val="nil"/>
          <w:left w:val="single" w:sz="8" w:space="0" w:color="A5A5A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8E8E8"/>
      </w:tcPr>
    </w:tblStylePr>
    <w:tblStylePr w:type="band1Horz">
      <w:tblPr/>
      <w:tcPr>
        <w:tcBorders>
          <w:top w:val="nil"/>
          <w:bottom w:val="nil"/>
          <w:insideH w:val="nil"/>
          <w:insideV w:val="nil"/>
        </w:tcBorders>
        <w:shd w:val="clear" w:color="auto" w:fill="E8E8E8"/>
      </w:tcPr>
    </w:tblStylePr>
    <w:tblStylePr w:type="nwCell">
      <w:tblPr/>
      <w:tcPr>
        <w:shd w:val="clear" w:color="auto" w:fill="FFFFFF"/>
      </w:tcPr>
    </w:tblStylePr>
    <w:tblStylePr w:type="swCell">
      <w:tblPr/>
      <w:tcPr>
        <w:tcBorders>
          <w:top w:val="nil"/>
        </w:tcBorders>
      </w:tcPr>
    </w:tblStylePr>
  </w:style>
  <w:style w:type="table" w:customStyle="1" w:styleId="MediumList2-Accent41">
    <w:name w:val="Medium List 2 - Accent 41"/>
    <w:basedOn w:val="TableNormal"/>
    <w:next w:val="MediumList2-Accent4"/>
    <w:uiPriority w:val="66"/>
    <w:rsid w:val="00D61046"/>
    <w:rPr>
      <w:rFonts w:ascii="Calibri Light" w:eastAsia="Times New Roman" w:hAnsi="Calibri Light"/>
      <w:color w:val="000000"/>
      <w:sz w:val="22"/>
      <w:szCs w:val="22"/>
    </w:rPr>
    <w:tblPr>
      <w:tblStyleRowBandSize w:val="1"/>
      <w:tblStyleColBandSize w:val="1"/>
      <w:tblBorders>
        <w:top w:val="single" w:sz="8" w:space="0" w:color="FFC000"/>
        <w:left w:val="single" w:sz="8" w:space="0" w:color="FFC000"/>
        <w:bottom w:val="single" w:sz="8" w:space="0" w:color="FFC000"/>
        <w:right w:val="single" w:sz="8" w:space="0" w:color="FFC000"/>
      </w:tblBorders>
    </w:tblPr>
    <w:tblStylePr w:type="firstRow">
      <w:rPr>
        <w:sz w:val="24"/>
        <w:szCs w:val="24"/>
      </w:rPr>
      <w:tblPr/>
      <w:tcPr>
        <w:tcBorders>
          <w:top w:val="nil"/>
          <w:left w:val="nil"/>
          <w:bottom w:val="single" w:sz="24" w:space="0" w:color="FFC000"/>
          <w:right w:val="nil"/>
          <w:insideH w:val="nil"/>
          <w:insideV w:val="nil"/>
        </w:tcBorders>
        <w:shd w:val="clear" w:color="auto" w:fill="FFFFFF"/>
      </w:tcPr>
    </w:tblStylePr>
    <w:tblStylePr w:type="lastRow">
      <w:tblPr/>
      <w:tcPr>
        <w:tcBorders>
          <w:top w:val="single" w:sz="8" w:space="0" w:color="FFC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FFC000"/>
          <w:insideH w:val="nil"/>
          <w:insideV w:val="nil"/>
        </w:tcBorders>
        <w:shd w:val="clear" w:color="auto" w:fill="FFFFFF"/>
      </w:tcPr>
    </w:tblStylePr>
    <w:tblStylePr w:type="lastCol">
      <w:tblPr/>
      <w:tcPr>
        <w:tcBorders>
          <w:top w:val="nil"/>
          <w:left w:val="single" w:sz="8" w:space="0" w:color="FFC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FEFC0"/>
      </w:tcPr>
    </w:tblStylePr>
    <w:tblStylePr w:type="band1Horz">
      <w:tblPr/>
      <w:tcPr>
        <w:tcBorders>
          <w:top w:val="nil"/>
          <w:bottom w:val="nil"/>
          <w:insideH w:val="nil"/>
          <w:insideV w:val="nil"/>
        </w:tcBorders>
        <w:shd w:val="clear" w:color="auto" w:fill="FFEFC0"/>
      </w:tcPr>
    </w:tblStylePr>
    <w:tblStylePr w:type="nwCell">
      <w:tblPr/>
      <w:tcPr>
        <w:shd w:val="clear" w:color="auto" w:fill="FFFFFF"/>
      </w:tcPr>
    </w:tblStylePr>
    <w:tblStylePr w:type="swCell">
      <w:tblPr/>
      <w:tcPr>
        <w:tcBorders>
          <w:top w:val="nil"/>
        </w:tcBorders>
      </w:tcPr>
    </w:tblStylePr>
  </w:style>
  <w:style w:type="table" w:customStyle="1" w:styleId="MediumList2-Accent51">
    <w:name w:val="Medium List 2 - Accent 51"/>
    <w:basedOn w:val="TableNormal"/>
    <w:next w:val="MediumList2-Accent5"/>
    <w:uiPriority w:val="66"/>
    <w:rsid w:val="00D61046"/>
    <w:rPr>
      <w:rFonts w:ascii="Calibri Light" w:eastAsia="Times New Roman" w:hAnsi="Calibri Light"/>
      <w:color w:val="000000"/>
      <w:sz w:val="22"/>
      <w:szCs w:val="22"/>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rPr>
        <w:sz w:val="24"/>
        <w:szCs w:val="24"/>
      </w:rPr>
      <w:tblPr/>
      <w:tcPr>
        <w:tcBorders>
          <w:top w:val="nil"/>
          <w:left w:val="nil"/>
          <w:bottom w:val="single" w:sz="24" w:space="0" w:color="5B9BD5"/>
          <w:right w:val="nil"/>
          <w:insideH w:val="nil"/>
          <w:insideV w:val="nil"/>
        </w:tcBorders>
        <w:shd w:val="clear" w:color="auto" w:fill="FFFFFF"/>
      </w:tcPr>
    </w:tblStylePr>
    <w:tblStylePr w:type="lastRow">
      <w:tblPr/>
      <w:tcPr>
        <w:tcBorders>
          <w:top w:val="single" w:sz="8" w:space="0" w:color="5B9BD5"/>
          <w:left w:val="nil"/>
          <w:bottom w:val="nil"/>
          <w:right w:val="nil"/>
          <w:insideH w:val="nil"/>
          <w:insideV w:val="nil"/>
        </w:tcBorders>
        <w:shd w:val="clear" w:color="auto" w:fill="FFFFFF"/>
      </w:tcPr>
    </w:tblStylePr>
    <w:tblStylePr w:type="firstCol">
      <w:tblPr/>
      <w:tcPr>
        <w:tcBorders>
          <w:top w:val="nil"/>
          <w:left w:val="nil"/>
          <w:bottom w:val="nil"/>
          <w:right w:val="single" w:sz="8" w:space="0" w:color="5B9BD5"/>
          <w:insideH w:val="nil"/>
          <w:insideV w:val="nil"/>
        </w:tcBorders>
        <w:shd w:val="clear" w:color="auto" w:fill="FFFFFF"/>
      </w:tcPr>
    </w:tblStylePr>
    <w:tblStylePr w:type="lastCol">
      <w:tblPr/>
      <w:tcPr>
        <w:tcBorders>
          <w:top w:val="nil"/>
          <w:left w:val="single" w:sz="8" w:space="0" w:color="5B9BD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6E6F4"/>
      </w:tcPr>
    </w:tblStylePr>
    <w:tblStylePr w:type="band1Horz">
      <w:tblPr/>
      <w:tcPr>
        <w:tcBorders>
          <w:top w:val="nil"/>
          <w:bottom w:val="nil"/>
          <w:insideH w:val="nil"/>
          <w:insideV w:val="nil"/>
        </w:tcBorders>
        <w:shd w:val="clear" w:color="auto" w:fill="D6E6F4"/>
      </w:tcPr>
    </w:tblStylePr>
    <w:tblStylePr w:type="nwCell">
      <w:tblPr/>
      <w:tcPr>
        <w:shd w:val="clear" w:color="auto" w:fill="FFFFFF"/>
      </w:tcPr>
    </w:tblStylePr>
    <w:tblStylePr w:type="swCell">
      <w:tblPr/>
      <w:tcPr>
        <w:tcBorders>
          <w:top w:val="nil"/>
        </w:tcBorders>
      </w:tcPr>
    </w:tblStylePr>
  </w:style>
  <w:style w:type="table" w:customStyle="1" w:styleId="MediumList2-Accent61">
    <w:name w:val="Medium List 2 - Accent 61"/>
    <w:basedOn w:val="TableNormal"/>
    <w:next w:val="MediumList2-Accent6"/>
    <w:uiPriority w:val="66"/>
    <w:rsid w:val="00D61046"/>
    <w:rPr>
      <w:rFonts w:ascii="Calibri Light" w:eastAsia="Times New Roman" w:hAnsi="Calibri Light"/>
      <w:color w:val="000000"/>
      <w:sz w:val="22"/>
      <w:szCs w:val="22"/>
    </w:rPr>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rPr>
        <w:sz w:val="24"/>
        <w:szCs w:val="24"/>
      </w:rPr>
      <w:tblPr/>
      <w:tcPr>
        <w:tcBorders>
          <w:top w:val="nil"/>
          <w:left w:val="nil"/>
          <w:bottom w:val="single" w:sz="24" w:space="0" w:color="70AD47"/>
          <w:right w:val="nil"/>
          <w:insideH w:val="nil"/>
          <w:insideV w:val="nil"/>
        </w:tcBorders>
        <w:shd w:val="clear" w:color="auto" w:fill="FFFFFF"/>
      </w:tcPr>
    </w:tblStylePr>
    <w:tblStylePr w:type="lastRow">
      <w:tblPr/>
      <w:tcPr>
        <w:tcBorders>
          <w:top w:val="single" w:sz="8" w:space="0" w:color="70AD47"/>
          <w:left w:val="nil"/>
          <w:bottom w:val="nil"/>
          <w:right w:val="nil"/>
          <w:insideH w:val="nil"/>
          <w:insideV w:val="nil"/>
        </w:tcBorders>
        <w:shd w:val="clear" w:color="auto" w:fill="FFFFFF"/>
      </w:tcPr>
    </w:tblStylePr>
    <w:tblStylePr w:type="firstCol">
      <w:tblPr/>
      <w:tcPr>
        <w:tcBorders>
          <w:top w:val="nil"/>
          <w:left w:val="nil"/>
          <w:bottom w:val="nil"/>
          <w:right w:val="single" w:sz="8" w:space="0" w:color="70AD47"/>
          <w:insideH w:val="nil"/>
          <w:insideV w:val="nil"/>
        </w:tcBorders>
        <w:shd w:val="clear" w:color="auto" w:fill="FFFFFF"/>
      </w:tcPr>
    </w:tblStylePr>
    <w:tblStylePr w:type="lastCol">
      <w:tblPr/>
      <w:tcPr>
        <w:tcBorders>
          <w:top w:val="nil"/>
          <w:left w:val="single" w:sz="8" w:space="0" w:color="70AD47"/>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BEBD0"/>
      </w:tcPr>
    </w:tblStylePr>
    <w:tblStylePr w:type="band1Horz">
      <w:tblPr/>
      <w:tcPr>
        <w:tcBorders>
          <w:top w:val="nil"/>
          <w:bottom w:val="nil"/>
          <w:insideH w:val="nil"/>
          <w:insideV w:val="nil"/>
        </w:tcBorders>
        <w:shd w:val="clear" w:color="auto" w:fill="DBEBD0"/>
      </w:tcPr>
    </w:tblStylePr>
    <w:tblStylePr w:type="nwCell">
      <w:tblPr/>
      <w:tcPr>
        <w:shd w:val="clear" w:color="auto" w:fill="FFFFFF"/>
      </w:tcPr>
    </w:tblStylePr>
    <w:tblStylePr w:type="swCell">
      <w:tblPr/>
      <w:tcPr>
        <w:tcBorders>
          <w:top w:val="nil"/>
        </w:tcBorders>
      </w:tcPr>
    </w:tblStylePr>
  </w:style>
  <w:style w:type="table" w:customStyle="1" w:styleId="MediumGrid11">
    <w:name w:val="Medium Grid 11"/>
    <w:basedOn w:val="TableNormal"/>
    <w:next w:val="MediumGrid1"/>
    <w:uiPriority w:val="67"/>
    <w:rsid w:val="00D61046"/>
    <w:rPr>
      <w:rFonts w:ascii="Calibri" w:eastAsia="Times New Roman" w:hAnsi="Calibri"/>
      <w:sz w:val="22"/>
      <w:szCs w:val="22"/>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Grid1-Accent11">
    <w:name w:val="Medium Grid 1 - Accent 11"/>
    <w:basedOn w:val="TableNormal"/>
    <w:next w:val="MediumGrid1-Accent1"/>
    <w:uiPriority w:val="67"/>
    <w:rsid w:val="00D61046"/>
    <w:rPr>
      <w:rFonts w:ascii="Calibri" w:eastAsia="Times New Roman" w:hAnsi="Calibri"/>
      <w:sz w:val="22"/>
      <w:szCs w:val="22"/>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insideV w:val="single" w:sz="8" w:space="0" w:color="7295D2"/>
      </w:tblBorders>
    </w:tblPr>
    <w:tcPr>
      <w:shd w:val="clear" w:color="auto" w:fill="D0DBF0"/>
    </w:tcPr>
    <w:tblStylePr w:type="firstRow">
      <w:rPr>
        <w:b/>
        <w:bCs/>
      </w:rPr>
    </w:tblStylePr>
    <w:tblStylePr w:type="lastRow">
      <w:rPr>
        <w:b/>
        <w:bCs/>
      </w:rPr>
      <w:tblPr/>
      <w:tcPr>
        <w:tcBorders>
          <w:top w:val="single" w:sz="18" w:space="0" w:color="7295D2"/>
        </w:tcBorders>
      </w:tcPr>
    </w:tblStylePr>
    <w:tblStylePr w:type="firstCol">
      <w:rPr>
        <w:b/>
        <w:bCs/>
      </w:rPr>
    </w:tblStylePr>
    <w:tblStylePr w:type="lastCol">
      <w:rPr>
        <w:b/>
        <w:bCs/>
      </w:rPr>
    </w:tblStylePr>
    <w:tblStylePr w:type="band1Vert">
      <w:tblPr/>
      <w:tcPr>
        <w:shd w:val="clear" w:color="auto" w:fill="A1B8E1"/>
      </w:tcPr>
    </w:tblStylePr>
    <w:tblStylePr w:type="band1Horz">
      <w:tblPr/>
      <w:tcPr>
        <w:shd w:val="clear" w:color="auto" w:fill="A1B8E1"/>
      </w:tcPr>
    </w:tblStylePr>
  </w:style>
  <w:style w:type="table" w:customStyle="1" w:styleId="MediumGrid1-Accent21">
    <w:name w:val="Medium Grid 1 - Accent 21"/>
    <w:basedOn w:val="TableNormal"/>
    <w:next w:val="MediumGrid1-Accent2"/>
    <w:uiPriority w:val="67"/>
    <w:rsid w:val="00D61046"/>
    <w:rPr>
      <w:rFonts w:ascii="Calibri" w:eastAsia="Times New Roman" w:hAnsi="Calibri"/>
      <w:sz w:val="22"/>
      <w:szCs w:val="22"/>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Pr>
    <w:tcPr>
      <w:shd w:val="clear" w:color="auto" w:fill="FADECB"/>
    </w:tcPr>
    <w:tblStylePr w:type="firstRow">
      <w:rPr>
        <w:b/>
        <w:bCs/>
      </w:rPr>
    </w:tblStylePr>
    <w:tblStylePr w:type="lastRow">
      <w:rPr>
        <w:b/>
        <w:bCs/>
      </w:rPr>
      <w:tblPr/>
      <w:tcPr>
        <w:tcBorders>
          <w:top w:val="single" w:sz="18" w:space="0" w:color="F19D64"/>
        </w:tcBorders>
      </w:tcPr>
    </w:tblStylePr>
    <w:tblStylePr w:type="firstCol">
      <w:rPr>
        <w:b/>
        <w:bCs/>
      </w:rPr>
    </w:tblStylePr>
    <w:tblStylePr w:type="lastCol">
      <w:rPr>
        <w:b/>
        <w:bCs/>
      </w:rPr>
    </w:tblStylePr>
    <w:tblStylePr w:type="band1Vert">
      <w:tblPr/>
      <w:tcPr>
        <w:shd w:val="clear" w:color="auto" w:fill="F6BE98"/>
      </w:tcPr>
    </w:tblStylePr>
    <w:tblStylePr w:type="band1Horz">
      <w:tblPr/>
      <w:tcPr>
        <w:shd w:val="clear" w:color="auto" w:fill="F6BE98"/>
      </w:tcPr>
    </w:tblStylePr>
  </w:style>
  <w:style w:type="table" w:customStyle="1" w:styleId="MediumGrid1-Accent31">
    <w:name w:val="Medium Grid 1 - Accent 31"/>
    <w:basedOn w:val="TableNormal"/>
    <w:next w:val="MediumGrid1-Accent3"/>
    <w:uiPriority w:val="67"/>
    <w:rsid w:val="00D61046"/>
    <w:rPr>
      <w:rFonts w:ascii="Calibri" w:eastAsia="Times New Roman" w:hAnsi="Calibri"/>
      <w:sz w:val="22"/>
      <w:szCs w:val="22"/>
    </w:rPr>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MediumGrid1-Accent41">
    <w:name w:val="Medium Grid 1 - Accent 41"/>
    <w:basedOn w:val="TableNormal"/>
    <w:next w:val="MediumGrid1-Accent4"/>
    <w:uiPriority w:val="67"/>
    <w:rsid w:val="00D61046"/>
    <w:rPr>
      <w:rFonts w:ascii="Calibri" w:eastAsia="Times New Roman" w:hAnsi="Calibri"/>
      <w:sz w:val="22"/>
      <w:szCs w:val="22"/>
    </w:rPr>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insideV w:val="single" w:sz="8" w:space="0" w:color="FFCF40"/>
      </w:tblBorders>
    </w:tblPr>
    <w:tcPr>
      <w:shd w:val="clear" w:color="auto" w:fill="FFEFC0"/>
    </w:tcPr>
    <w:tblStylePr w:type="firstRow">
      <w:rPr>
        <w:b/>
        <w:bCs/>
      </w:rPr>
    </w:tblStylePr>
    <w:tblStylePr w:type="lastRow">
      <w:rPr>
        <w:b/>
        <w:bCs/>
      </w:rPr>
      <w:tblPr/>
      <w:tcPr>
        <w:tcBorders>
          <w:top w:val="single" w:sz="18" w:space="0" w:color="FFCF40"/>
        </w:tcBorders>
      </w:tcPr>
    </w:tblStylePr>
    <w:tblStylePr w:type="firstCol">
      <w:rPr>
        <w:b/>
        <w:bCs/>
      </w:rPr>
    </w:tblStylePr>
    <w:tblStylePr w:type="lastCol">
      <w:rPr>
        <w:b/>
        <w:bCs/>
      </w:rPr>
    </w:tblStylePr>
    <w:tblStylePr w:type="band1Vert">
      <w:tblPr/>
      <w:tcPr>
        <w:shd w:val="clear" w:color="auto" w:fill="FFDF80"/>
      </w:tcPr>
    </w:tblStylePr>
    <w:tblStylePr w:type="band1Horz">
      <w:tblPr/>
      <w:tcPr>
        <w:shd w:val="clear" w:color="auto" w:fill="FFDF80"/>
      </w:tcPr>
    </w:tblStylePr>
  </w:style>
  <w:style w:type="table" w:customStyle="1" w:styleId="MediumGrid1-Accent51">
    <w:name w:val="Medium Grid 1 - Accent 51"/>
    <w:basedOn w:val="TableNormal"/>
    <w:next w:val="MediumGrid1-Accent5"/>
    <w:uiPriority w:val="67"/>
    <w:rsid w:val="00D61046"/>
    <w:rPr>
      <w:rFonts w:ascii="Calibri" w:eastAsia="Times New Roman" w:hAnsi="Calibri"/>
      <w:sz w:val="22"/>
      <w:szCs w:val="22"/>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MediumGrid1-Accent61">
    <w:name w:val="Medium Grid 1 - Accent 61"/>
    <w:basedOn w:val="TableNormal"/>
    <w:next w:val="MediumGrid1-Accent6"/>
    <w:uiPriority w:val="67"/>
    <w:rsid w:val="00D61046"/>
    <w:rPr>
      <w:rFonts w:ascii="Calibri" w:eastAsia="Times New Roman" w:hAnsi="Calibri"/>
      <w:sz w:val="22"/>
      <w:szCs w:val="22"/>
    </w:rPr>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insideV w:val="single" w:sz="8" w:space="0" w:color="93C571"/>
      </w:tblBorders>
    </w:tblPr>
    <w:tcPr>
      <w:shd w:val="clear" w:color="auto" w:fill="DBEBD0"/>
    </w:tcPr>
    <w:tblStylePr w:type="firstRow">
      <w:rPr>
        <w:b/>
        <w:bCs/>
      </w:rPr>
    </w:tblStylePr>
    <w:tblStylePr w:type="lastRow">
      <w:rPr>
        <w:b/>
        <w:bCs/>
      </w:rPr>
      <w:tblPr/>
      <w:tcPr>
        <w:tcBorders>
          <w:top w:val="single" w:sz="18" w:space="0" w:color="93C571"/>
        </w:tcBorders>
      </w:tcPr>
    </w:tblStylePr>
    <w:tblStylePr w:type="firstCol">
      <w:rPr>
        <w:b/>
        <w:bCs/>
      </w:rPr>
    </w:tblStylePr>
    <w:tblStylePr w:type="lastCol">
      <w:rPr>
        <w:b/>
        <w:bCs/>
      </w:rPr>
    </w:tblStylePr>
    <w:tblStylePr w:type="band1Vert">
      <w:tblPr/>
      <w:tcPr>
        <w:shd w:val="clear" w:color="auto" w:fill="B7D8A0"/>
      </w:tcPr>
    </w:tblStylePr>
    <w:tblStylePr w:type="band1Horz">
      <w:tblPr/>
      <w:tcPr>
        <w:shd w:val="clear" w:color="auto" w:fill="B7D8A0"/>
      </w:tcPr>
    </w:tblStylePr>
  </w:style>
  <w:style w:type="table" w:customStyle="1" w:styleId="MediumGrid21">
    <w:name w:val="Medium Grid 21"/>
    <w:basedOn w:val="TableNormal"/>
    <w:next w:val="MediumGrid2"/>
    <w:uiPriority w:val="68"/>
    <w:rsid w:val="00D61046"/>
    <w:rPr>
      <w:rFonts w:ascii="Calibri Light" w:eastAsia="Times New Roman" w:hAnsi="Calibri Light"/>
      <w:color w:val="000000"/>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MediumGrid2-Accent11">
    <w:name w:val="Medium Grid 2 - Accent 11"/>
    <w:basedOn w:val="TableNormal"/>
    <w:next w:val="MediumGrid2-Accent1"/>
    <w:uiPriority w:val="68"/>
    <w:rsid w:val="00D61046"/>
    <w:rPr>
      <w:rFonts w:ascii="Calibri Light" w:eastAsia="Times New Roman" w:hAnsi="Calibri Light"/>
      <w:color w:val="000000"/>
      <w:sz w:val="22"/>
      <w:szCs w:val="22"/>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customStyle="1" w:styleId="MediumGrid2-Accent21">
    <w:name w:val="Medium Grid 2 - Accent 21"/>
    <w:basedOn w:val="TableNormal"/>
    <w:next w:val="MediumGrid2-Accent2"/>
    <w:uiPriority w:val="68"/>
    <w:rsid w:val="00D61046"/>
    <w:rPr>
      <w:rFonts w:ascii="Calibri Light" w:eastAsia="Times New Roman" w:hAnsi="Calibri Light"/>
      <w:color w:val="000000"/>
      <w:sz w:val="22"/>
      <w:szCs w:val="22"/>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cPr>
      <w:shd w:val="clear" w:color="auto" w:fill="FADECB"/>
    </w:tcPr>
    <w:tblStylePr w:type="firstRow">
      <w:rPr>
        <w:b/>
        <w:bCs/>
        <w:color w:val="000000"/>
      </w:rPr>
      <w:tblPr/>
      <w:tcPr>
        <w:shd w:val="clear" w:color="auto" w:fill="FDF2EA"/>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BE4D5"/>
      </w:tcPr>
    </w:tblStylePr>
    <w:tblStylePr w:type="band1Vert">
      <w:tblPr/>
      <w:tcPr>
        <w:shd w:val="clear" w:color="auto" w:fill="F6BE98"/>
      </w:tcPr>
    </w:tblStylePr>
    <w:tblStylePr w:type="band1Horz">
      <w:tblPr/>
      <w:tcPr>
        <w:tcBorders>
          <w:insideH w:val="single" w:sz="6" w:space="0" w:color="ED7D31"/>
          <w:insideV w:val="single" w:sz="6" w:space="0" w:color="ED7D31"/>
        </w:tcBorders>
        <w:shd w:val="clear" w:color="auto" w:fill="F6BE98"/>
      </w:tcPr>
    </w:tblStylePr>
    <w:tblStylePr w:type="nwCell">
      <w:tblPr/>
      <w:tcPr>
        <w:shd w:val="clear" w:color="auto" w:fill="FFFFFF"/>
      </w:tcPr>
    </w:tblStylePr>
  </w:style>
  <w:style w:type="table" w:customStyle="1" w:styleId="MediumGrid2-Accent31">
    <w:name w:val="Medium Grid 2 - Accent 31"/>
    <w:basedOn w:val="TableNormal"/>
    <w:next w:val="MediumGrid2-Accent3"/>
    <w:uiPriority w:val="68"/>
    <w:rsid w:val="00D61046"/>
    <w:rPr>
      <w:rFonts w:ascii="Calibri Light" w:eastAsia="Times New Roman" w:hAnsi="Calibri Light"/>
      <w:color w:val="000000"/>
      <w:sz w:val="22"/>
      <w:szCs w:val="22"/>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cPr>
      <w:shd w:val="clear" w:color="auto" w:fill="E8E8E8"/>
    </w:tcPr>
    <w:tblStylePr w:type="firstRow">
      <w:rPr>
        <w:b/>
        <w:bCs/>
        <w:color w:val="000000"/>
      </w:rPr>
      <w:tblPr/>
      <w:tcPr>
        <w:shd w:val="clear" w:color="auto" w:fill="F6F6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DEDED"/>
      </w:tcPr>
    </w:tblStylePr>
    <w:tblStylePr w:type="band1Vert">
      <w:tblPr/>
      <w:tcPr>
        <w:shd w:val="clear" w:color="auto" w:fill="D2D2D2"/>
      </w:tcPr>
    </w:tblStylePr>
    <w:tblStylePr w:type="band1Horz">
      <w:tblPr/>
      <w:tcPr>
        <w:tcBorders>
          <w:insideH w:val="single" w:sz="6" w:space="0" w:color="A5A5A5"/>
          <w:insideV w:val="single" w:sz="6" w:space="0" w:color="A5A5A5"/>
        </w:tcBorders>
        <w:shd w:val="clear" w:color="auto" w:fill="D2D2D2"/>
      </w:tcPr>
    </w:tblStylePr>
    <w:tblStylePr w:type="nwCell">
      <w:tblPr/>
      <w:tcPr>
        <w:shd w:val="clear" w:color="auto" w:fill="FFFFFF"/>
      </w:tcPr>
    </w:tblStylePr>
  </w:style>
  <w:style w:type="table" w:customStyle="1" w:styleId="MediumGrid2-Accent41">
    <w:name w:val="Medium Grid 2 - Accent 41"/>
    <w:basedOn w:val="TableNormal"/>
    <w:next w:val="MediumGrid2-Accent4"/>
    <w:uiPriority w:val="68"/>
    <w:rsid w:val="00D61046"/>
    <w:rPr>
      <w:rFonts w:ascii="Calibri Light" w:eastAsia="Times New Roman" w:hAnsi="Calibri Light"/>
      <w:color w:val="000000"/>
      <w:sz w:val="22"/>
      <w:szCs w:val="22"/>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cPr>
      <w:shd w:val="clear" w:color="auto" w:fill="FFEFC0"/>
    </w:tcPr>
    <w:tblStylePr w:type="firstRow">
      <w:rPr>
        <w:b/>
        <w:bCs/>
        <w:color w:val="000000"/>
      </w:rPr>
      <w:tblPr/>
      <w:tcPr>
        <w:shd w:val="clear" w:color="auto" w:fill="FFF8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FF2CC"/>
      </w:tcPr>
    </w:tblStylePr>
    <w:tblStylePr w:type="band1Vert">
      <w:tblPr/>
      <w:tcPr>
        <w:shd w:val="clear" w:color="auto" w:fill="FFDF80"/>
      </w:tcPr>
    </w:tblStylePr>
    <w:tblStylePr w:type="band1Horz">
      <w:tblPr/>
      <w:tcPr>
        <w:tcBorders>
          <w:insideH w:val="single" w:sz="6" w:space="0" w:color="FFC000"/>
          <w:insideV w:val="single" w:sz="6" w:space="0" w:color="FFC000"/>
        </w:tcBorders>
        <w:shd w:val="clear" w:color="auto" w:fill="FFDF80"/>
      </w:tcPr>
    </w:tblStylePr>
    <w:tblStylePr w:type="nwCell">
      <w:tblPr/>
      <w:tcPr>
        <w:shd w:val="clear" w:color="auto" w:fill="FFFFFF"/>
      </w:tcPr>
    </w:tblStylePr>
  </w:style>
  <w:style w:type="table" w:customStyle="1" w:styleId="MediumGrid2-Accent51">
    <w:name w:val="Medium Grid 2 - Accent 51"/>
    <w:basedOn w:val="TableNormal"/>
    <w:next w:val="MediumGrid2-Accent5"/>
    <w:uiPriority w:val="68"/>
    <w:rsid w:val="00D61046"/>
    <w:rPr>
      <w:rFonts w:ascii="Calibri Light" w:eastAsia="Times New Roman" w:hAnsi="Calibri Light"/>
      <w:color w:val="000000"/>
      <w:sz w:val="22"/>
      <w:szCs w:val="22"/>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cPr>
      <w:shd w:val="clear" w:color="auto" w:fill="D6E6F4"/>
    </w:tcPr>
    <w:tblStylePr w:type="firstRow">
      <w:rPr>
        <w:b/>
        <w:bCs/>
        <w:color w:val="000000"/>
      </w:rPr>
      <w:tblPr/>
      <w:tcPr>
        <w:shd w:val="clear" w:color="auto" w:fill="EEF5FB"/>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EEAF6"/>
      </w:tcPr>
    </w:tblStylePr>
    <w:tblStylePr w:type="band1Vert">
      <w:tblPr/>
      <w:tcPr>
        <w:shd w:val="clear" w:color="auto" w:fill="ADCCEA"/>
      </w:tcPr>
    </w:tblStylePr>
    <w:tblStylePr w:type="band1Horz">
      <w:tblPr/>
      <w:tcPr>
        <w:tcBorders>
          <w:insideH w:val="single" w:sz="6" w:space="0" w:color="5B9BD5"/>
          <w:insideV w:val="single" w:sz="6" w:space="0" w:color="5B9BD5"/>
        </w:tcBorders>
        <w:shd w:val="clear" w:color="auto" w:fill="ADCCEA"/>
      </w:tcPr>
    </w:tblStylePr>
    <w:tblStylePr w:type="nwCell">
      <w:tblPr/>
      <w:tcPr>
        <w:shd w:val="clear" w:color="auto" w:fill="FFFFFF"/>
      </w:tcPr>
    </w:tblStylePr>
  </w:style>
  <w:style w:type="table" w:customStyle="1" w:styleId="MediumGrid2-Accent61">
    <w:name w:val="Medium Grid 2 - Accent 61"/>
    <w:basedOn w:val="TableNormal"/>
    <w:next w:val="MediumGrid2-Accent6"/>
    <w:uiPriority w:val="68"/>
    <w:rsid w:val="00D61046"/>
    <w:rPr>
      <w:rFonts w:ascii="Calibri Light" w:eastAsia="Times New Roman" w:hAnsi="Calibri Light"/>
      <w:color w:val="000000"/>
      <w:sz w:val="22"/>
      <w:szCs w:val="22"/>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cPr>
      <w:shd w:val="clear" w:color="auto" w:fill="DBEBD0"/>
    </w:tcPr>
    <w:tblStylePr w:type="firstRow">
      <w:rPr>
        <w:b/>
        <w:bCs/>
        <w:color w:val="000000"/>
      </w:rPr>
      <w:tblPr/>
      <w:tcPr>
        <w:shd w:val="clear" w:color="auto" w:fill="F0F7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2EFD9"/>
      </w:tcPr>
    </w:tblStylePr>
    <w:tblStylePr w:type="band1Vert">
      <w:tblPr/>
      <w:tcPr>
        <w:shd w:val="clear" w:color="auto" w:fill="B7D8A0"/>
      </w:tcPr>
    </w:tblStylePr>
    <w:tblStylePr w:type="band1Horz">
      <w:tblPr/>
      <w:tcPr>
        <w:tcBorders>
          <w:insideH w:val="single" w:sz="6" w:space="0" w:color="70AD47"/>
          <w:insideV w:val="single" w:sz="6" w:space="0" w:color="70AD47"/>
        </w:tcBorders>
        <w:shd w:val="clear" w:color="auto" w:fill="B7D8A0"/>
      </w:tcPr>
    </w:tblStylePr>
    <w:tblStylePr w:type="nwCell">
      <w:tblPr/>
      <w:tcPr>
        <w:shd w:val="clear" w:color="auto" w:fill="FFFFFF"/>
      </w:tcPr>
    </w:tblStylePr>
  </w:style>
  <w:style w:type="table" w:customStyle="1" w:styleId="MediumGrid31">
    <w:name w:val="Medium Grid 31"/>
    <w:basedOn w:val="TableNormal"/>
    <w:next w:val="MediumGrid3"/>
    <w:uiPriority w:val="69"/>
    <w:rsid w:val="00D61046"/>
    <w:rPr>
      <w:rFonts w:ascii="Calibri" w:eastAsia="Times New Roman" w:hAnsi="Calibri"/>
      <w:sz w:val="22"/>
      <w:szCs w:val="22"/>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MediumGrid3-Accent11">
    <w:name w:val="Medium Grid 3 - Accent 11"/>
    <w:basedOn w:val="TableNormal"/>
    <w:next w:val="MediumGrid3-Accent1"/>
    <w:uiPriority w:val="69"/>
    <w:rsid w:val="00D61046"/>
    <w:rPr>
      <w:rFonts w:ascii="Calibri" w:eastAsia="Times New Roman" w:hAnsi="Calibri"/>
      <w:sz w:val="22"/>
      <w:szCs w:val="22"/>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0DBF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472C4"/>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472C4"/>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472C4"/>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472C4"/>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1B8E1"/>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1B8E1"/>
      </w:tcPr>
    </w:tblStylePr>
  </w:style>
  <w:style w:type="table" w:customStyle="1" w:styleId="MediumGrid3-Accent21">
    <w:name w:val="Medium Grid 3 - Accent 21"/>
    <w:basedOn w:val="TableNormal"/>
    <w:next w:val="MediumGrid3-Accent2"/>
    <w:uiPriority w:val="69"/>
    <w:rsid w:val="00D61046"/>
    <w:rPr>
      <w:rFonts w:ascii="Calibri" w:eastAsia="Times New Roman" w:hAnsi="Calibri"/>
      <w:sz w:val="22"/>
      <w:szCs w:val="22"/>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ADECB"/>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ED7D31"/>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ED7D31"/>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ED7D31"/>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ED7D31"/>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6BE98"/>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6BE98"/>
      </w:tcPr>
    </w:tblStylePr>
  </w:style>
  <w:style w:type="table" w:customStyle="1" w:styleId="MediumGrid3-Accent31">
    <w:name w:val="Medium Grid 3 - Accent 31"/>
    <w:basedOn w:val="TableNormal"/>
    <w:next w:val="MediumGrid3-Accent3"/>
    <w:uiPriority w:val="69"/>
    <w:rsid w:val="00D61046"/>
    <w:rPr>
      <w:rFonts w:ascii="Calibri" w:eastAsia="Times New Roman" w:hAnsi="Calibri"/>
      <w:sz w:val="22"/>
      <w:szCs w:val="22"/>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8E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A5A5A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A5A5A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A5A5A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A5A5A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2D2D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2D2D2"/>
      </w:tcPr>
    </w:tblStylePr>
  </w:style>
  <w:style w:type="table" w:customStyle="1" w:styleId="MediumGrid3-Accent41">
    <w:name w:val="Medium Grid 3 - Accent 41"/>
    <w:basedOn w:val="TableNormal"/>
    <w:next w:val="MediumGrid3-Accent4"/>
    <w:uiPriority w:val="69"/>
    <w:rsid w:val="00D61046"/>
    <w:rPr>
      <w:rFonts w:ascii="Calibri" w:eastAsia="Times New Roman" w:hAnsi="Calibri"/>
      <w:sz w:val="22"/>
      <w:szCs w:val="22"/>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table" w:customStyle="1" w:styleId="MediumGrid3-Accent51">
    <w:name w:val="Medium Grid 3 - Accent 51"/>
    <w:basedOn w:val="TableNormal"/>
    <w:next w:val="MediumGrid3-Accent5"/>
    <w:uiPriority w:val="69"/>
    <w:rsid w:val="00D61046"/>
    <w:rPr>
      <w:rFonts w:ascii="Calibri" w:eastAsia="Times New Roman" w:hAnsi="Calibri"/>
      <w:sz w:val="22"/>
      <w:szCs w:val="22"/>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6E6F4"/>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5B9BD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5B9BD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5B9BD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5B9BD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DCCE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DCCEA"/>
      </w:tcPr>
    </w:tblStylePr>
  </w:style>
  <w:style w:type="table" w:customStyle="1" w:styleId="MediumGrid3-Accent61">
    <w:name w:val="Medium Grid 3 - Accent 61"/>
    <w:basedOn w:val="TableNormal"/>
    <w:next w:val="MediumGrid3-Accent6"/>
    <w:uiPriority w:val="69"/>
    <w:rsid w:val="00D61046"/>
    <w:rPr>
      <w:rFonts w:ascii="Calibri" w:eastAsia="Times New Roman" w:hAnsi="Calibri"/>
      <w:sz w:val="22"/>
      <w:szCs w:val="22"/>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customStyle="1" w:styleId="DarkList1">
    <w:name w:val="Dark List1"/>
    <w:basedOn w:val="TableNormal"/>
    <w:next w:val="DarkList"/>
    <w:uiPriority w:val="70"/>
    <w:rsid w:val="00D61046"/>
    <w:rPr>
      <w:rFonts w:ascii="Calibri" w:eastAsia="Times New Roman" w:hAnsi="Calibri"/>
      <w:color w:val="FFFFFF"/>
      <w:sz w:val="22"/>
      <w:szCs w:val="22"/>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DarkList-Accent11">
    <w:name w:val="Dark List - Accent 11"/>
    <w:basedOn w:val="TableNormal"/>
    <w:next w:val="DarkList-Accent1"/>
    <w:uiPriority w:val="70"/>
    <w:rsid w:val="00D61046"/>
    <w:rPr>
      <w:rFonts w:ascii="Calibri" w:eastAsia="Times New Roman" w:hAnsi="Calibri"/>
      <w:color w:val="FFFFFF"/>
      <w:sz w:val="22"/>
      <w:szCs w:val="22"/>
    </w:rPr>
    <w:tblPr>
      <w:tblStyleRowBandSize w:val="1"/>
      <w:tblStyleColBandSize w:val="1"/>
    </w:tblPr>
    <w:tcPr>
      <w:shd w:val="clear" w:color="auto" w:fill="4472C4"/>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3763"/>
      </w:tcPr>
    </w:tblStylePr>
    <w:tblStylePr w:type="firstCol">
      <w:tblPr/>
      <w:tcPr>
        <w:tcBorders>
          <w:top w:val="nil"/>
          <w:left w:val="nil"/>
          <w:bottom w:val="nil"/>
          <w:right w:val="single" w:sz="18" w:space="0" w:color="FFFFFF"/>
          <w:insideH w:val="nil"/>
          <w:insideV w:val="nil"/>
        </w:tcBorders>
        <w:shd w:val="clear" w:color="auto" w:fill="2F5496"/>
      </w:tcPr>
    </w:tblStylePr>
    <w:tblStylePr w:type="lastCol">
      <w:tblPr/>
      <w:tcPr>
        <w:tcBorders>
          <w:top w:val="nil"/>
          <w:left w:val="single" w:sz="18" w:space="0" w:color="FFFFFF"/>
          <w:bottom w:val="nil"/>
          <w:right w:val="nil"/>
          <w:insideH w:val="nil"/>
          <w:insideV w:val="nil"/>
        </w:tcBorders>
        <w:shd w:val="clear" w:color="auto" w:fill="2F5496"/>
      </w:tcPr>
    </w:tblStylePr>
    <w:tblStylePr w:type="band1Vert">
      <w:tblPr/>
      <w:tcPr>
        <w:tcBorders>
          <w:top w:val="nil"/>
          <w:left w:val="nil"/>
          <w:bottom w:val="nil"/>
          <w:right w:val="nil"/>
          <w:insideH w:val="nil"/>
          <w:insideV w:val="nil"/>
        </w:tcBorders>
        <w:shd w:val="clear" w:color="auto" w:fill="2F5496"/>
      </w:tcPr>
    </w:tblStylePr>
    <w:tblStylePr w:type="band1Horz">
      <w:tblPr/>
      <w:tcPr>
        <w:tcBorders>
          <w:top w:val="nil"/>
          <w:left w:val="nil"/>
          <w:bottom w:val="nil"/>
          <w:right w:val="nil"/>
          <w:insideH w:val="nil"/>
          <w:insideV w:val="nil"/>
        </w:tcBorders>
        <w:shd w:val="clear" w:color="auto" w:fill="2F5496"/>
      </w:tcPr>
    </w:tblStylePr>
  </w:style>
  <w:style w:type="table" w:customStyle="1" w:styleId="DarkList-Accent21">
    <w:name w:val="Dark List - Accent 21"/>
    <w:basedOn w:val="TableNormal"/>
    <w:next w:val="DarkList-Accent2"/>
    <w:uiPriority w:val="70"/>
    <w:rsid w:val="00D61046"/>
    <w:rPr>
      <w:rFonts w:ascii="Calibri" w:eastAsia="Times New Roman" w:hAnsi="Calibri"/>
      <w:color w:val="FFFFFF"/>
      <w:sz w:val="22"/>
      <w:szCs w:val="22"/>
    </w:rPr>
    <w:tblPr>
      <w:tblStyleRowBandSize w:val="1"/>
      <w:tblStyleColBandSize w:val="1"/>
    </w:tblPr>
    <w:tcPr>
      <w:shd w:val="clear" w:color="auto" w:fill="ED7D31"/>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3B0B"/>
      </w:tcPr>
    </w:tblStylePr>
    <w:tblStylePr w:type="firstCol">
      <w:tblPr/>
      <w:tcPr>
        <w:tcBorders>
          <w:top w:val="nil"/>
          <w:left w:val="nil"/>
          <w:bottom w:val="nil"/>
          <w:right w:val="single" w:sz="18" w:space="0" w:color="FFFFFF"/>
          <w:insideH w:val="nil"/>
          <w:insideV w:val="nil"/>
        </w:tcBorders>
        <w:shd w:val="clear" w:color="auto" w:fill="C45911"/>
      </w:tcPr>
    </w:tblStylePr>
    <w:tblStylePr w:type="lastCol">
      <w:tblPr/>
      <w:tcPr>
        <w:tcBorders>
          <w:top w:val="nil"/>
          <w:left w:val="single" w:sz="18" w:space="0" w:color="FFFFFF"/>
          <w:bottom w:val="nil"/>
          <w:right w:val="nil"/>
          <w:insideH w:val="nil"/>
          <w:insideV w:val="nil"/>
        </w:tcBorders>
        <w:shd w:val="clear" w:color="auto" w:fill="C45911"/>
      </w:tcPr>
    </w:tblStylePr>
    <w:tblStylePr w:type="band1Vert">
      <w:tblPr/>
      <w:tcPr>
        <w:tcBorders>
          <w:top w:val="nil"/>
          <w:left w:val="nil"/>
          <w:bottom w:val="nil"/>
          <w:right w:val="nil"/>
          <w:insideH w:val="nil"/>
          <w:insideV w:val="nil"/>
        </w:tcBorders>
        <w:shd w:val="clear" w:color="auto" w:fill="C45911"/>
      </w:tcPr>
    </w:tblStylePr>
    <w:tblStylePr w:type="band1Horz">
      <w:tblPr/>
      <w:tcPr>
        <w:tcBorders>
          <w:top w:val="nil"/>
          <w:left w:val="nil"/>
          <w:bottom w:val="nil"/>
          <w:right w:val="nil"/>
          <w:insideH w:val="nil"/>
          <w:insideV w:val="nil"/>
        </w:tcBorders>
        <w:shd w:val="clear" w:color="auto" w:fill="C45911"/>
      </w:tcPr>
    </w:tblStylePr>
  </w:style>
  <w:style w:type="table" w:customStyle="1" w:styleId="DarkList-Accent31">
    <w:name w:val="Dark List - Accent 31"/>
    <w:basedOn w:val="TableNormal"/>
    <w:next w:val="DarkList-Accent3"/>
    <w:uiPriority w:val="70"/>
    <w:rsid w:val="00D61046"/>
    <w:rPr>
      <w:rFonts w:ascii="Calibri" w:eastAsia="Times New Roman" w:hAnsi="Calibri"/>
      <w:color w:val="FFFFFF"/>
      <w:sz w:val="22"/>
      <w:szCs w:val="22"/>
    </w:rPr>
    <w:tblPr>
      <w:tblStyleRowBandSize w:val="1"/>
      <w:tblStyleColBandSize w:val="1"/>
    </w:tblPr>
    <w:tcPr>
      <w:shd w:val="clear" w:color="auto" w:fill="A5A5A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25252"/>
      </w:tcPr>
    </w:tblStylePr>
    <w:tblStylePr w:type="firstCol">
      <w:tblPr/>
      <w:tcPr>
        <w:tcBorders>
          <w:top w:val="nil"/>
          <w:left w:val="nil"/>
          <w:bottom w:val="nil"/>
          <w:right w:val="single" w:sz="18" w:space="0" w:color="FFFFFF"/>
          <w:insideH w:val="nil"/>
          <w:insideV w:val="nil"/>
        </w:tcBorders>
        <w:shd w:val="clear" w:color="auto" w:fill="7B7B7B"/>
      </w:tcPr>
    </w:tblStylePr>
    <w:tblStylePr w:type="lastCol">
      <w:tblPr/>
      <w:tcPr>
        <w:tcBorders>
          <w:top w:val="nil"/>
          <w:left w:val="single" w:sz="18" w:space="0" w:color="FFFFFF"/>
          <w:bottom w:val="nil"/>
          <w:right w:val="nil"/>
          <w:insideH w:val="nil"/>
          <w:insideV w:val="nil"/>
        </w:tcBorders>
        <w:shd w:val="clear" w:color="auto" w:fill="7B7B7B"/>
      </w:tcPr>
    </w:tblStylePr>
    <w:tblStylePr w:type="band1Vert">
      <w:tblPr/>
      <w:tcPr>
        <w:tcBorders>
          <w:top w:val="nil"/>
          <w:left w:val="nil"/>
          <w:bottom w:val="nil"/>
          <w:right w:val="nil"/>
          <w:insideH w:val="nil"/>
          <w:insideV w:val="nil"/>
        </w:tcBorders>
        <w:shd w:val="clear" w:color="auto" w:fill="7B7B7B"/>
      </w:tcPr>
    </w:tblStylePr>
    <w:tblStylePr w:type="band1Horz">
      <w:tblPr/>
      <w:tcPr>
        <w:tcBorders>
          <w:top w:val="nil"/>
          <w:left w:val="nil"/>
          <w:bottom w:val="nil"/>
          <w:right w:val="nil"/>
          <w:insideH w:val="nil"/>
          <w:insideV w:val="nil"/>
        </w:tcBorders>
        <w:shd w:val="clear" w:color="auto" w:fill="7B7B7B"/>
      </w:tcPr>
    </w:tblStylePr>
  </w:style>
  <w:style w:type="table" w:customStyle="1" w:styleId="DarkList-Accent41">
    <w:name w:val="Dark List - Accent 41"/>
    <w:basedOn w:val="TableNormal"/>
    <w:next w:val="DarkList-Accent4"/>
    <w:uiPriority w:val="70"/>
    <w:rsid w:val="00D61046"/>
    <w:rPr>
      <w:rFonts w:ascii="Calibri" w:eastAsia="Times New Roman" w:hAnsi="Calibri"/>
      <w:color w:val="FFFFFF"/>
      <w:sz w:val="22"/>
      <w:szCs w:val="22"/>
    </w:rPr>
    <w:tblPr>
      <w:tblStyleRowBandSize w:val="1"/>
      <w:tblStyleColBandSize w:val="1"/>
    </w:tblPr>
    <w:tcPr>
      <w:shd w:val="clear" w:color="auto" w:fill="FFC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F5F00"/>
      </w:tcPr>
    </w:tblStylePr>
    <w:tblStylePr w:type="firstCol">
      <w:tblPr/>
      <w:tcPr>
        <w:tcBorders>
          <w:top w:val="nil"/>
          <w:left w:val="nil"/>
          <w:bottom w:val="nil"/>
          <w:right w:val="single" w:sz="18" w:space="0" w:color="FFFFFF"/>
          <w:insideH w:val="nil"/>
          <w:insideV w:val="nil"/>
        </w:tcBorders>
        <w:shd w:val="clear" w:color="auto" w:fill="BF8F00"/>
      </w:tcPr>
    </w:tblStylePr>
    <w:tblStylePr w:type="lastCol">
      <w:tblPr/>
      <w:tcPr>
        <w:tcBorders>
          <w:top w:val="nil"/>
          <w:left w:val="single" w:sz="18" w:space="0" w:color="FFFFFF"/>
          <w:bottom w:val="nil"/>
          <w:right w:val="nil"/>
          <w:insideH w:val="nil"/>
          <w:insideV w:val="nil"/>
        </w:tcBorders>
        <w:shd w:val="clear" w:color="auto" w:fill="BF8F00"/>
      </w:tcPr>
    </w:tblStylePr>
    <w:tblStylePr w:type="band1Vert">
      <w:tblPr/>
      <w:tcPr>
        <w:tcBorders>
          <w:top w:val="nil"/>
          <w:left w:val="nil"/>
          <w:bottom w:val="nil"/>
          <w:right w:val="nil"/>
          <w:insideH w:val="nil"/>
          <w:insideV w:val="nil"/>
        </w:tcBorders>
        <w:shd w:val="clear" w:color="auto" w:fill="BF8F00"/>
      </w:tcPr>
    </w:tblStylePr>
    <w:tblStylePr w:type="band1Horz">
      <w:tblPr/>
      <w:tcPr>
        <w:tcBorders>
          <w:top w:val="nil"/>
          <w:left w:val="nil"/>
          <w:bottom w:val="nil"/>
          <w:right w:val="nil"/>
          <w:insideH w:val="nil"/>
          <w:insideV w:val="nil"/>
        </w:tcBorders>
        <w:shd w:val="clear" w:color="auto" w:fill="BF8F00"/>
      </w:tcPr>
    </w:tblStylePr>
  </w:style>
  <w:style w:type="table" w:customStyle="1" w:styleId="DarkList-Accent51">
    <w:name w:val="Dark List - Accent 51"/>
    <w:basedOn w:val="TableNormal"/>
    <w:next w:val="DarkList-Accent5"/>
    <w:uiPriority w:val="70"/>
    <w:rsid w:val="00D61046"/>
    <w:rPr>
      <w:rFonts w:ascii="Calibri" w:eastAsia="Times New Roman" w:hAnsi="Calibri"/>
      <w:color w:val="FFFFFF"/>
      <w:sz w:val="22"/>
      <w:szCs w:val="22"/>
    </w:rPr>
    <w:tblPr>
      <w:tblStyleRowBandSize w:val="1"/>
      <w:tblStyleColBandSize w:val="1"/>
    </w:tblPr>
    <w:tcPr>
      <w:shd w:val="clear" w:color="auto" w:fill="5B9BD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4D78"/>
      </w:tcPr>
    </w:tblStylePr>
    <w:tblStylePr w:type="firstCol">
      <w:tblPr/>
      <w:tcPr>
        <w:tcBorders>
          <w:top w:val="nil"/>
          <w:left w:val="nil"/>
          <w:bottom w:val="nil"/>
          <w:right w:val="single" w:sz="18" w:space="0" w:color="FFFFFF"/>
          <w:insideH w:val="nil"/>
          <w:insideV w:val="nil"/>
        </w:tcBorders>
        <w:shd w:val="clear" w:color="auto" w:fill="2E74B5"/>
      </w:tcPr>
    </w:tblStylePr>
    <w:tblStylePr w:type="lastCol">
      <w:tblPr/>
      <w:tcPr>
        <w:tcBorders>
          <w:top w:val="nil"/>
          <w:left w:val="single" w:sz="18" w:space="0" w:color="FFFFFF"/>
          <w:bottom w:val="nil"/>
          <w:right w:val="nil"/>
          <w:insideH w:val="nil"/>
          <w:insideV w:val="nil"/>
        </w:tcBorders>
        <w:shd w:val="clear" w:color="auto" w:fill="2E74B5"/>
      </w:tcPr>
    </w:tblStylePr>
    <w:tblStylePr w:type="band1Vert">
      <w:tblPr/>
      <w:tcPr>
        <w:tcBorders>
          <w:top w:val="nil"/>
          <w:left w:val="nil"/>
          <w:bottom w:val="nil"/>
          <w:right w:val="nil"/>
          <w:insideH w:val="nil"/>
          <w:insideV w:val="nil"/>
        </w:tcBorders>
        <w:shd w:val="clear" w:color="auto" w:fill="2E74B5"/>
      </w:tcPr>
    </w:tblStylePr>
    <w:tblStylePr w:type="band1Horz">
      <w:tblPr/>
      <w:tcPr>
        <w:tcBorders>
          <w:top w:val="nil"/>
          <w:left w:val="nil"/>
          <w:bottom w:val="nil"/>
          <w:right w:val="nil"/>
          <w:insideH w:val="nil"/>
          <w:insideV w:val="nil"/>
        </w:tcBorders>
        <w:shd w:val="clear" w:color="auto" w:fill="2E74B5"/>
      </w:tcPr>
    </w:tblStylePr>
  </w:style>
  <w:style w:type="table" w:customStyle="1" w:styleId="DarkList-Accent61">
    <w:name w:val="Dark List - Accent 61"/>
    <w:basedOn w:val="TableNormal"/>
    <w:next w:val="DarkList-Accent6"/>
    <w:uiPriority w:val="70"/>
    <w:rsid w:val="00D61046"/>
    <w:rPr>
      <w:rFonts w:ascii="Calibri" w:eastAsia="Times New Roman" w:hAnsi="Calibri"/>
      <w:color w:val="FFFFFF"/>
      <w:sz w:val="22"/>
      <w:szCs w:val="22"/>
    </w:rPr>
    <w:tblPr>
      <w:tblStyleRowBandSize w:val="1"/>
      <w:tblStyleColBandSize w:val="1"/>
    </w:tblPr>
    <w:tcPr>
      <w:shd w:val="clear" w:color="auto" w:fill="70AD4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75623"/>
      </w:tcPr>
    </w:tblStylePr>
    <w:tblStylePr w:type="firstCol">
      <w:tblPr/>
      <w:tcPr>
        <w:tcBorders>
          <w:top w:val="nil"/>
          <w:left w:val="nil"/>
          <w:bottom w:val="nil"/>
          <w:right w:val="single" w:sz="18" w:space="0" w:color="FFFFFF"/>
          <w:insideH w:val="nil"/>
          <w:insideV w:val="nil"/>
        </w:tcBorders>
        <w:shd w:val="clear" w:color="auto" w:fill="538135"/>
      </w:tcPr>
    </w:tblStylePr>
    <w:tblStylePr w:type="lastCol">
      <w:tblPr/>
      <w:tcPr>
        <w:tcBorders>
          <w:top w:val="nil"/>
          <w:left w:val="single" w:sz="18" w:space="0" w:color="FFFFFF"/>
          <w:bottom w:val="nil"/>
          <w:right w:val="nil"/>
          <w:insideH w:val="nil"/>
          <w:insideV w:val="nil"/>
        </w:tcBorders>
        <w:shd w:val="clear" w:color="auto" w:fill="538135"/>
      </w:tcPr>
    </w:tblStylePr>
    <w:tblStylePr w:type="band1Vert">
      <w:tblPr/>
      <w:tcPr>
        <w:tcBorders>
          <w:top w:val="nil"/>
          <w:left w:val="nil"/>
          <w:bottom w:val="nil"/>
          <w:right w:val="nil"/>
          <w:insideH w:val="nil"/>
          <w:insideV w:val="nil"/>
        </w:tcBorders>
        <w:shd w:val="clear" w:color="auto" w:fill="538135"/>
      </w:tcPr>
    </w:tblStylePr>
    <w:tblStylePr w:type="band1Horz">
      <w:tblPr/>
      <w:tcPr>
        <w:tcBorders>
          <w:top w:val="nil"/>
          <w:left w:val="nil"/>
          <w:bottom w:val="nil"/>
          <w:right w:val="nil"/>
          <w:insideH w:val="nil"/>
          <w:insideV w:val="nil"/>
        </w:tcBorders>
        <w:shd w:val="clear" w:color="auto" w:fill="538135"/>
      </w:tcPr>
    </w:tblStylePr>
  </w:style>
  <w:style w:type="table" w:customStyle="1" w:styleId="ColorfulShading1">
    <w:name w:val="Colorful Shading1"/>
    <w:basedOn w:val="TableNormal"/>
    <w:next w:val="ColorfulShading"/>
    <w:uiPriority w:val="71"/>
    <w:rsid w:val="00D61046"/>
    <w:rPr>
      <w:rFonts w:ascii="Calibri" w:eastAsia="Times New Roman" w:hAnsi="Calibri"/>
      <w:color w:val="000000"/>
      <w:sz w:val="22"/>
      <w:szCs w:val="22"/>
    </w:rPr>
    <w:tblPr>
      <w:tblStyleRowBandSize w:val="1"/>
      <w:tblStyleColBandSize w:val="1"/>
      <w:tblBorders>
        <w:top w:val="single" w:sz="24" w:space="0" w:color="ED7D31"/>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ColorfulShading-Accent11">
    <w:name w:val="Colorful Shading - Accent 11"/>
    <w:basedOn w:val="TableNormal"/>
    <w:next w:val="ColorfulShading-Accent1"/>
    <w:uiPriority w:val="71"/>
    <w:rsid w:val="00D61046"/>
    <w:rPr>
      <w:rFonts w:ascii="Calibri" w:eastAsia="Times New Roman" w:hAnsi="Calibri"/>
      <w:color w:val="000000"/>
      <w:sz w:val="22"/>
      <w:szCs w:val="22"/>
    </w:rPr>
    <w:tblPr>
      <w:tblStyleRowBandSize w:val="1"/>
      <w:tblStyleColBandSize w:val="1"/>
      <w:tblBorders>
        <w:top w:val="single" w:sz="24" w:space="0" w:color="ED7D31"/>
        <w:left w:val="single" w:sz="4" w:space="0" w:color="4472C4"/>
        <w:bottom w:val="single" w:sz="4" w:space="0" w:color="4472C4"/>
        <w:right w:val="single" w:sz="4" w:space="0" w:color="4472C4"/>
        <w:insideH w:val="single" w:sz="4" w:space="0" w:color="FFFFFF"/>
        <w:insideV w:val="single" w:sz="4" w:space="0" w:color="FFFFFF"/>
      </w:tblBorders>
    </w:tblPr>
    <w:tcPr>
      <w:shd w:val="clear" w:color="auto" w:fill="ECF1F9"/>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64378"/>
      </w:tcPr>
    </w:tblStylePr>
    <w:tblStylePr w:type="firstCol">
      <w:rPr>
        <w:color w:val="FFFFFF"/>
      </w:rPr>
      <w:tblPr/>
      <w:tcPr>
        <w:tcBorders>
          <w:top w:val="nil"/>
          <w:left w:val="nil"/>
          <w:bottom w:val="nil"/>
          <w:right w:val="nil"/>
          <w:insideH w:val="single" w:sz="4" w:space="0" w:color="264378"/>
          <w:insideV w:val="nil"/>
        </w:tcBorders>
        <w:shd w:val="clear" w:color="auto" w:fill="264378"/>
      </w:tcPr>
    </w:tblStylePr>
    <w:tblStylePr w:type="lastCol">
      <w:rPr>
        <w:color w:val="FFFFFF"/>
      </w:rPr>
      <w:tblPr/>
      <w:tcPr>
        <w:tcBorders>
          <w:top w:val="nil"/>
          <w:left w:val="nil"/>
          <w:bottom w:val="nil"/>
          <w:right w:val="nil"/>
          <w:insideH w:val="nil"/>
          <w:insideV w:val="nil"/>
        </w:tcBorders>
        <w:shd w:val="clear" w:color="auto" w:fill="264378"/>
      </w:tcPr>
    </w:tblStylePr>
    <w:tblStylePr w:type="band1Vert">
      <w:tblPr/>
      <w:tcPr>
        <w:shd w:val="clear" w:color="auto" w:fill="B4C6E7"/>
      </w:tcPr>
    </w:tblStylePr>
    <w:tblStylePr w:type="band1Horz">
      <w:tblPr/>
      <w:tcPr>
        <w:shd w:val="clear" w:color="auto" w:fill="A1B8E1"/>
      </w:tcPr>
    </w:tblStylePr>
    <w:tblStylePr w:type="neCell">
      <w:rPr>
        <w:color w:val="000000"/>
      </w:rPr>
    </w:tblStylePr>
    <w:tblStylePr w:type="nwCell">
      <w:rPr>
        <w:color w:val="000000"/>
      </w:rPr>
    </w:tblStylePr>
  </w:style>
  <w:style w:type="table" w:customStyle="1" w:styleId="ColorfulShading-Accent21">
    <w:name w:val="Colorful Shading - Accent 21"/>
    <w:basedOn w:val="TableNormal"/>
    <w:next w:val="ColorfulShading-Accent2"/>
    <w:uiPriority w:val="71"/>
    <w:rsid w:val="00D61046"/>
    <w:rPr>
      <w:rFonts w:ascii="Calibri" w:eastAsia="Times New Roman" w:hAnsi="Calibri"/>
      <w:color w:val="000000"/>
      <w:sz w:val="22"/>
      <w:szCs w:val="22"/>
    </w:rPr>
    <w:tblPr>
      <w:tblStyleRowBandSize w:val="1"/>
      <w:tblStyleColBandSize w:val="1"/>
      <w:tblBorders>
        <w:top w:val="single" w:sz="24" w:space="0" w:color="ED7D31"/>
        <w:left w:val="single" w:sz="4" w:space="0" w:color="ED7D31"/>
        <w:bottom w:val="single" w:sz="4" w:space="0" w:color="ED7D31"/>
        <w:right w:val="single" w:sz="4" w:space="0" w:color="ED7D31"/>
        <w:insideH w:val="single" w:sz="4" w:space="0" w:color="FFFFFF"/>
        <w:insideV w:val="single" w:sz="4" w:space="0" w:color="FFFFFF"/>
      </w:tblBorders>
    </w:tblPr>
    <w:tcPr>
      <w:shd w:val="clear" w:color="auto" w:fill="FDF2EA"/>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9D470D"/>
      </w:tcPr>
    </w:tblStylePr>
    <w:tblStylePr w:type="firstCol">
      <w:rPr>
        <w:color w:val="FFFFFF"/>
      </w:rPr>
      <w:tblPr/>
      <w:tcPr>
        <w:tcBorders>
          <w:top w:val="nil"/>
          <w:left w:val="nil"/>
          <w:bottom w:val="nil"/>
          <w:right w:val="nil"/>
          <w:insideH w:val="single" w:sz="4" w:space="0" w:color="9D470D"/>
          <w:insideV w:val="nil"/>
        </w:tcBorders>
        <w:shd w:val="clear" w:color="auto" w:fill="9D470D"/>
      </w:tcPr>
    </w:tblStylePr>
    <w:tblStylePr w:type="lastCol">
      <w:rPr>
        <w:color w:val="FFFFFF"/>
      </w:rPr>
      <w:tblPr/>
      <w:tcPr>
        <w:tcBorders>
          <w:top w:val="nil"/>
          <w:left w:val="nil"/>
          <w:bottom w:val="nil"/>
          <w:right w:val="nil"/>
          <w:insideH w:val="nil"/>
          <w:insideV w:val="nil"/>
        </w:tcBorders>
        <w:shd w:val="clear" w:color="auto" w:fill="9D470D"/>
      </w:tcPr>
    </w:tblStylePr>
    <w:tblStylePr w:type="band1Vert">
      <w:tblPr/>
      <w:tcPr>
        <w:shd w:val="clear" w:color="auto" w:fill="F7CAAC"/>
      </w:tcPr>
    </w:tblStylePr>
    <w:tblStylePr w:type="band1Horz">
      <w:tblPr/>
      <w:tcPr>
        <w:shd w:val="clear" w:color="auto" w:fill="F6BE98"/>
      </w:tcPr>
    </w:tblStylePr>
    <w:tblStylePr w:type="neCell">
      <w:rPr>
        <w:color w:val="000000"/>
      </w:rPr>
    </w:tblStylePr>
    <w:tblStylePr w:type="nwCell">
      <w:rPr>
        <w:color w:val="000000"/>
      </w:rPr>
    </w:tblStylePr>
  </w:style>
  <w:style w:type="table" w:customStyle="1" w:styleId="ColorfulShading-Accent31">
    <w:name w:val="Colorful Shading - Accent 31"/>
    <w:basedOn w:val="TableNormal"/>
    <w:next w:val="ColorfulShading-Accent3"/>
    <w:uiPriority w:val="71"/>
    <w:rsid w:val="00D61046"/>
    <w:rPr>
      <w:rFonts w:ascii="Calibri" w:eastAsia="Times New Roman" w:hAnsi="Calibri"/>
      <w:color w:val="000000"/>
      <w:sz w:val="22"/>
      <w:szCs w:val="22"/>
    </w:rPr>
    <w:tblPr>
      <w:tblStyleRowBandSize w:val="1"/>
      <w:tblStyleColBandSize w:val="1"/>
      <w:tblBorders>
        <w:top w:val="single" w:sz="24" w:space="0" w:color="FFC000"/>
        <w:left w:val="single" w:sz="4" w:space="0" w:color="A5A5A5"/>
        <w:bottom w:val="single" w:sz="4" w:space="0" w:color="A5A5A5"/>
        <w:right w:val="single" w:sz="4" w:space="0" w:color="A5A5A5"/>
        <w:insideH w:val="single" w:sz="4" w:space="0" w:color="FFFFFF"/>
        <w:insideV w:val="single" w:sz="4" w:space="0" w:color="FFFFFF"/>
      </w:tblBorders>
    </w:tblPr>
    <w:tcPr>
      <w:shd w:val="clear" w:color="auto" w:fill="F6F6F6"/>
    </w:tcPr>
    <w:tblStylePr w:type="firstRow">
      <w:rPr>
        <w:b/>
        <w:bCs/>
      </w:rPr>
      <w:tblPr/>
      <w:tcPr>
        <w:tcBorders>
          <w:top w:val="nil"/>
          <w:left w:val="nil"/>
          <w:bottom w:val="single" w:sz="24" w:space="0" w:color="FFC000"/>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636363"/>
      </w:tcPr>
    </w:tblStylePr>
    <w:tblStylePr w:type="firstCol">
      <w:rPr>
        <w:color w:val="FFFFFF"/>
      </w:rPr>
      <w:tblPr/>
      <w:tcPr>
        <w:tcBorders>
          <w:top w:val="nil"/>
          <w:left w:val="nil"/>
          <w:bottom w:val="nil"/>
          <w:right w:val="nil"/>
          <w:insideH w:val="single" w:sz="4" w:space="0" w:color="636363"/>
          <w:insideV w:val="nil"/>
        </w:tcBorders>
        <w:shd w:val="clear" w:color="auto" w:fill="636363"/>
      </w:tcPr>
    </w:tblStylePr>
    <w:tblStylePr w:type="lastCol">
      <w:rPr>
        <w:color w:val="FFFFFF"/>
      </w:rPr>
      <w:tblPr/>
      <w:tcPr>
        <w:tcBorders>
          <w:top w:val="nil"/>
          <w:left w:val="nil"/>
          <w:bottom w:val="nil"/>
          <w:right w:val="nil"/>
          <w:insideH w:val="nil"/>
          <w:insideV w:val="nil"/>
        </w:tcBorders>
        <w:shd w:val="clear" w:color="auto" w:fill="636363"/>
      </w:tcPr>
    </w:tblStylePr>
    <w:tblStylePr w:type="band1Vert">
      <w:tblPr/>
      <w:tcPr>
        <w:shd w:val="clear" w:color="auto" w:fill="DBDBDB"/>
      </w:tcPr>
    </w:tblStylePr>
    <w:tblStylePr w:type="band1Horz">
      <w:tblPr/>
      <w:tcPr>
        <w:shd w:val="clear" w:color="auto" w:fill="D2D2D2"/>
      </w:tcPr>
    </w:tblStylePr>
  </w:style>
  <w:style w:type="table" w:customStyle="1" w:styleId="ColorfulShading-Accent41">
    <w:name w:val="Colorful Shading - Accent 41"/>
    <w:basedOn w:val="TableNormal"/>
    <w:next w:val="ColorfulShading-Accent4"/>
    <w:uiPriority w:val="71"/>
    <w:rsid w:val="00D61046"/>
    <w:rPr>
      <w:rFonts w:ascii="Calibri" w:eastAsia="Times New Roman" w:hAnsi="Calibri"/>
      <w:color w:val="000000"/>
      <w:sz w:val="22"/>
      <w:szCs w:val="22"/>
    </w:rPr>
    <w:tblPr>
      <w:tblStyleRowBandSize w:val="1"/>
      <w:tblStyleColBandSize w:val="1"/>
      <w:tblBorders>
        <w:top w:val="single" w:sz="24" w:space="0" w:color="A5A5A5"/>
        <w:left w:val="single" w:sz="4" w:space="0" w:color="FFC000"/>
        <w:bottom w:val="single" w:sz="4" w:space="0" w:color="FFC000"/>
        <w:right w:val="single" w:sz="4" w:space="0" w:color="FFC000"/>
        <w:insideH w:val="single" w:sz="4" w:space="0" w:color="FFFFFF"/>
        <w:insideV w:val="single" w:sz="4" w:space="0" w:color="FFFFFF"/>
      </w:tblBorders>
    </w:tblPr>
    <w:tcPr>
      <w:shd w:val="clear" w:color="auto" w:fill="FFF8E6"/>
    </w:tcPr>
    <w:tblStylePr w:type="firstRow">
      <w:rPr>
        <w:b/>
        <w:bCs/>
      </w:rPr>
      <w:tblPr/>
      <w:tcPr>
        <w:tcBorders>
          <w:top w:val="nil"/>
          <w:left w:val="nil"/>
          <w:bottom w:val="single" w:sz="24" w:space="0" w:color="A5A5A5"/>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997300"/>
      </w:tcPr>
    </w:tblStylePr>
    <w:tblStylePr w:type="firstCol">
      <w:rPr>
        <w:color w:val="FFFFFF"/>
      </w:rPr>
      <w:tblPr/>
      <w:tcPr>
        <w:tcBorders>
          <w:top w:val="nil"/>
          <w:left w:val="nil"/>
          <w:bottom w:val="nil"/>
          <w:right w:val="nil"/>
          <w:insideH w:val="single" w:sz="4" w:space="0" w:color="997300"/>
          <w:insideV w:val="nil"/>
        </w:tcBorders>
        <w:shd w:val="clear" w:color="auto" w:fill="997300"/>
      </w:tcPr>
    </w:tblStylePr>
    <w:tblStylePr w:type="lastCol">
      <w:rPr>
        <w:color w:val="FFFFFF"/>
      </w:rPr>
      <w:tblPr/>
      <w:tcPr>
        <w:tcBorders>
          <w:top w:val="nil"/>
          <w:left w:val="nil"/>
          <w:bottom w:val="nil"/>
          <w:right w:val="nil"/>
          <w:insideH w:val="nil"/>
          <w:insideV w:val="nil"/>
        </w:tcBorders>
        <w:shd w:val="clear" w:color="auto" w:fill="997300"/>
      </w:tcPr>
    </w:tblStylePr>
    <w:tblStylePr w:type="band1Vert">
      <w:tblPr/>
      <w:tcPr>
        <w:shd w:val="clear" w:color="auto" w:fill="FFE599"/>
      </w:tcPr>
    </w:tblStylePr>
    <w:tblStylePr w:type="band1Horz">
      <w:tblPr/>
      <w:tcPr>
        <w:shd w:val="clear" w:color="auto" w:fill="FFDF80"/>
      </w:tcPr>
    </w:tblStylePr>
    <w:tblStylePr w:type="neCell">
      <w:rPr>
        <w:color w:val="000000"/>
      </w:rPr>
    </w:tblStylePr>
    <w:tblStylePr w:type="nwCell">
      <w:rPr>
        <w:color w:val="000000"/>
      </w:rPr>
    </w:tblStylePr>
  </w:style>
  <w:style w:type="table" w:customStyle="1" w:styleId="ColorfulShading-Accent51">
    <w:name w:val="Colorful Shading - Accent 51"/>
    <w:basedOn w:val="TableNormal"/>
    <w:next w:val="ColorfulShading-Accent5"/>
    <w:uiPriority w:val="71"/>
    <w:rsid w:val="00D61046"/>
    <w:rPr>
      <w:rFonts w:ascii="Calibri" w:eastAsia="Times New Roman" w:hAnsi="Calibri"/>
      <w:color w:val="000000"/>
      <w:sz w:val="22"/>
      <w:szCs w:val="22"/>
    </w:rPr>
    <w:tblPr>
      <w:tblStyleRowBandSize w:val="1"/>
      <w:tblStyleColBandSize w:val="1"/>
      <w:tblBorders>
        <w:top w:val="single" w:sz="24" w:space="0" w:color="70AD47"/>
        <w:left w:val="single" w:sz="4" w:space="0" w:color="5B9BD5"/>
        <w:bottom w:val="single" w:sz="4" w:space="0" w:color="5B9BD5"/>
        <w:right w:val="single" w:sz="4" w:space="0" w:color="5B9BD5"/>
        <w:insideH w:val="single" w:sz="4" w:space="0" w:color="FFFFFF"/>
        <w:insideV w:val="single" w:sz="4" w:space="0" w:color="FFFFFF"/>
      </w:tblBorders>
    </w:tblPr>
    <w:tcPr>
      <w:shd w:val="clear" w:color="auto" w:fill="EEF5FB"/>
    </w:tcPr>
    <w:tblStylePr w:type="firstRow">
      <w:rPr>
        <w:b/>
        <w:bCs/>
      </w:rPr>
      <w:tblPr/>
      <w:tcPr>
        <w:tcBorders>
          <w:top w:val="nil"/>
          <w:left w:val="nil"/>
          <w:bottom w:val="single" w:sz="24" w:space="0" w:color="70AD47"/>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55D91"/>
      </w:tcPr>
    </w:tblStylePr>
    <w:tblStylePr w:type="firstCol">
      <w:rPr>
        <w:color w:val="FFFFFF"/>
      </w:rPr>
      <w:tblPr/>
      <w:tcPr>
        <w:tcBorders>
          <w:top w:val="nil"/>
          <w:left w:val="nil"/>
          <w:bottom w:val="nil"/>
          <w:right w:val="nil"/>
          <w:insideH w:val="single" w:sz="4" w:space="0" w:color="255D91"/>
          <w:insideV w:val="nil"/>
        </w:tcBorders>
        <w:shd w:val="clear" w:color="auto" w:fill="255D91"/>
      </w:tcPr>
    </w:tblStylePr>
    <w:tblStylePr w:type="lastCol">
      <w:rPr>
        <w:color w:val="FFFFFF"/>
      </w:rPr>
      <w:tblPr/>
      <w:tcPr>
        <w:tcBorders>
          <w:top w:val="nil"/>
          <w:left w:val="nil"/>
          <w:bottom w:val="nil"/>
          <w:right w:val="nil"/>
          <w:insideH w:val="nil"/>
          <w:insideV w:val="nil"/>
        </w:tcBorders>
        <w:shd w:val="clear" w:color="auto" w:fill="255D91"/>
      </w:tcPr>
    </w:tblStylePr>
    <w:tblStylePr w:type="band1Vert">
      <w:tblPr/>
      <w:tcPr>
        <w:shd w:val="clear" w:color="auto" w:fill="BDD6EE"/>
      </w:tcPr>
    </w:tblStylePr>
    <w:tblStylePr w:type="band1Horz">
      <w:tblPr/>
      <w:tcPr>
        <w:shd w:val="clear" w:color="auto" w:fill="ADCCEA"/>
      </w:tcPr>
    </w:tblStylePr>
    <w:tblStylePr w:type="neCell">
      <w:rPr>
        <w:color w:val="000000"/>
      </w:rPr>
    </w:tblStylePr>
    <w:tblStylePr w:type="nwCell">
      <w:rPr>
        <w:color w:val="000000"/>
      </w:rPr>
    </w:tblStylePr>
  </w:style>
  <w:style w:type="table" w:customStyle="1" w:styleId="ColorfulShading-Accent61">
    <w:name w:val="Colorful Shading - Accent 61"/>
    <w:basedOn w:val="TableNormal"/>
    <w:next w:val="ColorfulShading-Accent6"/>
    <w:uiPriority w:val="71"/>
    <w:rsid w:val="00D61046"/>
    <w:rPr>
      <w:rFonts w:ascii="Calibri" w:eastAsia="Times New Roman" w:hAnsi="Calibri"/>
      <w:color w:val="000000"/>
      <w:sz w:val="22"/>
      <w:szCs w:val="22"/>
    </w:rPr>
    <w:tblPr>
      <w:tblStyleRowBandSize w:val="1"/>
      <w:tblStyleColBandSize w:val="1"/>
      <w:tblBorders>
        <w:top w:val="single" w:sz="24" w:space="0" w:color="5B9BD5"/>
        <w:left w:val="single" w:sz="4" w:space="0" w:color="70AD47"/>
        <w:bottom w:val="single" w:sz="4" w:space="0" w:color="70AD47"/>
        <w:right w:val="single" w:sz="4" w:space="0" w:color="70AD47"/>
        <w:insideH w:val="single" w:sz="4" w:space="0" w:color="FFFFFF"/>
        <w:insideV w:val="single" w:sz="4" w:space="0" w:color="FFFFFF"/>
      </w:tblBorders>
    </w:tblPr>
    <w:tcPr>
      <w:shd w:val="clear" w:color="auto" w:fill="F0F7EC"/>
    </w:tcPr>
    <w:tblStylePr w:type="firstRow">
      <w:rPr>
        <w:b/>
        <w:bCs/>
      </w:rPr>
      <w:tblPr/>
      <w:tcPr>
        <w:tcBorders>
          <w:top w:val="nil"/>
          <w:left w:val="nil"/>
          <w:bottom w:val="single" w:sz="24" w:space="0" w:color="5B9BD5"/>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3672A"/>
      </w:tcPr>
    </w:tblStylePr>
    <w:tblStylePr w:type="firstCol">
      <w:rPr>
        <w:color w:val="FFFFFF"/>
      </w:rPr>
      <w:tblPr/>
      <w:tcPr>
        <w:tcBorders>
          <w:top w:val="nil"/>
          <w:left w:val="nil"/>
          <w:bottom w:val="nil"/>
          <w:right w:val="nil"/>
          <w:insideH w:val="single" w:sz="4" w:space="0" w:color="43672A"/>
          <w:insideV w:val="nil"/>
        </w:tcBorders>
        <w:shd w:val="clear" w:color="auto" w:fill="43672A"/>
      </w:tcPr>
    </w:tblStylePr>
    <w:tblStylePr w:type="lastCol">
      <w:rPr>
        <w:color w:val="FFFFFF"/>
      </w:rPr>
      <w:tblPr/>
      <w:tcPr>
        <w:tcBorders>
          <w:top w:val="nil"/>
          <w:left w:val="nil"/>
          <w:bottom w:val="nil"/>
          <w:right w:val="nil"/>
          <w:insideH w:val="nil"/>
          <w:insideV w:val="nil"/>
        </w:tcBorders>
        <w:shd w:val="clear" w:color="auto" w:fill="43672A"/>
      </w:tcPr>
    </w:tblStylePr>
    <w:tblStylePr w:type="band1Vert">
      <w:tblPr/>
      <w:tcPr>
        <w:shd w:val="clear" w:color="auto" w:fill="C5E0B3"/>
      </w:tcPr>
    </w:tblStylePr>
    <w:tblStylePr w:type="band1Horz">
      <w:tblPr/>
      <w:tcPr>
        <w:shd w:val="clear" w:color="auto" w:fill="B7D8A0"/>
      </w:tcPr>
    </w:tblStylePr>
    <w:tblStylePr w:type="neCell">
      <w:rPr>
        <w:color w:val="000000"/>
      </w:rPr>
    </w:tblStylePr>
    <w:tblStylePr w:type="nwCell">
      <w:rPr>
        <w:color w:val="000000"/>
      </w:rPr>
    </w:tblStylePr>
  </w:style>
  <w:style w:type="table" w:customStyle="1" w:styleId="ColorfulList1">
    <w:name w:val="Colorful List1"/>
    <w:basedOn w:val="TableNormal"/>
    <w:next w:val="ColorfulList"/>
    <w:uiPriority w:val="72"/>
    <w:rsid w:val="00D61046"/>
    <w:rPr>
      <w:rFonts w:ascii="Calibri" w:eastAsia="Times New Roman" w:hAnsi="Calibri"/>
      <w:color w:val="000000"/>
      <w:sz w:val="22"/>
      <w:szCs w:val="22"/>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ColorfulList-Accent11">
    <w:name w:val="Colorful List - Accent 11"/>
    <w:basedOn w:val="TableNormal"/>
    <w:next w:val="ColorfulList-Accent1"/>
    <w:uiPriority w:val="72"/>
    <w:rsid w:val="00D61046"/>
    <w:rPr>
      <w:rFonts w:ascii="Calibri" w:eastAsia="Times New Roman" w:hAnsi="Calibri"/>
      <w:color w:val="000000"/>
      <w:sz w:val="22"/>
      <w:szCs w:val="22"/>
    </w:rPr>
    <w:tblPr>
      <w:tblStyleRowBandSize w:val="1"/>
      <w:tblStyleColBandSize w:val="1"/>
    </w:tblPr>
    <w:tcPr>
      <w:shd w:val="clear" w:color="auto" w:fill="ECF1F9"/>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cPr>
    </w:tblStylePr>
    <w:tblStylePr w:type="band1Horz">
      <w:tblPr/>
      <w:tcPr>
        <w:shd w:val="clear" w:color="auto" w:fill="D9E2F3"/>
      </w:tcPr>
    </w:tblStylePr>
  </w:style>
  <w:style w:type="table" w:customStyle="1" w:styleId="ColorfulList-Accent21">
    <w:name w:val="Colorful List - Accent 21"/>
    <w:basedOn w:val="TableNormal"/>
    <w:next w:val="ColorfulList-Accent2"/>
    <w:uiPriority w:val="72"/>
    <w:rsid w:val="00D61046"/>
    <w:rPr>
      <w:rFonts w:ascii="Calibri" w:eastAsia="Times New Roman" w:hAnsi="Calibri"/>
      <w:color w:val="000000"/>
      <w:sz w:val="22"/>
      <w:szCs w:val="22"/>
    </w:rPr>
    <w:tblPr>
      <w:tblStyleRowBandSize w:val="1"/>
      <w:tblStyleColBandSize w:val="1"/>
    </w:tblPr>
    <w:tcPr>
      <w:shd w:val="clear" w:color="auto" w:fill="FDF2EA"/>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cPr>
    </w:tblStylePr>
    <w:tblStylePr w:type="band1Horz">
      <w:tblPr/>
      <w:tcPr>
        <w:shd w:val="clear" w:color="auto" w:fill="FBE4D5"/>
      </w:tcPr>
    </w:tblStylePr>
  </w:style>
  <w:style w:type="table" w:customStyle="1" w:styleId="ColorfulList-Accent31">
    <w:name w:val="Colorful List - Accent 31"/>
    <w:basedOn w:val="TableNormal"/>
    <w:next w:val="ColorfulList-Accent3"/>
    <w:uiPriority w:val="72"/>
    <w:rsid w:val="00D61046"/>
    <w:rPr>
      <w:rFonts w:ascii="Calibri" w:eastAsia="Times New Roman" w:hAnsi="Calibri"/>
      <w:color w:val="000000"/>
      <w:sz w:val="22"/>
      <w:szCs w:val="22"/>
    </w:rPr>
    <w:tblPr>
      <w:tblStyleRowBandSize w:val="1"/>
      <w:tblStyleColBandSize w:val="1"/>
    </w:tblPr>
    <w:tcPr>
      <w:shd w:val="clear" w:color="auto" w:fill="F6F6F6"/>
    </w:tcPr>
    <w:tblStylePr w:type="firstRow">
      <w:rPr>
        <w:b/>
        <w:bCs/>
        <w:color w:val="FFFFFF"/>
      </w:rPr>
      <w:tblPr/>
      <w:tcPr>
        <w:tcBorders>
          <w:bottom w:val="single" w:sz="12" w:space="0" w:color="FFFFFF"/>
        </w:tcBorders>
        <w:shd w:val="clear" w:color="auto" w:fill="CC9900"/>
      </w:tcPr>
    </w:tblStylePr>
    <w:tblStylePr w:type="lastRow">
      <w:rPr>
        <w:b/>
        <w:bCs/>
        <w:color w:val="CC99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cPr>
    </w:tblStylePr>
    <w:tblStylePr w:type="band1Horz">
      <w:tblPr/>
      <w:tcPr>
        <w:shd w:val="clear" w:color="auto" w:fill="EDEDED"/>
      </w:tcPr>
    </w:tblStylePr>
  </w:style>
  <w:style w:type="table" w:customStyle="1" w:styleId="ColorfulList-Accent41">
    <w:name w:val="Colorful List - Accent 41"/>
    <w:basedOn w:val="TableNormal"/>
    <w:next w:val="ColorfulList-Accent4"/>
    <w:uiPriority w:val="72"/>
    <w:rsid w:val="00D61046"/>
    <w:rPr>
      <w:rFonts w:ascii="Calibri" w:eastAsia="Times New Roman" w:hAnsi="Calibri"/>
      <w:color w:val="000000"/>
      <w:sz w:val="22"/>
      <w:szCs w:val="22"/>
    </w:rPr>
    <w:tblPr>
      <w:tblStyleRowBandSize w:val="1"/>
      <w:tblStyleColBandSize w:val="1"/>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table" w:customStyle="1" w:styleId="ColorfulList-Accent51">
    <w:name w:val="Colorful List - Accent 51"/>
    <w:basedOn w:val="TableNormal"/>
    <w:next w:val="ColorfulList-Accent5"/>
    <w:uiPriority w:val="72"/>
    <w:rsid w:val="00D61046"/>
    <w:rPr>
      <w:rFonts w:ascii="Calibri" w:eastAsia="Times New Roman" w:hAnsi="Calibri"/>
      <w:color w:val="000000"/>
      <w:sz w:val="22"/>
      <w:szCs w:val="22"/>
    </w:rPr>
    <w:tblPr>
      <w:tblStyleRowBandSize w:val="1"/>
      <w:tblStyleColBandSize w:val="1"/>
    </w:tblPr>
    <w:tcPr>
      <w:shd w:val="clear" w:color="auto" w:fill="EEF5FB"/>
    </w:tcPr>
    <w:tblStylePr w:type="firstRow">
      <w:rPr>
        <w:b/>
        <w:bCs/>
        <w:color w:val="FFFFFF"/>
      </w:rPr>
      <w:tblPr/>
      <w:tcPr>
        <w:tcBorders>
          <w:bottom w:val="single" w:sz="12" w:space="0" w:color="FFFFFF"/>
        </w:tcBorders>
        <w:shd w:val="clear" w:color="auto" w:fill="598A38"/>
      </w:tcPr>
    </w:tblStylePr>
    <w:tblStylePr w:type="lastRow">
      <w:rPr>
        <w:b/>
        <w:bCs/>
        <w:color w:val="598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table" w:customStyle="1" w:styleId="ColorfulList-Accent61">
    <w:name w:val="Colorful List - Accent 61"/>
    <w:basedOn w:val="TableNormal"/>
    <w:next w:val="ColorfulList-Accent6"/>
    <w:uiPriority w:val="72"/>
    <w:rsid w:val="00D61046"/>
    <w:rPr>
      <w:rFonts w:ascii="Calibri" w:eastAsia="Times New Roman" w:hAnsi="Calibri"/>
      <w:color w:val="000000"/>
      <w:sz w:val="22"/>
      <w:szCs w:val="22"/>
    </w:rPr>
    <w:tblPr>
      <w:tblStyleRowBandSize w:val="1"/>
      <w:tblStyleColBandSize w:val="1"/>
    </w:tblPr>
    <w:tcPr>
      <w:shd w:val="clear" w:color="auto" w:fill="F0F7EC"/>
    </w:tcPr>
    <w:tblStylePr w:type="firstRow">
      <w:rPr>
        <w:b/>
        <w:bCs/>
        <w:color w:val="FFFFFF"/>
      </w:rPr>
      <w:tblPr/>
      <w:tcPr>
        <w:tcBorders>
          <w:bottom w:val="single" w:sz="12" w:space="0" w:color="FFFFFF"/>
        </w:tcBorders>
        <w:shd w:val="clear" w:color="auto" w:fill="317CC1"/>
      </w:tcPr>
    </w:tblStylePr>
    <w:tblStylePr w:type="lastRow">
      <w:rPr>
        <w:b/>
        <w:bCs/>
        <w:color w:val="317CC1"/>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cPr>
    </w:tblStylePr>
    <w:tblStylePr w:type="band1Horz">
      <w:tblPr/>
      <w:tcPr>
        <w:shd w:val="clear" w:color="auto" w:fill="E2EFD9"/>
      </w:tcPr>
    </w:tblStylePr>
  </w:style>
  <w:style w:type="table" w:customStyle="1" w:styleId="ColorfulGrid1">
    <w:name w:val="Colorful Grid1"/>
    <w:basedOn w:val="TableNormal"/>
    <w:next w:val="ColorfulGrid"/>
    <w:uiPriority w:val="73"/>
    <w:rsid w:val="00D61046"/>
    <w:rPr>
      <w:rFonts w:ascii="Calibri" w:eastAsia="Times New Roman" w:hAnsi="Calibri"/>
      <w:color w:val="000000"/>
      <w:sz w:val="22"/>
      <w:szCs w:val="22"/>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ColorfulGrid-Accent11">
    <w:name w:val="Colorful Grid - Accent 11"/>
    <w:basedOn w:val="TableNormal"/>
    <w:next w:val="ColorfulGrid-Accent1"/>
    <w:uiPriority w:val="73"/>
    <w:rsid w:val="00D61046"/>
    <w:rPr>
      <w:rFonts w:ascii="Calibri" w:eastAsia="Times New Roman" w:hAnsi="Calibri"/>
      <w:color w:val="000000"/>
      <w:sz w:val="22"/>
      <w:szCs w:val="22"/>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table" w:customStyle="1" w:styleId="ColorfulGrid-Accent21">
    <w:name w:val="Colorful Grid - Accent 21"/>
    <w:basedOn w:val="TableNormal"/>
    <w:next w:val="ColorfulGrid-Accent2"/>
    <w:uiPriority w:val="73"/>
    <w:rsid w:val="00D61046"/>
    <w:rPr>
      <w:rFonts w:ascii="Calibri" w:eastAsia="Times New Roman" w:hAnsi="Calibri"/>
      <w:color w:val="000000"/>
      <w:sz w:val="22"/>
      <w:szCs w:val="22"/>
    </w:rPr>
    <w:tblPr>
      <w:tblStyleRowBandSize w:val="1"/>
      <w:tblStyleColBandSize w:val="1"/>
      <w:tblBorders>
        <w:insideH w:val="single" w:sz="4" w:space="0" w:color="FFFFFF"/>
      </w:tblBorders>
    </w:tblPr>
    <w:tcPr>
      <w:shd w:val="clear" w:color="auto" w:fill="FBE4D5"/>
    </w:tcPr>
    <w:tblStylePr w:type="firstRow">
      <w:rPr>
        <w:b/>
        <w:bCs/>
      </w:rPr>
      <w:tblPr/>
      <w:tcPr>
        <w:shd w:val="clear" w:color="auto" w:fill="F7CAAC"/>
      </w:tcPr>
    </w:tblStylePr>
    <w:tblStylePr w:type="lastRow">
      <w:rPr>
        <w:b/>
        <w:bCs/>
        <w:color w:val="000000"/>
      </w:rPr>
      <w:tblPr/>
      <w:tcPr>
        <w:shd w:val="clear" w:color="auto" w:fill="F7CAAC"/>
      </w:tcPr>
    </w:tblStylePr>
    <w:tblStylePr w:type="firstCol">
      <w:rPr>
        <w:color w:val="FFFFFF"/>
      </w:rPr>
      <w:tblPr/>
      <w:tcPr>
        <w:shd w:val="clear" w:color="auto" w:fill="C45911"/>
      </w:tcPr>
    </w:tblStylePr>
    <w:tblStylePr w:type="lastCol">
      <w:rPr>
        <w:color w:val="FFFFFF"/>
      </w:rPr>
      <w:tblPr/>
      <w:tcPr>
        <w:shd w:val="clear" w:color="auto" w:fill="C45911"/>
      </w:tcPr>
    </w:tblStylePr>
    <w:tblStylePr w:type="band1Vert">
      <w:tblPr/>
      <w:tcPr>
        <w:shd w:val="clear" w:color="auto" w:fill="F6BE98"/>
      </w:tcPr>
    </w:tblStylePr>
    <w:tblStylePr w:type="band1Horz">
      <w:tblPr/>
      <w:tcPr>
        <w:shd w:val="clear" w:color="auto" w:fill="F6BE98"/>
      </w:tcPr>
    </w:tblStylePr>
  </w:style>
  <w:style w:type="table" w:customStyle="1" w:styleId="ColorfulGrid-Accent31">
    <w:name w:val="Colorful Grid - Accent 31"/>
    <w:basedOn w:val="TableNormal"/>
    <w:next w:val="ColorfulGrid-Accent3"/>
    <w:uiPriority w:val="73"/>
    <w:rsid w:val="00D61046"/>
    <w:rPr>
      <w:rFonts w:ascii="Calibri" w:eastAsia="Times New Roman" w:hAnsi="Calibri"/>
      <w:color w:val="000000"/>
      <w:sz w:val="22"/>
      <w:szCs w:val="22"/>
    </w:rPr>
    <w:tblPr>
      <w:tblStyleRowBandSize w:val="1"/>
      <w:tblStyleColBandSize w:val="1"/>
      <w:tblBorders>
        <w:insideH w:val="single" w:sz="4" w:space="0" w:color="FFFFFF"/>
      </w:tblBorders>
    </w:tblPr>
    <w:tcPr>
      <w:shd w:val="clear" w:color="auto" w:fill="EDEDED"/>
    </w:tcPr>
    <w:tblStylePr w:type="firstRow">
      <w:rPr>
        <w:b/>
        <w:bCs/>
      </w:rPr>
      <w:tblPr/>
      <w:tcPr>
        <w:shd w:val="clear" w:color="auto" w:fill="DBDBDB"/>
      </w:tcPr>
    </w:tblStylePr>
    <w:tblStylePr w:type="lastRow">
      <w:rPr>
        <w:b/>
        <w:bCs/>
        <w:color w:val="000000"/>
      </w:rPr>
      <w:tblPr/>
      <w:tcPr>
        <w:shd w:val="clear" w:color="auto" w:fill="DBDBDB"/>
      </w:tcPr>
    </w:tblStylePr>
    <w:tblStylePr w:type="firstCol">
      <w:rPr>
        <w:color w:val="FFFFFF"/>
      </w:rPr>
      <w:tblPr/>
      <w:tcPr>
        <w:shd w:val="clear" w:color="auto" w:fill="7B7B7B"/>
      </w:tcPr>
    </w:tblStylePr>
    <w:tblStylePr w:type="lastCol">
      <w:rPr>
        <w:color w:val="FFFFFF"/>
      </w:rPr>
      <w:tblPr/>
      <w:tcPr>
        <w:shd w:val="clear" w:color="auto" w:fill="7B7B7B"/>
      </w:tcPr>
    </w:tblStylePr>
    <w:tblStylePr w:type="band1Vert">
      <w:tblPr/>
      <w:tcPr>
        <w:shd w:val="clear" w:color="auto" w:fill="D2D2D2"/>
      </w:tcPr>
    </w:tblStylePr>
    <w:tblStylePr w:type="band1Horz">
      <w:tblPr/>
      <w:tcPr>
        <w:shd w:val="clear" w:color="auto" w:fill="D2D2D2"/>
      </w:tcPr>
    </w:tblStylePr>
  </w:style>
  <w:style w:type="table" w:customStyle="1" w:styleId="ColorfulGrid-Accent41">
    <w:name w:val="Colorful Grid - Accent 41"/>
    <w:basedOn w:val="TableNormal"/>
    <w:next w:val="ColorfulGrid-Accent4"/>
    <w:uiPriority w:val="73"/>
    <w:rsid w:val="00D61046"/>
    <w:rPr>
      <w:rFonts w:ascii="Calibri" w:eastAsia="Times New Roman" w:hAnsi="Calibri"/>
      <w:color w:val="000000"/>
      <w:sz w:val="22"/>
      <w:szCs w:val="22"/>
    </w:rPr>
    <w:tblPr>
      <w:tblStyleRowBandSize w:val="1"/>
      <w:tblStyleColBandSize w:val="1"/>
      <w:tblBorders>
        <w:insideH w:val="single" w:sz="4" w:space="0" w:color="FFFFFF"/>
      </w:tblBorders>
    </w:tblPr>
    <w:tcPr>
      <w:shd w:val="clear" w:color="auto" w:fill="FFF2CC"/>
    </w:tcPr>
    <w:tblStylePr w:type="firstRow">
      <w:rPr>
        <w:b/>
        <w:bCs/>
      </w:rPr>
      <w:tblPr/>
      <w:tcPr>
        <w:shd w:val="clear" w:color="auto" w:fill="FFE599"/>
      </w:tcPr>
    </w:tblStylePr>
    <w:tblStylePr w:type="lastRow">
      <w:rPr>
        <w:b/>
        <w:bCs/>
        <w:color w:val="000000"/>
      </w:rPr>
      <w:tblPr/>
      <w:tcPr>
        <w:shd w:val="clear" w:color="auto" w:fill="FFE599"/>
      </w:tcPr>
    </w:tblStylePr>
    <w:tblStylePr w:type="firstCol">
      <w:rPr>
        <w:color w:val="FFFFFF"/>
      </w:rPr>
      <w:tblPr/>
      <w:tcPr>
        <w:shd w:val="clear" w:color="auto" w:fill="BF8F00"/>
      </w:tcPr>
    </w:tblStylePr>
    <w:tblStylePr w:type="lastCol">
      <w:rPr>
        <w:color w:val="FFFFFF"/>
      </w:rPr>
      <w:tblPr/>
      <w:tcPr>
        <w:shd w:val="clear" w:color="auto" w:fill="BF8F00"/>
      </w:tcPr>
    </w:tblStylePr>
    <w:tblStylePr w:type="band1Vert">
      <w:tblPr/>
      <w:tcPr>
        <w:shd w:val="clear" w:color="auto" w:fill="FFDF80"/>
      </w:tcPr>
    </w:tblStylePr>
    <w:tblStylePr w:type="band1Horz">
      <w:tblPr/>
      <w:tcPr>
        <w:shd w:val="clear" w:color="auto" w:fill="FFDF80"/>
      </w:tcPr>
    </w:tblStylePr>
  </w:style>
  <w:style w:type="table" w:customStyle="1" w:styleId="ColorfulGrid-Accent51">
    <w:name w:val="Colorful Grid - Accent 51"/>
    <w:basedOn w:val="TableNormal"/>
    <w:next w:val="ColorfulGrid-Accent5"/>
    <w:uiPriority w:val="73"/>
    <w:rsid w:val="00D61046"/>
    <w:rPr>
      <w:rFonts w:ascii="Calibri" w:eastAsia="Times New Roman" w:hAnsi="Calibri"/>
      <w:color w:val="000000"/>
      <w:sz w:val="22"/>
      <w:szCs w:val="22"/>
    </w:rPr>
    <w:tblPr>
      <w:tblStyleRowBandSize w:val="1"/>
      <w:tblStyleColBandSize w:val="1"/>
      <w:tblBorders>
        <w:insideH w:val="single" w:sz="4" w:space="0" w:color="FFFFFF"/>
      </w:tblBorders>
    </w:tblPr>
    <w:tcPr>
      <w:shd w:val="clear" w:color="auto" w:fill="DEEAF6"/>
    </w:tcPr>
    <w:tblStylePr w:type="firstRow">
      <w:rPr>
        <w:b/>
        <w:bCs/>
      </w:rPr>
      <w:tblPr/>
      <w:tcPr>
        <w:shd w:val="clear" w:color="auto" w:fill="BDD6EE"/>
      </w:tcPr>
    </w:tblStylePr>
    <w:tblStylePr w:type="lastRow">
      <w:rPr>
        <w:b/>
        <w:bCs/>
        <w:color w:val="000000"/>
      </w:rPr>
      <w:tblPr/>
      <w:tcPr>
        <w:shd w:val="clear" w:color="auto" w:fill="BDD6EE"/>
      </w:tcPr>
    </w:tblStylePr>
    <w:tblStylePr w:type="firstCol">
      <w:rPr>
        <w:color w:val="FFFFFF"/>
      </w:rPr>
      <w:tblPr/>
      <w:tcPr>
        <w:shd w:val="clear" w:color="auto" w:fill="2E74B5"/>
      </w:tcPr>
    </w:tblStylePr>
    <w:tblStylePr w:type="lastCol">
      <w:rPr>
        <w:color w:val="FFFFFF"/>
      </w:rPr>
      <w:tblPr/>
      <w:tcPr>
        <w:shd w:val="clear" w:color="auto" w:fill="2E74B5"/>
      </w:tcPr>
    </w:tblStylePr>
    <w:tblStylePr w:type="band1Vert">
      <w:tblPr/>
      <w:tcPr>
        <w:shd w:val="clear" w:color="auto" w:fill="ADCCEA"/>
      </w:tcPr>
    </w:tblStylePr>
    <w:tblStylePr w:type="band1Horz">
      <w:tblPr/>
      <w:tcPr>
        <w:shd w:val="clear" w:color="auto" w:fill="ADCCEA"/>
      </w:tcPr>
    </w:tblStylePr>
  </w:style>
  <w:style w:type="table" w:customStyle="1" w:styleId="ColorfulGrid-Accent61">
    <w:name w:val="Colorful Grid - Accent 61"/>
    <w:basedOn w:val="TableNormal"/>
    <w:next w:val="ColorfulGrid-Accent6"/>
    <w:uiPriority w:val="73"/>
    <w:rsid w:val="00D61046"/>
    <w:rPr>
      <w:rFonts w:ascii="Calibri" w:eastAsia="Times New Roman" w:hAnsi="Calibri"/>
      <w:color w:val="000000"/>
      <w:sz w:val="22"/>
      <w:szCs w:val="22"/>
    </w:rPr>
    <w:tblPr>
      <w:tblStyleRowBandSize w:val="1"/>
      <w:tblStyleColBandSize w:val="1"/>
      <w:tblBorders>
        <w:insideH w:val="single" w:sz="4" w:space="0" w:color="FFFFFF"/>
      </w:tblBorders>
    </w:tblPr>
    <w:tcPr>
      <w:shd w:val="clear" w:color="auto" w:fill="E2EFD9"/>
    </w:tcPr>
    <w:tblStylePr w:type="firstRow">
      <w:rPr>
        <w:b/>
        <w:bCs/>
      </w:rPr>
      <w:tblPr/>
      <w:tcPr>
        <w:shd w:val="clear" w:color="auto" w:fill="C5E0B3"/>
      </w:tcPr>
    </w:tblStylePr>
    <w:tblStylePr w:type="lastRow">
      <w:rPr>
        <w:b/>
        <w:bCs/>
        <w:color w:val="000000"/>
      </w:rPr>
      <w:tblPr/>
      <w:tcPr>
        <w:shd w:val="clear" w:color="auto" w:fill="C5E0B3"/>
      </w:tcPr>
    </w:tblStylePr>
    <w:tblStylePr w:type="firstCol">
      <w:rPr>
        <w:color w:val="FFFFFF"/>
      </w:rPr>
      <w:tblPr/>
      <w:tcPr>
        <w:shd w:val="clear" w:color="auto" w:fill="538135"/>
      </w:tcPr>
    </w:tblStylePr>
    <w:tblStylePr w:type="lastCol">
      <w:rPr>
        <w:color w:val="FFFFFF"/>
      </w:rPr>
      <w:tblPr/>
      <w:tcPr>
        <w:shd w:val="clear" w:color="auto" w:fill="538135"/>
      </w:tcPr>
    </w:tblStylePr>
    <w:tblStylePr w:type="band1Vert">
      <w:tblPr/>
      <w:tcPr>
        <w:shd w:val="clear" w:color="auto" w:fill="B7D8A0"/>
      </w:tcPr>
    </w:tblStylePr>
    <w:tblStylePr w:type="band1Horz">
      <w:tblPr/>
      <w:tcPr>
        <w:shd w:val="clear" w:color="auto" w:fill="B7D8A0"/>
      </w:tcPr>
    </w:tblStylePr>
  </w:style>
  <w:style w:type="paragraph" w:styleId="CommentText">
    <w:name w:val="annotation text"/>
    <w:basedOn w:val="Normal"/>
    <w:link w:val="CommentTextChar"/>
    <w:uiPriority w:val="99"/>
    <w:unhideWhenUsed/>
    <w:qFormat/>
    <w:rsid w:val="00D61046"/>
    <w:pPr>
      <w:spacing w:after="200"/>
    </w:pPr>
    <w:rPr>
      <w:rFonts w:ascii="Calibri" w:eastAsia="Times New Roman" w:hAnsi="Calibri" w:cs="Times New Roman"/>
      <w:sz w:val="20"/>
      <w:szCs w:val="20"/>
    </w:rPr>
  </w:style>
  <w:style w:type="character" w:customStyle="1" w:styleId="CommentTextChar">
    <w:name w:val="Comment Text Char"/>
    <w:basedOn w:val="DefaultParagraphFont"/>
    <w:link w:val="CommentText"/>
    <w:uiPriority w:val="99"/>
    <w:qFormat/>
    <w:rsid w:val="00D61046"/>
    <w:rPr>
      <w:rFonts w:ascii="Calibri" w:hAnsi="Calibri"/>
    </w:rPr>
  </w:style>
  <w:style w:type="paragraph" w:styleId="CommentSubject">
    <w:name w:val="annotation subject"/>
    <w:basedOn w:val="CommentText"/>
    <w:next w:val="CommentText"/>
    <w:link w:val="CommentSubjectChar"/>
    <w:uiPriority w:val="99"/>
    <w:unhideWhenUsed/>
    <w:qFormat/>
    <w:rsid w:val="00D61046"/>
    <w:rPr>
      <w:b/>
      <w:bCs/>
    </w:rPr>
  </w:style>
  <w:style w:type="character" w:customStyle="1" w:styleId="CommentSubjectChar">
    <w:name w:val="Comment Subject Char"/>
    <w:basedOn w:val="CommentTextChar"/>
    <w:link w:val="CommentSubject"/>
    <w:uiPriority w:val="99"/>
    <w:rsid w:val="00D61046"/>
    <w:rPr>
      <w:rFonts w:ascii="Calibri" w:hAnsi="Calibri"/>
      <w:b/>
      <w:bCs/>
    </w:rPr>
  </w:style>
  <w:style w:type="character" w:customStyle="1" w:styleId="mopen">
    <w:name w:val="mopen"/>
    <w:basedOn w:val="DefaultParagraphFont"/>
    <w:rsid w:val="00D61046"/>
  </w:style>
  <w:style w:type="character" w:customStyle="1" w:styleId="mclose">
    <w:name w:val="mclose"/>
    <w:basedOn w:val="DefaultParagraphFont"/>
    <w:qFormat/>
    <w:rsid w:val="00D61046"/>
  </w:style>
  <w:style w:type="character" w:customStyle="1" w:styleId="Heading9Char1">
    <w:name w:val="Heading 9 Char1"/>
    <w:basedOn w:val="DefaultParagraphFont"/>
    <w:semiHidden/>
    <w:rsid w:val="00D61046"/>
    <w:rPr>
      <w:rFonts w:asciiTheme="majorHAnsi" w:eastAsiaTheme="majorEastAsia" w:hAnsiTheme="majorHAnsi" w:cstheme="majorBidi"/>
      <w:i/>
      <w:iCs/>
      <w:color w:val="272727" w:themeColor="text1" w:themeTint="D8"/>
      <w:sz w:val="21"/>
      <w:szCs w:val="21"/>
    </w:rPr>
  </w:style>
  <w:style w:type="paragraph" w:styleId="MacroText">
    <w:name w:val="macro"/>
    <w:link w:val="MacroTextChar1"/>
    <w:uiPriority w:val="99"/>
    <w:unhideWhenUsed/>
    <w:rsid w:val="00D61046"/>
    <w:pPr>
      <w:tabs>
        <w:tab w:val="left" w:pos="480"/>
        <w:tab w:val="left" w:pos="960"/>
        <w:tab w:val="left" w:pos="1440"/>
        <w:tab w:val="left" w:pos="1920"/>
        <w:tab w:val="left" w:pos="2400"/>
        <w:tab w:val="left" w:pos="2880"/>
        <w:tab w:val="left" w:pos="3360"/>
        <w:tab w:val="left" w:pos="3840"/>
        <w:tab w:val="left" w:pos="4320"/>
      </w:tabs>
    </w:pPr>
    <w:rPr>
      <w:rFonts w:ascii="Consolas" w:hAnsi="Consolas" w:cs="Arial"/>
    </w:rPr>
  </w:style>
  <w:style w:type="character" w:customStyle="1" w:styleId="MacroTextChar1">
    <w:name w:val="Macro Text Char1"/>
    <w:basedOn w:val="DefaultParagraphFont"/>
    <w:link w:val="MacroText"/>
    <w:semiHidden/>
    <w:rsid w:val="00D61046"/>
    <w:rPr>
      <w:rFonts w:ascii="Consolas" w:hAnsi="Consolas" w:cs="Arial"/>
    </w:rPr>
  </w:style>
  <w:style w:type="paragraph" w:styleId="Quote">
    <w:name w:val="Quote"/>
    <w:basedOn w:val="Normal"/>
    <w:next w:val="Normal"/>
    <w:link w:val="QuoteChar"/>
    <w:uiPriority w:val="29"/>
    <w:qFormat/>
    <w:rsid w:val="00D61046"/>
    <w:pPr>
      <w:spacing w:before="200" w:after="160"/>
      <w:ind w:left="864" w:right="864"/>
      <w:jc w:val="center"/>
    </w:pPr>
    <w:rPr>
      <w:rFonts w:cs="Times New Roman"/>
      <w:i/>
      <w:iCs/>
      <w:color w:val="000000"/>
      <w:sz w:val="20"/>
      <w:szCs w:val="20"/>
    </w:rPr>
  </w:style>
  <w:style w:type="character" w:customStyle="1" w:styleId="QuoteChar1">
    <w:name w:val="Quote Char1"/>
    <w:basedOn w:val="DefaultParagraphFont"/>
    <w:uiPriority w:val="29"/>
    <w:rsid w:val="00D61046"/>
    <w:rPr>
      <w:rFonts w:ascii="Arial" w:hAnsi="Arial" w:cs="Arial"/>
      <w:i/>
      <w:iCs/>
      <w:color w:val="404040" w:themeColor="text1" w:themeTint="BF"/>
      <w:sz w:val="24"/>
      <w:szCs w:val="24"/>
    </w:rPr>
  </w:style>
  <w:style w:type="paragraph" w:styleId="IntenseQuote">
    <w:name w:val="Intense Quote"/>
    <w:basedOn w:val="Normal"/>
    <w:next w:val="Normal"/>
    <w:link w:val="IntenseQuoteChar"/>
    <w:uiPriority w:val="30"/>
    <w:qFormat/>
    <w:rsid w:val="00D61046"/>
    <w:pPr>
      <w:pBdr>
        <w:top w:val="single" w:sz="4" w:space="10" w:color="4F81BD" w:themeColor="accent1"/>
        <w:bottom w:val="single" w:sz="4" w:space="10" w:color="4F81BD" w:themeColor="accent1"/>
      </w:pBdr>
      <w:spacing w:before="360" w:after="360"/>
      <w:ind w:left="864" w:right="864"/>
      <w:jc w:val="center"/>
    </w:pPr>
    <w:rPr>
      <w:rFonts w:cs="Times New Roman"/>
      <w:b/>
      <w:bCs/>
      <w:i/>
      <w:iCs/>
      <w:color w:val="4472C4"/>
      <w:sz w:val="20"/>
      <w:szCs w:val="20"/>
    </w:rPr>
  </w:style>
  <w:style w:type="character" w:customStyle="1" w:styleId="IntenseQuoteChar1">
    <w:name w:val="Intense Quote Char1"/>
    <w:basedOn w:val="DefaultParagraphFont"/>
    <w:uiPriority w:val="30"/>
    <w:rsid w:val="00D61046"/>
    <w:rPr>
      <w:rFonts w:ascii="Arial" w:hAnsi="Arial" w:cs="Arial"/>
      <w:i/>
      <w:iCs/>
      <w:color w:val="4F81BD" w:themeColor="accent1"/>
      <w:sz w:val="24"/>
      <w:szCs w:val="24"/>
    </w:rPr>
  </w:style>
  <w:style w:type="character" w:styleId="SubtleEmphasis">
    <w:name w:val="Subtle Emphasis"/>
    <w:basedOn w:val="DefaultParagraphFont"/>
    <w:uiPriority w:val="19"/>
    <w:qFormat/>
    <w:rsid w:val="00D61046"/>
    <w:rPr>
      <w:i/>
      <w:iCs/>
      <w:color w:val="404040" w:themeColor="text1" w:themeTint="BF"/>
    </w:rPr>
  </w:style>
  <w:style w:type="character" w:styleId="IntenseEmphasis">
    <w:name w:val="Intense Emphasis"/>
    <w:basedOn w:val="DefaultParagraphFont"/>
    <w:uiPriority w:val="21"/>
    <w:qFormat/>
    <w:rsid w:val="00D61046"/>
    <w:rPr>
      <w:i/>
      <w:iCs/>
      <w:color w:val="4F81BD" w:themeColor="accent1"/>
    </w:rPr>
  </w:style>
  <w:style w:type="table" w:styleId="LightShading">
    <w:name w:val="Light Shading"/>
    <w:basedOn w:val="TableNormal"/>
    <w:uiPriority w:val="60"/>
    <w:semiHidden/>
    <w:unhideWhenUsed/>
    <w:rsid w:val="00D61046"/>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D61046"/>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D61046"/>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D61046"/>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D61046"/>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D61046"/>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D61046"/>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semiHidden/>
    <w:unhideWhenUsed/>
    <w:rsid w:val="00D6104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D61046"/>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D61046"/>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D61046"/>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D61046"/>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D61046"/>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D61046"/>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semiHidden/>
    <w:unhideWhenUsed/>
    <w:rsid w:val="00D6104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D61046"/>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D61046"/>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D61046"/>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D61046"/>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D61046"/>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D61046"/>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semiHidden/>
    <w:unhideWhenUsed/>
    <w:rsid w:val="00D6104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D61046"/>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D61046"/>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D61046"/>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D61046"/>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D61046"/>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D61046"/>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D6104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D6104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D6104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D6104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D6104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D6104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D6104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semiHidden/>
    <w:unhideWhenUsed/>
    <w:rsid w:val="00D61046"/>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D61046"/>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D61046"/>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D61046"/>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D61046"/>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D61046"/>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D61046"/>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D6104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D61046"/>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D61046"/>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D61046"/>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D61046"/>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D61046"/>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D61046"/>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semiHidden/>
    <w:unhideWhenUsed/>
    <w:rsid w:val="00D6104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D61046"/>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D61046"/>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D61046"/>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D61046"/>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D61046"/>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D61046"/>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D6104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D61046"/>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D61046"/>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D61046"/>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D61046"/>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D61046"/>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D61046"/>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D6104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D6104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D6104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D6104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D6104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D6104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D6104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semiHidden/>
    <w:unhideWhenUsed/>
    <w:rsid w:val="00D61046"/>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D61046"/>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D61046"/>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D61046"/>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D61046"/>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D61046"/>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D61046"/>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semiHidden/>
    <w:unhideWhenUsed/>
    <w:rsid w:val="00D61046"/>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D61046"/>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D61046"/>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D61046"/>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D61046"/>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D61046"/>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D61046"/>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semiHidden/>
    <w:unhideWhenUsed/>
    <w:rsid w:val="00D61046"/>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D61046"/>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D61046"/>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D61046"/>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D61046"/>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D61046"/>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D61046"/>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semiHidden/>
    <w:unhideWhenUsed/>
    <w:rsid w:val="00D61046"/>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D61046"/>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D61046"/>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D61046"/>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D61046"/>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D61046"/>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D61046"/>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numbering" w:customStyle="1" w:styleId="NoList4">
    <w:name w:val="No List4"/>
    <w:next w:val="NoList"/>
    <w:uiPriority w:val="99"/>
    <w:semiHidden/>
    <w:unhideWhenUsed/>
    <w:rsid w:val="00D61046"/>
  </w:style>
  <w:style w:type="character" w:customStyle="1" w:styleId="FollowedHyperlink1">
    <w:name w:val="FollowedHyperlink1"/>
    <w:basedOn w:val="DefaultParagraphFont"/>
    <w:uiPriority w:val="99"/>
    <w:semiHidden/>
    <w:unhideWhenUsed/>
    <w:rsid w:val="00D61046"/>
    <w:rPr>
      <w:color w:val="954F72"/>
      <w:u w:val="single"/>
    </w:rPr>
  </w:style>
  <w:style w:type="paragraph" w:customStyle="1" w:styleId="msonormal0">
    <w:name w:val="msonormal"/>
    <w:basedOn w:val="Normal"/>
    <w:uiPriority w:val="99"/>
    <w:qFormat/>
    <w:rsid w:val="00D61046"/>
    <w:pPr>
      <w:spacing w:before="100" w:beforeAutospacing="1" w:after="100" w:afterAutospacing="1"/>
    </w:pPr>
    <w:rPr>
      <w:rFonts w:cs="Times New Roman"/>
    </w:rPr>
  </w:style>
  <w:style w:type="paragraph" w:styleId="FootnoteText">
    <w:name w:val="footnote text"/>
    <w:basedOn w:val="Normal"/>
    <w:link w:val="FootnoteTextChar"/>
    <w:uiPriority w:val="99"/>
    <w:semiHidden/>
    <w:unhideWhenUsed/>
    <w:qFormat/>
    <w:rsid w:val="00D61046"/>
    <w:pPr>
      <w:spacing w:before="100" w:beforeAutospacing="1"/>
    </w:pPr>
    <w:rPr>
      <w:rFonts w:ascii="Calibri" w:hAnsi="Calibri" w:cs="Times New Roman"/>
      <w:sz w:val="20"/>
      <w:szCs w:val="20"/>
    </w:rPr>
  </w:style>
  <w:style w:type="character" w:customStyle="1" w:styleId="FootnoteTextChar">
    <w:name w:val="Footnote Text Char"/>
    <w:basedOn w:val="DefaultParagraphFont"/>
    <w:link w:val="FootnoteText"/>
    <w:uiPriority w:val="99"/>
    <w:semiHidden/>
    <w:qFormat/>
    <w:rsid w:val="00D61046"/>
    <w:rPr>
      <w:rFonts w:ascii="Calibri" w:hAnsi="Calibri"/>
    </w:rPr>
  </w:style>
  <w:style w:type="paragraph" w:customStyle="1" w:styleId="Style12">
    <w:name w:val="_Style 12"/>
    <w:basedOn w:val="Normal"/>
    <w:next w:val="Normal"/>
    <w:uiPriority w:val="99"/>
    <w:qFormat/>
    <w:rsid w:val="00D61046"/>
    <w:pPr>
      <w:pBdr>
        <w:bottom w:val="single" w:sz="6" w:space="1" w:color="auto"/>
      </w:pBdr>
      <w:jc w:val="center"/>
    </w:pPr>
    <w:rPr>
      <w:rFonts w:cs="Times New Roman"/>
      <w:vanish/>
      <w:kern w:val="2"/>
      <w:sz w:val="16"/>
    </w:rPr>
  </w:style>
  <w:style w:type="paragraph" w:customStyle="1" w:styleId="Style13">
    <w:name w:val="_Style 13"/>
    <w:basedOn w:val="Normal"/>
    <w:next w:val="Normal"/>
    <w:uiPriority w:val="99"/>
    <w:qFormat/>
    <w:rsid w:val="00D61046"/>
    <w:pPr>
      <w:pBdr>
        <w:top w:val="single" w:sz="6" w:space="1" w:color="auto"/>
      </w:pBdr>
      <w:jc w:val="center"/>
    </w:pPr>
    <w:rPr>
      <w:rFonts w:cs="Times New Roman"/>
      <w:vanish/>
      <w:kern w:val="2"/>
      <w:sz w:val="16"/>
    </w:rPr>
  </w:style>
  <w:style w:type="paragraph" w:customStyle="1" w:styleId="TOCHeading1">
    <w:name w:val="TOC Heading1"/>
    <w:basedOn w:val="Heading1"/>
    <w:next w:val="Normal"/>
    <w:uiPriority w:val="39"/>
    <w:qFormat/>
    <w:rsid w:val="00D61046"/>
    <w:pPr>
      <w:keepNext/>
      <w:keepLines/>
      <w:autoSpaceDE/>
      <w:autoSpaceDN/>
      <w:adjustRightInd/>
      <w:spacing w:before="240" w:line="256" w:lineRule="auto"/>
      <w:jc w:val="left"/>
      <w:outlineLvl w:val="9"/>
    </w:pPr>
    <w:rPr>
      <w:rFonts w:ascii="Calibri Light" w:hAnsi="Calibri Light" w:cs="Times New Roman"/>
      <w:b w:val="0"/>
      <w:bCs w:val="0"/>
      <w:caps/>
      <w:color w:val="2F5496"/>
      <w:sz w:val="32"/>
      <w:szCs w:val="32"/>
    </w:rPr>
  </w:style>
  <w:style w:type="character" w:styleId="CommentReference">
    <w:name w:val="annotation reference"/>
    <w:basedOn w:val="DefaultParagraphFont"/>
    <w:uiPriority w:val="99"/>
    <w:semiHidden/>
    <w:unhideWhenUsed/>
    <w:qFormat/>
    <w:rsid w:val="00D61046"/>
    <w:rPr>
      <w:sz w:val="16"/>
      <w:szCs w:val="16"/>
    </w:rPr>
  </w:style>
  <w:style w:type="character" w:customStyle="1" w:styleId="FootnoteTextChar1">
    <w:name w:val="Footnote Text Char1"/>
    <w:basedOn w:val="DefaultParagraphFont"/>
    <w:uiPriority w:val="99"/>
    <w:semiHidden/>
    <w:qFormat/>
    <w:rsid w:val="00D61046"/>
    <w:rPr>
      <w:rFonts w:ascii="Calibri" w:eastAsia="Times New Roman" w:hAnsi="Calibri" w:cs="Times New Roman" w:hint="default"/>
      <w:sz w:val="20"/>
      <w:szCs w:val="20"/>
      <w:lang w:val="en-US"/>
    </w:rPr>
  </w:style>
  <w:style w:type="character" w:customStyle="1" w:styleId="10">
    <w:name w:val="10"/>
    <w:basedOn w:val="DefaultParagraphFont"/>
    <w:qFormat/>
    <w:rsid w:val="00D61046"/>
    <w:rPr>
      <w:rFonts w:ascii="Times New Roman" w:hAnsi="Times New Roman" w:cs="Times New Roman" w:hint="default"/>
    </w:rPr>
  </w:style>
  <w:style w:type="character" w:customStyle="1" w:styleId="17">
    <w:name w:val="17"/>
    <w:basedOn w:val="DefaultParagraphFont"/>
    <w:qFormat/>
    <w:rsid w:val="00D61046"/>
    <w:rPr>
      <w:rFonts w:ascii="Times New Roman" w:hAnsi="Times New Roman" w:cs="Times New Roman" w:hint="default"/>
      <w:vertAlign w:val="superscript"/>
    </w:rPr>
  </w:style>
  <w:style w:type="character" w:customStyle="1" w:styleId="20">
    <w:name w:val="20"/>
    <w:basedOn w:val="DefaultParagraphFont"/>
    <w:qFormat/>
    <w:rsid w:val="00D61046"/>
    <w:rPr>
      <w:rFonts w:ascii="Calibri Light" w:eastAsia="DengXian Light" w:hAnsi="Calibri Light" w:cs="Times New Roman" w:hint="default"/>
      <w:color w:val="1F3864"/>
      <w:sz w:val="24"/>
      <w:szCs w:val="24"/>
    </w:rPr>
  </w:style>
  <w:style w:type="character" w:customStyle="1" w:styleId="21">
    <w:name w:val="21"/>
    <w:basedOn w:val="DefaultParagraphFont"/>
    <w:qFormat/>
    <w:rsid w:val="00D61046"/>
    <w:rPr>
      <w:rFonts w:ascii="Times New Roman" w:hAnsi="Times New Roman" w:cs="Times New Roman" w:hint="default"/>
      <w:color w:val="0563C1"/>
      <w:u w:val="single"/>
    </w:rPr>
  </w:style>
  <w:style w:type="character" w:customStyle="1" w:styleId="mrel">
    <w:name w:val="mrel"/>
    <w:basedOn w:val="DefaultParagraphFont"/>
    <w:qFormat/>
    <w:rsid w:val="00D61046"/>
  </w:style>
  <w:style w:type="character" w:customStyle="1" w:styleId="mop">
    <w:name w:val="mop"/>
    <w:basedOn w:val="DefaultParagraphFont"/>
    <w:qFormat/>
    <w:rsid w:val="00D61046"/>
  </w:style>
  <w:style w:type="character" w:styleId="FollowedHyperlink">
    <w:name w:val="FollowedHyperlink"/>
    <w:basedOn w:val="DefaultParagraphFont"/>
    <w:uiPriority w:val="99"/>
    <w:semiHidden/>
    <w:unhideWhenUsed/>
    <w:rsid w:val="00D61046"/>
    <w:rPr>
      <w:color w:val="800080" w:themeColor="followedHyperlink"/>
      <w:u w:val="single"/>
    </w:rPr>
  </w:style>
  <w:style w:type="numbering" w:customStyle="1" w:styleId="NoList5">
    <w:name w:val="No List5"/>
    <w:next w:val="NoList"/>
    <w:uiPriority w:val="99"/>
    <w:semiHidden/>
    <w:unhideWhenUsed/>
    <w:rsid w:val="00AB5818"/>
  </w:style>
  <w:style w:type="paragraph" w:customStyle="1" w:styleId="Revision1">
    <w:name w:val="Revision1"/>
    <w:uiPriority w:val="99"/>
    <w:semiHidden/>
    <w:qFormat/>
    <w:rsid w:val="00AB5818"/>
    <w:rPr>
      <w:rFonts w:ascii="Calibri" w:hAnsi="Calibri"/>
      <w:sz w:val="22"/>
      <w:szCs w:val="22"/>
    </w:rPr>
  </w:style>
  <w:style w:type="character" w:customStyle="1" w:styleId="UnresolvedMention1">
    <w:name w:val="Unresolved Mention1"/>
    <w:basedOn w:val="DefaultParagraphFont"/>
    <w:uiPriority w:val="99"/>
    <w:semiHidden/>
    <w:qFormat/>
    <w:rsid w:val="00AB5818"/>
    <w:rPr>
      <w:color w:val="605E5C"/>
      <w:shd w:val="clear" w:color="auto" w:fill="E1DFDD"/>
    </w:rPr>
  </w:style>
  <w:style w:type="numbering" w:customStyle="1" w:styleId="NoList6">
    <w:name w:val="No List6"/>
    <w:next w:val="NoList"/>
    <w:uiPriority w:val="99"/>
    <w:semiHidden/>
    <w:unhideWhenUsed/>
    <w:rsid w:val="00AB5818"/>
  </w:style>
  <w:style w:type="character" w:customStyle="1" w:styleId="CommentSubjectChar1">
    <w:name w:val="Comment Subject Char1"/>
    <w:basedOn w:val="CommentTextChar"/>
    <w:uiPriority w:val="99"/>
    <w:semiHidden/>
    <w:qFormat/>
    <w:rsid w:val="00AB5818"/>
    <w:rPr>
      <w:rFonts w:ascii="Calibri" w:eastAsia="Times New Roman" w:hAnsi="Calibri" w:cs="Times New Roman" w:hint="default"/>
      <w:b/>
      <w:bCs/>
      <w:sz w:val="20"/>
      <w:szCs w:val="20"/>
      <w:lang w:val="en-US"/>
    </w:rPr>
  </w:style>
  <w:style w:type="numbering" w:customStyle="1" w:styleId="NoList7">
    <w:name w:val="No List7"/>
    <w:next w:val="NoList"/>
    <w:uiPriority w:val="99"/>
    <w:semiHidden/>
    <w:unhideWhenUsed/>
    <w:rsid w:val="00AB5818"/>
  </w:style>
  <w:style w:type="numbering" w:customStyle="1" w:styleId="NoList8">
    <w:name w:val="No List8"/>
    <w:next w:val="NoList"/>
    <w:uiPriority w:val="99"/>
    <w:semiHidden/>
    <w:unhideWhenUsed/>
    <w:rsid w:val="0054107C"/>
  </w:style>
  <w:style w:type="table" w:customStyle="1" w:styleId="TableGrid3">
    <w:name w:val="Table Grid3"/>
    <w:basedOn w:val="TableNormal"/>
    <w:next w:val="TableGrid"/>
    <w:uiPriority w:val="99"/>
    <w:qFormat/>
    <w:rsid w:val="0054107C"/>
    <w:rPr>
      <w:lang w:val="zh-CN"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
    <w:name w:val="No List9"/>
    <w:next w:val="NoList"/>
    <w:uiPriority w:val="99"/>
    <w:semiHidden/>
    <w:unhideWhenUsed/>
    <w:rsid w:val="00971AE1"/>
  </w:style>
  <w:style w:type="numbering" w:customStyle="1" w:styleId="NoList10">
    <w:name w:val="No List10"/>
    <w:next w:val="NoList"/>
    <w:uiPriority w:val="99"/>
    <w:semiHidden/>
    <w:unhideWhenUsed/>
    <w:rsid w:val="00345BBA"/>
  </w:style>
  <w:style w:type="table" w:customStyle="1" w:styleId="TableGrid4">
    <w:name w:val="Table Grid4"/>
    <w:basedOn w:val="TableNormal"/>
    <w:next w:val="TableGrid"/>
    <w:uiPriority w:val="99"/>
    <w:rsid w:val="00345BBA"/>
    <w:rPr>
      <w:rFonts w:eastAsia="Times New Roman"/>
      <w:lang w:val="zh-CN"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5E02DB"/>
  </w:style>
  <w:style w:type="numbering" w:customStyle="1" w:styleId="NoList12">
    <w:name w:val="No List12"/>
    <w:next w:val="NoList"/>
    <w:uiPriority w:val="99"/>
    <w:semiHidden/>
    <w:unhideWhenUsed/>
    <w:rsid w:val="00CD4846"/>
  </w:style>
  <w:style w:type="table" w:customStyle="1" w:styleId="TableGrid5">
    <w:name w:val="Table Grid5"/>
    <w:basedOn w:val="TableNormal"/>
    <w:next w:val="TableGrid"/>
    <w:uiPriority w:val="99"/>
    <w:rsid w:val="00CD4846"/>
    <w:rPr>
      <w:rFonts w:eastAsia="Times New Roman"/>
      <w:lang w:val="zh-CN"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BF0763"/>
  </w:style>
  <w:style w:type="table" w:customStyle="1" w:styleId="TableGrid6">
    <w:name w:val="Table Grid6"/>
    <w:basedOn w:val="TableNormal"/>
    <w:next w:val="TableGrid"/>
    <w:uiPriority w:val="59"/>
    <w:rsid w:val="00BF0763"/>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
    <w:name w:val="Light Shading2"/>
    <w:basedOn w:val="TableNormal"/>
    <w:next w:val="LightShading"/>
    <w:uiPriority w:val="60"/>
    <w:rsid w:val="00BF0763"/>
    <w:rPr>
      <w:rFonts w:ascii="Calibri" w:eastAsia="Times New Roman" w:hAnsi="Calibri"/>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2">
    <w:name w:val="Light Shading - Accent 12"/>
    <w:basedOn w:val="TableNormal"/>
    <w:next w:val="LightShading-Accent1"/>
    <w:uiPriority w:val="60"/>
    <w:rsid w:val="00BF0763"/>
    <w:rPr>
      <w:rFonts w:ascii="Calibri" w:eastAsia="Times New Roman" w:hAnsi="Calibri"/>
      <w:color w:val="2F5496"/>
      <w:sz w:val="22"/>
      <w:szCs w:val="22"/>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LightShading-Accent22">
    <w:name w:val="Light Shading - Accent 22"/>
    <w:basedOn w:val="TableNormal"/>
    <w:next w:val="LightShading-Accent2"/>
    <w:uiPriority w:val="60"/>
    <w:rsid w:val="00BF0763"/>
    <w:rPr>
      <w:rFonts w:ascii="Calibri" w:eastAsia="Times New Roman" w:hAnsi="Calibri"/>
      <w:color w:val="C45911"/>
      <w:sz w:val="22"/>
      <w:szCs w:val="22"/>
    </w:rPr>
    <w:tblPr>
      <w:tblStyleRowBandSize w:val="1"/>
      <w:tblStyleColBandSize w:val="1"/>
      <w:tblBorders>
        <w:top w:val="single" w:sz="8" w:space="0" w:color="ED7D31"/>
        <w:bottom w:val="single" w:sz="8" w:space="0" w:color="ED7D31"/>
      </w:tblBorders>
    </w:tblPr>
    <w:tblStylePr w:type="fir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la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customStyle="1" w:styleId="LightShading-Accent32">
    <w:name w:val="Light Shading - Accent 32"/>
    <w:basedOn w:val="TableNormal"/>
    <w:next w:val="LightShading-Accent3"/>
    <w:uiPriority w:val="60"/>
    <w:rsid w:val="00BF0763"/>
    <w:rPr>
      <w:rFonts w:ascii="Calibri" w:eastAsia="Times New Roman" w:hAnsi="Calibri"/>
      <w:color w:val="7B7B7B"/>
      <w:sz w:val="22"/>
      <w:szCs w:val="22"/>
    </w:rPr>
    <w:tblPr>
      <w:tblStyleRowBandSize w:val="1"/>
      <w:tblStyleColBandSize w:val="1"/>
      <w:tblBorders>
        <w:top w:val="single" w:sz="8" w:space="0" w:color="A5A5A5"/>
        <w:bottom w:val="single" w:sz="8" w:space="0" w:color="A5A5A5"/>
      </w:tblBorders>
    </w:tblPr>
    <w:tblStylePr w:type="fir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la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table" w:customStyle="1" w:styleId="LightShading-Accent42">
    <w:name w:val="Light Shading - Accent 42"/>
    <w:basedOn w:val="TableNormal"/>
    <w:next w:val="LightShading-Accent4"/>
    <w:uiPriority w:val="60"/>
    <w:rsid w:val="00BF0763"/>
    <w:rPr>
      <w:rFonts w:ascii="Calibri" w:eastAsia="Times New Roman" w:hAnsi="Calibri"/>
      <w:color w:val="BF8F00"/>
      <w:sz w:val="22"/>
      <w:szCs w:val="22"/>
    </w:rPr>
    <w:tblPr>
      <w:tblStyleRowBandSize w:val="1"/>
      <w:tblStyleColBandSize w:val="1"/>
      <w:tblBorders>
        <w:top w:val="single" w:sz="8" w:space="0" w:color="FFC000"/>
        <w:bottom w:val="single" w:sz="8" w:space="0" w:color="FFC000"/>
      </w:tblBorders>
    </w:tblPr>
    <w:tblStylePr w:type="fir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la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cPr>
    </w:tblStylePr>
    <w:tblStylePr w:type="band1Horz">
      <w:tblPr/>
      <w:tcPr>
        <w:tcBorders>
          <w:left w:val="nil"/>
          <w:right w:val="nil"/>
          <w:insideH w:val="nil"/>
          <w:insideV w:val="nil"/>
        </w:tcBorders>
        <w:shd w:val="clear" w:color="auto" w:fill="FFEFC0"/>
      </w:tcPr>
    </w:tblStylePr>
  </w:style>
  <w:style w:type="table" w:customStyle="1" w:styleId="LightShading-Accent52">
    <w:name w:val="Light Shading - Accent 52"/>
    <w:basedOn w:val="TableNormal"/>
    <w:next w:val="LightShading-Accent5"/>
    <w:uiPriority w:val="60"/>
    <w:rsid w:val="00BF0763"/>
    <w:rPr>
      <w:rFonts w:ascii="Calibri" w:eastAsia="Times New Roman" w:hAnsi="Calibri"/>
      <w:color w:val="2E74B5"/>
      <w:sz w:val="22"/>
      <w:szCs w:val="22"/>
    </w:rPr>
    <w:tblPr>
      <w:tblStyleRowBandSize w:val="1"/>
      <w:tblStyleColBandSize w:val="1"/>
      <w:tblBorders>
        <w:top w:val="single" w:sz="8" w:space="0" w:color="5B9BD5"/>
        <w:bottom w:val="single" w:sz="8" w:space="0" w:color="5B9BD5"/>
      </w:tblBorders>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customStyle="1" w:styleId="LightShading-Accent62">
    <w:name w:val="Light Shading - Accent 62"/>
    <w:basedOn w:val="TableNormal"/>
    <w:next w:val="LightShading-Accent6"/>
    <w:uiPriority w:val="60"/>
    <w:rsid w:val="00BF0763"/>
    <w:rPr>
      <w:rFonts w:ascii="Calibri" w:eastAsia="Times New Roman" w:hAnsi="Calibri"/>
      <w:color w:val="538135"/>
      <w:sz w:val="22"/>
      <w:szCs w:val="22"/>
    </w:rPr>
    <w:tblPr>
      <w:tblStyleRowBandSize w:val="1"/>
      <w:tblStyleColBandSize w:val="1"/>
      <w:tblBorders>
        <w:top w:val="single" w:sz="8" w:space="0" w:color="70AD47"/>
        <w:bottom w:val="single" w:sz="8" w:space="0" w:color="70AD47"/>
      </w:tblBorders>
    </w:tblPr>
    <w:tblStylePr w:type="fir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la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cPr>
    </w:tblStylePr>
    <w:tblStylePr w:type="band1Horz">
      <w:tblPr/>
      <w:tcPr>
        <w:tcBorders>
          <w:left w:val="nil"/>
          <w:right w:val="nil"/>
          <w:insideH w:val="nil"/>
          <w:insideV w:val="nil"/>
        </w:tcBorders>
        <w:shd w:val="clear" w:color="auto" w:fill="DBEBD0"/>
      </w:tcPr>
    </w:tblStylePr>
  </w:style>
  <w:style w:type="table" w:customStyle="1" w:styleId="LightList2">
    <w:name w:val="Light List2"/>
    <w:basedOn w:val="TableNormal"/>
    <w:next w:val="LightList"/>
    <w:uiPriority w:val="61"/>
    <w:rsid w:val="00BF0763"/>
    <w:rPr>
      <w:rFonts w:ascii="Calibri" w:eastAsia="Times New Roman" w:hAnsi="Calibri"/>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2">
    <w:name w:val="Light List - Accent 12"/>
    <w:basedOn w:val="TableNormal"/>
    <w:next w:val="LightList-Accent1"/>
    <w:uiPriority w:val="61"/>
    <w:rsid w:val="00BF0763"/>
    <w:rPr>
      <w:rFonts w:ascii="Calibri" w:eastAsia="Times New Roman" w:hAnsi="Calibri"/>
      <w:sz w:val="22"/>
      <w:szCs w:val="22"/>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22">
    <w:name w:val="Light List - Accent 22"/>
    <w:basedOn w:val="TableNormal"/>
    <w:next w:val="LightList-Accent2"/>
    <w:uiPriority w:val="61"/>
    <w:rsid w:val="00BF0763"/>
    <w:rPr>
      <w:rFonts w:ascii="Calibri" w:eastAsia="Times New Roman" w:hAnsi="Calibri"/>
      <w:sz w:val="22"/>
      <w:szCs w:val="22"/>
    </w:rPr>
    <w:tblPr>
      <w:tblStyleRowBandSize w:val="1"/>
      <w:tblStyleColBandSize w:val="1"/>
      <w:tblBorders>
        <w:top w:val="single" w:sz="8" w:space="0" w:color="ED7D31"/>
        <w:left w:val="single" w:sz="8" w:space="0" w:color="ED7D31"/>
        <w:bottom w:val="single" w:sz="8" w:space="0" w:color="ED7D31"/>
        <w:right w:val="single" w:sz="8" w:space="0" w:color="ED7D31"/>
      </w:tblBorders>
    </w:tblPr>
    <w:tblStylePr w:type="firstRow">
      <w:pPr>
        <w:spacing w:before="0" w:after="0" w:line="240" w:lineRule="auto"/>
      </w:pPr>
      <w:rPr>
        <w:b/>
        <w:bCs/>
        <w:color w:val="FFFFFF"/>
      </w:rPr>
      <w:tblPr/>
      <w:tcPr>
        <w:shd w:val="clear" w:color="auto" w:fill="ED7D31"/>
      </w:tcPr>
    </w:tblStylePr>
    <w:tblStylePr w:type="lastRow">
      <w:pPr>
        <w:spacing w:before="0" w:after="0"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table" w:customStyle="1" w:styleId="LightList-Accent32">
    <w:name w:val="Light List - Accent 32"/>
    <w:basedOn w:val="TableNormal"/>
    <w:next w:val="LightList-Accent3"/>
    <w:uiPriority w:val="61"/>
    <w:rsid w:val="00BF0763"/>
    <w:rPr>
      <w:rFonts w:ascii="Calibri" w:eastAsia="Times New Roman" w:hAnsi="Calibri"/>
      <w:sz w:val="22"/>
      <w:szCs w:val="22"/>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0" w:after="0" w:line="240" w:lineRule="auto"/>
      </w:pPr>
      <w:rPr>
        <w:b/>
        <w:bCs/>
        <w:color w:val="FFFFFF"/>
      </w:rPr>
      <w:tblPr/>
      <w:tcPr>
        <w:shd w:val="clear" w:color="auto" w:fill="A5A5A5"/>
      </w:tcPr>
    </w:tblStylePr>
    <w:tblStylePr w:type="lastRow">
      <w:pPr>
        <w:spacing w:before="0" w:after="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LightList-Accent42">
    <w:name w:val="Light List - Accent 42"/>
    <w:basedOn w:val="TableNormal"/>
    <w:next w:val="LightList-Accent4"/>
    <w:uiPriority w:val="61"/>
    <w:rsid w:val="00BF0763"/>
    <w:rPr>
      <w:rFonts w:ascii="Calibri" w:eastAsia="Times New Roman" w:hAnsi="Calibri"/>
      <w:sz w:val="22"/>
      <w:szCs w:val="22"/>
    </w:rPr>
    <w:tblPr>
      <w:tblStyleRowBandSize w:val="1"/>
      <w:tblStyleColBandSize w:val="1"/>
      <w:tblBorders>
        <w:top w:val="single" w:sz="8" w:space="0" w:color="FFC000"/>
        <w:left w:val="single" w:sz="8" w:space="0" w:color="FFC000"/>
        <w:bottom w:val="single" w:sz="8" w:space="0" w:color="FFC000"/>
        <w:right w:val="single" w:sz="8" w:space="0" w:color="FFC000"/>
      </w:tblBorders>
    </w:tblPr>
    <w:tblStylePr w:type="firstRow">
      <w:pPr>
        <w:spacing w:before="0" w:after="0" w:line="240" w:lineRule="auto"/>
      </w:pPr>
      <w:rPr>
        <w:b/>
        <w:bCs/>
        <w:color w:val="FFFFFF"/>
      </w:rPr>
      <w:tblPr/>
      <w:tcPr>
        <w:shd w:val="clear" w:color="auto" w:fill="FFC000"/>
      </w:tcPr>
    </w:tblStylePr>
    <w:tblStylePr w:type="lastRow">
      <w:pPr>
        <w:spacing w:before="0" w:after="0" w:line="240" w:lineRule="auto"/>
      </w:pPr>
      <w:rPr>
        <w:b/>
        <w:bCs/>
      </w:rPr>
      <w:tblPr/>
      <w:tcPr>
        <w:tcBorders>
          <w:top w:val="double" w:sz="6" w:space="0" w:color="FFC000"/>
          <w:left w:val="single" w:sz="8" w:space="0" w:color="FFC000"/>
          <w:bottom w:val="single" w:sz="8" w:space="0" w:color="FFC000"/>
          <w:right w:val="single" w:sz="8" w:space="0" w:color="FFC000"/>
        </w:tcBorders>
      </w:tcPr>
    </w:tblStylePr>
    <w:tblStylePr w:type="firstCol">
      <w:rPr>
        <w:b/>
        <w:bCs/>
      </w:rPr>
    </w:tblStylePr>
    <w:tblStylePr w:type="lastCol">
      <w:rPr>
        <w:b/>
        <w:bCs/>
      </w:rPr>
    </w:tblStylePr>
    <w:tblStylePr w:type="band1Vert">
      <w:tblPr/>
      <w:tcPr>
        <w:tcBorders>
          <w:top w:val="single" w:sz="8" w:space="0" w:color="FFC000"/>
          <w:left w:val="single" w:sz="8" w:space="0" w:color="FFC000"/>
          <w:bottom w:val="single" w:sz="8" w:space="0" w:color="FFC000"/>
          <w:right w:val="single" w:sz="8" w:space="0" w:color="FFC000"/>
        </w:tcBorders>
      </w:tcPr>
    </w:tblStylePr>
    <w:tblStylePr w:type="band1Horz">
      <w:tblPr/>
      <w:tcPr>
        <w:tcBorders>
          <w:top w:val="single" w:sz="8" w:space="0" w:color="FFC000"/>
          <w:left w:val="single" w:sz="8" w:space="0" w:color="FFC000"/>
          <w:bottom w:val="single" w:sz="8" w:space="0" w:color="FFC000"/>
          <w:right w:val="single" w:sz="8" w:space="0" w:color="FFC000"/>
        </w:tcBorders>
      </w:tcPr>
    </w:tblStylePr>
  </w:style>
  <w:style w:type="table" w:customStyle="1" w:styleId="LightList-Accent52">
    <w:name w:val="Light List - Accent 52"/>
    <w:basedOn w:val="TableNormal"/>
    <w:next w:val="LightList-Accent5"/>
    <w:uiPriority w:val="61"/>
    <w:rsid w:val="00BF0763"/>
    <w:rPr>
      <w:rFonts w:ascii="Calibri" w:eastAsia="Times New Roman" w:hAnsi="Calibri"/>
      <w:sz w:val="22"/>
      <w:szCs w:val="22"/>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List-Accent62">
    <w:name w:val="Light List - Accent 62"/>
    <w:basedOn w:val="TableNormal"/>
    <w:next w:val="LightList-Accent6"/>
    <w:uiPriority w:val="61"/>
    <w:rsid w:val="00BF0763"/>
    <w:rPr>
      <w:rFonts w:ascii="Calibri" w:eastAsia="Times New Roman" w:hAnsi="Calibri"/>
      <w:sz w:val="22"/>
      <w:szCs w:val="22"/>
    </w:rPr>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pPr>
        <w:spacing w:before="0" w:after="0" w:line="240" w:lineRule="auto"/>
      </w:pPr>
      <w:rPr>
        <w:b/>
        <w:bCs/>
        <w:color w:val="FFFFFF"/>
      </w:rPr>
      <w:tblPr/>
      <w:tcPr>
        <w:shd w:val="clear" w:color="auto" w:fill="70AD47"/>
      </w:tcPr>
    </w:tblStylePr>
    <w:tblStylePr w:type="lastRow">
      <w:pPr>
        <w:spacing w:before="0" w:after="0" w:line="240" w:lineRule="auto"/>
      </w:pPr>
      <w:rPr>
        <w:b/>
        <w:bCs/>
      </w:rPr>
      <w:tblPr/>
      <w:tcPr>
        <w:tcBorders>
          <w:top w:val="double" w:sz="6" w:space="0" w:color="70AD47"/>
          <w:left w:val="single" w:sz="8" w:space="0" w:color="70AD47"/>
          <w:bottom w:val="single" w:sz="8" w:space="0" w:color="70AD47"/>
          <w:right w:val="single" w:sz="8" w:space="0" w:color="70AD47"/>
        </w:tcBorders>
      </w:tcPr>
    </w:tblStylePr>
    <w:tblStylePr w:type="firstCol">
      <w:rPr>
        <w:b/>
        <w:bCs/>
      </w:rPr>
    </w:tblStylePr>
    <w:tblStylePr w:type="lastCol">
      <w:rPr>
        <w:b/>
        <w:bCs/>
      </w:rPr>
    </w:tblStylePr>
    <w:tblStylePr w:type="band1Vert">
      <w:tblPr/>
      <w:tcPr>
        <w:tcBorders>
          <w:top w:val="single" w:sz="8" w:space="0" w:color="70AD47"/>
          <w:left w:val="single" w:sz="8" w:space="0" w:color="70AD47"/>
          <w:bottom w:val="single" w:sz="8" w:space="0" w:color="70AD47"/>
          <w:right w:val="single" w:sz="8" w:space="0" w:color="70AD47"/>
        </w:tcBorders>
      </w:tcPr>
    </w:tblStylePr>
    <w:tblStylePr w:type="band1Horz">
      <w:tblPr/>
      <w:tcPr>
        <w:tcBorders>
          <w:top w:val="single" w:sz="8" w:space="0" w:color="70AD47"/>
          <w:left w:val="single" w:sz="8" w:space="0" w:color="70AD47"/>
          <w:bottom w:val="single" w:sz="8" w:space="0" w:color="70AD47"/>
          <w:right w:val="single" w:sz="8" w:space="0" w:color="70AD47"/>
        </w:tcBorders>
      </w:tcPr>
    </w:tblStylePr>
  </w:style>
  <w:style w:type="table" w:customStyle="1" w:styleId="LightGrid2">
    <w:name w:val="Light Grid2"/>
    <w:basedOn w:val="TableNormal"/>
    <w:next w:val="LightGrid"/>
    <w:uiPriority w:val="62"/>
    <w:rsid w:val="00BF0763"/>
    <w:rPr>
      <w:rFonts w:ascii="Calibri" w:eastAsia="Times New Roman" w:hAnsi="Calibri"/>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2">
    <w:name w:val="Light Grid - Accent 12"/>
    <w:basedOn w:val="TableNormal"/>
    <w:next w:val="LightGrid-Accent1"/>
    <w:uiPriority w:val="62"/>
    <w:rsid w:val="00BF0763"/>
    <w:rPr>
      <w:rFonts w:ascii="Calibri" w:eastAsia="Times New Roman" w:hAnsi="Calibri"/>
      <w:sz w:val="22"/>
      <w:szCs w:val="22"/>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blStylePr w:type="firstRow">
      <w:pPr>
        <w:spacing w:before="0" w:after="0" w:line="240" w:lineRule="auto"/>
      </w:pPr>
      <w:rPr>
        <w:rFonts w:ascii="Calibri Light" w:eastAsia="Times New Roman" w:hAnsi="Calibri Light" w:cs="Times New Roman"/>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22">
    <w:name w:val="Light Grid - Accent 22"/>
    <w:basedOn w:val="TableNormal"/>
    <w:next w:val="LightGrid-Accent2"/>
    <w:uiPriority w:val="62"/>
    <w:rsid w:val="00BF0763"/>
    <w:rPr>
      <w:rFonts w:ascii="Calibri" w:eastAsia="Times New Roman" w:hAnsi="Calibri"/>
      <w:sz w:val="22"/>
      <w:szCs w:val="22"/>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blStylePr w:type="firstRow">
      <w:pPr>
        <w:spacing w:before="0" w:after="0" w:line="240" w:lineRule="auto"/>
      </w:pPr>
      <w:rPr>
        <w:rFonts w:ascii="Calibri Light" w:eastAsia="Times New Roman" w:hAnsi="Calibri Light" w:cs="Times New Roman"/>
        <w:b/>
        <w:bCs/>
      </w:rPr>
      <w:tblPr/>
      <w:tcPr>
        <w:tcBorders>
          <w:top w:val="single" w:sz="8" w:space="0" w:color="ED7D31"/>
          <w:left w:val="single" w:sz="8" w:space="0" w:color="ED7D31"/>
          <w:bottom w:val="single" w:sz="18" w:space="0" w:color="ED7D31"/>
          <w:right w:val="single" w:sz="8" w:space="0" w:color="ED7D31"/>
          <w:insideH w:val="nil"/>
          <w:insideV w:val="single" w:sz="8" w:space="0" w:color="ED7D31"/>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ED7D31"/>
          <w:left w:val="single" w:sz="8" w:space="0" w:color="ED7D31"/>
          <w:bottom w:val="single" w:sz="8" w:space="0" w:color="ED7D31"/>
          <w:right w:val="single" w:sz="8" w:space="0" w:color="ED7D31"/>
          <w:insideH w:val="nil"/>
          <w:insideV w:val="single" w:sz="8" w:space="0" w:color="ED7D31"/>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ED7D31"/>
          <w:left w:val="single" w:sz="8" w:space="0" w:color="ED7D31"/>
          <w:bottom w:val="single" w:sz="8" w:space="0" w:color="ED7D31"/>
          <w:right w:val="single" w:sz="8" w:space="0" w:color="ED7D31"/>
        </w:tcBorders>
      </w:tcPr>
    </w:tblStylePr>
    <w:tblStylePr w:type="band1Vert">
      <w:tblPr/>
      <w:tcPr>
        <w:tcBorders>
          <w:top w:val="single" w:sz="8" w:space="0" w:color="ED7D31"/>
          <w:left w:val="single" w:sz="8" w:space="0" w:color="ED7D31"/>
          <w:bottom w:val="single" w:sz="8" w:space="0" w:color="ED7D31"/>
          <w:right w:val="single" w:sz="8" w:space="0" w:color="ED7D31"/>
        </w:tcBorders>
        <w:shd w:val="clear" w:color="auto" w:fill="FADECB"/>
      </w:tcPr>
    </w:tblStylePr>
    <w:tblStylePr w:type="band1Horz">
      <w:tblPr/>
      <w:tcPr>
        <w:tcBorders>
          <w:top w:val="single" w:sz="8" w:space="0" w:color="ED7D31"/>
          <w:left w:val="single" w:sz="8" w:space="0" w:color="ED7D31"/>
          <w:bottom w:val="single" w:sz="8" w:space="0" w:color="ED7D31"/>
          <w:right w:val="single" w:sz="8" w:space="0" w:color="ED7D31"/>
          <w:insideV w:val="single" w:sz="8" w:space="0" w:color="ED7D31"/>
        </w:tcBorders>
        <w:shd w:val="clear" w:color="auto" w:fill="FADECB"/>
      </w:tcPr>
    </w:tblStylePr>
    <w:tblStylePr w:type="band2Horz">
      <w:tblPr/>
      <w:tcPr>
        <w:tcBorders>
          <w:top w:val="single" w:sz="8" w:space="0" w:color="ED7D31"/>
          <w:left w:val="single" w:sz="8" w:space="0" w:color="ED7D31"/>
          <w:bottom w:val="single" w:sz="8" w:space="0" w:color="ED7D31"/>
          <w:right w:val="single" w:sz="8" w:space="0" w:color="ED7D31"/>
          <w:insideV w:val="single" w:sz="8" w:space="0" w:color="ED7D31"/>
        </w:tcBorders>
      </w:tcPr>
    </w:tblStylePr>
  </w:style>
  <w:style w:type="table" w:customStyle="1" w:styleId="LightGrid-Accent32">
    <w:name w:val="Light Grid - Accent 32"/>
    <w:basedOn w:val="TableNormal"/>
    <w:next w:val="LightGrid-Accent3"/>
    <w:uiPriority w:val="62"/>
    <w:rsid w:val="00BF0763"/>
    <w:rPr>
      <w:rFonts w:ascii="Calibri" w:eastAsia="Times New Roman" w:hAnsi="Calibri"/>
      <w:sz w:val="22"/>
      <w:szCs w:val="22"/>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blStylePr w:type="firstRow">
      <w:pPr>
        <w:spacing w:before="0" w:after="0" w:line="240" w:lineRule="auto"/>
      </w:pPr>
      <w:rPr>
        <w:rFonts w:ascii="Calibri Light" w:eastAsia="Times New Roman" w:hAnsi="Calibri Light" w:cs="Times New Roman"/>
        <w:b/>
        <w:bCs/>
      </w:r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table" w:customStyle="1" w:styleId="LightGrid-Accent42">
    <w:name w:val="Light Grid - Accent 42"/>
    <w:basedOn w:val="TableNormal"/>
    <w:next w:val="LightGrid-Accent4"/>
    <w:uiPriority w:val="62"/>
    <w:rsid w:val="00BF0763"/>
    <w:rPr>
      <w:rFonts w:ascii="Calibri" w:eastAsia="Times New Roman" w:hAnsi="Calibri"/>
      <w:sz w:val="22"/>
      <w:szCs w:val="22"/>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LightGrid-Accent52">
    <w:name w:val="Light Grid - Accent 52"/>
    <w:basedOn w:val="TableNormal"/>
    <w:next w:val="LightGrid-Accent5"/>
    <w:uiPriority w:val="62"/>
    <w:rsid w:val="00BF0763"/>
    <w:rPr>
      <w:rFonts w:ascii="Calibri" w:eastAsia="Times New Roman" w:hAnsi="Calibri"/>
      <w:sz w:val="22"/>
      <w:szCs w:val="22"/>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Calibri Light" w:eastAsia="Times New Roman"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62">
    <w:name w:val="Light Grid - Accent 62"/>
    <w:basedOn w:val="TableNormal"/>
    <w:next w:val="LightGrid-Accent6"/>
    <w:uiPriority w:val="62"/>
    <w:rsid w:val="00BF0763"/>
    <w:rPr>
      <w:rFonts w:ascii="Calibri" w:eastAsia="Times New Roman" w:hAnsi="Calibri"/>
      <w:sz w:val="22"/>
      <w:szCs w:val="22"/>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blStylePr w:type="firstRow">
      <w:pPr>
        <w:spacing w:before="0" w:after="0" w:line="240" w:lineRule="auto"/>
      </w:pPr>
      <w:rPr>
        <w:rFonts w:ascii="Calibri Light" w:eastAsia="Times New Roman" w:hAnsi="Calibri Light" w:cs="Times New Roman"/>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table" w:customStyle="1" w:styleId="MediumShading12">
    <w:name w:val="Medium Shading 12"/>
    <w:basedOn w:val="TableNormal"/>
    <w:next w:val="MediumShading1"/>
    <w:uiPriority w:val="63"/>
    <w:rsid w:val="00BF0763"/>
    <w:rPr>
      <w:rFonts w:ascii="Calibri" w:eastAsia="Times New Roman" w:hAnsi="Calibri"/>
      <w:sz w:val="22"/>
      <w:szCs w:val="22"/>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12">
    <w:name w:val="Medium Shading 1 - Accent 12"/>
    <w:basedOn w:val="TableNormal"/>
    <w:next w:val="MediumShading1-Accent1"/>
    <w:uiPriority w:val="63"/>
    <w:rsid w:val="00BF0763"/>
    <w:rPr>
      <w:rFonts w:ascii="Calibri" w:eastAsia="Times New Roman" w:hAnsi="Calibri"/>
      <w:sz w:val="22"/>
      <w:szCs w:val="22"/>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tblBorders>
    </w:tblPr>
    <w:tblStylePr w:type="firstRow">
      <w:pPr>
        <w:spacing w:before="0" w:after="0" w:line="240" w:lineRule="auto"/>
      </w:pPr>
      <w:rPr>
        <w:b/>
        <w:bCs/>
        <w:color w:val="FFFFFF"/>
      </w:rPr>
      <w:tbl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0" w:after="0" w:line="240" w:lineRule="auto"/>
      </w:pPr>
      <w:rPr>
        <w:b/>
        <w:bCs/>
      </w:rPr>
      <w:tblPr/>
      <w:tcPr>
        <w:tcBorders>
          <w:top w:val="double" w:sz="6" w:space="0" w:color="7295D2"/>
          <w:left w:val="single" w:sz="8" w:space="0" w:color="7295D2"/>
          <w:bottom w:val="single" w:sz="8" w:space="0" w:color="7295D2"/>
          <w:right w:val="single" w:sz="8" w:space="0" w:color="7295D2"/>
          <w:insideH w:val="nil"/>
          <w:insideV w:val="nil"/>
        </w:tcBorders>
      </w:tcPr>
    </w:tblStylePr>
    <w:tblStylePr w:type="firstCol">
      <w:rPr>
        <w:b/>
        <w:bCs/>
      </w:rPr>
    </w:tblStylePr>
    <w:tblStylePr w:type="lastCol">
      <w:rPr>
        <w:b/>
        <w:bCs/>
      </w:rPr>
    </w:tblStylePr>
    <w:tblStylePr w:type="band1Vert">
      <w:tblPr/>
      <w:tcPr>
        <w:shd w:val="clear" w:color="auto" w:fill="D0DBF0"/>
      </w:tcPr>
    </w:tblStylePr>
    <w:tblStylePr w:type="band1Horz">
      <w:tblPr/>
      <w:tcPr>
        <w:tcBorders>
          <w:insideH w:val="nil"/>
          <w:insideV w:val="nil"/>
        </w:tcBorders>
        <w:shd w:val="clear" w:color="auto" w:fill="D0DBF0"/>
      </w:tcPr>
    </w:tblStylePr>
    <w:tblStylePr w:type="band2Horz">
      <w:tblPr/>
      <w:tcPr>
        <w:tcBorders>
          <w:insideH w:val="nil"/>
          <w:insideV w:val="nil"/>
        </w:tcBorders>
      </w:tcPr>
    </w:tblStylePr>
  </w:style>
  <w:style w:type="table" w:customStyle="1" w:styleId="MediumShading1-Accent22">
    <w:name w:val="Medium Shading 1 - Accent 22"/>
    <w:basedOn w:val="TableNormal"/>
    <w:next w:val="MediumShading1-Accent2"/>
    <w:uiPriority w:val="63"/>
    <w:rsid w:val="00BF0763"/>
    <w:rPr>
      <w:rFonts w:ascii="Calibri" w:eastAsia="Times New Roman" w:hAnsi="Calibri"/>
      <w:sz w:val="22"/>
      <w:szCs w:val="22"/>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tblBorders>
    </w:tblPr>
    <w:tblStylePr w:type="firstRow">
      <w:pPr>
        <w:spacing w:before="0" w:after="0" w:line="240" w:lineRule="auto"/>
      </w:pPr>
      <w:rPr>
        <w:b/>
        <w:bCs/>
        <w:color w:val="FFFFFF"/>
      </w:rPr>
      <w:tblPr/>
      <w:tcPr>
        <w:tcBorders>
          <w:top w:val="single" w:sz="8" w:space="0" w:color="F19D64"/>
          <w:left w:val="single" w:sz="8" w:space="0" w:color="F19D64"/>
          <w:bottom w:val="single" w:sz="8" w:space="0" w:color="F19D64"/>
          <w:right w:val="single" w:sz="8" w:space="0" w:color="F19D64"/>
          <w:insideH w:val="nil"/>
          <w:insideV w:val="nil"/>
        </w:tcBorders>
        <w:shd w:val="clear" w:color="auto" w:fill="ED7D31"/>
      </w:tcPr>
    </w:tblStylePr>
    <w:tblStylePr w:type="lastRow">
      <w:pPr>
        <w:spacing w:before="0" w:after="0" w:line="240" w:lineRule="auto"/>
      </w:pPr>
      <w:rPr>
        <w:b/>
        <w:bCs/>
      </w:rPr>
      <w:tblPr/>
      <w:tcPr>
        <w:tcBorders>
          <w:top w:val="double" w:sz="6" w:space="0" w:color="F19D64"/>
          <w:left w:val="single" w:sz="8" w:space="0" w:color="F19D64"/>
          <w:bottom w:val="single" w:sz="8" w:space="0" w:color="F19D64"/>
          <w:right w:val="single" w:sz="8" w:space="0" w:color="F19D64"/>
          <w:insideH w:val="nil"/>
          <w:insideV w:val="nil"/>
        </w:tcBorders>
      </w:tcPr>
    </w:tblStylePr>
    <w:tblStylePr w:type="firstCol">
      <w:rPr>
        <w:b/>
        <w:bCs/>
      </w:rPr>
    </w:tblStylePr>
    <w:tblStylePr w:type="lastCol">
      <w:rPr>
        <w:b/>
        <w:bCs/>
      </w:rPr>
    </w:tblStylePr>
    <w:tblStylePr w:type="band1Vert">
      <w:tblPr/>
      <w:tcPr>
        <w:shd w:val="clear" w:color="auto" w:fill="FADECB"/>
      </w:tcPr>
    </w:tblStylePr>
    <w:tblStylePr w:type="band1Horz">
      <w:tblPr/>
      <w:tcPr>
        <w:tcBorders>
          <w:insideH w:val="nil"/>
          <w:insideV w:val="nil"/>
        </w:tcBorders>
        <w:shd w:val="clear" w:color="auto" w:fill="FADECB"/>
      </w:tcPr>
    </w:tblStylePr>
    <w:tblStylePr w:type="band2Horz">
      <w:tblPr/>
      <w:tcPr>
        <w:tcBorders>
          <w:insideH w:val="nil"/>
          <w:insideV w:val="nil"/>
        </w:tcBorders>
      </w:tcPr>
    </w:tblStylePr>
  </w:style>
  <w:style w:type="table" w:customStyle="1" w:styleId="MediumShading1-Accent32">
    <w:name w:val="Medium Shading 1 - Accent 32"/>
    <w:basedOn w:val="TableNormal"/>
    <w:next w:val="MediumShading1-Accent3"/>
    <w:uiPriority w:val="63"/>
    <w:rsid w:val="00BF0763"/>
    <w:rPr>
      <w:rFonts w:ascii="Calibri" w:eastAsia="Times New Roman" w:hAnsi="Calibri"/>
      <w:sz w:val="22"/>
      <w:szCs w:val="22"/>
    </w:rPr>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tblBorders>
    </w:tblPr>
    <w:tblStylePr w:type="firstRow">
      <w:pPr>
        <w:spacing w:before="0" w:after="0" w:line="240" w:lineRule="auto"/>
      </w:pPr>
      <w:rPr>
        <w:b/>
        <w:bCs/>
        <w:color w:val="FFFFFF"/>
      </w:rPr>
      <w:tblPr/>
      <w:tcPr>
        <w:tcBorders>
          <w:top w:val="single" w:sz="8" w:space="0" w:color="BBBBBB"/>
          <w:left w:val="single" w:sz="8" w:space="0" w:color="BBBBBB"/>
          <w:bottom w:val="single" w:sz="8" w:space="0" w:color="BBBBBB"/>
          <w:right w:val="single" w:sz="8" w:space="0" w:color="BBBBBB"/>
          <w:insideH w:val="nil"/>
          <w:insideV w:val="nil"/>
        </w:tcBorders>
        <w:shd w:val="clear" w:color="auto" w:fill="A5A5A5"/>
      </w:tcPr>
    </w:tblStylePr>
    <w:tblStylePr w:type="lastRow">
      <w:pPr>
        <w:spacing w:before="0" w:after="0" w:line="240" w:lineRule="auto"/>
      </w:pPr>
      <w:rPr>
        <w:b/>
        <w:bCs/>
      </w:rPr>
      <w:tblPr/>
      <w:tcPr>
        <w:tcBorders>
          <w:top w:val="double" w:sz="6" w:space="0" w:color="BBBBBB"/>
          <w:left w:val="single" w:sz="8" w:space="0" w:color="BBBBBB"/>
          <w:bottom w:val="single" w:sz="8" w:space="0" w:color="BBBBBB"/>
          <w:right w:val="single" w:sz="8" w:space="0" w:color="BBBBBB"/>
          <w:insideH w:val="nil"/>
          <w:insideV w:val="nil"/>
        </w:tcBorders>
      </w:tcPr>
    </w:tblStylePr>
    <w:tblStylePr w:type="firstCol">
      <w:rPr>
        <w:b/>
        <w:bCs/>
      </w:rPr>
    </w:tblStylePr>
    <w:tblStylePr w:type="lastCol">
      <w:rPr>
        <w:b/>
        <w:bCs/>
      </w:rPr>
    </w:tblStylePr>
    <w:tblStylePr w:type="band1Vert">
      <w:tblPr/>
      <w:tcPr>
        <w:shd w:val="clear" w:color="auto" w:fill="E8E8E8"/>
      </w:tcPr>
    </w:tblStylePr>
    <w:tblStylePr w:type="band1Horz">
      <w:tblPr/>
      <w:tcPr>
        <w:tcBorders>
          <w:insideH w:val="nil"/>
          <w:insideV w:val="nil"/>
        </w:tcBorders>
        <w:shd w:val="clear" w:color="auto" w:fill="E8E8E8"/>
      </w:tcPr>
    </w:tblStylePr>
    <w:tblStylePr w:type="band2Horz">
      <w:tblPr/>
      <w:tcPr>
        <w:tcBorders>
          <w:insideH w:val="nil"/>
          <w:insideV w:val="nil"/>
        </w:tcBorders>
      </w:tcPr>
    </w:tblStylePr>
  </w:style>
  <w:style w:type="table" w:customStyle="1" w:styleId="MediumShading1-Accent42">
    <w:name w:val="Medium Shading 1 - Accent 42"/>
    <w:basedOn w:val="TableNormal"/>
    <w:next w:val="MediumShading1-Accent4"/>
    <w:uiPriority w:val="63"/>
    <w:rsid w:val="00BF0763"/>
    <w:rPr>
      <w:rFonts w:ascii="Calibri" w:eastAsia="Times New Roman" w:hAnsi="Calibri"/>
      <w:sz w:val="22"/>
      <w:szCs w:val="22"/>
    </w:rPr>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tblBorders>
    </w:tblPr>
    <w:tblStylePr w:type="firstRow">
      <w:pPr>
        <w:spacing w:before="0" w:after="0" w:line="240" w:lineRule="auto"/>
      </w:pPr>
      <w:rPr>
        <w:b/>
        <w:bCs/>
        <w:color w:val="FFFFFF"/>
      </w:rPr>
      <w:tblPr/>
      <w:tcPr>
        <w:tcBorders>
          <w:top w:val="single" w:sz="8" w:space="0" w:color="FFCF40"/>
          <w:left w:val="single" w:sz="8" w:space="0" w:color="FFCF40"/>
          <w:bottom w:val="single" w:sz="8" w:space="0" w:color="FFCF40"/>
          <w:right w:val="single" w:sz="8" w:space="0" w:color="FFCF40"/>
          <w:insideH w:val="nil"/>
          <w:insideV w:val="nil"/>
        </w:tcBorders>
        <w:shd w:val="clear" w:color="auto" w:fill="FFC000"/>
      </w:tcPr>
    </w:tblStylePr>
    <w:tblStylePr w:type="lastRow">
      <w:pPr>
        <w:spacing w:before="0" w:after="0" w:line="240" w:lineRule="auto"/>
      </w:pPr>
      <w:rPr>
        <w:b/>
        <w:bCs/>
      </w:rPr>
      <w:tblPr/>
      <w:tcPr>
        <w:tcBorders>
          <w:top w:val="double" w:sz="6" w:space="0" w:color="FFCF40"/>
          <w:left w:val="single" w:sz="8" w:space="0" w:color="FFCF40"/>
          <w:bottom w:val="single" w:sz="8" w:space="0" w:color="FFCF40"/>
          <w:right w:val="single" w:sz="8" w:space="0" w:color="FFCF40"/>
          <w:insideH w:val="nil"/>
          <w:insideV w:val="nil"/>
        </w:tcBorders>
      </w:tcPr>
    </w:tblStylePr>
    <w:tblStylePr w:type="firstCol">
      <w:rPr>
        <w:b/>
        <w:bCs/>
      </w:rPr>
    </w:tblStylePr>
    <w:tblStylePr w:type="lastCol">
      <w:rPr>
        <w:b/>
        <w:bCs/>
      </w:rPr>
    </w:tblStylePr>
    <w:tblStylePr w:type="band1Vert">
      <w:tblPr/>
      <w:tcPr>
        <w:shd w:val="clear" w:color="auto" w:fill="FFEFC0"/>
      </w:tcPr>
    </w:tblStylePr>
    <w:tblStylePr w:type="band1Horz">
      <w:tblPr/>
      <w:tcPr>
        <w:tcBorders>
          <w:insideH w:val="nil"/>
          <w:insideV w:val="nil"/>
        </w:tcBorders>
        <w:shd w:val="clear" w:color="auto" w:fill="FFEFC0"/>
      </w:tcPr>
    </w:tblStylePr>
    <w:tblStylePr w:type="band2Horz">
      <w:tblPr/>
      <w:tcPr>
        <w:tcBorders>
          <w:insideH w:val="nil"/>
          <w:insideV w:val="nil"/>
        </w:tcBorders>
      </w:tcPr>
    </w:tblStylePr>
  </w:style>
  <w:style w:type="table" w:customStyle="1" w:styleId="MediumShading1-Accent52">
    <w:name w:val="Medium Shading 1 - Accent 52"/>
    <w:basedOn w:val="TableNormal"/>
    <w:next w:val="MediumShading1-Accent5"/>
    <w:uiPriority w:val="63"/>
    <w:rsid w:val="00BF0763"/>
    <w:rPr>
      <w:rFonts w:ascii="Calibri" w:eastAsia="Times New Roman" w:hAnsi="Calibri"/>
      <w:sz w:val="22"/>
      <w:szCs w:val="22"/>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table" w:customStyle="1" w:styleId="MediumShading1-Accent62">
    <w:name w:val="Medium Shading 1 - Accent 62"/>
    <w:basedOn w:val="TableNormal"/>
    <w:next w:val="MediumShading1-Accent6"/>
    <w:uiPriority w:val="63"/>
    <w:rsid w:val="00BF0763"/>
    <w:rPr>
      <w:rFonts w:ascii="Calibri" w:eastAsia="Times New Roman" w:hAnsi="Calibri"/>
      <w:sz w:val="22"/>
      <w:szCs w:val="22"/>
    </w:rPr>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tblBorders>
    </w:tblPr>
    <w:tblStylePr w:type="firstRow">
      <w:pPr>
        <w:spacing w:before="0" w:after="0" w:line="240" w:lineRule="auto"/>
      </w:pPr>
      <w:rPr>
        <w:b/>
        <w:bCs/>
        <w:color w:val="FFFFFF"/>
      </w:rPr>
      <w:tblPr/>
      <w:tcPr>
        <w:tcBorders>
          <w:top w:val="single" w:sz="8" w:space="0" w:color="93C571"/>
          <w:left w:val="single" w:sz="8" w:space="0" w:color="93C571"/>
          <w:bottom w:val="single" w:sz="8" w:space="0" w:color="93C571"/>
          <w:right w:val="single" w:sz="8" w:space="0" w:color="93C571"/>
          <w:insideH w:val="nil"/>
          <w:insideV w:val="nil"/>
        </w:tcBorders>
        <w:shd w:val="clear" w:color="auto" w:fill="70AD47"/>
      </w:tcPr>
    </w:tblStylePr>
    <w:tblStylePr w:type="lastRow">
      <w:pPr>
        <w:spacing w:before="0" w:after="0" w:line="240" w:lineRule="auto"/>
      </w:pPr>
      <w:rPr>
        <w:b/>
        <w:bCs/>
      </w:rPr>
      <w:tblPr/>
      <w:tcPr>
        <w:tcBorders>
          <w:top w:val="double" w:sz="6" w:space="0" w:color="93C571"/>
          <w:left w:val="single" w:sz="8" w:space="0" w:color="93C571"/>
          <w:bottom w:val="single" w:sz="8" w:space="0" w:color="93C571"/>
          <w:right w:val="single" w:sz="8" w:space="0" w:color="93C571"/>
          <w:insideH w:val="nil"/>
          <w:insideV w:val="nil"/>
        </w:tcBorders>
      </w:tcPr>
    </w:tblStylePr>
    <w:tblStylePr w:type="firstCol">
      <w:rPr>
        <w:b/>
        <w:bCs/>
      </w:rPr>
    </w:tblStylePr>
    <w:tblStylePr w:type="lastCol">
      <w:rPr>
        <w:b/>
        <w:bCs/>
      </w:rPr>
    </w:tblStylePr>
    <w:tblStylePr w:type="band1Vert">
      <w:tblPr/>
      <w:tcPr>
        <w:shd w:val="clear" w:color="auto" w:fill="DBEBD0"/>
      </w:tcPr>
    </w:tblStylePr>
    <w:tblStylePr w:type="band1Horz">
      <w:tblPr/>
      <w:tcPr>
        <w:tcBorders>
          <w:insideH w:val="nil"/>
          <w:insideV w:val="nil"/>
        </w:tcBorders>
        <w:shd w:val="clear" w:color="auto" w:fill="DBEBD0"/>
      </w:tcPr>
    </w:tblStylePr>
    <w:tblStylePr w:type="band2Horz">
      <w:tblPr/>
      <w:tcPr>
        <w:tcBorders>
          <w:insideH w:val="nil"/>
          <w:insideV w:val="nil"/>
        </w:tcBorders>
      </w:tcPr>
    </w:tblStylePr>
  </w:style>
  <w:style w:type="table" w:customStyle="1" w:styleId="MediumShading22">
    <w:name w:val="Medium Shading 22"/>
    <w:basedOn w:val="TableNormal"/>
    <w:next w:val="MediumShading2"/>
    <w:uiPriority w:val="64"/>
    <w:rsid w:val="00BF0763"/>
    <w:rPr>
      <w:rFonts w:ascii="Calibri" w:eastAsia="Times New Roman" w:hAnsi="Calibr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2">
    <w:name w:val="Medium Shading 2 - Accent 12"/>
    <w:basedOn w:val="TableNormal"/>
    <w:next w:val="MediumShading2-Accent1"/>
    <w:uiPriority w:val="64"/>
    <w:rsid w:val="00BF0763"/>
    <w:rPr>
      <w:rFonts w:ascii="Calibri" w:eastAsia="Times New Roman" w:hAnsi="Calibr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472C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472C4"/>
      </w:tcPr>
    </w:tblStylePr>
    <w:tblStylePr w:type="lastCol">
      <w:rPr>
        <w:b/>
        <w:bCs/>
        <w:color w:val="FFFFFF"/>
      </w:rPr>
      <w:tblPr/>
      <w:tcPr>
        <w:tcBorders>
          <w:left w:val="nil"/>
          <w:right w:val="nil"/>
          <w:insideH w:val="nil"/>
          <w:insideV w:val="nil"/>
        </w:tcBorders>
        <w:shd w:val="clear" w:color="auto" w:fill="4472C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22">
    <w:name w:val="Medium Shading 2 - Accent 22"/>
    <w:basedOn w:val="TableNormal"/>
    <w:next w:val="MediumShading2-Accent2"/>
    <w:uiPriority w:val="64"/>
    <w:rsid w:val="00BF0763"/>
    <w:rPr>
      <w:rFonts w:ascii="Calibri" w:eastAsia="Times New Roman" w:hAnsi="Calibr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ED7D3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ED7D31"/>
      </w:tcPr>
    </w:tblStylePr>
    <w:tblStylePr w:type="lastCol">
      <w:rPr>
        <w:b/>
        <w:bCs/>
        <w:color w:val="FFFFFF"/>
      </w:rPr>
      <w:tblPr/>
      <w:tcPr>
        <w:tcBorders>
          <w:left w:val="nil"/>
          <w:right w:val="nil"/>
          <w:insideH w:val="nil"/>
          <w:insideV w:val="nil"/>
        </w:tcBorders>
        <w:shd w:val="clear" w:color="auto" w:fill="ED7D31"/>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2">
    <w:name w:val="Medium Shading 2 - Accent 32"/>
    <w:basedOn w:val="TableNormal"/>
    <w:next w:val="MediumShading2-Accent3"/>
    <w:uiPriority w:val="64"/>
    <w:rsid w:val="00BF0763"/>
    <w:rPr>
      <w:rFonts w:ascii="Calibri" w:eastAsia="Times New Roman" w:hAnsi="Calibr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2">
    <w:name w:val="Medium Shading 2 - Accent 42"/>
    <w:basedOn w:val="TableNormal"/>
    <w:next w:val="MediumShading2-Accent4"/>
    <w:uiPriority w:val="64"/>
    <w:rsid w:val="00BF0763"/>
    <w:rPr>
      <w:rFonts w:ascii="Calibri" w:eastAsia="Times New Roman" w:hAnsi="Calibr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FC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FC000"/>
      </w:tcPr>
    </w:tblStylePr>
    <w:tblStylePr w:type="lastCol">
      <w:rPr>
        <w:b/>
        <w:bCs/>
        <w:color w:val="FFFFFF"/>
      </w:rPr>
      <w:tblPr/>
      <w:tcPr>
        <w:tcBorders>
          <w:left w:val="nil"/>
          <w:right w:val="nil"/>
          <w:insideH w:val="nil"/>
          <w:insideV w:val="nil"/>
        </w:tcBorders>
        <w:shd w:val="clear" w:color="auto" w:fill="FFC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52">
    <w:name w:val="Medium Shading 2 - Accent 52"/>
    <w:basedOn w:val="TableNormal"/>
    <w:next w:val="MediumShading2-Accent5"/>
    <w:uiPriority w:val="64"/>
    <w:rsid w:val="00BF0763"/>
    <w:rPr>
      <w:rFonts w:ascii="Calibri" w:eastAsia="Times New Roman" w:hAnsi="Calibr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62">
    <w:name w:val="Medium Shading 2 - Accent 62"/>
    <w:basedOn w:val="TableNormal"/>
    <w:next w:val="MediumShading2-Accent6"/>
    <w:uiPriority w:val="64"/>
    <w:rsid w:val="00BF0763"/>
    <w:rPr>
      <w:rFonts w:ascii="Calibri" w:eastAsia="Times New Roman" w:hAnsi="Calibr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70AD47"/>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70AD47"/>
      </w:tcPr>
    </w:tblStylePr>
    <w:tblStylePr w:type="lastCol">
      <w:rPr>
        <w:b/>
        <w:bCs/>
        <w:color w:val="FFFFFF"/>
      </w:rPr>
      <w:tblPr/>
      <w:tcPr>
        <w:tcBorders>
          <w:left w:val="nil"/>
          <w:right w:val="nil"/>
          <w:insideH w:val="nil"/>
          <w:insideV w:val="nil"/>
        </w:tcBorders>
        <w:shd w:val="clear" w:color="auto" w:fill="70AD4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List12">
    <w:name w:val="Medium List 12"/>
    <w:basedOn w:val="TableNormal"/>
    <w:next w:val="MediumList1"/>
    <w:uiPriority w:val="65"/>
    <w:rsid w:val="00BF0763"/>
    <w:rPr>
      <w:rFonts w:ascii="Calibri" w:eastAsia="Times New Roman" w:hAnsi="Calibri"/>
      <w:color w:val="000000"/>
      <w:sz w:val="22"/>
      <w:szCs w:val="22"/>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44546A"/>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2">
    <w:name w:val="Medium List 1 - Accent 12"/>
    <w:basedOn w:val="TableNormal"/>
    <w:next w:val="MediumList1-Accent1"/>
    <w:uiPriority w:val="65"/>
    <w:rsid w:val="00BF0763"/>
    <w:rPr>
      <w:rFonts w:ascii="Calibri" w:eastAsia="Times New Roman" w:hAnsi="Calibri"/>
      <w:color w:val="000000"/>
      <w:sz w:val="22"/>
      <w:szCs w:val="22"/>
    </w:rPr>
    <w:tblPr>
      <w:tblStyleRowBandSize w:val="1"/>
      <w:tblStyleColBandSize w:val="1"/>
      <w:tblBorders>
        <w:top w:val="single" w:sz="8" w:space="0" w:color="4472C4"/>
        <w:bottom w:val="single" w:sz="8" w:space="0" w:color="4472C4"/>
      </w:tblBorders>
    </w:tblPr>
    <w:tblStylePr w:type="firstRow">
      <w:rPr>
        <w:rFonts w:ascii="Calibri Light" w:eastAsia="Times New Roman" w:hAnsi="Calibri Light" w:cs="Times New Roman"/>
      </w:rPr>
      <w:tblPr/>
      <w:tcPr>
        <w:tcBorders>
          <w:top w:val="nil"/>
          <w:bottom w:val="single" w:sz="8" w:space="0" w:color="4472C4"/>
        </w:tcBorders>
      </w:tcPr>
    </w:tblStylePr>
    <w:tblStylePr w:type="lastRow">
      <w:rPr>
        <w:b/>
        <w:bCs/>
        <w:color w:val="44546A"/>
      </w:rPr>
      <w:tblPr/>
      <w:tcPr>
        <w:tcBorders>
          <w:top w:val="single" w:sz="8" w:space="0" w:color="4472C4"/>
          <w:bottom w:val="single" w:sz="8" w:space="0" w:color="4472C4"/>
        </w:tcBorders>
      </w:tcPr>
    </w:tblStylePr>
    <w:tblStylePr w:type="firstCol">
      <w:rPr>
        <w:b/>
        <w:bCs/>
      </w:rPr>
    </w:tblStylePr>
    <w:tblStylePr w:type="lastCol">
      <w:rPr>
        <w:b/>
        <w:bCs/>
      </w:rPr>
      <w:tblPr/>
      <w:tcPr>
        <w:tcBorders>
          <w:top w:val="single" w:sz="8" w:space="0" w:color="4472C4"/>
          <w:bottom w:val="single" w:sz="8" w:space="0" w:color="4472C4"/>
        </w:tcBorders>
      </w:tcPr>
    </w:tblStylePr>
    <w:tblStylePr w:type="band1Vert">
      <w:tblPr/>
      <w:tcPr>
        <w:shd w:val="clear" w:color="auto" w:fill="D0DBF0"/>
      </w:tcPr>
    </w:tblStylePr>
    <w:tblStylePr w:type="band1Horz">
      <w:tblPr/>
      <w:tcPr>
        <w:shd w:val="clear" w:color="auto" w:fill="D0DBF0"/>
      </w:tcPr>
    </w:tblStylePr>
  </w:style>
  <w:style w:type="table" w:customStyle="1" w:styleId="MediumList1-Accent22">
    <w:name w:val="Medium List 1 - Accent 22"/>
    <w:basedOn w:val="TableNormal"/>
    <w:next w:val="MediumList1-Accent2"/>
    <w:uiPriority w:val="65"/>
    <w:rsid w:val="00BF0763"/>
    <w:rPr>
      <w:rFonts w:ascii="Calibri" w:eastAsia="Times New Roman" w:hAnsi="Calibri"/>
      <w:color w:val="000000"/>
      <w:sz w:val="22"/>
      <w:szCs w:val="22"/>
    </w:rPr>
    <w:tblPr>
      <w:tblStyleRowBandSize w:val="1"/>
      <w:tblStyleColBandSize w:val="1"/>
      <w:tblBorders>
        <w:top w:val="single" w:sz="8" w:space="0" w:color="ED7D31"/>
        <w:bottom w:val="single" w:sz="8" w:space="0" w:color="ED7D31"/>
      </w:tblBorders>
    </w:tblPr>
    <w:tblStylePr w:type="firstRow">
      <w:rPr>
        <w:rFonts w:ascii="Calibri Light" w:eastAsia="Times New Roman" w:hAnsi="Calibri Light" w:cs="Times New Roman"/>
      </w:rPr>
      <w:tblPr/>
      <w:tcPr>
        <w:tcBorders>
          <w:top w:val="nil"/>
          <w:bottom w:val="single" w:sz="8" w:space="0" w:color="ED7D31"/>
        </w:tcBorders>
      </w:tcPr>
    </w:tblStylePr>
    <w:tblStylePr w:type="lastRow">
      <w:rPr>
        <w:b/>
        <w:bCs/>
        <w:color w:val="44546A"/>
      </w:rPr>
      <w:tblPr/>
      <w:tcPr>
        <w:tcBorders>
          <w:top w:val="single" w:sz="8" w:space="0" w:color="ED7D31"/>
          <w:bottom w:val="single" w:sz="8" w:space="0" w:color="ED7D31"/>
        </w:tcBorders>
      </w:tcPr>
    </w:tblStylePr>
    <w:tblStylePr w:type="firstCol">
      <w:rPr>
        <w:b/>
        <w:bCs/>
      </w:rPr>
    </w:tblStylePr>
    <w:tblStylePr w:type="lastCol">
      <w:rPr>
        <w:b/>
        <w:bCs/>
      </w:rPr>
      <w:tblPr/>
      <w:tcPr>
        <w:tcBorders>
          <w:top w:val="single" w:sz="8" w:space="0" w:color="ED7D31"/>
          <w:bottom w:val="single" w:sz="8" w:space="0" w:color="ED7D31"/>
        </w:tcBorders>
      </w:tcPr>
    </w:tblStylePr>
    <w:tblStylePr w:type="band1Vert">
      <w:tblPr/>
      <w:tcPr>
        <w:shd w:val="clear" w:color="auto" w:fill="FADECB"/>
      </w:tcPr>
    </w:tblStylePr>
    <w:tblStylePr w:type="band1Horz">
      <w:tblPr/>
      <w:tcPr>
        <w:shd w:val="clear" w:color="auto" w:fill="FADECB"/>
      </w:tcPr>
    </w:tblStylePr>
  </w:style>
  <w:style w:type="table" w:customStyle="1" w:styleId="MediumList1-Accent32">
    <w:name w:val="Medium List 1 - Accent 32"/>
    <w:basedOn w:val="TableNormal"/>
    <w:next w:val="MediumList1-Accent3"/>
    <w:uiPriority w:val="65"/>
    <w:rsid w:val="00BF0763"/>
    <w:rPr>
      <w:rFonts w:ascii="Calibri" w:eastAsia="Times New Roman" w:hAnsi="Calibri"/>
      <w:color w:val="000000"/>
      <w:sz w:val="22"/>
      <w:szCs w:val="22"/>
    </w:rPr>
    <w:tblPr>
      <w:tblStyleRowBandSize w:val="1"/>
      <w:tblStyleColBandSize w:val="1"/>
      <w:tblBorders>
        <w:top w:val="single" w:sz="8" w:space="0" w:color="A5A5A5"/>
        <w:bottom w:val="single" w:sz="8" w:space="0" w:color="A5A5A5"/>
      </w:tblBorders>
    </w:tblPr>
    <w:tblStylePr w:type="firstRow">
      <w:rPr>
        <w:rFonts w:ascii="Calibri Light" w:eastAsia="Times New Roman" w:hAnsi="Calibri Light" w:cs="Times New Roman"/>
      </w:rPr>
      <w:tblPr/>
      <w:tcPr>
        <w:tcBorders>
          <w:top w:val="nil"/>
          <w:bottom w:val="single" w:sz="8" w:space="0" w:color="A5A5A5"/>
        </w:tcBorders>
      </w:tcPr>
    </w:tblStylePr>
    <w:tblStylePr w:type="lastRow">
      <w:rPr>
        <w:b/>
        <w:bCs/>
        <w:color w:val="44546A"/>
      </w:rPr>
      <w:tblPr/>
      <w:tcPr>
        <w:tcBorders>
          <w:top w:val="single" w:sz="8" w:space="0" w:color="A5A5A5"/>
          <w:bottom w:val="single" w:sz="8" w:space="0" w:color="A5A5A5"/>
        </w:tcBorders>
      </w:tcPr>
    </w:tblStylePr>
    <w:tblStylePr w:type="firstCol">
      <w:rPr>
        <w:b/>
        <w:bCs/>
      </w:rPr>
    </w:tblStylePr>
    <w:tblStylePr w:type="lastCol">
      <w:rPr>
        <w:b/>
        <w:bCs/>
      </w:rPr>
      <w:tblPr/>
      <w:tcPr>
        <w:tcBorders>
          <w:top w:val="single" w:sz="8" w:space="0" w:color="A5A5A5"/>
          <w:bottom w:val="single" w:sz="8" w:space="0" w:color="A5A5A5"/>
        </w:tcBorders>
      </w:tcPr>
    </w:tblStylePr>
    <w:tblStylePr w:type="band1Vert">
      <w:tblPr/>
      <w:tcPr>
        <w:shd w:val="clear" w:color="auto" w:fill="E8E8E8"/>
      </w:tcPr>
    </w:tblStylePr>
    <w:tblStylePr w:type="band1Horz">
      <w:tblPr/>
      <w:tcPr>
        <w:shd w:val="clear" w:color="auto" w:fill="E8E8E8"/>
      </w:tcPr>
    </w:tblStylePr>
  </w:style>
  <w:style w:type="table" w:customStyle="1" w:styleId="MediumList1-Accent42">
    <w:name w:val="Medium List 1 - Accent 42"/>
    <w:basedOn w:val="TableNormal"/>
    <w:next w:val="MediumList1-Accent4"/>
    <w:uiPriority w:val="65"/>
    <w:rsid w:val="00BF0763"/>
    <w:rPr>
      <w:rFonts w:ascii="Calibri" w:eastAsia="Times New Roman" w:hAnsi="Calibri"/>
      <w:color w:val="000000"/>
      <w:sz w:val="22"/>
      <w:szCs w:val="22"/>
    </w:rPr>
    <w:tblPr>
      <w:tblStyleRowBandSize w:val="1"/>
      <w:tblStyleColBandSize w:val="1"/>
      <w:tblBorders>
        <w:top w:val="single" w:sz="8" w:space="0" w:color="FFC000"/>
        <w:bottom w:val="single" w:sz="8" w:space="0" w:color="FFC000"/>
      </w:tblBorders>
    </w:tblPr>
    <w:tblStylePr w:type="firstRow">
      <w:rPr>
        <w:rFonts w:ascii="Calibri Light" w:eastAsia="Times New Roman" w:hAnsi="Calibri Light" w:cs="Times New Roman"/>
      </w:rPr>
      <w:tblPr/>
      <w:tcPr>
        <w:tcBorders>
          <w:top w:val="nil"/>
          <w:bottom w:val="single" w:sz="8" w:space="0" w:color="FFC000"/>
        </w:tcBorders>
      </w:tcPr>
    </w:tblStylePr>
    <w:tblStylePr w:type="lastRow">
      <w:rPr>
        <w:b/>
        <w:bCs/>
        <w:color w:val="44546A"/>
      </w:rPr>
      <w:tblPr/>
      <w:tcPr>
        <w:tcBorders>
          <w:top w:val="single" w:sz="8" w:space="0" w:color="FFC000"/>
          <w:bottom w:val="single" w:sz="8" w:space="0" w:color="FFC000"/>
        </w:tcBorders>
      </w:tcPr>
    </w:tblStylePr>
    <w:tblStylePr w:type="firstCol">
      <w:rPr>
        <w:b/>
        <w:bCs/>
      </w:rPr>
    </w:tblStylePr>
    <w:tblStylePr w:type="lastCol">
      <w:rPr>
        <w:b/>
        <w:bCs/>
      </w:rPr>
      <w:tblPr/>
      <w:tcPr>
        <w:tcBorders>
          <w:top w:val="single" w:sz="8" w:space="0" w:color="FFC000"/>
          <w:bottom w:val="single" w:sz="8" w:space="0" w:color="FFC000"/>
        </w:tcBorders>
      </w:tcPr>
    </w:tblStylePr>
    <w:tblStylePr w:type="band1Vert">
      <w:tblPr/>
      <w:tcPr>
        <w:shd w:val="clear" w:color="auto" w:fill="FFEFC0"/>
      </w:tcPr>
    </w:tblStylePr>
    <w:tblStylePr w:type="band1Horz">
      <w:tblPr/>
      <w:tcPr>
        <w:shd w:val="clear" w:color="auto" w:fill="FFEFC0"/>
      </w:tcPr>
    </w:tblStylePr>
  </w:style>
  <w:style w:type="table" w:customStyle="1" w:styleId="MediumList1-Accent52">
    <w:name w:val="Medium List 1 - Accent 52"/>
    <w:basedOn w:val="TableNormal"/>
    <w:next w:val="MediumList1-Accent5"/>
    <w:uiPriority w:val="65"/>
    <w:rsid w:val="00BF0763"/>
    <w:rPr>
      <w:rFonts w:ascii="Calibri" w:eastAsia="Times New Roman" w:hAnsi="Calibri"/>
      <w:color w:val="000000"/>
      <w:sz w:val="22"/>
      <w:szCs w:val="22"/>
    </w:rPr>
    <w:tblPr>
      <w:tblStyleRowBandSize w:val="1"/>
      <w:tblStyleColBandSize w:val="1"/>
      <w:tblBorders>
        <w:top w:val="single" w:sz="8" w:space="0" w:color="5B9BD5"/>
        <w:bottom w:val="single" w:sz="8" w:space="0" w:color="5B9BD5"/>
      </w:tblBorders>
    </w:tblPr>
    <w:tblStylePr w:type="firstRow">
      <w:rPr>
        <w:rFonts w:ascii="Calibri Light" w:eastAsia="Times New Roman" w:hAnsi="Calibri Light" w:cs="Times New Roman"/>
      </w:rPr>
      <w:tblPr/>
      <w:tcPr>
        <w:tcBorders>
          <w:top w:val="nil"/>
          <w:bottom w:val="single" w:sz="8" w:space="0" w:color="5B9BD5"/>
        </w:tcBorders>
      </w:tcPr>
    </w:tblStylePr>
    <w:tblStylePr w:type="lastRow">
      <w:rPr>
        <w:b/>
        <w:bCs/>
        <w:color w:val="44546A"/>
      </w:rPr>
      <w:tblPr/>
      <w:tcPr>
        <w:tcBorders>
          <w:top w:val="single" w:sz="8" w:space="0" w:color="5B9BD5"/>
          <w:bottom w:val="single" w:sz="8" w:space="0" w:color="5B9BD5"/>
        </w:tcBorders>
      </w:tcPr>
    </w:tblStylePr>
    <w:tblStylePr w:type="firstCol">
      <w:rPr>
        <w:b/>
        <w:bCs/>
      </w:rPr>
    </w:tblStylePr>
    <w:tblStylePr w:type="lastCol">
      <w:rPr>
        <w:b/>
        <w:bCs/>
      </w:rPr>
      <w:tblPr/>
      <w:tcPr>
        <w:tcBorders>
          <w:top w:val="single" w:sz="8" w:space="0" w:color="5B9BD5"/>
          <w:bottom w:val="single" w:sz="8" w:space="0" w:color="5B9BD5"/>
        </w:tcBorders>
      </w:tcPr>
    </w:tblStylePr>
    <w:tblStylePr w:type="band1Vert">
      <w:tblPr/>
      <w:tcPr>
        <w:shd w:val="clear" w:color="auto" w:fill="D6E6F4"/>
      </w:tcPr>
    </w:tblStylePr>
    <w:tblStylePr w:type="band1Horz">
      <w:tblPr/>
      <w:tcPr>
        <w:shd w:val="clear" w:color="auto" w:fill="D6E6F4"/>
      </w:tcPr>
    </w:tblStylePr>
  </w:style>
  <w:style w:type="table" w:customStyle="1" w:styleId="MediumList1-Accent62">
    <w:name w:val="Medium List 1 - Accent 62"/>
    <w:basedOn w:val="TableNormal"/>
    <w:next w:val="MediumList1-Accent6"/>
    <w:uiPriority w:val="65"/>
    <w:rsid w:val="00BF0763"/>
    <w:rPr>
      <w:rFonts w:ascii="Calibri" w:eastAsia="Times New Roman" w:hAnsi="Calibri"/>
      <w:color w:val="000000"/>
      <w:sz w:val="22"/>
      <w:szCs w:val="22"/>
    </w:rPr>
    <w:tblPr>
      <w:tblStyleRowBandSize w:val="1"/>
      <w:tblStyleColBandSize w:val="1"/>
      <w:tblBorders>
        <w:top w:val="single" w:sz="8" w:space="0" w:color="70AD47"/>
        <w:bottom w:val="single" w:sz="8" w:space="0" w:color="70AD47"/>
      </w:tblBorders>
    </w:tblPr>
    <w:tblStylePr w:type="firstRow">
      <w:rPr>
        <w:rFonts w:ascii="Calibri Light" w:eastAsia="Times New Roman" w:hAnsi="Calibri Light" w:cs="Times New Roman"/>
      </w:rPr>
      <w:tblPr/>
      <w:tcPr>
        <w:tcBorders>
          <w:top w:val="nil"/>
          <w:bottom w:val="single" w:sz="8" w:space="0" w:color="70AD47"/>
        </w:tcBorders>
      </w:tcPr>
    </w:tblStylePr>
    <w:tblStylePr w:type="lastRow">
      <w:rPr>
        <w:b/>
        <w:bCs/>
        <w:color w:val="44546A"/>
      </w:rPr>
      <w:tblPr/>
      <w:tcPr>
        <w:tcBorders>
          <w:top w:val="single" w:sz="8" w:space="0" w:color="70AD47"/>
          <w:bottom w:val="single" w:sz="8" w:space="0" w:color="70AD47"/>
        </w:tcBorders>
      </w:tcPr>
    </w:tblStylePr>
    <w:tblStylePr w:type="firstCol">
      <w:rPr>
        <w:b/>
        <w:bCs/>
      </w:rPr>
    </w:tblStylePr>
    <w:tblStylePr w:type="lastCol">
      <w:rPr>
        <w:b/>
        <w:bCs/>
      </w:rPr>
      <w:tblPr/>
      <w:tcPr>
        <w:tcBorders>
          <w:top w:val="single" w:sz="8" w:space="0" w:color="70AD47"/>
          <w:bottom w:val="single" w:sz="8" w:space="0" w:color="70AD47"/>
        </w:tcBorders>
      </w:tcPr>
    </w:tblStylePr>
    <w:tblStylePr w:type="band1Vert">
      <w:tblPr/>
      <w:tcPr>
        <w:shd w:val="clear" w:color="auto" w:fill="DBEBD0"/>
      </w:tcPr>
    </w:tblStylePr>
    <w:tblStylePr w:type="band1Horz">
      <w:tblPr/>
      <w:tcPr>
        <w:shd w:val="clear" w:color="auto" w:fill="DBEBD0"/>
      </w:tcPr>
    </w:tblStylePr>
  </w:style>
  <w:style w:type="table" w:customStyle="1" w:styleId="MediumList22">
    <w:name w:val="Medium List 22"/>
    <w:basedOn w:val="TableNormal"/>
    <w:next w:val="MediumList2"/>
    <w:uiPriority w:val="66"/>
    <w:rsid w:val="00BF0763"/>
    <w:rPr>
      <w:rFonts w:ascii="Calibri Light" w:eastAsia="Times New Roman" w:hAnsi="Calibri Light"/>
      <w:color w:val="000000"/>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MediumList2-Accent12">
    <w:name w:val="Medium List 2 - Accent 12"/>
    <w:basedOn w:val="TableNormal"/>
    <w:next w:val="MediumList2-Accent1"/>
    <w:uiPriority w:val="66"/>
    <w:rsid w:val="00BF0763"/>
    <w:rPr>
      <w:rFonts w:ascii="Calibri Light" w:eastAsia="Times New Roman" w:hAnsi="Calibri Light"/>
      <w:color w:val="000000"/>
      <w:sz w:val="22"/>
      <w:szCs w:val="22"/>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rPr>
        <w:sz w:val="24"/>
        <w:szCs w:val="24"/>
      </w:rPr>
      <w:tblPr/>
      <w:tcPr>
        <w:tcBorders>
          <w:top w:val="nil"/>
          <w:left w:val="nil"/>
          <w:bottom w:val="single" w:sz="24" w:space="0" w:color="4472C4"/>
          <w:right w:val="nil"/>
          <w:insideH w:val="nil"/>
          <w:insideV w:val="nil"/>
        </w:tcBorders>
        <w:shd w:val="clear" w:color="auto" w:fill="FFFFFF"/>
      </w:tcPr>
    </w:tblStylePr>
    <w:tblStylePr w:type="lastRow">
      <w:tblPr/>
      <w:tcPr>
        <w:tcBorders>
          <w:top w:val="single" w:sz="8" w:space="0" w:color="4472C4"/>
          <w:left w:val="nil"/>
          <w:bottom w:val="nil"/>
          <w:right w:val="nil"/>
          <w:insideH w:val="nil"/>
          <w:insideV w:val="nil"/>
        </w:tcBorders>
        <w:shd w:val="clear" w:color="auto" w:fill="FFFFFF"/>
      </w:tcPr>
    </w:tblStylePr>
    <w:tblStylePr w:type="firstCol">
      <w:tblPr/>
      <w:tcPr>
        <w:tcBorders>
          <w:top w:val="nil"/>
          <w:left w:val="nil"/>
          <w:bottom w:val="nil"/>
          <w:right w:val="single" w:sz="8" w:space="0" w:color="4472C4"/>
          <w:insideH w:val="nil"/>
          <w:insideV w:val="nil"/>
        </w:tcBorders>
        <w:shd w:val="clear" w:color="auto" w:fill="FFFFFF"/>
      </w:tcPr>
    </w:tblStylePr>
    <w:tblStylePr w:type="lastCol">
      <w:tblPr/>
      <w:tcPr>
        <w:tcBorders>
          <w:top w:val="nil"/>
          <w:left w:val="single" w:sz="8" w:space="0" w:color="4472C4"/>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0DBF0"/>
      </w:tcPr>
    </w:tblStylePr>
    <w:tblStylePr w:type="band1Horz">
      <w:tblPr/>
      <w:tcPr>
        <w:tcBorders>
          <w:top w:val="nil"/>
          <w:bottom w:val="nil"/>
          <w:insideH w:val="nil"/>
          <w:insideV w:val="nil"/>
        </w:tcBorders>
        <w:shd w:val="clear" w:color="auto" w:fill="D0DBF0"/>
      </w:tcPr>
    </w:tblStylePr>
    <w:tblStylePr w:type="nwCell">
      <w:tblPr/>
      <w:tcPr>
        <w:shd w:val="clear" w:color="auto" w:fill="FFFFFF"/>
      </w:tcPr>
    </w:tblStylePr>
    <w:tblStylePr w:type="swCell">
      <w:tblPr/>
      <w:tcPr>
        <w:tcBorders>
          <w:top w:val="nil"/>
        </w:tcBorders>
      </w:tcPr>
    </w:tblStylePr>
  </w:style>
  <w:style w:type="table" w:customStyle="1" w:styleId="MediumList2-Accent22">
    <w:name w:val="Medium List 2 - Accent 22"/>
    <w:basedOn w:val="TableNormal"/>
    <w:next w:val="MediumList2-Accent2"/>
    <w:uiPriority w:val="66"/>
    <w:rsid w:val="00BF0763"/>
    <w:rPr>
      <w:rFonts w:ascii="Calibri Light" w:eastAsia="Times New Roman" w:hAnsi="Calibri Light"/>
      <w:color w:val="000000"/>
      <w:sz w:val="22"/>
      <w:szCs w:val="22"/>
    </w:rPr>
    <w:tblPr>
      <w:tblStyleRowBandSize w:val="1"/>
      <w:tblStyleColBandSize w:val="1"/>
      <w:tblBorders>
        <w:top w:val="single" w:sz="8" w:space="0" w:color="ED7D31"/>
        <w:left w:val="single" w:sz="8" w:space="0" w:color="ED7D31"/>
        <w:bottom w:val="single" w:sz="8" w:space="0" w:color="ED7D31"/>
        <w:right w:val="single" w:sz="8" w:space="0" w:color="ED7D31"/>
      </w:tblBorders>
    </w:tblPr>
    <w:tblStylePr w:type="firstRow">
      <w:rPr>
        <w:sz w:val="24"/>
        <w:szCs w:val="24"/>
      </w:rPr>
      <w:tblPr/>
      <w:tcPr>
        <w:tcBorders>
          <w:top w:val="nil"/>
          <w:left w:val="nil"/>
          <w:bottom w:val="single" w:sz="24" w:space="0" w:color="ED7D31"/>
          <w:right w:val="nil"/>
          <w:insideH w:val="nil"/>
          <w:insideV w:val="nil"/>
        </w:tcBorders>
        <w:shd w:val="clear" w:color="auto" w:fill="FFFFFF"/>
      </w:tcPr>
    </w:tblStylePr>
    <w:tblStylePr w:type="lastRow">
      <w:tblPr/>
      <w:tcPr>
        <w:tcBorders>
          <w:top w:val="single" w:sz="8" w:space="0" w:color="ED7D31"/>
          <w:left w:val="nil"/>
          <w:bottom w:val="nil"/>
          <w:right w:val="nil"/>
          <w:insideH w:val="nil"/>
          <w:insideV w:val="nil"/>
        </w:tcBorders>
        <w:shd w:val="clear" w:color="auto" w:fill="FFFFFF"/>
      </w:tcPr>
    </w:tblStylePr>
    <w:tblStylePr w:type="firstCol">
      <w:tblPr/>
      <w:tcPr>
        <w:tcBorders>
          <w:top w:val="nil"/>
          <w:left w:val="nil"/>
          <w:bottom w:val="nil"/>
          <w:right w:val="single" w:sz="8" w:space="0" w:color="ED7D31"/>
          <w:insideH w:val="nil"/>
          <w:insideV w:val="nil"/>
        </w:tcBorders>
        <w:shd w:val="clear" w:color="auto" w:fill="FFFFFF"/>
      </w:tcPr>
    </w:tblStylePr>
    <w:tblStylePr w:type="lastCol">
      <w:tblPr/>
      <w:tcPr>
        <w:tcBorders>
          <w:top w:val="nil"/>
          <w:left w:val="single" w:sz="8" w:space="0" w:color="ED7D31"/>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ADECB"/>
      </w:tcPr>
    </w:tblStylePr>
    <w:tblStylePr w:type="band1Horz">
      <w:tblPr/>
      <w:tcPr>
        <w:tcBorders>
          <w:top w:val="nil"/>
          <w:bottom w:val="nil"/>
          <w:insideH w:val="nil"/>
          <w:insideV w:val="nil"/>
        </w:tcBorders>
        <w:shd w:val="clear" w:color="auto" w:fill="FADECB"/>
      </w:tcPr>
    </w:tblStylePr>
    <w:tblStylePr w:type="nwCell">
      <w:tblPr/>
      <w:tcPr>
        <w:shd w:val="clear" w:color="auto" w:fill="FFFFFF"/>
      </w:tcPr>
    </w:tblStylePr>
    <w:tblStylePr w:type="swCell">
      <w:tblPr/>
      <w:tcPr>
        <w:tcBorders>
          <w:top w:val="nil"/>
        </w:tcBorders>
      </w:tcPr>
    </w:tblStylePr>
  </w:style>
  <w:style w:type="table" w:customStyle="1" w:styleId="MediumList2-Accent32">
    <w:name w:val="Medium List 2 - Accent 32"/>
    <w:basedOn w:val="TableNormal"/>
    <w:next w:val="MediumList2-Accent3"/>
    <w:uiPriority w:val="66"/>
    <w:rsid w:val="00BF0763"/>
    <w:rPr>
      <w:rFonts w:ascii="Calibri Light" w:eastAsia="Times New Roman" w:hAnsi="Calibri Light"/>
      <w:color w:val="000000"/>
      <w:sz w:val="22"/>
      <w:szCs w:val="22"/>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rPr>
        <w:sz w:val="24"/>
        <w:szCs w:val="24"/>
      </w:rPr>
      <w:tblPr/>
      <w:tcPr>
        <w:tcBorders>
          <w:top w:val="nil"/>
          <w:left w:val="nil"/>
          <w:bottom w:val="single" w:sz="24" w:space="0" w:color="A5A5A5"/>
          <w:right w:val="nil"/>
          <w:insideH w:val="nil"/>
          <w:insideV w:val="nil"/>
        </w:tcBorders>
        <w:shd w:val="clear" w:color="auto" w:fill="FFFFFF"/>
      </w:tcPr>
    </w:tblStylePr>
    <w:tblStylePr w:type="lastRow">
      <w:tblPr/>
      <w:tcPr>
        <w:tcBorders>
          <w:top w:val="single" w:sz="8" w:space="0" w:color="A5A5A5"/>
          <w:left w:val="nil"/>
          <w:bottom w:val="nil"/>
          <w:right w:val="nil"/>
          <w:insideH w:val="nil"/>
          <w:insideV w:val="nil"/>
        </w:tcBorders>
        <w:shd w:val="clear" w:color="auto" w:fill="FFFFFF"/>
      </w:tcPr>
    </w:tblStylePr>
    <w:tblStylePr w:type="firstCol">
      <w:tblPr/>
      <w:tcPr>
        <w:tcBorders>
          <w:top w:val="nil"/>
          <w:left w:val="nil"/>
          <w:bottom w:val="nil"/>
          <w:right w:val="single" w:sz="8" w:space="0" w:color="A5A5A5"/>
          <w:insideH w:val="nil"/>
          <w:insideV w:val="nil"/>
        </w:tcBorders>
        <w:shd w:val="clear" w:color="auto" w:fill="FFFFFF"/>
      </w:tcPr>
    </w:tblStylePr>
    <w:tblStylePr w:type="lastCol">
      <w:tblPr/>
      <w:tcPr>
        <w:tcBorders>
          <w:top w:val="nil"/>
          <w:left w:val="single" w:sz="8" w:space="0" w:color="A5A5A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8E8E8"/>
      </w:tcPr>
    </w:tblStylePr>
    <w:tblStylePr w:type="band1Horz">
      <w:tblPr/>
      <w:tcPr>
        <w:tcBorders>
          <w:top w:val="nil"/>
          <w:bottom w:val="nil"/>
          <w:insideH w:val="nil"/>
          <w:insideV w:val="nil"/>
        </w:tcBorders>
        <w:shd w:val="clear" w:color="auto" w:fill="E8E8E8"/>
      </w:tcPr>
    </w:tblStylePr>
    <w:tblStylePr w:type="nwCell">
      <w:tblPr/>
      <w:tcPr>
        <w:shd w:val="clear" w:color="auto" w:fill="FFFFFF"/>
      </w:tcPr>
    </w:tblStylePr>
    <w:tblStylePr w:type="swCell">
      <w:tblPr/>
      <w:tcPr>
        <w:tcBorders>
          <w:top w:val="nil"/>
        </w:tcBorders>
      </w:tcPr>
    </w:tblStylePr>
  </w:style>
  <w:style w:type="table" w:customStyle="1" w:styleId="MediumList2-Accent42">
    <w:name w:val="Medium List 2 - Accent 42"/>
    <w:basedOn w:val="TableNormal"/>
    <w:next w:val="MediumList2-Accent4"/>
    <w:uiPriority w:val="66"/>
    <w:rsid w:val="00BF0763"/>
    <w:rPr>
      <w:rFonts w:ascii="Calibri Light" w:eastAsia="Times New Roman" w:hAnsi="Calibri Light"/>
      <w:color w:val="000000"/>
      <w:sz w:val="22"/>
      <w:szCs w:val="22"/>
    </w:rPr>
    <w:tblPr>
      <w:tblStyleRowBandSize w:val="1"/>
      <w:tblStyleColBandSize w:val="1"/>
      <w:tblBorders>
        <w:top w:val="single" w:sz="8" w:space="0" w:color="FFC000"/>
        <w:left w:val="single" w:sz="8" w:space="0" w:color="FFC000"/>
        <w:bottom w:val="single" w:sz="8" w:space="0" w:color="FFC000"/>
        <w:right w:val="single" w:sz="8" w:space="0" w:color="FFC000"/>
      </w:tblBorders>
    </w:tblPr>
    <w:tblStylePr w:type="firstRow">
      <w:rPr>
        <w:sz w:val="24"/>
        <w:szCs w:val="24"/>
      </w:rPr>
      <w:tblPr/>
      <w:tcPr>
        <w:tcBorders>
          <w:top w:val="nil"/>
          <w:left w:val="nil"/>
          <w:bottom w:val="single" w:sz="24" w:space="0" w:color="FFC000"/>
          <w:right w:val="nil"/>
          <w:insideH w:val="nil"/>
          <w:insideV w:val="nil"/>
        </w:tcBorders>
        <w:shd w:val="clear" w:color="auto" w:fill="FFFFFF"/>
      </w:tcPr>
    </w:tblStylePr>
    <w:tblStylePr w:type="lastRow">
      <w:tblPr/>
      <w:tcPr>
        <w:tcBorders>
          <w:top w:val="single" w:sz="8" w:space="0" w:color="FFC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FFC000"/>
          <w:insideH w:val="nil"/>
          <w:insideV w:val="nil"/>
        </w:tcBorders>
        <w:shd w:val="clear" w:color="auto" w:fill="FFFFFF"/>
      </w:tcPr>
    </w:tblStylePr>
    <w:tblStylePr w:type="lastCol">
      <w:tblPr/>
      <w:tcPr>
        <w:tcBorders>
          <w:top w:val="nil"/>
          <w:left w:val="single" w:sz="8" w:space="0" w:color="FFC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FEFC0"/>
      </w:tcPr>
    </w:tblStylePr>
    <w:tblStylePr w:type="band1Horz">
      <w:tblPr/>
      <w:tcPr>
        <w:tcBorders>
          <w:top w:val="nil"/>
          <w:bottom w:val="nil"/>
          <w:insideH w:val="nil"/>
          <w:insideV w:val="nil"/>
        </w:tcBorders>
        <w:shd w:val="clear" w:color="auto" w:fill="FFEFC0"/>
      </w:tcPr>
    </w:tblStylePr>
    <w:tblStylePr w:type="nwCell">
      <w:tblPr/>
      <w:tcPr>
        <w:shd w:val="clear" w:color="auto" w:fill="FFFFFF"/>
      </w:tcPr>
    </w:tblStylePr>
    <w:tblStylePr w:type="swCell">
      <w:tblPr/>
      <w:tcPr>
        <w:tcBorders>
          <w:top w:val="nil"/>
        </w:tcBorders>
      </w:tcPr>
    </w:tblStylePr>
  </w:style>
  <w:style w:type="table" w:customStyle="1" w:styleId="MediumList2-Accent52">
    <w:name w:val="Medium List 2 - Accent 52"/>
    <w:basedOn w:val="TableNormal"/>
    <w:next w:val="MediumList2-Accent5"/>
    <w:uiPriority w:val="66"/>
    <w:rsid w:val="00BF0763"/>
    <w:rPr>
      <w:rFonts w:ascii="Calibri Light" w:eastAsia="Times New Roman" w:hAnsi="Calibri Light"/>
      <w:color w:val="000000"/>
      <w:sz w:val="22"/>
      <w:szCs w:val="22"/>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rPr>
        <w:sz w:val="24"/>
        <w:szCs w:val="24"/>
      </w:rPr>
      <w:tblPr/>
      <w:tcPr>
        <w:tcBorders>
          <w:top w:val="nil"/>
          <w:left w:val="nil"/>
          <w:bottom w:val="single" w:sz="24" w:space="0" w:color="5B9BD5"/>
          <w:right w:val="nil"/>
          <w:insideH w:val="nil"/>
          <w:insideV w:val="nil"/>
        </w:tcBorders>
        <w:shd w:val="clear" w:color="auto" w:fill="FFFFFF"/>
      </w:tcPr>
    </w:tblStylePr>
    <w:tblStylePr w:type="lastRow">
      <w:tblPr/>
      <w:tcPr>
        <w:tcBorders>
          <w:top w:val="single" w:sz="8" w:space="0" w:color="5B9BD5"/>
          <w:left w:val="nil"/>
          <w:bottom w:val="nil"/>
          <w:right w:val="nil"/>
          <w:insideH w:val="nil"/>
          <w:insideV w:val="nil"/>
        </w:tcBorders>
        <w:shd w:val="clear" w:color="auto" w:fill="FFFFFF"/>
      </w:tcPr>
    </w:tblStylePr>
    <w:tblStylePr w:type="firstCol">
      <w:tblPr/>
      <w:tcPr>
        <w:tcBorders>
          <w:top w:val="nil"/>
          <w:left w:val="nil"/>
          <w:bottom w:val="nil"/>
          <w:right w:val="single" w:sz="8" w:space="0" w:color="5B9BD5"/>
          <w:insideH w:val="nil"/>
          <w:insideV w:val="nil"/>
        </w:tcBorders>
        <w:shd w:val="clear" w:color="auto" w:fill="FFFFFF"/>
      </w:tcPr>
    </w:tblStylePr>
    <w:tblStylePr w:type="lastCol">
      <w:tblPr/>
      <w:tcPr>
        <w:tcBorders>
          <w:top w:val="nil"/>
          <w:left w:val="single" w:sz="8" w:space="0" w:color="5B9BD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6E6F4"/>
      </w:tcPr>
    </w:tblStylePr>
    <w:tblStylePr w:type="band1Horz">
      <w:tblPr/>
      <w:tcPr>
        <w:tcBorders>
          <w:top w:val="nil"/>
          <w:bottom w:val="nil"/>
          <w:insideH w:val="nil"/>
          <w:insideV w:val="nil"/>
        </w:tcBorders>
        <w:shd w:val="clear" w:color="auto" w:fill="D6E6F4"/>
      </w:tcPr>
    </w:tblStylePr>
    <w:tblStylePr w:type="nwCell">
      <w:tblPr/>
      <w:tcPr>
        <w:shd w:val="clear" w:color="auto" w:fill="FFFFFF"/>
      </w:tcPr>
    </w:tblStylePr>
    <w:tblStylePr w:type="swCell">
      <w:tblPr/>
      <w:tcPr>
        <w:tcBorders>
          <w:top w:val="nil"/>
        </w:tcBorders>
      </w:tcPr>
    </w:tblStylePr>
  </w:style>
  <w:style w:type="table" w:customStyle="1" w:styleId="MediumList2-Accent62">
    <w:name w:val="Medium List 2 - Accent 62"/>
    <w:basedOn w:val="TableNormal"/>
    <w:next w:val="MediumList2-Accent6"/>
    <w:uiPriority w:val="66"/>
    <w:rsid w:val="00BF0763"/>
    <w:rPr>
      <w:rFonts w:ascii="Calibri Light" w:eastAsia="Times New Roman" w:hAnsi="Calibri Light"/>
      <w:color w:val="000000"/>
      <w:sz w:val="22"/>
      <w:szCs w:val="22"/>
    </w:rPr>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rPr>
        <w:sz w:val="24"/>
        <w:szCs w:val="24"/>
      </w:rPr>
      <w:tblPr/>
      <w:tcPr>
        <w:tcBorders>
          <w:top w:val="nil"/>
          <w:left w:val="nil"/>
          <w:bottom w:val="single" w:sz="24" w:space="0" w:color="70AD47"/>
          <w:right w:val="nil"/>
          <w:insideH w:val="nil"/>
          <w:insideV w:val="nil"/>
        </w:tcBorders>
        <w:shd w:val="clear" w:color="auto" w:fill="FFFFFF"/>
      </w:tcPr>
    </w:tblStylePr>
    <w:tblStylePr w:type="lastRow">
      <w:tblPr/>
      <w:tcPr>
        <w:tcBorders>
          <w:top w:val="single" w:sz="8" w:space="0" w:color="70AD47"/>
          <w:left w:val="nil"/>
          <w:bottom w:val="nil"/>
          <w:right w:val="nil"/>
          <w:insideH w:val="nil"/>
          <w:insideV w:val="nil"/>
        </w:tcBorders>
        <w:shd w:val="clear" w:color="auto" w:fill="FFFFFF"/>
      </w:tcPr>
    </w:tblStylePr>
    <w:tblStylePr w:type="firstCol">
      <w:tblPr/>
      <w:tcPr>
        <w:tcBorders>
          <w:top w:val="nil"/>
          <w:left w:val="nil"/>
          <w:bottom w:val="nil"/>
          <w:right w:val="single" w:sz="8" w:space="0" w:color="70AD47"/>
          <w:insideH w:val="nil"/>
          <w:insideV w:val="nil"/>
        </w:tcBorders>
        <w:shd w:val="clear" w:color="auto" w:fill="FFFFFF"/>
      </w:tcPr>
    </w:tblStylePr>
    <w:tblStylePr w:type="lastCol">
      <w:tblPr/>
      <w:tcPr>
        <w:tcBorders>
          <w:top w:val="nil"/>
          <w:left w:val="single" w:sz="8" w:space="0" w:color="70AD47"/>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BEBD0"/>
      </w:tcPr>
    </w:tblStylePr>
    <w:tblStylePr w:type="band1Horz">
      <w:tblPr/>
      <w:tcPr>
        <w:tcBorders>
          <w:top w:val="nil"/>
          <w:bottom w:val="nil"/>
          <w:insideH w:val="nil"/>
          <w:insideV w:val="nil"/>
        </w:tcBorders>
        <w:shd w:val="clear" w:color="auto" w:fill="DBEBD0"/>
      </w:tcPr>
    </w:tblStylePr>
    <w:tblStylePr w:type="nwCell">
      <w:tblPr/>
      <w:tcPr>
        <w:shd w:val="clear" w:color="auto" w:fill="FFFFFF"/>
      </w:tcPr>
    </w:tblStylePr>
    <w:tblStylePr w:type="swCell">
      <w:tblPr/>
      <w:tcPr>
        <w:tcBorders>
          <w:top w:val="nil"/>
        </w:tcBorders>
      </w:tcPr>
    </w:tblStylePr>
  </w:style>
  <w:style w:type="table" w:customStyle="1" w:styleId="MediumGrid12">
    <w:name w:val="Medium Grid 12"/>
    <w:basedOn w:val="TableNormal"/>
    <w:next w:val="MediumGrid1"/>
    <w:uiPriority w:val="67"/>
    <w:rsid w:val="00BF0763"/>
    <w:rPr>
      <w:rFonts w:ascii="Calibri" w:eastAsia="Times New Roman" w:hAnsi="Calibri"/>
      <w:sz w:val="22"/>
      <w:szCs w:val="22"/>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Grid1-Accent12">
    <w:name w:val="Medium Grid 1 - Accent 12"/>
    <w:basedOn w:val="TableNormal"/>
    <w:next w:val="MediumGrid1-Accent1"/>
    <w:uiPriority w:val="67"/>
    <w:rsid w:val="00BF0763"/>
    <w:rPr>
      <w:rFonts w:ascii="Calibri" w:eastAsia="Times New Roman" w:hAnsi="Calibri"/>
      <w:sz w:val="22"/>
      <w:szCs w:val="22"/>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insideV w:val="single" w:sz="8" w:space="0" w:color="7295D2"/>
      </w:tblBorders>
    </w:tblPr>
    <w:tcPr>
      <w:shd w:val="clear" w:color="auto" w:fill="D0DBF0"/>
    </w:tcPr>
    <w:tblStylePr w:type="firstRow">
      <w:rPr>
        <w:b/>
        <w:bCs/>
      </w:rPr>
    </w:tblStylePr>
    <w:tblStylePr w:type="lastRow">
      <w:rPr>
        <w:b/>
        <w:bCs/>
      </w:rPr>
      <w:tblPr/>
      <w:tcPr>
        <w:tcBorders>
          <w:top w:val="single" w:sz="18" w:space="0" w:color="7295D2"/>
        </w:tcBorders>
      </w:tcPr>
    </w:tblStylePr>
    <w:tblStylePr w:type="firstCol">
      <w:rPr>
        <w:b/>
        <w:bCs/>
      </w:rPr>
    </w:tblStylePr>
    <w:tblStylePr w:type="lastCol">
      <w:rPr>
        <w:b/>
        <w:bCs/>
      </w:rPr>
    </w:tblStylePr>
    <w:tblStylePr w:type="band1Vert">
      <w:tblPr/>
      <w:tcPr>
        <w:shd w:val="clear" w:color="auto" w:fill="A1B8E1"/>
      </w:tcPr>
    </w:tblStylePr>
    <w:tblStylePr w:type="band1Horz">
      <w:tblPr/>
      <w:tcPr>
        <w:shd w:val="clear" w:color="auto" w:fill="A1B8E1"/>
      </w:tcPr>
    </w:tblStylePr>
  </w:style>
  <w:style w:type="table" w:customStyle="1" w:styleId="MediumGrid1-Accent22">
    <w:name w:val="Medium Grid 1 - Accent 22"/>
    <w:basedOn w:val="TableNormal"/>
    <w:next w:val="MediumGrid1-Accent2"/>
    <w:uiPriority w:val="67"/>
    <w:rsid w:val="00BF0763"/>
    <w:rPr>
      <w:rFonts w:ascii="Calibri" w:eastAsia="Times New Roman" w:hAnsi="Calibri"/>
      <w:sz w:val="22"/>
      <w:szCs w:val="22"/>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Pr>
    <w:tcPr>
      <w:shd w:val="clear" w:color="auto" w:fill="FADECB"/>
    </w:tcPr>
    <w:tblStylePr w:type="firstRow">
      <w:rPr>
        <w:b/>
        <w:bCs/>
      </w:rPr>
    </w:tblStylePr>
    <w:tblStylePr w:type="lastRow">
      <w:rPr>
        <w:b/>
        <w:bCs/>
      </w:rPr>
      <w:tblPr/>
      <w:tcPr>
        <w:tcBorders>
          <w:top w:val="single" w:sz="18" w:space="0" w:color="F19D64"/>
        </w:tcBorders>
      </w:tcPr>
    </w:tblStylePr>
    <w:tblStylePr w:type="firstCol">
      <w:rPr>
        <w:b/>
        <w:bCs/>
      </w:rPr>
    </w:tblStylePr>
    <w:tblStylePr w:type="lastCol">
      <w:rPr>
        <w:b/>
        <w:bCs/>
      </w:rPr>
    </w:tblStylePr>
    <w:tblStylePr w:type="band1Vert">
      <w:tblPr/>
      <w:tcPr>
        <w:shd w:val="clear" w:color="auto" w:fill="F6BE98"/>
      </w:tcPr>
    </w:tblStylePr>
    <w:tblStylePr w:type="band1Horz">
      <w:tblPr/>
      <w:tcPr>
        <w:shd w:val="clear" w:color="auto" w:fill="F6BE98"/>
      </w:tcPr>
    </w:tblStylePr>
  </w:style>
  <w:style w:type="table" w:customStyle="1" w:styleId="MediumGrid1-Accent32">
    <w:name w:val="Medium Grid 1 - Accent 32"/>
    <w:basedOn w:val="TableNormal"/>
    <w:next w:val="MediumGrid1-Accent3"/>
    <w:uiPriority w:val="67"/>
    <w:rsid w:val="00BF0763"/>
    <w:rPr>
      <w:rFonts w:ascii="Calibri" w:eastAsia="Times New Roman" w:hAnsi="Calibri"/>
      <w:sz w:val="22"/>
      <w:szCs w:val="22"/>
    </w:rPr>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MediumGrid1-Accent42">
    <w:name w:val="Medium Grid 1 - Accent 42"/>
    <w:basedOn w:val="TableNormal"/>
    <w:next w:val="MediumGrid1-Accent4"/>
    <w:uiPriority w:val="67"/>
    <w:rsid w:val="00BF0763"/>
    <w:rPr>
      <w:rFonts w:ascii="Calibri" w:eastAsia="Times New Roman" w:hAnsi="Calibri"/>
      <w:sz w:val="22"/>
      <w:szCs w:val="22"/>
    </w:rPr>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insideV w:val="single" w:sz="8" w:space="0" w:color="FFCF40"/>
      </w:tblBorders>
    </w:tblPr>
    <w:tcPr>
      <w:shd w:val="clear" w:color="auto" w:fill="FFEFC0"/>
    </w:tcPr>
    <w:tblStylePr w:type="firstRow">
      <w:rPr>
        <w:b/>
        <w:bCs/>
      </w:rPr>
    </w:tblStylePr>
    <w:tblStylePr w:type="lastRow">
      <w:rPr>
        <w:b/>
        <w:bCs/>
      </w:rPr>
      <w:tblPr/>
      <w:tcPr>
        <w:tcBorders>
          <w:top w:val="single" w:sz="18" w:space="0" w:color="FFCF40"/>
        </w:tcBorders>
      </w:tcPr>
    </w:tblStylePr>
    <w:tblStylePr w:type="firstCol">
      <w:rPr>
        <w:b/>
        <w:bCs/>
      </w:rPr>
    </w:tblStylePr>
    <w:tblStylePr w:type="lastCol">
      <w:rPr>
        <w:b/>
        <w:bCs/>
      </w:rPr>
    </w:tblStylePr>
    <w:tblStylePr w:type="band1Vert">
      <w:tblPr/>
      <w:tcPr>
        <w:shd w:val="clear" w:color="auto" w:fill="FFDF80"/>
      </w:tcPr>
    </w:tblStylePr>
    <w:tblStylePr w:type="band1Horz">
      <w:tblPr/>
      <w:tcPr>
        <w:shd w:val="clear" w:color="auto" w:fill="FFDF80"/>
      </w:tcPr>
    </w:tblStylePr>
  </w:style>
  <w:style w:type="table" w:customStyle="1" w:styleId="MediumGrid1-Accent52">
    <w:name w:val="Medium Grid 1 - Accent 52"/>
    <w:basedOn w:val="TableNormal"/>
    <w:next w:val="MediumGrid1-Accent5"/>
    <w:uiPriority w:val="67"/>
    <w:rsid w:val="00BF0763"/>
    <w:rPr>
      <w:rFonts w:ascii="Calibri" w:eastAsia="Times New Roman" w:hAnsi="Calibri"/>
      <w:sz w:val="22"/>
      <w:szCs w:val="22"/>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MediumGrid1-Accent62">
    <w:name w:val="Medium Grid 1 - Accent 62"/>
    <w:basedOn w:val="TableNormal"/>
    <w:next w:val="MediumGrid1-Accent6"/>
    <w:uiPriority w:val="67"/>
    <w:rsid w:val="00BF0763"/>
    <w:rPr>
      <w:rFonts w:ascii="Calibri" w:eastAsia="Times New Roman" w:hAnsi="Calibri"/>
      <w:sz w:val="22"/>
      <w:szCs w:val="22"/>
    </w:rPr>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insideV w:val="single" w:sz="8" w:space="0" w:color="93C571"/>
      </w:tblBorders>
    </w:tblPr>
    <w:tcPr>
      <w:shd w:val="clear" w:color="auto" w:fill="DBEBD0"/>
    </w:tcPr>
    <w:tblStylePr w:type="firstRow">
      <w:rPr>
        <w:b/>
        <w:bCs/>
      </w:rPr>
    </w:tblStylePr>
    <w:tblStylePr w:type="lastRow">
      <w:rPr>
        <w:b/>
        <w:bCs/>
      </w:rPr>
      <w:tblPr/>
      <w:tcPr>
        <w:tcBorders>
          <w:top w:val="single" w:sz="18" w:space="0" w:color="93C571"/>
        </w:tcBorders>
      </w:tcPr>
    </w:tblStylePr>
    <w:tblStylePr w:type="firstCol">
      <w:rPr>
        <w:b/>
        <w:bCs/>
      </w:rPr>
    </w:tblStylePr>
    <w:tblStylePr w:type="lastCol">
      <w:rPr>
        <w:b/>
        <w:bCs/>
      </w:rPr>
    </w:tblStylePr>
    <w:tblStylePr w:type="band1Vert">
      <w:tblPr/>
      <w:tcPr>
        <w:shd w:val="clear" w:color="auto" w:fill="B7D8A0"/>
      </w:tcPr>
    </w:tblStylePr>
    <w:tblStylePr w:type="band1Horz">
      <w:tblPr/>
      <w:tcPr>
        <w:shd w:val="clear" w:color="auto" w:fill="B7D8A0"/>
      </w:tcPr>
    </w:tblStylePr>
  </w:style>
  <w:style w:type="table" w:customStyle="1" w:styleId="MediumGrid22">
    <w:name w:val="Medium Grid 22"/>
    <w:basedOn w:val="TableNormal"/>
    <w:next w:val="MediumGrid2"/>
    <w:uiPriority w:val="68"/>
    <w:rsid w:val="00BF0763"/>
    <w:rPr>
      <w:rFonts w:ascii="Calibri Light" w:eastAsia="Times New Roman" w:hAnsi="Calibri Light"/>
      <w:color w:val="000000"/>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MediumGrid2-Accent12">
    <w:name w:val="Medium Grid 2 - Accent 12"/>
    <w:basedOn w:val="TableNormal"/>
    <w:next w:val="MediumGrid2-Accent1"/>
    <w:uiPriority w:val="68"/>
    <w:rsid w:val="00BF0763"/>
    <w:rPr>
      <w:rFonts w:ascii="Calibri Light" w:eastAsia="Times New Roman" w:hAnsi="Calibri Light"/>
      <w:color w:val="000000"/>
      <w:sz w:val="22"/>
      <w:szCs w:val="22"/>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customStyle="1" w:styleId="MediumGrid2-Accent22">
    <w:name w:val="Medium Grid 2 - Accent 22"/>
    <w:basedOn w:val="TableNormal"/>
    <w:next w:val="MediumGrid2-Accent2"/>
    <w:uiPriority w:val="68"/>
    <w:rsid w:val="00BF0763"/>
    <w:rPr>
      <w:rFonts w:ascii="Calibri Light" w:eastAsia="Times New Roman" w:hAnsi="Calibri Light"/>
      <w:color w:val="000000"/>
      <w:sz w:val="22"/>
      <w:szCs w:val="22"/>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cPr>
      <w:shd w:val="clear" w:color="auto" w:fill="FADECB"/>
    </w:tcPr>
    <w:tblStylePr w:type="firstRow">
      <w:rPr>
        <w:b/>
        <w:bCs/>
        <w:color w:val="000000"/>
      </w:rPr>
      <w:tblPr/>
      <w:tcPr>
        <w:shd w:val="clear" w:color="auto" w:fill="FDF2EA"/>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BE4D5"/>
      </w:tcPr>
    </w:tblStylePr>
    <w:tblStylePr w:type="band1Vert">
      <w:tblPr/>
      <w:tcPr>
        <w:shd w:val="clear" w:color="auto" w:fill="F6BE98"/>
      </w:tcPr>
    </w:tblStylePr>
    <w:tblStylePr w:type="band1Horz">
      <w:tblPr/>
      <w:tcPr>
        <w:tcBorders>
          <w:insideH w:val="single" w:sz="6" w:space="0" w:color="ED7D31"/>
          <w:insideV w:val="single" w:sz="6" w:space="0" w:color="ED7D31"/>
        </w:tcBorders>
        <w:shd w:val="clear" w:color="auto" w:fill="F6BE98"/>
      </w:tcPr>
    </w:tblStylePr>
    <w:tblStylePr w:type="nwCell">
      <w:tblPr/>
      <w:tcPr>
        <w:shd w:val="clear" w:color="auto" w:fill="FFFFFF"/>
      </w:tcPr>
    </w:tblStylePr>
  </w:style>
  <w:style w:type="table" w:customStyle="1" w:styleId="MediumGrid2-Accent32">
    <w:name w:val="Medium Grid 2 - Accent 32"/>
    <w:basedOn w:val="TableNormal"/>
    <w:next w:val="MediumGrid2-Accent3"/>
    <w:uiPriority w:val="68"/>
    <w:rsid w:val="00BF0763"/>
    <w:rPr>
      <w:rFonts w:ascii="Calibri Light" w:eastAsia="Times New Roman" w:hAnsi="Calibri Light"/>
      <w:color w:val="000000"/>
      <w:sz w:val="22"/>
      <w:szCs w:val="22"/>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cPr>
      <w:shd w:val="clear" w:color="auto" w:fill="E8E8E8"/>
    </w:tcPr>
    <w:tblStylePr w:type="firstRow">
      <w:rPr>
        <w:b/>
        <w:bCs/>
        <w:color w:val="000000"/>
      </w:rPr>
      <w:tblPr/>
      <w:tcPr>
        <w:shd w:val="clear" w:color="auto" w:fill="F6F6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DEDED"/>
      </w:tcPr>
    </w:tblStylePr>
    <w:tblStylePr w:type="band1Vert">
      <w:tblPr/>
      <w:tcPr>
        <w:shd w:val="clear" w:color="auto" w:fill="D2D2D2"/>
      </w:tcPr>
    </w:tblStylePr>
    <w:tblStylePr w:type="band1Horz">
      <w:tblPr/>
      <w:tcPr>
        <w:tcBorders>
          <w:insideH w:val="single" w:sz="6" w:space="0" w:color="A5A5A5"/>
          <w:insideV w:val="single" w:sz="6" w:space="0" w:color="A5A5A5"/>
        </w:tcBorders>
        <w:shd w:val="clear" w:color="auto" w:fill="D2D2D2"/>
      </w:tcPr>
    </w:tblStylePr>
    <w:tblStylePr w:type="nwCell">
      <w:tblPr/>
      <w:tcPr>
        <w:shd w:val="clear" w:color="auto" w:fill="FFFFFF"/>
      </w:tcPr>
    </w:tblStylePr>
  </w:style>
  <w:style w:type="table" w:customStyle="1" w:styleId="MediumGrid2-Accent42">
    <w:name w:val="Medium Grid 2 - Accent 42"/>
    <w:basedOn w:val="TableNormal"/>
    <w:next w:val="MediumGrid2-Accent4"/>
    <w:uiPriority w:val="68"/>
    <w:rsid w:val="00BF0763"/>
    <w:rPr>
      <w:rFonts w:ascii="Calibri Light" w:eastAsia="Times New Roman" w:hAnsi="Calibri Light"/>
      <w:color w:val="000000"/>
      <w:sz w:val="22"/>
      <w:szCs w:val="22"/>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cPr>
      <w:shd w:val="clear" w:color="auto" w:fill="FFEFC0"/>
    </w:tcPr>
    <w:tblStylePr w:type="firstRow">
      <w:rPr>
        <w:b/>
        <w:bCs/>
        <w:color w:val="000000"/>
      </w:rPr>
      <w:tblPr/>
      <w:tcPr>
        <w:shd w:val="clear" w:color="auto" w:fill="FFF8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FF2CC"/>
      </w:tcPr>
    </w:tblStylePr>
    <w:tblStylePr w:type="band1Vert">
      <w:tblPr/>
      <w:tcPr>
        <w:shd w:val="clear" w:color="auto" w:fill="FFDF80"/>
      </w:tcPr>
    </w:tblStylePr>
    <w:tblStylePr w:type="band1Horz">
      <w:tblPr/>
      <w:tcPr>
        <w:tcBorders>
          <w:insideH w:val="single" w:sz="6" w:space="0" w:color="FFC000"/>
          <w:insideV w:val="single" w:sz="6" w:space="0" w:color="FFC000"/>
        </w:tcBorders>
        <w:shd w:val="clear" w:color="auto" w:fill="FFDF80"/>
      </w:tcPr>
    </w:tblStylePr>
    <w:tblStylePr w:type="nwCell">
      <w:tblPr/>
      <w:tcPr>
        <w:shd w:val="clear" w:color="auto" w:fill="FFFFFF"/>
      </w:tcPr>
    </w:tblStylePr>
  </w:style>
  <w:style w:type="table" w:customStyle="1" w:styleId="MediumGrid2-Accent52">
    <w:name w:val="Medium Grid 2 - Accent 52"/>
    <w:basedOn w:val="TableNormal"/>
    <w:next w:val="MediumGrid2-Accent5"/>
    <w:uiPriority w:val="68"/>
    <w:rsid w:val="00BF0763"/>
    <w:rPr>
      <w:rFonts w:ascii="Calibri Light" w:eastAsia="Times New Roman" w:hAnsi="Calibri Light"/>
      <w:color w:val="000000"/>
      <w:sz w:val="22"/>
      <w:szCs w:val="22"/>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cPr>
      <w:shd w:val="clear" w:color="auto" w:fill="D6E6F4"/>
    </w:tcPr>
    <w:tblStylePr w:type="firstRow">
      <w:rPr>
        <w:b/>
        <w:bCs/>
        <w:color w:val="000000"/>
      </w:rPr>
      <w:tblPr/>
      <w:tcPr>
        <w:shd w:val="clear" w:color="auto" w:fill="EEF5FB"/>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EEAF6"/>
      </w:tcPr>
    </w:tblStylePr>
    <w:tblStylePr w:type="band1Vert">
      <w:tblPr/>
      <w:tcPr>
        <w:shd w:val="clear" w:color="auto" w:fill="ADCCEA"/>
      </w:tcPr>
    </w:tblStylePr>
    <w:tblStylePr w:type="band1Horz">
      <w:tblPr/>
      <w:tcPr>
        <w:tcBorders>
          <w:insideH w:val="single" w:sz="6" w:space="0" w:color="5B9BD5"/>
          <w:insideV w:val="single" w:sz="6" w:space="0" w:color="5B9BD5"/>
        </w:tcBorders>
        <w:shd w:val="clear" w:color="auto" w:fill="ADCCEA"/>
      </w:tcPr>
    </w:tblStylePr>
    <w:tblStylePr w:type="nwCell">
      <w:tblPr/>
      <w:tcPr>
        <w:shd w:val="clear" w:color="auto" w:fill="FFFFFF"/>
      </w:tcPr>
    </w:tblStylePr>
  </w:style>
  <w:style w:type="table" w:customStyle="1" w:styleId="MediumGrid2-Accent62">
    <w:name w:val="Medium Grid 2 - Accent 62"/>
    <w:basedOn w:val="TableNormal"/>
    <w:next w:val="MediumGrid2-Accent6"/>
    <w:uiPriority w:val="68"/>
    <w:rsid w:val="00BF0763"/>
    <w:rPr>
      <w:rFonts w:ascii="Calibri Light" w:eastAsia="Times New Roman" w:hAnsi="Calibri Light"/>
      <w:color w:val="000000"/>
      <w:sz w:val="22"/>
      <w:szCs w:val="22"/>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cPr>
      <w:shd w:val="clear" w:color="auto" w:fill="DBEBD0"/>
    </w:tcPr>
    <w:tblStylePr w:type="firstRow">
      <w:rPr>
        <w:b/>
        <w:bCs/>
        <w:color w:val="000000"/>
      </w:rPr>
      <w:tblPr/>
      <w:tcPr>
        <w:shd w:val="clear" w:color="auto" w:fill="F0F7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2EFD9"/>
      </w:tcPr>
    </w:tblStylePr>
    <w:tblStylePr w:type="band1Vert">
      <w:tblPr/>
      <w:tcPr>
        <w:shd w:val="clear" w:color="auto" w:fill="B7D8A0"/>
      </w:tcPr>
    </w:tblStylePr>
    <w:tblStylePr w:type="band1Horz">
      <w:tblPr/>
      <w:tcPr>
        <w:tcBorders>
          <w:insideH w:val="single" w:sz="6" w:space="0" w:color="70AD47"/>
          <w:insideV w:val="single" w:sz="6" w:space="0" w:color="70AD47"/>
        </w:tcBorders>
        <w:shd w:val="clear" w:color="auto" w:fill="B7D8A0"/>
      </w:tcPr>
    </w:tblStylePr>
    <w:tblStylePr w:type="nwCell">
      <w:tblPr/>
      <w:tcPr>
        <w:shd w:val="clear" w:color="auto" w:fill="FFFFFF"/>
      </w:tcPr>
    </w:tblStylePr>
  </w:style>
  <w:style w:type="table" w:customStyle="1" w:styleId="MediumGrid32">
    <w:name w:val="Medium Grid 32"/>
    <w:basedOn w:val="TableNormal"/>
    <w:next w:val="MediumGrid3"/>
    <w:uiPriority w:val="69"/>
    <w:rsid w:val="00BF0763"/>
    <w:rPr>
      <w:rFonts w:ascii="Calibri" w:eastAsia="Times New Roman" w:hAnsi="Calibri"/>
      <w:sz w:val="22"/>
      <w:szCs w:val="22"/>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MediumGrid3-Accent12">
    <w:name w:val="Medium Grid 3 - Accent 12"/>
    <w:basedOn w:val="TableNormal"/>
    <w:next w:val="MediumGrid3-Accent1"/>
    <w:uiPriority w:val="69"/>
    <w:rsid w:val="00BF0763"/>
    <w:rPr>
      <w:rFonts w:ascii="Calibri" w:eastAsia="Times New Roman" w:hAnsi="Calibri"/>
      <w:sz w:val="22"/>
      <w:szCs w:val="22"/>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0DBF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472C4"/>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472C4"/>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472C4"/>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472C4"/>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1B8E1"/>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1B8E1"/>
      </w:tcPr>
    </w:tblStylePr>
  </w:style>
  <w:style w:type="table" w:customStyle="1" w:styleId="MediumGrid3-Accent22">
    <w:name w:val="Medium Grid 3 - Accent 22"/>
    <w:basedOn w:val="TableNormal"/>
    <w:next w:val="MediumGrid3-Accent2"/>
    <w:uiPriority w:val="69"/>
    <w:rsid w:val="00BF0763"/>
    <w:rPr>
      <w:rFonts w:ascii="Calibri" w:eastAsia="Times New Roman" w:hAnsi="Calibri"/>
      <w:sz w:val="22"/>
      <w:szCs w:val="22"/>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ADECB"/>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ED7D31"/>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ED7D31"/>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ED7D31"/>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ED7D31"/>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6BE98"/>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6BE98"/>
      </w:tcPr>
    </w:tblStylePr>
  </w:style>
  <w:style w:type="table" w:customStyle="1" w:styleId="MediumGrid3-Accent32">
    <w:name w:val="Medium Grid 3 - Accent 32"/>
    <w:basedOn w:val="TableNormal"/>
    <w:next w:val="MediumGrid3-Accent3"/>
    <w:uiPriority w:val="69"/>
    <w:rsid w:val="00BF0763"/>
    <w:rPr>
      <w:rFonts w:ascii="Calibri" w:eastAsia="Times New Roman" w:hAnsi="Calibri"/>
      <w:sz w:val="22"/>
      <w:szCs w:val="22"/>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8E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A5A5A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A5A5A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A5A5A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A5A5A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2D2D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2D2D2"/>
      </w:tcPr>
    </w:tblStylePr>
  </w:style>
  <w:style w:type="table" w:customStyle="1" w:styleId="MediumGrid3-Accent42">
    <w:name w:val="Medium Grid 3 - Accent 42"/>
    <w:basedOn w:val="TableNormal"/>
    <w:next w:val="MediumGrid3-Accent4"/>
    <w:uiPriority w:val="69"/>
    <w:rsid w:val="00BF0763"/>
    <w:rPr>
      <w:rFonts w:ascii="Calibri" w:eastAsia="Times New Roman" w:hAnsi="Calibri"/>
      <w:sz w:val="22"/>
      <w:szCs w:val="22"/>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table" w:customStyle="1" w:styleId="MediumGrid3-Accent52">
    <w:name w:val="Medium Grid 3 - Accent 52"/>
    <w:basedOn w:val="TableNormal"/>
    <w:next w:val="MediumGrid3-Accent5"/>
    <w:uiPriority w:val="69"/>
    <w:rsid w:val="00BF0763"/>
    <w:rPr>
      <w:rFonts w:ascii="Calibri" w:eastAsia="Times New Roman" w:hAnsi="Calibri"/>
      <w:sz w:val="22"/>
      <w:szCs w:val="22"/>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6E6F4"/>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5B9BD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5B9BD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5B9BD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5B9BD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DCCE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DCCEA"/>
      </w:tcPr>
    </w:tblStylePr>
  </w:style>
  <w:style w:type="table" w:customStyle="1" w:styleId="MediumGrid3-Accent62">
    <w:name w:val="Medium Grid 3 - Accent 62"/>
    <w:basedOn w:val="TableNormal"/>
    <w:next w:val="MediumGrid3-Accent6"/>
    <w:uiPriority w:val="69"/>
    <w:rsid w:val="00BF0763"/>
    <w:rPr>
      <w:rFonts w:ascii="Calibri" w:eastAsia="Times New Roman" w:hAnsi="Calibri"/>
      <w:sz w:val="22"/>
      <w:szCs w:val="22"/>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customStyle="1" w:styleId="DarkList2">
    <w:name w:val="Dark List2"/>
    <w:basedOn w:val="TableNormal"/>
    <w:next w:val="DarkList"/>
    <w:uiPriority w:val="70"/>
    <w:rsid w:val="00BF0763"/>
    <w:rPr>
      <w:rFonts w:ascii="Calibri" w:eastAsia="Times New Roman" w:hAnsi="Calibri"/>
      <w:color w:val="FFFFFF"/>
      <w:sz w:val="22"/>
      <w:szCs w:val="22"/>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DarkList-Accent12">
    <w:name w:val="Dark List - Accent 12"/>
    <w:basedOn w:val="TableNormal"/>
    <w:next w:val="DarkList-Accent1"/>
    <w:uiPriority w:val="70"/>
    <w:rsid w:val="00BF0763"/>
    <w:rPr>
      <w:rFonts w:ascii="Calibri" w:eastAsia="Times New Roman" w:hAnsi="Calibri"/>
      <w:color w:val="FFFFFF"/>
      <w:sz w:val="22"/>
      <w:szCs w:val="22"/>
    </w:rPr>
    <w:tblPr>
      <w:tblStyleRowBandSize w:val="1"/>
      <w:tblStyleColBandSize w:val="1"/>
    </w:tblPr>
    <w:tcPr>
      <w:shd w:val="clear" w:color="auto" w:fill="4472C4"/>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3763"/>
      </w:tcPr>
    </w:tblStylePr>
    <w:tblStylePr w:type="firstCol">
      <w:tblPr/>
      <w:tcPr>
        <w:tcBorders>
          <w:top w:val="nil"/>
          <w:left w:val="nil"/>
          <w:bottom w:val="nil"/>
          <w:right w:val="single" w:sz="18" w:space="0" w:color="FFFFFF"/>
          <w:insideH w:val="nil"/>
          <w:insideV w:val="nil"/>
        </w:tcBorders>
        <w:shd w:val="clear" w:color="auto" w:fill="2F5496"/>
      </w:tcPr>
    </w:tblStylePr>
    <w:tblStylePr w:type="lastCol">
      <w:tblPr/>
      <w:tcPr>
        <w:tcBorders>
          <w:top w:val="nil"/>
          <w:left w:val="single" w:sz="18" w:space="0" w:color="FFFFFF"/>
          <w:bottom w:val="nil"/>
          <w:right w:val="nil"/>
          <w:insideH w:val="nil"/>
          <w:insideV w:val="nil"/>
        </w:tcBorders>
        <w:shd w:val="clear" w:color="auto" w:fill="2F5496"/>
      </w:tcPr>
    </w:tblStylePr>
    <w:tblStylePr w:type="band1Vert">
      <w:tblPr/>
      <w:tcPr>
        <w:tcBorders>
          <w:top w:val="nil"/>
          <w:left w:val="nil"/>
          <w:bottom w:val="nil"/>
          <w:right w:val="nil"/>
          <w:insideH w:val="nil"/>
          <w:insideV w:val="nil"/>
        </w:tcBorders>
        <w:shd w:val="clear" w:color="auto" w:fill="2F5496"/>
      </w:tcPr>
    </w:tblStylePr>
    <w:tblStylePr w:type="band1Horz">
      <w:tblPr/>
      <w:tcPr>
        <w:tcBorders>
          <w:top w:val="nil"/>
          <w:left w:val="nil"/>
          <w:bottom w:val="nil"/>
          <w:right w:val="nil"/>
          <w:insideH w:val="nil"/>
          <w:insideV w:val="nil"/>
        </w:tcBorders>
        <w:shd w:val="clear" w:color="auto" w:fill="2F5496"/>
      </w:tcPr>
    </w:tblStylePr>
  </w:style>
  <w:style w:type="table" w:customStyle="1" w:styleId="DarkList-Accent22">
    <w:name w:val="Dark List - Accent 22"/>
    <w:basedOn w:val="TableNormal"/>
    <w:next w:val="DarkList-Accent2"/>
    <w:uiPriority w:val="70"/>
    <w:rsid w:val="00BF0763"/>
    <w:rPr>
      <w:rFonts w:ascii="Calibri" w:eastAsia="Times New Roman" w:hAnsi="Calibri"/>
      <w:color w:val="FFFFFF"/>
      <w:sz w:val="22"/>
      <w:szCs w:val="22"/>
    </w:rPr>
    <w:tblPr>
      <w:tblStyleRowBandSize w:val="1"/>
      <w:tblStyleColBandSize w:val="1"/>
    </w:tblPr>
    <w:tcPr>
      <w:shd w:val="clear" w:color="auto" w:fill="ED7D31"/>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3B0B"/>
      </w:tcPr>
    </w:tblStylePr>
    <w:tblStylePr w:type="firstCol">
      <w:tblPr/>
      <w:tcPr>
        <w:tcBorders>
          <w:top w:val="nil"/>
          <w:left w:val="nil"/>
          <w:bottom w:val="nil"/>
          <w:right w:val="single" w:sz="18" w:space="0" w:color="FFFFFF"/>
          <w:insideH w:val="nil"/>
          <w:insideV w:val="nil"/>
        </w:tcBorders>
        <w:shd w:val="clear" w:color="auto" w:fill="C45911"/>
      </w:tcPr>
    </w:tblStylePr>
    <w:tblStylePr w:type="lastCol">
      <w:tblPr/>
      <w:tcPr>
        <w:tcBorders>
          <w:top w:val="nil"/>
          <w:left w:val="single" w:sz="18" w:space="0" w:color="FFFFFF"/>
          <w:bottom w:val="nil"/>
          <w:right w:val="nil"/>
          <w:insideH w:val="nil"/>
          <w:insideV w:val="nil"/>
        </w:tcBorders>
        <w:shd w:val="clear" w:color="auto" w:fill="C45911"/>
      </w:tcPr>
    </w:tblStylePr>
    <w:tblStylePr w:type="band1Vert">
      <w:tblPr/>
      <w:tcPr>
        <w:tcBorders>
          <w:top w:val="nil"/>
          <w:left w:val="nil"/>
          <w:bottom w:val="nil"/>
          <w:right w:val="nil"/>
          <w:insideH w:val="nil"/>
          <w:insideV w:val="nil"/>
        </w:tcBorders>
        <w:shd w:val="clear" w:color="auto" w:fill="C45911"/>
      </w:tcPr>
    </w:tblStylePr>
    <w:tblStylePr w:type="band1Horz">
      <w:tblPr/>
      <w:tcPr>
        <w:tcBorders>
          <w:top w:val="nil"/>
          <w:left w:val="nil"/>
          <w:bottom w:val="nil"/>
          <w:right w:val="nil"/>
          <w:insideH w:val="nil"/>
          <w:insideV w:val="nil"/>
        </w:tcBorders>
        <w:shd w:val="clear" w:color="auto" w:fill="C45911"/>
      </w:tcPr>
    </w:tblStylePr>
  </w:style>
  <w:style w:type="table" w:customStyle="1" w:styleId="DarkList-Accent32">
    <w:name w:val="Dark List - Accent 32"/>
    <w:basedOn w:val="TableNormal"/>
    <w:next w:val="DarkList-Accent3"/>
    <w:uiPriority w:val="70"/>
    <w:rsid w:val="00BF0763"/>
    <w:rPr>
      <w:rFonts w:ascii="Calibri" w:eastAsia="Times New Roman" w:hAnsi="Calibri"/>
      <w:color w:val="FFFFFF"/>
      <w:sz w:val="22"/>
      <w:szCs w:val="22"/>
    </w:rPr>
    <w:tblPr>
      <w:tblStyleRowBandSize w:val="1"/>
      <w:tblStyleColBandSize w:val="1"/>
    </w:tblPr>
    <w:tcPr>
      <w:shd w:val="clear" w:color="auto" w:fill="A5A5A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25252"/>
      </w:tcPr>
    </w:tblStylePr>
    <w:tblStylePr w:type="firstCol">
      <w:tblPr/>
      <w:tcPr>
        <w:tcBorders>
          <w:top w:val="nil"/>
          <w:left w:val="nil"/>
          <w:bottom w:val="nil"/>
          <w:right w:val="single" w:sz="18" w:space="0" w:color="FFFFFF"/>
          <w:insideH w:val="nil"/>
          <w:insideV w:val="nil"/>
        </w:tcBorders>
        <w:shd w:val="clear" w:color="auto" w:fill="7B7B7B"/>
      </w:tcPr>
    </w:tblStylePr>
    <w:tblStylePr w:type="lastCol">
      <w:tblPr/>
      <w:tcPr>
        <w:tcBorders>
          <w:top w:val="nil"/>
          <w:left w:val="single" w:sz="18" w:space="0" w:color="FFFFFF"/>
          <w:bottom w:val="nil"/>
          <w:right w:val="nil"/>
          <w:insideH w:val="nil"/>
          <w:insideV w:val="nil"/>
        </w:tcBorders>
        <w:shd w:val="clear" w:color="auto" w:fill="7B7B7B"/>
      </w:tcPr>
    </w:tblStylePr>
    <w:tblStylePr w:type="band1Vert">
      <w:tblPr/>
      <w:tcPr>
        <w:tcBorders>
          <w:top w:val="nil"/>
          <w:left w:val="nil"/>
          <w:bottom w:val="nil"/>
          <w:right w:val="nil"/>
          <w:insideH w:val="nil"/>
          <w:insideV w:val="nil"/>
        </w:tcBorders>
        <w:shd w:val="clear" w:color="auto" w:fill="7B7B7B"/>
      </w:tcPr>
    </w:tblStylePr>
    <w:tblStylePr w:type="band1Horz">
      <w:tblPr/>
      <w:tcPr>
        <w:tcBorders>
          <w:top w:val="nil"/>
          <w:left w:val="nil"/>
          <w:bottom w:val="nil"/>
          <w:right w:val="nil"/>
          <w:insideH w:val="nil"/>
          <w:insideV w:val="nil"/>
        </w:tcBorders>
        <w:shd w:val="clear" w:color="auto" w:fill="7B7B7B"/>
      </w:tcPr>
    </w:tblStylePr>
  </w:style>
  <w:style w:type="table" w:customStyle="1" w:styleId="DarkList-Accent42">
    <w:name w:val="Dark List - Accent 42"/>
    <w:basedOn w:val="TableNormal"/>
    <w:next w:val="DarkList-Accent4"/>
    <w:uiPriority w:val="70"/>
    <w:rsid w:val="00BF0763"/>
    <w:rPr>
      <w:rFonts w:ascii="Calibri" w:eastAsia="Times New Roman" w:hAnsi="Calibri"/>
      <w:color w:val="FFFFFF"/>
      <w:sz w:val="22"/>
      <w:szCs w:val="22"/>
    </w:rPr>
    <w:tblPr>
      <w:tblStyleRowBandSize w:val="1"/>
      <w:tblStyleColBandSize w:val="1"/>
    </w:tblPr>
    <w:tcPr>
      <w:shd w:val="clear" w:color="auto" w:fill="FFC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F5F00"/>
      </w:tcPr>
    </w:tblStylePr>
    <w:tblStylePr w:type="firstCol">
      <w:tblPr/>
      <w:tcPr>
        <w:tcBorders>
          <w:top w:val="nil"/>
          <w:left w:val="nil"/>
          <w:bottom w:val="nil"/>
          <w:right w:val="single" w:sz="18" w:space="0" w:color="FFFFFF"/>
          <w:insideH w:val="nil"/>
          <w:insideV w:val="nil"/>
        </w:tcBorders>
        <w:shd w:val="clear" w:color="auto" w:fill="BF8F00"/>
      </w:tcPr>
    </w:tblStylePr>
    <w:tblStylePr w:type="lastCol">
      <w:tblPr/>
      <w:tcPr>
        <w:tcBorders>
          <w:top w:val="nil"/>
          <w:left w:val="single" w:sz="18" w:space="0" w:color="FFFFFF"/>
          <w:bottom w:val="nil"/>
          <w:right w:val="nil"/>
          <w:insideH w:val="nil"/>
          <w:insideV w:val="nil"/>
        </w:tcBorders>
        <w:shd w:val="clear" w:color="auto" w:fill="BF8F00"/>
      </w:tcPr>
    </w:tblStylePr>
    <w:tblStylePr w:type="band1Vert">
      <w:tblPr/>
      <w:tcPr>
        <w:tcBorders>
          <w:top w:val="nil"/>
          <w:left w:val="nil"/>
          <w:bottom w:val="nil"/>
          <w:right w:val="nil"/>
          <w:insideH w:val="nil"/>
          <w:insideV w:val="nil"/>
        </w:tcBorders>
        <w:shd w:val="clear" w:color="auto" w:fill="BF8F00"/>
      </w:tcPr>
    </w:tblStylePr>
    <w:tblStylePr w:type="band1Horz">
      <w:tblPr/>
      <w:tcPr>
        <w:tcBorders>
          <w:top w:val="nil"/>
          <w:left w:val="nil"/>
          <w:bottom w:val="nil"/>
          <w:right w:val="nil"/>
          <w:insideH w:val="nil"/>
          <w:insideV w:val="nil"/>
        </w:tcBorders>
        <w:shd w:val="clear" w:color="auto" w:fill="BF8F00"/>
      </w:tcPr>
    </w:tblStylePr>
  </w:style>
  <w:style w:type="table" w:customStyle="1" w:styleId="DarkList-Accent52">
    <w:name w:val="Dark List - Accent 52"/>
    <w:basedOn w:val="TableNormal"/>
    <w:next w:val="DarkList-Accent5"/>
    <w:uiPriority w:val="70"/>
    <w:rsid w:val="00BF0763"/>
    <w:rPr>
      <w:rFonts w:ascii="Calibri" w:eastAsia="Times New Roman" w:hAnsi="Calibri"/>
      <w:color w:val="FFFFFF"/>
      <w:sz w:val="22"/>
      <w:szCs w:val="22"/>
    </w:rPr>
    <w:tblPr>
      <w:tblStyleRowBandSize w:val="1"/>
      <w:tblStyleColBandSize w:val="1"/>
    </w:tblPr>
    <w:tcPr>
      <w:shd w:val="clear" w:color="auto" w:fill="5B9BD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4D78"/>
      </w:tcPr>
    </w:tblStylePr>
    <w:tblStylePr w:type="firstCol">
      <w:tblPr/>
      <w:tcPr>
        <w:tcBorders>
          <w:top w:val="nil"/>
          <w:left w:val="nil"/>
          <w:bottom w:val="nil"/>
          <w:right w:val="single" w:sz="18" w:space="0" w:color="FFFFFF"/>
          <w:insideH w:val="nil"/>
          <w:insideV w:val="nil"/>
        </w:tcBorders>
        <w:shd w:val="clear" w:color="auto" w:fill="2E74B5"/>
      </w:tcPr>
    </w:tblStylePr>
    <w:tblStylePr w:type="lastCol">
      <w:tblPr/>
      <w:tcPr>
        <w:tcBorders>
          <w:top w:val="nil"/>
          <w:left w:val="single" w:sz="18" w:space="0" w:color="FFFFFF"/>
          <w:bottom w:val="nil"/>
          <w:right w:val="nil"/>
          <w:insideH w:val="nil"/>
          <w:insideV w:val="nil"/>
        </w:tcBorders>
        <w:shd w:val="clear" w:color="auto" w:fill="2E74B5"/>
      </w:tcPr>
    </w:tblStylePr>
    <w:tblStylePr w:type="band1Vert">
      <w:tblPr/>
      <w:tcPr>
        <w:tcBorders>
          <w:top w:val="nil"/>
          <w:left w:val="nil"/>
          <w:bottom w:val="nil"/>
          <w:right w:val="nil"/>
          <w:insideH w:val="nil"/>
          <w:insideV w:val="nil"/>
        </w:tcBorders>
        <w:shd w:val="clear" w:color="auto" w:fill="2E74B5"/>
      </w:tcPr>
    </w:tblStylePr>
    <w:tblStylePr w:type="band1Horz">
      <w:tblPr/>
      <w:tcPr>
        <w:tcBorders>
          <w:top w:val="nil"/>
          <w:left w:val="nil"/>
          <w:bottom w:val="nil"/>
          <w:right w:val="nil"/>
          <w:insideH w:val="nil"/>
          <w:insideV w:val="nil"/>
        </w:tcBorders>
        <w:shd w:val="clear" w:color="auto" w:fill="2E74B5"/>
      </w:tcPr>
    </w:tblStylePr>
  </w:style>
  <w:style w:type="table" w:customStyle="1" w:styleId="DarkList-Accent62">
    <w:name w:val="Dark List - Accent 62"/>
    <w:basedOn w:val="TableNormal"/>
    <w:next w:val="DarkList-Accent6"/>
    <w:uiPriority w:val="70"/>
    <w:rsid w:val="00BF0763"/>
    <w:rPr>
      <w:rFonts w:ascii="Calibri" w:eastAsia="Times New Roman" w:hAnsi="Calibri"/>
      <w:color w:val="FFFFFF"/>
      <w:sz w:val="22"/>
      <w:szCs w:val="22"/>
    </w:rPr>
    <w:tblPr>
      <w:tblStyleRowBandSize w:val="1"/>
      <w:tblStyleColBandSize w:val="1"/>
    </w:tblPr>
    <w:tcPr>
      <w:shd w:val="clear" w:color="auto" w:fill="70AD4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75623"/>
      </w:tcPr>
    </w:tblStylePr>
    <w:tblStylePr w:type="firstCol">
      <w:tblPr/>
      <w:tcPr>
        <w:tcBorders>
          <w:top w:val="nil"/>
          <w:left w:val="nil"/>
          <w:bottom w:val="nil"/>
          <w:right w:val="single" w:sz="18" w:space="0" w:color="FFFFFF"/>
          <w:insideH w:val="nil"/>
          <w:insideV w:val="nil"/>
        </w:tcBorders>
        <w:shd w:val="clear" w:color="auto" w:fill="538135"/>
      </w:tcPr>
    </w:tblStylePr>
    <w:tblStylePr w:type="lastCol">
      <w:tblPr/>
      <w:tcPr>
        <w:tcBorders>
          <w:top w:val="nil"/>
          <w:left w:val="single" w:sz="18" w:space="0" w:color="FFFFFF"/>
          <w:bottom w:val="nil"/>
          <w:right w:val="nil"/>
          <w:insideH w:val="nil"/>
          <w:insideV w:val="nil"/>
        </w:tcBorders>
        <w:shd w:val="clear" w:color="auto" w:fill="538135"/>
      </w:tcPr>
    </w:tblStylePr>
    <w:tblStylePr w:type="band1Vert">
      <w:tblPr/>
      <w:tcPr>
        <w:tcBorders>
          <w:top w:val="nil"/>
          <w:left w:val="nil"/>
          <w:bottom w:val="nil"/>
          <w:right w:val="nil"/>
          <w:insideH w:val="nil"/>
          <w:insideV w:val="nil"/>
        </w:tcBorders>
        <w:shd w:val="clear" w:color="auto" w:fill="538135"/>
      </w:tcPr>
    </w:tblStylePr>
    <w:tblStylePr w:type="band1Horz">
      <w:tblPr/>
      <w:tcPr>
        <w:tcBorders>
          <w:top w:val="nil"/>
          <w:left w:val="nil"/>
          <w:bottom w:val="nil"/>
          <w:right w:val="nil"/>
          <w:insideH w:val="nil"/>
          <w:insideV w:val="nil"/>
        </w:tcBorders>
        <w:shd w:val="clear" w:color="auto" w:fill="538135"/>
      </w:tcPr>
    </w:tblStylePr>
  </w:style>
  <w:style w:type="table" w:customStyle="1" w:styleId="ColorfulShading2">
    <w:name w:val="Colorful Shading2"/>
    <w:basedOn w:val="TableNormal"/>
    <w:next w:val="ColorfulShading"/>
    <w:uiPriority w:val="71"/>
    <w:rsid w:val="00BF0763"/>
    <w:rPr>
      <w:rFonts w:ascii="Calibri" w:eastAsia="Times New Roman" w:hAnsi="Calibri"/>
      <w:color w:val="000000"/>
      <w:sz w:val="22"/>
      <w:szCs w:val="22"/>
    </w:rPr>
    <w:tblPr>
      <w:tblStyleRowBandSize w:val="1"/>
      <w:tblStyleColBandSize w:val="1"/>
      <w:tblBorders>
        <w:top w:val="single" w:sz="24" w:space="0" w:color="ED7D31"/>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ColorfulShading-Accent12">
    <w:name w:val="Colorful Shading - Accent 12"/>
    <w:basedOn w:val="TableNormal"/>
    <w:next w:val="ColorfulShading-Accent1"/>
    <w:uiPriority w:val="71"/>
    <w:rsid w:val="00BF0763"/>
    <w:rPr>
      <w:rFonts w:ascii="Calibri" w:eastAsia="Times New Roman" w:hAnsi="Calibri"/>
      <w:color w:val="000000"/>
      <w:sz w:val="22"/>
      <w:szCs w:val="22"/>
    </w:rPr>
    <w:tblPr>
      <w:tblStyleRowBandSize w:val="1"/>
      <w:tblStyleColBandSize w:val="1"/>
      <w:tblBorders>
        <w:top w:val="single" w:sz="24" w:space="0" w:color="ED7D31"/>
        <w:left w:val="single" w:sz="4" w:space="0" w:color="4472C4"/>
        <w:bottom w:val="single" w:sz="4" w:space="0" w:color="4472C4"/>
        <w:right w:val="single" w:sz="4" w:space="0" w:color="4472C4"/>
        <w:insideH w:val="single" w:sz="4" w:space="0" w:color="FFFFFF"/>
        <w:insideV w:val="single" w:sz="4" w:space="0" w:color="FFFFFF"/>
      </w:tblBorders>
    </w:tblPr>
    <w:tcPr>
      <w:shd w:val="clear" w:color="auto" w:fill="ECF1F9"/>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64378"/>
      </w:tcPr>
    </w:tblStylePr>
    <w:tblStylePr w:type="firstCol">
      <w:rPr>
        <w:color w:val="FFFFFF"/>
      </w:rPr>
      <w:tblPr/>
      <w:tcPr>
        <w:tcBorders>
          <w:top w:val="nil"/>
          <w:left w:val="nil"/>
          <w:bottom w:val="nil"/>
          <w:right w:val="nil"/>
          <w:insideH w:val="single" w:sz="4" w:space="0" w:color="264378"/>
          <w:insideV w:val="nil"/>
        </w:tcBorders>
        <w:shd w:val="clear" w:color="auto" w:fill="264378"/>
      </w:tcPr>
    </w:tblStylePr>
    <w:tblStylePr w:type="lastCol">
      <w:rPr>
        <w:color w:val="FFFFFF"/>
      </w:rPr>
      <w:tblPr/>
      <w:tcPr>
        <w:tcBorders>
          <w:top w:val="nil"/>
          <w:left w:val="nil"/>
          <w:bottom w:val="nil"/>
          <w:right w:val="nil"/>
          <w:insideH w:val="nil"/>
          <w:insideV w:val="nil"/>
        </w:tcBorders>
        <w:shd w:val="clear" w:color="auto" w:fill="264378"/>
      </w:tcPr>
    </w:tblStylePr>
    <w:tblStylePr w:type="band1Vert">
      <w:tblPr/>
      <w:tcPr>
        <w:shd w:val="clear" w:color="auto" w:fill="B4C6E7"/>
      </w:tcPr>
    </w:tblStylePr>
    <w:tblStylePr w:type="band1Horz">
      <w:tblPr/>
      <w:tcPr>
        <w:shd w:val="clear" w:color="auto" w:fill="A1B8E1"/>
      </w:tcPr>
    </w:tblStylePr>
    <w:tblStylePr w:type="neCell">
      <w:rPr>
        <w:color w:val="000000"/>
      </w:rPr>
    </w:tblStylePr>
    <w:tblStylePr w:type="nwCell">
      <w:rPr>
        <w:color w:val="000000"/>
      </w:rPr>
    </w:tblStylePr>
  </w:style>
  <w:style w:type="table" w:customStyle="1" w:styleId="ColorfulShading-Accent22">
    <w:name w:val="Colorful Shading - Accent 22"/>
    <w:basedOn w:val="TableNormal"/>
    <w:next w:val="ColorfulShading-Accent2"/>
    <w:uiPriority w:val="71"/>
    <w:rsid w:val="00BF0763"/>
    <w:rPr>
      <w:rFonts w:ascii="Calibri" w:eastAsia="Times New Roman" w:hAnsi="Calibri"/>
      <w:color w:val="000000"/>
      <w:sz w:val="22"/>
      <w:szCs w:val="22"/>
    </w:rPr>
    <w:tblPr>
      <w:tblStyleRowBandSize w:val="1"/>
      <w:tblStyleColBandSize w:val="1"/>
      <w:tblBorders>
        <w:top w:val="single" w:sz="24" w:space="0" w:color="ED7D31"/>
        <w:left w:val="single" w:sz="4" w:space="0" w:color="ED7D31"/>
        <w:bottom w:val="single" w:sz="4" w:space="0" w:color="ED7D31"/>
        <w:right w:val="single" w:sz="4" w:space="0" w:color="ED7D31"/>
        <w:insideH w:val="single" w:sz="4" w:space="0" w:color="FFFFFF"/>
        <w:insideV w:val="single" w:sz="4" w:space="0" w:color="FFFFFF"/>
      </w:tblBorders>
    </w:tblPr>
    <w:tcPr>
      <w:shd w:val="clear" w:color="auto" w:fill="FDF2EA"/>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9D470D"/>
      </w:tcPr>
    </w:tblStylePr>
    <w:tblStylePr w:type="firstCol">
      <w:rPr>
        <w:color w:val="FFFFFF"/>
      </w:rPr>
      <w:tblPr/>
      <w:tcPr>
        <w:tcBorders>
          <w:top w:val="nil"/>
          <w:left w:val="nil"/>
          <w:bottom w:val="nil"/>
          <w:right w:val="nil"/>
          <w:insideH w:val="single" w:sz="4" w:space="0" w:color="9D470D"/>
          <w:insideV w:val="nil"/>
        </w:tcBorders>
        <w:shd w:val="clear" w:color="auto" w:fill="9D470D"/>
      </w:tcPr>
    </w:tblStylePr>
    <w:tblStylePr w:type="lastCol">
      <w:rPr>
        <w:color w:val="FFFFFF"/>
      </w:rPr>
      <w:tblPr/>
      <w:tcPr>
        <w:tcBorders>
          <w:top w:val="nil"/>
          <w:left w:val="nil"/>
          <w:bottom w:val="nil"/>
          <w:right w:val="nil"/>
          <w:insideH w:val="nil"/>
          <w:insideV w:val="nil"/>
        </w:tcBorders>
        <w:shd w:val="clear" w:color="auto" w:fill="9D470D"/>
      </w:tcPr>
    </w:tblStylePr>
    <w:tblStylePr w:type="band1Vert">
      <w:tblPr/>
      <w:tcPr>
        <w:shd w:val="clear" w:color="auto" w:fill="F7CAAC"/>
      </w:tcPr>
    </w:tblStylePr>
    <w:tblStylePr w:type="band1Horz">
      <w:tblPr/>
      <w:tcPr>
        <w:shd w:val="clear" w:color="auto" w:fill="F6BE98"/>
      </w:tcPr>
    </w:tblStylePr>
    <w:tblStylePr w:type="neCell">
      <w:rPr>
        <w:color w:val="000000"/>
      </w:rPr>
    </w:tblStylePr>
    <w:tblStylePr w:type="nwCell">
      <w:rPr>
        <w:color w:val="000000"/>
      </w:rPr>
    </w:tblStylePr>
  </w:style>
  <w:style w:type="table" w:customStyle="1" w:styleId="ColorfulShading-Accent32">
    <w:name w:val="Colorful Shading - Accent 32"/>
    <w:basedOn w:val="TableNormal"/>
    <w:next w:val="ColorfulShading-Accent3"/>
    <w:uiPriority w:val="71"/>
    <w:rsid w:val="00BF0763"/>
    <w:rPr>
      <w:rFonts w:ascii="Calibri" w:eastAsia="Times New Roman" w:hAnsi="Calibri"/>
      <w:color w:val="000000"/>
      <w:sz w:val="22"/>
      <w:szCs w:val="22"/>
    </w:rPr>
    <w:tblPr>
      <w:tblStyleRowBandSize w:val="1"/>
      <w:tblStyleColBandSize w:val="1"/>
      <w:tblBorders>
        <w:top w:val="single" w:sz="24" w:space="0" w:color="FFC000"/>
        <w:left w:val="single" w:sz="4" w:space="0" w:color="A5A5A5"/>
        <w:bottom w:val="single" w:sz="4" w:space="0" w:color="A5A5A5"/>
        <w:right w:val="single" w:sz="4" w:space="0" w:color="A5A5A5"/>
        <w:insideH w:val="single" w:sz="4" w:space="0" w:color="FFFFFF"/>
        <w:insideV w:val="single" w:sz="4" w:space="0" w:color="FFFFFF"/>
      </w:tblBorders>
    </w:tblPr>
    <w:tcPr>
      <w:shd w:val="clear" w:color="auto" w:fill="F6F6F6"/>
    </w:tcPr>
    <w:tblStylePr w:type="firstRow">
      <w:rPr>
        <w:b/>
        <w:bCs/>
      </w:rPr>
      <w:tblPr/>
      <w:tcPr>
        <w:tcBorders>
          <w:top w:val="nil"/>
          <w:left w:val="nil"/>
          <w:bottom w:val="single" w:sz="24" w:space="0" w:color="FFC000"/>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636363"/>
      </w:tcPr>
    </w:tblStylePr>
    <w:tblStylePr w:type="firstCol">
      <w:rPr>
        <w:color w:val="FFFFFF"/>
      </w:rPr>
      <w:tblPr/>
      <w:tcPr>
        <w:tcBorders>
          <w:top w:val="nil"/>
          <w:left w:val="nil"/>
          <w:bottom w:val="nil"/>
          <w:right w:val="nil"/>
          <w:insideH w:val="single" w:sz="4" w:space="0" w:color="636363"/>
          <w:insideV w:val="nil"/>
        </w:tcBorders>
        <w:shd w:val="clear" w:color="auto" w:fill="636363"/>
      </w:tcPr>
    </w:tblStylePr>
    <w:tblStylePr w:type="lastCol">
      <w:rPr>
        <w:color w:val="FFFFFF"/>
      </w:rPr>
      <w:tblPr/>
      <w:tcPr>
        <w:tcBorders>
          <w:top w:val="nil"/>
          <w:left w:val="nil"/>
          <w:bottom w:val="nil"/>
          <w:right w:val="nil"/>
          <w:insideH w:val="nil"/>
          <w:insideV w:val="nil"/>
        </w:tcBorders>
        <w:shd w:val="clear" w:color="auto" w:fill="636363"/>
      </w:tcPr>
    </w:tblStylePr>
    <w:tblStylePr w:type="band1Vert">
      <w:tblPr/>
      <w:tcPr>
        <w:shd w:val="clear" w:color="auto" w:fill="DBDBDB"/>
      </w:tcPr>
    </w:tblStylePr>
    <w:tblStylePr w:type="band1Horz">
      <w:tblPr/>
      <w:tcPr>
        <w:shd w:val="clear" w:color="auto" w:fill="D2D2D2"/>
      </w:tcPr>
    </w:tblStylePr>
  </w:style>
  <w:style w:type="table" w:customStyle="1" w:styleId="ColorfulShading-Accent42">
    <w:name w:val="Colorful Shading - Accent 42"/>
    <w:basedOn w:val="TableNormal"/>
    <w:next w:val="ColorfulShading-Accent4"/>
    <w:uiPriority w:val="71"/>
    <w:rsid w:val="00BF0763"/>
    <w:rPr>
      <w:rFonts w:ascii="Calibri" w:eastAsia="Times New Roman" w:hAnsi="Calibri"/>
      <w:color w:val="000000"/>
      <w:sz w:val="22"/>
      <w:szCs w:val="22"/>
    </w:rPr>
    <w:tblPr>
      <w:tblStyleRowBandSize w:val="1"/>
      <w:tblStyleColBandSize w:val="1"/>
      <w:tblBorders>
        <w:top w:val="single" w:sz="24" w:space="0" w:color="A5A5A5"/>
        <w:left w:val="single" w:sz="4" w:space="0" w:color="FFC000"/>
        <w:bottom w:val="single" w:sz="4" w:space="0" w:color="FFC000"/>
        <w:right w:val="single" w:sz="4" w:space="0" w:color="FFC000"/>
        <w:insideH w:val="single" w:sz="4" w:space="0" w:color="FFFFFF"/>
        <w:insideV w:val="single" w:sz="4" w:space="0" w:color="FFFFFF"/>
      </w:tblBorders>
    </w:tblPr>
    <w:tcPr>
      <w:shd w:val="clear" w:color="auto" w:fill="FFF8E6"/>
    </w:tcPr>
    <w:tblStylePr w:type="firstRow">
      <w:rPr>
        <w:b/>
        <w:bCs/>
      </w:rPr>
      <w:tblPr/>
      <w:tcPr>
        <w:tcBorders>
          <w:top w:val="nil"/>
          <w:left w:val="nil"/>
          <w:bottom w:val="single" w:sz="24" w:space="0" w:color="A5A5A5"/>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997300"/>
      </w:tcPr>
    </w:tblStylePr>
    <w:tblStylePr w:type="firstCol">
      <w:rPr>
        <w:color w:val="FFFFFF"/>
      </w:rPr>
      <w:tblPr/>
      <w:tcPr>
        <w:tcBorders>
          <w:top w:val="nil"/>
          <w:left w:val="nil"/>
          <w:bottom w:val="nil"/>
          <w:right w:val="nil"/>
          <w:insideH w:val="single" w:sz="4" w:space="0" w:color="997300"/>
          <w:insideV w:val="nil"/>
        </w:tcBorders>
        <w:shd w:val="clear" w:color="auto" w:fill="997300"/>
      </w:tcPr>
    </w:tblStylePr>
    <w:tblStylePr w:type="lastCol">
      <w:rPr>
        <w:color w:val="FFFFFF"/>
      </w:rPr>
      <w:tblPr/>
      <w:tcPr>
        <w:tcBorders>
          <w:top w:val="nil"/>
          <w:left w:val="nil"/>
          <w:bottom w:val="nil"/>
          <w:right w:val="nil"/>
          <w:insideH w:val="nil"/>
          <w:insideV w:val="nil"/>
        </w:tcBorders>
        <w:shd w:val="clear" w:color="auto" w:fill="997300"/>
      </w:tcPr>
    </w:tblStylePr>
    <w:tblStylePr w:type="band1Vert">
      <w:tblPr/>
      <w:tcPr>
        <w:shd w:val="clear" w:color="auto" w:fill="FFE599"/>
      </w:tcPr>
    </w:tblStylePr>
    <w:tblStylePr w:type="band1Horz">
      <w:tblPr/>
      <w:tcPr>
        <w:shd w:val="clear" w:color="auto" w:fill="FFDF80"/>
      </w:tcPr>
    </w:tblStylePr>
    <w:tblStylePr w:type="neCell">
      <w:rPr>
        <w:color w:val="000000"/>
      </w:rPr>
    </w:tblStylePr>
    <w:tblStylePr w:type="nwCell">
      <w:rPr>
        <w:color w:val="000000"/>
      </w:rPr>
    </w:tblStylePr>
  </w:style>
  <w:style w:type="table" w:customStyle="1" w:styleId="ColorfulShading-Accent52">
    <w:name w:val="Colorful Shading - Accent 52"/>
    <w:basedOn w:val="TableNormal"/>
    <w:next w:val="ColorfulShading-Accent5"/>
    <w:uiPriority w:val="71"/>
    <w:rsid w:val="00BF0763"/>
    <w:rPr>
      <w:rFonts w:ascii="Calibri" w:eastAsia="Times New Roman" w:hAnsi="Calibri"/>
      <w:color w:val="000000"/>
      <w:sz w:val="22"/>
      <w:szCs w:val="22"/>
    </w:rPr>
    <w:tblPr>
      <w:tblStyleRowBandSize w:val="1"/>
      <w:tblStyleColBandSize w:val="1"/>
      <w:tblBorders>
        <w:top w:val="single" w:sz="24" w:space="0" w:color="70AD47"/>
        <w:left w:val="single" w:sz="4" w:space="0" w:color="5B9BD5"/>
        <w:bottom w:val="single" w:sz="4" w:space="0" w:color="5B9BD5"/>
        <w:right w:val="single" w:sz="4" w:space="0" w:color="5B9BD5"/>
        <w:insideH w:val="single" w:sz="4" w:space="0" w:color="FFFFFF"/>
        <w:insideV w:val="single" w:sz="4" w:space="0" w:color="FFFFFF"/>
      </w:tblBorders>
    </w:tblPr>
    <w:tcPr>
      <w:shd w:val="clear" w:color="auto" w:fill="EEF5FB"/>
    </w:tcPr>
    <w:tblStylePr w:type="firstRow">
      <w:rPr>
        <w:b/>
        <w:bCs/>
      </w:rPr>
      <w:tblPr/>
      <w:tcPr>
        <w:tcBorders>
          <w:top w:val="nil"/>
          <w:left w:val="nil"/>
          <w:bottom w:val="single" w:sz="24" w:space="0" w:color="70AD47"/>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55D91"/>
      </w:tcPr>
    </w:tblStylePr>
    <w:tblStylePr w:type="firstCol">
      <w:rPr>
        <w:color w:val="FFFFFF"/>
      </w:rPr>
      <w:tblPr/>
      <w:tcPr>
        <w:tcBorders>
          <w:top w:val="nil"/>
          <w:left w:val="nil"/>
          <w:bottom w:val="nil"/>
          <w:right w:val="nil"/>
          <w:insideH w:val="single" w:sz="4" w:space="0" w:color="255D91"/>
          <w:insideV w:val="nil"/>
        </w:tcBorders>
        <w:shd w:val="clear" w:color="auto" w:fill="255D91"/>
      </w:tcPr>
    </w:tblStylePr>
    <w:tblStylePr w:type="lastCol">
      <w:rPr>
        <w:color w:val="FFFFFF"/>
      </w:rPr>
      <w:tblPr/>
      <w:tcPr>
        <w:tcBorders>
          <w:top w:val="nil"/>
          <w:left w:val="nil"/>
          <w:bottom w:val="nil"/>
          <w:right w:val="nil"/>
          <w:insideH w:val="nil"/>
          <w:insideV w:val="nil"/>
        </w:tcBorders>
        <w:shd w:val="clear" w:color="auto" w:fill="255D91"/>
      </w:tcPr>
    </w:tblStylePr>
    <w:tblStylePr w:type="band1Vert">
      <w:tblPr/>
      <w:tcPr>
        <w:shd w:val="clear" w:color="auto" w:fill="BDD6EE"/>
      </w:tcPr>
    </w:tblStylePr>
    <w:tblStylePr w:type="band1Horz">
      <w:tblPr/>
      <w:tcPr>
        <w:shd w:val="clear" w:color="auto" w:fill="ADCCEA"/>
      </w:tcPr>
    </w:tblStylePr>
    <w:tblStylePr w:type="neCell">
      <w:rPr>
        <w:color w:val="000000"/>
      </w:rPr>
    </w:tblStylePr>
    <w:tblStylePr w:type="nwCell">
      <w:rPr>
        <w:color w:val="000000"/>
      </w:rPr>
    </w:tblStylePr>
  </w:style>
  <w:style w:type="table" w:customStyle="1" w:styleId="ColorfulShading-Accent62">
    <w:name w:val="Colorful Shading - Accent 62"/>
    <w:basedOn w:val="TableNormal"/>
    <w:next w:val="ColorfulShading-Accent6"/>
    <w:uiPriority w:val="71"/>
    <w:rsid w:val="00BF0763"/>
    <w:rPr>
      <w:rFonts w:ascii="Calibri" w:eastAsia="Times New Roman" w:hAnsi="Calibri"/>
      <w:color w:val="000000"/>
      <w:sz w:val="22"/>
      <w:szCs w:val="22"/>
    </w:rPr>
    <w:tblPr>
      <w:tblStyleRowBandSize w:val="1"/>
      <w:tblStyleColBandSize w:val="1"/>
      <w:tblBorders>
        <w:top w:val="single" w:sz="24" w:space="0" w:color="5B9BD5"/>
        <w:left w:val="single" w:sz="4" w:space="0" w:color="70AD47"/>
        <w:bottom w:val="single" w:sz="4" w:space="0" w:color="70AD47"/>
        <w:right w:val="single" w:sz="4" w:space="0" w:color="70AD47"/>
        <w:insideH w:val="single" w:sz="4" w:space="0" w:color="FFFFFF"/>
        <w:insideV w:val="single" w:sz="4" w:space="0" w:color="FFFFFF"/>
      </w:tblBorders>
    </w:tblPr>
    <w:tcPr>
      <w:shd w:val="clear" w:color="auto" w:fill="F0F7EC"/>
    </w:tcPr>
    <w:tblStylePr w:type="firstRow">
      <w:rPr>
        <w:b/>
        <w:bCs/>
      </w:rPr>
      <w:tblPr/>
      <w:tcPr>
        <w:tcBorders>
          <w:top w:val="nil"/>
          <w:left w:val="nil"/>
          <w:bottom w:val="single" w:sz="24" w:space="0" w:color="5B9BD5"/>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3672A"/>
      </w:tcPr>
    </w:tblStylePr>
    <w:tblStylePr w:type="firstCol">
      <w:rPr>
        <w:color w:val="FFFFFF"/>
      </w:rPr>
      <w:tblPr/>
      <w:tcPr>
        <w:tcBorders>
          <w:top w:val="nil"/>
          <w:left w:val="nil"/>
          <w:bottom w:val="nil"/>
          <w:right w:val="nil"/>
          <w:insideH w:val="single" w:sz="4" w:space="0" w:color="43672A"/>
          <w:insideV w:val="nil"/>
        </w:tcBorders>
        <w:shd w:val="clear" w:color="auto" w:fill="43672A"/>
      </w:tcPr>
    </w:tblStylePr>
    <w:tblStylePr w:type="lastCol">
      <w:rPr>
        <w:color w:val="FFFFFF"/>
      </w:rPr>
      <w:tblPr/>
      <w:tcPr>
        <w:tcBorders>
          <w:top w:val="nil"/>
          <w:left w:val="nil"/>
          <w:bottom w:val="nil"/>
          <w:right w:val="nil"/>
          <w:insideH w:val="nil"/>
          <w:insideV w:val="nil"/>
        </w:tcBorders>
        <w:shd w:val="clear" w:color="auto" w:fill="43672A"/>
      </w:tcPr>
    </w:tblStylePr>
    <w:tblStylePr w:type="band1Vert">
      <w:tblPr/>
      <w:tcPr>
        <w:shd w:val="clear" w:color="auto" w:fill="C5E0B3"/>
      </w:tcPr>
    </w:tblStylePr>
    <w:tblStylePr w:type="band1Horz">
      <w:tblPr/>
      <w:tcPr>
        <w:shd w:val="clear" w:color="auto" w:fill="B7D8A0"/>
      </w:tcPr>
    </w:tblStylePr>
    <w:tblStylePr w:type="neCell">
      <w:rPr>
        <w:color w:val="000000"/>
      </w:rPr>
    </w:tblStylePr>
    <w:tblStylePr w:type="nwCell">
      <w:rPr>
        <w:color w:val="000000"/>
      </w:rPr>
    </w:tblStylePr>
  </w:style>
  <w:style w:type="table" w:customStyle="1" w:styleId="ColorfulList2">
    <w:name w:val="Colorful List2"/>
    <w:basedOn w:val="TableNormal"/>
    <w:next w:val="ColorfulList"/>
    <w:uiPriority w:val="72"/>
    <w:rsid w:val="00BF0763"/>
    <w:rPr>
      <w:rFonts w:ascii="Calibri" w:eastAsia="Times New Roman" w:hAnsi="Calibri"/>
      <w:color w:val="000000"/>
      <w:sz w:val="22"/>
      <w:szCs w:val="22"/>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ColorfulList-Accent12">
    <w:name w:val="Colorful List - Accent 12"/>
    <w:basedOn w:val="TableNormal"/>
    <w:next w:val="ColorfulList-Accent1"/>
    <w:uiPriority w:val="72"/>
    <w:rsid w:val="00BF0763"/>
    <w:rPr>
      <w:rFonts w:ascii="Calibri" w:eastAsia="Times New Roman" w:hAnsi="Calibri"/>
      <w:color w:val="000000"/>
      <w:sz w:val="22"/>
      <w:szCs w:val="22"/>
    </w:rPr>
    <w:tblPr>
      <w:tblStyleRowBandSize w:val="1"/>
      <w:tblStyleColBandSize w:val="1"/>
    </w:tblPr>
    <w:tcPr>
      <w:shd w:val="clear" w:color="auto" w:fill="ECF1F9"/>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cPr>
    </w:tblStylePr>
    <w:tblStylePr w:type="band1Horz">
      <w:tblPr/>
      <w:tcPr>
        <w:shd w:val="clear" w:color="auto" w:fill="D9E2F3"/>
      </w:tcPr>
    </w:tblStylePr>
  </w:style>
  <w:style w:type="table" w:customStyle="1" w:styleId="ColorfulList-Accent22">
    <w:name w:val="Colorful List - Accent 22"/>
    <w:basedOn w:val="TableNormal"/>
    <w:next w:val="ColorfulList-Accent2"/>
    <w:uiPriority w:val="72"/>
    <w:rsid w:val="00BF0763"/>
    <w:rPr>
      <w:rFonts w:ascii="Calibri" w:eastAsia="Times New Roman" w:hAnsi="Calibri"/>
      <w:color w:val="000000"/>
      <w:sz w:val="22"/>
      <w:szCs w:val="22"/>
    </w:rPr>
    <w:tblPr>
      <w:tblStyleRowBandSize w:val="1"/>
      <w:tblStyleColBandSize w:val="1"/>
    </w:tblPr>
    <w:tcPr>
      <w:shd w:val="clear" w:color="auto" w:fill="FDF2EA"/>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cPr>
    </w:tblStylePr>
    <w:tblStylePr w:type="band1Horz">
      <w:tblPr/>
      <w:tcPr>
        <w:shd w:val="clear" w:color="auto" w:fill="FBE4D5"/>
      </w:tcPr>
    </w:tblStylePr>
  </w:style>
  <w:style w:type="table" w:customStyle="1" w:styleId="ColorfulList-Accent32">
    <w:name w:val="Colorful List - Accent 32"/>
    <w:basedOn w:val="TableNormal"/>
    <w:next w:val="ColorfulList-Accent3"/>
    <w:uiPriority w:val="72"/>
    <w:rsid w:val="00BF0763"/>
    <w:rPr>
      <w:rFonts w:ascii="Calibri" w:eastAsia="Times New Roman" w:hAnsi="Calibri"/>
      <w:color w:val="000000"/>
      <w:sz w:val="22"/>
      <w:szCs w:val="22"/>
    </w:rPr>
    <w:tblPr>
      <w:tblStyleRowBandSize w:val="1"/>
      <w:tblStyleColBandSize w:val="1"/>
    </w:tblPr>
    <w:tcPr>
      <w:shd w:val="clear" w:color="auto" w:fill="F6F6F6"/>
    </w:tcPr>
    <w:tblStylePr w:type="firstRow">
      <w:rPr>
        <w:b/>
        <w:bCs/>
        <w:color w:val="FFFFFF"/>
      </w:rPr>
      <w:tblPr/>
      <w:tcPr>
        <w:tcBorders>
          <w:bottom w:val="single" w:sz="12" w:space="0" w:color="FFFFFF"/>
        </w:tcBorders>
        <w:shd w:val="clear" w:color="auto" w:fill="CC9900"/>
      </w:tcPr>
    </w:tblStylePr>
    <w:tblStylePr w:type="lastRow">
      <w:rPr>
        <w:b/>
        <w:bCs/>
        <w:color w:val="CC99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cPr>
    </w:tblStylePr>
    <w:tblStylePr w:type="band1Horz">
      <w:tblPr/>
      <w:tcPr>
        <w:shd w:val="clear" w:color="auto" w:fill="EDEDED"/>
      </w:tcPr>
    </w:tblStylePr>
  </w:style>
  <w:style w:type="table" w:customStyle="1" w:styleId="ColorfulList-Accent42">
    <w:name w:val="Colorful List - Accent 42"/>
    <w:basedOn w:val="TableNormal"/>
    <w:next w:val="ColorfulList-Accent4"/>
    <w:uiPriority w:val="72"/>
    <w:rsid w:val="00BF0763"/>
    <w:rPr>
      <w:rFonts w:ascii="Calibri" w:eastAsia="Times New Roman" w:hAnsi="Calibri"/>
      <w:color w:val="000000"/>
      <w:sz w:val="22"/>
      <w:szCs w:val="22"/>
    </w:rPr>
    <w:tblPr>
      <w:tblStyleRowBandSize w:val="1"/>
      <w:tblStyleColBandSize w:val="1"/>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table" w:customStyle="1" w:styleId="ColorfulList-Accent52">
    <w:name w:val="Colorful List - Accent 52"/>
    <w:basedOn w:val="TableNormal"/>
    <w:next w:val="ColorfulList-Accent5"/>
    <w:uiPriority w:val="72"/>
    <w:rsid w:val="00BF0763"/>
    <w:rPr>
      <w:rFonts w:ascii="Calibri" w:eastAsia="Times New Roman" w:hAnsi="Calibri"/>
      <w:color w:val="000000"/>
      <w:sz w:val="22"/>
      <w:szCs w:val="22"/>
    </w:rPr>
    <w:tblPr>
      <w:tblStyleRowBandSize w:val="1"/>
      <w:tblStyleColBandSize w:val="1"/>
    </w:tblPr>
    <w:tcPr>
      <w:shd w:val="clear" w:color="auto" w:fill="EEF5FB"/>
    </w:tcPr>
    <w:tblStylePr w:type="firstRow">
      <w:rPr>
        <w:b/>
        <w:bCs/>
        <w:color w:val="FFFFFF"/>
      </w:rPr>
      <w:tblPr/>
      <w:tcPr>
        <w:tcBorders>
          <w:bottom w:val="single" w:sz="12" w:space="0" w:color="FFFFFF"/>
        </w:tcBorders>
        <w:shd w:val="clear" w:color="auto" w:fill="598A38"/>
      </w:tcPr>
    </w:tblStylePr>
    <w:tblStylePr w:type="lastRow">
      <w:rPr>
        <w:b/>
        <w:bCs/>
        <w:color w:val="598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table" w:customStyle="1" w:styleId="ColorfulList-Accent62">
    <w:name w:val="Colorful List - Accent 62"/>
    <w:basedOn w:val="TableNormal"/>
    <w:next w:val="ColorfulList-Accent6"/>
    <w:uiPriority w:val="72"/>
    <w:rsid w:val="00BF0763"/>
    <w:rPr>
      <w:rFonts w:ascii="Calibri" w:eastAsia="Times New Roman" w:hAnsi="Calibri"/>
      <w:color w:val="000000"/>
      <w:sz w:val="22"/>
      <w:szCs w:val="22"/>
    </w:rPr>
    <w:tblPr>
      <w:tblStyleRowBandSize w:val="1"/>
      <w:tblStyleColBandSize w:val="1"/>
    </w:tblPr>
    <w:tcPr>
      <w:shd w:val="clear" w:color="auto" w:fill="F0F7EC"/>
    </w:tcPr>
    <w:tblStylePr w:type="firstRow">
      <w:rPr>
        <w:b/>
        <w:bCs/>
        <w:color w:val="FFFFFF"/>
      </w:rPr>
      <w:tblPr/>
      <w:tcPr>
        <w:tcBorders>
          <w:bottom w:val="single" w:sz="12" w:space="0" w:color="FFFFFF"/>
        </w:tcBorders>
        <w:shd w:val="clear" w:color="auto" w:fill="317CC1"/>
      </w:tcPr>
    </w:tblStylePr>
    <w:tblStylePr w:type="lastRow">
      <w:rPr>
        <w:b/>
        <w:bCs/>
        <w:color w:val="317CC1"/>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cPr>
    </w:tblStylePr>
    <w:tblStylePr w:type="band1Horz">
      <w:tblPr/>
      <w:tcPr>
        <w:shd w:val="clear" w:color="auto" w:fill="E2EFD9"/>
      </w:tcPr>
    </w:tblStylePr>
  </w:style>
  <w:style w:type="table" w:customStyle="1" w:styleId="ColorfulGrid2">
    <w:name w:val="Colorful Grid2"/>
    <w:basedOn w:val="TableNormal"/>
    <w:next w:val="ColorfulGrid"/>
    <w:uiPriority w:val="73"/>
    <w:rsid w:val="00BF0763"/>
    <w:rPr>
      <w:rFonts w:ascii="Calibri" w:eastAsia="Times New Roman" w:hAnsi="Calibri"/>
      <w:color w:val="000000"/>
      <w:sz w:val="22"/>
      <w:szCs w:val="22"/>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ColorfulGrid-Accent12">
    <w:name w:val="Colorful Grid - Accent 12"/>
    <w:basedOn w:val="TableNormal"/>
    <w:next w:val="ColorfulGrid-Accent1"/>
    <w:uiPriority w:val="73"/>
    <w:rsid w:val="00BF0763"/>
    <w:rPr>
      <w:rFonts w:ascii="Calibri" w:eastAsia="Times New Roman" w:hAnsi="Calibri"/>
      <w:color w:val="000000"/>
      <w:sz w:val="22"/>
      <w:szCs w:val="22"/>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table" w:customStyle="1" w:styleId="ColorfulGrid-Accent22">
    <w:name w:val="Colorful Grid - Accent 22"/>
    <w:basedOn w:val="TableNormal"/>
    <w:next w:val="ColorfulGrid-Accent2"/>
    <w:uiPriority w:val="73"/>
    <w:rsid w:val="00BF0763"/>
    <w:rPr>
      <w:rFonts w:ascii="Calibri" w:eastAsia="Times New Roman" w:hAnsi="Calibri"/>
      <w:color w:val="000000"/>
      <w:sz w:val="22"/>
      <w:szCs w:val="22"/>
    </w:rPr>
    <w:tblPr>
      <w:tblStyleRowBandSize w:val="1"/>
      <w:tblStyleColBandSize w:val="1"/>
      <w:tblBorders>
        <w:insideH w:val="single" w:sz="4" w:space="0" w:color="FFFFFF"/>
      </w:tblBorders>
    </w:tblPr>
    <w:tcPr>
      <w:shd w:val="clear" w:color="auto" w:fill="FBE4D5"/>
    </w:tcPr>
    <w:tblStylePr w:type="firstRow">
      <w:rPr>
        <w:b/>
        <w:bCs/>
      </w:rPr>
      <w:tblPr/>
      <w:tcPr>
        <w:shd w:val="clear" w:color="auto" w:fill="F7CAAC"/>
      </w:tcPr>
    </w:tblStylePr>
    <w:tblStylePr w:type="lastRow">
      <w:rPr>
        <w:b/>
        <w:bCs/>
        <w:color w:val="000000"/>
      </w:rPr>
      <w:tblPr/>
      <w:tcPr>
        <w:shd w:val="clear" w:color="auto" w:fill="F7CAAC"/>
      </w:tcPr>
    </w:tblStylePr>
    <w:tblStylePr w:type="firstCol">
      <w:rPr>
        <w:color w:val="FFFFFF"/>
      </w:rPr>
      <w:tblPr/>
      <w:tcPr>
        <w:shd w:val="clear" w:color="auto" w:fill="C45911"/>
      </w:tcPr>
    </w:tblStylePr>
    <w:tblStylePr w:type="lastCol">
      <w:rPr>
        <w:color w:val="FFFFFF"/>
      </w:rPr>
      <w:tblPr/>
      <w:tcPr>
        <w:shd w:val="clear" w:color="auto" w:fill="C45911"/>
      </w:tcPr>
    </w:tblStylePr>
    <w:tblStylePr w:type="band1Vert">
      <w:tblPr/>
      <w:tcPr>
        <w:shd w:val="clear" w:color="auto" w:fill="F6BE98"/>
      </w:tcPr>
    </w:tblStylePr>
    <w:tblStylePr w:type="band1Horz">
      <w:tblPr/>
      <w:tcPr>
        <w:shd w:val="clear" w:color="auto" w:fill="F6BE98"/>
      </w:tcPr>
    </w:tblStylePr>
  </w:style>
  <w:style w:type="table" w:customStyle="1" w:styleId="ColorfulGrid-Accent32">
    <w:name w:val="Colorful Grid - Accent 32"/>
    <w:basedOn w:val="TableNormal"/>
    <w:next w:val="ColorfulGrid-Accent3"/>
    <w:uiPriority w:val="73"/>
    <w:rsid w:val="00BF0763"/>
    <w:rPr>
      <w:rFonts w:ascii="Calibri" w:eastAsia="Times New Roman" w:hAnsi="Calibri"/>
      <w:color w:val="000000"/>
      <w:sz w:val="22"/>
      <w:szCs w:val="22"/>
    </w:rPr>
    <w:tblPr>
      <w:tblStyleRowBandSize w:val="1"/>
      <w:tblStyleColBandSize w:val="1"/>
      <w:tblBorders>
        <w:insideH w:val="single" w:sz="4" w:space="0" w:color="FFFFFF"/>
      </w:tblBorders>
    </w:tblPr>
    <w:tcPr>
      <w:shd w:val="clear" w:color="auto" w:fill="EDEDED"/>
    </w:tcPr>
    <w:tblStylePr w:type="firstRow">
      <w:rPr>
        <w:b/>
        <w:bCs/>
      </w:rPr>
      <w:tblPr/>
      <w:tcPr>
        <w:shd w:val="clear" w:color="auto" w:fill="DBDBDB"/>
      </w:tcPr>
    </w:tblStylePr>
    <w:tblStylePr w:type="lastRow">
      <w:rPr>
        <w:b/>
        <w:bCs/>
        <w:color w:val="000000"/>
      </w:rPr>
      <w:tblPr/>
      <w:tcPr>
        <w:shd w:val="clear" w:color="auto" w:fill="DBDBDB"/>
      </w:tcPr>
    </w:tblStylePr>
    <w:tblStylePr w:type="firstCol">
      <w:rPr>
        <w:color w:val="FFFFFF"/>
      </w:rPr>
      <w:tblPr/>
      <w:tcPr>
        <w:shd w:val="clear" w:color="auto" w:fill="7B7B7B"/>
      </w:tcPr>
    </w:tblStylePr>
    <w:tblStylePr w:type="lastCol">
      <w:rPr>
        <w:color w:val="FFFFFF"/>
      </w:rPr>
      <w:tblPr/>
      <w:tcPr>
        <w:shd w:val="clear" w:color="auto" w:fill="7B7B7B"/>
      </w:tcPr>
    </w:tblStylePr>
    <w:tblStylePr w:type="band1Vert">
      <w:tblPr/>
      <w:tcPr>
        <w:shd w:val="clear" w:color="auto" w:fill="D2D2D2"/>
      </w:tcPr>
    </w:tblStylePr>
    <w:tblStylePr w:type="band1Horz">
      <w:tblPr/>
      <w:tcPr>
        <w:shd w:val="clear" w:color="auto" w:fill="D2D2D2"/>
      </w:tcPr>
    </w:tblStylePr>
  </w:style>
  <w:style w:type="table" w:customStyle="1" w:styleId="ColorfulGrid-Accent42">
    <w:name w:val="Colorful Grid - Accent 42"/>
    <w:basedOn w:val="TableNormal"/>
    <w:next w:val="ColorfulGrid-Accent4"/>
    <w:uiPriority w:val="73"/>
    <w:rsid w:val="00BF0763"/>
    <w:rPr>
      <w:rFonts w:ascii="Calibri" w:eastAsia="Times New Roman" w:hAnsi="Calibri"/>
      <w:color w:val="000000"/>
      <w:sz w:val="22"/>
      <w:szCs w:val="22"/>
    </w:rPr>
    <w:tblPr>
      <w:tblStyleRowBandSize w:val="1"/>
      <w:tblStyleColBandSize w:val="1"/>
      <w:tblBorders>
        <w:insideH w:val="single" w:sz="4" w:space="0" w:color="FFFFFF"/>
      </w:tblBorders>
    </w:tblPr>
    <w:tcPr>
      <w:shd w:val="clear" w:color="auto" w:fill="FFF2CC"/>
    </w:tcPr>
    <w:tblStylePr w:type="firstRow">
      <w:rPr>
        <w:b/>
        <w:bCs/>
      </w:rPr>
      <w:tblPr/>
      <w:tcPr>
        <w:shd w:val="clear" w:color="auto" w:fill="FFE599"/>
      </w:tcPr>
    </w:tblStylePr>
    <w:tblStylePr w:type="lastRow">
      <w:rPr>
        <w:b/>
        <w:bCs/>
        <w:color w:val="000000"/>
      </w:rPr>
      <w:tblPr/>
      <w:tcPr>
        <w:shd w:val="clear" w:color="auto" w:fill="FFE599"/>
      </w:tcPr>
    </w:tblStylePr>
    <w:tblStylePr w:type="firstCol">
      <w:rPr>
        <w:color w:val="FFFFFF"/>
      </w:rPr>
      <w:tblPr/>
      <w:tcPr>
        <w:shd w:val="clear" w:color="auto" w:fill="BF8F00"/>
      </w:tcPr>
    </w:tblStylePr>
    <w:tblStylePr w:type="lastCol">
      <w:rPr>
        <w:color w:val="FFFFFF"/>
      </w:rPr>
      <w:tblPr/>
      <w:tcPr>
        <w:shd w:val="clear" w:color="auto" w:fill="BF8F00"/>
      </w:tcPr>
    </w:tblStylePr>
    <w:tblStylePr w:type="band1Vert">
      <w:tblPr/>
      <w:tcPr>
        <w:shd w:val="clear" w:color="auto" w:fill="FFDF80"/>
      </w:tcPr>
    </w:tblStylePr>
    <w:tblStylePr w:type="band1Horz">
      <w:tblPr/>
      <w:tcPr>
        <w:shd w:val="clear" w:color="auto" w:fill="FFDF80"/>
      </w:tcPr>
    </w:tblStylePr>
  </w:style>
  <w:style w:type="table" w:customStyle="1" w:styleId="ColorfulGrid-Accent52">
    <w:name w:val="Colorful Grid - Accent 52"/>
    <w:basedOn w:val="TableNormal"/>
    <w:next w:val="ColorfulGrid-Accent5"/>
    <w:uiPriority w:val="73"/>
    <w:rsid w:val="00BF0763"/>
    <w:rPr>
      <w:rFonts w:ascii="Calibri" w:eastAsia="Times New Roman" w:hAnsi="Calibri"/>
      <w:color w:val="000000"/>
      <w:sz w:val="22"/>
      <w:szCs w:val="22"/>
    </w:rPr>
    <w:tblPr>
      <w:tblStyleRowBandSize w:val="1"/>
      <w:tblStyleColBandSize w:val="1"/>
      <w:tblBorders>
        <w:insideH w:val="single" w:sz="4" w:space="0" w:color="FFFFFF"/>
      </w:tblBorders>
    </w:tblPr>
    <w:tcPr>
      <w:shd w:val="clear" w:color="auto" w:fill="DEEAF6"/>
    </w:tcPr>
    <w:tblStylePr w:type="firstRow">
      <w:rPr>
        <w:b/>
        <w:bCs/>
      </w:rPr>
      <w:tblPr/>
      <w:tcPr>
        <w:shd w:val="clear" w:color="auto" w:fill="BDD6EE"/>
      </w:tcPr>
    </w:tblStylePr>
    <w:tblStylePr w:type="lastRow">
      <w:rPr>
        <w:b/>
        <w:bCs/>
        <w:color w:val="000000"/>
      </w:rPr>
      <w:tblPr/>
      <w:tcPr>
        <w:shd w:val="clear" w:color="auto" w:fill="BDD6EE"/>
      </w:tcPr>
    </w:tblStylePr>
    <w:tblStylePr w:type="firstCol">
      <w:rPr>
        <w:color w:val="FFFFFF"/>
      </w:rPr>
      <w:tblPr/>
      <w:tcPr>
        <w:shd w:val="clear" w:color="auto" w:fill="2E74B5"/>
      </w:tcPr>
    </w:tblStylePr>
    <w:tblStylePr w:type="lastCol">
      <w:rPr>
        <w:color w:val="FFFFFF"/>
      </w:rPr>
      <w:tblPr/>
      <w:tcPr>
        <w:shd w:val="clear" w:color="auto" w:fill="2E74B5"/>
      </w:tcPr>
    </w:tblStylePr>
    <w:tblStylePr w:type="band1Vert">
      <w:tblPr/>
      <w:tcPr>
        <w:shd w:val="clear" w:color="auto" w:fill="ADCCEA"/>
      </w:tcPr>
    </w:tblStylePr>
    <w:tblStylePr w:type="band1Horz">
      <w:tblPr/>
      <w:tcPr>
        <w:shd w:val="clear" w:color="auto" w:fill="ADCCEA"/>
      </w:tcPr>
    </w:tblStylePr>
  </w:style>
  <w:style w:type="table" w:customStyle="1" w:styleId="ColorfulGrid-Accent62">
    <w:name w:val="Colorful Grid - Accent 62"/>
    <w:basedOn w:val="TableNormal"/>
    <w:next w:val="ColorfulGrid-Accent6"/>
    <w:uiPriority w:val="73"/>
    <w:rsid w:val="00BF0763"/>
    <w:rPr>
      <w:rFonts w:ascii="Calibri" w:eastAsia="Times New Roman" w:hAnsi="Calibri"/>
      <w:color w:val="000000"/>
      <w:sz w:val="22"/>
      <w:szCs w:val="22"/>
    </w:rPr>
    <w:tblPr>
      <w:tblStyleRowBandSize w:val="1"/>
      <w:tblStyleColBandSize w:val="1"/>
      <w:tblBorders>
        <w:insideH w:val="single" w:sz="4" w:space="0" w:color="FFFFFF"/>
      </w:tblBorders>
    </w:tblPr>
    <w:tcPr>
      <w:shd w:val="clear" w:color="auto" w:fill="E2EFD9"/>
    </w:tcPr>
    <w:tblStylePr w:type="firstRow">
      <w:rPr>
        <w:b/>
        <w:bCs/>
      </w:rPr>
      <w:tblPr/>
      <w:tcPr>
        <w:shd w:val="clear" w:color="auto" w:fill="C5E0B3"/>
      </w:tcPr>
    </w:tblStylePr>
    <w:tblStylePr w:type="lastRow">
      <w:rPr>
        <w:b/>
        <w:bCs/>
        <w:color w:val="000000"/>
      </w:rPr>
      <w:tblPr/>
      <w:tcPr>
        <w:shd w:val="clear" w:color="auto" w:fill="C5E0B3"/>
      </w:tcPr>
    </w:tblStylePr>
    <w:tblStylePr w:type="firstCol">
      <w:rPr>
        <w:color w:val="FFFFFF"/>
      </w:rPr>
      <w:tblPr/>
      <w:tcPr>
        <w:shd w:val="clear" w:color="auto" w:fill="538135"/>
      </w:tcPr>
    </w:tblStylePr>
    <w:tblStylePr w:type="lastCol">
      <w:rPr>
        <w:color w:val="FFFFFF"/>
      </w:rPr>
      <w:tblPr/>
      <w:tcPr>
        <w:shd w:val="clear" w:color="auto" w:fill="538135"/>
      </w:tcPr>
    </w:tblStylePr>
    <w:tblStylePr w:type="band1Vert">
      <w:tblPr/>
      <w:tcPr>
        <w:shd w:val="clear" w:color="auto" w:fill="B7D8A0"/>
      </w:tcPr>
    </w:tblStylePr>
    <w:tblStylePr w:type="band1Horz">
      <w:tblPr/>
      <w:tcPr>
        <w:shd w:val="clear" w:color="auto" w:fill="B7D8A0"/>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9520">
      <w:bodyDiv w:val="1"/>
      <w:marLeft w:val="0"/>
      <w:marRight w:val="0"/>
      <w:marTop w:val="0"/>
      <w:marBottom w:val="0"/>
      <w:divBdr>
        <w:top w:val="none" w:sz="0" w:space="0" w:color="auto"/>
        <w:left w:val="none" w:sz="0" w:space="0" w:color="auto"/>
        <w:bottom w:val="none" w:sz="0" w:space="0" w:color="auto"/>
        <w:right w:val="none" w:sz="0" w:space="0" w:color="auto"/>
      </w:divBdr>
    </w:div>
    <w:div w:id="160700862">
      <w:bodyDiv w:val="1"/>
      <w:marLeft w:val="0"/>
      <w:marRight w:val="0"/>
      <w:marTop w:val="0"/>
      <w:marBottom w:val="0"/>
      <w:divBdr>
        <w:top w:val="none" w:sz="0" w:space="0" w:color="auto"/>
        <w:left w:val="none" w:sz="0" w:space="0" w:color="auto"/>
        <w:bottom w:val="none" w:sz="0" w:space="0" w:color="auto"/>
        <w:right w:val="none" w:sz="0" w:space="0" w:color="auto"/>
      </w:divBdr>
    </w:div>
    <w:div w:id="201554279">
      <w:bodyDiv w:val="1"/>
      <w:marLeft w:val="0"/>
      <w:marRight w:val="0"/>
      <w:marTop w:val="0"/>
      <w:marBottom w:val="0"/>
      <w:divBdr>
        <w:top w:val="none" w:sz="0" w:space="0" w:color="auto"/>
        <w:left w:val="none" w:sz="0" w:space="0" w:color="auto"/>
        <w:bottom w:val="none" w:sz="0" w:space="0" w:color="auto"/>
        <w:right w:val="none" w:sz="0" w:space="0" w:color="auto"/>
      </w:divBdr>
    </w:div>
    <w:div w:id="360863231">
      <w:bodyDiv w:val="1"/>
      <w:marLeft w:val="0"/>
      <w:marRight w:val="0"/>
      <w:marTop w:val="0"/>
      <w:marBottom w:val="0"/>
      <w:divBdr>
        <w:top w:val="none" w:sz="0" w:space="0" w:color="auto"/>
        <w:left w:val="none" w:sz="0" w:space="0" w:color="auto"/>
        <w:bottom w:val="none" w:sz="0" w:space="0" w:color="auto"/>
        <w:right w:val="none" w:sz="0" w:space="0" w:color="auto"/>
      </w:divBdr>
    </w:div>
    <w:div w:id="417406748">
      <w:bodyDiv w:val="1"/>
      <w:marLeft w:val="0"/>
      <w:marRight w:val="0"/>
      <w:marTop w:val="0"/>
      <w:marBottom w:val="0"/>
      <w:divBdr>
        <w:top w:val="none" w:sz="0" w:space="0" w:color="auto"/>
        <w:left w:val="none" w:sz="0" w:space="0" w:color="auto"/>
        <w:bottom w:val="none" w:sz="0" w:space="0" w:color="auto"/>
        <w:right w:val="none" w:sz="0" w:space="0" w:color="auto"/>
      </w:divBdr>
    </w:div>
    <w:div w:id="428549145">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703218618">
      <w:bodyDiv w:val="1"/>
      <w:marLeft w:val="0"/>
      <w:marRight w:val="0"/>
      <w:marTop w:val="0"/>
      <w:marBottom w:val="0"/>
      <w:divBdr>
        <w:top w:val="none" w:sz="0" w:space="0" w:color="auto"/>
        <w:left w:val="none" w:sz="0" w:space="0" w:color="auto"/>
        <w:bottom w:val="none" w:sz="0" w:space="0" w:color="auto"/>
        <w:right w:val="none" w:sz="0" w:space="0" w:color="auto"/>
      </w:divBdr>
    </w:div>
    <w:div w:id="757678265">
      <w:bodyDiv w:val="1"/>
      <w:marLeft w:val="0"/>
      <w:marRight w:val="0"/>
      <w:marTop w:val="0"/>
      <w:marBottom w:val="0"/>
      <w:divBdr>
        <w:top w:val="none" w:sz="0" w:space="0" w:color="auto"/>
        <w:left w:val="none" w:sz="0" w:space="0" w:color="auto"/>
        <w:bottom w:val="none" w:sz="0" w:space="0" w:color="auto"/>
        <w:right w:val="none" w:sz="0" w:space="0" w:color="auto"/>
      </w:divBdr>
    </w:div>
    <w:div w:id="783379158">
      <w:bodyDiv w:val="1"/>
      <w:marLeft w:val="0"/>
      <w:marRight w:val="0"/>
      <w:marTop w:val="0"/>
      <w:marBottom w:val="0"/>
      <w:divBdr>
        <w:top w:val="none" w:sz="0" w:space="0" w:color="auto"/>
        <w:left w:val="none" w:sz="0" w:space="0" w:color="auto"/>
        <w:bottom w:val="none" w:sz="0" w:space="0" w:color="auto"/>
        <w:right w:val="none" w:sz="0" w:space="0" w:color="auto"/>
      </w:divBdr>
    </w:div>
    <w:div w:id="1067797970">
      <w:bodyDiv w:val="1"/>
      <w:marLeft w:val="0"/>
      <w:marRight w:val="0"/>
      <w:marTop w:val="0"/>
      <w:marBottom w:val="0"/>
      <w:divBdr>
        <w:top w:val="none" w:sz="0" w:space="0" w:color="auto"/>
        <w:left w:val="none" w:sz="0" w:space="0" w:color="auto"/>
        <w:bottom w:val="none" w:sz="0" w:space="0" w:color="auto"/>
        <w:right w:val="none" w:sz="0" w:space="0" w:color="auto"/>
      </w:divBdr>
    </w:div>
    <w:div w:id="1502039845">
      <w:bodyDiv w:val="1"/>
      <w:marLeft w:val="0"/>
      <w:marRight w:val="0"/>
      <w:marTop w:val="0"/>
      <w:marBottom w:val="0"/>
      <w:divBdr>
        <w:top w:val="none" w:sz="0" w:space="0" w:color="auto"/>
        <w:left w:val="none" w:sz="0" w:space="0" w:color="auto"/>
        <w:bottom w:val="none" w:sz="0" w:space="0" w:color="auto"/>
        <w:right w:val="none" w:sz="0" w:space="0" w:color="auto"/>
      </w:divBdr>
    </w:div>
    <w:div w:id="1515419211">
      <w:bodyDiv w:val="1"/>
      <w:marLeft w:val="0"/>
      <w:marRight w:val="0"/>
      <w:marTop w:val="0"/>
      <w:marBottom w:val="0"/>
      <w:divBdr>
        <w:top w:val="none" w:sz="0" w:space="0" w:color="auto"/>
        <w:left w:val="none" w:sz="0" w:space="0" w:color="auto"/>
        <w:bottom w:val="none" w:sz="0" w:space="0" w:color="auto"/>
        <w:right w:val="none" w:sz="0" w:space="0" w:color="auto"/>
      </w:divBdr>
    </w:div>
    <w:div w:id="1633901192">
      <w:bodyDiv w:val="1"/>
      <w:marLeft w:val="0"/>
      <w:marRight w:val="0"/>
      <w:marTop w:val="0"/>
      <w:marBottom w:val="0"/>
      <w:divBdr>
        <w:top w:val="none" w:sz="0" w:space="0" w:color="auto"/>
        <w:left w:val="none" w:sz="0" w:space="0" w:color="auto"/>
        <w:bottom w:val="none" w:sz="0" w:space="0" w:color="auto"/>
        <w:right w:val="none" w:sz="0" w:space="0" w:color="auto"/>
      </w:divBdr>
    </w:div>
    <w:div w:id="1666661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 Type="http://schemas.openxmlformats.org/officeDocument/2006/relationships/customXml" Target="../customXml/item3.xml"/><Relationship Id="rId21" Type="http://schemas.openxmlformats.org/officeDocument/2006/relationships/image" Target="media/image10.png"/><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hyperlink" Target="https://ecos.fws.gov/ecp/species/8552"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image" Target="media/image13.png"/><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10" Type="http://schemas.openxmlformats.org/officeDocument/2006/relationships/endnotes" Target="endnotes.xml"/><Relationship Id="rId19" Type="http://schemas.openxmlformats.org/officeDocument/2006/relationships/image" Target="media/image8.pn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multipart-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74113d4-6574-4021-b6c9-5251c706eb1d" xsi:nil="true"/>
    <lcf76f155ced4ddcb4097134ff3c332f xmlns="98591523-4d31-467e-865c-f531f6b6886c">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56E33DE06A677F44B508FA6BFE0E1DDC" ma:contentTypeVersion="15" ma:contentTypeDescription="Create a new document." ma:contentTypeScope="" ma:versionID="b02a7457690f7b8d1627a1532f9b2e28">
  <xsd:schema xmlns:xsd="http://www.w3.org/2001/XMLSchema" xmlns:xs="http://www.w3.org/2001/XMLSchema" xmlns:p="http://schemas.microsoft.com/office/2006/metadata/properties" xmlns:ns2="98591523-4d31-467e-865c-f531f6b6886c" xmlns:ns3="d74113d4-6574-4021-b6c9-5251c706eb1d" targetNamespace="http://schemas.microsoft.com/office/2006/metadata/properties" ma:root="true" ma:fieldsID="8c174d1bf48099823756eb08ad08fa4d" ns2:_="" ns3:_="">
    <xsd:import namespace="98591523-4d31-467e-865c-f531f6b6886c"/>
    <xsd:import namespace="d74113d4-6574-4021-b6c9-5251c706eb1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591523-4d31-467e-865c-f531f6b688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8ab95b9-39aa-4b9d-a2e7-0451eedf9b8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4113d4-6574-4021-b6c9-5251c706eb1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7cdd39d-d611-4b4b-a618-b20c5f55d237}" ma:internalName="TaxCatchAll" ma:showField="CatchAllData" ma:web="d74113d4-6574-4021-b6c9-5251c706eb1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05E376-0243-4152-A78A-755D31535974}">
  <ds:schemaRefs>
    <ds:schemaRef ds:uri="http://schemas.microsoft.com/sharepoint/v3/contenttype/forms"/>
  </ds:schemaRefs>
</ds:datastoreItem>
</file>

<file path=customXml/itemProps2.xml><?xml version="1.0" encoding="utf-8"?>
<ds:datastoreItem xmlns:ds="http://schemas.openxmlformats.org/officeDocument/2006/customXml" ds:itemID="{E8A7BFA3-BEA8-4961-A3A3-FFBDF067C14A}">
  <ds:schemaRefs>
    <ds:schemaRef ds:uri="http://schemas.microsoft.com/office/2006/metadata/properties"/>
    <ds:schemaRef ds:uri="http://schemas.microsoft.com/office/infopath/2007/PartnerControls"/>
    <ds:schemaRef ds:uri="d74113d4-6574-4021-b6c9-5251c706eb1d"/>
    <ds:schemaRef ds:uri="98591523-4d31-467e-865c-f531f6b6886c"/>
  </ds:schemaRefs>
</ds:datastoreItem>
</file>

<file path=customXml/itemProps3.xml><?xml version="1.0" encoding="utf-8"?>
<ds:datastoreItem xmlns:ds="http://schemas.openxmlformats.org/officeDocument/2006/customXml" ds:itemID="{0B366ECF-5AE0-4E74-A4E2-1389D01FBDD7}">
  <ds:schemaRefs>
    <ds:schemaRef ds:uri="http://schemas.openxmlformats.org/officeDocument/2006/bibliography"/>
  </ds:schemaRefs>
</ds:datastoreItem>
</file>

<file path=customXml/itemProps4.xml><?xml version="1.0" encoding="utf-8"?>
<ds:datastoreItem xmlns:ds="http://schemas.openxmlformats.org/officeDocument/2006/customXml" ds:itemID="{E310D5B3-B839-4EF8-A8CD-6D95B6B862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591523-4d31-467e-865c-f531f6b6886c"/>
    <ds:schemaRef ds:uri="d74113d4-6574-4021-b6c9-5251c706eb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multipart-te</Template>
  <TotalTime>20</TotalTime>
  <Pages>348</Pages>
  <Words>81647</Words>
  <Characters>465393</Characters>
  <Application>Microsoft Office Word</Application>
  <DocSecurity>0</DocSecurity>
  <Lines>3878</Lines>
  <Paragraphs>1091</Paragraphs>
  <ScaleCrop>false</ScaleCrop>
  <HeadingPairs>
    <vt:vector size="2" baseType="variant">
      <vt:variant>
        <vt:lpstr>Title</vt:lpstr>
      </vt:variant>
      <vt:variant>
        <vt:i4>1</vt:i4>
      </vt:variant>
    </vt:vector>
  </HeadingPairs>
  <TitlesOfParts>
    <vt:vector size="1" baseType="lpstr">
      <vt:lpstr>Essays on the Economics of Conservation Policy</vt:lpstr>
    </vt:vector>
  </TitlesOfParts>
  <Company/>
  <LinksUpToDate>false</LinksUpToDate>
  <CharactersWithSpaces>545949</CharactersWithSpaces>
  <SharedDoc>false</SharedDoc>
  <HLinks>
    <vt:vector size="186" baseType="variant">
      <vt:variant>
        <vt:i4>3473510</vt:i4>
      </vt:variant>
      <vt:variant>
        <vt:i4>189</vt:i4>
      </vt:variant>
      <vt:variant>
        <vt:i4>0</vt:i4>
      </vt:variant>
      <vt:variant>
        <vt:i4>5</vt:i4>
      </vt:variant>
      <vt:variant>
        <vt:lpwstr>http://gradschool.utk.edu/ddategraduation.shtml</vt:lpwstr>
      </vt:variant>
      <vt:variant>
        <vt:lpwstr/>
      </vt:variant>
      <vt:variant>
        <vt:i4>1441853</vt:i4>
      </vt:variant>
      <vt:variant>
        <vt:i4>182</vt:i4>
      </vt:variant>
      <vt:variant>
        <vt:i4>0</vt:i4>
      </vt:variant>
      <vt:variant>
        <vt:i4>5</vt:i4>
      </vt:variant>
      <vt:variant>
        <vt:lpwstr/>
      </vt:variant>
      <vt:variant>
        <vt:lpwstr>_Toc414285579</vt:lpwstr>
      </vt:variant>
      <vt:variant>
        <vt:i4>1441853</vt:i4>
      </vt:variant>
      <vt:variant>
        <vt:i4>173</vt:i4>
      </vt:variant>
      <vt:variant>
        <vt:i4>0</vt:i4>
      </vt:variant>
      <vt:variant>
        <vt:i4>5</vt:i4>
      </vt:variant>
      <vt:variant>
        <vt:lpwstr/>
      </vt:variant>
      <vt:variant>
        <vt:lpwstr>_Toc414285578</vt:lpwstr>
      </vt:variant>
      <vt:variant>
        <vt:i4>1441853</vt:i4>
      </vt:variant>
      <vt:variant>
        <vt:i4>167</vt:i4>
      </vt:variant>
      <vt:variant>
        <vt:i4>0</vt:i4>
      </vt:variant>
      <vt:variant>
        <vt:i4>5</vt:i4>
      </vt:variant>
      <vt:variant>
        <vt:lpwstr/>
      </vt:variant>
      <vt:variant>
        <vt:lpwstr>_Toc414285577</vt:lpwstr>
      </vt:variant>
      <vt:variant>
        <vt:i4>1441853</vt:i4>
      </vt:variant>
      <vt:variant>
        <vt:i4>158</vt:i4>
      </vt:variant>
      <vt:variant>
        <vt:i4>0</vt:i4>
      </vt:variant>
      <vt:variant>
        <vt:i4>5</vt:i4>
      </vt:variant>
      <vt:variant>
        <vt:lpwstr/>
      </vt:variant>
      <vt:variant>
        <vt:lpwstr>_Toc414285576</vt:lpwstr>
      </vt:variant>
      <vt:variant>
        <vt:i4>1441853</vt:i4>
      </vt:variant>
      <vt:variant>
        <vt:i4>152</vt:i4>
      </vt:variant>
      <vt:variant>
        <vt:i4>0</vt:i4>
      </vt:variant>
      <vt:variant>
        <vt:i4>5</vt:i4>
      </vt:variant>
      <vt:variant>
        <vt:lpwstr/>
      </vt:variant>
      <vt:variant>
        <vt:lpwstr>_Toc414285575</vt:lpwstr>
      </vt:variant>
      <vt:variant>
        <vt:i4>1441853</vt:i4>
      </vt:variant>
      <vt:variant>
        <vt:i4>146</vt:i4>
      </vt:variant>
      <vt:variant>
        <vt:i4>0</vt:i4>
      </vt:variant>
      <vt:variant>
        <vt:i4>5</vt:i4>
      </vt:variant>
      <vt:variant>
        <vt:lpwstr/>
      </vt:variant>
      <vt:variant>
        <vt:lpwstr>_Toc414285574</vt:lpwstr>
      </vt:variant>
      <vt:variant>
        <vt:i4>1441853</vt:i4>
      </vt:variant>
      <vt:variant>
        <vt:i4>140</vt:i4>
      </vt:variant>
      <vt:variant>
        <vt:i4>0</vt:i4>
      </vt:variant>
      <vt:variant>
        <vt:i4>5</vt:i4>
      </vt:variant>
      <vt:variant>
        <vt:lpwstr/>
      </vt:variant>
      <vt:variant>
        <vt:lpwstr>_Toc414285573</vt:lpwstr>
      </vt:variant>
      <vt:variant>
        <vt:i4>1441853</vt:i4>
      </vt:variant>
      <vt:variant>
        <vt:i4>134</vt:i4>
      </vt:variant>
      <vt:variant>
        <vt:i4>0</vt:i4>
      </vt:variant>
      <vt:variant>
        <vt:i4>5</vt:i4>
      </vt:variant>
      <vt:variant>
        <vt:lpwstr/>
      </vt:variant>
      <vt:variant>
        <vt:lpwstr>_Toc414285572</vt:lpwstr>
      </vt:variant>
      <vt:variant>
        <vt:i4>1441853</vt:i4>
      </vt:variant>
      <vt:variant>
        <vt:i4>128</vt:i4>
      </vt:variant>
      <vt:variant>
        <vt:i4>0</vt:i4>
      </vt:variant>
      <vt:variant>
        <vt:i4>5</vt:i4>
      </vt:variant>
      <vt:variant>
        <vt:lpwstr/>
      </vt:variant>
      <vt:variant>
        <vt:lpwstr>_Toc414285571</vt:lpwstr>
      </vt:variant>
      <vt:variant>
        <vt:i4>1441853</vt:i4>
      </vt:variant>
      <vt:variant>
        <vt:i4>122</vt:i4>
      </vt:variant>
      <vt:variant>
        <vt:i4>0</vt:i4>
      </vt:variant>
      <vt:variant>
        <vt:i4>5</vt:i4>
      </vt:variant>
      <vt:variant>
        <vt:lpwstr/>
      </vt:variant>
      <vt:variant>
        <vt:lpwstr>_Toc414285570</vt:lpwstr>
      </vt:variant>
      <vt:variant>
        <vt:i4>1507389</vt:i4>
      </vt:variant>
      <vt:variant>
        <vt:i4>116</vt:i4>
      </vt:variant>
      <vt:variant>
        <vt:i4>0</vt:i4>
      </vt:variant>
      <vt:variant>
        <vt:i4>5</vt:i4>
      </vt:variant>
      <vt:variant>
        <vt:lpwstr/>
      </vt:variant>
      <vt:variant>
        <vt:lpwstr>_Toc414285569</vt:lpwstr>
      </vt:variant>
      <vt:variant>
        <vt:i4>1507389</vt:i4>
      </vt:variant>
      <vt:variant>
        <vt:i4>110</vt:i4>
      </vt:variant>
      <vt:variant>
        <vt:i4>0</vt:i4>
      </vt:variant>
      <vt:variant>
        <vt:i4>5</vt:i4>
      </vt:variant>
      <vt:variant>
        <vt:lpwstr/>
      </vt:variant>
      <vt:variant>
        <vt:lpwstr>_Toc414285568</vt:lpwstr>
      </vt:variant>
      <vt:variant>
        <vt:i4>1507389</vt:i4>
      </vt:variant>
      <vt:variant>
        <vt:i4>104</vt:i4>
      </vt:variant>
      <vt:variant>
        <vt:i4>0</vt:i4>
      </vt:variant>
      <vt:variant>
        <vt:i4>5</vt:i4>
      </vt:variant>
      <vt:variant>
        <vt:lpwstr/>
      </vt:variant>
      <vt:variant>
        <vt:lpwstr>_Toc414285567</vt:lpwstr>
      </vt:variant>
      <vt:variant>
        <vt:i4>1507389</vt:i4>
      </vt:variant>
      <vt:variant>
        <vt:i4>98</vt:i4>
      </vt:variant>
      <vt:variant>
        <vt:i4>0</vt:i4>
      </vt:variant>
      <vt:variant>
        <vt:i4>5</vt:i4>
      </vt:variant>
      <vt:variant>
        <vt:lpwstr/>
      </vt:variant>
      <vt:variant>
        <vt:lpwstr>_Toc414285566</vt:lpwstr>
      </vt:variant>
      <vt:variant>
        <vt:i4>1507389</vt:i4>
      </vt:variant>
      <vt:variant>
        <vt:i4>92</vt:i4>
      </vt:variant>
      <vt:variant>
        <vt:i4>0</vt:i4>
      </vt:variant>
      <vt:variant>
        <vt:i4>5</vt:i4>
      </vt:variant>
      <vt:variant>
        <vt:lpwstr/>
      </vt:variant>
      <vt:variant>
        <vt:lpwstr>_Toc414285565</vt:lpwstr>
      </vt:variant>
      <vt:variant>
        <vt:i4>1507389</vt:i4>
      </vt:variant>
      <vt:variant>
        <vt:i4>86</vt:i4>
      </vt:variant>
      <vt:variant>
        <vt:i4>0</vt:i4>
      </vt:variant>
      <vt:variant>
        <vt:i4>5</vt:i4>
      </vt:variant>
      <vt:variant>
        <vt:lpwstr/>
      </vt:variant>
      <vt:variant>
        <vt:lpwstr>_Toc414285564</vt:lpwstr>
      </vt:variant>
      <vt:variant>
        <vt:i4>1507389</vt:i4>
      </vt:variant>
      <vt:variant>
        <vt:i4>80</vt:i4>
      </vt:variant>
      <vt:variant>
        <vt:i4>0</vt:i4>
      </vt:variant>
      <vt:variant>
        <vt:i4>5</vt:i4>
      </vt:variant>
      <vt:variant>
        <vt:lpwstr/>
      </vt:variant>
      <vt:variant>
        <vt:lpwstr>_Toc414285563</vt:lpwstr>
      </vt:variant>
      <vt:variant>
        <vt:i4>1507389</vt:i4>
      </vt:variant>
      <vt:variant>
        <vt:i4>74</vt:i4>
      </vt:variant>
      <vt:variant>
        <vt:i4>0</vt:i4>
      </vt:variant>
      <vt:variant>
        <vt:i4>5</vt:i4>
      </vt:variant>
      <vt:variant>
        <vt:lpwstr/>
      </vt:variant>
      <vt:variant>
        <vt:lpwstr>_Toc414285562</vt:lpwstr>
      </vt:variant>
      <vt:variant>
        <vt:i4>1507389</vt:i4>
      </vt:variant>
      <vt:variant>
        <vt:i4>68</vt:i4>
      </vt:variant>
      <vt:variant>
        <vt:i4>0</vt:i4>
      </vt:variant>
      <vt:variant>
        <vt:i4>5</vt:i4>
      </vt:variant>
      <vt:variant>
        <vt:lpwstr/>
      </vt:variant>
      <vt:variant>
        <vt:lpwstr>_Toc414285561</vt:lpwstr>
      </vt:variant>
      <vt:variant>
        <vt:i4>1507389</vt:i4>
      </vt:variant>
      <vt:variant>
        <vt:i4>62</vt:i4>
      </vt:variant>
      <vt:variant>
        <vt:i4>0</vt:i4>
      </vt:variant>
      <vt:variant>
        <vt:i4>5</vt:i4>
      </vt:variant>
      <vt:variant>
        <vt:lpwstr/>
      </vt:variant>
      <vt:variant>
        <vt:lpwstr>_Toc414285560</vt:lpwstr>
      </vt:variant>
      <vt:variant>
        <vt:i4>1310781</vt:i4>
      </vt:variant>
      <vt:variant>
        <vt:i4>56</vt:i4>
      </vt:variant>
      <vt:variant>
        <vt:i4>0</vt:i4>
      </vt:variant>
      <vt:variant>
        <vt:i4>5</vt:i4>
      </vt:variant>
      <vt:variant>
        <vt:lpwstr/>
      </vt:variant>
      <vt:variant>
        <vt:lpwstr>_Toc414285559</vt:lpwstr>
      </vt:variant>
      <vt:variant>
        <vt:i4>1310781</vt:i4>
      </vt:variant>
      <vt:variant>
        <vt:i4>50</vt:i4>
      </vt:variant>
      <vt:variant>
        <vt:i4>0</vt:i4>
      </vt:variant>
      <vt:variant>
        <vt:i4>5</vt:i4>
      </vt:variant>
      <vt:variant>
        <vt:lpwstr/>
      </vt:variant>
      <vt:variant>
        <vt:lpwstr>_Toc414285558</vt:lpwstr>
      </vt:variant>
      <vt:variant>
        <vt:i4>1310781</vt:i4>
      </vt:variant>
      <vt:variant>
        <vt:i4>44</vt:i4>
      </vt:variant>
      <vt:variant>
        <vt:i4>0</vt:i4>
      </vt:variant>
      <vt:variant>
        <vt:i4>5</vt:i4>
      </vt:variant>
      <vt:variant>
        <vt:lpwstr/>
      </vt:variant>
      <vt:variant>
        <vt:lpwstr>_Toc414285557</vt:lpwstr>
      </vt:variant>
      <vt:variant>
        <vt:i4>1310781</vt:i4>
      </vt:variant>
      <vt:variant>
        <vt:i4>38</vt:i4>
      </vt:variant>
      <vt:variant>
        <vt:i4>0</vt:i4>
      </vt:variant>
      <vt:variant>
        <vt:i4>5</vt:i4>
      </vt:variant>
      <vt:variant>
        <vt:lpwstr/>
      </vt:variant>
      <vt:variant>
        <vt:lpwstr>_Toc414285556</vt:lpwstr>
      </vt:variant>
      <vt:variant>
        <vt:i4>1310781</vt:i4>
      </vt:variant>
      <vt:variant>
        <vt:i4>32</vt:i4>
      </vt:variant>
      <vt:variant>
        <vt:i4>0</vt:i4>
      </vt:variant>
      <vt:variant>
        <vt:i4>5</vt:i4>
      </vt:variant>
      <vt:variant>
        <vt:lpwstr/>
      </vt:variant>
      <vt:variant>
        <vt:lpwstr>_Toc414285555</vt:lpwstr>
      </vt:variant>
      <vt:variant>
        <vt:i4>1310781</vt:i4>
      </vt:variant>
      <vt:variant>
        <vt:i4>26</vt:i4>
      </vt:variant>
      <vt:variant>
        <vt:i4>0</vt:i4>
      </vt:variant>
      <vt:variant>
        <vt:i4>5</vt:i4>
      </vt:variant>
      <vt:variant>
        <vt:lpwstr/>
      </vt:variant>
      <vt:variant>
        <vt:lpwstr>_Toc414285554</vt:lpwstr>
      </vt:variant>
      <vt:variant>
        <vt:i4>1310781</vt:i4>
      </vt:variant>
      <vt:variant>
        <vt:i4>20</vt:i4>
      </vt:variant>
      <vt:variant>
        <vt:i4>0</vt:i4>
      </vt:variant>
      <vt:variant>
        <vt:i4>5</vt:i4>
      </vt:variant>
      <vt:variant>
        <vt:lpwstr/>
      </vt:variant>
      <vt:variant>
        <vt:lpwstr>_Toc414285553</vt:lpwstr>
      </vt:variant>
      <vt:variant>
        <vt:i4>1310781</vt:i4>
      </vt:variant>
      <vt:variant>
        <vt:i4>14</vt:i4>
      </vt:variant>
      <vt:variant>
        <vt:i4>0</vt:i4>
      </vt:variant>
      <vt:variant>
        <vt:i4>5</vt:i4>
      </vt:variant>
      <vt:variant>
        <vt:lpwstr/>
      </vt:variant>
      <vt:variant>
        <vt:lpwstr>_Toc414285552</vt:lpwstr>
      </vt:variant>
      <vt:variant>
        <vt:i4>1310781</vt:i4>
      </vt:variant>
      <vt:variant>
        <vt:i4>8</vt:i4>
      </vt:variant>
      <vt:variant>
        <vt:i4>0</vt:i4>
      </vt:variant>
      <vt:variant>
        <vt:i4>5</vt:i4>
      </vt:variant>
      <vt:variant>
        <vt:lpwstr/>
      </vt:variant>
      <vt:variant>
        <vt:lpwstr>_Toc414285551</vt:lpwstr>
      </vt:variant>
      <vt:variant>
        <vt:i4>1310781</vt:i4>
      </vt:variant>
      <vt:variant>
        <vt:i4>2</vt:i4>
      </vt:variant>
      <vt:variant>
        <vt:i4>0</vt:i4>
      </vt:variant>
      <vt:variant>
        <vt:i4>5</vt:i4>
      </vt:variant>
      <vt:variant>
        <vt:lpwstr/>
      </vt:variant>
      <vt:variant>
        <vt:lpwstr>_Toc414285550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Essays on the Economics of Conservation Policy</dc:title>
  <dc:creator>Balgobin, Prubesh Lutchmunsing</dc:creator>
  <cp:lastModifiedBy>Sherman, Abby</cp:lastModifiedBy>
  <cp:revision>3</cp:revision>
  <cp:lastPrinted>2025-01-21T16:49:00Z</cp:lastPrinted>
  <dcterms:created xsi:type="dcterms:W3CDTF">2025-01-21T17:25:00Z</dcterms:created>
  <dcterms:modified xsi:type="dcterms:W3CDTF">2025-01-21T17:37:00Z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0x01010056E33DE06A677F44B508FA6BFE0E1DDC</vt:lpwstr>
  </property>
</Properties>
</file>